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BA9" w:rsidRPr="007D322B" w:rsidRDefault="00E534F7" w:rsidP="00B07BA9">
      <w:pPr>
        <w:rPr>
          <w:rFonts w:ascii="Arial" w:hAnsi="Arial" w:cs="Arial"/>
        </w:rPr>
      </w:pPr>
      <w:r>
        <w:rPr>
          <w:rFonts w:ascii="Arial" w:hAnsi="Arial" w:cs="Arial"/>
          <w:noProof/>
          <w:lang w:eastAsia="en-AU"/>
        </w:rPr>
        <w:drawing>
          <wp:inline distT="0" distB="0" distL="0" distR="0">
            <wp:extent cx="200025" cy="16192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0024647F" w:rsidRPr="0024647F">
        <w:t xml:space="preserve"> </w:t>
      </w:r>
      <w:r w:rsidR="0024647F" w:rsidRPr="0024647F">
        <w:rPr>
          <w:rFonts w:ascii="Arial" w:hAnsi="Arial" w:cs="Arial"/>
        </w:rPr>
        <w:t>This medicin</w:t>
      </w:r>
      <w:r w:rsidR="00EF75AD">
        <w:rPr>
          <w:rFonts w:ascii="Arial" w:hAnsi="Arial" w:cs="Arial"/>
        </w:rPr>
        <w:t>al product</w:t>
      </w:r>
      <w:r w:rsidR="0024647F" w:rsidRPr="0024647F">
        <w:rPr>
          <w:rFonts w:ascii="Arial" w:hAnsi="Arial" w:cs="Arial"/>
        </w:rPr>
        <w:t xml:space="preserve"> is subject to additional monitoring</w:t>
      </w:r>
      <w:r w:rsidR="00812D82">
        <w:rPr>
          <w:rFonts w:ascii="Arial" w:hAnsi="Arial" w:cs="Arial"/>
        </w:rPr>
        <w:t xml:space="preserve"> in Australia</w:t>
      </w:r>
      <w:r w:rsidR="0024647F" w:rsidRPr="0024647F">
        <w:rPr>
          <w:rFonts w:ascii="Arial" w:hAnsi="Arial" w:cs="Arial"/>
        </w:rPr>
        <w:t xml:space="preserve">. This will allow quick identification of new safety information. </w:t>
      </w:r>
      <w:r w:rsidR="00812D82" w:rsidRPr="00812D82">
        <w:rPr>
          <w:rFonts w:ascii="Arial" w:hAnsi="Arial" w:cs="Arial"/>
        </w:rPr>
        <w:t xml:space="preserve">Healthcare professionals are asked to report any suspected adverse events at </w:t>
      </w:r>
      <w:hyperlink r:id="rId12" w:history="1">
        <w:r w:rsidR="00812D82" w:rsidRPr="0001010D">
          <w:rPr>
            <w:rStyle w:val="Hyperlink"/>
            <w:rFonts w:ascii="Arial" w:hAnsi="Arial" w:cs="Arial"/>
          </w:rPr>
          <w:t>www.tga.gov.au/reporting-problems</w:t>
        </w:r>
      </w:hyperlink>
      <w:r w:rsidR="00B07BA9" w:rsidRPr="007D322B">
        <w:rPr>
          <w:rFonts w:ascii="Arial" w:hAnsi="Arial" w:cs="Arial"/>
        </w:rPr>
        <w:t>.</w:t>
      </w:r>
    </w:p>
    <w:p w:rsidR="001652C1" w:rsidRPr="007D322B" w:rsidRDefault="001652C1" w:rsidP="00B07BA9">
      <w:pPr>
        <w:rPr>
          <w:rFonts w:ascii="Arial" w:hAnsi="Arial" w:cs="Arial"/>
        </w:rPr>
      </w:pPr>
    </w:p>
    <w:p w:rsidR="001652C1" w:rsidRPr="007D322B" w:rsidRDefault="001652C1" w:rsidP="001652C1">
      <w:pPr>
        <w:pStyle w:val="NoSpacing"/>
        <w:rPr>
          <w:rFonts w:ascii="Arial" w:hAnsi="Arial" w:cs="Arial"/>
          <w:b/>
          <w:u w:val="single"/>
        </w:rPr>
      </w:pPr>
      <w:r w:rsidRPr="007D322B">
        <w:rPr>
          <w:rFonts w:ascii="Arial" w:hAnsi="Arial" w:cs="Arial"/>
          <w:b/>
          <w:u w:val="single"/>
        </w:rPr>
        <w:t xml:space="preserve">AUSTRALIAN PRODUCT INFORMATION - </w:t>
      </w:r>
      <w:r w:rsidR="008C1D88" w:rsidRPr="007D322B">
        <w:rPr>
          <w:rFonts w:ascii="Arial" w:hAnsi="Arial" w:cs="Arial"/>
          <w:b/>
          <w:u w:val="single"/>
        </w:rPr>
        <w:t>QARZIBA</w:t>
      </w:r>
      <w:r w:rsidRPr="007D322B">
        <w:rPr>
          <w:rFonts w:ascii="Arial" w:hAnsi="Arial" w:cs="Arial"/>
          <w:b/>
          <w:u w:val="single"/>
        </w:rPr>
        <w:t xml:space="preserve"> (dinutuximab beta)</w:t>
      </w:r>
    </w:p>
    <w:p w:rsidR="001652C1" w:rsidRPr="007D322B" w:rsidRDefault="001652C1" w:rsidP="00B07BA9">
      <w:pPr>
        <w:pStyle w:val="NoSpacing"/>
        <w:rPr>
          <w:rFonts w:ascii="Arial" w:hAnsi="Arial" w:cs="Arial"/>
        </w:rPr>
      </w:pPr>
    </w:p>
    <w:p w:rsidR="00BC05C6" w:rsidRPr="007D322B" w:rsidRDefault="005A5298" w:rsidP="00B11EAE">
      <w:pPr>
        <w:pStyle w:val="Heading1"/>
      </w:pPr>
      <w:r w:rsidRPr="007D322B">
        <w:t xml:space="preserve">NAME OF THE MEDICINE </w:t>
      </w:r>
    </w:p>
    <w:p w:rsidR="00A24B7F" w:rsidRPr="007D322B" w:rsidRDefault="008C1D88" w:rsidP="00B221E2">
      <w:pPr>
        <w:pStyle w:val="NoSpacing"/>
        <w:rPr>
          <w:rFonts w:ascii="Arial" w:hAnsi="Arial" w:cs="Arial"/>
        </w:rPr>
      </w:pPr>
      <w:r w:rsidRPr="007D322B">
        <w:rPr>
          <w:rFonts w:ascii="Arial" w:hAnsi="Arial" w:cs="Arial"/>
        </w:rPr>
        <w:t>QARZIBA</w:t>
      </w:r>
      <w:r w:rsidR="001652C1" w:rsidRPr="007D322B">
        <w:rPr>
          <w:rFonts w:ascii="Arial" w:hAnsi="Arial" w:cs="Arial"/>
        </w:rPr>
        <w:t xml:space="preserve"> </w:t>
      </w:r>
      <w:r w:rsidR="00085E0D" w:rsidRPr="007D322B">
        <w:rPr>
          <w:rFonts w:ascii="Arial" w:hAnsi="Arial" w:cs="Arial"/>
        </w:rPr>
        <w:t>(</w:t>
      </w:r>
      <w:r w:rsidR="001652C1" w:rsidRPr="007D322B">
        <w:rPr>
          <w:rFonts w:ascii="Arial" w:hAnsi="Arial" w:cs="Arial"/>
        </w:rPr>
        <w:t>dinutuximab beta</w:t>
      </w:r>
      <w:r w:rsidR="00085E0D" w:rsidRPr="007D322B">
        <w:rPr>
          <w:rFonts w:ascii="Arial" w:hAnsi="Arial" w:cs="Arial"/>
        </w:rPr>
        <w:t>)</w:t>
      </w:r>
    </w:p>
    <w:p w:rsidR="00D960AD" w:rsidRPr="007D322B" w:rsidRDefault="00B615F9" w:rsidP="00B11EAE">
      <w:pPr>
        <w:pStyle w:val="Heading1"/>
      </w:pPr>
      <w:r w:rsidRPr="007D322B">
        <w:t>QUALITATIVE AND QUANTITATIVE COMPOSITION</w:t>
      </w:r>
    </w:p>
    <w:p w:rsidR="001652C1" w:rsidRPr="007D322B" w:rsidRDefault="001652C1" w:rsidP="001652C1">
      <w:pPr>
        <w:pStyle w:val="NoSpacing"/>
        <w:rPr>
          <w:rFonts w:ascii="Arial" w:eastAsia="Calibri" w:hAnsi="Arial" w:cs="Arial"/>
        </w:rPr>
      </w:pPr>
      <w:r w:rsidRPr="007D322B">
        <w:rPr>
          <w:rFonts w:ascii="Arial" w:eastAsia="Calibri" w:hAnsi="Arial" w:cs="Arial"/>
        </w:rPr>
        <w:t>1 mL of concentrate contains 4.5 mg dinutuximab beta.</w:t>
      </w:r>
    </w:p>
    <w:p w:rsidR="001652C1" w:rsidRPr="007D322B" w:rsidRDefault="001652C1" w:rsidP="001652C1">
      <w:pPr>
        <w:pStyle w:val="NoSpacing"/>
        <w:rPr>
          <w:rFonts w:ascii="Arial" w:eastAsia="Calibri" w:hAnsi="Arial" w:cs="Arial"/>
        </w:rPr>
      </w:pPr>
      <w:r w:rsidRPr="007D322B">
        <w:rPr>
          <w:rFonts w:ascii="Arial" w:eastAsia="Calibri" w:hAnsi="Arial" w:cs="Arial"/>
        </w:rPr>
        <w:t>Each vial contains 20 mg dinutuximab beta in 4.5 mL.</w:t>
      </w:r>
    </w:p>
    <w:p w:rsidR="00A34C43" w:rsidRDefault="00A34C43" w:rsidP="001652C1">
      <w:pPr>
        <w:pStyle w:val="NoSpacing"/>
        <w:rPr>
          <w:rFonts w:ascii="Arial" w:eastAsia="Calibri" w:hAnsi="Arial" w:cs="Arial"/>
        </w:rPr>
      </w:pPr>
    </w:p>
    <w:p w:rsidR="001652C1" w:rsidRPr="007D322B" w:rsidRDefault="001652C1" w:rsidP="001652C1">
      <w:pPr>
        <w:pStyle w:val="NoSpacing"/>
        <w:rPr>
          <w:rFonts w:ascii="Arial" w:eastAsia="Calibri" w:hAnsi="Arial" w:cs="Arial"/>
        </w:rPr>
      </w:pPr>
      <w:r w:rsidRPr="007D322B">
        <w:rPr>
          <w:rFonts w:ascii="Arial" w:eastAsia="Calibri" w:hAnsi="Arial" w:cs="Arial"/>
        </w:rPr>
        <w:t>Dinutuximab beta is a mouse-human chimeric monoclonal IgG1 antibody produced in a mammalian cell line (CHO) by recombinant DNA technology.</w:t>
      </w:r>
    </w:p>
    <w:p w:rsidR="001652C1" w:rsidRPr="007D322B" w:rsidRDefault="001652C1" w:rsidP="001652C1">
      <w:pPr>
        <w:pStyle w:val="NoSpacing"/>
        <w:rPr>
          <w:rFonts w:ascii="Arial" w:eastAsia="Calibri" w:hAnsi="Arial" w:cs="Arial"/>
        </w:rPr>
      </w:pPr>
    </w:p>
    <w:p w:rsidR="00D960AD" w:rsidRPr="007D322B" w:rsidRDefault="001652C1" w:rsidP="001652C1">
      <w:pPr>
        <w:pStyle w:val="NoSpacing"/>
        <w:rPr>
          <w:rFonts w:ascii="Arial" w:eastAsia="Calibri" w:hAnsi="Arial" w:cs="Arial"/>
        </w:rPr>
      </w:pPr>
      <w:r w:rsidRPr="007D322B">
        <w:rPr>
          <w:rFonts w:ascii="Arial" w:eastAsia="Calibri" w:hAnsi="Arial" w:cs="Arial"/>
        </w:rPr>
        <w:t xml:space="preserve">For the full list of excipients, see section </w:t>
      </w:r>
      <w:hyperlink w:anchor="_LIST_OF_EXCIPIENTS" w:history="1">
        <w:r w:rsidRPr="007D322B">
          <w:rPr>
            <w:rStyle w:val="Hyperlink"/>
            <w:rFonts w:ascii="Arial" w:eastAsia="Calibri" w:hAnsi="Arial" w:cs="Arial"/>
          </w:rPr>
          <w:t>6.1 LIST OF EXCIPIENTS</w:t>
        </w:r>
      </w:hyperlink>
      <w:r w:rsidR="00D960AD" w:rsidRPr="007D322B">
        <w:rPr>
          <w:rFonts w:ascii="Arial" w:eastAsia="Calibri" w:hAnsi="Arial" w:cs="Arial"/>
        </w:rPr>
        <w:t>.</w:t>
      </w:r>
    </w:p>
    <w:p w:rsidR="000C4737" w:rsidRPr="007D322B" w:rsidRDefault="000C4737" w:rsidP="00B221E2">
      <w:pPr>
        <w:pStyle w:val="NoSpacing"/>
        <w:rPr>
          <w:rFonts w:ascii="Arial" w:hAnsi="Arial" w:cs="Arial"/>
        </w:rPr>
      </w:pPr>
    </w:p>
    <w:p w:rsidR="00B615F9" w:rsidRPr="007D322B" w:rsidRDefault="00B615F9" w:rsidP="00B11EAE">
      <w:pPr>
        <w:pStyle w:val="Heading1"/>
      </w:pPr>
      <w:r w:rsidRPr="007D322B">
        <w:t>PHARMACEUTICAL FORM</w:t>
      </w:r>
    </w:p>
    <w:p w:rsidR="001652C1" w:rsidRPr="007D322B" w:rsidRDefault="001652C1" w:rsidP="001652C1">
      <w:pPr>
        <w:pStyle w:val="NoSpacing"/>
        <w:rPr>
          <w:rFonts w:ascii="Arial" w:eastAsia="Calibri" w:hAnsi="Arial" w:cs="Arial"/>
        </w:rPr>
      </w:pPr>
      <w:r w:rsidRPr="007D322B">
        <w:rPr>
          <w:rFonts w:ascii="Arial" w:eastAsia="Calibri" w:hAnsi="Arial" w:cs="Arial"/>
        </w:rPr>
        <w:t>Concentrate for solution for infusion</w:t>
      </w:r>
    </w:p>
    <w:p w:rsidR="00B615F9" w:rsidRPr="007D322B" w:rsidRDefault="001652C1" w:rsidP="001652C1">
      <w:pPr>
        <w:pStyle w:val="NoSpacing"/>
        <w:rPr>
          <w:rFonts w:ascii="Arial" w:eastAsia="Calibri" w:hAnsi="Arial" w:cs="Arial"/>
        </w:rPr>
      </w:pPr>
      <w:r w:rsidRPr="007D322B">
        <w:rPr>
          <w:rFonts w:ascii="Arial" w:eastAsia="Calibri" w:hAnsi="Arial" w:cs="Arial"/>
        </w:rPr>
        <w:t>Clear, colourless liquid</w:t>
      </w:r>
      <w:r w:rsidR="00B615F9" w:rsidRPr="007D322B">
        <w:rPr>
          <w:rFonts w:ascii="Arial" w:eastAsia="Calibri" w:hAnsi="Arial" w:cs="Arial"/>
        </w:rPr>
        <w:t>.</w:t>
      </w:r>
    </w:p>
    <w:p w:rsidR="00B615F9" w:rsidRPr="007D322B" w:rsidRDefault="00B615F9" w:rsidP="00B11EAE">
      <w:pPr>
        <w:pStyle w:val="Heading1"/>
      </w:pPr>
      <w:r w:rsidRPr="007D322B">
        <w:t>CLINICAL PARTICULARS</w:t>
      </w:r>
    </w:p>
    <w:p w:rsidR="00E75CC8" w:rsidRPr="007D322B" w:rsidRDefault="00E75CC8" w:rsidP="00B221E2">
      <w:pPr>
        <w:pStyle w:val="Heading2"/>
        <w:rPr>
          <w:rFonts w:ascii="Arial" w:hAnsi="Arial" w:cs="Arial"/>
          <w:i w:val="0"/>
          <w:sz w:val="24"/>
          <w:szCs w:val="24"/>
        </w:rPr>
      </w:pPr>
      <w:r w:rsidRPr="007D322B">
        <w:rPr>
          <w:rFonts w:ascii="Arial" w:hAnsi="Arial" w:cs="Arial"/>
          <w:i w:val="0"/>
          <w:sz w:val="24"/>
          <w:szCs w:val="24"/>
        </w:rPr>
        <w:t xml:space="preserve">THERAPEUTIC INDICATIONS </w:t>
      </w:r>
    </w:p>
    <w:p w:rsidR="00B615F9" w:rsidRPr="007D322B" w:rsidRDefault="009537CA" w:rsidP="001652C1">
      <w:pPr>
        <w:pStyle w:val="NoSpacing"/>
        <w:rPr>
          <w:rFonts w:ascii="Arial" w:eastAsia="Calibri" w:hAnsi="Arial" w:cs="Arial"/>
        </w:rPr>
      </w:pPr>
      <w:r w:rsidRPr="009537CA">
        <w:rPr>
          <w:rFonts w:ascii="Arial" w:eastAsia="Calibri" w:hAnsi="Arial" w:cs="Arial"/>
        </w:rPr>
        <w:t>QARZIBA is indicated for the treatment of high-risk neuroblastoma in patients who have previously received induction chemotherapy and achieved at least a partial response</w:t>
      </w:r>
      <w:r w:rsidR="00B615F9" w:rsidRPr="007D322B">
        <w:rPr>
          <w:rFonts w:ascii="Arial" w:eastAsia="Calibri" w:hAnsi="Arial" w:cs="Arial"/>
        </w:rPr>
        <w:t>.</w:t>
      </w:r>
    </w:p>
    <w:p w:rsidR="00B615F9" w:rsidRPr="007D322B" w:rsidRDefault="00B615F9" w:rsidP="00B221E2">
      <w:pPr>
        <w:pStyle w:val="Heading2"/>
        <w:rPr>
          <w:rFonts w:ascii="Arial" w:eastAsia="Calibri" w:hAnsi="Arial" w:cs="Arial"/>
          <w:b w:val="0"/>
          <w:sz w:val="24"/>
          <w:szCs w:val="24"/>
        </w:rPr>
      </w:pPr>
      <w:bookmarkStart w:id="0" w:name="_DOSE_AND_METHOD"/>
      <w:bookmarkEnd w:id="0"/>
      <w:r w:rsidRPr="007D322B">
        <w:rPr>
          <w:rFonts w:ascii="Arial" w:eastAsia="Calibri" w:hAnsi="Arial" w:cs="Arial"/>
          <w:i w:val="0"/>
          <w:sz w:val="24"/>
          <w:szCs w:val="24"/>
        </w:rPr>
        <w:t>DOSE AND METHOD OF ADMINISTRATION</w:t>
      </w:r>
    </w:p>
    <w:p w:rsidR="00B615F9" w:rsidRPr="007D322B" w:rsidRDefault="008C1D88" w:rsidP="00B221E2">
      <w:pPr>
        <w:pStyle w:val="NoSpacing"/>
        <w:rPr>
          <w:rFonts w:ascii="Arial" w:eastAsia="Calibri" w:hAnsi="Arial" w:cs="Arial"/>
          <w:bCs/>
        </w:rPr>
      </w:pPr>
      <w:r w:rsidRPr="007D322B">
        <w:rPr>
          <w:rFonts w:ascii="Arial" w:eastAsia="Calibri" w:hAnsi="Arial" w:cs="Arial"/>
          <w:bCs/>
        </w:rPr>
        <w:t>QARZIBA</w:t>
      </w:r>
      <w:r w:rsidR="001652C1" w:rsidRPr="007D322B">
        <w:rPr>
          <w:rFonts w:ascii="Arial" w:eastAsia="Calibri" w:hAnsi="Arial" w:cs="Arial"/>
          <w:bCs/>
        </w:rPr>
        <w:t xml:space="preserve"> must be administered under the </w:t>
      </w:r>
      <w:r w:rsidR="00B557A8">
        <w:rPr>
          <w:rFonts w:ascii="Arial" w:eastAsia="Calibri" w:hAnsi="Arial" w:cs="Arial"/>
          <w:bCs/>
        </w:rPr>
        <w:t>direction</w:t>
      </w:r>
      <w:r w:rsidR="00B557A8" w:rsidRPr="007D322B">
        <w:rPr>
          <w:rFonts w:ascii="Arial" w:eastAsia="Calibri" w:hAnsi="Arial" w:cs="Arial"/>
          <w:bCs/>
        </w:rPr>
        <w:t xml:space="preserve"> </w:t>
      </w:r>
      <w:r w:rsidR="001652C1" w:rsidRPr="007D322B">
        <w:rPr>
          <w:rFonts w:ascii="Arial" w:eastAsia="Calibri" w:hAnsi="Arial" w:cs="Arial"/>
          <w:bCs/>
        </w:rPr>
        <w:t xml:space="preserve">of a physician experienced in the use of oncological therapies. </w:t>
      </w:r>
      <w:r w:rsidR="00B557A8">
        <w:rPr>
          <w:rFonts w:ascii="Arial" w:eastAsia="Calibri" w:hAnsi="Arial" w:cs="Arial"/>
          <w:bCs/>
        </w:rPr>
        <w:t>The infusion</w:t>
      </w:r>
      <w:r w:rsidR="001652C1" w:rsidRPr="007D322B">
        <w:rPr>
          <w:rFonts w:ascii="Arial" w:eastAsia="Calibri" w:hAnsi="Arial" w:cs="Arial"/>
          <w:bCs/>
        </w:rPr>
        <w:t xml:space="preserve"> must be </w:t>
      </w:r>
      <w:r w:rsidR="00B557A8">
        <w:rPr>
          <w:rFonts w:ascii="Arial" w:eastAsia="Calibri" w:hAnsi="Arial" w:cs="Arial"/>
          <w:bCs/>
        </w:rPr>
        <w:t>initiated</w:t>
      </w:r>
      <w:r w:rsidR="00B557A8" w:rsidRPr="007D322B">
        <w:rPr>
          <w:rFonts w:ascii="Arial" w:eastAsia="Calibri" w:hAnsi="Arial" w:cs="Arial"/>
          <w:bCs/>
        </w:rPr>
        <w:t xml:space="preserve"> </w:t>
      </w:r>
      <w:r w:rsidR="001652C1" w:rsidRPr="007D322B">
        <w:rPr>
          <w:rFonts w:ascii="Arial" w:eastAsia="Calibri" w:hAnsi="Arial" w:cs="Arial"/>
          <w:bCs/>
        </w:rPr>
        <w:t>by a healthcare professional prepared to manage severe allergic reactions including anaphylaxis in an environment where full resuscitation services are immediately available</w:t>
      </w:r>
      <w:r w:rsidR="00B615F9" w:rsidRPr="007D322B">
        <w:rPr>
          <w:rFonts w:ascii="Arial" w:eastAsia="Calibri" w:hAnsi="Arial" w:cs="Arial"/>
          <w:bCs/>
        </w:rPr>
        <w:t>.</w:t>
      </w:r>
    </w:p>
    <w:p w:rsidR="00A34C43" w:rsidRDefault="00A34C43" w:rsidP="00B221E2">
      <w:pPr>
        <w:pStyle w:val="NoSpacing"/>
        <w:rPr>
          <w:rFonts w:ascii="Arial" w:hAnsi="Arial" w:cs="Arial"/>
          <w:b/>
          <w:i/>
        </w:rPr>
      </w:pPr>
    </w:p>
    <w:p w:rsidR="00B615F9" w:rsidRPr="007D322B" w:rsidRDefault="00B615F9" w:rsidP="00A34C43">
      <w:pPr>
        <w:pStyle w:val="NoSpacing"/>
        <w:pageBreakBefore/>
        <w:rPr>
          <w:rFonts w:ascii="Arial" w:hAnsi="Arial" w:cs="Arial"/>
          <w:b/>
          <w:i/>
        </w:rPr>
      </w:pPr>
      <w:r w:rsidRPr="007D322B">
        <w:rPr>
          <w:rFonts w:ascii="Arial" w:hAnsi="Arial" w:cs="Arial"/>
          <w:b/>
          <w:i/>
        </w:rPr>
        <w:lastRenderedPageBreak/>
        <w:t>Dosage</w:t>
      </w:r>
    </w:p>
    <w:p w:rsidR="001652C1" w:rsidRPr="009537CA" w:rsidRDefault="001652C1" w:rsidP="00EE0CCC">
      <w:r w:rsidRPr="007D322B">
        <w:t xml:space="preserve">Treatment with </w:t>
      </w:r>
      <w:r w:rsidR="008C1D88" w:rsidRPr="007D322B">
        <w:t>QARZIBA</w:t>
      </w:r>
      <w:r w:rsidRPr="007D322B">
        <w:t xml:space="preserve"> consists of 5 consecutive courses, each course comprising 35</w:t>
      </w:r>
      <w:r w:rsidR="00EE0CCC">
        <w:t xml:space="preserve"> </w:t>
      </w:r>
      <w:r w:rsidRPr="009537CA">
        <w:t>days.</w:t>
      </w:r>
    </w:p>
    <w:p w:rsidR="009537CA" w:rsidRPr="00EE0CCC" w:rsidRDefault="009537CA" w:rsidP="00EE0CCC">
      <w:pPr>
        <w:pStyle w:val="ListParagraph"/>
        <w:numPr>
          <w:ilvl w:val="0"/>
          <w:numId w:val="14"/>
        </w:numPr>
        <w:rPr>
          <w:rFonts w:ascii="Arial" w:hAnsi="Arial"/>
          <w:sz w:val="24"/>
        </w:rPr>
      </w:pPr>
      <w:r w:rsidRPr="00EE0CCC">
        <w:rPr>
          <w:rFonts w:ascii="Arial" w:hAnsi="Arial"/>
          <w:sz w:val="24"/>
        </w:rPr>
        <w:t>For patients weighing &gt;12 kg, the individual dose is determined based on the body surface area and should be a total of 100 mg/m2 per course.</w:t>
      </w:r>
    </w:p>
    <w:p w:rsidR="009537CA" w:rsidRPr="00EE0CCC" w:rsidRDefault="009537CA" w:rsidP="00EE0CCC">
      <w:pPr>
        <w:pStyle w:val="ListParagraph"/>
        <w:numPr>
          <w:ilvl w:val="0"/>
          <w:numId w:val="14"/>
        </w:numPr>
        <w:rPr>
          <w:rFonts w:ascii="Arial" w:hAnsi="Arial"/>
          <w:sz w:val="24"/>
        </w:rPr>
      </w:pPr>
      <w:r w:rsidRPr="00EE0CCC">
        <w:rPr>
          <w:rFonts w:ascii="Arial" w:hAnsi="Arial"/>
          <w:sz w:val="24"/>
        </w:rPr>
        <w:t>For patients weighing &gt;5 kg and ≤12 kg, the individual dose is determined based on body weight and should be a total of 3.3 mg/kg per course.</w:t>
      </w:r>
    </w:p>
    <w:p w:rsidR="001652C1" w:rsidRPr="009537CA" w:rsidRDefault="001652C1" w:rsidP="001652C1">
      <w:pPr>
        <w:rPr>
          <w:rFonts w:ascii="Arial" w:hAnsi="Arial" w:cs="Arial"/>
        </w:rPr>
      </w:pPr>
    </w:p>
    <w:p w:rsidR="001652C1" w:rsidRPr="009537CA" w:rsidRDefault="001652C1" w:rsidP="00EE0CCC">
      <w:r w:rsidRPr="009537CA">
        <w:t>Two modes of administration are possible:</w:t>
      </w:r>
    </w:p>
    <w:p w:rsidR="001652C1" w:rsidRPr="00EE0CCC" w:rsidRDefault="001652C1" w:rsidP="00EE0CCC">
      <w:pPr>
        <w:pStyle w:val="ListParagraph"/>
        <w:numPr>
          <w:ilvl w:val="0"/>
          <w:numId w:val="15"/>
        </w:numPr>
        <w:rPr>
          <w:rFonts w:ascii="Arial" w:hAnsi="Arial"/>
        </w:rPr>
      </w:pPr>
      <w:r w:rsidRPr="00EE0CCC">
        <w:rPr>
          <w:rFonts w:ascii="Arial" w:hAnsi="Arial"/>
        </w:rPr>
        <w:t>a continuous infusion over the first 10 days of each course (a total of 240 hours) at the daily dose of 10</w:t>
      </w:r>
      <w:r w:rsidR="00EE0CCC">
        <w:rPr>
          <w:rFonts w:ascii="Arial" w:hAnsi="Arial"/>
        </w:rPr>
        <w:t xml:space="preserve"> </w:t>
      </w:r>
      <w:r w:rsidRPr="00EE0CCC">
        <w:rPr>
          <w:rFonts w:ascii="Arial" w:hAnsi="Arial"/>
        </w:rPr>
        <w:t>mg/m2</w:t>
      </w:r>
      <w:r w:rsidR="00B557A8" w:rsidRPr="00EE0CCC">
        <w:rPr>
          <w:rFonts w:ascii="Arial" w:hAnsi="Arial"/>
        </w:rPr>
        <w:t xml:space="preserve"> (for patients weighing &gt;12 kg) or 0.33 mg/kg (for patients weighing &gt;5 kg and ≤12 kg)</w:t>
      </w:r>
    </w:p>
    <w:p w:rsidR="001652C1" w:rsidRPr="00EE0CCC" w:rsidRDefault="001652C1" w:rsidP="00EE0CCC">
      <w:pPr>
        <w:pStyle w:val="ListParagraph"/>
        <w:numPr>
          <w:ilvl w:val="0"/>
          <w:numId w:val="15"/>
        </w:numPr>
        <w:rPr>
          <w:rFonts w:ascii="Arial" w:hAnsi="Arial"/>
          <w:szCs w:val="24"/>
          <w:lang w:val="en-AU"/>
        </w:rPr>
      </w:pPr>
      <w:r w:rsidRPr="00EE0CCC">
        <w:rPr>
          <w:rFonts w:ascii="Arial" w:hAnsi="Arial"/>
          <w:szCs w:val="24"/>
          <w:lang w:val="en-AU"/>
        </w:rPr>
        <w:t>or five daily infusions of 20</w:t>
      </w:r>
      <w:r w:rsidR="00EE0CCC">
        <w:rPr>
          <w:rFonts w:ascii="Arial" w:hAnsi="Arial"/>
          <w:szCs w:val="24"/>
          <w:lang w:val="en-AU"/>
        </w:rPr>
        <w:t xml:space="preserve"> </w:t>
      </w:r>
      <w:r w:rsidRPr="00EE0CCC">
        <w:rPr>
          <w:rFonts w:ascii="Arial" w:hAnsi="Arial"/>
          <w:szCs w:val="24"/>
          <w:lang w:val="en-AU"/>
        </w:rPr>
        <w:t xml:space="preserve">mg/m2 </w:t>
      </w:r>
      <w:r w:rsidR="00B557A8" w:rsidRPr="00EE0CCC">
        <w:rPr>
          <w:rFonts w:ascii="Arial" w:hAnsi="Arial"/>
          <w:szCs w:val="24"/>
          <w:lang w:val="en-AU"/>
        </w:rPr>
        <w:t xml:space="preserve">(for patients weighing &gt;12 kg) or 0.66 mg/kg (for patients weighing &gt;5 kg and ≤12 kg) </w:t>
      </w:r>
      <w:r w:rsidRPr="00EE0CCC">
        <w:rPr>
          <w:rFonts w:ascii="Arial" w:hAnsi="Arial"/>
          <w:szCs w:val="24"/>
          <w:lang w:val="en-AU"/>
        </w:rPr>
        <w:t>administered over 8 hours, on the first 5</w:t>
      </w:r>
      <w:r w:rsidR="00EE0CCC">
        <w:rPr>
          <w:rFonts w:ascii="Arial" w:hAnsi="Arial"/>
          <w:szCs w:val="24"/>
          <w:lang w:val="en-AU"/>
        </w:rPr>
        <w:t xml:space="preserve"> </w:t>
      </w:r>
      <w:r w:rsidRPr="00EE0CCC">
        <w:rPr>
          <w:rFonts w:ascii="Arial" w:hAnsi="Arial"/>
          <w:szCs w:val="24"/>
          <w:lang w:val="en-AU"/>
        </w:rPr>
        <w:t xml:space="preserve">days of each course </w:t>
      </w:r>
    </w:p>
    <w:p w:rsidR="001652C1" w:rsidRPr="007D322B" w:rsidRDefault="001652C1" w:rsidP="001652C1">
      <w:pPr>
        <w:rPr>
          <w:rFonts w:ascii="Arial" w:hAnsi="Arial" w:cs="Arial"/>
        </w:rPr>
      </w:pPr>
    </w:p>
    <w:p w:rsidR="001652C1" w:rsidRPr="007D322B" w:rsidRDefault="001652C1" w:rsidP="00EE0CCC">
      <w:r w:rsidRPr="007D322B">
        <w:t xml:space="preserve">Prior to starting each treatment course, the following clinical parameters should be evaluated and treatment should be delayed until these values are reached: </w:t>
      </w:r>
    </w:p>
    <w:p w:rsidR="001652C1" w:rsidRPr="00EE0CCC" w:rsidRDefault="001652C1" w:rsidP="00EE0CCC">
      <w:pPr>
        <w:pStyle w:val="ListParagraph"/>
        <w:numPr>
          <w:ilvl w:val="0"/>
          <w:numId w:val="17"/>
        </w:numPr>
        <w:rPr>
          <w:sz w:val="24"/>
          <w:szCs w:val="24"/>
        </w:rPr>
      </w:pPr>
      <w:r w:rsidRPr="00EE0CCC">
        <w:rPr>
          <w:sz w:val="24"/>
          <w:szCs w:val="24"/>
        </w:rPr>
        <w:t>pulse oximetry &gt;</w:t>
      </w:r>
      <w:r w:rsidR="00EE0CCC">
        <w:rPr>
          <w:sz w:val="24"/>
          <w:szCs w:val="24"/>
        </w:rPr>
        <w:t xml:space="preserve"> </w:t>
      </w:r>
      <w:r w:rsidRPr="00EE0CCC">
        <w:rPr>
          <w:sz w:val="24"/>
          <w:szCs w:val="24"/>
        </w:rPr>
        <w:t>94% on room air</w:t>
      </w:r>
    </w:p>
    <w:p w:rsidR="001652C1" w:rsidRPr="00EE0CCC" w:rsidRDefault="001652C1" w:rsidP="00EE0CCC">
      <w:pPr>
        <w:pStyle w:val="ListParagraph"/>
        <w:numPr>
          <w:ilvl w:val="0"/>
          <w:numId w:val="17"/>
        </w:numPr>
        <w:rPr>
          <w:sz w:val="24"/>
          <w:szCs w:val="24"/>
        </w:rPr>
      </w:pPr>
      <w:r w:rsidRPr="00EE0CCC">
        <w:rPr>
          <w:sz w:val="24"/>
          <w:szCs w:val="24"/>
        </w:rPr>
        <w:t xml:space="preserve">adequate bone marrow function: absolute neutrophil count </w:t>
      </w:r>
      <w:r w:rsidR="00EE0CCC" w:rsidRPr="00EE0CCC">
        <w:rPr>
          <w:sz w:val="24"/>
          <w:szCs w:val="24"/>
        </w:rPr>
        <w:t>≥</w:t>
      </w:r>
      <w:r w:rsidRPr="00EE0CCC">
        <w:rPr>
          <w:sz w:val="24"/>
          <w:szCs w:val="24"/>
        </w:rPr>
        <w:t xml:space="preserve"> 500/µL, platelet count </w:t>
      </w:r>
      <w:r w:rsidR="00EE0CCC" w:rsidRPr="00EE0CCC">
        <w:rPr>
          <w:sz w:val="24"/>
          <w:szCs w:val="24"/>
        </w:rPr>
        <w:t>≥</w:t>
      </w:r>
      <w:r w:rsidRPr="00EE0CCC">
        <w:rPr>
          <w:sz w:val="24"/>
          <w:szCs w:val="24"/>
        </w:rPr>
        <w:t> 20,000/µL, haemoglobin &gt;</w:t>
      </w:r>
      <w:r w:rsidR="00EE0CCC">
        <w:rPr>
          <w:sz w:val="24"/>
          <w:szCs w:val="24"/>
        </w:rPr>
        <w:t xml:space="preserve"> </w:t>
      </w:r>
      <w:r w:rsidRPr="00EE0CCC">
        <w:rPr>
          <w:sz w:val="24"/>
          <w:szCs w:val="24"/>
        </w:rPr>
        <w:t>8.0</w:t>
      </w:r>
      <w:r w:rsidR="00EE0CCC">
        <w:rPr>
          <w:sz w:val="24"/>
          <w:szCs w:val="24"/>
        </w:rPr>
        <w:t xml:space="preserve"> </w:t>
      </w:r>
      <w:r w:rsidRPr="00EE0CCC">
        <w:rPr>
          <w:sz w:val="24"/>
          <w:szCs w:val="24"/>
        </w:rPr>
        <w:t>g/dL</w:t>
      </w:r>
    </w:p>
    <w:p w:rsidR="001652C1" w:rsidRPr="00EE0CCC" w:rsidRDefault="001652C1" w:rsidP="00EE0CCC">
      <w:pPr>
        <w:pStyle w:val="ListParagraph"/>
        <w:numPr>
          <w:ilvl w:val="0"/>
          <w:numId w:val="17"/>
        </w:numPr>
        <w:rPr>
          <w:sz w:val="24"/>
          <w:szCs w:val="24"/>
        </w:rPr>
      </w:pPr>
      <w:r w:rsidRPr="00EE0CCC">
        <w:rPr>
          <w:sz w:val="24"/>
          <w:szCs w:val="24"/>
        </w:rPr>
        <w:t>adequate</w:t>
      </w:r>
      <w:r w:rsidR="00EE0CCC">
        <w:rPr>
          <w:sz w:val="24"/>
          <w:szCs w:val="24"/>
        </w:rPr>
        <w:t xml:space="preserve"> </w:t>
      </w:r>
      <w:r w:rsidRPr="00EE0CCC">
        <w:rPr>
          <w:sz w:val="24"/>
          <w:szCs w:val="24"/>
        </w:rPr>
        <w:t>liver</w:t>
      </w:r>
      <w:r w:rsidR="00EE0CCC">
        <w:rPr>
          <w:sz w:val="24"/>
          <w:szCs w:val="24"/>
        </w:rPr>
        <w:t xml:space="preserve"> </w:t>
      </w:r>
      <w:r w:rsidRPr="00EE0CCC">
        <w:rPr>
          <w:sz w:val="24"/>
          <w:szCs w:val="24"/>
        </w:rPr>
        <w:t>function:</w:t>
      </w:r>
      <w:r w:rsidR="00EE0CCC">
        <w:rPr>
          <w:sz w:val="24"/>
          <w:szCs w:val="24"/>
        </w:rPr>
        <w:t xml:space="preserve"> </w:t>
      </w:r>
      <w:r w:rsidRPr="00EE0CCC">
        <w:rPr>
          <w:sz w:val="24"/>
          <w:szCs w:val="24"/>
        </w:rPr>
        <w:t>alanine</w:t>
      </w:r>
      <w:r w:rsidR="00EE0CCC">
        <w:rPr>
          <w:sz w:val="24"/>
          <w:szCs w:val="24"/>
        </w:rPr>
        <w:t xml:space="preserve"> </w:t>
      </w:r>
      <w:r w:rsidRPr="00EE0CCC">
        <w:rPr>
          <w:sz w:val="24"/>
          <w:szCs w:val="24"/>
        </w:rPr>
        <w:t>aminotransferase</w:t>
      </w:r>
      <w:r w:rsidR="00EE0CCC">
        <w:rPr>
          <w:sz w:val="24"/>
          <w:szCs w:val="24"/>
        </w:rPr>
        <w:t xml:space="preserve"> </w:t>
      </w:r>
      <w:r w:rsidRPr="00EE0CCC">
        <w:rPr>
          <w:sz w:val="24"/>
          <w:szCs w:val="24"/>
        </w:rPr>
        <w:t>(ALT)/</w:t>
      </w:r>
      <w:r w:rsidR="00EE0CCC">
        <w:rPr>
          <w:sz w:val="24"/>
          <w:szCs w:val="24"/>
        </w:rPr>
        <w:t xml:space="preserve"> </w:t>
      </w:r>
      <w:r w:rsidRPr="00EE0CCC">
        <w:rPr>
          <w:sz w:val="24"/>
          <w:szCs w:val="24"/>
        </w:rPr>
        <w:t>aspartate</w:t>
      </w:r>
      <w:r w:rsidR="00EE0CCC">
        <w:rPr>
          <w:sz w:val="24"/>
          <w:szCs w:val="24"/>
        </w:rPr>
        <w:t xml:space="preserve"> </w:t>
      </w:r>
      <w:r w:rsidRPr="00EE0CCC">
        <w:rPr>
          <w:sz w:val="24"/>
          <w:szCs w:val="24"/>
        </w:rPr>
        <w:t>aminotransferase</w:t>
      </w:r>
      <w:r w:rsidR="00EE0CCC">
        <w:rPr>
          <w:sz w:val="24"/>
          <w:szCs w:val="24"/>
        </w:rPr>
        <w:t xml:space="preserve"> </w:t>
      </w:r>
      <w:r w:rsidRPr="00EE0CCC">
        <w:rPr>
          <w:sz w:val="24"/>
          <w:szCs w:val="24"/>
        </w:rPr>
        <w:t>(AST)</w:t>
      </w:r>
      <w:r w:rsidR="00EE0CCC">
        <w:rPr>
          <w:sz w:val="24"/>
          <w:szCs w:val="24"/>
        </w:rPr>
        <w:t xml:space="preserve"> </w:t>
      </w:r>
      <w:r w:rsidRPr="00EE0CCC">
        <w:rPr>
          <w:sz w:val="24"/>
          <w:szCs w:val="24"/>
        </w:rPr>
        <w:t>&lt;</w:t>
      </w:r>
      <w:r w:rsidR="00EE0CCC">
        <w:rPr>
          <w:sz w:val="24"/>
          <w:szCs w:val="24"/>
        </w:rPr>
        <w:t xml:space="preserve"> </w:t>
      </w:r>
      <w:r w:rsidRPr="00EE0CCC">
        <w:rPr>
          <w:sz w:val="24"/>
          <w:szCs w:val="24"/>
        </w:rPr>
        <w:t>5</w:t>
      </w:r>
      <w:r w:rsidR="00EE0CCC">
        <w:rPr>
          <w:sz w:val="24"/>
          <w:szCs w:val="24"/>
        </w:rPr>
        <w:t xml:space="preserve"> </w:t>
      </w:r>
      <w:r w:rsidRPr="00EE0CCC">
        <w:rPr>
          <w:sz w:val="24"/>
          <w:szCs w:val="24"/>
        </w:rPr>
        <w:t>times</w:t>
      </w:r>
      <w:r w:rsidR="00EE0CCC">
        <w:rPr>
          <w:sz w:val="24"/>
          <w:szCs w:val="24"/>
        </w:rPr>
        <w:t xml:space="preserve"> </w:t>
      </w:r>
      <w:r w:rsidRPr="00EE0CCC">
        <w:rPr>
          <w:sz w:val="24"/>
          <w:szCs w:val="24"/>
        </w:rPr>
        <w:t>upper</w:t>
      </w:r>
      <w:r w:rsidR="00EE0CCC">
        <w:rPr>
          <w:sz w:val="24"/>
          <w:szCs w:val="24"/>
        </w:rPr>
        <w:t xml:space="preserve"> </w:t>
      </w:r>
      <w:r w:rsidRPr="00EE0CCC">
        <w:rPr>
          <w:sz w:val="24"/>
          <w:szCs w:val="24"/>
        </w:rPr>
        <w:t>limit</w:t>
      </w:r>
      <w:r w:rsidR="00EE0CCC">
        <w:rPr>
          <w:sz w:val="24"/>
          <w:szCs w:val="24"/>
        </w:rPr>
        <w:t xml:space="preserve"> </w:t>
      </w:r>
      <w:r w:rsidRPr="00EE0CCC">
        <w:rPr>
          <w:sz w:val="24"/>
          <w:szCs w:val="24"/>
        </w:rPr>
        <w:t>of</w:t>
      </w:r>
      <w:r w:rsidR="00EE0CCC">
        <w:rPr>
          <w:sz w:val="24"/>
          <w:szCs w:val="24"/>
        </w:rPr>
        <w:t xml:space="preserve"> </w:t>
      </w:r>
      <w:r w:rsidRPr="00EE0CCC">
        <w:rPr>
          <w:sz w:val="24"/>
          <w:szCs w:val="24"/>
        </w:rPr>
        <w:t>normal</w:t>
      </w:r>
      <w:r w:rsidR="00EE0CCC">
        <w:rPr>
          <w:sz w:val="24"/>
          <w:szCs w:val="24"/>
        </w:rPr>
        <w:t xml:space="preserve"> </w:t>
      </w:r>
      <w:r w:rsidRPr="00EE0CCC">
        <w:rPr>
          <w:sz w:val="24"/>
          <w:szCs w:val="24"/>
        </w:rPr>
        <w:t>(ULN)</w:t>
      </w:r>
    </w:p>
    <w:p w:rsidR="001652C1" w:rsidRPr="00EE0CCC" w:rsidRDefault="001652C1" w:rsidP="00EE0CCC">
      <w:pPr>
        <w:pStyle w:val="ListParagraph"/>
        <w:numPr>
          <w:ilvl w:val="0"/>
          <w:numId w:val="17"/>
        </w:numPr>
        <w:rPr>
          <w:sz w:val="24"/>
          <w:szCs w:val="24"/>
        </w:rPr>
      </w:pPr>
      <w:r w:rsidRPr="00EE0CCC">
        <w:rPr>
          <w:sz w:val="24"/>
          <w:szCs w:val="24"/>
        </w:rPr>
        <w:t>adequate</w:t>
      </w:r>
      <w:r w:rsidR="00EE0CCC">
        <w:rPr>
          <w:sz w:val="24"/>
          <w:szCs w:val="24"/>
        </w:rPr>
        <w:t xml:space="preserve"> </w:t>
      </w:r>
      <w:r w:rsidRPr="00EE0CCC">
        <w:rPr>
          <w:sz w:val="24"/>
          <w:szCs w:val="24"/>
        </w:rPr>
        <w:t>renal</w:t>
      </w:r>
      <w:r w:rsidR="00EE0CCC">
        <w:rPr>
          <w:sz w:val="24"/>
          <w:szCs w:val="24"/>
        </w:rPr>
        <w:t xml:space="preserve"> </w:t>
      </w:r>
      <w:r w:rsidRPr="00EE0CCC">
        <w:rPr>
          <w:sz w:val="24"/>
          <w:szCs w:val="24"/>
        </w:rPr>
        <w:t>function:</w:t>
      </w:r>
      <w:r w:rsidR="00EE0CCC">
        <w:rPr>
          <w:sz w:val="24"/>
          <w:szCs w:val="24"/>
        </w:rPr>
        <w:t xml:space="preserve"> </w:t>
      </w:r>
      <w:r w:rsidRPr="00EE0CCC">
        <w:rPr>
          <w:sz w:val="24"/>
          <w:szCs w:val="24"/>
        </w:rPr>
        <w:t>creatinine</w:t>
      </w:r>
      <w:r w:rsidR="00EE0CCC">
        <w:rPr>
          <w:sz w:val="24"/>
          <w:szCs w:val="24"/>
        </w:rPr>
        <w:t xml:space="preserve"> </w:t>
      </w:r>
      <w:r w:rsidRPr="00EE0CCC">
        <w:rPr>
          <w:sz w:val="24"/>
          <w:szCs w:val="24"/>
        </w:rPr>
        <w:t>clearance</w:t>
      </w:r>
      <w:r w:rsidR="00EE0CCC">
        <w:rPr>
          <w:sz w:val="24"/>
          <w:szCs w:val="24"/>
        </w:rPr>
        <w:t xml:space="preserve"> </w:t>
      </w:r>
      <w:r w:rsidRPr="00EE0CCC">
        <w:rPr>
          <w:sz w:val="24"/>
          <w:szCs w:val="24"/>
        </w:rPr>
        <w:t>or</w:t>
      </w:r>
      <w:r w:rsidR="00EE0CCC">
        <w:rPr>
          <w:sz w:val="24"/>
          <w:szCs w:val="24"/>
        </w:rPr>
        <w:t xml:space="preserve"> </w:t>
      </w:r>
      <w:r w:rsidRPr="00EE0CCC">
        <w:rPr>
          <w:sz w:val="24"/>
          <w:szCs w:val="24"/>
        </w:rPr>
        <w:t>glomerular</w:t>
      </w:r>
      <w:r w:rsidR="00EE0CCC">
        <w:rPr>
          <w:sz w:val="24"/>
          <w:szCs w:val="24"/>
        </w:rPr>
        <w:t xml:space="preserve"> </w:t>
      </w:r>
      <w:r w:rsidRPr="00EE0CCC">
        <w:rPr>
          <w:sz w:val="24"/>
          <w:szCs w:val="24"/>
        </w:rPr>
        <w:t>filtration</w:t>
      </w:r>
      <w:r w:rsidR="00EE0CCC">
        <w:rPr>
          <w:sz w:val="24"/>
          <w:szCs w:val="24"/>
        </w:rPr>
        <w:t xml:space="preserve"> </w:t>
      </w:r>
      <w:r w:rsidRPr="00EE0CCC">
        <w:rPr>
          <w:sz w:val="24"/>
          <w:szCs w:val="24"/>
        </w:rPr>
        <w:t>rate</w:t>
      </w:r>
      <w:r w:rsidR="00EE0CCC">
        <w:rPr>
          <w:sz w:val="24"/>
          <w:szCs w:val="24"/>
        </w:rPr>
        <w:t xml:space="preserve"> </w:t>
      </w:r>
      <w:r w:rsidRPr="00EE0CCC">
        <w:rPr>
          <w:sz w:val="24"/>
          <w:szCs w:val="24"/>
        </w:rPr>
        <w:t>(GRF)</w:t>
      </w:r>
      <w:r w:rsidR="00EE0CCC">
        <w:rPr>
          <w:sz w:val="24"/>
          <w:szCs w:val="24"/>
        </w:rPr>
        <w:t xml:space="preserve"> </w:t>
      </w:r>
      <w:r w:rsidRPr="00EE0CCC">
        <w:rPr>
          <w:sz w:val="24"/>
          <w:szCs w:val="24"/>
        </w:rPr>
        <w:t>&gt;</w:t>
      </w:r>
      <w:r w:rsidR="00EE0CCC">
        <w:rPr>
          <w:sz w:val="24"/>
          <w:szCs w:val="24"/>
        </w:rPr>
        <w:t xml:space="preserve"> </w:t>
      </w:r>
      <w:r w:rsidRPr="00EE0CCC">
        <w:rPr>
          <w:sz w:val="24"/>
          <w:szCs w:val="24"/>
        </w:rPr>
        <w:t>60</w:t>
      </w:r>
      <w:r w:rsidR="00EE0CCC">
        <w:rPr>
          <w:sz w:val="24"/>
          <w:szCs w:val="24"/>
        </w:rPr>
        <w:t xml:space="preserve"> </w:t>
      </w:r>
      <w:r w:rsidRPr="00EE0CCC">
        <w:rPr>
          <w:sz w:val="24"/>
          <w:szCs w:val="24"/>
        </w:rPr>
        <w:t>mL/min/1.73</w:t>
      </w:r>
      <w:r w:rsidR="00EE0CCC">
        <w:rPr>
          <w:sz w:val="24"/>
          <w:szCs w:val="24"/>
        </w:rPr>
        <w:t xml:space="preserve"> </w:t>
      </w:r>
      <w:r w:rsidRPr="00EE0CCC">
        <w:rPr>
          <w:sz w:val="24"/>
          <w:szCs w:val="24"/>
        </w:rPr>
        <w:t>m</w:t>
      </w:r>
      <w:r w:rsidRPr="00EE0CCC">
        <w:rPr>
          <w:sz w:val="24"/>
          <w:szCs w:val="24"/>
          <w:vertAlign w:val="superscript"/>
        </w:rPr>
        <w:t>2</w:t>
      </w:r>
    </w:p>
    <w:p w:rsidR="001652C1" w:rsidRPr="007D322B" w:rsidRDefault="001652C1" w:rsidP="001652C1">
      <w:pPr>
        <w:rPr>
          <w:rFonts w:ascii="Arial" w:hAnsi="Arial" w:cs="Arial"/>
          <w:u w:val="single"/>
        </w:rPr>
      </w:pPr>
    </w:p>
    <w:p w:rsidR="008C1D88" w:rsidRPr="007D322B" w:rsidRDefault="008C1D88" w:rsidP="008C1D88">
      <w:pPr>
        <w:pStyle w:val="NoSpacing"/>
        <w:rPr>
          <w:rFonts w:ascii="Arial" w:hAnsi="Arial" w:cs="Arial"/>
          <w:b/>
          <w:i/>
        </w:rPr>
      </w:pPr>
      <w:r w:rsidRPr="007D322B">
        <w:rPr>
          <w:rFonts w:ascii="Arial" w:hAnsi="Arial" w:cs="Arial"/>
          <w:b/>
          <w:i/>
        </w:rPr>
        <w:t>Method</w:t>
      </w:r>
      <w:r w:rsidR="00EE0CCC">
        <w:rPr>
          <w:rFonts w:ascii="Arial" w:hAnsi="Arial" w:cs="Arial"/>
          <w:b/>
          <w:i/>
        </w:rPr>
        <w:t xml:space="preserve"> </w:t>
      </w:r>
      <w:r w:rsidRPr="007D322B">
        <w:rPr>
          <w:rFonts w:ascii="Arial" w:hAnsi="Arial" w:cs="Arial"/>
          <w:b/>
          <w:i/>
        </w:rPr>
        <w:t>of</w:t>
      </w:r>
      <w:r w:rsidR="00EE0CCC">
        <w:rPr>
          <w:rFonts w:ascii="Arial" w:hAnsi="Arial" w:cs="Arial"/>
          <w:b/>
          <w:i/>
        </w:rPr>
        <w:t xml:space="preserve"> </w:t>
      </w:r>
      <w:r w:rsidRPr="007D322B">
        <w:rPr>
          <w:rFonts w:ascii="Arial" w:hAnsi="Arial" w:cs="Arial"/>
          <w:b/>
          <w:i/>
        </w:rPr>
        <w:t>Administration</w:t>
      </w:r>
    </w:p>
    <w:p w:rsidR="008C1D88" w:rsidRPr="007D322B" w:rsidRDefault="008C1D88" w:rsidP="008C1D88">
      <w:pPr>
        <w:pStyle w:val="NoSpacing"/>
        <w:rPr>
          <w:rFonts w:ascii="Arial" w:hAnsi="Arial" w:cs="Arial"/>
        </w:rPr>
      </w:pPr>
      <w:r w:rsidRPr="007D322B">
        <w:rPr>
          <w:rFonts w:ascii="Arial" w:hAnsi="Arial" w:cs="Arial"/>
        </w:rPr>
        <w:t>QARZIBA</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intravenous</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administered</w:t>
      </w:r>
      <w:r w:rsidR="00EE0CCC">
        <w:rPr>
          <w:rFonts w:ascii="Arial" w:hAnsi="Arial" w:cs="Arial"/>
        </w:rPr>
        <w:t xml:space="preserve"> </w:t>
      </w:r>
      <w:r w:rsidRPr="007D322B">
        <w:rPr>
          <w:rFonts w:ascii="Arial" w:hAnsi="Arial" w:cs="Arial"/>
        </w:rPr>
        <w:t>via</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peripheral</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central</w:t>
      </w:r>
      <w:r w:rsidR="00EE0CCC">
        <w:rPr>
          <w:rFonts w:ascii="Arial" w:hAnsi="Arial" w:cs="Arial"/>
        </w:rPr>
        <w:t xml:space="preserve"> </w:t>
      </w:r>
      <w:r w:rsidRPr="007D322B">
        <w:rPr>
          <w:rFonts w:ascii="Arial" w:hAnsi="Arial" w:cs="Arial"/>
        </w:rPr>
        <w:t>intravenous</w:t>
      </w:r>
      <w:r w:rsidR="00EE0CCC">
        <w:rPr>
          <w:rFonts w:ascii="Arial" w:hAnsi="Arial" w:cs="Arial"/>
        </w:rPr>
        <w:t xml:space="preserve"> </w:t>
      </w:r>
      <w:r w:rsidRPr="007D322B">
        <w:rPr>
          <w:rFonts w:ascii="Arial" w:hAnsi="Arial" w:cs="Arial"/>
        </w:rPr>
        <w:t>line.</w:t>
      </w:r>
      <w:r w:rsidR="00EE0CCC">
        <w:rPr>
          <w:rFonts w:ascii="Arial" w:hAnsi="Arial" w:cs="Arial"/>
        </w:rPr>
        <w:t xml:space="preserve"> </w:t>
      </w:r>
      <w:r w:rsidRPr="007D322B">
        <w:rPr>
          <w:rFonts w:ascii="Arial" w:hAnsi="Arial" w:cs="Arial"/>
        </w:rPr>
        <w:t>Other</w:t>
      </w:r>
      <w:r w:rsidR="00EE0CCC">
        <w:rPr>
          <w:rFonts w:ascii="Arial" w:hAnsi="Arial" w:cs="Arial"/>
        </w:rPr>
        <w:t xml:space="preserve"> </w:t>
      </w:r>
      <w:r w:rsidRPr="007D322B">
        <w:rPr>
          <w:rFonts w:ascii="Arial" w:hAnsi="Arial" w:cs="Arial"/>
        </w:rPr>
        <w:t>intravenously</w:t>
      </w:r>
      <w:r w:rsidR="00EE0CCC">
        <w:rPr>
          <w:rFonts w:ascii="Arial" w:hAnsi="Arial" w:cs="Arial"/>
        </w:rPr>
        <w:t xml:space="preserve"> </w:t>
      </w:r>
      <w:r w:rsidRPr="007D322B">
        <w:rPr>
          <w:rFonts w:ascii="Arial" w:hAnsi="Arial" w:cs="Arial"/>
        </w:rPr>
        <w:t>co-administered</w:t>
      </w:r>
      <w:r w:rsidR="00EE0CCC">
        <w:rPr>
          <w:rFonts w:ascii="Arial" w:hAnsi="Arial" w:cs="Arial"/>
        </w:rPr>
        <w:t xml:space="preserve"> </w:t>
      </w:r>
      <w:r w:rsidRPr="007D322B">
        <w:rPr>
          <w:rFonts w:ascii="Arial" w:hAnsi="Arial" w:cs="Arial"/>
        </w:rPr>
        <w:t>agents</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delivered</w:t>
      </w:r>
      <w:r w:rsidR="00EE0CCC">
        <w:rPr>
          <w:rFonts w:ascii="Arial" w:hAnsi="Arial" w:cs="Arial"/>
        </w:rPr>
        <w:t xml:space="preserve"> </w:t>
      </w:r>
      <w:r w:rsidRPr="007D322B">
        <w:rPr>
          <w:rFonts w:ascii="Arial" w:hAnsi="Arial" w:cs="Arial"/>
        </w:rPr>
        <w:t>via</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separate</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line</w:t>
      </w:r>
      <w:r w:rsidR="00EE0CCC">
        <w:rPr>
          <w:rFonts w:ascii="Arial" w:hAnsi="Arial" w:cs="Arial"/>
        </w:rPr>
        <w:t xml:space="preserve"> </w:t>
      </w:r>
      <w:r w:rsidRPr="007D322B">
        <w:rPr>
          <w:rFonts w:ascii="Arial" w:hAnsi="Arial" w:cs="Arial"/>
        </w:rPr>
        <w:t>(see</w:t>
      </w:r>
      <w:r w:rsidR="00EE0CCC">
        <w:rPr>
          <w:rFonts w:ascii="Arial" w:hAnsi="Arial" w:cs="Arial"/>
        </w:rPr>
        <w:t xml:space="preserve"> </w:t>
      </w:r>
      <w:r w:rsidRPr="007D322B">
        <w:rPr>
          <w:rFonts w:ascii="Arial" w:hAnsi="Arial" w:cs="Arial"/>
        </w:rPr>
        <w:t>section</w:t>
      </w:r>
      <w:r w:rsidR="00EE0CCC">
        <w:rPr>
          <w:rFonts w:ascii="Arial" w:hAnsi="Arial" w:cs="Arial"/>
        </w:rPr>
        <w:t xml:space="preserve"> </w:t>
      </w:r>
      <w:hyperlink w:anchor="_SPECIAL_PRECAUTIONS_FOR" w:history="1">
        <w:r w:rsidRPr="007D322B">
          <w:rPr>
            <w:rStyle w:val="Hyperlink"/>
            <w:rFonts w:ascii="Arial" w:hAnsi="Arial" w:cs="Arial"/>
          </w:rPr>
          <w:t>6.6</w:t>
        </w:r>
        <w:r w:rsidR="00EE0CCC">
          <w:rPr>
            <w:rStyle w:val="Hyperlink"/>
            <w:rFonts w:ascii="Arial" w:hAnsi="Arial" w:cs="Arial"/>
          </w:rPr>
          <w:t xml:space="preserve"> </w:t>
        </w:r>
        <w:r w:rsidRPr="007D322B">
          <w:rPr>
            <w:rStyle w:val="Hyperlink"/>
            <w:rFonts w:ascii="Arial" w:hAnsi="Arial" w:cs="Arial"/>
          </w:rPr>
          <w:t>SPECIAL</w:t>
        </w:r>
        <w:r w:rsidR="00EE0CCC">
          <w:rPr>
            <w:rStyle w:val="Hyperlink"/>
            <w:rFonts w:ascii="Arial" w:hAnsi="Arial" w:cs="Arial"/>
          </w:rPr>
          <w:t xml:space="preserve"> </w:t>
        </w:r>
        <w:r w:rsidRPr="007D322B">
          <w:rPr>
            <w:rStyle w:val="Hyperlink"/>
            <w:rFonts w:ascii="Arial" w:hAnsi="Arial" w:cs="Arial"/>
          </w:rPr>
          <w:t>PRECAUTIONS</w:t>
        </w:r>
        <w:r w:rsidR="00EE0CCC">
          <w:rPr>
            <w:rStyle w:val="Hyperlink"/>
            <w:rFonts w:ascii="Arial" w:hAnsi="Arial" w:cs="Arial"/>
          </w:rPr>
          <w:t xml:space="preserve"> </w:t>
        </w:r>
        <w:r w:rsidRPr="007D322B">
          <w:rPr>
            <w:rStyle w:val="Hyperlink"/>
            <w:rFonts w:ascii="Arial" w:hAnsi="Arial" w:cs="Arial"/>
          </w:rPr>
          <w:t>FOR</w:t>
        </w:r>
        <w:r w:rsidR="00EE0CCC">
          <w:rPr>
            <w:rStyle w:val="Hyperlink"/>
            <w:rFonts w:ascii="Arial" w:hAnsi="Arial" w:cs="Arial"/>
          </w:rPr>
          <w:t xml:space="preserve"> </w:t>
        </w:r>
        <w:r w:rsidRPr="007D322B">
          <w:rPr>
            <w:rStyle w:val="Hyperlink"/>
            <w:rFonts w:ascii="Arial" w:hAnsi="Arial" w:cs="Arial"/>
          </w:rPr>
          <w:t>DISPOSAL</w:t>
        </w:r>
      </w:hyperlink>
      <w:r w:rsidRPr="007D322B">
        <w:rPr>
          <w:rFonts w:ascii="Arial" w:hAnsi="Arial" w:cs="Arial"/>
        </w:rPr>
        <w:t>).</w:t>
      </w:r>
    </w:p>
    <w:p w:rsidR="008C1D88" w:rsidRPr="007D322B" w:rsidRDefault="008C1D88" w:rsidP="008C1D88">
      <w:pPr>
        <w:pStyle w:val="NoSpacing"/>
        <w:rPr>
          <w:rFonts w:ascii="Arial" w:hAnsi="Arial" w:cs="Arial"/>
        </w:rPr>
      </w:pPr>
    </w:p>
    <w:p w:rsidR="008C1D88" w:rsidRPr="007D322B" w:rsidRDefault="008C1D88" w:rsidP="008C1D88">
      <w:pPr>
        <w:pStyle w:val="NoSpacing"/>
        <w:rPr>
          <w:rFonts w:ascii="Arial" w:hAnsi="Arial" w:cs="Arial"/>
        </w:rPr>
      </w:pPr>
      <w:r w:rsidRPr="007D322B">
        <w:rPr>
          <w:rFonts w:ascii="Arial" w:hAnsi="Arial" w:cs="Arial"/>
        </w:rPr>
        <w:t>For</w:t>
      </w:r>
      <w:r w:rsidR="00EE0CCC">
        <w:rPr>
          <w:rFonts w:ascii="Arial" w:hAnsi="Arial" w:cs="Arial"/>
        </w:rPr>
        <w:t xml:space="preserve"> </w:t>
      </w:r>
      <w:r w:rsidRPr="007D322B">
        <w:rPr>
          <w:rFonts w:ascii="Arial" w:hAnsi="Arial" w:cs="Arial"/>
        </w:rPr>
        <w:t>continuous</w:t>
      </w:r>
      <w:r w:rsidR="00EE0CCC">
        <w:rPr>
          <w:rFonts w:ascii="Arial" w:hAnsi="Arial" w:cs="Arial"/>
        </w:rPr>
        <w:t xml:space="preserve"> </w:t>
      </w:r>
      <w:r w:rsidRPr="007D322B">
        <w:rPr>
          <w:rFonts w:ascii="Arial" w:hAnsi="Arial" w:cs="Arial"/>
        </w:rPr>
        <w:t>infusions,</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administered</w:t>
      </w:r>
      <w:r w:rsidR="00EE0CCC">
        <w:rPr>
          <w:rFonts w:ascii="Arial" w:hAnsi="Arial" w:cs="Arial"/>
        </w:rPr>
        <w:t xml:space="preserve"> </w:t>
      </w:r>
      <w:r w:rsidRPr="007D322B">
        <w:rPr>
          <w:rFonts w:ascii="Arial" w:hAnsi="Arial" w:cs="Arial"/>
        </w:rPr>
        <w:t>at</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rate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2</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per</w:t>
      </w:r>
      <w:r w:rsidR="00EE0CCC">
        <w:rPr>
          <w:rFonts w:ascii="Arial" w:hAnsi="Arial" w:cs="Arial"/>
        </w:rPr>
        <w:t xml:space="preserve"> </w:t>
      </w:r>
      <w:r w:rsidRPr="007D322B">
        <w:rPr>
          <w:rFonts w:ascii="Arial" w:hAnsi="Arial" w:cs="Arial"/>
        </w:rPr>
        <w:t>hour</w:t>
      </w:r>
      <w:r w:rsidR="00EE0CCC">
        <w:rPr>
          <w:rFonts w:ascii="Arial" w:hAnsi="Arial" w:cs="Arial"/>
        </w:rPr>
        <w:t xml:space="preserve"> </w:t>
      </w:r>
      <w:r w:rsidRPr="007D322B">
        <w:rPr>
          <w:rFonts w:ascii="Arial" w:hAnsi="Arial" w:cs="Arial"/>
        </w:rPr>
        <w:t>(48</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per</w:t>
      </w:r>
      <w:r w:rsidR="00EE0CCC">
        <w:rPr>
          <w:rFonts w:ascii="Arial" w:hAnsi="Arial" w:cs="Arial"/>
        </w:rPr>
        <w:t xml:space="preserve"> </w:t>
      </w:r>
      <w:r w:rsidRPr="007D322B">
        <w:rPr>
          <w:rFonts w:ascii="Arial" w:hAnsi="Arial" w:cs="Arial"/>
        </w:rPr>
        <w:t>day)</w:t>
      </w:r>
      <w:r w:rsidR="00EE0CCC">
        <w:rPr>
          <w:rFonts w:ascii="Arial" w:hAnsi="Arial" w:cs="Arial"/>
        </w:rPr>
        <w:t xml:space="preserve"> </w:t>
      </w:r>
      <w:r w:rsidRPr="007D322B">
        <w:rPr>
          <w:rFonts w:ascii="Arial" w:hAnsi="Arial" w:cs="Arial"/>
        </w:rPr>
        <w:t>using</w:t>
      </w:r>
      <w:r w:rsidR="00EE0CCC">
        <w:rPr>
          <w:rFonts w:ascii="Arial" w:hAnsi="Arial" w:cs="Arial"/>
        </w:rPr>
        <w:t xml:space="preserve"> </w:t>
      </w:r>
      <w:r w:rsidRPr="007D322B">
        <w:rPr>
          <w:rFonts w:ascii="Arial" w:hAnsi="Arial" w:cs="Arial"/>
        </w:rPr>
        <w:t>an</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pump.</w:t>
      </w:r>
    </w:p>
    <w:p w:rsidR="008C1D88" w:rsidRPr="007D322B" w:rsidRDefault="008C1D88" w:rsidP="008C1D88">
      <w:pPr>
        <w:pStyle w:val="NoSpacing"/>
        <w:rPr>
          <w:rFonts w:ascii="Arial" w:hAnsi="Arial" w:cs="Arial"/>
        </w:rPr>
      </w:pPr>
    </w:p>
    <w:p w:rsidR="008C1D88" w:rsidRPr="007D322B" w:rsidRDefault="008C1D88" w:rsidP="008C1D88">
      <w:pPr>
        <w:pStyle w:val="NoSpacing"/>
        <w:rPr>
          <w:rFonts w:ascii="Arial" w:hAnsi="Arial" w:cs="Arial"/>
        </w:rPr>
      </w:pPr>
      <w:r w:rsidRPr="007D322B">
        <w:rPr>
          <w:rFonts w:ascii="Arial" w:hAnsi="Arial" w:cs="Arial"/>
        </w:rPr>
        <w:t>For</w:t>
      </w:r>
      <w:r w:rsidR="00EE0CCC">
        <w:rPr>
          <w:rFonts w:ascii="Arial" w:hAnsi="Arial" w:cs="Arial"/>
        </w:rPr>
        <w:t xml:space="preserve"> </w:t>
      </w:r>
      <w:r w:rsidRPr="007D322B">
        <w:rPr>
          <w:rFonts w:ascii="Arial" w:hAnsi="Arial" w:cs="Arial"/>
        </w:rPr>
        <w:t>8</w:t>
      </w:r>
      <w:r w:rsidR="00EE0CCC">
        <w:rPr>
          <w:rFonts w:ascii="Arial" w:hAnsi="Arial" w:cs="Arial"/>
        </w:rPr>
        <w:t xml:space="preserve"> </w:t>
      </w:r>
      <w:r w:rsidRPr="007D322B">
        <w:rPr>
          <w:rFonts w:ascii="Arial" w:hAnsi="Arial" w:cs="Arial"/>
        </w:rPr>
        <w:t>hour</w:t>
      </w:r>
      <w:r w:rsidR="00EE0CCC">
        <w:rPr>
          <w:rFonts w:ascii="Arial" w:hAnsi="Arial" w:cs="Arial"/>
        </w:rPr>
        <w:t xml:space="preserve"> </w:t>
      </w:r>
      <w:r w:rsidRPr="007D322B">
        <w:rPr>
          <w:rFonts w:ascii="Arial" w:hAnsi="Arial" w:cs="Arial"/>
        </w:rPr>
        <w:t>daily</w:t>
      </w:r>
      <w:r w:rsidR="00EE0CCC">
        <w:rPr>
          <w:rFonts w:ascii="Arial" w:hAnsi="Arial" w:cs="Arial"/>
        </w:rPr>
        <w:t xml:space="preserve"> </w:t>
      </w:r>
      <w:r w:rsidRPr="007D322B">
        <w:rPr>
          <w:rFonts w:ascii="Arial" w:hAnsi="Arial" w:cs="Arial"/>
        </w:rPr>
        <w:t>infusions,</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administered</w:t>
      </w:r>
      <w:r w:rsidR="00EE0CCC">
        <w:rPr>
          <w:rFonts w:ascii="Arial" w:hAnsi="Arial" w:cs="Arial"/>
        </w:rPr>
        <w:t xml:space="preserve"> </w:t>
      </w:r>
      <w:r w:rsidRPr="007D322B">
        <w:rPr>
          <w:rFonts w:ascii="Arial" w:hAnsi="Arial" w:cs="Arial"/>
        </w:rPr>
        <w:t>at</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rate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approximately</w:t>
      </w:r>
      <w:r w:rsidR="00EE0CCC">
        <w:rPr>
          <w:rFonts w:ascii="Arial" w:hAnsi="Arial" w:cs="Arial"/>
        </w:rPr>
        <w:t xml:space="preserve"> </w:t>
      </w:r>
      <w:r w:rsidRPr="007D322B">
        <w:rPr>
          <w:rFonts w:ascii="Arial" w:hAnsi="Arial" w:cs="Arial"/>
        </w:rPr>
        <w:t>13</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per</w:t>
      </w:r>
      <w:r w:rsidR="00EE0CCC">
        <w:rPr>
          <w:rFonts w:ascii="Arial" w:hAnsi="Arial" w:cs="Arial"/>
        </w:rPr>
        <w:t xml:space="preserve"> </w:t>
      </w:r>
      <w:r w:rsidRPr="007D322B">
        <w:rPr>
          <w:rFonts w:ascii="Arial" w:hAnsi="Arial" w:cs="Arial"/>
        </w:rPr>
        <w:t>hour.</w:t>
      </w:r>
      <w:r w:rsidR="00EE0CCC">
        <w:rPr>
          <w:rFonts w:ascii="Arial" w:hAnsi="Arial" w:cs="Arial"/>
        </w:rPr>
        <w:t xml:space="preserve"> </w:t>
      </w:r>
    </w:p>
    <w:p w:rsidR="008C1D88" w:rsidRPr="007D322B" w:rsidRDefault="008C1D88" w:rsidP="008C1D88">
      <w:pPr>
        <w:pStyle w:val="NoSpacing"/>
        <w:rPr>
          <w:rFonts w:ascii="Arial" w:hAnsi="Arial" w:cs="Arial"/>
        </w:rPr>
      </w:pPr>
    </w:p>
    <w:p w:rsidR="008C1D88" w:rsidRPr="007D322B" w:rsidRDefault="008C1D88" w:rsidP="008C1D88">
      <w:pPr>
        <w:pStyle w:val="NoSpacing"/>
        <w:rPr>
          <w:rFonts w:ascii="Arial" w:hAnsi="Arial" w:cs="Arial"/>
        </w:rPr>
      </w:pPr>
      <w:r w:rsidRPr="007D322B">
        <w:rPr>
          <w:rFonts w:ascii="Arial" w:hAnsi="Arial" w:cs="Arial"/>
        </w:rPr>
        <w:t>Pre-medication</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always</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considered</w:t>
      </w:r>
      <w:r w:rsidR="00EE0CCC">
        <w:rPr>
          <w:rFonts w:ascii="Arial" w:hAnsi="Arial" w:cs="Arial"/>
        </w:rPr>
        <w:t xml:space="preserve"> </w:t>
      </w:r>
      <w:r w:rsidRPr="007D322B">
        <w:rPr>
          <w:rFonts w:ascii="Arial" w:hAnsi="Arial" w:cs="Arial"/>
        </w:rPr>
        <w:t>before</w:t>
      </w:r>
      <w:r w:rsidR="00EE0CCC">
        <w:rPr>
          <w:rFonts w:ascii="Arial" w:hAnsi="Arial" w:cs="Arial"/>
        </w:rPr>
        <w:t xml:space="preserve"> </w:t>
      </w:r>
      <w:r w:rsidRPr="007D322B">
        <w:rPr>
          <w:rFonts w:ascii="Arial" w:hAnsi="Arial" w:cs="Arial"/>
        </w:rPr>
        <w:t>starting</w:t>
      </w:r>
      <w:r w:rsidR="00EE0CCC">
        <w:rPr>
          <w:rFonts w:ascii="Arial" w:hAnsi="Arial" w:cs="Arial"/>
        </w:rPr>
        <w:t xml:space="preserve"> </w:t>
      </w:r>
      <w:r w:rsidRPr="007D322B">
        <w:rPr>
          <w:rFonts w:ascii="Arial" w:hAnsi="Arial" w:cs="Arial"/>
        </w:rPr>
        <w:t>each</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(see</w:t>
      </w:r>
      <w:r w:rsidR="00EE0CCC">
        <w:rPr>
          <w:rFonts w:ascii="Arial" w:hAnsi="Arial" w:cs="Arial"/>
        </w:rPr>
        <w:t xml:space="preserve"> </w:t>
      </w:r>
      <w:r w:rsidRPr="007D322B">
        <w:rPr>
          <w:rFonts w:ascii="Arial" w:hAnsi="Arial" w:cs="Arial"/>
        </w:rPr>
        <w:t>section</w:t>
      </w:r>
      <w:r w:rsidR="00EE0CCC">
        <w:rPr>
          <w:rFonts w:ascii="Arial" w:hAnsi="Arial" w:cs="Arial"/>
        </w:rPr>
        <w:t xml:space="preserve"> </w:t>
      </w:r>
      <w:hyperlink w:anchor="_special_warnings_and" w:history="1">
        <w:r w:rsidRPr="007D322B">
          <w:rPr>
            <w:rStyle w:val="Hyperlink"/>
            <w:rFonts w:ascii="Arial" w:hAnsi="Arial" w:cs="Arial"/>
            <w:sz w:val="22"/>
            <w:szCs w:val="22"/>
          </w:rPr>
          <w:t>4.4</w:t>
        </w:r>
        <w:r w:rsidR="00EE0CCC">
          <w:rPr>
            <w:rStyle w:val="Hyperlink"/>
            <w:rFonts w:ascii="Arial" w:hAnsi="Arial" w:cs="Arial"/>
            <w:sz w:val="22"/>
            <w:szCs w:val="22"/>
          </w:rPr>
          <w:t xml:space="preserve"> </w:t>
        </w:r>
        <w:r w:rsidRPr="007D322B">
          <w:rPr>
            <w:rStyle w:val="Hyperlink"/>
            <w:rFonts w:ascii="Arial" w:hAnsi="Arial" w:cs="Arial"/>
            <w:sz w:val="22"/>
            <w:szCs w:val="22"/>
          </w:rPr>
          <w:t>SPECIAL</w:t>
        </w:r>
        <w:r w:rsidR="00EE0CCC">
          <w:rPr>
            <w:rStyle w:val="Hyperlink"/>
            <w:rFonts w:ascii="Arial" w:hAnsi="Arial" w:cs="Arial"/>
            <w:sz w:val="22"/>
            <w:szCs w:val="22"/>
          </w:rPr>
          <w:t xml:space="preserve"> </w:t>
        </w:r>
        <w:r w:rsidRPr="007D322B">
          <w:rPr>
            <w:rStyle w:val="Hyperlink"/>
            <w:rFonts w:ascii="Arial" w:hAnsi="Arial" w:cs="Arial"/>
            <w:sz w:val="22"/>
            <w:szCs w:val="22"/>
          </w:rPr>
          <w:t>WARNINGS</w:t>
        </w:r>
        <w:r w:rsidR="00EE0CCC">
          <w:rPr>
            <w:rStyle w:val="Hyperlink"/>
            <w:rFonts w:ascii="Arial" w:hAnsi="Arial" w:cs="Arial"/>
            <w:sz w:val="22"/>
            <w:szCs w:val="22"/>
          </w:rPr>
          <w:t xml:space="preserve"> </w:t>
        </w:r>
        <w:r w:rsidRPr="007D322B">
          <w:rPr>
            <w:rStyle w:val="Hyperlink"/>
            <w:rFonts w:ascii="Arial" w:hAnsi="Arial" w:cs="Arial"/>
            <w:sz w:val="22"/>
            <w:szCs w:val="22"/>
          </w:rPr>
          <w:t>AND</w:t>
        </w:r>
        <w:r w:rsidR="00EE0CCC">
          <w:rPr>
            <w:rStyle w:val="Hyperlink"/>
            <w:rFonts w:ascii="Arial" w:hAnsi="Arial" w:cs="Arial"/>
            <w:sz w:val="22"/>
            <w:szCs w:val="22"/>
          </w:rPr>
          <w:t xml:space="preserve"> </w:t>
        </w:r>
        <w:r w:rsidRPr="007D322B">
          <w:rPr>
            <w:rStyle w:val="Hyperlink"/>
            <w:rFonts w:ascii="Arial" w:hAnsi="Arial" w:cs="Arial"/>
            <w:sz w:val="22"/>
            <w:szCs w:val="22"/>
          </w:rPr>
          <w:t>PRECAUTIONS</w:t>
        </w:r>
        <w:r w:rsidR="00EE0CCC">
          <w:rPr>
            <w:rStyle w:val="Hyperlink"/>
            <w:rFonts w:ascii="Arial" w:hAnsi="Arial" w:cs="Arial"/>
            <w:sz w:val="22"/>
            <w:szCs w:val="22"/>
          </w:rPr>
          <w:t xml:space="preserve"> </w:t>
        </w:r>
        <w:r w:rsidRPr="007D322B">
          <w:rPr>
            <w:rStyle w:val="Hyperlink"/>
            <w:rFonts w:ascii="Arial" w:hAnsi="Arial" w:cs="Arial"/>
            <w:sz w:val="22"/>
            <w:szCs w:val="22"/>
          </w:rPr>
          <w:t>FOR</w:t>
        </w:r>
        <w:r w:rsidR="00EE0CCC">
          <w:rPr>
            <w:rStyle w:val="Hyperlink"/>
            <w:rFonts w:ascii="Arial" w:hAnsi="Arial" w:cs="Arial"/>
            <w:sz w:val="22"/>
            <w:szCs w:val="22"/>
          </w:rPr>
          <w:t xml:space="preserve"> </w:t>
        </w:r>
        <w:r w:rsidRPr="007D322B">
          <w:rPr>
            <w:rStyle w:val="Hyperlink"/>
            <w:rFonts w:ascii="Arial" w:hAnsi="Arial" w:cs="Arial"/>
            <w:sz w:val="22"/>
            <w:szCs w:val="22"/>
          </w:rPr>
          <w:t>USE</w:t>
        </w:r>
      </w:hyperlink>
      <w:r w:rsidRPr="007D322B">
        <w:rPr>
          <w:rFonts w:ascii="Arial" w:hAnsi="Arial" w:cs="Arial"/>
        </w:rPr>
        <w:t>).</w:t>
      </w:r>
    </w:p>
    <w:p w:rsidR="008C1D88" w:rsidRPr="007D322B" w:rsidRDefault="008C1D88" w:rsidP="008C1D88">
      <w:pPr>
        <w:pStyle w:val="NoSpacing"/>
        <w:rPr>
          <w:rFonts w:ascii="Arial" w:hAnsi="Arial" w:cs="Arial"/>
        </w:rPr>
      </w:pPr>
    </w:p>
    <w:p w:rsidR="008C1D88" w:rsidRDefault="008C1D88" w:rsidP="008C1D88">
      <w:pPr>
        <w:pStyle w:val="NoSpacing"/>
        <w:rPr>
          <w:rFonts w:ascii="Arial" w:hAnsi="Arial" w:cs="Arial"/>
        </w:rPr>
      </w:pPr>
      <w:r w:rsidRPr="007D322B">
        <w:rPr>
          <w:rFonts w:ascii="Arial" w:hAnsi="Arial" w:cs="Arial"/>
        </w:rPr>
        <w:t>For</w:t>
      </w:r>
      <w:r w:rsidR="00EE0CCC">
        <w:rPr>
          <w:rFonts w:ascii="Arial" w:hAnsi="Arial" w:cs="Arial"/>
        </w:rPr>
        <w:t xml:space="preserve"> </w:t>
      </w:r>
      <w:r w:rsidRPr="007D322B">
        <w:rPr>
          <w:rFonts w:ascii="Arial" w:hAnsi="Arial" w:cs="Arial"/>
        </w:rPr>
        <w:t>instructions</w:t>
      </w:r>
      <w:r w:rsidR="00EE0CCC">
        <w:rPr>
          <w:rFonts w:ascii="Arial" w:hAnsi="Arial" w:cs="Arial"/>
        </w:rPr>
        <w:t xml:space="preserve"> </w:t>
      </w:r>
      <w:r w:rsidRPr="007D322B">
        <w:rPr>
          <w:rFonts w:ascii="Arial" w:hAnsi="Arial" w:cs="Arial"/>
        </w:rPr>
        <w:t>on</w:t>
      </w:r>
      <w:r w:rsidR="00EE0CCC">
        <w:rPr>
          <w:rFonts w:ascii="Arial" w:hAnsi="Arial" w:cs="Arial"/>
        </w:rPr>
        <w:t xml:space="preserve"> </w:t>
      </w:r>
      <w:r w:rsidRPr="007D322B">
        <w:rPr>
          <w:rFonts w:ascii="Arial" w:hAnsi="Arial" w:cs="Arial"/>
        </w:rPr>
        <w:t>dilution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medicinal</w:t>
      </w:r>
      <w:r w:rsidR="00EE0CCC">
        <w:rPr>
          <w:rFonts w:ascii="Arial" w:hAnsi="Arial" w:cs="Arial"/>
        </w:rPr>
        <w:t xml:space="preserve"> </w:t>
      </w:r>
      <w:r w:rsidRPr="007D322B">
        <w:rPr>
          <w:rFonts w:ascii="Arial" w:hAnsi="Arial" w:cs="Arial"/>
        </w:rPr>
        <w:t>product</w:t>
      </w:r>
      <w:r w:rsidR="00EE0CCC">
        <w:rPr>
          <w:rFonts w:ascii="Arial" w:hAnsi="Arial" w:cs="Arial"/>
        </w:rPr>
        <w:t xml:space="preserve"> </w:t>
      </w:r>
      <w:r w:rsidRPr="007D322B">
        <w:rPr>
          <w:rFonts w:ascii="Arial" w:hAnsi="Arial" w:cs="Arial"/>
        </w:rPr>
        <w:t>before</w:t>
      </w:r>
      <w:r w:rsidR="00EE0CCC">
        <w:rPr>
          <w:rFonts w:ascii="Arial" w:hAnsi="Arial" w:cs="Arial"/>
        </w:rPr>
        <w:t xml:space="preserve"> </w:t>
      </w:r>
      <w:r w:rsidRPr="007D322B">
        <w:rPr>
          <w:rFonts w:ascii="Arial" w:hAnsi="Arial" w:cs="Arial"/>
        </w:rPr>
        <w:t>administration,</w:t>
      </w:r>
      <w:r w:rsidR="00EE0CCC">
        <w:rPr>
          <w:rFonts w:ascii="Arial" w:hAnsi="Arial" w:cs="Arial"/>
        </w:rPr>
        <w:t xml:space="preserve"> </w:t>
      </w:r>
      <w:r w:rsidRPr="007D322B">
        <w:rPr>
          <w:rFonts w:ascii="Arial" w:hAnsi="Arial" w:cs="Arial"/>
        </w:rPr>
        <w:t>see</w:t>
      </w:r>
      <w:r w:rsidR="00EE0CCC">
        <w:rPr>
          <w:rFonts w:ascii="Arial" w:hAnsi="Arial" w:cs="Arial"/>
        </w:rPr>
        <w:t xml:space="preserve"> </w:t>
      </w:r>
      <w:r w:rsidRPr="007D322B">
        <w:rPr>
          <w:rFonts w:ascii="Arial" w:hAnsi="Arial" w:cs="Arial"/>
        </w:rPr>
        <w:t>section</w:t>
      </w:r>
      <w:hyperlink w:anchor="_SPECIAL_PRECAUTIONS_FOR" w:history="1">
        <w:r w:rsidR="00EE0CCC">
          <w:rPr>
            <w:rStyle w:val="Hyperlink"/>
            <w:rFonts w:ascii="Arial" w:hAnsi="Arial" w:cs="Arial"/>
          </w:rPr>
          <w:t xml:space="preserve"> </w:t>
        </w:r>
      </w:hyperlink>
      <w:hyperlink w:anchor="_SPECIAL_PRECAUTIONS_FOR_1" w:history="1">
        <w:r w:rsidR="00F76C3C" w:rsidRPr="00F76C3C">
          <w:rPr>
            <w:rStyle w:val="Hyperlink"/>
            <w:rFonts w:ascii="Arial" w:hAnsi="Arial" w:cs="Arial"/>
          </w:rPr>
          <w:t>6.4</w:t>
        </w:r>
        <w:r w:rsidR="00EE0CCC">
          <w:rPr>
            <w:rStyle w:val="Hyperlink"/>
            <w:rFonts w:ascii="Arial" w:hAnsi="Arial" w:cs="Arial"/>
          </w:rPr>
          <w:t xml:space="preserve"> </w:t>
        </w:r>
        <w:r w:rsidR="00F76C3C" w:rsidRPr="00F76C3C">
          <w:rPr>
            <w:rStyle w:val="Hyperlink"/>
            <w:rFonts w:ascii="Arial" w:hAnsi="Arial" w:cs="Arial"/>
          </w:rPr>
          <w:t>SPECIAL</w:t>
        </w:r>
        <w:r w:rsidR="00EE0CCC">
          <w:rPr>
            <w:rStyle w:val="Hyperlink"/>
            <w:rFonts w:ascii="Arial" w:hAnsi="Arial" w:cs="Arial"/>
          </w:rPr>
          <w:t xml:space="preserve"> </w:t>
        </w:r>
        <w:r w:rsidR="00F76C3C" w:rsidRPr="00F76C3C">
          <w:rPr>
            <w:rStyle w:val="Hyperlink"/>
            <w:rFonts w:ascii="Arial" w:hAnsi="Arial" w:cs="Arial"/>
          </w:rPr>
          <w:t>PRECAUTIONS</w:t>
        </w:r>
        <w:r w:rsidR="00EE0CCC">
          <w:rPr>
            <w:rStyle w:val="Hyperlink"/>
            <w:rFonts w:ascii="Arial" w:hAnsi="Arial" w:cs="Arial"/>
          </w:rPr>
          <w:t xml:space="preserve"> </w:t>
        </w:r>
        <w:r w:rsidR="00F76C3C" w:rsidRPr="00F76C3C">
          <w:rPr>
            <w:rStyle w:val="Hyperlink"/>
            <w:rFonts w:ascii="Arial" w:hAnsi="Arial" w:cs="Arial"/>
          </w:rPr>
          <w:t>FOR</w:t>
        </w:r>
        <w:r w:rsidR="00EE0CCC">
          <w:rPr>
            <w:rStyle w:val="Hyperlink"/>
            <w:rFonts w:ascii="Arial" w:hAnsi="Arial" w:cs="Arial"/>
          </w:rPr>
          <w:t xml:space="preserve"> </w:t>
        </w:r>
        <w:r w:rsidR="00F76C3C" w:rsidRPr="00F76C3C">
          <w:rPr>
            <w:rStyle w:val="Hyperlink"/>
            <w:rFonts w:ascii="Arial" w:hAnsi="Arial" w:cs="Arial"/>
          </w:rPr>
          <w:t>STORAGE</w:t>
        </w:r>
      </w:hyperlink>
      <w:r w:rsidRPr="007D322B">
        <w:rPr>
          <w:rFonts w:ascii="Arial" w:hAnsi="Arial" w:cs="Arial"/>
        </w:rPr>
        <w:t>.</w:t>
      </w:r>
    </w:p>
    <w:p w:rsidR="009B092F" w:rsidRDefault="009B092F" w:rsidP="008C1D88">
      <w:pPr>
        <w:pStyle w:val="NoSpacing"/>
        <w:rPr>
          <w:rFonts w:ascii="Arial" w:hAnsi="Arial" w:cs="Arial"/>
        </w:rPr>
      </w:pPr>
    </w:p>
    <w:p w:rsidR="009B092F" w:rsidRPr="007D322B" w:rsidRDefault="009B092F" w:rsidP="009B092F">
      <w:pPr>
        <w:keepNext/>
        <w:keepLines/>
        <w:rPr>
          <w:rFonts w:ascii="Arial" w:hAnsi="Arial" w:cs="Arial"/>
        </w:rPr>
      </w:pPr>
      <w:r w:rsidRPr="00EF6209">
        <w:rPr>
          <w:rFonts w:ascii="Arial" w:hAnsi="Arial" w:cs="Arial"/>
        </w:rPr>
        <w:t>Product</w:t>
      </w:r>
      <w:r w:rsidR="00EE0CCC">
        <w:rPr>
          <w:rFonts w:ascii="Arial" w:hAnsi="Arial" w:cs="Arial"/>
        </w:rPr>
        <w:t xml:space="preserve"> </w:t>
      </w:r>
      <w:r w:rsidRPr="00EF6209">
        <w:rPr>
          <w:rFonts w:ascii="Arial" w:hAnsi="Arial" w:cs="Arial"/>
        </w:rPr>
        <w:t>is</w:t>
      </w:r>
      <w:r w:rsidR="00EE0CCC">
        <w:rPr>
          <w:rFonts w:ascii="Arial" w:hAnsi="Arial" w:cs="Arial"/>
        </w:rPr>
        <w:t xml:space="preserve"> </w:t>
      </w:r>
      <w:r w:rsidRPr="00EF6209">
        <w:rPr>
          <w:rFonts w:ascii="Arial" w:hAnsi="Arial" w:cs="Arial"/>
        </w:rPr>
        <w:t>for</w:t>
      </w:r>
      <w:r w:rsidR="00EE0CCC">
        <w:rPr>
          <w:rFonts w:ascii="Arial" w:hAnsi="Arial" w:cs="Arial"/>
        </w:rPr>
        <w:t xml:space="preserve"> </w:t>
      </w:r>
      <w:r w:rsidRPr="00EF6209">
        <w:rPr>
          <w:rFonts w:ascii="Arial" w:hAnsi="Arial" w:cs="Arial"/>
        </w:rPr>
        <w:t>single</w:t>
      </w:r>
      <w:r w:rsidR="00EE0CCC">
        <w:rPr>
          <w:rFonts w:ascii="Arial" w:hAnsi="Arial" w:cs="Arial"/>
        </w:rPr>
        <w:t xml:space="preserve"> </w:t>
      </w:r>
      <w:r w:rsidRPr="00EF6209">
        <w:rPr>
          <w:rFonts w:ascii="Arial" w:hAnsi="Arial" w:cs="Arial"/>
        </w:rPr>
        <w:t>use</w:t>
      </w:r>
      <w:r w:rsidR="00EE0CCC">
        <w:rPr>
          <w:rFonts w:ascii="Arial" w:hAnsi="Arial" w:cs="Arial"/>
        </w:rPr>
        <w:t xml:space="preserve"> </w:t>
      </w:r>
      <w:r w:rsidRPr="00EF6209">
        <w:rPr>
          <w:rFonts w:ascii="Arial" w:hAnsi="Arial" w:cs="Arial"/>
        </w:rPr>
        <w:t>in</w:t>
      </w:r>
      <w:r w:rsidR="00EE0CCC">
        <w:rPr>
          <w:rFonts w:ascii="Arial" w:hAnsi="Arial" w:cs="Arial"/>
        </w:rPr>
        <w:t xml:space="preserve"> </w:t>
      </w:r>
      <w:r w:rsidRPr="00EF6209">
        <w:rPr>
          <w:rFonts w:ascii="Arial" w:hAnsi="Arial" w:cs="Arial"/>
        </w:rPr>
        <w:t>one</w:t>
      </w:r>
      <w:r w:rsidR="00EE0CCC">
        <w:rPr>
          <w:rFonts w:ascii="Arial" w:hAnsi="Arial" w:cs="Arial"/>
        </w:rPr>
        <w:t xml:space="preserve"> </w:t>
      </w:r>
      <w:r w:rsidRPr="00EF6209">
        <w:rPr>
          <w:rFonts w:ascii="Arial" w:hAnsi="Arial" w:cs="Arial"/>
        </w:rPr>
        <w:t>patient</w:t>
      </w:r>
      <w:r w:rsidR="00EE0CCC">
        <w:rPr>
          <w:rFonts w:ascii="Arial" w:hAnsi="Arial" w:cs="Arial"/>
        </w:rPr>
        <w:t xml:space="preserve"> </w:t>
      </w:r>
      <w:r w:rsidRPr="00EF6209">
        <w:rPr>
          <w:rFonts w:ascii="Arial" w:hAnsi="Arial" w:cs="Arial"/>
        </w:rPr>
        <w:t>only.</w:t>
      </w:r>
      <w:r w:rsidR="00EE0CCC">
        <w:rPr>
          <w:rFonts w:ascii="Arial" w:hAnsi="Arial" w:cs="Arial"/>
        </w:rPr>
        <w:t xml:space="preserve"> </w:t>
      </w:r>
      <w:r w:rsidRPr="00EF6209">
        <w:rPr>
          <w:rFonts w:ascii="Arial" w:hAnsi="Arial" w:cs="Arial"/>
        </w:rPr>
        <w:t>Discard</w:t>
      </w:r>
      <w:r w:rsidR="00EE0CCC">
        <w:rPr>
          <w:rFonts w:ascii="Arial" w:hAnsi="Arial" w:cs="Arial"/>
        </w:rPr>
        <w:t xml:space="preserve"> </w:t>
      </w:r>
      <w:r w:rsidRPr="00EF6209">
        <w:rPr>
          <w:rFonts w:ascii="Arial" w:hAnsi="Arial" w:cs="Arial"/>
        </w:rPr>
        <w:t>any</w:t>
      </w:r>
      <w:r w:rsidR="00EE0CCC">
        <w:rPr>
          <w:rFonts w:ascii="Arial" w:hAnsi="Arial" w:cs="Arial"/>
        </w:rPr>
        <w:t xml:space="preserve"> </w:t>
      </w:r>
      <w:r w:rsidRPr="00EF6209">
        <w:rPr>
          <w:rFonts w:ascii="Arial" w:hAnsi="Arial" w:cs="Arial"/>
        </w:rPr>
        <w:t>residue</w:t>
      </w:r>
      <w:r>
        <w:rPr>
          <w:rFonts w:ascii="Arial" w:hAnsi="Arial" w:cs="Arial"/>
        </w:rPr>
        <w:t>.</w:t>
      </w:r>
    </w:p>
    <w:p w:rsidR="008C1D88" w:rsidRPr="007D322B" w:rsidRDefault="008C1D88" w:rsidP="001652C1">
      <w:pPr>
        <w:rPr>
          <w:rFonts w:ascii="Arial" w:hAnsi="Arial" w:cs="Arial"/>
          <w:u w:val="single"/>
        </w:rPr>
      </w:pPr>
    </w:p>
    <w:p w:rsidR="001652C1" w:rsidRPr="007D322B" w:rsidRDefault="001652C1" w:rsidP="001652C1">
      <w:pPr>
        <w:keepNext/>
        <w:keepLines/>
        <w:rPr>
          <w:rFonts w:ascii="Arial" w:hAnsi="Arial" w:cs="Arial"/>
          <w:b/>
          <w:bCs/>
          <w:i/>
        </w:rPr>
      </w:pPr>
      <w:r w:rsidRPr="007D322B">
        <w:rPr>
          <w:rFonts w:ascii="Arial" w:hAnsi="Arial" w:cs="Arial"/>
          <w:b/>
          <w:bCs/>
          <w:i/>
        </w:rPr>
        <w:t>Dos</w:t>
      </w:r>
      <w:r w:rsidR="008C1D88" w:rsidRPr="007D322B">
        <w:rPr>
          <w:rFonts w:ascii="Arial" w:hAnsi="Arial" w:cs="Arial"/>
          <w:b/>
          <w:bCs/>
          <w:i/>
        </w:rPr>
        <w:t>age</w:t>
      </w:r>
      <w:r w:rsidR="00EE0CCC">
        <w:rPr>
          <w:rFonts w:ascii="Arial" w:hAnsi="Arial" w:cs="Arial"/>
          <w:b/>
          <w:bCs/>
          <w:i/>
        </w:rPr>
        <w:t xml:space="preserve"> </w:t>
      </w:r>
      <w:r w:rsidR="008C1D88" w:rsidRPr="007D322B">
        <w:rPr>
          <w:rFonts w:ascii="Arial" w:hAnsi="Arial" w:cs="Arial"/>
          <w:b/>
          <w:bCs/>
          <w:i/>
        </w:rPr>
        <w:t>Adjustment</w:t>
      </w:r>
    </w:p>
    <w:p w:rsidR="00B615F9" w:rsidRPr="007D322B" w:rsidRDefault="001652C1" w:rsidP="001652C1">
      <w:pPr>
        <w:pStyle w:val="NoSpacing"/>
        <w:rPr>
          <w:rFonts w:ascii="Arial" w:eastAsia="Calibri" w:hAnsi="Arial" w:cs="Arial"/>
          <w:bCs/>
        </w:rPr>
      </w:pPr>
      <w:r w:rsidRPr="007D322B">
        <w:rPr>
          <w:rFonts w:ascii="Arial" w:hAnsi="Arial" w:cs="Arial"/>
        </w:rPr>
        <w:t>Based</w:t>
      </w:r>
      <w:r w:rsidR="00EE0CCC">
        <w:rPr>
          <w:rFonts w:ascii="Arial" w:hAnsi="Arial" w:cs="Arial"/>
        </w:rPr>
        <w:t xml:space="preserve"> </w:t>
      </w:r>
      <w:r w:rsidRPr="007D322B">
        <w:rPr>
          <w:rFonts w:ascii="Arial" w:hAnsi="Arial" w:cs="Arial"/>
        </w:rPr>
        <w:t>on</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physician’s</w:t>
      </w:r>
      <w:r w:rsidR="00EE0CCC">
        <w:rPr>
          <w:rFonts w:ascii="Arial" w:hAnsi="Arial" w:cs="Arial"/>
        </w:rPr>
        <w:t xml:space="preserve"> </w:t>
      </w:r>
      <w:r w:rsidRPr="007D322B">
        <w:rPr>
          <w:rFonts w:ascii="Arial" w:hAnsi="Arial" w:cs="Arial"/>
        </w:rPr>
        <w:t>evaluation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severity</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adverse</w:t>
      </w:r>
      <w:r w:rsidR="00EE0CCC">
        <w:rPr>
          <w:rFonts w:ascii="Arial" w:hAnsi="Arial" w:cs="Arial"/>
        </w:rPr>
        <w:t xml:space="preserve"> </w:t>
      </w:r>
      <w:r w:rsidRPr="007D322B">
        <w:rPr>
          <w:rFonts w:ascii="Arial" w:hAnsi="Arial" w:cs="Arial"/>
        </w:rPr>
        <w:t>drug</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dinutuximab</w:t>
      </w:r>
      <w:r w:rsidR="00EE0CCC">
        <w:rPr>
          <w:rFonts w:ascii="Arial" w:hAnsi="Arial" w:cs="Arial"/>
        </w:rPr>
        <w:t xml:space="preserve"> </w:t>
      </w:r>
      <w:r w:rsidRPr="007D322B">
        <w:rPr>
          <w:rFonts w:ascii="Arial" w:hAnsi="Arial" w:cs="Arial"/>
        </w:rPr>
        <w:t>beta,</w:t>
      </w:r>
      <w:r w:rsidR="00EE0CCC">
        <w:rPr>
          <w:rFonts w:ascii="Arial" w:hAnsi="Arial" w:cs="Arial"/>
        </w:rPr>
        <w:t xml:space="preserve"> </w:t>
      </w:r>
      <w:r w:rsidRPr="007D322B">
        <w:rPr>
          <w:rFonts w:ascii="Arial" w:hAnsi="Arial" w:cs="Arial"/>
        </w:rPr>
        <w:t>patients</w:t>
      </w:r>
      <w:r w:rsidR="00EE0CCC">
        <w:rPr>
          <w:rFonts w:ascii="Arial" w:hAnsi="Arial" w:cs="Arial"/>
        </w:rPr>
        <w:t xml:space="preserve"> </w:t>
      </w:r>
      <w:r w:rsidRPr="007D322B">
        <w:rPr>
          <w:rFonts w:ascii="Arial" w:hAnsi="Arial" w:cs="Arial"/>
        </w:rPr>
        <w:t>may</w:t>
      </w:r>
      <w:r w:rsidR="00EE0CCC">
        <w:rPr>
          <w:rFonts w:ascii="Arial" w:hAnsi="Arial" w:cs="Arial"/>
        </w:rPr>
        <w:t xml:space="preserve"> </w:t>
      </w:r>
      <w:r w:rsidRPr="007D322B">
        <w:rPr>
          <w:rFonts w:ascii="Arial" w:hAnsi="Arial" w:cs="Arial"/>
        </w:rPr>
        <w:t>undergo</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dose</w:t>
      </w:r>
      <w:r w:rsidR="00EE0CCC">
        <w:rPr>
          <w:rFonts w:ascii="Arial" w:hAnsi="Arial" w:cs="Arial"/>
        </w:rPr>
        <w:t xml:space="preserve"> </w:t>
      </w:r>
      <w:r w:rsidRPr="007D322B">
        <w:rPr>
          <w:rFonts w:ascii="Arial" w:hAnsi="Arial" w:cs="Arial"/>
        </w:rPr>
        <w:t>reduction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50%</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temporary</w:t>
      </w:r>
      <w:r w:rsidR="00EE0CCC">
        <w:rPr>
          <w:rFonts w:ascii="Arial" w:hAnsi="Arial" w:cs="Arial"/>
        </w:rPr>
        <w:t xml:space="preserve"> </w:t>
      </w:r>
      <w:r w:rsidRPr="007D322B">
        <w:rPr>
          <w:rFonts w:ascii="Arial" w:hAnsi="Arial" w:cs="Arial"/>
        </w:rPr>
        <w:t>interruption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consequence,</w:t>
      </w:r>
      <w:r w:rsidR="00EE0CCC">
        <w:rPr>
          <w:rFonts w:ascii="Arial" w:hAnsi="Arial" w:cs="Arial"/>
        </w:rPr>
        <w:t xml:space="preserve"> </w:t>
      </w:r>
      <w:r w:rsidRPr="007D322B">
        <w:rPr>
          <w:rFonts w:ascii="Arial" w:hAnsi="Arial" w:cs="Arial"/>
        </w:rPr>
        <w:t>either</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period</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prolonged</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if</w:t>
      </w:r>
      <w:r w:rsidR="00EE0CCC">
        <w:rPr>
          <w:rFonts w:ascii="Arial" w:hAnsi="Arial" w:cs="Arial"/>
        </w:rPr>
        <w:t xml:space="preserve"> </w:t>
      </w:r>
      <w:r w:rsidRPr="007D322B">
        <w:rPr>
          <w:rFonts w:ascii="Arial" w:hAnsi="Arial" w:cs="Arial"/>
        </w:rPr>
        <w:t>tolerated</w:t>
      </w:r>
      <w:r w:rsidR="00EE0CCC">
        <w:rPr>
          <w:rFonts w:ascii="Arial" w:hAnsi="Arial" w:cs="Arial"/>
        </w:rPr>
        <w:t xml:space="preserve"> </w:t>
      </w:r>
      <w:r w:rsidRPr="007D322B">
        <w:rPr>
          <w:rFonts w:ascii="Arial" w:hAnsi="Arial" w:cs="Arial"/>
        </w:rPr>
        <w:t>by</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patient,</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rate</w:t>
      </w:r>
      <w:r w:rsidR="00EE0CCC">
        <w:rPr>
          <w:rFonts w:ascii="Arial" w:hAnsi="Arial" w:cs="Arial"/>
        </w:rPr>
        <w:t xml:space="preserve"> </w:t>
      </w:r>
      <w:r w:rsidRPr="007D322B">
        <w:rPr>
          <w:rFonts w:ascii="Arial" w:hAnsi="Arial" w:cs="Arial"/>
        </w:rPr>
        <w:t>may</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increased</w:t>
      </w:r>
      <w:r w:rsidR="00EE0CCC">
        <w:rPr>
          <w:rFonts w:ascii="Arial" w:hAnsi="Arial" w:cs="Arial"/>
        </w:rPr>
        <w:t xml:space="preserve"> </w:t>
      </w:r>
      <w:r w:rsidRPr="007D322B">
        <w:rPr>
          <w:rFonts w:ascii="Arial" w:hAnsi="Arial" w:cs="Arial"/>
        </w:rPr>
        <w:t>up</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3</w:t>
      </w:r>
      <w:r w:rsidR="00EE0CCC">
        <w:rPr>
          <w:rFonts w:ascii="Arial" w:hAnsi="Arial" w:cs="Arial"/>
        </w:rPr>
        <w:t xml:space="preserve"> </w:t>
      </w:r>
      <w:r w:rsidRPr="007D322B">
        <w:rPr>
          <w:rFonts w:ascii="Arial" w:hAnsi="Arial" w:cs="Arial"/>
        </w:rPr>
        <w:t>mL/h</w:t>
      </w:r>
      <w:r w:rsidR="00EE0CCC">
        <w:rPr>
          <w:rFonts w:ascii="Arial" w:hAnsi="Arial" w:cs="Arial"/>
        </w:rPr>
        <w:t xml:space="preserve"> </w:t>
      </w:r>
      <w:r w:rsidRPr="007D322B">
        <w:rPr>
          <w:rFonts w:ascii="Arial" w:hAnsi="Arial" w:cs="Arial"/>
        </w:rPr>
        <w:t>(continuous</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order</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administer</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total</w:t>
      </w:r>
      <w:r w:rsidR="00EE0CCC">
        <w:rPr>
          <w:rFonts w:ascii="Arial" w:hAnsi="Arial" w:cs="Arial"/>
        </w:rPr>
        <w:t xml:space="preserve"> </w:t>
      </w:r>
      <w:r w:rsidRPr="007D322B">
        <w:rPr>
          <w:rFonts w:ascii="Arial" w:hAnsi="Arial" w:cs="Arial"/>
        </w:rPr>
        <w:t>dose</w:t>
      </w:r>
      <w:r w:rsidR="00B615F9" w:rsidRPr="007D322B">
        <w:rPr>
          <w:rFonts w:ascii="Arial" w:eastAsia="Calibri" w:hAnsi="Arial" w:cs="Arial"/>
          <w:bCs/>
        </w:rPr>
        <w:t>.</w:t>
      </w:r>
    </w:p>
    <w:p w:rsidR="00316251" w:rsidRPr="007D322B" w:rsidRDefault="00316251" w:rsidP="001652C1">
      <w:pPr>
        <w:pStyle w:val="NoSpacing"/>
        <w:rPr>
          <w:rFonts w:ascii="Arial" w:eastAsia="Calibri" w:hAnsi="Arial" w:cs="Arial"/>
          <w:bCs/>
        </w:rPr>
      </w:pPr>
    </w:p>
    <w:p w:rsidR="00316251" w:rsidRPr="007D322B" w:rsidRDefault="00316251" w:rsidP="00316251">
      <w:pPr>
        <w:keepNext/>
        <w:keepLines/>
        <w:rPr>
          <w:rFonts w:ascii="Arial" w:hAnsi="Arial" w:cs="Arial"/>
        </w:rPr>
      </w:pPr>
      <w:r w:rsidRPr="007D322B">
        <w:rPr>
          <w:rFonts w:ascii="Arial" w:hAnsi="Arial" w:cs="Arial"/>
          <w:b/>
        </w:rPr>
        <w:t>Recommended</w:t>
      </w:r>
      <w:r w:rsidR="00EE0CCC">
        <w:rPr>
          <w:rFonts w:ascii="Arial" w:hAnsi="Arial" w:cs="Arial"/>
          <w:b/>
        </w:rPr>
        <w:t xml:space="preserve"> </w:t>
      </w:r>
      <w:r w:rsidRPr="007D322B">
        <w:rPr>
          <w:rFonts w:ascii="Arial" w:hAnsi="Arial" w:cs="Arial"/>
          <w:b/>
        </w:rPr>
        <w:t>dose</w:t>
      </w:r>
      <w:r w:rsidR="00EE0CCC">
        <w:rPr>
          <w:rFonts w:ascii="Arial" w:hAnsi="Arial" w:cs="Arial"/>
          <w:b/>
        </w:rPr>
        <w:t xml:space="preserve"> </w:t>
      </w:r>
      <w:r w:rsidRPr="007D322B">
        <w:rPr>
          <w:rFonts w:ascii="Arial" w:hAnsi="Arial" w:cs="Arial"/>
          <w:b/>
        </w:rPr>
        <w:t>modifications</w:t>
      </w:r>
      <w:r w:rsidR="00EE0CCC">
        <w:rPr>
          <w:rFonts w:ascii="Arial" w:hAnsi="Arial" w:cs="Arial"/>
          <w:b/>
        </w:rPr>
        <w:t xml:space="preserve"> </w:t>
      </w:r>
      <w:r w:rsidRPr="007D322B">
        <w:rPr>
          <w:rFonts w:ascii="Arial" w:hAnsi="Arial" w:cs="Arial"/>
          <w:b/>
        </w:rPr>
        <w:t>for</w:t>
      </w:r>
      <w:r w:rsidR="00EE0CCC">
        <w:rPr>
          <w:rFonts w:ascii="Arial" w:hAnsi="Arial" w:cs="Arial"/>
          <w:b/>
        </w:rPr>
        <w:t xml:space="preserve"> </w:t>
      </w:r>
      <w:r w:rsidRPr="007D322B">
        <w:rPr>
          <w:rFonts w:ascii="Arial" w:hAnsi="Arial" w:cs="Arial"/>
          <w:b/>
        </w:rPr>
        <w:t>dinutuximab</w:t>
      </w:r>
      <w:r w:rsidR="00EE0CCC">
        <w:rPr>
          <w:rFonts w:ascii="Arial" w:hAnsi="Arial" w:cs="Arial"/>
          <w:b/>
        </w:rPr>
        <w:t xml:space="preserve"> </w:t>
      </w:r>
      <w:r w:rsidRPr="007D322B">
        <w:rPr>
          <w:rFonts w:ascii="Arial" w:hAnsi="Arial" w:cs="Arial"/>
          <w:b/>
        </w:rPr>
        <w:t>beta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2287"/>
        <w:gridCol w:w="5386"/>
      </w:tblGrid>
      <w:tr w:rsidR="00316251" w:rsidRPr="007D322B" w:rsidTr="00DB02A6">
        <w:trPr>
          <w:tblHeader/>
        </w:trPr>
        <w:tc>
          <w:tcPr>
            <w:tcW w:w="2216" w:type="dxa"/>
            <w:shd w:val="clear" w:color="auto" w:fill="auto"/>
          </w:tcPr>
          <w:p w:rsidR="00316251" w:rsidRPr="007D322B" w:rsidRDefault="00316251" w:rsidP="00A34C43">
            <w:r w:rsidRPr="007D322B">
              <w:t>Adverse</w:t>
            </w:r>
            <w:r w:rsidR="00EE0CCC">
              <w:t xml:space="preserve"> </w:t>
            </w:r>
            <w:r w:rsidRPr="007D322B">
              <w:t>reaction</w:t>
            </w:r>
          </w:p>
        </w:tc>
        <w:tc>
          <w:tcPr>
            <w:tcW w:w="2287" w:type="dxa"/>
            <w:shd w:val="clear" w:color="auto" w:fill="auto"/>
          </w:tcPr>
          <w:p w:rsidR="00316251" w:rsidRPr="007D322B" w:rsidRDefault="00316251" w:rsidP="00A34C43">
            <w:r w:rsidRPr="007D322B">
              <w:t>Severity</w:t>
            </w:r>
          </w:p>
        </w:tc>
        <w:tc>
          <w:tcPr>
            <w:tcW w:w="5386" w:type="dxa"/>
            <w:shd w:val="clear" w:color="auto" w:fill="auto"/>
          </w:tcPr>
          <w:p w:rsidR="00316251" w:rsidRPr="007D322B" w:rsidRDefault="00316251" w:rsidP="00A34C43">
            <w:r w:rsidRPr="007D322B">
              <w:t>Treatment</w:t>
            </w:r>
            <w:r w:rsidR="00EE0CCC">
              <w:t xml:space="preserve"> </w:t>
            </w:r>
            <w:r w:rsidRPr="007D322B">
              <w:t>modification</w:t>
            </w:r>
          </w:p>
        </w:tc>
      </w:tr>
      <w:tr w:rsidR="00316251" w:rsidRPr="007D322B" w:rsidTr="00DB02A6">
        <w:tc>
          <w:tcPr>
            <w:tcW w:w="2216" w:type="dxa"/>
            <w:shd w:val="clear" w:color="auto" w:fill="auto"/>
          </w:tcPr>
          <w:p w:rsidR="00316251" w:rsidRPr="007D322B" w:rsidRDefault="00316251" w:rsidP="00A34C43">
            <w:r w:rsidRPr="007D322B">
              <w:t>Any</w:t>
            </w:r>
          </w:p>
        </w:tc>
        <w:tc>
          <w:tcPr>
            <w:tcW w:w="2287" w:type="dxa"/>
            <w:shd w:val="clear" w:color="auto" w:fill="auto"/>
          </w:tcPr>
          <w:p w:rsidR="00316251" w:rsidRPr="007D322B" w:rsidRDefault="00316251" w:rsidP="00A34C43">
            <w:r w:rsidRPr="007D322B">
              <w:t>Grade</w:t>
            </w:r>
            <w:r w:rsidR="00EE0CCC">
              <w:t xml:space="preserve"> </w:t>
            </w:r>
            <w:r w:rsidRPr="007D322B">
              <w:t>1</w:t>
            </w:r>
            <w:r w:rsidR="00EE0CCC">
              <w:t xml:space="preserve"> </w:t>
            </w:r>
            <w:r w:rsidRPr="007D322B">
              <w:t>–</w:t>
            </w:r>
            <w:r w:rsidR="00EE0CCC">
              <w:t xml:space="preserve"> </w:t>
            </w:r>
            <w:r w:rsidRPr="007D322B">
              <w:t>2</w:t>
            </w:r>
          </w:p>
        </w:tc>
        <w:tc>
          <w:tcPr>
            <w:tcW w:w="5386" w:type="dxa"/>
            <w:shd w:val="clear" w:color="auto" w:fill="auto"/>
          </w:tcPr>
          <w:p w:rsidR="00316251" w:rsidRPr="007D322B" w:rsidRDefault="00316251" w:rsidP="00A34C43">
            <w:r w:rsidRPr="007D322B">
              <w:t>Decrease</w:t>
            </w:r>
            <w:r w:rsidR="00EE0CCC">
              <w:t xml:space="preserve"> </w:t>
            </w:r>
            <w:r w:rsidRPr="007D322B">
              <w:t>infusion</w:t>
            </w:r>
            <w:r w:rsidR="00EE0CCC">
              <w:t xml:space="preserve"> </w:t>
            </w:r>
            <w:r w:rsidRPr="007D322B">
              <w:t>rate</w:t>
            </w:r>
            <w:r w:rsidR="00EE0CCC">
              <w:t xml:space="preserve"> </w:t>
            </w:r>
            <w:r w:rsidRPr="007D322B">
              <w:t>to</w:t>
            </w:r>
            <w:r w:rsidR="00EE0CCC">
              <w:t xml:space="preserve"> </w:t>
            </w:r>
            <w:r w:rsidRPr="007D322B">
              <w:t>50%,</w:t>
            </w:r>
          </w:p>
          <w:p w:rsidR="00316251" w:rsidRPr="007D322B" w:rsidRDefault="00316251" w:rsidP="00A34C43">
            <w:r w:rsidRPr="007D322B">
              <w:t>After</w:t>
            </w:r>
            <w:r w:rsidR="00EE0CCC">
              <w:t xml:space="preserve"> </w:t>
            </w:r>
            <w:r w:rsidRPr="007D322B">
              <w:t>resolution,</w:t>
            </w:r>
            <w:r w:rsidR="00EE0CCC">
              <w:t xml:space="preserve"> </w:t>
            </w:r>
            <w:r w:rsidRPr="007D322B">
              <w:t>resume</w:t>
            </w:r>
            <w:r w:rsidR="00EE0CCC">
              <w:t xml:space="preserve"> </w:t>
            </w:r>
            <w:r w:rsidRPr="007D322B">
              <w:t>infusion</w:t>
            </w:r>
            <w:r w:rsidR="00EE0CCC">
              <w:t xml:space="preserve"> </w:t>
            </w:r>
            <w:r w:rsidRPr="007D322B">
              <w:t>at</w:t>
            </w:r>
            <w:r w:rsidR="00EE0CCC">
              <w:t xml:space="preserve"> </w:t>
            </w:r>
            <w:r w:rsidRPr="007D322B">
              <w:t>original</w:t>
            </w:r>
            <w:r w:rsidR="00EE0CCC">
              <w:t xml:space="preserve"> </w:t>
            </w:r>
            <w:r w:rsidRPr="007D322B">
              <w:t>rate</w:t>
            </w:r>
          </w:p>
        </w:tc>
      </w:tr>
      <w:tr w:rsidR="00316251" w:rsidRPr="007D322B" w:rsidTr="00DB02A6">
        <w:tc>
          <w:tcPr>
            <w:tcW w:w="2216" w:type="dxa"/>
            <w:shd w:val="clear" w:color="auto" w:fill="auto"/>
          </w:tcPr>
          <w:p w:rsidR="00316251" w:rsidRPr="007D322B" w:rsidRDefault="00316251" w:rsidP="00A34C43">
            <w:r w:rsidRPr="007D322B">
              <w:t>Hypersensitivity</w:t>
            </w:r>
            <w:r w:rsidR="00EE0CCC">
              <w:t xml:space="preserve"> </w:t>
            </w:r>
            <w:r w:rsidRPr="007D322B">
              <w:t>reaction</w:t>
            </w:r>
          </w:p>
        </w:tc>
        <w:tc>
          <w:tcPr>
            <w:tcW w:w="2287" w:type="dxa"/>
            <w:shd w:val="clear" w:color="auto" w:fill="auto"/>
          </w:tcPr>
          <w:p w:rsidR="00316251" w:rsidRPr="007D322B" w:rsidRDefault="00316251" w:rsidP="00A34C43">
            <w:r w:rsidRPr="007D322B">
              <w:t>e.g.</w:t>
            </w:r>
            <w:r w:rsidR="00EE0CCC">
              <w:t xml:space="preserve"> </w:t>
            </w:r>
            <w:r w:rsidRPr="007D322B">
              <w:t>hypotension</w:t>
            </w:r>
          </w:p>
        </w:tc>
        <w:tc>
          <w:tcPr>
            <w:tcW w:w="5386" w:type="dxa"/>
            <w:shd w:val="clear" w:color="auto" w:fill="auto"/>
          </w:tcPr>
          <w:p w:rsidR="00316251" w:rsidRPr="007D322B" w:rsidRDefault="00316251" w:rsidP="00A34C43">
            <w:r w:rsidRPr="007D322B">
              <w:t>Interrupt</w:t>
            </w:r>
            <w:r w:rsidR="00EE0CCC">
              <w:t xml:space="preserve"> </w:t>
            </w:r>
            <w:r w:rsidRPr="007D322B">
              <w:t>infusion</w:t>
            </w:r>
            <w:r w:rsidR="00EE0CCC">
              <w:t xml:space="preserve"> </w:t>
            </w:r>
            <w:r w:rsidRPr="007D322B">
              <w:t>and</w:t>
            </w:r>
            <w:r w:rsidR="00EE0CCC">
              <w:t xml:space="preserve"> </w:t>
            </w:r>
            <w:r w:rsidRPr="007D322B">
              <w:t>administer</w:t>
            </w:r>
            <w:r w:rsidR="00EE0CCC">
              <w:t xml:space="preserve"> </w:t>
            </w:r>
            <w:r w:rsidRPr="007D322B">
              <w:t>supportive</w:t>
            </w:r>
            <w:r w:rsidR="00EE0CCC">
              <w:t xml:space="preserve"> </w:t>
            </w:r>
            <w:r w:rsidRPr="007D322B">
              <w:t>measures,</w:t>
            </w:r>
          </w:p>
          <w:p w:rsidR="00316251" w:rsidRPr="007D322B" w:rsidRDefault="00316251" w:rsidP="00A34C43">
            <w:r w:rsidRPr="007D322B">
              <w:t>After</w:t>
            </w:r>
            <w:r w:rsidR="00EE0CCC">
              <w:t xml:space="preserve"> </w:t>
            </w:r>
            <w:r w:rsidRPr="007D322B">
              <w:t>resolution,</w:t>
            </w:r>
            <w:r w:rsidR="00EE0CCC">
              <w:t xml:space="preserve"> </w:t>
            </w:r>
            <w:r w:rsidRPr="007D322B">
              <w:t>resume</w:t>
            </w:r>
            <w:r w:rsidR="00EE0CCC">
              <w:t xml:space="preserve"> </w:t>
            </w:r>
            <w:r w:rsidRPr="007D322B">
              <w:t>infusion</w:t>
            </w:r>
            <w:r w:rsidR="00EE0CCC">
              <w:t xml:space="preserve"> </w:t>
            </w:r>
            <w:r w:rsidRPr="007D322B">
              <w:t>at</w:t>
            </w:r>
            <w:r w:rsidR="00EE0CCC">
              <w:t xml:space="preserve"> </w:t>
            </w:r>
            <w:r w:rsidRPr="007D322B">
              <w:t>original</w:t>
            </w:r>
            <w:r w:rsidR="00EE0CCC">
              <w:t xml:space="preserve"> </w:t>
            </w:r>
            <w:r w:rsidRPr="007D322B">
              <w:t>rate</w:t>
            </w:r>
          </w:p>
        </w:tc>
      </w:tr>
      <w:tr w:rsidR="00316251" w:rsidRPr="007D322B" w:rsidTr="00DB02A6">
        <w:tc>
          <w:tcPr>
            <w:tcW w:w="4503" w:type="dxa"/>
            <w:gridSpan w:val="2"/>
            <w:shd w:val="clear" w:color="auto" w:fill="auto"/>
          </w:tcPr>
          <w:p w:rsidR="00316251" w:rsidRPr="007D322B" w:rsidRDefault="00316251" w:rsidP="00A34C43">
            <w:r w:rsidRPr="007D322B">
              <w:t>Dilated</w:t>
            </w:r>
            <w:r w:rsidR="00EE0CCC">
              <w:t xml:space="preserve"> </w:t>
            </w:r>
            <w:r w:rsidRPr="007D322B">
              <w:t>pupils</w:t>
            </w:r>
            <w:r w:rsidR="00EE0CCC">
              <w:t xml:space="preserve"> </w:t>
            </w:r>
            <w:r w:rsidRPr="007D322B">
              <w:t>with</w:t>
            </w:r>
            <w:r w:rsidR="00EE0CCC">
              <w:t xml:space="preserve"> </w:t>
            </w:r>
            <w:r w:rsidRPr="007D322B">
              <w:t>sluggish</w:t>
            </w:r>
            <w:r w:rsidR="00EE0CCC">
              <w:t xml:space="preserve"> </w:t>
            </w:r>
            <w:r w:rsidRPr="007D322B">
              <w:t>light</w:t>
            </w:r>
            <w:r w:rsidR="00EE0CCC">
              <w:t xml:space="preserve"> </w:t>
            </w:r>
            <w:r w:rsidRPr="007D322B">
              <w:t>reflex</w:t>
            </w:r>
            <w:r w:rsidR="00EE0CCC">
              <w:t xml:space="preserve"> </w:t>
            </w:r>
            <w:r w:rsidRPr="007D322B">
              <w:t>+/-</w:t>
            </w:r>
            <w:r w:rsidR="00EE0CCC">
              <w:t xml:space="preserve"> </w:t>
            </w:r>
            <w:r w:rsidRPr="007D322B">
              <w:t>photophobia</w:t>
            </w:r>
          </w:p>
        </w:tc>
        <w:tc>
          <w:tcPr>
            <w:tcW w:w="5386" w:type="dxa"/>
            <w:shd w:val="clear" w:color="auto" w:fill="auto"/>
          </w:tcPr>
          <w:p w:rsidR="00316251" w:rsidRPr="007D322B" w:rsidRDefault="00316251" w:rsidP="00A34C43">
            <w:r w:rsidRPr="007D322B">
              <w:t>Interrupt</w:t>
            </w:r>
            <w:r w:rsidR="00EE0CCC">
              <w:t xml:space="preserve"> </w:t>
            </w:r>
            <w:r w:rsidRPr="007D322B">
              <w:t>infusion,</w:t>
            </w:r>
          </w:p>
          <w:p w:rsidR="00316251" w:rsidRPr="007D322B" w:rsidRDefault="00316251" w:rsidP="00A34C43">
            <w:r w:rsidRPr="007D322B">
              <w:t>After</w:t>
            </w:r>
            <w:r w:rsidR="00EE0CCC">
              <w:t xml:space="preserve"> </w:t>
            </w:r>
            <w:r w:rsidRPr="007D322B">
              <w:t>resolution,</w:t>
            </w:r>
            <w:r w:rsidR="00EE0CCC">
              <w:t xml:space="preserve"> </w:t>
            </w:r>
            <w:r w:rsidRPr="007D322B">
              <w:t>resume</w:t>
            </w:r>
            <w:r w:rsidR="00EE0CCC">
              <w:t xml:space="preserve"> </w:t>
            </w:r>
            <w:r w:rsidRPr="007D322B">
              <w:t>infusion</w:t>
            </w:r>
            <w:r w:rsidR="00EE0CCC">
              <w:t xml:space="preserve"> </w:t>
            </w:r>
            <w:r w:rsidRPr="007D322B">
              <w:t>at</w:t>
            </w:r>
            <w:r w:rsidR="00EE0CCC">
              <w:t xml:space="preserve"> </w:t>
            </w:r>
            <w:r w:rsidRPr="007D322B">
              <w:t>50%</w:t>
            </w:r>
            <w:r w:rsidR="00EE0CCC">
              <w:t xml:space="preserve"> </w:t>
            </w:r>
            <w:r w:rsidRPr="007D322B">
              <w:t>rate</w:t>
            </w:r>
          </w:p>
        </w:tc>
      </w:tr>
      <w:tr w:rsidR="00316251" w:rsidRPr="007D322B" w:rsidTr="00DB02A6">
        <w:tc>
          <w:tcPr>
            <w:tcW w:w="2216" w:type="dxa"/>
            <w:shd w:val="clear" w:color="auto" w:fill="auto"/>
          </w:tcPr>
          <w:p w:rsidR="00316251" w:rsidRPr="007D322B" w:rsidRDefault="00316251" w:rsidP="00A34C43">
            <w:r w:rsidRPr="007D322B">
              <w:t>Any</w:t>
            </w:r>
          </w:p>
        </w:tc>
        <w:tc>
          <w:tcPr>
            <w:tcW w:w="2287" w:type="dxa"/>
            <w:shd w:val="clear" w:color="auto" w:fill="auto"/>
          </w:tcPr>
          <w:p w:rsidR="00316251" w:rsidRPr="007D322B" w:rsidRDefault="00316251" w:rsidP="00A34C43">
            <w:r w:rsidRPr="007D322B">
              <w:t>Grade</w:t>
            </w:r>
            <w:r w:rsidR="00EE0CCC">
              <w:t xml:space="preserve"> ≥ </w:t>
            </w:r>
            <w:r w:rsidRPr="007D322B">
              <w:t>3</w:t>
            </w:r>
          </w:p>
        </w:tc>
        <w:tc>
          <w:tcPr>
            <w:tcW w:w="5386" w:type="dxa"/>
            <w:shd w:val="clear" w:color="auto" w:fill="auto"/>
          </w:tcPr>
          <w:p w:rsidR="00316251" w:rsidRPr="007D322B" w:rsidRDefault="00316251" w:rsidP="00A34C43">
            <w:r w:rsidRPr="007D322B">
              <w:t>Interrupt</w:t>
            </w:r>
            <w:r w:rsidR="00EE0CCC">
              <w:t xml:space="preserve"> </w:t>
            </w:r>
            <w:r w:rsidRPr="007D322B">
              <w:t>infusion</w:t>
            </w:r>
            <w:r w:rsidR="00EE0CCC">
              <w:t xml:space="preserve"> </w:t>
            </w:r>
            <w:r w:rsidRPr="007D322B">
              <w:t>and</w:t>
            </w:r>
            <w:r w:rsidR="00EE0CCC">
              <w:t xml:space="preserve"> </w:t>
            </w:r>
            <w:r w:rsidRPr="007D322B">
              <w:t>administer</w:t>
            </w:r>
            <w:r w:rsidR="00EE0CCC">
              <w:t xml:space="preserve"> </w:t>
            </w:r>
            <w:r w:rsidRPr="007D322B">
              <w:t>supportive</w:t>
            </w:r>
            <w:r w:rsidR="00EE0CCC">
              <w:t xml:space="preserve"> </w:t>
            </w:r>
            <w:r w:rsidRPr="007D322B">
              <w:t>measures,</w:t>
            </w:r>
          </w:p>
          <w:p w:rsidR="00316251" w:rsidRPr="007D322B" w:rsidRDefault="00316251" w:rsidP="00A34C43">
            <w:r w:rsidRPr="007D322B">
              <w:t>Resume</w:t>
            </w:r>
            <w:r w:rsidR="00EE0CCC">
              <w:t xml:space="preserve"> </w:t>
            </w:r>
            <w:r w:rsidRPr="007D322B">
              <w:t>infusion</w:t>
            </w:r>
            <w:r w:rsidR="00EE0CCC">
              <w:t xml:space="preserve"> </w:t>
            </w:r>
            <w:r w:rsidRPr="007D322B">
              <w:t>at</w:t>
            </w:r>
            <w:r w:rsidR="00EE0CCC">
              <w:t xml:space="preserve"> </w:t>
            </w:r>
            <w:r w:rsidRPr="007D322B">
              <w:t>50%</w:t>
            </w:r>
            <w:r w:rsidR="00EE0CCC">
              <w:t xml:space="preserve"> </w:t>
            </w:r>
            <w:r w:rsidRPr="007D322B">
              <w:t>rate</w:t>
            </w:r>
            <w:r w:rsidR="00EE0CCC">
              <w:t xml:space="preserve"> </w:t>
            </w:r>
            <w:r w:rsidRPr="007D322B">
              <w:t>if</w:t>
            </w:r>
            <w:r w:rsidR="00EE0CCC">
              <w:t xml:space="preserve"> </w:t>
            </w:r>
            <w:r w:rsidRPr="007D322B">
              <w:t>ADR</w:t>
            </w:r>
            <w:r w:rsidR="00EE0CCC">
              <w:t xml:space="preserve"> </w:t>
            </w:r>
            <w:r w:rsidRPr="007D322B">
              <w:t>resolves</w:t>
            </w:r>
            <w:r w:rsidR="00EE0CCC">
              <w:t xml:space="preserve"> </w:t>
            </w:r>
            <w:r w:rsidRPr="007D322B">
              <w:t>or</w:t>
            </w:r>
            <w:r w:rsidR="00EE0CCC">
              <w:t xml:space="preserve"> </w:t>
            </w:r>
            <w:r w:rsidRPr="007D322B">
              <w:t>improves</w:t>
            </w:r>
            <w:r w:rsidR="00EE0CCC">
              <w:t xml:space="preserve"> </w:t>
            </w:r>
            <w:r w:rsidRPr="007D322B">
              <w:t>to</w:t>
            </w:r>
            <w:r w:rsidR="00EE0CCC">
              <w:t xml:space="preserve"> </w:t>
            </w:r>
            <w:r w:rsidRPr="007D322B">
              <w:t>Grade</w:t>
            </w:r>
            <w:r w:rsidR="00EE0CCC">
              <w:t xml:space="preserve"> </w:t>
            </w:r>
            <w:r w:rsidRPr="007D322B">
              <w:t>1</w:t>
            </w:r>
            <w:r w:rsidR="00EE0CCC">
              <w:t xml:space="preserve"> </w:t>
            </w:r>
            <w:r w:rsidRPr="007D322B">
              <w:t>–</w:t>
            </w:r>
            <w:r w:rsidR="00EE0CCC">
              <w:t xml:space="preserve"> </w:t>
            </w:r>
            <w:r w:rsidRPr="007D322B">
              <w:t>2,</w:t>
            </w:r>
          </w:p>
          <w:p w:rsidR="00316251" w:rsidRPr="007D322B" w:rsidRDefault="00316251" w:rsidP="00A34C43">
            <w:r w:rsidRPr="007D322B">
              <w:t>After</w:t>
            </w:r>
            <w:r w:rsidR="00EE0CCC">
              <w:t xml:space="preserve"> </w:t>
            </w:r>
            <w:r w:rsidRPr="007D322B">
              <w:t>resolution,</w:t>
            </w:r>
            <w:r w:rsidR="00EE0CCC">
              <w:t xml:space="preserve"> </w:t>
            </w:r>
            <w:r w:rsidRPr="007D322B">
              <w:t>increase</w:t>
            </w:r>
            <w:r w:rsidR="00EE0CCC">
              <w:t xml:space="preserve"> </w:t>
            </w:r>
            <w:r w:rsidRPr="007D322B">
              <w:t>to</w:t>
            </w:r>
            <w:r w:rsidR="00EE0CCC">
              <w:t xml:space="preserve"> </w:t>
            </w:r>
            <w:r w:rsidRPr="007D322B">
              <w:t>original</w:t>
            </w:r>
            <w:r w:rsidR="00EE0CCC">
              <w:t xml:space="preserve"> </w:t>
            </w:r>
            <w:r w:rsidRPr="007D322B">
              <w:t>rate</w:t>
            </w:r>
          </w:p>
        </w:tc>
      </w:tr>
      <w:tr w:rsidR="00316251" w:rsidRPr="007D322B" w:rsidTr="00DB02A6">
        <w:tc>
          <w:tcPr>
            <w:tcW w:w="2216" w:type="dxa"/>
            <w:shd w:val="clear" w:color="auto" w:fill="auto"/>
          </w:tcPr>
          <w:p w:rsidR="00316251" w:rsidRPr="007D322B" w:rsidRDefault="00316251" w:rsidP="00A34C43"/>
        </w:tc>
        <w:tc>
          <w:tcPr>
            <w:tcW w:w="2287" w:type="dxa"/>
            <w:shd w:val="clear" w:color="auto" w:fill="auto"/>
          </w:tcPr>
          <w:p w:rsidR="00316251" w:rsidRPr="007D322B" w:rsidRDefault="00316251" w:rsidP="00A34C43">
            <w:r w:rsidRPr="007D322B">
              <w:t>Recurrent</w:t>
            </w:r>
          </w:p>
        </w:tc>
        <w:tc>
          <w:tcPr>
            <w:tcW w:w="5386" w:type="dxa"/>
            <w:shd w:val="clear" w:color="auto" w:fill="auto"/>
          </w:tcPr>
          <w:p w:rsidR="00316251" w:rsidRPr="007D322B" w:rsidRDefault="00316251" w:rsidP="00A34C43">
            <w:r w:rsidRPr="007D322B">
              <w:t>Discontinue</w:t>
            </w:r>
            <w:r w:rsidR="00EE0CCC">
              <w:t xml:space="preserve"> </w:t>
            </w:r>
            <w:r w:rsidRPr="007D322B">
              <w:t>infusion,</w:t>
            </w:r>
          </w:p>
          <w:p w:rsidR="00316251" w:rsidRPr="007D322B" w:rsidRDefault="00316251" w:rsidP="00A34C43">
            <w:r w:rsidRPr="007D322B">
              <w:t>Resume</w:t>
            </w:r>
            <w:r w:rsidR="00EE0CCC">
              <w:t xml:space="preserve"> </w:t>
            </w:r>
            <w:r w:rsidRPr="007D322B">
              <w:t>next</w:t>
            </w:r>
            <w:r w:rsidR="00EE0CCC">
              <w:t xml:space="preserve"> </w:t>
            </w:r>
            <w:r w:rsidRPr="007D322B">
              <w:t>day</w:t>
            </w:r>
            <w:r w:rsidR="00EE0CCC">
              <w:t xml:space="preserve"> </w:t>
            </w:r>
            <w:r w:rsidRPr="007D322B">
              <w:t>if</w:t>
            </w:r>
            <w:r w:rsidR="00EE0CCC">
              <w:t xml:space="preserve"> </w:t>
            </w:r>
            <w:r w:rsidRPr="007D322B">
              <w:t>ADR</w:t>
            </w:r>
            <w:r w:rsidR="00EE0CCC">
              <w:t xml:space="preserve"> </w:t>
            </w:r>
            <w:r w:rsidRPr="007D322B">
              <w:t>resolves</w:t>
            </w:r>
          </w:p>
        </w:tc>
      </w:tr>
      <w:tr w:rsidR="00316251" w:rsidRPr="007D322B" w:rsidTr="00DB02A6">
        <w:tc>
          <w:tcPr>
            <w:tcW w:w="2216" w:type="dxa"/>
            <w:shd w:val="clear" w:color="auto" w:fill="auto"/>
          </w:tcPr>
          <w:p w:rsidR="00316251" w:rsidRPr="007D322B" w:rsidRDefault="00316251" w:rsidP="00A34C43">
            <w:r w:rsidRPr="007D322B">
              <w:t>Hypersensitivity</w:t>
            </w:r>
            <w:r w:rsidR="00EE0CCC">
              <w:t xml:space="preserve"> </w:t>
            </w:r>
            <w:r w:rsidRPr="007D322B">
              <w:t>reaction</w:t>
            </w:r>
          </w:p>
        </w:tc>
        <w:tc>
          <w:tcPr>
            <w:tcW w:w="2287" w:type="dxa"/>
            <w:shd w:val="clear" w:color="auto" w:fill="auto"/>
          </w:tcPr>
          <w:p w:rsidR="00316251" w:rsidRPr="007D322B" w:rsidRDefault="00316251" w:rsidP="00A34C43">
            <w:r w:rsidRPr="007D322B">
              <w:t>e.g.</w:t>
            </w:r>
            <w:r w:rsidR="00EE0CCC">
              <w:t xml:space="preserve"> </w:t>
            </w:r>
            <w:r w:rsidRPr="007D322B">
              <w:t>bronchospasm,</w:t>
            </w:r>
            <w:r w:rsidR="00EE0CCC">
              <w:t xml:space="preserve"> </w:t>
            </w:r>
            <w:r w:rsidRPr="007D322B">
              <w:t>angioedema</w:t>
            </w:r>
          </w:p>
        </w:tc>
        <w:tc>
          <w:tcPr>
            <w:tcW w:w="5386" w:type="dxa"/>
            <w:shd w:val="clear" w:color="auto" w:fill="auto"/>
          </w:tcPr>
          <w:p w:rsidR="00316251" w:rsidRPr="007D322B" w:rsidRDefault="00316251" w:rsidP="00A34C43">
            <w:r w:rsidRPr="007D322B">
              <w:t>Interrupt</w:t>
            </w:r>
            <w:r w:rsidR="00EE0CCC">
              <w:t xml:space="preserve"> </w:t>
            </w:r>
            <w:r w:rsidRPr="007D322B">
              <w:t>infusion</w:t>
            </w:r>
            <w:r w:rsidR="00EE0CCC">
              <w:t xml:space="preserve"> </w:t>
            </w:r>
            <w:r w:rsidRPr="007D322B">
              <w:t>immediately</w:t>
            </w:r>
            <w:r w:rsidR="00EE0CCC">
              <w:t xml:space="preserve"> </w:t>
            </w:r>
            <w:r w:rsidRPr="007D322B">
              <w:t>and</w:t>
            </w:r>
            <w:r w:rsidR="00EE0CCC">
              <w:t xml:space="preserve"> </w:t>
            </w:r>
            <w:r w:rsidRPr="007D322B">
              <w:t>treat</w:t>
            </w:r>
            <w:r w:rsidR="00EE0CCC">
              <w:t xml:space="preserve"> </w:t>
            </w:r>
            <w:r w:rsidRPr="007D322B">
              <w:t>appropriately</w:t>
            </w:r>
            <w:r w:rsidR="00EE0CCC">
              <w:t xml:space="preserve"> </w:t>
            </w:r>
            <w:r w:rsidRPr="007D322B">
              <w:t>(see</w:t>
            </w:r>
            <w:r w:rsidR="00EE0CCC">
              <w:t xml:space="preserve"> </w:t>
            </w:r>
            <w:r w:rsidRPr="007D322B">
              <w:t>section</w:t>
            </w:r>
            <w:r w:rsidR="00EE0CCC">
              <w:t xml:space="preserve"> </w:t>
            </w:r>
            <w:hyperlink w:anchor="_special_warnings_and" w:history="1">
              <w:r w:rsidRPr="007D322B">
                <w:rPr>
                  <w:rStyle w:val="Hyperlink"/>
                  <w:rFonts w:ascii="Arial" w:hAnsi="Arial" w:cs="Arial"/>
                </w:rPr>
                <w:t>4.4</w:t>
              </w:r>
              <w:r w:rsidR="00EE0CCC">
                <w:rPr>
                  <w:rStyle w:val="Hyperlink"/>
                  <w:rFonts w:ascii="Arial" w:hAnsi="Arial" w:cs="Arial"/>
                </w:rPr>
                <w:t xml:space="preserve"> </w:t>
              </w:r>
              <w:r w:rsidRPr="007D322B">
                <w:rPr>
                  <w:rStyle w:val="Hyperlink"/>
                  <w:rFonts w:ascii="Arial" w:hAnsi="Arial" w:cs="Arial"/>
                </w:rPr>
                <w:t>SPECIAL</w:t>
              </w:r>
              <w:r w:rsidR="00EE0CCC">
                <w:rPr>
                  <w:rStyle w:val="Hyperlink"/>
                  <w:rFonts w:ascii="Arial" w:hAnsi="Arial" w:cs="Arial"/>
                </w:rPr>
                <w:t xml:space="preserve"> </w:t>
              </w:r>
              <w:r w:rsidRPr="007D322B">
                <w:rPr>
                  <w:rStyle w:val="Hyperlink"/>
                  <w:rFonts w:ascii="Arial" w:hAnsi="Arial" w:cs="Arial"/>
                </w:rPr>
                <w:t>WARNINGS</w:t>
              </w:r>
              <w:r w:rsidR="00EE0CCC">
                <w:rPr>
                  <w:rStyle w:val="Hyperlink"/>
                  <w:rFonts w:ascii="Arial" w:hAnsi="Arial" w:cs="Arial"/>
                </w:rPr>
                <w:t xml:space="preserve"> </w:t>
              </w:r>
              <w:r w:rsidRPr="007D322B">
                <w:rPr>
                  <w:rStyle w:val="Hyperlink"/>
                  <w:rFonts w:ascii="Arial" w:hAnsi="Arial" w:cs="Arial"/>
                </w:rPr>
                <w:t>AND</w:t>
              </w:r>
              <w:r w:rsidR="00EE0CCC">
                <w:rPr>
                  <w:rStyle w:val="Hyperlink"/>
                  <w:rFonts w:ascii="Arial" w:hAnsi="Arial" w:cs="Arial"/>
                </w:rPr>
                <w:t xml:space="preserve"> </w:t>
              </w:r>
              <w:r w:rsidRPr="007D322B">
                <w:rPr>
                  <w:rStyle w:val="Hyperlink"/>
                  <w:rFonts w:ascii="Arial" w:hAnsi="Arial" w:cs="Arial"/>
                </w:rPr>
                <w:t>PRECAUTIONS</w:t>
              </w:r>
              <w:r w:rsidR="00EE0CCC">
                <w:rPr>
                  <w:rStyle w:val="Hyperlink"/>
                  <w:rFonts w:ascii="Arial" w:hAnsi="Arial" w:cs="Arial"/>
                </w:rPr>
                <w:t xml:space="preserve"> </w:t>
              </w:r>
              <w:r w:rsidRPr="007D322B">
                <w:rPr>
                  <w:rStyle w:val="Hyperlink"/>
                  <w:rFonts w:ascii="Arial" w:hAnsi="Arial" w:cs="Arial"/>
                </w:rPr>
                <w:t>FOR</w:t>
              </w:r>
              <w:r w:rsidR="00EE0CCC">
                <w:rPr>
                  <w:rStyle w:val="Hyperlink"/>
                  <w:rFonts w:ascii="Arial" w:hAnsi="Arial" w:cs="Arial"/>
                </w:rPr>
                <w:t xml:space="preserve"> </w:t>
              </w:r>
              <w:r w:rsidRPr="007D322B">
                <w:rPr>
                  <w:rStyle w:val="Hyperlink"/>
                  <w:rFonts w:ascii="Arial" w:hAnsi="Arial" w:cs="Arial"/>
                </w:rPr>
                <w:t>USE</w:t>
              </w:r>
            </w:hyperlink>
            <w:r w:rsidRPr="007D322B">
              <w:t>),</w:t>
            </w:r>
          </w:p>
          <w:p w:rsidR="00316251" w:rsidRPr="007D322B" w:rsidRDefault="00316251" w:rsidP="00A34C43">
            <w:r w:rsidRPr="007D322B">
              <w:t>Resume</w:t>
            </w:r>
            <w:r w:rsidR="00EE0CCC">
              <w:t xml:space="preserve"> </w:t>
            </w:r>
            <w:r w:rsidRPr="007D322B">
              <w:t>treatment</w:t>
            </w:r>
            <w:r w:rsidR="00EE0CCC">
              <w:t xml:space="preserve"> </w:t>
            </w:r>
            <w:r w:rsidRPr="007D322B">
              <w:t>for</w:t>
            </w:r>
            <w:r w:rsidR="00EE0CCC">
              <w:t xml:space="preserve"> </w:t>
            </w:r>
            <w:r w:rsidRPr="007D322B">
              <w:t>subsequent</w:t>
            </w:r>
            <w:r w:rsidR="00EE0CCC">
              <w:t xml:space="preserve"> </w:t>
            </w:r>
            <w:r w:rsidRPr="007D322B">
              <w:t>courses</w:t>
            </w:r>
          </w:p>
        </w:tc>
      </w:tr>
      <w:tr w:rsidR="00316251" w:rsidRPr="007D322B" w:rsidTr="00DB02A6">
        <w:tc>
          <w:tcPr>
            <w:tcW w:w="2216" w:type="dxa"/>
            <w:shd w:val="clear" w:color="auto" w:fill="auto"/>
          </w:tcPr>
          <w:p w:rsidR="00316251" w:rsidRPr="007D322B" w:rsidRDefault="00316251" w:rsidP="00A34C43">
            <w:r w:rsidRPr="007D322B">
              <w:t>Capillary</w:t>
            </w:r>
            <w:r w:rsidR="00EE0CCC">
              <w:t xml:space="preserve"> </w:t>
            </w:r>
            <w:r w:rsidRPr="007D322B">
              <w:t>leak</w:t>
            </w:r>
            <w:r w:rsidR="00EE0CCC">
              <w:t xml:space="preserve"> </w:t>
            </w:r>
            <w:r w:rsidRPr="007D322B">
              <w:t>syndrome</w:t>
            </w:r>
          </w:p>
        </w:tc>
        <w:tc>
          <w:tcPr>
            <w:tcW w:w="2287" w:type="dxa"/>
            <w:shd w:val="clear" w:color="auto" w:fill="auto"/>
          </w:tcPr>
          <w:p w:rsidR="00316251" w:rsidRPr="007D322B" w:rsidRDefault="00316251" w:rsidP="00A34C43"/>
        </w:tc>
        <w:tc>
          <w:tcPr>
            <w:tcW w:w="5386" w:type="dxa"/>
            <w:shd w:val="clear" w:color="auto" w:fill="auto"/>
          </w:tcPr>
          <w:p w:rsidR="00316251" w:rsidRPr="007D322B" w:rsidRDefault="00316251" w:rsidP="00A34C43">
            <w:r w:rsidRPr="007D322B">
              <w:t>Interrupt</w:t>
            </w:r>
            <w:r w:rsidR="00EE0CCC">
              <w:t xml:space="preserve"> </w:t>
            </w:r>
            <w:r w:rsidRPr="007D322B">
              <w:t>infusion</w:t>
            </w:r>
            <w:r w:rsidR="00EE0CCC">
              <w:t xml:space="preserve"> </w:t>
            </w:r>
            <w:r w:rsidRPr="007D322B">
              <w:t>and</w:t>
            </w:r>
            <w:r w:rsidR="00EE0CCC">
              <w:t xml:space="preserve"> </w:t>
            </w:r>
            <w:r w:rsidRPr="007D322B">
              <w:t>administer</w:t>
            </w:r>
            <w:r w:rsidR="00EE0CCC">
              <w:t xml:space="preserve"> </w:t>
            </w:r>
            <w:r w:rsidRPr="007D322B">
              <w:t>supportive</w:t>
            </w:r>
            <w:r w:rsidR="00EE0CCC">
              <w:t xml:space="preserve"> </w:t>
            </w:r>
            <w:r w:rsidRPr="007D322B">
              <w:t>measures,</w:t>
            </w:r>
          </w:p>
          <w:p w:rsidR="00316251" w:rsidRPr="007D322B" w:rsidRDefault="00316251" w:rsidP="00A34C43">
            <w:r w:rsidRPr="007D322B">
              <w:t>Resume</w:t>
            </w:r>
            <w:r w:rsidR="00EE0CCC">
              <w:t xml:space="preserve"> </w:t>
            </w:r>
            <w:r w:rsidRPr="007D322B">
              <w:t>at</w:t>
            </w:r>
            <w:r w:rsidR="00EE0CCC">
              <w:t xml:space="preserve"> </w:t>
            </w:r>
            <w:r w:rsidRPr="007D322B">
              <w:t>50%</w:t>
            </w:r>
            <w:r w:rsidR="00EE0CCC">
              <w:t xml:space="preserve"> </w:t>
            </w:r>
            <w:r w:rsidRPr="007D322B">
              <w:t>rate</w:t>
            </w:r>
            <w:r w:rsidR="00EE0CCC">
              <w:t xml:space="preserve"> </w:t>
            </w:r>
            <w:r w:rsidRPr="007D322B">
              <w:t>if</w:t>
            </w:r>
            <w:r w:rsidR="00EE0CCC">
              <w:t xml:space="preserve"> </w:t>
            </w:r>
            <w:r w:rsidRPr="007D322B">
              <w:t>ADR</w:t>
            </w:r>
            <w:r w:rsidR="00EE0CCC">
              <w:t xml:space="preserve"> </w:t>
            </w:r>
            <w:r w:rsidRPr="007D322B">
              <w:t>resolves</w:t>
            </w:r>
            <w:r w:rsidR="00EE0CCC">
              <w:t xml:space="preserve"> </w:t>
            </w:r>
            <w:r w:rsidRPr="007D322B">
              <w:t>or</w:t>
            </w:r>
            <w:r w:rsidR="00EE0CCC">
              <w:t xml:space="preserve"> </w:t>
            </w:r>
            <w:r w:rsidRPr="007D322B">
              <w:t>improves</w:t>
            </w:r>
            <w:r w:rsidR="00EE0CCC">
              <w:t xml:space="preserve"> </w:t>
            </w:r>
            <w:r w:rsidRPr="007D322B">
              <w:t>to</w:t>
            </w:r>
            <w:r w:rsidR="00EE0CCC">
              <w:t xml:space="preserve"> </w:t>
            </w:r>
            <w:r w:rsidRPr="007D322B">
              <w:t>Grade</w:t>
            </w:r>
            <w:r w:rsidR="00EE0CCC">
              <w:t xml:space="preserve"> </w:t>
            </w:r>
            <w:r w:rsidRPr="007D322B">
              <w:t>1</w:t>
            </w:r>
            <w:r w:rsidR="00EE0CCC">
              <w:t xml:space="preserve"> </w:t>
            </w:r>
            <w:r w:rsidRPr="007D322B">
              <w:t>–</w:t>
            </w:r>
            <w:r w:rsidR="00EE0CCC">
              <w:t xml:space="preserve"> </w:t>
            </w:r>
            <w:r w:rsidRPr="007D322B">
              <w:t>2</w:t>
            </w:r>
          </w:p>
        </w:tc>
      </w:tr>
    </w:tbl>
    <w:p w:rsidR="00316251" w:rsidRPr="007D322B" w:rsidRDefault="00316251" w:rsidP="00316251">
      <w:pPr>
        <w:rPr>
          <w:rFonts w:ascii="Arial" w:hAnsi="Arial" w:cs="Arial"/>
          <w:i/>
        </w:rPr>
      </w:pPr>
    </w:p>
    <w:p w:rsidR="00316251" w:rsidRPr="00A75E2D" w:rsidRDefault="00316251" w:rsidP="00A75E2D">
      <w:pPr>
        <w:rPr>
          <w:b/>
        </w:rPr>
      </w:pPr>
      <w:r w:rsidRPr="00A75E2D">
        <w:rPr>
          <w:b/>
        </w:rPr>
        <w:t>Treatment</w:t>
      </w:r>
      <w:r w:rsidR="00EE0CCC" w:rsidRPr="00A75E2D">
        <w:rPr>
          <w:b/>
        </w:rPr>
        <w:t xml:space="preserve"> </w:t>
      </w:r>
      <w:r w:rsidRPr="00A75E2D">
        <w:rPr>
          <w:b/>
        </w:rPr>
        <w:t>with</w:t>
      </w:r>
      <w:r w:rsidR="00EE0CCC" w:rsidRPr="00A75E2D">
        <w:rPr>
          <w:b/>
        </w:rPr>
        <w:t xml:space="preserve"> </w:t>
      </w:r>
      <w:r w:rsidRPr="00A75E2D">
        <w:rPr>
          <w:b/>
        </w:rPr>
        <w:t>dinutuximab</w:t>
      </w:r>
      <w:r w:rsidR="00EE0CCC" w:rsidRPr="00A75E2D">
        <w:rPr>
          <w:b/>
        </w:rPr>
        <w:t xml:space="preserve"> </w:t>
      </w:r>
      <w:r w:rsidRPr="00A75E2D">
        <w:rPr>
          <w:b/>
        </w:rPr>
        <w:t>beta</w:t>
      </w:r>
      <w:r w:rsidR="00EE0CCC" w:rsidRPr="00A75E2D">
        <w:rPr>
          <w:b/>
        </w:rPr>
        <w:t xml:space="preserve"> </w:t>
      </w:r>
      <w:r w:rsidRPr="00A75E2D">
        <w:rPr>
          <w:b/>
        </w:rPr>
        <w:t>should</w:t>
      </w:r>
      <w:r w:rsidR="00EE0CCC" w:rsidRPr="00A75E2D">
        <w:rPr>
          <w:b/>
        </w:rPr>
        <w:t xml:space="preserve"> </w:t>
      </w:r>
      <w:r w:rsidRPr="00A75E2D">
        <w:rPr>
          <w:b/>
        </w:rPr>
        <w:t>be</w:t>
      </w:r>
      <w:r w:rsidR="00EE0CCC" w:rsidRPr="00A75E2D">
        <w:rPr>
          <w:b/>
        </w:rPr>
        <w:t xml:space="preserve"> </w:t>
      </w:r>
      <w:r w:rsidRPr="00A75E2D">
        <w:rPr>
          <w:b/>
        </w:rPr>
        <w:t>permanently</w:t>
      </w:r>
      <w:r w:rsidR="00EE0CCC" w:rsidRPr="00A75E2D">
        <w:rPr>
          <w:b/>
        </w:rPr>
        <w:t xml:space="preserve"> </w:t>
      </w:r>
      <w:r w:rsidRPr="00A75E2D">
        <w:rPr>
          <w:b/>
        </w:rPr>
        <w:t>discontinued</w:t>
      </w:r>
      <w:r w:rsidR="00EE0CCC" w:rsidRPr="00A75E2D">
        <w:rPr>
          <w:b/>
        </w:rPr>
        <w:t xml:space="preserve"> </w:t>
      </w:r>
      <w:r w:rsidRPr="00A75E2D">
        <w:rPr>
          <w:b/>
        </w:rPr>
        <w:t>if</w:t>
      </w:r>
      <w:r w:rsidR="00EE0CCC" w:rsidRPr="00A75E2D">
        <w:rPr>
          <w:b/>
        </w:rPr>
        <w:t xml:space="preserve"> </w:t>
      </w:r>
      <w:r w:rsidRPr="00A75E2D">
        <w:rPr>
          <w:b/>
        </w:rPr>
        <w:t>the</w:t>
      </w:r>
      <w:r w:rsidR="00EE0CCC" w:rsidRPr="00A75E2D">
        <w:rPr>
          <w:b/>
        </w:rPr>
        <w:t xml:space="preserve"> </w:t>
      </w:r>
      <w:r w:rsidRPr="00A75E2D">
        <w:rPr>
          <w:b/>
        </w:rPr>
        <w:t>following</w:t>
      </w:r>
      <w:r w:rsidR="00EE0CCC" w:rsidRPr="00A75E2D">
        <w:rPr>
          <w:b/>
        </w:rPr>
        <w:t xml:space="preserve"> </w:t>
      </w:r>
      <w:r w:rsidRPr="00A75E2D">
        <w:rPr>
          <w:b/>
        </w:rPr>
        <w:t>toxicities</w:t>
      </w:r>
      <w:r w:rsidR="00EE0CCC" w:rsidRPr="00A75E2D">
        <w:rPr>
          <w:b/>
        </w:rPr>
        <w:t xml:space="preserve"> </w:t>
      </w:r>
      <w:r w:rsidRPr="00A75E2D">
        <w:rPr>
          <w:b/>
        </w:rPr>
        <w:t>occur:</w:t>
      </w:r>
    </w:p>
    <w:p w:rsidR="00316251" w:rsidRPr="007D322B" w:rsidRDefault="00316251" w:rsidP="00A75E2D">
      <w:pPr>
        <w:pStyle w:val="ListParagraph"/>
        <w:numPr>
          <w:ilvl w:val="0"/>
          <w:numId w:val="18"/>
        </w:numPr>
      </w:pPr>
      <w:r w:rsidRPr="007D322B">
        <w:t>grade</w:t>
      </w:r>
      <w:r w:rsidR="00EE0CCC">
        <w:t xml:space="preserve"> </w:t>
      </w:r>
      <w:r w:rsidRPr="007D322B">
        <w:t>3</w:t>
      </w:r>
      <w:r w:rsidR="00EE0CCC">
        <w:t xml:space="preserve"> </w:t>
      </w:r>
      <w:r w:rsidRPr="007D322B">
        <w:t>or</w:t>
      </w:r>
      <w:r w:rsidR="00EE0CCC">
        <w:t xml:space="preserve"> </w:t>
      </w:r>
      <w:r w:rsidRPr="007D322B">
        <w:t>4</w:t>
      </w:r>
      <w:r w:rsidR="00EE0CCC">
        <w:t xml:space="preserve"> </w:t>
      </w:r>
      <w:r w:rsidRPr="007D322B">
        <w:t>anaphylaxis</w:t>
      </w:r>
    </w:p>
    <w:p w:rsidR="00316251" w:rsidRPr="007D322B" w:rsidRDefault="00316251" w:rsidP="00A75E2D">
      <w:pPr>
        <w:pStyle w:val="ListParagraph"/>
        <w:numPr>
          <w:ilvl w:val="0"/>
          <w:numId w:val="18"/>
        </w:numPr>
      </w:pPr>
      <w:r w:rsidRPr="007D322B">
        <w:t>prolonged</w:t>
      </w:r>
      <w:r w:rsidR="00EE0CCC">
        <w:t xml:space="preserve"> </w:t>
      </w:r>
      <w:r w:rsidRPr="007D322B">
        <w:t>grade</w:t>
      </w:r>
      <w:r w:rsidR="00EE0CCC">
        <w:t xml:space="preserve"> </w:t>
      </w:r>
      <w:r w:rsidRPr="007D322B">
        <w:t>2</w:t>
      </w:r>
      <w:r w:rsidR="00EE0CCC">
        <w:t xml:space="preserve"> </w:t>
      </w:r>
      <w:r w:rsidRPr="007D322B">
        <w:t>peripheral</w:t>
      </w:r>
      <w:r w:rsidR="00EE0CCC">
        <w:t xml:space="preserve"> </w:t>
      </w:r>
      <w:r w:rsidRPr="007D322B">
        <w:t>motor</w:t>
      </w:r>
      <w:r w:rsidR="00EE0CCC">
        <w:t xml:space="preserve"> </w:t>
      </w:r>
      <w:r w:rsidRPr="007D322B">
        <w:t>neuropathy</w:t>
      </w:r>
    </w:p>
    <w:p w:rsidR="00316251" w:rsidRPr="007D322B" w:rsidRDefault="00316251" w:rsidP="00A75E2D">
      <w:pPr>
        <w:pStyle w:val="ListParagraph"/>
        <w:numPr>
          <w:ilvl w:val="0"/>
          <w:numId w:val="18"/>
        </w:numPr>
      </w:pPr>
      <w:r w:rsidRPr="007D322B">
        <w:t>grade</w:t>
      </w:r>
      <w:r w:rsidR="00EE0CCC">
        <w:t xml:space="preserve"> </w:t>
      </w:r>
      <w:r w:rsidRPr="007D322B">
        <w:t>3</w:t>
      </w:r>
      <w:r w:rsidR="00EE0CCC">
        <w:t xml:space="preserve"> </w:t>
      </w:r>
      <w:r w:rsidRPr="007D322B">
        <w:t>peripheral</w:t>
      </w:r>
      <w:r w:rsidR="00EE0CCC">
        <w:t xml:space="preserve"> </w:t>
      </w:r>
      <w:r w:rsidRPr="007D322B">
        <w:t>neuropathy</w:t>
      </w:r>
    </w:p>
    <w:p w:rsidR="00316251" w:rsidRPr="007D322B" w:rsidRDefault="00316251" w:rsidP="00A75E2D">
      <w:pPr>
        <w:pStyle w:val="ListParagraph"/>
        <w:numPr>
          <w:ilvl w:val="0"/>
          <w:numId w:val="18"/>
        </w:numPr>
      </w:pPr>
      <w:r w:rsidRPr="007D322B">
        <w:t>grade</w:t>
      </w:r>
      <w:r w:rsidR="00EE0CCC">
        <w:t xml:space="preserve"> </w:t>
      </w:r>
      <w:r w:rsidRPr="007D322B">
        <w:t>3</w:t>
      </w:r>
      <w:r w:rsidR="00EE0CCC">
        <w:t xml:space="preserve"> </w:t>
      </w:r>
      <w:r w:rsidRPr="007D322B">
        <w:t>vision</w:t>
      </w:r>
      <w:r w:rsidR="00EE0CCC">
        <w:t xml:space="preserve"> </w:t>
      </w:r>
      <w:r w:rsidRPr="007D322B">
        <w:t>eye</w:t>
      </w:r>
      <w:r w:rsidR="00EE0CCC">
        <w:t xml:space="preserve"> </w:t>
      </w:r>
      <w:r w:rsidRPr="007D322B">
        <w:t>toxicity</w:t>
      </w:r>
    </w:p>
    <w:p w:rsidR="00316251" w:rsidRPr="007D322B" w:rsidRDefault="00316251" w:rsidP="00A75E2D">
      <w:pPr>
        <w:pStyle w:val="ListParagraph"/>
        <w:numPr>
          <w:ilvl w:val="0"/>
          <w:numId w:val="18"/>
        </w:numPr>
      </w:pPr>
      <w:r w:rsidRPr="007D322B">
        <w:t>grade</w:t>
      </w:r>
      <w:r w:rsidR="00EE0CCC">
        <w:t xml:space="preserve"> </w:t>
      </w:r>
      <w:r w:rsidRPr="007D322B">
        <w:t>4</w:t>
      </w:r>
      <w:r w:rsidR="00EE0CCC">
        <w:t xml:space="preserve"> </w:t>
      </w:r>
      <w:r w:rsidRPr="007D322B">
        <w:t>hyponatremia</w:t>
      </w:r>
      <w:r w:rsidR="00EE0CCC">
        <w:t xml:space="preserve"> </w:t>
      </w:r>
      <w:r w:rsidRPr="007D322B">
        <w:t>(&lt;</w:t>
      </w:r>
      <w:r w:rsidR="00EE0CCC">
        <w:t xml:space="preserve"> </w:t>
      </w:r>
      <w:r w:rsidRPr="007D322B">
        <w:t>120</w:t>
      </w:r>
      <w:r w:rsidR="00EE0CCC">
        <w:t xml:space="preserve"> </w:t>
      </w:r>
      <w:r w:rsidRPr="007D322B">
        <w:t>mEq/L)</w:t>
      </w:r>
      <w:r w:rsidR="00EE0CCC">
        <w:t xml:space="preserve"> </w:t>
      </w:r>
      <w:r w:rsidRPr="007D322B">
        <w:t>despite</w:t>
      </w:r>
      <w:r w:rsidR="00EE0CCC">
        <w:t xml:space="preserve"> </w:t>
      </w:r>
      <w:r w:rsidRPr="007D322B">
        <w:t>appropriate</w:t>
      </w:r>
      <w:r w:rsidR="00EE0CCC">
        <w:t xml:space="preserve"> </w:t>
      </w:r>
      <w:r w:rsidRPr="007D322B">
        <w:t>fluid</w:t>
      </w:r>
      <w:r w:rsidR="00EE0CCC">
        <w:t xml:space="preserve"> </w:t>
      </w:r>
      <w:r w:rsidRPr="007D322B">
        <w:t>management</w:t>
      </w:r>
    </w:p>
    <w:p w:rsidR="00316251" w:rsidRPr="007D322B" w:rsidRDefault="00316251" w:rsidP="00A75E2D">
      <w:pPr>
        <w:pStyle w:val="ListParagraph"/>
        <w:numPr>
          <w:ilvl w:val="0"/>
          <w:numId w:val="18"/>
        </w:numPr>
      </w:pPr>
      <w:r w:rsidRPr="007D322B">
        <w:t>recurrent</w:t>
      </w:r>
      <w:r w:rsidR="00EE0CCC">
        <w:t xml:space="preserve"> </w:t>
      </w:r>
      <w:r w:rsidRPr="007D322B">
        <w:t>or</w:t>
      </w:r>
      <w:r w:rsidR="00EE0CCC">
        <w:t xml:space="preserve"> </w:t>
      </w:r>
      <w:r w:rsidRPr="007D322B">
        <w:t>grade</w:t>
      </w:r>
      <w:r w:rsidR="00EE0CCC">
        <w:t xml:space="preserve"> </w:t>
      </w:r>
      <w:r w:rsidRPr="007D322B">
        <w:t>4</w:t>
      </w:r>
      <w:r w:rsidR="00EE0CCC">
        <w:t xml:space="preserve"> </w:t>
      </w:r>
      <w:r w:rsidRPr="007D322B">
        <w:t>capillary</w:t>
      </w:r>
      <w:r w:rsidR="00EE0CCC">
        <w:t xml:space="preserve"> </w:t>
      </w:r>
      <w:r w:rsidRPr="007D322B">
        <w:t>leak</w:t>
      </w:r>
      <w:r w:rsidR="00EE0CCC">
        <w:t xml:space="preserve"> </w:t>
      </w:r>
      <w:r w:rsidRPr="007D322B">
        <w:t>syndrome</w:t>
      </w:r>
      <w:r w:rsidR="00EE0CCC">
        <w:t xml:space="preserve"> </w:t>
      </w:r>
      <w:r w:rsidRPr="007D322B">
        <w:t>(requires</w:t>
      </w:r>
      <w:r w:rsidR="00EE0CCC">
        <w:t xml:space="preserve"> </w:t>
      </w:r>
      <w:r w:rsidRPr="007D322B">
        <w:t>ventilator</w:t>
      </w:r>
      <w:r w:rsidR="00EE0CCC">
        <w:t xml:space="preserve"> </w:t>
      </w:r>
      <w:r w:rsidRPr="007D322B">
        <w:t>support)</w:t>
      </w:r>
    </w:p>
    <w:p w:rsidR="00316251" w:rsidRPr="007D322B" w:rsidRDefault="00316251" w:rsidP="00316251">
      <w:pPr>
        <w:rPr>
          <w:rFonts w:ascii="Arial" w:hAnsi="Arial" w:cs="Arial"/>
          <w:i/>
        </w:rPr>
      </w:pPr>
    </w:p>
    <w:p w:rsidR="00316251" w:rsidRPr="007D322B" w:rsidRDefault="00316251" w:rsidP="00316251">
      <w:pPr>
        <w:keepNext/>
        <w:keepLines/>
        <w:rPr>
          <w:rFonts w:ascii="Arial" w:hAnsi="Arial" w:cs="Arial"/>
          <w:b/>
          <w:bCs/>
          <w:iCs/>
        </w:rPr>
      </w:pPr>
      <w:r w:rsidRPr="007D322B">
        <w:rPr>
          <w:rFonts w:ascii="Arial" w:hAnsi="Arial" w:cs="Arial"/>
          <w:b/>
          <w:bCs/>
          <w:iCs/>
        </w:rPr>
        <w:t>Renal</w:t>
      </w:r>
      <w:r w:rsidR="00EE0CCC">
        <w:rPr>
          <w:rFonts w:ascii="Arial" w:hAnsi="Arial" w:cs="Arial"/>
          <w:b/>
          <w:bCs/>
          <w:iCs/>
        </w:rPr>
        <w:t xml:space="preserve"> </w:t>
      </w:r>
      <w:r w:rsidRPr="007D322B">
        <w:rPr>
          <w:rFonts w:ascii="Arial" w:hAnsi="Arial" w:cs="Arial"/>
          <w:b/>
          <w:bCs/>
          <w:iCs/>
        </w:rPr>
        <w:t>and</w:t>
      </w:r>
      <w:r w:rsidR="00EE0CCC">
        <w:rPr>
          <w:rFonts w:ascii="Arial" w:hAnsi="Arial" w:cs="Arial"/>
          <w:b/>
          <w:bCs/>
          <w:iCs/>
        </w:rPr>
        <w:t xml:space="preserve"> </w:t>
      </w:r>
      <w:r w:rsidRPr="007D322B">
        <w:rPr>
          <w:rFonts w:ascii="Arial" w:hAnsi="Arial" w:cs="Arial"/>
          <w:b/>
          <w:bCs/>
          <w:iCs/>
        </w:rPr>
        <w:t>hepatic</w:t>
      </w:r>
      <w:r w:rsidR="00EE0CCC">
        <w:rPr>
          <w:rFonts w:ascii="Arial" w:hAnsi="Arial" w:cs="Arial"/>
          <w:b/>
          <w:bCs/>
          <w:iCs/>
        </w:rPr>
        <w:t xml:space="preserve"> </w:t>
      </w:r>
      <w:r w:rsidRPr="007D322B">
        <w:rPr>
          <w:rFonts w:ascii="Arial" w:hAnsi="Arial" w:cs="Arial"/>
          <w:b/>
          <w:bCs/>
          <w:iCs/>
        </w:rPr>
        <w:t>impairment</w:t>
      </w:r>
    </w:p>
    <w:p w:rsidR="00316251" w:rsidRPr="007D322B" w:rsidRDefault="00316251" w:rsidP="00316251">
      <w:pPr>
        <w:pStyle w:val="ParagraphStyle"/>
        <w:keepNext/>
        <w:keepLines/>
        <w:spacing w:before="0" w:after="0"/>
        <w:rPr>
          <w:rFonts w:ascii="Arial" w:hAnsi="Arial" w:cs="Arial"/>
          <w:szCs w:val="24"/>
          <w:lang w:val="en-AU"/>
        </w:rPr>
      </w:pPr>
      <w:r w:rsidRPr="007D322B">
        <w:rPr>
          <w:rFonts w:ascii="Arial" w:hAnsi="Arial" w:cs="Arial"/>
          <w:szCs w:val="24"/>
          <w:lang w:val="en-AU"/>
        </w:rPr>
        <w:t>There</w:t>
      </w:r>
      <w:r w:rsidR="00EE0CCC">
        <w:rPr>
          <w:rFonts w:ascii="Arial" w:hAnsi="Arial" w:cs="Arial"/>
          <w:szCs w:val="24"/>
          <w:lang w:val="en-AU"/>
        </w:rPr>
        <w:t xml:space="preserve"> </w:t>
      </w:r>
      <w:r w:rsidRPr="007D322B">
        <w:rPr>
          <w:rFonts w:ascii="Arial" w:hAnsi="Arial" w:cs="Arial"/>
          <w:szCs w:val="24"/>
          <w:lang w:val="en-AU"/>
        </w:rPr>
        <w:t>are</w:t>
      </w:r>
      <w:r w:rsidR="00EE0CCC">
        <w:rPr>
          <w:rFonts w:ascii="Arial" w:hAnsi="Arial" w:cs="Arial"/>
          <w:szCs w:val="24"/>
          <w:lang w:val="en-AU"/>
        </w:rPr>
        <w:t xml:space="preserve"> </w:t>
      </w:r>
      <w:r w:rsidRPr="007D322B">
        <w:rPr>
          <w:rFonts w:ascii="Arial" w:hAnsi="Arial" w:cs="Arial"/>
          <w:szCs w:val="24"/>
          <w:lang w:val="en-AU"/>
        </w:rPr>
        <w:t>no</w:t>
      </w:r>
      <w:r w:rsidR="00EE0CCC">
        <w:rPr>
          <w:rFonts w:ascii="Arial" w:hAnsi="Arial" w:cs="Arial"/>
          <w:szCs w:val="24"/>
          <w:lang w:val="en-AU"/>
        </w:rPr>
        <w:t xml:space="preserve"> </w:t>
      </w:r>
      <w:r w:rsidRPr="007D322B">
        <w:rPr>
          <w:rFonts w:ascii="Arial" w:hAnsi="Arial" w:cs="Arial"/>
          <w:szCs w:val="24"/>
          <w:lang w:val="en-AU"/>
        </w:rPr>
        <w:t>data</w:t>
      </w:r>
      <w:r w:rsidR="00EE0CCC">
        <w:rPr>
          <w:rFonts w:ascii="Arial" w:hAnsi="Arial" w:cs="Arial"/>
          <w:szCs w:val="24"/>
          <w:lang w:val="en-AU"/>
        </w:rPr>
        <w:t xml:space="preserve"> </w:t>
      </w:r>
      <w:r w:rsidRPr="007D322B">
        <w:rPr>
          <w:rFonts w:ascii="Arial" w:hAnsi="Arial" w:cs="Arial"/>
          <w:szCs w:val="24"/>
          <w:lang w:val="en-AU"/>
        </w:rPr>
        <w:t>in</w:t>
      </w:r>
      <w:r w:rsidR="00EE0CCC">
        <w:rPr>
          <w:rFonts w:ascii="Arial" w:hAnsi="Arial" w:cs="Arial"/>
          <w:szCs w:val="24"/>
          <w:lang w:val="en-AU"/>
        </w:rPr>
        <w:t xml:space="preserve"> </w:t>
      </w:r>
      <w:r w:rsidRPr="007D322B">
        <w:rPr>
          <w:rFonts w:ascii="Arial" w:hAnsi="Arial" w:cs="Arial"/>
          <w:szCs w:val="24"/>
          <w:lang w:val="en-AU"/>
        </w:rPr>
        <w:t>patients</w:t>
      </w:r>
      <w:r w:rsidR="00EE0CCC">
        <w:rPr>
          <w:rFonts w:ascii="Arial" w:hAnsi="Arial" w:cs="Arial"/>
          <w:szCs w:val="24"/>
          <w:lang w:val="en-AU"/>
        </w:rPr>
        <w:t xml:space="preserve"> </w:t>
      </w:r>
      <w:r w:rsidRPr="007D322B">
        <w:rPr>
          <w:rFonts w:ascii="Arial" w:hAnsi="Arial" w:cs="Arial"/>
          <w:szCs w:val="24"/>
          <w:lang w:val="en-AU"/>
        </w:rPr>
        <w:t>with</w:t>
      </w:r>
      <w:r w:rsidR="00EE0CCC">
        <w:rPr>
          <w:rFonts w:ascii="Arial" w:hAnsi="Arial" w:cs="Arial"/>
          <w:szCs w:val="24"/>
          <w:lang w:val="en-AU"/>
        </w:rPr>
        <w:t xml:space="preserve"> </w:t>
      </w:r>
      <w:r w:rsidRPr="007D322B">
        <w:rPr>
          <w:rFonts w:ascii="Arial" w:hAnsi="Arial" w:cs="Arial"/>
          <w:szCs w:val="24"/>
          <w:lang w:val="en-AU"/>
        </w:rPr>
        <w:t>renal</w:t>
      </w:r>
      <w:r w:rsidR="00EE0CCC">
        <w:rPr>
          <w:rFonts w:ascii="Arial" w:hAnsi="Arial" w:cs="Arial"/>
          <w:szCs w:val="24"/>
          <w:lang w:val="en-AU"/>
        </w:rPr>
        <w:t xml:space="preserve"> </w:t>
      </w:r>
      <w:r w:rsidRPr="007D322B">
        <w:rPr>
          <w:rFonts w:ascii="Arial" w:hAnsi="Arial" w:cs="Arial"/>
          <w:szCs w:val="24"/>
          <w:lang w:val="en-AU"/>
        </w:rPr>
        <w:t>and</w:t>
      </w:r>
      <w:r w:rsidR="00EE0CCC">
        <w:rPr>
          <w:rFonts w:ascii="Arial" w:hAnsi="Arial" w:cs="Arial"/>
          <w:szCs w:val="24"/>
          <w:lang w:val="en-AU"/>
        </w:rPr>
        <w:t xml:space="preserve"> </w:t>
      </w:r>
      <w:r w:rsidRPr="007D322B">
        <w:rPr>
          <w:rFonts w:ascii="Arial" w:hAnsi="Arial" w:cs="Arial"/>
          <w:szCs w:val="24"/>
          <w:lang w:val="en-AU"/>
        </w:rPr>
        <w:t>hepatic</w:t>
      </w:r>
      <w:r w:rsidR="00EE0CCC">
        <w:rPr>
          <w:rFonts w:ascii="Arial" w:hAnsi="Arial" w:cs="Arial"/>
          <w:szCs w:val="24"/>
          <w:lang w:val="en-AU"/>
        </w:rPr>
        <w:t xml:space="preserve"> </w:t>
      </w:r>
      <w:r w:rsidRPr="007D322B">
        <w:rPr>
          <w:rFonts w:ascii="Arial" w:hAnsi="Arial" w:cs="Arial"/>
          <w:szCs w:val="24"/>
          <w:lang w:val="en-AU"/>
        </w:rPr>
        <w:t>impairment</w:t>
      </w:r>
      <w:r w:rsidR="00EE0CCC">
        <w:rPr>
          <w:rFonts w:ascii="Arial" w:hAnsi="Arial" w:cs="Arial"/>
          <w:szCs w:val="24"/>
          <w:lang w:val="en-AU"/>
        </w:rPr>
        <w:t xml:space="preserve"> </w:t>
      </w:r>
      <w:r w:rsidRPr="007D322B">
        <w:rPr>
          <w:rFonts w:ascii="Arial" w:hAnsi="Arial" w:cs="Arial"/>
          <w:szCs w:val="24"/>
          <w:lang w:val="en-AU"/>
        </w:rPr>
        <w:t>(see</w:t>
      </w:r>
      <w:r w:rsidR="00EE0CCC">
        <w:rPr>
          <w:rFonts w:ascii="Arial" w:hAnsi="Arial" w:cs="Arial"/>
          <w:szCs w:val="24"/>
          <w:lang w:val="en-AU"/>
        </w:rPr>
        <w:t xml:space="preserve"> </w:t>
      </w:r>
      <w:r w:rsidRPr="007D322B">
        <w:rPr>
          <w:rFonts w:ascii="Arial" w:hAnsi="Arial" w:cs="Arial"/>
          <w:szCs w:val="24"/>
          <w:lang w:val="en-AU"/>
        </w:rPr>
        <w:t>section</w:t>
      </w:r>
      <w:r w:rsidR="00EE0CCC">
        <w:rPr>
          <w:rFonts w:ascii="Arial" w:hAnsi="Arial" w:cs="Arial"/>
          <w:szCs w:val="24"/>
          <w:lang w:val="en-AU"/>
        </w:rPr>
        <w:t xml:space="preserve"> </w:t>
      </w:r>
      <w:hyperlink w:anchor="_PHARMACOKINETIC_PROPERTIES" w:history="1">
        <w:r w:rsidRPr="007D322B">
          <w:rPr>
            <w:rStyle w:val="Hyperlink"/>
            <w:rFonts w:ascii="Arial" w:hAnsi="Arial" w:cs="Arial"/>
            <w:szCs w:val="24"/>
            <w:lang w:val="en-AU"/>
          </w:rPr>
          <w:t>5.2</w:t>
        </w:r>
        <w:r w:rsidR="00EE0CCC">
          <w:rPr>
            <w:rStyle w:val="Hyperlink"/>
            <w:rFonts w:ascii="Arial" w:hAnsi="Arial" w:cs="Arial"/>
            <w:szCs w:val="24"/>
            <w:lang w:val="en-AU"/>
          </w:rPr>
          <w:t xml:space="preserve"> </w:t>
        </w:r>
        <w:r w:rsidRPr="007D322B">
          <w:rPr>
            <w:rStyle w:val="Hyperlink"/>
            <w:rFonts w:ascii="Arial" w:hAnsi="Arial" w:cs="Arial"/>
            <w:szCs w:val="24"/>
            <w:lang w:val="en-AU"/>
          </w:rPr>
          <w:t>PHARMACOKINETIC</w:t>
        </w:r>
        <w:r w:rsidR="00EE0CCC">
          <w:rPr>
            <w:rStyle w:val="Hyperlink"/>
            <w:rFonts w:ascii="Arial" w:hAnsi="Arial" w:cs="Arial"/>
            <w:szCs w:val="24"/>
            <w:lang w:val="en-AU"/>
          </w:rPr>
          <w:t xml:space="preserve"> </w:t>
        </w:r>
        <w:r w:rsidRPr="007D322B">
          <w:rPr>
            <w:rStyle w:val="Hyperlink"/>
            <w:rFonts w:ascii="Arial" w:hAnsi="Arial" w:cs="Arial"/>
            <w:szCs w:val="24"/>
            <w:lang w:val="en-AU"/>
          </w:rPr>
          <w:t>PROPERTIES</w:t>
        </w:r>
      </w:hyperlink>
      <w:r w:rsidRPr="007D322B">
        <w:rPr>
          <w:rFonts w:ascii="Arial" w:hAnsi="Arial" w:cs="Arial"/>
          <w:szCs w:val="24"/>
          <w:lang w:val="en-AU"/>
        </w:rPr>
        <w:t>).</w:t>
      </w:r>
    </w:p>
    <w:p w:rsidR="00316251" w:rsidRPr="007D322B" w:rsidRDefault="00316251" w:rsidP="00316251">
      <w:pPr>
        <w:pStyle w:val="ParagraphStyle"/>
        <w:spacing w:before="0" w:after="0"/>
        <w:rPr>
          <w:rFonts w:ascii="Arial" w:hAnsi="Arial" w:cs="Arial"/>
          <w:szCs w:val="24"/>
          <w:lang w:val="en-AU"/>
        </w:rPr>
      </w:pPr>
    </w:p>
    <w:p w:rsidR="00085FD4" w:rsidRPr="007D322B" w:rsidRDefault="00085FD4" w:rsidP="00B221E2">
      <w:pPr>
        <w:pStyle w:val="Heading2"/>
        <w:rPr>
          <w:rFonts w:ascii="Arial" w:hAnsi="Arial" w:cs="Arial"/>
          <w:sz w:val="24"/>
          <w:szCs w:val="24"/>
        </w:rPr>
      </w:pPr>
      <w:r w:rsidRPr="007D322B">
        <w:rPr>
          <w:rFonts w:ascii="Arial" w:hAnsi="Arial" w:cs="Arial"/>
          <w:i w:val="0"/>
          <w:sz w:val="24"/>
          <w:szCs w:val="24"/>
        </w:rPr>
        <w:t>CONTRAINDICATIONS</w:t>
      </w:r>
    </w:p>
    <w:p w:rsidR="001B3E6D" w:rsidRPr="007D322B" w:rsidRDefault="001B3E6D" w:rsidP="001B3E6D">
      <w:pPr>
        <w:pStyle w:val="NoSpacing"/>
        <w:rPr>
          <w:rFonts w:ascii="Arial" w:eastAsia="Calibri" w:hAnsi="Arial" w:cs="Arial"/>
        </w:rPr>
      </w:pPr>
      <w:r w:rsidRPr="007D322B">
        <w:rPr>
          <w:rFonts w:ascii="Arial" w:eastAsia="Calibri" w:hAnsi="Arial" w:cs="Arial"/>
        </w:rPr>
        <w:t>Hypersensitivity</w:t>
      </w:r>
      <w:r w:rsidR="00EE0CCC">
        <w:rPr>
          <w:rFonts w:ascii="Arial" w:eastAsia="Calibri" w:hAnsi="Arial" w:cs="Arial"/>
        </w:rPr>
        <w:t xml:space="preserve"> </w:t>
      </w:r>
      <w:r w:rsidRPr="007D322B">
        <w:rPr>
          <w:rFonts w:ascii="Arial" w:eastAsia="Calibri" w:hAnsi="Arial" w:cs="Arial"/>
        </w:rPr>
        <w:t>to</w:t>
      </w:r>
      <w:r w:rsidR="00EE0CCC">
        <w:rPr>
          <w:rFonts w:ascii="Arial" w:eastAsia="Calibri" w:hAnsi="Arial" w:cs="Arial"/>
        </w:rPr>
        <w:t xml:space="preserve"> </w:t>
      </w:r>
      <w:r w:rsidRPr="007D322B">
        <w:rPr>
          <w:rFonts w:ascii="Arial" w:eastAsia="Calibri" w:hAnsi="Arial" w:cs="Arial"/>
        </w:rPr>
        <w:t>the</w:t>
      </w:r>
      <w:r w:rsidR="00EE0CCC">
        <w:rPr>
          <w:rFonts w:ascii="Arial" w:eastAsia="Calibri" w:hAnsi="Arial" w:cs="Arial"/>
        </w:rPr>
        <w:t xml:space="preserve"> </w:t>
      </w:r>
      <w:r w:rsidRPr="007D322B">
        <w:rPr>
          <w:rFonts w:ascii="Arial" w:eastAsia="Calibri" w:hAnsi="Arial" w:cs="Arial"/>
        </w:rPr>
        <w:t>active</w:t>
      </w:r>
      <w:r w:rsidR="00EE0CCC">
        <w:rPr>
          <w:rFonts w:ascii="Arial" w:eastAsia="Calibri" w:hAnsi="Arial" w:cs="Arial"/>
        </w:rPr>
        <w:t xml:space="preserve"> </w:t>
      </w:r>
      <w:r w:rsidRPr="007D322B">
        <w:rPr>
          <w:rFonts w:ascii="Arial" w:eastAsia="Calibri" w:hAnsi="Arial" w:cs="Arial"/>
        </w:rPr>
        <w:t>substance</w:t>
      </w:r>
      <w:r w:rsidR="00EE0CCC">
        <w:rPr>
          <w:rFonts w:ascii="Arial" w:eastAsia="Calibri" w:hAnsi="Arial" w:cs="Arial"/>
        </w:rPr>
        <w:t xml:space="preserve"> </w:t>
      </w:r>
      <w:r w:rsidRPr="007D322B">
        <w:rPr>
          <w:rFonts w:ascii="Arial" w:eastAsia="Calibri" w:hAnsi="Arial" w:cs="Arial"/>
        </w:rPr>
        <w:t>or</w:t>
      </w:r>
      <w:r w:rsidR="00EE0CCC">
        <w:rPr>
          <w:rFonts w:ascii="Arial" w:eastAsia="Calibri" w:hAnsi="Arial" w:cs="Arial"/>
        </w:rPr>
        <w:t xml:space="preserve"> </w:t>
      </w:r>
      <w:r w:rsidRPr="007D322B">
        <w:rPr>
          <w:rFonts w:ascii="Arial" w:eastAsia="Calibri" w:hAnsi="Arial" w:cs="Arial"/>
        </w:rPr>
        <w:t>to</w:t>
      </w:r>
      <w:r w:rsidR="00EE0CCC">
        <w:rPr>
          <w:rFonts w:ascii="Arial" w:eastAsia="Calibri" w:hAnsi="Arial" w:cs="Arial"/>
        </w:rPr>
        <w:t xml:space="preserve"> </w:t>
      </w:r>
      <w:r w:rsidRPr="007D322B">
        <w:rPr>
          <w:rFonts w:ascii="Arial" w:eastAsia="Calibri" w:hAnsi="Arial" w:cs="Arial"/>
        </w:rPr>
        <w:t>any</w:t>
      </w:r>
      <w:r w:rsidR="00EE0CCC">
        <w:rPr>
          <w:rFonts w:ascii="Arial" w:eastAsia="Calibri" w:hAnsi="Arial" w:cs="Arial"/>
        </w:rPr>
        <w:t xml:space="preserve"> </w:t>
      </w:r>
      <w:r w:rsidRPr="007D322B">
        <w:rPr>
          <w:rFonts w:ascii="Arial" w:eastAsia="Calibri" w:hAnsi="Arial" w:cs="Arial"/>
        </w:rPr>
        <w:t>of</w:t>
      </w:r>
      <w:r w:rsidR="00EE0CCC">
        <w:rPr>
          <w:rFonts w:ascii="Arial" w:eastAsia="Calibri" w:hAnsi="Arial" w:cs="Arial"/>
        </w:rPr>
        <w:t xml:space="preserve"> </w:t>
      </w:r>
      <w:r w:rsidRPr="007D322B">
        <w:rPr>
          <w:rFonts w:ascii="Arial" w:eastAsia="Calibri" w:hAnsi="Arial" w:cs="Arial"/>
        </w:rPr>
        <w:t>the</w:t>
      </w:r>
      <w:r w:rsidR="00EE0CCC">
        <w:rPr>
          <w:rFonts w:ascii="Arial" w:eastAsia="Calibri" w:hAnsi="Arial" w:cs="Arial"/>
        </w:rPr>
        <w:t xml:space="preserve"> </w:t>
      </w:r>
      <w:r w:rsidRPr="007D322B">
        <w:rPr>
          <w:rFonts w:ascii="Arial" w:eastAsia="Calibri" w:hAnsi="Arial" w:cs="Arial"/>
        </w:rPr>
        <w:t>excipients</w:t>
      </w:r>
      <w:r w:rsidR="00EE0CCC">
        <w:rPr>
          <w:rFonts w:ascii="Arial" w:eastAsia="Calibri" w:hAnsi="Arial" w:cs="Arial"/>
        </w:rPr>
        <w:t xml:space="preserve"> </w:t>
      </w:r>
      <w:r w:rsidRPr="007D322B">
        <w:rPr>
          <w:rFonts w:ascii="Arial" w:eastAsia="Calibri" w:hAnsi="Arial" w:cs="Arial"/>
        </w:rPr>
        <w:t>listed</w:t>
      </w:r>
      <w:r w:rsidR="00EE0CCC">
        <w:rPr>
          <w:rFonts w:ascii="Arial" w:eastAsia="Calibri" w:hAnsi="Arial" w:cs="Arial"/>
        </w:rPr>
        <w:t xml:space="preserve"> </w:t>
      </w:r>
      <w:r w:rsidRPr="007D322B">
        <w:rPr>
          <w:rFonts w:ascii="Arial" w:eastAsia="Calibri" w:hAnsi="Arial" w:cs="Arial"/>
        </w:rPr>
        <w:t>in</w:t>
      </w:r>
      <w:r w:rsidR="00EE0CCC">
        <w:rPr>
          <w:rFonts w:ascii="Arial" w:eastAsia="Calibri" w:hAnsi="Arial" w:cs="Arial"/>
        </w:rPr>
        <w:t xml:space="preserve"> </w:t>
      </w:r>
      <w:r w:rsidRPr="007D322B">
        <w:rPr>
          <w:rFonts w:ascii="Arial" w:eastAsia="Calibri" w:hAnsi="Arial" w:cs="Arial"/>
        </w:rPr>
        <w:t>section</w:t>
      </w:r>
      <w:r w:rsidR="00EE0CCC">
        <w:rPr>
          <w:rFonts w:ascii="Arial" w:eastAsia="Calibri" w:hAnsi="Arial" w:cs="Arial"/>
        </w:rPr>
        <w:t xml:space="preserve"> </w:t>
      </w:r>
      <w:hyperlink w:anchor="_LIST_OF_EXCIPIENTS" w:history="1">
        <w:r w:rsidRPr="007D322B">
          <w:rPr>
            <w:rStyle w:val="Hyperlink"/>
            <w:rFonts w:ascii="Arial" w:eastAsia="Calibri" w:hAnsi="Arial" w:cs="Arial"/>
          </w:rPr>
          <w:t>6.1</w:t>
        </w:r>
        <w:r w:rsidR="00EE0CCC">
          <w:rPr>
            <w:rStyle w:val="Hyperlink"/>
            <w:rFonts w:ascii="Arial" w:eastAsia="Calibri" w:hAnsi="Arial" w:cs="Arial"/>
          </w:rPr>
          <w:t xml:space="preserve"> </w:t>
        </w:r>
        <w:r w:rsidRPr="007D322B">
          <w:rPr>
            <w:rStyle w:val="Hyperlink"/>
            <w:rFonts w:ascii="Arial" w:eastAsia="Calibri" w:hAnsi="Arial" w:cs="Arial"/>
          </w:rPr>
          <w:t>LIST</w:t>
        </w:r>
        <w:r w:rsidR="00EE0CCC">
          <w:rPr>
            <w:rStyle w:val="Hyperlink"/>
            <w:rFonts w:ascii="Arial" w:eastAsia="Calibri" w:hAnsi="Arial" w:cs="Arial"/>
          </w:rPr>
          <w:t xml:space="preserve"> </w:t>
        </w:r>
        <w:r w:rsidRPr="007D322B">
          <w:rPr>
            <w:rStyle w:val="Hyperlink"/>
            <w:rFonts w:ascii="Arial" w:eastAsia="Calibri" w:hAnsi="Arial" w:cs="Arial"/>
          </w:rPr>
          <w:t>OF</w:t>
        </w:r>
        <w:r w:rsidR="00EE0CCC">
          <w:rPr>
            <w:rStyle w:val="Hyperlink"/>
            <w:rFonts w:ascii="Arial" w:eastAsia="Calibri" w:hAnsi="Arial" w:cs="Arial"/>
          </w:rPr>
          <w:t xml:space="preserve"> </w:t>
        </w:r>
        <w:r w:rsidRPr="007D322B">
          <w:rPr>
            <w:rStyle w:val="Hyperlink"/>
            <w:rFonts w:ascii="Arial" w:eastAsia="Calibri" w:hAnsi="Arial" w:cs="Arial"/>
          </w:rPr>
          <w:t>EXCIPIENTS</w:t>
        </w:r>
      </w:hyperlink>
      <w:r w:rsidRPr="007D322B">
        <w:rPr>
          <w:rFonts w:ascii="Arial" w:eastAsia="Calibri" w:hAnsi="Arial" w:cs="Arial"/>
        </w:rPr>
        <w:t>.</w:t>
      </w:r>
    </w:p>
    <w:p w:rsidR="001B3E6D" w:rsidRPr="007D322B" w:rsidRDefault="001B3E6D" w:rsidP="001B3E6D">
      <w:pPr>
        <w:pStyle w:val="NoSpacing"/>
        <w:rPr>
          <w:rFonts w:ascii="Arial" w:eastAsia="Calibri" w:hAnsi="Arial" w:cs="Arial"/>
        </w:rPr>
      </w:pPr>
    </w:p>
    <w:p w:rsidR="00085FD4" w:rsidRPr="007D322B" w:rsidRDefault="001B3E6D" w:rsidP="001B3E6D">
      <w:pPr>
        <w:pStyle w:val="NoSpacing"/>
        <w:rPr>
          <w:rFonts w:ascii="Arial" w:eastAsia="Calibri" w:hAnsi="Arial" w:cs="Arial"/>
        </w:rPr>
      </w:pPr>
      <w:r w:rsidRPr="007D322B">
        <w:rPr>
          <w:rFonts w:ascii="Arial" w:eastAsia="Calibri" w:hAnsi="Arial" w:cs="Arial"/>
        </w:rPr>
        <w:t>Acute</w:t>
      </w:r>
      <w:r w:rsidR="00EE0CCC">
        <w:rPr>
          <w:rFonts w:ascii="Arial" w:eastAsia="Calibri" w:hAnsi="Arial" w:cs="Arial"/>
        </w:rPr>
        <w:t xml:space="preserve"> </w:t>
      </w:r>
      <w:r w:rsidRPr="007D322B">
        <w:rPr>
          <w:rFonts w:ascii="Arial" w:eastAsia="Calibri" w:hAnsi="Arial" w:cs="Arial"/>
        </w:rPr>
        <w:t>grade</w:t>
      </w:r>
      <w:r w:rsidR="00EE0CCC">
        <w:rPr>
          <w:rFonts w:ascii="Arial" w:eastAsia="Calibri" w:hAnsi="Arial" w:cs="Arial"/>
        </w:rPr>
        <w:t xml:space="preserve"> </w:t>
      </w:r>
      <w:r w:rsidRPr="007D322B">
        <w:rPr>
          <w:rFonts w:ascii="Arial" w:eastAsia="Calibri" w:hAnsi="Arial" w:cs="Arial"/>
        </w:rPr>
        <w:t>3</w:t>
      </w:r>
      <w:r w:rsidR="00EE0CCC">
        <w:rPr>
          <w:rFonts w:ascii="Arial" w:eastAsia="Calibri" w:hAnsi="Arial" w:cs="Arial"/>
        </w:rPr>
        <w:t xml:space="preserve"> </w:t>
      </w:r>
      <w:r w:rsidRPr="007D322B">
        <w:rPr>
          <w:rFonts w:ascii="Arial" w:eastAsia="Calibri" w:hAnsi="Arial" w:cs="Arial"/>
        </w:rPr>
        <w:t>or</w:t>
      </w:r>
      <w:r w:rsidR="00EE0CCC">
        <w:rPr>
          <w:rFonts w:ascii="Arial" w:eastAsia="Calibri" w:hAnsi="Arial" w:cs="Arial"/>
        </w:rPr>
        <w:t xml:space="preserve"> </w:t>
      </w:r>
      <w:r w:rsidRPr="007D322B">
        <w:rPr>
          <w:rFonts w:ascii="Arial" w:eastAsia="Calibri" w:hAnsi="Arial" w:cs="Arial"/>
        </w:rPr>
        <w:t>4,</w:t>
      </w:r>
      <w:r w:rsidR="00EE0CCC">
        <w:rPr>
          <w:rFonts w:ascii="Arial" w:eastAsia="Calibri" w:hAnsi="Arial" w:cs="Arial"/>
        </w:rPr>
        <w:t xml:space="preserve"> </w:t>
      </w:r>
      <w:r w:rsidRPr="007D322B">
        <w:rPr>
          <w:rFonts w:ascii="Arial" w:eastAsia="Calibri" w:hAnsi="Arial" w:cs="Arial"/>
        </w:rPr>
        <w:t>or</w:t>
      </w:r>
      <w:r w:rsidR="00EE0CCC">
        <w:rPr>
          <w:rFonts w:ascii="Arial" w:eastAsia="Calibri" w:hAnsi="Arial" w:cs="Arial"/>
        </w:rPr>
        <w:t xml:space="preserve"> </w:t>
      </w:r>
      <w:r w:rsidRPr="007D322B">
        <w:rPr>
          <w:rFonts w:ascii="Arial" w:eastAsia="Calibri" w:hAnsi="Arial" w:cs="Arial"/>
        </w:rPr>
        <w:t>extensive</w:t>
      </w:r>
      <w:r w:rsidR="00EE0CCC">
        <w:rPr>
          <w:rFonts w:ascii="Arial" w:eastAsia="Calibri" w:hAnsi="Arial" w:cs="Arial"/>
        </w:rPr>
        <w:t xml:space="preserve"> </w:t>
      </w:r>
      <w:r w:rsidRPr="007D322B">
        <w:rPr>
          <w:rFonts w:ascii="Arial" w:eastAsia="Calibri" w:hAnsi="Arial" w:cs="Arial"/>
        </w:rPr>
        <w:t>chronic</w:t>
      </w:r>
      <w:r w:rsidR="00EE0CCC">
        <w:rPr>
          <w:rFonts w:ascii="Arial" w:eastAsia="Calibri" w:hAnsi="Arial" w:cs="Arial"/>
        </w:rPr>
        <w:t xml:space="preserve"> </w:t>
      </w:r>
      <w:r w:rsidRPr="007D322B">
        <w:rPr>
          <w:rFonts w:ascii="Arial" w:eastAsia="Calibri" w:hAnsi="Arial" w:cs="Arial"/>
        </w:rPr>
        <w:t>graft-versus-host</w:t>
      </w:r>
      <w:r w:rsidR="00EE0CCC">
        <w:rPr>
          <w:rFonts w:ascii="Arial" w:eastAsia="Calibri" w:hAnsi="Arial" w:cs="Arial"/>
        </w:rPr>
        <w:t xml:space="preserve"> </w:t>
      </w:r>
      <w:r w:rsidRPr="007D322B">
        <w:rPr>
          <w:rFonts w:ascii="Arial" w:eastAsia="Calibri" w:hAnsi="Arial" w:cs="Arial"/>
        </w:rPr>
        <w:t>disease</w:t>
      </w:r>
      <w:r w:rsidR="00EE0CCC">
        <w:rPr>
          <w:rFonts w:ascii="Arial" w:eastAsia="Calibri" w:hAnsi="Arial" w:cs="Arial"/>
        </w:rPr>
        <w:t xml:space="preserve"> </w:t>
      </w:r>
      <w:r w:rsidRPr="007D322B">
        <w:rPr>
          <w:rFonts w:ascii="Arial" w:eastAsia="Calibri" w:hAnsi="Arial" w:cs="Arial"/>
        </w:rPr>
        <w:t>(GvHD)</w:t>
      </w:r>
      <w:r w:rsidR="00085FD4" w:rsidRPr="007D322B">
        <w:rPr>
          <w:rFonts w:ascii="Arial" w:eastAsia="Calibri" w:hAnsi="Arial" w:cs="Arial"/>
        </w:rPr>
        <w:t>.</w:t>
      </w:r>
    </w:p>
    <w:p w:rsidR="0092046B" w:rsidRPr="007D322B" w:rsidRDefault="0092046B" w:rsidP="00B221E2">
      <w:pPr>
        <w:pStyle w:val="NoSpacing"/>
        <w:rPr>
          <w:rFonts w:ascii="Arial" w:hAnsi="Arial" w:cs="Arial"/>
        </w:rPr>
      </w:pPr>
    </w:p>
    <w:p w:rsidR="009749EE" w:rsidRPr="007D322B" w:rsidRDefault="00085FD4" w:rsidP="00B221E2">
      <w:pPr>
        <w:pStyle w:val="Heading2"/>
        <w:rPr>
          <w:rFonts w:ascii="Arial" w:hAnsi="Arial" w:cs="Arial"/>
          <w:b w:val="0"/>
          <w:sz w:val="24"/>
          <w:szCs w:val="24"/>
        </w:rPr>
      </w:pPr>
      <w:bookmarkStart w:id="1" w:name="_special_warnings_and"/>
      <w:bookmarkEnd w:id="1"/>
      <w:r w:rsidRPr="007D322B">
        <w:rPr>
          <w:rFonts w:ascii="Arial" w:eastAsia="Calibri" w:hAnsi="Arial" w:cs="Arial"/>
          <w:i w:val="0"/>
          <w:caps/>
          <w:kern w:val="28"/>
          <w:sz w:val="24"/>
          <w:szCs w:val="24"/>
        </w:rPr>
        <w:lastRenderedPageBreak/>
        <w:t>special</w:t>
      </w:r>
      <w:r w:rsidR="00EE0CCC">
        <w:rPr>
          <w:rFonts w:ascii="Arial" w:eastAsia="Calibri" w:hAnsi="Arial" w:cs="Arial"/>
          <w:i w:val="0"/>
          <w:caps/>
          <w:kern w:val="28"/>
          <w:sz w:val="24"/>
          <w:szCs w:val="24"/>
        </w:rPr>
        <w:t xml:space="preserve"> </w:t>
      </w:r>
      <w:r w:rsidRPr="007D322B">
        <w:rPr>
          <w:rFonts w:ascii="Arial" w:eastAsia="Calibri" w:hAnsi="Arial" w:cs="Arial"/>
          <w:i w:val="0"/>
          <w:caps/>
          <w:kern w:val="28"/>
          <w:sz w:val="24"/>
          <w:szCs w:val="24"/>
        </w:rPr>
        <w:t>warnings</w:t>
      </w:r>
      <w:r w:rsidR="00EE0CCC">
        <w:rPr>
          <w:rFonts w:ascii="Arial" w:eastAsia="Calibri" w:hAnsi="Arial" w:cs="Arial"/>
          <w:i w:val="0"/>
          <w:caps/>
          <w:kern w:val="28"/>
          <w:sz w:val="24"/>
          <w:szCs w:val="24"/>
        </w:rPr>
        <w:t xml:space="preserve"> </w:t>
      </w:r>
      <w:r w:rsidRPr="007D322B">
        <w:rPr>
          <w:rFonts w:ascii="Arial" w:eastAsia="Calibri" w:hAnsi="Arial" w:cs="Arial"/>
          <w:i w:val="0"/>
          <w:caps/>
          <w:kern w:val="28"/>
          <w:sz w:val="24"/>
          <w:szCs w:val="24"/>
        </w:rPr>
        <w:t>and</w:t>
      </w:r>
      <w:r w:rsidR="00EE0CCC">
        <w:rPr>
          <w:rFonts w:ascii="Arial" w:eastAsia="Calibri" w:hAnsi="Arial" w:cs="Arial"/>
          <w:i w:val="0"/>
          <w:caps/>
          <w:kern w:val="28"/>
          <w:sz w:val="24"/>
          <w:szCs w:val="24"/>
        </w:rPr>
        <w:t xml:space="preserve"> </w:t>
      </w:r>
      <w:r w:rsidR="003B2C63" w:rsidRPr="007D322B">
        <w:rPr>
          <w:rFonts w:ascii="Arial" w:eastAsia="Calibri" w:hAnsi="Arial" w:cs="Arial"/>
          <w:i w:val="0"/>
          <w:caps/>
          <w:kern w:val="28"/>
          <w:sz w:val="24"/>
          <w:szCs w:val="24"/>
        </w:rPr>
        <w:t>PRECAUTIONS</w:t>
      </w:r>
      <w:r w:rsidR="00EE0CCC">
        <w:rPr>
          <w:rFonts w:ascii="Arial" w:eastAsia="Calibri" w:hAnsi="Arial" w:cs="Arial"/>
          <w:i w:val="0"/>
          <w:caps/>
          <w:kern w:val="28"/>
          <w:sz w:val="24"/>
          <w:szCs w:val="24"/>
        </w:rPr>
        <w:t xml:space="preserve"> </w:t>
      </w:r>
      <w:r w:rsidRPr="007D322B">
        <w:rPr>
          <w:rFonts w:ascii="Arial" w:eastAsia="Calibri" w:hAnsi="Arial" w:cs="Arial"/>
          <w:i w:val="0"/>
          <w:caps/>
          <w:kern w:val="28"/>
          <w:sz w:val="24"/>
          <w:szCs w:val="24"/>
        </w:rPr>
        <w:t>for</w:t>
      </w:r>
      <w:r w:rsidR="00EE0CCC">
        <w:rPr>
          <w:rFonts w:ascii="Arial" w:eastAsia="Calibri" w:hAnsi="Arial" w:cs="Arial"/>
          <w:i w:val="0"/>
          <w:caps/>
          <w:kern w:val="28"/>
          <w:sz w:val="24"/>
          <w:szCs w:val="24"/>
        </w:rPr>
        <w:t xml:space="preserve"> </w:t>
      </w:r>
      <w:r w:rsidRPr="007D322B">
        <w:rPr>
          <w:rFonts w:ascii="Arial" w:eastAsia="Calibri" w:hAnsi="Arial" w:cs="Arial"/>
          <w:i w:val="0"/>
          <w:caps/>
          <w:kern w:val="28"/>
          <w:sz w:val="24"/>
          <w:szCs w:val="24"/>
        </w:rPr>
        <w:t>use</w:t>
      </w:r>
    </w:p>
    <w:p w:rsidR="00085FD4" w:rsidRPr="007D322B" w:rsidRDefault="00085FD4" w:rsidP="00B221E2">
      <w:pPr>
        <w:pStyle w:val="NoSpacing"/>
        <w:rPr>
          <w:rFonts w:ascii="Arial" w:eastAsia="Calibri" w:hAnsi="Arial" w:cs="Arial"/>
          <w:b/>
          <w:i/>
        </w:rPr>
      </w:pPr>
      <w:r w:rsidRPr="007D322B">
        <w:rPr>
          <w:rFonts w:ascii="Arial" w:eastAsia="Calibri" w:hAnsi="Arial" w:cs="Arial"/>
          <w:b/>
          <w:i/>
        </w:rPr>
        <w:t>Identified</w:t>
      </w:r>
      <w:r w:rsidR="00EE0CCC">
        <w:rPr>
          <w:rFonts w:ascii="Arial" w:eastAsia="Calibri" w:hAnsi="Arial" w:cs="Arial"/>
          <w:b/>
          <w:i/>
        </w:rPr>
        <w:t xml:space="preserve"> </w:t>
      </w:r>
      <w:r w:rsidRPr="007D322B">
        <w:rPr>
          <w:rFonts w:ascii="Arial" w:eastAsia="Calibri" w:hAnsi="Arial" w:cs="Arial"/>
          <w:b/>
          <w:i/>
        </w:rPr>
        <w:t>precautions</w:t>
      </w:r>
    </w:p>
    <w:p w:rsidR="00A80F17" w:rsidRDefault="001B3E6D" w:rsidP="00B221E2">
      <w:pPr>
        <w:pStyle w:val="NoSpacing"/>
        <w:rPr>
          <w:rFonts w:ascii="Arial" w:eastAsia="Calibri" w:hAnsi="Arial" w:cs="Arial"/>
          <w:b/>
        </w:rPr>
      </w:pPr>
      <w:r w:rsidRPr="007D322B">
        <w:rPr>
          <w:rFonts w:ascii="Arial" w:eastAsia="Calibri" w:hAnsi="Arial" w:cs="Arial"/>
          <w:b/>
        </w:rPr>
        <w:t>Pain</w:t>
      </w:r>
    </w:p>
    <w:p w:rsidR="007050E7" w:rsidRPr="007050E7" w:rsidRDefault="007050E7" w:rsidP="007050E7">
      <w:pPr>
        <w:rPr>
          <w:rFonts w:eastAsia="Calibri"/>
        </w:rPr>
      </w:pPr>
    </w:p>
    <w:p w:rsidR="001B3E6D" w:rsidRPr="007D322B" w:rsidRDefault="001B3E6D" w:rsidP="001B3E6D">
      <w:pPr>
        <w:pStyle w:val="BodytextAgency"/>
        <w:keepNext/>
        <w:keepLines/>
        <w:spacing w:after="0" w:line="240" w:lineRule="auto"/>
        <w:rPr>
          <w:rFonts w:ascii="Arial" w:hAnsi="Arial" w:cs="Arial"/>
          <w:noProof/>
          <w:sz w:val="24"/>
          <w:szCs w:val="24"/>
          <w:lang w:val="en-AU"/>
        </w:rPr>
      </w:pPr>
      <w:r w:rsidRPr="007D322B">
        <w:rPr>
          <w:rFonts w:ascii="Arial" w:hAnsi="Arial" w:cs="Arial"/>
          <w:noProof/>
          <w:sz w:val="24"/>
          <w:szCs w:val="24"/>
          <w:lang w:val="en-AU"/>
        </w:rPr>
        <w:t>Neuropathic</w:t>
      </w:r>
      <w:r w:rsidR="00EE0CCC">
        <w:rPr>
          <w:rFonts w:ascii="Arial" w:hAnsi="Arial" w:cs="Arial"/>
          <w:noProof/>
          <w:sz w:val="24"/>
          <w:szCs w:val="24"/>
          <w:lang w:val="en-AU"/>
        </w:rPr>
        <w:t xml:space="preserve"> </w:t>
      </w:r>
      <w:r w:rsidRPr="007D322B">
        <w:rPr>
          <w:rFonts w:ascii="Arial" w:hAnsi="Arial" w:cs="Arial"/>
          <w:noProof/>
          <w:sz w:val="24"/>
          <w:szCs w:val="24"/>
          <w:lang w:val="en-AU"/>
        </w:rPr>
        <w:t>pain</w:t>
      </w:r>
      <w:r w:rsidR="00EE0CCC">
        <w:rPr>
          <w:rFonts w:ascii="Arial" w:hAnsi="Arial" w:cs="Arial"/>
          <w:noProof/>
          <w:sz w:val="24"/>
          <w:szCs w:val="24"/>
          <w:lang w:val="en-AU"/>
        </w:rPr>
        <w:t xml:space="preserve"> </w:t>
      </w:r>
      <w:r w:rsidRPr="007D322B">
        <w:rPr>
          <w:rFonts w:ascii="Arial" w:hAnsi="Arial" w:cs="Arial"/>
          <w:noProof/>
          <w:sz w:val="24"/>
          <w:szCs w:val="24"/>
          <w:lang w:val="en-AU"/>
        </w:rPr>
        <w:t>usually</w:t>
      </w:r>
      <w:r w:rsidR="00EE0CCC">
        <w:rPr>
          <w:rFonts w:ascii="Arial" w:hAnsi="Arial" w:cs="Arial"/>
          <w:noProof/>
          <w:sz w:val="24"/>
          <w:szCs w:val="24"/>
          <w:lang w:val="en-AU"/>
        </w:rPr>
        <w:t xml:space="preserve"> </w:t>
      </w:r>
      <w:r w:rsidRPr="007D322B">
        <w:rPr>
          <w:rFonts w:ascii="Arial" w:hAnsi="Arial" w:cs="Arial"/>
          <w:noProof/>
          <w:sz w:val="24"/>
          <w:szCs w:val="24"/>
          <w:lang w:val="en-AU"/>
        </w:rPr>
        <w:t>occurs</w:t>
      </w:r>
      <w:r w:rsidR="00EE0CCC">
        <w:rPr>
          <w:rFonts w:ascii="Arial" w:hAnsi="Arial" w:cs="Arial"/>
          <w:noProof/>
          <w:sz w:val="24"/>
          <w:szCs w:val="24"/>
          <w:lang w:val="en-AU"/>
        </w:rPr>
        <w:t xml:space="preserve"> </w:t>
      </w:r>
      <w:r w:rsidRPr="007D322B">
        <w:rPr>
          <w:rFonts w:ascii="Arial" w:hAnsi="Arial" w:cs="Arial"/>
          <w:noProof/>
          <w:sz w:val="24"/>
          <w:szCs w:val="24"/>
          <w:lang w:val="en-AU"/>
        </w:rPr>
        <w:t>at</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beginning</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premedication</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analgesics,</w:t>
      </w:r>
      <w:r w:rsidR="00EE0CCC">
        <w:rPr>
          <w:rFonts w:ascii="Arial" w:hAnsi="Arial" w:cs="Arial"/>
          <w:noProof/>
          <w:sz w:val="24"/>
          <w:szCs w:val="24"/>
          <w:lang w:val="en-AU"/>
        </w:rPr>
        <w:t xml:space="preserve"> </w:t>
      </w:r>
      <w:r w:rsidRPr="007D322B">
        <w:rPr>
          <w:rFonts w:ascii="Arial" w:hAnsi="Arial" w:cs="Arial"/>
          <w:noProof/>
          <w:sz w:val="24"/>
          <w:szCs w:val="24"/>
          <w:lang w:val="en-AU"/>
        </w:rPr>
        <w:t>including</w:t>
      </w:r>
      <w:r w:rsidR="00EE0CCC">
        <w:rPr>
          <w:rFonts w:ascii="Arial" w:hAnsi="Arial" w:cs="Arial"/>
          <w:noProof/>
          <w:sz w:val="24"/>
          <w:szCs w:val="24"/>
          <w:lang w:val="en-AU"/>
        </w:rPr>
        <w:t xml:space="preserve"> </w:t>
      </w:r>
      <w:r w:rsidRPr="007D322B">
        <w:rPr>
          <w:rFonts w:ascii="Arial" w:hAnsi="Arial" w:cs="Arial"/>
          <w:noProof/>
          <w:sz w:val="24"/>
          <w:szCs w:val="24"/>
          <w:lang w:val="en-AU"/>
        </w:rPr>
        <w:t>intravenous</w:t>
      </w:r>
      <w:r w:rsidR="00EE0CCC">
        <w:rPr>
          <w:rFonts w:ascii="Arial" w:hAnsi="Arial" w:cs="Arial"/>
          <w:noProof/>
          <w:sz w:val="24"/>
          <w:szCs w:val="24"/>
          <w:lang w:val="en-AU"/>
        </w:rPr>
        <w:t xml:space="preserve"> </w:t>
      </w:r>
      <w:r w:rsidRPr="007D322B">
        <w:rPr>
          <w:rFonts w:ascii="Arial" w:hAnsi="Arial" w:cs="Arial"/>
          <w:noProof/>
          <w:sz w:val="24"/>
          <w:szCs w:val="24"/>
          <w:lang w:val="en-AU"/>
        </w:rPr>
        <w:t>opioids,</w:t>
      </w:r>
      <w:r w:rsidR="00EE0CCC">
        <w:rPr>
          <w:rFonts w:ascii="Arial" w:hAnsi="Arial" w:cs="Arial"/>
          <w:noProof/>
          <w:sz w:val="24"/>
          <w:szCs w:val="24"/>
          <w:lang w:val="en-AU"/>
        </w:rPr>
        <w:t xml:space="preserve"> </w:t>
      </w:r>
      <w:r w:rsidRPr="007D322B">
        <w:rPr>
          <w:rFonts w:ascii="Arial" w:hAnsi="Arial" w:cs="Arial"/>
          <w:noProof/>
          <w:sz w:val="24"/>
          <w:szCs w:val="24"/>
          <w:lang w:val="en-AU"/>
        </w:rPr>
        <w:t>prior</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each</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required.</w:t>
      </w:r>
      <w:r w:rsidR="00EE0CCC">
        <w:rPr>
          <w:rFonts w:ascii="Arial" w:hAnsi="Arial" w:cs="Arial"/>
          <w:noProof/>
          <w:sz w:val="24"/>
          <w:szCs w:val="24"/>
          <w:lang w:val="en-AU"/>
        </w:rPr>
        <w:t xml:space="preserve"> </w:t>
      </w:r>
      <w:r w:rsidRPr="007D322B">
        <w:rPr>
          <w:rFonts w:ascii="Arial" w:hAnsi="Arial" w:cs="Arial"/>
          <w:noProof/>
          <w:sz w:val="24"/>
          <w:szCs w:val="24"/>
          <w:lang w:val="en-AU"/>
        </w:rPr>
        <w:t>A</w:t>
      </w:r>
      <w:r w:rsidR="00EE0CCC">
        <w:rPr>
          <w:rFonts w:ascii="Arial" w:hAnsi="Arial" w:cs="Arial"/>
          <w:noProof/>
          <w:sz w:val="24"/>
          <w:szCs w:val="24"/>
          <w:lang w:val="en-AU"/>
        </w:rPr>
        <w:t xml:space="preserve"> </w:t>
      </w:r>
      <w:r w:rsidRPr="007D322B">
        <w:rPr>
          <w:rFonts w:ascii="Arial" w:hAnsi="Arial" w:cs="Arial"/>
          <w:noProof/>
          <w:sz w:val="24"/>
          <w:szCs w:val="24"/>
          <w:lang w:val="en-AU"/>
        </w:rPr>
        <w:t>triple</w:t>
      </w:r>
      <w:r w:rsidR="00EE0CCC">
        <w:rPr>
          <w:rFonts w:ascii="Arial" w:hAnsi="Arial" w:cs="Arial"/>
          <w:noProof/>
          <w:sz w:val="24"/>
          <w:szCs w:val="24"/>
          <w:lang w:val="en-AU"/>
        </w:rPr>
        <w:t xml:space="preserve"> </w:t>
      </w:r>
      <w:r w:rsidRPr="007D322B">
        <w:rPr>
          <w:rFonts w:ascii="Arial" w:hAnsi="Arial" w:cs="Arial"/>
          <w:noProof/>
          <w:sz w:val="24"/>
          <w:szCs w:val="24"/>
          <w:lang w:val="en-AU"/>
        </w:rPr>
        <w:t>therapy,</w:t>
      </w:r>
      <w:r w:rsidR="00EE0CCC">
        <w:rPr>
          <w:rFonts w:ascii="Arial" w:hAnsi="Arial" w:cs="Arial"/>
          <w:noProof/>
          <w:sz w:val="24"/>
          <w:szCs w:val="24"/>
          <w:lang w:val="en-AU"/>
        </w:rPr>
        <w:t xml:space="preserve"> </w:t>
      </w:r>
      <w:r w:rsidRPr="007D322B">
        <w:rPr>
          <w:rFonts w:ascii="Arial" w:hAnsi="Arial" w:cs="Arial"/>
          <w:noProof/>
          <w:sz w:val="24"/>
          <w:szCs w:val="24"/>
          <w:lang w:val="en-AU"/>
        </w:rPr>
        <w:t>including</w:t>
      </w:r>
      <w:r w:rsidR="00EE0CCC">
        <w:rPr>
          <w:rFonts w:ascii="Arial" w:hAnsi="Arial" w:cs="Arial"/>
          <w:noProof/>
          <w:sz w:val="24"/>
          <w:szCs w:val="24"/>
          <w:lang w:val="en-AU"/>
        </w:rPr>
        <w:t xml:space="preserve"> </w:t>
      </w:r>
      <w:r w:rsidRPr="007D322B">
        <w:rPr>
          <w:rFonts w:ascii="Arial" w:hAnsi="Arial" w:cs="Arial"/>
          <w:noProof/>
          <w:sz w:val="24"/>
          <w:szCs w:val="24"/>
          <w:lang w:val="en-AU"/>
        </w:rPr>
        <w:t>nonopioid</w:t>
      </w:r>
      <w:r w:rsidR="00EE0CCC">
        <w:rPr>
          <w:rFonts w:ascii="Arial" w:hAnsi="Arial" w:cs="Arial"/>
          <w:noProof/>
          <w:sz w:val="24"/>
          <w:szCs w:val="24"/>
          <w:lang w:val="en-AU"/>
        </w:rPr>
        <w:t xml:space="preserve"> </w:t>
      </w:r>
      <w:r w:rsidRPr="007D322B">
        <w:rPr>
          <w:rFonts w:ascii="Arial" w:hAnsi="Arial" w:cs="Arial"/>
          <w:noProof/>
          <w:sz w:val="24"/>
          <w:szCs w:val="24"/>
          <w:lang w:val="en-AU"/>
        </w:rPr>
        <w:t>analgesics</w:t>
      </w:r>
      <w:r w:rsidR="00EE0CCC">
        <w:rPr>
          <w:rFonts w:ascii="Arial" w:hAnsi="Arial" w:cs="Arial"/>
          <w:noProof/>
          <w:sz w:val="24"/>
          <w:szCs w:val="24"/>
          <w:lang w:val="en-AU"/>
        </w:rPr>
        <w:t xml:space="preserve"> </w:t>
      </w:r>
      <w:r w:rsidRPr="007D322B">
        <w:rPr>
          <w:rFonts w:ascii="Arial" w:hAnsi="Arial" w:cs="Arial"/>
          <w:sz w:val="24"/>
          <w:szCs w:val="24"/>
          <w:lang w:val="en-AU"/>
        </w:rPr>
        <w:t>(according</w:t>
      </w:r>
      <w:r w:rsidR="00EE0CCC">
        <w:rPr>
          <w:rFonts w:ascii="Arial" w:hAnsi="Arial" w:cs="Arial"/>
          <w:sz w:val="24"/>
          <w:szCs w:val="24"/>
          <w:lang w:val="en-AU"/>
        </w:rPr>
        <w:t xml:space="preserve"> </w:t>
      </w:r>
      <w:r w:rsidRPr="007D322B">
        <w:rPr>
          <w:rFonts w:ascii="Arial" w:hAnsi="Arial" w:cs="Arial"/>
          <w:sz w:val="24"/>
          <w:szCs w:val="24"/>
          <w:lang w:val="en-AU"/>
        </w:rPr>
        <w:t>to</w:t>
      </w:r>
      <w:r w:rsidR="00EE0CCC">
        <w:rPr>
          <w:rFonts w:ascii="Arial" w:hAnsi="Arial" w:cs="Arial"/>
          <w:sz w:val="24"/>
          <w:szCs w:val="24"/>
          <w:lang w:val="en-AU"/>
        </w:rPr>
        <w:t xml:space="preserve"> </w:t>
      </w:r>
      <w:r w:rsidRPr="007D322B">
        <w:rPr>
          <w:rFonts w:ascii="Arial" w:hAnsi="Arial" w:cs="Arial"/>
          <w:sz w:val="24"/>
          <w:szCs w:val="24"/>
          <w:lang w:val="en-AU"/>
        </w:rPr>
        <w:t>WHO</w:t>
      </w:r>
      <w:r w:rsidR="00EE0CCC">
        <w:rPr>
          <w:rFonts w:ascii="Arial" w:hAnsi="Arial" w:cs="Arial"/>
          <w:sz w:val="24"/>
          <w:szCs w:val="24"/>
          <w:lang w:val="en-AU"/>
        </w:rPr>
        <w:t xml:space="preserve"> </w:t>
      </w:r>
      <w:r w:rsidRPr="007D322B">
        <w:rPr>
          <w:rFonts w:ascii="Arial" w:hAnsi="Arial" w:cs="Arial"/>
          <w:sz w:val="24"/>
          <w:szCs w:val="24"/>
          <w:lang w:val="en-AU"/>
        </w:rPr>
        <w:t>guidelines),</w:t>
      </w:r>
      <w:r w:rsidR="00EE0CCC">
        <w:rPr>
          <w:rFonts w:ascii="Arial" w:hAnsi="Arial" w:cs="Arial"/>
          <w:sz w:val="24"/>
          <w:szCs w:val="24"/>
          <w:lang w:val="en-AU"/>
        </w:rPr>
        <w:t xml:space="preserve"> </w:t>
      </w:r>
      <w:r w:rsidRPr="007D322B">
        <w:rPr>
          <w:rFonts w:ascii="Arial" w:hAnsi="Arial" w:cs="Arial"/>
          <w:sz w:val="24"/>
          <w:szCs w:val="24"/>
          <w:lang w:val="en-AU"/>
        </w:rPr>
        <w:t>gabapentin</w:t>
      </w:r>
      <w:r w:rsidR="00EE0CCC">
        <w:rPr>
          <w:rFonts w:ascii="Arial" w:hAnsi="Arial" w:cs="Arial"/>
          <w:sz w:val="24"/>
          <w:szCs w:val="24"/>
          <w:lang w:val="en-AU"/>
        </w:rPr>
        <w:t xml:space="preserve"> </w:t>
      </w:r>
      <w:r w:rsidRPr="007D322B">
        <w:rPr>
          <w:rFonts w:ascii="Arial" w:hAnsi="Arial" w:cs="Arial"/>
          <w:sz w:val="24"/>
          <w:szCs w:val="24"/>
          <w:lang w:val="en-AU"/>
        </w:rPr>
        <w:t>and</w:t>
      </w:r>
      <w:r w:rsidR="00EE0CCC">
        <w:rPr>
          <w:rFonts w:ascii="Arial" w:hAnsi="Arial" w:cs="Arial"/>
          <w:sz w:val="24"/>
          <w:szCs w:val="24"/>
          <w:lang w:val="en-AU"/>
        </w:rPr>
        <w:t xml:space="preserve"> </w:t>
      </w:r>
      <w:r w:rsidRPr="007D322B">
        <w:rPr>
          <w:rFonts w:ascii="Arial" w:hAnsi="Arial" w:cs="Arial"/>
          <w:sz w:val="24"/>
          <w:szCs w:val="24"/>
          <w:lang w:val="en-AU"/>
        </w:rPr>
        <w:t>opioids,</w:t>
      </w:r>
      <w:r w:rsidR="00EE0CCC">
        <w:rPr>
          <w:rFonts w:ascii="Arial" w:hAnsi="Arial" w:cs="Arial"/>
          <w:sz w:val="24"/>
          <w:szCs w:val="24"/>
          <w:lang w:val="en-AU"/>
        </w:rPr>
        <w:t xml:space="preserve"> </w:t>
      </w:r>
      <w:r w:rsidRPr="007D322B">
        <w:rPr>
          <w:rFonts w:ascii="Arial" w:hAnsi="Arial" w:cs="Arial"/>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recommended</w:t>
      </w:r>
      <w:r w:rsidR="00EE0CCC">
        <w:rPr>
          <w:rFonts w:ascii="Arial" w:hAnsi="Arial" w:cs="Arial"/>
          <w:noProof/>
          <w:sz w:val="24"/>
          <w:szCs w:val="24"/>
          <w:lang w:val="en-AU"/>
        </w:rPr>
        <w:t xml:space="preserve"> </w:t>
      </w:r>
      <w:r w:rsidRPr="007D322B">
        <w:rPr>
          <w:rFonts w:ascii="Arial" w:hAnsi="Arial" w:cs="Arial"/>
          <w:noProof/>
          <w:sz w:val="24"/>
          <w:szCs w:val="24"/>
          <w:lang w:val="en-AU"/>
        </w:rPr>
        <w:t>for</w:t>
      </w:r>
      <w:r w:rsidR="00EE0CCC">
        <w:rPr>
          <w:rFonts w:ascii="Arial" w:hAnsi="Arial" w:cs="Arial"/>
          <w:noProof/>
          <w:sz w:val="24"/>
          <w:szCs w:val="24"/>
          <w:lang w:val="en-AU"/>
        </w:rPr>
        <w:t xml:space="preserve"> </w:t>
      </w:r>
      <w:r w:rsidRPr="007D322B">
        <w:rPr>
          <w:rFonts w:ascii="Arial" w:hAnsi="Arial" w:cs="Arial"/>
          <w:noProof/>
          <w:sz w:val="24"/>
          <w:szCs w:val="24"/>
          <w:lang w:val="en-AU"/>
        </w:rPr>
        <w:t>pain</w:t>
      </w:r>
      <w:r w:rsidR="00EE0CCC">
        <w:rPr>
          <w:rFonts w:ascii="Arial" w:hAnsi="Arial" w:cs="Arial"/>
          <w:noProof/>
          <w:sz w:val="24"/>
          <w:szCs w:val="24"/>
          <w:lang w:val="en-AU"/>
        </w:rPr>
        <w:t xml:space="preserve"> </w:t>
      </w: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individual</w:t>
      </w:r>
      <w:r w:rsidR="00EE0CCC">
        <w:rPr>
          <w:rFonts w:ascii="Arial" w:hAnsi="Arial" w:cs="Arial"/>
          <w:noProof/>
          <w:sz w:val="24"/>
          <w:szCs w:val="24"/>
          <w:lang w:val="en-AU"/>
        </w:rPr>
        <w:t xml:space="preserve"> </w:t>
      </w:r>
      <w:r w:rsidRPr="007D322B">
        <w:rPr>
          <w:rFonts w:ascii="Arial" w:hAnsi="Arial" w:cs="Arial"/>
          <w:noProof/>
          <w:sz w:val="24"/>
          <w:szCs w:val="24"/>
          <w:lang w:val="en-AU"/>
        </w:rPr>
        <w:t>dose</w:t>
      </w:r>
      <w:r w:rsidR="00EE0CCC">
        <w:rPr>
          <w:rFonts w:ascii="Arial" w:hAnsi="Arial" w:cs="Arial"/>
          <w:noProof/>
          <w:sz w:val="24"/>
          <w:szCs w:val="24"/>
          <w:lang w:val="en-AU"/>
        </w:rPr>
        <w:t xml:space="preserve"> </w:t>
      </w:r>
      <w:r w:rsidRPr="007D322B">
        <w:rPr>
          <w:rFonts w:ascii="Arial" w:hAnsi="Arial" w:cs="Arial"/>
          <w:noProof/>
          <w:sz w:val="24"/>
          <w:szCs w:val="24"/>
          <w:lang w:val="en-AU"/>
        </w:rPr>
        <w:t>may</w:t>
      </w:r>
      <w:r w:rsidR="00EE0CCC">
        <w:rPr>
          <w:rFonts w:ascii="Arial" w:hAnsi="Arial" w:cs="Arial"/>
          <w:noProof/>
          <w:sz w:val="24"/>
          <w:szCs w:val="24"/>
          <w:lang w:val="en-AU"/>
        </w:rPr>
        <w:t xml:space="preserve"> </w:t>
      </w:r>
      <w:r w:rsidRPr="007D322B">
        <w:rPr>
          <w:rFonts w:ascii="Arial" w:hAnsi="Arial" w:cs="Arial"/>
          <w:noProof/>
          <w:sz w:val="24"/>
          <w:szCs w:val="24"/>
          <w:lang w:val="en-AU"/>
        </w:rPr>
        <w:t>vary</w:t>
      </w:r>
      <w:r w:rsidR="00EE0CCC">
        <w:rPr>
          <w:rFonts w:ascii="Arial" w:hAnsi="Arial" w:cs="Arial"/>
          <w:noProof/>
          <w:sz w:val="24"/>
          <w:szCs w:val="24"/>
          <w:lang w:val="en-AU"/>
        </w:rPr>
        <w:t xml:space="preserve"> </w:t>
      </w:r>
      <w:r w:rsidRPr="007D322B">
        <w:rPr>
          <w:rFonts w:ascii="Arial" w:hAnsi="Arial" w:cs="Arial"/>
          <w:noProof/>
          <w:sz w:val="24"/>
          <w:szCs w:val="24"/>
          <w:lang w:val="en-AU"/>
        </w:rPr>
        <w:t>widely.</w:t>
      </w:r>
    </w:p>
    <w:p w:rsidR="001B3E6D" w:rsidRPr="007D322B" w:rsidRDefault="001B3E6D" w:rsidP="001B3E6D">
      <w:pPr>
        <w:pStyle w:val="BodytextAgency"/>
        <w:spacing w:after="0" w:line="240" w:lineRule="auto"/>
        <w:rPr>
          <w:rFonts w:ascii="Arial" w:hAnsi="Arial" w:cs="Arial"/>
          <w:noProof/>
          <w:sz w:val="24"/>
          <w:szCs w:val="24"/>
          <w:lang w:val="en-AU"/>
        </w:rPr>
      </w:pPr>
    </w:p>
    <w:p w:rsidR="001B3E6D" w:rsidRPr="007D322B" w:rsidRDefault="001B3E6D" w:rsidP="001B3E6D">
      <w:pPr>
        <w:pStyle w:val="BodytextAgency"/>
        <w:keepNext/>
        <w:keepLines/>
        <w:spacing w:after="0" w:line="240" w:lineRule="auto"/>
        <w:rPr>
          <w:rFonts w:ascii="Arial" w:hAnsi="Arial" w:cs="Arial"/>
          <w:i/>
          <w:noProof/>
          <w:sz w:val="24"/>
          <w:szCs w:val="24"/>
          <w:lang w:val="en-AU"/>
        </w:rPr>
      </w:pPr>
      <w:r w:rsidRPr="007D322B">
        <w:rPr>
          <w:rFonts w:ascii="Arial" w:hAnsi="Arial" w:cs="Arial"/>
          <w:i/>
          <w:noProof/>
          <w:sz w:val="24"/>
          <w:szCs w:val="24"/>
          <w:lang w:val="en-AU"/>
        </w:rPr>
        <w:t>Nonopioid</w:t>
      </w:r>
      <w:r w:rsidR="00EE0CCC">
        <w:rPr>
          <w:rFonts w:ascii="Arial" w:hAnsi="Arial" w:cs="Arial"/>
          <w:i/>
          <w:noProof/>
          <w:sz w:val="24"/>
          <w:szCs w:val="24"/>
          <w:lang w:val="en-AU"/>
        </w:rPr>
        <w:t xml:space="preserve"> </w:t>
      </w:r>
      <w:r w:rsidRPr="007D322B">
        <w:rPr>
          <w:rFonts w:ascii="Arial" w:hAnsi="Arial" w:cs="Arial"/>
          <w:i/>
          <w:noProof/>
          <w:sz w:val="24"/>
          <w:szCs w:val="24"/>
          <w:lang w:val="en-AU"/>
        </w:rPr>
        <w:t>analgesics</w:t>
      </w:r>
    </w:p>
    <w:p w:rsidR="001B3E6D" w:rsidRPr="007D322B" w:rsidRDefault="001B3E6D" w:rsidP="001B3E6D">
      <w:pPr>
        <w:pStyle w:val="BodytextAgency"/>
        <w:keepNext/>
        <w:keepLines/>
        <w:spacing w:after="0" w:line="240" w:lineRule="auto"/>
        <w:rPr>
          <w:rFonts w:ascii="Arial" w:hAnsi="Arial" w:cs="Arial"/>
          <w:noProof/>
          <w:sz w:val="24"/>
          <w:szCs w:val="24"/>
          <w:lang w:val="en-AU"/>
        </w:rPr>
      </w:pPr>
      <w:r w:rsidRPr="007D322B">
        <w:rPr>
          <w:rFonts w:ascii="Arial" w:hAnsi="Arial" w:cs="Arial"/>
          <w:noProof/>
          <w:sz w:val="24"/>
          <w:szCs w:val="24"/>
          <w:lang w:val="en-AU"/>
        </w:rPr>
        <w:t>Nonopioid</w:t>
      </w:r>
      <w:r w:rsidR="00EE0CCC">
        <w:rPr>
          <w:rFonts w:ascii="Arial" w:hAnsi="Arial" w:cs="Arial"/>
          <w:noProof/>
          <w:sz w:val="24"/>
          <w:szCs w:val="24"/>
          <w:lang w:val="en-AU"/>
        </w:rPr>
        <w:t xml:space="preserve"> </w:t>
      </w:r>
      <w:r w:rsidRPr="007D322B">
        <w:rPr>
          <w:rFonts w:ascii="Arial" w:hAnsi="Arial" w:cs="Arial"/>
          <w:noProof/>
          <w:sz w:val="24"/>
          <w:szCs w:val="24"/>
          <w:lang w:val="en-AU"/>
        </w:rPr>
        <w:t>analgesics</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used</w:t>
      </w:r>
      <w:r w:rsidR="00EE0CCC">
        <w:rPr>
          <w:rFonts w:ascii="Arial" w:hAnsi="Arial" w:cs="Arial"/>
          <w:noProof/>
          <w:sz w:val="24"/>
          <w:szCs w:val="24"/>
          <w:lang w:val="en-AU"/>
        </w:rPr>
        <w:t xml:space="preserve"> </w:t>
      </w:r>
      <w:r w:rsidRPr="007D322B">
        <w:rPr>
          <w:rFonts w:ascii="Arial" w:hAnsi="Arial" w:cs="Arial"/>
          <w:noProof/>
          <w:sz w:val="24"/>
          <w:szCs w:val="24"/>
          <w:lang w:val="en-AU"/>
        </w:rPr>
        <w:t>permanently</w:t>
      </w:r>
      <w:r w:rsidR="00EE0CCC">
        <w:rPr>
          <w:rFonts w:ascii="Arial" w:hAnsi="Arial" w:cs="Arial"/>
          <w:noProof/>
          <w:sz w:val="24"/>
          <w:szCs w:val="24"/>
          <w:lang w:val="en-AU"/>
        </w:rPr>
        <w:t xml:space="preserve"> </w:t>
      </w:r>
      <w:r w:rsidRPr="007D322B">
        <w:rPr>
          <w:rFonts w:ascii="Arial" w:hAnsi="Arial" w:cs="Arial"/>
          <w:noProof/>
          <w:sz w:val="24"/>
          <w:szCs w:val="24"/>
          <w:lang w:val="en-AU"/>
        </w:rPr>
        <w:t>during</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e.g.</w:t>
      </w:r>
      <w:r w:rsidR="00EE0CCC">
        <w:rPr>
          <w:rFonts w:ascii="Arial" w:hAnsi="Arial" w:cs="Arial"/>
          <w:noProof/>
          <w:sz w:val="24"/>
          <w:szCs w:val="24"/>
          <w:lang w:val="en-AU"/>
        </w:rPr>
        <w:t xml:space="preserve"> </w:t>
      </w:r>
      <w:r w:rsidRPr="007D322B">
        <w:rPr>
          <w:rFonts w:ascii="Arial" w:hAnsi="Arial" w:cs="Arial"/>
          <w:noProof/>
          <w:sz w:val="24"/>
          <w:szCs w:val="24"/>
          <w:lang w:val="en-AU"/>
        </w:rPr>
        <w:t>paracetamol</w:t>
      </w:r>
      <w:r w:rsidR="00EE0CCC">
        <w:rPr>
          <w:rFonts w:ascii="Arial" w:hAnsi="Arial" w:cs="Arial"/>
          <w:noProof/>
          <w:sz w:val="24"/>
          <w:szCs w:val="24"/>
          <w:lang w:val="en-AU"/>
        </w:rPr>
        <w:t xml:space="preserve"> </w:t>
      </w:r>
      <w:r w:rsidRPr="007D322B">
        <w:rPr>
          <w:rFonts w:ascii="Arial" w:hAnsi="Arial" w:cs="Arial"/>
          <w:noProof/>
          <w:sz w:val="24"/>
          <w:szCs w:val="24"/>
          <w:lang w:val="en-AU"/>
        </w:rPr>
        <w:t>or</w:t>
      </w:r>
      <w:r w:rsidR="00EE0CCC">
        <w:rPr>
          <w:rFonts w:ascii="Arial" w:hAnsi="Arial" w:cs="Arial"/>
          <w:noProof/>
          <w:sz w:val="24"/>
          <w:szCs w:val="24"/>
          <w:lang w:val="en-AU"/>
        </w:rPr>
        <w:t xml:space="preserve"> </w:t>
      </w:r>
      <w:r w:rsidRPr="007D322B">
        <w:rPr>
          <w:rFonts w:ascii="Arial" w:hAnsi="Arial" w:cs="Arial"/>
          <w:noProof/>
          <w:sz w:val="24"/>
          <w:szCs w:val="24"/>
          <w:lang w:val="en-AU"/>
        </w:rPr>
        <w:t>ibuprofen.</w:t>
      </w:r>
    </w:p>
    <w:p w:rsidR="001B3E6D" w:rsidRPr="007D322B" w:rsidRDefault="001B3E6D" w:rsidP="001B3E6D">
      <w:pPr>
        <w:pStyle w:val="BodytextAgency"/>
        <w:spacing w:after="0" w:line="240" w:lineRule="auto"/>
        <w:rPr>
          <w:rFonts w:ascii="Arial" w:hAnsi="Arial" w:cs="Arial"/>
          <w:noProof/>
          <w:sz w:val="24"/>
          <w:szCs w:val="24"/>
          <w:lang w:val="en-AU"/>
        </w:rPr>
      </w:pPr>
    </w:p>
    <w:p w:rsidR="001B3E6D" w:rsidRPr="007D322B" w:rsidRDefault="001B3E6D" w:rsidP="001B3E6D">
      <w:pPr>
        <w:pStyle w:val="BodytextAgency"/>
        <w:keepNext/>
        <w:keepLines/>
        <w:spacing w:after="0" w:line="240" w:lineRule="auto"/>
        <w:rPr>
          <w:rFonts w:ascii="Arial" w:hAnsi="Arial" w:cs="Arial"/>
          <w:i/>
          <w:noProof/>
          <w:sz w:val="24"/>
          <w:szCs w:val="24"/>
          <w:lang w:val="en-AU"/>
        </w:rPr>
      </w:pPr>
      <w:r w:rsidRPr="007D322B">
        <w:rPr>
          <w:rFonts w:ascii="Arial" w:hAnsi="Arial" w:cs="Arial"/>
          <w:i/>
          <w:noProof/>
          <w:sz w:val="24"/>
          <w:szCs w:val="24"/>
          <w:lang w:val="en-AU"/>
        </w:rPr>
        <w:t>Gabapentin</w:t>
      </w:r>
    </w:p>
    <w:p w:rsidR="001B3E6D" w:rsidRPr="007D322B" w:rsidRDefault="001B3E6D" w:rsidP="001B3E6D">
      <w:pPr>
        <w:pStyle w:val="BodytextAgency"/>
        <w:keepNext/>
        <w:keepLines/>
        <w:spacing w:after="0" w:line="240" w:lineRule="auto"/>
        <w:rPr>
          <w:rFonts w:ascii="Arial" w:hAnsi="Arial" w:cs="Arial"/>
          <w:noProof/>
          <w:sz w:val="24"/>
          <w:szCs w:val="24"/>
          <w:lang w:val="en-AU"/>
        </w:rPr>
      </w:pP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patient</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primed</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10</w:t>
      </w:r>
      <w:r w:rsidR="00EE0CCC">
        <w:rPr>
          <w:rFonts w:ascii="Arial" w:hAnsi="Arial" w:cs="Arial"/>
          <w:noProof/>
          <w:sz w:val="24"/>
          <w:szCs w:val="24"/>
          <w:lang w:val="en-AU"/>
        </w:rPr>
        <w:t xml:space="preserve"> </w:t>
      </w:r>
      <w:r w:rsidRPr="007D322B">
        <w:rPr>
          <w:rFonts w:ascii="Arial" w:hAnsi="Arial" w:cs="Arial"/>
          <w:noProof/>
          <w:sz w:val="24"/>
          <w:szCs w:val="24"/>
          <w:lang w:val="en-AU"/>
        </w:rPr>
        <w:t>mg/kg/day,</w:t>
      </w:r>
      <w:r w:rsidR="00EE0CCC">
        <w:rPr>
          <w:rFonts w:ascii="Arial" w:hAnsi="Arial" w:cs="Arial"/>
          <w:noProof/>
          <w:sz w:val="24"/>
          <w:szCs w:val="24"/>
          <w:lang w:val="en-AU"/>
        </w:rPr>
        <w:t xml:space="preserve"> </w:t>
      </w:r>
      <w:r w:rsidRPr="007D322B">
        <w:rPr>
          <w:rFonts w:ascii="Arial" w:hAnsi="Arial" w:cs="Arial"/>
          <w:noProof/>
          <w:sz w:val="24"/>
          <w:szCs w:val="24"/>
          <w:lang w:val="en-AU"/>
        </w:rPr>
        <w:t>starting</w:t>
      </w:r>
      <w:r w:rsidR="00EE0CCC">
        <w:rPr>
          <w:rFonts w:ascii="Arial" w:hAnsi="Arial" w:cs="Arial"/>
          <w:noProof/>
          <w:sz w:val="24"/>
          <w:szCs w:val="24"/>
          <w:lang w:val="en-AU"/>
        </w:rPr>
        <w:t xml:space="preserve"> </w:t>
      </w:r>
      <w:r w:rsidRPr="007D322B">
        <w:rPr>
          <w:rFonts w:ascii="Arial" w:hAnsi="Arial" w:cs="Arial"/>
          <w:noProof/>
          <w:sz w:val="24"/>
          <w:szCs w:val="24"/>
          <w:lang w:val="en-AU"/>
        </w:rPr>
        <w:t>3</w:t>
      </w:r>
      <w:r w:rsidR="00EE0CCC">
        <w:rPr>
          <w:rFonts w:ascii="Arial" w:hAnsi="Arial" w:cs="Arial"/>
          <w:noProof/>
          <w:sz w:val="24"/>
          <w:szCs w:val="24"/>
          <w:lang w:val="en-AU"/>
        </w:rPr>
        <w:t xml:space="preserve"> </w:t>
      </w:r>
      <w:r w:rsidRPr="007D322B">
        <w:rPr>
          <w:rFonts w:ascii="Arial" w:hAnsi="Arial" w:cs="Arial"/>
          <w:noProof/>
          <w:sz w:val="24"/>
          <w:szCs w:val="24"/>
          <w:lang w:val="en-AU"/>
        </w:rPr>
        <w:t>days</w:t>
      </w:r>
      <w:r w:rsidR="00EE0CCC">
        <w:rPr>
          <w:rFonts w:ascii="Arial" w:hAnsi="Arial" w:cs="Arial"/>
          <w:noProof/>
          <w:sz w:val="24"/>
          <w:szCs w:val="24"/>
          <w:lang w:val="en-AU"/>
        </w:rPr>
        <w:t xml:space="preserve"> </w:t>
      </w:r>
      <w:r w:rsidRPr="007D322B">
        <w:rPr>
          <w:rFonts w:ascii="Arial" w:hAnsi="Arial" w:cs="Arial"/>
          <w:noProof/>
          <w:sz w:val="24"/>
          <w:szCs w:val="24"/>
          <w:lang w:val="en-AU"/>
        </w:rPr>
        <w:t>prior</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daily</w:t>
      </w:r>
      <w:r w:rsidR="00EE0CCC">
        <w:rPr>
          <w:rFonts w:ascii="Arial" w:hAnsi="Arial" w:cs="Arial"/>
          <w:noProof/>
          <w:sz w:val="24"/>
          <w:szCs w:val="24"/>
          <w:lang w:val="en-AU"/>
        </w:rPr>
        <w:t xml:space="preserve"> </w:t>
      </w:r>
      <w:r w:rsidRPr="007D322B">
        <w:rPr>
          <w:rFonts w:ascii="Arial" w:hAnsi="Arial" w:cs="Arial"/>
          <w:noProof/>
          <w:sz w:val="24"/>
          <w:szCs w:val="24"/>
          <w:lang w:val="en-AU"/>
        </w:rPr>
        <w:t>dose</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gabapentin</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increased</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2×10</w:t>
      </w:r>
      <w:r w:rsidR="00EE0CCC">
        <w:rPr>
          <w:rFonts w:ascii="Arial" w:hAnsi="Arial" w:cs="Arial"/>
          <w:noProof/>
          <w:sz w:val="24"/>
          <w:szCs w:val="24"/>
          <w:lang w:val="en-AU"/>
        </w:rPr>
        <w:t xml:space="preserve"> </w:t>
      </w:r>
      <w:r w:rsidRPr="007D322B">
        <w:rPr>
          <w:rFonts w:ascii="Arial" w:hAnsi="Arial" w:cs="Arial"/>
          <w:noProof/>
          <w:sz w:val="24"/>
          <w:szCs w:val="24"/>
          <w:lang w:val="en-AU"/>
        </w:rPr>
        <w:t>mg/kg/day</w:t>
      </w:r>
      <w:r w:rsidR="00EE0CCC">
        <w:rPr>
          <w:rFonts w:ascii="Arial" w:hAnsi="Arial" w:cs="Arial"/>
          <w:noProof/>
          <w:sz w:val="24"/>
          <w:szCs w:val="24"/>
          <w:lang w:val="en-AU"/>
        </w:rPr>
        <w:t xml:space="preserve"> </w:t>
      </w:r>
      <w:r w:rsidRPr="007D322B">
        <w:rPr>
          <w:rFonts w:ascii="Arial" w:hAnsi="Arial" w:cs="Arial"/>
          <w:noProof/>
          <w:sz w:val="24"/>
          <w:szCs w:val="24"/>
          <w:lang w:val="en-AU"/>
        </w:rPr>
        <w:t>orally,</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next</w:t>
      </w:r>
      <w:r w:rsidR="00EE0CCC">
        <w:rPr>
          <w:rFonts w:ascii="Arial" w:hAnsi="Arial" w:cs="Arial"/>
          <w:noProof/>
          <w:sz w:val="24"/>
          <w:szCs w:val="24"/>
          <w:lang w:val="en-AU"/>
        </w:rPr>
        <w:t xml:space="preserve"> </w:t>
      </w:r>
      <w:r w:rsidRPr="007D322B">
        <w:rPr>
          <w:rFonts w:ascii="Arial" w:hAnsi="Arial" w:cs="Arial"/>
          <w:noProof/>
          <w:sz w:val="24"/>
          <w:szCs w:val="24"/>
          <w:lang w:val="en-AU"/>
        </w:rPr>
        <w:t>day</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3×10</w:t>
      </w:r>
      <w:r w:rsidR="00EE0CCC">
        <w:rPr>
          <w:rFonts w:ascii="Arial" w:hAnsi="Arial" w:cs="Arial"/>
          <w:noProof/>
          <w:sz w:val="24"/>
          <w:szCs w:val="24"/>
          <w:lang w:val="en-AU"/>
        </w:rPr>
        <w:t xml:space="preserve"> </w:t>
      </w:r>
      <w:r w:rsidRPr="007D322B">
        <w:rPr>
          <w:rFonts w:ascii="Arial" w:hAnsi="Arial" w:cs="Arial"/>
          <w:noProof/>
          <w:sz w:val="24"/>
          <w:szCs w:val="24"/>
          <w:lang w:val="en-AU"/>
        </w:rPr>
        <w:t>mg/kg/day</w:t>
      </w:r>
      <w:r w:rsidR="00EE0CCC">
        <w:rPr>
          <w:rFonts w:ascii="Arial" w:hAnsi="Arial" w:cs="Arial"/>
          <w:noProof/>
          <w:sz w:val="24"/>
          <w:szCs w:val="24"/>
          <w:lang w:val="en-AU"/>
        </w:rPr>
        <w:t xml:space="preserve"> </w:t>
      </w:r>
      <w:r w:rsidRPr="007D322B">
        <w:rPr>
          <w:rFonts w:ascii="Arial" w:hAnsi="Arial" w:cs="Arial"/>
          <w:noProof/>
          <w:sz w:val="24"/>
          <w:szCs w:val="24"/>
          <w:lang w:val="en-AU"/>
        </w:rPr>
        <w:t>orally,</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day</w:t>
      </w:r>
      <w:r w:rsidR="00EE0CCC">
        <w:rPr>
          <w:rFonts w:ascii="Arial" w:hAnsi="Arial" w:cs="Arial"/>
          <w:noProof/>
          <w:sz w:val="24"/>
          <w:szCs w:val="24"/>
          <w:lang w:val="en-AU"/>
        </w:rPr>
        <w:t xml:space="preserve"> </w:t>
      </w:r>
      <w:r w:rsidRPr="007D322B">
        <w:rPr>
          <w:rFonts w:ascii="Arial" w:hAnsi="Arial" w:cs="Arial"/>
          <w:noProof/>
          <w:sz w:val="24"/>
          <w:szCs w:val="24"/>
          <w:lang w:val="en-AU"/>
        </w:rPr>
        <w:t>before</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onset</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thereafter.</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maximum</w:t>
      </w:r>
      <w:r w:rsidR="00EE0CCC">
        <w:rPr>
          <w:rFonts w:ascii="Arial" w:hAnsi="Arial" w:cs="Arial"/>
          <w:noProof/>
          <w:sz w:val="24"/>
          <w:szCs w:val="24"/>
          <w:lang w:val="en-AU"/>
        </w:rPr>
        <w:t xml:space="preserve"> </w:t>
      </w:r>
      <w:r w:rsidRPr="007D322B">
        <w:rPr>
          <w:rFonts w:ascii="Arial" w:hAnsi="Arial" w:cs="Arial"/>
          <w:noProof/>
          <w:sz w:val="24"/>
          <w:szCs w:val="24"/>
          <w:lang w:val="en-AU"/>
        </w:rPr>
        <w:t>single</w:t>
      </w:r>
      <w:r w:rsidR="00EE0CCC">
        <w:rPr>
          <w:rFonts w:ascii="Arial" w:hAnsi="Arial" w:cs="Arial"/>
          <w:noProof/>
          <w:sz w:val="24"/>
          <w:szCs w:val="24"/>
          <w:lang w:val="en-AU"/>
        </w:rPr>
        <w:t xml:space="preserve"> </w:t>
      </w:r>
      <w:r w:rsidRPr="007D322B">
        <w:rPr>
          <w:rFonts w:ascii="Arial" w:hAnsi="Arial" w:cs="Arial"/>
          <w:noProof/>
          <w:sz w:val="24"/>
          <w:szCs w:val="24"/>
          <w:lang w:val="en-AU"/>
        </w:rPr>
        <w:t>dose</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gabapentin</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300</w:t>
      </w:r>
      <w:r w:rsidR="00EE0CCC">
        <w:rPr>
          <w:rFonts w:ascii="Arial" w:hAnsi="Arial" w:cs="Arial"/>
          <w:noProof/>
          <w:sz w:val="24"/>
          <w:szCs w:val="24"/>
          <w:lang w:val="en-AU"/>
        </w:rPr>
        <w:t xml:space="preserve"> </w:t>
      </w:r>
      <w:r w:rsidRPr="007D322B">
        <w:rPr>
          <w:rFonts w:ascii="Arial" w:hAnsi="Arial" w:cs="Arial"/>
          <w:noProof/>
          <w:sz w:val="24"/>
          <w:szCs w:val="24"/>
          <w:lang w:val="en-AU"/>
        </w:rPr>
        <w:t>mg.</w:t>
      </w:r>
      <w:r w:rsidR="00EE0CCC">
        <w:rPr>
          <w:rFonts w:ascii="Arial" w:hAnsi="Arial" w:cs="Arial"/>
          <w:noProof/>
          <w:sz w:val="24"/>
          <w:szCs w:val="24"/>
          <w:lang w:val="en-AU"/>
        </w:rPr>
        <w:t xml:space="preserve"> </w:t>
      </w:r>
      <w:r w:rsidRPr="007D322B">
        <w:rPr>
          <w:rFonts w:ascii="Arial" w:hAnsi="Arial" w:cs="Arial"/>
          <w:noProof/>
          <w:sz w:val="24"/>
          <w:szCs w:val="24"/>
          <w:lang w:val="en-AU"/>
        </w:rPr>
        <w:t>This</w:t>
      </w:r>
      <w:r w:rsidR="00EE0CCC">
        <w:rPr>
          <w:rFonts w:ascii="Arial" w:hAnsi="Arial" w:cs="Arial"/>
          <w:noProof/>
          <w:sz w:val="24"/>
          <w:szCs w:val="24"/>
          <w:lang w:val="en-AU"/>
        </w:rPr>
        <w:t xml:space="preserve"> </w:t>
      </w:r>
      <w:r w:rsidRPr="007D322B">
        <w:rPr>
          <w:rFonts w:ascii="Arial" w:hAnsi="Arial" w:cs="Arial"/>
          <w:noProof/>
          <w:sz w:val="24"/>
          <w:szCs w:val="24"/>
          <w:lang w:val="en-AU"/>
        </w:rPr>
        <w:t>dosing</w:t>
      </w:r>
      <w:r w:rsidR="00EE0CCC">
        <w:rPr>
          <w:rFonts w:ascii="Arial" w:hAnsi="Arial" w:cs="Arial"/>
          <w:noProof/>
          <w:sz w:val="24"/>
          <w:szCs w:val="24"/>
          <w:lang w:val="en-AU"/>
        </w:rPr>
        <w:t xml:space="preserve"> </w:t>
      </w:r>
      <w:r w:rsidRPr="007D322B">
        <w:rPr>
          <w:rFonts w:ascii="Arial" w:hAnsi="Arial" w:cs="Arial"/>
          <w:noProof/>
          <w:sz w:val="24"/>
          <w:szCs w:val="24"/>
          <w:lang w:val="en-AU"/>
        </w:rPr>
        <w:t>schedule</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maintained</w:t>
      </w:r>
      <w:r w:rsidR="00EE0CCC">
        <w:rPr>
          <w:rFonts w:ascii="Arial" w:hAnsi="Arial" w:cs="Arial"/>
          <w:noProof/>
          <w:sz w:val="24"/>
          <w:szCs w:val="24"/>
          <w:lang w:val="en-AU"/>
        </w:rPr>
        <w:t xml:space="preserve"> </w:t>
      </w:r>
      <w:r w:rsidRPr="007D322B">
        <w:rPr>
          <w:rFonts w:ascii="Arial" w:hAnsi="Arial" w:cs="Arial"/>
          <w:noProof/>
          <w:sz w:val="24"/>
          <w:szCs w:val="24"/>
          <w:lang w:val="en-AU"/>
        </w:rPr>
        <w:t>for</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long</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required</w:t>
      </w:r>
      <w:r w:rsidR="00EE0CCC">
        <w:rPr>
          <w:rFonts w:ascii="Arial" w:hAnsi="Arial" w:cs="Arial"/>
          <w:noProof/>
          <w:sz w:val="24"/>
          <w:szCs w:val="24"/>
          <w:lang w:val="en-AU"/>
        </w:rPr>
        <w:t xml:space="preserve"> </w:t>
      </w:r>
      <w:r w:rsidRPr="007D322B">
        <w:rPr>
          <w:rFonts w:ascii="Arial" w:hAnsi="Arial" w:cs="Arial"/>
          <w:noProof/>
          <w:sz w:val="24"/>
          <w:szCs w:val="24"/>
          <w:lang w:val="en-AU"/>
        </w:rPr>
        <w:t>by</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patient.</w:t>
      </w:r>
    </w:p>
    <w:p w:rsidR="001B3E6D" w:rsidRPr="007D322B" w:rsidRDefault="001B3E6D" w:rsidP="001B3E6D">
      <w:pPr>
        <w:pStyle w:val="BodytextAgency"/>
        <w:keepNext/>
        <w:keepLines/>
        <w:spacing w:after="0" w:line="240" w:lineRule="auto"/>
        <w:rPr>
          <w:rFonts w:ascii="Arial" w:hAnsi="Arial" w:cs="Arial"/>
          <w:noProof/>
          <w:sz w:val="24"/>
          <w:szCs w:val="24"/>
          <w:lang w:val="en-AU"/>
        </w:rPr>
      </w:pPr>
    </w:p>
    <w:p w:rsidR="001B3E6D" w:rsidRPr="007D322B" w:rsidRDefault="001B3E6D" w:rsidP="001B3E6D">
      <w:pPr>
        <w:pStyle w:val="BodytextAgency"/>
        <w:spacing w:after="0" w:line="240" w:lineRule="auto"/>
        <w:rPr>
          <w:rFonts w:ascii="Arial" w:hAnsi="Arial" w:cs="Arial"/>
          <w:noProof/>
          <w:sz w:val="24"/>
          <w:szCs w:val="24"/>
          <w:lang w:val="en-AU"/>
        </w:rPr>
      </w:pPr>
      <w:r w:rsidRPr="007D322B">
        <w:rPr>
          <w:rFonts w:ascii="Arial" w:hAnsi="Arial" w:cs="Arial"/>
          <w:noProof/>
          <w:sz w:val="24"/>
          <w:szCs w:val="24"/>
          <w:lang w:val="en-AU"/>
        </w:rPr>
        <w:t>Oral</w:t>
      </w:r>
      <w:r w:rsidR="00EE0CCC">
        <w:rPr>
          <w:rFonts w:ascii="Arial" w:hAnsi="Arial" w:cs="Arial"/>
          <w:noProof/>
          <w:sz w:val="24"/>
          <w:szCs w:val="24"/>
          <w:lang w:val="en-AU"/>
        </w:rPr>
        <w:t xml:space="preserve"> </w:t>
      </w:r>
      <w:r w:rsidRPr="007D322B">
        <w:rPr>
          <w:rFonts w:ascii="Arial" w:hAnsi="Arial" w:cs="Arial"/>
          <w:noProof/>
          <w:sz w:val="24"/>
          <w:szCs w:val="24"/>
          <w:lang w:val="en-AU"/>
        </w:rPr>
        <w:t>gabapentin</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tapered</w:t>
      </w:r>
      <w:r w:rsidR="00EE0CCC">
        <w:rPr>
          <w:rFonts w:ascii="Arial" w:hAnsi="Arial" w:cs="Arial"/>
          <w:noProof/>
          <w:sz w:val="24"/>
          <w:szCs w:val="24"/>
          <w:lang w:val="en-AU"/>
        </w:rPr>
        <w:t xml:space="preserve"> </w:t>
      </w:r>
      <w:r w:rsidRPr="007D322B">
        <w:rPr>
          <w:rFonts w:ascii="Arial" w:hAnsi="Arial" w:cs="Arial"/>
          <w:noProof/>
          <w:sz w:val="24"/>
          <w:szCs w:val="24"/>
          <w:lang w:val="en-AU"/>
        </w:rPr>
        <w:t>off</w:t>
      </w:r>
      <w:r w:rsidR="00EE0CCC">
        <w:rPr>
          <w:rFonts w:ascii="Arial" w:hAnsi="Arial" w:cs="Arial"/>
          <w:noProof/>
          <w:sz w:val="24"/>
          <w:szCs w:val="24"/>
          <w:lang w:val="en-AU"/>
        </w:rPr>
        <w:t xml:space="preserve"> </w:t>
      </w:r>
      <w:r w:rsidRPr="007D322B">
        <w:rPr>
          <w:rFonts w:ascii="Arial" w:hAnsi="Arial" w:cs="Arial"/>
          <w:noProof/>
          <w:sz w:val="24"/>
          <w:szCs w:val="24"/>
          <w:lang w:val="en-AU"/>
        </w:rPr>
        <w:t>after</w:t>
      </w:r>
      <w:r w:rsidR="00EE0CCC">
        <w:rPr>
          <w:rFonts w:ascii="Arial" w:hAnsi="Arial" w:cs="Arial"/>
          <w:sz w:val="24"/>
          <w:szCs w:val="24"/>
          <w:lang w:val="en-AU"/>
        </w:rPr>
        <w:t xml:space="preserve"> </w:t>
      </w:r>
      <w:r w:rsidRPr="007D322B">
        <w:rPr>
          <w:rFonts w:ascii="Arial" w:hAnsi="Arial" w:cs="Arial"/>
          <w:noProof/>
          <w:sz w:val="24"/>
          <w:szCs w:val="24"/>
          <w:lang w:val="en-AU"/>
        </w:rPr>
        <w:t>weaning</w:t>
      </w:r>
      <w:r w:rsidR="00EE0CCC">
        <w:rPr>
          <w:rFonts w:ascii="Arial" w:hAnsi="Arial" w:cs="Arial"/>
          <w:noProof/>
          <w:sz w:val="24"/>
          <w:szCs w:val="24"/>
          <w:lang w:val="en-AU"/>
        </w:rPr>
        <w:t xml:space="preserve"> </w:t>
      </w:r>
      <w:r w:rsidRPr="007D322B">
        <w:rPr>
          <w:rFonts w:ascii="Arial" w:hAnsi="Arial" w:cs="Arial"/>
          <w:noProof/>
          <w:sz w:val="24"/>
          <w:szCs w:val="24"/>
          <w:lang w:val="en-AU"/>
        </w:rPr>
        <w:t>off</w:t>
      </w:r>
      <w:r w:rsidR="00EE0CCC">
        <w:rPr>
          <w:rFonts w:ascii="Arial" w:hAnsi="Arial" w:cs="Arial"/>
          <w:noProof/>
          <w:sz w:val="24"/>
          <w:szCs w:val="24"/>
          <w:lang w:val="en-AU"/>
        </w:rPr>
        <w:t xml:space="preserve"> </w:t>
      </w:r>
      <w:r w:rsidRPr="007D322B">
        <w:rPr>
          <w:rFonts w:ascii="Arial" w:hAnsi="Arial" w:cs="Arial"/>
          <w:noProof/>
          <w:sz w:val="24"/>
          <w:szCs w:val="24"/>
          <w:lang w:val="en-AU"/>
        </w:rPr>
        <w:t>intravenous</w:t>
      </w:r>
      <w:r w:rsidR="00EE0CCC">
        <w:rPr>
          <w:rFonts w:ascii="Arial" w:hAnsi="Arial" w:cs="Arial"/>
          <w:noProof/>
          <w:sz w:val="24"/>
          <w:szCs w:val="24"/>
          <w:lang w:val="en-AU"/>
        </w:rPr>
        <w:t xml:space="preserve"> </w:t>
      </w:r>
      <w:r w:rsidRPr="007D322B">
        <w:rPr>
          <w:rFonts w:ascii="Arial" w:hAnsi="Arial" w:cs="Arial"/>
          <w:noProof/>
          <w:sz w:val="24"/>
          <w:szCs w:val="24"/>
          <w:lang w:val="en-AU"/>
        </w:rPr>
        <w:t>morphine</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at</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latest</w:t>
      </w:r>
      <w:r w:rsidR="00EE0CCC">
        <w:rPr>
          <w:rFonts w:ascii="Arial" w:hAnsi="Arial" w:cs="Arial"/>
          <w:noProof/>
          <w:sz w:val="24"/>
          <w:szCs w:val="24"/>
          <w:lang w:val="en-AU"/>
        </w:rPr>
        <w:t xml:space="preserve"> </w:t>
      </w:r>
      <w:r w:rsidRPr="007D322B">
        <w:rPr>
          <w:rFonts w:ascii="Arial" w:hAnsi="Arial" w:cs="Arial"/>
          <w:noProof/>
          <w:sz w:val="24"/>
          <w:szCs w:val="24"/>
          <w:lang w:val="en-AU"/>
        </w:rPr>
        <w:t>after</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therapy</w:t>
      </w:r>
      <w:r w:rsidR="00EE0CCC">
        <w:rPr>
          <w:rFonts w:ascii="Arial" w:hAnsi="Arial" w:cs="Arial"/>
          <w:noProof/>
          <w:sz w:val="24"/>
          <w:szCs w:val="24"/>
          <w:lang w:val="en-AU"/>
        </w:rPr>
        <w:t xml:space="preserve"> </w:t>
      </w:r>
      <w:r w:rsidRPr="007D322B">
        <w:rPr>
          <w:rFonts w:ascii="Arial" w:hAnsi="Arial" w:cs="Arial"/>
          <w:noProof/>
          <w:sz w:val="24"/>
          <w:szCs w:val="24"/>
          <w:lang w:val="en-AU"/>
        </w:rPr>
        <w:t>has</w:t>
      </w:r>
      <w:r w:rsidR="00EE0CCC">
        <w:rPr>
          <w:rFonts w:ascii="Arial" w:hAnsi="Arial" w:cs="Arial"/>
          <w:noProof/>
          <w:sz w:val="24"/>
          <w:szCs w:val="24"/>
          <w:lang w:val="en-AU"/>
        </w:rPr>
        <w:t xml:space="preserve"> </w:t>
      </w:r>
      <w:r w:rsidRPr="007D322B">
        <w:rPr>
          <w:rFonts w:ascii="Arial" w:hAnsi="Arial" w:cs="Arial"/>
          <w:noProof/>
          <w:sz w:val="24"/>
          <w:szCs w:val="24"/>
          <w:lang w:val="en-AU"/>
        </w:rPr>
        <w:t>stopped.</w:t>
      </w:r>
    </w:p>
    <w:p w:rsidR="001B3E6D" w:rsidRPr="007D322B" w:rsidRDefault="001B3E6D" w:rsidP="001B3E6D">
      <w:pPr>
        <w:pStyle w:val="BodytextAgency"/>
        <w:spacing w:after="0" w:line="240" w:lineRule="auto"/>
        <w:rPr>
          <w:rFonts w:ascii="Arial" w:hAnsi="Arial" w:cs="Arial"/>
          <w:noProof/>
          <w:sz w:val="24"/>
          <w:szCs w:val="24"/>
          <w:lang w:val="en-AU"/>
        </w:rPr>
      </w:pPr>
    </w:p>
    <w:p w:rsidR="001B3E6D" w:rsidRPr="007D322B" w:rsidRDefault="001B3E6D" w:rsidP="001B3E6D">
      <w:pPr>
        <w:pStyle w:val="BodytextAgency"/>
        <w:keepNext/>
        <w:keepLines/>
        <w:spacing w:after="0" w:line="240" w:lineRule="auto"/>
        <w:rPr>
          <w:rFonts w:ascii="Arial" w:hAnsi="Arial" w:cs="Arial"/>
          <w:i/>
          <w:noProof/>
          <w:sz w:val="24"/>
          <w:szCs w:val="24"/>
          <w:lang w:val="en-AU"/>
        </w:rPr>
      </w:pPr>
      <w:r w:rsidRPr="007D322B">
        <w:rPr>
          <w:rFonts w:ascii="Arial" w:hAnsi="Arial" w:cs="Arial"/>
          <w:i/>
          <w:noProof/>
          <w:sz w:val="24"/>
          <w:szCs w:val="24"/>
          <w:lang w:val="en-AU"/>
        </w:rPr>
        <w:t>Opioids</w:t>
      </w:r>
    </w:p>
    <w:p w:rsidR="001B3E6D" w:rsidRPr="007D322B" w:rsidRDefault="001B3E6D" w:rsidP="001B3E6D">
      <w:pPr>
        <w:pStyle w:val="BodytextAgency"/>
        <w:keepNext/>
        <w:keepLines/>
        <w:spacing w:after="0" w:line="240" w:lineRule="auto"/>
        <w:rPr>
          <w:rFonts w:ascii="Arial" w:hAnsi="Arial" w:cs="Arial"/>
          <w:noProof/>
          <w:sz w:val="24"/>
          <w:szCs w:val="24"/>
          <w:lang w:val="en-AU"/>
        </w:rPr>
      </w:pP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opioids</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standard</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first</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day</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course</w:t>
      </w:r>
      <w:r w:rsidR="00EE0CCC">
        <w:rPr>
          <w:rFonts w:ascii="Arial" w:hAnsi="Arial" w:cs="Arial"/>
          <w:noProof/>
          <w:sz w:val="24"/>
          <w:szCs w:val="24"/>
          <w:lang w:val="en-AU"/>
        </w:rPr>
        <w:t xml:space="preserve"> </w:t>
      </w:r>
      <w:r w:rsidRPr="007D322B">
        <w:rPr>
          <w:rFonts w:ascii="Arial" w:hAnsi="Arial" w:cs="Arial"/>
          <w:noProof/>
          <w:sz w:val="24"/>
          <w:szCs w:val="24"/>
          <w:lang w:val="en-AU"/>
        </w:rPr>
        <w:t>usually</w:t>
      </w:r>
      <w:r w:rsidR="00EE0CCC">
        <w:rPr>
          <w:rFonts w:ascii="Arial" w:hAnsi="Arial" w:cs="Arial"/>
          <w:noProof/>
          <w:sz w:val="24"/>
          <w:szCs w:val="24"/>
          <w:lang w:val="en-AU"/>
        </w:rPr>
        <w:t xml:space="preserve"> </w:t>
      </w:r>
      <w:r w:rsidRPr="007D322B">
        <w:rPr>
          <w:rFonts w:ascii="Arial" w:hAnsi="Arial" w:cs="Arial"/>
          <w:noProof/>
          <w:sz w:val="24"/>
          <w:szCs w:val="24"/>
          <w:lang w:val="en-AU"/>
        </w:rPr>
        <w:t>requires</w:t>
      </w:r>
      <w:r w:rsidR="00EE0CCC">
        <w:rPr>
          <w:rFonts w:ascii="Arial" w:hAnsi="Arial" w:cs="Arial"/>
          <w:noProof/>
          <w:sz w:val="24"/>
          <w:szCs w:val="24"/>
          <w:lang w:val="en-AU"/>
        </w:rPr>
        <w:t xml:space="preserve"> </w:t>
      </w:r>
      <w:r w:rsidRPr="007D322B">
        <w:rPr>
          <w:rFonts w:ascii="Arial" w:hAnsi="Arial" w:cs="Arial"/>
          <w:noProof/>
          <w:sz w:val="24"/>
          <w:szCs w:val="24"/>
          <w:lang w:val="en-AU"/>
        </w:rPr>
        <w:t>a</w:t>
      </w:r>
      <w:r w:rsidR="00EE0CCC">
        <w:rPr>
          <w:rFonts w:ascii="Arial" w:hAnsi="Arial" w:cs="Arial"/>
          <w:noProof/>
          <w:sz w:val="24"/>
          <w:szCs w:val="24"/>
          <w:lang w:val="en-AU"/>
        </w:rPr>
        <w:t xml:space="preserve"> </w:t>
      </w:r>
      <w:r w:rsidRPr="007D322B">
        <w:rPr>
          <w:rFonts w:ascii="Arial" w:hAnsi="Arial" w:cs="Arial"/>
          <w:noProof/>
          <w:sz w:val="24"/>
          <w:szCs w:val="24"/>
          <w:lang w:val="en-AU"/>
        </w:rPr>
        <w:t>higher</w:t>
      </w:r>
      <w:r w:rsidR="00EE0CCC">
        <w:rPr>
          <w:rFonts w:ascii="Arial" w:hAnsi="Arial" w:cs="Arial"/>
          <w:noProof/>
          <w:sz w:val="24"/>
          <w:szCs w:val="24"/>
          <w:lang w:val="en-AU"/>
        </w:rPr>
        <w:t xml:space="preserve"> </w:t>
      </w:r>
      <w:r w:rsidRPr="007D322B">
        <w:rPr>
          <w:rFonts w:ascii="Arial" w:hAnsi="Arial" w:cs="Arial"/>
          <w:noProof/>
          <w:sz w:val="24"/>
          <w:szCs w:val="24"/>
          <w:lang w:val="en-AU"/>
        </w:rPr>
        <w:t>dose</w:t>
      </w:r>
      <w:r w:rsidR="00EE0CCC">
        <w:rPr>
          <w:rFonts w:ascii="Arial" w:hAnsi="Arial" w:cs="Arial"/>
          <w:noProof/>
          <w:sz w:val="24"/>
          <w:szCs w:val="24"/>
          <w:lang w:val="en-AU"/>
        </w:rPr>
        <w:t xml:space="preserve"> </w:t>
      </w:r>
      <w:r w:rsidRPr="007D322B">
        <w:rPr>
          <w:rFonts w:ascii="Arial" w:hAnsi="Arial" w:cs="Arial"/>
          <w:noProof/>
          <w:sz w:val="24"/>
          <w:szCs w:val="24"/>
          <w:lang w:val="en-AU"/>
        </w:rPr>
        <w:t>than</w:t>
      </w:r>
      <w:r w:rsidR="00EE0CCC">
        <w:rPr>
          <w:rFonts w:ascii="Arial" w:hAnsi="Arial" w:cs="Arial"/>
          <w:noProof/>
          <w:sz w:val="24"/>
          <w:szCs w:val="24"/>
          <w:lang w:val="en-AU"/>
        </w:rPr>
        <w:t xml:space="preserve"> </w:t>
      </w:r>
      <w:r w:rsidRPr="007D322B">
        <w:rPr>
          <w:rFonts w:ascii="Arial" w:hAnsi="Arial" w:cs="Arial"/>
          <w:noProof/>
          <w:sz w:val="24"/>
          <w:szCs w:val="24"/>
          <w:lang w:val="en-AU"/>
        </w:rPr>
        <w:t>subsequent</w:t>
      </w:r>
      <w:r w:rsidR="00EE0CCC">
        <w:rPr>
          <w:rFonts w:ascii="Arial" w:hAnsi="Arial" w:cs="Arial"/>
          <w:noProof/>
          <w:sz w:val="24"/>
          <w:szCs w:val="24"/>
          <w:lang w:val="en-AU"/>
        </w:rPr>
        <w:t xml:space="preserve"> </w:t>
      </w:r>
      <w:r w:rsidRPr="007D322B">
        <w:rPr>
          <w:rFonts w:ascii="Arial" w:hAnsi="Arial" w:cs="Arial"/>
          <w:noProof/>
          <w:sz w:val="24"/>
          <w:szCs w:val="24"/>
          <w:lang w:val="en-AU"/>
        </w:rPr>
        <w:t>days</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courses.</w:t>
      </w:r>
      <w:r w:rsidR="00EE0CCC">
        <w:rPr>
          <w:rFonts w:ascii="Arial" w:hAnsi="Arial" w:cs="Arial"/>
          <w:noProof/>
          <w:sz w:val="24"/>
          <w:szCs w:val="24"/>
          <w:lang w:val="en-AU"/>
        </w:rPr>
        <w:t xml:space="preserve"> </w:t>
      </w:r>
    </w:p>
    <w:p w:rsidR="001B3E6D" w:rsidRPr="007D322B" w:rsidRDefault="001B3E6D" w:rsidP="001B3E6D">
      <w:pPr>
        <w:pStyle w:val="BodytextAgency"/>
        <w:spacing w:after="0" w:line="240" w:lineRule="auto"/>
        <w:rPr>
          <w:rFonts w:ascii="Arial" w:hAnsi="Arial" w:cs="Arial"/>
          <w:noProof/>
          <w:sz w:val="24"/>
          <w:szCs w:val="24"/>
          <w:lang w:val="en-AU"/>
        </w:rPr>
      </w:pPr>
    </w:p>
    <w:p w:rsidR="001B3E6D" w:rsidRPr="007D322B" w:rsidRDefault="001B3E6D" w:rsidP="001B3E6D">
      <w:pPr>
        <w:pStyle w:val="BodytextAgency"/>
        <w:numPr>
          <w:ilvl w:val="0"/>
          <w:numId w:val="13"/>
        </w:numPr>
        <w:spacing w:after="0" w:line="240" w:lineRule="auto"/>
        <w:ind w:left="567" w:hanging="567"/>
        <w:rPr>
          <w:rFonts w:ascii="Arial" w:hAnsi="Arial" w:cs="Arial"/>
          <w:noProof/>
          <w:sz w:val="24"/>
          <w:szCs w:val="24"/>
          <w:lang w:val="en-AU"/>
        </w:rPr>
      </w:pPr>
      <w:r w:rsidRPr="007D322B">
        <w:rPr>
          <w:rFonts w:ascii="Arial" w:hAnsi="Arial" w:cs="Arial"/>
          <w:noProof/>
          <w:sz w:val="24"/>
          <w:szCs w:val="24"/>
          <w:lang w:val="en-AU"/>
        </w:rPr>
        <w:t>Before</w:t>
      </w:r>
      <w:r w:rsidR="00EE0CCC">
        <w:rPr>
          <w:rFonts w:ascii="Arial" w:hAnsi="Arial" w:cs="Arial"/>
          <w:noProof/>
          <w:sz w:val="24"/>
          <w:szCs w:val="24"/>
          <w:lang w:val="en-AU"/>
        </w:rPr>
        <w:t xml:space="preserve"> </w:t>
      </w:r>
      <w:r w:rsidRPr="007D322B">
        <w:rPr>
          <w:rFonts w:ascii="Arial" w:hAnsi="Arial" w:cs="Arial"/>
          <w:noProof/>
          <w:sz w:val="24"/>
          <w:szCs w:val="24"/>
          <w:lang w:val="en-AU"/>
        </w:rPr>
        <w:t>initiation</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a</w:t>
      </w:r>
      <w:r w:rsidR="00EE0CCC">
        <w:rPr>
          <w:rFonts w:ascii="Arial" w:hAnsi="Arial" w:cs="Arial"/>
          <w:noProof/>
          <w:sz w:val="24"/>
          <w:szCs w:val="24"/>
          <w:lang w:val="en-AU"/>
        </w:rPr>
        <w:t xml:space="preserve"> </w:t>
      </w:r>
      <w:r w:rsidRPr="007D322B">
        <w:rPr>
          <w:rFonts w:ascii="Arial" w:hAnsi="Arial" w:cs="Arial"/>
          <w:noProof/>
          <w:sz w:val="24"/>
          <w:szCs w:val="24"/>
          <w:lang w:val="en-AU"/>
        </w:rPr>
        <w:t>continuous</w:t>
      </w:r>
      <w:r w:rsidR="00EE0CCC">
        <w:rPr>
          <w:rFonts w:ascii="Arial" w:hAnsi="Arial" w:cs="Arial"/>
          <w:noProof/>
          <w:sz w:val="24"/>
          <w:szCs w:val="24"/>
          <w:lang w:val="en-AU"/>
        </w:rPr>
        <w:t xml:space="preserve"> </w:t>
      </w:r>
      <w:r w:rsidRPr="007D322B">
        <w:rPr>
          <w:rFonts w:ascii="Arial" w:hAnsi="Arial" w:cs="Arial"/>
          <w:noProof/>
          <w:sz w:val="24"/>
          <w:szCs w:val="24"/>
          <w:lang w:val="en-AU"/>
        </w:rPr>
        <w:t>intravenous</w:t>
      </w:r>
      <w:r w:rsidR="00EE0CCC">
        <w:rPr>
          <w:rFonts w:ascii="Arial" w:hAnsi="Arial" w:cs="Arial"/>
          <w:noProof/>
          <w:sz w:val="24"/>
          <w:szCs w:val="24"/>
          <w:lang w:val="en-AU"/>
        </w:rPr>
        <w:t xml:space="preserve"> </w:t>
      </w:r>
      <w:r w:rsidRPr="007D322B">
        <w:rPr>
          <w:rFonts w:ascii="Arial" w:hAnsi="Arial" w:cs="Arial"/>
          <w:noProof/>
          <w:sz w:val="24"/>
          <w:szCs w:val="24"/>
          <w:lang w:val="en-AU"/>
        </w:rPr>
        <w:t>morphine</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a</w:t>
      </w:r>
      <w:r w:rsidR="00EE0CCC">
        <w:rPr>
          <w:rFonts w:ascii="Arial" w:hAnsi="Arial" w:cs="Arial"/>
          <w:noProof/>
          <w:sz w:val="24"/>
          <w:szCs w:val="24"/>
          <w:lang w:val="en-AU"/>
        </w:rPr>
        <w:t xml:space="preserve"> </w:t>
      </w:r>
      <w:r w:rsidRPr="007D322B">
        <w:rPr>
          <w:rFonts w:ascii="Arial" w:hAnsi="Arial" w:cs="Arial"/>
          <w:noProof/>
          <w:sz w:val="24"/>
          <w:szCs w:val="24"/>
          <w:lang w:val="en-AU"/>
        </w:rPr>
        <w:t>bolus</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0.02</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0.05</w:t>
      </w:r>
      <w:r w:rsidR="00EE0CCC">
        <w:rPr>
          <w:rFonts w:ascii="Arial" w:hAnsi="Arial" w:cs="Arial"/>
          <w:noProof/>
          <w:sz w:val="24"/>
          <w:szCs w:val="24"/>
          <w:lang w:val="en-AU"/>
        </w:rPr>
        <w:t xml:space="preserve"> </w:t>
      </w:r>
      <w:r w:rsidRPr="007D322B">
        <w:rPr>
          <w:rFonts w:ascii="Arial" w:hAnsi="Arial" w:cs="Arial"/>
          <w:noProof/>
          <w:sz w:val="24"/>
          <w:szCs w:val="24"/>
          <w:lang w:val="en-AU"/>
        </w:rPr>
        <w:t>mg/kg/hour</w:t>
      </w:r>
      <w:r w:rsidR="00EE0CCC">
        <w:rPr>
          <w:rFonts w:ascii="Arial" w:hAnsi="Arial" w:cs="Arial"/>
          <w:noProof/>
          <w:sz w:val="24"/>
          <w:szCs w:val="24"/>
          <w:lang w:val="en-AU"/>
        </w:rPr>
        <w:t xml:space="preserve"> </w:t>
      </w:r>
      <w:r w:rsidRPr="007D322B">
        <w:rPr>
          <w:rFonts w:ascii="Arial" w:hAnsi="Arial" w:cs="Arial"/>
          <w:noProof/>
          <w:sz w:val="24"/>
          <w:szCs w:val="24"/>
          <w:lang w:val="en-AU"/>
        </w:rPr>
        <w:t>morphine</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started</w:t>
      </w:r>
      <w:r w:rsidR="00EE0CCC">
        <w:rPr>
          <w:rFonts w:ascii="Arial" w:hAnsi="Arial" w:cs="Arial"/>
          <w:noProof/>
          <w:sz w:val="24"/>
          <w:szCs w:val="24"/>
          <w:lang w:val="en-AU"/>
        </w:rPr>
        <w:t xml:space="preserve"> </w:t>
      </w:r>
      <w:r w:rsidRPr="007D322B">
        <w:rPr>
          <w:rFonts w:ascii="Arial" w:hAnsi="Arial" w:cs="Arial"/>
          <w:noProof/>
          <w:sz w:val="24"/>
          <w:szCs w:val="24"/>
          <w:lang w:val="en-AU"/>
        </w:rPr>
        <w:t>2</w:t>
      </w:r>
      <w:r w:rsidR="00EE0CCC">
        <w:rPr>
          <w:rFonts w:ascii="Arial" w:hAnsi="Arial" w:cs="Arial"/>
          <w:noProof/>
          <w:sz w:val="24"/>
          <w:szCs w:val="24"/>
          <w:lang w:val="en-AU"/>
        </w:rPr>
        <w:t xml:space="preserve"> </w:t>
      </w:r>
      <w:r w:rsidRPr="007D322B">
        <w:rPr>
          <w:rFonts w:ascii="Arial" w:hAnsi="Arial" w:cs="Arial"/>
          <w:noProof/>
          <w:sz w:val="24"/>
          <w:szCs w:val="24"/>
          <w:lang w:val="en-AU"/>
        </w:rPr>
        <w:t>hours</w:t>
      </w:r>
      <w:r w:rsidR="00EE0CCC">
        <w:rPr>
          <w:rFonts w:ascii="Arial" w:hAnsi="Arial" w:cs="Arial"/>
          <w:noProof/>
          <w:sz w:val="24"/>
          <w:szCs w:val="24"/>
          <w:lang w:val="en-AU"/>
        </w:rPr>
        <w:t xml:space="preserve"> </w:t>
      </w:r>
      <w:r w:rsidRPr="007D322B">
        <w:rPr>
          <w:rFonts w:ascii="Arial" w:hAnsi="Arial" w:cs="Arial"/>
          <w:noProof/>
          <w:sz w:val="24"/>
          <w:szCs w:val="24"/>
          <w:lang w:val="en-AU"/>
        </w:rPr>
        <w:t>before</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p>
    <w:p w:rsidR="001B3E6D" w:rsidRPr="007D322B" w:rsidRDefault="001B3E6D" w:rsidP="001B3E6D">
      <w:pPr>
        <w:pStyle w:val="BodytextAgency"/>
        <w:numPr>
          <w:ilvl w:val="0"/>
          <w:numId w:val="13"/>
        </w:numPr>
        <w:spacing w:after="0" w:line="240" w:lineRule="auto"/>
        <w:ind w:left="567" w:hanging="567"/>
        <w:rPr>
          <w:rFonts w:ascii="Arial" w:hAnsi="Arial" w:cs="Arial"/>
          <w:noProof/>
          <w:sz w:val="24"/>
          <w:szCs w:val="24"/>
          <w:lang w:val="en-AU"/>
        </w:rPr>
      </w:pPr>
      <w:r w:rsidRPr="007D322B">
        <w:rPr>
          <w:rFonts w:ascii="Arial" w:hAnsi="Arial" w:cs="Arial"/>
          <w:noProof/>
          <w:sz w:val="24"/>
          <w:szCs w:val="24"/>
          <w:lang w:val="en-AU"/>
        </w:rPr>
        <w:t>Subsequently,</w:t>
      </w:r>
      <w:r w:rsidR="00EE0CCC">
        <w:rPr>
          <w:rFonts w:ascii="Arial" w:hAnsi="Arial" w:cs="Arial"/>
          <w:noProof/>
          <w:sz w:val="24"/>
          <w:szCs w:val="24"/>
          <w:lang w:val="en-AU"/>
        </w:rPr>
        <w:t xml:space="preserve"> </w:t>
      </w:r>
      <w:r w:rsidRPr="007D322B">
        <w:rPr>
          <w:rFonts w:ascii="Arial" w:hAnsi="Arial" w:cs="Arial"/>
          <w:noProof/>
          <w:sz w:val="24"/>
          <w:szCs w:val="24"/>
          <w:lang w:val="en-AU"/>
        </w:rPr>
        <w:t>a</w:t>
      </w:r>
      <w:r w:rsidR="00EE0CCC">
        <w:rPr>
          <w:rFonts w:ascii="Arial" w:hAnsi="Arial" w:cs="Arial"/>
          <w:noProof/>
          <w:sz w:val="24"/>
          <w:szCs w:val="24"/>
          <w:lang w:val="en-AU"/>
        </w:rPr>
        <w:t xml:space="preserve"> </w:t>
      </w:r>
      <w:r w:rsidRPr="007D322B">
        <w:rPr>
          <w:rFonts w:ascii="Arial" w:hAnsi="Arial" w:cs="Arial"/>
          <w:noProof/>
          <w:sz w:val="24"/>
          <w:szCs w:val="24"/>
          <w:lang w:val="en-AU"/>
        </w:rPr>
        <w:t>dosing</w:t>
      </w:r>
      <w:r w:rsidR="00EE0CCC">
        <w:rPr>
          <w:rFonts w:ascii="Arial" w:hAnsi="Arial" w:cs="Arial"/>
          <w:noProof/>
          <w:sz w:val="24"/>
          <w:szCs w:val="24"/>
          <w:lang w:val="en-AU"/>
        </w:rPr>
        <w:t xml:space="preserve"> </w:t>
      </w:r>
      <w:r w:rsidRPr="007D322B">
        <w:rPr>
          <w:rFonts w:ascii="Arial" w:hAnsi="Arial" w:cs="Arial"/>
          <w:noProof/>
          <w:sz w:val="24"/>
          <w:szCs w:val="24"/>
          <w:lang w:val="en-AU"/>
        </w:rPr>
        <w:t>rate</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0.03</w:t>
      </w:r>
      <w:r w:rsidR="00EE0CCC">
        <w:rPr>
          <w:rFonts w:ascii="Arial" w:hAnsi="Arial" w:cs="Arial"/>
          <w:noProof/>
          <w:sz w:val="24"/>
          <w:szCs w:val="24"/>
          <w:lang w:val="en-AU"/>
        </w:rPr>
        <w:t xml:space="preserve"> </w:t>
      </w:r>
      <w:r w:rsidRPr="007D322B">
        <w:rPr>
          <w:rFonts w:ascii="Arial" w:hAnsi="Arial" w:cs="Arial"/>
          <w:noProof/>
          <w:sz w:val="24"/>
          <w:szCs w:val="24"/>
          <w:lang w:val="en-AU"/>
        </w:rPr>
        <w:t>mg/kg/hour</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recommended</w:t>
      </w:r>
      <w:r w:rsidR="00EE0CCC">
        <w:rPr>
          <w:rFonts w:ascii="Arial" w:hAnsi="Arial" w:cs="Arial"/>
          <w:noProof/>
          <w:sz w:val="24"/>
          <w:szCs w:val="24"/>
          <w:lang w:val="en-AU"/>
        </w:rPr>
        <w:t xml:space="preserve"> </w:t>
      </w:r>
      <w:r w:rsidRPr="007D322B">
        <w:rPr>
          <w:rFonts w:ascii="Arial" w:hAnsi="Arial" w:cs="Arial"/>
          <w:noProof/>
          <w:sz w:val="24"/>
          <w:szCs w:val="24"/>
          <w:lang w:val="en-AU"/>
        </w:rPr>
        <w:t>concomitantly</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p>
    <w:p w:rsidR="001B3E6D" w:rsidRPr="007D322B" w:rsidRDefault="001B3E6D" w:rsidP="001B3E6D">
      <w:pPr>
        <w:pStyle w:val="ListParagraph"/>
        <w:numPr>
          <w:ilvl w:val="0"/>
          <w:numId w:val="13"/>
        </w:numPr>
        <w:tabs>
          <w:tab w:val="clear" w:pos="567"/>
        </w:tabs>
        <w:spacing w:line="240" w:lineRule="auto"/>
        <w:ind w:left="567" w:hanging="567"/>
        <w:rPr>
          <w:rFonts w:ascii="Arial" w:hAnsi="Arial" w:cs="Arial"/>
          <w:noProof/>
          <w:sz w:val="24"/>
          <w:szCs w:val="24"/>
          <w:lang w:val="en-AU"/>
        </w:rPr>
      </w:pP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daily</w:t>
      </w:r>
      <w:r w:rsidR="00EE0CCC">
        <w:rPr>
          <w:rFonts w:ascii="Arial" w:hAnsi="Arial" w:cs="Arial"/>
          <w:noProof/>
          <w:sz w:val="24"/>
          <w:szCs w:val="24"/>
          <w:lang w:val="en-AU"/>
        </w:rPr>
        <w:t xml:space="preserve"> </w:t>
      </w:r>
      <w:r w:rsidRPr="007D322B">
        <w:rPr>
          <w:rFonts w:ascii="Arial" w:hAnsi="Arial" w:cs="Arial"/>
          <w:noProof/>
          <w:sz w:val="24"/>
          <w:szCs w:val="24"/>
          <w:lang w:val="en-AU"/>
        </w:rPr>
        <w:t>infusions</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morphine</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continued</w:t>
      </w:r>
      <w:r w:rsidR="00EE0CCC">
        <w:rPr>
          <w:rFonts w:ascii="Arial" w:hAnsi="Arial" w:cs="Arial"/>
          <w:noProof/>
          <w:sz w:val="24"/>
          <w:szCs w:val="24"/>
          <w:lang w:val="en-AU"/>
        </w:rPr>
        <w:t xml:space="preserve"> </w:t>
      </w:r>
      <w:r w:rsidRPr="007D322B">
        <w:rPr>
          <w:rFonts w:ascii="Arial" w:hAnsi="Arial" w:cs="Arial"/>
          <w:noProof/>
          <w:sz w:val="24"/>
          <w:szCs w:val="24"/>
          <w:lang w:val="en-AU"/>
        </w:rPr>
        <w:t>at</w:t>
      </w:r>
      <w:r w:rsidR="00EE0CCC">
        <w:rPr>
          <w:rFonts w:ascii="Arial" w:hAnsi="Arial" w:cs="Arial"/>
          <w:noProof/>
          <w:sz w:val="24"/>
          <w:szCs w:val="24"/>
          <w:lang w:val="en-AU"/>
        </w:rPr>
        <w:t xml:space="preserve"> </w:t>
      </w:r>
      <w:r w:rsidRPr="007D322B">
        <w:rPr>
          <w:rFonts w:ascii="Arial" w:hAnsi="Arial" w:cs="Arial"/>
          <w:noProof/>
          <w:sz w:val="24"/>
          <w:szCs w:val="24"/>
          <w:lang w:val="en-AU"/>
        </w:rPr>
        <w:t>a</w:t>
      </w:r>
      <w:r w:rsidR="00EE0CCC">
        <w:rPr>
          <w:rFonts w:ascii="Arial" w:hAnsi="Arial" w:cs="Arial"/>
          <w:noProof/>
          <w:sz w:val="24"/>
          <w:szCs w:val="24"/>
          <w:lang w:val="en-AU"/>
        </w:rPr>
        <w:t xml:space="preserve"> </w:t>
      </w:r>
      <w:r w:rsidRPr="007D322B">
        <w:rPr>
          <w:rFonts w:ascii="Arial" w:hAnsi="Arial" w:cs="Arial"/>
          <w:noProof/>
          <w:sz w:val="24"/>
          <w:szCs w:val="24"/>
          <w:lang w:val="en-AU"/>
        </w:rPr>
        <w:t>decreased</w:t>
      </w:r>
      <w:r w:rsidR="00EE0CCC">
        <w:rPr>
          <w:rFonts w:ascii="Arial" w:hAnsi="Arial" w:cs="Arial"/>
          <w:noProof/>
          <w:sz w:val="24"/>
          <w:szCs w:val="24"/>
          <w:lang w:val="en-AU"/>
        </w:rPr>
        <w:t xml:space="preserve"> </w:t>
      </w:r>
      <w:r w:rsidRPr="007D322B">
        <w:rPr>
          <w:rFonts w:ascii="Arial" w:hAnsi="Arial" w:cs="Arial"/>
          <w:noProof/>
          <w:sz w:val="24"/>
          <w:szCs w:val="24"/>
          <w:lang w:val="en-AU"/>
        </w:rPr>
        <w:t>rate</w:t>
      </w:r>
      <w:r w:rsidR="00EE0CCC">
        <w:rPr>
          <w:rFonts w:ascii="Arial" w:hAnsi="Arial" w:cs="Arial"/>
          <w:noProof/>
          <w:sz w:val="24"/>
          <w:szCs w:val="24"/>
          <w:lang w:val="en-AU"/>
        </w:rPr>
        <w:t xml:space="preserve"> </w:t>
      </w:r>
      <w:r w:rsidRPr="007D322B">
        <w:rPr>
          <w:rFonts w:ascii="Arial" w:hAnsi="Arial" w:cs="Arial"/>
          <w:noProof/>
          <w:sz w:val="24"/>
          <w:szCs w:val="24"/>
          <w:lang w:val="en-AU"/>
        </w:rPr>
        <w:t>(e.g.</w:t>
      </w:r>
      <w:r w:rsidR="00EE0CCC">
        <w:rPr>
          <w:rFonts w:ascii="Arial" w:hAnsi="Arial" w:cs="Arial"/>
          <w:noProof/>
          <w:sz w:val="24"/>
          <w:szCs w:val="24"/>
          <w:lang w:val="en-AU"/>
        </w:rPr>
        <w:t xml:space="preserve"> </w:t>
      </w:r>
      <w:r w:rsidRPr="007D322B">
        <w:rPr>
          <w:rFonts w:ascii="Arial" w:hAnsi="Arial" w:cs="Arial"/>
          <w:noProof/>
          <w:sz w:val="24"/>
          <w:szCs w:val="24"/>
          <w:lang w:val="en-AU"/>
        </w:rPr>
        <w:t>0.01</w:t>
      </w:r>
      <w:r w:rsidR="00EE0CCC">
        <w:rPr>
          <w:rFonts w:ascii="Arial" w:hAnsi="Arial" w:cs="Arial"/>
          <w:noProof/>
          <w:sz w:val="24"/>
          <w:szCs w:val="24"/>
          <w:lang w:val="en-AU"/>
        </w:rPr>
        <w:t xml:space="preserve"> </w:t>
      </w:r>
      <w:r w:rsidRPr="007D322B">
        <w:rPr>
          <w:rFonts w:ascii="Arial" w:hAnsi="Arial" w:cs="Arial"/>
          <w:noProof/>
          <w:sz w:val="24"/>
          <w:szCs w:val="24"/>
          <w:lang w:val="en-AU"/>
        </w:rPr>
        <w:t>mg/kg/h)</w:t>
      </w:r>
      <w:r w:rsidR="00EE0CCC">
        <w:rPr>
          <w:rFonts w:ascii="Arial" w:hAnsi="Arial" w:cs="Arial"/>
          <w:noProof/>
          <w:sz w:val="24"/>
          <w:szCs w:val="24"/>
          <w:lang w:val="en-AU"/>
        </w:rPr>
        <w:t xml:space="preserve"> </w:t>
      </w:r>
      <w:r w:rsidRPr="007D322B">
        <w:rPr>
          <w:rFonts w:ascii="Arial" w:hAnsi="Arial" w:cs="Arial"/>
          <w:noProof/>
          <w:sz w:val="24"/>
          <w:szCs w:val="24"/>
          <w:lang w:val="en-AU"/>
        </w:rPr>
        <w:t>for</w:t>
      </w:r>
      <w:r w:rsidR="00EE0CCC">
        <w:rPr>
          <w:rFonts w:ascii="Arial" w:hAnsi="Arial" w:cs="Arial"/>
          <w:noProof/>
          <w:sz w:val="24"/>
          <w:szCs w:val="24"/>
          <w:lang w:val="en-AU"/>
        </w:rPr>
        <w:t xml:space="preserve"> </w:t>
      </w:r>
      <w:r w:rsidRPr="007D322B">
        <w:rPr>
          <w:rFonts w:ascii="Arial" w:hAnsi="Arial" w:cs="Arial"/>
          <w:noProof/>
          <w:sz w:val="24"/>
          <w:szCs w:val="24"/>
          <w:lang w:val="en-AU"/>
        </w:rPr>
        <w:t>4</w:t>
      </w:r>
      <w:r w:rsidR="00EE0CCC">
        <w:rPr>
          <w:rFonts w:ascii="Arial" w:hAnsi="Arial" w:cs="Arial"/>
          <w:noProof/>
          <w:sz w:val="24"/>
          <w:szCs w:val="24"/>
          <w:lang w:val="en-AU"/>
        </w:rPr>
        <w:t xml:space="preserve"> </w:t>
      </w:r>
      <w:r w:rsidRPr="007D322B">
        <w:rPr>
          <w:rFonts w:ascii="Arial" w:hAnsi="Arial" w:cs="Arial"/>
          <w:noProof/>
          <w:sz w:val="24"/>
          <w:szCs w:val="24"/>
          <w:lang w:val="en-AU"/>
        </w:rPr>
        <w:t>hours</w:t>
      </w:r>
      <w:r w:rsidR="00EE0CCC">
        <w:rPr>
          <w:rFonts w:ascii="Arial" w:hAnsi="Arial" w:cs="Arial"/>
          <w:noProof/>
          <w:sz w:val="24"/>
          <w:szCs w:val="24"/>
          <w:lang w:val="en-AU"/>
        </w:rPr>
        <w:t xml:space="preserve"> </w:t>
      </w:r>
      <w:r w:rsidRPr="007D322B">
        <w:rPr>
          <w:rFonts w:ascii="Arial" w:hAnsi="Arial" w:cs="Arial"/>
          <w:noProof/>
          <w:sz w:val="24"/>
          <w:szCs w:val="24"/>
          <w:lang w:val="en-AU"/>
        </w:rPr>
        <w:t>after</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end</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p>
    <w:p w:rsidR="001B3E6D" w:rsidRPr="007D322B" w:rsidRDefault="001B3E6D" w:rsidP="001B3E6D">
      <w:pPr>
        <w:pStyle w:val="ListParagraph"/>
        <w:numPr>
          <w:ilvl w:val="0"/>
          <w:numId w:val="13"/>
        </w:numPr>
        <w:tabs>
          <w:tab w:val="clear" w:pos="567"/>
        </w:tabs>
        <w:spacing w:line="240" w:lineRule="auto"/>
        <w:ind w:left="567" w:hanging="567"/>
        <w:rPr>
          <w:rFonts w:ascii="Arial" w:hAnsi="Arial" w:cs="Arial"/>
          <w:noProof/>
          <w:sz w:val="24"/>
          <w:szCs w:val="24"/>
          <w:lang w:val="en-AU"/>
        </w:rPr>
      </w:pP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continuous</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in</w:t>
      </w:r>
      <w:r w:rsidR="00EE0CCC">
        <w:rPr>
          <w:rFonts w:ascii="Arial" w:hAnsi="Arial" w:cs="Arial"/>
          <w:noProof/>
          <w:sz w:val="24"/>
          <w:szCs w:val="24"/>
          <w:lang w:val="en-AU"/>
        </w:rPr>
        <w:t xml:space="preserve"> </w:t>
      </w:r>
      <w:r w:rsidRPr="007D322B">
        <w:rPr>
          <w:rFonts w:ascii="Arial" w:hAnsi="Arial" w:cs="Arial"/>
          <w:noProof/>
          <w:sz w:val="24"/>
          <w:szCs w:val="24"/>
          <w:lang w:val="en-AU"/>
        </w:rPr>
        <w:t>response</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patient’s</w:t>
      </w:r>
      <w:r w:rsidR="00EE0CCC">
        <w:rPr>
          <w:rFonts w:ascii="Arial" w:hAnsi="Arial" w:cs="Arial"/>
          <w:noProof/>
          <w:sz w:val="24"/>
          <w:szCs w:val="24"/>
          <w:lang w:val="en-AU"/>
        </w:rPr>
        <w:t xml:space="preserve"> </w:t>
      </w:r>
      <w:r w:rsidRPr="007D322B">
        <w:rPr>
          <w:rFonts w:ascii="Arial" w:hAnsi="Arial" w:cs="Arial"/>
          <w:noProof/>
          <w:sz w:val="24"/>
          <w:szCs w:val="24"/>
          <w:lang w:val="en-AU"/>
        </w:rPr>
        <w:t>pain</w:t>
      </w:r>
      <w:r w:rsidR="00EE0CCC">
        <w:rPr>
          <w:rFonts w:ascii="Arial" w:hAnsi="Arial" w:cs="Arial"/>
          <w:noProof/>
          <w:sz w:val="24"/>
          <w:szCs w:val="24"/>
          <w:lang w:val="en-AU"/>
        </w:rPr>
        <w:t xml:space="preserve"> </w:t>
      </w:r>
      <w:r w:rsidRPr="007D322B">
        <w:rPr>
          <w:rFonts w:ascii="Arial" w:hAnsi="Arial" w:cs="Arial"/>
          <w:noProof/>
          <w:sz w:val="24"/>
          <w:szCs w:val="24"/>
          <w:lang w:val="en-AU"/>
        </w:rPr>
        <w:t>perception,</w:t>
      </w:r>
      <w:r w:rsidR="00EE0CCC">
        <w:rPr>
          <w:rFonts w:ascii="Arial" w:hAnsi="Arial" w:cs="Arial"/>
          <w:noProof/>
          <w:sz w:val="24"/>
          <w:szCs w:val="24"/>
          <w:lang w:val="en-AU"/>
        </w:rPr>
        <w:t xml:space="preserve"> </w:t>
      </w:r>
      <w:r w:rsidRPr="007D322B">
        <w:rPr>
          <w:rFonts w:ascii="Arial" w:hAnsi="Arial" w:cs="Arial"/>
          <w:noProof/>
          <w:sz w:val="24"/>
          <w:szCs w:val="24"/>
          <w:lang w:val="en-AU"/>
        </w:rPr>
        <w:t>it</w:t>
      </w:r>
      <w:r w:rsidR="00EE0CCC">
        <w:rPr>
          <w:rFonts w:ascii="Arial" w:hAnsi="Arial" w:cs="Arial"/>
          <w:noProof/>
          <w:sz w:val="24"/>
          <w:szCs w:val="24"/>
          <w:lang w:val="en-AU"/>
        </w:rPr>
        <w:t xml:space="preserve"> </w:t>
      </w:r>
      <w:r w:rsidRPr="007D322B">
        <w:rPr>
          <w:rFonts w:ascii="Arial" w:hAnsi="Arial" w:cs="Arial"/>
          <w:noProof/>
          <w:sz w:val="24"/>
          <w:szCs w:val="24"/>
          <w:lang w:val="en-AU"/>
        </w:rPr>
        <w:t>may</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possible</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wean</w:t>
      </w:r>
      <w:r w:rsidR="00EE0CCC">
        <w:rPr>
          <w:rFonts w:ascii="Arial" w:hAnsi="Arial" w:cs="Arial"/>
          <w:noProof/>
          <w:sz w:val="24"/>
          <w:szCs w:val="24"/>
          <w:lang w:val="en-AU"/>
        </w:rPr>
        <w:t xml:space="preserve"> </w:t>
      </w:r>
      <w:r w:rsidRPr="007D322B">
        <w:rPr>
          <w:rFonts w:ascii="Arial" w:hAnsi="Arial" w:cs="Arial"/>
          <w:noProof/>
          <w:sz w:val="24"/>
          <w:szCs w:val="24"/>
          <w:lang w:val="en-AU"/>
        </w:rPr>
        <w:t>off</w:t>
      </w:r>
      <w:r w:rsidR="00EE0CCC">
        <w:rPr>
          <w:rFonts w:ascii="Arial" w:hAnsi="Arial" w:cs="Arial"/>
          <w:noProof/>
          <w:sz w:val="24"/>
          <w:szCs w:val="24"/>
          <w:lang w:val="en-AU"/>
        </w:rPr>
        <w:t xml:space="preserve"> </w:t>
      </w:r>
      <w:r w:rsidRPr="007D322B">
        <w:rPr>
          <w:rFonts w:ascii="Arial" w:hAnsi="Arial" w:cs="Arial"/>
          <w:noProof/>
          <w:sz w:val="24"/>
          <w:szCs w:val="24"/>
          <w:lang w:val="en-AU"/>
        </w:rPr>
        <w:t>morphine</w:t>
      </w:r>
      <w:r w:rsidR="00EE0CCC">
        <w:rPr>
          <w:rFonts w:ascii="Arial" w:hAnsi="Arial" w:cs="Arial"/>
          <w:noProof/>
          <w:sz w:val="24"/>
          <w:szCs w:val="24"/>
          <w:lang w:val="en-AU"/>
        </w:rPr>
        <w:t xml:space="preserve"> </w:t>
      </w:r>
      <w:r w:rsidRPr="007D322B">
        <w:rPr>
          <w:rFonts w:ascii="Arial" w:hAnsi="Arial" w:cs="Arial"/>
          <w:noProof/>
          <w:sz w:val="24"/>
          <w:szCs w:val="24"/>
          <w:lang w:val="en-AU"/>
        </w:rPr>
        <w:t>over</w:t>
      </w:r>
      <w:r w:rsidR="00EE0CCC">
        <w:rPr>
          <w:rFonts w:ascii="Arial" w:hAnsi="Arial" w:cs="Arial"/>
          <w:noProof/>
          <w:sz w:val="24"/>
          <w:szCs w:val="24"/>
          <w:lang w:val="en-AU"/>
        </w:rPr>
        <w:t xml:space="preserve"> </w:t>
      </w:r>
      <w:r w:rsidRPr="007D322B">
        <w:rPr>
          <w:rFonts w:ascii="Arial" w:hAnsi="Arial" w:cs="Arial"/>
          <w:noProof/>
          <w:sz w:val="24"/>
          <w:szCs w:val="24"/>
          <w:lang w:val="en-AU"/>
        </w:rPr>
        <w:t>5</w:t>
      </w:r>
      <w:r w:rsidR="00EE0CCC">
        <w:rPr>
          <w:rFonts w:ascii="Arial" w:hAnsi="Arial" w:cs="Arial"/>
          <w:noProof/>
          <w:sz w:val="24"/>
          <w:szCs w:val="24"/>
          <w:lang w:val="en-AU"/>
        </w:rPr>
        <w:t xml:space="preserve"> </w:t>
      </w:r>
      <w:r w:rsidRPr="007D322B">
        <w:rPr>
          <w:rFonts w:ascii="Arial" w:hAnsi="Arial" w:cs="Arial"/>
          <w:noProof/>
          <w:sz w:val="24"/>
          <w:szCs w:val="24"/>
          <w:lang w:val="en-AU"/>
        </w:rPr>
        <w:t>days</w:t>
      </w:r>
      <w:r w:rsidR="00EE0CCC">
        <w:rPr>
          <w:rFonts w:ascii="Arial" w:hAnsi="Arial" w:cs="Arial"/>
          <w:noProof/>
          <w:sz w:val="24"/>
          <w:szCs w:val="24"/>
          <w:lang w:val="en-AU"/>
        </w:rPr>
        <w:t xml:space="preserve"> </w:t>
      </w:r>
      <w:r w:rsidRPr="007D322B">
        <w:rPr>
          <w:rFonts w:ascii="Arial" w:hAnsi="Arial" w:cs="Arial"/>
          <w:noProof/>
          <w:sz w:val="24"/>
          <w:szCs w:val="24"/>
          <w:lang w:val="en-AU"/>
        </w:rPr>
        <w:t>by</w:t>
      </w:r>
      <w:r w:rsidR="00EE0CCC">
        <w:rPr>
          <w:rFonts w:ascii="Arial" w:hAnsi="Arial" w:cs="Arial"/>
          <w:noProof/>
          <w:sz w:val="24"/>
          <w:szCs w:val="24"/>
          <w:lang w:val="en-AU"/>
        </w:rPr>
        <w:t xml:space="preserve"> </w:t>
      </w:r>
      <w:r w:rsidRPr="007D322B">
        <w:rPr>
          <w:rFonts w:ascii="Arial" w:hAnsi="Arial" w:cs="Arial"/>
          <w:noProof/>
          <w:sz w:val="24"/>
          <w:szCs w:val="24"/>
          <w:lang w:val="en-AU"/>
        </w:rPr>
        <w:t>progressively</w:t>
      </w:r>
      <w:r w:rsidR="00EE0CCC">
        <w:rPr>
          <w:rFonts w:ascii="Arial" w:hAnsi="Arial" w:cs="Arial"/>
          <w:noProof/>
          <w:sz w:val="24"/>
          <w:szCs w:val="24"/>
          <w:lang w:val="en-AU"/>
        </w:rPr>
        <w:t xml:space="preserve"> </w:t>
      </w:r>
      <w:r w:rsidRPr="007D322B">
        <w:rPr>
          <w:rFonts w:ascii="Arial" w:hAnsi="Arial" w:cs="Arial"/>
          <w:noProof/>
          <w:sz w:val="24"/>
          <w:szCs w:val="24"/>
          <w:lang w:val="en-AU"/>
        </w:rPr>
        <w:t>decreasing</w:t>
      </w:r>
      <w:r w:rsidR="00EE0CCC">
        <w:rPr>
          <w:rFonts w:ascii="Arial" w:hAnsi="Arial" w:cs="Arial"/>
          <w:noProof/>
          <w:sz w:val="24"/>
          <w:szCs w:val="24"/>
          <w:lang w:val="en-AU"/>
        </w:rPr>
        <w:t xml:space="preserve"> </w:t>
      </w:r>
      <w:r w:rsidRPr="007D322B">
        <w:rPr>
          <w:rFonts w:ascii="Arial" w:hAnsi="Arial" w:cs="Arial"/>
          <w:noProof/>
          <w:sz w:val="24"/>
          <w:szCs w:val="24"/>
          <w:lang w:val="en-AU"/>
        </w:rPr>
        <w:t>its</w:t>
      </w:r>
      <w:r w:rsidR="00EE0CCC">
        <w:rPr>
          <w:rFonts w:ascii="Arial" w:hAnsi="Arial" w:cs="Arial"/>
          <w:noProof/>
          <w:sz w:val="24"/>
          <w:szCs w:val="24"/>
          <w:lang w:val="en-AU"/>
        </w:rPr>
        <w:t xml:space="preserve"> </w:t>
      </w:r>
      <w:r w:rsidRPr="007D322B">
        <w:rPr>
          <w:rFonts w:ascii="Arial" w:hAnsi="Arial" w:cs="Arial"/>
          <w:noProof/>
          <w:sz w:val="24"/>
          <w:szCs w:val="24"/>
          <w:lang w:val="en-AU"/>
        </w:rPr>
        <w:t>dosing</w:t>
      </w:r>
      <w:r w:rsidR="00EE0CCC">
        <w:rPr>
          <w:rFonts w:ascii="Arial" w:hAnsi="Arial" w:cs="Arial"/>
          <w:noProof/>
          <w:sz w:val="24"/>
          <w:szCs w:val="24"/>
          <w:lang w:val="en-AU"/>
        </w:rPr>
        <w:t xml:space="preserve"> </w:t>
      </w:r>
      <w:r w:rsidRPr="007D322B">
        <w:rPr>
          <w:rFonts w:ascii="Arial" w:hAnsi="Arial" w:cs="Arial"/>
          <w:noProof/>
          <w:sz w:val="24"/>
          <w:szCs w:val="24"/>
          <w:lang w:val="en-AU"/>
        </w:rPr>
        <w:t>rate</w:t>
      </w:r>
      <w:r w:rsidR="00EE0CCC">
        <w:rPr>
          <w:rFonts w:ascii="Arial" w:hAnsi="Arial" w:cs="Arial"/>
          <w:noProof/>
          <w:sz w:val="24"/>
          <w:szCs w:val="24"/>
          <w:lang w:val="en-AU"/>
        </w:rPr>
        <w:t xml:space="preserve"> </w:t>
      </w:r>
      <w:r w:rsidRPr="007D322B">
        <w:rPr>
          <w:rFonts w:ascii="Arial" w:hAnsi="Arial" w:cs="Arial"/>
          <w:noProof/>
          <w:sz w:val="24"/>
          <w:szCs w:val="24"/>
          <w:lang w:val="en-AU"/>
        </w:rPr>
        <w:t>(e.g.</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0.02</w:t>
      </w:r>
      <w:r w:rsidR="00EE0CCC">
        <w:rPr>
          <w:rFonts w:ascii="Arial" w:hAnsi="Arial" w:cs="Arial"/>
          <w:noProof/>
          <w:sz w:val="24"/>
          <w:szCs w:val="24"/>
          <w:lang w:val="en-AU"/>
        </w:rPr>
        <w:t xml:space="preserve"> </w:t>
      </w:r>
      <w:r w:rsidRPr="007D322B">
        <w:rPr>
          <w:rFonts w:ascii="Arial" w:hAnsi="Arial" w:cs="Arial"/>
          <w:noProof/>
          <w:sz w:val="24"/>
          <w:szCs w:val="24"/>
          <w:lang w:val="en-AU"/>
        </w:rPr>
        <w:t>mg/kg/hour,</w:t>
      </w:r>
      <w:r w:rsidR="00EE0CCC">
        <w:rPr>
          <w:rFonts w:ascii="Arial" w:hAnsi="Arial" w:cs="Arial"/>
          <w:noProof/>
          <w:sz w:val="24"/>
          <w:szCs w:val="24"/>
          <w:lang w:val="en-AU"/>
        </w:rPr>
        <w:t xml:space="preserve"> </w:t>
      </w:r>
      <w:r w:rsidRPr="007D322B">
        <w:rPr>
          <w:rFonts w:ascii="Arial" w:hAnsi="Arial" w:cs="Arial"/>
          <w:noProof/>
          <w:sz w:val="24"/>
          <w:szCs w:val="24"/>
          <w:lang w:val="en-AU"/>
        </w:rPr>
        <w:t>0.01</w:t>
      </w:r>
      <w:r w:rsidR="00EE0CCC">
        <w:rPr>
          <w:rFonts w:ascii="Arial" w:hAnsi="Arial" w:cs="Arial"/>
          <w:noProof/>
          <w:sz w:val="24"/>
          <w:szCs w:val="24"/>
          <w:lang w:val="en-AU"/>
        </w:rPr>
        <w:t xml:space="preserve"> </w:t>
      </w:r>
      <w:r w:rsidRPr="007D322B">
        <w:rPr>
          <w:rFonts w:ascii="Arial" w:hAnsi="Arial" w:cs="Arial"/>
          <w:noProof/>
          <w:sz w:val="24"/>
          <w:szCs w:val="24"/>
          <w:lang w:val="en-AU"/>
        </w:rPr>
        <w:t>mg/kg/hour,</w:t>
      </w:r>
      <w:r w:rsidR="00EE0CCC">
        <w:rPr>
          <w:rFonts w:ascii="Arial" w:hAnsi="Arial" w:cs="Arial"/>
          <w:noProof/>
          <w:sz w:val="24"/>
          <w:szCs w:val="24"/>
          <w:lang w:val="en-AU"/>
        </w:rPr>
        <w:t xml:space="preserve"> </w:t>
      </w:r>
      <w:r w:rsidRPr="007D322B">
        <w:rPr>
          <w:rFonts w:ascii="Arial" w:hAnsi="Arial" w:cs="Arial"/>
          <w:noProof/>
          <w:sz w:val="24"/>
          <w:szCs w:val="24"/>
          <w:lang w:val="en-AU"/>
        </w:rPr>
        <w:t>0.005</w:t>
      </w:r>
      <w:r w:rsidR="00EE0CCC">
        <w:rPr>
          <w:rFonts w:ascii="Arial" w:hAnsi="Arial" w:cs="Arial"/>
          <w:noProof/>
          <w:sz w:val="24"/>
          <w:szCs w:val="24"/>
          <w:lang w:val="en-AU"/>
        </w:rPr>
        <w:t xml:space="preserve"> </w:t>
      </w:r>
      <w:r w:rsidRPr="007D322B">
        <w:rPr>
          <w:rFonts w:ascii="Arial" w:hAnsi="Arial" w:cs="Arial"/>
          <w:noProof/>
          <w:sz w:val="24"/>
          <w:szCs w:val="24"/>
          <w:lang w:val="en-AU"/>
        </w:rPr>
        <w:t>mg/kg/hour).</w:t>
      </w:r>
      <w:r w:rsidR="00EE0CCC">
        <w:rPr>
          <w:rFonts w:ascii="Arial" w:hAnsi="Arial" w:cs="Arial"/>
          <w:noProof/>
          <w:sz w:val="24"/>
          <w:szCs w:val="24"/>
          <w:lang w:val="en-AU"/>
        </w:rPr>
        <w:t xml:space="preserve"> </w:t>
      </w:r>
    </w:p>
    <w:p w:rsidR="001B3E6D" w:rsidRPr="007D322B" w:rsidRDefault="001B3E6D" w:rsidP="001B3E6D">
      <w:pPr>
        <w:pStyle w:val="ListParagraph"/>
        <w:numPr>
          <w:ilvl w:val="0"/>
          <w:numId w:val="13"/>
        </w:numPr>
        <w:tabs>
          <w:tab w:val="clear" w:pos="567"/>
        </w:tabs>
        <w:spacing w:line="240" w:lineRule="auto"/>
        <w:ind w:left="567" w:hanging="567"/>
        <w:rPr>
          <w:rFonts w:ascii="Arial" w:hAnsi="Arial" w:cs="Arial"/>
          <w:noProof/>
          <w:sz w:val="24"/>
          <w:szCs w:val="24"/>
          <w:lang w:val="en-AU"/>
        </w:rPr>
      </w:pPr>
      <w:r w:rsidRPr="007D322B">
        <w:rPr>
          <w:rFonts w:ascii="Arial" w:hAnsi="Arial" w:cs="Arial"/>
          <w:noProof/>
          <w:sz w:val="24"/>
          <w:szCs w:val="24"/>
          <w:lang w:val="en-AU"/>
        </w:rPr>
        <w:t>If</w:t>
      </w:r>
      <w:r w:rsidR="00EE0CCC">
        <w:rPr>
          <w:rFonts w:ascii="Arial" w:hAnsi="Arial" w:cs="Arial"/>
          <w:noProof/>
          <w:sz w:val="24"/>
          <w:szCs w:val="24"/>
          <w:lang w:val="en-AU"/>
        </w:rPr>
        <w:t xml:space="preserve"> </w:t>
      </w:r>
      <w:r w:rsidRPr="007D322B">
        <w:rPr>
          <w:rFonts w:ascii="Arial" w:hAnsi="Arial" w:cs="Arial"/>
          <w:noProof/>
          <w:sz w:val="24"/>
          <w:szCs w:val="24"/>
          <w:lang w:val="en-AU"/>
        </w:rPr>
        <w:t>continous</w:t>
      </w:r>
      <w:r w:rsidR="00EE0CCC">
        <w:rPr>
          <w:rFonts w:ascii="Arial" w:hAnsi="Arial" w:cs="Arial"/>
          <w:noProof/>
          <w:sz w:val="24"/>
          <w:szCs w:val="24"/>
          <w:lang w:val="en-AU"/>
        </w:rPr>
        <w:t xml:space="preserve"> </w:t>
      </w:r>
      <w:r w:rsidRPr="007D322B">
        <w:rPr>
          <w:rFonts w:ascii="Arial" w:hAnsi="Arial" w:cs="Arial"/>
          <w:noProof/>
          <w:sz w:val="24"/>
          <w:szCs w:val="24"/>
          <w:lang w:val="en-AU"/>
        </w:rPr>
        <w:t>morphine</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required</w:t>
      </w:r>
      <w:r w:rsidR="00EE0CCC">
        <w:rPr>
          <w:rFonts w:ascii="Arial" w:hAnsi="Arial" w:cs="Arial"/>
          <w:noProof/>
          <w:sz w:val="24"/>
          <w:szCs w:val="24"/>
          <w:lang w:val="en-AU"/>
        </w:rPr>
        <w:t xml:space="preserve"> </w:t>
      </w:r>
      <w:r w:rsidRPr="007D322B">
        <w:rPr>
          <w:rFonts w:ascii="Arial" w:hAnsi="Arial" w:cs="Arial"/>
          <w:noProof/>
          <w:sz w:val="24"/>
          <w:szCs w:val="24"/>
          <w:lang w:val="en-AU"/>
        </w:rPr>
        <w:t>for</w:t>
      </w:r>
      <w:r w:rsidR="00EE0CCC">
        <w:rPr>
          <w:rFonts w:ascii="Arial" w:hAnsi="Arial" w:cs="Arial"/>
          <w:noProof/>
          <w:sz w:val="24"/>
          <w:szCs w:val="24"/>
          <w:lang w:val="en-AU"/>
        </w:rPr>
        <w:t xml:space="preserve"> </w:t>
      </w:r>
      <w:r w:rsidRPr="007D322B">
        <w:rPr>
          <w:rFonts w:ascii="Arial" w:hAnsi="Arial" w:cs="Arial"/>
          <w:noProof/>
          <w:sz w:val="24"/>
          <w:szCs w:val="24"/>
          <w:lang w:val="en-AU"/>
        </w:rPr>
        <w:t>more</w:t>
      </w:r>
      <w:r w:rsidR="00EE0CCC">
        <w:rPr>
          <w:rFonts w:ascii="Arial" w:hAnsi="Arial" w:cs="Arial"/>
          <w:noProof/>
          <w:sz w:val="24"/>
          <w:szCs w:val="24"/>
          <w:lang w:val="en-AU"/>
        </w:rPr>
        <w:t xml:space="preserve"> </w:t>
      </w:r>
      <w:r w:rsidRPr="007D322B">
        <w:rPr>
          <w:rFonts w:ascii="Arial" w:hAnsi="Arial" w:cs="Arial"/>
          <w:noProof/>
          <w:sz w:val="24"/>
          <w:szCs w:val="24"/>
          <w:lang w:val="en-AU"/>
        </w:rPr>
        <w:t>than</w:t>
      </w:r>
      <w:r w:rsidR="00EE0CCC">
        <w:rPr>
          <w:rFonts w:ascii="Arial" w:hAnsi="Arial" w:cs="Arial"/>
          <w:noProof/>
          <w:sz w:val="24"/>
          <w:szCs w:val="24"/>
          <w:lang w:val="en-AU"/>
        </w:rPr>
        <w:t xml:space="preserve"> </w:t>
      </w:r>
      <w:r w:rsidRPr="007D322B">
        <w:rPr>
          <w:rFonts w:ascii="Arial" w:hAnsi="Arial" w:cs="Arial"/>
          <w:noProof/>
          <w:sz w:val="24"/>
          <w:szCs w:val="24"/>
          <w:lang w:val="en-AU"/>
        </w:rPr>
        <w:t>5</w:t>
      </w:r>
      <w:r w:rsidR="00EE0CCC">
        <w:rPr>
          <w:rFonts w:ascii="Arial" w:hAnsi="Arial" w:cs="Arial"/>
          <w:noProof/>
          <w:sz w:val="24"/>
          <w:szCs w:val="24"/>
          <w:lang w:val="en-AU"/>
        </w:rPr>
        <w:t xml:space="preserve"> </w:t>
      </w:r>
      <w:r w:rsidRPr="007D322B">
        <w:rPr>
          <w:rFonts w:ascii="Arial" w:hAnsi="Arial" w:cs="Arial"/>
          <w:noProof/>
          <w:sz w:val="24"/>
          <w:szCs w:val="24"/>
          <w:lang w:val="en-AU"/>
        </w:rPr>
        <w:t>days,</w:t>
      </w:r>
      <w:r w:rsidR="00EE0CCC">
        <w:rPr>
          <w:rFonts w:ascii="Arial" w:hAnsi="Arial" w:cs="Arial"/>
          <w:noProof/>
          <w:sz w:val="24"/>
          <w:szCs w:val="24"/>
          <w:lang w:val="en-AU"/>
        </w:rPr>
        <w:t xml:space="preserve"> </w:t>
      </w: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gradually</w:t>
      </w:r>
      <w:r w:rsidR="00EE0CCC">
        <w:rPr>
          <w:rFonts w:ascii="Arial" w:hAnsi="Arial" w:cs="Arial"/>
          <w:noProof/>
          <w:sz w:val="24"/>
          <w:szCs w:val="24"/>
          <w:lang w:val="en-AU"/>
        </w:rPr>
        <w:t xml:space="preserve"> </w:t>
      </w:r>
      <w:r w:rsidRPr="007D322B">
        <w:rPr>
          <w:rFonts w:ascii="Arial" w:hAnsi="Arial" w:cs="Arial"/>
          <w:noProof/>
          <w:sz w:val="24"/>
          <w:szCs w:val="24"/>
          <w:lang w:val="en-AU"/>
        </w:rPr>
        <w:t>reduced</w:t>
      </w:r>
      <w:r w:rsidR="00EE0CCC">
        <w:rPr>
          <w:rFonts w:ascii="Arial" w:hAnsi="Arial" w:cs="Arial"/>
          <w:noProof/>
          <w:sz w:val="24"/>
          <w:szCs w:val="24"/>
          <w:lang w:val="en-AU"/>
        </w:rPr>
        <w:t xml:space="preserve"> </w:t>
      </w:r>
      <w:r w:rsidRPr="007D322B">
        <w:rPr>
          <w:rFonts w:ascii="Arial" w:hAnsi="Arial" w:cs="Arial"/>
          <w:noProof/>
          <w:sz w:val="24"/>
          <w:szCs w:val="24"/>
          <w:lang w:val="en-AU"/>
        </w:rPr>
        <w:t>by</w:t>
      </w:r>
      <w:r w:rsidR="00EE0CCC">
        <w:rPr>
          <w:rFonts w:ascii="Arial" w:hAnsi="Arial" w:cs="Arial"/>
          <w:noProof/>
          <w:sz w:val="24"/>
          <w:szCs w:val="24"/>
          <w:lang w:val="en-AU"/>
        </w:rPr>
        <w:t xml:space="preserve"> </w:t>
      </w:r>
      <w:r w:rsidRPr="007D322B">
        <w:rPr>
          <w:rFonts w:ascii="Arial" w:hAnsi="Arial" w:cs="Arial"/>
          <w:noProof/>
          <w:sz w:val="24"/>
          <w:szCs w:val="24"/>
          <w:lang w:val="en-AU"/>
        </w:rPr>
        <w:t>20%</w:t>
      </w:r>
      <w:r w:rsidR="00EE0CCC">
        <w:rPr>
          <w:rFonts w:ascii="Arial" w:hAnsi="Arial" w:cs="Arial"/>
          <w:noProof/>
          <w:sz w:val="24"/>
          <w:szCs w:val="24"/>
          <w:lang w:val="en-AU"/>
        </w:rPr>
        <w:t xml:space="preserve"> </w:t>
      </w:r>
      <w:r w:rsidRPr="007D322B">
        <w:rPr>
          <w:rFonts w:ascii="Arial" w:hAnsi="Arial" w:cs="Arial"/>
          <w:noProof/>
          <w:sz w:val="24"/>
          <w:szCs w:val="24"/>
          <w:lang w:val="en-AU"/>
        </w:rPr>
        <w:t>per</w:t>
      </w:r>
      <w:r w:rsidR="00EE0CCC">
        <w:rPr>
          <w:rFonts w:ascii="Arial" w:hAnsi="Arial" w:cs="Arial"/>
          <w:noProof/>
          <w:sz w:val="24"/>
          <w:szCs w:val="24"/>
          <w:lang w:val="en-AU"/>
        </w:rPr>
        <w:t xml:space="preserve"> </w:t>
      </w:r>
      <w:r w:rsidRPr="007D322B">
        <w:rPr>
          <w:rFonts w:ascii="Arial" w:hAnsi="Arial" w:cs="Arial"/>
          <w:noProof/>
          <w:sz w:val="24"/>
          <w:szCs w:val="24"/>
          <w:lang w:val="en-AU"/>
        </w:rPr>
        <w:t>day</w:t>
      </w:r>
      <w:r w:rsidR="00EE0CCC">
        <w:rPr>
          <w:rFonts w:ascii="Arial" w:hAnsi="Arial" w:cs="Arial"/>
          <w:noProof/>
          <w:sz w:val="24"/>
          <w:szCs w:val="24"/>
          <w:lang w:val="en-AU"/>
        </w:rPr>
        <w:t xml:space="preserve"> </w:t>
      </w:r>
      <w:r w:rsidRPr="007D322B">
        <w:rPr>
          <w:rFonts w:ascii="Arial" w:hAnsi="Arial" w:cs="Arial"/>
          <w:noProof/>
          <w:sz w:val="24"/>
          <w:szCs w:val="24"/>
          <w:lang w:val="en-AU"/>
        </w:rPr>
        <w:t>after</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last</w:t>
      </w:r>
      <w:r w:rsidR="00EE0CCC">
        <w:rPr>
          <w:rFonts w:ascii="Arial" w:hAnsi="Arial" w:cs="Arial"/>
          <w:noProof/>
          <w:sz w:val="24"/>
          <w:szCs w:val="24"/>
          <w:lang w:val="en-AU"/>
        </w:rPr>
        <w:t xml:space="preserve"> </w:t>
      </w:r>
      <w:r w:rsidRPr="007D322B">
        <w:rPr>
          <w:rFonts w:ascii="Arial" w:hAnsi="Arial" w:cs="Arial"/>
          <w:noProof/>
          <w:sz w:val="24"/>
          <w:szCs w:val="24"/>
          <w:lang w:val="en-AU"/>
        </w:rPr>
        <w:t>day</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p>
    <w:p w:rsidR="001B3E6D" w:rsidRPr="007D322B" w:rsidRDefault="001B3E6D" w:rsidP="001B3E6D">
      <w:pPr>
        <w:rPr>
          <w:rFonts w:ascii="Arial" w:hAnsi="Arial" w:cs="Arial"/>
          <w:noProof/>
        </w:rPr>
      </w:pPr>
    </w:p>
    <w:p w:rsidR="001B3E6D" w:rsidRPr="007D322B" w:rsidRDefault="001B3E6D" w:rsidP="001B3E6D">
      <w:pPr>
        <w:rPr>
          <w:rFonts w:ascii="Arial" w:hAnsi="Arial" w:cs="Arial"/>
          <w:noProof/>
        </w:rPr>
      </w:pPr>
      <w:r w:rsidRPr="007D322B">
        <w:rPr>
          <w:rFonts w:ascii="Arial" w:hAnsi="Arial" w:cs="Arial"/>
          <w:noProof/>
        </w:rPr>
        <w:t>After</w:t>
      </w:r>
      <w:r w:rsidR="00EE0CCC">
        <w:rPr>
          <w:rFonts w:ascii="Arial" w:hAnsi="Arial" w:cs="Arial"/>
          <w:noProof/>
        </w:rPr>
        <w:t xml:space="preserve"> </w:t>
      </w:r>
      <w:r w:rsidRPr="007D322B">
        <w:rPr>
          <w:rFonts w:ascii="Arial" w:hAnsi="Arial" w:cs="Arial"/>
          <w:noProof/>
        </w:rPr>
        <w:t>weaning</w:t>
      </w:r>
      <w:r w:rsidR="00EE0CCC">
        <w:rPr>
          <w:rFonts w:ascii="Arial" w:hAnsi="Arial" w:cs="Arial"/>
          <w:noProof/>
        </w:rPr>
        <w:t xml:space="preserve"> </w:t>
      </w:r>
      <w:r w:rsidRPr="007D322B">
        <w:rPr>
          <w:rFonts w:ascii="Arial" w:hAnsi="Arial" w:cs="Arial"/>
          <w:noProof/>
        </w:rPr>
        <w:t>off</w:t>
      </w:r>
      <w:r w:rsidR="00EE0CCC">
        <w:rPr>
          <w:rFonts w:ascii="Arial" w:hAnsi="Arial" w:cs="Arial"/>
          <w:noProof/>
        </w:rPr>
        <w:t xml:space="preserve"> </w:t>
      </w:r>
      <w:r w:rsidRPr="007D322B">
        <w:rPr>
          <w:rFonts w:ascii="Arial" w:hAnsi="Arial" w:cs="Arial"/>
          <w:noProof/>
        </w:rPr>
        <w:t>intravenous</w:t>
      </w:r>
      <w:r w:rsidR="00EE0CCC">
        <w:rPr>
          <w:rFonts w:ascii="Arial" w:hAnsi="Arial" w:cs="Arial"/>
          <w:noProof/>
        </w:rPr>
        <w:t xml:space="preserve"> </w:t>
      </w:r>
      <w:r w:rsidRPr="007D322B">
        <w:rPr>
          <w:rFonts w:ascii="Arial" w:hAnsi="Arial" w:cs="Arial"/>
          <w:noProof/>
        </w:rPr>
        <w:t>morphine,</w:t>
      </w:r>
      <w:r w:rsidR="00EE0CCC">
        <w:rPr>
          <w:rFonts w:ascii="Arial" w:hAnsi="Arial" w:cs="Arial"/>
          <w:noProof/>
        </w:rPr>
        <w:t xml:space="preserve"> </w:t>
      </w:r>
      <w:r w:rsidRPr="007D322B">
        <w:rPr>
          <w:rFonts w:ascii="Arial" w:hAnsi="Arial" w:cs="Arial"/>
          <w:noProof/>
        </w:rPr>
        <w:t>in</w:t>
      </w:r>
      <w:r w:rsidR="00EE0CCC">
        <w:rPr>
          <w:rFonts w:ascii="Arial" w:hAnsi="Arial" w:cs="Arial"/>
          <w:noProof/>
        </w:rPr>
        <w:t xml:space="preserve"> </w:t>
      </w:r>
      <w:r w:rsidRPr="007D322B">
        <w:rPr>
          <w:rFonts w:ascii="Arial" w:hAnsi="Arial" w:cs="Arial"/>
          <w:noProof/>
        </w:rPr>
        <w:t>case</w:t>
      </w:r>
      <w:r w:rsidR="00EE0CCC">
        <w:rPr>
          <w:rFonts w:ascii="Arial" w:hAnsi="Arial" w:cs="Arial"/>
          <w:noProof/>
        </w:rPr>
        <w:t xml:space="preserve"> </w:t>
      </w:r>
      <w:r w:rsidRPr="007D322B">
        <w:rPr>
          <w:rFonts w:ascii="Arial" w:hAnsi="Arial" w:cs="Arial"/>
          <w:noProof/>
        </w:rPr>
        <w:t>of</w:t>
      </w:r>
      <w:r w:rsidR="00EE0CCC">
        <w:rPr>
          <w:rFonts w:ascii="Arial" w:hAnsi="Arial" w:cs="Arial"/>
          <w:noProof/>
        </w:rPr>
        <w:t xml:space="preserve"> </w:t>
      </w:r>
      <w:r w:rsidRPr="007D322B">
        <w:rPr>
          <w:rFonts w:ascii="Arial" w:hAnsi="Arial" w:cs="Arial"/>
          <w:noProof/>
        </w:rPr>
        <w:t>severe</w:t>
      </w:r>
      <w:r w:rsidR="00EE0CCC">
        <w:rPr>
          <w:rFonts w:ascii="Arial" w:hAnsi="Arial" w:cs="Arial"/>
          <w:noProof/>
        </w:rPr>
        <w:t xml:space="preserve"> </w:t>
      </w:r>
      <w:r w:rsidRPr="007D322B">
        <w:rPr>
          <w:rFonts w:ascii="Arial" w:hAnsi="Arial" w:cs="Arial"/>
          <w:noProof/>
        </w:rPr>
        <w:t>neuropathic</w:t>
      </w:r>
      <w:r w:rsidR="00EE0CCC">
        <w:rPr>
          <w:rFonts w:ascii="Arial" w:hAnsi="Arial" w:cs="Arial"/>
          <w:noProof/>
        </w:rPr>
        <w:t xml:space="preserve"> </w:t>
      </w:r>
      <w:r w:rsidRPr="007D322B">
        <w:rPr>
          <w:rFonts w:ascii="Arial" w:hAnsi="Arial" w:cs="Arial"/>
          <w:noProof/>
        </w:rPr>
        <w:t>pain,</w:t>
      </w:r>
      <w:r w:rsidR="00EE0CCC">
        <w:rPr>
          <w:rFonts w:ascii="Arial" w:hAnsi="Arial" w:cs="Arial"/>
          <w:noProof/>
        </w:rPr>
        <w:t xml:space="preserve"> </w:t>
      </w:r>
      <w:r w:rsidRPr="007D322B">
        <w:rPr>
          <w:rFonts w:ascii="Arial" w:hAnsi="Arial" w:cs="Arial"/>
          <w:noProof/>
        </w:rPr>
        <w:t>oral</w:t>
      </w:r>
      <w:r w:rsidR="00EE0CCC">
        <w:rPr>
          <w:rFonts w:ascii="Arial" w:hAnsi="Arial" w:cs="Arial"/>
          <w:noProof/>
        </w:rPr>
        <w:t xml:space="preserve"> </w:t>
      </w:r>
      <w:r w:rsidRPr="007D322B">
        <w:rPr>
          <w:rFonts w:ascii="Arial" w:hAnsi="Arial" w:cs="Arial"/>
          <w:noProof/>
        </w:rPr>
        <w:t>morphine</w:t>
      </w:r>
      <w:r w:rsidR="00EE0CCC">
        <w:rPr>
          <w:rFonts w:ascii="Arial" w:hAnsi="Arial" w:cs="Arial"/>
          <w:noProof/>
        </w:rPr>
        <w:t xml:space="preserve"> </w:t>
      </w:r>
      <w:r w:rsidRPr="007D322B">
        <w:rPr>
          <w:rFonts w:ascii="Arial" w:hAnsi="Arial" w:cs="Arial"/>
          <w:noProof/>
        </w:rPr>
        <w:t>sulphate</w:t>
      </w:r>
      <w:r w:rsidR="00EE0CCC">
        <w:rPr>
          <w:rFonts w:ascii="Arial" w:hAnsi="Arial" w:cs="Arial"/>
          <w:noProof/>
        </w:rPr>
        <w:t xml:space="preserve"> </w:t>
      </w:r>
      <w:r w:rsidRPr="007D322B">
        <w:rPr>
          <w:rFonts w:ascii="Arial" w:hAnsi="Arial" w:cs="Arial"/>
          <w:noProof/>
        </w:rPr>
        <w:t>(0.2</w:t>
      </w:r>
      <w:r w:rsidR="00EE0CCC">
        <w:rPr>
          <w:rFonts w:ascii="Arial" w:hAnsi="Arial" w:cs="Arial"/>
          <w:noProof/>
        </w:rPr>
        <w:t xml:space="preserve"> </w:t>
      </w:r>
      <w:r w:rsidRPr="007D322B">
        <w:rPr>
          <w:rFonts w:ascii="Arial" w:hAnsi="Arial" w:cs="Arial"/>
          <w:noProof/>
        </w:rPr>
        <w:t>to</w:t>
      </w:r>
      <w:r w:rsidR="00EE0CCC">
        <w:rPr>
          <w:rFonts w:ascii="Arial" w:hAnsi="Arial" w:cs="Arial"/>
          <w:noProof/>
        </w:rPr>
        <w:t xml:space="preserve"> </w:t>
      </w:r>
      <w:r w:rsidRPr="007D322B">
        <w:rPr>
          <w:rFonts w:ascii="Arial" w:hAnsi="Arial" w:cs="Arial"/>
          <w:noProof/>
        </w:rPr>
        <w:t>0.4</w:t>
      </w:r>
      <w:r w:rsidR="00EE0CCC">
        <w:rPr>
          <w:rFonts w:ascii="Arial" w:hAnsi="Arial" w:cs="Arial"/>
          <w:noProof/>
        </w:rPr>
        <w:t xml:space="preserve"> </w:t>
      </w:r>
      <w:r w:rsidRPr="007D322B">
        <w:rPr>
          <w:rFonts w:ascii="Arial" w:hAnsi="Arial" w:cs="Arial"/>
          <w:noProof/>
        </w:rPr>
        <w:t>mg/kg</w:t>
      </w:r>
      <w:r w:rsidR="00EE0CCC">
        <w:rPr>
          <w:rFonts w:ascii="Arial" w:hAnsi="Arial" w:cs="Arial"/>
          <w:noProof/>
        </w:rPr>
        <w:t xml:space="preserve"> </w:t>
      </w:r>
      <w:r w:rsidRPr="007D322B">
        <w:rPr>
          <w:rFonts w:ascii="Arial" w:hAnsi="Arial" w:cs="Arial"/>
          <w:noProof/>
        </w:rPr>
        <w:t>every</w:t>
      </w:r>
      <w:r w:rsidR="00EE0CCC">
        <w:rPr>
          <w:rFonts w:ascii="Arial" w:hAnsi="Arial" w:cs="Arial"/>
          <w:noProof/>
        </w:rPr>
        <w:t xml:space="preserve"> </w:t>
      </w:r>
      <w:r w:rsidRPr="007D322B">
        <w:rPr>
          <w:rFonts w:ascii="Arial" w:hAnsi="Arial" w:cs="Arial"/>
          <w:noProof/>
        </w:rPr>
        <w:t>4</w:t>
      </w:r>
      <w:r w:rsidR="00EE0CCC">
        <w:rPr>
          <w:rFonts w:ascii="Arial" w:hAnsi="Arial" w:cs="Arial"/>
          <w:noProof/>
        </w:rPr>
        <w:t xml:space="preserve"> </w:t>
      </w:r>
      <w:r w:rsidRPr="007D322B">
        <w:rPr>
          <w:rFonts w:ascii="Arial" w:hAnsi="Arial" w:cs="Arial"/>
          <w:noProof/>
        </w:rPr>
        <w:t>to</w:t>
      </w:r>
      <w:r w:rsidR="00EE0CCC">
        <w:rPr>
          <w:rFonts w:ascii="Arial" w:hAnsi="Arial" w:cs="Arial"/>
          <w:noProof/>
        </w:rPr>
        <w:t xml:space="preserve"> </w:t>
      </w:r>
      <w:r w:rsidRPr="007D322B">
        <w:rPr>
          <w:rFonts w:ascii="Arial" w:hAnsi="Arial" w:cs="Arial"/>
          <w:noProof/>
        </w:rPr>
        <w:t>6</w:t>
      </w:r>
      <w:r w:rsidR="00EE0CCC">
        <w:rPr>
          <w:rFonts w:ascii="Arial" w:hAnsi="Arial" w:cs="Arial"/>
          <w:noProof/>
        </w:rPr>
        <w:t xml:space="preserve"> </w:t>
      </w:r>
      <w:r w:rsidRPr="007D322B">
        <w:rPr>
          <w:rFonts w:ascii="Arial" w:hAnsi="Arial" w:cs="Arial"/>
          <w:noProof/>
        </w:rPr>
        <w:t>hours)</w:t>
      </w:r>
      <w:r w:rsidR="00EE0CCC">
        <w:rPr>
          <w:rFonts w:ascii="Arial" w:hAnsi="Arial" w:cs="Arial"/>
          <w:noProof/>
        </w:rPr>
        <w:t xml:space="preserve"> </w:t>
      </w:r>
      <w:r w:rsidRPr="007D322B">
        <w:rPr>
          <w:rFonts w:ascii="Arial" w:hAnsi="Arial" w:cs="Arial"/>
          <w:noProof/>
        </w:rPr>
        <w:t>can</w:t>
      </w:r>
      <w:r w:rsidR="00EE0CCC">
        <w:rPr>
          <w:rFonts w:ascii="Arial" w:hAnsi="Arial" w:cs="Arial"/>
          <w:noProof/>
        </w:rPr>
        <w:t xml:space="preserve"> </w:t>
      </w:r>
      <w:r w:rsidRPr="007D322B">
        <w:rPr>
          <w:rFonts w:ascii="Arial" w:hAnsi="Arial" w:cs="Arial"/>
          <w:noProof/>
        </w:rPr>
        <w:t>be</w:t>
      </w:r>
      <w:r w:rsidR="00EE0CCC">
        <w:rPr>
          <w:rFonts w:ascii="Arial" w:hAnsi="Arial" w:cs="Arial"/>
          <w:noProof/>
        </w:rPr>
        <w:t xml:space="preserve"> </w:t>
      </w:r>
      <w:r w:rsidRPr="007D322B">
        <w:rPr>
          <w:rFonts w:ascii="Arial" w:hAnsi="Arial" w:cs="Arial"/>
          <w:noProof/>
        </w:rPr>
        <w:t>administered</w:t>
      </w:r>
      <w:r w:rsidR="00EE0CCC">
        <w:rPr>
          <w:rFonts w:ascii="Arial" w:hAnsi="Arial" w:cs="Arial"/>
          <w:noProof/>
        </w:rPr>
        <w:t xml:space="preserve"> </w:t>
      </w:r>
      <w:r w:rsidRPr="007D322B">
        <w:rPr>
          <w:rFonts w:ascii="Arial" w:hAnsi="Arial" w:cs="Arial"/>
          <w:noProof/>
        </w:rPr>
        <w:t>on</w:t>
      </w:r>
      <w:r w:rsidR="00EE0CCC">
        <w:rPr>
          <w:rFonts w:ascii="Arial" w:hAnsi="Arial" w:cs="Arial"/>
          <w:noProof/>
        </w:rPr>
        <w:t xml:space="preserve"> </w:t>
      </w:r>
      <w:r w:rsidRPr="007D322B">
        <w:rPr>
          <w:rFonts w:ascii="Arial" w:hAnsi="Arial" w:cs="Arial"/>
          <w:noProof/>
        </w:rPr>
        <w:t>demand.</w:t>
      </w:r>
      <w:r w:rsidR="00EE0CCC">
        <w:rPr>
          <w:rFonts w:ascii="Arial" w:hAnsi="Arial" w:cs="Arial"/>
          <w:noProof/>
        </w:rPr>
        <w:t xml:space="preserve"> </w:t>
      </w:r>
      <w:r w:rsidRPr="007D322B">
        <w:rPr>
          <w:rFonts w:ascii="Arial" w:hAnsi="Arial" w:cs="Arial"/>
          <w:noProof/>
        </w:rPr>
        <w:t>For</w:t>
      </w:r>
      <w:r w:rsidR="00EE0CCC">
        <w:rPr>
          <w:rFonts w:ascii="Arial" w:hAnsi="Arial" w:cs="Arial"/>
          <w:noProof/>
        </w:rPr>
        <w:t xml:space="preserve"> </w:t>
      </w:r>
      <w:r w:rsidRPr="007D322B">
        <w:rPr>
          <w:rFonts w:ascii="Arial" w:hAnsi="Arial" w:cs="Arial"/>
          <w:noProof/>
        </w:rPr>
        <w:t>moderate</w:t>
      </w:r>
      <w:r w:rsidR="00EE0CCC">
        <w:rPr>
          <w:rFonts w:ascii="Arial" w:hAnsi="Arial" w:cs="Arial"/>
          <w:noProof/>
        </w:rPr>
        <w:t xml:space="preserve"> </w:t>
      </w:r>
      <w:r w:rsidRPr="007D322B">
        <w:rPr>
          <w:rFonts w:ascii="Arial" w:hAnsi="Arial" w:cs="Arial"/>
          <w:noProof/>
        </w:rPr>
        <w:t>neuropathic</w:t>
      </w:r>
      <w:r w:rsidR="00EE0CCC">
        <w:rPr>
          <w:rFonts w:ascii="Arial" w:hAnsi="Arial" w:cs="Arial"/>
          <w:noProof/>
        </w:rPr>
        <w:t xml:space="preserve"> </w:t>
      </w:r>
      <w:r w:rsidRPr="007D322B">
        <w:rPr>
          <w:rFonts w:ascii="Arial" w:hAnsi="Arial" w:cs="Arial"/>
          <w:noProof/>
        </w:rPr>
        <w:t>pain,</w:t>
      </w:r>
      <w:r w:rsidR="00EE0CCC">
        <w:rPr>
          <w:rFonts w:ascii="Arial" w:hAnsi="Arial" w:cs="Arial"/>
          <w:noProof/>
        </w:rPr>
        <w:t xml:space="preserve"> </w:t>
      </w:r>
      <w:r w:rsidRPr="007D322B">
        <w:rPr>
          <w:rFonts w:ascii="Arial" w:hAnsi="Arial" w:cs="Arial"/>
          <w:noProof/>
        </w:rPr>
        <w:t>oral</w:t>
      </w:r>
      <w:r w:rsidR="00EE0CCC">
        <w:rPr>
          <w:rFonts w:ascii="Arial" w:hAnsi="Arial" w:cs="Arial"/>
          <w:noProof/>
        </w:rPr>
        <w:t xml:space="preserve"> </w:t>
      </w:r>
      <w:r w:rsidRPr="007D322B">
        <w:rPr>
          <w:rFonts w:ascii="Arial" w:hAnsi="Arial" w:cs="Arial"/>
          <w:noProof/>
        </w:rPr>
        <w:t>tramodol</w:t>
      </w:r>
      <w:r w:rsidR="00EE0CCC">
        <w:rPr>
          <w:rFonts w:ascii="Arial" w:hAnsi="Arial" w:cs="Arial"/>
          <w:noProof/>
        </w:rPr>
        <w:t xml:space="preserve"> </w:t>
      </w:r>
      <w:r w:rsidRPr="007D322B">
        <w:rPr>
          <w:rFonts w:ascii="Arial" w:hAnsi="Arial" w:cs="Arial"/>
          <w:noProof/>
        </w:rPr>
        <w:t>may</w:t>
      </w:r>
      <w:r w:rsidR="00EE0CCC">
        <w:rPr>
          <w:rFonts w:ascii="Arial" w:hAnsi="Arial" w:cs="Arial"/>
          <w:noProof/>
        </w:rPr>
        <w:t xml:space="preserve"> </w:t>
      </w:r>
      <w:r w:rsidRPr="007D322B">
        <w:rPr>
          <w:rFonts w:ascii="Arial" w:hAnsi="Arial" w:cs="Arial"/>
          <w:noProof/>
        </w:rPr>
        <w:t>be</w:t>
      </w:r>
      <w:r w:rsidR="00EE0CCC">
        <w:rPr>
          <w:rFonts w:ascii="Arial" w:hAnsi="Arial" w:cs="Arial"/>
          <w:noProof/>
        </w:rPr>
        <w:t xml:space="preserve"> </w:t>
      </w:r>
      <w:r w:rsidRPr="007D322B">
        <w:rPr>
          <w:rFonts w:ascii="Arial" w:hAnsi="Arial" w:cs="Arial"/>
          <w:noProof/>
        </w:rPr>
        <w:t>administered.</w:t>
      </w:r>
    </w:p>
    <w:p w:rsidR="001B3E6D" w:rsidRPr="007D322B" w:rsidRDefault="001B3E6D" w:rsidP="001B3E6D">
      <w:pPr>
        <w:rPr>
          <w:rFonts w:ascii="Arial" w:hAnsi="Arial" w:cs="Arial"/>
          <w:noProof/>
          <w:u w:val="single"/>
        </w:rPr>
      </w:pPr>
    </w:p>
    <w:p w:rsidR="001B3E6D" w:rsidRPr="007D322B" w:rsidRDefault="001B3E6D" w:rsidP="001B3E6D">
      <w:pPr>
        <w:keepNext/>
        <w:keepLines/>
        <w:rPr>
          <w:rFonts w:ascii="Arial" w:hAnsi="Arial" w:cs="Arial"/>
          <w:b/>
          <w:bCs/>
          <w:noProof/>
        </w:rPr>
      </w:pPr>
      <w:r w:rsidRPr="007D322B">
        <w:rPr>
          <w:rFonts w:ascii="Arial" w:hAnsi="Arial" w:cs="Arial"/>
          <w:b/>
          <w:bCs/>
          <w:noProof/>
        </w:rPr>
        <w:lastRenderedPageBreak/>
        <w:t>Hypersensitivity</w:t>
      </w:r>
      <w:r w:rsidR="00EE0CCC">
        <w:rPr>
          <w:rFonts w:ascii="Arial" w:hAnsi="Arial" w:cs="Arial"/>
          <w:b/>
          <w:bCs/>
          <w:noProof/>
        </w:rPr>
        <w:t xml:space="preserve"> </w:t>
      </w:r>
      <w:r w:rsidRPr="007D322B">
        <w:rPr>
          <w:rFonts w:ascii="Arial" w:hAnsi="Arial" w:cs="Arial"/>
          <w:b/>
          <w:bCs/>
          <w:noProof/>
        </w:rPr>
        <w:t>reactions</w:t>
      </w:r>
    </w:p>
    <w:p w:rsidR="001B3E6D" w:rsidRPr="007D322B" w:rsidRDefault="001B3E6D" w:rsidP="001B3E6D">
      <w:pPr>
        <w:pStyle w:val="BodytextAgency"/>
        <w:keepNext/>
        <w:keepLines/>
        <w:spacing w:after="0" w:line="240" w:lineRule="auto"/>
        <w:rPr>
          <w:rFonts w:ascii="Arial" w:hAnsi="Arial" w:cs="Arial"/>
          <w:noProof/>
          <w:sz w:val="24"/>
          <w:szCs w:val="24"/>
          <w:lang w:val="en-AU"/>
        </w:rPr>
      </w:pPr>
      <w:r w:rsidRPr="007D322B">
        <w:rPr>
          <w:rFonts w:ascii="Arial" w:hAnsi="Arial" w:cs="Arial"/>
          <w:noProof/>
          <w:sz w:val="24"/>
          <w:szCs w:val="24"/>
          <w:lang w:val="en-AU"/>
        </w:rPr>
        <w:t>Severe</w:t>
      </w:r>
      <w:r w:rsidR="00EE0CCC">
        <w:rPr>
          <w:rFonts w:ascii="Arial" w:hAnsi="Arial" w:cs="Arial"/>
          <w:noProof/>
          <w:sz w:val="24"/>
          <w:szCs w:val="24"/>
          <w:lang w:val="en-AU"/>
        </w:rPr>
        <w:t xml:space="preserve"> </w:t>
      </w:r>
      <w:r w:rsidRPr="007D322B">
        <w:rPr>
          <w:rFonts w:ascii="Arial" w:hAnsi="Arial" w:cs="Arial"/>
          <w:noProof/>
          <w:sz w:val="24"/>
          <w:szCs w:val="24"/>
          <w:lang w:val="en-AU"/>
        </w:rPr>
        <w:t>infusion-related</w:t>
      </w:r>
      <w:r w:rsidR="00EE0CCC">
        <w:rPr>
          <w:rFonts w:ascii="Arial" w:hAnsi="Arial" w:cs="Arial"/>
          <w:noProof/>
          <w:sz w:val="24"/>
          <w:szCs w:val="24"/>
          <w:lang w:val="en-AU"/>
        </w:rPr>
        <w:t xml:space="preserve"> </w:t>
      </w:r>
      <w:r w:rsidRPr="007D322B">
        <w:rPr>
          <w:rFonts w:ascii="Arial" w:hAnsi="Arial" w:cs="Arial"/>
          <w:noProof/>
          <w:sz w:val="24"/>
          <w:szCs w:val="24"/>
          <w:lang w:val="en-AU"/>
        </w:rPr>
        <w:t>reactions,</w:t>
      </w:r>
      <w:r w:rsidR="00EE0CCC">
        <w:rPr>
          <w:rFonts w:ascii="Arial" w:hAnsi="Arial" w:cs="Arial"/>
          <w:noProof/>
          <w:sz w:val="24"/>
          <w:szCs w:val="24"/>
          <w:lang w:val="en-AU"/>
        </w:rPr>
        <w:t xml:space="preserve"> </w:t>
      </w:r>
      <w:r w:rsidRPr="007D322B">
        <w:rPr>
          <w:rFonts w:ascii="Arial" w:hAnsi="Arial" w:cs="Arial"/>
          <w:noProof/>
          <w:sz w:val="24"/>
          <w:szCs w:val="24"/>
          <w:lang w:val="en-AU"/>
        </w:rPr>
        <w:t>including</w:t>
      </w:r>
      <w:r w:rsidR="00EE0CCC">
        <w:rPr>
          <w:rFonts w:ascii="Arial" w:hAnsi="Arial" w:cs="Arial"/>
          <w:noProof/>
          <w:sz w:val="24"/>
          <w:szCs w:val="24"/>
          <w:lang w:val="en-AU"/>
        </w:rPr>
        <w:t xml:space="preserve"> </w:t>
      </w:r>
      <w:r w:rsidRPr="007D322B">
        <w:rPr>
          <w:rFonts w:ascii="Arial" w:hAnsi="Arial" w:cs="Arial"/>
          <w:noProof/>
          <w:sz w:val="24"/>
          <w:szCs w:val="24"/>
          <w:lang w:val="en-AU"/>
        </w:rPr>
        <w:t>cytokine</w:t>
      </w:r>
      <w:r w:rsidR="00EE0CCC">
        <w:rPr>
          <w:rFonts w:ascii="Arial" w:hAnsi="Arial" w:cs="Arial"/>
          <w:noProof/>
          <w:sz w:val="24"/>
          <w:szCs w:val="24"/>
          <w:lang w:val="en-AU"/>
        </w:rPr>
        <w:t xml:space="preserve"> </w:t>
      </w:r>
      <w:r w:rsidRPr="007D322B">
        <w:rPr>
          <w:rFonts w:ascii="Arial" w:hAnsi="Arial" w:cs="Arial"/>
          <w:noProof/>
          <w:sz w:val="24"/>
          <w:szCs w:val="24"/>
          <w:lang w:val="en-AU"/>
        </w:rPr>
        <w:t>release</w:t>
      </w:r>
      <w:r w:rsidR="00EE0CCC">
        <w:rPr>
          <w:rFonts w:ascii="Arial" w:hAnsi="Arial" w:cs="Arial"/>
          <w:noProof/>
          <w:sz w:val="24"/>
          <w:szCs w:val="24"/>
          <w:lang w:val="en-AU"/>
        </w:rPr>
        <w:t xml:space="preserve"> </w:t>
      </w:r>
      <w:r w:rsidRPr="007D322B">
        <w:rPr>
          <w:rFonts w:ascii="Arial" w:hAnsi="Arial" w:cs="Arial"/>
          <w:noProof/>
          <w:sz w:val="24"/>
          <w:szCs w:val="24"/>
          <w:lang w:val="en-AU"/>
        </w:rPr>
        <w:t>syndrome</w:t>
      </w:r>
      <w:r w:rsidR="00EE0CCC">
        <w:rPr>
          <w:rFonts w:ascii="Arial" w:hAnsi="Arial" w:cs="Arial"/>
          <w:noProof/>
          <w:sz w:val="24"/>
          <w:szCs w:val="24"/>
          <w:lang w:val="en-AU"/>
        </w:rPr>
        <w:t xml:space="preserve"> </w:t>
      </w:r>
      <w:r w:rsidRPr="007D322B">
        <w:rPr>
          <w:rFonts w:ascii="Arial" w:hAnsi="Arial" w:cs="Arial"/>
          <w:noProof/>
          <w:sz w:val="24"/>
          <w:szCs w:val="24"/>
          <w:lang w:val="en-AU"/>
        </w:rPr>
        <w:t>(CRS),</w:t>
      </w:r>
      <w:r w:rsidR="00EE0CCC">
        <w:rPr>
          <w:rFonts w:ascii="Arial" w:hAnsi="Arial" w:cs="Arial"/>
          <w:noProof/>
          <w:sz w:val="24"/>
          <w:szCs w:val="24"/>
          <w:lang w:val="en-AU"/>
        </w:rPr>
        <w:t xml:space="preserve"> </w:t>
      </w:r>
      <w:r w:rsidRPr="007D322B">
        <w:rPr>
          <w:rFonts w:ascii="Arial" w:hAnsi="Arial" w:cs="Arial"/>
          <w:noProof/>
          <w:sz w:val="24"/>
          <w:szCs w:val="24"/>
          <w:lang w:val="en-AU"/>
        </w:rPr>
        <w:t>anaphylactic</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hypersensitivity</w:t>
      </w:r>
      <w:r w:rsidR="00EE0CCC">
        <w:rPr>
          <w:rFonts w:ascii="Arial" w:hAnsi="Arial" w:cs="Arial"/>
          <w:noProof/>
          <w:sz w:val="24"/>
          <w:szCs w:val="24"/>
          <w:lang w:val="en-AU"/>
        </w:rPr>
        <w:t xml:space="preserve"> </w:t>
      </w:r>
      <w:r w:rsidRPr="007D322B">
        <w:rPr>
          <w:rFonts w:ascii="Arial" w:hAnsi="Arial" w:cs="Arial"/>
          <w:noProof/>
          <w:sz w:val="24"/>
          <w:szCs w:val="24"/>
          <w:lang w:val="en-AU"/>
        </w:rPr>
        <w:t>reactions,</w:t>
      </w:r>
      <w:r w:rsidR="00EE0CCC">
        <w:rPr>
          <w:rFonts w:ascii="Arial" w:hAnsi="Arial" w:cs="Arial"/>
          <w:noProof/>
          <w:sz w:val="24"/>
          <w:szCs w:val="24"/>
          <w:lang w:val="en-AU"/>
        </w:rPr>
        <w:t xml:space="preserve"> </w:t>
      </w:r>
      <w:r w:rsidRPr="007D322B">
        <w:rPr>
          <w:rFonts w:ascii="Arial" w:hAnsi="Arial" w:cs="Arial"/>
          <w:noProof/>
          <w:sz w:val="24"/>
          <w:szCs w:val="24"/>
          <w:lang w:val="en-AU"/>
        </w:rPr>
        <w:t>may</w:t>
      </w:r>
      <w:r w:rsidR="00EE0CCC">
        <w:rPr>
          <w:rFonts w:ascii="Arial" w:hAnsi="Arial" w:cs="Arial"/>
          <w:noProof/>
          <w:sz w:val="24"/>
          <w:szCs w:val="24"/>
          <w:lang w:val="en-AU"/>
        </w:rPr>
        <w:t xml:space="preserve"> </w:t>
      </w:r>
      <w:r w:rsidRPr="007D322B">
        <w:rPr>
          <w:rFonts w:ascii="Arial" w:hAnsi="Arial" w:cs="Arial"/>
          <w:noProof/>
          <w:sz w:val="24"/>
          <w:szCs w:val="24"/>
          <w:lang w:val="en-AU"/>
        </w:rPr>
        <w:t>occur</w:t>
      </w:r>
      <w:r w:rsidR="00EE0CCC">
        <w:rPr>
          <w:rFonts w:ascii="Arial" w:hAnsi="Arial" w:cs="Arial"/>
          <w:noProof/>
          <w:sz w:val="24"/>
          <w:szCs w:val="24"/>
          <w:lang w:val="en-AU"/>
        </w:rPr>
        <w:t xml:space="preserve"> </w:t>
      </w:r>
      <w:r w:rsidRPr="007D322B">
        <w:rPr>
          <w:rFonts w:ascii="Arial" w:hAnsi="Arial" w:cs="Arial"/>
          <w:noProof/>
          <w:sz w:val="24"/>
          <w:szCs w:val="24"/>
          <w:lang w:val="en-AU"/>
        </w:rPr>
        <w:t>despite</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use</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premedication.</w:t>
      </w:r>
      <w:r w:rsidR="00EE0CCC">
        <w:rPr>
          <w:rFonts w:ascii="Arial" w:hAnsi="Arial" w:cs="Arial"/>
          <w:noProof/>
          <w:sz w:val="24"/>
          <w:szCs w:val="24"/>
          <w:lang w:val="en-AU"/>
        </w:rPr>
        <w:t xml:space="preserve"> </w:t>
      </w:r>
      <w:r w:rsidRPr="007D322B">
        <w:rPr>
          <w:rFonts w:ascii="Arial" w:hAnsi="Arial" w:cs="Arial"/>
          <w:noProof/>
          <w:sz w:val="24"/>
          <w:szCs w:val="24"/>
          <w:lang w:val="en-AU"/>
        </w:rPr>
        <w:t>Occurrence</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a</w:t>
      </w:r>
      <w:r w:rsidR="00EE0CCC">
        <w:rPr>
          <w:rFonts w:ascii="Arial" w:hAnsi="Arial" w:cs="Arial"/>
          <w:noProof/>
          <w:sz w:val="24"/>
          <w:szCs w:val="24"/>
          <w:lang w:val="en-AU"/>
        </w:rPr>
        <w:t xml:space="preserve"> </w:t>
      </w:r>
      <w:r w:rsidRPr="007D322B">
        <w:rPr>
          <w:rFonts w:ascii="Arial" w:hAnsi="Arial" w:cs="Arial"/>
          <w:noProof/>
          <w:sz w:val="24"/>
          <w:szCs w:val="24"/>
          <w:lang w:val="en-AU"/>
        </w:rPr>
        <w:t>severe</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related</w:t>
      </w:r>
      <w:r w:rsidR="00EE0CCC">
        <w:rPr>
          <w:rFonts w:ascii="Arial" w:hAnsi="Arial" w:cs="Arial"/>
          <w:noProof/>
          <w:sz w:val="24"/>
          <w:szCs w:val="24"/>
          <w:lang w:val="en-AU"/>
        </w:rPr>
        <w:t xml:space="preserve"> </w:t>
      </w:r>
      <w:r w:rsidRPr="007D322B">
        <w:rPr>
          <w:rFonts w:ascii="Arial" w:hAnsi="Arial" w:cs="Arial"/>
          <w:noProof/>
          <w:sz w:val="24"/>
          <w:szCs w:val="24"/>
          <w:lang w:val="en-AU"/>
        </w:rPr>
        <w:t>reaction</w:t>
      </w:r>
      <w:r w:rsidR="00EE0CCC">
        <w:rPr>
          <w:rFonts w:ascii="Arial" w:hAnsi="Arial" w:cs="Arial"/>
          <w:noProof/>
          <w:sz w:val="24"/>
          <w:szCs w:val="24"/>
          <w:lang w:val="en-AU"/>
        </w:rPr>
        <w:t xml:space="preserve"> </w:t>
      </w:r>
      <w:r w:rsidRPr="007D322B">
        <w:rPr>
          <w:rFonts w:ascii="Arial" w:hAnsi="Arial" w:cs="Arial"/>
          <w:noProof/>
          <w:sz w:val="24"/>
          <w:szCs w:val="24"/>
          <w:lang w:val="en-AU"/>
        </w:rPr>
        <w:t>(including</w:t>
      </w:r>
      <w:r w:rsidR="00EE0CCC">
        <w:rPr>
          <w:rFonts w:ascii="Arial" w:hAnsi="Arial" w:cs="Arial"/>
          <w:noProof/>
          <w:sz w:val="24"/>
          <w:szCs w:val="24"/>
          <w:lang w:val="en-AU"/>
        </w:rPr>
        <w:t xml:space="preserve"> </w:t>
      </w:r>
      <w:r w:rsidRPr="007D322B">
        <w:rPr>
          <w:rFonts w:ascii="Arial" w:hAnsi="Arial" w:cs="Arial"/>
          <w:noProof/>
          <w:sz w:val="24"/>
          <w:szCs w:val="24"/>
          <w:lang w:val="en-AU"/>
        </w:rPr>
        <w:t>CRS)</w:t>
      </w:r>
      <w:r w:rsidR="00EE0CCC">
        <w:rPr>
          <w:rFonts w:ascii="Arial" w:hAnsi="Arial" w:cs="Arial"/>
          <w:noProof/>
          <w:sz w:val="24"/>
          <w:szCs w:val="24"/>
          <w:lang w:val="en-AU"/>
        </w:rPr>
        <w:t xml:space="preserve"> </w:t>
      </w:r>
      <w:r w:rsidRPr="007D322B">
        <w:rPr>
          <w:rFonts w:ascii="Arial" w:hAnsi="Arial" w:cs="Arial"/>
          <w:noProof/>
          <w:sz w:val="24"/>
          <w:szCs w:val="24"/>
          <w:lang w:val="en-AU"/>
        </w:rPr>
        <w:t>requires</w:t>
      </w:r>
      <w:r w:rsidR="00EE0CCC">
        <w:rPr>
          <w:rFonts w:ascii="Arial" w:hAnsi="Arial" w:cs="Arial"/>
          <w:noProof/>
          <w:sz w:val="24"/>
          <w:szCs w:val="24"/>
          <w:lang w:val="en-AU"/>
        </w:rPr>
        <w:t xml:space="preserve"> </w:t>
      </w:r>
      <w:r w:rsidRPr="007D322B">
        <w:rPr>
          <w:rFonts w:ascii="Arial" w:hAnsi="Arial" w:cs="Arial"/>
          <w:noProof/>
          <w:sz w:val="24"/>
          <w:szCs w:val="24"/>
          <w:lang w:val="en-AU"/>
        </w:rPr>
        <w:t>immediate</w:t>
      </w:r>
      <w:r w:rsidR="00EE0CCC">
        <w:rPr>
          <w:rFonts w:ascii="Arial" w:hAnsi="Arial" w:cs="Arial"/>
          <w:noProof/>
          <w:sz w:val="24"/>
          <w:szCs w:val="24"/>
          <w:lang w:val="en-AU"/>
        </w:rPr>
        <w:t xml:space="preserve"> </w:t>
      </w:r>
      <w:r w:rsidRPr="007D322B">
        <w:rPr>
          <w:rFonts w:ascii="Arial" w:hAnsi="Arial" w:cs="Arial"/>
          <w:noProof/>
          <w:sz w:val="24"/>
          <w:szCs w:val="24"/>
          <w:lang w:val="en-AU"/>
        </w:rPr>
        <w:t>discontinuation</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therapy</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may</w:t>
      </w:r>
      <w:r w:rsidR="00EE0CCC">
        <w:rPr>
          <w:rFonts w:ascii="Arial" w:hAnsi="Arial" w:cs="Arial"/>
          <w:noProof/>
          <w:sz w:val="24"/>
          <w:szCs w:val="24"/>
          <w:lang w:val="en-AU"/>
        </w:rPr>
        <w:t xml:space="preserve"> </w:t>
      </w:r>
      <w:r w:rsidRPr="007D322B">
        <w:rPr>
          <w:rFonts w:ascii="Arial" w:hAnsi="Arial" w:cs="Arial"/>
          <w:noProof/>
          <w:sz w:val="24"/>
          <w:szCs w:val="24"/>
          <w:lang w:val="en-AU"/>
        </w:rPr>
        <w:t>necessitate</w:t>
      </w:r>
      <w:r w:rsidR="00EE0CCC">
        <w:rPr>
          <w:rFonts w:ascii="Arial" w:hAnsi="Arial" w:cs="Arial"/>
          <w:noProof/>
          <w:sz w:val="24"/>
          <w:szCs w:val="24"/>
          <w:lang w:val="en-AU"/>
        </w:rPr>
        <w:t xml:space="preserve"> </w:t>
      </w:r>
      <w:r w:rsidRPr="007D322B">
        <w:rPr>
          <w:rFonts w:ascii="Arial" w:hAnsi="Arial" w:cs="Arial"/>
          <w:noProof/>
          <w:sz w:val="24"/>
          <w:szCs w:val="24"/>
          <w:lang w:val="en-AU"/>
        </w:rPr>
        <w:t>emergency</w:t>
      </w:r>
      <w:r w:rsidR="00EE0CCC">
        <w:rPr>
          <w:rFonts w:ascii="Arial" w:hAnsi="Arial" w:cs="Arial"/>
          <w:noProof/>
          <w:sz w:val="24"/>
          <w:szCs w:val="24"/>
          <w:lang w:val="en-AU"/>
        </w:rPr>
        <w:t xml:space="preserve"> </w:t>
      </w:r>
      <w:r w:rsidRPr="007D322B">
        <w:rPr>
          <w:rFonts w:ascii="Arial" w:hAnsi="Arial" w:cs="Arial"/>
          <w:noProof/>
          <w:sz w:val="24"/>
          <w:szCs w:val="24"/>
          <w:lang w:val="en-AU"/>
        </w:rPr>
        <w:t>treatment.</w:t>
      </w:r>
    </w:p>
    <w:p w:rsidR="001B3E6D" w:rsidRPr="007D322B" w:rsidRDefault="001B3E6D" w:rsidP="001B3E6D">
      <w:pPr>
        <w:pStyle w:val="BodytextAgency"/>
        <w:spacing w:after="0" w:line="240" w:lineRule="auto"/>
        <w:rPr>
          <w:rFonts w:ascii="Arial" w:hAnsi="Arial" w:cs="Arial"/>
          <w:noProof/>
          <w:sz w:val="24"/>
          <w:szCs w:val="24"/>
          <w:lang w:val="en-AU"/>
        </w:rPr>
      </w:pPr>
    </w:p>
    <w:p w:rsidR="001B3E6D" w:rsidRPr="007D322B" w:rsidRDefault="001B3E6D" w:rsidP="001B3E6D">
      <w:pPr>
        <w:pStyle w:val="BodytextAgency"/>
        <w:spacing w:after="0" w:line="240" w:lineRule="auto"/>
        <w:rPr>
          <w:rFonts w:ascii="Arial" w:hAnsi="Arial" w:cs="Arial"/>
          <w:noProof/>
          <w:sz w:val="24"/>
          <w:szCs w:val="24"/>
          <w:lang w:val="en-AU"/>
        </w:rPr>
      </w:pPr>
      <w:r w:rsidRPr="007D322B">
        <w:rPr>
          <w:rFonts w:ascii="Arial" w:hAnsi="Arial" w:cs="Arial"/>
          <w:noProof/>
          <w:sz w:val="24"/>
          <w:szCs w:val="24"/>
          <w:lang w:val="en-AU"/>
        </w:rPr>
        <w:t>Cytokine</w:t>
      </w:r>
      <w:r w:rsidR="00EE0CCC">
        <w:rPr>
          <w:rFonts w:ascii="Arial" w:hAnsi="Arial" w:cs="Arial"/>
          <w:noProof/>
          <w:sz w:val="24"/>
          <w:szCs w:val="24"/>
          <w:lang w:val="en-AU"/>
        </w:rPr>
        <w:t xml:space="preserve"> </w:t>
      </w:r>
      <w:r w:rsidRPr="007D322B">
        <w:rPr>
          <w:rFonts w:ascii="Arial" w:hAnsi="Arial" w:cs="Arial"/>
          <w:noProof/>
          <w:sz w:val="24"/>
          <w:szCs w:val="24"/>
          <w:lang w:val="en-AU"/>
        </w:rPr>
        <w:t>release</w:t>
      </w:r>
      <w:r w:rsidR="00EE0CCC">
        <w:rPr>
          <w:rFonts w:ascii="Arial" w:hAnsi="Arial" w:cs="Arial"/>
          <w:noProof/>
          <w:sz w:val="24"/>
          <w:szCs w:val="24"/>
          <w:lang w:val="en-AU"/>
        </w:rPr>
        <w:t xml:space="preserve"> </w:t>
      </w:r>
      <w:r w:rsidRPr="007D322B">
        <w:rPr>
          <w:rFonts w:ascii="Arial" w:hAnsi="Arial" w:cs="Arial"/>
          <w:noProof/>
          <w:sz w:val="24"/>
          <w:szCs w:val="24"/>
          <w:lang w:val="en-AU"/>
        </w:rPr>
        <w:t>syndrome</w:t>
      </w:r>
      <w:r w:rsidR="00EE0CCC">
        <w:rPr>
          <w:rFonts w:ascii="Arial" w:hAnsi="Arial" w:cs="Arial"/>
          <w:noProof/>
          <w:sz w:val="24"/>
          <w:szCs w:val="24"/>
          <w:lang w:val="en-AU"/>
        </w:rPr>
        <w:t xml:space="preserve"> </w:t>
      </w:r>
      <w:r w:rsidRPr="007D322B">
        <w:rPr>
          <w:rFonts w:ascii="Arial" w:hAnsi="Arial" w:cs="Arial"/>
          <w:noProof/>
          <w:sz w:val="24"/>
          <w:szCs w:val="24"/>
          <w:lang w:val="en-AU"/>
        </w:rPr>
        <w:t>frequently</w:t>
      </w:r>
      <w:r w:rsidR="00EE0CCC">
        <w:rPr>
          <w:rFonts w:ascii="Arial" w:hAnsi="Arial" w:cs="Arial"/>
          <w:noProof/>
          <w:sz w:val="24"/>
          <w:szCs w:val="24"/>
          <w:lang w:val="en-AU"/>
        </w:rPr>
        <w:t xml:space="preserve"> </w:t>
      </w:r>
      <w:r w:rsidRPr="007D322B">
        <w:rPr>
          <w:rFonts w:ascii="Arial" w:hAnsi="Arial" w:cs="Arial"/>
          <w:noProof/>
          <w:sz w:val="24"/>
          <w:szCs w:val="24"/>
          <w:lang w:val="en-AU"/>
        </w:rPr>
        <w:t>manifests</w:t>
      </w:r>
      <w:r w:rsidR="00EE0CCC">
        <w:rPr>
          <w:rFonts w:ascii="Arial" w:hAnsi="Arial" w:cs="Arial"/>
          <w:noProof/>
          <w:sz w:val="24"/>
          <w:szCs w:val="24"/>
          <w:lang w:val="en-AU"/>
        </w:rPr>
        <w:t xml:space="preserve"> </w:t>
      </w:r>
      <w:r w:rsidRPr="007D322B">
        <w:rPr>
          <w:rFonts w:ascii="Arial" w:hAnsi="Arial" w:cs="Arial"/>
          <w:noProof/>
          <w:sz w:val="24"/>
          <w:szCs w:val="24"/>
          <w:lang w:val="en-AU"/>
        </w:rPr>
        <w:t>itself</w:t>
      </w:r>
      <w:r w:rsidR="00EE0CCC">
        <w:rPr>
          <w:rFonts w:ascii="Arial" w:hAnsi="Arial" w:cs="Arial"/>
          <w:noProof/>
          <w:sz w:val="24"/>
          <w:szCs w:val="24"/>
          <w:lang w:val="en-AU"/>
        </w:rPr>
        <w:t xml:space="preserve"> </w:t>
      </w:r>
      <w:r w:rsidRPr="007D322B">
        <w:rPr>
          <w:rFonts w:ascii="Arial" w:hAnsi="Arial" w:cs="Arial"/>
          <w:noProof/>
          <w:sz w:val="24"/>
          <w:szCs w:val="24"/>
          <w:lang w:val="en-AU"/>
        </w:rPr>
        <w:t>within</w:t>
      </w:r>
      <w:r w:rsidR="00EE0CCC">
        <w:rPr>
          <w:rFonts w:ascii="Arial" w:hAnsi="Arial" w:cs="Arial"/>
          <w:noProof/>
          <w:sz w:val="24"/>
          <w:szCs w:val="24"/>
          <w:lang w:val="en-AU"/>
        </w:rPr>
        <w:t xml:space="preserve"> </w:t>
      </w:r>
      <w:r w:rsidRPr="007D322B">
        <w:rPr>
          <w:rFonts w:ascii="Arial" w:hAnsi="Arial" w:cs="Arial"/>
          <w:noProof/>
          <w:sz w:val="24"/>
          <w:szCs w:val="24"/>
          <w:lang w:val="en-AU"/>
        </w:rPr>
        <w:t>minutes</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hours</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initiating</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first</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characterised</w:t>
      </w:r>
      <w:r w:rsidR="00EE0CCC">
        <w:rPr>
          <w:rFonts w:ascii="Arial" w:hAnsi="Arial" w:cs="Arial"/>
          <w:noProof/>
          <w:sz w:val="24"/>
          <w:szCs w:val="24"/>
          <w:lang w:val="en-AU"/>
        </w:rPr>
        <w:t xml:space="preserve"> </w:t>
      </w:r>
      <w:r w:rsidRPr="007D322B">
        <w:rPr>
          <w:rFonts w:ascii="Arial" w:hAnsi="Arial" w:cs="Arial"/>
          <w:noProof/>
          <w:sz w:val="24"/>
          <w:szCs w:val="24"/>
          <w:lang w:val="en-AU"/>
        </w:rPr>
        <w:t>by</w:t>
      </w:r>
      <w:r w:rsidR="00EE0CCC">
        <w:rPr>
          <w:rFonts w:ascii="Arial" w:hAnsi="Arial" w:cs="Arial"/>
          <w:noProof/>
          <w:sz w:val="24"/>
          <w:szCs w:val="24"/>
          <w:lang w:val="en-AU"/>
        </w:rPr>
        <w:t xml:space="preserve"> </w:t>
      </w:r>
      <w:r w:rsidRPr="007D322B">
        <w:rPr>
          <w:rFonts w:ascii="Arial" w:hAnsi="Arial" w:cs="Arial"/>
          <w:noProof/>
          <w:sz w:val="24"/>
          <w:szCs w:val="24"/>
          <w:lang w:val="en-AU"/>
        </w:rPr>
        <w:t>systemic</w:t>
      </w:r>
      <w:r w:rsidR="00EE0CCC">
        <w:rPr>
          <w:rFonts w:ascii="Arial" w:hAnsi="Arial" w:cs="Arial"/>
          <w:noProof/>
          <w:sz w:val="24"/>
          <w:szCs w:val="24"/>
          <w:lang w:val="en-AU"/>
        </w:rPr>
        <w:t xml:space="preserve"> </w:t>
      </w:r>
      <w:r w:rsidRPr="007D322B">
        <w:rPr>
          <w:rFonts w:ascii="Arial" w:hAnsi="Arial" w:cs="Arial"/>
          <w:noProof/>
          <w:sz w:val="24"/>
          <w:szCs w:val="24"/>
          <w:lang w:val="en-AU"/>
        </w:rPr>
        <w:t>symptoms</w:t>
      </w:r>
      <w:r w:rsidR="00EE0CCC">
        <w:rPr>
          <w:rFonts w:ascii="Arial" w:hAnsi="Arial" w:cs="Arial"/>
          <w:noProof/>
          <w:sz w:val="24"/>
          <w:szCs w:val="24"/>
          <w:lang w:val="en-AU"/>
        </w:rPr>
        <w:t xml:space="preserve"> </w:t>
      </w:r>
      <w:r w:rsidRPr="007D322B">
        <w:rPr>
          <w:rFonts w:ascii="Arial" w:hAnsi="Arial" w:cs="Arial"/>
          <w:noProof/>
          <w:sz w:val="24"/>
          <w:szCs w:val="24"/>
          <w:lang w:val="en-AU"/>
        </w:rPr>
        <w:t>such</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fever,</w:t>
      </w:r>
      <w:r w:rsidR="00EE0CCC">
        <w:rPr>
          <w:rFonts w:ascii="Arial" w:hAnsi="Arial" w:cs="Arial"/>
          <w:noProof/>
          <w:sz w:val="24"/>
          <w:szCs w:val="24"/>
          <w:lang w:val="en-AU"/>
        </w:rPr>
        <w:t xml:space="preserve"> </w:t>
      </w:r>
      <w:r w:rsidRPr="007D322B">
        <w:rPr>
          <w:rFonts w:ascii="Arial" w:hAnsi="Arial" w:cs="Arial"/>
          <w:noProof/>
          <w:sz w:val="24"/>
          <w:szCs w:val="24"/>
          <w:lang w:val="en-AU"/>
        </w:rPr>
        <w:t>hypotension</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urticaria.</w:t>
      </w:r>
      <w:r w:rsidR="00EE0CCC">
        <w:rPr>
          <w:rFonts w:ascii="Arial" w:hAnsi="Arial" w:cs="Arial"/>
          <w:noProof/>
          <w:sz w:val="24"/>
          <w:szCs w:val="24"/>
          <w:lang w:val="en-AU"/>
        </w:rPr>
        <w:t xml:space="preserve"> </w:t>
      </w:r>
    </w:p>
    <w:p w:rsidR="001B3E6D" w:rsidRPr="007D322B" w:rsidRDefault="001B3E6D" w:rsidP="001B3E6D">
      <w:pPr>
        <w:pStyle w:val="BodytextAgency"/>
        <w:spacing w:after="0" w:line="240" w:lineRule="auto"/>
        <w:rPr>
          <w:rFonts w:ascii="Arial" w:hAnsi="Arial" w:cs="Arial"/>
          <w:noProof/>
          <w:sz w:val="24"/>
          <w:szCs w:val="24"/>
          <w:lang w:val="en-AU"/>
        </w:rPr>
      </w:pPr>
    </w:p>
    <w:p w:rsidR="001B3E6D" w:rsidRPr="007D322B" w:rsidRDefault="001B3E6D" w:rsidP="001B3E6D">
      <w:pPr>
        <w:pStyle w:val="BodytextAgency"/>
        <w:spacing w:after="0" w:line="240" w:lineRule="auto"/>
        <w:rPr>
          <w:rFonts w:ascii="Arial" w:hAnsi="Arial" w:cs="Arial"/>
          <w:noProof/>
          <w:sz w:val="24"/>
          <w:szCs w:val="24"/>
          <w:lang w:val="en-AU"/>
        </w:rPr>
      </w:pPr>
      <w:r w:rsidRPr="007D322B">
        <w:rPr>
          <w:rFonts w:ascii="Arial" w:hAnsi="Arial" w:cs="Arial"/>
          <w:noProof/>
          <w:sz w:val="24"/>
          <w:szCs w:val="24"/>
          <w:lang w:val="en-AU"/>
        </w:rPr>
        <w:t>Anaphylactic</w:t>
      </w:r>
      <w:r w:rsidR="00EE0CCC">
        <w:rPr>
          <w:rFonts w:ascii="Arial" w:hAnsi="Arial" w:cs="Arial"/>
          <w:noProof/>
          <w:sz w:val="24"/>
          <w:szCs w:val="24"/>
          <w:lang w:val="en-AU"/>
        </w:rPr>
        <w:t xml:space="preserve"> </w:t>
      </w:r>
      <w:r w:rsidRPr="007D322B">
        <w:rPr>
          <w:rFonts w:ascii="Arial" w:hAnsi="Arial" w:cs="Arial"/>
          <w:noProof/>
          <w:sz w:val="24"/>
          <w:szCs w:val="24"/>
          <w:lang w:val="en-AU"/>
        </w:rPr>
        <w:t>reactions</w:t>
      </w:r>
      <w:r w:rsidR="00EE0CCC">
        <w:rPr>
          <w:rFonts w:ascii="Arial" w:hAnsi="Arial" w:cs="Arial"/>
          <w:noProof/>
          <w:sz w:val="24"/>
          <w:szCs w:val="24"/>
          <w:lang w:val="en-AU"/>
        </w:rPr>
        <w:t xml:space="preserve"> </w:t>
      </w:r>
      <w:r w:rsidRPr="007D322B">
        <w:rPr>
          <w:rFonts w:ascii="Arial" w:hAnsi="Arial" w:cs="Arial"/>
          <w:noProof/>
          <w:sz w:val="24"/>
          <w:szCs w:val="24"/>
          <w:lang w:val="en-AU"/>
        </w:rPr>
        <w:t>may</w:t>
      </w:r>
      <w:r w:rsidR="00EE0CCC">
        <w:rPr>
          <w:rFonts w:ascii="Arial" w:hAnsi="Arial" w:cs="Arial"/>
          <w:noProof/>
          <w:sz w:val="24"/>
          <w:szCs w:val="24"/>
          <w:lang w:val="en-AU"/>
        </w:rPr>
        <w:t xml:space="preserve"> </w:t>
      </w:r>
      <w:r w:rsidRPr="007D322B">
        <w:rPr>
          <w:rFonts w:ascii="Arial" w:hAnsi="Arial" w:cs="Arial"/>
          <w:noProof/>
          <w:sz w:val="24"/>
          <w:szCs w:val="24"/>
          <w:lang w:val="en-AU"/>
        </w:rPr>
        <w:t>occur</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early</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within</w:t>
      </w:r>
      <w:r w:rsidR="00EE0CCC">
        <w:rPr>
          <w:rFonts w:ascii="Arial" w:hAnsi="Arial" w:cs="Arial"/>
          <w:noProof/>
          <w:sz w:val="24"/>
          <w:szCs w:val="24"/>
          <w:lang w:val="en-AU"/>
        </w:rPr>
        <w:t xml:space="preserve"> </w:t>
      </w:r>
      <w:r w:rsidRPr="007D322B">
        <w:rPr>
          <w:rFonts w:ascii="Arial" w:hAnsi="Arial" w:cs="Arial"/>
          <w:noProof/>
          <w:sz w:val="24"/>
          <w:szCs w:val="24"/>
          <w:lang w:val="en-AU"/>
        </w:rPr>
        <w:t>a</w:t>
      </w:r>
      <w:r w:rsidR="00EE0CCC">
        <w:rPr>
          <w:rFonts w:ascii="Arial" w:hAnsi="Arial" w:cs="Arial"/>
          <w:noProof/>
          <w:sz w:val="24"/>
          <w:szCs w:val="24"/>
          <w:lang w:val="en-AU"/>
        </w:rPr>
        <w:t xml:space="preserve"> </w:t>
      </w:r>
      <w:r w:rsidRPr="007D322B">
        <w:rPr>
          <w:rFonts w:ascii="Arial" w:hAnsi="Arial" w:cs="Arial"/>
          <w:noProof/>
          <w:sz w:val="24"/>
          <w:szCs w:val="24"/>
          <w:lang w:val="en-AU"/>
        </w:rPr>
        <w:t>few</w:t>
      </w:r>
      <w:r w:rsidR="00EE0CCC">
        <w:rPr>
          <w:rFonts w:ascii="Arial" w:hAnsi="Arial" w:cs="Arial"/>
          <w:noProof/>
          <w:sz w:val="24"/>
          <w:szCs w:val="24"/>
          <w:lang w:val="en-AU"/>
        </w:rPr>
        <w:t xml:space="preserve"> </w:t>
      </w:r>
      <w:r w:rsidRPr="007D322B">
        <w:rPr>
          <w:rFonts w:ascii="Arial" w:hAnsi="Arial" w:cs="Arial"/>
          <w:noProof/>
          <w:sz w:val="24"/>
          <w:szCs w:val="24"/>
          <w:lang w:val="en-AU"/>
        </w:rPr>
        <w:t>minutes</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first</w:t>
      </w:r>
      <w:r w:rsidR="00EE0CCC">
        <w:rPr>
          <w:rFonts w:ascii="Arial" w:hAnsi="Arial" w:cs="Arial"/>
          <w:noProof/>
          <w:sz w:val="24"/>
          <w:szCs w:val="24"/>
          <w:lang w:val="en-AU"/>
        </w:rPr>
        <w:t xml:space="preserve"> </w:t>
      </w:r>
      <w:r w:rsidRPr="007D322B">
        <w:rPr>
          <w:rFonts w:ascii="Arial" w:hAnsi="Arial" w:cs="Arial"/>
          <w:noProof/>
          <w:sz w:val="24"/>
          <w:szCs w:val="24"/>
          <w:lang w:val="en-AU"/>
        </w:rPr>
        <w:t>infusion</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are</w:t>
      </w:r>
      <w:r w:rsidR="00EE0CCC">
        <w:rPr>
          <w:rFonts w:ascii="Arial" w:hAnsi="Arial" w:cs="Arial"/>
          <w:noProof/>
          <w:sz w:val="24"/>
          <w:szCs w:val="24"/>
          <w:lang w:val="en-AU"/>
        </w:rPr>
        <w:t xml:space="preserve"> </w:t>
      </w:r>
      <w:r w:rsidRPr="007D322B">
        <w:rPr>
          <w:rFonts w:ascii="Arial" w:hAnsi="Arial" w:cs="Arial"/>
          <w:noProof/>
          <w:sz w:val="24"/>
          <w:szCs w:val="24"/>
          <w:lang w:val="en-AU"/>
        </w:rPr>
        <w:t>commonly</w:t>
      </w:r>
      <w:r w:rsidR="00EE0CCC">
        <w:rPr>
          <w:rFonts w:ascii="Arial" w:hAnsi="Arial" w:cs="Arial"/>
          <w:noProof/>
          <w:sz w:val="24"/>
          <w:szCs w:val="24"/>
          <w:lang w:val="en-AU"/>
        </w:rPr>
        <w:t xml:space="preserve"> </w:t>
      </w:r>
      <w:r w:rsidRPr="007D322B">
        <w:rPr>
          <w:rFonts w:ascii="Arial" w:hAnsi="Arial" w:cs="Arial"/>
          <w:noProof/>
          <w:sz w:val="24"/>
          <w:szCs w:val="24"/>
          <w:lang w:val="en-AU"/>
        </w:rPr>
        <w:t>associated</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bronchospasm</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urticaria.</w:t>
      </w:r>
    </w:p>
    <w:p w:rsidR="001B3E6D" w:rsidRPr="007D322B" w:rsidRDefault="001B3E6D" w:rsidP="001B3E6D">
      <w:pPr>
        <w:rPr>
          <w:rFonts w:ascii="Arial" w:hAnsi="Arial" w:cs="Arial"/>
          <w:noProof/>
        </w:rPr>
      </w:pPr>
    </w:p>
    <w:p w:rsidR="001B3E6D" w:rsidRPr="007D322B" w:rsidRDefault="001B3E6D" w:rsidP="001B3E6D">
      <w:pPr>
        <w:keepNext/>
        <w:keepLines/>
        <w:rPr>
          <w:rFonts w:ascii="Arial" w:hAnsi="Arial" w:cs="Arial"/>
          <w:i/>
          <w:noProof/>
        </w:rPr>
      </w:pPr>
      <w:r w:rsidRPr="007D322B">
        <w:rPr>
          <w:rFonts w:ascii="Arial" w:hAnsi="Arial" w:cs="Arial"/>
          <w:i/>
          <w:noProof/>
        </w:rPr>
        <w:t>Premedication</w:t>
      </w:r>
    </w:p>
    <w:p w:rsidR="001B3E6D" w:rsidRPr="007D322B" w:rsidRDefault="001B3E6D" w:rsidP="001B3E6D">
      <w:pPr>
        <w:keepNext/>
        <w:keepLines/>
        <w:rPr>
          <w:rFonts w:ascii="Arial" w:hAnsi="Arial" w:cs="Arial"/>
          <w:noProof/>
        </w:rPr>
      </w:pPr>
      <w:r w:rsidRPr="007D322B">
        <w:rPr>
          <w:rFonts w:ascii="Arial" w:hAnsi="Arial" w:cs="Arial"/>
          <w:noProof/>
        </w:rPr>
        <w:t>Antihistamine</w:t>
      </w:r>
      <w:r w:rsidR="00EE0CCC">
        <w:rPr>
          <w:rFonts w:ascii="Arial" w:hAnsi="Arial" w:cs="Arial"/>
          <w:noProof/>
        </w:rPr>
        <w:t xml:space="preserve"> </w:t>
      </w:r>
      <w:r w:rsidRPr="007D322B">
        <w:rPr>
          <w:rFonts w:ascii="Arial" w:hAnsi="Arial" w:cs="Arial"/>
          <w:noProof/>
        </w:rPr>
        <w:t>premedication</w:t>
      </w:r>
      <w:r w:rsidR="00EE0CCC">
        <w:rPr>
          <w:rFonts w:ascii="Arial" w:hAnsi="Arial" w:cs="Arial"/>
          <w:noProof/>
        </w:rPr>
        <w:t xml:space="preserve"> </w:t>
      </w:r>
      <w:r w:rsidRPr="007D322B">
        <w:rPr>
          <w:rFonts w:ascii="Arial" w:hAnsi="Arial" w:cs="Arial"/>
          <w:noProof/>
        </w:rPr>
        <w:t>(e.g.</w:t>
      </w:r>
      <w:r w:rsidR="00EE0CCC">
        <w:rPr>
          <w:rFonts w:ascii="Arial" w:hAnsi="Arial" w:cs="Arial"/>
          <w:noProof/>
        </w:rPr>
        <w:t xml:space="preserve"> </w:t>
      </w:r>
      <w:r w:rsidRPr="007D322B">
        <w:rPr>
          <w:rFonts w:ascii="Arial" w:hAnsi="Arial" w:cs="Arial"/>
          <w:noProof/>
        </w:rPr>
        <w:t>diphenhydramine)</w:t>
      </w:r>
      <w:r w:rsidR="00EE0CCC">
        <w:rPr>
          <w:rFonts w:ascii="Arial" w:hAnsi="Arial" w:cs="Arial"/>
          <w:noProof/>
        </w:rPr>
        <w:t xml:space="preserve"> </w:t>
      </w:r>
      <w:r w:rsidRPr="007D322B">
        <w:rPr>
          <w:rFonts w:ascii="Arial" w:hAnsi="Arial" w:cs="Arial"/>
          <w:noProof/>
        </w:rPr>
        <w:t>should</w:t>
      </w:r>
      <w:r w:rsidR="00EE0CCC">
        <w:rPr>
          <w:rFonts w:ascii="Arial" w:hAnsi="Arial" w:cs="Arial"/>
          <w:noProof/>
        </w:rPr>
        <w:t xml:space="preserve"> </w:t>
      </w:r>
      <w:r w:rsidRPr="007D322B">
        <w:rPr>
          <w:rFonts w:ascii="Arial" w:hAnsi="Arial" w:cs="Arial"/>
          <w:noProof/>
        </w:rPr>
        <w:t>be</w:t>
      </w:r>
      <w:r w:rsidR="00EE0CCC">
        <w:rPr>
          <w:rFonts w:ascii="Arial" w:hAnsi="Arial" w:cs="Arial"/>
          <w:noProof/>
        </w:rPr>
        <w:t xml:space="preserve"> </w:t>
      </w:r>
      <w:r w:rsidRPr="007D322B">
        <w:rPr>
          <w:rFonts w:ascii="Arial" w:hAnsi="Arial" w:cs="Arial"/>
          <w:noProof/>
        </w:rPr>
        <w:t>administered</w:t>
      </w:r>
      <w:r w:rsidR="00EE0CCC">
        <w:rPr>
          <w:rFonts w:ascii="Arial" w:hAnsi="Arial" w:cs="Arial"/>
          <w:noProof/>
        </w:rPr>
        <w:t xml:space="preserve"> </w:t>
      </w:r>
      <w:r w:rsidRPr="007D322B">
        <w:rPr>
          <w:rFonts w:ascii="Arial" w:hAnsi="Arial" w:cs="Arial"/>
          <w:noProof/>
        </w:rPr>
        <w:t>by</w:t>
      </w:r>
      <w:r w:rsidR="00EE0CCC">
        <w:rPr>
          <w:rFonts w:ascii="Arial" w:hAnsi="Arial" w:cs="Arial"/>
          <w:noProof/>
        </w:rPr>
        <w:t xml:space="preserve"> </w:t>
      </w:r>
      <w:r w:rsidRPr="007D322B">
        <w:rPr>
          <w:rFonts w:ascii="Arial" w:hAnsi="Arial" w:cs="Arial"/>
          <w:noProof/>
        </w:rPr>
        <w:t>intravenous</w:t>
      </w:r>
      <w:r w:rsidR="00EE0CCC">
        <w:rPr>
          <w:rFonts w:ascii="Arial" w:hAnsi="Arial" w:cs="Arial"/>
          <w:noProof/>
        </w:rPr>
        <w:t xml:space="preserve"> </w:t>
      </w:r>
      <w:r w:rsidRPr="007D322B">
        <w:rPr>
          <w:rFonts w:ascii="Arial" w:hAnsi="Arial" w:cs="Arial"/>
          <w:noProof/>
        </w:rPr>
        <w:t>injection</w:t>
      </w:r>
      <w:r w:rsidR="00EE0CCC">
        <w:rPr>
          <w:rFonts w:ascii="Arial" w:hAnsi="Arial" w:cs="Arial"/>
          <w:noProof/>
        </w:rPr>
        <w:t xml:space="preserve"> </w:t>
      </w:r>
      <w:r w:rsidRPr="007D322B">
        <w:rPr>
          <w:rFonts w:ascii="Arial" w:hAnsi="Arial" w:cs="Arial"/>
          <w:noProof/>
        </w:rPr>
        <w:t>approximately</w:t>
      </w:r>
      <w:r w:rsidR="00EE0CCC">
        <w:rPr>
          <w:rFonts w:ascii="Arial" w:hAnsi="Arial" w:cs="Arial"/>
          <w:noProof/>
        </w:rPr>
        <w:t xml:space="preserve"> </w:t>
      </w:r>
      <w:r w:rsidRPr="007D322B">
        <w:rPr>
          <w:rFonts w:ascii="Arial" w:hAnsi="Arial" w:cs="Arial"/>
          <w:noProof/>
        </w:rPr>
        <w:t>20</w:t>
      </w:r>
      <w:r w:rsidR="00EE0CCC">
        <w:rPr>
          <w:rFonts w:ascii="Arial" w:hAnsi="Arial" w:cs="Arial"/>
          <w:noProof/>
        </w:rPr>
        <w:t xml:space="preserve"> </w:t>
      </w:r>
      <w:r w:rsidRPr="007D322B">
        <w:rPr>
          <w:rFonts w:ascii="Arial" w:hAnsi="Arial" w:cs="Arial"/>
          <w:noProof/>
        </w:rPr>
        <w:t>minutes</w:t>
      </w:r>
      <w:r w:rsidR="00EE0CCC">
        <w:rPr>
          <w:rFonts w:ascii="Arial" w:hAnsi="Arial" w:cs="Arial"/>
          <w:noProof/>
        </w:rPr>
        <w:t xml:space="preserve"> </w:t>
      </w:r>
      <w:r w:rsidRPr="007D322B">
        <w:rPr>
          <w:rFonts w:ascii="Arial" w:hAnsi="Arial" w:cs="Arial"/>
          <w:noProof/>
        </w:rPr>
        <w:t>before</w:t>
      </w:r>
      <w:r w:rsidR="00EE0CCC">
        <w:rPr>
          <w:rFonts w:ascii="Arial" w:hAnsi="Arial" w:cs="Arial"/>
          <w:noProof/>
        </w:rPr>
        <w:t xml:space="preserve"> </w:t>
      </w:r>
      <w:r w:rsidRPr="007D322B">
        <w:rPr>
          <w:rFonts w:ascii="Arial" w:hAnsi="Arial" w:cs="Arial"/>
          <w:noProof/>
        </w:rPr>
        <w:t>starting</w:t>
      </w:r>
      <w:r w:rsidR="00EE0CCC">
        <w:rPr>
          <w:rFonts w:ascii="Arial" w:hAnsi="Arial" w:cs="Arial"/>
          <w:noProof/>
        </w:rPr>
        <w:t xml:space="preserve"> </w:t>
      </w:r>
      <w:r w:rsidRPr="007D322B">
        <w:rPr>
          <w:rFonts w:ascii="Arial" w:hAnsi="Arial" w:cs="Arial"/>
          <w:noProof/>
        </w:rPr>
        <w:t>each</w:t>
      </w:r>
      <w:r w:rsidR="00EE0CCC">
        <w:rPr>
          <w:rFonts w:ascii="Arial" w:hAnsi="Arial" w:cs="Arial"/>
          <w:noProof/>
        </w:rPr>
        <w:t xml:space="preserve"> </w:t>
      </w:r>
      <w:r w:rsidRPr="007D322B">
        <w:rPr>
          <w:rFonts w:ascii="Arial" w:hAnsi="Arial" w:cs="Arial"/>
          <w:noProof/>
        </w:rPr>
        <w:t>dinutuximab</w:t>
      </w:r>
      <w:r w:rsidR="00EE0CCC">
        <w:rPr>
          <w:rFonts w:ascii="Arial" w:hAnsi="Arial" w:cs="Arial"/>
          <w:noProof/>
        </w:rPr>
        <w:t xml:space="preserve"> </w:t>
      </w:r>
      <w:r w:rsidRPr="007D322B">
        <w:rPr>
          <w:rFonts w:ascii="Arial" w:hAnsi="Arial" w:cs="Arial"/>
          <w:noProof/>
        </w:rPr>
        <w:t>beta</w:t>
      </w:r>
      <w:r w:rsidR="00EE0CCC">
        <w:rPr>
          <w:rFonts w:ascii="Arial" w:hAnsi="Arial" w:cs="Arial"/>
          <w:noProof/>
        </w:rPr>
        <w:t xml:space="preserve"> </w:t>
      </w:r>
      <w:r w:rsidRPr="007D322B">
        <w:rPr>
          <w:rFonts w:ascii="Arial" w:hAnsi="Arial" w:cs="Arial"/>
          <w:noProof/>
        </w:rPr>
        <w:t>infusion.</w:t>
      </w:r>
      <w:r w:rsidR="00EE0CCC">
        <w:rPr>
          <w:rFonts w:ascii="Arial" w:hAnsi="Arial" w:cs="Arial"/>
          <w:noProof/>
        </w:rPr>
        <w:t xml:space="preserve"> </w:t>
      </w:r>
      <w:r w:rsidRPr="007D322B">
        <w:rPr>
          <w:rFonts w:ascii="Arial" w:hAnsi="Arial" w:cs="Arial"/>
          <w:noProof/>
        </w:rPr>
        <w:t>It</w:t>
      </w:r>
      <w:r w:rsidR="00EE0CCC">
        <w:rPr>
          <w:rFonts w:ascii="Arial" w:hAnsi="Arial" w:cs="Arial"/>
          <w:noProof/>
        </w:rPr>
        <w:t xml:space="preserve"> </w:t>
      </w:r>
      <w:r w:rsidRPr="007D322B">
        <w:rPr>
          <w:rFonts w:ascii="Arial" w:hAnsi="Arial" w:cs="Arial"/>
          <w:noProof/>
        </w:rPr>
        <w:t>is</w:t>
      </w:r>
      <w:r w:rsidR="00EE0CCC">
        <w:rPr>
          <w:rFonts w:ascii="Arial" w:hAnsi="Arial" w:cs="Arial"/>
          <w:noProof/>
        </w:rPr>
        <w:t xml:space="preserve"> </w:t>
      </w:r>
      <w:r w:rsidRPr="007D322B">
        <w:rPr>
          <w:rFonts w:ascii="Arial" w:hAnsi="Arial" w:cs="Arial"/>
          <w:noProof/>
        </w:rPr>
        <w:t>recommended</w:t>
      </w:r>
      <w:r w:rsidR="00EE0CCC">
        <w:rPr>
          <w:rFonts w:ascii="Arial" w:hAnsi="Arial" w:cs="Arial"/>
          <w:noProof/>
        </w:rPr>
        <w:t xml:space="preserve"> </w:t>
      </w:r>
      <w:r w:rsidRPr="007D322B">
        <w:rPr>
          <w:rFonts w:ascii="Arial" w:hAnsi="Arial" w:cs="Arial"/>
          <w:noProof/>
        </w:rPr>
        <w:t>that</w:t>
      </w:r>
      <w:r w:rsidR="00EE0CCC">
        <w:rPr>
          <w:rFonts w:ascii="Arial" w:hAnsi="Arial" w:cs="Arial"/>
          <w:noProof/>
        </w:rPr>
        <w:t xml:space="preserve"> </w:t>
      </w:r>
      <w:r w:rsidRPr="007D322B">
        <w:rPr>
          <w:rFonts w:ascii="Arial" w:hAnsi="Arial" w:cs="Arial"/>
          <w:noProof/>
        </w:rPr>
        <w:t>antihistamine</w:t>
      </w:r>
      <w:r w:rsidR="00EE0CCC">
        <w:rPr>
          <w:rFonts w:ascii="Arial" w:hAnsi="Arial" w:cs="Arial"/>
          <w:noProof/>
        </w:rPr>
        <w:t xml:space="preserve"> </w:t>
      </w:r>
      <w:r w:rsidRPr="007D322B">
        <w:rPr>
          <w:rFonts w:ascii="Arial" w:hAnsi="Arial" w:cs="Arial"/>
          <w:noProof/>
        </w:rPr>
        <w:t>administration</w:t>
      </w:r>
      <w:r w:rsidR="00EE0CCC">
        <w:rPr>
          <w:rFonts w:ascii="Arial" w:hAnsi="Arial" w:cs="Arial"/>
          <w:noProof/>
        </w:rPr>
        <w:t xml:space="preserve"> </w:t>
      </w:r>
      <w:r w:rsidRPr="007D322B">
        <w:rPr>
          <w:rFonts w:ascii="Arial" w:hAnsi="Arial" w:cs="Arial"/>
          <w:noProof/>
        </w:rPr>
        <w:t>be</w:t>
      </w:r>
      <w:r w:rsidR="00EE0CCC">
        <w:rPr>
          <w:rFonts w:ascii="Arial" w:hAnsi="Arial" w:cs="Arial"/>
          <w:noProof/>
        </w:rPr>
        <w:t xml:space="preserve"> </w:t>
      </w:r>
      <w:r w:rsidRPr="007D322B">
        <w:rPr>
          <w:rFonts w:ascii="Arial" w:hAnsi="Arial" w:cs="Arial"/>
          <w:noProof/>
        </w:rPr>
        <w:t>repeated</w:t>
      </w:r>
      <w:r w:rsidR="00EE0CCC">
        <w:rPr>
          <w:rFonts w:ascii="Arial" w:hAnsi="Arial" w:cs="Arial"/>
          <w:noProof/>
        </w:rPr>
        <w:t xml:space="preserve"> </w:t>
      </w:r>
      <w:r w:rsidRPr="007D322B">
        <w:rPr>
          <w:rFonts w:ascii="Arial" w:hAnsi="Arial" w:cs="Arial"/>
          <w:noProof/>
        </w:rPr>
        <w:t>every</w:t>
      </w:r>
      <w:r w:rsidR="00EE0CCC">
        <w:rPr>
          <w:rFonts w:ascii="Arial" w:hAnsi="Arial" w:cs="Arial"/>
          <w:noProof/>
        </w:rPr>
        <w:t xml:space="preserve"> </w:t>
      </w:r>
      <w:r w:rsidRPr="007D322B">
        <w:rPr>
          <w:rFonts w:ascii="Arial" w:hAnsi="Arial" w:cs="Arial"/>
          <w:noProof/>
        </w:rPr>
        <w:t>4</w:t>
      </w:r>
      <w:r w:rsidR="00EE0CCC">
        <w:rPr>
          <w:rFonts w:ascii="Arial" w:hAnsi="Arial" w:cs="Arial"/>
          <w:noProof/>
        </w:rPr>
        <w:t xml:space="preserve"> </w:t>
      </w:r>
      <w:r w:rsidRPr="007D322B">
        <w:rPr>
          <w:rFonts w:ascii="Arial" w:hAnsi="Arial" w:cs="Arial"/>
          <w:noProof/>
        </w:rPr>
        <w:t>to</w:t>
      </w:r>
      <w:r w:rsidR="00EE0CCC">
        <w:rPr>
          <w:rFonts w:ascii="Arial" w:hAnsi="Arial" w:cs="Arial"/>
          <w:noProof/>
        </w:rPr>
        <w:t xml:space="preserve"> </w:t>
      </w:r>
      <w:r w:rsidRPr="007D322B">
        <w:rPr>
          <w:rFonts w:ascii="Arial" w:hAnsi="Arial" w:cs="Arial"/>
          <w:noProof/>
        </w:rPr>
        <w:t>6</w:t>
      </w:r>
      <w:r w:rsidR="00EE0CCC">
        <w:rPr>
          <w:rFonts w:ascii="Arial" w:hAnsi="Arial" w:cs="Arial"/>
          <w:noProof/>
        </w:rPr>
        <w:t xml:space="preserve"> </w:t>
      </w:r>
      <w:r w:rsidRPr="007D322B">
        <w:rPr>
          <w:rFonts w:ascii="Arial" w:hAnsi="Arial" w:cs="Arial"/>
          <w:noProof/>
        </w:rPr>
        <w:t>hours</w:t>
      </w:r>
      <w:r w:rsidR="00EE0CCC">
        <w:rPr>
          <w:rFonts w:ascii="Arial" w:hAnsi="Arial" w:cs="Arial"/>
          <w:noProof/>
        </w:rPr>
        <w:t xml:space="preserve"> </w:t>
      </w:r>
      <w:r w:rsidRPr="007D322B">
        <w:rPr>
          <w:rFonts w:ascii="Arial" w:hAnsi="Arial" w:cs="Arial"/>
          <w:noProof/>
        </w:rPr>
        <w:t>as</w:t>
      </w:r>
      <w:r w:rsidR="00EE0CCC">
        <w:rPr>
          <w:rFonts w:ascii="Arial" w:hAnsi="Arial" w:cs="Arial"/>
          <w:noProof/>
        </w:rPr>
        <w:t xml:space="preserve"> </w:t>
      </w:r>
      <w:r w:rsidRPr="007D322B">
        <w:rPr>
          <w:rFonts w:ascii="Arial" w:hAnsi="Arial" w:cs="Arial"/>
          <w:noProof/>
        </w:rPr>
        <w:t>required</w:t>
      </w:r>
      <w:r w:rsidR="00EE0CCC">
        <w:rPr>
          <w:rFonts w:ascii="Arial" w:hAnsi="Arial" w:cs="Arial"/>
          <w:noProof/>
        </w:rPr>
        <w:t xml:space="preserve"> </w:t>
      </w:r>
      <w:r w:rsidRPr="007D322B">
        <w:rPr>
          <w:rFonts w:ascii="Arial" w:hAnsi="Arial" w:cs="Arial"/>
          <w:noProof/>
        </w:rPr>
        <w:t>during</w:t>
      </w:r>
      <w:r w:rsidR="00EE0CCC">
        <w:rPr>
          <w:rFonts w:ascii="Arial" w:hAnsi="Arial" w:cs="Arial"/>
          <w:noProof/>
        </w:rPr>
        <w:t xml:space="preserve"> </w:t>
      </w:r>
      <w:r w:rsidRPr="007D322B">
        <w:rPr>
          <w:rFonts w:ascii="Arial" w:hAnsi="Arial" w:cs="Arial"/>
          <w:noProof/>
        </w:rPr>
        <w:t>dinutuximab</w:t>
      </w:r>
      <w:r w:rsidR="00EE0CCC">
        <w:rPr>
          <w:rFonts w:ascii="Arial" w:hAnsi="Arial" w:cs="Arial"/>
          <w:noProof/>
        </w:rPr>
        <w:t xml:space="preserve"> </w:t>
      </w:r>
      <w:r w:rsidRPr="007D322B">
        <w:rPr>
          <w:rFonts w:ascii="Arial" w:hAnsi="Arial" w:cs="Arial"/>
          <w:noProof/>
        </w:rPr>
        <w:t>infusion.</w:t>
      </w:r>
      <w:r w:rsidR="00EE0CCC">
        <w:rPr>
          <w:rFonts w:ascii="Arial" w:hAnsi="Arial" w:cs="Arial"/>
          <w:noProof/>
        </w:rPr>
        <w:t xml:space="preserve"> </w:t>
      </w:r>
    </w:p>
    <w:p w:rsidR="001B3E6D" w:rsidRPr="007D322B" w:rsidRDefault="001B3E6D" w:rsidP="001B3E6D">
      <w:pPr>
        <w:rPr>
          <w:rFonts w:ascii="Arial" w:hAnsi="Arial" w:cs="Arial"/>
          <w:noProof/>
        </w:rPr>
      </w:pPr>
    </w:p>
    <w:p w:rsidR="001B3E6D" w:rsidRPr="007D322B" w:rsidRDefault="001B3E6D" w:rsidP="001B3E6D">
      <w:pPr>
        <w:rPr>
          <w:rFonts w:ascii="Arial" w:hAnsi="Arial" w:cs="Arial"/>
          <w:noProof/>
        </w:rPr>
      </w:pPr>
      <w:r w:rsidRPr="007D322B">
        <w:rPr>
          <w:rFonts w:ascii="Arial" w:hAnsi="Arial" w:cs="Arial"/>
          <w:noProof/>
        </w:rPr>
        <w:t>Patients</w:t>
      </w:r>
      <w:r w:rsidR="00EE0CCC">
        <w:rPr>
          <w:rFonts w:ascii="Arial" w:hAnsi="Arial" w:cs="Arial"/>
          <w:noProof/>
        </w:rPr>
        <w:t xml:space="preserve"> </w:t>
      </w:r>
      <w:r w:rsidRPr="007D322B">
        <w:rPr>
          <w:rFonts w:ascii="Arial" w:hAnsi="Arial" w:cs="Arial"/>
          <w:noProof/>
        </w:rPr>
        <w:t>should</w:t>
      </w:r>
      <w:r w:rsidR="00EE0CCC">
        <w:rPr>
          <w:rFonts w:ascii="Arial" w:hAnsi="Arial" w:cs="Arial"/>
          <w:noProof/>
        </w:rPr>
        <w:t xml:space="preserve"> </w:t>
      </w:r>
      <w:r w:rsidRPr="007D322B">
        <w:rPr>
          <w:rFonts w:ascii="Arial" w:hAnsi="Arial" w:cs="Arial"/>
          <w:noProof/>
        </w:rPr>
        <w:t>be</w:t>
      </w:r>
      <w:r w:rsidR="00EE0CCC">
        <w:rPr>
          <w:rFonts w:ascii="Arial" w:hAnsi="Arial" w:cs="Arial"/>
          <w:noProof/>
        </w:rPr>
        <w:t xml:space="preserve"> </w:t>
      </w:r>
      <w:r w:rsidRPr="007D322B">
        <w:rPr>
          <w:rFonts w:ascii="Arial" w:hAnsi="Arial" w:cs="Arial"/>
          <w:noProof/>
        </w:rPr>
        <w:t>closely</w:t>
      </w:r>
      <w:r w:rsidR="00EE0CCC">
        <w:rPr>
          <w:rFonts w:ascii="Arial" w:hAnsi="Arial" w:cs="Arial"/>
          <w:noProof/>
        </w:rPr>
        <w:t xml:space="preserve"> </w:t>
      </w:r>
      <w:r w:rsidRPr="007D322B">
        <w:rPr>
          <w:rFonts w:ascii="Arial" w:hAnsi="Arial" w:cs="Arial"/>
          <w:noProof/>
        </w:rPr>
        <w:t>monitored</w:t>
      </w:r>
      <w:r w:rsidR="00EE0CCC">
        <w:rPr>
          <w:rFonts w:ascii="Arial" w:hAnsi="Arial" w:cs="Arial"/>
          <w:noProof/>
        </w:rPr>
        <w:t xml:space="preserve"> </w:t>
      </w:r>
      <w:r w:rsidRPr="007D322B">
        <w:rPr>
          <w:rFonts w:ascii="Arial" w:hAnsi="Arial" w:cs="Arial"/>
          <w:noProof/>
        </w:rPr>
        <w:t>for</w:t>
      </w:r>
      <w:r w:rsidR="00EE0CCC">
        <w:rPr>
          <w:rFonts w:ascii="Arial" w:hAnsi="Arial" w:cs="Arial"/>
          <w:noProof/>
        </w:rPr>
        <w:t xml:space="preserve"> </w:t>
      </w:r>
      <w:r w:rsidRPr="007D322B">
        <w:rPr>
          <w:rFonts w:ascii="Arial" w:hAnsi="Arial" w:cs="Arial"/>
          <w:noProof/>
        </w:rPr>
        <w:t>anaphylaxis</w:t>
      </w:r>
      <w:r w:rsidR="00EE0CCC">
        <w:rPr>
          <w:rFonts w:ascii="Arial" w:hAnsi="Arial" w:cs="Arial"/>
          <w:noProof/>
        </w:rPr>
        <w:t xml:space="preserve"> </w:t>
      </w:r>
      <w:r w:rsidRPr="007D322B">
        <w:rPr>
          <w:rFonts w:ascii="Arial" w:hAnsi="Arial" w:cs="Arial"/>
          <w:noProof/>
        </w:rPr>
        <w:t>and</w:t>
      </w:r>
      <w:r w:rsidR="00EE0CCC">
        <w:rPr>
          <w:rFonts w:ascii="Arial" w:hAnsi="Arial" w:cs="Arial"/>
          <w:noProof/>
        </w:rPr>
        <w:t xml:space="preserve"> </w:t>
      </w:r>
      <w:r w:rsidRPr="007D322B">
        <w:rPr>
          <w:rFonts w:ascii="Arial" w:hAnsi="Arial" w:cs="Arial"/>
          <w:noProof/>
        </w:rPr>
        <w:t>allergic</w:t>
      </w:r>
      <w:r w:rsidR="00EE0CCC">
        <w:rPr>
          <w:rFonts w:ascii="Arial" w:hAnsi="Arial" w:cs="Arial"/>
          <w:noProof/>
        </w:rPr>
        <w:t xml:space="preserve"> </w:t>
      </w:r>
      <w:r w:rsidRPr="007D322B">
        <w:rPr>
          <w:rFonts w:ascii="Arial" w:hAnsi="Arial" w:cs="Arial"/>
          <w:noProof/>
        </w:rPr>
        <w:t>reactions,</w:t>
      </w:r>
      <w:r w:rsidR="00EE0CCC">
        <w:rPr>
          <w:rFonts w:ascii="Arial" w:hAnsi="Arial" w:cs="Arial"/>
          <w:noProof/>
        </w:rPr>
        <w:t xml:space="preserve"> </w:t>
      </w:r>
      <w:r w:rsidRPr="007D322B">
        <w:rPr>
          <w:rFonts w:ascii="Arial" w:hAnsi="Arial" w:cs="Arial"/>
          <w:noProof/>
        </w:rPr>
        <w:t>particularly</w:t>
      </w:r>
      <w:r w:rsidR="00EE0CCC">
        <w:rPr>
          <w:rFonts w:ascii="Arial" w:hAnsi="Arial" w:cs="Arial"/>
          <w:noProof/>
        </w:rPr>
        <w:t xml:space="preserve"> </w:t>
      </w:r>
      <w:r w:rsidRPr="007D322B">
        <w:rPr>
          <w:rFonts w:ascii="Arial" w:hAnsi="Arial" w:cs="Arial"/>
          <w:noProof/>
        </w:rPr>
        <w:t>during</w:t>
      </w:r>
      <w:r w:rsidR="00EE0CCC">
        <w:rPr>
          <w:rFonts w:ascii="Arial" w:hAnsi="Arial" w:cs="Arial"/>
          <w:noProof/>
        </w:rPr>
        <w:t xml:space="preserve"> </w:t>
      </w:r>
      <w:r w:rsidRPr="007D322B">
        <w:rPr>
          <w:rFonts w:ascii="Arial" w:hAnsi="Arial" w:cs="Arial"/>
          <w:noProof/>
        </w:rPr>
        <w:t>the</w:t>
      </w:r>
      <w:r w:rsidR="00EE0CCC">
        <w:rPr>
          <w:rFonts w:ascii="Arial" w:hAnsi="Arial" w:cs="Arial"/>
          <w:noProof/>
        </w:rPr>
        <w:t xml:space="preserve"> </w:t>
      </w:r>
      <w:r w:rsidRPr="007D322B">
        <w:rPr>
          <w:rFonts w:ascii="Arial" w:hAnsi="Arial" w:cs="Arial"/>
          <w:noProof/>
        </w:rPr>
        <w:t>first</w:t>
      </w:r>
      <w:r w:rsidR="00EE0CCC">
        <w:rPr>
          <w:rFonts w:ascii="Arial" w:hAnsi="Arial" w:cs="Arial"/>
          <w:noProof/>
        </w:rPr>
        <w:t xml:space="preserve"> </w:t>
      </w:r>
      <w:r w:rsidRPr="007D322B">
        <w:rPr>
          <w:rFonts w:ascii="Arial" w:hAnsi="Arial" w:cs="Arial"/>
          <w:noProof/>
        </w:rPr>
        <w:t>and</w:t>
      </w:r>
      <w:r w:rsidR="00EE0CCC">
        <w:rPr>
          <w:rFonts w:ascii="Arial" w:hAnsi="Arial" w:cs="Arial"/>
          <w:noProof/>
        </w:rPr>
        <w:t xml:space="preserve"> </w:t>
      </w:r>
      <w:r w:rsidRPr="007D322B">
        <w:rPr>
          <w:rFonts w:ascii="Arial" w:hAnsi="Arial" w:cs="Arial"/>
          <w:noProof/>
        </w:rPr>
        <w:t>second</w:t>
      </w:r>
      <w:r w:rsidR="00EE0CCC">
        <w:rPr>
          <w:rFonts w:ascii="Arial" w:hAnsi="Arial" w:cs="Arial"/>
          <w:noProof/>
        </w:rPr>
        <w:t xml:space="preserve"> </w:t>
      </w:r>
      <w:r w:rsidRPr="007D322B">
        <w:rPr>
          <w:rFonts w:ascii="Arial" w:hAnsi="Arial" w:cs="Arial"/>
          <w:noProof/>
        </w:rPr>
        <w:t>treatment</w:t>
      </w:r>
      <w:r w:rsidR="00EE0CCC">
        <w:rPr>
          <w:rFonts w:ascii="Arial" w:hAnsi="Arial" w:cs="Arial"/>
          <w:noProof/>
        </w:rPr>
        <w:t xml:space="preserve"> </w:t>
      </w:r>
      <w:r w:rsidRPr="007D322B">
        <w:rPr>
          <w:rFonts w:ascii="Arial" w:hAnsi="Arial" w:cs="Arial"/>
          <w:noProof/>
        </w:rPr>
        <w:t>course.</w:t>
      </w:r>
    </w:p>
    <w:p w:rsidR="001B3E6D" w:rsidRPr="007D322B" w:rsidRDefault="001B3E6D" w:rsidP="001B3E6D">
      <w:pPr>
        <w:rPr>
          <w:rFonts w:ascii="Arial" w:hAnsi="Arial" w:cs="Arial"/>
          <w:noProof/>
        </w:rPr>
      </w:pPr>
    </w:p>
    <w:p w:rsidR="001B3E6D" w:rsidRPr="007D322B" w:rsidRDefault="001B3E6D" w:rsidP="001B3E6D">
      <w:pPr>
        <w:rPr>
          <w:rFonts w:ascii="Arial" w:hAnsi="Arial" w:cs="Arial"/>
          <w:i/>
          <w:noProof/>
        </w:rPr>
      </w:pPr>
      <w:r w:rsidRPr="007D322B">
        <w:rPr>
          <w:rFonts w:ascii="Arial" w:hAnsi="Arial" w:cs="Arial"/>
          <w:i/>
          <w:noProof/>
        </w:rPr>
        <w:t>Treatment</w:t>
      </w:r>
      <w:r w:rsidR="00EE0CCC">
        <w:rPr>
          <w:rFonts w:ascii="Arial" w:hAnsi="Arial" w:cs="Arial"/>
          <w:i/>
          <w:noProof/>
        </w:rPr>
        <w:t xml:space="preserve"> </w:t>
      </w:r>
      <w:r w:rsidRPr="007D322B">
        <w:rPr>
          <w:rFonts w:ascii="Arial" w:hAnsi="Arial" w:cs="Arial"/>
          <w:i/>
          <w:noProof/>
        </w:rPr>
        <w:t>of</w:t>
      </w:r>
      <w:r w:rsidR="00EE0CCC">
        <w:rPr>
          <w:rFonts w:ascii="Arial" w:hAnsi="Arial" w:cs="Arial"/>
          <w:i/>
          <w:noProof/>
        </w:rPr>
        <w:t xml:space="preserve"> </w:t>
      </w:r>
      <w:r w:rsidRPr="007D322B">
        <w:rPr>
          <w:rFonts w:ascii="Arial" w:hAnsi="Arial" w:cs="Arial"/>
          <w:i/>
          <w:noProof/>
        </w:rPr>
        <w:t>hypersensitivity</w:t>
      </w:r>
      <w:r w:rsidR="00EE0CCC">
        <w:rPr>
          <w:rFonts w:ascii="Arial" w:hAnsi="Arial" w:cs="Arial"/>
          <w:i/>
          <w:noProof/>
        </w:rPr>
        <w:t xml:space="preserve"> </w:t>
      </w:r>
      <w:r w:rsidRPr="007D322B">
        <w:rPr>
          <w:rFonts w:ascii="Arial" w:hAnsi="Arial" w:cs="Arial"/>
          <w:i/>
          <w:noProof/>
        </w:rPr>
        <w:t>reactions</w:t>
      </w:r>
    </w:p>
    <w:p w:rsidR="001B3E6D" w:rsidRPr="007D322B" w:rsidRDefault="001B3E6D" w:rsidP="001B3E6D">
      <w:pPr>
        <w:rPr>
          <w:rFonts w:ascii="Arial" w:hAnsi="Arial" w:cs="Arial"/>
        </w:rPr>
      </w:pPr>
      <w:r w:rsidRPr="007D322B">
        <w:rPr>
          <w:rFonts w:ascii="Arial" w:hAnsi="Arial" w:cs="Arial"/>
        </w:rPr>
        <w:t>Intravenous</w:t>
      </w:r>
      <w:r w:rsidR="00EE0CCC">
        <w:rPr>
          <w:rFonts w:ascii="Arial" w:hAnsi="Arial" w:cs="Arial"/>
        </w:rPr>
        <w:t xml:space="preserve"> </w:t>
      </w:r>
      <w:r w:rsidRPr="007D322B">
        <w:rPr>
          <w:rFonts w:ascii="Arial" w:hAnsi="Arial" w:cs="Arial"/>
        </w:rPr>
        <w:t>antihistamine,</w:t>
      </w:r>
      <w:r w:rsidR="00EE0CCC">
        <w:rPr>
          <w:rFonts w:ascii="Arial" w:hAnsi="Arial" w:cs="Arial"/>
        </w:rPr>
        <w:t xml:space="preserve"> </w:t>
      </w:r>
      <w:r w:rsidRPr="007D322B">
        <w:rPr>
          <w:rFonts w:ascii="Arial" w:hAnsi="Arial" w:cs="Arial"/>
        </w:rPr>
        <w:t>epinephrine</w:t>
      </w:r>
      <w:r w:rsidR="00EE0CCC">
        <w:rPr>
          <w:rFonts w:ascii="Arial" w:hAnsi="Arial" w:cs="Arial"/>
        </w:rPr>
        <w:t xml:space="preserve"> </w:t>
      </w:r>
      <w:r w:rsidRPr="007D322B">
        <w:rPr>
          <w:rFonts w:ascii="Arial" w:hAnsi="Arial" w:cs="Arial"/>
        </w:rPr>
        <w:t>(adrenaline)</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prednisolone</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intravenous</w:t>
      </w:r>
      <w:r w:rsidR="00EE0CCC">
        <w:rPr>
          <w:rFonts w:ascii="Arial" w:hAnsi="Arial" w:cs="Arial"/>
        </w:rPr>
        <w:t xml:space="preserve"> </w:t>
      </w:r>
      <w:r w:rsidRPr="007D322B">
        <w:rPr>
          <w:rFonts w:ascii="Arial" w:hAnsi="Arial" w:cs="Arial"/>
        </w:rPr>
        <w:t>administration</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immediately</w:t>
      </w:r>
      <w:r w:rsidR="00EE0CCC">
        <w:rPr>
          <w:rFonts w:ascii="Arial" w:hAnsi="Arial" w:cs="Arial"/>
        </w:rPr>
        <w:t xml:space="preserve"> </w:t>
      </w:r>
      <w:r w:rsidRPr="007D322B">
        <w:rPr>
          <w:rFonts w:ascii="Arial" w:hAnsi="Arial" w:cs="Arial"/>
        </w:rPr>
        <w:t>available</w:t>
      </w:r>
      <w:r w:rsidR="00EE0CCC">
        <w:rPr>
          <w:rFonts w:ascii="Arial" w:hAnsi="Arial" w:cs="Arial"/>
        </w:rPr>
        <w:t xml:space="preserve"> </w:t>
      </w:r>
      <w:r w:rsidRPr="007D322B">
        <w:rPr>
          <w:rFonts w:ascii="Arial" w:hAnsi="Arial" w:cs="Arial"/>
        </w:rPr>
        <w:t>at</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bedside</w:t>
      </w:r>
      <w:r w:rsidR="00EE0CCC">
        <w:rPr>
          <w:rFonts w:ascii="Arial" w:hAnsi="Arial" w:cs="Arial"/>
        </w:rPr>
        <w:t xml:space="preserve"> </w:t>
      </w:r>
      <w:r w:rsidRPr="007D322B">
        <w:rPr>
          <w:rFonts w:ascii="Arial" w:hAnsi="Arial" w:cs="Arial"/>
        </w:rPr>
        <w:t>during</w:t>
      </w:r>
      <w:r w:rsidR="00EE0CCC">
        <w:rPr>
          <w:rFonts w:ascii="Arial" w:hAnsi="Arial" w:cs="Arial"/>
        </w:rPr>
        <w:t xml:space="preserve"> </w:t>
      </w:r>
      <w:r w:rsidRPr="007D322B">
        <w:rPr>
          <w:rFonts w:ascii="Arial" w:hAnsi="Arial" w:cs="Arial"/>
        </w:rPr>
        <w:t>administration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dinutuximab</w:t>
      </w:r>
      <w:r w:rsidR="00EE0CCC">
        <w:rPr>
          <w:rFonts w:ascii="Arial" w:hAnsi="Arial" w:cs="Arial"/>
        </w:rPr>
        <w:t xml:space="preserve"> </w:t>
      </w:r>
      <w:r w:rsidRPr="007D322B">
        <w:rPr>
          <w:rFonts w:ascii="Arial" w:hAnsi="Arial" w:cs="Arial"/>
        </w:rPr>
        <w:t>beta</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manage</w:t>
      </w:r>
      <w:r w:rsidR="00EE0CCC">
        <w:rPr>
          <w:rFonts w:ascii="Arial" w:hAnsi="Arial" w:cs="Arial"/>
        </w:rPr>
        <w:t xml:space="preserve"> </w:t>
      </w:r>
      <w:r w:rsidRPr="007D322B">
        <w:rPr>
          <w:rFonts w:ascii="Arial" w:hAnsi="Arial" w:cs="Arial"/>
        </w:rPr>
        <w:t>life-threatening</w:t>
      </w:r>
      <w:r w:rsidR="00EE0CCC">
        <w:rPr>
          <w:rFonts w:ascii="Arial" w:hAnsi="Arial" w:cs="Arial"/>
        </w:rPr>
        <w:t xml:space="preserve"> </w:t>
      </w:r>
      <w:r w:rsidRPr="007D322B">
        <w:rPr>
          <w:rFonts w:ascii="Arial" w:hAnsi="Arial" w:cs="Arial"/>
        </w:rPr>
        <w:t>allergic</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It</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recommended</w:t>
      </w:r>
      <w:r w:rsidR="00EE0CCC">
        <w:rPr>
          <w:rFonts w:ascii="Arial" w:hAnsi="Arial" w:cs="Arial"/>
        </w:rPr>
        <w:t xml:space="preserve"> </w:t>
      </w:r>
      <w:r w:rsidRPr="007D322B">
        <w:rPr>
          <w:rFonts w:ascii="Arial" w:hAnsi="Arial" w:cs="Arial"/>
        </w:rPr>
        <w:t>that</w:t>
      </w:r>
      <w:r w:rsidR="00EE0CCC">
        <w:rPr>
          <w:rFonts w:ascii="Arial" w:hAnsi="Arial" w:cs="Arial"/>
        </w:rPr>
        <w:t xml:space="preserve"> </w:t>
      </w:r>
      <w:r w:rsidRPr="007D322B">
        <w:rPr>
          <w:rFonts w:ascii="Arial" w:hAnsi="Arial" w:cs="Arial"/>
        </w:rPr>
        <w:t>treatment</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such</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include</w:t>
      </w:r>
      <w:r w:rsidR="00EE0CCC">
        <w:rPr>
          <w:rFonts w:ascii="Arial" w:hAnsi="Arial" w:cs="Arial"/>
        </w:rPr>
        <w:t xml:space="preserve"> </w:t>
      </w:r>
      <w:r w:rsidRPr="007D322B">
        <w:rPr>
          <w:rFonts w:ascii="Arial" w:hAnsi="Arial" w:cs="Arial"/>
        </w:rPr>
        <w:t>prednisolone</w:t>
      </w:r>
      <w:r w:rsidR="00EE0CCC">
        <w:rPr>
          <w:rFonts w:ascii="Arial" w:hAnsi="Arial" w:cs="Arial"/>
        </w:rPr>
        <w:t xml:space="preserve"> </w:t>
      </w:r>
      <w:r w:rsidRPr="007D322B">
        <w:rPr>
          <w:rFonts w:ascii="Arial" w:hAnsi="Arial" w:cs="Arial"/>
        </w:rPr>
        <w:t>administered</w:t>
      </w:r>
      <w:r w:rsidR="00EE0CCC">
        <w:rPr>
          <w:rFonts w:ascii="Arial" w:hAnsi="Arial" w:cs="Arial"/>
        </w:rPr>
        <w:t xml:space="preserve"> </w:t>
      </w:r>
      <w:r w:rsidRPr="007D322B">
        <w:rPr>
          <w:rFonts w:ascii="Arial" w:hAnsi="Arial" w:cs="Arial"/>
        </w:rPr>
        <w:t>by</w:t>
      </w:r>
      <w:r w:rsidR="00EE0CCC">
        <w:rPr>
          <w:rFonts w:ascii="Arial" w:hAnsi="Arial" w:cs="Arial"/>
        </w:rPr>
        <w:t xml:space="preserve"> </w:t>
      </w:r>
      <w:r w:rsidRPr="007D322B">
        <w:rPr>
          <w:rFonts w:ascii="Arial" w:hAnsi="Arial" w:cs="Arial"/>
        </w:rPr>
        <w:t>intravenous</w:t>
      </w:r>
      <w:r w:rsidR="00EE0CCC">
        <w:rPr>
          <w:rFonts w:ascii="Arial" w:hAnsi="Arial" w:cs="Arial"/>
        </w:rPr>
        <w:t xml:space="preserve"> </w:t>
      </w:r>
      <w:r w:rsidRPr="007D322B">
        <w:rPr>
          <w:rFonts w:ascii="Arial" w:hAnsi="Arial" w:cs="Arial"/>
        </w:rPr>
        <w:t>bolus,</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epinephrine</w:t>
      </w:r>
      <w:r w:rsidR="00EE0CCC">
        <w:rPr>
          <w:rFonts w:ascii="Arial" w:hAnsi="Arial" w:cs="Arial"/>
        </w:rPr>
        <w:t xml:space="preserve"> </w:t>
      </w:r>
      <w:r w:rsidRPr="007D322B">
        <w:rPr>
          <w:rFonts w:ascii="Arial" w:hAnsi="Arial" w:cs="Arial"/>
        </w:rPr>
        <w:t>administered</w:t>
      </w:r>
      <w:r w:rsidR="00EE0CCC">
        <w:rPr>
          <w:rFonts w:ascii="Arial" w:hAnsi="Arial" w:cs="Arial"/>
        </w:rPr>
        <w:t xml:space="preserve"> </w:t>
      </w:r>
      <w:r w:rsidRPr="007D322B">
        <w:rPr>
          <w:rFonts w:ascii="Arial" w:hAnsi="Arial" w:cs="Arial"/>
        </w:rPr>
        <w:t>by</w:t>
      </w:r>
      <w:r w:rsidR="00EE0CCC">
        <w:rPr>
          <w:rFonts w:ascii="Arial" w:hAnsi="Arial" w:cs="Arial"/>
        </w:rPr>
        <w:t xml:space="preserve"> </w:t>
      </w:r>
      <w:r w:rsidRPr="007D322B">
        <w:rPr>
          <w:rFonts w:ascii="Arial" w:hAnsi="Arial" w:cs="Arial"/>
        </w:rPr>
        <w:t>intravenous</w:t>
      </w:r>
      <w:r w:rsidR="00EE0CCC">
        <w:rPr>
          <w:rFonts w:ascii="Arial" w:hAnsi="Arial" w:cs="Arial"/>
        </w:rPr>
        <w:t xml:space="preserve"> </w:t>
      </w:r>
      <w:r w:rsidRPr="007D322B">
        <w:rPr>
          <w:rFonts w:ascii="Arial" w:hAnsi="Arial" w:cs="Arial"/>
        </w:rPr>
        <w:t>bolus</w:t>
      </w:r>
      <w:r w:rsidR="00EE0CCC">
        <w:rPr>
          <w:rFonts w:ascii="Arial" w:hAnsi="Arial" w:cs="Arial"/>
        </w:rPr>
        <w:t xml:space="preserve"> </w:t>
      </w:r>
      <w:r w:rsidRPr="007D322B">
        <w:rPr>
          <w:rFonts w:ascii="Arial" w:hAnsi="Arial" w:cs="Arial"/>
        </w:rPr>
        <w:t>every</w:t>
      </w:r>
      <w:r w:rsidR="00EE0CCC">
        <w:rPr>
          <w:rFonts w:ascii="Arial" w:hAnsi="Arial" w:cs="Arial"/>
        </w:rPr>
        <w:t xml:space="preserve"> </w:t>
      </w:r>
      <w:r w:rsidRPr="007D322B">
        <w:rPr>
          <w:rFonts w:ascii="Arial" w:hAnsi="Arial" w:cs="Arial"/>
        </w:rPr>
        <w:t>3</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5</w:t>
      </w:r>
      <w:r w:rsidR="00EE0CCC">
        <w:rPr>
          <w:rFonts w:ascii="Arial" w:hAnsi="Arial" w:cs="Arial"/>
        </w:rPr>
        <w:t xml:space="preserve"> </w:t>
      </w:r>
      <w:r w:rsidRPr="007D322B">
        <w:rPr>
          <w:rFonts w:ascii="Arial" w:hAnsi="Arial" w:cs="Arial"/>
        </w:rPr>
        <w:t>minutes</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necessary,</w:t>
      </w:r>
      <w:r w:rsidR="00EE0CCC">
        <w:rPr>
          <w:rFonts w:ascii="Arial" w:hAnsi="Arial" w:cs="Arial"/>
        </w:rPr>
        <w:t xml:space="preserve"> </w:t>
      </w:r>
      <w:r w:rsidRPr="007D322B">
        <w:rPr>
          <w:rFonts w:ascii="Arial" w:hAnsi="Arial" w:cs="Arial"/>
        </w:rPr>
        <w:t>according</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clinical</w:t>
      </w:r>
      <w:r w:rsidR="00EE0CCC">
        <w:rPr>
          <w:rFonts w:ascii="Arial" w:hAnsi="Arial" w:cs="Arial"/>
        </w:rPr>
        <w:t xml:space="preserve"> </w:t>
      </w:r>
      <w:r w:rsidRPr="007D322B">
        <w:rPr>
          <w:rFonts w:ascii="Arial" w:hAnsi="Arial" w:cs="Arial"/>
        </w:rPr>
        <w:t>response.</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case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bronchial</w:t>
      </w:r>
      <w:r w:rsidR="00EE0CCC">
        <w:rPr>
          <w:rFonts w:ascii="Arial" w:hAnsi="Arial" w:cs="Arial"/>
        </w:rPr>
        <w:t xml:space="preserve"> </w:t>
      </w:r>
      <w:r w:rsidRPr="007D322B">
        <w:rPr>
          <w:rFonts w:ascii="Arial" w:hAnsi="Arial" w:cs="Arial"/>
        </w:rPr>
        <w:t>and/or</w:t>
      </w:r>
      <w:r w:rsidR="00EE0CCC">
        <w:rPr>
          <w:rFonts w:ascii="Arial" w:hAnsi="Arial" w:cs="Arial"/>
        </w:rPr>
        <w:t xml:space="preserve"> </w:t>
      </w:r>
      <w:r w:rsidRPr="007D322B">
        <w:rPr>
          <w:rFonts w:ascii="Arial" w:hAnsi="Arial" w:cs="Arial"/>
        </w:rPr>
        <w:t>pulmonary</w:t>
      </w:r>
      <w:r w:rsidR="00EE0CCC">
        <w:rPr>
          <w:rFonts w:ascii="Arial" w:hAnsi="Arial" w:cs="Arial"/>
        </w:rPr>
        <w:t xml:space="preserve"> </w:t>
      </w:r>
      <w:r w:rsidRPr="007D322B">
        <w:rPr>
          <w:rFonts w:ascii="Arial" w:hAnsi="Arial" w:cs="Arial"/>
        </w:rPr>
        <w:t>hypersensitivity</w:t>
      </w:r>
      <w:r w:rsidR="00EE0CCC">
        <w:rPr>
          <w:rFonts w:ascii="Arial" w:hAnsi="Arial" w:cs="Arial"/>
        </w:rPr>
        <w:t xml:space="preserve"> </w:t>
      </w:r>
      <w:r w:rsidRPr="007D322B">
        <w:rPr>
          <w:rFonts w:ascii="Arial" w:hAnsi="Arial" w:cs="Arial"/>
        </w:rPr>
        <w:t>reaction,</w:t>
      </w:r>
      <w:r w:rsidR="00EE0CCC">
        <w:rPr>
          <w:rFonts w:ascii="Arial" w:hAnsi="Arial" w:cs="Arial"/>
        </w:rPr>
        <w:t xml:space="preserve"> </w:t>
      </w:r>
      <w:r w:rsidRPr="007D322B">
        <w:rPr>
          <w:rFonts w:ascii="Arial" w:hAnsi="Arial" w:cs="Arial"/>
        </w:rPr>
        <w:t>inhalation</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epinephrine</w:t>
      </w:r>
      <w:r w:rsidR="00EE0CCC">
        <w:rPr>
          <w:rFonts w:ascii="Arial" w:hAnsi="Arial" w:cs="Arial"/>
        </w:rPr>
        <w:t xml:space="preserve"> </w:t>
      </w:r>
      <w:r w:rsidRPr="007D322B">
        <w:rPr>
          <w:rFonts w:ascii="Arial" w:hAnsi="Arial" w:cs="Arial"/>
        </w:rPr>
        <w:t>(adrenaline)</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recommended</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repeated</w:t>
      </w:r>
      <w:r w:rsidR="00EE0CCC">
        <w:rPr>
          <w:rFonts w:ascii="Arial" w:hAnsi="Arial" w:cs="Arial"/>
        </w:rPr>
        <w:t xml:space="preserve"> </w:t>
      </w:r>
      <w:r w:rsidRPr="007D322B">
        <w:rPr>
          <w:rFonts w:ascii="Arial" w:hAnsi="Arial" w:cs="Arial"/>
        </w:rPr>
        <w:t>every</w:t>
      </w:r>
      <w:r w:rsidR="00EE0CCC">
        <w:rPr>
          <w:rFonts w:ascii="Arial" w:hAnsi="Arial" w:cs="Arial"/>
        </w:rPr>
        <w:t xml:space="preserve"> </w:t>
      </w:r>
      <w:r w:rsidRPr="007D322B">
        <w:rPr>
          <w:rFonts w:ascii="Arial" w:hAnsi="Arial" w:cs="Arial"/>
        </w:rPr>
        <w:t>2</w:t>
      </w:r>
      <w:r w:rsidR="00EE0CCC">
        <w:rPr>
          <w:rFonts w:ascii="Arial" w:hAnsi="Arial" w:cs="Arial"/>
        </w:rPr>
        <w:t xml:space="preserve"> </w:t>
      </w:r>
      <w:r w:rsidRPr="007D322B">
        <w:rPr>
          <w:rFonts w:ascii="Arial" w:hAnsi="Arial" w:cs="Arial"/>
        </w:rPr>
        <w:t>hours,</w:t>
      </w:r>
      <w:r w:rsidR="00EE0CCC">
        <w:rPr>
          <w:rFonts w:ascii="Arial" w:hAnsi="Arial" w:cs="Arial"/>
        </w:rPr>
        <w:t xml:space="preserve"> </w:t>
      </w:r>
      <w:r w:rsidRPr="007D322B">
        <w:rPr>
          <w:rFonts w:ascii="Arial" w:hAnsi="Arial" w:cs="Arial"/>
        </w:rPr>
        <w:t>according</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clinical</w:t>
      </w:r>
      <w:r w:rsidR="00EE0CCC">
        <w:rPr>
          <w:rFonts w:ascii="Arial" w:hAnsi="Arial" w:cs="Arial"/>
        </w:rPr>
        <w:t xml:space="preserve"> </w:t>
      </w:r>
      <w:r w:rsidRPr="007D322B">
        <w:rPr>
          <w:rFonts w:ascii="Arial" w:hAnsi="Arial" w:cs="Arial"/>
        </w:rPr>
        <w:t>response.</w:t>
      </w:r>
    </w:p>
    <w:p w:rsidR="001B3E6D" w:rsidRPr="007D322B" w:rsidRDefault="001B3E6D" w:rsidP="001B3E6D">
      <w:pPr>
        <w:rPr>
          <w:rFonts w:ascii="Arial" w:hAnsi="Arial" w:cs="Arial"/>
          <w:noProof/>
        </w:rPr>
      </w:pPr>
    </w:p>
    <w:p w:rsidR="001B3E6D" w:rsidRPr="007D322B" w:rsidRDefault="001B3E6D" w:rsidP="001B3E6D">
      <w:pPr>
        <w:keepNext/>
        <w:keepLines/>
        <w:autoSpaceDE w:val="0"/>
        <w:autoSpaceDN w:val="0"/>
        <w:adjustRightInd w:val="0"/>
        <w:rPr>
          <w:rFonts w:ascii="Arial" w:hAnsi="Arial" w:cs="Arial"/>
          <w:b/>
          <w:bCs/>
        </w:rPr>
      </w:pPr>
      <w:r w:rsidRPr="007D322B">
        <w:rPr>
          <w:rFonts w:ascii="Arial" w:hAnsi="Arial" w:cs="Arial"/>
          <w:b/>
          <w:bCs/>
        </w:rPr>
        <w:t>Capillary</w:t>
      </w:r>
      <w:r w:rsidR="00EE0CCC">
        <w:rPr>
          <w:rFonts w:ascii="Arial" w:hAnsi="Arial" w:cs="Arial"/>
          <w:b/>
          <w:bCs/>
        </w:rPr>
        <w:t xml:space="preserve"> </w:t>
      </w:r>
      <w:r w:rsidRPr="007D322B">
        <w:rPr>
          <w:rFonts w:ascii="Arial" w:hAnsi="Arial" w:cs="Arial"/>
          <w:b/>
          <w:bCs/>
        </w:rPr>
        <w:t>leak</w:t>
      </w:r>
      <w:r w:rsidR="00EE0CCC">
        <w:rPr>
          <w:rFonts w:ascii="Arial" w:hAnsi="Arial" w:cs="Arial"/>
          <w:b/>
          <w:bCs/>
        </w:rPr>
        <w:t xml:space="preserve"> </w:t>
      </w:r>
      <w:r w:rsidRPr="007D322B">
        <w:rPr>
          <w:rFonts w:ascii="Arial" w:hAnsi="Arial" w:cs="Arial"/>
          <w:b/>
          <w:bCs/>
        </w:rPr>
        <w:t>syndrome</w:t>
      </w:r>
      <w:r w:rsidR="00EE0CCC">
        <w:rPr>
          <w:rFonts w:ascii="Arial" w:hAnsi="Arial" w:cs="Arial"/>
          <w:b/>
          <w:bCs/>
        </w:rPr>
        <w:t xml:space="preserve"> </w:t>
      </w:r>
      <w:r w:rsidRPr="007D322B">
        <w:rPr>
          <w:rFonts w:ascii="Arial" w:hAnsi="Arial" w:cs="Arial"/>
          <w:b/>
          <w:bCs/>
        </w:rPr>
        <w:t>(CLS)</w:t>
      </w:r>
    </w:p>
    <w:p w:rsidR="001B3E6D" w:rsidRPr="007D322B" w:rsidRDefault="001B3E6D" w:rsidP="001B3E6D">
      <w:pPr>
        <w:keepNext/>
        <w:keepLines/>
        <w:rPr>
          <w:rFonts w:ascii="Arial" w:hAnsi="Arial" w:cs="Arial"/>
        </w:rPr>
      </w:pPr>
      <w:r w:rsidRPr="007D322B">
        <w:rPr>
          <w:rFonts w:ascii="Arial" w:hAnsi="Arial" w:cs="Arial"/>
        </w:rPr>
        <w:t>CLS</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characterised</w:t>
      </w:r>
      <w:r w:rsidR="00EE0CCC">
        <w:rPr>
          <w:rFonts w:ascii="Arial" w:hAnsi="Arial" w:cs="Arial"/>
        </w:rPr>
        <w:t xml:space="preserve"> </w:t>
      </w:r>
      <w:r w:rsidRPr="007D322B">
        <w:rPr>
          <w:rFonts w:ascii="Arial" w:hAnsi="Arial" w:cs="Arial"/>
        </w:rPr>
        <w:t>by</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loss</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vascular</w:t>
      </w:r>
      <w:r w:rsidR="00EE0CCC">
        <w:rPr>
          <w:rFonts w:ascii="Arial" w:hAnsi="Arial" w:cs="Arial"/>
        </w:rPr>
        <w:t xml:space="preserve"> </w:t>
      </w:r>
      <w:r w:rsidRPr="007D322B">
        <w:rPr>
          <w:rFonts w:ascii="Arial" w:hAnsi="Arial" w:cs="Arial"/>
        </w:rPr>
        <w:t>tone</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extravasation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plasma</w:t>
      </w:r>
      <w:r w:rsidR="00EE0CCC">
        <w:rPr>
          <w:rFonts w:ascii="Arial" w:hAnsi="Arial" w:cs="Arial"/>
        </w:rPr>
        <w:t xml:space="preserve"> </w:t>
      </w:r>
      <w:r w:rsidRPr="007D322B">
        <w:rPr>
          <w:rFonts w:ascii="Arial" w:hAnsi="Arial" w:cs="Arial"/>
        </w:rPr>
        <w:t>proteins</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fluid</w:t>
      </w:r>
      <w:r w:rsidR="00EE0CCC">
        <w:rPr>
          <w:rFonts w:ascii="Arial" w:hAnsi="Arial" w:cs="Arial"/>
        </w:rPr>
        <w:t xml:space="preserve"> </w:t>
      </w:r>
      <w:r w:rsidRPr="007D322B">
        <w:rPr>
          <w:rFonts w:ascii="Arial" w:hAnsi="Arial" w:cs="Arial"/>
        </w:rPr>
        <w:t>into</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extravascular</w:t>
      </w:r>
      <w:r w:rsidR="00EE0CCC">
        <w:rPr>
          <w:rFonts w:ascii="Arial" w:hAnsi="Arial" w:cs="Arial"/>
        </w:rPr>
        <w:t xml:space="preserve"> </w:t>
      </w:r>
      <w:r w:rsidRPr="007D322B">
        <w:rPr>
          <w:rFonts w:ascii="Arial" w:hAnsi="Arial" w:cs="Arial"/>
        </w:rPr>
        <w:t>space.</w:t>
      </w:r>
      <w:r w:rsidR="00EE0CCC">
        <w:rPr>
          <w:rFonts w:ascii="Arial" w:hAnsi="Arial" w:cs="Arial"/>
        </w:rPr>
        <w:t xml:space="preserve"> </w:t>
      </w:r>
      <w:r w:rsidRPr="007D322B">
        <w:rPr>
          <w:rFonts w:ascii="Arial" w:hAnsi="Arial" w:cs="Arial"/>
        </w:rPr>
        <w:t>CLS</w:t>
      </w:r>
      <w:r w:rsidR="00EE0CCC">
        <w:rPr>
          <w:rFonts w:ascii="Arial" w:hAnsi="Arial" w:cs="Arial"/>
        </w:rPr>
        <w:t xml:space="preserve"> </w:t>
      </w:r>
      <w:r w:rsidRPr="007D322B">
        <w:rPr>
          <w:rFonts w:ascii="Arial" w:hAnsi="Arial" w:cs="Arial"/>
        </w:rPr>
        <w:t>usually</w:t>
      </w:r>
      <w:r w:rsidR="00EE0CCC">
        <w:rPr>
          <w:rFonts w:ascii="Arial" w:hAnsi="Arial" w:cs="Arial"/>
        </w:rPr>
        <w:t xml:space="preserve"> </w:t>
      </w:r>
      <w:r w:rsidRPr="007D322B">
        <w:rPr>
          <w:rFonts w:ascii="Arial" w:hAnsi="Arial" w:cs="Arial"/>
        </w:rPr>
        <w:t>develops</w:t>
      </w:r>
      <w:r w:rsidR="00EE0CCC">
        <w:rPr>
          <w:rFonts w:ascii="Arial" w:hAnsi="Arial" w:cs="Arial"/>
        </w:rPr>
        <w:t xml:space="preserve"> </w:t>
      </w:r>
      <w:r w:rsidRPr="007D322B">
        <w:rPr>
          <w:rFonts w:ascii="Arial" w:hAnsi="Arial" w:cs="Arial"/>
        </w:rPr>
        <w:t>within</w:t>
      </w:r>
      <w:r w:rsidR="00EE0CCC">
        <w:rPr>
          <w:rFonts w:ascii="Arial" w:hAnsi="Arial" w:cs="Arial"/>
        </w:rPr>
        <w:t xml:space="preserve"> </w:t>
      </w:r>
      <w:r w:rsidRPr="007D322B">
        <w:rPr>
          <w:rFonts w:ascii="Arial" w:hAnsi="Arial" w:cs="Arial"/>
        </w:rPr>
        <w:t>hours</w:t>
      </w:r>
      <w:r w:rsidR="00EE0CCC">
        <w:rPr>
          <w:rFonts w:ascii="Arial" w:hAnsi="Arial" w:cs="Arial"/>
        </w:rPr>
        <w:t xml:space="preserve"> </w:t>
      </w:r>
      <w:r w:rsidRPr="007D322B">
        <w:rPr>
          <w:rFonts w:ascii="Arial" w:hAnsi="Arial" w:cs="Arial"/>
        </w:rPr>
        <w:t>after</w:t>
      </w:r>
      <w:r w:rsidR="00EE0CCC">
        <w:rPr>
          <w:rFonts w:ascii="Arial" w:hAnsi="Arial" w:cs="Arial"/>
        </w:rPr>
        <w:t xml:space="preserve"> </w:t>
      </w:r>
      <w:r w:rsidRPr="007D322B">
        <w:rPr>
          <w:rFonts w:ascii="Arial" w:hAnsi="Arial" w:cs="Arial"/>
        </w:rPr>
        <w:t>initiation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treatment,</w:t>
      </w:r>
      <w:r w:rsidR="00EE0CCC">
        <w:rPr>
          <w:rFonts w:ascii="Arial" w:hAnsi="Arial" w:cs="Arial"/>
        </w:rPr>
        <w:t xml:space="preserve"> </w:t>
      </w:r>
      <w:r w:rsidRPr="007D322B">
        <w:rPr>
          <w:rFonts w:ascii="Arial" w:hAnsi="Arial" w:cs="Arial"/>
        </w:rPr>
        <w:t>while</w:t>
      </w:r>
      <w:r w:rsidR="00EE0CCC">
        <w:rPr>
          <w:rFonts w:ascii="Arial" w:hAnsi="Arial" w:cs="Arial"/>
        </w:rPr>
        <w:t xml:space="preserve"> </w:t>
      </w:r>
      <w:r w:rsidRPr="007D322B">
        <w:rPr>
          <w:rFonts w:ascii="Arial" w:hAnsi="Arial" w:cs="Arial"/>
        </w:rPr>
        <w:t>clinical</w:t>
      </w:r>
      <w:r w:rsidR="00EE0CCC">
        <w:rPr>
          <w:rFonts w:ascii="Arial" w:hAnsi="Arial" w:cs="Arial"/>
        </w:rPr>
        <w:t xml:space="preserve"> </w:t>
      </w:r>
      <w:r w:rsidRPr="007D322B">
        <w:rPr>
          <w:rFonts w:ascii="Arial" w:hAnsi="Arial" w:cs="Arial"/>
        </w:rPr>
        <w:t>symptoms</w:t>
      </w:r>
      <w:r w:rsidR="00EE0CCC">
        <w:rPr>
          <w:rFonts w:ascii="Arial" w:hAnsi="Arial" w:cs="Arial"/>
        </w:rPr>
        <w:t xml:space="preserve"> </w:t>
      </w:r>
      <w:r w:rsidRPr="007D322B">
        <w:rPr>
          <w:rFonts w:ascii="Arial" w:hAnsi="Arial" w:cs="Arial"/>
        </w:rPr>
        <w:t>(i.e.</w:t>
      </w:r>
      <w:r w:rsidR="00EE0CCC">
        <w:rPr>
          <w:rFonts w:ascii="Arial" w:hAnsi="Arial" w:cs="Arial"/>
        </w:rPr>
        <w:t xml:space="preserve"> </w:t>
      </w:r>
      <w:r w:rsidRPr="007D322B">
        <w:rPr>
          <w:rFonts w:ascii="Arial" w:hAnsi="Arial" w:cs="Arial"/>
        </w:rPr>
        <w:t>hypotension,</w:t>
      </w:r>
      <w:r w:rsidR="00EE0CCC">
        <w:rPr>
          <w:rFonts w:ascii="Arial" w:hAnsi="Arial" w:cs="Arial"/>
        </w:rPr>
        <w:t xml:space="preserve"> </w:t>
      </w:r>
      <w:r w:rsidRPr="007D322B">
        <w:rPr>
          <w:rFonts w:ascii="Arial" w:hAnsi="Arial" w:cs="Arial"/>
        </w:rPr>
        <w:t>tachycardia)</w:t>
      </w:r>
      <w:r w:rsidR="00EE0CCC">
        <w:rPr>
          <w:rFonts w:ascii="Arial" w:hAnsi="Arial" w:cs="Arial"/>
        </w:rPr>
        <w:t xml:space="preserve"> </w:t>
      </w:r>
      <w:r w:rsidRPr="007D322B">
        <w:rPr>
          <w:rFonts w:ascii="Arial" w:hAnsi="Arial" w:cs="Arial"/>
        </w:rPr>
        <w:t>are</w:t>
      </w:r>
      <w:r w:rsidR="00EE0CCC">
        <w:rPr>
          <w:rFonts w:ascii="Arial" w:hAnsi="Arial" w:cs="Arial"/>
        </w:rPr>
        <w:t xml:space="preserve"> </w:t>
      </w:r>
      <w:r w:rsidRPr="007D322B">
        <w:rPr>
          <w:rFonts w:ascii="Arial" w:hAnsi="Arial" w:cs="Arial"/>
        </w:rPr>
        <w:t>reported</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occur</w:t>
      </w:r>
      <w:r w:rsidR="00EE0CCC">
        <w:rPr>
          <w:rFonts w:ascii="Arial" w:hAnsi="Arial" w:cs="Arial"/>
        </w:rPr>
        <w:t xml:space="preserve"> </w:t>
      </w:r>
      <w:r w:rsidRPr="007D322B">
        <w:rPr>
          <w:rFonts w:ascii="Arial" w:hAnsi="Arial" w:cs="Arial"/>
        </w:rPr>
        <w:t>after</w:t>
      </w:r>
      <w:r w:rsidR="00EE0CCC">
        <w:rPr>
          <w:rFonts w:ascii="Arial" w:hAnsi="Arial" w:cs="Arial"/>
        </w:rPr>
        <w:t xml:space="preserve"> </w:t>
      </w:r>
      <w:r w:rsidRPr="007D322B">
        <w:rPr>
          <w:rFonts w:ascii="Arial" w:hAnsi="Arial" w:cs="Arial"/>
        </w:rPr>
        <w:t>2</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12</w:t>
      </w:r>
      <w:r w:rsidR="00EE0CCC">
        <w:rPr>
          <w:rFonts w:ascii="Arial" w:hAnsi="Arial" w:cs="Arial"/>
        </w:rPr>
        <w:t xml:space="preserve"> </w:t>
      </w:r>
      <w:r w:rsidRPr="007D322B">
        <w:rPr>
          <w:rFonts w:ascii="Arial" w:hAnsi="Arial" w:cs="Arial"/>
        </w:rPr>
        <w:t>hours.</w:t>
      </w:r>
      <w:r w:rsidR="00EE0CCC">
        <w:rPr>
          <w:rFonts w:ascii="Arial" w:hAnsi="Arial" w:cs="Arial"/>
        </w:rPr>
        <w:t xml:space="preserve"> </w:t>
      </w:r>
      <w:r w:rsidRPr="007D322B">
        <w:rPr>
          <w:rFonts w:ascii="Arial" w:hAnsi="Arial" w:cs="Arial"/>
        </w:rPr>
        <w:t>Careful</w:t>
      </w:r>
      <w:r w:rsidR="00EE0CCC">
        <w:rPr>
          <w:rFonts w:ascii="Arial" w:hAnsi="Arial" w:cs="Arial"/>
        </w:rPr>
        <w:t xml:space="preserve"> </w:t>
      </w:r>
      <w:r w:rsidRPr="007D322B">
        <w:rPr>
          <w:rFonts w:ascii="Arial" w:hAnsi="Arial" w:cs="Arial"/>
        </w:rPr>
        <w:t>monitoring</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circulatory</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respiratory</w:t>
      </w:r>
      <w:r w:rsidR="00EE0CCC">
        <w:rPr>
          <w:rFonts w:ascii="Arial" w:hAnsi="Arial" w:cs="Arial"/>
        </w:rPr>
        <w:t xml:space="preserve"> </w:t>
      </w:r>
      <w:r w:rsidRPr="007D322B">
        <w:rPr>
          <w:rFonts w:ascii="Arial" w:hAnsi="Arial" w:cs="Arial"/>
        </w:rPr>
        <w:t>function</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required.</w:t>
      </w:r>
    </w:p>
    <w:p w:rsidR="001B3E6D" w:rsidRPr="007D322B" w:rsidRDefault="001B3E6D" w:rsidP="001B3E6D">
      <w:pPr>
        <w:rPr>
          <w:rFonts w:ascii="Arial" w:hAnsi="Arial" w:cs="Arial"/>
          <w:noProof/>
        </w:rPr>
      </w:pPr>
    </w:p>
    <w:p w:rsidR="001B3E6D" w:rsidRPr="007D322B" w:rsidRDefault="001B3E6D" w:rsidP="001B3E6D">
      <w:pPr>
        <w:keepNext/>
        <w:keepLines/>
        <w:rPr>
          <w:rFonts w:ascii="Arial" w:hAnsi="Arial" w:cs="Arial"/>
          <w:b/>
          <w:bCs/>
          <w:noProof/>
        </w:rPr>
      </w:pPr>
      <w:r w:rsidRPr="007D322B">
        <w:rPr>
          <w:rFonts w:ascii="Arial" w:hAnsi="Arial" w:cs="Arial"/>
          <w:b/>
          <w:bCs/>
          <w:noProof/>
        </w:rPr>
        <w:t>Neurological</w:t>
      </w:r>
      <w:r w:rsidR="00EE0CCC">
        <w:rPr>
          <w:rFonts w:ascii="Arial" w:hAnsi="Arial" w:cs="Arial"/>
          <w:b/>
          <w:bCs/>
          <w:noProof/>
        </w:rPr>
        <w:t xml:space="preserve"> </w:t>
      </w:r>
      <w:r w:rsidRPr="007D322B">
        <w:rPr>
          <w:rFonts w:ascii="Arial" w:hAnsi="Arial" w:cs="Arial"/>
          <w:b/>
          <w:bCs/>
          <w:noProof/>
        </w:rPr>
        <w:t>disorders</w:t>
      </w:r>
      <w:r w:rsidR="00EE0CCC">
        <w:rPr>
          <w:rFonts w:ascii="Arial" w:hAnsi="Arial" w:cs="Arial"/>
          <w:b/>
          <w:bCs/>
          <w:noProof/>
        </w:rPr>
        <w:t xml:space="preserve"> </w:t>
      </w:r>
      <w:r w:rsidRPr="007D322B">
        <w:rPr>
          <w:rFonts w:ascii="Arial" w:hAnsi="Arial" w:cs="Arial"/>
          <w:b/>
          <w:bCs/>
          <w:noProof/>
        </w:rPr>
        <w:t>of</w:t>
      </w:r>
      <w:r w:rsidR="00EE0CCC">
        <w:rPr>
          <w:rFonts w:ascii="Arial" w:hAnsi="Arial" w:cs="Arial"/>
          <w:b/>
          <w:bCs/>
          <w:noProof/>
        </w:rPr>
        <w:t xml:space="preserve"> </w:t>
      </w:r>
      <w:r w:rsidRPr="007D322B">
        <w:rPr>
          <w:rFonts w:ascii="Arial" w:hAnsi="Arial" w:cs="Arial"/>
          <w:b/>
          <w:bCs/>
          <w:noProof/>
        </w:rPr>
        <w:t>the</w:t>
      </w:r>
      <w:r w:rsidR="00EE0CCC">
        <w:rPr>
          <w:rFonts w:ascii="Arial" w:hAnsi="Arial" w:cs="Arial"/>
          <w:b/>
          <w:bCs/>
          <w:noProof/>
        </w:rPr>
        <w:t xml:space="preserve"> </w:t>
      </w:r>
      <w:r w:rsidRPr="007D322B">
        <w:rPr>
          <w:rFonts w:ascii="Arial" w:hAnsi="Arial" w:cs="Arial"/>
          <w:b/>
          <w:bCs/>
          <w:noProof/>
        </w:rPr>
        <w:t>eye</w:t>
      </w:r>
    </w:p>
    <w:p w:rsidR="001B3E6D" w:rsidRPr="007D322B" w:rsidRDefault="001B3E6D" w:rsidP="001B3E6D">
      <w:pPr>
        <w:pStyle w:val="BodytextAgency"/>
        <w:keepNext/>
        <w:keepLines/>
        <w:spacing w:after="0" w:line="240" w:lineRule="auto"/>
        <w:rPr>
          <w:rFonts w:ascii="Arial" w:hAnsi="Arial" w:cs="Arial"/>
          <w:noProof/>
          <w:sz w:val="24"/>
          <w:szCs w:val="24"/>
          <w:lang w:val="en-AU"/>
        </w:rPr>
      </w:pPr>
      <w:r w:rsidRPr="007D322B">
        <w:rPr>
          <w:rFonts w:ascii="Arial" w:hAnsi="Arial" w:cs="Arial"/>
          <w:noProof/>
          <w:sz w:val="24"/>
          <w:szCs w:val="24"/>
          <w:lang w:val="en-AU"/>
        </w:rPr>
        <w:t>Eye</w:t>
      </w:r>
      <w:r w:rsidR="00EE0CCC">
        <w:rPr>
          <w:rFonts w:ascii="Arial" w:hAnsi="Arial" w:cs="Arial"/>
          <w:noProof/>
          <w:sz w:val="24"/>
          <w:szCs w:val="24"/>
          <w:lang w:val="en-AU"/>
        </w:rPr>
        <w:t xml:space="preserve"> </w:t>
      </w:r>
      <w:r w:rsidRPr="007D322B">
        <w:rPr>
          <w:rFonts w:ascii="Arial" w:hAnsi="Arial" w:cs="Arial"/>
          <w:noProof/>
          <w:sz w:val="24"/>
          <w:szCs w:val="24"/>
          <w:lang w:val="en-AU"/>
        </w:rPr>
        <w:t>disorders</w:t>
      </w:r>
      <w:r w:rsidR="00EE0CCC">
        <w:rPr>
          <w:rFonts w:ascii="Arial" w:hAnsi="Arial" w:cs="Arial"/>
          <w:noProof/>
          <w:sz w:val="24"/>
          <w:szCs w:val="24"/>
          <w:lang w:val="en-AU"/>
        </w:rPr>
        <w:t xml:space="preserve"> </w:t>
      </w:r>
      <w:r w:rsidRPr="007D322B">
        <w:rPr>
          <w:rFonts w:ascii="Arial" w:hAnsi="Arial" w:cs="Arial"/>
          <w:noProof/>
          <w:sz w:val="24"/>
          <w:szCs w:val="24"/>
          <w:lang w:val="en-AU"/>
        </w:rPr>
        <w:t>may</w:t>
      </w:r>
      <w:r w:rsidR="00EE0CCC">
        <w:rPr>
          <w:rFonts w:ascii="Arial" w:hAnsi="Arial" w:cs="Arial"/>
          <w:noProof/>
          <w:sz w:val="24"/>
          <w:szCs w:val="24"/>
          <w:lang w:val="en-AU"/>
        </w:rPr>
        <w:t xml:space="preserve"> </w:t>
      </w:r>
      <w:r w:rsidRPr="007D322B">
        <w:rPr>
          <w:rFonts w:ascii="Arial" w:hAnsi="Arial" w:cs="Arial"/>
          <w:noProof/>
          <w:sz w:val="24"/>
          <w:szCs w:val="24"/>
          <w:lang w:val="en-AU"/>
        </w:rPr>
        <w:t>occur</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binds</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optic</w:t>
      </w:r>
      <w:r w:rsidR="00EE0CCC">
        <w:rPr>
          <w:rFonts w:ascii="Arial" w:hAnsi="Arial" w:cs="Arial"/>
          <w:noProof/>
          <w:sz w:val="24"/>
          <w:szCs w:val="24"/>
          <w:lang w:val="en-AU"/>
        </w:rPr>
        <w:t xml:space="preserve"> </w:t>
      </w:r>
      <w:r w:rsidRPr="007D322B">
        <w:rPr>
          <w:rFonts w:ascii="Arial" w:hAnsi="Arial" w:cs="Arial"/>
          <w:noProof/>
          <w:sz w:val="24"/>
          <w:szCs w:val="24"/>
          <w:lang w:val="en-AU"/>
        </w:rPr>
        <w:t>nerve</w:t>
      </w:r>
      <w:r w:rsidR="00EE0CCC">
        <w:rPr>
          <w:rFonts w:ascii="Arial" w:hAnsi="Arial" w:cs="Arial"/>
          <w:noProof/>
          <w:sz w:val="24"/>
          <w:szCs w:val="24"/>
          <w:lang w:val="en-AU"/>
        </w:rPr>
        <w:t xml:space="preserve"> </w:t>
      </w:r>
      <w:r w:rsidRPr="007D322B">
        <w:rPr>
          <w:rFonts w:ascii="Arial" w:hAnsi="Arial" w:cs="Arial"/>
          <w:noProof/>
          <w:sz w:val="24"/>
          <w:szCs w:val="24"/>
          <w:lang w:val="en-AU"/>
        </w:rPr>
        <w:t>cells.</w:t>
      </w:r>
      <w:r w:rsidR="00EE0CCC">
        <w:rPr>
          <w:rFonts w:ascii="Arial" w:hAnsi="Arial" w:cs="Arial"/>
          <w:noProof/>
          <w:sz w:val="24"/>
          <w:szCs w:val="24"/>
          <w:lang w:val="en-AU"/>
        </w:rPr>
        <w:t xml:space="preserve"> </w:t>
      </w:r>
      <w:r w:rsidRPr="007D322B">
        <w:rPr>
          <w:rFonts w:ascii="Arial" w:hAnsi="Arial" w:cs="Arial"/>
          <w:noProof/>
          <w:sz w:val="24"/>
          <w:szCs w:val="24"/>
          <w:lang w:val="en-AU"/>
        </w:rPr>
        <w:t>No</w:t>
      </w:r>
      <w:r w:rsidR="00EE0CCC">
        <w:rPr>
          <w:rFonts w:ascii="Arial" w:hAnsi="Arial" w:cs="Arial"/>
          <w:noProof/>
          <w:sz w:val="24"/>
          <w:szCs w:val="24"/>
          <w:lang w:val="en-AU"/>
        </w:rPr>
        <w:t xml:space="preserve"> </w:t>
      </w:r>
      <w:r w:rsidRPr="007D322B">
        <w:rPr>
          <w:rFonts w:ascii="Arial" w:hAnsi="Arial" w:cs="Arial"/>
          <w:noProof/>
          <w:sz w:val="24"/>
          <w:szCs w:val="24"/>
          <w:lang w:val="en-AU"/>
        </w:rPr>
        <w:t>dose</w:t>
      </w:r>
      <w:r w:rsidR="00EE0CCC">
        <w:rPr>
          <w:rFonts w:ascii="Arial" w:hAnsi="Arial" w:cs="Arial"/>
          <w:noProof/>
          <w:sz w:val="24"/>
          <w:szCs w:val="24"/>
          <w:lang w:val="en-AU"/>
        </w:rPr>
        <w:t xml:space="preserve"> </w:t>
      </w:r>
      <w:r w:rsidRPr="007D322B">
        <w:rPr>
          <w:rFonts w:ascii="Arial" w:hAnsi="Arial" w:cs="Arial"/>
          <w:noProof/>
          <w:sz w:val="24"/>
          <w:szCs w:val="24"/>
          <w:lang w:val="en-AU"/>
        </w:rPr>
        <w:t>modification</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necessary</w:t>
      </w:r>
      <w:r w:rsidR="00EE0CCC">
        <w:rPr>
          <w:rFonts w:ascii="Arial" w:hAnsi="Arial" w:cs="Arial"/>
          <w:noProof/>
          <w:sz w:val="24"/>
          <w:szCs w:val="24"/>
          <w:lang w:val="en-AU"/>
        </w:rPr>
        <w:t xml:space="preserve"> </w:t>
      </w:r>
      <w:r w:rsidRPr="007D322B">
        <w:rPr>
          <w:rFonts w:ascii="Arial" w:hAnsi="Arial" w:cs="Arial"/>
          <w:noProof/>
          <w:sz w:val="24"/>
          <w:szCs w:val="24"/>
          <w:lang w:val="en-AU"/>
        </w:rPr>
        <w:t>in</w:t>
      </w:r>
      <w:r w:rsidR="00EE0CCC">
        <w:rPr>
          <w:rFonts w:ascii="Arial" w:hAnsi="Arial" w:cs="Arial"/>
          <w:noProof/>
          <w:sz w:val="24"/>
          <w:szCs w:val="24"/>
          <w:lang w:val="en-AU"/>
        </w:rPr>
        <w:t xml:space="preserve"> </w:t>
      </w:r>
      <w:r w:rsidRPr="007D322B">
        <w:rPr>
          <w:rFonts w:ascii="Arial" w:hAnsi="Arial" w:cs="Arial"/>
          <w:noProof/>
          <w:sz w:val="24"/>
          <w:szCs w:val="24"/>
          <w:lang w:val="en-AU"/>
        </w:rPr>
        <w:t>the</w:t>
      </w:r>
      <w:r w:rsidR="00EE0CCC">
        <w:rPr>
          <w:rFonts w:ascii="Arial" w:hAnsi="Arial" w:cs="Arial"/>
          <w:noProof/>
          <w:sz w:val="24"/>
          <w:szCs w:val="24"/>
          <w:lang w:val="en-AU"/>
        </w:rPr>
        <w:t xml:space="preserve"> </w:t>
      </w:r>
      <w:r w:rsidRPr="007D322B">
        <w:rPr>
          <w:rFonts w:ascii="Arial" w:hAnsi="Arial" w:cs="Arial"/>
          <w:noProof/>
          <w:sz w:val="24"/>
          <w:szCs w:val="24"/>
          <w:lang w:val="en-AU"/>
        </w:rPr>
        <w:t>case</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an</w:t>
      </w:r>
      <w:r w:rsidR="00EE0CCC">
        <w:rPr>
          <w:rFonts w:ascii="Arial" w:hAnsi="Arial" w:cs="Arial"/>
          <w:noProof/>
          <w:sz w:val="24"/>
          <w:szCs w:val="24"/>
          <w:lang w:val="en-AU"/>
        </w:rPr>
        <w:t xml:space="preserve"> </w:t>
      </w:r>
      <w:r w:rsidRPr="007D322B">
        <w:rPr>
          <w:rFonts w:ascii="Arial" w:hAnsi="Arial" w:cs="Arial"/>
          <w:noProof/>
          <w:sz w:val="24"/>
          <w:szCs w:val="24"/>
          <w:lang w:val="en-AU"/>
        </w:rPr>
        <w:t>impaired</w:t>
      </w:r>
      <w:r w:rsidR="00EE0CCC">
        <w:rPr>
          <w:rFonts w:ascii="Arial" w:hAnsi="Arial" w:cs="Arial"/>
          <w:noProof/>
          <w:sz w:val="24"/>
          <w:szCs w:val="24"/>
          <w:lang w:val="en-AU"/>
        </w:rPr>
        <w:t xml:space="preserve"> </w:t>
      </w:r>
      <w:r w:rsidRPr="007D322B">
        <w:rPr>
          <w:rFonts w:ascii="Arial" w:hAnsi="Arial" w:cs="Arial"/>
          <w:noProof/>
          <w:sz w:val="24"/>
          <w:szCs w:val="24"/>
          <w:lang w:val="en-AU"/>
        </w:rPr>
        <w:t>visual</w:t>
      </w:r>
      <w:r w:rsidR="00EE0CCC">
        <w:rPr>
          <w:rFonts w:ascii="Arial" w:hAnsi="Arial" w:cs="Arial"/>
          <w:noProof/>
          <w:sz w:val="24"/>
          <w:szCs w:val="24"/>
          <w:lang w:val="en-AU"/>
        </w:rPr>
        <w:t xml:space="preserve"> </w:t>
      </w:r>
      <w:r w:rsidRPr="007D322B">
        <w:rPr>
          <w:rFonts w:ascii="Arial" w:hAnsi="Arial" w:cs="Arial"/>
          <w:noProof/>
          <w:sz w:val="24"/>
          <w:szCs w:val="24"/>
          <w:lang w:val="en-AU"/>
        </w:rPr>
        <w:t>accommodation</w:t>
      </w:r>
      <w:r w:rsidR="00EE0CCC">
        <w:rPr>
          <w:rFonts w:ascii="Arial" w:hAnsi="Arial" w:cs="Arial"/>
          <w:noProof/>
          <w:sz w:val="24"/>
          <w:szCs w:val="24"/>
          <w:lang w:val="en-AU"/>
        </w:rPr>
        <w:t xml:space="preserve"> </w:t>
      </w:r>
      <w:r w:rsidRPr="007D322B">
        <w:rPr>
          <w:rFonts w:ascii="Arial" w:hAnsi="Arial" w:cs="Arial"/>
          <w:noProof/>
          <w:sz w:val="24"/>
          <w:szCs w:val="24"/>
          <w:lang w:val="en-AU"/>
        </w:rPr>
        <w:t>that</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correctable</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eye</w:t>
      </w:r>
      <w:r w:rsidR="00EE0CCC">
        <w:rPr>
          <w:rFonts w:ascii="Arial" w:hAnsi="Arial" w:cs="Arial"/>
          <w:noProof/>
          <w:sz w:val="24"/>
          <w:szCs w:val="24"/>
          <w:lang w:val="en-AU"/>
        </w:rPr>
        <w:t xml:space="preserve"> </w:t>
      </w:r>
      <w:r w:rsidRPr="007D322B">
        <w:rPr>
          <w:rFonts w:ascii="Arial" w:hAnsi="Arial" w:cs="Arial"/>
          <w:noProof/>
          <w:sz w:val="24"/>
          <w:szCs w:val="24"/>
          <w:lang w:val="en-AU"/>
        </w:rPr>
        <w:t>glasses,</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long</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this</w:t>
      </w:r>
      <w:r w:rsidR="00EE0CCC">
        <w:rPr>
          <w:rFonts w:ascii="Arial" w:hAnsi="Arial" w:cs="Arial"/>
          <w:noProof/>
          <w:sz w:val="24"/>
          <w:szCs w:val="24"/>
          <w:lang w:val="en-AU"/>
        </w:rPr>
        <w:t xml:space="preserve"> </w:t>
      </w:r>
      <w:r w:rsidRPr="007D322B">
        <w:rPr>
          <w:rFonts w:ascii="Arial" w:hAnsi="Arial" w:cs="Arial"/>
          <w:noProof/>
          <w:sz w:val="24"/>
          <w:szCs w:val="24"/>
          <w:lang w:val="en-AU"/>
        </w:rPr>
        <w:t>is</w:t>
      </w:r>
      <w:r w:rsidR="00EE0CCC">
        <w:rPr>
          <w:rFonts w:ascii="Arial" w:hAnsi="Arial" w:cs="Arial"/>
          <w:noProof/>
          <w:sz w:val="24"/>
          <w:szCs w:val="24"/>
          <w:lang w:val="en-AU"/>
        </w:rPr>
        <w:t xml:space="preserve"> </w:t>
      </w:r>
      <w:r w:rsidRPr="007D322B">
        <w:rPr>
          <w:rFonts w:ascii="Arial" w:hAnsi="Arial" w:cs="Arial"/>
          <w:noProof/>
          <w:sz w:val="24"/>
          <w:szCs w:val="24"/>
          <w:lang w:val="en-AU"/>
        </w:rPr>
        <w:t>judged</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tolerable.</w:t>
      </w:r>
    </w:p>
    <w:p w:rsidR="001B3E6D" w:rsidRPr="007D322B" w:rsidRDefault="001B3E6D" w:rsidP="001B3E6D">
      <w:pPr>
        <w:pStyle w:val="BodytextAgency"/>
        <w:spacing w:after="0" w:line="240" w:lineRule="auto"/>
        <w:rPr>
          <w:rFonts w:ascii="Arial" w:hAnsi="Arial" w:cs="Arial"/>
          <w:noProof/>
          <w:sz w:val="24"/>
          <w:szCs w:val="24"/>
          <w:lang w:val="en-AU"/>
        </w:rPr>
      </w:pP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must</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interrupted</w:t>
      </w:r>
      <w:r w:rsidR="00EE0CCC">
        <w:rPr>
          <w:rFonts w:ascii="Arial" w:hAnsi="Arial" w:cs="Arial"/>
          <w:noProof/>
          <w:sz w:val="24"/>
          <w:szCs w:val="24"/>
          <w:lang w:val="en-AU"/>
        </w:rPr>
        <w:t xml:space="preserve"> </w:t>
      </w:r>
      <w:r w:rsidRPr="007D322B">
        <w:rPr>
          <w:rFonts w:ascii="Arial" w:hAnsi="Arial" w:cs="Arial"/>
          <w:noProof/>
          <w:sz w:val="24"/>
          <w:szCs w:val="24"/>
          <w:lang w:val="en-AU"/>
        </w:rPr>
        <w:t>in</w:t>
      </w:r>
      <w:r w:rsidR="00EE0CCC">
        <w:rPr>
          <w:rFonts w:ascii="Arial" w:hAnsi="Arial" w:cs="Arial"/>
          <w:noProof/>
          <w:sz w:val="24"/>
          <w:szCs w:val="24"/>
          <w:lang w:val="en-AU"/>
        </w:rPr>
        <w:t xml:space="preserve"> </w:t>
      </w:r>
      <w:r w:rsidRPr="007D322B">
        <w:rPr>
          <w:rFonts w:ascii="Arial" w:hAnsi="Arial" w:cs="Arial"/>
          <w:noProof/>
          <w:sz w:val="24"/>
          <w:szCs w:val="24"/>
          <w:lang w:val="en-AU"/>
        </w:rPr>
        <w:t>patients</w:t>
      </w:r>
      <w:r w:rsidR="00EE0CCC">
        <w:rPr>
          <w:rFonts w:ascii="Arial" w:hAnsi="Arial" w:cs="Arial"/>
          <w:noProof/>
          <w:sz w:val="24"/>
          <w:szCs w:val="24"/>
          <w:lang w:val="en-AU"/>
        </w:rPr>
        <w:t xml:space="preserve"> </w:t>
      </w:r>
      <w:r w:rsidRPr="007D322B">
        <w:rPr>
          <w:rFonts w:ascii="Arial" w:hAnsi="Arial" w:cs="Arial"/>
          <w:noProof/>
          <w:sz w:val="24"/>
          <w:szCs w:val="24"/>
          <w:lang w:val="en-AU"/>
        </w:rPr>
        <w:t>who</w:t>
      </w:r>
      <w:r w:rsidR="00EE0CCC">
        <w:rPr>
          <w:rFonts w:ascii="Arial" w:hAnsi="Arial" w:cs="Arial"/>
          <w:noProof/>
          <w:sz w:val="24"/>
          <w:szCs w:val="24"/>
          <w:lang w:val="en-AU"/>
        </w:rPr>
        <w:t xml:space="preserve"> </w:t>
      </w:r>
      <w:r w:rsidRPr="007D322B">
        <w:rPr>
          <w:rFonts w:ascii="Arial" w:hAnsi="Arial" w:cs="Arial"/>
          <w:noProof/>
          <w:sz w:val="24"/>
          <w:szCs w:val="24"/>
          <w:lang w:val="en-AU"/>
        </w:rPr>
        <w:t>experience</w:t>
      </w:r>
      <w:r w:rsidR="00EE0CCC">
        <w:rPr>
          <w:rFonts w:ascii="Arial" w:hAnsi="Arial" w:cs="Arial"/>
          <w:noProof/>
          <w:sz w:val="24"/>
          <w:szCs w:val="24"/>
          <w:lang w:val="en-AU"/>
        </w:rPr>
        <w:t xml:space="preserve"> </w:t>
      </w:r>
      <w:r w:rsidRPr="007D322B">
        <w:rPr>
          <w:rFonts w:ascii="Arial" w:hAnsi="Arial" w:cs="Arial"/>
          <w:noProof/>
          <w:sz w:val="24"/>
          <w:szCs w:val="24"/>
          <w:lang w:val="en-AU"/>
        </w:rPr>
        <w:t>Grade</w:t>
      </w:r>
      <w:r w:rsidR="00EE0CCC">
        <w:rPr>
          <w:rFonts w:ascii="Arial" w:hAnsi="Arial" w:cs="Arial"/>
          <w:noProof/>
          <w:sz w:val="24"/>
          <w:szCs w:val="24"/>
          <w:lang w:val="en-AU"/>
        </w:rPr>
        <w:t xml:space="preserve"> </w:t>
      </w:r>
      <w:r w:rsidRPr="007D322B">
        <w:rPr>
          <w:rFonts w:ascii="Arial" w:hAnsi="Arial" w:cs="Arial"/>
          <w:noProof/>
          <w:sz w:val="24"/>
          <w:szCs w:val="24"/>
          <w:lang w:val="en-AU"/>
        </w:rPr>
        <w:t>3</w:t>
      </w:r>
      <w:r w:rsidR="00EE0CCC">
        <w:rPr>
          <w:rFonts w:ascii="Arial" w:hAnsi="Arial" w:cs="Arial"/>
          <w:noProof/>
          <w:sz w:val="24"/>
          <w:szCs w:val="24"/>
          <w:lang w:val="en-AU"/>
        </w:rPr>
        <w:t xml:space="preserve"> </w:t>
      </w:r>
      <w:r w:rsidRPr="007D322B">
        <w:rPr>
          <w:rFonts w:ascii="Arial" w:hAnsi="Arial" w:cs="Arial"/>
          <w:noProof/>
          <w:sz w:val="24"/>
          <w:szCs w:val="24"/>
          <w:lang w:val="en-AU"/>
        </w:rPr>
        <w:t>vision</w:t>
      </w:r>
      <w:r w:rsidR="00EE0CCC">
        <w:rPr>
          <w:rFonts w:ascii="Arial" w:hAnsi="Arial" w:cs="Arial"/>
          <w:noProof/>
          <w:sz w:val="24"/>
          <w:szCs w:val="24"/>
          <w:lang w:val="en-AU"/>
        </w:rPr>
        <w:t xml:space="preserve"> </w:t>
      </w:r>
      <w:r w:rsidRPr="007D322B">
        <w:rPr>
          <w:rFonts w:ascii="Arial" w:hAnsi="Arial" w:cs="Arial"/>
          <w:noProof/>
          <w:sz w:val="24"/>
          <w:szCs w:val="24"/>
          <w:lang w:val="en-AU"/>
        </w:rPr>
        <w:t>toxicity</w:t>
      </w:r>
      <w:r w:rsidR="00EE0CCC">
        <w:rPr>
          <w:rFonts w:ascii="Arial" w:hAnsi="Arial" w:cs="Arial"/>
          <w:noProof/>
          <w:sz w:val="24"/>
          <w:szCs w:val="24"/>
          <w:lang w:val="en-AU"/>
        </w:rPr>
        <w:t xml:space="preserve"> </w:t>
      </w:r>
      <w:r w:rsidRPr="007D322B">
        <w:rPr>
          <w:rFonts w:ascii="Arial" w:hAnsi="Arial" w:cs="Arial"/>
          <w:noProof/>
          <w:sz w:val="24"/>
          <w:szCs w:val="24"/>
          <w:lang w:val="en-AU"/>
        </w:rPr>
        <w:t>(i.e.</w:t>
      </w:r>
      <w:r w:rsidR="00EE0CCC">
        <w:rPr>
          <w:rFonts w:ascii="Arial" w:hAnsi="Arial" w:cs="Arial"/>
          <w:noProof/>
          <w:sz w:val="24"/>
          <w:szCs w:val="24"/>
          <w:lang w:val="en-AU"/>
        </w:rPr>
        <w:t xml:space="preserve"> </w:t>
      </w:r>
      <w:r w:rsidRPr="007D322B">
        <w:rPr>
          <w:rFonts w:ascii="Arial" w:hAnsi="Arial" w:cs="Arial"/>
          <w:noProof/>
          <w:sz w:val="24"/>
          <w:szCs w:val="24"/>
          <w:lang w:val="en-AU"/>
        </w:rPr>
        <w:t>subtotal</w:t>
      </w:r>
      <w:r w:rsidR="00EE0CCC">
        <w:rPr>
          <w:rFonts w:ascii="Arial" w:hAnsi="Arial" w:cs="Arial"/>
          <w:noProof/>
          <w:sz w:val="24"/>
          <w:szCs w:val="24"/>
          <w:lang w:val="en-AU"/>
        </w:rPr>
        <w:t xml:space="preserve"> </w:t>
      </w:r>
      <w:r w:rsidRPr="007D322B">
        <w:rPr>
          <w:rFonts w:ascii="Arial" w:hAnsi="Arial" w:cs="Arial"/>
          <w:noProof/>
          <w:sz w:val="24"/>
          <w:szCs w:val="24"/>
          <w:lang w:val="en-AU"/>
        </w:rPr>
        <w:t>vision</w:t>
      </w:r>
      <w:r w:rsidR="00EE0CCC">
        <w:rPr>
          <w:rFonts w:ascii="Arial" w:hAnsi="Arial" w:cs="Arial"/>
          <w:noProof/>
          <w:sz w:val="24"/>
          <w:szCs w:val="24"/>
          <w:lang w:val="en-AU"/>
        </w:rPr>
        <w:t xml:space="preserve"> </w:t>
      </w:r>
      <w:r w:rsidRPr="007D322B">
        <w:rPr>
          <w:rFonts w:ascii="Arial" w:hAnsi="Arial" w:cs="Arial"/>
          <w:noProof/>
          <w:sz w:val="24"/>
          <w:szCs w:val="24"/>
          <w:lang w:val="en-AU"/>
        </w:rPr>
        <w:t>loss</w:t>
      </w:r>
      <w:r w:rsidR="00EE0CCC">
        <w:rPr>
          <w:rFonts w:ascii="Arial" w:hAnsi="Arial" w:cs="Arial"/>
          <w:noProof/>
          <w:sz w:val="24"/>
          <w:szCs w:val="24"/>
          <w:lang w:val="en-AU"/>
        </w:rPr>
        <w:t xml:space="preserve"> </w:t>
      </w:r>
      <w:r w:rsidRPr="007D322B">
        <w:rPr>
          <w:rFonts w:ascii="Arial" w:hAnsi="Arial" w:cs="Arial"/>
          <w:noProof/>
          <w:sz w:val="24"/>
          <w:szCs w:val="24"/>
          <w:lang w:val="en-AU"/>
        </w:rPr>
        <w:t>per</w:t>
      </w:r>
      <w:r w:rsidR="00EE0CCC">
        <w:rPr>
          <w:rFonts w:ascii="Arial" w:hAnsi="Arial" w:cs="Arial"/>
          <w:noProof/>
          <w:sz w:val="24"/>
          <w:szCs w:val="24"/>
          <w:lang w:val="en-AU"/>
        </w:rPr>
        <w:t xml:space="preserve"> </w:t>
      </w:r>
      <w:r w:rsidRPr="007D322B">
        <w:rPr>
          <w:rFonts w:ascii="Arial" w:hAnsi="Arial" w:cs="Arial"/>
          <w:noProof/>
          <w:sz w:val="24"/>
          <w:szCs w:val="24"/>
          <w:lang w:val="en-AU"/>
        </w:rPr>
        <w:t>toxicity</w:t>
      </w:r>
      <w:r w:rsidR="00EE0CCC">
        <w:rPr>
          <w:rFonts w:ascii="Arial" w:hAnsi="Arial" w:cs="Arial"/>
          <w:noProof/>
          <w:sz w:val="24"/>
          <w:szCs w:val="24"/>
          <w:lang w:val="en-AU"/>
        </w:rPr>
        <w:t xml:space="preserve"> </w:t>
      </w:r>
      <w:r w:rsidRPr="007D322B">
        <w:rPr>
          <w:rFonts w:ascii="Arial" w:hAnsi="Arial" w:cs="Arial"/>
          <w:noProof/>
          <w:sz w:val="24"/>
          <w:szCs w:val="24"/>
          <w:lang w:val="en-AU"/>
        </w:rPr>
        <w:t>scale).</w:t>
      </w:r>
      <w:r w:rsidR="00EE0CCC">
        <w:rPr>
          <w:rFonts w:ascii="Arial" w:hAnsi="Arial" w:cs="Arial"/>
          <w:noProof/>
          <w:sz w:val="24"/>
          <w:szCs w:val="24"/>
          <w:lang w:val="en-AU"/>
        </w:rPr>
        <w:t xml:space="preserve"> </w:t>
      </w:r>
      <w:r w:rsidRPr="007D322B">
        <w:rPr>
          <w:rFonts w:ascii="Arial" w:hAnsi="Arial" w:cs="Arial"/>
          <w:noProof/>
          <w:sz w:val="24"/>
          <w:szCs w:val="24"/>
          <w:lang w:val="en-AU"/>
        </w:rPr>
        <w:t>In</w:t>
      </w:r>
      <w:r w:rsidR="00EE0CCC">
        <w:rPr>
          <w:rFonts w:ascii="Arial" w:hAnsi="Arial" w:cs="Arial"/>
          <w:noProof/>
          <w:sz w:val="24"/>
          <w:szCs w:val="24"/>
          <w:lang w:val="en-AU"/>
        </w:rPr>
        <w:t xml:space="preserve"> </w:t>
      </w:r>
      <w:r w:rsidRPr="007D322B">
        <w:rPr>
          <w:rFonts w:ascii="Arial" w:hAnsi="Arial" w:cs="Arial"/>
          <w:noProof/>
          <w:sz w:val="24"/>
          <w:szCs w:val="24"/>
          <w:lang w:val="en-AU"/>
        </w:rPr>
        <w:t>case</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any</w:t>
      </w:r>
      <w:r w:rsidR="00EE0CCC">
        <w:rPr>
          <w:rFonts w:ascii="Arial" w:hAnsi="Arial" w:cs="Arial"/>
          <w:noProof/>
          <w:sz w:val="24"/>
          <w:szCs w:val="24"/>
          <w:lang w:val="en-AU"/>
        </w:rPr>
        <w:t xml:space="preserve"> </w:t>
      </w:r>
      <w:r w:rsidRPr="007D322B">
        <w:rPr>
          <w:rFonts w:ascii="Arial" w:hAnsi="Arial" w:cs="Arial"/>
          <w:noProof/>
          <w:sz w:val="24"/>
          <w:szCs w:val="24"/>
          <w:lang w:val="en-AU"/>
        </w:rPr>
        <w:t>eye</w:t>
      </w:r>
      <w:r w:rsidR="00EE0CCC">
        <w:rPr>
          <w:rFonts w:ascii="Arial" w:hAnsi="Arial" w:cs="Arial"/>
          <w:noProof/>
          <w:sz w:val="24"/>
          <w:szCs w:val="24"/>
          <w:lang w:val="en-AU"/>
        </w:rPr>
        <w:t xml:space="preserve"> </w:t>
      </w:r>
      <w:r w:rsidRPr="007D322B">
        <w:rPr>
          <w:rFonts w:ascii="Arial" w:hAnsi="Arial" w:cs="Arial"/>
          <w:noProof/>
          <w:sz w:val="24"/>
          <w:szCs w:val="24"/>
          <w:lang w:val="en-AU"/>
        </w:rPr>
        <w:t>problems,</w:t>
      </w:r>
      <w:r w:rsidR="00EE0CCC">
        <w:rPr>
          <w:rFonts w:ascii="Arial" w:hAnsi="Arial" w:cs="Arial"/>
          <w:noProof/>
          <w:sz w:val="24"/>
          <w:szCs w:val="24"/>
          <w:lang w:val="en-AU"/>
        </w:rPr>
        <w:t xml:space="preserve"> </w:t>
      </w:r>
      <w:r w:rsidRPr="007D322B">
        <w:rPr>
          <w:rFonts w:ascii="Arial" w:hAnsi="Arial" w:cs="Arial"/>
          <w:noProof/>
          <w:sz w:val="24"/>
          <w:szCs w:val="24"/>
          <w:lang w:val="en-AU"/>
        </w:rPr>
        <w:t>patients</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referred</w:t>
      </w:r>
      <w:r w:rsidR="00EE0CCC">
        <w:rPr>
          <w:rFonts w:ascii="Arial" w:hAnsi="Arial" w:cs="Arial"/>
          <w:noProof/>
          <w:sz w:val="24"/>
          <w:szCs w:val="24"/>
          <w:lang w:val="en-AU"/>
        </w:rPr>
        <w:t xml:space="preserve"> </w:t>
      </w:r>
      <w:r w:rsidRPr="007D322B">
        <w:rPr>
          <w:rFonts w:ascii="Arial" w:hAnsi="Arial" w:cs="Arial"/>
          <w:noProof/>
          <w:sz w:val="24"/>
          <w:szCs w:val="24"/>
          <w:lang w:val="en-AU"/>
        </w:rPr>
        <w:t>promptly</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an</w:t>
      </w:r>
      <w:r w:rsidR="00EE0CCC">
        <w:rPr>
          <w:rFonts w:ascii="Arial" w:hAnsi="Arial" w:cs="Arial"/>
          <w:noProof/>
          <w:sz w:val="24"/>
          <w:szCs w:val="24"/>
          <w:lang w:val="en-AU"/>
        </w:rPr>
        <w:t xml:space="preserve"> </w:t>
      </w:r>
      <w:r w:rsidRPr="007D322B">
        <w:rPr>
          <w:rFonts w:ascii="Arial" w:hAnsi="Arial" w:cs="Arial"/>
          <w:noProof/>
          <w:sz w:val="24"/>
          <w:szCs w:val="24"/>
          <w:lang w:val="en-AU"/>
        </w:rPr>
        <w:t>opht</w:t>
      </w:r>
      <w:r w:rsidR="00AA5668">
        <w:rPr>
          <w:rFonts w:ascii="Arial" w:hAnsi="Arial" w:cs="Arial"/>
          <w:noProof/>
          <w:sz w:val="24"/>
          <w:szCs w:val="24"/>
          <w:lang w:val="en-AU"/>
        </w:rPr>
        <w:t>h</w:t>
      </w:r>
      <w:r w:rsidRPr="007D322B">
        <w:rPr>
          <w:rFonts w:ascii="Arial" w:hAnsi="Arial" w:cs="Arial"/>
          <w:noProof/>
          <w:sz w:val="24"/>
          <w:szCs w:val="24"/>
          <w:lang w:val="en-AU"/>
        </w:rPr>
        <w:t>almology</w:t>
      </w:r>
      <w:r w:rsidR="00EE0CCC">
        <w:rPr>
          <w:rFonts w:ascii="Arial" w:hAnsi="Arial" w:cs="Arial"/>
          <w:noProof/>
          <w:sz w:val="24"/>
          <w:szCs w:val="24"/>
          <w:lang w:val="en-AU"/>
        </w:rPr>
        <w:t xml:space="preserve"> </w:t>
      </w:r>
      <w:r w:rsidRPr="007D322B">
        <w:rPr>
          <w:rFonts w:ascii="Arial" w:hAnsi="Arial" w:cs="Arial"/>
          <w:noProof/>
          <w:sz w:val="24"/>
          <w:szCs w:val="24"/>
          <w:lang w:val="en-AU"/>
        </w:rPr>
        <w:t>specialist.</w:t>
      </w:r>
    </w:p>
    <w:p w:rsidR="001B3E6D" w:rsidRPr="007D322B" w:rsidRDefault="001B3E6D" w:rsidP="001B3E6D">
      <w:pPr>
        <w:rPr>
          <w:rFonts w:ascii="Arial" w:hAnsi="Arial" w:cs="Arial"/>
          <w:noProof/>
        </w:rPr>
      </w:pPr>
    </w:p>
    <w:p w:rsidR="001B3E6D" w:rsidRPr="007D322B" w:rsidRDefault="001B3E6D" w:rsidP="001B3E6D">
      <w:pPr>
        <w:keepNext/>
        <w:keepLines/>
        <w:rPr>
          <w:rFonts w:ascii="Arial" w:hAnsi="Arial" w:cs="Arial"/>
          <w:b/>
          <w:bCs/>
          <w:noProof/>
        </w:rPr>
      </w:pPr>
      <w:r w:rsidRPr="007D322B">
        <w:rPr>
          <w:rFonts w:ascii="Arial" w:hAnsi="Arial" w:cs="Arial"/>
          <w:b/>
          <w:bCs/>
          <w:noProof/>
        </w:rPr>
        <w:lastRenderedPageBreak/>
        <w:t>Peripheral</w:t>
      </w:r>
      <w:r w:rsidR="00EE0CCC">
        <w:rPr>
          <w:rFonts w:ascii="Arial" w:hAnsi="Arial" w:cs="Arial"/>
          <w:b/>
          <w:bCs/>
          <w:noProof/>
        </w:rPr>
        <w:t xml:space="preserve"> </w:t>
      </w:r>
      <w:r w:rsidRPr="007D322B">
        <w:rPr>
          <w:rFonts w:ascii="Arial" w:hAnsi="Arial" w:cs="Arial"/>
          <w:b/>
          <w:bCs/>
          <w:noProof/>
        </w:rPr>
        <w:t>neuropathy</w:t>
      </w:r>
    </w:p>
    <w:p w:rsidR="001B3E6D" w:rsidRPr="007D322B" w:rsidRDefault="001B3E6D" w:rsidP="001B3E6D">
      <w:pPr>
        <w:pStyle w:val="BodytextAgency"/>
        <w:keepNext/>
        <w:keepLines/>
        <w:spacing w:after="0" w:line="240" w:lineRule="auto"/>
        <w:rPr>
          <w:rFonts w:ascii="Arial" w:hAnsi="Arial" w:cs="Arial"/>
          <w:sz w:val="24"/>
          <w:szCs w:val="24"/>
          <w:lang w:val="en-AU"/>
        </w:rPr>
      </w:pPr>
      <w:r w:rsidRPr="007D322B">
        <w:rPr>
          <w:rFonts w:ascii="Arial" w:hAnsi="Arial" w:cs="Arial"/>
          <w:noProof/>
          <w:sz w:val="24"/>
          <w:szCs w:val="24"/>
          <w:lang w:val="en-AU"/>
        </w:rPr>
        <w:t>Occasional</w:t>
      </w:r>
      <w:r w:rsidR="00EE0CCC">
        <w:rPr>
          <w:rFonts w:ascii="Arial" w:hAnsi="Arial" w:cs="Arial"/>
          <w:noProof/>
          <w:sz w:val="24"/>
          <w:szCs w:val="24"/>
          <w:lang w:val="en-AU"/>
        </w:rPr>
        <w:t xml:space="preserve"> </w:t>
      </w:r>
      <w:r w:rsidRPr="007D322B">
        <w:rPr>
          <w:rFonts w:ascii="Arial" w:hAnsi="Arial" w:cs="Arial"/>
          <w:noProof/>
          <w:sz w:val="24"/>
          <w:szCs w:val="24"/>
          <w:lang w:val="en-AU"/>
        </w:rPr>
        <w:t>occurrences</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peripheral</w:t>
      </w:r>
      <w:r w:rsidR="00EE0CCC">
        <w:rPr>
          <w:rFonts w:ascii="Arial" w:hAnsi="Arial" w:cs="Arial"/>
          <w:noProof/>
          <w:sz w:val="24"/>
          <w:szCs w:val="24"/>
          <w:lang w:val="en-AU"/>
        </w:rPr>
        <w:t xml:space="preserve"> </w:t>
      </w:r>
      <w:r w:rsidRPr="007D322B">
        <w:rPr>
          <w:rFonts w:ascii="Arial" w:hAnsi="Arial" w:cs="Arial"/>
          <w:noProof/>
          <w:sz w:val="24"/>
          <w:szCs w:val="24"/>
          <w:lang w:val="en-AU"/>
        </w:rPr>
        <w:t>neuropathy</w:t>
      </w:r>
      <w:r w:rsidR="00EE0CCC">
        <w:rPr>
          <w:rFonts w:ascii="Arial" w:hAnsi="Arial" w:cs="Arial"/>
          <w:noProof/>
          <w:sz w:val="24"/>
          <w:szCs w:val="24"/>
          <w:lang w:val="en-AU"/>
        </w:rPr>
        <w:t xml:space="preserve"> </w:t>
      </w:r>
      <w:r w:rsidRPr="007D322B">
        <w:rPr>
          <w:rFonts w:ascii="Arial" w:hAnsi="Arial" w:cs="Arial"/>
          <w:noProof/>
          <w:sz w:val="24"/>
          <w:szCs w:val="24"/>
          <w:lang w:val="en-AU"/>
        </w:rPr>
        <w:t>have</w:t>
      </w:r>
      <w:r w:rsidR="00EE0CCC">
        <w:rPr>
          <w:rFonts w:ascii="Arial" w:hAnsi="Arial" w:cs="Arial"/>
          <w:noProof/>
          <w:sz w:val="24"/>
          <w:szCs w:val="24"/>
          <w:lang w:val="en-AU"/>
        </w:rPr>
        <w:t xml:space="preserve"> </w:t>
      </w:r>
      <w:r w:rsidRPr="007D322B">
        <w:rPr>
          <w:rFonts w:ascii="Arial" w:hAnsi="Arial" w:cs="Arial"/>
          <w:noProof/>
          <w:sz w:val="24"/>
          <w:szCs w:val="24"/>
          <w:lang w:val="en-AU"/>
        </w:rPr>
        <w:t>been</w:t>
      </w:r>
      <w:r w:rsidR="00EE0CCC">
        <w:rPr>
          <w:rFonts w:ascii="Arial" w:hAnsi="Arial" w:cs="Arial"/>
          <w:noProof/>
          <w:sz w:val="24"/>
          <w:szCs w:val="24"/>
          <w:lang w:val="en-AU"/>
        </w:rPr>
        <w:t xml:space="preserve"> </w:t>
      </w:r>
      <w:r w:rsidRPr="007D322B">
        <w:rPr>
          <w:rFonts w:ascii="Arial" w:hAnsi="Arial" w:cs="Arial"/>
          <w:noProof/>
          <w:sz w:val="24"/>
          <w:szCs w:val="24"/>
          <w:lang w:val="en-AU"/>
        </w:rPr>
        <w:t>reported</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008C1D88" w:rsidRPr="007D322B">
        <w:rPr>
          <w:rFonts w:ascii="Arial" w:hAnsi="Arial" w:cs="Arial"/>
          <w:sz w:val="24"/>
          <w:szCs w:val="24"/>
          <w:lang w:val="en-AU"/>
        </w:rPr>
        <w:t>QARZIBA</w:t>
      </w:r>
      <w:r w:rsidRPr="007D322B">
        <w:rPr>
          <w:rFonts w:ascii="Arial" w:hAnsi="Arial" w:cs="Arial"/>
          <w:noProof/>
          <w:sz w:val="24"/>
          <w:szCs w:val="24"/>
          <w:lang w:val="en-AU"/>
        </w:rPr>
        <w:t>.</w:t>
      </w:r>
      <w:r w:rsidR="00EE0CCC">
        <w:rPr>
          <w:rFonts w:ascii="Arial" w:hAnsi="Arial" w:cs="Arial"/>
          <w:noProof/>
          <w:sz w:val="24"/>
          <w:szCs w:val="24"/>
          <w:lang w:val="en-AU"/>
        </w:rPr>
        <w:t xml:space="preserve"> </w:t>
      </w:r>
      <w:r w:rsidRPr="007D322B">
        <w:rPr>
          <w:rFonts w:ascii="Arial" w:hAnsi="Arial" w:cs="Arial"/>
          <w:sz w:val="24"/>
          <w:szCs w:val="24"/>
          <w:lang w:val="en-AU"/>
        </w:rPr>
        <w:t>Cases</w:t>
      </w:r>
      <w:r w:rsidR="00EE0CCC">
        <w:rPr>
          <w:rFonts w:ascii="Arial" w:hAnsi="Arial" w:cs="Arial"/>
          <w:sz w:val="24"/>
          <w:szCs w:val="24"/>
          <w:lang w:val="en-AU"/>
        </w:rPr>
        <w:t xml:space="preserve"> </w:t>
      </w:r>
      <w:r w:rsidRPr="007D322B">
        <w:rPr>
          <w:rFonts w:ascii="Arial" w:hAnsi="Arial" w:cs="Arial"/>
          <w:sz w:val="24"/>
          <w:szCs w:val="24"/>
          <w:lang w:val="en-AU"/>
        </w:rPr>
        <w:t>of</w:t>
      </w:r>
      <w:r w:rsidR="00EE0CCC">
        <w:rPr>
          <w:rFonts w:ascii="Arial" w:hAnsi="Arial" w:cs="Arial"/>
          <w:sz w:val="24"/>
          <w:szCs w:val="24"/>
          <w:lang w:val="en-AU"/>
        </w:rPr>
        <w:t xml:space="preserve"> </w:t>
      </w:r>
      <w:r w:rsidRPr="007D322B">
        <w:rPr>
          <w:rFonts w:ascii="Arial" w:hAnsi="Arial" w:cs="Arial"/>
          <w:sz w:val="24"/>
          <w:szCs w:val="24"/>
          <w:lang w:val="en-AU"/>
        </w:rPr>
        <w:t>motor</w:t>
      </w:r>
      <w:r w:rsidR="00EE0CCC">
        <w:rPr>
          <w:rFonts w:ascii="Arial" w:hAnsi="Arial" w:cs="Arial"/>
          <w:sz w:val="24"/>
          <w:szCs w:val="24"/>
          <w:lang w:val="en-AU"/>
        </w:rPr>
        <w:t xml:space="preserve"> </w:t>
      </w:r>
      <w:r w:rsidRPr="007D322B">
        <w:rPr>
          <w:rFonts w:ascii="Arial" w:hAnsi="Arial" w:cs="Arial"/>
          <w:sz w:val="24"/>
          <w:szCs w:val="24"/>
          <w:lang w:val="en-AU"/>
        </w:rPr>
        <w:t>or</w:t>
      </w:r>
      <w:r w:rsidR="00EE0CCC">
        <w:rPr>
          <w:rFonts w:ascii="Arial" w:hAnsi="Arial" w:cs="Arial"/>
          <w:sz w:val="24"/>
          <w:szCs w:val="24"/>
          <w:lang w:val="en-AU"/>
        </w:rPr>
        <w:t xml:space="preserve"> </w:t>
      </w:r>
      <w:r w:rsidRPr="007D322B">
        <w:rPr>
          <w:rFonts w:ascii="Arial" w:hAnsi="Arial" w:cs="Arial"/>
          <w:sz w:val="24"/>
          <w:szCs w:val="24"/>
          <w:lang w:val="en-AU"/>
        </w:rPr>
        <w:t>sensory</w:t>
      </w:r>
      <w:r w:rsidR="00EE0CCC">
        <w:rPr>
          <w:rFonts w:ascii="Arial" w:hAnsi="Arial" w:cs="Arial"/>
          <w:sz w:val="24"/>
          <w:szCs w:val="24"/>
          <w:lang w:val="en-AU"/>
        </w:rPr>
        <w:t xml:space="preserve"> </w:t>
      </w:r>
      <w:r w:rsidRPr="007D322B">
        <w:rPr>
          <w:rFonts w:ascii="Arial" w:hAnsi="Arial" w:cs="Arial"/>
          <w:sz w:val="24"/>
          <w:szCs w:val="24"/>
          <w:lang w:val="en-AU"/>
        </w:rPr>
        <w:t>neuropathy</w:t>
      </w:r>
      <w:r w:rsidR="00EE0CCC">
        <w:rPr>
          <w:rFonts w:ascii="Arial" w:hAnsi="Arial" w:cs="Arial"/>
          <w:sz w:val="24"/>
          <w:szCs w:val="24"/>
          <w:lang w:val="en-AU"/>
        </w:rPr>
        <w:t xml:space="preserve"> </w:t>
      </w:r>
      <w:r w:rsidRPr="007D322B">
        <w:rPr>
          <w:rFonts w:ascii="Arial" w:hAnsi="Arial" w:cs="Arial"/>
          <w:sz w:val="24"/>
          <w:szCs w:val="24"/>
          <w:lang w:val="en-AU"/>
        </w:rPr>
        <w:t>lasting</w:t>
      </w:r>
      <w:r w:rsidR="00EE0CCC">
        <w:rPr>
          <w:rFonts w:ascii="Arial" w:hAnsi="Arial" w:cs="Arial"/>
          <w:sz w:val="24"/>
          <w:szCs w:val="24"/>
          <w:lang w:val="en-AU"/>
        </w:rPr>
        <w:t xml:space="preserve"> </w:t>
      </w:r>
      <w:r w:rsidRPr="007D322B">
        <w:rPr>
          <w:rFonts w:ascii="Arial" w:hAnsi="Arial" w:cs="Arial"/>
          <w:sz w:val="24"/>
          <w:szCs w:val="24"/>
          <w:lang w:val="en-AU"/>
        </w:rPr>
        <w:t>more</w:t>
      </w:r>
      <w:r w:rsidR="00EE0CCC">
        <w:rPr>
          <w:rFonts w:ascii="Arial" w:hAnsi="Arial" w:cs="Arial"/>
          <w:sz w:val="24"/>
          <w:szCs w:val="24"/>
          <w:lang w:val="en-AU"/>
        </w:rPr>
        <w:t xml:space="preserve"> </w:t>
      </w:r>
      <w:r w:rsidRPr="007D322B">
        <w:rPr>
          <w:rFonts w:ascii="Arial" w:hAnsi="Arial" w:cs="Arial"/>
          <w:sz w:val="24"/>
          <w:szCs w:val="24"/>
          <w:lang w:val="en-AU"/>
        </w:rPr>
        <w:t>than</w:t>
      </w:r>
      <w:r w:rsidR="00EE0CCC">
        <w:rPr>
          <w:rFonts w:ascii="Arial" w:hAnsi="Arial" w:cs="Arial"/>
          <w:sz w:val="24"/>
          <w:szCs w:val="24"/>
          <w:lang w:val="en-AU"/>
        </w:rPr>
        <w:t xml:space="preserve"> </w:t>
      </w:r>
      <w:r w:rsidRPr="007D322B">
        <w:rPr>
          <w:rFonts w:ascii="Arial" w:hAnsi="Arial" w:cs="Arial"/>
          <w:sz w:val="24"/>
          <w:szCs w:val="24"/>
          <w:lang w:val="en-AU"/>
        </w:rPr>
        <w:t>4</w:t>
      </w:r>
      <w:r w:rsidR="00EE0CCC">
        <w:rPr>
          <w:rFonts w:ascii="Arial" w:hAnsi="Arial" w:cs="Arial"/>
          <w:sz w:val="24"/>
          <w:szCs w:val="24"/>
          <w:lang w:val="en-AU"/>
        </w:rPr>
        <w:t xml:space="preserve"> </w:t>
      </w:r>
      <w:r w:rsidRPr="007D322B">
        <w:rPr>
          <w:rFonts w:ascii="Arial" w:hAnsi="Arial" w:cs="Arial"/>
          <w:sz w:val="24"/>
          <w:szCs w:val="24"/>
          <w:lang w:val="en-AU"/>
        </w:rPr>
        <w:t>days</w:t>
      </w:r>
      <w:r w:rsidR="00EE0CCC">
        <w:rPr>
          <w:rFonts w:ascii="Arial" w:hAnsi="Arial" w:cs="Arial"/>
          <w:sz w:val="24"/>
          <w:szCs w:val="24"/>
          <w:lang w:val="en-AU"/>
        </w:rPr>
        <w:t xml:space="preserve"> </w:t>
      </w:r>
      <w:r w:rsidRPr="007D322B">
        <w:rPr>
          <w:rFonts w:ascii="Arial" w:hAnsi="Arial" w:cs="Arial"/>
          <w:sz w:val="24"/>
          <w:szCs w:val="24"/>
          <w:lang w:val="en-AU"/>
        </w:rPr>
        <w:t>must</w:t>
      </w:r>
      <w:r w:rsidR="00EE0CCC">
        <w:rPr>
          <w:rFonts w:ascii="Arial" w:hAnsi="Arial" w:cs="Arial"/>
          <w:sz w:val="24"/>
          <w:szCs w:val="24"/>
          <w:lang w:val="en-AU"/>
        </w:rPr>
        <w:t xml:space="preserve"> </w:t>
      </w:r>
      <w:r w:rsidRPr="007D322B">
        <w:rPr>
          <w:rFonts w:ascii="Arial" w:hAnsi="Arial" w:cs="Arial"/>
          <w:sz w:val="24"/>
          <w:szCs w:val="24"/>
          <w:lang w:val="en-AU"/>
        </w:rPr>
        <w:t>be</w:t>
      </w:r>
      <w:r w:rsidR="00EE0CCC">
        <w:rPr>
          <w:rFonts w:ascii="Arial" w:hAnsi="Arial" w:cs="Arial"/>
          <w:sz w:val="24"/>
          <w:szCs w:val="24"/>
          <w:lang w:val="en-AU"/>
        </w:rPr>
        <w:t xml:space="preserve"> </w:t>
      </w:r>
      <w:r w:rsidRPr="007D322B">
        <w:rPr>
          <w:rFonts w:ascii="Arial" w:hAnsi="Arial" w:cs="Arial"/>
          <w:sz w:val="24"/>
          <w:szCs w:val="24"/>
          <w:lang w:val="en-AU"/>
        </w:rPr>
        <w:t>evaluated</w:t>
      </w:r>
      <w:r w:rsidR="00EE0CCC">
        <w:rPr>
          <w:rFonts w:ascii="Arial" w:hAnsi="Arial" w:cs="Arial"/>
          <w:sz w:val="24"/>
          <w:szCs w:val="24"/>
          <w:lang w:val="en-AU"/>
        </w:rPr>
        <w:t xml:space="preserve"> </w:t>
      </w:r>
      <w:r w:rsidRPr="007D322B">
        <w:rPr>
          <w:rFonts w:ascii="Arial" w:hAnsi="Arial" w:cs="Arial"/>
          <w:sz w:val="24"/>
          <w:szCs w:val="24"/>
          <w:lang w:val="en-AU"/>
        </w:rPr>
        <w:t>and</w:t>
      </w:r>
      <w:r w:rsidR="00EE0CCC">
        <w:rPr>
          <w:rFonts w:ascii="Arial" w:hAnsi="Arial" w:cs="Arial"/>
          <w:sz w:val="24"/>
          <w:szCs w:val="24"/>
          <w:lang w:val="en-AU"/>
        </w:rPr>
        <w:t xml:space="preserve"> </w:t>
      </w:r>
      <w:r w:rsidRPr="007D322B">
        <w:rPr>
          <w:rFonts w:ascii="Arial" w:hAnsi="Arial" w:cs="Arial"/>
          <w:sz w:val="24"/>
          <w:szCs w:val="24"/>
          <w:lang w:val="en-AU"/>
        </w:rPr>
        <w:t>non-inflammatory</w:t>
      </w:r>
      <w:r w:rsidR="00EE0CCC">
        <w:rPr>
          <w:rFonts w:ascii="Arial" w:hAnsi="Arial" w:cs="Arial"/>
          <w:sz w:val="24"/>
          <w:szCs w:val="24"/>
          <w:lang w:val="en-AU"/>
        </w:rPr>
        <w:t xml:space="preserve"> </w:t>
      </w:r>
      <w:r w:rsidRPr="007D322B">
        <w:rPr>
          <w:rFonts w:ascii="Arial" w:hAnsi="Arial" w:cs="Arial"/>
          <w:sz w:val="24"/>
          <w:szCs w:val="24"/>
          <w:lang w:val="en-AU"/>
        </w:rPr>
        <w:t>causes,</w:t>
      </w:r>
      <w:r w:rsidR="00EE0CCC">
        <w:rPr>
          <w:rFonts w:ascii="Arial" w:hAnsi="Arial" w:cs="Arial"/>
          <w:sz w:val="24"/>
          <w:szCs w:val="24"/>
          <w:lang w:val="en-AU"/>
        </w:rPr>
        <w:t xml:space="preserve"> </w:t>
      </w:r>
      <w:r w:rsidRPr="007D322B">
        <w:rPr>
          <w:rFonts w:ascii="Arial" w:hAnsi="Arial" w:cs="Arial"/>
          <w:sz w:val="24"/>
          <w:szCs w:val="24"/>
          <w:lang w:val="en-AU"/>
        </w:rPr>
        <w:t>such</w:t>
      </w:r>
      <w:r w:rsidR="00EE0CCC">
        <w:rPr>
          <w:rFonts w:ascii="Arial" w:hAnsi="Arial" w:cs="Arial"/>
          <w:sz w:val="24"/>
          <w:szCs w:val="24"/>
          <w:lang w:val="en-AU"/>
        </w:rPr>
        <w:t xml:space="preserve"> </w:t>
      </w:r>
      <w:r w:rsidRPr="007D322B">
        <w:rPr>
          <w:rFonts w:ascii="Arial" w:hAnsi="Arial" w:cs="Arial"/>
          <w:sz w:val="24"/>
          <w:szCs w:val="24"/>
          <w:lang w:val="en-AU"/>
        </w:rPr>
        <w:t>as</w:t>
      </w:r>
      <w:r w:rsidR="00EE0CCC">
        <w:rPr>
          <w:rFonts w:ascii="Arial" w:hAnsi="Arial" w:cs="Arial"/>
          <w:sz w:val="24"/>
          <w:szCs w:val="24"/>
          <w:lang w:val="en-AU"/>
        </w:rPr>
        <w:t xml:space="preserve"> </w:t>
      </w:r>
      <w:r w:rsidRPr="007D322B">
        <w:rPr>
          <w:rFonts w:ascii="Arial" w:hAnsi="Arial" w:cs="Arial"/>
          <w:sz w:val="24"/>
          <w:szCs w:val="24"/>
          <w:lang w:val="en-AU"/>
        </w:rPr>
        <w:t>disease</w:t>
      </w:r>
      <w:r w:rsidR="00EE0CCC">
        <w:rPr>
          <w:rFonts w:ascii="Arial" w:hAnsi="Arial" w:cs="Arial"/>
          <w:sz w:val="24"/>
          <w:szCs w:val="24"/>
          <w:lang w:val="en-AU"/>
        </w:rPr>
        <w:t xml:space="preserve"> </w:t>
      </w:r>
      <w:r w:rsidRPr="007D322B">
        <w:rPr>
          <w:rFonts w:ascii="Arial" w:hAnsi="Arial" w:cs="Arial"/>
          <w:sz w:val="24"/>
          <w:szCs w:val="24"/>
          <w:lang w:val="en-AU"/>
        </w:rPr>
        <w:t>progression,</w:t>
      </w:r>
      <w:r w:rsidR="00EE0CCC">
        <w:rPr>
          <w:rFonts w:ascii="Arial" w:hAnsi="Arial" w:cs="Arial"/>
          <w:sz w:val="24"/>
          <w:szCs w:val="24"/>
          <w:lang w:val="en-AU"/>
        </w:rPr>
        <w:t xml:space="preserve"> </w:t>
      </w:r>
      <w:r w:rsidRPr="007D322B">
        <w:rPr>
          <w:rFonts w:ascii="Arial" w:hAnsi="Arial" w:cs="Arial"/>
          <w:sz w:val="24"/>
          <w:szCs w:val="24"/>
          <w:lang w:val="en-AU"/>
        </w:rPr>
        <w:t>infections,</w:t>
      </w:r>
      <w:r w:rsidR="00EE0CCC">
        <w:rPr>
          <w:rFonts w:ascii="Arial" w:hAnsi="Arial" w:cs="Arial"/>
          <w:sz w:val="24"/>
          <w:szCs w:val="24"/>
          <w:lang w:val="en-AU"/>
        </w:rPr>
        <w:t xml:space="preserve"> </w:t>
      </w:r>
      <w:r w:rsidRPr="007D322B">
        <w:rPr>
          <w:rFonts w:ascii="Arial" w:hAnsi="Arial" w:cs="Arial"/>
          <w:sz w:val="24"/>
          <w:szCs w:val="24"/>
          <w:lang w:val="en-AU"/>
        </w:rPr>
        <w:t>metabolic</w:t>
      </w:r>
      <w:r w:rsidR="00EE0CCC">
        <w:rPr>
          <w:rFonts w:ascii="Arial" w:hAnsi="Arial" w:cs="Arial"/>
          <w:sz w:val="24"/>
          <w:szCs w:val="24"/>
          <w:lang w:val="en-AU"/>
        </w:rPr>
        <w:t xml:space="preserve"> </w:t>
      </w:r>
      <w:r w:rsidRPr="007D322B">
        <w:rPr>
          <w:rFonts w:ascii="Arial" w:hAnsi="Arial" w:cs="Arial"/>
          <w:sz w:val="24"/>
          <w:szCs w:val="24"/>
          <w:lang w:val="en-AU"/>
        </w:rPr>
        <w:t>syndromes</w:t>
      </w:r>
      <w:r w:rsidR="00EE0CCC">
        <w:rPr>
          <w:rFonts w:ascii="Arial" w:hAnsi="Arial" w:cs="Arial"/>
          <w:sz w:val="24"/>
          <w:szCs w:val="24"/>
          <w:lang w:val="en-AU"/>
        </w:rPr>
        <w:t xml:space="preserve"> </w:t>
      </w:r>
      <w:r w:rsidRPr="007D322B">
        <w:rPr>
          <w:rFonts w:ascii="Arial" w:hAnsi="Arial" w:cs="Arial"/>
          <w:sz w:val="24"/>
          <w:szCs w:val="24"/>
          <w:lang w:val="en-AU"/>
        </w:rPr>
        <w:t>and</w:t>
      </w:r>
      <w:r w:rsidR="00EE0CCC">
        <w:rPr>
          <w:rFonts w:ascii="Arial" w:hAnsi="Arial" w:cs="Arial"/>
          <w:sz w:val="24"/>
          <w:szCs w:val="24"/>
          <w:lang w:val="en-AU"/>
        </w:rPr>
        <w:t xml:space="preserve"> </w:t>
      </w:r>
      <w:r w:rsidRPr="007D322B">
        <w:rPr>
          <w:rFonts w:ascii="Arial" w:hAnsi="Arial" w:cs="Arial"/>
          <w:sz w:val="24"/>
          <w:szCs w:val="24"/>
          <w:lang w:val="en-AU"/>
        </w:rPr>
        <w:t>concomitant</w:t>
      </w:r>
      <w:r w:rsidR="00EE0CCC">
        <w:rPr>
          <w:rFonts w:ascii="Arial" w:hAnsi="Arial" w:cs="Arial"/>
          <w:sz w:val="24"/>
          <w:szCs w:val="24"/>
          <w:lang w:val="en-AU"/>
        </w:rPr>
        <w:t xml:space="preserve"> </w:t>
      </w:r>
      <w:r w:rsidRPr="007D322B">
        <w:rPr>
          <w:rFonts w:ascii="Arial" w:hAnsi="Arial" w:cs="Arial"/>
          <w:sz w:val="24"/>
          <w:szCs w:val="24"/>
          <w:lang w:val="en-AU"/>
        </w:rPr>
        <w:t>medication,</w:t>
      </w:r>
      <w:r w:rsidR="00EE0CCC">
        <w:rPr>
          <w:rFonts w:ascii="Arial" w:hAnsi="Arial" w:cs="Arial"/>
          <w:sz w:val="24"/>
          <w:szCs w:val="24"/>
          <w:lang w:val="en-AU"/>
        </w:rPr>
        <w:t xml:space="preserve"> </w:t>
      </w:r>
      <w:r w:rsidRPr="007D322B">
        <w:rPr>
          <w:rFonts w:ascii="Arial" w:hAnsi="Arial" w:cs="Arial"/>
          <w:sz w:val="24"/>
          <w:szCs w:val="24"/>
          <w:lang w:val="en-AU"/>
        </w:rPr>
        <w:t>should</w:t>
      </w:r>
      <w:r w:rsidR="00EE0CCC">
        <w:rPr>
          <w:rFonts w:ascii="Arial" w:hAnsi="Arial" w:cs="Arial"/>
          <w:sz w:val="24"/>
          <w:szCs w:val="24"/>
          <w:lang w:val="en-AU"/>
        </w:rPr>
        <w:t xml:space="preserve"> </w:t>
      </w:r>
      <w:r w:rsidRPr="007D322B">
        <w:rPr>
          <w:rFonts w:ascii="Arial" w:hAnsi="Arial" w:cs="Arial"/>
          <w:sz w:val="24"/>
          <w:szCs w:val="24"/>
          <w:lang w:val="en-AU"/>
        </w:rPr>
        <w:t>be</w:t>
      </w:r>
      <w:r w:rsidR="00EE0CCC">
        <w:rPr>
          <w:rFonts w:ascii="Arial" w:hAnsi="Arial" w:cs="Arial"/>
          <w:sz w:val="24"/>
          <w:szCs w:val="24"/>
          <w:lang w:val="en-AU"/>
        </w:rPr>
        <w:t xml:space="preserve"> </w:t>
      </w:r>
      <w:r w:rsidRPr="007D322B">
        <w:rPr>
          <w:rFonts w:ascii="Arial" w:hAnsi="Arial" w:cs="Arial"/>
          <w:sz w:val="24"/>
          <w:szCs w:val="24"/>
          <w:lang w:val="en-AU"/>
        </w:rPr>
        <w:t>excluded.</w:t>
      </w:r>
    </w:p>
    <w:p w:rsidR="001B3E6D" w:rsidRPr="007D322B" w:rsidRDefault="001B3E6D" w:rsidP="001B3E6D">
      <w:pPr>
        <w:pStyle w:val="BodytextAgency"/>
        <w:spacing w:after="0" w:line="240" w:lineRule="auto"/>
        <w:rPr>
          <w:rFonts w:ascii="Arial" w:hAnsi="Arial" w:cs="Arial"/>
          <w:sz w:val="24"/>
          <w:szCs w:val="24"/>
          <w:lang w:val="en-AU"/>
        </w:rPr>
      </w:pPr>
    </w:p>
    <w:p w:rsidR="001B3E6D" w:rsidRPr="007D322B" w:rsidRDefault="001B3E6D" w:rsidP="001B3E6D">
      <w:pPr>
        <w:pStyle w:val="BodytextAgency"/>
        <w:spacing w:after="0" w:line="240" w:lineRule="auto"/>
        <w:rPr>
          <w:rFonts w:ascii="Arial" w:hAnsi="Arial" w:cs="Arial"/>
          <w:noProof/>
          <w:sz w:val="24"/>
          <w:szCs w:val="24"/>
          <w:lang w:val="en-AU"/>
        </w:rPr>
      </w:pP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permanently</w:t>
      </w:r>
      <w:r w:rsidR="00EE0CCC">
        <w:rPr>
          <w:rFonts w:ascii="Arial" w:hAnsi="Arial" w:cs="Arial"/>
          <w:noProof/>
          <w:sz w:val="24"/>
          <w:szCs w:val="24"/>
          <w:lang w:val="en-AU"/>
        </w:rPr>
        <w:t xml:space="preserve"> </w:t>
      </w:r>
      <w:r w:rsidRPr="007D322B">
        <w:rPr>
          <w:rFonts w:ascii="Arial" w:hAnsi="Arial" w:cs="Arial"/>
          <w:noProof/>
          <w:sz w:val="24"/>
          <w:szCs w:val="24"/>
          <w:lang w:val="en-AU"/>
        </w:rPr>
        <w:t>discontinued</w:t>
      </w:r>
      <w:r w:rsidR="00EE0CCC">
        <w:rPr>
          <w:rFonts w:ascii="Arial" w:hAnsi="Arial" w:cs="Arial"/>
          <w:noProof/>
          <w:sz w:val="24"/>
          <w:szCs w:val="24"/>
          <w:lang w:val="en-AU"/>
        </w:rPr>
        <w:t xml:space="preserve"> </w:t>
      </w:r>
      <w:r w:rsidRPr="007D322B">
        <w:rPr>
          <w:rFonts w:ascii="Arial" w:hAnsi="Arial" w:cs="Arial"/>
          <w:noProof/>
          <w:sz w:val="24"/>
          <w:szCs w:val="24"/>
          <w:lang w:val="en-AU"/>
        </w:rPr>
        <w:t>in</w:t>
      </w:r>
      <w:r w:rsidR="00EE0CCC">
        <w:rPr>
          <w:rFonts w:ascii="Arial" w:hAnsi="Arial" w:cs="Arial"/>
          <w:noProof/>
          <w:sz w:val="24"/>
          <w:szCs w:val="24"/>
          <w:lang w:val="en-AU"/>
        </w:rPr>
        <w:t xml:space="preserve"> </w:t>
      </w:r>
      <w:r w:rsidRPr="007D322B">
        <w:rPr>
          <w:rFonts w:ascii="Arial" w:hAnsi="Arial" w:cs="Arial"/>
          <w:noProof/>
          <w:sz w:val="24"/>
          <w:szCs w:val="24"/>
          <w:lang w:val="en-AU"/>
        </w:rPr>
        <w:t>patients</w:t>
      </w:r>
      <w:r w:rsidR="00EE0CCC">
        <w:rPr>
          <w:rFonts w:ascii="Arial" w:hAnsi="Arial" w:cs="Arial"/>
          <w:noProof/>
          <w:sz w:val="24"/>
          <w:szCs w:val="24"/>
          <w:lang w:val="en-AU"/>
        </w:rPr>
        <w:t xml:space="preserve"> </w:t>
      </w:r>
      <w:r w:rsidRPr="007D322B">
        <w:rPr>
          <w:rFonts w:ascii="Arial" w:hAnsi="Arial" w:cs="Arial"/>
          <w:noProof/>
          <w:sz w:val="24"/>
          <w:szCs w:val="24"/>
          <w:lang w:val="en-AU"/>
        </w:rPr>
        <w:t>experiencing</w:t>
      </w:r>
      <w:r w:rsidR="00EE0CCC">
        <w:rPr>
          <w:rFonts w:ascii="Arial" w:hAnsi="Arial" w:cs="Arial"/>
          <w:noProof/>
          <w:sz w:val="24"/>
          <w:szCs w:val="24"/>
          <w:lang w:val="en-AU"/>
        </w:rPr>
        <w:t xml:space="preserve"> </w:t>
      </w:r>
      <w:r w:rsidRPr="007D322B">
        <w:rPr>
          <w:rFonts w:ascii="Arial" w:hAnsi="Arial" w:cs="Arial"/>
          <w:noProof/>
          <w:sz w:val="24"/>
          <w:szCs w:val="24"/>
          <w:lang w:val="en-AU"/>
        </w:rPr>
        <w:t>any</w:t>
      </w:r>
      <w:r w:rsidR="00EE0CCC">
        <w:rPr>
          <w:rFonts w:ascii="Arial" w:hAnsi="Arial" w:cs="Arial"/>
          <w:noProof/>
          <w:sz w:val="24"/>
          <w:szCs w:val="24"/>
          <w:lang w:val="en-AU"/>
        </w:rPr>
        <w:t xml:space="preserve"> </w:t>
      </w:r>
      <w:r w:rsidRPr="007D322B">
        <w:rPr>
          <w:rFonts w:ascii="Arial" w:hAnsi="Arial" w:cs="Arial"/>
          <w:noProof/>
          <w:sz w:val="24"/>
          <w:szCs w:val="24"/>
          <w:lang w:val="en-AU"/>
        </w:rPr>
        <w:t>objective</w:t>
      </w:r>
      <w:r w:rsidR="00EE0CCC">
        <w:rPr>
          <w:rFonts w:ascii="Arial" w:hAnsi="Arial" w:cs="Arial"/>
          <w:noProof/>
          <w:sz w:val="24"/>
          <w:szCs w:val="24"/>
          <w:lang w:val="en-AU"/>
        </w:rPr>
        <w:t xml:space="preserve"> </w:t>
      </w:r>
      <w:r w:rsidRPr="007D322B">
        <w:rPr>
          <w:rFonts w:ascii="Arial" w:hAnsi="Arial" w:cs="Arial"/>
          <w:noProof/>
          <w:sz w:val="24"/>
          <w:szCs w:val="24"/>
          <w:lang w:val="en-AU"/>
        </w:rPr>
        <w:t>prolonged</w:t>
      </w:r>
      <w:r w:rsidR="00EE0CCC">
        <w:rPr>
          <w:rFonts w:ascii="Arial" w:hAnsi="Arial" w:cs="Arial"/>
          <w:noProof/>
          <w:sz w:val="24"/>
          <w:szCs w:val="24"/>
          <w:lang w:val="en-AU"/>
        </w:rPr>
        <w:t xml:space="preserve"> </w:t>
      </w:r>
      <w:r w:rsidRPr="007D322B">
        <w:rPr>
          <w:rFonts w:ascii="Arial" w:hAnsi="Arial" w:cs="Arial"/>
          <w:noProof/>
          <w:sz w:val="24"/>
          <w:szCs w:val="24"/>
          <w:lang w:val="en-AU"/>
        </w:rPr>
        <w:t>weakness</w:t>
      </w:r>
      <w:r w:rsidR="00EE0CCC">
        <w:rPr>
          <w:rFonts w:ascii="Arial" w:hAnsi="Arial" w:cs="Arial"/>
          <w:noProof/>
          <w:sz w:val="24"/>
          <w:szCs w:val="24"/>
          <w:lang w:val="en-AU"/>
        </w:rPr>
        <w:t xml:space="preserve"> </w:t>
      </w:r>
      <w:r w:rsidRPr="007D322B">
        <w:rPr>
          <w:rFonts w:ascii="Arial" w:hAnsi="Arial" w:cs="Arial"/>
          <w:noProof/>
          <w:sz w:val="24"/>
          <w:szCs w:val="24"/>
          <w:lang w:val="en-AU"/>
        </w:rPr>
        <w:t>attributable</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dinutuximab</w:t>
      </w:r>
      <w:r w:rsidR="00EE0CCC">
        <w:rPr>
          <w:rFonts w:ascii="Arial" w:hAnsi="Arial" w:cs="Arial"/>
          <w:noProof/>
          <w:sz w:val="24"/>
          <w:szCs w:val="24"/>
          <w:lang w:val="en-AU"/>
        </w:rPr>
        <w:t xml:space="preserve"> </w:t>
      </w:r>
      <w:r w:rsidRPr="007D322B">
        <w:rPr>
          <w:rFonts w:ascii="Arial" w:hAnsi="Arial" w:cs="Arial"/>
          <w:noProof/>
          <w:sz w:val="24"/>
          <w:szCs w:val="24"/>
          <w:lang w:val="en-AU"/>
        </w:rPr>
        <w:t>beta</w:t>
      </w:r>
      <w:r w:rsidR="00EE0CCC">
        <w:rPr>
          <w:rFonts w:ascii="Arial" w:hAnsi="Arial" w:cs="Arial"/>
          <w:noProof/>
          <w:sz w:val="24"/>
          <w:szCs w:val="24"/>
          <w:lang w:val="en-AU"/>
        </w:rPr>
        <w:t xml:space="preserve"> </w:t>
      </w:r>
      <w:r w:rsidRPr="007D322B">
        <w:rPr>
          <w:rFonts w:ascii="Arial" w:hAnsi="Arial" w:cs="Arial"/>
          <w:noProof/>
          <w:sz w:val="24"/>
          <w:szCs w:val="24"/>
          <w:lang w:val="en-AU"/>
        </w:rPr>
        <w:t>administration.</w:t>
      </w:r>
      <w:r w:rsidR="00EE0CCC">
        <w:rPr>
          <w:rFonts w:ascii="Arial" w:hAnsi="Arial" w:cs="Arial"/>
          <w:noProof/>
          <w:sz w:val="24"/>
          <w:szCs w:val="24"/>
          <w:lang w:val="en-AU"/>
        </w:rPr>
        <w:t xml:space="preserve"> </w:t>
      </w:r>
      <w:r w:rsidRPr="007D322B">
        <w:rPr>
          <w:rFonts w:ascii="Arial" w:hAnsi="Arial" w:cs="Arial"/>
          <w:noProof/>
          <w:sz w:val="24"/>
          <w:szCs w:val="24"/>
          <w:lang w:val="en-AU"/>
        </w:rPr>
        <w:t>For</w:t>
      </w:r>
      <w:r w:rsidR="00EE0CCC">
        <w:rPr>
          <w:rFonts w:ascii="Arial" w:hAnsi="Arial" w:cs="Arial"/>
          <w:noProof/>
          <w:sz w:val="24"/>
          <w:szCs w:val="24"/>
          <w:lang w:val="en-AU"/>
        </w:rPr>
        <w:t xml:space="preserve"> </w:t>
      </w:r>
      <w:r w:rsidRPr="007D322B">
        <w:rPr>
          <w:rFonts w:ascii="Arial" w:hAnsi="Arial" w:cs="Arial"/>
          <w:noProof/>
          <w:sz w:val="24"/>
          <w:szCs w:val="24"/>
          <w:lang w:val="en-AU"/>
        </w:rPr>
        <w:t>patients</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moderate</w:t>
      </w:r>
      <w:r w:rsidR="00EE0CCC">
        <w:rPr>
          <w:rFonts w:ascii="Arial" w:hAnsi="Arial" w:cs="Arial"/>
          <w:noProof/>
          <w:sz w:val="24"/>
          <w:szCs w:val="24"/>
          <w:lang w:val="en-AU"/>
        </w:rPr>
        <w:t xml:space="preserve"> </w:t>
      </w:r>
      <w:r w:rsidRPr="007D322B">
        <w:rPr>
          <w:rFonts w:ascii="Arial" w:hAnsi="Arial" w:cs="Arial"/>
          <w:noProof/>
          <w:sz w:val="24"/>
          <w:szCs w:val="24"/>
          <w:lang w:val="en-AU"/>
        </w:rPr>
        <w:t>(Grade</w:t>
      </w:r>
      <w:r w:rsidR="00EE0CCC">
        <w:rPr>
          <w:rFonts w:ascii="Arial" w:hAnsi="Arial" w:cs="Arial"/>
          <w:noProof/>
          <w:sz w:val="24"/>
          <w:szCs w:val="24"/>
          <w:lang w:val="en-AU"/>
        </w:rPr>
        <w:t xml:space="preserve"> </w:t>
      </w:r>
      <w:r w:rsidRPr="007D322B">
        <w:rPr>
          <w:rFonts w:ascii="Arial" w:hAnsi="Arial" w:cs="Arial"/>
          <w:noProof/>
          <w:sz w:val="24"/>
          <w:szCs w:val="24"/>
          <w:lang w:val="en-AU"/>
        </w:rPr>
        <w:t>2)</w:t>
      </w:r>
      <w:r w:rsidR="00EE0CCC">
        <w:rPr>
          <w:rFonts w:ascii="Arial" w:hAnsi="Arial" w:cs="Arial"/>
          <w:noProof/>
          <w:sz w:val="24"/>
          <w:szCs w:val="24"/>
          <w:lang w:val="en-AU"/>
        </w:rPr>
        <w:t xml:space="preserve"> </w:t>
      </w:r>
      <w:r w:rsidRPr="007D322B">
        <w:rPr>
          <w:rFonts w:ascii="Arial" w:hAnsi="Arial" w:cs="Arial"/>
          <w:noProof/>
          <w:sz w:val="24"/>
          <w:szCs w:val="24"/>
          <w:lang w:val="en-AU"/>
        </w:rPr>
        <w:t>neuropathy</w:t>
      </w:r>
      <w:r w:rsidR="00EE0CCC">
        <w:rPr>
          <w:rFonts w:ascii="Arial" w:hAnsi="Arial" w:cs="Arial"/>
          <w:noProof/>
          <w:sz w:val="24"/>
          <w:szCs w:val="24"/>
          <w:lang w:val="en-AU"/>
        </w:rPr>
        <w:t xml:space="preserve"> </w:t>
      </w:r>
      <w:r w:rsidRPr="007D322B">
        <w:rPr>
          <w:rFonts w:ascii="Arial" w:hAnsi="Arial" w:cs="Arial"/>
          <w:noProof/>
          <w:sz w:val="24"/>
          <w:szCs w:val="24"/>
          <w:lang w:val="en-AU"/>
        </w:rPr>
        <w:t>(motor</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Pr="007D322B">
        <w:rPr>
          <w:rFonts w:ascii="Arial" w:hAnsi="Arial" w:cs="Arial"/>
          <w:noProof/>
          <w:sz w:val="24"/>
          <w:szCs w:val="24"/>
          <w:lang w:val="en-AU"/>
        </w:rPr>
        <w:t>or</w:t>
      </w:r>
      <w:r w:rsidR="00EE0CCC">
        <w:rPr>
          <w:rFonts w:ascii="Arial" w:hAnsi="Arial" w:cs="Arial"/>
          <w:noProof/>
          <w:sz w:val="24"/>
          <w:szCs w:val="24"/>
          <w:lang w:val="en-AU"/>
        </w:rPr>
        <w:t xml:space="preserve"> </w:t>
      </w:r>
      <w:r w:rsidRPr="007D322B">
        <w:rPr>
          <w:rFonts w:ascii="Arial" w:hAnsi="Arial" w:cs="Arial"/>
          <w:noProof/>
          <w:sz w:val="24"/>
          <w:szCs w:val="24"/>
          <w:lang w:val="en-AU"/>
        </w:rPr>
        <w:t>without</w:t>
      </w:r>
      <w:r w:rsidR="00EE0CCC">
        <w:rPr>
          <w:rFonts w:ascii="Arial" w:hAnsi="Arial" w:cs="Arial"/>
          <w:noProof/>
          <w:sz w:val="24"/>
          <w:szCs w:val="24"/>
          <w:lang w:val="en-AU"/>
        </w:rPr>
        <w:t xml:space="preserve"> </w:t>
      </w:r>
      <w:r w:rsidRPr="007D322B">
        <w:rPr>
          <w:rFonts w:ascii="Arial" w:hAnsi="Arial" w:cs="Arial"/>
          <w:noProof/>
          <w:sz w:val="24"/>
          <w:szCs w:val="24"/>
          <w:lang w:val="en-AU"/>
        </w:rPr>
        <w:t>sensory),</w:t>
      </w:r>
      <w:r w:rsidR="00EE0CCC">
        <w:rPr>
          <w:rFonts w:ascii="Arial" w:hAnsi="Arial" w:cs="Arial"/>
          <w:noProof/>
          <w:sz w:val="24"/>
          <w:szCs w:val="24"/>
          <w:lang w:val="en-AU"/>
        </w:rPr>
        <w:t xml:space="preserve"> </w:t>
      </w: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should</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interrupted</w:t>
      </w:r>
      <w:r w:rsidR="00EE0CCC">
        <w:rPr>
          <w:rFonts w:ascii="Arial" w:hAnsi="Arial" w:cs="Arial"/>
          <w:noProof/>
          <w:sz w:val="24"/>
          <w:szCs w:val="24"/>
          <w:lang w:val="en-AU"/>
        </w:rPr>
        <w:t xml:space="preserve"> </w:t>
      </w:r>
      <w:r w:rsidRPr="007D322B">
        <w:rPr>
          <w:rFonts w:ascii="Arial" w:hAnsi="Arial" w:cs="Arial"/>
          <w:noProof/>
          <w:sz w:val="24"/>
          <w:szCs w:val="24"/>
          <w:lang w:val="en-AU"/>
        </w:rPr>
        <w:t>and</w:t>
      </w:r>
      <w:r w:rsidR="00EE0CCC">
        <w:rPr>
          <w:rFonts w:ascii="Arial" w:hAnsi="Arial" w:cs="Arial"/>
          <w:noProof/>
          <w:sz w:val="24"/>
          <w:szCs w:val="24"/>
          <w:lang w:val="en-AU"/>
        </w:rPr>
        <w:t xml:space="preserve"> </w:t>
      </w:r>
      <w:r w:rsidRPr="007D322B">
        <w:rPr>
          <w:rFonts w:ascii="Arial" w:hAnsi="Arial" w:cs="Arial"/>
          <w:noProof/>
          <w:sz w:val="24"/>
          <w:szCs w:val="24"/>
          <w:lang w:val="en-AU"/>
        </w:rPr>
        <w:t>may</w:t>
      </w:r>
      <w:r w:rsidR="00EE0CCC">
        <w:rPr>
          <w:rFonts w:ascii="Arial" w:hAnsi="Arial" w:cs="Arial"/>
          <w:noProof/>
          <w:sz w:val="24"/>
          <w:szCs w:val="24"/>
          <w:lang w:val="en-AU"/>
        </w:rPr>
        <w:t xml:space="preserve"> </w:t>
      </w:r>
      <w:r w:rsidRPr="007D322B">
        <w:rPr>
          <w:rFonts w:ascii="Arial" w:hAnsi="Arial" w:cs="Arial"/>
          <w:noProof/>
          <w:sz w:val="24"/>
          <w:szCs w:val="24"/>
          <w:lang w:val="en-AU"/>
        </w:rPr>
        <w:t>be</w:t>
      </w:r>
      <w:r w:rsidR="00EE0CCC">
        <w:rPr>
          <w:rFonts w:ascii="Arial" w:hAnsi="Arial" w:cs="Arial"/>
          <w:noProof/>
          <w:sz w:val="24"/>
          <w:szCs w:val="24"/>
          <w:lang w:val="en-AU"/>
        </w:rPr>
        <w:t xml:space="preserve"> </w:t>
      </w:r>
      <w:r w:rsidRPr="007D322B">
        <w:rPr>
          <w:rFonts w:ascii="Arial" w:hAnsi="Arial" w:cs="Arial"/>
          <w:noProof/>
          <w:sz w:val="24"/>
          <w:szCs w:val="24"/>
          <w:lang w:val="en-AU"/>
        </w:rPr>
        <w:t>resumed</w:t>
      </w:r>
      <w:r w:rsidR="00EE0CCC">
        <w:rPr>
          <w:rFonts w:ascii="Arial" w:hAnsi="Arial" w:cs="Arial"/>
          <w:noProof/>
          <w:sz w:val="24"/>
          <w:szCs w:val="24"/>
          <w:lang w:val="en-AU"/>
        </w:rPr>
        <w:t xml:space="preserve"> </w:t>
      </w:r>
      <w:r w:rsidRPr="007D322B">
        <w:rPr>
          <w:rFonts w:ascii="Arial" w:hAnsi="Arial" w:cs="Arial"/>
          <w:noProof/>
          <w:sz w:val="24"/>
          <w:szCs w:val="24"/>
          <w:lang w:val="en-AU"/>
        </w:rPr>
        <w:t>after</w:t>
      </w:r>
      <w:r w:rsidR="00EE0CCC">
        <w:rPr>
          <w:rFonts w:ascii="Arial" w:hAnsi="Arial" w:cs="Arial"/>
          <w:noProof/>
          <w:sz w:val="24"/>
          <w:szCs w:val="24"/>
          <w:lang w:val="en-AU"/>
        </w:rPr>
        <w:t xml:space="preserve"> </w:t>
      </w:r>
      <w:r w:rsidRPr="007D322B">
        <w:rPr>
          <w:rFonts w:ascii="Arial" w:hAnsi="Arial" w:cs="Arial"/>
          <w:noProof/>
          <w:sz w:val="24"/>
          <w:szCs w:val="24"/>
          <w:lang w:val="en-AU"/>
        </w:rPr>
        <w:t>neurologic</w:t>
      </w:r>
      <w:r w:rsidR="00EE0CCC">
        <w:rPr>
          <w:rFonts w:ascii="Arial" w:hAnsi="Arial" w:cs="Arial"/>
          <w:noProof/>
          <w:sz w:val="24"/>
          <w:szCs w:val="24"/>
          <w:lang w:val="en-AU"/>
        </w:rPr>
        <w:t xml:space="preserve"> </w:t>
      </w:r>
      <w:r w:rsidRPr="007D322B">
        <w:rPr>
          <w:rFonts w:ascii="Arial" w:hAnsi="Arial" w:cs="Arial"/>
          <w:noProof/>
          <w:sz w:val="24"/>
          <w:szCs w:val="24"/>
          <w:lang w:val="en-AU"/>
        </w:rPr>
        <w:t>symptoms</w:t>
      </w:r>
      <w:r w:rsidR="00EE0CCC">
        <w:rPr>
          <w:rFonts w:ascii="Arial" w:hAnsi="Arial" w:cs="Arial"/>
          <w:noProof/>
          <w:sz w:val="24"/>
          <w:szCs w:val="24"/>
          <w:lang w:val="en-AU"/>
        </w:rPr>
        <w:t xml:space="preserve"> </w:t>
      </w:r>
      <w:r w:rsidRPr="007D322B">
        <w:rPr>
          <w:rFonts w:ascii="Arial" w:hAnsi="Arial" w:cs="Arial"/>
          <w:noProof/>
          <w:sz w:val="24"/>
          <w:szCs w:val="24"/>
          <w:lang w:val="en-AU"/>
        </w:rPr>
        <w:t>resolve.</w:t>
      </w:r>
    </w:p>
    <w:p w:rsidR="001B3E6D" w:rsidRPr="007D322B" w:rsidRDefault="001B3E6D" w:rsidP="001B3E6D">
      <w:pPr>
        <w:pStyle w:val="BodytextAgency"/>
        <w:spacing w:after="0" w:line="240" w:lineRule="auto"/>
        <w:rPr>
          <w:rFonts w:ascii="Arial" w:hAnsi="Arial" w:cs="Arial"/>
          <w:noProof/>
          <w:sz w:val="24"/>
          <w:szCs w:val="24"/>
          <w:lang w:val="en-AU"/>
        </w:rPr>
      </w:pPr>
    </w:p>
    <w:p w:rsidR="001B3E6D" w:rsidRPr="007D322B" w:rsidRDefault="001B3E6D" w:rsidP="001B3E6D">
      <w:pPr>
        <w:keepNext/>
        <w:keepLines/>
        <w:autoSpaceDE w:val="0"/>
        <w:autoSpaceDN w:val="0"/>
        <w:adjustRightInd w:val="0"/>
        <w:rPr>
          <w:rFonts w:ascii="Arial" w:hAnsi="Arial" w:cs="Arial"/>
          <w:b/>
          <w:bCs/>
          <w:lang w:eastAsia="en-GB"/>
        </w:rPr>
      </w:pPr>
      <w:r w:rsidRPr="007D322B">
        <w:rPr>
          <w:rFonts w:ascii="Arial" w:hAnsi="Arial" w:cs="Arial"/>
          <w:b/>
          <w:bCs/>
          <w:lang w:eastAsia="en-GB"/>
        </w:rPr>
        <w:t>Systemic</w:t>
      </w:r>
      <w:r w:rsidR="00EE0CCC">
        <w:rPr>
          <w:rFonts w:ascii="Arial" w:hAnsi="Arial" w:cs="Arial"/>
          <w:b/>
          <w:bCs/>
          <w:lang w:eastAsia="en-GB"/>
        </w:rPr>
        <w:t xml:space="preserve"> </w:t>
      </w:r>
      <w:r w:rsidRPr="007D322B">
        <w:rPr>
          <w:rFonts w:ascii="Arial" w:hAnsi="Arial" w:cs="Arial"/>
          <w:b/>
          <w:bCs/>
          <w:lang w:eastAsia="en-GB"/>
        </w:rPr>
        <w:t>infections</w:t>
      </w:r>
    </w:p>
    <w:p w:rsidR="001B3E6D" w:rsidRPr="007D322B" w:rsidRDefault="001B3E6D" w:rsidP="001B3E6D">
      <w:pPr>
        <w:keepNext/>
        <w:keepLines/>
        <w:autoSpaceDE w:val="0"/>
        <w:autoSpaceDN w:val="0"/>
        <w:adjustRightInd w:val="0"/>
        <w:rPr>
          <w:rFonts w:ascii="Arial" w:hAnsi="Arial" w:cs="Arial"/>
          <w:noProof/>
        </w:rPr>
      </w:pPr>
      <w:r w:rsidRPr="007D322B">
        <w:rPr>
          <w:rFonts w:ascii="Arial" w:hAnsi="Arial" w:cs="Arial"/>
          <w:lang w:eastAsia="en-GB"/>
        </w:rPr>
        <w:t>Patients</w:t>
      </w:r>
      <w:r w:rsidR="00EE0CCC">
        <w:rPr>
          <w:rFonts w:ascii="Arial" w:hAnsi="Arial" w:cs="Arial"/>
          <w:lang w:eastAsia="en-GB"/>
        </w:rPr>
        <w:t xml:space="preserve"> </w:t>
      </w:r>
      <w:r w:rsidRPr="007D322B">
        <w:rPr>
          <w:rFonts w:ascii="Arial" w:hAnsi="Arial" w:cs="Arial"/>
          <w:lang w:eastAsia="en-GB"/>
        </w:rPr>
        <w:t>are</w:t>
      </w:r>
      <w:r w:rsidR="00EE0CCC">
        <w:rPr>
          <w:rFonts w:ascii="Arial" w:hAnsi="Arial" w:cs="Arial"/>
          <w:lang w:eastAsia="en-GB"/>
        </w:rPr>
        <w:t xml:space="preserve"> </w:t>
      </w:r>
      <w:r w:rsidRPr="007D322B">
        <w:rPr>
          <w:rFonts w:ascii="Arial" w:hAnsi="Arial" w:cs="Arial"/>
          <w:lang w:eastAsia="en-GB"/>
        </w:rPr>
        <w:t>likely</w:t>
      </w:r>
      <w:r w:rsidR="00EE0CCC">
        <w:rPr>
          <w:rFonts w:ascii="Arial" w:hAnsi="Arial" w:cs="Arial"/>
          <w:lang w:eastAsia="en-GB"/>
        </w:rPr>
        <w:t xml:space="preserve"> </w:t>
      </w:r>
      <w:r w:rsidRPr="007D322B">
        <w:rPr>
          <w:rFonts w:ascii="Arial" w:hAnsi="Arial" w:cs="Arial"/>
          <w:lang w:eastAsia="en-GB"/>
        </w:rPr>
        <w:t>to</w:t>
      </w:r>
      <w:r w:rsidR="00EE0CCC">
        <w:rPr>
          <w:rFonts w:ascii="Arial" w:hAnsi="Arial" w:cs="Arial"/>
          <w:lang w:eastAsia="en-GB"/>
        </w:rPr>
        <w:t xml:space="preserve"> </w:t>
      </w:r>
      <w:r w:rsidRPr="007D322B">
        <w:rPr>
          <w:rFonts w:ascii="Arial" w:hAnsi="Arial" w:cs="Arial"/>
          <w:lang w:eastAsia="en-GB"/>
        </w:rPr>
        <w:t>be</w:t>
      </w:r>
      <w:r w:rsidR="00EE0CCC">
        <w:rPr>
          <w:rFonts w:ascii="Arial" w:hAnsi="Arial" w:cs="Arial"/>
          <w:lang w:eastAsia="en-GB"/>
        </w:rPr>
        <w:t xml:space="preserve"> </w:t>
      </w:r>
      <w:r w:rsidRPr="007D322B">
        <w:rPr>
          <w:rFonts w:ascii="Arial" w:hAnsi="Arial" w:cs="Arial"/>
          <w:lang w:eastAsia="en-GB"/>
        </w:rPr>
        <w:t>immunocompromised</w:t>
      </w:r>
      <w:r w:rsidR="00EE0CCC">
        <w:rPr>
          <w:rFonts w:ascii="Arial" w:hAnsi="Arial" w:cs="Arial"/>
          <w:lang w:eastAsia="en-GB"/>
        </w:rPr>
        <w:t xml:space="preserve"> </w:t>
      </w:r>
      <w:r w:rsidRPr="007D322B">
        <w:rPr>
          <w:rFonts w:ascii="Arial" w:hAnsi="Arial" w:cs="Arial"/>
          <w:lang w:eastAsia="en-GB"/>
        </w:rPr>
        <w:t>as</w:t>
      </w:r>
      <w:r w:rsidR="00EE0CCC">
        <w:rPr>
          <w:rFonts w:ascii="Arial" w:hAnsi="Arial" w:cs="Arial"/>
          <w:lang w:eastAsia="en-GB"/>
        </w:rPr>
        <w:t xml:space="preserve"> </w:t>
      </w:r>
      <w:r w:rsidRPr="007D322B">
        <w:rPr>
          <w:rFonts w:ascii="Arial" w:hAnsi="Arial" w:cs="Arial"/>
          <w:lang w:eastAsia="en-GB"/>
        </w:rPr>
        <w:t>a</w:t>
      </w:r>
      <w:r w:rsidR="00EE0CCC">
        <w:rPr>
          <w:rFonts w:ascii="Arial" w:hAnsi="Arial" w:cs="Arial"/>
          <w:lang w:eastAsia="en-GB"/>
        </w:rPr>
        <w:t xml:space="preserve"> </w:t>
      </w:r>
      <w:r w:rsidRPr="007D322B">
        <w:rPr>
          <w:rFonts w:ascii="Arial" w:hAnsi="Arial" w:cs="Arial"/>
          <w:lang w:eastAsia="en-GB"/>
        </w:rPr>
        <w:t>result</w:t>
      </w:r>
      <w:r w:rsidR="00EE0CCC">
        <w:rPr>
          <w:rFonts w:ascii="Arial" w:hAnsi="Arial" w:cs="Arial"/>
          <w:lang w:eastAsia="en-GB"/>
        </w:rPr>
        <w:t xml:space="preserve"> </w:t>
      </w:r>
      <w:r w:rsidRPr="007D322B">
        <w:rPr>
          <w:rFonts w:ascii="Arial" w:hAnsi="Arial" w:cs="Arial"/>
          <w:lang w:eastAsia="en-GB"/>
        </w:rPr>
        <w:t>of</w:t>
      </w:r>
      <w:r w:rsidR="00EE0CCC">
        <w:rPr>
          <w:rFonts w:ascii="Arial" w:hAnsi="Arial" w:cs="Arial"/>
          <w:lang w:eastAsia="en-GB"/>
        </w:rPr>
        <w:t xml:space="preserve"> </w:t>
      </w:r>
      <w:r w:rsidRPr="007D322B">
        <w:rPr>
          <w:rFonts w:ascii="Arial" w:hAnsi="Arial" w:cs="Arial"/>
          <w:lang w:eastAsia="en-GB"/>
        </w:rPr>
        <w:t>prior</w:t>
      </w:r>
      <w:r w:rsidR="00EE0CCC">
        <w:rPr>
          <w:rFonts w:ascii="Arial" w:hAnsi="Arial" w:cs="Arial"/>
          <w:lang w:eastAsia="en-GB"/>
        </w:rPr>
        <w:t xml:space="preserve"> </w:t>
      </w:r>
      <w:r w:rsidRPr="007D322B">
        <w:rPr>
          <w:rFonts w:ascii="Arial" w:hAnsi="Arial" w:cs="Arial"/>
          <w:lang w:eastAsia="en-GB"/>
        </w:rPr>
        <w:t>therapies.</w:t>
      </w:r>
      <w:r w:rsidR="00EE0CCC">
        <w:rPr>
          <w:rFonts w:ascii="Arial" w:hAnsi="Arial" w:cs="Arial"/>
          <w:lang w:eastAsia="en-GB"/>
        </w:rPr>
        <w:t xml:space="preserve"> </w:t>
      </w:r>
      <w:r w:rsidRPr="007D322B">
        <w:rPr>
          <w:rFonts w:ascii="Arial" w:hAnsi="Arial" w:cs="Arial"/>
          <w:lang w:eastAsia="en-GB"/>
        </w:rPr>
        <w:t>As</w:t>
      </w:r>
      <w:r w:rsidR="00EE0CCC">
        <w:rPr>
          <w:rFonts w:ascii="Arial" w:hAnsi="Arial" w:cs="Arial"/>
          <w:lang w:eastAsia="en-GB"/>
        </w:rPr>
        <w:t xml:space="preserve"> </w:t>
      </w:r>
      <w:r w:rsidRPr="007D322B">
        <w:rPr>
          <w:rFonts w:ascii="Arial" w:hAnsi="Arial" w:cs="Arial"/>
          <w:lang w:eastAsia="en-GB"/>
        </w:rPr>
        <w:t>they</w:t>
      </w:r>
      <w:r w:rsidR="00EE0CCC">
        <w:rPr>
          <w:rFonts w:ascii="Arial" w:hAnsi="Arial" w:cs="Arial"/>
          <w:lang w:eastAsia="en-GB"/>
        </w:rPr>
        <w:t xml:space="preserve"> </w:t>
      </w:r>
      <w:r w:rsidRPr="007D322B">
        <w:rPr>
          <w:rFonts w:ascii="Arial" w:hAnsi="Arial" w:cs="Arial"/>
          <w:lang w:eastAsia="en-GB"/>
        </w:rPr>
        <w:t>typically</w:t>
      </w:r>
      <w:r w:rsidR="00EE0CCC">
        <w:rPr>
          <w:rFonts w:ascii="Arial" w:hAnsi="Arial" w:cs="Arial"/>
          <w:lang w:eastAsia="en-GB"/>
        </w:rPr>
        <w:t xml:space="preserve"> </w:t>
      </w:r>
      <w:r w:rsidRPr="007D322B">
        <w:rPr>
          <w:rFonts w:ascii="Arial" w:hAnsi="Arial" w:cs="Arial"/>
          <w:lang w:eastAsia="en-GB"/>
        </w:rPr>
        <w:t>have</w:t>
      </w:r>
      <w:r w:rsidR="00EE0CCC">
        <w:rPr>
          <w:rFonts w:ascii="Arial" w:hAnsi="Arial" w:cs="Arial"/>
          <w:lang w:eastAsia="en-GB"/>
        </w:rPr>
        <w:t xml:space="preserve"> </w:t>
      </w:r>
      <w:r w:rsidRPr="007D322B">
        <w:rPr>
          <w:rFonts w:ascii="Arial" w:hAnsi="Arial" w:cs="Arial"/>
          <w:lang w:eastAsia="en-GB"/>
        </w:rPr>
        <w:t>a</w:t>
      </w:r>
      <w:r w:rsidR="00EE0CCC">
        <w:rPr>
          <w:rFonts w:ascii="Arial" w:hAnsi="Arial" w:cs="Arial"/>
          <w:lang w:eastAsia="en-GB"/>
        </w:rPr>
        <w:t xml:space="preserve"> </w:t>
      </w:r>
      <w:r w:rsidRPr="007D322B">
        <w:rPr>
          <w:rFonts w:ascii="Arial" w:hAnsi="Arial" w:cs="Arial"/>
          <w:lang w:eastAsia="en-GB"/>
        </w:rPr>
        <w:t>central</w:t>
      </w:r>
      <w:r w:rsidR="00EE0CCC">
        <w:rPr>
          <w:rFonts w:ascii="Arial" w:hAnsi="Arial" w:cs="Arial"/>
          <w:lang w:eastAsia="en-GB"/>
        </w:rPr>
        <w:t xml:space="preserve"> </w:t>
      </w:r>
      <w:r w:rsidRPr="007D322B">
        <w:rPr>
          <w:rFonts w:ascii="Arial" w:hAnsi="Arial" w:cs="Arial"/>
          <w:lang w:eastAsia="en-GB"/>
        </w:rPr>
        <w:t>venous</w:t>
      </w:r>
      <w:r w:rsidR="00EE0CCC">
        <w:rPr>
          <w:rFonts w:ascii="Arial" w:hAnsi="Arial" w:cs="Arial"/>
          <w:lang w:eastAsia="en-GB"/>
        </w:rPr>
        <w:t xml:space="preserve"> </w:t>
      </w:r>
      <w:r w:rsidRPr="007D322B">
        <w:rPr>
          <w:rFonts w:ascii="Arial" w:hAnsi="Arial" w:cs="Arial"/>
          <w:lang w:eastAsia="en-GB"/>
        </w:rPr>
        <w:t>catheter</w:t>
      </w:r>
      <w:r w:rsidR="00EE0CCC">
        <w:rPr>
          <w:rFonts w:ascii="Arial" w:hAnsi="Arial" w:cs="Arial"/>
          <w:lang w:eastAsia="en-GB"/>
        </w:rPr>
        <w:t xml:space="preserve"> </w:t>
      </w:r>
      <w:r w:rsidRPr="007D322B">
        <w:rPr>
          <w:rFonts w:ascii="Arial" w:hAnsi="Arial" w:cs="Arial"/>
          <w:lang w:eastAsia="en-GB"/>
        </w:rPr>
        <w:t>in</w:t>
      </w:r>
      <w:r w:rsidR="00EE0CCC">
        <w:rPr>
          <w:rFonts w:ascii="Arial" w:hAnsi="Arial" w:cs="Arial"/>
          <w:lang w:eastAsia="en-GB"/>
        </w:rPr>
        <w:t xml:space="preserve"> </w:t>
      </w:r>
      <w:r w:rsidRPr="007D322B">
        <w:rPr>
          <w:rFonts w:ascii="Arial" w:hAnsi="Arial" w:cs="Arial"/>
          <w:lang w:eastAsia="en-GB"/>
        </w:rPr>
        <w:t>situ,</w:t>
      </w:r>
      <w:r w:rsidR="00EE0CCC">
        <w:rPr>
          <w:rFonts w:ascii="Arial" w:hAnsi="Arial" w:cs="Arial"/>
          <w:lang w:eastAsia="en-GB"/>
        </w:rPr>
        <w:t xml:space="preserve"> </w:t>
      </w:r>
      <w:r w:rsidRPr="007D322B">
        <w:rPr>
          <w:rFonts w:ascii="Arial" w:hAnsi="Arial" w:cs="Arial"/>
          <w:lang w:eastAsia="en-GB"/>
        </w:rPr>
        <w:t>they</w:t>
      </w:r>
      <w:r w:rsidR="00EE0CCC">
        <w:rPr>
          <w:rFonts w:ascii="Arial" w:hAnsi="Arial" w:cs="Arial"/>
          <w:lang w:eastAsia="en-GB"/>
        </w:rPr>
        <w:t xml:space="preserve"> </w:t>
      </w:r>
      <w:r w:rsidRPr="007D322B">
        <w:rPr>
          <w:rFonts w:ascii="Arial" w:hAnsi="Arial" w:cs="Arial"/>
          <w:lang w:eastAsia="en-GB"/>
        </w:rPr>
        <w:t>are</w:t>
      </w:r>
      <w:r w:rsidR="00EE0CCC">
        <w:rPr>
          <w:rFonts w:ascii="Arial" w:hAnsi="Arial" w:cs="Arial"/>
          <w:lang w:eastAsia="en-GB"/>
        </w:rPr>
        <w:t xml:space="preserve"> </w:t>
      </w:r>
      <w:r w:rsidRPr="007D322B">
        <w:rPr>
          <w:rFonts w:ascii="Arial" w:hAnsi="Arial" w:cs="Arial"/>
          <w:lang w:eastAsia="en-GB"/>
        </w:rPr>
        <w:t>at</w:t>
      </w:r>
      <w:r w:rsidR="00EE0CCC">
        <w:rPr>
          <w:rFonts w:ascii="Arial" w:hAnsi="Arial" w:cs="Arial"/>
          <w:lang w:eastAsia="en-GB"/>
        </w:rPr>
        <w:t xml:space="preserve"> </w:t>
      </w:r>
      <w:r w:rsidRPr="007D322B">
        <w:rPr>
          <w:rFonts w:ascii="Arial" w:hAnsi="Arial" w:cs="Arial"/>
          <w:lang w:eastAsia="en-GB"/>
        </w:rPr>
        <w:t>risk</w:t>
      </w:r>
      <w:r w:rsidR="00EE0CCC">
        <w:rPr>
          <w:rFonts w:ascii="Arial" w:hAnsi="Arial" w:cs="Arial"/>
          <w:lang w:eastAsia="en-GB"/>
        </w:rPr>
        <w:t xml:space="preserve"> </w:t>
      </w:r>
      <w:r w:rsidRPr="007D322B">
        <w:rPr>
          <w:rFonts w:ascii="Arial" w:hAnsi="Arial" w:cs="Arial"/>
          <w:lang w:eastAsia="en-GB"/>
        </w:rPr>
        <w:t>of</w:t>
      </w:r>
      <w:r w:rsidR="00EE0CCC">
        <w:rPr>
          <w:rFonts w:ascii="Arial" w:hAnsi="Arial" w:cs="Arial"/>
          <w:lang w:eastAsia="en-GB"/>
        </w:rPr>
        <w:t xml:space="preserve"> </w:t>
      </w:r>
      <w:r w:rsidRPr="007D322B">
        <w:rPr>
          <w:rFonts w:ascii="Arial" w:hAnsi="Arial" w:cs="Arial"/>
          <w:lang w:eastAsia="en-GB"/>
        </w:rPr>
        <w:t>developing</w:t>
      </w:r>
      <w:r w:rsidR="00EE0CCC">
        <w:rPr>
          <w:rFonts w:ascii="Arial" w:hAnsi="Arial" w:cs="Arial"/>
          <w:lang w:eastAsia="en-GB"/>
        </w:rPr>
        <w:t xml:space="preserve"> </w:t>
      </w:r>
      <w:r w:rsidRPr="007D322B">
        <w:rPr>
          <w:rFonts w:ascii="Arial" w:hAnsi="Arial" w:cs="Arial"/>
          <w:lang w:eastAsia="en-GB"/>
        </w:rPr>
        <w:t>systemic</w:t>
      </w:r>
      <w:r w:rsidR="00EE0CCC">
        <w:rPr>
          <w:rFonts w:ascii="Arial" w:hAnsi="Arial" w:cs="Arial"/>
          <w:lang w:eastAsia="en-GB"/>
        </w:rPr>
        <w:t xml:space="preserve"> </w:t>
      </w:r>
      <w:r w:rsidRPr="007D322B">
        <w:rPr>
          <w:rFonts w:ascii="Arial" w:hAnsi="Arial" w:cs="Arial"/>
          <w:lang w:eastAsia="en-GB"/>
        </w:rPr>
        <w:t>infection.</w:t>
      </w:r>
      <w:r w:rsidR="00EE0CCC">
        <w:rPr>
          <w:rFonts w:ascii="Arial" w:hAnsi="Arial" w:cs="Arial"/>
          <w:lang w:eastAsia="en-GB"/>
        </w:rPr>
        <w:t xml:space="preserve"> </w:t>
      </w:r>
      <w:r w:rsidRPr="007D322B">
        <w:rPr>
          <w:rFonts w:ascii="Arial" w:hAnsi="Arial" w:cs="Arial"/>
          <w:lang w:eastAsia="en-GB"/>
        </w:rPr>
        <w:t>Patients</w:t>
      </w:r>
      <w:r w:rsidR="00EE0CCC">
        <w:rPr>
          <w:rFonts w:ascii="Arial" w:hAnsi="Arial" w:cs="Arial"/>
          <w:lang w:eastAsia="en-GB"/>
        </w:rPr>
        <w:t xml:space="preserve"> </w:t>
      </w:r>
      <w:r w:rsidRPr="007D322B">
        <w:rPr>
          <w:rFonts w:ascii="Arial" w:hAnsi="Arial" w:cs="Arial"/>
          <w:lang w:eastAsia="en-GB"/>
        </w:rPr>
        <w:t>should</w:t>
      </w:r>
      <w:r w:rsidR="00EE0CCC">
        <w:rPr>
          <w:rFonts w:ascii="Arial" w:hAnsi="Arial" w:cs="Arial"/>
          <w:lang w:eastAsia="en-GB"/>
        </w:rPr>
        <w:t xml:space="preserve"> </w:t>
      </w:r>
      <w:r w:rsidRPr="007D322B">
        <w:rPr>
          <w:rFonts w:ascii="Arial" w:hAnsi="Arial" w:cs="Arial"/>
          <w:lang w:eastAsia="en-GB"/>
        </w:rPr>
        <w:t>have</w:t>
      </w:r>
      <w:r w:rsidR="00EE0CCC">
        <w:rPr>
          <w:rFonts w:ascii="Arial" w:hAnsi="Arial" w:cs="Arial"/>
          <w:lang w:eastAsia="en-GB"/>
        </w:rPr>
        <w:t xml:space="preserve"> </w:t>
      </w:r>
      <w:r w:rsidRPr="007D322B">
        <w:rPr>
          <w:rFonts w:ascii="Arial" w:hAnsi="Arial" w:cs="Arial"/>
          <w:lang w:eastAsia="en-GB"/>
        </w:rPr>
        <w:t>no</w:t>
      </w:r>
      <w:r w:rsidR="00EE0CCC">
        <w:rPr>
          <w:rFonts w:ascii="Arial" w:hAnsi="Arial" w:cs="Arial"/>
          <w:lang w:eastAsia="en-GB"/>
        </w:rPr>
        <w:t xml:space="preserve"> </w:t>
      </w:r>
      <w:r w:rsidRPr="007D322B">
        <w:rPr>
          <w:rFonts w:ascii="Arial" w:hAnsi="Arial" w:cs="Arial"/>
          <w:lang w:eastAsia="en-GB"/>
        </w:rPr>
        <w:t>evidence</w:t>
      </w:r>
      <w:r w:rsidR="00EE0CCC">
        <w:rPr>
          <w:rFonts w:ascii="Arial" w:hAnsi="Arial" w:cs="Arial"/>
          <w:lang w:eastAsia="en-GB"/>
        </w:rPr>
        <w:t xml:space="preserve"> </w:t>
      </w:r>
      <w:r w:rsidRPr="007D322B">
        <w:rPr>
          <w:rFonts w:ascii="Arial" w:hAnsi="Arial" w:cs="Arial"/>
          <w:lang w:eastAsia="en-GB"/>
        </w:rPr>
        <w:t>of</w:t>
      </w:r>
      <w:r w:rsidR="00EE0CCC">
        <w:rPr>
          <w:rFonts w:ascii="Arial" w:hAnsi="Arial" w:cs="Arial"/>
          <w:lang w:eastAsia="en-GB"/>
        </w:rPr>
        <w:t xml:space="preserve"> </w:t>
      </w:r>
      <w:r w:rsidRPr="007D322B">
        <w:rPr>
          <w:rFonts w:ascii="Arial" w:hAnsi="Arial" w:cs="Arial"/>
          <w:lang w:eastAsia="en-GB"/>
        </w:rPr>
        <w:t>systemic</w:t>
      </w:r>
      <w:r w:rsidR="00EE0CCC">
        <w:rPr>
          <w:rFonts w:ascii="Arial" w:hAnsi="Arial" w:cs="Arial"/>
          <w:lang w:eastAsia="en-GB"/>
        </w:rPr>
        <w:t xml:space="preserve"> </w:t>
      </w:r>
      <w:r w:rsidRPr="007D322B">
        <w:rPr>
          <w:rFonts w:ascii="Arial" w:hAnsi="Arial" w:cs="Arial"/>
          <w:lang w:eastAsia="en-GB"/>
        </w:rPr>
        <w:t>infection</w:t>
      </w:r>
      <w:r w:rsidR="00EE0CCC">
        <w:rPr>
          <w:rFonts w:ascii="Arial" w:hAnsi="Arial" w:cs="Arial"/>
          <w:lang w:eastAsia="en-GB"/>
        </w:rPr>
        <w:t xml:space="preserve"> </w:t>
      </w:r>
      <w:r w:rsidRPr="007D322B">
        <w:rPr>
          <w:rFonts w:ascii="Arial" w:hAnsi="Arial" w:cs="Arial"/>
          <w:lang w:eastAsia="en-GB"/>
        </w:rPr>
        <w:t>and</w:t>
      </w:r>
      <w:r w:rsidR="00EE0CCC">
        <w:rPr>
          <w:rFonts w:ascii="Arial" w:hAnsi="Arial" w:cs="Arial"/>
          <w:lang w:eastAsia="en-GB"/>
        </w:rPr>
        <w:t xml:space="preserve"> </w:t>
      </w:r>
      <w:r w:rsidRPr="007D322B">
        <w:rPr>
          <w:rFonts w:ascii="Arial" w:hAnsi="Arial" w:cs="Arial"/>
          <w:lang w:eastAsia="en-GB"/>
        </w:rPr>
        <w:t>any</w:t>
      </w:r>
      <w:r w:rsidR="00EE0CCC">
        <w:rPr>
          <w:rFonts w:ascii="Arial" w:hAnsi="Arial" w:cs="Arial"/>
          <w:lang w:eastAsia="en-GB"/>
        </w:rPr>
        <w:t xml:space="preserve"> </w:t>
      </w:r>
      <w:r w:rsidRPr="007D322B">
        <w:rPr>
          <w:rFonts w:ascii="Arial" w:hAnsi="Arial" w:cs="Arial"/>
          <w:lang w:eastAsia="en-GB"/>
        </w:rPr>
        <w:t>identified</w:t>
      </w:r>
      <w:r w:rsidR="00EE0CCC">
        <w:rPr>
          <w:rFonts w:ascii="Arial" w:hAnsi="Arial" w:cs="Arial"/>
          <w:lang w:eastAsia="en-GB"/>
        </w:rPr>
        <w:t xml:space="preserve"> </w:t>
      </w:r>
      <w:r w:rsidRPr="007D322B">
        <w:rPr>
          <w:rFonts w:ascii="Arial" w:hAnsi="Arial" w:cs="Arial"/>
          <w:lang w:eastAsia="en-GB"/>
        </w:rPr>
        <w:t>infection</w:t>
      </w:r>
      <w:r w:rsidR="00EE0CCC">
        <w:rPr>
          <w:rFonts w:ascii="Arial" w:hAnsi="Arial" w:cs="Arial"/>
          <w:lang w:eastAsia="en-GB"/>
        </w:rPr>
        <w:t xml:space="preserve"> </w:t>
      </w:r>
      <w:r w:rsidRPr="007D322B">
        <w:rPr>
          <w:rFonts w:ascii="Arial" w:hAnsi="Arial" w:cs="Arial"/>
          <w:lang w:eastAsia="en-GB"/>
        </w:rPr>
        <w:t>should</w:t>
      </w:r>
      <w:r w:rsidR="00EE0CCC">
        <w:rPr>
          <w:rFonts w:ascii="Arial" w:hAnsi="Arial" w:cs="Arial"/>
          <w:lang w:eastAsia="en-GB"/>
        </w:rPr>
        <w:t xml:space="preserve"> </w:t>
      </w:r>
      <w:r w:rsidRPr="007D322B">
        <w:rPr>
          <w:rFonts w:ascii="Arial" w:hAnsi="Arial" w:cs="Arial"/>
          <w:lang w:eastAsia="en-GB"/>
        </w:rPr>
        <w:t>be</w:t>
      </w:r>
      <w:r w:rsidR="00EE0CCC">
        <w:rPr>
          <w:rFonts w:ascii="Arial" w:hAnsi="Arial" w:cs="Arial"/>
          <w:lang w:eastAsia="en-GB"/>
        </w:rPr>
        <w:t xml:space="preserve"> </w:t>
      </w:r>
      <w:r w:rsidRPr="007D322B">
        <w:rPr>
          <w:rFonts w:ascii="Arial" w:hAnsi="Arial" w:cs="Arial"/>
          <w:lang w:eastAsia="en-GB"/>
        </w:rPr>
        <w:t>under</w:t>
      </w:r>
      <w:r w:rsidR="00EE0CCC">
        <w:rPr>
          <w:rFonts w:ascii="Arial" w:hAnsi="Arial" w:cs="Arial"/>
          <w:lang w:eastAsia="en-GB"/>
        </w:rPr>
        <w:t xml:space="preserve"> </w:t>
      </w:r>
      <w:r w:rsidRPr="007D322B">
        <w:rPr>
          <w:rFonts w:ascii="Arial" w:hAnsi="Arial" w:cs="Arial"/>
          <w:lang w:eastAsia="en-GB"/>
        </w:rPr>
        <w:t>control</w:t>
      </w:r>
      <w:r w:rsidR="00EE0CCC">
        <w:rPr>
          <w:rFonts w:ascii="Arial" w:hAnsi="Arial" w:cs="Arial"/>
          <w:lang w:eastAsia="en-GB"/>
        </w:rPr>
        <w:t xml:space="preserve"> </w:t>
      </w:r>
      <w:r w:rsidRPr="007D322B">
        <w:rPr>
          <w:rFonts w:ascii="Arial" w:hAnsi="Arial" w:cs="Arial"/>
          <w:lang w:eastAsia="en-GB"/>
        </w:rPr>
        <w:t>before</w:t>
      </w:r>
      <w:r w:rsidR="00EE0CCC">
        <w:rPr>
          <w:rFonts w:ascii="Arial" w:hAnsi="Arial" w:cs="Arial"/>
          <w:lang w:eastAsia="en-GB"/>
        </w:rPr>
        <w:t xml:space="preserve"> </w:t>
      </w:r>
      <w:r w:rsidRPr="007D322B">
        <w:rPr>
          <w:rFonts w:ascii="Arial" w:hAnsi="Arial" w:cs="Arial"/>
          <w:lang w:eastAsia="en-GB"/>
        </w:rPr>
        <w:t>starting</w:t>
      </w:r>
      <w:r w:rsidR="00EE0CCC">
        <w:rPr>
          <w:rFonts w:ascii="Arial" w:hAnsi="Arial" w:cs="Arial"/>
          <w:lang w:eastAsia="en-GB"/>
        </w:rPr>
        <w:t xml:space="preserve"> </w:t>
      </w:r>
      <w:r w:rsidRPr="007D322B">
        <w:rPr>
          <w:rFonts w:ascii="Arial" w:hAnsi="Arial" w:cs="Arial"/>
          <w:lang w:eastAsia="en-GB"/>
        </w:rPr>
        <w:t>therapy.</w:t>
      </w:r>
    </w:p>
    <w:p w:rsidR="001B3E6D" w:rsidRPr="007D322B" w:rsidRDefault="001B3E6D" w:rsidP="001B3E6D">
      <w:pPr>
        <w:rPr>
          <w:rFonts w:ascii="Arial" w:hAnsi="Arial" w:cs="Arial"/>
          <w:noProof/>
        </w:rPr>
      </w:pPr>
    </w:p>
    <w:p w:rsidR="001B3E6D" w:rsidRPr="007D322B" w:rsidRDefault="001B3E6D" w:rsidP="001B3E6D">
      <w:pPr>
        <w:keepNext/>
        <w:keepLines/>
        <w:rPr>
          <w:rFonts w:ascii="Arial" w:hAnsi="Arial" w:cs="Arial"/>
          <w:b/>
          <w:bCs/>
          <w:noProof/>
        </w:rPr>
      </w:pPr>
      <w:r w:rsidRPr="007D322B">
        <w:rPr>
          <w:rFonts w:ascii="Arial" w:hAnsi="Arial" w:cs="Arial"/>
          <w:b/>
          <w:bCs/>
          <w:noProof/>
        </w:rPr>
        <w:t>Haematologic</w:t>
      </w:r>
      <w:r w:rsidR="00EE0CCC">
        <w:rPr>
          <w:rFonts w:ascii="Arial" w:hAnsi="Arial" w:cs="Arial"/>
          <w:b/>
          <w:bCs/>
          <w:noProof/>
        </w:rPr>
        <w:t xml:space="preserve"> </w:t>
      </w:r>
      <w:r w:rsidRPr="007D322B">
        <w:rPr>
          <w:rFonts w:ascii="Arial" w:hAnsi="Arial" w:cs="Arial"/>
          <w:b/>
          <w:bCs/>
          <w:noProof/>
        </w:rPr>
        <w:t>toxicities</w:t>
      </w:r>
    </w:p>
    <w:p w:rsidR="001B3E6D" w:rsidRPr="007D322B" w:rsidRDefault="001B3E6D" w:rsidP="001B3E6D">
      <w:pPr>
        <w:pStyle w:val="BodytextAgency"/>
        <w:keepNext/>
        <w:keepLines/>
        <w:spacing w:after="0" w:line="240" w:lineRule="auto"/>
        <w:rPr>
          <w:rFonts w:ascii="Arial" w:hAnsi="Arial" w:cs="Arial"/>
          <w:noProof/>
          <w:sz w:val="24"/>
          <w:szCs w:val="24"/>
          <w:lang w:val="en-AU"/>
        </w:rPr>
      </w:pPr>
      <w:r w:rsidRPr="007D322B">
        <w:rPr>
          <w:rFonts w:ascii="Arial" w:hAnsi="Arial" w:cs="Arial"/>
          <w:noProof/>
          <w:sz w:val="24"/>
          <w:szCs w:val="24"/>
          <w:lang w:val="en-AU"/>
        </w:rPr>
        <w:t>Occurrence</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haematologic</w:t>
      </w:r>
      <w:r w:rsidR="00EE0CCC">
        <w:rPr>
          <w:rFonts w:ascii="Arial" w:hAnsi="Arial" w:cs="Arial"/>
          <w:noProof/>
          <w:sz w:val="24"/>
          <w:szCs w:val="24"/>
          <w:lang w:val="en-AU"/>
        </w:rPr>
        <w:t xml:space="preserve"> </w:t>
      </w:r>
      <w:r w:rsidRPr="007D322B">
        <w:rPr>
          <w:rFonts w:ascii="Arial" w:hAnsi="Arial" w:cs="Arial"/>
          <w:noProof/>
          <w:sz w:val="24"/>
          <w:szCs w:val="24"/>
          <w:lang w:val="en-AU"/>
        </w:rPr>
        <w:t>toxicities</w:t>
      </w:r>
      <w:r w:rsidR="00EE0CCC">
        <w:rPr>
          <w:rFonts w:ascii="Arial" w:hAnsi="Arial" w:cs="Arial"/>
          <w:noProof/>
          <w:sz w:val="24"/>
          <w:szCs w:val="24"/>
          <w:lang w:val="en-AU"/>
        </w:rPr>
        <w:t xml:space="preserve"> </w:t>
      </w:r>
      <w:r w:rsidRPr="007D322B">
        <w:rPr>
          <w:rFonts w:ascii="Arial" w:hAnsi="Arial" w:cs="Arial"/>
          <w:noProof/>
          <w:sz w:val="24"/>
          <w:szCs w:val="24"/>
          <w:lang w:val="en-AU"/>
        </w:rPr>
        <w:t>has</w:t>
      </w:r>
      <w:r w:rsidR="00EE0CCC">
        <w:rPr>
          <w:rFonts w:ascii="Arial" w:hAnsi="Arial" w:cs="Arial"/>
          <w:noProof/>
          <w:sz w:val="24"/>
          <w:szCs w:val="24"/>
          <w:lang w:val="en-AU"/>
        </w:rPr>
        <w:t xml:space="preserve"> </w:t>
      </w:r>
      <w:r w:rsidRPr="007D322B">
        <w:rPr>
          <w:rFonts w:ascii="Arial" w:hAnsi="Arial" w:cs="Arial"/>
          <w:noProof/>
          <w:sz w:val="24"/>
          <w:szCs w:val="24"/>
          <w:lang w:val="en-AU"/>
        </w:rPr>
        <w:t>been</w:t>
      </w:r>
      <w:r w:rsidR="00EE0CCC">
        <w:rPr>
          <w:rFonts w:ascii="Arial" w:hAnsi="Arial" w:cs="Arial"/>
          <w:noProof/>
          <w:sz w:val="24"/>
          <w:szCs w:val="24"/>
          <w:lang w:val="en-AU"/>
        </w:rPr>
        <w:t xml:space="preserve"> </w:t>
      </w:r>
      <w:r w:rsidRPr="007D322B">
        <w:rPr>
          <w:rFonts w:ascii="Arial" w:hAnsi="Arial" w:cs="Arial"/>
          <w:noProof/>
          <w:sz w:val="24"/>
          <w:szCs w:val="24"/>
          <w:lang w:val="en-AU"/>
        </w:rPr>
        <w:t>reported</w:t>
      </w:r>
      <w:r w:rsidR="00EE0CCC">
        <w:rPr>
          <w:rFonts w:ascii="Arial" w:hAnsi="Arial" w:cs="Arial"/>
          <w:noProof/>
          <w:sz w:val="24"/>
          <w:szCs w:val="24"/>
          <w:lang w:val="en-AU"/>
        </w:rPr>
        <w:t xml:space="preserve"> </w:t>
      </w:r>
      <w:r w:rsidRPr="007D322B">
        <w:rPr>
          <w:rFonts w:ascii="Arial" w:hAnsi="Arial" w:cs="Arial"/>
          <w:noProof/>
          <w:sz w:val="24"/>
          <w:szCs w:val="24"/>
          <w:lang w:val="en-AU"/>
        </w:rPr>
        <w:t>with</w:t>
      </w:r>
      <w:r w:rsidR="00EE0CCC">
        <w:rPr>
          <w:rFonts w:ascii="Arial" w:hAnsi="Arial" w:cs="Arial"/>
          <w:noProof/>
          <w:sz w:val="24"/>
          <w:szCs w:val="24"/>
          <w:lang w:val="en-AU"/>
        </w:rPr>
        <w:t xml:space="preserve"> </w:t>
      </w:r>
      <w:r w:rsidR="008C1D88" w:rsidRPr="007D322B">
        <w:rPr>
          <w:rFonts w:ascii="Arial" w:hAnsi="Arial" w:cs="Arial"/>
          <w:sz w:val="24"/>
          <w:szCs w:val="24"/>
          <w:lang w:val="en-AU"/>
        </w:rPr>
        <w:t>QARZIBA</w:t>
      </w:r>
      <w:r w:rsidRPr="007D322B">
        <w:rPr>
          <w:rFonts w:ascii="Arial" w:hAnsi="Arial" w:cs="Arial"/>
          <w:noProof/>
          <w:sz w:val="24"/>
          <w:szCs w:val="24"/>
          <w:lang w:val="en-AU"/>
        </w:rPr>
        <w:t>,</w:t>
      </w:r>
      <w:r w:rsidR="00EE0CCC">
        <w:rPr>
          <w:rFonts w:ascii="Arial" w:hAnsi="Arial" w:cs="Arial"/>
          <w:noProof/>
          <w:sz w:val="24"/>
          <w:szCs w:val="24"/>
          <w:lang w:val="en-AU"/>
        </w:rPr>
        <w:t xml:space="preserve"> </w:t>
      </w:r>
      <w:r w:rsidRPr="007D322B">
        <w:rPr>
          <w:rFonts w:ascii="Arial" w:hAnsi="Arial" w:cs="Arial"/>
          <w:noProof/>
          <w:sz w:val="24"/>
          <w:szCs w:val="24"/>
          <w:lang w:val="en-AU"/>
        </w:rPr>
        <w:t>such</w:t>
      </w:r>
      <w:r w:rsidR="00EE0CCC">
        <w:rPr>
          <w:rFonts w:ascii="Arial" w:hAnsi="Arial" w:cs="Arial"/>
          <w:noProof/>
          <w:sz w:val="24"/>
          <w:szCs w:val="24"/>
          <w:lang w:val="en-AU"/>
        </w:rPr>
        <w:t xml:space="preserve"> </w:t>
      </w:r>
      <w:r w:rsidRPr="007D322B">
        <w:rPr>
          <w:rFonts w:ascii="Arial" w:hAnsi="Arial" w:cs="Arial"/>
          <w:noProof/>
          <w:sz w:val="24"/>
          <w:szCs w:val="24"/>
          <w:lang w:val="en-AU"/>
        </w:rPr>
        <w:t>as</w:t>
      </w:r>
      <w:r w:rsidR="00EE0CCC">
        <w:rPr>
          <w:rFonts w:ascii="Arial" w:hAnsi="Arial" w:cs="Arial"/>
          <w:noProof/>
          <w:sz w:val="24"/>
          <w:szCs w:val="24"/>
          <w:lang w:val="en-AU"/>
        </w:rPr>
        <w:t xml:space="preserve"> </w:t>
      </w:r>
      <w:r w:rsidRPr="007D322B">
        <w:rPr>
          <w:rFonts w:ascii="Arial" w:hAnsi="Arial" w:cs="Arial"/>
          <w:noProof/>
          <w:sz w:val="24"/>
          <w:szCs w:val="24"/>
          <w:lang w:val="en-AU"/>
        </w:rPr>
        <w:t>erythropenia,</w:t>
      </w:r>
      <w:r w:rsidR="00EE0CCC">
        <w:rPr>
          <w:rFonts w:ascii="Arial" w:hAnsi="Arial" w:cs="Arial"/>
          <w:noProof/>
          <w:sz w:val="24"/>
          <w:szCs w:val="24"/>
          <w:lang w:val="en-AU"/>
        </w:rPr>
        <w:t xml:space="preserve"> </w:t>
      </w:r>
      <w:r w:rsidRPr="007D322B">
        <w:rPr>
          <w:rFonts w:ascii="Arial" w:hAnsi="Arial" w:cs="Arial"/>
          <w:noProof/>
          <w:sz w:val="24"/>
          <w:szCs w:val="24"/>
          <w:lang w:val="en-AU"/>
        </w:rPr>
        <w:t>thrombocytopenia</w:t>
      </w:r>
      <w:r w:rsidR="00EE0CCC">
        <w:rPr>
          <w:rFonts w:ascii="Arial" w:hAnsi="Arial" w:cs="Arial"/>
          <w:noProof/>
          <w:sz w:val="24"/>
          <w:szCs w:val="24"/>
          <w:lang w:val="en-AU"/>
        </w:rPr>
        <w:t xml:space="preserve"> </w:t>
      </w:r>
      <w:r w:rsidRPr="007D322B">
        <w:rPr>
          <w:rFonts w:ascii="Arial" w:hAnsi="Arial" w:cs="Arial"/>
          <w:noProof/>
          <w:sz w:val="24"/>
          <w:szCs w:val="24"/>
          <w:lang w:val="en-AU"/>
        </w:rPr>
        <w:t>or</w:t>
      </w:r>
      <w:r w:rsidR="00EE0CCC">
        <w:rPr>
          <w:rFonts w:ascii="Arial" w:hAnsi="Arial" w:cs="Arial"/>
          <w:noProof/>
          <w:sz w:val="24"/>
          <w:szCs w:val="24"/>
          <w:lang w:val="en-AU"/>
        </w:rPr>
        <w:t xml:space="preserve"> </w:t>
      </w:r>
      <w:r w:rsidRPr="007D322B">
        <w:rPr>
          <w:rFonts w:ascii="Arial" w:hAnsi="Arial" w:cs="Arial"/>
          <w:noProof/>
          <w:sz w:val="24"/>
          <w:szCs w:val="24"/>
          <w:lang w:val="en-AU"/>
        </w:rPr>
        <w:t>neutropenia.</w:t>
      </w:r>
      <w:r w:rsidR="00EE0CCC">
        <w:rPr>
          <w:rFonts w:ascii="Arial" w:hAnsi="Arial" w:cs="Arial"/>
          <w:noProof/>
          <w:sz w:val="24"/>
          <w:szCs w:val="24"/>
          <w:lang w:val="en-AU"/>
        </w:rPr>
        <w:t xml:space="preserve"> </w:t>
      </w:r>
      <w:r w:rsidRPr="007D322B">
        <w:rPr>
          <w:rFonts w:ascii="Arial" w:hAnsi="Arial" w:cs="Arial"/>
          <w:noProof/>
          <w:sz w:val="24"/>
          <w:szCs w:val="24"/>
          <w:lang w:val="en-AU"/>
        </w:rPr>
        <w:t>Grade</w:t>
      </w:r>
      <w:r w:rsidR="00EE0CCC">
        <w:rPr>
          <w:rFonts w:ascii="Arial" w:hAnsi="Arial" w:cs="Arial"/>
          <w:noProof/>
          <w:sz w:val="24"/>
          <w:szCs w:val="24"/>
          <w:lang w:val="en-AU"/>
        </w:rPr>
        <w:t xml:space="preserve"> </w:t>
      </w:r>
      <w:r w:rsidRPr="007D322B">
        <w:rPr>
          <w:rFonts w:ascii="Arial" w:hAnsi="Arial" w:cs="Arial"/>
          <w:noProof/>
          <w:sz w:val="24"/>
          <w:szCs w:val="24"/>
          <w:lang w:val="en-AU"/>
        </w:rPr>
        <w:t>4</w:t>
      </w:r>
      <w:r w:rsidR="00EE0CCC">
        <w:rPr>
          <w:rFonts w:ascii="Arial" w:hAnsi="Arial" w:cs="Arial"/>
          <w:noProof/>
          <w:sz w:val="24"/>
          <w:szCs w:val="24"/>
          <w:lang w:val="en-AU"/>
        </w:rPr>
        <w:t xml:space="preserve"> </w:t>
      </w:r>
      <w:r w:rsidRPr="007D322B">
        <w:rPr>
          <w:rFonts w:ascii="Arial" w:hAnsi="Arial" w:cs="Arial"/>
          <w:noProof/>
          <w:sz w:val="24"/>
          <w:szCs w:val="24"/>
          <w:lang w:val="en-AU"/>
        </w:rPr>
        <w:t>haematologic</w:t>
      </w:r>
      <w:r w:rsidR="00EE0CCC">
        <w:rPr>
          <w:rFonts w:ascii="Arial" w:hAnsi="Arial" w:cs="Arial"/>
          <w:noProof/>
          <w:sz w:val="24"/>
          <w:szCs w:val="24"/>
          <w:lang w:val="en-AU"/>
        </w:rPr>
        <w:t xml:space="preserve"> </w:t>
      </w:r>
      <w:r w:rsidRPr="007D322B">
        <w:rPr>
          <w:rFonts w:ascii="Arial" w:hAnsi="Arial" w:cs="Arial"/>
          <w:noProof/>
          <w:sz w:val="24"/>
          <w:szCs w:val="24"/>
          <w:lang w:val="en-AU"/>
        </w:rPr>
        <w:t>toxicities,</w:t>
      </w:r>
      <w:r w:rsidR="00EE0CCC">
        <w:rPr>
          <w:rFonts w:ascii="Arial" w:hAnsi="Arial" w:cs="Arial"/>
          <w:noProof/>
          <w:sz w:val="24"/>
          <w:szCs w:val="24"/>
          <w:lang w:val="en-AU"/>
        </w:rPr>
        <w:t xml:space="preserve"> </w:t>
      </w:r>
      <w:r w:rsidRPr="007D322B">
        <w:rPr>
          <w:rFonts w:ascii="Arial" w:hAnsi="Arial" w:cs="Arial"/>
          <w:noProof/>
          <w:sz w:val="24"/>
          <w:szCs w:val="24"/>
          <w:lang w:val="en-AU"/>
        </w:rPr>
        <w:t>improving</w:t>
      </w:r>
      <w:r w:rsidR="00EE0CCC">
        <w:rPr>
          <w:rFonts w:ascii="Arial" w:hAnsi="Arial" w:cs="Arial"/>
          <w:noProof/>
          <w:sz w:val="24"/>
          <w:szCs w:val="24"/>
          <w:lang w:val="en-AU"/>
        </w:rPr>
        <w:t xml:space="preserve"> </w:t>
      </w:r>
      <w:r w:rsidRPr="007D322B">
        <w:rPr>
          <w:rFonts w:ascii="Arial" w:hAnsi="Arial" w:cs="Arial"/>
          <w:noProof/>
          <w:sz w:val="24"/>
          <w:szCs w:val="24"/>
          <w:lang w:val="en-AU"/>
        </w:rPr>
        <w:t>to</w:t>
      </w:r>
      <w:r w:rsidR="00EE0CCC">
        <w:rPr>
          <w:rFonts w:ascii="Arial" w:hAnsi="Arial" w:cs="Arial"/>
          <w:noProof/>
          <w:sz w:val="24"/>
          <w:szCs w:val="24"/>
          <w:lang w:val="en-AU"/>
        </w:rPr>
        <w:t xml:space="preserve"> </w:t>
      </w:r>
      <w:r w:rsidRPr="007D322B">
        <w:rPr>
          <w:rFonts w:ascii="Arial" w:hAnsi="Arial" w:cs="Arial"/>
          <w:noProof/>
          <w:sz w:val="24"/>
          <w:szCs w:val="24"/>
          <w:lang w:val="en-AU"/>
        </w:rPr>
        <w:t>at</w:t>
      </w:r>
      <w:r w:rsidR="00EE0CCC">
        <w:rPr>
          <w:rFonts w:ascii="Arial" w:hAnsi="Arial" w:cs="Arial"/>
          <w:noProof/>
          <w:sz w:val="24"/>
          <w:szCs w:val="24"/>
          <w:lang w:val="en-AU"/>
        </w:rPr>
        <w:t xml:space="preserve"> </w:t>
      </w:r>
      <w:r w:rsidRPr="007D322B">
        <w:rPr>
          <w:rFonts w:ascii="Arial" w:hAnsi="Arial" w:cs="Arial"/>
          <w:noProof/>
          <w:sz w:val="24"/>
          <w:szCs w:val="24"/>
          <w:lang w:val="en-AU"/>
        </w:rPr>
        <w:t>least</w:t>
      </w:r>
      <w:r w:rsidR="00EE0CCC">
        <w:rPr>
          <w:rFonts w:ascii="Arial" w:hAnsi="Arial" w:cs="Arial"/>
          <w:noProof/>
          <w:sz w:val="24"/>
          <w:szCs w:val="24"/>
          <w:lang w:val="en-AU"/>
        </w:rPr>
        <w:t xml:space="preserve"> </w:t>
      </w:r>
      <w:r w:rsidRPr="007D322B">
        <w:rPr>
          <w:rFonts w:ascii="Arial" w:hAnsi="Arial" w:cs="Arial"/>
          <w:noProof/>
          <w:sz w:val="24"/>
          <w:szCs w:val="24"/>
          <w:lang w:val="en-AU"/>
        </w:rPr>
        <w:t>Grade</w:t>
      </w:r>
      <w:r w:rsidR="00EE0CCC">
        <w:rPr>
          <w:rFonts w:ascii="Arial" w:hAnsi="Arial" w:cs="Arial"/>
          <w:noProof/>
          <w:sz w:val="24"/>
          <w:szCs w:val="24"/>
          <w:lang w:val="en-AU"/>
        </w:rPr>
        <w:t xml:space="preserve"> </w:t>
      </w:r>
      <w:r w:rsidRPr="007D322B">
        <w:rPr>
          <w:rFonts w:ascii="Arial" w:hAnsi="Arial" w:cs="Arial"/>
          <w:noProof/>
          <w:sz w:val="24"/>
          <w:szCs w:val="24"/>
          <w:lang w:val="en-AU"/>
        </w:rPr>
        <w:t>2</w:t>
      </w:r>
      <w:r w:rsidR="00EE0CCC">
        <w:rPr>
          <w:rFonts w:ascii="Arial" w:hAnsi="Arial" w:cs="Arial"/>
          <w:noProof/>
          <w:sz w:val="24"/>
          <w:szCs w:val="24"/>
          <w:lang w:val="en-AU"/>
        </w:rPr>
        <w:t xml:space="preserve"> </w:t>
      </w:r>
      <w:r w:rsidRPr="007D322B">
        <w:rPr>
          <w:rFonts w:ascii="Arial" w:hAnsi="Arial" w:cs="Arial"/>
          <w:noProof/>
          <w:sz w:val="24"/>
          <w:szCs w:val="24"/>
          <w:lang w:val="en-AU"/>
        </w:rPr>
        <w:t>or</w:t>
      </w:r>
      <w:r w:rsidR="00EE0CCC">
        <w:rPr>
          <w:rFonts w:ascii="Arial" w:hAnsi="Arial" w:cs="Arial"/>
          <w:noProof/>
          <w:sz w:val="24"/>
          <w:szCs w:val="24"/>
          <w:lang w:val="en-AU"/>
        </w:rPr>
        <w:t xml:space="preserve"> </w:t>
      </w:r>
      <w:r w:rsidRPr="007D322B">
        <w:rPr>
          <w:rFonts w:ascii="Arial" w:hAnsi="Arial" w:cs="Arial"/>
          <w:noProof/>
          <w:sz w:val="24"/>
          <w:szCs w:val="24"/>
          <w:lang w:val="en-AU"/>
        </w:rPr>
        <w:t>baseline</w:t>
      </w:r>
      <w:r w:rsidR="00EE0CCC">
        <w:rPr>
          <w:rFonts w:ascii="Arial" w:hAnsi="Arial" w:cs="Arial"/>
          <w:noProof/>
          <w:sz w:val="24"/>
          <w:szCs w:val="24"/>
          <w:lang w:val="en-AU"/>
        </w:rPr>
        <w:t xml:space="preserve"> </w:t>
      </w:r>
      <w:r w:rsidRPr="007D322B">
        <w:rPr>
          <w:rFonts w:ascii="Arial" w:hAnsi="Arial" w:cs="Arial"/>
          <w:noProof/>
          <w:sz w:val="24"/>
          <w:szCs w:val="24"/>
          <w:lang w:val="en-AU"/>
        </w:rPr>
        <w:t>values</w:t>
      </w:r>
      <w:r w:rsidR="00EE0CCC">
        <w:rPr>
          <w:rFonts w:ascii="Arial" w:hAnsi="Arial" w:cs="Arial"/>
          <w:noProof/>
          <w:sz w:val="24"/>
          <w:szCs w:val="24"/>
          <w:lang w:val="en-AU"/>
        </w:rPr>
        <w:t xml:space="preserve"> </w:t>
      </w:r>
      <w:r w:rsidRPr="007D322B">
        <w:rPr>
          <w:rFonts w:ascii="Arial" w:hAnsi="Arial" w:cs="Arial"/>
          <w:noProof/>
          <w:sz w:val="24"/>
          <w:szCs w:val="24"/>
          <w:lang w:val="en-AU"/>
        </w:rPr>
        <w:t>by</w:t>
      </w:r>
      <w:r w:rsidR="00EE0CCC">
        <w:rPr>
          <w:rFonts w:ascii="Arial" w:hAnsi="Arial" w:cs="Arial"/>
          <w:noProof/>
          <w:sz w:val="24"/>
          <w:szCs w:val="24"/>
          <w:lang w:val="en-AU"/>
        </w:rPr>
        <w:t xml:space="preserve"> </w:t>
      </w:r>
      <w:r w:rsidRPr="007D322B">
        <w:rPr>
          <w:rFonts w:ascii="Arial" w:hAnsi="Arial" w:cs="Arial"/>
          <w:noProof/>
          <w:sz w:val="24"/>
          <w:szCs w:val="24"/>
          <w:lang w:val="en-AU"/>
        </w:rPr>
        <w:t>start</w:t>
      </w:r>
      <w:r w:rsidR="00EE0CCC">
        <w:rPr>
          <w:rFonts w:ascii="Arial" w:hAnsi="Arial" w:cs="Arial"/>
          <w:noProof/>
          <w:sz w:val="24"/>
          <w:szCs w:val="24"/>
          <w:lang w:val="en-AU"/>
        </w:rPr>
        <w:t xml:space="preserve"> </w:t>
      </w:r>
      <w:r w:rsidRPr="007D322B">
        <w:rPr>
          <w:rFonts w:ascii="Arial" w:hAnsi="Arial" w:cs="Arial"/>
          <w:noProof/>
          <w:sz w:val="24"/>
          <w:szCs w:val="24"/>
          <w:lang w:val="en-AU"/>
        </w:rPr>
        <w:t>of</w:t>
      </w:r>
      <w:r w:rsidR="00EE0CCC">
        <w:rPr>
          <w:rFonts w:ascii="Arial" w:hAnsi="Arial" w:cs="Arial"/>
          <w:noProof/>
          <w:sz w:val="24"/>
          <w:szCs w:val="24"/>
          <w:lang w:val="en-AU"/>
        </w:rPr>
        <w:t xml:space="preserve"> </w:t>
      </w:r>
      <w:r w:rsidRPr="007D322B">
        <w:rPr>
          <w:rFonts w:ascii="Arial" w:hAnsi="Arial" w:cs="Arial"/>
          <w:noProof/>
          <w:sz w:val="24"/>
          <w:szCs w:val="24"/>
          <w:lang w:val="en-AU"/>
        </w:rPr>
        <w:t>next</w:t>
      </w:r>
      <w:r w:rsidR="00EE0CCC">
        <w:rPr>
          <w:rFonts w:ascii="Arial" w:hAnsi="Arial" w:cs="Arial"/>
          <w:noProof/>
          <w:sz w:val="24"/>
          <w:szCs w:val="24"/>
          <w:lang w:val="en-AU"/>
        </w:rPr>
        <w:t xml:space="preserve"> </w:t>
      </w:r>
      <w:r w:rsidRPr="007D322B">
        <w:rPr>
          <w:rFonts w:ascii="Arial" w:hAnsi="Arial" w:cs="Arial"/>
          <w:noProof/>
          <w:sz w:val="24"/>
          <w:szCs w:val="24"/>
          <w:lang w:val="en-AU"/>
        </w:rPr>
        <w:t>treatment</w:t>
      </w:r>
      <w:r w:rsidR="00EE0CCC">
        <w:rPr>
          <w:rFonts w:ascii="Arial" w:hAnsi="Arial" w:cs="Arial"/>
          <w:noProof/>
          <w:sz w:val="24"/>
          <w:szCs w:val="24"/>
          <w:lang w:val="en-AU"/>
        </w:rPr>
        <w:t xml:space="preserve"> </w:t>
      </w:r>
      <w:r w:rsidRPr="007D322B">
        <w:rPr>
          <w:rFonts w:ascii="Arial" w:hAnsi="Arial" w:cs="Arial"/>
          <w:noProof/>
          <w:sz w:val="24"/>
          <w:szCs w:val="24"/>
          <w:lang w:val="en-AU"/>
        </w:rPr>
        <w:t>course,</w:t>
      </w:r>
      <w:r w:rsidR="00EE0CCC">
        <w:rPr>
          <w:rFonts w:ascii="Arial" w:hAnsi="Arial" w:cs="Arial"/>
          <w:noProof/>
          <w:sz w:val="24"/>
          <w:szCs w:val="24"/>
          <w:lang w:val="en-AU"/>
        </w:rPr>
        <w:t xml:space="preserve"> </w:t>
      </w:r>
      <w:r w:rsidRPr="007D322B">
        <w:rPr>
          <w:rFonts w:ascii="Arial" w:hAnsi="Arial" w:cs="Arial"/>
          <w:noProof/>
          <w:sz w:val="24"/>
          <w:szCs w:val="24"/>
          <w:lang w:val="en-AU"/>
        </w:rPr>
        <w:t>do</w:t>
      </w:r>
      <w:r w:rsidR="00EE0CCC">
        <w:rPr>
          <w:rFonts w:ascii="Arial" w:hAnsi="Arial" w:cs="Arial"/>
          <w:noProof/>
          <w:sz w:val="24"/>
          <w:szCs w:val="24"/>
          <w:lang w:val="en-AU"/>
        </w:rPr>
        <w:t xml:space="preserve"> </w:t>
      </w:r>
      <w:r w:rsidRPr="007D322B">
        <w:rPr>
          <w:rFonts w:ascii="Arial" w:hAnsi="Arial" w:cs="Arial"/>
          <w:noProof/>
          <w:sz w:val="24"/>
          <w:szCs w:val="24"/>
          <w:lang w:val="en-AU"/>
        </w:rPr>
        <w:t>not</w:t>
      </w:r>
      <w:r w:rsidR="00EE0CCC">
        <w:rPr>
          <w:rFonts w:ascii="Arial" w:hAnsi="Arial" w:cs="Arial"/>
          <w:noProof/>
          <w:sz w:val="24"/>
          <w:szCs w:val="24"/>
          <w:lang w:val="en-AU"/>
        </w:rPr>
        <w:t xml:space="preserve"> </w:t>
      </w:r>
      <w:r w:rsidRPr="007D322B">
        <w:rPr>
          <w:rFonts w:ascii="Arial" w:hAnsi="Arial" w:cs="Arial"/>
          <w:noProof/>
          <w:sz w:val="24"/>
          <w:szCs w:val="24"/>
          <w:lang w:val="en-AU"/>
        </w:rPr>
        <w:t>require</w:t>
      </w:r>
      <w:r w:rsidR="00EE0CCC">
        <w:rPr>
          <w:rFonts w:ascii="Arial" w:hAnsi="Arial" w:cs="Arial"/>
          <w:noProof/>
          <w:sz w:val="24"/>
          <w:szCs w:val="24"/>
          <w:lang w:val="en-AU"/>
        </w:rPr>
        <w:t xml:space="preserve"> </w:t>
      </w:r>
      <w:r w:rsidRPr="007D322B">
        <w:rPr>
          <w:rFonts w:ascii="Arial" w:hAnsi="Arial" w:cs="Arial"/>
          <w:noProof/>
          <w:sz w:val="24"/>
          <w:szCs w:val="24"/>
          <w:lang w:val="en-AU"/>
        </w:rPr>
        <w:t>dose</w:t>
      </w:r>
      <w:r w:rsidR="00EE0CCC">
        <w:rPr>
          <w:rFonts w:ascii="Arial" w:hAnsi="Arial" w:cs="Arial"/>
          <w:noProof/>
          <w:sz w:val="24"/>
          <w:szCs w:val="24"/>
          <w:lang w:val="en-AU"/>
        </w:rPr>
        <w:t xml:space="preserve"> </w:t>
      </w:r>
      <w:r w:rsidRPr="007D322B">
        <w:rPr>
          <w:rFonts w:ascii="Arial" w:hAnsi="Arial" w:cs="Arial"/>
          <w:noProof/>
          <w:sz w:val="24"/>
          <w:szCs w:val="24"/>
          <w:lang w:val="en-AU"/>
        </w:rPr>
        <w:t>modification.</w:t>
      </w:r>
    </w:p>
    <w:p w:rsidR="001B3E6D" w:rsidRPr="007D322B" w:rsidRDefault="001B3E6D" w:rsidP="001B3E6D">
      <w:pPr>
        <w:pStyle w:val="BodytextAgency"/>
        <w:spacing w:after="0" w:line="240" w:lineRule="auto"/>
        <w:rPr>
          <w:rFonts w:ascii="Arial" w:hAnsi="Arial" w:cs="Arial"/>
          <w:noProof/>
          <w:sz w:val="24"/>
          <w:szCs w:val="24"/>
          <w:lang w:val="en-AU"/>
        </w:rPr>
      </w:pPr>
    </w:p>
    <w:p w:rsidR="001B3E6D" w:rsidRPr="007D322B" w:rsidRDefault="001B3E6D" w:rsidP="001B3E6D">
      <w:pPr>
        <w:keepNext/>
        <w:keepLines/>
        <w:rPr>
          <w:rFonts w:ascii="Arial" w:hAnsi="Arial" w:cs="Arial"/>
          <w:b/>
          <w:bCs/>
          <w:noProof/>
        </w:rPr>
      </w:pPr>
      <w:r w:rsidRPr="007D322B">
        <w:rPr>
          <w:rFonts w:ascii="Arial" w:hAnsi="Arial" w:cs="Arial"/>
          <w:b/>
          <w:bCs/>
          <w:noProof/>
        </w:rPr>
        <w:t>Laboratory</w:t>
      </w:r>
      <w:r w:rsidR="00EE0CCC">
        <w:rPr>
          <w:rFonts w:ascii="Arial" w:hAnsi="Arial" w:cs="Arial"/>
          <w:b/>
          <w:bCs/>
          <w:noProof/>
        </w:rPr>
        <w:t xml:space="preserve"> </w:t>
      </w:r>
      <w:r w:rsidRPr="007D322B">
        <w:rPr>
          <w:rFonts w:ascii="Arial" w:hAnsi="Arial" w:cs="Arial"/>
          <w:b/>
          <w:bCs/>
          <w:noProof/>
        </w:rPr>
        <w:t>abnormalities</w:t>
      </w:r>
    </w:p>
    <w:p w:rsidR="00A80F17" w:rsidRPr="007D322B" w:rsidRDefault="001B3E6D" w:rsidP="001B3E6D">
      <w:pPr>
        <w:pStyle w:val="NoSpacing"/>
        <w:rPr>
          <w:rFonts w:ascii="Arial" w:eastAsia="Calibri" w:hAnsi="Arial" w:cs="Arial"/>
        </w:rPr>
      </w:pPr>
      <w:r w:rsidRPr="007D322B">
        <w:rPr>
          <w:rFonts w:ascii="Arial" w:hAnsi="Arial" w:cs="Arial"/>
          <w:noProof/>
        </w:rPr>
        <w:t>Regulatory</w:t>
      </w:r>
      <w:r w:rsidR="00EE0CCC">
        <w:rPr>
          <w:rFonts w:ascii="Arial" w:hAnsi="Arial" w:cs="Arial"/>
          <w:noProof/>
        </w:rPr>
        <w:t xml:space="preserve"> </w:t>
      </w:r>
      <w:r w:rsidRPr="007D322B">
        <w:rPr>
          <w:rFonts w:ascii="Arial" w:hAnsi="Arial" w:cs="Arial"/>
          <w:noProof/>
        </w:rPr>
        <w:t>monitoring</w:t>
      </w:r>
      <w:r w:rsidR="00EE0CCC">
        <w:rPr>
          <w:rFonts w:ascii="Arial" w:hAnsi="Arial" w:cs="Arial"/>
          <w:noProof/>
        </w:rPr>
        <w:t xml:space="preserve"> </w:t>
      </w:r>
      <w:r w:rsidRPr="007D322B">
        <w:rPr>
          <w:rFonts w:ascii="Arial" w:hAnsi="Arial" w:cs="Arial"/>
          <w:noProof/>
        </w:rPr>
        <w:t>of</w:t>
      </w:r>
      <w:r w:rsidR="00EE0CCC">
        <w:rPr>
          <w:rFonts w:ascii="Arial" w:hAnsi="Arial" w:cs="Arial"/>
          <w:noProof/>
        </w:rPr>
        <w:t xml:space="preserve"> </w:t>
      </w:r>
      <w:r w:rsidRPr="007D322B">
        <w:rPr>
          <w:rFonts w:ascii="Arial" w:hAnsi="Arial" w:cs="Arial"/>
          <w:noProof/>
        </w:rPr>
        <w:t>liver</w:t>
      </w:r>
      <w:r w:rsidR="00EE0CCC">
        <w:rPr>
          <w:rFonts w:ascii="Arial" w:hAnsi="Arial" w:cs="Arial"/>
          <w:noProof/>
        </w:rPr>
        <w:t xml:space="preserve"> </w:t>
      </w:r>
      <w:r w:rsidRPr="007D322B">
        <w:rPr>
          <w:rFonts w:ascii="Arial" w:hAnsi="Arial" w:cs="Arial"/>
          <w:noProof/>
        </w:rPr>
        <w:t>function</w:t>
      </w:r>
      <w:r w:rsidR="00EE0CCC">
        <w:rPr>
          <w:rFonts w:ascii="Arial" w:hAnsi="Arial" w:cs="Arial"/>
          <w:noProof/>
        </w:rPr>
        <w:t xml:space="preserve"> </w:t>
      </w:r>
      <w:r w:rsidRPr="007D322B">
        <w:rPr>
          <w:rFonts w:ascii="Arial" w:hAnsi="Arial" w:cs="Arial"/>
          <w:noProof/>
        </w:rPr>
        <w:t>and</w:t>
      </w:r>
      <w:r w:rsidR="00EE0CCC">
        <w:rPr>
          <w:rFonts w:ascii="Arial" w:hAnsi="Arial" w:cs="Arial"/>
          <w:noProof/>
        </w:rPr>
        <w:t xml:space="preserve"> </w:t>
      </w:r>
      <w:r w:rsidRPr="007D322B">
        <w:rPr>
          <w:rFonts w:ascii="Arial" w:hAnsi="Arial" w:cs="Arial"/>
          <w:noProof/>
        </w:rPr>
        <w:t>electrolytes</w:t>
      </w:r>
      <w:r w:rsidR="00EE0CCC">
        <w:rPr>
          <w:rFonts w:ascii="Arial" w:hAnsi="Arial" w:cs="Arial"/>
          <w:noProof/>
        </w:rPr>
        <w:t xml:space="preserve"> </w:t>
      </w:r>
      <w:r w:rsidRPr="007D322B">
        <w:rPr>
          <w:rFonts w:ascii="Arial" w:hAnsi="Arial" w:cs="Arial"/>
          <w:noProof/>
        </w:rPr>
        <w:t>is</w:t>
      </w:r>
      <w:r w:rsidR="00EE0CCC">
        <w:rPr>
          <w:rFonts w:ascii="Arial" w:hAnsi="Arial" w:cs="Arial"/>
          <w:noProof/>
        </w:rPr>
        <w:t xml:space="preserve"> </w:t>
      </w:r>
      <w:r w:rsidRPr="007D322B">
        <w:rPr>
          <w:rFonts w:ascii="Arial" w:hAnsi="Arial" w:cs="Arial"/>
          <w:noProof/>
        </w:rPr>
        <w:t>recommended.</w:t>
      </w:r>
    </w:p>
    <w:p w:rsidR="00A80F17" w:rsidRPr="007D322B" w:rsidRDefault="00A80F17" w:rsidP="00B221E2">
      <w:pPr>
        <w:pStyle w:val="NoSpacing"/>
        <w:rPr>
          <w:rFonts w:ascii="Arial" w:hAnsi="Arial" w:cs="Arial"/>
        </w:rPr>
      </w:pPr>
    </w:p>
    <w:p w:rsidR="00085FD4" w:rsidRPr="007D322B" w:rsidRDefault="00085FD4" w:rsidP="00B221E2">
      <w:pPr>
        <w:pStyle w:val="NoSpacing"/>
        <w:rPr>
          <w:rFonts w:ascii="Arial" w:eastAsia="Calibri" w:hAnsi="Arial" w:cs="Arial"/>
          <w:b/>
          <w:i/>
        </w:rPr>
      </w:pPr>
      <w:r w:rsidRPr="007D322B">
        <w:rPr>
          <w:rFonts w:ascii="Arial" w:eastAsia="Calibri" w:hAnsi="Arial" w:cs="Arial"/>
          <w:b/>
          <w:i/>
        </w:rPr>
        <w:t>Use</w:t>
      </w:r>
      <w:r w:rsidR="00EE0CCC">
        <w:rPr>
          <w:rFonts w:ascii="Arial" w:eastAsia="Calibri" w:hAnsi="Arial" w:cs="Arial"/>
          <w:b/>
          <w:i/>
        </w:rPr>
        <w:t xml:space="preserve"> </w:t>
      </w:r>
      <w:r w:rsidRPr="007D322B">
        <w:rPr>
          <w:rFonts w:ascii="Arial" w:eastAsia="Calibri" w:hAnsi="Arial" w:cs="Arial"/>
          <w:b/>
          <w:i/>
        </w:rPr>
        <w:t>in</w:t>
      </w:r>
      <w:r w:rsidR="00EE0CCC">
        <w:rPr>
          <w:rFonts w:ascii="Arial" w:eastAsia="Calibri" w:hAnsi="Arial" w:cs="Arial"/>
          <w:b/>
          <w:i/>
        </w:rPr>
        <w:t xml:space="preserve"> </w:t>
      </w:r>
      <w:r w:rsidRPr="007D322B">
        <w:rPr>
          <w:rFonts w:ascii="Arial" w:eastAsia="Calibri" w:hAnsi="Arial" w:cs="Arial"/>
          <w:b/>
          <w:i/>
        </w:rPr>
        <w:t>the</w:t>
      </w:r>
      <w:r w:rsidR="00EE0CCC">
        <w:rPr>
          <w:rFonts w:ascii="Arial" w:eastAsia="Calibri" w:hAnsi="Arial" w:cs="Arial"/>
          <w:b/>
          <w:i/>
        </w:rPr>
        <w:t xml:space="preserve"> </w:t>
      </w:r>
      <w:r w:rsidRPr="007D322B">
        <w:rPr>
          <w:rFonts w:ascii="Arial" w:eastAsia="Calibri" w:hAnsi="Arial" w:cs="Arial"/>
          <w:b/>
          <w:i/>
        </w:rPr>
        <w:t>elderly</w:t>
      </w:r>
    </w:p>
    <w:p w:rsidR="00085FD4" w:rsidRPr="007D322B" w:rsidRDefault="00587FFD" w:rsidP="00B221E2">
      <w:pPr>
        <w:pStyle w:val="NoSpacing"/>
        <w:rPr>
          <w:rFonts w:ascii="Arial" w:eastAsia="Calibri" w:hAnsi="Arial" w:cs="Arial"/>
          <w:b/>
        </w:rPr>
      </w:pPr>
      <w:r w:rsidRPr="007D322B">
        <w:rPr>
          <w:rFonts w:ascii="Arial" w:eastAsia="Calibri" w:hAnsi="Arial" w:cs="Arial"/>
          <w:bCs/>
        </w:rPr>
        <w:t>No</w:t>
      </w:r>
      <w:r w:rsidR="00EE0CCC">
        <w:rPr>
          <w:rFonts w:ascii="Arial" w:eastAsia="Calibri" w:hAnsi="Arial" w:cs="Arial"/>
          <w:bCs/>
        </w:rPr>
        <w:t xml:space="preserve"> </w:t>
      </w:r>
      <w:r w:rsidRPr="007D322B">
        <w:rPr>
          <w:rFonts w:ascii="Arial" w:eastAsia="Calibri" w:hAnsi="Arial" w:cs="Arial"/>
          <w:bCs/>
        </w:rPr>
        <w:t>data</w:t>
      </w:r>
      <w:r w:rsidR="00EE0CCC">
        <w:rPr>
          <w:rFonts w:ascii="Arial" w:eastAsia="Calibri" w:hAnsi="Arial" w:cs="Arial"/>
          <w:bCs/>
        </w:rPr>
        <w:t xml:space="preserve"> </w:t>
      </w:r>
      <w:r w:rsidRPr="007D322B">
        <w:rPr>
          <w:rFonts w:ascii="Arial" w:eastAsia="Calibri" w:hAnsi="Arial" w:cs="Arial"/>
          <w:bCs/>
        </w:rPr>
        <w:t>available</w:t>
      </w:r>
      <w:r w:rsidR="00085FD4" w:rsidRPr="007D322B">
        <w:rPr>
          <w:rFonts w:ascii="Arial" w:eastAsia="Calibri" w:hAnsi="Arial" w:cs="Arial"/>
          <w:bCs/>
        </w:rPr>
        <w:t>.</w:t>
      </w:r>
    </w:p>
    <w:p w:rsidR="00085FD4" w:rsidRPr="007D322B" w:rsidRDefault="00085FD4" w:rsidP="00B221E2">
      <w:pPr>
        <w:pStyle w:val="NoSpacing"/>
        <w:rPr>
          <w:rFonts w:ascii="Arial" w:eastAsia="Calibri" w:hAnsi="Arial" w:cs="Arial"/>
          <w:b/>
        </w:rPr>
      </w:pPr>
    </w:p>
    <w:p w:rsidR="00085FD4" w:rsidRPr="007D322B" w:rsidRDefault="00085FD4" w:rsidP="00B221E2">
      <w:pPr>
        <w:pStyle w:val="NoSpacing"/>
        <w:rPr>
          <w:rFonts w:ascii="Arial" w:eastAsia="Calibri" w:hAnsi="Arial" w:cs="Arial"/>
          <w:b/>
          <w:i/>
        </w:rPr>
      </w:pPr>
      <w:r w:rsidRPr="007D322B">
        <w:rPr>
          <w:rFonts w:ascii="Arial" w:eastAsia="Calibri" w:hAnsi="Arial" w:cs="Arial"/>
          <w:b/>
          <w:i/>
        </w:rPr>
        <w:t>Paediatric</w:t>
      </w:r>
      <w:r w:rsidR="00EE0CCC">
        <w:rPr>
          <w:rFonts w:ascii="Arial" w:eastAsia="Calibri" w:hAnsi="Arial" w:cs="Arial"/>
          <w:b/>
          <w:i/>
        </w:rPr>
        <w:t xml:space="preserve"> </w:t>
      </w:r>
      <w:r w:rsidRPr="007D322B">
        <w:rPr>
          <w:rFonts w:ascii="Arial" w:eastAsia="Calibri" w:hAnsi="Arial" w:cs="Arial"/>
          <w:b/>
          <w:i/>
        </w:rPr>
        <w:t>use</w:t>
      </w:r>
    </w:p>
    <w:p w:rsidR="00085FD4" w:rsidRPr="007D322B" w:rsidRDefault="00B557A8" w:rsidP="00B221E2">
      <w:pPr>
        <w:pStyle w:val="NoSpacing"/>
        <w:rPr>
          <w:rFonts w:ascii="Arial" w:eastAsia="Calibri" w:hAnsi="Arial" w:cs="Arial"/>
          <w:bCs/>
        </w:rPr>
      </w:pPr>
      <w:r w:rsidRPr="00B557A8">
        <w:rPr>
          <w:rFonts w:ascii="Arial" w:eastAsia="Calibri" w:hAnsi="Arial" w:cs="Arial"/>
          <w:bCs/>
        </w:rPr>
        <w:t>Data</w:t>
      </w:r>
      <w:r w:rsidR="00EE0CCC">
        <w:rPr>
          <w:rFonts w:ascii="Arial" w:eastAsia="Calibri" w:hAnsi="Arial" w:cs="Arial"/>
          <w:bCs/>
        </w:rPr>
        <w:t xml:space="preserve"> </w:t>
      </w:r>
      <w:r w:rsidRPr="00B557A8">
        <w:rPr>
          <w:rFonts w:ascii="Arial" w:eastAsia="Calibri" w:hAnsi="Arial" w:cs="Arial"/>
          <w:bCs/>
        </w:rPr>
        <w:t>in</w:t>
      </w:r>
      <w:r w:rsidR="00EE0CCC">
        <w:rPr>
          <w:rFonts w:ascii="Arial" w:eastAsia="Calibri" w:hAnsi="Arial" w:cs="Arial"/>
          <w:bCs/>
        </w:rPr>
        <w:t xml:space="preserve"> </w:t>
      </w:r>
      <w:r w:rsidRPr="00B557A8">
        <w:rPr>
          <w:rFonts w:ascii="Arial" w:eastAsia="Calibri" w:hAnsi="Arial" w:cs="Arial"/>
          <w:bCs/>
        </w:rPr>
        <w:t>children</w:t>
      </w:r>
      <w:r w:rsidR="00EE0CCC">
        <w:rPr>
          <w:rFonts w:ascii="Arial" w:eastAsia="Calibri" w:hAnsi="Arial" w:cs="Arial"/>
          <w:bCs/>
        </w:rPr>
        <w:t xml:space="preserve"> </w:t>
      </w:r>
      <w:r w:rsidRPr="00B557A8">
        <w:rPr>
          <w:rFonts w:ascii="Arial" w:eastAsia="Calibri" w:hAnsi="Arial" w:cs="Arial"/>
          <w:bCs/>
        </w:rPr>
        <w:t>aged</w:t>
      </w:r>
      <w:r w:rsidR="00EE0CCC">
        <w:rPr>
          <w:rFonts w:ascii="Arial" w:eastAsia="Calibri" w:hAnsi="Arial" w:cs="Arial"/>
          <w:bCs/>
        </w:rPr>
        <w:t xml:space="preserve"> </w:t>
      </w:r>
      <w:r w:rsidRPr="00B557A8">
        <w:rPr>
          <w:rFonts w:ascii="Arial" w:eastAsia="Calibri" w:hAnsi="Arial" w:cs="Arial"/>
          <w:bCs/>
        </w:rPr>
        <w:t>less</w:t>
      </w:r>
      <w:r w:rsidR="00EE0CCC">
        <w:rPr>
          <w:rFonts w:ascii="Arial" w:eastAsia="Calibri" w:hAnsi="Arial" w:cs="Arial"/>
          <w:bCs/>
        </w:rPr>
        <w:t xml:space="preserve"> </w:t>
      </w:r>
      <w:r w:rsidRPr="00B557A8">
        <w:rPr>
          <w:rFonts w:ascii="Arial" w:eastAsia="Calibri" w:hAnsi="Arial" w:cs="Arial"/>
          <w:bCs/>
        </w:rPr>
        <w:t>than</w:t>
      </w:r>
      <w:r w:rsidR="00EE0CCC">
        <w:rPr>
          <w:rFonts w:ascii="Arial" w:eastAsia="Calibri" w:hAnsi="Arial" w:cs="Arial"/>
          <w:bCs/>
        </w:rPr>
        <w:t xml:space="preserve"> </w:t>
      </w:r>
      <w:r w:rsidRPr="00B557A8">
        <w:rPr>
          <w:rFonts w:ascii="Arial" w:eastAsia="Calibri" w:hAnsi="Arial" w:cs="Arial"/>
          <w:bCs/>
        </w:rPr>
        <w:t>12</w:t>
      </w:r>
      <w:r w:rsidR="00EE0CCC">
        <w:rPr>
          <w:rFonts w:ascii="Arial" w:eastAsia="Calibri" w:hAnsi="Arial" w:cs="Arial"/>
          <w:bCs/>
        </w:rPr>
        <w:t xml:space="preserve"> </w:t>
      </w:r>
      <w:r w:rsidRPr="00B557A8">
        <w:rPr>
          <w:rFonts w:ascii="Arial" w:eastAsia="Calibri" w:hAnsi="Arial" w:cs="Arial"/>
          <w:bCs/>
        </w:rPr>
        <w:t>months</w:t>
      </w:r>
      <w:r w:rsidR="00EE0CCC">
        <w:rPr>
          <w:rFonts w:ascii="Arial" w:eastAsia="Calibri" w:hAnsi="Arial" w:cs="Arial"/>
          <w:bCs/>
        </w:rPr>
        <w:t xml:space="preserve"> </w:t>
      </w:r>
      <w:r w:rsidRPr="00B557A8">
        <w:rPr>
          <w:rFonts w:ascii="Arial" w:eastAsia="Calibri" w:hAnsi="Arial" w:cs="Arial"/>
          <w:bCs/>
        </w:rPr>
        <w:t>are</w:t>
      </w:r>
      <w:r w:rsidR="00EE0CCC">
        <w:rPr>
          <w:rFonts w:ascii="Arial" w:eastAsia="Calibri" w:hAnsi="Arial" w:cs="Arial"/>
          <w:bCs/>
        </w:rPr>
        <w:t xml:space="preserve"> </w:t>
      </w:r>
      <w:r w:rsidRPr="00B557A8">
        <w:rPr>
          <w:rFonts w:ascii="Arial" w:eastAsia="Calibri" w:hAnsi="Arial" w:cs="Arial"/>
          <w:bCs/>
        </w:rPr>
        <w:t>limited</w:t>
      </w:r>
      <w:r>
        <w:rPr>
          <w:rFonts w:ascii="Arial" w:eastAsia="Calibri" w:hAnsi="Arial" w:cs="Arial"/>
          <w:bCs/>
        </w:rPr>
        <w:t>.</w:t>
      </w:r>
    </w:p>
    <w:p w:rsidR="00085FD4" w:rsidRPr="007D322B" w:rsidRDefault="00085FD4" w:rsidP="00B221E2">
      <w:pPr>
        <w:pStyle w:val="NoSpacing"/>
        <w:rPr>
          <w:rFonts w:ascii="Arial" w:eastAsia="Calibri" w:hAnsi="Arial" w:cs="Arial"/>
          <w:b/>
        </w:rPr>
      </w:pPr>
    </w:p>
    <w:p w:rsidR="00085FD4" w:rsidRPr="007D322B" w:rsidRDefault="00085FD4" w:rsidP="00B221E2">
      <w:pPr>
        <w:pStyle w:val="NoSpacing"/>
        <w:rPr>
          <w:rFonts w:ascii="Arial" w:eastAsia="Calibri" w:hAnsi="Arial" w:cs="Arial"/>
          <w:b/>
          <w:i/>
        </w:rPr>
      </w:pPr>
      <w:r w:rsidRPr="007D322B">
        <w:rPr>
          <w:rFonts w:ascii="Arial" w:eastAsia="Calibri" w:hAnsi="Arial" w:cs="Arial"/>
          <w:b/>
          <w:i/>
        </w:rPr>
        <w:t>Effects</w:t>
      </w:r>
      <w:r w:rsidR="00EE0CCC">
        <w:rPr>
          <w:rFonts w:ascii="Arial" w:eastAsia="Calibri" w:hAnsi="Arial" w:cs="Arial"/>
          <w:b/>
          <w:i/>
        </w:rPr>
        <w:t xml:space="preserve"> </w:t>
      </w:r>
      <w:r w:rsidRPr="007D322B">
        <w:rPr>
          <w:rFonts w:ascii="Arial" w:eastAsia="Calibri" w:hAnsi="Arial" w:cs="Arial"/>
          <w:b/>
          <w:i/>
        </w:rPr>
        <w:t>on</w:t>
      </w:r>
      <w:r w:rsidR="00EE0CCC">
        <w:rPr>
          <w:rFonts w:ascii="Arial" w:eastAsia="Calibri" w:hAnsi="Arial" w:cs="Arial"/>
          <w:b/>
          <w:i/>
        </w:rPr>
        <w:t xml:space="preserve"> </w:t>
      </w:r>
      <w:r w:rsidRPr="007D322B">
        <w:rPr>
          <w:rFonts w:ascii="Arial" w:eastAsia="Calibri" w:hAnsi="Arial" w:cs="Arial"/>
          <w:b/>
          <w:i/>
        </w:rPr>
        <w:t>laboratory</w:t>
      </w:r>
      <w:r w:rsidR="00EE0CCC">
        <w:rPr>
          <w:rFonts w:ascii="Arial" w:eastAsia="Calibri" w:hAnsi="Arial" w:cs="Arial"/>
          <w:b/>
          <w:i/>
        </w:rPr>
        <w:t xml:space="preserve"> </w:t>
      </w:r>
      <w:r w:rsidRPr="007D322B">
        <w:rPr>
          <w:rFonts w:ascii="Arial" w:eastAsia="Calibri" w:hAnsi="Arial" w:cs="Arial"/>
          <w:b/>
          <w:i/>
        </w:rPr>
        <w:t>tests</w:t>
      </w:r>
    </w:p>
    <w:p w:rsidR="00085FD4" w:rsidRPr="007D322B" w:rsidRDefault="00085FD4" w:rsidP="00B221E2">
      <w:pPr>
        <w:pStyle w:val="NoSpacing"/>
        <w:rPr>
          <w:rFonts w:ascii="Arial" w:hAnsi="Arial" w:cs="Arial"/>
        </w:rPr>
      </w:pPr>
      <w:r w:rsidRPr="007D322B">
        <w:rPr>
          <w:rFonts w:ascii="Arial" w:hAnsi="Arial" w:cs="Arial"/>
        </w:rPr>
        <w:t>No</w:t>
      </w:r>
      <w:r w:rsidR="00EE0CCC">
        <w:rPr>
          <w:rFonts w:ascii="Arial" w:hAnsi="Arial" w:cs="Arial"/>
        </w:rPr>
        <w:t xml:space="preserve"> </w:t>
      </w:r>
      <w:r w:rsidRPr="007D322B">
        <w:rPr>
          <w:rFonts w:ascii="Arial" w:hAnsi="Arial" w:cs="Arial"/>
        </w:rPr>
        <w:t>data</w:t>
      </w:r>
      <w:r w:rsidR="00EE0CCC">
        <w:rPr>
          <w:rFonts w:ascii="Arial" w:hAnsi="Arial" w:cs="Arial"/>
        </w:rPr>
        <w:t xml:space="preserve"> </w:t>
      </w:r>
      <w:r w:rsidRPr="007D322B">
        <w:rPr>
          <w:rFonts w:ascii="Arial" w:hAnsi="Arial" w:cs="Arial"/>
        </w:rPr>
        <w:t>available</w:t>
      </w:r>
      <w:r w:rsidR="00587FFD" w:rsidRPr="007D322B">
        <w:rPr>
          <w:rFonts w:ascii="Arial" w:hAnsi="Arial" w:cs="Arial"/>
        </w:rPr>
        <w:t>.</w:t>
      </w:r>
    </w:p>
    <w:p w:rsidR="00085FD4" w:rsidRPr="007D322B" w:rsidRDefault="00085FD4" w:rsidP="00B221E2">
      <w:pPr>
        <w:pStyle w:val="NoSpacing"/>
        <w:rPr>
          <w:rFonts w:ascii="Arial" w:hAnsi="Arial" w:cs="Arial"/>
        </w:rPr>
      </w:pPr>
    </w:p>
    <w:p w:rsidR="00085FD4" w:rsidRPr="007D322B" w:rsidRDefault="000C4737" w:rsidP="00B221E2">
      <w:pPr>
        <w:pStyle w:val="Heading2"/>
        <w:rPr>
          <w:rFonts w:ascii="Arial" w:eastAsia="Calibri" w:hAnsi="Arial" w:cs="Arial"/>
          <w:bCs w:val="0"/>
          <w:sz w:val="24"/>
          <w:szCs w:val="24"/>
        </w:rPr>
      </w:pPr>
      <w:r w:rsidRPr="007D322B">
        <w:rPr>
          <w:rFonts w:ascii="Arial" w:eastAsia="Calibri" w:hAnsi="Arial" w:cs="Arial"/>
          <w:i w:val="0"/>
          <w:sz w:val="24"/>
          <w:szCs w:val="24"/>
        </w:rPr>
        <w:t>INTERACTIONS</w:t>
      </w:r>
      <w:r w:rsidR="00EE0CCC">
        <w:rPr>
          <w:rFonts w:ascii="Arial" w:eastAsia="Calibri" w:hAnsi="Arial" w:cs="Arial"/>
          <w:i w:val="0"/>
          <w:sz w:val="24"/>
          <w:szCs w:val="24"/>
        </w:rPr>
        <w:t xml:space="preserve"> </w:t>
      </w:r>
      <w:r w:rsidRPr="007D322B">
        <w:rPr>
          <w:rFonts w:ascii="Arial" w:eastAsia="Calibri" w:hAnsi="Arial" w:cs="Arial"/>
          <w:i w:val="0"/>
          <w:sz w:val="24"/>
          <w:szCs w:val="24"/>
        </w:rPr>
        <w:t>WITH</w:t>
      </w:r>
      <w:r w:rsidR="00EE0CCC">
        <w:rPr>
          <w:rFonts w:ascii="Arial" w:eastAsia="Calibri" w:hAnsi="Arial" w:cs="Arial"/>
          <w:i w:val="0"/>
          <w:sz w:val="24"/>
          <w:szCs w:val="24"/>
        </w:rPr>
        <w:t xml:space="preserve"> </w:t>
      </w:r>
      <w:r w:rsidRPr="007D322B">
        <w:rPr>
          <w:rFonts w:ascii="Arial" w:eastAsia="Calibri" w:hAnsi="Arial" w:cs="Arial"/>
          <w:i w:val="0"/>
          <w:sz w:val="24"/>
          <w:szCs w:val="24"/>
        </w:rPr>
        <w:t>OTHER</w:t>
      </w:r>
      <w:r w:rsidR="00EE0CCC">
        <w:rPr>
          <w:rFonts w:ascii="Arial" w:eastAsia="Calibri" w:hAnsi="Arial" w:cs="Arial"/>
          <w:i w:val="0"/>
          <w:sz w:val="24"/>
          <w:szCs w:val="24"/>
        </w:rPr>
        <w:t xml:space="preserve"> </w:t>
      </w:r>
      <w:r w:rsidRPr="007D322B">
        <w:rPr>
          <w:rFonts w:ascii="Arial" w:eastAsia="Calibri" w:hAnsi="Arial" w:cs="Arial"/>
          <w:i w:val="0"/>
          <w:sz w:val="24"/>
          <w:szCs w:val="24"/>
        </w:rPr>
        <w:t>MEDICINES</w:t>
      </w:r>
      <w:r w:rsidR="00EE0CCC">
        <w:rPr>
          <w:rFonts w:ascii="Arial" w:eastAsia="Calibri" w:hAnsi="Arial" w:cs="Arial"/>
          <w:i w:val="0"/>
          <w:sz w:val="24"/>
          <w:szCs w:val="24"/>
        </w:rPr>
        <w:t xml:space="preserve"> </w:t>
      </w:r>
      <w:r w:rsidRPr="007D322B">
        <w:rPr>
          <w:rFonts w:ascii="Arial" w:eastAsia="Calibri" w:hAnsi="Arial" w:cs="Arial"/>
          <w:i w:val="0"/>
          <w:sz w:val="24"/>
          <w:szCs w:val="24"/>
        </w:rPr>
        <w:t>AND</w:t>
      </w:r>
      <w:r w:rsidR="00EE0CCC">
        <w:rPr>
          <w:rFonts w:ascii="Arial" w:eastAsia="Calibri" w:hAnsi="Arial" w:cs="Arial"/>
          <w:i w:val="0"/>
          <w:sz w:val="24"/>
          <w:szCs w:val="24"/>
        </w:rPr>
        <w:t xml:space="preserve"> </w:t>
      </w:r>
      <w:r w:rsidRPr="007D322B">
        <w:rPr>
          <w:rFonts w:ascii="Arial" w:eastAsia="Calibri" w:hAnsi="Arial" w:cs="Arial"/>
          <w:i w:val="0"/>
          <w:sz w:val="24"/>
          <w:szCs w:val="24"/>
        </w:rPr>
        <w:t>OTHER</w:t>
      </w:r>
      <w:r w:rsidR="00EE0CCC">
        <w:rPr>
          <w:rFonts w:ascii="Arial" w:eastAsia="Calibri" w:hAnsi="Arial" w:cs="Arial"/>
          <w:i w:val="0"/>
          <w:sz w:val="24"/>
          <w:szCs w:val="24"/>
        </w:rPr>
        <w:t xml:space="preserve"> </w:t>
      </w:r>
      <w:r w:rsidRPr="007D322B">
        <w:rPr>
          <w:rFonts w:ascii="Arial" w:eastAsia="Calibri" w:hAnsi="Arial" w:cs="Arial"/>
          <w:i w:val="0"/>
          <w:sz w:val="24"/>
          <w:szCs w:val="24"/>
        </w:rPr>
        <w:t>FORMS</w:t>
      </w:r>
      <w:r w:rsidR="00EE0CCC">
        <w:rPr>
          <w:rFonts w:ascii="Arial" w:eastAsia="Calibri" w:hAnsi="Arial" w:cs="Arial"/>
          <w:i w:val="0"/>
          <w:sz w:val="24"/>
          <w:szCs w:val="24"/>
        </w:rPr>
        <w:t xml:space="preserve"> </w:t>
      </w:r>
      <w:r w:rsidRPr="007D322B">
        <w:rPr>
          <w:rFonts w:ascii="Arial" w:eastAsia="Calibri" w:hAnsi="Arial" w:cs="Arial"/>
          <w:i w:val="0"/>
          <w:sz w:val="24"/>
          <w:szCs w:val="24"/>
        </w:rPr>
        <w:t>OF</w:t>
      </w:r>
      <w:r w:rsidR="00EE0CCC">
        <w:rPr>
          <w:rFonts w:ascii="Arial" w:eastAsia="Calibri" w:hAnsi="Arial" w:cs="Arial"/>
          <w:i w:val="0"/>
          <w:sz w:val="24"/>
          <w:szCs w:val="24"/>
        </w:rPr>
        <w:t xml:space="preserve"> </w:t>
      </w:r>
      <w:r w:rsidRPr="007D322B">
        <w:rPr>
          <w:rFonts w:ascii="Arial" w:eastAsia="Calibri" w:hAnsi="Arial" w:cs="Arial"/>
          <w:i w:val="0"/>
          <w:sz w:val="24"/>
          <w:szCs w:val="24"/>
        </w:rPr>
        <w:t>INTERACTIONS</w:t>
      </w:r>
    </w:p>
    <w:p w:rsidR="001B3E6D" w:rsidRPr="007D322B" w:rsidRDefault="001B3E6D" w:rsidP="001B3E6D">
      <w:pPr>
        <w:pStyle w:val="NoSpacing"/>
        <w:rPr>
          <w:rFonts w:ascii="Arial" w:eastAsia="Calibri" w:hAnsi="Arial" w:cs="Arial"/>
          <w:bCs/>
        </w:rPr>
      </w:pPr>
      <w:r w:rsidRPr="007D322B">
        <w:rPr>
          <w:rFonts w:ascii="Arial" w:eastAsia="Calibri" w:hAnsi="Arial" w:cs="Arial"/>
          <w:bCs/>
        </w:rPr>
        <w:t>No</w:t>
      </w:r>
      <w:r w:rsidR="00EE0CCC">
        <w:rPr>
          <w:rFonts w:ascii="Arial" w:eastAsia="Calibri" w:hAnsi="Arial" w:cs="Arial"/>
          <w:bCs/>
        </w:rPr>
        <w:t xml:space="preserve"> </w:t>
      </w:r>
      <w:r w:rsidRPr="007D322B">
        <w:rPr>
          <w:rFonts w:ascii="Arial" w:eastAsia="Calibri" w:hAnsi="Arial" w:cs="Arial"/>
          <w:bCs/>
        </w:rPr>
        <w:t>interaction</w:t>
      </w:r>
      <w:r w:rsidR="00EE0CCC">
        <w:rPr>
          <w:rFonts w:ascii="Arial" w:eastAsia="Calibri" w:hAnsi="Arial" w:cs="Arial"/>
          <w:bCs/>
        </w:rPr>
        <w:t xml:space="preserve"> </w:t>
      </w:r>
      <w:r w:rsidRPr="007D322B">
        <w:rPr>
          <w:rFonts w:ascii="Arial" w:eastAsia="Calibri" w:hAnsi="Arial" w:cs="Arial"/>
          <w:bCs/>
        </w:rPr>
        <w:t>studies</w:t>
      </w:r>
      <w:r w:rsidR="00EE0CCC">
        <w:rPr>
          <w:rFonts w:ascii="Arial" w:eastAsia="Calibri" w:hAnsi="Arial" w:cs="Arial"/>
          <w:bCs/>
        </w:rPr>
        <w:t xml:space="preserve"> </w:t>
      </w:r>
      <w:r w:rsidRPr="007D322B">
        <w:rPr>
          <w:rFonts w:ascii="Arial" w:eastAsia="Calibri" w:hAnsi="Arial" w:cs="Arial"/>
          <w:bCs/>
        </w:rPr>
        <w:t>have</w:t>
      </w:r>
      <w:r w:rsidR="00EE0CCC">
        <w:rPr>
          <w:rFonts w:ascii="Arial" w:eastAsia="Calibri" w:hAnsi="Arial" w:cs="Arial"/>
          <w:bCs/>
        </w:rPr>
        <w:t xml:space="preserve"> </w:t>
      </w:r>
      <w:r w:rsidRPr="007D322B">
        <w:rPr>
          <w:rFonts w:ascii="Arial" w:eastAsia="Calibri" w:hAnsi="Arial" w:cs="Arial"/>
          <w:bCs/>
        </w:rPr>
        <w:t>been</w:t>
      </w:r>
      <w:r w:rsidR="00EE0CCC">
        <w:rPr>
          <w:rFonts w:ascii="Arial" w:eastAsia="Calibri" w:hAnsi="Arial" w:cs="Arial"/>
          <w:bCs/>
        </w:rPr>
        <w:t xml:space="preserve"> </w:t>
      </w:r>
      <w:r w:rsidRPr="007D322B">
        <w:rPr>
          <w:rFonts w:ascii="Arial" w:eastAsia="Calibri" w:hAnsi="Arial" w:cs="Arial"/>
          <w:bCs/>
        </w:rPr>
        <w:t>performed.</w:t>
      </w:r>
      <w:r w:rsidR="00EE0CCC">
        <w:rPr>
          <w:rFonts w:ascii="Arial" w:eastAsia="Calibri" w:hAnsi="Arial" w:cs="Arial"/>
          <w:bCs/>
        </w:rPr>
        <w:t xml:space="preserve"> </w:t>
      </w:r>
      <w:r w:rsidRPr="007D322B">
        <w:rPr>
          <w:rFonts w:ascii="Arial" w:eastAsia="Calibri" w:hAnsi="Arial" w:cs="Arial"/>
          <w:bCs/>
        </w:rPr>
        <w:t>A</w:t>
      </w:r>
      <w:r w:rsidR="00EE0CCC">
        <w:rPr>
          <w:rFonts w:ascii="Arial" w:eastAsia="Calibri" w:hAnsi="Arial" w:cs="Arial"/>
          <w:bCs/>
        </w:rPr>
        <w:t xml:space="preserve"> </w:t>
      </w:r>
      <w:r w:rsidRPr="007D322B">
        <w:rPr>
          <w:rFonts w:ascii="Arial" w:eastAsia="Calibri" w:hAnsi="Arial" w:cs="Arial"/>
          <w:bCs/>
        </w:rPr>
        <w:t>risk</w:t>
      </w:r>
      <w:r w:rsidR="00EE0CCC">
        <w:rPr>
          <w:rFonts w:ascii="Arial" w:eastAsia="Calibri" w:hAnsi="Arial" w:cs="Arial"/>
          <w:bCs/>
        </w:rPr>
        <w:t xml:space="preserve"> </w:t>
      </w:r>
      <w:r w:rsidRPr="007D322B">
        <w:rPr>
          <w:rFonts w:ascii="Arial" w:eastAsia="Calibri" w:hAnsi="Arial" w:cs="Arial"/>
          <w:bCs/>
        </w:rPr>
        <w:t>for</w:t>
      </w:r>
      <w:r w:rsidR="00EE0CCC">
        <w:rPr>
          <w:rFonts w:ascii="Arial" w:eastAsia="Calibri" w:hAnsi="Arial" w:cs="Arial"/>
          <w:bCs/>
        </w:rPr>
        <w:t xml:space="preserve"> </w:t>
      </w:r>
      <w:r w:rsidRPr="007D322B">
        <w:rPr>
          <w:rFonts w:ascii="Arial" w:eastAsia="Calibri" w:hAnsi="Arial" w:cs="Arial"/>
          <w:bCs/>
        </w:rPr>
        <w:t>indirect</w:t>
      </w:r>
      <w:r w:rsidR="00EE0CCC">
        <w:rPr>
          <w:rFonts w:ascii="Arial" w:eastAsia="Calibri" w:hAnsi="Arial" w:cs="Arial"/>
          <w:bCs/>
        </w:rPr>
        <w:t xml:space="preserve"> </w:t>
      </w:r>
      <w:r w:rsidRPr="007D322B">
        <w:rPr>
          <w:rFonts w:ascii="Arial" w:eastAsia="Calibri" w:hAnsi="Arial" w:cs="Arial"/>
          <w:bCs/>
        </w:rPr>
        <w:t>reduction</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CYP</w:t>
      </w:r>
      <w:r w:rsidR="00EE0CCC">
        <w:rPr>
          <w:rFonts w:ascii="Arial" w:eastAsia="Calibri" w:hAnsi="Arial" w:cs="Arial"/>
          <w:bCs/>
        </w:rPr>
        <w:t xml:space="preserve"> </w:t>
      </w:r>
      <w:r w:rsidRPr="007D322B">
        <w:rPr>
          <w:rFonts w:ascii="Arial" w:eastAsia="Calibri" w:hAnsi="Arial" w:cs="Arial"/>
          <w:bCs/>
        </w:rPr>
        <w:t>activity</w:t>
      </w:r>
      <w:r w:rsidR="00EE0CCC">
        <w:rPr>
          <w:rFonts w:ascii="Arial" w:eastAsia="Calibri" w:hAnsi="Arial" w:cs="Arial"/>
          <w:bCs/>
        </w:rPr>
        <w:t xml:space="preserve"> </w:t>
      </w:r>
      <w:r w:rsidRPr="007D322B">
        <w:rPr>
          <w:rFonts w:ascii="Arial" w:eastAsia="Calibri" w:hAnsi="Arial" w:cs="Arial"/>
          <w:bCs/>
        </w:rPr>
        <w:t>due</w:t>
      </w:r>
      <w:r w:rsidR="00EE0CCC">
        <w:rPr>
          <w:rFonts w:ascii="Arial" w:eastAsia="Calibri" w:hAnsi="Arial" w:cs="Arial"/>
          <w:bCs/>
        </w:rPr>
        <w:t xml:space="preserve"> </w:t>
      </w:r>
      <w:r w:rsidRPr="007D322B">
        <w:rPr>
          <w:rFonts w:ascii="Arial" w:eastAsia="Calibri" w:hAnsi="Arial" w:cs="Arial"/>
          <w:bCs/>
        </w:rPr>
        <w:t>to</w:t>
      </w:r>
      <w:r w:rsidR="00EE0CCC">
        <w:rPr>
          <w:rFonts w:ascii="Arial" w:eastAsia="Calibri" w:hAnsi="Arial" w:cs="Arial"/>
          <w:bCs/>
        </w:rPr>
        <w:t xml:space="preserve"> </w:t>
      </w:r>
      <w:r w:rsidRPr="007D322B">
        <w:rPr>
          <w:rFonts w:ascii="Arial" w:eastAsia="Calibri" w:hAnsi="Arial" w:cs="Arial"/>
          <w:bCs/>
        </w:rPr>
        <w:t>higher</w:t>
      </w:r>
      <w:r w:rsidR="00EE0CCC">
        <w:rPr>
          <w:rFonts w:ascii="Arial" w:eastAsia="Calibri" w:hAnsi="Arial" w:cs="Arial"/>
          <w:bCs/>
        </w:rPr>
        <w:t xml:space="preserve"> </w:t>
      </w:r>
      <w:r w:rsidRPr="007D322B">
        <w:rPr>
          <w:rFonts w:ascii="Arial" w:eastAsia="Calibri" w:hAnsi="Arial" w:cs="Arial"/>
          <w:bCs/>
        </w:rPr>
        <w:t>TNF-α</w:t>
      </w:r>
      <w:r w:rsidR="00EE0CCC">
        <w:rPr>
          <w:rFonts w:ascii="Arial" w:eastAsia="Calibri" w:hAnsi="Arial" w:cs="Arial"/>
          <w:bCs/>
        </w:rPr>
        <w:t xml:space="preserve"> </w:t>
      </w:r>
      <w:r w:rsidRPr="007D322B">
        <w:rPr>
          <w:rFonts w:ascii="Arial" w:eastAsia="Calibri" w:hAnsi="Arial" w:cs="Arial"/>
          <w:bCs/>
        </w:rPr>
        <w:t>and</w:t>
      </w:r>
      <w:r w:rsidR="00EE0CCC">
        <w:rPr>
          <w:rFonts w:ascii="Arial" w:eastAsia="Calibri" w:hAnsi="Arial" w:cs="Arial"/>
          <w:bCs/>
        </w:rPr>
        <w:t xml:space="preserve"> </w:t>
      </w:r>
      <w:r w:rsidRPr="007D322B">
        <w:rPr>
          <w:rFonts w:ascii="Arial" w:eastAsia="Calibri" w:hAnsi="Arial" w:cs="Arial"/>
          <w:bCs/>
        </w:rPr>
        <w:t>IL-6</w:t>
      </w:r>
      <w:r w:rsidR="00EE0CCC">
        <w:rPr>
          <w:rFonts w:ascii="Arial" w:eastAsia="Calibri" w:hAnsi="Arial" w:cs="Arial"/>
          <w:bCs/>
        </w:rPr>
        <w:t xml:space="preserve"> </w:t>
      </w:r>
      <w:r w:rsidRPr="007D322B">
        <w:rPr>
          <w:rFonts w:ascii="Arial" w:eastAsia="Calibri" w:hAnsi="Arial" w:cs="Arial"/>
          <w:bCs/>
        </w:rPr>
        <w:t>levels</w:t>
      </w:r>
      <w:r w:rsidR="00EE0CCC">
        <w:rPr>
          <w:rFonts w:ascii="Arial" w:eastAsia="Calibri" w:hAnsi="Arial" w:cs="Arial"/>
          <w:bCs/>
        </w:rPr>
        <w:t xml:space="preserve"> </w:t>
      </w:r>
      <w:r w:rsidRPr="007D322B">
        <w:rPr>
          <w:rFonts w:ascii="Arial" w:eastAsia="Calibri" w:hAnsi="Arial" w:cs="Arial"/>
          <w:bCs/>
        </w:rPr>
        <w:t>and,</w:t>
      </w:r>
      <w:r w:rsidR="00EE0CCC">
        <w:rPr>
          <w:rFonts w:ascii="Arial" w:eastAsia="Calibri" w:hAnsi="Arial" w:cs="Arial"/>
          <w:bCs/>
        </w:rPr>
        <w:t xml:space="preserve"> </w:t>
      </w:r>
      <w:r w:rsidRPr="007D322B">
        <w:rPr>
          <w:rFonts w:ascii="Arial" w:eastAsia="Calibri" w:hAnsi="Arial" w:cs="Arial"/>
          <w:bCs/>
        </w:rPr>
        <w:t>therefore,</w:t>
      </w:r>
      <w:r w:rsidR="00EE0CCC">
        <w:rPr>
          <w:rFonts w:ascii="Arial" w:eastAsia="Calibri" w:hAnsi="Arial" w:cs="Arial"/>
          <w:bCs/>
        </w:rPr>
        <w:t xml:space="preserve"> </w:t>
      </w:r>
      <w:r w:rsidRPr="007D322B">
        <w:rPr>
          <w:rFonts w:ascii="Arial" w:eastAsia="Calibri" w:hAnsi="Arial" w:cs="Arial"/>
          <w:bCs/>
        </w:rPr>
        <w:t>interactions</w:t>
      </w:r>
      <w:r w:rsidR="00EE0CCC">
        <w:rPr>
          <w:rFonts w:ascii="Arial" w:eastAsia="Calibri" w:hAnsi="Arial" w:cs="Arial"/>
          <w:bCs/>
        </w:rPr>
        <w:t xml:space="preserve"> </w:t>
      </w:r>
      <w:r w:rsidRPr="007D322B">
        <w:rPr>
          <w:rFonts w:ascii="Arial" w:eastAsia="Calibri" w:hAnsi="Arial" w:cs="Arial"/>
          <w:bCs/>
        </w:rPr>
        <w:t>with</w:t>
      </w:r>
      <w:r w:rsidR="00EE0CCC">
        <w:rPr>
          <w:rFonts w:ascii="Arial" w:eastAsia="Calibri" w:hAnsi="Arial" w:cs="Arial"/>
          <w:bCs/>
        </w:rPr>
        <w:t xml:space="preserve"> </w:t>
      </w:r>
      <w:r w:rsidRPr="007D322B">
        <w:rPr>
          <w:rFonts w:ascii="Arial" w:eastAsia="Calibri" w:hAnsi="Arial" w:cs="Arial"/>
          <w:bCs/>
        </w:rPr>
        <w:t>concomitantly</w:t>
      </w:r>
      <w:r w:rsidR="00EE0CCC">
        <w:rPr>
          <w:rFonts w:ascii="Arial" w:eastAsia="Calibri" w:hAnsi="Arial" w:cs="Arial"/>
          <w:bCs/>
        </w:rPr>
        <w:t xml:space="preserve"> </w:t>
      </w:r>
      <w:r w:rsidRPr="007D322B">
        <w:rPr>
          <w:rFonts w:ascii="Arial" w:eastAsia="Calibri" w:hAnsi="Arial" w:cs="Arial"/>
          <w:bCs/>
        </w:rPr>
        <w:t>used</w:t>
      </w:r>
      <w:r w:rsidR="00EE0CCC">
        <w:rPr>
          <w:rFonts w:ascii="Arial" w:eastAsia="Calibri" w:hAnsi="Arial" w:cs="Arial"/>
          <w:bCs/>
        </w:rPr>
        <w:t xml:space="preserve"> </w:t>
      </w:r>
      <w:r w:rsidRPr="007D322B">
        <w:rPr>
          <w:rFonts w:ascii="Arial" w:eastAsia="Calibri" w:hAnsi="Arial" w:cs="Arial"/>
          <w:bCs/>
        </w:rPr>
        <w:t>medicinal</w:t>
      </w:r>
      <w:r w:rsidR="00EE0CCC">
        <w:rPr>
          <w:rFonts w:ascii="Arial" w:eastAsia="Calibri" w:hAnsi="Arial" w:cs="Arial"/>
          <w:bCs/>
        </w:rPr>
        <w:t xml:space="preserve"> </w:t>
      </w:r>
      <w:r w:rsidRPr="007D322B">
        <w:rPr>
          <w:rFonts w:ascii="Arial" w:eastAsia="Calibri" w:hAnsi="Arial" w:cs="Arial"/>
          <w:bCs/>
        </w:rPr>
        <w:t>products,</w:t>
      </w:r>
      <w:r w:rsidR="00EE0CCC">
        <w:rPr>
          <w:rFonts w:ascii="Arial" w:eastAsia="Calibri" w:hAnsi="Arial" w:cs="Arial"/>
          <w:bCs/>
        </w:rPr>
        <w:t xml:space="preserve"> </w:t>
      </w:r>
      <w:r w:rsidRPr="007D322B">
        <w:rPr>
          <w:rFonts w:ascii="Arial" w:eastAsia="Calibri" w:hAnsi="Arial" w:cs="Arial"/>
          <w:bCs/>
        </w:rPr>
        <w:t>cannot</w:t>
      </w:r>
      <w:r w:rsidR="00EE0CCC">
        <w:rPr>
          <w:rFonts w:ascii="Arial" w:eastAsia="Calibri" w:hAnsi="Arial" w:cs="Arial"/>
          <w:bCs/>
        </w:rPr>
        <w:t xml:space="preserve"> </w:t>
      </w:r>
      <w:r w:rsidRPr="007D322B">
        <w:rPr>
          <w:rFonts w:ascii="Arial" w:eastAsia="Calibri" w:hAnsi="Arial" w:cs="Arial"/>
          <w:bCs/>
        </w:rPr>
        <w:t>be</w:t>
      </w:r>
      <w:r w:rsidR="00EE0CCC">
        <w:rPr>
          <w:rFonts w:ascii="Arial" w:eastAsia="Calibri" w:hAnsi="Arial" w:cs="Arial"/>
          <w:bCs/>
        </w:rPr>
        <w:t xml:space="preserve"> </w:t>
      </w:r>
      <w:r w:rsidRPr="007D322B">
        <w:rPr>
          <w:rFonts w:ascii="Arial" w:eastAsia="Calibri" w:hAnsi="Arial" w:cs="Arial"/>
          <w:bCs/>
        </w:rPr>
        <w:t>excluded.</w:t>
      </w:r>
    </w:p>
    <w:p w:rsidR="001B3E6D" w:rsidRPr="007D322B" w:rsidRDefault="001B3E6D" w:rsidP="001B3E6D">
      <w:pPr>
        <w:pStyle w:val="NoSpacing"/>
        <w:rPr>
          <w:rFonts w:ascii="Arial" w:eastAsia="Calibri" w:hAnsi="Arial" w:cs="Arial"/>
          <w:bCs/>
        </w:rPr>
      </w:pPr>
    </w:p>
    <w:p w:rsidR="001B3E6D" w:rsidRPr="007D322B" w:rsidRDefault="001B3E6D" w:rsidP="001B3E6D">
      <w:pPr>
        <w:pStyle w:val="NoSpacing"/>
        <w:rPr>
          <w:rFonts w:ascii="Arial" w:eastAsia="Calibri" w:hAnsi="Arial" w:cs="Arial"/>
          <w:b/>
        </w:rPr>
      </w:pPr>
      <w:r w:rsidRPr="007D322B">
        <w:rPr>
          <w:rFonts w:ascii="Arial" w:eastAsia="Calibri" w:hAnsi="Arial" w:cs="Arial"/>
          <w:b/>
        </w:rPr>
        <w:t>Corticosteroids</w:t>
      </w:r>
    </w:p>
    <w:p w:rsidR="001B3E6D" w:rsidRPr="007D322B" w:rsidRDefault="001B3E6D" w:rsidP="001B3E6D">
      <w:pPr>
        <w:pStyle w:val="NoSpacing"/>
        <w:rPr>
          <w:rFonts w:ascii="Arial" w:eastAsia="Calibri" w:hAnsi="Arial" w:cs="Arial"/>
          <w:bCs/>
        </w:rPr>
      </w:pPr>
      <w:r w:rsidRPr="007D322B">
        <w:rPr>
          <w:rFonts w:ascii="Arial" w:eastAsia="Calibri" w:hAnsi="Arial" w:cs="Arial"/>
          <w:bCs/>
        </w:rPr>
        <w:t>Due</w:t>
      </w:r>
      <w:r w:rsidR="00EE0CCC">
        <w:rPr>
          <w:rFonts w:ascii="Arial" w:eastAsia="Calibri" w:hAnsi="Arial" w:cs="Arial"/>
          <w:bCs/>
        </w:rPr>
        <w:t xml:space="preserve"> </w:t>
      </w:r>
      <w:r w:rsidRPr="007D322B">
        <w:rPr>
          <w:rFonts w:ascii="Arial" w:eastAsia="Calibri" w:hAnsi="Arial" w:cs="Arial"/>
          <w:bCs/>
        </w:rPr>
        <w:t>to</w:t>
      </w:r>
      <w:r w:rsidR="00EE0CCC">
        <w:rPr>
          <w:rFonts w:ascii="Arial" w:eastAsia="Calibri" w:hAnsi="Arial" w:cs="Arial"/>
          <w:bCs/>
        </w:rPr>
        <w:t xml:space="preserve"> </w:t>
      </w:r>
      <w:r w:rsidRPr="007D322B">
        <w:rPr>
          <w:rFonts w:ascii="Arial" w:eastAsia="Calibri" w:hAnsi="Arial" w:cs="Arial"/>
          <w:bCs/>
        </w:rPr>
        <w:t>their</w:t>
      </w:r>
      <w:r w:rsidR="00EE0CCC">
        <w:rPr>
          <w:rFonts w:ascii="Arial" w:eastAsia="Calibri" w:hAnsi="Arial" w:cs="Arial"/>
          <w:bCs/>
        </w:rPr>
        <w:t xml:space="preserve"> </w:t>
      </w:r>
      <w:r w:rsidRPr="007D322B">
        <w:rPr>
          <w:rFonts w:ascii="Arial" w:eastAsia="Calibri" w:hAnsi="Arial" w:cs="Arial"/>
          <w:bCs/>
        </w:rPr>
        <w:t>immunosuppressive</w:t>
      </w:r>
      <w:r w:rsidR="00EE0CCC">
        <w:rPr>
          <w:rFonts w:ascii="Arial" w:eastAsia="Calibri" w:hAnsi="Arial" w:cs="Arial"/>
          <w:bCs/>
        </w:rPr>
        <w:t xml:space="preserve"> </w:t>
      </w:r>
      <w:r w:rsidRPr="007D322B">
        <w:rPr>
          <w:rFonts w:ascii="Arial" w:eastAsia="Calibri" w:hAnsi="Arial" w:cs="Arial"/>
          <w:bCs/>
        </w:rPr>
        <w:t>activity,</w:t>
      </w:r>
      <w:r w:rsidR="00EE0CCC">
        <w:rPr>
          <w:rFonts w:ascii="Arial" w:eastAsia="Calibri" w:hAnsi="Arial" w:cs="Arial"/>
          <w:bCs/>
        </w:rPr>
        <w:t xml:space="preserve"> </w:t>
      </w:r>
      <w:r w:rsidRPr="007D322B">
        <w:rPr>
          <w:rFonts w:ascii="Arial" w:eastAsia="Calibri" w:hAnsi="Arial" w:cs="Arial"/>
          <w:bCs/>
        </w:rPr>
        <w:t>concomitant</w:t>
      </w:r>
      <w:r w:rsidR="00EE0CCC">
        <w:rPr>
          <w:rFonts w:ascii="Arial" w:eastAsia="Calibri" w:hAnsi="Arial" w:cs="Arial"/>
          <w:bCs/>
        </w:rPr>
        <w:t xml:space="preserve"> </w:t>
      </w:r>
      <w:r w:rsidRPr="007D322B">
        <w:rPr>
          <w:rFonts w:ascii="Arial" w:eastAsia="Calibri" w:hAnsi="Arial" w:cs="Arial"/>
          <w:bCs/>
        </w:rPr>
        <w:t>treatment</w:t>
      </w:r>
      <w:r w:rsidR="00EE0CCC">
        <w:rPr>
          <w:rFonts w:ascii="Arial" w:eastAsia="Calibri" w:hAnsi="Arial" w:cs="Arial"/>
          <w:bCs/>
        </w:rPr>
        <w:t xml:space="preserve"> </w:t>
      </w:r>
      <w:r w:rsidRPr="007D322B">
        <w:rPr>
          <w:rFonts w:ascii="Arial" w:eastAsia="Calibri" w:hAnsi="Arial" w:cs="Arial"/>
          <w:bCs/>
        </w:rPr>
        <w:t>with</w:t>
      </w:r>
      <w:r w:rsidR="00EE0CCC">
        <w:rPr>
          <w:rFonts w:ascii="Arial" w:eastAsia="Calibri" w:hAnsi="Arial" w:cs="Arial"/>
          <w:bCs/>
        </w:rPr>
        <w:t xml:space="preserve"> </w:t>
      </w:r>
      <w:r w:rsidRPr="007D322B">
        <w:rPr>
          <w:rFonts w:ascii="Arial" w:eastAsia="Calibri" w:hAnsi="Arial" w:cs="Arial"/>
          <w:bCs/>
        </w:rPr>
        <w:t>corticosteroids</w:t>
      </w:r>
      <w:r w:rsidR="00EE0CCC">
        <w:rPr>
          <w:rFonts w:ascii="Arial" w:eastAsia="Calibri" w:hAnsi="Arial" w:cs="Arial"/>
          <w:bCs/>
        </w:rPr>
        <w:t xml:space="preserve"> </w:t>
      </w:r>
      <w:r w:rsidRPr="007D322B">
        <w:rPr>
          <w:rFonts w:ascii="Arial" w:eastAsia="Calibri" w:hAnsi="Arial" w:cs="Arial"/>
          <w:bCs/>
        </w:rPr>
        <w:t>is</w:t>
      </w:r>
      <w:r w:rsidR="00EE0CCC">
        <w:rPr>
          <w:rFonts w:ascii="Arial" w:eastAsia="Calibri" w:hAnsi="Arial" w:cs="Arial"/>
          <w:bCs/>
        </w:rPr>
        <w:t xml:space="preserve"> </w:t>
      </w:r>
      <w:r w:rsidRPr="007D322B">
        <w:rPr>
          <w:rFonts w:ascii="Arial" w:eastAsia="Calibri" w:hAnsi="Arial" w:cs="Arial"/>
          <w:bCs/>
        </w:rPr>
        <w:t>not</w:t>
      </w:r>
      <w:r w:rsidR="00EE0CCC">
        <w:rPr>
          <w:rFonts w:ascii="Arial" w:eastAsia="Calibri" w:hAnsi="Arial" w:cs="Arial"/>
          <w:bCs/>
        </w:rPr>
        <w:t xml:space="preserve"> </w:t>
      </w:r>
      <w:r w:rsidRPr="007D322B">
        <w:rPr>
          <w:rFonts w:ascii="Arial" w:eastAsia="Calibri" w:hAnsi="Arial" w:cs="Arial"/>
          <w:bCs/>
        </w:rPr>
        <w:t>recommended</w:t>
      </w:r>
      <w:r w:rsidR="00EE0CCC">
        <w:rPr>
          <w:rFonts w:ascii="Arial" w:eastAsia="Calibri" w:hAnsi="Arial" w:cs="Arial"/>
          <w:bCs/>
        </w:rPr>
        <w:t xml:space="preserve"> </w:t>
      </w:r>
      <w:r w:rsidRPr="007D322B">
        <w:rPr>
          <w:rFonts w:ascii="Arial" w:eastAsia="Calibri" w:hAnsi="Arial" w:cs="Arial"/>
          <w:bCs/>
        </w:rPr>
        <w:t>within</w:t>
      </w:r>
      <w:r w:rsidR="00EE0CCC">
        <w:rPr>
          <w:rFonts w:ascii="Arial" w:eastAsia="Calibri" w:hAnsi="Arial" w:cs="Arial"/>
          <w:bCs/>
        </w:rPr>
        <w:t xml:space="preserve"> </w:t>
      </w:r>
      <w:r w:rsidRPr="007D322B">
        <w:rPr>
          <w:rFonts w:ascii="Arial" w:eastAsia="Calibri" w:hAnsi="Arial" w:cs="Arial"/>
          <w:bCs/>
        </w:rPr>
        <w:t>2</w:t>
      </w:r>
      <w:r w:rsidR="00EE0CCC">
        <w:rPr>
          <w:rFonts w:ascii="Arial" w:eastAsia="Calibri" w:hAnsi="Arial" w:cs="Arial"/>
          <w:bCs/>
        </w:rPr>
        <w:t xml:space="preserve"> </w:t>
      </w:r>
      <w:r w:rsidRPr="007D322B">
        <w:rPr>
          <w:rFonts w:ascii="Arial" w:eastAsia="Calibri" w:hAnsi="Arial" w:cs="Arial"/>
          <w:bCs/>
        </w:rPr>
        <w:t>weeks</w:t>
      </w:r>
      <w:r w:rsidR="00EE0CCC">
        <w:rPr>
          <w:rFonts w:ascii="Arial" w:eastAsia="Calibri" w:hAnsi="Arial" w:cs="Arial"/>
          <w:bCs/>
        </w:rPr>
        <w:t xml:space="preserve"> </w:t>
      </w:r>
      <w:r w:rsidRPr="007D322B">
        <w:rPr>
          <w:rFonts w:ascii="Arial" w:eastAsia="Calibri" w:hAnsi="Arial" w:cs="Arial"/>
          <w:bCs/>
        </w:rPr>
        <w:t>prior</w:t>
      </w:r>
      <w:r w:rsidR="00EE0CCC">
        <w:rPr>
          <w:rFonts w:ascii="Arial" w:eastAsia="Calibri" w:hAnsi="Arial" w:cs="Arial"/>
          <w:bCs/>
        </w:rPr>
        <w:t xml:space="preserve"> </w:t>
      </w:r>
      <w:r w:rsidRPr="007D322B">
        <w:rPr>
          <w:rFonts w:ascii="Arial" w:eastAsia="Calibri" w:hAnsi="Arial" w:cs="Arial"/>
          <w:bCs/>
        </w:rPr>
        <w:t>to</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first</w:t>
      </w:r>
      <w:r w:rsidR="00EE0CCC">
        <w:rPr>
          <w:rFonts w:ascii="Arial" w:eastAsia="Calibri" w:hAnsi="Arial" w:cs="Arial"/>
          <w:bCs/>
        </w:rPr>
        <w:t xml:space="preserve"> </w:t>
      </w:r>
      <w:r w:rsidRPr="007D322B">
        <w:rPr>
          <w:rFonts w:ascii="Arial" w:eastAsia="Calibri" w:hAnsi="Arial" w:cs="Arial"/>
          <w:bCs/>
        </w:rPr>
        <w:t>treatment</w:t>
      </w:r>
      <w:r w:rsidR="00EE0CCC">
        <w:rPr>
          <w:rFonts w:ascii="Arial" w:eastAsia="Calibri" w:hAnsi="Arial" w:cs="Arial"/>
          <w:bCs/>
        </w:rPr>
        <w:t xml:space="preserve"> </w:t>
      </w:r>
      <w:r w:rsidRPr="007D322B">
        <w:rPr>
          <w:rFonts w:ascii="Arial" w:eastAsia="Calibri" w:hAnsi="Arial" w:cs="Arial"/>
          <w:bCs/>
        </w:rPr>
        <w:t>course</w:t>
      </w:r>
      <w:r w:rsidR="00EE0CCC">
        <w:rPr>
          <w:rFonts w:ascii="Arial" w:eastAsia="Calibri" w:hAnsi="Arial" w:cs="Arial"/>
          <w:bCs/>
        </w:rPr>
        <w:t xml:space="preserve"> </w:t>
      </w:r>
      <w:r w:rsidRPr="007D322B">
        <w:rPr>
          <w:rFonts w:ascii="Arial" w:eastAsia="Calibri" w:hAnsi="Arial" w:cs="Arial"/>
          <w:bCs/>
        </w:rPr>
        <w:t>until</w:t>
      </w:r>
      <w:r w:rsidR="00EE0CCC">
        <w:rPr>
          <w:rFonts w:ascii="Arial" w:eastAsia="Calibri" w:hAnsi="Arial" w:cs="Arial"/>
          <w:bCs/>
        </w:rPr>
        <w:t xml:space="preserve"> </w:t>
      </w:r>
      <w:r w:rsidRPr="007D322B">
        <w:rPr>
          <w:rFonts w:ascii="Arial" w:eastAsia="Calibri" w:hAnsi="Arial" w:cs="Arial"/>
          <w:bCs/>
        </w:rPr>
        <w:t>1</w:t>
      </w:r>
      <w:r w:rsidR="00EE0CCC">
        <w:rPr>
          <w:rFonts w:ascii="Arial" w:eastAsia="Calibri" w:hAnsi="Arial" w:cs="Arial"/>
          <w:bCs/>
        </w:rPr>
        <w:t xml:space="preserve"> </w:t>
      </w:r>
      <w:r w:rsidRPr="007D322B">
        <w:rPr>
          <w:rFonts w:ascii="Arial" w:eastAsia="Calibri" w:hAnsi="Arial" w:cs="Arial"/>
          <w:bCs/>
        </w:rPr>
        <w:t>week</w:t>
      </w:r>
      <w:r w:rsidR="00EE0CCC">
        <w:rPr>
          <w:rFonts w:ascii="Arial" w:eastAsia="Calibri" w:hAnsi="Arial" w:cs="Arial"/>
          <w:bCs/>
        </w:rPr>
        <w:t xml:space="preserve"> </w:t>
      </w:r>
      <w:r w:rsidRPr="007D322B">
        <w:rPr>
          <w:rFonts w:ascii="Arial" w:eastAsia="Calibri" w:hAnsi="Arial" w:cs="Arial"/>
          <w:bCs/>
        </w:rPr>
        <w:t>after</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last</w:t>
      </w:r>
      <w:r w:rsidR="00EE0CCC">
        <w:rPr>
          <w:rFonts w:ascii="Arial" w:eastAsia="Calibri" w:hAnsi="Arial" w:cs="Arial"/>
          <w:bCs/>
        </w:rPr>
        <w:t xml:space="preserve"> </w:t>
      </w:r>
      <w:r w:rsidRPr="007D322B">
        <w:rPr>
          <w:rFonts w:ascii="Arial" w:eastAsia="Calibri" w:hAnsi="Arial" w:cs="Arial"/>
          <w:bCs/>
        </w:rPr>
        <w:t>treatment</w:t>
      </w:r>
      <w:r w:rsidR="00EE0CCC">
        <w:rPr>
          <w:rFonts w:ascii="Arial" w:eastAsia="Calibri" w:hAnsi="Arial" w:cs="Arial"/>
          <w:bCs/>
        </w:rPr>
        <w:t xml:space="preserve"> </w:t>
      </w:r>
      <w:r w:rsidRPr="007D322B">
        <w:rPr>
          <w:rFonts w:ascii="Arial" w:eastAsia="Calibri" w:hAnsi="Arial" w:cs="Arial"/>
          <w:bCs/>
        </w:rPr>
        <w:t>course</w:t>
      </w:r>
      <w:r w:rsidR="00EE0CCC">
        <w:rPr>
          <w:rFonts w:ascii="Arial" w:eastAsia="Calibri" w:hAnsi="Arial" w:cs="Arial"/>
          <w:bCs/>
        </w:rPr>
        <w:t xml:space="preserve"> </w:t>
      </w:r>
      <w:r w:rsidRPr="007D322B">
        <w:rPr>
          <w:rFonts w:ascii="Arial" w:eastAsia="Calibri" w:hAnsi="Arial" w:cs="Arial"/>
          <w:bCs/>
        </w:rPr>
        <w:t>with</w:t>
      </w:r>
      <w:r w:rsidR="00EE0CCC">
        <w:rPr>
          <w:rFonts w:ascii="Arial" w:eastAsia="Calibri" w:hAnsi="Arial" w:cs="Arial"/>
          <w:bCs/>
        </w:rPr>
        <w:t xml:space="preserve"> </w:t>
      </w:r>
      <w:r w:rsidRPr="007D322B">
        <w:rPr>
          <w:rFonts w:ascii="Arial" w:eastAsia="Calibri" w:hAnsi="Arial" w:cs="Arial"/>
          <w:bCs/>
        </w:rPr>
        <w:t>dinutuximab</w:t>
      </w:r>
      <w:r w:rsidR="00EE0CCC">
        <w:rPr>
          <w:rFonts w:ascii="Arial" w:eastAsia="Calibri" w:hAnsi="Arial" w:cs="Arial"/>
          <w:bCs/>
        </w:rPr>
        <w:t xml:space="preserve"> </w:t>
      </w:r>
      <w:r w:rsidRPr="007D322B">
        <w:rPr>
          <w:rFonts w:ascii="Arial" w:eastAsia="Calibri" w:hAnsi="Arial" w:cs="Arial"/>
          <w:bCs/>
        </w:rPr>
        <w:t>beta,</w:t>
      </w:r>
      <w:r w:rsidR="00EE0CCC">
        <w:rPr>
          <w:rFonts w:ascii="Arial" w:eastAsia="Calibri" w:hAnsi="Arial" w:cs="Arial"/>
          <w:bCs/>
        </w:rPr>
        <w:t xml:space="preserve"> </w:t>
      </w:r>
      <w:r w:rsidRPr="007D322B">
        <w:rPr>
          <w:rFonts w:ascii="Arial" w:eastAsia="Calibri" w:hAnsi="Arial" w:cs="Arial"/>
          <w:bCs/>
        </w:rPr>
        <w:t>except</w:t>
      </w:r>
      <w:r w:rsidR="00EE0CCC">
        <w:rPr>
          <w:rFonts w:ascii="Arial" w:eastAsia="Calibri" w:hAnsi="Arial" w:cs="Arial"/>
          <w:bCs/>
        </w:rPr>
        <w:t xml:space="preserve"> </w:t>
      </w:r>
      <w:r w:rsidRPr="007D322B">
        <w:rPr>
          <w:rFonts w:ascii="Arial" w:eastAsia="Calibri" w:hAnsi="Arial" w:cs="Arial"/>
          <w:bCs/>
        </w:rPr>
        <w:t>for</w:t>
      </w:r>
      <w:r w:rsidR="00EE0CCC">
        <w:rPr>
          <w:rFonts w:ascii="Arial" w:eastAsia="Calibri" w:hAnsi="Arial" w:cs="Arial"/>
          <w:bCs/>
        </w:rPr>
        <w:t xml:space="preserve"> </w:t>
      </w:r>
      <w:r w:rsidRPr="007D322B">
        <w:rPr>
          <w:rFonts w:ascii="Arial" w:eastAsia="Calibri" w:hAnsi="Arial" w:cs="Arial"/>
          <w:bCs/>
        </w:rPr>
        <w:t>life-threatening</w:t>
      </w:r>
      <w:r w:rsidR="00EE0CCC">
        <w:rPr>
          <w:rFonts w:ascii="Arial" w:eastAsia="Calibri" w:hAnsi="Arial" w:cs="Arial"/>
          <w:bCs/>
        </w:rPr>
        <w:t xml:space="preserve"> </w:t>
      </w:r>
      <w:r w:rsidRPr="007D322B">
        <w:rPr>
          <w:rFonts w:ascii="Arial" w:eastAsia="Calibri" w:hAnsi="Arial" w:cs="Arial"/>
          <w:bCs/>
        </w:rPr>
        <w:t>conditions.</w:t>
      </w:r>
    </w:p>
    <w:p w:rsidR="001B3E6D" w:rsidRPr="007D322B" w:rsidRDefault="001B3E6D" w:rsidP="001B3E6D">
      <w:pPr>
        <w:pStyle w:val="NoSpacing"/>
        <w:rPr>
          <w:rFonts w:ascii="Arial" w:eastAsia="Calibri" w:hAnsi="Arial" w:cs="Arial"/>
          <w:bCs/>
        </w:rPr>
      </w:pPr>
    </w:p>
    <w:p w:rsidR="001B3E6D" w:rsidRPr="007D322B" w:rsidRDefault="001B3E6D" w:rsidP="001B3E6D">
      <w:pPr>
        <w:pStyle w:val="NoSpacing"/>
        <w:rPr>
          <w:rFonts w:ascii="Arial" w:eastAsia="Calibri" w:hAnsi="Arial" w:cs="Arial"/>
          <w:b/>
        </w:rPr>
      </w:pPr>
      <w:r w:rsidRPr="007D322B">
        <w:rPr>
          <w:rFonts w:ascii="Arial" w:eastAsia="Calibri" w:hAnsi="Arial" w:cs="Arial"/>
          <w:b/>
        </w:rPr>
        <w:lastRenderedPageBreak/>
        <w:t>Vaccinations</w:t>
      </w:r>
    </w:p>
    <w:p w:rsidR="001B3E6D" w:rsidRPr="007D322B" w:rsidRDefault="001B3E6D" w:rsidP="001B3E6D">
      <w:pPr>
        <w:pStyle w:val="NoSpacing"/>
        <w:rPr>
          <w:rFonts w:ascii="Arial" w:eastAsia="Calibri" w:hAnsi="Arial" w:cs="Arial"/>
          <w:bCs/>
        </w:rPr>
      </w:pPr>
      <w:r w:rsidRPr="007D322B">
        <w:rPr>
          <w:rFonts w:ascii="Arial" w:eastAsia="Calibri" w:hAnsi="Arial" w:cs="Arial"/>
          <w:bCs/>
        </w:rPr>
        <w:t>Vaccinations</w:t>
      </w:r>
      <w:r w:rsidR="00EE0CCC">
        <w:rPr>
          <w:rFonts w:ascii="Arial" w:eastAsia="Calibri" w:hAnsi="Arial" w:cs="Arial"/>
          <w:bCs/>
        </w:rPr>
        <w:t xml:space="preserve"> </w:t>
      </w:r>
      <w:r w:rsidRPr="007D322B">
        <w:rPr>
          <w:rFonts w:ascii="Arial" w:eastAsia="Calibri" w:hAnsi="Arial" w:cs="Arial"/>
          <w:bCs/>
        </w:rPr>
        <w:t>should</w:t>
      </w:r>
      <w:r w:rsidR="00EE0CCC">
        <w:rPr>
          <w:rFonts w:ascii="Arial" w:eastAsia="Calibri" w:hAnsi="Arial" w:cs="Arial"/>
          <w:bCs/>
        </w:rPr>
        <w:t xml:space="preserve"> </w:t>
      </w:r>
      <w:r w:rsidRPr="007D322B">
        <w:rPr>
          <w:rFonts w:ascii="Arial" w:eastAsia="Calibri" w:hAnsi="Arial" w:cs="Arial"/>
          <w:bCs/>
        </w:rPr>
        <w:t>be</w:t>
      </w:r>
      <w:r w:rsidR="00EE0CCC">
        <w:rPr>
          <w:rFonts w:ascii="Arial" w:eastAsia="Calibri" w:hAnsi="Arial" w:cs="Arial"/>
          <w:bCs/>
        </w:rPr>
        <w:t xml:space="preserve"> </w:t>
      </w:r>
      <w:r w:rsidRPr="007D322B">
        <w:rPr>
          <w:rFonts w:ascii="Arial" w:eastAsia="Calibri" w:hAnsi="Arial" w:cs="Arial"/>
          <w:bCs/>
        </w:rPr>
        <w:t>avoided</w:t>
      </w:r>
      <w:r w:rsidR="00EE0CCC">
        <w:rPr>
          <w:rFonts w:ascii="Arial" w:eastAsia="Calibri" w:hAnsi="Arial" w:cs="Arial"/>
          <w:bCs/>
        </w:rPr>
        <w:t xml:space="preserve"> </w:t>
      </w:r>
      <w:r w:rsidRPr="007D322B">
        <w:rPr>
          <w:rFonts w:ascii="Arial" w:eastAsia="Calibri" w:hAnsi="Arial" w:cs="Arial"/>
          <w:bCs/>
        </w:rPr>
        <w:t>during</w:t>
      </w:r>
      <w:r w:rsidR="00EE0CCC">
        <w:rPr>
          <w:rFonts w:ascii="Arial" w:eastAsia="Calibri" w:hAnsi="Arial" w:cs="Arial"/>
          <w:bCs/>
        </w:rPr>
        <w:t xml:space="preserve"> </w:t>
      </w:r>
      <w:r w:rsidRPr="007D322B">
        <w:rPr>
          <w:rFonts w:ascii="Arial" w:eastAsia="Calibri" w:hAnsi="Arial" w:cs="Arial"/>
          <w:bCs/>
        </w:rPr>
        <w:t>administration</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dinutuximab</w:t>
      </w:r>
      <w:r w:rsidR="00EE0CCC">
        <w:rPr>
          <w:rFonts w:ascii="Arial" w:eastAsia="Calibri" w:hAnsi="Arial" w:cs="Arial"/>
          <w:bCs/>
        </w:rPr>
        <w:t xml:space="preserve"> </w:t>
      </w:r>
      <w:r w:rsidRPr="007D322B">
        <w:rPr>
          <w:rFonts w:ascii="Arial" w:eastAsia="Calibri" w:hAnsi="Arial" w:cs="Arial"/>
          <w:bCs/>
        </w:rPr>
        <w:t>beta</w:t>
      </w:r>
      <w:r w:rsidR="00EE0CCC">
        <w:rPr>
          <w:rFonts w:ascii="Arial" w:eastAsia="Calibri" w:hAnsi="Arial" w:cs="Arial"/>
          <w:bCs/>
        </w:rPr>
        <w:t xml:space="preserve"> </w:t>
      </w:r>
      <w:r w:rsidRPr="007D322B">
        <w:rPr>
          <w:rFonts w:ascii="Arial" w:eastAsia="Calibri" w:hAnsi="Arial" w:cs="Arial"/>
          <w:bCs/>
        </w:rPr>
        <w:t>until</w:t>
      </w:r>
      <w:r w:rsidR="00EE0CCC">
        <w:rPr>
          <w:rFonts w:ascii="Arial" w:eastAsia="Calibri" w:hAnsi="Arial" w:cs="Arial"/>
          <w:bCs/>
        </w:rPr>
        <w:t xml:space="preserve"> </w:t>
      </w:r>
      <w:r w:rsidRPr="007D322B">
        <w:rPr>
          <w:rFonts w:ascii="Arial" w:eastAsia="Calibri" w:hAnsi="Arial" w:cs="Arial"/>
          <w:bCs/>
        </w:rPr>
        <w:t>10</w:t>
      </w:r>
      <w:r w:rsidR="00EE0CCC">
        <w:rPr>
          <w:rFonts w:ascii="Arial" w:eastAsia="Calibri" w:hAnsi="Arial" w:cs="Arial"/>
          <w:bCs/>
        </w:rPr>
        <w:t xml:space="preserve"> </w:t>
      </w:r>
      <w:r w:rsidRPr="007D322B">
        <w:rPr>
          <w:rFonts w:ascii="Arial" w:eastAsia="Calibri" w:hAnsi="Arial" w:cs="Arial"/>
          <w:bCs/>
        </w:rPr>
        <w:t>weeks</w:t>
      </w:r>
      <w:r w:rsidR="00EE0CCC">
        <w:rPr>
          <w:rFonts w:ascii="Arial" w:eastAsia="Calibri" w:hAnsi="Arial" w:cs="Arial"/>
          <w:bCs/>
        </w:rPr>
        <w:t xml:space="preserve"> </w:t>
      </w:r>
      <w:r w:rsidRPr="007D322B">
        <w:rPr>
          <w:rFonts w:ascii="Arial" w:eastAsia="Calibri" w:hAnsi="Arial" w:cs="Arial"/>
          <w:bCs/>
        </w:rPr>
        <w:t>after</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last</w:t>
      </w:r>
      <w:r w:rsidR="00EE0CCC">
        <w:rPr>
          <w:rFonts w:ascii="Arial" w:eastAsia="Calibri" w:hAnsi="Arial" w:cs="Arial"/>
          <w:bCs/>
        </w:rPr>
        <w:t xml:space="preserve"> </w:t>
      </w:r>
      <w:r w:rsidRPr="007D322B">
        <w:rPr>
          <w:rFonts w:ascii="Arial" w:eastAsia="Calibri" w:hAnsi="Arial" w:cs="Arial"/>
          <w:bCs/>
        </w:rPr>
        <w:t>treatment</w:t>
      </w:r>
      <w:r w:rsidR="00EE0CCC">
        <w:rPr>
          <w:rFonts w:ascii="Arial" w:eastAsia="Calibri" w:hAnsi="Arial" w:cs="Arial"/>
          <w:bCs/>
        </w:rPr>
        <w:t xml:space="preserve"> </w:t>
      </w:r>
      <w:r w:rsidRPr="007D322B">
        <w:rPr>
          <w:rFonts w:ascii="Arial" w:eastAsia="Calibri" w:hAnsi="Arial" w:cs="Arial"/>
          <w:bCs/>
        </w:rPr>
        <w:t>course,</w:t>
      </w:r>
      <w:r w:rsidR="00EE0CCC">
        <w:rPr>
          <w:rFonts w:ascii="Arial" w:eastAsia="Calibri" w:hAnsi="Arial" w:cs="Arial"/>
          <w:bCs/>
        </w:rPr>
        <w:t xml:space="preserve"> </w:t>
      </w:r>
      <w:r w:rsidRPr="007D322B">
        <w:rPr>
          <w:rFonts w:ascii="Arial" w:eastAsia="Calibri" w:hAnsi="Arial" w:cs="Arial"/>
          <w:bCs/>
        </w:rPr>
        <w:t>due</w:t>
      </w:r>
      <w:r w:rsidR="00EE0CCC">
        <w:rPr>
          <w:rFonts w:ascii="Arial" w:eastAsia="Calibri" w:hAnsi="Arial" w:cs="Arial"/>
          <w:bCs/>
        </w:rPr>
        <w:t xml:space="preserve"> </w:t>
      </w:r>
      <w:r w:rsidRPr="007D322B">
        <w:rPr>
          <w:rFonts w:ascii="Arial" w:eastAsia="Calibri" w:hAnsi="Arial" w:cs="Arial"/>
          <w:bCs/>
        </w:rPr>
        <w:t>to</w:t>
      </w:r>
      <w:r w:rsidR="00EE0CCC">
        <w:rPr>
          <w:rFonts w:ascii="Arial" w:eastAsia="Calibri" w:hAnsi="Arial" w:cs="Arial"/>
          <w:bCs/>
        </w:rPr>
        <w:t xml:space="preserve"> </w:t>
      </w:r>
      <w:r w:rsidRPr="007D322B">
        <w:rPr>
          <w:rFonts w:ascii="Arial" w:eastAsia="Calibri" w:hAnsi="Arial" w:cs="Arial"/>
          <w:bCs/>
        </w:rPr>
        <w:t>immune</w:t>
      </w:r>
      <w:r w:rsidR="00EE0CCC">
        <w:rPr>
          <w:rFonts w:ascii="Arial" w:eastAsia="Calibri" w:hAnsi="Arial" w:cs="Arial"/>
          <w:bCs/>
        </w:rPr>
        <w:t xml:space="preserve"> </w:t>
      </w:r>
      <w:r w:rsidRPr="007D322B">
        <w:rPr>
          <w:rFonts w:ascii="Arial" w:eastAsia="Calibri" w:hAnsi="Arial" w:cs="Arial"/>
          <w:bCs/>
        </w:rPr>
        <w:t>stimulation</w:t>
      </w:r>
      <w:r w:rsidR="00EE0CCC">
        <w:rPr>
          <w:rFonts w:ascii="Arial" w:eastAsia="Calibri" w:hAnsi="Arial" w:cs="Arial"/>
          <w:bCs/>
        </w:rPr>
        <w:t xml:space="preserve"> </w:t>
      </w:r>
      <w:r w:rsidRPr="007D322B">
        <w:rPr>
          <w:rFonts w:ascii="Arial" w:eastAsia="Calibri" w:hAnsi="Arial" w:cs="Arial"/>
          <w:bCs/>
        </w:rPr>
        <w:t>through</w:t>
      </w:r>
      <w:r w:rsidR="00EE0CCC">
        <w:rPr>
          <w:rFonts w:ascii="Arial" w:eastAsia="Calibri" w:hAnsi="Arial" w:cs="Arial"/>
          <w:bCs/>
        </w:rPr>
        <w:t xml:space="preserve"> </w:t>
      </w:r>
      <w:r w:rsidRPr="007D322B">
        <w:rPr>
          <w:rFonts w:ascii="Arial" w:eastAsia="Calibri" w:hAnsi="Arial" w:cs="Arial"/>
          <w:bCs/>
        </w:rPr>
        <w:t>dinutuximab</w:t>
      </w:r>
      <w:r w:rsidR="00EE0CCC">
        <w:rPr>
          <w:rFonts w:ascii="Arial" w:eastAsia="Calibri" w:hAnsi="Arial" w:cs="Arial"/>
          <w:bCs/>
        </w:rPr>
        <w:t xml:space="preserve"> </w:t>
      </w:r>
      <w:r w:rsidRPr="007D322B">
        <w:rPr>
          <w:rFonts w:ascii="Arial" w:eastAsia="Calibri" w:hAnsi="Arial" w:cs="Arial"/>
          <w:bCs/>
        </w:rPr>
        <w:t>beta</w:t>
      </w:r>
      <w:r w:rsidR="00EE0CCC">
        <w:rPr>
          <w:rFonts w:ascii="Arial" w:eastAsia="Calibri" w:hAnsi="Arial" w:cs="Arial"/>
          <w:bCs/>
        </w:rPr>
        <w:t xml:space="preserve"> </w:t>
      </w:r>
      <w:r w:rsidRPr="007D322B">
        <w:rPr>
          <w:rFonts w:ascii="Arial" w:eastAsia="Calibri" w:hAnsi="Arial" w:cs="Arial"/>
          <w:bCs/>
        </w:rPr>
        <w:t>and</w:t>
      </w:r>
      <w:r w:rsidR="00EE0CCC">
        <w:rPr>
          <w:rFonts w:ascii="Arial" w:eastAsia="Calibri" w:hAnsi="Arial" w:cs="Arial"/>
          <w:bCs/>
        </w:rPr>
        <w:t xml:space="preserve"> </w:t>
      </w:r>
      <w:r w:rsidRPr="007D322B">
        <w:rPr>
          <w:rFonts w:ascii="Arial" w:eastAsia="Calibri" w:hAnsi="Arial" w:cs="Arial"/>
          <w:bCs/>
        </w:rPr>
        <w:t>possible</w:t>
      </w:r>
      <w:r w:rsidR="00EE0CCC">
        <w:rPr>
          <w:rFonts w:ascii="Arial" w:eastAsia="Calibri" w:hAnsi="Arial" w:cs="Arial"/>
          <w:bCs/>
        </w:rPr>
        <w:t xml:space="preserve"> </w:t>
      </w:r>
      <w:r w:rsidRPr="007D322B">
        <w:rPr>
          <w:rFonts w:ascii="Arial" w:eastAsia="Calibri" w:hAnsi="Arial" w:cs="Arial"/>
          <w:bCs/>
        </w:rPr>
        <w:t>risk</w:t>
      </w:r>
      <w:r w:rsidR="00EE0CCC">
        <w:rPr>
          <w:rFonts w:ascii="Arial" w:eastAsia="Calibri" w:hAnsi="Arial" w:cs="Arial"/>
          <w:bCs/>
        </w:rPr>
        <w:t xml:space="preserve"> </w:t>
      </w:r>
      <w:r w:rsidRPr="007D322B">
        <w:rPr>
          <w:rFonts w:ascii="Arial" w:eastAsia="Calibri" w:hAnsi="Arial" w:cs="Arial"/>
          <w:bCs/>
        </w:rPr>
        <w:t>for</w:t>
      </w:r>
      <w:r w:rsidR="00EE0CCC">
        <w:rPr>
          <w:rFonts w:ascii="Arial" w:eastAsia="Calibri" w:hAnsi="Arial" w:cs="Arial"/>
          <w:bCs/>
        </w:rPr>
        <w:t xml:space="preserve"> </w:t>
      </w:r>
      <w:r w:rsidRPr="007D322B">
        <w:rPr>
          <w:rFonts w:ascii="Arial" w:eastAsia="Calibri" w:hAnsi="Arial" w:cs="Arial"/>
          <w:bCs/>
        </w:rPr>
        <w:t>rare</w:t>
      </w:r>
      <w:r w:rsidR="00EE0CCC">
        <w:rPr>
          <w:rFonts w:ascii="Arial" w:eastAsia="Calibri" w:hAnsi="Arial" w:cs="Arial"/>
          <w:bCs/>
        </w:rPr>
        <w:t xml:space="preserve"> </w:t>
      </w:r>
      <w:r w:rsidRPr="007D322B">
        <w:rPr>
          <w:rFonts w:ascii="Arial" w:eastAsia="Calibri" w:hAnsi="Arial" w:cs="Arial"/>
          <w:bCs/>
        </w:rPr>
        <w:t>neurological</w:t>
      </w:r>
      <w:r w:rsidR="00EE0CCC">
        <w:rPr>
          <w:rFonts w:ascii="Arial" w:eastAsia="Calibri" w:hAnsi="Arial" w:cs="Arial"/>
          <w:bCs/>
        </w:rPr>
        <w:t xml:space="preserve"> </w:t>
      </w:r>
      <w:r w:rsidRPr="007D322B">
        <w:rPr>
          <w:rFonts w:ascii="Arial" w:eastAsia="Calibri" w:hAnsi="Arial" w:cs="Arial"/>
          <w:bCs/>
        </w:rPr>
        <w:t>toxicities.</w:t>
      </w:r>
    </w:p>
    <w:p w:rsidR="001B3E6D" w:rsidRPr="007D322B" w:rsidRDefault="001B3E6D" w:rsidP="001B3E6D">
      <w:pPr>
        <w:pStyle w:val="NoSpacing"/>
        <w:rPr>
          <w:rFonts w:ascii="Arial" w:eastAsia="Calibri" w:hAnsi="Arial" w:cs="Arial"/>
          <w:bCs/>
        </w:rPr>
      </w:pPr>
    </w:p>
    <w:p w:rsidR="001B3E6D" w:rsidRPr="007D322B" w:rsidRDefault="001B3E6D" w:rsidP="001B3E6D">
      <w:pPr>
        <w:pStyle w:val="NoSpacing"/>
        <w:rPr>
          <w:rFonts w:ascii="Arial" w:eastAsia="Calibri" w:hAnsi="Arial" w:cs="Arial"/>
          <w:b/>
        </w:rPr>
      </w:pPr>
      <w:r w:rsidRPr="007D322B">
        <w:rPr>
          <w:rFonts w:ascii="Arial" w:eastAsia="Calibri" w:hAnsi="Arial" w:cs="Arial"/>
          <w:b/>
        </w:rPr>
        <w:t>Intravenous</w:t>
      </w:r>
      <w:r w:rsidR="00EE0CCC">
        <w:rPr>
          <w:rFonts w:ascii="Arial" w:eastAsia="Calibri" w:hAnsi="Arial" w:cs="Arial"/>
          <w:b/>
        </w:rPr>
        <w:t xml:space="preserve"> </w:t>
      </w:r>
      <w:r w:rsidRPr="007D322B">
        <w:rPr>
          <w:rFonts w:ascii="Arial" w:eastAsia="Calibri" w:hAnsi="Arial" w:cs="Arial"/>
          <w:b/>
        </w:rPr>
        <w:t>immunoglobulin</w:t>
      </w:r>
    </w:p>
    <w:p w:rsidR="00085FD4" w:rsidRPr="007D322B" w:rsidRDefault="001B3E6D" w:rsidP="001B3E6D">
      <w:pPr>
        <w:pStyle w:val="NoSpacing"/>
        <w:rPr>
          <w:rFonts w:ascii="Arial" w:eastAsia="Calibri" w:hAnsi="Arial" w:cs="Arial"/>
          <w:bCs/>
        </w:rPr>
      </w:pPr>
      <w:r w:rsidRPr="007D322B">
        <w:rPr>
          <w:rFonts w:ascii="Arial" w:eastAsia="Calibri" w:hAnsi="Arial" w:cs="Arial"/>
          <w:bCs/>
        </w:rPr>
        <w:t>Concomitant</w:t>
      </w:r>
      <w:r w:rsidR="00EE0CCC">
        <w:rPr>
          <w:rFonts w:ascii="Arial" w:eastAsia="Calibri" w:hAnsi="Arial" w:cs="Arial"/>
          <w:bCs/>
        </w:rPr>
        <w:t xml:space="preserve"> </w:t>
      </w:r>
      <w:r w:rsidRPr="007D322B">
        <w:rPr>
          <w:rFonts w:ascii="Arial" w:eastAsia="Calibri" w:hAnsi="Arial" w:cs="Arial"/>
          <w:bCs/>
        </w:rPr>
        <w:t>use</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intravenous</w:t>
      </w:r>
      <w:r w:rsidR="00EE0CCC">
        <w:rPr>
          <w:rFonts w:ascii="Arial" w:eastAsia="Calibri" w:hAnsi="Arial" w:cs="Arial"/>
          <w:bCs/>
        </w:rPr>
        <w:t xml:space="preserve"> </w:t>
      </w:r>
      <w:r w:rsidRPr="007D322B">
        <w:rPr>
          <w:rFonts w:ascii="Arial" w:eastAsia="Calibri" w:hAnsi="Arial" w:cs="Arial"/>
          <w:bCs/>
        </w:rPr>
        <w:t>immunoglobulins</w:t>
      </w:r>
      <w:r w:rsidR="00EE0CCC">
        <w:rPr>
          <w:rFonts w:ascii="Arial" w:eastAsia="Calibri" w:hAnsi="Arial" w:cs="Arial"/>
          <w:bCs/>
        </w:rPr>
        <w:t xml:space="preserve"> </w:t>
      </w:r>
      <w:r w:rsidRPr="007D322B">
        <w:rPr>
          <w:rFonts w:ascii="Arial" w:eastAsia="Calibri" w:hAnsi="Arial" w:cs="Arial"/>
          <w:bCs/>
        </w:rPr>
        <w:t>is</w:t>
      </w:r>
      <w:r w:rsidR="00EE0CCC">
        <w:rPr>
          <w:rFonts w:ascii="Arial" w:eastAsia="Calibri" w:hAnsi="Arial" w:cs="Arial"/>
          <w:bCs/>
        </w:rPr>
        <w:t xml:space="preserve"> </w:t>
      </w:r>
      <w:r w:rsidRPr="007D322B">
        <w:rPr>
          <w:rFonts w:ascii="Arial" w:eastAsia="Calibri" w:hAnsi="Arial" w:cs="Arial"/>
          <w:bCs/>
        </w:rPr>
        <w:t>not</w:t>
      </w:r>
      <w:r w:rsidR="00EE0CCC">
        <w:rPr>
          <w:rFonts w:ascii="Arial" w:eastAsia="Calibri" w:hAnsi="Arial" w:cs="Arial"/>
          <w:bCs/>
        </w:rPr>
        <w:t xml:space="preserve"> </w:t>
      </w:r>
      <w:r w:rsidRPr="007D322B">
        <w:rPr>
          <w:rFonts w:ascii="Arial" w:eastAsia="Calibri" w:hAnsi="Arial" w:cs="Arial"/>
          <w:bCs/>
        </w:rPr>
        <w:t>recommended</w:t>
      </w:r>
      <w:r w:rsidR="00EE0CCC">
        <w:rPr>
          <w:rFonts w:ascii="Arial" w:eastAsia="Calibri" w:hAnsi="Arial" w:cs="Arial"/>
          <w:bCs/>
        </w:rPr>
        <w:t xml:space="preserve"> </w:t>
      </w:r>
      <w:r w:rsidRPr="007D322B">
        <w:rPr>
          <w:rFonts w:ascii="Arial" w:eastAsia="Calibri" w:hAnsi="Arial" w:cs="Arial"/>
          <w:bCs/>
        </w:rPr>
        <w:t>as</w:t>
      </w:r>
      <w:r w:rsidR="00EE0CCC">
        <w:rPr>
          <w:rFonts w:ascii="Arial" w:eastAsia="Calibri" w:hAnsi="Arial" w:cs="Arial"/>
          <w:bCs/>
        </w:rPr>
        <w:t xml:space="preserve"> </w:t>
      </w:r>
      <w:r w:rsidRPr="007D322B">
        <w:rPr>
          <w:rFonts w:ascii="Arial" w:eastAsia="Calibri" w:hAnsi="Arial" w:cs="Arial"/>
          <w:bCs/>
        </w:rPr>
        <w:t>they</w:t>
      </w:r>
      <w:r w:rsidR="00EE0CCC">
        <w:rPr>
          <w:rFonts w:ascii="Arial" w:eastAsia="Calibri" w:hAnsi="Arial" w:cs="Arial"/>
          <w:bCs/>
        </w:rPr>
        <w:t xml:space="preserve"> </w:t>
      </w:r>
      <w:r w:rsidRPr="007D322B">
        <w:rPr>
          <w:rFonts w:ascii="Arial" w:eastAsia="Calibri" w:hAnsi="Arial" w:cs="Arial"/>
          <w:bCs/>
        </w:rPr>
        <w:t>may</w:t>
      </w:r>
      <w:r w:rsidR="00EE0CCC">
        <w:rPr>
          <w:rFonts w:ascii="Arial" w:eastAsia="Calibri" w:hAnsi="Arial" w:cs="Arial"/>
          <w:bCs/>
        </w:rPr>
        <w:t xml:space="preserve"> </w:t>
      </w:r>
      <w:r w:rsidRPr="007D322B">
        <w:rPr>
          <w:rFonts w:ascii="Arial" w:eastAsia="Calibri" w:hAnsi="Arial" w:cs="Arial"/>
          <w:bCs/>
        </w:rPr>
        <w:t>interfere</w:t>
      </w:r>
      <w:r w:rsidR="00EE0CCC">
        <w:rPr>
          <w:rFonts w:ascii="Arial" w:eastAsia="Calibri" w:hAnsi="Arial" w:cs="Arial"/>
          <w:bCs/>
        </w:rPr>
        <w:t xml:space="preserve"> </w:t>
      </w:r>
      <w:r w:rsidRPr="007D322B">
        <w:rPr>
          <w:rFonts w:ascii="Arial" w:eastAsia="Calibri" w:hAnsi="Arial" w:cs="Arial"/>
          <w:bCs/>
        </w:rPr>
        <w:t>with</w:t>
      </w:r>
      <w:r w:rsidR="00EE0CCC">
        <w:rPr>
          <w:rFonts w:ascii="Arial" w:eastAsia="Calibri" w:hAnsi="Arial" w:cs="Arial"/>
          <w:bCs/>
        </w:rPr>
        <w:t xml:space="preserve"> </w:t>
      </w:r>
      <w:r w:rsidRPr="007D322B">
        <w:rPr>
          <w:rFonts w:ascii="Arial" w:eastAsia="Calibri" w:hAnsi="Arial" w:cs="Arial"/>
          <w:bCs/>
        </w:rPr>
        <w:t>dinutuximab</w:t>
      </w:r>
      <w:r w:rsidR="00EE0CCC">
        <w:rPr>
          <w:rFonts w:ascii="Arial" w:eastAsia="Calibri" w:hAnsi="Arial" w:cs="Arial"/>
          <w:bCs/>
        </w:rPr>
        <w:t xml:space="preserve"> </w:t>
      </w:r>
      <w:r w:rsidRPr="007D322B">
        <w:rPr>
          <w:rFonts w:ascii="Arial" w:eastAsia="Calibri" w:hAnsi="Arial" w:cs="Arial"/>
          <w:bCs/>
        </w:rPr>
        <w:t>beta-dependent</w:t>
      </w:r>
      <w:r w:rsidR="00EE0CCC">
        <w:rPr>
          <w:rFonts w:ascii="Arial" w:eastAsia="Calibri" w:hAnsi="Arial" w:cs="Arial"/>
          <w:bCs/>
        </w:rPr>
        <w:t xml:space="preserve"> </w:t>
      </w:r>
      <w:r w:rsidRPr="007D322B">
        <w:rPr>
          <w:rFonts w:ascii="Arial" w:eastAsia="Calibri" w:hAnsi="Arial" w:cs="Arial"/>
          <w:bCs/>
        </w:rPr>
        <w:t>cellular</w:t>
      </w:r>
      <w:r w:rsidR="00EE0CCC">
        <w:rPr>
          <w:rFonts w:ascii="Arial" w:eastAsia="Calibri" w:hAnsi="Arial" w:cs="Arial"/>
          <w:bCs/>
        </w:rPr>
        <w:t xml:space="preserve"> </w:t>
      </w:r>
      <w:r w:rsidRPr="007D322B">
        <w:rPr>
          <w:rFonts w:ascii="Arial" w:eastAsia="Calibri" w:hAnsi="Arial" w:cs="Arial"/>
          <w:bCs/>
        </w:rPr>
        <w:t>cytotoxicity.</w:t>
      </w:r>
    </w:p>
    <w:p w:rsidR="00085FD4" w:rsidRPr="007D322B" w:rsidRDefault="00085FD4" w:rsidP="00946995">
      <w:pPr>
        <w:pStyle w:val="Heading2"/>
        <w:rPr>
          <w:rFonts w:ascii="Arial" w:eastAsia="Calibri" w:hAnsi="Arial" w:cs="Arial"/>
          <w:bCs w:val="0"/>
          <w:sz w:val="24"/>
          <w:szCs w:val="24"/>
        </w:rPr>
      </w:pPr>
      <w:bookmarkStart w:id="2" w:name="_Hlk29552265"/>
      <w:r w:rsidRPr="007D322B">
        <w:rPr>
          <w:rFonts w:ascii="Arial" w:eastAsia="Calibri" w:hAnsi="Arial" w:cs="Arial"/>
          <w:i w:val="0"/>
          <w:sz w:val="24"/>
          <w:szCs w:val="24"/>
        </w:rPr>
        <w:t>FERTILITY,</w:t>
      </w:r>
      <w:r w:rsidR="00EE0CCC">
        <w:rPr>
          <w:rFonts w:ascii="Arial" w:eastAsia="Calibri" w:hAnsi="Arial" w:cs="Arial"/>
          <w:i w:val="0"/>
          <w:sz w:val="24"/>
          <w:szCs w:val="24"/>
        </w:rPr>
        <w:t xml:space="preserve"> </w:t>
      </w:r>
      <w:r w:rsidRPr="007D322B">
        <w:rPr>
          <w:rFonts w:ascii="Arial" w:eastAsia="Calibri" w:hAnsi="Arial" w:cs="Arial"/>
          <w:i w:val="0"/>
          <w:sz w:val="24"/>
          <w:szCs w:val="24"/>
        </w:rPr>
        <w:t>PREGNANCY</w:t>
      </w:r>
      <w:r w:rsidR="00EE0CCC">
        <w:rPr>
          <w:rFonts w:ascii="Arial" w:eastAsia="Calibri" w:hAnsi="Arial" w:cs="Arial"/>
          <w:i w:val="0"/>
          <w:sz w:val="24"/>
          <w:szCs w:val="24"/>
        </w:rPr>
        <w:t xml:space="preserve"> </w:t>
      </w:r>
      <w:r w:rsidRPr="007D322B">
        <w:rPr>
          <w:rFonts w:ascii="Arial" w:eastAsia="Calibri" w:hAnsi="Arial" w:cs="Arial"/>
          <w:i w:val="0"/>
          <w:sz w:val="24"/>
          <w:szCs w:val="24"/>
        </w:rPr>
        <w:t>AND</w:t>
      </w:r>
      <w:r w:rsidR="00EE0CCC">
        <w:rPr>
          <w:rFonts w:ascii="Arial" w:eastAsia="Calibri" w:hAnsi="Arial" w:cs="Arial"/>
          <w:i w:val="0"/>
          <w:sz w:val="24"/>
          <w:szCs w:val="24"/>
        </w:rPr>
        <w:t xml:space="preserve"> </w:t>
      </w:r>
      <w:r w:rsidRPr="007D322B">
        <w:rPr>
          <w:rFonts w:ascii="Arial" w:eastAsia="Calibri" w:hAnsi="Arial" w:cs="Arial"/>
          <w:i w:val="0"/>
          <w:sz w:val="24"/>
          <w:szCs w:val="24"/>
        </w:rPr>
        <w:t>LACTATION</w:t>
      </w:r>
    </w:p>
    <w:p w:rsidR="00C8654D" w:rsidRPr="007D322B" w:rsidRDefault="00C8654D" w:rsidP="00946995">
      <w:pPr>
        <w:pStyle w:val="NoSpacing"/>
        <w:rPr>
          <w:rFonts w:ascii="Arial" w:eastAsia="Calibri" w:hAnsi="Arial" w:cs="Arial"/>
          <w:b/>
          <w:i/>
        </w:rPr>
      </w:pPr>
      <w:r w:rsidRPr="007D322B">
        <w:rPr>
          <w:rFonts w:ascii="Arial" w:eastAsia="Calibri" w:hAnsi="Arial" w:cs="Arial"/>
          <w:b/>
          <w:i/>
        </w:rPr>
        <w:t>Effects</w:t>
      </w:r>
      <w:r w:rsidR="00EE0CCC">
        <w:rPr>
          <w:rFonts w:ascii="Arial" w:eastAsia="Calibri" w:hAnsi="Arial" w:cs="Arial"/>
          <w:b/>
          <w:i/>
        </w:rPr>
        <w:t xml:space="preserve"> </w:t>
      </w:r>
      <w:r w:rsidRPr="007D322B">
        <w:rPr>
          <w:rFonts w:ascii="Arial" w:eastAsia="Calibri" w:hAnsi="Arial" w:cs="Arial"/>
          <w:b/>
          <w:i/>
        </w:rPr>
        <w:t>on</w:t>
      </w:r>
      <w:r w:rsidR="00EE0CCC">
        <w:rPr>
          <w:rFonts w:ascii="Arial" w:eastAsia="Calibri" w:hAnsi="Arial" w:cs="Arial"/>
          <w:b/>
          <w:i/>
        </w:rPr>
        <w:t xml:space="preserve"> </w:t>
      </w:r>
      <w:r w:rsidRPr="007D322B">
        <w:rPr>
          <w:rFonts w:ascii="Arial" w:eastAsia="Calibri" w:hAnsi="Arial" w:cs="Arial"/>
          <w:b/>
          <w:i/>
        </w:rPr>
        <w:t>fertility</w:t>
      </w:r>
    </w:p>
    <w:p w:rsidR="001B3E6D" w:rsidRPr="007D322B" w:rsidRDefault="001B3E6D" w:rsidP="001B3E6D">
      <w:pPr>
        <w:pStyle w:val="NoSpacing"/>
        <w:rPr>
          <w:rFonts w:ascii="Arial" w:eastAsia="Calibri" w:hAnsi="Arial" w:cs="Arial"/>
          <w:bCs/>
        </w:rPr>
      </w:pP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effects</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dinutuximab</w:t>
      </w:r>
      <w:r w:rsidR="00EE0CCC">
        <w:rPr>
          <w:rFonts w:ascii="Arial" w:eastAsia="Calibri" w:hAnsi="Arial" w:cs="Arial"/>
          <w:bCs/>
        </w:rPr>
        <w:t xml:space="preserve"> </w:t>
      </w:r>
      <w:r w:rsidRPr="007D322B">
        <w:rPr>
          <w:rFonts w:ascii="Arial" w:eastAsia="Calibri" w:hAnsi="Arial" w:cs="Arial"/>
          <w:bCs/>
        </w:rPr>
        <w:t>beta</w:t>
      </w:r>
      <w:r w:rsidR="00EE0CCC">
        <w:rPr>
          <w:rFonts w:ascii="Arial" w:eastAsia="Calibri" w:hAnsi="Arial" w:cs="Arial"/>
          <w:bCs/>
        </w:rPr>
        <w:t xml:space="preserve"> </w:t>
      </w:r>
      <w:r w:rsidRPr="007D322B">
        <w:rPr>
          <w:rFonts w:ascii="Arial" w:eastAsia="Calibri" w:hAnsi="Arial" w:cs="Arial"/>
          <w:bCs/>
        </w:rPr>
        <w:t>on</w:t>
      </w:r>
      <w:r w:rsidR="00EE0CCC">
        <w:rPr>
          <w:rFonts w:ascii="Arial" w:eastAsia="Calibri" w:hAnsi="Arial" w:cs="Arial"/>
          <w:bCs/>
        </w:rPr>
        <w:t xml:space="preserve"> </w:t>
      </w:r>
      <w:r w:rsidRPr="007D322B">
        <w:rPr>
          <w:rFonts w:ascii="Arial" w:eastAsia="Calibri" w:hAnsi="Arial" w:cs="Arial"/>
          <w:bCs/>
        </w:rPr>
        <w:t>fertility</w:t>
      </w:r>
      <w:r w:rsidR="00EE0CCC">
        <w:rPr>
          <w:rFonts w:ascii="Arial" w:eastAsia="Calibri" w:hAnsi="Arial" w:cs="Arial"/>
          <w:bCs/>
        </w:rPr>
        <w:t xml:space="preserve"> </w:t>
      </w: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humans</w:t>
      </w:r>
      <w:r w:rsidR="00EE0CCC">
        <w:rPr>
          <w:rFonts w:ascii="Arial" w:eastAsia="Calibri" w:hAnsi="Arial" w:cs="Arial"/>
          <w:bCs/>
        </w:rPr>
        <w:t xml:space="preserve"> </w:t>
      </w:r>
      <w:r w:rsidRPr="007D322B">
        <w:rPr>
          <w:rFonts w:ascii="Arial" w:eastAsia="Calibri" w:hAnsi="Arial" w:cs="Arial"/>
          <w:bCs/>
        </w:rPr>
        <w:t>are</w:t>
      </w:r>
      <w:r w:rsidR="00EE0CCC">
        <w:rPr>
          <w:rFonts w:ascii="Arial" w:eastAsia="Calibri" w:hAnsi="Arial" w:cs="Arial"/>
          <w:bCs/>
        </w:rPr>
        <w:t xml:space="preserve"> </w:t>
      </w:r>
      <w:r w:rsidRPr="007D322B">
        <w:rPr>
          <w:rFonts w:ascii="Arial" w:eastAsia="Calibri" w:hAnsi="Arial" w:cs="Arial"/>
          <w:bCs/>
        </w:rPr>
        <w:t>unknown.</w:t>
      </w:r>
      <w:r w:rsidR="00EE0CCC">
        <w:rPr>
          <w:rFonts w:ascii="Arial" w:eastAsia="Calibri" w:hAnsi="Arial" w:cs="Arial"/>
          <w:bCs/>
        </w:rPr>
        <w:t xml:space="preserve"> </w:t>
      </w: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animals,</w:t>
      </w:r>
      <w:r w:rsidR="00EE0CCC">
        <w:rPr>
          <w:rFonts w:ascii="Arial" w:eastAsia="Calibri" w:hAnsi="Arial" w:cs="Arial"/>
          <w:bCs/>
        </w:rPr>
        <w:t xml:space="preserve"> </w:t>
      </w:r>
      <w:r w:rsidRPr="007D322B">
        <w:rPr>
          <w:rFonts w:ascii="Arial" w:eastAsia="Calibri" w:hAnsi="Arial" w:cs="Arial"/>
          <w:bCs/>
        </w:rPr>
        <w:t>dedicated</w:t>
      </w:r>
      <w:r w:rsidR="00EE0CCC">
        <w:rPr>
          <w:rFonts w:ascii="Arial" w:eastAsia="Calibri" w:hAnsi="Arial" w:cs="Arial"/>
          <w:bCs/>
        </w:rPr>
        <w:t xml:space="preserve"> </w:t>
      </w:r>
      <w:r w:rsidRPr="007D322B">
        <w:rPr>
          <w:rFonts w:ascii="Arial" w:eastAsia="Calibri" w:hAnsi="Arial" w:cs="Arial"/>
          <w:bCs/>
        </w:rPr>
        <w:t>fertility</w:t>
      </w:r>
      <w:r w:rsidR="00EE0CCC">
        <w:rPr>
          <w:rFonts w:ascii="Arial" w:eastAsia="Calibri" w:hAnsi="Arial" w:cs="Arial"/>
          <w:bCs/>
        </w:rPr>
        <w:t xml:space="preserve"> </w:t>
      </w:r>
      <w:r w:rsidRPr="007D322B">
        <w:rPr>
          <w:rFonts w:ascii="Arial" w:eastAsia="Calibri" w:hAnsi="Arial" w:cs="Arial"/>
          <w:bCs/>
        </w:rPr>
        <w:t>studies</w:t>
      </w:r>
      <w:r w:rsidR="00EE0CCC">
        <w:rPr>
          <w:rFonts w:ascii="Arial" w:eastAsia="Calibri" w:hAnsi="Arial" w:cs="Arial"/>
          <w:bCs/>
        </w:rPr>
        <w:t xml:space="preserve"> </w:t>
      </w:r>
      <w:r w:rsidRPr="007D322B">
        <w:rPr>
          <w:rFonts w:ascii="Arial" w:eastAsia="Calibri" w:hAnsi="Arial" w:cs="Arial"/>
          <w:bCs/>
        </w:rPr>
        <w:t>have</w:t>
      </w:r>
      <w:r w:rsidR="00EE0CCC">
        <w:rPr>
          <w:rFonts w:ascii="Arial" w:eastAsia="Calibri" w:hAnsi="Arial" w:cs="Arial"/>
          <w:bCs/>
        </w:rPr>
        <w:t xml:space="preserve"> </w:t>
      </w:r>
      <w:r w:rsidRPr="007D322B">
        <w:rPr>
          <w:rFonts w:ascii="Arial" w:eastAsia="Calibri" w:hAnsi="Arial" w:cs="Arial"/>
          <w:bCs/>
        </w:rPr>
        <w:t>not</w:t>
      </w:r>
      <w:r w:rsidR="00EE0CCC">
        <w:rPr>
          <w:rFonts w:ascii="Arial" w:eastAsia="Calibri" w:hAnsi="Arial" w:cs="Arial"/>
          <w:bCs/>
        </w:rPr>
        <w:t xml:space="preserve"> </w:t>
      </w:r>
      <w:r w:rsidRPr="007D322B">
        <w:rPr>
          <w:rFonts w:ascii="Arial" w:eastAsia="Calibri" w:hAnsi="Arial" w:cs="Arial"/>
          <w:bCs/>
        </w:rPr>
        <w:t>been</w:t>
      </w:r>
      <w:r w:rsidR="00EE0CCC">
        <w:rPr>
          <w:rFonts w:ascii="Arial" w:eastAsia="Calibri" w:hAnsi="Arial" w:cs="Arial"/>
          <w:bCs/>
        </w:rPr>
        <w:t xml:space="preserve"> </w:t>
      </w:r>
      <w:r w:rsidRPr="007D322B">
        <w:rPr>
          <w:rFonts w:ascii="Arial" w:eastAsia="Calibri" w:hAnsi="Arial" w:cs="Arial"/>
          <w:bCs/>
        </w:rPr>
        <w:t>conducted,</w:t>
      </w:r>
      <w:r w:rsidR="00EE0CCC">
        <w:rPr>
          <w:rFonts w:ascii="Arial" w:eastAsia="Calibri" w:hAnsi="Arial" w:cs="Arial"/>
          <w:bCs/>
        </w:rPr>
        <w:t xml:space="preserve"> </w:t>
      </w:r>
      <w:r w:rsidRPr="007D322B">
        <w:rPr>
          <w:rFonts w:ascii="Arial" w:eastAsia="Calibri" w:hAnsi="Arial" w:cs="Arial"/>
          <w:bCs/>
        </w:rPr>
        <w:t>but</w:t>
      </w:r>
      <w:r w:rsidR="00EE0CCC">
        <w:rPr>
          <w:rFonts w:ascii="Arial" w:eastAsia="Calibri" w:hAnsi="Arial" w:cs="Arial"/>
          <w:bCs/>
        </w:rPr>
        <w:t xml:space="preserve"> </w:t>
      </w:r>
      <w:r w:rsidRPr="007D322B">
        <w:rPr>
          <w:rFonts w:ascii="Arial" w:eastAsia="Calibri" w:hAnsi="Arial" w:cs="Arial"/>
          <w:bCs/>
        </w:rPr>
        <w:t>no</w:t>
      </w:r>
      <w:r w:rsidR="00EE0CCC">
        <w:rPr>
          <w:rFonts w:ascii="Arial" w:eastAsia="Calibri" w:hAnsi="Arial" w:cs="Arial"/>
          <w:bCs/>
        </w:rPr>
        <w:t xml:space="preserve"> </w:t>
      </w:r>
      <w:r w:rsidRPr="007D322B">
        <w:rPr>
          <w:rFonts w:ascii="Arial" w:eastAsia="Calibri" w:hAnsi="Arial" w:cs="Arial"/>
          <w:bCs/>
        </w:rPr>
        <w:t>adverse</w:t>
      </w:r>
      <w:r w:rsidR="00EE0CCC">
        <w:rPr>
          <w:rFonts w:ascii="Arial" w:eastAsia="Calibri" w:hAnsi="Arial" w:cs="Arial"/>
          <w:bCs/>
        </w:rPr>
        <w:t xml:space="preserve"> </w:t>
      </w:r>
      <w:r w:rsidRPr="007D322B">
        <w:rPr>
          <w:rFonts w:ascii="Arial" w:eastAsia="Calibri" w:hAnsi="Arial" w:cs="Arial"/>
          <w:bCs/>
        </w:rPr>
        <w:t>effects</w:t>
      </w:r>
      <w:r w:rsidR="00EE0CCC">
        <w:rPr>
          <w:rFonts w:ascii="Arial" w:eastAsia="Calibri" w:hAnsi="Arial" w:cs="Arial"/>
          <w:bCs/>
        </w:rPr>
        <w:t xml:space="preserve"> </w:t>
      </w:r>
      <w:r w:rsidRPr="007D322B">
        <w:rPr>
          <w:rFonts w:ascii="Arial" w:eastAsia="Calibri" w:hAnsi="Arial" w:cs="Arial"/>
          <w:bCs/>
        </w:rPr>
        <w:t>on</w:t>
      </w:r>
      <w:r w:rsidR="00EE0CCC">
        <w:rPr>
          <w:rFonts w:ascii="Arial" w:eastAsia="Calibri" w:hAnsi="Arial" w:cs="Arial"/>
          <w:bCs/>
        </w:rPr>
        <w:t xml:space="preserve"> </w:t>
      </w:r>
      <w:r w:rsidRPr="007D322B">
        <w:rPr>
          <w:rFonts w:ascii="Arial" w:eastAsia="Calibri" w:hAnsi="Arial" w:cs="Arial"/>
          <w:bCs/>
        </w:rPr>
        <w:t>reproductive</w:t>
      </w:r>
      <w:r w:rsidR="00EE0CCC">
        <w:rPr>
          <w:rFonts w:ascii="Arial" w:eastAsia="Calibri" w:hAnsi="Arial" w:cs="Arial"/>
          <w:bCs/>
        </w:rPr>
        <w:t xml:space="preserve"> </w:t>
      </w:r>
      <w:r w:rsidRPr="007D322B">
        <w:rPr>
          <w:rFonts w:ascii="Arial" w:eastAsia="Calibri" w:hAnsi="Arial" w:cs="Arial"/>
          <w:bCs/>
        </w:rPr>
        <w:t>organs</w:t>
      </w:r>
      <w:r w:rsidR="00EE0CCC">
        <w:rPr>
          <w:rFonts w:ascii="Arial" w:eastAsia="Calibri" w:hAnsi="Arial" w:cs="Arial"/>
          <w:bCs/>
        </w:rPr>
        <w:t xml:space="preserve"> </w:t>
      </w:r>
      <w:r w:rsidRPr="007D322B">
        <w:rPr>
          <w:rFonts w:ascii="Arial" w:eastAsia="Calibri" w:hAnsi="Arial" w:cs="Arial"/>
          <w:bCs/>
        </w:rPr>
        <w:t>were</w:t>
      </w:r>
      <w:r w:rsidR="00EE0CCC">
        <w:rPr>
          <w:rFonts w:ascii="Arial" w:eastAsia="Calibri" w:hAnsi="Arial" w:cs="Arial"/>
          <w:bCs/>
        </w:rPr>
        <w:t xml:space="preserve"> </w:t>
      </w:r>
      <w:r w:rsidRPr="007D322B">
        <w:rPr>
          <w:rFonts w:ascii="Arial" w:eastAsia="Calibri" w:hAnsi="Arial" w:cs="Arial"/>
          <w:bCs/>
        </w:rPr>
        <w:t>observed</w:t>
      </w:r>
      <w:r w:rsidR="00EE0CCC">
        <w:rPr>
          <w:rFonts w:ascii="Arial" w:eastAsia="Calibri" w:hAnsi="Arial" w:cs="Arial"/>
          <w:bCs/>
        </w:rPr>
        <w:t xml:space="preserve"> </w:t>
      </w: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toxicity</w:t>
      </w:r>
      <w:r w:rsidR="00EE0CCC">
        <w:rPr>
          <w:rFonts w:ascii="Arial" w:eastAsia="Calibri" w:hAnsi="Arial" w:cs="Arial"/>
          <w:bCs/>
        </w:rPr>
        <w:t xml:space="preserve"> </w:t>
      </w:r>
      <w:r w:rsidRPr="007D322B">
        <w:rPr>
          <w:rFonts w:ascii="Arial" w:eastAsia="Calibri" w:hAnsi="Arial" w:cs="Arial"/>
          <w:bCs/>
        </w:rPr>
        <w:t>studies</w:t>
      </w:r>
      <w:r w:rsidR="00EE0CCC">
        <w:rPr>
          <w:rFonts w:ascii="Arial" w:eastAsia="Calibri" w:hAnsi="Arial" w:cs="Arial"/>
          <w:bCs/>
        </w:rPr>
        <w:t xml:space="preserve"> </w:t>
      </w:r>
      <w:r w:rsidRPr="007D322B">
        <w:rPr>
          <w:rFonts w:ascii="Arial" w:eastAsia="Calibri" w:hAnsi="Arial" w:cs="Arial"/>
          <w:bCs/>
        </w:rPr>
        <w:t>performed</w:t>
      </w:r>
      <w:r w:rsidR="00EE0CCC">
        <w:rPr>
          <w:rFonts w:ascii="Arial" w:eastAsia="Calibri" w:hAnsi="Arial" w:cs="Arial"/>
          <w:bCs/>
        </w:rPr>
        <w:t xml:space="preserve"> </w:t>
      </w: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Guinea</w:t>
      </w:r>
      <w:r w:rsidR="00EE0CCC">
        <w:rPr>
          <w:rFonts w:ascii="Arial" w:eastAsia="Calibri" w:hAnsi="Arial" w:cs="Arial"/>
          <w:bCs/>
        </w:rPr>
        <w:t xml:space="preserve"> </w:t>
      </w:r>
      <w:r w:rsidRPr="007D322B">
        <w:rPr>
          <w:rFonts w:ascii="Arial" w:eastAsia="Calibri" w:hAnsi="Arial" w:cs="Arial"/>
          <w:bCs/>
        </w:rPr>
        <w:t>pig</w:t>
      </w:r>
      <w:r w:rsidR="00EE0CCC">
        <w:rPr>
          <w:rFonts w:ascii="Arial" w:eastAsia="Calibri" w:hAnsi="Arial" w:cs="Arial"/>
          <w:bCs/>
        </w:rPr>
        <w:t xml:space="preserve"> </w:t>
      </w:r>
      <w:r w:rsidRPr="007D322B">
        <w:rPr>
          <w:rFonts w:ascii="Arial" w:eastAsia="Calibri" w:hAnsi="Arial" w:cs="Arial"/>
          <w:bCs/>
        </w:rPr>
        <w:t>and</w:t>
      </w:r>
      <w:r w:rsidR="00EE0CCC">
        <w:rPr>
          <w:rFonts w:ascii="Arial" w:eastAsia="Calibri" w:hAnsi="Arial" w:cs="Arial"/>
          <w:bCs/>
        </w:rPr>
        <w:t xml:space="preserve"> </w:t>
      </w:r>
      <w:r w:rsidRPr="007D322B">
        <w:rPr>
          <w:rFonts w:ascii="Arial" w:eastAsia="Calibri" w:hAnsi="Arial" w:cs="Arial"/>
          <w:bCs/>
        </w:rPr>
        <w:t>cynomolgous</w:t>
      </w:r>
      <w:r w:rsidR="00EE0CCC">
        <w:rPr>
          <w:rFonts w:ascii="Arial" w:eastAsia="Calibri" w:hAnsi="Arial" w:cs="Arial"/>
          <w:bCs/>
        </w:rPr>
        <w:t xml:space="preserve"> </w:t>
      </w:r>
      <w:r w:rsidRPr="007D322B">
        <w:rPr>
          <w:rFonts w:ascii="Arial" w:eastAsia="Calibri" w:hAnsi="Arial" w:cs="Arial"/>
          <w:bCs/>
        </w:rPr>
        <w:t>monkey.</w:t>
      </w:r>
    </w:p>
    <w:bookmarkEnd w:id="2"/>
    <w:p w:rsidR="001B3E6D" w:rsidRPr="007D322B" w:rsidRDefault="001B3E6D" w:rsidP="001B3E6D">
      <w:pPr>
        <w:pStyle w:val="NoSpacing"/>
        <w:rPr>
          <w:rFonts w:ascii="Arial" w:eastAsia="Calibri" w:hAnsi="Arial" w:cs="Arial"/>
          <w:bCs/>
        </w:rPr>
      </w:pPr>
    </w:p>
    <w:p w:rsidR="00085299" w:rsidRPr="007D322B" w:rsidRDefault="008C1D88" w:rsidP="001B3E6D">
      <w:pPr>
        <w:pStyle w:val="NoSpacing"/>
        <w:rPr>
          <w:rFonts w:ascii="Arial" w:eastAsia="Calibri" w:hAnsi="Arial" w:cs="Arial"/>
          <w:bCs/>
        </w:rPr>
      </w:pPr>
      <w:r w:rsidRPr="007D322B">
        <w:rPr>
          <w:rFonts w:ascii="Arial" w:eastAsia="Calibri" w:hAnsi="Arial" w:cs="Arial"/>
          <w:bCs/>
        </w:rPr>
        <w:t>QARZIBA</w:t>
      </w:r>
      <w:r w:rsidR="00EE0CCC">
        <w:rPr>
          <w:rFonts w:ascii="Arial" w:eastAsia="Calibri" w:hAnsi="Arial" w:cs="Arial"/>
          <w:bCs/>
        </w:rPr>
        <w:t xml:space="preserve"> </w:t>
      </w:r>
      <w:r w:rsidR="001B3E6D" w:rsidRPr="007D322B">
        <w:rPr>
          <w:rFonts w:ascii="Arial" w:eastAsia="Calibri" w:hAnsi="Arial" w:cs="Arial"/>
          <w:bCs/>
        </w:rPr>
        <w:t>should</w:t>
      </w:r>
      <w:r w:rsidR="00EE0CCC">
        <w:rPr>
          <w:rFonts w:ascii="Arial" w:eastAsia="Calibri" w:hAnsi="Arial" w:cs="Arial"/>
          <w:bCs/>
        </w:rPr>
        <w:t xml:space="preserve"> </w:t>
      </w:r>
      <w:r w:rsidR="001B3E6D" w:rsidRPr="007D322B">
        <w:rPr>
          <w:rFonts w:ascii="Arial" w:eastAsia="Calibri" w:hAnsi="Arial" w:cs="Arial"/>
          <w:bCs/>
        </w:rPr>
        <w:t>not</w:t>
      </w:r>
      <w:r w:rsidR="00EE0CCC">
        <w:rPr>
          <w:rFonts w:ascii="Arial" w:eastAsia="Calibri" w:hAnsi="Arial" w:cs="Arial"/>
          <w:bCs/>
        </w:rPr>
        <w:t xml:space="preserve"> </w:t>
      </w:r>
      <w:r w:rsidR="001B3E6D" w:rsidRPr="007D322B">
        <w:rPr>
          <w:rFonts w:ascii="Arial" w:eastAsia="Calibri" w:hAnsi="Arial" w:cs="Arial"/>
          <w:bCs/>
        </w:rPr>
        <w:t>be</w:t>
      </w:r>
      <w:r w:rsidR="00EE0CCC">
        <w:rPr>
          <w:rFonts w:ascii="Arial" w:eastAsia="Calibri" w:hAnsi="Arial" w:cs="Arial"/>
          <w:bCs/>
        </w:rPr>
        <w:t xml:space="preserve"> </w:t>
      </w:r>
      <w:r w:rsidR="001B3E6D" w:rsidRPr="007D322B">
        <w:rPr>
          <w:rFonts w:ascii="Arial" w:eastAsia="Calibri" w:hAnsi="Arial" w:cs="Arial"/>
          <w:bCs/>
        </w:rPr>
        <w:t>used</w:t>
      </w:r>
      <w:r w:rsidR="00EE0CCC">
        <w:rPr>
          <w:rFonts w:ascii="Arial" w:eastAsia="Calibri" w:hAnsi="Arial" w:cs="Arial"/>
          <w:bCs/>
        </w:rPr>
        <w:t xml:space="preserve"> </w:t>
      </w:r>
      <w:r w:rsidR="001B3E6D" w:rsidRPr="007D322B">
        <w:rPr>
          <w:rFonts w:ascii="Arial" w:eastAsia="Calibri" w:hAnsi="Arial" w:cs="Arial"/>
          <w:bCs/>
        </w:rPr>
        <w:t>in</w:t>
      </w:r>
      <w:r w:rsidR="00EE0CCC">
        <w:rPr>
          <w:rFonts w:ascii="Arial" w:eastAsia="Calibri" w:hAnsi="Arial" w:cs="Arial"/>
          <w:bCs/>
        </w:rPr>
        <w:t xml:space="preserve"> </w:t>
      </w:r>
      <w:r w:rsidR="001B3E6D" w:rsidRPr="007D322B">
        <w:rPr>
          <w:rFonts w:ascii="Arial" w:eastAsia="Calibri" w:hAnsi="Arial" w:cs="Arial"/>
          <w:bCs/>
        </w:rPr>
        <w:t>women</w:t>
      </w:r>
      <w:r w:rsidR="00EE0CCC">
        <w:rPr>
          <w:rFonts w:ascii="Arial" w:eastAsia="Calibri" w:hAnsi="Arial" w:cs="Arial"/>
          <w:bCs/>
        </w:rPr>
        <w:t xml:space="preserve"> </w:t>
      </w:r>
      <w:r w:rsidR="001B3E6D" w:rsidRPr="007D322B">
        <w:rPr>
          <w:rFonts w:ascii="Arial" w:eastAsia="Calibri" w:hAnsi="Arial" w:cs="Arial"/>
          <w:bCs/>
        </w:rPr>
        <w:t>of</w:t>
      </w:r>
      <w:r w:rsidR="00EE0CCC">
        <w:rPr>
          <w:rFonts w:ascii="Arial" w:eastAsia="Calibri" w:hAnsi="Arial" w:cs="Arial"/>
          <w:bCs/>
        </w:rPr>
        <w:t xml:space="preserve"> </w:t>
      </w:r>
      <w:r w:rsidR="001B3E6D" w:rsidRPr="007D322B">
        <w:rPr>
          <w:rFonts w:ascii="Arial" w:eastAsia="Calibri" w:hAnsi="Arial" w:cs="Arial"/>
          <w:bCs/>
        </w:rPr>
        <w:t>childbearing</w:t>
      </w:r>
      <w:r w:rsidR="00EE0CCC">
        <w:rPr>
          <w:rFonts w:ascii="Arial" w:eastAsia="Calibri" w:hAnsi="Arial" w:cs="Arial"/>
          <w:bCs/>
        </w:rPr>
        <w:t xml:space="preserve"> </w:t>
      </w:r>
      <w:r w:rsidR="001B3E6D" w:rsidRPr="007D322B">
        <w:rPr>
          <w:rFonts w:ascii="Arial" w:eastAsia="Calibri" w:hAnsi="Arial" w:cs="Arial"/>
          <w:bCs/>
        </w:rPr>
        <w:t>potential</w:t>
      </w:r>
      <w:r w:rsidR="00EE0CCC">
        <w:rPr>
          <w:rFonts w:ascii="Arial" w:eastAsia="Calibri" w:hAnsi="Arial" w:cs="Arial"/>
          <w:bCs/>
        </w:rPr>
        <w:t xml:space="preserve"> </w:t>
      </w:r>
      <w:r w:rsidR="001B3E6D" w:rsidRPr="007D322B">
        <w:rPr>
          <w:rFonts w:ascii="Arial" w:eastAsia="Calibri" w:hAnsi="Arial" w:cs="Arial"/>
          <w:bCs/>
        </w:rPr>
        <w:t>not</w:t>
      </w:r>
      <w:r w:rsidR="00EE0CCC">
        <w:rPr>
          <w:rFonts w:ascii="Arial" w:eastAsia="Calibri" w:hAnsi="Arial" w:cs="Arial"/>
          <w:bCs/>
        </w:rPr>
        <w:t xml:space="preserve"> </w:t>
      </w:r>
      <w:r w:rsidR="001B3E6D" w:rsidRPr="007D322B">
        <w:rPr>
          <w:rFonts w:ascii="Arial" w:eastAsia="Calibri" w:hAnsi="Arial" w:cs="Arial"/>
          <w:bCs/>
        </w:rPr>
        <w:t>using</w:t>
      </w:r>
      <w:r w:rsidR="00EE0CCC">
        <w:rPr>
          <w:rFonts w:ascii="Arial" w:eastAsia="Calibri" w:hAnsi="Arial" w:cs="Arial"/>
          <w:bCs/>
        </w:rPr>
        <w:t xml:space="preserve"> </w:t>
      </w:r>
      <w:r w:rsidR="001B3E6D" w:rsidRPr="007D322B">
        <w:rPr>
          <w:rFonts w:ascii="Arial" w:eastAsia="Calibri" w:hAnsi="Arial" w:cs="Arial"/>
          <w:bCs/>
        </w:rPr>
        <w:t>contraception.</w:t>
      </w:r>
      <w:r w:rsidR="00EE0CCC">
        <w:rPr>
          <w:rFonts w:ascii="Arial" w:eastAsia="Calibri" w:hAnsi="Arial" w:cs="Arial"/>
          <w:bCs/>
        </w:rPr>
        <w:t xml:space="preserve"> </w:t>
      </w:r>
      <w:r w:rsidR="001B3E6D" w:rsidRPr="007D322B">
        <w:rPr>
          <w:rFonts w:ascii="Arial" w:eastAsia="Calibri" w:hAnsi="Arial" w:cs="Arial"/>
          <w:bCs/>
        </w:rPr>
        <w:t>It</w:t>
      </w:r>
      <w:r w:rsidR="00EE0CCC">
        <w:rPr>
          <w:rFonts w:ascii="Arial" w:eastAsia="Calibri" w:hAnsi="Arial" w:cs="Arial"/>
          <w:bCs/>
        </w:rPr>
        <w:t xml:space="preserve"> </w:t>
      </w:r>
      <w:r w:rsidR="001B3E6D" w:rsidRPr="007D322B">
        <w:rPr>
          <w:rFonts w:ascii="Arial" w:eastAsia="Calibri" w:hAnsi="Arial" w:cs="Arial"/>
          <w:bCs/>
        </w:rPr>
        <w:t>is</w:t>
      </w:r>
      <w:r w:rsidR="00EE0CCC">
        <w:rPr>
          <w:rFonts w:ascii="Arial" w:eastAsia="Calibri" w:hAnsi="Arial" w:cs="Arial"/>
          <w:bCs/>
        </w:rPr>
        <w:t xml:space="preserve"> </w:t>
      </w:r>
      <w:r w:rsidR="001B3E6D" w:rsidRPr="007D322B">
        <w:rPr>
          <w:rFonts w:ascii="Arial" w:eastAsia="Calibri" w:hAnsi="Arial" w:cs="Arial"/>
          <w:bCs/>
        </w:rPr>
        <w:t>recommended</w:t>
      </w:r>
      <w:r w:rsidR="00EE0CCC">
        <w:rPr>
          <w:rFonts w:ascii="Arial" w:eastAsia="Calibri" w:hAnsi="Arial" w:cs="Arial"/>
          <w:bCs/>
        </w:rPr>
        <w:t xml:space="preserve"> </w:t>
      </w:r>
      <w:r w:rsidR="001B3E6D" w:rsidRPr="007D322B">
        <w:rPr>
          <w:rFonts w:ascii="Arial" w:eastAsia="Calibri" w:hAnsi="Arial" w:cs="Arial"/>
          <w:bCs/>
        </w:rPr>
        <w:t>that</w:t>
      </w:r>
      <w:r w:rsidR="00EE0CCC">
        <w:rPr>
          <w:rFonts w:ascii="Arial" w:eastAsia="Calibri" w:hAnsi="Arial" w:cs="Arial"/>
          <w:bCs/>
        </w:rPr>
        <w:t xml:space="preserve"> </w:t>
      </w:r>
      <w:r w:rsidR="001B3E6D" w:rsidRPr="007D322B">
        <w:rPr>
          <w:rFonts w:ascii="Arial" w:eastAsia="Calibri" w:hAnsi="Arial" w:cs="Arial"/>
          <w:bCs/>
        </w:rPr>
        <w:t>women</w:t>
      </w:r>
      <w:r w:rsidR="00EE0CCC">
        <w:rPr>
          <w:rFonts w:ascii="Arial" w:eastAsia="Calibri" w:hAnsi="Arial" w:cs="Arial"/>
          <w:bCs/>
        </w:rPr>
        <w:t xml:space="preserve"> </w:t>
      </w:r>
      <w:r w:rsidR="001B3E6D" w:rsidRPr="007D322B">
        <w:rPr>
          <w:rFonts w:ascii="Arial" w:eastAsia="Calibri" w:hAnsi="Arial" w:cs="Arial"/>
          <w:bCs/>
        </w:rPr>
        <w:t>of</w:t>
      </w:r>
      <w:r w:rsidR="00EE0CCC">
        <w:rPr>
          <w:rFonts w:ascii="Arial" w:eastAsia="Calibri" w:hAnsi="Arial" w:cs="Arial"/>
          <w:bCs/>
        </w:rPr>
        <w:t xml:space="preserve"> </w:t>
      </w:r>
      <w:r w:rsidR="001B3E6D" w:rsidRPr="007D322B">
        <w:rPr>
          <w:rFonts w:ascii="Arial" w:eastAsia="Calibri" w:hAnsi="Arial" w:cs="Arial"/>
          <w:bCs/>
        </w:rPr>
        <w:t>childbearing</w:t>
      </w:r>
      <w:r w:rsidR="00EE0CCC">
        <w:rPr>
          <w:rFonts w:ascii="Arial" w:eastAsia="Calibri" w:hAnsi="Arial" w:cs="Arial"/>
          <w:bCs/>
        </w:rPr>
        <w:t xml:space="preserve"> </w:t>
      </w:r>
      <w:r w:rsidR="001B3E6D" w:rsidRPr="007D322B">
        <w:rPr>
          <w:rFonts w:ascii="Arial" w:eastAsia="Calibri" w:hAnsi="Arial" w:cs="Arial"/>
          <w:bCs/>
        </w:rPr>
        <w:t>potential</w:t>
      </w:r>
      <w:r w:rsidR="00EE0CCC">
        <w:rPr>
          <w:rFonts w:ascii="Arial" w:eastAsia="Calibri" w:hAnsi="Arial" w:cs="Arial"/>
          <w:bCs/>
        </w:rPr>
        <w:t xml:space="preserve"> </w:t>
      </w:r>
      <w:r w:rsidR="001B3E6D" w:rsidRPr="007D322B">
        <w:rPr>
          <w:rFonts w:ascii="Arial" w:eastAsia="Calibri" w:hAnsi="Arial" w:cs="Arial"/>
          <w:bCs/>
        </w:rPr>
        <w:t>use</w:t>
      </w:r>
      <w:r w:rsidR="00EE0CCC">
        <w:rPr>
          <w:rFonts w:ascii="Arial" w:eastAsia="Calibri" w:hAnsi="Arial" w:cs="Arial"/>
          <w:bCs/>
        </w:rPr>
        <w:t xml:space="preserve"> </w:t>
      </w:r>
      <w:r w:rsidR="001B3E6D" w:rsidRPr="007D322B">
        <w:rPr>
          <w:rFonts w:ascii="Arial" w:eastAsia="Calibri" w:hAnsi="Arial" w:cs="Arial"/>
          <w:bCs/>
        </w:rPr>
        <w:t>contraception</w:t>
      </w:r>
      <w:r w:rsidR="00EE0CCC">
        <w:rPr>
          <w:rFonts w:ascii="Arial" w:eastAsia="Calibri" w:hAnsi="Arial" w:cs="Arial"/>
          <w:bCs/>
        </w:rPr>
        <w:t xml:space="preserve"> </w:t>
      </w:r>
      <w:r w:rsidR="001B3E6D" w:rsidRPr="007D322B">
        <w:rPr>
          <w:rFonts w:ascii="Arial" w:eastAsia="Calibri" w:hAnsi="Arial" w:cs="Arial"/>
          <w:bCs/>
        </w:rPr>
        <w:t>for</w:t>
      </w:r>
      <w:r w:rsidR="00EE0CCC">
        <w:rPr>
          <w:rFonts w:ascii="Arial" w:eastAsia="Calibri" w:hAnsi="Arial" w:cs="Arial"/>
          <w:bCs/>
        </w:rPr>
        <w:t xml:space="preserve"> </w:t>
      </w:r>
      <w:r w:rsidR="001B3E6D" w:rsidRPr="007D322B">
        <w:rPr>
          <w:rFonts w:ascii="Arial" w:eastAsia="Calibri" w:hAnsi="Arial" w:cs="Arial"/>
          <w:bCs/>
        </w:rPr>
        <w:t>6</w:t>
      </w:r>
      <w:r w:rsidR="00EE0CCC">
        <w:rPr>
          <w:rFonts w:ascii="Arial" w:eastAsia="Calibri" w:hAnsi="Arial" w:cs="Arial"/>
          <w:bCs/>
        </w:rPr>
        <w:t xml:space="preserve"> </w:t>
      </w:r>
      <w:r w:rsidR="001B3E6D" w:rsidRPr="007D322B">
        <w:rPr>
          <w:rFonts w:ascii="Arial" w:eastAsia="Calibri" w:hAnsi="Arial" w:cs="Arial"/>
          <w:bCs/>
        </w:rPr>
        <w:t>months</w:t>
      </w:r>
      <w:r w:rsidR="00EE0CCC">
        <w:rPr>
          <w:rFonts w:ascii="Arial" w:eastAsia="Calibri" w:hAnsi="Arial" w:cs="Arial"/>
          <w:bCs/>
        </w:rPr>
        <w:t xml:space="preserve"> </w:t>
      </w:r>
      <w:r w:rsidR="001B3E6D" w:rsidRPr="007D322B">
        <w:rPr>
          <w:rFonts w:ascii="Arial" w:eastAsia="Calibri" w:hAnsi="Arial" w:cs="Arial"/>
          <w:bCs/>
        </w:rPr>
        <w:t>after</w:t>
      </w:r>
      <w:r w:rsidR="00EE0CCC">
        <w:rPr>
          <w:rFonts w:ascii="Arial" w:eastAsia="Calibri" w:hAnsi="Arial" w:cs="Arial"/>
          <w:bCs/>
        </w:rPr>
        <w:t xml:space="preserve"> </w:t>
      </w:r>
      <w:r w:rsidR="001B3E6D" w:rsidRPr="007D322B">
        <w:rPr>
          <w:rFonts w:ascii="Arial" w:eastAsia="Calibri" w:hAnsi="Arial" w:cs="Arial"/>
          <w:bCs/>
        </w:rPr>
        <w:t>discontinuation</w:t>
      </w:r>
      <w:r w:rsidR="00EE0CCC">
        <w:rPr>
          <w:rFonts w:ascii="Arial" w:eastAsia="Calibri" w:hAnsi="Arial" w:cs="Arial"/>
          <w:bCs/>
        </w:rPr>
        <w:t xml:space="preserve"> </w:t>
      </w:r>
      <w:r w:rsidR="001B3E6D" w:rsidRPr="007D322B">
        <w:rPr>
          <w:rFonts w:ascii="Arial" w:eastAsia="Calibri" w:hAnsi="Arial" w:cs="Arial"/>
          <w:bCs/>
        </w:rPr>
        <w:t>of</w:t>
      </w:r>
      <w:r w:rsidR="00EE0CCC">
        <w:rPr>
          <w:rFonts w:ascii="Arial" w:eastAsia="Calibri" w:hAnsi="Arial" w:cs="Arial"/>
          <w:bCs/>
        </w:rPr>
        <w:t xml:space="preserve"> </w:t>
      </w:r>
      <w:r w:rsidR="001B3E6D" w:rsidRPr="007D322B">
        <w:rPr>
          <w:rFonts w:ascii="Arial" w:eastAsia="Calibri" w:hAnsi="Arial" w:cs="Arial"/>
          <w:bCs/>
        </w:rPr>
        <w:t>treatment</w:t>
      </w:r>
      <w:r w:rsidR="00EE0CCC">
        <w:rPr>
          <w:rFonts w:ascii="Arial" w:eastAsia="Calibri" w:hAnsi="Arial" w:cs="Arial"/>
          <w:bCs/>
        </w:rPr>
        <w:t xml:space="preserve"> </w:t>
      </w:r>
      <w:r w:rsidR="001B3E6D" w:rsidRPr="007D322B">
        <w:rPr>
          <w:rFonts w:ascii="Arial" w:eastAsia="Calibri" w:hAnsi="Arial" w:cs="Arial"/>
          <w:bCs/>
        </w:rPr>
        <w:t>with</w:t>
      </w:r>
      <w:r w:rsidR="00EE0CCC">
        <w:rPr>
          <w:rFonts w:ascii="Arial" w:eastAsia="Calibri" w:hAnsi="Arial" w:cs="Arial"/>
          <w:bCs/>
        </w:rPr>
        <w:t xml:space="preserve"> </w:t>
      </w:r>
      <w:r w:rsidR="001B3E6D" w:rsidRPr="007D322B">
        <w:rPr>
          <w:rFonts w:ascii="Arial" w:eastAsia="Calibri" w:hAnsi="Arial" w:cs="Arial"/>
          <w:bCs/>
        </w:rPr>
        <w:t>dinutuximab</w:t>
      </w:r>
      <w:r w:rsidR="00EE0CCC">
        <w:rPr>
          <w:rFonts w:ascii="Arial" w:eastAsia="Calibri" w:hAnsi="Arial" w:cs="Arial"/>
          <w:bCs/>
        </w:rPr>
        <w:t xml:space="preserve"> </w:t>
      </w:r>
      <w:r w:rsidR="001B3E6D" w:rsidRPr="007D322B">
        <w:rPr>
          <w:rFonts w:ascii="Arial" w:eastAsia="Calibri" w:hAnsi="Arial" w:cs="Arial"/>
          <w:bCs/>
        </w:rPr>
        <w:t>beta</w:t>
      </w:r>
      <w:r w:rsidR="00052685" w:rsidRPr="007D322B">
        <w:rPr>
          <w:rFonts w:ascii="Arial" w:eastAsia="Calibri" w:hAnsi="Arial" w:cs="Arial"/>
          <w:bCs/>
        </w:rPr>
        <w:t>.</w:t>
      </w:r>
    </w:p>
    <w:p w:rsidR="00052685" w:rsidRPr="007D322B" w:rsidRDefault="00052685" w:rsidP="00946995">
      <w:pPr>
        <w:pStyle w:val="NoSpacing"/>
        <w:rPr>
          <w:rFonts w:ascii="Arial" w:eastAsia="Calibri" w:hAnsi="Arial" w:cs="Arial"/>
          <w:bCs/>
        </w:rPr>
      </w:pPr>
    </w:p>
    <w:p w:rsidR="0086565F" w:rsidRPr="007D322B" w:rsidRDefault="0086565F" w:rsidP="00946995">
      <w:pPr>
        <w:pStyle w:val="NoSpacing"/>
        <w:rPr>
          <w:rFonts w:ascii="Arial" w:eastAsia="Calibri" w:hAnsi="Arial" w:cs="Arial"/>
          <w:b/>
          <w:i/>
        </w:rPr>
      </w:pPr>
      <w:r w:rsidRPr="007D322B">
        <w:rPr>
          <w:rFonts w:ascii="Arial" w:eastAsia="Calibri" w:hAnsi="Arial" w:cs="Arial"/>
          <w:b/>
          <w:i/>
        </w:rPr>
        <w:t>Use</w:t>
      </w:r>
      <w:r w:rsidR="00EE0CCC">
        <w:rPr>
          <w:rFonts w:ascii="Arial" w:eastAsia="Calibri" w:hAnsi="Arial" w:cs="Arial"/>
          <w:b/>
          <w:i/>
        </w:rPr>
        <w:t xml:space="preserve"> </w:t>
      </w:r>
      <w:r w:rsidRPr="007D322B">
        <w:rPr>
          <w:rFonts w:ascii="Arial" w:eastAsia="Calibri" w:hAnsi="Arial" w:cs="Arial"/>
          <w:b/>
          <w:i/>
        </w:rPr>
        <w:t>in</w:t>
      </w:r>
      <w:r w:rsidR="00EE0CCC">
        <w:rPr>
          <w:rFonts w:ascii="Arial" w:eastAsia="Calibri" w:hAnsi="Arial" w:cs="Arial"/>
          <w:b/>
          <w:i/>
        </w:rPr>
        <w:t xml:space="preserve"> </w:t>
      </w:r>
      <w:r w:rsidRPr="007D322B">
        <w:rPr>
          <w:rFonts w:ascii="Arial" w:eastAsia="Calibri" w:hAnsi="Arial" w:cs="Arial"/>
          <w:b/>
          <w:i/>
        </w:rPr>
        <w:t>pregnancy</w:t>
      </w:r>
      <w:r w:rsidR="00EE0CCC">
        <w:rPr>
          <w:rFonts w:ascii="Arial" w:eastAsia="Calibri" w:hAnsi="Arial" w:cs="Arial"/>
          <w:b/>
          <w:i/>
        </w:rPr>
        <w:t xml:space="preserve"> </w:t>
      </w:r>
      <w:r w:rsidR="003152F1">
        <w:rPr>
          <w:rFonts w:ascii="Arial" w:eastAsia="Calibri" w:hAnsi="Arial" w:cs="Arial"/>
          <w:b/>
          <w:i/>
        </w:rPr>
        <w:t>(</w:t>
      </w:r>
      <w:r w:rsidR="003152F1" w:rsidRPr="003152F1">
        <w:rPr>
          <w:rFonts w:ascii="Arial" w:eastAsia="Calibri" w:hAnsi="Arial" w:cs="Arial"/>
          <w:b/>
          <w:i/>
        </w:rPr>
        <w:t>Pregnancy</w:t>
      </w:r>
      <w:r w:rsidR="00EE0CCC">
        <w:rPr>
          <w:rFonts w:ascii="Arial" w:eastAsia="Calibri" w:hAnsi="Arial" w:cs="Arial"/>
          <w:b/>
          <w:i/>
        </w:rPr>
        <w:t xml:space="preserve"> </w:t>
      </w:r>
      <w:r w:rsidR="003152F1" w:rsidRPr="003152F1">
        <w:rPr>
          <w:rFonts w:ascii="Arial" w:eastAsia="Calibri" w:hAnsi="Arial" w:cs="Arial"/>
          <w:b/>
          <w:i/>
        </w:rPr>
        <w:t>Category</w:t>
      </w:r>
      <w:r w:rsidR="00EE0CCC">
        <w:rPr>
          <w:rFonts w:ascii="Arial" w:eastAsia="Calibri" w:hAnsi="Arial" w:cs="Arial"/>
          <w:b/>
          <w:i/>
        </w:rPr>
        <w:t xml:space="preserve"> </w:t>
      </w:r>
      <w:r w:rsidR="003152F1" w:rsidRPr="003152F1">
        <w:rPr>
          <w:rFonts w:ascii="Arial" w:eastAsia="Calibri" w:hAnsi="Arial" w:cs="Arial"/>
          <w:b/>
          <w:i/>
        </w:rPr>
        <w:t>C</w:t>
      </w:r>
      <w:r w:rsidR="003152F1">
        <w:rPr>
          <w:rFonts w:ascii="Arial" w:eastAsia="Calibri" w:hAnsi="Arial" w:cs="Arial"/>
          <w:b/>
          <w:i/>
        </w:rPr>
        <w:t>)</w:t>
      </w:r>
    </w:p>
    <w:p w:rsidR="001B3E6D" w:rsidRPr="007D322B" w:rsidRDefault="001B3E6D" w:rsidP="001B3E6D">
      <w:pPr>
        <w:pStyle w:val="NoSpacing"/>
        <w:rPr>
          <w:rFonts w:ascii="Arial" w:eastAsia="Calibri" w:hAnsi="Arial" w:cs="Arial"/>
          <w:bCs/>
        </w:rPr>
      </w:pPr>
      <w:r w:rsidRPr="007D322B">
        <w:rPr>
          <w:rFonts w:ascii="Arial" w:eastAsia="Calibri" w:hAnsi="Arial" w:cs="Arial"/>
          <w:bCs/>
        </w:rPr>
        <w:t>There</w:t>
      </w:r>
      <w:r w:rsidR="00EE0CCC">
        <w:rPr>
          <w:rFonts w:ascii="Arial" w:eastAsia="Calibri" w:hAnsi="Arial" w:cs="Arial"/>
          <w:bCs/>
        </w:rPr>
        <w:t xml:space="preserve"> </w:t>
      </w:r>
      <w:r w:rsidRPr="007D322B">
        <w:rPr>
          <w:rFonts w:ascii="Arial" w:eastAsia="Calibri" w:hAnsi="Arial" w:cs="Arial"/>
          <w:bCs/>
        </w:rPr>
        <w:t>are</w:t>
      </w:r>
      <w:r w:rsidR="00EE0CCC">
        <w:rPr>
          <w:rFonts w:ascii="Arial" w:eastAsia="Calibri" w:hAnsi="Arial" w:cs="Arial"/>
          <w:bCs/>
        </w:rPr>
        <w:t xml:space="preserve"> </w:t>
      </w:r>
      <w:r w:rsidRPr="007D322B">
        <w:rPr>
          <w:rFonts w:ascii="Arial" w:eastAsia="Calibri" w:hAnsi="Arial" w:cs="Arial"/>
          <w:bCs/>
        </w:rPr>
        <w:t>no</w:t>
      </w:r>
      <w:r w:rsidR="00EE0CCC">
        <w:rPr>
          <w:rFonts w:ascii="Arial" w:eastAsia="Calibri" w:hAnsi="Arial" w:cs="Arial"/>
          <w:bCs/>
        </w:rPr>
        <w:t xml:space="preserve"> </w:t>
      </w:r>
      <w:r w:rsidRPr="007D322B">
        <w:rPr>
          <w:rFonts w:ascii="Arial" w:eastAsia="Calibri" w:hAnsi="Arial" w:cs="Arial"/>
          <w:bCs/>
        </w:rPr>
        <w:t>data</w:t>
      </w:r>
      <w:r w:rsidR="00EE0CCC">
        <w:rPr>
          <w:rFonts w:ascii="Arial" w:eastAsia="Calibri" w:hAnsi="Arial" w:cs="Arial"/>
          <w:bCs/>
        </w:rPr>
        <w:t xml:space="preserve"> </w:t>
      </w:r>
      <w:r w:rsidRPr="007D322B">
        <w:rPr>
          <w:rFonts w:ascii="Arial" w:eastAsia="Calibri" w:hAnsi="Arial" w:cs="Arial"/>
          <w:bCs/>
        </w:rPr>
        <w:t>on</w:t>
      </w:r>
      <w:r w:rsidR="00EE0CCC">
        <w:rPr>
          <w:rFonts w:ascii="Arial" w:eastAsia="Calibri" w:hAnsi="Arial" w:cs="Arial"/>
          <w:bCs/>
        </w:rPr>
        <w:t xml:space="preserve"> </w:t>
      </w:r>
      <w:r w:rsidRPr="007D322B">
        <w:rPr>
          <w:rFonts w:ascii="Arial" w:eastAsia="Calibri" w:hAnsi="Arial" w:cs="Arial"/>
          <w:bCs/>
        </w:rPr>
        <w:t>pregnant</w:t>
      </w:r>
      <w:r w:rsidR="00EE0CCC">
        <w:rPr>
          <w:rFonts w:ascii="Arial" w:eastAsia="Calibri" w:hAnsi="Arial" w:cs="Arial"/>
          <w:bCs/>
        </w:rPr>
        <w:t xml:space="preserve"> </w:t>
      </w:r>
      <w:r w:rsidRPr="007D322B">
        <w:rPr>
          <w:rFonts w:ascii="Arial" w:eastAsia="Calibri" w:hAnsi="Arial" w:cs="Arial"/>
          <w:bCs/>
        </w:rPr>
        <w:t>women.</w:t>
      </w:r>
      <w:r w:rsidR="00EE0CCC">
        <w:rPr>
          <w:rFonts w:ascii="Arial" w:eastAsia="Calibri" w:hAnsi="Arial" w:cs="Arial"/>
          <w:bCs/>
        </w:rPr>
        <w:t xml:space="preserve"> </w:t>
      </w:r>
      <w:r w:rsidRPr="007D322B">
        <w:rPr>
          <w:rFonts w:ascii="Arial" w:eastAsia="Calibri" w:hAnsi="Arial" w:cs="Arial"/>
          <w:bCs/>
        </w:rPr>
        <w:t>No</w:t>
      </w:r>
      <w:r w:rsidR="00EE0CCC">
        <w:rPr>
          <w:rFonts w:ascii="Arial" w:eastAsia="Calibri" w:hAnsi="Arial" w:cs="Arial"/>
          <w:bCs/>
        </w:rPr>
        <w:t xml:space="preserve"> </w:t>
      </w:r>
      <w:r w:rsidRPr="007D322B">
        <w:rPr>
          <w:rFonts w:ascii="Arial" w:eastAsia="Calibri" w:hAnsi="Arial" w:cs="Arial"/>
          <w:bCs/>
        </w:rPr>
        <w:t>animal</w:t>
      </w:r>
      <w:r w:rsidR="00EE0CCC">
        <w:rPr>
          <w:rFonts w:ascii="Arial" w:eastAsia="Calibri" w:hAnsi="Arial" w:cs="Arial"/>
          <w:bCs/>
        </w:rPr>
        <w:t xml:space="preserve"> </w:t>
      </w:r>
      <w:r w:rsidRPr="007D322B">
        <w:rPr>
          <w:rFonts w:ascii="Arial" w:eastAsia="Calibri" w:hAnsi="Arial" w:cs="Arial"/>
          <w:bCs/>
        </w:rPr>
        <w:t>data</w:t>
      </w:r>
      <w:r w:rsidR="00EE0CCC">
        <w:rPr>
          <w:rFonts w:ascii="Arial" w:eastAsia="Calibri" w:hAnsi="Arial" w:cs="Arial"/>
          <w:bCs/>
        </w:rPr>
        <w:t xml:space="preserve"> </w:t>
      </w:r>
      <w:r w:rsidRPr="007D322B">
        <w:rPr>
          <w:rFonts w:ascii="Arial" w:eastAsia="Calibri" w:hAnsi="Arial" w:cs="Arial"/>
          <w:bCs/>
        </w:rPr>
        <w:t>are</w:t>
      </w:r>
      <w:r w:rsidR="00EE0CCC">
        <w:rPr>
          <w:rFonts w:ascii="Arial" w:eastAsia="Calibri" w:hAnsi="Arial" w:cs="Arial"/>
          <w:bCs/>
        </w:rPr>
        <w:t xml:space="preserve"> </w:t>
      </w:r>
      <w:r w:rsidRPr="007D322B">
        <w:rPr>
          <w:rFonts w:ascii="Arial" w:eastAsia="Calibri" w:hAnsi="Arial" w:cs="Arial"/>
          <w:bCs/>
        </w:rPr>
        <w:t>available</w:t>
      </w:r>
      <w:r w:rsidR="00EE0CCC">
        <w:rPr>
          <w:rFonts w:ascii="Arial" w:eastAsia="Calibri" w:hAnsi="Arial" w:cs="Arial"/>
          <w:bCs/>
        </w:rPr>
        <w:t xml:space="preserve"> </w:t>
      </w:r>
      <w:r w:rsidRPr="007D322B">
        <w:rPr>
          <w:rFonts w:ascii="Arial" w:eastAsia="Calibri" w:hAnsi="Arial" w:cs="Arial"/>
          <w:bCs/>
        </w:rPr>
        <w:t>on</w:t>
      </w:r>
      <w:r w:rsidR="00EE0CCC">
        <w:rPr>
          <w:rFonts w:ascii="Arial" w:eastAsia="Calibri" w:hAnsi="Arial" w:cs="Arial"/>
          <w:bCs/>
        </w:rPr>
        <w:t xml:space="preserve"> </w:t>
      </w:r>
      <w:r w:rsidRPr="007D322B">
        <w:rPr>
          <w:rFonts w:ascii="Arial" w:eastAsia="Calibri" w:hAnsi="Arial" w:cs="Arial"/>
          <w:bCs/>
        </w:rPr>
        <w:t>teratogenicity</w:t>
      </w:r>
      <w:r w:rsidR="00EE0CCC">
        <w:rPr>
          <w:rFonts w:ascii="Arial" w:eastAsia="Calibri" w:hAnsi="Arial" w:cs="Arial"/>
          <w:bCs/>
        </w:rPr>
        <w:t xml:space="preserve"> </w:t>
      </w:r>
      <w:r w:rsidRPr="007D322B">
        <w:rPr>
          <w:rFonts w:ascii="Arial" w:eastAsia="Calibri" w:hAnsi="Arial" w:cs="Arial"/>
          <w:bCs/>
        </w:rPr>
        <w:t>or</w:t>
      </w:r>
      <w:r w:rsidR="00EE0CCC">
        <w:rPr>
          <w:rFonts w:ascii="Arial" w:eastAsia="Calibri" w:hAnsi="Arial" w:cs="Arial"/>
          <w:bCs/>
        </w:rPr>
        <w:t xml:space="preserve"> </w:t>
      </w:r>
      <w:r w:rsidRPr="007D322B">
        <w:rPr>
          <w:rFonts w:ascii="Arial" w:eastAsia="Calibri" w:hAnsi="Arial" w:cs="Arial"/>
          <w:bCs/>
        </w:rPr>
        <w:t>embryotoxicity.</w:t>
      </w:r>
      <w:r w:rsidR="00EE0CCC">
        <w:rPr>
          <w:rFonts w:ascii="Arial" w:eastAsia="Calibri" w:hAnsi="Arial" w:cs="Arial"/>
          <w:bCs/>
        </w:rPr>
        <w:t xml:space="preserve"> </w:t>
      </w:r>
      <w:r w:rsidRPr="007D322B">
        <w:rPr>
          <w:rFonts w:ascii="Arial" w:eastAsia="Calibri" w:hAnsi="Arial" w:cs="Arial"/>
          <w:bCs/>
        </w:rPr>
        <w:t>Dinutuximab</w:t>
      </w:r>
      <w:r w:rsidR="00EE0CCC">
        <w:rPr>
          <w:rFonts w:ascii="Arial" w:eastAsia="Calibri" w:hAnsi="Arial" w:cs="Arial"/>
          <w:bCs/>
        </w:rPr>
        <w:t xml:space="preserve"> </w:t>
      </w:r>
      <w:r w:rsidRPr="007D322B">
        <w:rPr>
          <w:rFonts w:ascii="Arial" w:eastAsia="Calibri" w:hAnsi="Arial" w:cs="Arial"/>
          <w:bCs/>
        </w:rPr>
        <w:t>beta</w:t>
      </w:r>
      <w:r w:rsidR="00EE0CCC">
        <w:rPr>
          <w:rFonts w:ascii="Arial" w:eastAsia="Calibri" w:hAnsi="Arial" w:cs="Arial"/>
          <w:bCs/>
        </w:rPr>
        <w:t xml:space="preserve"> </w:t>
      </w:r>
      <w:r w:rsidRPr="007D322B">
        <w:rPr>
          <w:rFonts w:ascii="Arial" w:eastAsia="Calibri" w:hAnsi="Arial" w:cs="Arial"/>
          <w:bCs/>
        </w:rPr>
        <w:t>target</w:t>
      </w:r>
      <w:r w:rsidR="00EE0CCC">
        <w:rPr>
          <w:rFonts w:ascii="Arial" w:eastAsia="Calibri" w:hAnsi="Arial" w:cs="Arial"/>
          <w:bCs/>
        </w:rPr>
        <w:t xml:space="preserve"> </w:t>
      </w:r>
      <w:r w:rsidRPr="007D322B">
        <w:rPr>
          <w:rFonts w:ascii="Arial" w:eastAsia="Calibri" w:hAnsi="Arial" w:cs="Arial"/>
          <w:bCs/>
        </w:rPr>
        <w:t>(GD2)</w:t>
      </w:r>
      <w:r w:rsidR="00EE0CCC">
        <w:rPr>
          <w:rFonts w:ascii="Arial" w:eastAsia="Calibri" w:hAnsi="Arial" w:cs="Arial"/>
          <w:bCs/>
        </w:rPr>
        <w:t xml:space="preserve"> </w:t>
      </w:r>
      <w:r w:rsidRPr="007D322B">
        <w:rPr>
          <w:rFonts w:ascii="Arial" w:eastAsia="Calibri" w:hAnsi="Arial" w:cs="Arial"/>
          <w:bCs/>
        </w:rPr>
        <w:t>is</w:t>
      </w:r>
      <w:r w:rsidR="00EE0CCC">
        <w:rPr>
          <w:rFonts w:ascii="Arial" w:eastAsia="Calibri" w:hAnsi="Arial" w:cs="Arial"/>
          <w:bCs/>
        </w:rPr>
        <w:t xml:space="preserve"> </w:t>
      </w:r>
      <w:r w:rsidRPr="007D322B">
        <w:rPr>
          <w:rFonts w:ascii="Arial" w:eastAsia="Calibri" w:hAnsi="Arial" w:cs="Arial"/>
          <w:bCs/>
        </w:rPr>
        <w:t>expressed</w:t>
      </w:r>
      <w:r w:rsidR="00EE0CCC">
        <w:rPr>
          <w:rFonts w:ascii="Arial" w:eastAsia="Calibri" w:hAnsi="Arial" w:cs="Arial"/>
          <w:bCs/>
        </w:rPr>
        <w:t xml:space="preserve"> </w:t>
      </w:r>
      <w:r w:rsidRPr="007D322B">
        <w:rPr>
          <w:rFonts w:ascii="Arial" w:eastAsia="Calibri" w:hAnsi="Arial" w:cs="Arial"/>
          <w:bCs/>
        </w:rPr>
        <w:t>on</w:t>
      </w:r>
      <w:r w:rsidR="00EE0CCC">
        <w:rPr>
          <w:rFonts w:ascii="Arial" w:eastAsia="Calibri" w:hAnsi="Arial" w:cs="Arial"/>
          <w:bCs/>
        </w:rPr>
        <w:t xml:space="preserve"> </w:t>
      </w:r>
      <w:r w:rsidRPr="007D322B">
        <w:rPr>
          <w:rFonts w:ascii="Arial" w:eastAsia="Calibri" w:hAnsi="Arial" w:cs="Arial"/>
          <w:bCs/>
        </w:rPr>
        <w:t>neuronal</w:t>
      </w:r>
      <w:r w:rsidR="00EE0CCC">
        <w:rPr>
          <w:rFonts w:ascii="Arial" w:eastAsia="Calibri" w:hAnsi="Arial" w:cs="Arial"/>
          <w:bCs/>
        </w:rPr>
        <w:t xml:space="preserve"> </w:t>
      </w:r>
      <w:r w:rsidRPr="007D322B">
        <w:rPr>
          <w:rFonts w:ascii="Arial" w:eastAsia="Calibri" w:hAnsi="Arial" w:cs="Arial"/>
          <w:bCs/>
        </w:rPr>
        <w:t>tissues,</w:t>
      </w:r>
      <w:r w:rsidR="00EE0CCC">
        <w:rPr>
          <w:rFonts w:ascii="Arial" w:eastAsia="Calibri" w:hAnsi="Arial" w:cs="Arial"/>
          <w:bCs/>
        </w:rPr>
        <w:t xml:space="preserve"> </w:t>
      </w:r>
      <w:r w:rsidRPr="007D322B">
        <w:rPr>
          <w:rFonts w:ascii="Arial" w:eastAsia="Calibri" w:hAnsi="Arial" w:cs="Arial"/>
          <w:bCs/>
        </w:rPr>
        <w:t>especially</w:t>
      </w:r>
      <w:r w:rsidR="00EE0CCC">
        <w:rPr>
          <w:rFonts w:ascii="Arial" w:eastAsia="Calibri" w:hAnsi="Arial" w:cs="Arial"/>
          <w:bCs/>
        </w:rPr>
        <w:t xml:space="preserve"> </w:t>
      </w:r>
      <w:r w:rsidRPr="007D322B">
        <w:rPr>
          <w:rFonts w:ascii="Arial" w:eastAsia="Calibri" w:hAnsi="Arial" w:cs="Arial"/>
          <w:bCs/>
        </w:rPr>
        <w:t>during</w:t>
      </w:r>
      <w:r w:rsidR="00EE0CCC">
        <w:rPr>
          <w:rFonts w:ascii="Arial" w:eastAsia="Calibri" w:hAnsi="Arial" w:cs="Arial"/>
          <w:bCs/>
        </w:rPr>
        <w:t xml:space="preserve"> </w:t>
      </w:r>
      <w:r w:rsidRPr="007D322B">
        <w:rPr>
          <w:rFonts w:ascii="Arial" w:eastAsia="Calibri" w:hAnsi="Arial" w:cs="Arial"/>
          <w:bCs/>
        </w:rPr>
        <w:t>embryofetal</w:t>
      </w:r>
      <w:r w:rsidR="00EE0CCC">
        <w:rPr>
          <w:rFonts w:ascii="Arial" w:eastAsia="Calibri" w:hAnsi="Arial" w:cs="Arial"/>
          <w:bCs/>
        </w:rPr>
        <w:t xml:space="preserve"> </w:t>
      </w:r>
      <w:r w:rsidRPr="007D322B">
        <w:rPr>
          <w:rFonts w:ascii="Arial" w:eastAsia="Calibri" w:hAnsi="Arial" w:cs="Arial"/>
          <w:bCs/>
        </w:rPr>
        <w:t>development,</w:t>
      </w:r>
      <w:r w:rsidR="00EE0CCC">
        <w:rPr>
          <w:rFonts w:ascii="Arial" w:eastAsia="Calibri" w:hAnsi="Arial" w:cs="Arial"/>
          <w:bCs/>
        </w:rPr>
        <w:t xml:space="preserve"> </w:t>
      </w:r>
      <w:r w:rsidRPr="007D322B">
        <w:rPr>
          <w:rFonts w:ascii="Arial" w:eastAsia="Calibri" w:hAnsi="Arial" w:cs="Arial"/>
          <w:bCs/>
        </w:rPr>
        <w:t>and</w:t>
      </w:r>
      <w:r w:rsidR="00EE0CCC">
        <w:rPr>
          <w:rFonts w:ascii="Arial" w:eastAsia="Calibri" w:hAnsi="Arial" w:cs="Arial"/>
          <w:bCs/>
        </w:rPr>
        <w:t xml:space="preserve"> </w:t>
      </w:r>
      <w:r w:rsidRPr="007D322B">
        <w:rPr>
          <w:rFonts w:ascii="Arial" w:eastAsia="Calibri" w:hAnsi="Arial" w:cs="Arial"/>
          <w:bCs/>
        </w:rPr>
        <w:t>may</w:t>
      </w:r>
      <w:r w:rsidR="00EE0CCC">
        <w:rPr>
          <w:rFonts w:ascii="Arial" w:eastAsia="Calibri" w:hAnsi="Arial" w:cs="Arial"/>
          <w:bCs/>
        </w:rPr>
        <w:t xml:space="preserve"> </w:t>
      </w:r>
      <w:r w:rsidRPr="007D322B">
        <w:rPr>
          <w:rFonts w:ascii="Arial" w:eastAsia="Calibri" w:hAnsi="Arial" w:cs="Arial"/>
          <w:bCs/>
        </w:rPr>
        <w:t>cross</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placenta;</w:t>
      </w:r>
      <w:r w:rsidR="00EE0CCC">
        <w:rPr>
          <w:rFonts w:ascii="Arial" w:eastAsia="Calibri" w:hAnsi="Arial" w:cs="Arial"/>
          <w:bCs/>
        </w:rPr>
        <w:t xml:space="preserve"> </w:t>
      </w:r>
      <w:r w:rsidRPr="007D322B">
        <w:rPr>
          <w:rFonts w:ascii="Arial" w:eastAsia="Calibri" w:hAnsi="Arial" w:cs="Arial"/>
          <w:bCs/>
        </w:rPr>
        <w:t>therefore,</w:t>
      </w:r>
      <w:r w:rsidR="00EE0CCC">
        <w:rPr>
          <w:rFonts w:ascii="Arial" w:eastAsia="Calibri" w:hAnsi="Arial" w:cs="Arial"/>
          <w:bCs/>
        </w:rPr>
        <w:t xml:space="preserve"> </w:t>
      </w:r>
      <w:r w:rsidR="008C1D88" w:rsidRPr="007D322B">
        <w:rPr>
          <w:rFonts w:ascii="Arial" w:eastAsia="Calibri" w:hAnsi="Arial" w:cs="Arial"/>
          <w:bCs/>
        </w:rPr>
        <w:t>QARZIBA</w:t>
      </w:r>
      <w:r w:rsidR="00EE0CCC">
        <w:rPr>
          <w:rFonts w:ascii="Arial" w:eastAsia="Calibri" w:hAnsi="Arial" w:cs="Arial"/>
          <w:bCs/>
        </w:rPr>
        <w:t xml:space="preserve"> </w:t>
      </w:r>
      <w:r w:rsidRPr="007D322B">
        <w:rPr>
          <w:rFonts w:ascii="Arial" w:eastAsia="Calibri" w:hAnsi="Arial" w:cs="Arial"/>
          <w:bCs/>
        </w:rPr>
        <w:t>may</w:t>
      </w:r>
      <w:r w:rsidR="00EE0CCC">
        <w:rPr>
          <w:rFonts w:ascii="Arial" w:eastAsia="Calibri" w:hAnsi="Arial" w:cs="Arial"/>
          <w:bCs/>
        </w:rPr>
        <w:t xml:space="preserve"> </w:t>
      </w:r>
      <w:r w:rsidRPr="007D322B">
        <w:rPr>
          <w:rFonts w:ascii="Arial" w:eastAsia="Calibri" w:hAnsi="Arial" w:cs="Arial"/>
          <w:bCs/>
        </w:rPr>
        <w:t>cause</w:t>
      </w:r>
      <w:r w:rsidR="00EE0CCC">
        <w:rPr>
          <w:rFonts w:ascii="Arial" w:eastAsia="Calibri" w:hAnsi="Arial" w:cs="Arial"/>
          <w:bCs/>
        </w:rPr>
        <w:t xml:space="preserve"> </w:t>
      </w:r>
      <w:r w:rsidRPr="007D322B">
        <w:rPr>
          <w:rFonts w:ascii="Arial" w:eastAsia="Calibri" w:hAnsi="Arial" w:cs="Arial"/>
          <w:bCs/>
        </w:rPr>
        <w:t>fetal</w:t>
      </w:r>
      <w:r w:rsidR="00EE0CCC">
        <w:rPr>
          <w:rFonts w:ascii="Arial" w:eastAsia="Calibri" w:hAnsi="Arial" w:cs="Arial"/>
          <w:bCs/>
        </w:rPr>
        <w:t xml:space="preserve"> </w:t>
      </w:r>
      <w:r w:rsidRPr="007D322B">
        <w:rPr>
          <w:rFonts w:ascii="Arial" w:eastAsia="Calibri" w:hAnsi="Arial" w:cs="Arial"/>
          <w:bCs/>
        </w:rPr>
        <w:t>harm</w:t>
      </w:r>
      <w:r w:rsidR="00EE0CCC">
        <w:rPr>
          <w:rFonts w:ascii="Arial" w:eastAsia="Calibri" w:hAnsi="Arial" w:cs="Arial"/>
          <w:bCs/>
        </w:rPr>
        <w:t xml:space="preserve"> </w:t>
      </w:r>
      <w:r w:rsidRPr="007D322B">
        <w:rPr>
          <w:rFonts w:ascii="Arial" w:eastAsia="Calibri" w:hAnsi="Arial" w:cs="Arial"/>
          <w:bCs/>
        </w:rPr>
        <w:t>when</w:t>
      </w:r>
      <w:r w:rsidR="00EE0CCC">
        <w:rPr>
          <w:rFonts w:ascii="Arial" w:eastAsia="Calibri" w:hAnsi="Arial" w:cs="Arial"/>
          <w:bCs/>
        </w:rPr>
        <w:t xml:space="preserve"> </w:t>
      </w:r>
      <w:r w:rsidRPr="007D322B">
        <w:rPr>
          <w:rFonts w:ascii="Arial" w:eastAsia="Calibri" w:hAnsi="Arial" w:cs="Arial"/>
          <w:bCs/>
        </w:rPr>
        <w:t>administered</w:t>
      </w:r>
      <w:r w:rsidR="00EE0CCC">
        <w:rPr>
          <w:rFonts w:ascii="Arial" w:eastAsia="Calibri" w:hAnsi="Arial" w:cs="Arial"/>
          <w:bCs/>
        </w:rPr>
        <w:t xml:space="preserve"> </w:t>
      </w:r>
      <w:r w:rsidRPr="007D322B">
        <w:rPr>
          <w:rFonts w:ascii="Arial" w:eastAsia="Calibri" w:hAnsi="Arial" w:cs="Arial"/>
          <w:bCs/>
        </w:rPr>
        <w:t>to</w:t>
      </w:r>
      <w:r w:rsidR="00EE0CCC">
        <w:rPr>
          <w:rFonts w:ascii="Arial" w:eastAsia="Calibri" w:hAnsi="Arial" w:cs="Arial"/>
          <w:bCs/>
        </w:rPr>
        <w:t xml:space="preserve"> </w:t>
      </w:r>
      <w:r w:rsidRPr="007D322B">
        <w:rPr>
          <w:rFonts w:ascii="Arial" w:eastAsia="Calibri" w:hAnsi="Arial" w:cs="Arial"/>
          <w:bCs/>
        </w:rPr>
        <w:t>pregnant</w:t>
      </w:r>
      <w:r w:rsidR="00EE0CCC">
        <w:rPr>
          <w:rFonts w:ascii="Arial" w:eastAsia="Calibri" w:hAnsi="Arial" w:cs="Arial"/>
          <w:bCs/>
        </w:rPr>
        <w:t xml:space="preserve"> </w:t>
      </w:r>
      <w:r w:rsidRPr="007D322B">
        <w:rPr>
          <w:rFonts w:ascii="Arial" w:eastAsia="Calibri" w:hAnsi="Arial" w:cs="Arial"/>
          <w:bCs/>
        </w:rPr>
        <w:t>women.</w:t>
      </w:r>
    </w:p>
    <w:p w:rsidR="001B3E6D" w:rsidRPr="007D322B" w:rsidRDefault="001B3E6D" w:rsidP="001B3E6D">
      <w:pPr>
        <w:pStyle w:val="NoSpacing"/>
        <w:rPr>
          <w:rFonts w:ascii="Arial" w:eastAsia="Calibri" w:hAnsi="Arial" w:cs="Arial"/>
          <w:bCs/>
        </w:rPr>
      </w:pPr>
    </w:p>
    <w:p w:rsidR="0086565F" w:rsidRPr="007D322B" w:rsidRDefault="008C1D88" w:rsidP="001B3E6D">
      <w:pPr>
        <w:pStyle w:val="NoSpacing"/>
        <w:rPr>
          <w:rFonts w:ascii="Arial" w:eastAsia="Calibri" w:hAnsi="Arial" w:cs="Arial"/>
          <w:bCs/>
        </w:rPr>
      </w:pPr>
      <w:r w:rsidRPr="007D322B">
        <w:rPr>
          <w:rFonts w:ascii="Arial" w:eastAsia="Calibri" w:hAnsi="Arial" w:cs="Arial"/>
          <w:bCs/>
        </w:rPr>
        <w:t>QARZIBA</w:t>
      </w:r>
      <w:r w:rsidR="00EE0CCC">
        <w:rPr>
          <w:rFonts w:ascii="Arial" w:eastAsia="Calibri" w:hAnsi="Arial" w:cs="Arial"/>
          <w:bCs/>
        </w:rPr>
        <w:t xml:space="preserve"> </w:t>
      </w:r>
      <w:r w:rsidR="001B3E6D" w:rsidRPr="007D322B">
        <w:rPr>
          <w:rFonts w:ascii="Arial" w:eastAsia="Calibri" w:hAnsi="Arial" w:cs="Arial"/>
          <w:bCs/>
        </w:rPr>
        <w:t>should</w:t>
      </w:r>
      <w:r w:rsidR="00EE0CCC">
        <w:rPr>
          <w:rFonts w:ascii="Arial" w:eastAsia="Calibri" w:hAnsi="Arial" w:cs="Arial"/>
          <w:bCs/>
        </w:rPr>
        <w:t xml:space="preserve"> </w:t>
      </w:r>
      <w:r w:rsidR="001B3E6D" w:rsidRPr="007D322B">
        <w:rPr>
          <w:rFonts w:ascii="Arial" w:eastAsia="Calibri" w:hAnsi="Arial" w:cs="Arial"/>
          <w:bCs/>
        </w:rPr>
        <w:t>not</w:t>
      </w:r>
      <w:r w:rsidR="00EE0CCC">
        <w:rPr>
          <w:rFonts w:ascii="Arial" w:eastAsia="Calibri" w:hAnsi="Arial" w:cs="Arial"/>
          <w:bCs/>
        </w:rPr>
        <w:t xml:space="preserve"> </w:t>
      </w:r>
      <w:r w:rsidR="001B3E6D" w:rsidRPr="007D322B">
        <w:rPr>
          <w:rFonts w:ascii="Arial" w:eastAsia="Calibri" w:hAnsi="Arial" w:cs="Arial"/>
          <w:bCs/>
        </w:rPr>
        <w:t>be</w:t>
      </w:r>
      <w:r w:rsidR="00EE0CCC">
        <w:rPr>
          <w:rFonts w:ascii="Arial" w:eastAsia="Calibri" w:hAnsi="Arial" w:cs="Arial"/>
          <w:bCs/>
        </w:rPr>
        <w:t xml:space="preserve"> </w:t>
      </w:r>
      <w:r w:rsidR="001B3E6D" w:rsidRPr="007D322B">
        <w:rPr>
          <w:rFonts w:ascii="Arial" w:eastAsia="Calibri" w:hAnsi="Arial" w:cs="Arial"/>
          <w:bCs/>
        </w:rPr>
        <w:t>used</w:t>
      </w:r>
      <w:r w:rsidR="00EE0CCC">
        <w:rPr>
          <w:rFonts w:ascii="Arial" w:eastAsia="Calibri" w:hAnsi="Arial" w:cs="Arial"/>
          <w:bCs/>
        </w:rPr>
        <w:t xml:space="preserve"> </w:t>
      </w:r>
      <w:r w:rsidR="001B3E6D" w:rsidRPr="007D322B">
        <w:rPr>
          <w:rFonts w:ascii="Arial" w:eastAsia="Calibri" w:hAnsi="Arial" w:cs="Arial"/>
          <w:bCs/>
        </w:rPr>
        <w:t>during</w:t>
      </w:r>
      <w:r w:rsidR="00EE0CCC">
        <w:rPr>
          <w:rFonts w:ascii="Arial" w:eastAsia="Calibri" w:hAnsi="Arial" w:cs="Arial"/>
          <w:bCs/>
        </w:rPr>
        <w:t xml:space="preserve"> </w:t>
      </w:r>
      <w:r w:rsidR="001B3E6D" w:rsidRPr="007D322B">
        <w:rPr>
          <w:rFonts w:ascii="Arial" w:eastAsia="Calibri" w:hAnsi="Arial" w:cs="Arial"/>
          <w:bCs/>
        </w:rPr>
        <w:t>pregnancy</w:t>
      </w:r>
      <w:r w:rsidR="0086565F" w:rsidRPr="007D322B">
        <w:rPr>
          <w:rFonts w:ascii="Arial" w:eastAsia="Calibri" w:hAnsi="Arial" w:cs="Arial"/>
          <w:bCs/>
        </w:rPr>
        <w:t>.</w:t>
      </w:r>
    </w:p>
    <w:p w:rsidR="00184056" w:rsidRPr="007D322B" w:rsidRDefault="00184056" w:rsidP="00946995">
      <w:pPr>
        <w:pStyle w:val="NoSpacing"/>
        <w:rPr>
          <w:rFonts w:ascii="Arial" w:eastAsia="Calibri" w:hAnsi="Arial" w:cs="Arial"/>
          <w:b/>
        </w:rPr>
      </w:pPr>
    </w:p>
    <w:p w:rsidR="0086565F" w:rsidRPr="007D322B" w:rsidRDefault="0086565F" w:rsidP="00946995">
      <w:pPr>
        <w:pStyle w:val="NoSpacing"/>
        <w:rPr>
          <w:rFonts w:ascii="Arial" w:eastAsia="Calibri" w:hAnsi="Arial" w:cs="Arial"/>
          <w:b/>
          <w:i/>
        </w:rPr>
      </w:pPr>
      <w:r w:rsidRPr="007D322B">
        <w:rPr>
          <w:rFonts w:ascii="Arial" w:eastAsia="Calibri" w:hAnsi="Arial" w:cs="Arial"/>
          <w:b/>
          <w:i/>
        </w:rPr>
        <w:t>Use</w:t>
      </w:r>
      <w:r w:rsidR="00EE0CCC">
        <w:rPr>
          <w:rFonts w:ascii="Arial" w:eastAsia="Calibri" w:hAnsi="Arial" w:cs="Arial"/>
          <w:b/>
          <w:i/>
        </w:rPr>
        <w:t xml:space="preserve"> </w:t>
      </w:r>
      <w:r w:rsidRPr="007D322B">
        <w:rPr>
          <w:rFonts w:ascii="Arial" w:eastAsia="Calibri" w:hAnsi="Arial" w:cs="Arial"/>
          <w:b/>
          <w:i/>
        </w:rPr>
        <w:t>in</w:t>
      </w:r>
      <w:r w:rsidR="00EE0CCC">
        <w:rPr>
          <w:rFonts w:ascii="Arial" w:eastAsia="Calibri" w:hAnsi="Arial" w:cs="Arial"/>
          <w:b/>
          <w:i/>
        </w:rPr>
        <w:t xml:space="preserve"> </w:t>
      </w:r>
      <w:r w:rsidRPr="007D322B">
        <w:rPr>
          <w:rFonts w:ascii="Arial" w:eastAsia="Calibri" w:hAnsi="Arial" w:cs="Arial"/>
          <w:b/>
          <w:i/>
        </w:rPr>
        <w:t>lactation</w:t>
      </w:r>
    </w:p>
    <w:p w:rsidR="003132C1" w:rsidRPr="007D322B" w:rsidRDefault="001B3E6D" w:rsidP="00946995">
      <w:pPr>
        <w:pStyle w:val="NoSpacing"/>
        <w:rPr>
          <w:rFonts w:ascii="Arial" w:eastAsia="Calibri" w:hAnsi="Arial" w:cs="Arial"/>
          <w:b/>
        </w:rPr>
      </w:pPr>
      <w:r w:rsidRPr="007D322B">
        <w:rPr>
          <w:rFonts w:ascii="Arial" w:eastAsia="Calibri" w:hAnsi="Arial" w:cs="Arial"/>
        </w:rPr>
        <w:t>There</w:t>
      </w:r>
      <w:r w:rsidR="00EE0CCC">
        <w:rPr>
          <w:rFonts w:ascii="Arial" w:eastAsia="Calibri" w:hAnsi="Arial" w:cs="Arial"/>
        </w:rPr>
        <w:t xml:space="preserve"> </w:t>
      </w:r>
      <w:r w:rsidRPr="007D322B">
        <w:rPr>
          <w:rFonts w:ascii="Arial" w:eastAsia="Calibri" w:hAnsi="Arial" w:cs="Arial"/>
        </w:rPr>
        <w:t>are</w:t>
      </w:r>
      <w:r w:rsidR="00EE0CCC">
        <w:rPr>
          <w:rFonts w:ascii="Arial" w:eastAsia="Calibri" w:hAnsi="Arial" w:cs="Arial"/>
        </w:rPr>
        <w:t xml:space="preserve"> </w:t>
      </w:r>
      <w:r w:rsidRPr="007D322B">
        <w:rPr>
          <w:rFonts w:ascii="Arial" w:eastAsia="Calibri" w:hAnsi="Arial" w:cs="Arial"/>
        </w:rPr>
        <w:t>no</w:t>
      </w:r>
      <w:r w:rsidR="00EE0CCC">
        <w:rPr>
          <w:rFonts w:ascii="Arial" w:eastAsia="Calibri" w:hAnsi="Arial" w:cs="Arial"/>
        </w:rPr>
        <w:t xml:space="preserve"> </w:t>
      </w:r>
      <w:r w:rsidRPr="007D322B">
        <w:rPr>
          <w:rFonts w:ascii="Arial" w:eastAsia="Calibri" w:hAnsi="Arial" w:cs="Arial"/>
        </w:rPr>
        <w:t>data</w:t>
      </w:r>
      <w:r w:rsidR="00EE0CCC">
        <w:rPr>
          <w:rFonts w:ascii="Arial" w:eastAsia="Calibri" w:hAnsi="Arial" w:cs="Arial"/>
        </w:rPr>
        <w:t xml:space="preserve"> </w:t>
      </w:r>
      <w:r w:rsidRPr="007D322B">
        <w:rPr>
          <w:rFonts w:ascii="Arial" w:eastAsia="Calibri" w:hAnsi="Arial" w:cs="Arial"/>
        </w:rPr>
        <w:t>on</w:t>
      </w:r>
      <w:r w:rsidR="00EE0CCC">
        <w:rPr>
          <w:rFonts w:ascii="Arial" w:eastAsia="Calibri" w:hAnsi="Arial" w:cs="Arial"/>
        </w:rPr>
        <w:t xml:space="preserve"> </w:t>
      </w:r>
      <w:r w:rsidRPr="007D322B">
        <w:rPr>
          <w:rFonts w:ascii="Arial" w:eastAsia="Calibri" w:hAnsi="Arial" w:cs="Arial"/>
        </w:rPr>
        <w:t>lactating</w:t>
      </w:r>
      <w:r w:rsidR="00EE0CCC">
        <w:rPr>
          <w:rFonts w:ascii="Arial" w:eastAsia="Calibri" w:hAnsi="Arial" w:cs="Arial"/>
        </w:rPr>
        <w:t xml:space="preserve"> </w:t>
      </w:r>
      <w:r w:rsidRPr="007D322B">
        <w:rPr>
          <w:rFonts w:ascii="Arial" w:eastAsia="Calibri" w:hAnsi="Arial" w:cs="Arial"/>
        </w:rPr>
        <w:t>women.</w:t>
      </w:r>
      <w:r w:rsidR="00EE0CCC">
        <w:rPr>
          <w:rFonts w:ascii="Arial" w:eastAsia="Calibri" w:hAnsi="Arial" w:cs="Arial"/>
        </w:rPr>
        <w:t xml:space="preserve"> </w:t>
      </w:r>
      <w:r w:rsidRPr="007D322B">
        <w:rPr>
          <w:rFonts w:ascii="Arial" w:eastAsia="Calibri" w:hAnsi="Arial" w:cs="Arial"/>
        </w:rPr>
        <w:t>It</w:t>
      </w:r>
      <w:r w:rsidR="00EE0CCC">
        <w:rPr>
          <w:rFonts w:ascii="Arial" w:eastAsia="Calibri" w:hAnsi="Arial" w:cs="Arial"/>
        </w:rPr>
        <w:t xml:space="preserve"> </w:t>
      </w:r>
      <w:r w:rsidRPr="007D322B">
        <w:rPr>
          <w:rFonts w:ascii="Arial" w:eastAsia="Calibri" w:hAnsi="Arial" w:cs="Arial"/>
        </w:rPr>
        <w:t>is</w:t>
      </w:r>
      <w:r w:rsidR="00EE0CCC">
        <w:rPr>
          <w:rFonts w:ascii="Arial" w:eastAsia="Calibri" w:hAnsi="Arial" w:cs="Arial"/>
        </w:rPr>
        <w:t xml:space="preserve"> </w:t>
      </w:r>
      <w:r w:rsidRPr="007D322B">
        <w:rPr>
          <w:rFonts w:ascii="Arial" w:eastAsia="Calibri" w:hAnsi="Arial" w:cs="Arial"/>
        </w:rPr>
        <w:t>unknown</w:t>
      </w:r>
      <w:r w:rsidR="00EE0CCC">
        <w:rPr>
          <w:rFonts w:ascii="Arial" w:eastAsia="Calibri" w:hAnsi="Arial" w:cs="Arial"/>
        </w:rPr>
        <w:t xml:space="preserve"> </w:t>
      </w:r>
      <w:r w:rsidRPr="007D322B">
        <w:rPr>
          <w:rFonts w:ascii="Arial" w:eastAsia="Calibri" w:hAnsi="Arial" w:cs="Arial"/>
        </w:rPr>
        <w:t>whether</w:t>
      </w:r>
      <w:r w:rsidR="00EE0CCC">
        <w:rPr>
          <w:rFonts w:ascii="Arial" w:eastAsia="Calibri" w:hAnsi="Arial" w:cs="Arial"/>
        </w:rPr>
        <w:t xml:space="preserve"> </w:t>
      </w:r>
      <w:r w:rsidRPr="007D322B">
        <w:rPr>
          <w:rFonts w:ascii="Arial" w:eastAsia="Calibri" w:hAnsi="Arial" w:cs="Arial"/>
        </w:rPr>
        <w:t>dinutuximab</w:t>
      </w:r>
      <w:r w:rsidR="00EE0CCC">
        <w:rPr>
          <w:rFonts w:ascii="Arial" w:eastAsia="Calibri" w:hAnsi="Arial" w:cs="Arial"/>
        </w:rPr>
        <w:t xml:space="preserve"> </w:t>
      </w:r>
      <w:r w:rsidRPr="007D322B">
        <w:rPr>
          <w:rFonts w:ascii="Arial" w:eastAsia="Calibri" w:hAnsi="Arial" w:cs="Arial"/>
        </w:rPr>
        <w:t>beta</w:t>
      </w:r>
      <w:r w:rsidR="00EE0CCC">
        <w:rPr>
          <w:rFonts w:ascii="Arial" w:eastAsia="Calibri" w:hAnsi="Arial" w:cs="Arial"/>
        </w:rPr>
        <w:t xml:space="preserve"> </w:t>
      </w:r>
      <w:r w:rsidRPr="007D322B">
        <w:rPr>
          <w:rFonts w:ascii="Arial" w:eastAsia="Calibri" w:hAnsi="Arial" w:cs="Arial"/>
        </w:rPr>
        <w:t>is</w:t>
      </w:r>
      <w:r w:rsidR="00EE0CCC">
        <w:rPr>
          <w:rFonts w:ascii="Arial" w:eastAsia="Calibri" w:hAnsi="Arial" w:cs="Arial"/>
        </w:rPr>
        <w:t xml:space="preserve"> </w:t>
      </w:r>
      <w:r w:rsidRPr="007D322B">
        <w:rPr>
          <w:rFonts w:ascii="Arial" w:eastAsia="Calibri" w:hAnsi="Arial" w:cs="Arial"/>
        </w:rPr>
        <w:t>excreted</w:t>
      </w:r>
      <w:r w:rsidR="00EE0CCC">
        <w:rPr>
          <w:rFonts w:ascii="Arial" w:eastAsia="Calibri" w:hAnsi="Arial" w:cs="Arial"/>
        </w:rPr>
        <w:t xml:space="preserve"> </w:t>
      </w:r>
      <w:r w:rsidRPr="007D322B">
        <w:rPr>
          <w:rFonts w:ascii="Arial" w:eastAsia="Calibri" w:hAnsi="Arial" w:cs="Arial"/>
        </w:rPr>
        <w:t>in</w:t>
      </w:r>
      <w:r w:rsidR="00EE0CCC">
        <w:rPr>
          <w:rFonts w:ascii="Arial" w:eastAsia="Calibri" w:hAnsi="Arial" w:cs="Arial"/>
        </w:rPr>
        <w:t xml:space="preserve"> </w:t>
      </w:r>
      <w:r w:rsidRPr="007D322B">
        <w:rPr>
          <w:rFonts w:ascii="Arial" w:eastAsia="Calibri" w:hAnsi="Arial" w:cs="Arial"/>
        </w:rPr>
        <w:t>human</w:t>
      </w:r>
      <w:r w:rsidR="00EE0CCC">
        <w:rPr>
          <w:rFonts w:ascii="Arial" w:eastAsia="Calibri" w:hAnsi="Arial" w:cs="Arial"/>
        </w:rPr>
        <w:t xml:space="preserve"> </w:t>
      </w:r>
      <w:r w:rsidRPr="007D322B">
        <w:rPr>
          <w:rFonts w:ascii="Arial" w:eastAsia="Calibri" w:hAnsi="Arial" w:cs="Arial"/>
        </w:rPr>
        <w:t>milk.</w:t>
      </w:r>
      <w:r w:rsidR="00EE0CCC">
        <w:rPr>
          <w:rFonts w:ascii="Arial" w:eastAsia="Calibri" w:hAnsi="Arial" w:cs="Arial"/>
        </w:rPr>
        <w:t xml:space="preserve"> </w:t>
      </w:r>
      <w:r w:rsidRPr="007D322B">
        <w:rPr>
          <w:rFonts w:ascii="Arial" w:eastAsia="Calibri" w:hAnsi="Arial" w:cs="Arial"/>
        </w:rPr>
        <w:t>Breast-feeding</w:t>
      </w:r>
      <w:r w:rsidR="00EE0CCC">
        <w:rPr>
          <w:rFonts w:ascii="Arial" w:eastAsia="Calibri" w:hAnsi="Arial" w:cs="Arial"/>
        </w:rPr>
        <w:t xml:space="preserve"> </w:t>
      </w:r>
      <w:r w:rsidRPr="007D322B">
        <w:rPr>
          <w:rFonts w:ascii="Arial" w:eastAsia="Calibri" w:hAnsi="Arial" w:cs="Arial"/>
        </w:rPr>
        <w:t>should</w:t>
      </w:r>
      <w:r w:rsidR="00EE0CCC">
        <w:rPr>
          <w:rFonts w:ascii="Arial" w:eastAsia="Calibri" w:hAnsi="Arial" w:cs="Arial"/>
        </w:rPr>
        <w:t xml:space="preserve"> </w:t>
      </w:r>
      <w:r w:rsidRPr="007D322B">
        <w:rPr>
          <w:rFonts w:ascii="Arial" w:eastAsia="Calibri" w:hAnsi="Arial" w:cs="Arial"/>
        </w:rPr>
        <w:t>be</w:t>
      </w:r>
      <w:r w:rsidR="00EE0CCC">
        <w:rPr>
          <w:rFonts w:ascii="Arial" w:eastAsia="Calibri" w:hAnsi="Arial" w:cs="Arial"/>
        </w:rPr>
        <w:t xml:space="preserve"> </w:t>
      </w:r>
      <w:r w:rsidRPr="007D322B">
        <w:rPr>
          <w:rFonts w:ascii="Arial" w:eastAsia="Calibri" w:hAnsi="Arial" w:cs="Arial"/>
        </w:rPr>
        <w:t>discontinued</w:t>
      </w:r>
      <w:r w:rsidR="00EE0CCC">
        <w:rPr>
          <w:rFonts w:ascii="Arial" w:eastAsia="Calibri" w:hAnsi="Arial" w:cs="Arial"/>
        </w:rPr>
        <w:t xml:space="preserve"> </w:t>
      </w:r>
      <w:r w:rsidRPr="007D322B">
        <w:rPr>
          <w:rFonts w:ascii="Arial" w:eastAsia="Calibri" w:hAnsi="Arial" w:cs="Arial"/>
        </w:rPr>
        <w:t>during</w:t>
      </w:r>
      <w:r w:rsidR="00EE0CCC">
        <w:rPr>
          <w:rFonts w:ascii="Arial" w:eastAsia="Calibri" w:hAnsi="Arial" w:cs="Arial"/>
        </w:rPr>
        <w:t xml:space="preserve"> </w:t>
      </w:r>
      <w:r w:rsidRPr="007D322B">
        <w:rPr>
          <w:rFonts w:ascii="Arial" w:eastAsia="Calibri" w:hAnsi="Arial" w:cs="Arial"/>
        </w:rPr>
        <w:t>treatment</w:t>
      </w:r>
      <w:r w:rsidR="00EE0CCC">
        <w:rPr>
          <w:rFonts w:ascii="Arial" w:eastAsia="Calibri" w:hAnsi="Arial" w:cs="Arial"/>
        </w:rPr>
        <w:t xml:space="preserve"> </w:t>
      </w:r>
      <w:r w:rsidRPr="007D322B">
        <w:rPr>
          <w:rFonts w:ascii="Arial" w:eastAsia="Calibri" w:hAnsi="Arial" w:cs="Arial"/>
        </w:rPr>
        <w:t>with</w:t>
      </w:r>
      <w:r w:rsidR="00EE0CCC">
        <w:rPr>
          <w:rFonts w:ascii="Arial" w:eastAsia="Calibri" w:hAnsi="Arial" w:cs="Arial"/>
        </w:rPr>
        <w:t xml:space="preserve"> </w:t>
      </w:r>
      <w:r w:rsidR="008C1D88" w:rsidRPr="007D322B">
        <w:rPr>
          <w:rFonts w:ascii="Arial" w:eastAsia="Calibri" w:hAnsi="Arial" w:cs="Arial"/>
        </w:rPr>
        <w:t>QARZIBA</w:t>
      </w:r>
      <w:r w:rsidR="00EE0CCC">
        <w:rPr>
          <w:rFonts w:ascii="Arial" w:eastAsia="Calibri" w:hAnsi="Arial" w:cs="Arial"/>
        </w:rPr>
        <w:t xml:space="preserve"> </w:t>
      </w:r>
      <w:r w:rsidRPr="007D322B">
        <w:rPr>
          <w:rFonts w:ascii="Arial" w:eastAsia="Calibri" w:hAnsi="Arial" w:cs="Arial"/>
        </w:rPr>
        <w:t>and</w:t>
      </w:r>
      <w:r w:rsidR="00EE0CCC">
        <w:rPr>
          <w:rFonts w:ascii="Arial" w:eastAsia="Calibri" w:hAnsi="Arial" w:cs="Arial"/>
        </w:rPr>
        <w:t xml:space="preserve"> </w:t>
      </w:r>
      <w:r w:rsidRPr="007D322B">
        <w:rPr>
          <w:rFonts w:ascii="Arial" w:eastAsia="Calibri" w:hAnsi="Arial" w:cs="Arial"/>
        </w:rPr>
        <w:t>for</w:t>
      </w:r>
      <w:r w:rsidR="00EE0CCC">
        <w:rPr>
          <w:rFonts w:ascii="Arial" w:eastAsia="Calibri" w:hAnsi="Arial" w:cs="Arial"/>
        </w:rPr>
        <w:t xml:space="preserve"> </w:t>
      </w:r>
      <w:r w:rsidRPr="007D322B">
        <w:rPr>
          <w:rFonts w:ascii="Arial" w:eastAsia="Calibri" w:hAnsi="Arial" w:cs="Arial"/>
        </w:rPr>
        <w:t>6</w:t>
      </w:r>
      <w:r w:rsidR="00EE0CCC">
        <w:rPr>
          <w:rFonts w:ascii="Arial" w:eastAsia="Calibri" w:hAnsi="Arial" w:cs="Arial"/>
        </w:rPr>
        <w:t xml:space="preserve"> </w:t>
      </w:r>
      <w:r w:rsidRPr="007D322B">
        <w:rPr>
          <w:rFonts w:ascii="Arial" w:eastAsia="Calibri" w:hAnsi="Arial" w:cs="Arial"/>
        </w:rPr>
        <w:t>months</w:t>
      </w:r>
      <w:r w:rsidR="00EE0CCC">
        <w:rPr>
          <w:rFonts w:ascii="Arial" w:eastAsia="Calibri" w:hAnsi="Arial" w:cs="Arial"/>
        </w:rPr>
        <w:t xml:space="preserve"> </w:t>
      </w:r>
      <w:r w:rsidRPr="007D322B">
        <w:rPr>
          <w:rFonts w:ascii="Arial" w:eastAsia="Calibri" w:hAnsi="Arial" w:cs="Arial"/>
        </w:rPr>
        <w:t>after</w:t>
      </w:r>
      <w:r w:rsidR="00EE0CCC">
        <w:rPr>
          <w:rFonts w:ascii="Arial" w:eastAsia="Calibri" w:hAnsi="Arial" w:cs="Arial"/>
        </w:rPr>
        <w:t xml:space="preserve"> </w:t>
      </w:r>
      <w:r w:rsidRPr="007D322B">
        <w:rPr>
          <w:rFonts w:ascii="Arial" w:eastAsia="Calibri" w:hAnsi="Arial" w:cs="Arial"/>
        </w:rPr>
        <w:t>the</w:t>
      </w:r>
      <w:r w:rsidR="00EE0CCC">
        <w:rPr>
          <w:rFonts w:ascii="Arial" w:eastAsia="Calibri" w:hAnsi="Arial" w:cs="Arial"/>
        </w:rPr>
        <w:t xml:space="preserve"> </w:t>
      </w:r>
      <w:r w:rsidRPr="007D322B">
        <w:rPr>
          <w:rFonts w:ascii="Arial" w:eastAsia="Calibri" w:hAnsi="Arial" w:cs="Arial"/>
        </w:rPr>
        <w:t>last</w:t>
      </w:r>
      <w:r w:rsidR="00EE0CCC">
        <w:rPr>
          <w:rFonts w:ascii="Arial" w:eastAsia="Calibri" w:hAnsi="Arial" w:cs="Arial"/>
        </w:rPr>
        <w:t xml:space="preserve"> </w:t>
      </w:r>
      <w:r w:rsidRPr="007D322B">
        <w:rPr>
          <w:rFonts w:ascii="Arial" w:eastAsia="Calibri" w:hAnsi="Arial" w:cs="Arial"/>
        </w:rPr>
        <w:t>dose</w:t>
      </w:r>
      <w:r w:rsidR="00523B05" w:rsidRPr="007D322B">
        <w:rPr>
          <w:rFonts w:ascii="Arial" w:eastAsia="Calibri" w:hAnsi="Arial" w:cs="Arial"/>
        </w:rPr>
        <w:t>.</w:t>
      </w:r>
    </w:p>
    <w:p w:rsidR="00085FD4" w:rsidRPr="007D322B" w:rsidRDefault="00085FD4" w:rsidP="00946995">
      <w:pPr>
        <w:pStyle w:val="NoSpacing"/>
        <w:rPr>
          <w:rFonts w:ascii="Arial" w:eastAsia="Calibri" w:hAnsi="Arial" w:cs="Arial"/>
          <w:b/>
        </w:rPr>
      </w:pPr>
    </w:p>
    <w:p w:rsidR="00085299" w:rsidRPr="007D322B" w:rsidRDefault="000C4737" w:rsidP="00946995">
      <w:pPr>
        <w:pStyle w:val="Heading2"/>
        <w:rPr>
          <w:rFonts w:ascii="Arial" w:eastAsia="Calibri" w:hAnsi="Arial" w:cs="Arial"/>
          <w:b w:val="0"/>
          <w:sz w:val="24"/>
          <w:szCs w:val="24"/>
        </w:rPr>
      </w:pPr>
      <w:r w:rsidRPr="007D322B">
        <w:rPr>
          <w:rFonts w:ascii="Arial" w:eastAsia="Calibri" w:hAnsi="Arial" w:cs="Arial"/>
          <w:i w:val="0"/>
          <w:sz w:val="24"/>
          <w:szCs w:val="24"/>
        </w:rPr>
        <w:t>EFFECTS</w:t>
      </w:r>
      <w:r w:rsidR="00EE0CCC">
        <w:rPr>
          <w:rFonts w:ascii="Arial" w:eastAsia="Calibri" w:hAnsi="Arial" w:cs="Arial"/>
          <w:i w:val="0"/>
          <w:sz w:val="24"/>
          <w:szCs w:val="24"/>
        </w:rPr>
        <w:t xml:space="preserve"> </w:t>
      </w:r>
      <w:r w:rsidRPr="007D322B">
        <w:rPr>
          <w:rFonts w:ascii="Arial" w:eastAsia="Calibri" w:hAnsi="Arial" w:cs="Arial"/>
          <w:i w:val="0"/>
          <w:sz w:val="24"/>
          <w:szCs w:val="24"/>
        </w:rPr>
        <w:t>ON</w:t>
      </w:r>
      <w:r w:rsidR="00EE0CCC">
        <w:rPr>
          <w:rFonts w:ascii="Arial" w:eastAsia="Calibri" w:hAnsi="Arial" w:cs="Arial"/>
          <w:i w:val="0"/>
          <w:sz w:val="24"/>
          <w:szCs w:val="24"/>
        </w:rPr>
        <w:t xml:space="preserve"> </w:t>
      </w:r>
      <w:r w:rsidRPr="007D322B">
        <w:rPr>
          <w:rFonts w:ascii="Arial" w:eastAsia="Calibri" w:hAnsi="Arial" w:cs="Arial"/>
          <w:i w:val="0"/>
          <w:sz w:val="24"/>
          <w:szCs w:val="24"/>
        </w:rPr>
        <w:t>ABILITY</w:t>
      </w:r>
      <w:r w:rsidR="00EE0CCC">
        <w:rPr>
          <w:rFonts w:ascii="Arial" w:eastAsia="Calibri" w:hAnsi="Arial" w:cs="Arial"/>
          <w:i w:val="0"/>
          <w:sz w:val="24"/>
          <w:szCs w:val="24"/>
        </w:rPr>
        <w:t xml:space="preserve"> </w:t>
      </w:r>
      <w:r w:rsidRPr="007D322B">
        <w:rPr>
          <w:rFonts w:ascii="Arial" w:eastAsia="Calibri" w:hAnsi="Arial" w:cs="Arial"/>
          <w:i w:val="0"/>
          <w:sz w:val="24"/>
          <w:szCs w:val="24"/>
        </w:rPr>
        <w:t>TO</w:t>
      </w:r>
      <w:r w:rsidR="00EE0CCC">
        <w:rPr>
          <w:rFonts w:ascii="Arial" w:eastAsia="Calibri" w:hAnsi="Arial" w:cs="Arial"/>
          <w:i w:val="0"/>
          <w:sz w:val="24"/>
          <w:szCs w:val="24"/>
        </w:rPr>
        <w:t xml:space="preserve"> </w:t>
      </w:r>
      <w:r w:rsidRPr="007D322B">
        <w:rPr>
          <w:rFonts w:ascii="Arial" w:eastAsia="Calibri" w:hAnsi="Arial" w:cs="Arial"/>
          <w:i w:val="0"/>
          <w:sz w:val="24"/>
          <w:szCs w:val="24"/>
        </w:rPr>
        <w:t>DRIVE</w:t>
      </w:r>
      <w:r w:rsidR="00EE0CCC">
        <w:rPr>
          <w:rFonts w:ascii="Arial" w:eastAsia="Calibri" w:hAnsi="Arial" w:cs="Arial"/>
          <w:i w:val="0"/>
          <w:sz w:val="24"/>
          <w:szCs w:val="24"/>
        </w:rPr>
        <w:t xml:space="preserve"> </w:t>
      </w:r>
      <w:r w:rsidRPr="007D322B">
        <w:rPr>
          <w:rFonts w:ascii="Arial" w:eastAsia="Calibri" w:hAnsi="Arial" w:cs="Arial"/>
          <w:i w:val="0"/>
          <w:sz w:val="24"/>
          <w:szCs w:val="24"/>
        </w:rPr>
        <w:t>AND</w:t>
      </w:r>
      <w:r w:rsidR="00EE0CCC">
        <w:rPr>
          <w:rFonts w:ascii="Arial" w:eastAsia="Calibri" w:hAnsi="Arial" w:cs="Arial"/>
          <w:i w:val="0"/>
          <w:sz w:val="24"/>
          <w:szCs w:val="24"/>
        </w:rPr>
        <w:t xml:space="preserve"> </w:t>
      </w:r>
      <w:r w:rsidRPr="007D322B">
        <w:rPr>
          <w:rFonts w:ascii="Arial" w:eastAsia="Calibri" w:hAnsi="Arial" w:cs="Arial"/>
          <w:i w:val="0"/>
          <w:sz w:val="24"/>
          <w:szCs w:val="24"/>
        </w:rPr>
        <w:t>USE</w:t>
      </w:r>
      <w:r w:rsidR="00EE0CCC">
        <w:rPr>
          <w:rFonts w:ascii="Arial" w:eastAsia="Calibri" w:hAnsi="Arial" w:cs="Arial"/>
          <w:i w:val="0"/>
          <w:sz w:val="24"/>
          <w:szCs w:val="24"/>
        </w:rPr>
        <w:t xml:space="preserve"> </w:t>
      </w:r>
      <w:r w:rsidRPr="007D322B">
        <w:rPr>
          <w:rFonts w:ascii="Arial" w:eastAsia="Calibri" w:hAnsi="Arial" w:cs="Arial"/>
          <w:i w:val="0"/>
          <w:sz w:val="24"/>
          <w:szCs w:val="24"/>
        </w:rPr>
        <w:t>MACHINES</w:t>
      </w:r>
    </w:p>
    <w:p w:rsidR="007D796B" w:rsidRPr="007D322B" w:rsidRDefault="001B3E6D" w:rsidP="00946995">
      <w:pPr>
        <w:pStyle w:val="NoSpacing"/>
        <w:rPr>
          <w:rFonts w:ascii="Arial" w:eastAsia="Calibri" w:hAnsi="Arial" w:cs="Arial"/>
        </w:rPr>
      </w:pPr>
      <w:r w:rsidRPr="007D322B">
        <w:rPr>
          <w:rFonts w:ascii="Arial" w:eastAsia="Calibri" w:hAnsi="Arial" w:cs="Arial"/>
        </w:rPr>
        <w:t>Dinutuximab</w:t>
      </w:r>
      <w:r w:rsidR="00EE0CCC">
        <w:rPr>
          <w:rFonts w:ascii="Arial" w:eastAsia="Calibri" w:hAnsi="Arial" w:cs="Arial"/>
        </w:rPr>
        <w:t xml:space="preserve"> </w:t>
      </w:r>
      <w:r w:rsidRPr="007D322B">
        <w:rPr>
          <w:rFonts w:ascii="Arial" w:eastAsia="Calibri" w:hAnsi="Arial" w:cs="Arial"/>
        </w:rPr>
        <w:t>beta</w:t>
      </w:r>
      <w:r w:rsidR="00EE0CCC">
        <w:rPr>
          <w:rFonts w:ascii="Arial" w:eastAsia="Calibri" w:hAnsi="Arial" w:cs="Arial"/>
        </w:rPr>
        <w:t xml:space="preserve"> </w:t>
      </w:r>
      <w:r w:rsidRPr="007D322B">
        <w:rPr>
          <w:rFonts w:ascii="Arial" w:eastAsia="Calibri" w:hAnsi="Arial" w:cs="Arial"/>
        </w:rPr>
        <w:t>has</w:t>
      </w:r>
      <w:r w:rsidR="00EE0CCC">
        <w:rPr>
          <w:rFonts w:ascii="Arial" w:eastAsia="Calibri" w:hAnsi="Arial" w:cs="Arial"/>
        </w:rPr>
        <w:t xml:space="preserve"> </w:t>
      </w:r>
      <w:r w:rsidRPr="007D322B">
        <w:rPr>
          <w:rFonts w:ascii="Arial" w:eastAsia="Calibri" w:hAnsi="Arial" w:cs="Arial"/>
        </w:rPr>
        <w:t>major</w:t>
      </w:r>
      <w:r w:rsidR="00EE0CCC">
        <w:rPr>
          <w:rFonts w:ascii="Arial" w:eastAsia="Calibri" w:hAnsi="Arial" w:cs="Arial"/>
        </w:rPr>
        <w:t xml:space="preserve"> </w:t>
      </w:r>
      <w:r w:rsidRPr="007D322B">
        <w:rPr>
          <w:rFonts w:ascii="Arial" w:eastAsia="Calibri" w:hAnsi="Arial" w:cs="Arial"/>
        </w:rPr>
        <w:t>influence</w:t>
      </w:r>
      <w:r w:rsidR="00EE0CCC">
        <w:rPr>
          <w:rFonts w:ascii="Arial" w:eastAsia="Calibri" w:hAnsi="Arial" w:cs="Arial"/>
        </w:rPr>
        <w:t xml:space="preserve"> </w:t>
      </w:r>
      <w:r w:rsidRPr="007D322B">
        <w:rPr>
          <w:rFonts w:ascii="Arial" w:eastAsia="Calibri" w:hAnsi="Arial" w:cs="Arial"/>
        </w:rPr>
        <w:t>on</w:t>
      </w:r>
      <w:r w:rsidR="00EE0CCC">
        <w:rPr>
          <w:rFonts w:ascii="Arial" w:eastAsia="Calibri" w:hAnsi="Arial" w:cs="Arial"/>
        </w:rPr>
        <w:t xml:space="preserve"> </w:t>
      </w:r>
      <w:r w:rsidRPr="007D322B">
        <w:rPr>
          <w:rFonts w:ascii="Arial" w:eastAsia="Calibri" w:hAnsi="Arial" w:cs="Arial"/>
        </w:rPr>
        <w:t>the</w:t>
      </w:r>
      <w:r w:rsidR="00EE0CCC">
        <w:rPr>
          <w:rFonts w:ascii="Arial" w:eastAsia="Calibri" w:hAnsi="Arial" w:cs="Arial"/>
        </w:rPr>
        <w:t xml:space="preserve"> </w:t>
      </w:r>
      <w:r w:rsidRPr="007D322B">
        <w:rPr>
          <w:rFonts w:ascii="Arial" w:eastAsia="Calibri" w:hAnsi="Arial" w:cs="Arial"/>
        </w:rPr>
        <w:t>ability</w:t>
      </w:r>
      <w:r w:rsidR="00EE0CCC">
        <w:rPr>
          <w:rFonts w:ascii="Arial" w:eastAsia="Calibri" w:hAnsi="Arial" w:cs="Arial"/>
        </w:rPr>
        <w:t xml:space="preserve"> </w:t>
      </w:r>
      <w:r w:rsidRPr="007D322B">
        <w:rPr>
          <w:rFonts w:ascii="Arial" w:eastAsia="Calibri" w:hAnsi="Arial" w:cs="Arial"/>
        </w:rPr>
        <w:t>to</w:t>
      </w:r>
      <w:r w:rsidR="00EE0CCC">
        <w:rPr>
          <w:rFonts w:ascii="Arial" w:eastAsia="Calibri" w:hAnsi="Arial" w:cs="Arial"/>
        </w:rPr>
        <w:t xml:space="preserve"> </w:t>
      </w:r>
      <w:r w:rsidRPr="007D322B">
        <w:rPr>
          <w:rFonts w:ascii="Arial" w:eastAsia="Calibri" w:hAnsi="Arial" w:cs="Arial"/>
        </w:rPr>
        <w:t>drive</w:t>
      </w:r>
      <w:r w:rsidR="00EE0CCC">
        <w:rPr>
          <w:rFonts w:ascii="Arial" w:eastAsia="Calibri" w:hAnsi="Arial" w:cs="Arial"/>
        </w:rPr>
        <w:t xml:space="preserve"> </w:t>
      </w:r>
      <w:r w:rsidRPr="007D322B">
        <w:rPr>
          <w:rFonts w:ascii="Arial" w:eastAsia="Calibri" w:hAnsi="Arial" w:cs="Arial"/>
        </w:rPr>
        <w:t>and</w:t>
      </w:r>
      <w:r w:rsidR="00EE0CCC">
        <w:rPr>
          <w:rFonts w:ascii="Arial" w:eastAsia="Calibri" w:hAnsi="Arial" w:cs="Arial"/>
        </w:rPr>
        <w:t xml:space="preserve"> </w:t>
      </w:r>
      <w:r w:rsidRPr="007D322B">
        <w:rPr>
          <w:rFonts w:ascii="Arial" w:eastAsia="Calibri" w:hAnsi="Arial" w:cs="Arial"/>
        </w:rPr>
        <w:t>use</w:t>
      </w:r>
      <w:r w:rsidR="00EE0CCC">
        <w:rPr>
          <w:rFonts w:ascii="Arial" w:eastAsia="Calibri" w:hAnsi="Arial" w:cs="Arial"/>
        </w:rPr>
        <w:t xml:space="preserve"> </w:t>
      </w:r>
      <w:r w:rsidRPr="007D322B">
        <w:rPr>
          <w:rFonts w:ascii="Arial" w:eastAsia="Calibri" w:hAnsi="Arial" w:cs="Arial"/>
        </w:rPr>
        <w:t>machines.</w:t>
      </w:r>
      <w:r w:rsidR="00EE0CCC">
        <w:rPr>
          <w:rFonts w:ascii="Arial" w:eastAsia="Calibri" w:hAnsi="Arial" w:cs="Arial"/>
        </w:rPr>
        <w:t xml:space="preserve"> </w:t>
      </w:r>
      <w:r w:rsidRPr="007D322B">
        <w:rPr>
          <w:rFonts w:ascii="Arial" w:eastAsia="Calibri" w:hAnsi="Arial" w:cs="Arial"/>
        </w:rPr>
        <w:t>Patients</w:t>
      </w:r>
      <w:r w:rsidR="00EE0CCC">
        <w:rPr>
          <w:rFonts w:ascii="Arial" w:eastAsia="Calibri" w:hAnsi="Arial" w:cs="Arial"/>
        </w:rPr>
        <w:t xml:space="preserve"> </w:t>
      </w:r>
      <w:r w:rsidRPr="007D322B">
        <w:rPr>
          <w:rFonts w:ascii="Arial" w:eastAsia="Calibri" w:hAnsi="Arial" w:cs="Arial"/>
        </w:rPr>
        <w:t>should</w:t>
      </w:r>
      <w:r w:rsidR="00EE0CCC">
        <w:rPr>
          <w:rFonts w:ascii="Arial" w:eastAsia="Calibri" w:hAnsi="Arial" w:cs="Arial"/>
        </w:rPr>
        <w:t xml:space="preserve"> </w:t>
      </w:r>
      <w:r w:rsidRPr="007D322B">
        <w:rPr>
          <w:rFonts w:ascii="Arial" w:eastAsia="Calibri" w:hAnsi="Arial" w:cs="Arial"/>
        </w:rPr>
        <w:t>not</w:t>
      </w:r>
      <w:r w:rsidR="00EE0CCC">
        <w:rPr>
          <w:rFonts w:ascii="Arial" w:eastAsia="Calibri" w:hAnsi="Arial" w:cs="Arial"/>
        </w:rPr>
        <w:t xml:space="preserve"> </w:t>
      </w:r>
      <w:r w:rsidRPr="007D322B">
        <w:rPr>
          <w:rFonts w:ascii="Arial" w:eastAsia="Calibri" w:hAnsi="Arial" w:cs="Arial"/>
        </w:rPr>
        <w:t>use</w:t>
      </w:r>
      <w:r w:rsidR="00EE0CCC">
        <w:rPr>
          <w:rFonts w:ascii="Arial" w:eastAsia="Calibri" w:hAnsi="Arial" w:cs="Arial"/>
        </w:rPr>
        <w:t xml:space="preserve"> </w:t>
      </w:r>
      <w:r w:rsidRPr="007D322B">
        <w:rPr>
          <w:rFonts w:ascii="Arial" w:eastAsia="Calibri" w:hAnsi="Arial" w:cs="Arial"/>
        </w:rPr>
        <w:t>or</w:t>
      </w:r>
      <w:r w:rsidR="00EE0CCC">
        <w:rPr>
          <w:rFonts w:ascii="Arial" w:eastAsia="Calibri" w:hAnsi="Arial" w:cs="Arial"/>
        </w:rPr>
        <w:t xml:space="preserve"> </w:t>
      </w:r>
      <w:r w:rsidRPr="007D322B">
        <w:rPr>
          <w:rFonts w:ascii="Arial" w:eastAsia="Calibri" w:hAnsi="Arial" w:cs="Arial"/>
        </w:rPr>
        <w:t>drive</w:t>
      </w:r>
      <w:r w:rsidR="00EE0CCC">
        <w:rPr>
          <w:rFonts w:ascii="Arial" w:eastAsia="Calibri" w:hAnsi="Arial" w:cs="Arial"/>
        </w:rPr>
        <w:t xml:space="preserve"> </w:t>
      </w:r>
      <w:r w:rsidRPr="007D322B">
        <w:rPr>
          <w:rFonts w:ascii="Arial" w:eastAsia="Calibri" w:hAnsi="Arial" w:cs="Arial"/>
        </w:rPr>
        <w:t>machines</w:t>
      </w:r>
      <w:r w:rsidR="00EE0CCC">
        <w:rPr>
          <w:rFonts w:ascii="Arial" w:eastAsia="Calibri" w:hAnsi="Arial" w:cs="Arial"/>
        </w:rPr>
        <w:t xml:space="preserve"> </w:t>
      </w:r>
      <w:r w:rsidRPr="007D322B">
        <w:rPr>
          <w:rFonts w:ascii="Arial" w:eastAsia="Calibri" w:hAnsi="Arial" w:cs="Arial"/>
        </w:rPr>
        <w:t>during</w:t>
      </w:r>
      <w:r w:rsidR="00EE0CCC">
        <w:rPr>
          <w:rFonts w:ascii="Arial" w:eastAsia="Calibri" w:hAnsi="Arial" w:cs="Arial"/>
        </w:rPr>
        <w:t xml:space="preserve"> </w:t>
      </w:r>
      <w:r w:rsidRPr="007D322B">
        <w:rPr>
          <w:rFonts w:ascii="Arial" w:eastAsia="Calibri" w:hAnsi="Arial" w:cs="Arial"/>
        </w:rPr>
        <w:t>treatment</w:t>
      </w:r>
      <w:r w:rsidR="00EE0CCC">
        <w:rPr>
          <w:rFonts w:ascii="Arial" w:eastAsia="Calibri" w:hAnsi="Arial" w:cs="Arial"/>
        </w:rPr>
        <w:t xml:space="preserve"> </w:t>
      </w:r>
      <w:r w:rsidRPr="007D322B">
        <w:rPr>
          <w:rFonts w:ascii="Arial" w:eastAsia="Calibri" w:hAnsi="Arial" w:cs="Arial"/>
        </w:rPr>
        <w:t>with</w:t>
      </w:r>
      <w:r w:rsidR="00EE0CCC">
        <w:rPr>
          <w:rFonts w:ascii="Arial" w:eastAsia="Calibri" w:hAnsi="Arial" w:cs="Arial"/>
        </w:rPr>
        <w:t xml:space="preserve"> </w:t>
      </w:r>
      <w:r w:rsidRPr="007D322B">
        <w:rPr>
          <w:rFonts w:ascii="Arial" w:eastAsia="Calibri" w:hAnsi="Arial" w:cs="Arial"/>
        </w:rPr>
        <w:t>dinutuximab</w:t>
      </w:r>
      <w:r w:rsidR="00EE0CCC">
        <w:rPr>
          <w:rFonts w:ascii="Arial" w:eastAsia="Calibri" w:hAnsi="Arial" w:cs="Arial"/>
        </w:rPr>
        <w:t xml:space="preserve"> </w:t>
      </w:r>
      <w:r w:rsidRPr="007D322B">
        <w:rPr>
          <w:rFonts w:ascii="Arial" w:eastAsia="Calibri" w:hAnsi="Arial" w:cs="Arial"/>
        </w:rPr>
        <w:t>beta</w:t>
      </w:r>
      <w:r w:rsidR="00D054C5" w:rsidRPr="007D322B">
        <w:rPr>
          <w:rFonts w:ascii="Arial" w:eastAsia="Calibri" w:hAnsi="Arial" w:cs="Arial"/>
        </w:rPr>
        <w:t>.</w:t>
      </w:r>
    </w:p>
    <w:p w:rsidR="0086565F" w:rsidRPr="007D322B" w:rsidRDefault="0086565F" w:rsidP="0084108E">
      <w:pPr>
        <w:pStyle w:val="Heading2"/>
        <w:rPr>
          <w:rFonts w:ascii="Arial" w:hAnsi="Arial" w:cs="Arial"/>
          <w:b w:val="0"/>
          <w:sz w:val="24"/>
          <w:szCs w:val="24"/>
        </w:rPr>
      </w:pPr>
      <w:bookmarkStart w:id="3" w:name="_ADVERSE_EFFECTS_(UNDESIRABLE"/>
      <w:bookmarkStart w:id="4" w:name="OLE_LINK1"/>
      <w:bookmarkStart w:id="5" w:name="OLE_LINK2"/>
      <w:bookmarkEnd w:id="3"/>
      <w:r w:rsidRPr="007D322B">
        <w:rPr>
          <w:rFonts w:ascii="Arial" w:eastAsia="Calibri" w:hAnsi="Arial" w:cs="Arial"/>
          <w:i w:val="0"/>
          <w:sz w:val="24"/>
          <w:szCs w:val="24"/>
        </w:rPr>
        <w:t>ADVERSE</w:t>
      </w:r>
      <w:r w:rsidR="00EE0CCC">
        <w:rPr>
          <w:rFonts w:ascii="Arial" w:eastAsia="Calibri" w:hAnsi="Arial" w:cs="Arial"/>
          <w:i w:val="0"/>
          <w:sz w:val="24"/>
          <w:szCs w:val="24"/>
        </w:rPr>
        <w:t xml:space="preserve"> </w:t>
      </w:r>
      <w:bookmarkEnd w:id="4"/>
      <w:bookmarkEnd w:id="5"/>
      <w:r w:rsidR="003B2C63" w:rsidRPr="007D322B">
        <w:rPr>
          <w:rFonts w:ascii="Arial" w:eastAsia="Calibri" w:hAnsi="Arial" w:cs="Arial"/>
          <w:i w:val="0"/>
          <w:sz w:val="24"/>
          <w:szCs w:val="24"/>
        </w:rPr>
        <w:t>EFFECTS</w:t>
      </w:r>
      <w:r w:rsidR="00EE0CCC">
        <w:rPr>
          <w:rFonts w:ascii="Arial" w:eastAsia="Calibri" w:hAnsi="Arial" w:cs="Arial"/>
          <w:i w:val="0"/>
          <w:sz w:val="24"/>
          <w:szCs w:val="24"/>
        </w:rPr>
        <w:t xml:space="preserve"> </w:t>
      </w:r>
      <w:r w:rsidR="00085FD4" w:rsidRPr="007D322B">
        <w:rPr>
          <w:rFonts w:ascii="Arial" w:eastAsia="Calibri" w:hAnsi="Arial" w:cs="Arial"/>
          <w:i w:val="0"/>
          <w:sz w:val="24"/>
          <w:szCs w:val="24"/>
        </w:rPr>
        <w:t>(UNDESIRABLE</w:t>
      </w:r>
      <w:r w:rsidR="00EE0CCC">
        <w:rPr>
          <w:rFonts w:ascii="Arial" w:eastAsia="Calibri" w:hAnsi="Arial" w:cs="Arial"/>
          <w:i w:val="0"/>
          <w:sz w:val="24"/>
          <w:szCs w:val="24"/>
        </w:rPr>
        <w:t xml:space="preserve"> </w:t>
      </w:r>
      <w:r w:rsidR="00085FD4" w:rsidRPr="007D322B">
        <w:rPr>
          <w:rFonts w:ascii="Arial" w:eastAsia="Calibri" w:hAnsi="Arial" w:cs="Arial"/>
          <w:i w:val="0"/>
          <w:sz w:val="24"/>
          <w:szCs w:val="24"/>
        </w:rPr>
        <w:t>EFFECTS)</w:t>
      </w:r>
    </w:p>
    <w:p w:rsidR="00DB02A6" w:rsidRPr="007D322B" w:rsidRDefault="00DB02A6" w:rsidP="00DB02A6">
      <w:pPr>
        <w:keepNext/>
        <w:keepLines/>
        <w:rPr>
          <w:rFonts w:ascii="Arial" w:hAnsi="Arial" w:cs="Arial"/>
          <w:b/>
          <w:bCs/>
          <w:noProof/>
        </w:rPr>
      </w:pPr>
      <w:r w:rsidRPr="007D322B">
        <w:rPr>
          <w:rFonts w:ascii="Arial" w:hAnsi="Arial" w:cs="Arial"/>
          <w:b/>
          <w:bCs/>
          <w:noProof/>
        </w:rPr>
        <w:t>Summary</w:t>
      </w:r>
      <w:r w:rsidR="00EE0CCC">
        <w:rPr>
          <w:rFonts w:ascii="Arial" w:hAnsi="Arial" w:cs="Arial"/>
          <w:b/>
          <w:bCs/>
          <w:noProof/>
        </w:rPr>
        <w:t xml:space="preserve"> </w:t>
      </w:r>
      <w:r w:rsidRPr="007D322B">
        <w:rPr>
          <w:rFonts w:ascii="Arial" w:hAnsi="Arial" w:cs="Arial"/>
          <w:b/>
          <w:bCs/>
          <w:noProof/>
        </w:rPr>
        <w:t>of</w:t>
      </w:r>
      <w:r w:rsidR="00EE0CCC">
        <w:rPr>
          <w:rFonts w:ascii="Arial" w:hAnsi="Arial" w:cs="Arial"/>
          <w:b/>
          <w:bCs/>
          <w:noProof/>
        </w:rPr>
        <w:t xml:space="preserve"> </w:t>
      </w:r>
      <w:r w:rsidRPr="007D322B">
        <w:rPr>
          <w:rFonts w:ascii="Arial" w:hAnsi="Arial" w:cs="Arial"/>
          <w:b/>
          <w:bCs/>
          <w:noProof/>
        </w:rPr>
        <w:t>the</w:t>
      </w:r>
      <w:r w:rsidR="00EE0CCC">
        <w:rPr>
          <w:rFonts w:ascii="Arial" w:hAnsi="Arial" w:cs="Arial"/>
          <w:b/>
          <w:bCs/>
          <w:noProof/>
        </w:rPr>
        <w:t xml:space="preserve"> </w:t>
      </w:r>
      <w:r w:rsidRPr="007D322B">
        <w:rPr>
          <w:rFonts w:ascii="Arial" w:hAnsi="Arial" w:cs="Arial"/>
          <w:b/>
          <w:bCs/>
          <w:noProof/>
        </w:rPr>
        <w:t>safety</w:t>
      </w:r>
      <w:r w:rsidR="00EE0CCC">
        <w:rPr>
          <w:rFonts w:ascii="Arial" w:hAnsi="Arial" w:cs="Arial"/>
          <w:b/>
          <w:bCs/>
          <w:noProof/>
        </w:rPr>
        <w:t xml:space="preserve"> </w:t>
      </w:r>
      <w:r w:rsidRPr="007D322B">
        <w:rPr>
          <w:rFonts w:ascii="Arial" w:hAnsi="Arial" w:cs="Arial"/>
          <w:b/>
          <w:bCs/>
          <w:noProof/>
        </w:rPr>
        <w:t>profile</w:t>
      </w:r>
    </w:p>
    <w:p w:rsidR="00DB02A6" w:rsidRPr="007D322B" w:rsidRDefault="00DB02A6" w:rsidP="00DB02A6">
      <w:pPr>
        <w:keepNext/>
        <w:keepLines/>
        <w:suppressLineNumbers/>
        <w:rPr>
          <w:rFonts w:ascii="Arial" w:hAnsi="Arial" w:cs="Arial"/>
        </w:rPr>
      </w:pPr>
      <w:r w:rsidRPr="007D322B">
        <w:rPr>
          <w:rFonts w:ascii="Arial" w:hAnsi="Arial" w:cs="Arial"/>
        </w:rPr>
        <w:t>The</w:t>
      </w:r>
      <w:r w:rsidR="00EE0CCC">
        <w:rPr>
          <w:rFonts w:ascii="Arial" w:hAnsi="Arial" w:cs="Arial"/>
        </w:rPr>
        <w:t xml:space="preserve"> </w:t>
      </w:r>
      <w:r w:rsidRPr="007D322B">
        <w:rPr>
          <w:rFonts w:ascii="Arial" w:hAnsi="Arial" w:cs="Arial"/>
        </w:rPr>
        <w:t>safety</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dinutuximab</w:t>
      </w:r>
      <w:r w:rsidR="00EE0CCC">
        <w:rPr>
          <w:rFonts w:ascii="Arial" w:hAnsi="Arial" w:cs="Arial"/>
        </w:rPr>
        <w:t xml:space="preserve"> </w:t>
      </w:r>
      <w:r w:rsidRPr="007D322B">
        <w:rPr>
          <w:rFonts w:ascii="Arial" w:hAnsi="Arial" w:cs="Arial"/>
        </w:rPr>
        <w:t>beta</w:t>
      </w:r>
      <w:r w:rsidR="00EE0CCC">
        <w:rPr>
          <w:rFonts w:ascii="Arial" w:hAnsi="Arial" w:cs="Arial"/>
        </w:rPr>
        <w:t xml:space="preserve"> </w:t>
      </w:r>
      <w:r w:rsidRPr="007D322B">
        <w:rPr>
          <w:rFonts w:ascii="Arial" w:hAnsi="Arial" w:cs="Arial"/>
        </w:rPr>
        <w:t>has</w:t>
      </w:r>
      <w:r w:rsidR="00EE0CCC">
        <w:rPr>
          <w:rFonts w:ascii="Arial" w:hAnsi="Arial" w:cs="Arial"/>
        </w:rPr>
        <w:t xml:space="preserve"> </w:t>
      </w:r>
      <w:r w:rsidRPr="007D322B">
        <w:rPr>
          <w:rFonts w:ascii="Arial" w:hAnsi="Arial" w:cs="Arial"/>
        </w:rPr>
        <w:t>been</w:t>
      </w:r>
      <w:r w:rsidR="00EE0CCC">
        <w:rPr>
          <w:rFonts w:ascii="Arial" w:hAnsi="Arial" w:cs="Arial"/>
        </w:rPr>
        <w:t xml:space="preserve"> </w:t>
      </w:r>
      <w:r w:rsidRPr="007D322B">
        <w:rPr>
          <w:rFonts w:ascii="Arial" w:hAnsi="Arial" w:cs="Arial"/>
        </w:rPr>
        <w:t>evaluated</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514</w:t>
      </w:r>
      <w:r w:rsidR="00EE0CCC">
        <w:rPr>
          <w:rFonts w:ascii="Arial" w:hAnsi="Arial" w:cs="Arial"/>
        </w:rPr>
        <w:t xml:space="preserve"> </w:t>
      </w:r>
      <w:r w:rsidRPr="007D322B">
        <w:rPr>
          <w:rFonts w:ascii="Arial" w:hAnsi="Arial" w:cs="Arial"/>
        </w:rPr>
        <w:t>patients</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high-risk</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relapsed/refractory</w:t>
      </w:r>
      <w:r w:rsidR="00EE0CCC">
        <w:rPr>
          <w:rFonts w:ascii="Arial" w:hAnsi="Arial" w:cs="Arial"/>
        </w:rPr>
        <w:t xml:space="preserve"> </w:t>
      </w:r>
      <w:r w:rsidRPr="007D322B">
        <w:rPr>
          <w:rFonts w:ascii="Arial" w:hAnsi="Arial" w:cs="Arial"/>
        </w:rPr>
        <w:t>neuroblastoma,</w:t>
      </w:r>
      <w:r w:rsidR="00EE0CCC">
        <w:rPr>
          <w:rFonts w:ascii="Arial" w:hAnsi="Arial" w:cs="Arial"/>
        </w:rPr>
        <w:t xml:space="preserve"> </w:t>
      </w:r>
      <w:r w:rsidRPr="007D322B">
        <w:rPr>
          <w:rFonts w:ascii="Arial" w:hAnsi="Arial" w:cs="Arial"/>
        </w:rPr>
        <w:t>who</w:t>
      </w:r>
      <w:r w:rsidR="00EE0CCC">
        <w:rPr>
          <w:rFonts w:ascii="Arial" w:hAnsi="Arial" w:cs="Arial"/>
        </w:rPr>
        <w:t xml:space="preserve"> </w:t>
      </w:r>
      <w:r w:rsidRPr="007D322B">
        <w:rPr>
          <w:rFonts w:ascii="Arial" w:hAnsi="Arial" w:cs="Arial"/>
        </w:rPr>
        <w:t>received</w:t>
      </w:r>
      <w:r w:rsidR="00EE0CCC">
        <w:rPr>
          <w:rFonts w:ascii="Arial" w:hAnsi="Arial" w:cs="Arial"/>
        </w:rPr>
        <w:t xml:space="preserve"> </w:t>
      </w:r>
      <w:r w:rsidRPr="007D322B">
        <w:rPr>
          <w:rFonts w:ascii="Arial" w:hAnsi="Arial" w:cs="Arial"/>
        </w:rPr>
        <w:t>it</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continuous</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(98)</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repeated</w:t>
      </w:r>
      <w:r w:rsidR="00EE0CCC">
        <w:rPr>
          <w:rFonts w:ascii="Arial" w:hAnsi="Arial" w:cs="Arial"/>
        </w:rPr>
        <w:t xml:space="preserve"> </w:t>
      </w:r>
      <w:r w:rsidRPr="007D322B">
        <w:rPr>
          <w:rFonts w:ascii="Arial" w:hAnsi="Arial" w:cs="Arial"/>
        </w:rPr>
        <w:t>daily</w:t>
      </w:r>
      <w:r w:rsidR="00EE0CCC">
        <w:rPr>
          <w:rFonts w:ascii="Arial" w:hAnsi="Arial" w:cs="Arial"/>
        </w:rPr>
        <w:t xml:space="preserve"> </w:t>
      </w:r>
      <w:r w:rsidRPr="007D322B">
        <w:rPr>
          <w:rFonts w:ascii="Arial" w:hAnsi="Arial" w:cs="Arial"/>
        </w:rPr>
        <w:t>infusions</w:t>
      </w:r>
      <w:r w:rsidR="00EE0CCC">
        <w:rPr>
          <w:rFonts w:ascii="Arial" w:hAnsi="Arial" w:cs="Arial"/>
        </w:rPr>
        <w:t xml:space="preserve"> </w:t>
      </w:r>
      <w:r w:rsidRPr="007D322B">
        <w:rPr>
          <w:rFonts w:ascii="Arial" w:hAnsi="Arial" w:cs="Arial"/>
        </w:rPr>
        <w:t>(416).</w:t>
      </w:r>
      <w:r w:rsidR="00EE0CCC">
        <w:rPr>
          <w:rFonts w:ascii="Arial" w:hAnsi="Arial" w:cs="Arial"/>
        </w:rPr>
        <w:t xml:space="preserve"> </w:t>
      </w:r>
      <w:r w:rsidRPr="007D322B">
        <w:rPr>
          <w:rFonts w:ascii="Arial" w:hAnsi="Arial" w:cs="Arial"/>
        </w:rPr>
        <w:t>It</w:t>
      </w:r>
      <w:r w:rsidR="00EE0CCC">
        <w:rPr>
          <w:rFonts w:ascii="Arial" w:hAnsi="Arial" w:cs="Arial"/>
        </w:rPr>
        <w:t xml:space="preserve"> </w:t>
      </w:r>
      <w:r w:rsidRPr="007D322B">
        <w:rPr>
          <w:rFonts w:ascii="Arial" w:hAnsi="Arial" w:cs="Arial"/>
        </w:rPr>
        <w:t>was</w:t>
      </w:r>
      <w:r w:rsidR="00EE0CCC">
        <w:rPr>
          <w:rFonts w:ascii="Arial" w:hAnsi="Arial" w:cs="Arial"/>
        </w:rPr>
        <w:t xml:space="preserve"> </w:t>
      </w:r>
      <w:r w:rsidRPr="007D322B">
        <w:rPr>
          <w:rFonts w:ascii="Arial" w:hAnsi="Arial" w:cs="Arial"/>
        </w:rPr>
        <w:t>combined</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13</w:t>
      </w:r>
      <w:r w:rsidRPr="007D322B">
        <w:rPr>
          <w:rFonts w:ascii="Arial" w:hAnsi="Arial" w:cs="Arial"/>
        </w:rPr>
        <w:noBreakHyphen/>
        <w:t>cis</w:t>
      </w:r>
      <w:r w:rsidR="00EE0CCC">
        <w:rPr>
          <w:rFonts w:ascii="Arial" w:hAnsi="Arial" w:cs="Arial"/>
        </w:rPr>
        <w:t xml:space="preserve"> </w:t>
      </w:r>
      <w:r w:rsidRPr="007D322B">
        <w:rPr>
          <w:rFonts w:ascii="Arial" w:hAnsi="Arial" w:cs="Arial"/>
        </w:rPr>
        <w:t>retinoic</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most</w:t>
      </w:r>
      <w:r w:rsidR="00EE0CCC">
        <w:rPr>
          <w:rFonts w:ascii="Arial" w:hAnsi="Arial" w:cs="Arial"/>
        </w:rPr>
        <w:t xml:space="preserve"> </w:t>
      </w:r>
      <w:r w:rsidRPr="007D322B">
        <w:rPr>
          <w:rFonts w:ascii="Arial" w:hAnsi="Arial" w:cs="Arial"/>
        </w:rPr>
        <w:t>patients</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IL</w:t>
      </w:r>
      <w:r w:rsidRPr="007D322B">
        <w:rPr>
          <w:rFonts w:ascii="Arial" w:hAnsi="Arial" w:cs="Arial"/>
        </w:rPr>
        <w:noBreakHyphen/>
        <w:t>2</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307</w:t>
      </w:r>
      <w:r w:rsidR="00EE0CCC">
        <w:rPr>
          <w:rFonts w:ascii="Arial" w:hAnsi="Arial" w:cs="Arial"/>
        </w:rPr>
        <w:t xml:space="preserve"> </w:t>
      </w:r>
      <w:r w:rsidRPr="007D322B">
        <w:rPr>
          <w:rFonts w:ascii="Arial" w:hAnsi="Arial" w:cs="Arial"/>
        </w:rPr>
        <w:t>patients.</w:t>
      </w:r>
    </w:p>
    <w:p w:rsidR="00DB02A6" w:rsidRPr="007D322B" w:rsidRDefault="00DB02A6" w:rsidP="00DB02A6">
      <w:pPr>
        <w:rPr>
          <w:rFonts w:ascii="Arial" w:hAnsi="Arial" w:cs="Arial"/>
        </w:rPr>
      </w:pPr>
    </w:p>
    <w:p w:rsidR="00DB02A6" w:rsidRPr="007D322B" w:rsidRDefault="00DB02A6" w:rsidP="00DB02A6">
      <w:pPr>
        <w:autoSpaceDE w:val="0"/>
        <w:autoSpaceDN w:val="0"/>
        <w:adjustRightInd w:val="0"/>
        <w:rPr>
          <w:rFonts w:ascii="Arial" w:hAnsi="Arial" w:cs="Arial"/>
        </w:rPr>
      </w:pPr>
      <w:r w:rsidRPr="007D322B">
        <w:rPr>
          <w:rFonts w:ascii="Arial" w:hAnsi="Arial" w:cs="Arial"/>
        </w:rPr>
        <w:t>The</w:t>
      </w:r>
      <w:r w:rsidR="00EE0CCC">
        <w:rPr>
          <w:rFonts w:ascii="Arial" w:hAnsi="Arial" w:cs="Arial"/>
        </w:rPr>
        <w:t xml:space="preserve"> </w:t>
      </w:r>
      <w:r w:rsidRPr="007D322B">
        <w:rPr>
          <w:rFonts w:ascii="Arial" w:hAnsi="Arial" w:cs="Arial"/>
        </w:rPr>
        <w:t>most</w:t>
      </w:r>
      <w:r w:rsidR="00EE0CCC">
        <w:rPr>
          <w:rFonts w:ascii="Arial" w:hAnsi="Arial" w:cs="Arial"/>
        </w:rPr>
        <w:t xml:space="preserve"> </w:t>
      </w:r>
      <w:r w:rsidRPr="007D322B">
        <w:rPr>
          <w:rFonts w:ascii="Arial" w:hAnsi="Arial" w:cs="Arial"/>
        </w:rPr>
        <w:t>common</w:t>
      </w:r>
      <w:r w:rsidR="00EE0CCC">
        <w:rPr>
          <w:rFonts w:ascii="Arial" w:hAnsi="Arial" w:cs="Arial"/>
        </w:rPr>
        <w:t xml:space="preserve"> </w:t>
      </w:r>
      <w:r w:rsidRPr="007D322B">
        <w:rPr>
          <w:rFonts w:ascii="Arial" w:hAnsi="Arial" w:cs="Arial"/>
        </w:rPr>
        <w:t>adverse</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were</w:t>
      </w:r>
      <w:r w:rsidR="00EE0CCC">
        <w:rPr>
          <w:rFonts w:ascii="Arial" w:hAnsi="Arial" w:cs="Arial"/>
        </w:rPr>
        <w:t xml:space="preserve"> </w:t>
      </w:r>
      <w:r w:rsidRPr="007D322B">
        <w:rPr>
          <w:rFonts w:ascii="Arial" w:hAnsi="Arial" w:cs="Arial"/>
        </w:rPr>
        <w:t>pyrexia</w:t>
      </w:r>
      <w:r w:rsidR="00EE0CCC">
        <w:rPr>
          <w:rFonts w:ascii="Arial" w:hAnsi="Arial" w:cs="Arial"/>
        </w:rPr>
        <w:t xml:space="preserve"> </w:t>
      </w:r>
      <w:r w:rsidRPr="007D322B">
        <w:rPr>
          <w:rFonts w:ascii="Arial" w:hAnsi="Arial" w:cs="Arial"/>
        </w:rPr>
        <w:t>(88%)</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(77%)</w:t>
      </w:r>
      <w:r w:rsidR="00EE0CCC">
        <w:rPr>
          <w:rFonts w:ascii="Arial" w:hAnsi="Arial" w:cs="Arial"/>
        </w:rPr>
        <w:t xml:space="preserve"> </w:t>
      </w:r>
      <w:r w:rsidRPr="007D322B">
        <w:rPr>
          <w:rFonts w:ascii="Arial" w:hAnsi="Arial" w:cs="Arial"/>
        </w:rPr>
        <w:t>that</w:t>
      </w:r>
      <w:r w:rsidR="00EE0CCC">
        <w:rPr>
          <w:rFonts w:ascii="Arial" w:hAnsi="Arial" w:cs="Arial"/>
        </w:rPr>
        <w:t xml:space="preserve"> </w:t>
      </w:r>
      <w:r w:rsidRPr="007D322B">
        <w:rPr>
          <w:rFonts w:ascii="Arial" w:hAnsi="Arial" w:cs="Arial"/>
        </w:rPr>
        <w:t>occurred</w:t>
      </w:r>
      <w:r w:rsidR="00EE0CCC">
        <w:rPr>
          <w:rFonts w:ascii="Arial" w:hAnsi="Arial" w:cs="Arial"/>
        </w:rPr>
        <w:t xml:space="preserve"> </w:t>
      </w:r>
      <w:r w:rsidRPr="007D322B">
        <w:rPr>
          <w:rFonts w:ascii="Arial" w:hAnsi="Arial" w:cs="Arial"/>
        </w:rPr>
        <w:t>despite</w:t>
      </w:r>
      <w:r w:rsidR="00EE0CCC">
        <w:rPr>
          <w:rFonts w:ascii="Arial" w:hAnsi="Arial" w:cs="Arial"/>
        </w:rPr>
        <w:t xml:space="preserve"> </w:t>
      </w:r>
      <w:r w:rsidRPr="007D322B">
        <w:rPr>
          <w:rFonts w:ascii="Arial" w:hAnsi="Arial" w:cs="Arial"/>
        </w:rPr>
        <w:t>analgesic</w:t>
      </w:r>
      <w:r w:rsidR="00EE0CCC">
        <w:rPr>
          <w:rFonts w:ascii="Arial" w:hAnsi="Arial" w:cs="Arial"/>
        </w:rPr>
        <w:t xml:space="preserve"> </w:t>
      </w:r>
      <w:r w:rsidRPr="007D322B">
        <w:rPr>
          <w:rFonts w:ascii="Arial" w:hAnsi="Arial" w:cs="Arial"/>
        </w:rPr>
        <w:t>treatment.</w:t>
      </w:r>
      <w:r w:rsidR="00EE0CCC">
        <w:rPr>
          <w:rFonts w:ascii="Arial" w:hAnsi="Arial" w:cs="Arial"/>
        </w:rPr>
        <w:t xml:space="preserve"> </w:t>
      </w:r>
      <w:r w:rsidRPr="007D322B">
        <w:rPr>
          <w:rFonts w:ascii="Arial" w:hAnsi="Arial" w:cs="Arial"/>
        </w:rPr>
        <w:t>Other</w:t>
      </w:r>
      <w:r w:rsidR="00EE0CCC">
        <w:rPr>
          <w:rFonts w:ascii="Arial" w:hAnsi="Arial" w:cs="Arial"/>
        </w:rPr>
        <w:t xml:space="preserve"> </w:t>
      </w:r>
      <w:r w:rsidRPr="007D322B">
        <w:rPr>
          <w:rFonts w:ascii="Arial" w:hAnsi="Arial" w:cs="Arial"/>
        </w:rPr>
        <w:t>frequent</w:t>
      </w:r>
      <w:r w:rsidR="00EE0CCC">
        <w:rPr>
          <w:rFonts w:ascii="Arial" w:hAnsi="Arial" w:cs="Arial"/>
        </w:rPr>
        <w:t xml:space="preserve"> </w:t>
      </w:r>
      <w:r w:rsidRPr="007D322B">
        <w:rPr>
          <w:rFonts w:ascii="Arial" w:hAnsi="Arial" w:cs="Arial"/>
        </w:rPr>
        <w:t>adverse</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were</w:t>
      </w:r>
      <w:r w:rsidR="00EE0CCC">
        <w:rPr>
          <w:rFonts w:ascii="Arial" w:hAnsi="Arial" w:cs="Arial"/>
        </w:rPr>
        <w:t xml:space="preserve"> </w:t>
      </w:r>
      <w:r w:rsidRPr="007D322B">
        <w:rPr>
          <w:rFonts w:ascii="Arial" w:hAnsi="Arial" w:cs="Arial"/>
        </w:rPr>
        <w:t>hypersensitivity</w:t>
      </w:r>
      <w:r w:rsidR="00EE0CCC">
        <w:rPr>
          <w:rFonts w:ascii="Arial" w:hAnsi="Arial" w:cs="Arial"/>
        </w:rPr>
        <w:t xml:space="preserve"> </w:t>
      </w:r>
      <w:r w:rsidRPr="007D322B">
        <w:rPr>
          <w:rFonts w:ascii="Arial" w:hAnsi="Arial" w:cs="Arial"/>
        </w:rPr>
        <w:t>(63%),</w:t>
      </w:r>
      <w:r w:rsidR="00EE0CCC">
        <w:rPr>
          <w:rFonts w:ascii="Arial" w:hAnsi="Arial" w:cs="Arial"/>
        </w:rPr>
        <w:t xml:space="preserve"> </w:t>
      </w:r>
      <w:r w:rsidRPr="007D322B">
        <w:rPr>
          <w:rFonts w:ascii="Arial" w:hAnsi="Arial" w:cs="Arial"/>
        </w:rPr>
        <w:t>vomiting</w:t>
      </w:r>
      <w:r w:rsidR="00EE0CCC">
        <w:rPr>
          <w:rFonts w:ascii="Arial" w:hAnsi="Arial" w:cs="Arial"/>
        </w:rPr>
        <w:t xml:space="preserve"> </w:t>
      </w:r>
      <w:r w:rsidRPr="007D322B">
        <w:rPr>
          <w:rFonts w:ascii="Arial" w:hAnsi="Arial" w:cs="Arial"/>
        </w:rPr>
        <w:t>(57%),</w:t>
      </w:r>
      <w:r w:rsidR="00EE0CCC">
        <w:rPr>
          <w:rFonts w:ascii="Arial" w:hAnsi="Arial" w:cs="Arial"/>
        </w:rPr>
        <w:t xml:space="preserve"> </w:t>
      </w:r>
      <w:r w:rsidRPr="007D322B">
        <w:rPr>
          <w:rFonts w:ascii="Arial" w:hAnsi="Arial" w:cs="Arial"/>
        </w:rPr>
        <w:t>diarrhoea</w:t>
      </w:r>
      <w:r w:rsidR="00EE0CCC">
        <w:rPr>
          <w:rFonts w:ascii="Arial" w:hAnsi="Arial" w:cs="Arial"/>
        </w:rPr>
        <w:t xml:space="preserve"> </w:t>
      </w:r>
      <w:r w:rsidRPr="007D322B">
        <w:rPr>
          <w:rFonts w:ascii="Arial" w:hAnsi="Arial" w:cs="Arial"/>
        </w:rPr>
        <w:t>(51%),</w:t>
      </w:r>
      <w:r w:rsidR="00EE0CCC">
        <w:rPr>
          <w:rFonts w:ascii="Arial" w:hAnsi="Arial" w:cs="Arial"/>
        </w:rPr>
        <w:t xml:space="preserve"> </w:t>
      </w:r>
      <w:r w:rsidRPr="007D322B">
        <w:rPr>
          <w:rFonts w:ascii="Arial" w:hAnsi="Arial" w:cs="Arial"/>
        </w:rPr>
        <w:t>capillary</w:t>
      </w:r>
      <w:r w:rsidR="00EE0CCC">
        <w:rPr>
          <w:rFonts w:ascii="Arial" w:hAnsi="Arial" w:cs="Arial"/>
        </w:rPr>
        <w:t xml:space="preserve"> </w:t>
      </w:r>
      <w:r w:rsidRPr="007D322B">
        <w:rPr>
          <w:rFonts w:ascii="Arial" w:hAnsi="Arial" w:cs="Arial"/>
        </w:rPr>
        <w:t>leak</w:t>
      </w:r>
      <w:r w:rsidR="00EE0CCC">
        <w:rPr>
          <w:rFonts w:ascii="Arial" w:hAnsi="Arial" w:cs="Arial"/>
        </w:rPr>
        <w:t xml:space="preserve"> </w:t>
      </w:r>
      <w:r w:rsidRPr="007D322B">
        <w:rPr>
          <w:rFonts w:ascii="Arial" w:hAnsi="Arial" w:cs="Arial"/>
        </w:rPr>
        <w:t>syndrome</w:t>
      </w:r>
      <w:r w:rsidR="00EE0CCC">
        <w:rPr>
          <w:rFonts w:ascii="Arial" w:hAnsi="Arial" w:cs="Arial"/>
        </w:rPr>
        <w:t xml:space="preserve"> </w:t>
      </w:r>
      <w:r w:rsidRPr="007D322B">
        <w:rPr>
          <w:rFonts w:ascii="Arial" w:hAnsi="Arial" w:cs="Arial"/>
        </w:rPr>
        <w:t>(40%)</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hypotension</w:t>
      </w:r>
      <w:r w:rsidR="00EE0CCC">
        <w:rPr>
          <w:rFonts w:ascii="Arial" w:hAnsi="Arial" w:cs="Arial"/>
        </w:rPr>
        <w:t xml:space="preserve"> </w:t>
      </w:r>
      <w:r w:rsidRPr="007D322B">
        <w:rPr>
          <w:rFonts w:ascii="Arial" w:hAnsi="Arial" w:cs="Arial"/>
        </w:rPr>
        <w:t>(39%).</w:t>
      </w:r>
      <w:r w:rsidR="00EE0CCC">
        <w:rPr>
          <w:rFonts w:ascii="Arial" w:hAnsi="Arial" w:cs="Arial"/>
        </w:rPr>
        <w:t xml:space="preserve"> </w:t>
      </w:r>
    </w:p>
    <w:p w:rsidR="00DB02A6" w:rsidRPr="007D322B" w:rsidRDefault="00DB02A6" w:rsidP="00DB02A6">
      <w:pPr>
        <w:widowControl w:val="0"/>
        <w:rPr>
          <w:rFonts w:ascii="Arial" w:hAnsi="Arial" w:cs="Arial"/>
          <w:noProof/>
        </w:rPr>
      </w:pPr>
    </w:p>
    <w:p w:rsidR="00DB02A6" w:rsidRPr="007D322B" w:rsidRDefault="00DB02A6" w:rsidP="00DB02A6">
      <w:pPr>
        <w:keepNext/>
        <w:keepLines/>
        <w:rPr>
          <w:rFonts w:ascii="Arial" w:hAnsi="Arial" w:cs="Arial"/>
          <w:b/>
          <w:bCs/>
          <w:noProof/>
        </w:rPr>
      </w:pPr>
      <w:r w:rsidRPr="007D322B">
        <w:rPr>
          <w:rFonts w:ascii="Arial" w:hAnsi="Arial" w:cs="Arial"/>
          <w:b/>
          <w:bCs/>
          <w:noProof/>
        </w:rPr>
        <w:t>Tabulated</w:t>
      </w:r>
      <w:r w:rsidR="00EE0CCC">
        <w:rPr>
          <w:rFonts w:ascii="Arial" w:hAnsi="Arial" w:cs="Arial"/>
          <w:b/>
          <w:bCs/>
          <w:noProof/>
        </w:rPr>
        <w:t xml:space="preserve"> </w:t>
      </w:r>
      <w:r w:rsidRPr="007D322B">
        <w:rPr>
          <w:rFonts w:ascii="Arial" w:hAnsi="Arial" w:cs="Arial"/>
          <w:b/>
          <w:bCs/>
          <w:noProof/>
        </w:rPr>
        <w:t>list</w:t>
      </w:r>
      <w:r w:rsidR="00EE0CCC">
        <w:rPr>
          <w:rFonts w:ascii="Arial" w:hAnsi="Arial" w:cs="Arial"/>
          <w:b/>
          <w:bCs/>
          <w:noProof/>
        </w:rPr>
        <w:t xml:space="preserve"> </w:t>
      </w:r>
      <w:r w:rsidRPr="007D322B">
        <w:rPr>
          <w:rFonts w:ascii="Arial" w:hAnsi="Arial" w:cs="Arial"/>
          <w:b/>
          <w:bCs/>
          <w:noProof/>
        </w:rPr>
        <w:t>of</w:t>
      </w:r>
      <w:r w:rsidR="00EE0CCC">
        <w:rPr>
          <w:rFonts w:ascii="Arial" w:hAnsi="Arial" w:cs="Arial"/>
          <w:b/>
          <w:bCs/>
          <w:noProof/>
        </w:rPr>
        <w:t xml:space="preserve"> </w:t>
      </w:r>
      <w:r w:rsidRPr="007D322B">
        <w:rPr>
          <w:rFonts w:ascii="Arial" w:hAnsi="Arial" w:cs="Arial"/>
          <w:b/>
          <w:bCs/>
          <w:noProof/>
        </w:rPr>
        <w:t>adverse</w:t>
      </w:r>
      <w:r w:rsidR="00EE0CCC">
        <w:rPr>
          <w:rFonts w:ascii="Arial" w:hAnsi="Arial" w:cs="Arial"/>
          <w:b/>
          <w:bCs/>
          <w:noProof/>
        </w:rPr>
        <w:t xml:space="preserve"> </w:t>
      </w:r>
      <w:r w:rsidRPr="007D322B">
        <w:rPr>
          <w:rFonts w:ascii="Arial" w:hAnsi="Arial" w:cs="Arial"/>
          <w:b/>
          <w:bCs/>
          <w:noProof/>
        </w:rPr>
        <w:t>reactions</w:t>
      </w:r>
    </w:p>
    <w:p w:rsidR="00085299" w:rsidRPr="007D322B" w:rsidRDefault="00DB02A6" w:rsidP="00DB02A6">
      <w:pPr>
        <w:widowControl w:val="0"/>
        <w:suppressLineNumbers/>
        <w:rPr>
          <w:rFonts w:ascii="Arial" w:hAnsi="Arial" w:cs="Arial"/>
        </w:rPr>
      </w:pPr>
      <w:r w:rsidRPr="007D322B">
        <w:rPr>
          <w:rFonts w:ascii="Arial" w:hAnsi="Arial" w:cs="Arial"/>
        </w:rPr>
        <w:t>Adverse</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are</w:t>
      </w:r>
      <w:r w:rsidR="00EE0CCC">
        <w:rPr>
          <w:rFonts w:ascii="Arial" w:hAnsi="Arial" w:cs="Arial"/>
        </w:rPr>
        <w:t xml:space="preserve"> </w:t>
      </w:r>
      <w:r w:rsidRPr="007D322B">
        <w:rPr>
          <w:rFonts w:ascii="Arial" w:hAnsi="Arial" w:cs="Arial"/>
        </w:rPr>
        <w:t>summarised</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table</w:t>
      </w:r>
      <w:r w:rsidR="00EE0CCC">
        <w:rPr>
          <w:rFonts w:ascii="Arial" w:hAnsi="Arial" w:cs="Arial"/>
        </w:rPr>
        <w:t xml:space="preserve"> </w:t>
      </w:r>
      <w:r w:rsidRPr="007D322B">
        <w:rPr>
          <w:rFonts w:ascii="Arial" w:hAnsi="Arial" w:cs="Arial"/>
        </w:rPr>
        <w:t>below.</w:t>
      </w:r>
      <w:r w:rsidR="00EE0CCC">
        <w:rPr>
          <w:rFonts w:ascii="Arial" w:hAnsi="Arial" w:cs="Arial"/>
        </w:rPr>
        <w:t xml:space="preserve"> </w:t>
      </w:r>
      <w:r w:rsidRPr="007D322B">
        <w:rPr>
          <w:rFonts w:ascii="Arial" w:hAnsi="Arial" w:cs="Arial"/>
        </w:rPr>
        <w:t>These</w:t>
      </w:r>
      <w:r w:rsidR="00EE0CCC">
        <w:rPr>
          <w:rFonts w:ascii="Arial" w:hAnsi="Arial" w:cs="Arial"/>
        </w:rPr>
        <w:t xml:space="preserve"> </w:t>
      </w:r>
      <w:r w:rsidRPr="007D322B">
        <w:rPr>
          <w:rFonts w:ascii="Arial" w:hAnsi="Arial" w:cs="Arial"/>
        </w:rPr>
        <w:t>adverse</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are</w:t>
      </w:r>
      <w:r w:rsidR="00EE0CCC">
        <w:rPr>
          <w:rFonts w:ascii="Arial" w:hAnsi="Arial" w:cs="Arial"/>
        </w:rPr>
        <w:t xml:space="preserve"> </w:t>
      </w:r>
      <w:r w:rsidRPr="007D322B">
        <w:rPr>
          <w:rFonts w:ascii="Arial" w:hAnsi="Arial" w:cs="Arial"/>
        </w:rPr>
        <w:t>presented</w:t>
      </w:r>
      <w:r w:rsidR="00EE0CCC">
        <w:rPr>
          <w:rFonts w:ascii="Arial" w:hAnsi="Arial" w:cs="Arial"/>
        </w:rPr>
        <w:t xml:space="preserve"> </w:t>
      </w:r>
      <w:r w:rsidRPr="007D322B">
        <w:rPr>
          <w:rFonts w:ascii="Arial" w:hAnsi="Arial" w:cs="Arial"/>
        </w:rPr>
        <w:t>by</w:t>
      </w:r>
      <w:r w:rsidR="00EE0CCC">
        <w:rPr>
          <w:rFonts w:ascii="Arial" w:hAnsi="Arial" w:cs="Arial"/>
        </w:rPr>
        <w:t xml:space="preserve"> </w:t>
      </w:r>
      <w:r w:rsidRPr="007D322B">
        <w:rPr>
          <w:rFonts w:ascii="Arial" w:hAnsi="Arial" w:cs="Arial"/>
        </w:rPr>
        <w:t>MedDRA</w:t>
      </w:r>
      <w:r w:rsidR="00EE0CCC">
        <w:rPr>
          <w:rFonts w:ascii="Arial" w:hAnsi="Arial" w:cs="Arial"/>
        </w:rPr>
        <w:t xml:space="preserve"> </w:t>
      </w:r>
      <w:r w:rsidRPr="007D322B">
        <w:rPr>
          <w:rFonts w:ascii="Arial" w:hAnsi="Arial" w:cs="Arial"/>
        </w:rPr>
        <w:t>system</w:t>
      </w:r>
      <w:r w:rsidR="00EE0CCC">
        <w:rPr>
          <w:rFonts w:ascii="Arial" w:hAnsi="Arial" w:cs="Arial"/>
        </w:rPr>
        <w:t xml:space="preserve"> </w:t>
      </w:r>
      <w:r w:rsidRPr="007D322B">
        <w:rPr>
          <w:rFonts w:ascii="Arial" w:hAnsi="Arial" w:cs="Arial"/>
        </w:rPr>
        <w:t>organ</w:t>
      </w:r>
      <w:r w:rsidR="00EE0CCC">
        <w:rPr>
          <w:rFonts w:ascii="Arial" w:hAnsi="Arial" w:cs="Arial"/>
        </w:rPr>
        <w:t xml:space="preserve"> </w:t>
      </w:r>
      <w:r w:rsidRPr="007D322B">
        <w:rPr>
          <w:rFonts w:ascii="Arial" w:hAnsi="Arial" w:cs="Arial"/>
        </w:rPr>
        <w:t>class</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frequency.</w:t>
      </w:r>
      <w:r w:rsidR="00EE0CCC">
        <w:rPr>
          <w:rFonts w:ascii="Arial" w:hAnsi="Arial" w:cs="Arial"/>
        </w:rPr>
        <w:t xml:space="preserve"> </w:t>
      </w:r>
      <w:r w:rsidRPr="007D322B">
        <w:rPr>
          <w:rFonts w:ascii="Arial" w:hAnsi="Arial" w:cs="Arial"/>
        </w:rPr>
        <w:t>Frequency</w:t>
      </w:r>
      <w:r w:rsidR="00EE0CCC">
        <w:rPr>
          <w:rFonts w:ascii="Arial" w:hAnsi="Arial" w:cs="Arial"/>
        </w:rPr>
        <w:t xml:space="preserve"> </w:t>
      </w:r>
      <w:r w:rsidRPr="007D322B">
        <w:rPr>
          <w:rFonts w:ascii="Arial" w:hAnsi="Arial" w:cs="Arial"/>
        </w:rPr>
        <w:t>categories</w:t>
      </w:r>
      <w:r w:rsidR="00EE0CCC">
        <w:rPr>
          <w:rFonts w:ascii="Arial" w:hAnsi="Arial" w:cs="Arial"/>
        </w:rPr>
        <w:t xml:space="preserve"> </w:t>
      </w:r>
      <w:r w:rsidRPr="007D322B">
        <w:rPr>
          <w:rFonts w:ascii="Arial" w:hAnsi="Arial" w:cs="Arial"/>
        </w:rPr>
        <w:t>are</w:t>
      </w:r>
      <w:r w:rsidR="00EE0CCC">
        <w:rPr>
          <w:rFonts w:ascii="Arial" w:hAnsi="Arial" w:cs="Arial"/>
        </w:rPr>
        <w:t xml:space="preserve"> </w:t>
      </w:r>
      <w:r w:rsidRPr="007D322B">
        <w:rPr>
          <w:rFonts w:ascii="Arial" w:hAnsi="Arial" w:cs="Arial"/>
        </w:rPr>
        <w:t>defined</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very</w:t>
      </w:r>
      <w:r w:rsidR="00EE0CCC">
        <w:rPr>
          <w:rFonts w:ascii="Arial" w:hAnsi="Arial" w:cs="Arial"/>
        </w:rPr>
        <w:t xml:space="preserve"> </w:t>
      </w:r>
      <w:r w:rsidRPr="007D322B">
        <w:rPr>
          <w:rFonts w:ascii="Arial" w:hAnsi="Arial" w:cs="Arial"/>
        </w:rPr>
        <w:t>common</w:t>
      </w:r>
      <w:r w:rsidR="00EE0CCC">
        <w:rPr>
          <w:rFonts w:ascii="Arial" w:hAnsi="Arial" w:cs="Arial"/>
        </w:rPr>
        <w:t xml:space="preserve"> </w:t>
      </w:r>
      <w:r w:rsidRPr="007D322B">
        <w:rPr>
          <w:rFonts w:ascii="Arial" w:hAnsi="Arial" w:cs="Arial"/>
        </w:rPr>
        <w:t>(</w:t>
      </w:r>
      <w:bookmarkStart w:id="6" w:name="_GoBack"/>
      <w:r w:rsidR="00EE0CCC">
        <w:rPr>
          <w:rFonts w:ascii="Arial" w:hAnsi="Arial" w:cs="Arial"/>
        </w:rPr>
        <w:t>≥</w:t>
      </w:r>
      <w:bookmarkEnd w:id="6"/>
      <w:r w:rsidR="00EE0CCC">
        <w:rPr>
          <w:rFonts w:ascii="Arial" w:hAnsi="Arial" w:cs="Arial"/>
        </w:rPr>
        <w:t xml:space="preserve"> </w:t>
      </w:r>
      <w:r w:rsidRPr="007D322B">
        <w:rPr>
          <w:rFonts w:ascii="Arial" w:hAnsi="Arial" w:cs="Arial"/>
        </w:rPr>
        <w:t>1/10),</w:t>
      </w:r>
      <w:r w:rsidR="00EE0CCC">
        <w:rPr>
          <w:rFonts w:ascii="Arial" w:hAnsi="Arial" w:cs="Arial"/>
        </w:rPr>
        <w:t xml:space="preserve"> </w:t>
      </w:r>
      <w:r w:rsidRPr="007D322B">
        <w:rPr>
          <w:rFonts w:ascii="Arial" w:hAnsi="Arial" w:cs="Arial"/>
        </w:rPr>
        <w:t>common</w:t>
      </w:r>
      <w:r w:rsidR="00EE0CCC">
        <w:rPr>
          <w:rFonts w:ascii="Arial" w:hAnsi="Arial" w:cs="Arial"/>
        </w:rPr>
        <w:t xml:space="preserve"> </w:t>
      </w:r>
      <w:r w:rsidRPr="007D322B">
        <w:rPr>
          <w:rFonts w:ascii="Arial" w:hAnsi="Arial" w:cs="Arial"/>
        </w:rPr>
        <w:t>(</w:t>
      </w:r>
      <w:r w:rsidR="00EE0CCC">
        <w:rPr>
          <w:rFonts w:ascii="Arial" w:hAnsi="Arial" w:cs="Arial"/>
        </w:rPr>
        <w:t xml:space="preserve">≥ </w:t>
      </w:r>
      <w:r w:rsidRPr="007D322B">
        <w:rPr>
          <w:rFonts w:ascii="Arial" w:hAnsi="Arial" w:cs="Arial"/>
        </w:rPr>
        <w:t>1/100</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&lt;</w:t>
      </w:r>
      <w:r w:rsidR="00EE0CCC">
        <w:rPr>
          <w:rFonts w:ascii="Arial" w:hAnsi="Arial" w:cs="Arial"/>
        </w:rPr>
        <w:t xml:space="preserve"> </w:t>
      </w:r>
      <w:r w:rsidRPr="007D322B">
        <w:rPr>
          <w:rFonts w:ascii="Arial" w:hAnsi="Arial" w:cs="Arial"/>
        </w:rPr>
        <w:t>1/10)</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uncommon</w:t>
      </w:r>
      <w:r w:rsidR="00EE0CCC">
        <w:rPr>
          <w:rFonts w:ascii="Arial" w:hAnsi="Arial" w:cs="Arial"/>
        </w:rPr>
        <w:t xml:space="preserve"> </w:t>
      </w:r>
      <w:r w:rsidRPr="007D322B">
        <w:rPr>
          <w:rFonts w:ascii="Arial" w:hAnsi="Arial" w:cs="Arial"/>
        </w:rPr>
        <w:t>(</w:t>
      </w:r>
      <w:r w:rsidR="00EE0CCC">
        <w:rPr>
          <w:rFonts w:ascii="Arial" w:hAnsi="Arial" w:cs="Arial"/>
        </w:rPr>
        <w:t xml:space="preserve">≥ </w:t>
      </w:r>
      <w:r w:rsidRPr="007D322B">
        <w:rPr>
          <w:rFonts w:ascii="Arial" w:hAnsi="Arial" w:cs="Arial"/>
        </w:rPr>
        <w:t>1/1,000</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&lt;</w:t>
      </w:r>
      <w:r w:rsidR="00EE0CCC">
        <w:rPr>
          <w:rFonts w:ascii="Arial" w:hAnsi="Arial" w:cs="Arial"/>
        </w:rPr>
        <w:t xml:space="preserve"> </w:t>
      </w:r>
      <w:r w:rsidRPr="007D322B">
        <w:rPr>
          <w:rFonts w:ascii="Arial" w:hAnsi="Arial" w:cs="Arial"/>
        </w:rPr>
        <w:t>1/100).</w:t>
      </w:r>
      <w:r w:rsidR="00EE0CCC">
        <w:rPr>
          <w:rFonts w:ascii="Arial" w:hAnsi="Arial" w:cs="Arial"/>
        </w:rPr>
        <w:t xml:space="preserve"> </w:t>
      </w:r>
      <w:r w:rsidRPr="007D322B">
        <w:rPr>
          <w:rFonts w:ascii="Arial" w:hAnsi="Arial" w:cs="Arial"/>
        </w:rPr>
        <w:t>Within</w:t>
      </w:r>
      <w:r w:rsidR="00EE0CCC">
        <w:rPr>
          <w:rFonts w:ascii="Arial" w:hAnsi="Arial" w:cs="Arial"/>
        </w:rPr>
        <w:t xml:space="preserve"> </w:t>
      </w:r>
      <w:r w:rsidRPr="007D322B">
        <w:rPr>
          <w:rFonts w:ascii="Arial" w:hAnsi="Arial" w:cs="Arial"/>
        </w:rPr>
        <w:t>each</w:t>
      </w:r>
      <w:r w:rsidR="00EE0CCC">
        <w:rPr>
          <w:rFonts w:ascii="Arial" w:hAnsi="Arial" w:cs="Arial"/>
        </w:rPr>
        <w:t xml:space="preserve"> </w:t>
      </w:r>
      <w:r w:rsidRPr="007D322B">
        <w:rPr>
          <w:rFonts w:ascii="Arial" w:hAnsi="Arial" w:cs="Arial"/>
        </w:rPr>
        <w:t>frequency</w:t>
      </w:r>
      <w:r w:rsidR="00EE0CCC">
        <w:rPr>
          <w:rFonts w:ascii="Arial" w:hAnsi="Arial" w:cs="Arial"/>
        </w:rPr>
        <w:t xml:space="preserve"> </w:t>
      </w:r>
      <w:r w:rsidRPr="007D322B">
        <w:rPr>
          <w:rFonts w:ascii="Arial" w:hAnsi="Arial" w:cs="Arial"/>
        </w:rPr>
        <w:t>grouping,</w:t>
      </w:r>
      <w:r w:rsidR="00EE0CCC">
        <w:rPr>
          <w:rFonts w:ascii="Arial" w:hAnsi="Arial" w:cs="Arial"/>
        </w:rPr>
        <w:t xml:space="preserve"> </w:t>
      </w:r>
      <w:r w:rsidRPr="007D322B">
        <w:rPr>
          <w:rFonts w:ascii="Arial" w:hAnsi="Arial" w:cs="Arial"/>
        </w:rPr>
        <w:t>adverse</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are</w:t>
      </w:r>
      <w:r w:rsidR="00EE0CCC">
        <w:rPr>
          <w:rFonts w:ascii="Arial" w:hAnsi="Arial" w:cs="Arial"/>
        </w:rPr>
        <w:t xml:space="preserve"> </w:t>
      </w:r>
      <w:r w:rsidRPr="007D322B">
        <w:rPr>
          <w:rFonts w:ascii="Arial" w:hAnsi="Arial" w:cs="Arial"/>
        </w:rPr>
        <w:t>presented</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order</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decreasing</w:t>
      </w:r>
      <w:r w:rsidR="00EE0CCC">
        <w:rPr>
          <w:rFonts w:ascii="Arial" w:hAnsi="Arial" w:cs="Arial"/>
        </w:rPr>
        <w:t xml:space="preserve"> </w:t>
      </w:r>
      <w:r w:rsidRPr="007D322B">
        <w:rPr>
          <w:rFonts w:ascii="Arial" w:hAnsi="Arial" w:cs="Arial"/>
        </w:rPr>
        <w:t>seriousness</w:t>
      </w:r>
      <w:r w:rsidR="00085299" w:rsidRPr="007D322B">
        <w:rPr>
          <w:rFonts w:ascii="Arial" w:eastAsia="Calibri" w:hAnsi="Arial" w:cs="Arial"/>
          <w:bCs/>
        </w:rPr>
        <w:t>.</w:t>
      </w:r>
    </w:p>
    <w:p w:rsidR="00085299" w:rsidRPr="007D322B" w:rsidRDefault="00085299" w:rsidP="00946995">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322"/>
        <w:gridCol w:w="2492"/>
        <w:gridCol w:w="2316"/>
      </w:tblGrid>
      <w:tr w:rsidR="00DB02A6" w:rsidRPr="007D322B" w:rsidTr="00DB02A6">
        <w:trPr>
          <w:trHeight w:val="478"/>
          <w:tblHeader/>
        </w:trPr>
        <w:tc>
          <w:tcPr>
            <w:tcW w:w="2157" w:type="dxa"/>
            <w:shd w:val="clear" w:color="auto" w:fill="auto"/>
          </w:tcPr>
          <w:p w:rsidR="00DB02A6" w:rsidRPr="007D322B" w:rsidRDefault="00DB02A6" w:rsidP="00A34C43">
            <w:r w:rsidRPr="007D322B">
              <w:t>System</w:t>
            </w:r>
            <w:r w:rsidR="00EE0CCC">
              <w:t xml:space="preserve"> </w:t>
            </w:r>
            <w:r w:rsidRPr="007D322B">
              <w:t>organ</w:t>
            </w:r>
            <w:r w:rsidR="00EE0CCC">
              <w:t xml:space="preserve"> </w:t>
            </w:r>
            <w:r w:rsidRPr="007D322B">
              <w:t>class</w:t>
            </w:r>
          </w:p>
        </w:tc>
        <w:tc>
          <w:tcPr>
            <w:tcW w:w="2322" w:type="dxa"/>
            <w:shd w:val="clear" w:color="auto" w:fill="auto"/>
          </w:tcPr>
          <w:p w:rsidR="00DB02A6" w:rsidRPr="007D322B" w:rsidRDefault="00DB02A6" w:rsidP="00A34C43">
            <w:r w:rsidRPr="007D322B">
              <w:t>Very</w:t>
            </w:r>
            <w:r w:rsidR="00EE0CCC">
              <w:t xml:space="preserve"> </w:t>
            </w:r>
            <w:r w:rsidRPr="007D322B">
              <w:t>common</w:t>
            </w:r>
          </w:p>
        </w:tc>
        <w:tc>
          <w:tcPr>
            <w:tcW w:w="2492" w:type="dxa"/>
            <w:shd w:val="clear" w:color="auto" w:fill="auto"/>
          </w:tcPr>
          <w:p w:rsidR="00DB02A6" w:rsidRPr="007D322B" w:rsidRDefault="00DB02A6" w:rsidP="00A34C43">
            <w:r w:rsidRPr="007D322B">
              <w:t>Common</w:t>
            </w:r>
          </w:p>
        </w:tc>
        <w:tc>
          <w:tcPr>
            <w:tcW w:w="2316" w:type="dxa"/>
            <w:shd w:val="clear" w:color="auto" w:fill="auto"/>
          </w:tcPr>
          <w:p w:rsidR="00DB02A6" w:rsidRPr="007D322B" w:rsidRDefault="00DB02A6" w:rsidP="00A34C43">
            <w:r w:rsidRPr="007D322B">
              <w:t>Uncommon</w:t>
            </w:r>
          </w:p>
        </w:tc>
      </w:tr>
      <w:tr w:rsidR="00DB02A6" w:rsidRPr="007D322B" w:rsidTr="00DB02A6">
        <w:trPr>
          <w:trHeight w:val="637"/>
        </w:trPr>
        <w:tc>
          <w:tcPr>
            <w:tcW w:w="2157" w:type="dxa"/>
            <w:shd w:val="clear" w:color="auto" w:fill="auto"/>
            <w:hideMark/>
          </w:tcPr>
          <w:p w:rsidR="00DB02A6" w:rsidRPr="007D322B" w:rsidRDefault="00DB02A6" w:rsidP="00A34C43">
            <w:r w:rsidRPr="007D322B">
              <w:t>Infections</w:t>
            </w:r>
            <w:r w:rsidR="00EE0CCC">
              <w:t xml:space="preserve"> </w:t>
            </w:r>
            <w:r w:rsidRPr="007D322B">
              <w:t>and</w:t>
            </w:r>
            <w:r w:rsidR="00EE0CCC">
              <w:t xml:space="preserve"> </w:t>
            </w:r>
            <w:r w:rsidRPr="007D322B">
              <w:t>infestations</w:t>
            </w:r>
          </w:p>
        </w:tc>
        <w:tc>
          <w:tcPr>
            <w:tcW w:w="2322" w:type="dxa"/>
            <w:shd w:val="clear" w:color="auto" w:fill="auto"/>
            <w:hideMark/>
          </w:tcPr>
          <w:p w:rsidR="00DB02A6" w:rsidRPr="007D322B" w:rsidRDefault="00DB02A6" w:rsidP="00A34C43">
            <w:r w:rsidRPr="007D322B">
              <w:t>infection</w:t>
            </w:r>
            <w:r w:rsidR="00EE0CCC">
              <w:t xml:space="preserve"> </w:t>
            </w:r>
            <w:r w:rsidRPr="007D322B">
              <w:t>(including</w:t>
            </w:r>
            <w:r w:rsidR="00EE0CCC">
              <w:t xml:space="preserve"> </w:t>
            </w:r>
            <w:r w:rsidRPr="007D322B">
              <w:t>pneumonia,</w:t>
            </w:r>
            <w:r w:rsidR="00EE0CCC">
              <w:t xml:space="preserve"> </w:t>
            </w:r>
            <w:r w:rsidRPr="007D322B">
              <w:t>skin</w:t>
            </w:r>
            <w:r w:rsidR="00EE0CCC">
              <w:t xml:space="preserve"> </w:t>
            </w:r>
            <w:r w:rsidRPr="007D322B">
              <w:t>infection,</w:t>
            </w:r>
            <w:r w:rsidR="00EE0CCC">
              <w:t xml:space="preserve"> </w:t>
            </w:r>
            <w:r w:rsidRPr="007D322B">
              <w:t>herpes</w:t>
            </w:r>
            <w:r w:rsidR="00EE0CCC">
              <w:t xml:space="preserve"> </w:t>
            </w:r>
            <w:r w:rsidRPr="007D322B">
              <w:t>virus</w:t>
            </w:r>
            <w:r w:rsidR="00EE0CCC">
              <w:t xml:space="preserve"> </w:t>
            </w:r>
            <w:r w:rsidRPr="007D322B">
              <w:t>infection,</w:t>
            </w:r>
            <w:r w:rsidR="00EE0CCC">
              <w:t xml:space="preserve"> </w:t>
            </w:r>
            <w:r w:rsidRPr="007D322B">
              <w:t>myelitis,</w:t>
            </w:r>
            <w:r w:rsidR="00EE0CCC">
              <w:t xml:space="preserve"> </w:t>
            </w:r>
            <w:r w:rsidRPr="007D322B">
              <w:t>encephalomyelitis),</w:t>
            </w:r>
            <w:r w:rsidR="00EE0CCC">
              <w:t xml:space="preserve"> </w:t>
            </w:r>
            <w:r w:rsidRPr="007D322B">
              <w:t>device</w:t>
            </w:r>
            <w:r w:rsidR="00EE0CCC">
              <w:t xml:space="preserve"> </w:t>
            </w:r>
            <w:r w:rsidRPr="007D322B">
              <w:t>related</w:t>
            </w:r>
            <w:r w:rsidR="00EE0CCC">
              <w:t xml:space="preserve"> </w:t>
            </w:r>
            <w:r w:rsidRPr="007D322B">
              <w:t>infection</w:t>
            </w:r>
          </w:p>
        </w:tc>
        <w:tc>
          <w:tcPr>
            <w:tcW w:w="2492" w:type="dxa"/>
            <w:shd w:val="clear" w:color="auto" w:fill="auto"/>
            <w:hideMark/>
          </w:tcPr>
          <w:p w:rsidR="00DB02A6" w:rsidRPr="007D322B" w:rsidRDefault="00DB02A6" w:rsidP="00A34C43">
            <w:r w:rsidRPr="007D322B">
              <w:t>sepsis</w:t>
            </w:r>
          </w:p>
        </w:tc>
        <w:tc>
          <w:tcPr>
            <w:tcW w:w="2316" w:type="dxa"/>
            <w:shd w:val="clear" w:color="auto" w:fill="auto"/>
            <w:hideMark/>
          </w:tcPr>
          <w:p w:rsidR="00DB02A6" w:rsidRPr="007D322B" w:rsidRDefault="00DB02A6" w:rsidP="00A34C43"/>
        </w:tc>
      </w:tr>
      <w:tr w:rsidR="00DB02A6" w:rsidRPr="007D322B" w:rsidTr="00DB02A6">
        <w:tc>
          <w:tcPr>
            <w:tcW w:w="2157" w:type="dxa"/>
            <w:shd w:val="clear" w:color="auto" w:fill="auto"/>
            <w:hideMark/>
          </w:tcPr>
          <w:p w:rsidR="00DB02A6" w:rsidRPr="007D322B" w:rsidRDefault="00DB02A6" w:rsidP="00A34C43">
            <w:r w:rsidRPr="007D322B">
              <w:t>Blood</w:t>
            </w:r>
            <w:r w:rsidR="00EE0CCC">
              <w:t xml:space="preserve"> </w:t>
            </w:r>
            <w:r w:rsidRPr="007D322B">
              <w:t>and</w:t>
            </w:r>
            <w:r w:rsidR="00EE0CCC">
              <w:t xml:space="preserve"> </w:t>
            </w:r>
            <w:r w:rsidRPr="007D322B">
              <w:t>lymphatic</w:t>
            </w:r>
            <w:r w:rsidR="00EE0CCC">
              <w:t xml:space="preserve"> </w:t>
            </w:r>
            <w:r w:rsidRPr="007D322B">
              <w:t>system</w:t>
            </w:r>
            <w:r w:rsidR="00EE0CCC">
              <w:t xml:space="preserve"> </w:t>
            </w:r>
            <w:r w:rsidRPr="007D322B">
              <w:t>disorders</w:t>
            </w:r>
          </w:p>
        </w:tc>
        <w:tc>
          <w:tcPr>
            <w:tcW w:w="2322" w:type="dxa"/>
            <w:shd w:val="clear" w:color="auto" w:fill="auto"/>
            <w:hideMark/>
          </w:tcPr>
          <w:p w:rsidR="00DB02A6" w:rsidRPr="007D322B" w:rsidRDefault="00DB02A6" w:rsidP="00A34C43">
            <w:r w:rsidRPr="007D322B">
              <w:t>anaemia,</w:t>
            </w:r>
            <w:r w:rsidR="00EE0CCC">
              <w:t xml:space="preserve"> </w:t>
            </w:r>
            <w:r w:rsidRPr="007D322B">
              <w:t>leukopenia,</w:t>
            </w:r>
            <w:r w:rsidR="00EE0CCC">
              <w:t xml:space="preserve"> </w:t>
            </w:r>
            <w:r w:rsidRPr="007D322B">
              <w:t>neutropenia,</w:t>
            </w:r>
            <w:r w:rsidR="00EE0CCC">
              <w:t xml:space="preserve"> </w:t>
            </w:r>
            <w:r w:rsidRPr="007D322B">
              <w:t>thrombocytopenia</w:t>
            </w:r>
            <w:r w:rsidR="00EE0CCC">
              <w:t xml:space="preserve"> </w:t>
            </w:r>
          </w:p>
        </w:tc>
        <w:tc>
          <w:tcPr>
            <w:tcW w:w="2492" w:type="dxa"/>
            <w:shd w:val="clear" w:color="auto" w:fill="auto"/>
            <w:hideMark/>
          </w:tcPr>
          <w:p w:rsidR="00DB02A6" w:rsidRPr="007D322B" w:rsidRDefault="00DB02A6" w:rsidP="00A34C43">
            <w:r w:rsidRPr="007D322B">
              <w:t>lymphopenia</w:t>
            </w:r>
            <w:r w:rsidR="00EE0CCC">
              <w:t xml:space="preserve"> </w:t>
            </w:r>
          </w:p>
        </w:tc>
        <w:tc>
          <w:tcPr>
            <w:tcW w:w="2316" w:type="dxa"/>
            <w:shd w:val="clear" w:color="auto" w:fill="auto"/>
            <w:hideMark/>
          </w:tcPr>
          <w:p w:rsidR="00DB02A6" w:rsidRPr="007D322B" w:rsidRDefault="00DB02A6" w:rsidP="00A34C43">
            <w:r w:rsidRPr="007D322B">
              <w:t>disseminated</w:t>
            </w:r>
            <w:r w:rsidR="00EE0CCC">
              <w:t xml:space="preserve"> </w:t>
            </w:r>
            <w:r w:rsidRPr="007D322B">
              <w:t>intravascular</w:t>
            </w:r>
            <w:r w:rsidR="00EE0CCC">
              <w:t xml:space="preserve"> </w:t>
            </w:r>
            <w:r w:rsidRPr="007D322B">
              <w:t>coagulation,</w:t>
            </w:r>
            <w:r w:rsidR="00EE0CCC">
              <w:t xml:space="preserve"> </w:t>
            </w:r>
            <w:r w:rsidRPr="007D322B">
              <w:t>eosinophilia</w:t>
            </w:r>
          </w:p>
        </w:tc>
      </w:tr>
      <w:tr w:rsidR="00DB02A6" w:rsidRPr="007D322B" w:rsidDel="00D2587D" w:rsidTr="00DB02A6">
        <w:tc>
          <w:tcPr>
            <w:tcW w:w="2157" w:type="dxa"/>
            <w:shd w:val="clear" w:color="auto" w:fill="auto"/>
            <w:hideMark/>
          </w:tcPr>
          <w:p w:rsidR="00DB02A6" w:rsidRPr="007D322B" w:rsidDel="00D2587D" w:rsidRDefault="00DB02A6" w:rsidP="00A34C43">
            <w:r w:rsidRPr="007D322B">
              <w:t>Immune</w:t>
            </w:r>
            <w:r w:rsidR="00EE0CCC">
              <w:t xml:space="preserve"> </w:t>
            </w:r>
            <w:r w:rsidRPr="007D322B">
              <w:t>system</w:t>
            </w:r>
            <w:r w:rsidR="00EE0CCC">
              <w:t xml:space="preserve"> </w:t>
            </w:r>
            <w:r w:rsidRPr="007D322B">
              <w:t>disorders</w:t>
            </w:r>
          </w:p>
        </w:tc>
        <w:tc>
          <w:tcPr>
            <w:tcW w:w="2322" w:type="dxa"/>
            <w:shd w:val="clear" w:color="auto" w:fill="auto"/>
          </w:tcPr>
          <w:p w:rsidR="00DB02A6" w:rsidRPr="007D322B" w:rsidDel="00D2587D" w:rsidRDefault="00DB02A6" w:rsidP="00A34C43">
            <w:r w:rsidRPr="007D322B">
              <w:t>hypersensitivity</w:t>
            </w:r>
            <w:r w:rsidR="00EE0CCC">
              <w:t xml:space="preserve"> </w:t>
            </w:r>
            <w:r w:rsidRPr="007D322B">
              <w:t>,</w:t>
            </w:r>
            <w:r w:rsidR="00EE0CCC">
              <w:t xml:space="preserve"> </w:t>
            </w:r>
            <w:r w:rsidRPr="007D322B">
              <w:t>cytokine</w:t>
            </w:r>
            <w:r w:rsidR="00EE0CCC">
              <w:t xml:space="preserve"> </w:t>
            </w:r>
            <w:r w:rsidRPr="007D322B">
              <w:t>release</w:t>
            </w:r>
            <w:r w:rsidR="00EE0CCC">
              <w:t xml:space="preserve"> </w:t>
            </w:r>
            <w:r w:rsidRPr="007D322B">
              <w:t>syndrome</w:t>
            </w:r>
          </w:p>
        </w:tc>
        <w:tc>
          <w:tcPr>
            <w:tcW w:w="2492" w:type="dxa"/>
            <w:shd w:val="clear" w:color="auto" w:fill="auto"/>
            <w:hideMark/>
          </w:tcPr>
          <w:p w:rsidR="00DB02A6" w:rsidRPr="007D322B" w:rsidDel="00D2587D" w:rsidRDefault="00DB02A6" w:rsidP="00A34C43">
            <w:r w:rsidRPr="007D322B">
              <w:t>anaphylactic</w:t>
            </w:r>
            <w:r w:rsidR="00EE0CCC">
              <w:t xml:space="preserve"> </w:t>
            </w:r>
            <w:r w:rsidRPr="007D322B">
              <w:t>reaction</w:t>
            </w:r>
            <w:r w:rsidR="00EE0CCC">
              <w:t xml:space="preserve"> </w:t>
            </w:r>
          </w:p>
        </w:tc>
        <w:tc>
          <w:tcPr>
            <w:tcW w:w="2316" w:type="dxa"/>
            <w:shd w:val="clear" w:color="auto" w:fill="auto"/>
            <w:hideMark/>
          </w:tcPr>
          <w:p w:rsidR="00DB02A6" w:rsidRPr="007D322B" w:rsidDel="00D2587D" w:rsidRDefault="00DB02A6" w:rsidP="00A34C43">
            <w:r w:rsidRPr="007D322B">
              <w:t>serum</w:t>
            </w:r>
            <w:r w:rsidR="00EE0CCC">
              <w:t xml:space="preserve"> </w:t>
            </w:r>
            <w:r w:rsidRPr="007D322B">
              <w:t>sickness</w:t>
            </w:r>
            <w:r w:rsidR="00EE0CCC">
              <w:t xml:space="preserve"> </w:t>
            </w:r>
          </w:p>
        </w:tc>
      </w:tr>
      <w:tr w:rsidR="00DB02A6" w:rsidRPr="007D322B" w:rsidDel="00D2587D" w:rsidTr="00DB02A6">
        <w:tc>
          <w:tcPr>
            <w:tcW w:w="2157" w:type="dxa"/>
            <w:shd w:val="clear" w:color="auto" w:fill="auto"/>
            <w:hideMark/>
          </w:tcPr>
          <w:p w:rsidR="00DB02A6" w:rsidRPr="007D322B" w:rsidDel="00D2587D" w:rsidRDefault="00DB02A6" w:rsidP="00A34C43">
            <w:r w:rsidRPr="007D322B">
              <w:t>Metabolism</w:t>
            </w:r>
            <w:r w:rsidR="00EE0CCC">
              <w:t xml:space="preserve"> </w:t>
            </w:r>
            <w:r w:rsidRPr="007D322B">
              <w:t>and</w:t>
            </w:r>
            <w:r w:rsidR="00EE0CCC">
              <w:t xml:space="preserve"> </w:t>
            </w:r>
            <w:r w:rsidRPr="007D322B">
              <w:t>nutrition</w:t>
            </w:r>
            <w:r w:rsidR="00EE0CCC">
              <w:t xml:space="preserve"> </w:t>
            </w:r>
            <w:r w:rsidRPr="007D322B">
              <w:t>disorders</w:t>
            </w:r>
          </w:p>
        </w:tc>
        <w:tc>
          <w:tcPr>
            <w:tcW w:w="2322" w:type="dxa"/>
            <w:shd w:val="clear" w:color="auto" w:fill="auto"/>
            <w:hideMark/>
          </w:tcPr>
          <w:p w:rsidR="00DB02A6" w:rsidRPr="007D322B" w:rsidDel="00D2587D" w:rsidRDefault="00DB02A6" w:rsidP="00A34C43">
            <w:r w:rsidRPr="007D322B">
              <w:t>fluid</w:t>
            </w:r>
            <w:r w:rsidR="00EE0CCC">
              <w:t xml:space="preserve"> </w:t>
            </w:r>
            <w:r w:rsidRPr="007D322B">
              <w:t>retention</w:t>
            </w:r>
          </w:p>
        </w:tc>
        <w:tc>
          <w:tcPr>
            <w:tcW w:w="2492" w:type="dxa"/>
            <w:shd w:val="clear" w:color="auto" w:fill="auto"/>
            <w:hideMark/>
          </w:tcPr>
          <w:p w:rsidR="00DB02A6" w:rsidRPr="007D322B" w:rsidDel="00D2587D" w:rsidRDefault="00DB02A6" w:rsidP="00A34C43">
            <w:r w:rsidRPr="007D322B">
              <w:t>decreased</w:t>
            </w:r>
            <w:r w:rsidR="00EE0CCC">
              <w:t xml:space="preserve"> </w:t>
            </w:r>
            <w:r w:rsidRPr="007D322B">
              <w:t>appetite,</w:t>
            </w:r>
            <w:r w:rsidR="00EE0CCC">
              <w:t xml:space="preserve"> </w:t>
            </w:r>
            <w:r w:rsidRPr="007D322B">
              <w:t>hypoalbuminaemia,</w:t>
            </w:r>
            <w:r w:rsidR="00EE0CCC">
              <w:t xml:space="preserve"> </w:t>
            </w:r>
            <w:r w:rsidRPr="007D322B">
              <w:t>hyponatraemia,</w:t>
            </w:r>
            <w:r w:rsidR="00EE0CCC">
              <w:t xml:space="preserve"> </w:t>
            </w:r>
            <w:r w:rsidRPr="007D322B">
              <w:t>hypokalaemia,</w:t>
            </w:r>
            <w:r w:rsidR="00EE0CCC">
              <w:t xml:space="preserve"> </w:t>
            </w:r>
            <w:r w:rsidRPr="007D322B">
              <w:t>hypophosphataemia,</w:t>
            </w:r>
            <w:r w:rsidR="00EE0CCC">
              <w:t xml:space="preserve"> </w:t>
            </w:r>
            <w:r w:rsidRPr="007D322B">
              <w:t>hypomagnesaemia,</w:t>
            </w:r>
            <w:r w:rsidR="00EE0CCC">
              <w:t xml:space="preserve"> </w:t>
            </w:r>
            <w:r w:rsidRPr="007D322B">
              <w:t>hypocalcaemia,</w:t>
            </w:r>
            <w:r w:rsidR="00EE0CCC">
              <w:t xml:space="preserve"> </w:t>
            </w:r>
            <w:r w:rsidRPr="007D322B">
              <w:t>dehydration</w:t>
            </w:r>
          </w:p>
        </w:tc>
        <w:tc>
          <w:tcPr>
            <w:tcW w:w="2316" w:type="dxa"/>
            <w:shd w:val="clear" w:color="auto" w:fill="auto"/>
            <w:hideMark/>
          </w:tcPr>
          <w:p w:rsidR="00DB02A6" w:rsidRPr="007D322B" w:rsidDel="00D2587D" w:rsidRDefault="00DB02A6" w:rsidP="00A34C43"/>
        </w:tc>
      </w:tr>
      <w:tr w:rsidR="00DB02A6" w:rsidRPr="007D322B" w:rsidTr="00DB02A6">
        <w:tc>
          <w:tcPr>
            <w:tcW w:w="2157" w:type="dxa"/>
            <w:shd w:val="clear" w:color="auto" w:fill="auto"/>
          </w:tcPr>
          <w:p w:rsidR="00DB02A6" w:rsidRPr="007D322B" w:rsidRDefault="00DB02A6" w:rsidP="00A34C43">
            <w:r w:rsidRPr="007D322B">
              <w:t>Psychiatric</w:t>
            </w:r>
            <w:r w:rsidR="00EE0CCC">
              <w:t xml:space="preserve"> </w:t>
            </w:r>
            <w:r w:rsidRPr="007D322B">
              <w:t>disorders</w:t>
            </w:r>
          </w:p>
        </w:tc>
        <w:tc>
          <w:tcPr>
            <w:tcW w:w="2322" w:type="dxa"/>
            <w:shd w:val="clear" w:color="auto" w:fill="auto"/>
          </w:tcPr>
          <w:p w:rsidR="00DB02A6" w:rsidRPr="007D322B" w:rsidRDefault="00DB02A6" w:rsidP="00A34C43"/>
        </w:tc>
        <w:tc>
          <w:tcPr>
            <w:tcW w:w="2492" w:type="dxa"/>
            <w:shd w:val="clear" w:color="auto" w:fill="auto"/>
          </w:tcPr>
          <w:p w:rsidR="00DB02A6" w:rsidRPr="007D322B" w:rsidRDefault="00DB02A6" w:rsidP="00A34C43">
            <w:r w:rsidRPr="007D322B">
              <w:t>agitation,</w:t>
            </w:r>
            <w:r w:rsidR="00EE0CCC">
              <w:t xml:space="preserve"> </w:t>
            </w:r>
            <w:r w:rsidRPr="007D322B">
              <w:t>anxiety</w:t>
            </w:r>
          </w:p>
        </w:tc>
        <w:tc>
          <w:tcPr>
            <w:tcW w:w="2316" w:type="dxa"/>
            <w:shd w:val="clear" w:color="auto" w:fill="auto"/>
          </w:tcPr>
          <w:p w:rsidR="00DB02A6" w:rsidRPr="007D322B" w:rsidRDefault="00DB02A6" w:rsidP="00A34C43"/>
        </w:tc>
      </w:tr>
      <w:tr w:rsidR="00DB02A6" w:rsidRPr="007D322B" w:rsidTr="00DB02A6">
        <w:tc>
          <w:tcPr>
            <w:tcW w:w="2157" w:type="dxa"/>
            <w:shd w:val="clear" w:color="auto" w:fill="auto"/>
            <w:hideMark/>
          </w:tcPr>
          <w:p w:rsidR="00DB02A6" w:rsidRPr="007D322B" w:rsidRDefault="00DB02A6" w:rsidP="00A34C43">
            <w:r w:rsidRPr="007D322B">
              <w:t>Nervous</w:t>
            </w:r>
            <w:r w:rsidR="00EE0CCC">
              <w:t xml:space="preserve"> </w:t>
            </w:r>
            <w:r w:rsidRPr="007D322B">
              <w:t>system</w:t>
            </w:r>
            <w:r w:rsidR="00EE0CCC">
              <w:t xml:space="preserve"> </w:t>
            </w:r>
            <w:r w:rsidRPr="007D322B">
              <w:t>disorders</w:t>
            </w:r>
          </w:p>
        </w:tc>
        <w:tc>
          <w:tcPr>
            <w:tcW w:w="2322" w:type="dxa"/>
            <w:shd w:val="clear" w:color="auto" w:fill="auto"/>
          </w:tcPr>
          <w:p w:rsidR="00DB02A6" w:rsidRPr="007D322B" w:rsidRDefault="00DB02A6" w:rsidP="00A34C43">
            <w:r w:rsidRPr="007D322B">
              <w:t>headache</w:t>
            </w:r>
          </w:p>
        </w:tc>
        <w:tc>
          <w:tcPr>
            <w:tcW w:w="2492" w:type="dxa"/>
            <w:shd w:val="clear" w:color="auto" w:fill="auto"/>
            <w:hideMark/>
          </w:tcPr>
          <w:p w:rsidR="00DB02A6" w:rsidRPr="007D322B" w:rsidRDefault="00DB02A6" w:rsidP="00A34C43">
            <w:r w:rsidRPr="007D322B">
              <w:t>peripheral</w:t>
            </w:r>
            <w:r w:rsidR="00EE0CCC">
              <w:t xml:space="preserve"> </w:t>
            </w:r>
            <w:r w:rsidRPr="007D322B">
              <w:t>neuropathy,</w:t>
            </w:r>
            <w:r w:rsidR="00EE0CCC">
              <w:t xml:space="preserve"> </w:t>
            </w:r>
            <w:r w:rsidRPr="007D322B">
              <w:t>seizure,</w:t>
            </w:r>
            <w:r w:rsidR="00EE0CCC">
              <w:t xml:space="preserve"> </w:t>
            </w:r>
            <w:r w:rsidRPr="007D322B">
              <w:t>paraesthesia,</w:t>
            </w:r>
            <w:r w:rsidR="00EE0CCC">
              <w:t xml:space="preserve"> </w:t>
            </w:r>
            <w:r w:rsidRPr="007D322B">
              <w:t>dizziness,</w:t>
            </w:r>
            <w:r w:rsidR="00EE0CCC">
              <w:t xml:space="preserve"> </w:t>
            </w:r>
            <w:r w:rsidRPr="007D322B">
              <w:t>tremor</w:t>
            </w:r>
          </w:p>
        </w:tc>
        <w:tc>
          <w:tcPr>
            <w:tcW w:w="2316" w:type="dxa"/>
            <w:shd w:val="clear" w:color="auto" w:fill="auto"/>
            <w:hideMark/>
          </w:tcPr>
          <w:p w:rsidR="00DB02A6" w:rsidRPr="007D322B" w:rsidRDefault="00DB02A6" w:rsidP="00A34C43">
            <w:r w:rsidRPr="007D322B">
              <w:t>intracranial</w:t>
            </w:r>
            <w:r w:rsidR="00EE0CCC">
              <w:t xml:space="preserve"> </w:t>
            </w:r>
            <w:r w:rsidRPr="007D322B">
              <w:t>pressure</w:t>
            </w:r>
            <w:r w:rsidR="00EE0CCC">
              <w:t xml:space="preserve"> </w:t>
            </w:r>
            <w:r w:rsidRPr="007D322B">
              <w:t>increased,</w:t>
            </w:r>
            <w:r w:rsidR="00EE0CCC">
              <w:t xml:space="preserve"> </w:t>
            </w:r>
            <w:r w:rsidRPr="007D322B">
              <w:t>posterior</w:t>
            </w:r>
            <w:r w:rsidR="00EE0CCC">
              <w:t xml:space="preserve"> </w:t>
            </w:r>
            <w:r w:rsidRPr="007D322B">
              <w:t>reversible</w:t>
            </w:r>
            <w:r w:rsidR="00EE0CCC">
              <w:t xml:space="preserve"> </w:t>
            </w:r>
            <w:r w:rsidRPr="007D322B">
              <w:t>encephalopathy</w:t>
            </w:r>
            <w:r w:rsidR="00EE0CCC">
              <w:t xml:space="preserve"> </w:t>
            </w:r>
            <w:r w:rsidRPr="007D322B">
              <w:t>syndrome</w:t>
            </w:r>
          </w:p>
        </w:tc>
      </w:tr>
      <w:tr w:rsidR="00DB02A6" w:rsidRPr="007D322B" w:rsidTr="00DB02A6">
        <w:tc>
          <w:tcPr>
            <w:tcW w:w="2157" w:type="dxa"/>
            <w:shd w:val="clear" w:color="auto" w:fill="auto"/>
            <w:hideMark/>
          </w:tcPr>
          <w:p w:rsidR="00DB02A6" w:rsidRPr="007D322B" w:rsidRDefault="00DB02A6" w:rsidP="00A34C43">
            <w:r w:rsidRPr="007D322B">
              <w:t>Eye</w:t>
            </w:r>
            <w:r w:rsidR="00EE0CCC">
              <w:t xml:space="preserve"> </w:t>
            </w:r>
            <w:r w:rsidRPr="007D322B">
              <w:t>disorders</w:t>
            </w:r>
          </w:p>
        </w:tc>
        <w:tc>
          <w:tcPr>
            <w:tcW w:w="2322" w:type="dxa"/>
            <w:shd w:val="clear" w:color="auto" w:fill="auto"/>
            <w:hideMark/>
          </w:tcPr>
          <w:p w:rsidR="00DB02A6" w:rsidRPr="007D322B" w:rsidRDefault="00DB02A6" w:rsidP="00A34C43">
            <w:r w:rsidRPr="007D322B">
              <w:t>mydriasis,</w:t>
            </w:r>
            <w:r w:rsidR="00EE0CCC">
              <w:t xml:space="preserve"> </w:t>
            </w:r>
            <w:r w:rsidRPr="007D322B">
              <w:t>pupillotonia,</w:t>
            </w:r>
            <w:r w:rsidR="00EE0CCC">
              <w:t xml:space="preserve"> </w:t>
            </w:r>
            <w:r w:rsidRPr="007D322B">
              <w:t>eye</w:t>
            </w:r>
            <w:r w:rsidR="00EE0CCC">
              <w:t xml:space="preserve"> </w:t>
            </w:r>
            <w:r w:rsidRPr="007D322B">
              <w:t>oedema</w:t>
            </w:r>
            <w:r w:rsidR="00EE0CCC">
              <w:t xml:space="preserve"> </w:t>
            </w:r>
            <w:r w:rsidRPr="007D322B">
              <w:t>(eyelid,</w:t>
            </w:r>
            <w:r w:rsidR="00EE0CCC">
              <w:t xml:space="preserve"> </w:t>
            </w:r>
            <w:r w:rsidRPr="007D322B">
              <w:t>periorbital)</w:t>
            </w:r>
          </w:p>
        </w:tc>
        <w:tc>
          <w:tcPr>
            <w:tcW w:w="2492" w:type="dxa"/>
            <w:shd w:val="clear" w:color="auto" w:fill="auto"/>
            <w:hideMark/>
          </w:tcPr>
          <w:p w:rsidR="00DB02A6" w:rsidRPr="007D322B" w:rsidRDefault="00DB02A6" w:rsidP="00A34C43">
            <w:r w:rsidRPr="007D322B">
              <w:t>ophthalmoplegia,</w:t>
            </w:r>
            <w:r w:rsidR="00EE0CCC">
              <w:t xml:space="preserve"> </w:t>
            </w:r>
            <w:r w:rsidRPr="007D322B">
              <w:t>papilloedema,</w:t>
            </w:r>
            <w:r w:rsidR="00EE0CCC">
              <w:t xml:space="preserve"> </w:t>
            </w:r>
            <w:r w:rsidRPr="007D322B">
              <w:t>accommodation</w:t>
            </w:r>
            <w:r w:rsidR="00EE0CCC">
              <w:t xml:space="preserve"> </w:t>
            </w:r>
            <w:r w:rsidRPr="007D322B">
              <w:t>disorder,</w:t>
            </w:r>
            <w:r w:rsidR="00EE0CCC">
              <w:t xml:space="preserve"> </w:t>
            </w:r>
            <w:r w:rsidRPr="007D322B">
              <w:t>blurred</w:t>
            </w:r>
            <w:r w:rsidR="00EE0CCC">
              <w:t xml:space="preserve"> </w:t>
            </w:r>
            <w:r w:rsidRPr="007D322B">
              <w:t>vision,</w:t>
            </w:r>
            <w:r w:rsidR="00EE0CCC">
              <w:t xml:space="preserve"> </w:t>
            </w:r>
            <w:r w:rsidRPr="007D322B">
              <w:t>photophobia</w:t>
            </w:r>
          </w:p>
        </w:tc>
        <w:tc>
          <w:tcPr>
            <w:tcW w:w="2316" w:type="dxa"/>
            <w:shd w:val="clear" w:color="auto" w:fill="auto"/>
            <w:hideMark/>
          </w:tcPr>
          <w:p w:rsidR="00DB02A6" w:rsidRPr="007D322B" w:rsidRDefault="00DB02A6" w:rsidP="00A34C43"/>
        </w:tc>
      </w:tr>
      <w:tr w:rsidR="00DB02A6" w:rsidRPr="007D322B" w:rsidTr="00DB02A6">
        <w:tc>
          <w:tcPr>
            <w:tcW w:w="2157" w:type="dxa"/>
            <w:shd w:val="clear" w:color="auto" w:fill="auto"/>
            <w:hideMark/>
          </w:tcPr>
          <w:p w:rsidR="00DB02A6" w:rsidRPr="007D322B" w:rsidRDefault="00DB02A6" w:rsidP="00A34C43">
            <w:r w:rsidRPr="007D322B">
              <w:t>Cardiac</w:t>
            </w:r>
            <w:r w:rsidR="00EE0CCC">
              <w:t xml:space="preserve"> </w:t>
            </w:r>
            <w:r w:rsidRPr="007D322B">
              <w:t>disorders</w:t>
            </w:r>
          </w:p>
        </w:tc>
        <w:tc>
          <w:tcPr>
            <w:tcW w:w="2322" w:type="dxa"/>
            <w:shd w:val="clear" w:color="auto" w:fill="auto"/>
            <w:hideMark/>
          </w:tcPr>
          <w:p w:rsidR="00DB02A6" w:rsidRPr="007D322B" w:rsidRDefault="00DB02A6" w:rsidP="00A34C43">
            <w:r w:rsidRPr="007D322B">
              <w:t>tachycardia</w:t>
            </w:r>
          </w:p>
        </w:tc>
        <w:tc>
          <w:tcPr>
            <w:tcW w:w="2492" w:type="dxa"/>
            <w:shd w:val="clear" w:color="auto" w:fill="auto"/>
            <w:hideMark/>
          </w:tcPr>
          <w:p w:rsidR="00DB02A6" w:rsidRPr="007D322B" w:rsidRDefault="00DB02A6" w:rsidP="00A34C43">
            <w:r w:rsidRPr="007D322B">
              <w:t>cardiac</w:t>
            </w:r>
            <w:r w:rsidR="00EE0CCC">
              <w:t xml:space="preserve"> </w:t>
            </w:r>
            <w:r w:rsidRPr="007D322B">
              <w:t>failure,</w:t>
            </w:r>
            <w:r w:rsidR="00EE0CCC">
              <w:t xml:space="preserve"> </w:t>
            </w:r>
            <w:r w:rsidRPr="007D322B">
              <w:t>left</w:t>
            </w:r>
            <w:r w:rsidR="00EE0CCC">
              <w:t xml:space="preserve"> </w:t>
            </w:r>
            <w:r w:rsidRPr="007D322B">
              <w:t>ventricular</w:t>
            </w:r>
            <w:r w:rsidR="00EE0CCC">
              <w:t xml:space="preserve"> </w:t>
            </w:r>
            <w:r w:rsidRPr="007D322B">
              <w:lastRenderedPageBreak/>
              <w:t>dysfunction,</w:t>
            </w:r>
            <w:r w:rsidR="00EE0CCC">
              <w:t xml:space="preserve"> </w:t>
            </w:r>
            <w:r w:rsidRPr="007D322B">
              <w:t>pericardial</w:t>
            </w:r>
            <w:r w:rsidR="00EE0CCC">
              <w:t xml:space="preserve"> </w:t>
            </w:r>
            <w:r w:rsidRPr="007D322B">
              <w:t>effusion</w:t>
            </w:r>
            <w:r w:rsidR="00EE0CCC">
              <w:t xml:space="preserve"> </w:t>
            </w:r>
          </w:p>
        </w:tc>
        <w:tc>
          <w:tcPr>
            <w:tcW w:w="2316" w:type="dxa"/>
            <w:shd w:val="clear" w:color="auto" w:fill="auto"/>
          </w:tcPr>
          <w:p w:rsidR="00DB02A6" w:rsidRPr="007D322B" w:rsidRDefault="00DB02A6" w:rsidP="00A34C43"/>
        </w:tc>
      </w:tr>
      <w:tr w:rsidR="00DB02A6" w:rsidRPr="007D322B" w:rsidTr="00DB02A6">
        <w:tc>
          <w:tcPr>
            <w:tcW w:w="2157" w:type="dxa"/>
            <w:shd w:val="clear" w:color="auto" w:fill="auto"/>
            <w:hideMark/>
          </w:tcPr>
          <w:p w:rsidR="00DB02A6" w:rsidRPr="007D322B" w:rsidRDefault="00DB02A6" w:rsidP="00A34C43">
            <w:r w:rsidRPr="007D322B">
              <w:t>Vascular</w:t>
            </w:r>
            <w:r w:rsidR="00EE0CCC">
              <w:t xml:space="preserve"> </w:t>
            </w:r>
            <w:r w:rsidRPr="007D322B">
              <w:t>disorders</w:t>
            </w:r>
          </w:p>
        </w:tc>
        <w:tc>
          <w:tcPr>
            <w:tcW w:w="2322" w:type="dxa"/>
            <w:shd w:val="clear" w:color="auto" w:fill="auto"/>
            <w:hideMark/>
          </w:tcPr>
          <w:p w:rsidR="00DB02A6" w:rsidRPr="007D322B" w:rsidRDefault="00DB02A6" w:rsidP="00A34C43">
            <w:r w:rsidRPr="007D322B">
              <w:t>hypotension,</w:t>
            </w:r>
            <w:r w:rsidR="00EE0CCC">
              <w:t xml:space="preserve"> </w:t>
            </w:r>
            <w:r w:rsidRPr="007D322B">
              <w:t>capillary</w:t>
            </w:r>
            <w:r w:rsidR="00EE0CCC">
              <w:t xml:space="preserve"> </w:t>
            </w:r>
            <w:r w:rsidRPr="007D322B">
              <w:t>leak</w:t>
            </w:r>
            <w:r w:rsidR="00EE0CCC">
              <w:t xml:space="preserve"> </w:t>
            </w:r>
            <w:r w:rsidRPr="007D322B">
              <w:t>syndrome</w:t>
            </w:r>
          </w:p>
        </w:tc>
        <w:tc>
          <w:tcPr>
            <w:tcW w:w="2492" w:type="dxa"/>
            <w:shd w:val="clear" w:color="auto" w:fill="auto"/>
            <w:hideMark/>
          </w:tcPr>
          <w:p w:rsidR="00DB02A6" w:rsidRPr="007D322B" w:rsidRDefault="00DB02A6" w:rsidP="00A34C43">
            <w:r w:rsidRPr="007D322B">
              <w:t>hypertension</w:t>
            </w:r>
          </w:p>
        </w:tc>
        <w:tc>
          <w:tcPr>
            <w:tcW w:w="2316" w:type="dxa"/>
            <w:shd w:val="clear" w:color="auto" w:fill="auto"/>
          </w:tcPr>
          <w:p w:rsidR="00DB02A6" w:rsidRPr="007D322B" w:rsidRDefault="00DB02A6" w:rsidP="00A34C43">
            <w:r w:rsidRPr="007D322B">
              <w:t>hypovolaemic</w:t>
            </w:r>
            <w:r w:rsidR="00EE0CCC">
              <w:t xml:space="preserve"> </w:t>
            </w:r>
            <w:r w:rsidRPr="007D322B">
              <w:t>shock,</w:t>
            </w:r>
            <w:r w:rsidR="00EE0CCC">
              <w:t xml:space="preserve"> </w:t>
            </w:r>
            <w:r w:rsidRPr="007D322B">
              <w:t>veno-occlusive</w:t>
            </w:r>
            <w:r w:rsidR="00EE0CCC">
              <w:t xml:space="preserve"> </w:t>
            </w:r>
            <w:r w:rsidRPr="007D322B">
              <w:t>disease</w:t>
            </w:r>
          </w:p>
        </w:tc>
      </w:tr>
      <w:tr w:rsidR="00DB02A6" w:rsidRPr="007D322B" w:rsidTr="00DB02A6">
        <w:tc>
          <w:tcPr>
            <w:tcW w:w="2157" w:type="dxa"/>
            <w:shd w:val="clear" w:color="auto" w:fill="auto"/>
            <w:hideMark/>
          </w:tcPr>
          <w:p w:rsidR="00DB02A6" w:rsidRPr="007D322B" w:rsidRDefault="00DB02A6" w:rsidP="00A34C43">
            <w:r w:rsidRPr="007D322B">
              <w:t>Respiratory,</w:t>
            </w:r>
            <w:r w:rsidR="00EE0CCC">
              <w:t xml:space="preserve"> </w:t>
            </w:r>
            <w:r w:rsidRPr="007D322B">
              <w:t>thoracic</w:t>
            </w:r>
            <w:r w:rsidR="00EE0CCC">
              <w:t xml:space="preserve"> </w:t>
            </w:r>
            <w:r w:rsidRPr="007D322B">
              <w:t>and</w:t>
            </w:r>
            <w:r w:rsidR="00EE0CCC">
              <w:t xml:space="preserve"> </w:t>
            </w:r>
            <w:r w:rsidRPr="007D322B">
              <w:t>mediastinal</w:t>
            </w:r>
            <w:r w:rsidR="00EE0CCC">
              <w:t xml:space="preserve"> </w:t>
            </w:r>
            <w:r w:rsidRPr="007D322B">
              <w:t>disorders</w:t>
            </w:r>
          </w:p>
        </w:tc>
        <w:tc>
          <w:tcPr>
            <w:tcW w:w="2322" w:type="dxa"/>
            <w:shd w:val="clear" w:color="auto" w:fill="auto"/>
            <w:hideMark/>
          </w:tcPr>
          <w:p w:rsidR="00DB02A6" w:rsidRPr="007D322B" w:rsidRDefault="00DB02A6" w:rsidP="00A34C43">
            <w:r w:rsidRPr="007D322B">
              <w:t>hypoxia,</w:t>
            </w:r>
            <w:r w:rsidR="00EE0CCC">
              <w:t xml:space="preserve"> </w:t>
            </w:r>
            <w:r w:rsidRPr="007D322B">
              <w:t>cough</w:t>
            </w:r>
            <w:r w:rsidR="00EE0CCC">
              <w:t xml:space="preserve"> </w:t>
            </w:r>
          </w:p>
        </w:tc>
        <w:tc>
          <w:tcPr>
            <w:tcW w:w="2492" w:type="dxa"/>
            <w:shd w:val="clear" w:color="auto" w:fill="auto"/>
            <w:hideMark/>
          </w:tcPr>
          <w:p w:rsidR="00DB02A6" w:rsidRPr="007D322B" w:rsidRDefault="00AA5668" w:rsidP="00A34C43">
            <w:r>
              <w:t>b</w:t>
            </w:r>
            <w:r w:rsidR="00DB02A6" w:rsidRPr="007D322B">
              <w:t>ronchospasm,</w:t>
            </w:r>
            <w:r w:rsidR="00EE0CCC">
              <w:t xml:space="preserve"> </w:t>
            </w:r>
            <w:r w:rsidR="00DB02A6" w:rsidRPr="007D322B">
              <w:t>dyspnoea,</w:t>
            </w:r>
            <w:r w:rsidR="00EE0CCC">
              <w:t xml:space="preserve"> </w:t>
            </w:r>
            <w:r w:rsidR="00DB02A6" w:rsidRPr="007D322B">
              <w:t>respiratory</w:t>
            </w:r>
            <w:r w:rsidR="00EE0CCC">
              <w:t xml:space="preserve"> </w:t>
            </w:r>
            <w:r w:rsidR="00DB02A6" w:rsidRPr="007D322B">
              <w:t>failure,</w:t>
            </w:r>
            <w:r w:rsidR="00EE0CCC">
              <w:t xml:space="preserve"> </w:t>
            </w:r>
            <w:r w:rsidR="00DB02A6" w:rsidRPr="007D322B">
              <w:t>lung</w:t>
            </w:r>
            <w:r w:rsidR="00EE0CCC">
              <w:t xml:space="preserve"> </w:t>
            </w:r>
            <w:r w:rsidR="00DB02A6" w:rsidRPr="007D322B">
              <w:t>infiltration,</w:t>
            </w:r>
            <w:r w:rsidR="00EE0CCC">
              <w:t xml:space="preserve"> </w:t>
            </w:r>
            <w:r w:rsidR="00DB02A6" w:rsidRPr="007D322B">
              <w:t>pulmonary</w:t>
            </w:r>
            <w:r w:rsidR="00EE0CCC">
              <w:t xml:space="preserve"> </w:t>
            </w:r>
            <w:r w:rsidR="00DB02A6" w:rsidRPr="007D322B">
              <w:t>oedema,</w:t>
            </w:r>
            <w:r w:rsidR="00EE0CCC">
              <w:t xml:space="preserve"> </w:t>
            </w:r>
            <w:r w:rsidR="00DB02A6" w:rsidRPr="007D322B">
              <w:t>pleural</w:t>
            </w:r>
            <w:r w:rsidR="00EE0CCC">
              <w:t xml:space="preserve"> </w:t>
            </w:r>
            <w:r w:rsidR="00DB02A6" w:rsidRPr="007D322B">
              <w:t>effusion,</w:t>
            </w:r>
            <w:r w:rsidR="00EE0CCC">
              <w:t xml:space="preserve"> </w:t>
            </w:r>
            <w:r w:rsidR="00DB02A6" w:rsidRPr="007D322B">
              <w:t>tachypnoea,</w:t>
            </w:r>
            <w:r w:rsidR="00EE0CCC">
              <w:t xml:space="preserve"> </w:t>
            </w:r>
            <w:r w:rsidR="00DB02A6" w:rsidRPr="007D322B">
              <w:t>laryngospasm</w:t>
            </w:r>
            <w:r w:rsidR="00EE0CCC">
              <w:t xml:space="preserve"> </w:t>
            </w:r>
          </w:p>
        </w:tc>
        <w:tc>
          <w:tcPr>
            <w:tcW w:w="2316" w:type="dxa"/>
            <w:shd w:val="clear" w:color="auto" w:fill="auto"/>
            <w:hideMark/>
          </w:tcPr>
          <w:p w:rsidR="00DB02A6" w:rsidRPr="007D322B" w:rsidRDefault="00DB02A6" w:rsidP="00A34C43"/>
        </w:tc>
      </w:tr>
      <w:tr w:rsidR="00DB02A6" w:rsidRPr="007D322B" w:rsidTr="00DB02A6">
        <w:tc>
          <w:tcPr>
            <w:tcW w:w="2157" w:type="dxa"/>
            <w:shd w:val="clear" w:color="auto" w:fill="auto"/>
            <w:hideMark/>
          </w:tcPr>
          <w:p w:rsidR="00DB02A6" w:rsidRPr="007D322B" w:rsidRDefault="00DB02A6" w:rsidP="00A34C43">
            <w:r w:rsidRPr="007D322B">
              <w:t>Gastrointestinal</w:t>
            </w:r>
            <w:r w:rsidR="00EE0CCC">
              <w:t xml:space="preserve"> </w:t>
            </w:r>
            <w:r w:rsidRPr="007D322B">
              <w:t>disorders</w:t>
            </w:r>
          </w:p>
        </w:tc>
        <w:tc>
          <w:tcPr>
            <w:tcW w:w="2322" w:type="dxa"/>
            <w:shd w:val="clear" w:color="auto" w:fill="auto"/>
            <w:hideMark/>
          </w:tcPr>
          <w:p w:rsidR="00DB02A6" w:rsidRPr="007D322B" w:rsidRDefault="00DB02A6" w:rsidP="00A34C43">
            <w:r w:rsidRPr="007D322B">
              <w:t>vomiting</w:t>
            </w:r>
            <w:r w:rsidR="00EE0CCC">
              <w:t xml:space="preserve"> </w:t>
            </w:r>
            <w:r w:rsidRPr="007D322B">
              <w:t>,</w:t>
            </w:r>
            <w:r w:rsidR="00EE0CCC">
              <w:t xml:space="preserve"> </w:t>
            </w:r>
            <w:r w:rsidRPr="007D322B">
              <w:t>diarrhoea,</w:t>
            </w:r>
            <w:r w:rsidR="00EE0CCC">
              <w:t xml:space="preserve"> </w:t>
            </w:r>
            <w:r w:rsidRPr="007D322B">
              <w:t>constipation,</w:t>
            </w:r>
            <w:r w:rsidR="00EE0CCC">
              <w:t xml:space="preserve"> </w:t>
            </w:r>
            <w:r w:rsidRPr="007D322B">
              <w:t>stomatitis</w:t>
            </w:r>
            <w:r w:rsidR="00EE0CCC">
              <w:t xml:space="preserve"> </w:t>
            </w:r>
          </w:p>
        </w:tc>
        <w:tc>
          <w:tcPr>
            <w:tcW w:w="2492" w:type="dxa"/>
            <w:shd w:val="clear" w:color="auto" w:fill="auto"/>
            <w:hideMark/>
          </w:tcPr>
          <w:p w:rsidR="00DB02A6" w:rsidRPr="007D322B" w:rsidRDefault="00DB02A6" w:rsidP="00A34C43">
            <w:r w:rsidRPr="007D322B">
              <w:t>nausea,</w:t>
            </w:r>
            <w:r w:rsidR="00EE0CCC">
              <w:t xml:space="preserve"> </w:t>
            </w:r>
            <w:r w:rsidRPr="007D322B">
              <w:t>lip</w:t>
            </w:r>
            <w:r w:rsidR="00EE0CCC">
              <w:t xml:space="preserve"> </w:t>
            </w:r>
            <w:r w:rsidRPr="007D322B">
              <w:t>oedema,</w:t>
            </w:r>
            <w:r w:rsidR="00EE0CCC">
              <w:t xml:space="preserve"> </w:t>
            </w:r>
            <w:r w:rsidRPr="007D322B">
              <w:t>ascites,</w:t>
            </w:r>
            <w:r w:rsidR="00EE0CCC">
              <w:t xml:space="preserve"> </w:t>
            </w:r>
            <w:r w:rsidRPr="007D322B">
              <w:t>abdominal</w:t>
            </w:r>
            <w:r w:rsidR="00EE0CCC">
              <w:t xml:space="preserve"> </w:t>
            </w:r>
            <w:r w:rsidRPr="007D322B">
              <w:t>distension,</w:t>
            </w:r>
            <w:r w:rsidR="00EE0CCC">
              <w:t xml:space="preserve"> </w:t>
            </w:r>
            <w:r w:rsidRPr="007D322B">
              <w:t>ileus,</w:t>
            </w:r>
            <w:r w:rsidR="00EE0CCC">
              <w:t xml:space="preserve"> </w:t>
            </w:r>
            <w:r w:rsidRPr="007D322B">
              <w:t>dry</w:t>
            </w:r>
            <w:r w:rsidR="00EE0CCC">
              <w:t xml:space="preserve"> </w:t>
            </w:r>
            <w:r w:rsidRPr="007D322B">
              <w:t>lips</w:t>
            </w:r>
          </w:p>
        </w:tc>
        <w:tc>
          <w:tcPr>
            <w:tcW w:w="2316" w:type="dxa"/>
            <w:shd w:val="clear" w:color="auto" w:fill="auto"/>
            <w:hideMark/>
          </w:tcPr>
          <w:p w:rsidR="00DB02A6" w:rsidRPr="007D322B" w:rsidRDefault="00DB02A6" w:rsidP="00A34C43">
            <w:r w:rsidRPr="007D322B">
              <w:t>enterocolitis</w:t>
            </w:r>
          </w:p>
        </w:tc>
      </w:tr>
      <w:tr w:rsidR="00DB02A6" w:rsidRPr="007D322B" w:rsidTr="00DB02A6">
        <w:tc>
          <w:tcPr>
            <w:tcW w:w="2157" w:type="dxa"/>
            <w:shd w:val="clear" w:color="auto" w:fill="auto"/>
            <w:hideMark/>
          </w:tcPr>
          <w:p w:rsidR="00DB02A6" w:rsidRPr="007D322B" w:rsidRDefault="00DB02A6" w:rsidP="00A34C43">
            <w:r w:rsidRPr="007D322B">
              <w:t>Hepatobiliary</w:t>
            </w:r>
            <w:r w:rsidR="00EE0CCC">
              <w:t xml:space="preserve"> </w:t>
            </w:r>
            <w:r w:rsidRPr="007D322B">
              <w:t>disorders</w:t>
            </w:r>
          </w:p>
        </w:tc>
        <w:tc>
          <w:tcPr>
            <w:tcW w:w="2322" w:type="dxa"/>
            <w:shd w:val="clear" w:color="auto" w:fill="auto"/>
          </w:tcPr>
          <w:p w:rsidR="00DB02A6" w:rsidRPr="007D322B" w:rsidRDefault="00DB02A6" w:rsidP="00A34C43"/>
        </w:tc>
        <w:tc>
          <w:tcPr>
            <w:tcW w:w="2492" w:type="dxa"/>
            <w:shd w:val="clear" w:color="auto" w:fill="auto"/>
            <w:hideMark/>
          </w:tcPr>
          <w:p w:rsidR="00DB02A6" w:rsidRPr="007D322B" w:rsidRDefault="00DB02A6" w:rsidP="00A34C43"/>
        </w:tc>
        <w:tc>
          <w:tcPr>
            <w:tcW w:w="2316" w:type="dxa"/>
            <w:shd w:val="clear" w:color="auto" w:fill="auto"/>
          </w:tcPr>
          <w:p w:rsidR="00DB02A6" w:rsidRPr="007D322B" w:rsidRDefault="00DB02A6" w:rsidP="00A34C43">
            <w:r w:rsidRPr="007D322B">
              <w:t>hepatocellular</w:t>
            </w:r>
            <w:r w:rsidR="00EE0CCC">
              <w:t xml:space="preserve"> </w:t>
            </w:r>
            <w:r w:rsidRPr="007D322B">
              <w:t>injury</w:t>
            </w:r>
          </w:p>
        </w:tc>
      </w:tr>
      <w:tr w:rsidR="00DB02A6" w:rsidRPr="007D322B" w:rsidTr="00DB02A6">
        <w:trPr>
          <w:trHeight w:val="624"/>
        </w:trPr>
        <w:tc>
          <w:tcPr>
            <w:tcW w:w="2157" w:type="dxa"/>
            <w:shd w:val="clear" w:color="auto" w:fill="auto"/>
            <w:hideMark/>
          </w:tcPr>
          <w:p w:rsidR="00DB02A6" w:rsidRPr="007D322B" w:rsidRDefault="00DB02A6" w:rsidP="00A34C43">
            <w:r w:rsidRPr="007D322B">
              <w:t>Skin</w:t>
            </w:r>
            <w:r w:rsidR="00EE0CCC">
              <w:t xml:space="preserve"> </w:t>
            </w:r>
            <w:r w:rsidRPr="007D322B">
              <w:t>and</w:t>
            </w:r>
            <w:r w:rsidR="00EE0CCC">
              <w:t xml:space="preserve"> </w:t>
            </w:r>
            <w:r w:rsidRPr="007D322B">
              <w:t>subcutaneous</w:t>
            </w:r>
            <w:r w:rsidR="00EE0CCC">
              <w:t xml:space="preserve"> </w:t>
            </w:r>
            <w:r w:rsidRPr="007D322B">
              <w:t>tissue</w:t>
            </w:r>
            <w:r w:rsidR="00EE0CCC">
              <w:t xml:space="preserve"> </w:t>
            </w:r>
            <w:r w:rsidRPr="007D322B">
              <w:t>disorders</w:t>
            </w:r>
          </w:p>
        </w:tc>
        <w:tc>
          <w:tcPr>
            <w:tcW w:w="2322" w:type="dxa"/>
            <w:shd w:val="clear" w:color="auto" w:fill="auto"/>
            <w:hideMark/>
          </w:tcPr>
          <w:p w:rsidR="00DB02A6" w:rsidRPr="007D322B" w:rsidRDefault="00DB02A6" w:rsidP="00A34C43">
            <w:r w:rsidRPr="007D322B">
              <w:t>pruritus</w:t>
            </w:r>
            <w:r w:rsidR="00EE0CCC">
              <w:t xml:space="preserve"> </w:t>
            </w:r>
            <w:r w:rsidRPr="007D322B">
              <w:t>,</w:t>
            </w:r>
            <w:r w:rsidR="00EE0CCC">
              <w:t xml:space="preserve"> </w:t>
            </w:r>
            <w:r w:rsidRPr="007D322B">
              <w:t>rash,</w:t>
            </w:r>
            <w:r w:rsidR="00EE0CCC">
              <w:t xml:space="preserve"> </w:t>
            </w:r>
            <w:r w:rsidRPr="007D322B">
              <w:t>urticaria</w:t>
            </w:r>
            <w:r w:rsidR="00EE0CCC">
              <w:t xml:space="preserve"> </w:t>
            </w:r>
          </w:p>
        </w:tc>
        <w:tc>
          <w:tcPr>
            <w:tcW w:w="2492" w:type="dxa"/>
            <w:shd w:val="clear" w:color="auto" w:fill="auto"/>
            <w:hideMark/>
          </w:tcPr>
          <w:p w:rsidR="00DB02A6" w:rsidRPr="007D322B" w:rsidRDefault="00DB02A6" w:rsidP="00A34C43">
            <w:r w:rsidRPr="007D322B">
              <w:t>dermatitis</w:t>
            </w:r>
            <w:r w:rsidR="00EE0CCC">
              <w:t xml:space="preserve"> </w:t>
            </w:r>
            <w:r w:rsidRPr="007D322B">
              <w:t>(including</w:t>
            </w:r>
            <w:r w:rsidR="00EE0CCC">
              <w:t xml:space="preserve"> </w:t>
            </w:r>
            <w:r w:rsidRPr="007D322B">
              <w:t>exfoliative)</w:t>
            </w:r>
            <w:r w:rsidR="00EE0CCC">
              <w:t xml:space="preserve"> </w:t>
            </w:r>
            <w:r w:rsidRPr="007D322B">
              <w:t>,</w:t>
            </w:r>
            <w:r w:rsidR="00EE0CCC">
              <w:t xml:space="preserve"> </w:t>
            </w:r>
            <w:r w:rsidRPr="007D322B">
              <w:t>erythema,</w:t>
            </w:r>
            <w:r w:rsidR="00EE0CCC">
              <w:t xml:space="preserve"> </w:t>
            </w:r>
            <w:r w:rsidRPr="007D322B">
              <w:t>dry</w:t>
            </w:r>
            <w:r w:rsidR="00EE0CCC">
              <w:t xml:space="preserve"> </w:t>
            </w:r>
            <w:r w:rsidRPr="007D322B">
              <w:t>skin,</w:t>
            </w:r>
            <w:r w:rsidR="00EE0CCC">
              <w:t xml:space="preserve"> </w:t>
            </w:r>
            <w:r w:rsidRPr="007D322B">
              <w:t>hyperhidrosis,</w:t>
            </w:r>
            <w:r w:rsidR="00EE0CCC">
              <w:t xml:space="preserve"> </w:t>
            </w:r>
            <w:r w:rsidRPr="007D322B">
              <w:t>petechiae,</w:t>
            </w:r>
            <w:r w:rsidR="00EE0CCC">
              <w:t xml:space="preserve"> </w:t>
            </w:r>
            <w:r w:rsidRPr="007D322B">
              <w:t>photosensitivity</w:t>
            </w:r>
            <w:r w:rsidR="00EE0CCC">
              <w:t xml:space="preserve"> </w:t>
            </w:r>
            <w:r w:rsidRPr="007D322B">
              <w:t>reaction</w:t>
            </w:r>
          </w:p>
        </w:tc>
        <w:tc>
          <w:tcPr>
            <w:tcW w:w="2316" w:type="dxa"/>
            <w:shd w:val="clear" w:color="auto" w:fill="auto"/>
            <w:hideMark/>
          </w:tcPr>
          <w:p w:rsidR="00DB02A6" w:rsidRPr="007D322B" w:rsidRDefault="00DB02A6" w:rsidP="00A34C43"/>
        </w:tc>
      </w:tr>
      <w:tr w:rsidR="00DB02A6" w:rsidRPr="007D322B" w:rsidTr="00DB02A6">
        <w:tc>
          <w:tcPr>
            <w:tcW w:w="2157" w:type="dxa"/>
            <w:shd w:val="clear" w:color="auto" w:fill="auto"/>
            <w:hideMark/>
          </w:tcPr>
          <w:p w:rsidR="00DB02A6" w:rsidRPr="007D322B" w:rsidRDefault="00DB02A6" w:rsidP="00A34C43">
            <w:r w:rsidRPr="007D322B">
              <w:t>Musculoskeletal</w:t>
            </w:r>
            <w:r w:rsidR="00EE0CCC">
              <w:t xml:space="preserve"> </w:t>
            </w:r>
            <w:r w:rsidRPr="007D322B">
              <w:t>and</w:t>
            </w:r>
            <w:r w:rsidR="00EE0CCC">
              <w:t xml:space="preserve"> </w:t>
            </w:r>
            <w:r w:rsidRPr="007D322B">
              <w:t>connective</w:t>
            </w:r>
            <w:r w:rsidR="00EE0CCC">
              <w:t xml:space="preserve"> </w:t>
            </w:r>
            <w:r w:rsidRPr="007D322B">
              <w:t>tissue</w:t>
            </w:r>
            <w:r w:rsidR="00EE0CCC">
              <w:t xml:space="preserve"> </w:t>
            </w:r>
            <w:r w:rsidRPr="007D322B">
              <w:t>disorders</w:t>
            </w:r>
          </w:p>
        </w:tc>
        <w:tc>
          <w:tcPr>
            <w:tcW w:w="2322" w:type="dxa"/>
            <w:shd w:val="clear" w:color="auto" w:fill="auto"/>
          </w:tcPr>
          <w:p w:rsidR="00DB02A6" w:rsidRPr="007D322B" w:rsidRDefault="00DB02A6" w:rsidP="00A34C43"/>
        </w:tc>
        <w:tc>
          <w:tcPr>
            <w:tcW w:w="2492" w:type="dxa"/>
            <w:shd w:val="clear" w:color="auto" w:fill="auto"/>
            <w:hideMark/>
          </w:tcPr>
          <w:p w:rsidR="00DB02A6" w:rsidRPr="007D322B" w:rsidRDefault="00DB02A6" w:rsidP="00A34C43">
            <w:r w:rsidRPr="007D322B">
              <w:t>muscle</w:t>
            </w:r>
            <w:r w:rsidR="00EE0CCC">
              <w:t xml:space="preserve"> </w:t>
            </w:r>
            <w:r w:rsidRPr="007D322B">
              <w:t>spasms</w:t>
            </w:r>
            <w:r w:rsidR="00EE0CCC">
              <w:t xml:space="preserve"> </w:t>
            </w:r>
          </w:p>
        </w:tc>
        <w:tc>
          <w:tcPr>
            <w:tcW w:w="2316" w:type="dxa"/>
            <w:shd w:val="clear" w:color="auto" w:fill="auto"/>
          </w:tcPr>
          <w:p w:rsidR="00DB02A6" w:rsidRPr="007D322B" w:rsidRDefault="00DB02A6" w:rsidP="00A34C43"/>
        </w:tc>
      </w:tr>
      <w:tr w:rsidR="00DB02A6" w:rsidRPr="007D322B" w:rsidTr="00DB02A6">
        <w:tc>
          <w:tcPr>
            <w:tcW w:w="2157" w:type="dxa"/>
            <w:shd w:val="clear" w:color="auto" w:fill="auto"/>
            <w:hideMark/>
          </w:tcPr>
          <w:p w:rsidR="00DB02A6" w:rsidRPr="007D322B" w:rsidRDefault="00DB02A6" w:rsidP="00A34C43">
            <w:r w:rsidRPr="007D322B">
              <w:t>Renal</w:t>
            </w:r>
            <w:r w:rsidR="00EE0CCC">
              <w:t xml:space="preserve"> </w:t>
            </w:r>
            <w:r w:rsidRPr="007D322B">
              <w:t>and</w:t>
            </w:r>
            <w:r w:rsidR="00EE0CCC">
              <w:t xml:space="preserve"> </w:t>
            </w:r>
            <w:r w:rsidRPr="007D322B">
              <w:t>urinary</w:t>
            </w:r>
            <w:r w:rsidR="00EE0CCC">
              <w:t xml:space="preserve"> </w:t>
            </w:r>
            <w:r w:rsidRPr="007D322B">
              <w:t>disorders</w:t>
            </w:r>
          </w:p>
        </w:tc>
        <w:tc>
          <w:tcPr>
            <w:tcW w:w="2322" w:type="dxa"/>
            <w:shd w:val="clear" w:color="auto" w:fill="auto"/>
          </w:tcPr>
          <w:p w:rsidR="00DB02A6" w:rsidRPr="007D322B" w:rsidRDefault="00DB02A6" w:rsidP="00A34C43"/>
        </w:tc>
        <w:tc>
          <w:tcPr>
            <w:tcW w:w="2492" w:type="dxa"/>
            <w:shd w:val="clear" w:color="auto" w:fill="auto"/>
            <w:hideMark/>
          </w:tcPr>
          <w:p w:rsidR="00DB02A6" w:rsidRPr="007D322B" w:rsidRDefault="00DB02A6" w:rsidP="00A34C43">
            <w:r w:rsidRPr="007D322B">
              <w:t>oliguria,</w:t>
            </w:r>
            <w:r w:rsidR="00EE0CCC">
              <w:t xml:space="preserve"> </w:t>
            </w:r>
            <w:r w:rsidRPr="007D322B">
              <w:t>urinary</w:t>
            </w:r>
            <w:r w:rsidR="00EE0CCC">
              <w:t xml:space="preserve"> </w:t>
            </w:r>
            <w:r w:rsidRPr="007D322B">
              <w:t>retention,</w:t>
            </w:r>
            <w:r w:rsidR="00EE0CCC">
              <w:t xml:space="preserve"> </w:t>
            </w:r>
            <w:r w:rsidRPr="007D322B">
              <w:t>hyperphosphaturia,</w:t>
            </w:r>
            <w:r w:rsidR="00EE0CCC">
              <w:t xml:space="preserve"> </w:t>
            </w:r>
            <w:r w:rsidRPr="007D322B">
              <w:t>haematuria,</w:t>
            </w:r>
            <w:r w:rsidR="00EE0CCC">
              <w:t xml:space="preserve"> </w:t>
            </w:r>
            <w:r w:rsidRPr="007D322B">
              <w:t>proteinuria</w:t>
            </w:r>
          </w:p>
        </w:tc>
        <w:tc>
          <w:tcPr>
            <w:tcW w:w="2316" w:type="dxa"/>
            <w:shd w:val="clear" w:color="auto" w:fill="auto"/>
            <w:hideMark/>
          </w:tcPr>
          <w:p w:rsidR="00DB02A6" w:rsidRPr="007D322B" w:rsidRDefault="00DB02A6" w:rsidP="00A34C43">
            <w:r w:rsidRPr="007D322B">
              <w:t>renal</w:t>
            </w:r>
            <w:r w:rsidR="00EE0CCC">
              <w:t xml:space="preserve"> </w:t>
            </w:r>
            <w:r w:rsidRPr="007D322B">
              <w:t>failure</w:t>
            </w:r>
            <w:r w:rsidR="00EE0CCC">
              <w:t xml:space="preserve"> </w:t>
            </w:r>
          </w:p>
        </w:tc>
      </w:tr>
      <w:tr w:rsidR="00DB02A6" w:rsidRPr="007D322B" w:rsidTr="00DB02A6">
        <w:tc>
          <w:tcPr>
            <w:tcW w:w="2157" w:type="dxa"/>
            <w:shd w:val="clear" w:color="auto" w:fill="auto"/>
            <w:hideMark/>
          </w:tcPr>
          <w:p w:rsidR="00DB02A6" w:rsidRPr="007D322B" w:rsidRDefault="00DB02A6" w:rsidP="00A34C43">
            <w:r w:rsidRPr="007D322B">
              <w:t>General</w:t>
            </w:r>
            <w:r w:rsidR="00EE0CCC">
              <w:t xml:space="preserve"> </w:t>
            </w:r>
            <w:r w:rsidRPr="007D322B">
              <w:t>disorders</w:t>
            </w:r>
            <w:r w:rsidR="00EE0CCC">
              <w:t xml:space="preserve"> </w:t>
            </w:r>
            <w:r w:rsidRPr="007D322B">
              <w:t>and</w:t>
            </w:r>
            <w:r w:rsidR="00EE0CCC">
              <w:t xml:space="preserve"> </w:t>
            </w:r>
            <w:r w:rsidRPr="007D322B">
              <w:t>administration</w:t>
            </w:r>
            <w:r w:rsidR="00EE0CCC">
              <w:t xml:space="preserve"> </w:t>
            </w:r>
            <w:r w:rsidRPr="007D322B">
              <w:t>site</w:t>
            </w:r>
            <w:r w:rsidR="00EE0CCC">
              <w:t xml:space="preserve"> </w:t>
            </w:r>
            <w:r w:rsidRPr="007D322B">
              <w:t>conditions</w:t>
            </w:r>
          </w:p>
        </w:tc>
        <w:tc>
          <w:tcPr>
            <w:tcW w:w="2322" w:type="dxa"/>
            <w:shd w:val="clear" w:color="auto" w:fill="auto"/>
            <w:hideMark/>
          </w:tcPr>
          <w:p w:rsidR="00DB02A6" w:rsidRPr="007D322B" w:rsidRDefault="00DB02A6" w:rsidP="00A34C43">
            <w:pPr>
              <w:rPr>
                <w:lang w:eastAsia="de-AT"/>
              </w:rPr>
            </w:pPr>
            <w:r w:rsidRPr="007D322B">
              <w:t>pyrexia,</w:t>
            </w:r>
            <w:r w:rsidR="00EE0CCC">
              <w:t xml:space="preserve"> </w:t>
            </w:r>
            <w:r w:rsidRPr="007D322B">
              <w:t>chills,</w:t>
            </w:r>
            <w:r w:rsidR="00EE0CCC">
              <w:t xml:space="preserve"> </w:t>
            </w:r>
            <w:r w:rsidRPr="007D322B">
              <w:t>pain*,</w:t>
            </w:r>
            <w:r w:rsidR="00EE0CCC">
              <w:t xml:space="preserve"> </w:t>
            </w:r>
            <w:r w:rsidRPr="007D322B">
              <w:t>peripheral</w:t>
            </w:r>
            <w:r w:rsidR="00EE0CCC">
              <w:t xml:space="preserve"> </w:t>
            </w:r>
            <w:r w:rsidRPr="007D322B">
              <w:t>oedema,</w:t>
            </w:r>
            <w:r w:rsidR="00EE0CCC">
              <w:t xml:space="preserve"> </w:t>
            </w:r>
            <w:r w:rsidRPr="007D322B">
              <w:t>face</w:t>
            </w:r>
            <w:r w:rsidR="00EE0CCC">
              <w:t xml:space="preserve"> </w:t>
            </w:r>
            <w:r w:rsidRPr="007D322B">
              <w:t>oedema</w:t>
            </w:r>
          </w:p>
        </w:tc>
        <w:tc>
          <w:tcPr>
            <w:tcW w:w="2492" w:type="dxa"/>
            <w:shd w:val="clear" w:color="auto" w:fill="auto"/>
            <w:hideMark/>
          </w:tcPr>
          <w:p w:rsidR="00DB02A6" w:rsidRPr="007D322B" w:rsidRDefault="00DB02A6" w:rsidP="00A34C43">
            <w:r w:rsidRPr="007D322B">
              <w:t>injection</w:t>
            </w:r>
            <w:r w:rsidR="00EE0CCC">
              <w:t xml:space="preserve"> </w:t>
            </w:r>
            <w:r w:rsidRPr="007D322B">
              <w:t>site</w:t>
            </w:r>
            <w:r w:rsidR="00EE0CCC">
              <w:t xml:space="preserve"> </w:t>
            </w:r>
            <w:r w:rsidRPr="007D322B">
              <w:t>reaction</w:t>
            </w:r>
            <w:r w:rsidR="00EE0CCC">
              <w:t xml:space="preserve"> </w:t>
            </w:r>
          </w:p>
        </w:tc>
        <w:tc>
          <w:tcPr>
            <w:tcW w:w="2316" w:type="dxa"/>
            <w:shd w:val="clear" w:color="auto" w:fill="auto"/>
            <w:hideMark/>
          </w:tcPr>
          <w:p w:rsidR="00DB02A6" w:rsidRPr="007D322B" w:rsidRDefault="00DB02A6" w:rsidP="00A34C43"/>
        </w:tc>
      </w:tr>
      <w:tr w:rsidR="00DB02A6" w:rsidRPr="007D322B" w:rsidTr="00DB02A6">
        <w:tc>
          <w:tcPr>
            <w:tcW w:w="2157" w:type="dxa"/>
            <w:shd w:val="clear" w:color="auto" w:fill="auto"/>
            <w:hideMark/>
          </w:tcPr>
          <w:p w:rsidR="00DB02A6" w:rsidRPr="007D322B" w:rsidRDefault="00DB02A6" w:rsidP="00A34C43">
            <w:r w:rsidRPr="007D322B">
              <w:t>Investigations</w:t>
            </w:r>
          </w:p>
        </w:tc>
        <w:tc>
          <w:tcPr>
            <w:tcW w:w="2322" w:type="dxa"/>
            <w:shd w:val="clear" w:color="auto" w:fill="auto"/>
            <w:hideMark/>
          </w:tcPr>
          <w:p w:rsidR="00DB02A6" w:rsidRPr="007D322B" w:rsidRDefault="00DB02A6" w:rsidP="00A34C43">
            <w:r w:rsidRPr="007D322B">
              <w:t>increased</w:t>
            </w:r>
            <w:r w:rsidR="00EE0CCC">
              <w:t xml:space="preserve"> </w:t>
            </w:r>
            <w:r w:rsidRPr="007D322B">
              <w:t>weight</w:t>
            </w:r>
            <w:r w:rsidR="00EE0CCC">
              <w:t xml:space="preserve"> </w:t>
            </w:r>
            <w:r w:rsidRPr="007D322B">
              <w:t>,</w:t>
            </w:r>
            <w:r w:rsidR="00EE0CCC">
              <w:t xml:space="preserve"> </w:t>
            </w:r>
            <w:r w:rsidRPr="007D322B">
              <w:t>increased</w:t>
            </w:r>
            <w:r w:rsidR="00EE0CCC">
              <w:t xml:space="preserve"> </w:t>
            </w:r>
            <w:r w:rsidRPr="007D322B">
              <w:t>transaminases,</w:t>
            </w:r>
            <w:r w:rsidR="00EE0CCC">
              <w:t xml:space="preserve"> </w:t>
            </w:r>
            <w:r w:rsidRPr="007D322B">
              <w:t>increased</w:t>
            </w:r>
            <w:r w:rsidR="00EE0CCC">
              <w:t xml:space="preserve"> </w:t>
            </w:r>
            <w:r w:rsidRPr="007D322B">
              <w:t>gamma</w:t>
            </w:r>
            <w:r w:rsidR="00EE0CCC">
              <w:t xml:space="preserve"> </w:t>
            </w:r>
            <w:r w:rsidRPr="007D322B">
              <w:t>glutamyltransferase,</w:t>
            </w:r>
            <w:r w:rsidR="00EE0CCC">
              <w:t xml:space="preserve"> </w:t>
            </w:r>
            <w:r w:rsidRPr="007D322B">
              <w:t>increased</w:t>
            </w:r>
            <w:r w:rsidR="00EE0CCC">
              <w:t xml:space="preserve"> </w:t>
            </w:r>
            <w:r w:rsidRPr="007D322B">
              <w:t>blood</w:t>
            </w:r>
            <w:r w:rsidR="00EE0CCC">
              <w:t xml:space="preserve"> </w:t>
            </w:r>
            <w:r w:rsidRPr="007D322B">
              <w:t>bilirubin</w:t>
            </w:r>
            <w:r w:rsidR="00EE0CCC">
              <w:t xml:space="preserve"> </w:t>
            </w:r>
            <w:r w:rsidRPr="007D322B">
              <w:t>increased</w:t>
            </w:r>
            <w:r w:rsidR="00EE0CCC">
              <w:t xml:space="preserve"> </w:t>
            </w:r>
            <w:r w:rsidRPr="007D322B">
              <w:t>blood</w:t>
            </w:r>
            <w:r w:rsidR="00EE0CCC">
              <w:t xml:space="preserve"> </w:t>
            </w:r>
            <w:r w:rsidRPr="007D322B">
              <w:t>creatinine</w:t>
            </w:r>
            <w:r w:rsidR="00EE0CCC">
              <w:t xml:space="preserve"> </w:t>
            </w:r>
          </w:p>
          <w:p w:rsidR="00DB02A6" w:rsidRPr="007D322B" w:rsidRDefault="00EE0CCC" w:rsidP="00A34C43">
            <w:pPr>
              <w:rPr>
                <w:lang w:eastAsia="de-AT"/>
              </w:rPr>
            </w:pPr>
            <w:r>
              <w:rPr>
                <w:lang w:eastAsia="de-AT"/>
              </w:rPr>
              <w:t xml:space="preserve"> </w:t>
            </w:r>
          </w:p>
          <w:p w:rsidR="00DB02A6" w:rsidRPr="007D322B" w:rsidRDefault="00DB02A6" w:rsidP="00A34C43"/>
        </w:tc>
        <w:tc>
          <w:tcPr>
            <w:tcW w:w="2492" w:type="dxa"/>
            <w:shd w:val="clear" w:color="auto" w:fill="auto"/>
            <w:hideMark/>
          </w:tcPr>
          <w:p w:rsidR="00DB02A6" w:rsidRPr="007D322B" w:rsidRDefault="00DB02A6" w:rsidP="00A34C43">
            <w:r w:rsidRPr="007D322B">
              <w:t>decreased</w:t>
            </w:r>
            <w:r w:rsidR="00EE0CCC">
              <w:t xml:space="preserve"> </w:t>
            </w:r>
            <w:r w:rsidRPr="007D322B">
              <w:t>weight,</w:t>
            </w:r>
            <w:r w:rsidR="00EE0CCC">
              <w:t xml:space="preserve"> </w:t>
            </w:r>
            <w:r w:rsidRPr="007D322B">
              <w:t>decreased</w:t>
            </w:r>
            <w:r w:rsidR="00EE0CCC">
              <w:t xml:space="preserve"> </w:t>
            </w:r>
            <w:r w:rsidRPr="007D322B">
              <w:t>glomerular</w:t>
            </w:r>
            <w:r w:rsidR="00EE0CCC">
              <w:t xml:space="preserve"> </w:t>
            </w:r>
            <w:r w:rsidRPr="007D322B">
              <w:t>filtration</w:t>
            </w:r>
            <w:r w:rsidR="00EE0CCC">
              <w:t xml:space="preserve"> </w:t>
            </w:r>
            <w:r w:rsidRPr="007D322B">
              <w:t>rate,</w:t>
            </w:r>
            <w:r w:rsidR="00EE0CCC">
              <w:t xml:space="preserve"> </w:t>
            </w:r>
            <w:r w:rsidRPr="007D322B">
              <w:t>hypertriglyceridaemia,</w:t>
            </w:r>
            <w:r w:rsidR="00EE0CCC">
              <w:t xml:space="preserve"> </w:t>
            </w:r>
            <w:r w:rsidRPr="007D322B">
              <w:t>prolonged</w:t>
            </w:r>
            <w:r w:rsidR="00EE0CCC">
              <w:t xml:space="preserve"> </w:t>
            </w:r>
            <w:r w:rsidRPr="007D322B">
              <w:t>activated</w:t>
            </w:r>
            <w:r w:rsidR="00EE0CCC">
              <w:t xml:space="preserve"> </w:t>
            </w:r>
            <w:r w:rsidRPr="007D322B">
              <w:t>partial</w:t>
            </w:r>
            <w:r w:rsidR="00EE0CCC">
              <w:t xml:space="preserve"> </w:t>
            </w:r>
            <w:r w:rsidRPr="007D322B">
              <w:t>thromboplastin</w:t>
            </w:r>
            <w:r w:rsidR="00EE0CCC">
              <w:t xml:space="preserve"> </w:t>
            </w:r>
            <w:r w:rsidRPr="007D322B">
              <w:t>time,</w:t>
            </w:r>
            <w:r w:rsidR="00EE0CCC">
              <w:t xml:space="preserve"> </w:t>
            </w:r>
            <w:r w:rsidRPr="007D322B">
              <w:t>prolonged</w:t>
            </w:r>
            <w:r w:rsidR="00EE0CCC">
              <w:t xml:space="preserve"> </w:t>
            </w:r>
            <w:r w:rsidRPr="007D322B">
              <w:t>prothrombin</w:t>
            </w:r>
            <w:r w:rsidR="00EE0CCC">
              <w:t xml:space="preserve"> </w:t>
            </w:r>
            <w:r w:rsidRPr="007D322B">
              <w:t>time,</w:t>
            </w:r>
            <w:r w:rsidR="00EE0CCC">
              <w:t xml:space="preserve"> </w:t>
            </w:r>
            <w:r w:rsidRPr="007D322B">
              <w:t>prolonged</w:t>
            </w:r>
            <w:r w:rsidR="00EE0CCC">
              <w:t xml:space="preserve"> </w:t>
            </w:r>
            <w:r w:rsidRPr="007D322B">
              <w:t>thrombin</w:t>
            </w:r>
            <w:r w:rsidR="00EE0CCC">
              <w:t xml:space="preserve"> </w:t>
            </w:r>
            <w:r w:rsidRPr="007D322B">
              <w:t>time</w:t>
            </w:r>
          </w:p>
        </w:tc>
        <w:tc>
          <w:tcPr>
            <w:tcW w:w="2316" w:type="dxa"/>
            <w:shd w:val="clear" w:color="auto" w:fill="auto"/>
            <w:hideMark/>
          </w:tcPr>
          <w:p w:rsidR="00DB02A6" w:rsidRPr="007D322B" w:rsidRDefault="00DB02A6" w:rsidP="00A34C43"/>
        </w:tc>
      </w:tr>
    </w:tbl>
    <w:p w:rsidR="00085299" w:rsidRPr="007D322B" w:rsidRDefault="00DB02A6" w:rsidP="00946995">
      <w:pPr>
        <w:pStyle w:val="NoSpacing"/>
        <w:rPr>
          <w:rFonts w:ascii="Arial" w:hAnsi="Arial" w:cs="Arial"/>
        </w:rPr>
      </w:pPr>
      <w:r w:rsidRPr="007D322B">
        <w:rPr>
          <w:rFonts w:ascii="Arial" w:hAnsi="Arial" w:cs="Arial"/>
        </w:rPr>
        <w:t>*includes</w:t>
      </w:r>
      <w:r w:rsidR="00EE0CCC">
        <w:rPr>
          <w:rFonts w:ascii="Arial" w:hAnsi="Arial" w:cs="Arial"/>
        </w:rPr>
        <w:t xml:space="preserve"> </w:t>
      </w:r>
      <w:r w:rsidRPr="007D322B">
        <w:rPr>
          <w:rFonts w:ascii="Arial" w:hAnsi="Arial" w:cs="Arial"/>
        </w:rPr>
        <w:t>abdominal</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extremity,</w:t>
      </w:r>
      <w:r w:rsidR="00EE0CCC">
        <w:rPr>
          <w:rFonts w:ascii="Arial" w:hAnsi="Arial" w:cs="Arial"/>
        </w:rPr>
        <w:t xml:space="preserve"> </w:t>
      </w:r>
      <w:r w:rsidRPr="007D322B">
        <w:rPr>
          <w:rFonts w:ascii="Arial" w:hAnsi="Arial" w:cs="Arial"/>
        </w:rPr>
        <w:t>musculoskeletal</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chest</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arthralgia</w:t>
      </w:r>
    </w:p>
    <w:p w:rsidR="00085299" w:rsidRPr="007D322B" w:rsidRDefault="00085299" w:rsidP="00946995">
      <w:pPr>
        <w:pStyle w:val="NoSpacing"/>
        <w:rPr>
          <w:rFonts w:ascii="Arial" w:hAnsi="Arial" w:cs="Arial"/>
          <w:b/>
        </w:rPr>
      </w:pPr>
    </w:p>
    <w:p w:rsidR="00DB02A6" w:rsidRPr="007D322B" w:rsidRDefault="00DB02A6" w:rsidP="00DB02A6">
      <w:pPr>
        <w:keepNext/>
        <w:keepLines/>
        <w:autoSpaceDE w:val="0"/>
        <w:autoSpaceDN w:val="0"/>
        <w:adjustRightInd w:val="0"/>
        <w:jc w:val="both"/>
        <w:rPr>
          <w:rFonts w:ascii="Arial" w:hAnsi="Arial" w:cs="Arial"/>
          <w:b/>
          <w:bCs/>
        </w:rPr>
      </w:pPr>
      <w:r w:rsidRPr="007D322B">
        <w:rPr>
          <w:rFonts w:ascii="Arial" w:hAnsi="Arial" w:cs="Arial"/>
          <w:b/>
          <w:bCs/>
        </w:rPr>
        <w:t>Description</w:t>
      </w:r>
      <w:r w:rsidR="00EE0CCC">
        <w:rPr>
          <w:rFonts w:ascii="Arial" w:hAnsi="Arial" w:cs="Arial"/>
          <w:b/>
          <w:bCs/>
        </w:rPr>
        <w:t xml:space="preserve"> </w:t>
      </w:r>
      <w:r w:rsidRPr="007D322B">
        <w:rPr>
          <w:rFonts w:ascii="Arial" w:hAnsi="Arial" w:cs="Arial"/>
          <w:b/>
          <w:bCs/>
        </w:rPr>
        <w:t>of</w:t>
      </w:r>
      <w:r w:rsidR="00EE0CCC">
        <w:rPr>
          <w:rFonts w:ascii="Arial" w:hAnsi="Arial" w:cs="Arial"/>
          <w:b/>
          <w:bCs/>
        </w:rPr>
        <w:t xml:space="preserve"> </w:t>
      </w:r>
      <w:r w:rsidRPr="007D322B">
        <w:rPr>
          <w:rFonts w:ascii="Arial" w:hAnsi="Arial" w:cs="Arial"/>
          <w:b/>
          <w:bCs/>
        </w:rPr>
        <w:t>selected</w:t>
      </w:r>
      <w:r w:rsidR="00EE0CCC">
        <w:rPr>
          <w:rFonts w:ascii="Arial" w:hAnsi="Arial" w:cs="Arial"/>
          <w:b/>
          <w:bCs/>
        </w:rPr>
        <w:t xml:space="preserve"> </w:t>
      </w:r>
      <w:r w:rsidRPr="007D322B">
        <w:rPr>
          <w:rFonts w:ascii="Arial" w:hAnsi="Arial" w:cs="Arial"/>
          <w:b/>
          <w:bCs/>
        </w:rPr>
        <w:t>adverse</w:t>
      </w:r>
      <w:r w:rsidR="00EE0CCC">
        <w:rPr>
          <w:rFonts w:ascii="Arial" w:hAnsi="Arial" w:cs="Arial"/>
          <w:b/>
          <w:bCs/>
        </w:rPr>
        <w:t xml:space="preserve"> </w:t>
      </w:r>
      <w:r w:rsidRPr="007D322B">
        <w:rPr>
          <w:rFonts w:ascii="Arial" w:hAnsi="Arial" w:cs="Arial"/>
          <w:b/>
          <w:bCs/>
        </w:rPr>
        <w:t>reactions</w:t>
      </w:r>
    </w:p>
    <w:p w:rsidR="00DB02A6" w:rsidRPr="007D322B" w:rsidRDefault="00DB02A6" w:rsidP="00DB02A6">
      <w:pPr>
        <w:keepNext/>
        <w:keepLines/>
        <w:autoSpaceDE w:val="0"/>
        <w:autoSpaceDN w:val="0"/>
        <w:adjustRightInd w:val="0"/>
        <w:rPr>
          <w:rFonts w:ascii="Arial" w:hAnsi="Arial" w:cs="Arial"/>
          <w:i/>
        </w:rPr>
      </w:pPr>
      <w:r w:rsidRPr="007D322B">
        <w:rPr>
          <w:rFonts w:ascii="Arial" w:hAnsi="Arial" w:cs="Arial"/>
          <w:i/>
        </w:rPr>
        <w:t>Hypersensitivity</w:t>
      </w:r>
    </w:p>
    <w:p w:rsidR="00DB02A6" w:rsidRPr="007D322B" w:rsidRDefault="00DB02A6" w:rsidP="00DB02A6">
      <w:pPr>
        <w:keepNext/>
        <w:keepLines/>
        <w:autoSpaceDE w:val="0"/>
        <w:autoSpaceDN w:val="0"/>
        <w:adjustRightInd w:val="0"/>
        <w:rPr>
          <w:rFonts w:ascii="Arial" w:hAnsi="Arial" w:cs="Arial"/>
        </w:rPr>
      </w:pPr>
      <w:r w:rsidRPr="007D322B">
        <w:rPr>
          <w:rFonts w:ascii="Arial" w:hAnsi="Arial" w:cs="Arial"/>
        </w:rPr>
        <w:t>The</w:t>
      </w:r>
      <w:r w:rsidR="00EE0CCC">
        <w:rPr>
          <w:rFonts w:ascii="Arial" w:hAnsi="Arial" w:cs="Arial"/>
        </w:rPr>
        <w:t xml:space="preserve"> </w:t>
      </w:r>
      <w:r w:rsidRPr="007D322B">
        <w:rPr>
          <w:rFonts w:ascii="Arial" w:hAnsi="Arial" w:cs="Arial"/>
        </w:rPr>
        <w:t>most</w:t>
      </w:r>
      <w:r w:rsidR="00EE0CCC">
        <w:rPr>
          <w:rFonts w:ascii="Arial" w:hAnsi="Arial" w:cs="Arial"/>
        </w:rPr>
        <w:t xml:space="preserve"> </w:t>
      </w:r>
      <w:r w:rsidRPr="007D322B">
        <w:rPr>
          <w:rFonts w:ascii="Arial" w:hAnsi="Arial" w:cs="Arial"/>
        </w:rPr>
        <w:t>frequent</w:t>
      </w:r>
      <w:r w:rsidR="00EE0CCC">
        <w:rPr>
          <w:rFonts w:ascii="Arial" w:hAnsi="Arial" w:cs="Arial"/>
        </w:rPr>
        <w:t xml:space="preserve"> </w:t>
      </w:r>
      <w:r w:rsidRPr="007D322B">
        <w:rPr>
          <w:rFonts w:ascii="Arial" w:hAnsi="Arial" w:cs="Arial"/>
        </w:rPr>
        <w:t>hypersensitivity</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included</w:t>
      </w:r>
      <w:r w:rsidR="00EE0CCC">
        <w:rPr>
          <w:rFonts w:ascii="Arial" w:hAnsi="Arial" w:cs="Arial"/>
        </w:rPr>
        <w:t xml:space="preserve"> </w:t>
      </w:r>
      <w:r w:rsidRPr="007D322B">
        <w:rPr>
          <w:rFonts w:ascii="Arial" w:hAnsi="Arial" w:cs="Arial"/>
        </w:rPr>
        <w:t>hypotension</w:t>
      </w:r>
      <w:r w:rsidR="00EE0CCC">
        <w:rPr>
          <w:rFonts w:ascii="Arial" w:hAnsi="Arial" w:cs="Arial"/>
        </w:rPr>
        <w:t xml:space="preserve"> </w:t>
      </w:r>
      <w:r w:rsidRPr="007D322B">
        <w:rPr>
          <w:rFonts w:ascii="Arial" w:hAnsi="Arial" w:cs="Arial"/>
        </w:rPr>
        <w:t>(39%),</w:t>
      </w:r>
      <w:r w:rsidR="00EE0CCC">
        <w:rPr>
          <w:rFonts w:ascii="Arial" w:hAnsi="Arial" w:cs="Arial"/>
        </w:rPr>
        <w:t xml:space="preserve"> </w:t>
      </w:r>
      <w:r w:rsidRPr="007D322B">
        <w:rPr>
          <w:rFonts w:ascii="Arial" w:hAnsi="Arial" w:cs="Arial"/>
        </w:rPr>
        <w:t>urticaria</w:t>
      </w:r>
      <w:r w:rsidR="00EE0CCC">
        <w:rPr>
          <w:rFonts w:ascii="Arial" w:hAnsi="Arial" w:cs="Arial"/>
        </w:rPr>
        <w:t xml:space="preserve"> </w:t>
      </w:r>
      <w:r w:rsidRPr="007D322B">
        <w:rPr>
          <w:rFonts w:ascii="Arial" w:hAnsi="Arial" w:cs="Arial"/>
        </w:rPr>
        <w:t>(18%)</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bronchospasm</w:t>
      </w:r>
      <w:r w:rsidR="00EE0CCC">
        <w:rPr>
          <w:rFonts w:ascii="Arial" w:hAnsi="Arial" w:cs="Arial"/>
        </w:rPr>
        <w:t xml:space="preserve"> </w:t>
      </w:r>
      <w:r w:rsidRPr="007D322B">
        <w:rPr>
          <w:rFonts w:ascii="Arial" w:hAnsi="Arial" w:cs="Arial"/>
        </w:rPr>
        <w:t>(4%).</w:t>
      </w:r>
      <w:r w:rsidR="00EE0CCC">
        <w:rPr>
          <w:rFonts w:ascii="Arial" w:hAnsi="Arial" w:cs="Arial"/>
        </w:rPr>
        <w:t xml:space="preserve"> </w:t>
      </w:r>
      <w:r w:rsidRPr="007D322B">
        <w:rPr>
          <w:rFonts w:ascii="Arial" w:hAnsi="Arial" w:cs="Arial"/>
        </w:rPr>
        <w:t>C</w:t>
      </w:r>
      <w:r w:rsidRPr="007D322B">
        <w:rPr>
          <w:rFonts w:ascii="Arial" w:hAnsi="Arial" w:cs="Arial"/>
          <w:noProof/>
        </w:rPr>
        <w:t>ytokine</w:t>
      </w:r>
      <w:r w:rsidR="00EE0CCC">
        <w:rPr>
          <w:rFonts w:ascii="Arial" w:hAnsi="Arial" w:cs="Arial"/>
          <w:noProof/>
        </w:rPr>
        <w:t xml:space="preserve"> </w:t>
      </w:r>
      <w:r w:rsidRPr="007D322B">
        <w:rPr>
          <w:rFonts w:ascii="Arial" w:hAnsi="Arial" w:cs="Arial"/>
          <w:noProof/>
        </w:rPr>
        <w:t>release</w:t>
      </w:r>
      <w:r w:rsidR="00EE0CCC">
        <w:rPr>
          <w:rFonts w:ascii="Arial" w:hAnsi="Arial" w:cs="Arial"/>
          <w:noProof/>
        </w:rPr>
        <w:t xml:space="preserve"> </w:t>
      </w:r>
      <w:r w:rsidRPr="007D322B">
        <w:rPr>
          <w:rFonts w:ascii="Arial" w:hAnsi="Arial" w:cs="Arial"/>
          <w:noProof/>
        </w:rPr>
        <w:t>syndrome</w:t>
      </w:r>
      <w:r w:rsidR="00EE0CCC">
        <w:rPr>
          <w:rFonts w:ascii="Arial" w:hAnsi="Arial" w:cs="Arial"/>
          <w:noProof/>
        </w:rPr>
        <w:t xml:space="preserve"> </w:t>
      </w:r>
      <w:r w:rsidRPr="007D322B">
        <w:rPr>
          <w:rFonts w:ascii="Arial" w:hAnsi="Arial" w:cs="Arial"/>
          <w:noProof/>
        </w:rPr>
        <w:t>was</w:t>
      </w:r>
      <w:r w:rsidR="00EE0CCC">
        <w:rPr>
          <w:rFonts w:ascii="Arial" w:hAnsi="Arial" w:cs="Arial"/>
          <w:noProof/>
        </w:rPr>
        <w:t xml:space="preserve"> </w:t>
      </w:r>
      <w:r w:rsidRPr="007D322B">
        <w:rPr>
          <w:rFonts w:ascii="Arial" w:hAnsi="Arial" w:cs="Arial"/>
          <w:noProof/>
        </w:rPr>
        <w:t>also</w:t>
      </w:r>
      <w:r w:rsidR="00EE0CCC">
        <w:rPr>
          <w:rFonts w:ascii="Arial" w:hAnsi="Arial" w:cs="Arial"/>
          <w:noProof/>
        </w:rPr>
        <w:t xml:space="preserve"> </w:t>
      </w:r>
      <w:r w:rsidRPr="007D322B">
        <w:rPr>
          <w:rFonts w:ascii="Arial" w:hAnsi="Arial" w:cs="Arial"/>
          <w:noProof/>
        </w:rPr>
        <w:t>reported</w:t>
      </w:r>
      <w:r w:rsidR="00EE0CCC">
        <w:rPr>
          <w:rFonts w:ascii="Arial" w:hAnsi="Arial" w:cs="Arial"/>
          <w:noProof/>
        </w:rPr>
        <w:t xml:space="preserve"> </w:t>
      </w:r>
      <w:r w:rsidRPr="007D322B">
        <w:rPr>
          <w:rFonts w:ascii="Arial" w:hAnsi="Arial" w:cs="Arial"/>
          <w:noProof/>
        </w:rPr>
        <w:t>in</w:t>
      </w:r>
      <w:r w:rsidR="00EE0CCC">
        <w:rPr>
          <w:rFonts w:ascii="Arial" w:hAnsi="Arial" w:cs="Arial"/>
          <w:noProof/>
        </w:rPr>
        <w:t xml:space="preserve"> </w:t>
      </w:r>
      <w:r w:rsidRPr="007D322B">
        <w:rPr>
          <w:rFonts w:ascii="Arial" w:hAnsi="Arial" w:cs="Arial"/>
          <w:noProof/>
        </w:rPr>
        <w:t>32%</w:t>
      </w:r>
      <w:r w:rsidR="00EE0CCC">
        <w:rPr>
          <w:rFonts w:ascii="Arial" w:hAnsi="Arial" w:cs="Arial"/>
          <w:noProof/>
        </w:rPr>
        <w:t xml:space="preserve"> </w:t>
      </w:r>
      <w:r w:rsidRPr="007D322B">
        <w:rPr>
          <w:rFonts w:ascii="Arial" w:hAnsi="Arial" w:cs="Arial"/>
          <w:noProof/>
        </w:rPr>
        <w:t>of</w:t>
      </w:r>
      <w:r w:rsidR="00EE0CCC">
        <w:rPr>
          <w:rFonts w:ascii="Arial" w:hAnsi="Arial" w:cs="Arial"/>
          <w:noProof/>
        </w:rPr>
        <w:t xml:space="preserve"> </w:t>
      </w:r>
      <w:r w:rsidRPr="007D322B">
        <w:rPr>
          <w:rFonts w:ascii="Arial" w:hAnsi="Arial" w:cs="Arial"/>
          <w:noProof/>
        </w:rPr>
        <w:t>the</w:t>
      </w:r>
      <w:r w:rsidR="00EE0CCC">
        <w:rPr>
          <w:rFonts w:ascii="Arial" w:hAnsi="Arial" w:cs="Arial"/>
          <w:noProof/>
        </w:rPr>
        <w:t xml:space="preserve"> </w:t>
      </w:r>
      <w:r w:rsidRPr="007D322B">
        <w:rPr>
          <w:rFonts w:ascii="Arial" w:hAnsi="Arial" w:cs="Arial"/>
          <w:noProof/>
        </w:rPr>
        <w:t>patients.</w:t>
      </w:r>
      <w:r w:rsidR="00EE0CCC">
        <w:rPr>
          <w:rFonts w:ascii="Arial" w:hAnsi="Arial" w:cs="Arial"/>
          <w:noProof/>
        </w:rPr>
        <w:t xml:space="preserve"> </w:t>
      </w:r>
      <w:r w:rsidRPr="007D322B">
        <w:rPr>
          <w:rFonts w:ascii="Arial" w:hAnsi="Arial" w:cs="Arial"/>
        </w:rPr>
        <w:t>Serious</w:t>
      </w:r>
      <w:r w:rsidR="00EE0CCC">
        <w:rPr>
          <w:rFonts w:ascii="Arial" w:hAnsi="Arial" w:cs="Arial"/>
        </w:rPr>
        <w:t xml:space="preserve"> </w:t>
      </w:r>
      <w:r w:rsidRPr="007D322B">
        <w:rPr>
          <w:rFonts w:ascii="Arial" w:hAnsi="Arial" w:cs="Arial"/>
        </w:rPr>
        <w:t>anaphylactic</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occurred</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3.5%</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patients.</w:t>
      </w:r>
    </w:p>
    <w:p w:rsidR="00DB02A6" w:rsidRPr="007D322B" w:rsidRDefault="00DB02A6" w:rsidP="00DB02A6">
      <w:pPr>
        <w:autoSpaceDE w:val="0"/>
        <w:autoSpaceDN w:val="0"/>
        <w:adjustRightInd w:val="0"/>
        <w:rPr>
          <w:rFonts w:ascii="Arial" w:hAnsi="Arial" w:cs="Arial"/>
        </w:rPr>
      </w:pPr>
    </w:p>
    <w:p w:rsidR="00DB02A6" w:rsidRPr="007D322B" w:rsidRDefault="00DB02A6" w:rsidP="00DB02A6">
      <w:pPr>
        <w:keepNext/>
        <w:keepLines/>
        <w:autoSpaceDE w:val="0"/>
        <w:autoSpaceDN w:val="0"/>
        <w:adjustRightInd w:val="0"/>
        <w:rPr>
          <w:rFonts w:ascii="Arial" w:hAnsi="Arial" w:cs="Arial"/>
          <w:i/>
        </w:rPr>
      </w:pPr>
      <w:r w:rsidRPr="007D322B">
        <w:rPr>
          <w:rFonts w:ascii="Arial" w:hAnsi="Arial" w:cs="Arial"/>
          <w:i/>
        </w:rPr>
        <w:t>Pain</w:t>
      </w:r>
    </w:p>
    <w:p w:rsidR="00DB02A6" w:rsidRPr="007D322B" w:rsidRDefault="00DB02A6" w:rsidP="00DB02A6">
      <w:pPr>
        <w:keepNext/>
        <w:keepLines/>
        <w:autoSpaceDE w:val="0"/>
        <w:autoSpaceDN w:val="0"/>
        <w:adjustRightInd w:val="0"/>
        <w:rPr>
          <w:rFonts w:ascii="Arial" w:hAnsi="Arial" w:cs="Arial"/>
        </w:rPr>
      </w:pPr>
      <w:r w:rsidRPr="007D322B">
        <w:rPr>
          <w:rFonts w:ascii="Arial" w:hAnsi="Arial" w:cs="Arial"/>
        </w:rPr>
        <w:t>Pain</w:t>
      </w:r>
      <w:r w:rsidR="00EE0CCC">
        <w:rPr>
          <w:rFonts w:ascii="Arial" w:hAnsi="Arial" w:cs="Arial"/>
        </w:rPr>
        <w:t xml:space="preserve"> </w:t>
      </w:r>
      <w:r w:rsidRPr="007D322B">
        <w:rPr>
          <w:rFonts w:ascii="Arial" w:hAnsi="Arial" w:cs="Arial"/>
        </w:rPr>
        <w:t>typically</w:t>
      </w:r>
      <w:r w:rsidR="00EE0CCC">
        <w:rPr>
          <w:rFonts w:ascii="Arial" w:hAnsi="Arial" w:cs="Arial"/>
        </w:rPr>
        <w:t xml:space="preserve"> </w:t>
      </w:r>
      <w:r w:rsidRPr="007D322B">
        <w:rPr>
          <w:rFonts w:ascii="Arial" w:hAnsi="Arial" w:cs="Arial"/>
        </w:rPr>
        <w:t>occurs</w:t>
      </w:r>
      <w:r w:rsidR="00EE0CCC">
        <w:rPr>
          <w:rFonts w:ascii="Arial" w:hAnsi="Arial" w:cs="Arial"/>
        </w:rPr>
        <w:t xml:space="preserve"> </w:t>
      </w:r>
      <w:r w:rsidRPr="007D322B">
        <w:rPr>
          <w:rFonts w:ascii="Arial" w:hAnsi="Arial" w:cs="Arial"/>
        </w:rPr>
        <w:t>during</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first</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dinutuximab</w:t>
      </w:r>
      <w:r w:rsidR="00EE0CCC">
        <w:rPr>
          <w:rFonts w:ascii="Arial" w:hAnsi="Arial" w:cs="Arial"/>
        </w:rPr>
        <w:t xml:space="preserve"> </w:t>
      </w:r>
      <w:r w:rsidRPr="007D322B">
        <w:rPr>
          <w:rFonts w:ascii="Arial" w:hAnsi="Arial" w:cs="Arial"/>
        </w:rPr>
        <w:t>beta</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decreases</w:t>
      </w:r>
      <w:r w:rsidR="00EE0CCC">
        <w:rPr>
          <w:rFonts w:ascii="Arial" w:hAnsi="Arial" w:cs="Arial"/>
        </w:rPr>
        <w:t xml:space="preserve"> </w:t>
      </w:r>
      <w:r w:rsidRPr="007D322B">
        <w:rPr>
          <w:rFonts w:ascii="Arial" w:hAnsi="Arial" w:cs="Arial"/>
        </w:rPr>
        <w:t>over</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treatment</w:t>
      </w:r>
      <w:r w:rsidR="00EE0CCC">
        <w:rPr>
          <w:rFonts w:ascii="Arial" w:hAnsi="Arial" w:cs="Arial"/>
        </w:rPr>
        <w:t xml:space="preserve"> </w:t>
      </w:r>
      <w:r w:rsidRPr="007D322B">
        <w:rPr>
          <w:rFonts w:ascii="Arial" w:hAnsi="Arial" w:cs="Arial"/>
        </w:rPr>
        <w:t>courses.</w:t>
      </w:r>
      <w:r w:rsidR="00EE0CCC">
        <w:rPr>
          <w:rFonts w:ascii="Arial" w:hAnsi="Arial" w:cs="Arial"/>
        </w:rPr>
        <w:t xml:space="preserve"> </w:t>
      </w:r>
      <w:r w:rsidRPr="007D322B">
        <w:rPr>
          <w:rFonts w:ascii="Arial" w:hAnsi="Arial" w:cs="Arial"/>
        </w:rPr>
        <w:t>Most</w:t>
      </w:r>
      <w:r w:rsidR="00EE0CCC">
        <w:rPr>
          <w:rFonts w:ascii="Arial" w:hAnsi="Arial" w:cs="Arial"/>
        </w:rPr>
        <w:t xml:space="preserve"> </w:t>
      </w:r>
      <w:r w:rsidRPr="007D322B">
        <w:rPr>
          <w:rFonts w:ascii="Arial" w:hAnsi="Arial" w:cs="Arial"/>
        </w:rPr>
        <w:t>commonly,</w:t>
      </w:r>
      <w:r w:rsidR="00EE0CCC">
        <w:rPr>
          <w:rFonts w:ascii="Arial" w:hAnsi="Arial" w:cs="Arial"/>
        </w:rPr>
        <w:t xml:space="preserve"> </w:t>
      </w:r>
      <w:r w:rsidRPr="007D322B">
        <w:rPr>
          <w:rFonts w:ascii="Arial" w:hAnsi="Arial" w:cs="Arial"/>
        </w:rPr>
        <w:t>patients</w:t>
      </w:r>
      <w:r w:rsidR="00EE0CCC">
        <w:rPr>
          <w:rFonts w:ascii="Arial" w:hAnsi="Arial" w:cs="Arial"/>
        </w:rPr>
        <w:t xml:space="preserve"> </w:t>
      </w:r>
      <w:r w:rsidRPr="007D322B">
        <w:rPr>
          <w:rFonts w:ascii="Arial" w:hAnsi="Arial" w:cs="Arial"/>
        </w:rPr>
        <w:t>reported</w:t>
      </w:r>
      <w:r w:rsidR="00EE0CCC">
        <w:rPr>
          <w:rFonts w:ascii="Arial" w:hAnsi="Arial" w:cs="Arial"/>
        </w:rPr>
        <w:t xml:space="preserve"> </w:t>
      </w:r>
      <w:r w:rsidRPr="007D322B">
        <w:rPr>
          <w:rFonts w:ascii="Arial" w:hAnsi="Arial" w:cs="Arial"/>
        </w:rPr>
        <w:t>abdominal</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extremities,</w:t>
      </w:r>
      <w:r w:rsidR="00EE0CCC">
        <w:rPr>
          <w:rFonts w:ascii="Arial" w:hAnsi="Arial" w:cs="Arial"/>
        </w:rPr>
        <w:t xml:space="preserve"> </w:t>
      </w:r>
      <w:r w:rsidRPr="007D322B">
        <w:rPr>
          <w:rFonts w:ascii="Arial" w:hAnsi="Arial" w:cs="Arial"/>
        </w:rPr>
        <w:t>back</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chest</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arthralgia.</w:t>
      </w:r>
      <w:r w:rsidR="00EE0CCC">
        <w:rPr>
          <w:rFonts w:ascii="Arial" w:hAnsi="Arial" w:cs="Arial"/>
        </w:rPr>
        <w:t xml:space="preserve"> </w:t>
      </w:r>
    </w:p>
    <w:p w:rsidR="00DB02A6" w:rsidRPr="007D322B" w:rsidRDefault="00DB02A6" w:rsidP="00DB02A6">
      <w:pPr>
        <w:autoSpaceDE w:val="0"/>
        <w:autoSpaceDN w:val="0"/>
        <w:adjustRightInd w:val="0"/>
        <w:rPr>
          <w:rFonts w:ascii="Arial" w:hAnsi="Arial" w:cs="Arial"/>
        </w:rPr>
      </w:pPr>
    </w:p>
    <w:p w:rsidR="00DB02A6" w:rsidRPr="007D322B" w:rsidRDefault="00DB02A6" w:rsidP="00DB02A6">
      <w:pPr>
        <w:keepNext/>
        <w:keepLines/>
        <w:autoSpaceDE w:val="0"/>
        <w:autoSpaceDN w:val="0"/>
        <w:adjustRightInd w:val="0"/>
        <w:rPr>
          <w:rFonts w:ascii="Arial" w:hAnsi="Arial" w:cs="Arial"/>
          <w:i/>
        </w:rPr>
      </w:pPr>
      <w:r w:rsidRPr="007D322B">
        <w:rPr>
          <w:rFonts w:ascii="Arial" w:hAnsi="Arial" w:cs="Arial"/>
          <w:i/>
        </w:rPr>
        <w:t>Capillary</w:t>
      </w:r>
      <w:r w:rsidR="00EE0CCC">
        <w:rPr>
          <w:rFonts w:ascii="Arial" w:hAnsi="Arial" w:cs="Arial"/>
          <w:i/>
        </w:rPr>
        <w:t xml:space="preserve"> </w:t>
      </w:r>
      <w:r w:rsidRPr="007D322B">
        <w:rPr>
          <w:rFonts w:ascii="Arial" w:hAnsi="Arial" w:cs="Arial"/>
          <w:i/>
        </w:rPr>
        <w:t>leak</w:t>
      </w:r>
      <w:r w:rsidR="00EE0CCC">
        <w:rPr>
          <w:rFonts w:ascii="Arial" w:hAnsi="Arial" w:cs="Arial"/>
          <w:i/>
        </w:rPr>
        <w:t xml:space="preserve"> </w:t>
      </w:r>
      <w:r w:rsidRPr="007D322B">
        <w:rPr>
          <w:rFonts w:ascii="Arial" w:hAnsi="Arial" w:cs="Arial"/>
          <w:i/>
        </w:rPr>
        <w:t>syndrome</w:t>
      </w:r>
      <w:r w:rsidR="00EE0CCC">
        <w:rPr>
          <w:rFonts w:ascii="Arial" w:hAnsi="Arial" w:cs="Arial"/>
          <w:i/>
        </w:rPr>
        <w:t xml:space="preserve"> </w:t>
      </w:r>
      <w:r w:rsidRPr="007D322B">
        <w:rPr>
          <w:rFonts w:ascii="Arial" w:hAnsi="Arial" w:cs="Arial"/>
          <w:i/>
        </w:rPr>
        <w:t>(CLS)</w:t>
      </w:r>
    </w:p>
    <w:p w:rsidR="00DB02A6" w:rsidRPr="007D322B" w:rsidRDefault="00DB02A6" w:rsidP="00DB02A6">
      <w:pPr>
        <w:keepNext/>
        <w:keepLines/>
        <w:rPr>
          <w:rFonts w:ascii="Arial" w:hAnsi="Arial" w:cs="Arial"/>
        </w:rPr>
      </w:pPr>
      <w:r w:rsidRPr="007D322B">
        <w:rPr>
          <w:rFonts w:ascii="Arial" w:hAnsi="Arial" w:cs="Arial"/>
        </w:rPr>
        <w:t>Overall,</w:t>
      </w:r>
      <w:r w:rsidR="00EE0CCC">
        <w:rPr>
          <w:rFonts w:ascii="Arial" w:hAnsi="Arial" w:cs="Arial"/>
        </w:rPr>
        <w:t xml:space="preserve"> </w:t>
      </w:r>
      <w:r w:rsidRPr="007D322B">
        <w:rPr>
          <w:rFonts w:ascii="Arial" w:hAnsi="Arial" w:cs="Arial"/>
        </w:rPr>
        <w:t>10%</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CLS</w:t>
      </w:r>
      <w:r w:rsidR="00EE0CCC">
        <w:rPr>
          <w:rFonts w:ascii="Arial" w:hAnsi="Arial" w:cs="Arial"/>
        </w:rPr>
        <w:t xml:space="preserve"> </w:t>
      </w:r>
      <w:r w:rsidRPr="007D322B">
        <w:rPr>
          <w:rFonts w:ascii="Arial" w:hAnsi="Arial" w:cs="Arial"/>
        </w:rPr>
        <w:t>were</w:t>
      </w:r>
      <w:r w:rsidR="00EE0CCC">
        <w:rPr>
          <w:rFonts w:ascii="Arial" w:hAnsi="Arial" w:cs="Arial"/>
        </w:rPr>
        <w:t xml:space="preserve"> </w:t>
      </w:r>
      <w:r w:rsidRPr="007D322B">
        <w:rPr>
          <w:rFonts w:ascii="Arial" w:hAnsi="Arial" w:cs="Arial"/>
        </w:rPr>
        <w:t>severe</w:t>
      </w:r>
      <w:r w:rsidR="00EE0CCC">
        <w:rPr>
          <w:rFonts w:ascii="Arial" w:hAnsi="Arial" w:cs="Arial"/>
        </w:rPr>
        <w:t xml:space="preserve"> </w:t>
      </w:r>
      <w:r w:rsidRPr="007D322B">
        <w:rPr>
          <w:rFonts w:ascii="Arial" w:hAnsi="Arial" w:cs="Arial"/>
        </w:rPr>
        <w:t>(grade</w:t>
      </w:r>
      <w:r w:rsidR="00EE0CCC">
        <w:rPr>
          <w:rFonts w:ascii="Arial" w:hAnsi="Arial" w:cs="Arial"/>
        </w:rPr>
        <w:t xml:space="preserve"> </w:t>
      </w:r>
      <w:r w:rsidRPr="007D322B">
        <w:rPr>
          <w:rFonts w:ascii="Arial" w:hAnsi="Arial" w:cs="Arial"/>
        </w:rPr>
        <w:t>3</w:t>
      </w:r>
      <w:r w:rsidRPr="007D322B">
        <w:rPr>
          <w:rFonts w:ascii="Arial" w:hAnsi="Arial" w:cs="Arial"/>
        </w:rPr>
        <w:noBreakHyphen/>
        <w:t>4)</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their</w:t>
      </w:r>
      <w:r w:rsidR="00EE0CCC">
        <w:rPr>
          <w:rFonts w:ascii="Arial" w:hAnsi="Arial" w:cs="Arial"/>
        </w:rPr>
        <w:t xml:space="preserve"> </w:t>
      </w:r>
      <w:r w:rsidRPr="007D322B">
        <w:rPr>
          <w:rFonts w:ascii="Arial" w:hAnsi="Arial" w:cs="Arial"/>
        </w:rPr>
        <w:t>frequency</w:t>
      </w:r>
      <w:r w:rsidR="00EE0CCC">
        <w:rPr>
          <w:rFonts w:ascii="Arial" w:hAnsi="Arial" w:cs="Arial"/>
        </w:rPr>
        <w:t xml:space="preserve"> </w:t>
      </w:r>
      <w:r w:rsidRPr="007D322B">
        <w:rPr>
          <w:rFonts w:ascii="Arial" w:hAnsi="Arial" w:cs="Arial"/>
        </w:rPr>
        <w:t>decreased</w:t>
      </w:r>
      <w:r w:rsidR="00EE0CCC">
        <w:rPr>
          <w:rFonts w:ascii="Arial" w:hAnsi="Arial" w:cs="Arial"/>
        </w:rPr>
        <w:t xml:space="preserve"> </w:t>
      </w:r>
      <w:r w:rsidRPr="007D322B">
        <w:rPr>
          <w:rFonts w:ascii="Arial" w:hAnsi="Arial" w:cs="Arial"/>
        </w:rPr>
        <w:t>over</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treatment</w:t>
      </w:r>
      <w:r w:rsidR="00EE0CCC">
        <w:rPr>
          <w:rFonts w:ascii="Arial" w:hAnsi="Arial" w:cs="Arial"/>
        </w:rPr>
        <w:t xml:space="preserve"> </w:t>
      </w:r>
      <w:r w:rsidRPr="007D322B">
        <w:rPr>
          <w:rFonts w:ascii="Arial" w:hAnsi="Arial" w:cs="Arial"/>
        </w:rPr>
        <w:t>courses.</w:t>
      </w:r>
    </w:p>
    <w:p w:rsidR="00DB02A6" w:rsidRPr="007D322B" w:rsidRDefault="00DB02A6" w:rsidP="00DB02A6">
      <w:pPr>
        <w:autoSpaceDE w:val="0"/>
        <w:autoSpaceDN w:val="0"/>
        <w:adjustRightInd w:val="0"/>
        <w:rPr>
          <w:rFonts w:ascii="Arial" w:hAnsi="Arial" w:cs="Arial"/>
        </w:rPr>
      </w:pPr>
    </w:p>
    <w:p w:rsidR="00DB02A6" w:rsidRPr="007D322B" w:rsidRDefault="00DB02A6" w:rsidP="00DB02A6">
      <w:pPr>
        <w:keepNext/>
        <w:keepLines/>
        <w:autoSpaceDE w:val="0"/>
        <w:autoSpaceDN w:val="0"/>
        <w:adjustRightInd w:val="0"/>
        <w:rPr>
          <w:rFonts w:ascii="Arial" w:hAnsi="Arial" w:cs="Arial"/>
          <w:i/>
        </w:rPr>
      </w:pPr>
      <w:r w:rsidRPr="007D322B">
        <w:rPr>
          <w:rFonts w:ascii="Arial" w:hAnsi="Arial" w:cs="Arial"/>
          <w:i/>
        </w:rPr>
        <w:t>Eye</w:t>
      </w:r>
      <w:r w:rsidR="00EE0CCC">
        <w:rPr>
          <w:rFonts w:ascii="Arial" w:hAnsi="Arial" w:cs="Arial"/>
          <w:i/>
        </w:rPr>
        <w:t xml:space="preserve"> </w:t>
      </w:r>
      <w:r w:rsidRPr="007D322B">
        <w:rPr>
          <w:rFonts w:ascii="Arial" w:hAnsi="Arial" w:cs="Arial"/>
          <w:i/>
        </w:rPr>
        <w:t>problems</w:t>
      </w:r>
    </w:p>
    <w:p w:rsidR="00DB02A6" w:rsidRPr="007D322B" w:rsidRDefault="00DB02A6" w:rsidP="00DB02A6">
      <w:pPr>
        <w:keepNext/>
        <w:keepLines/>
        <w:rPr>
          <w:rFonts w:ascii="Arial" w:hAnsi="Arial" w:cs="Arial"/>
        </w:rPr>
      </w:pPr>
      <w:r w:rsidRPr="007D322B">
        <w:rPr>
          <w:rFonts w:ascii="Arial" w:hAnsi="Arial" w:cs="Arial"/>
        </w:rPr>
        <w:t>These</w:t>
      </w:r>
      <w:r w:rsidR="00EE0CCC">
        <w:rPr>
          <w:rFonts w:ascii="Arial" w:hAnsi="Arial" w:cs="Arial"/>
        </w:rPr>
        <w:t xml:space="preserve"> </w:t>
      </w:r>
      <w:r w:rsidRPr="007D322B">
        <w:rPr>
          <w:rFonts w:ascii="Arial" w:hAnsi="Arial" w:cs="Arial"/>
        </w:rPr>
        <w:t>included</w:t>
      </w:r>
      <w:r w:rsidR="00EE0CCC">
        <w:rPr>
          <w:rFonts w:ascii="Arial" w:hAnsi="Arial" w:cs="Arial"/>
        </w:rPr>
        <w:t xml:space="preserve"> </w:t>
      </w:r>
      <w:r w:rsidRPr="007D322B">
        <w:rPr>
          <w:rFonts w:ascii="Arial" w:hAnsi="Arial" w:cs="Arial"/>
        </w:rPr>
        <w:t>impaired</w:t>
      </w:r>
      <w:r w:rsidR="00EE0CCC">
        <w:rPr>
          <w:rFonts w:ascii="Arial" w:hAnsi="Arial" w:cs="Arial"/>
        </w:rPr>
        <w:t xml:space="preserve"> </w:t>
      </w:r>
      <w:r w:rsidRPr="007D322B">
        <w:rPr>
          <w:rFonts w:ascii="Arial" w:hAnsi="Arial" w:cs="Arial"/>
        </w:rPr>
        <w:t>visual</w:t>
      </w:r>
      <w:r w:rsidR="00EE0CCC">
        <w:rPr>
          <w:rFonts w:ascii="Arial" w:hAnsi="Arial" w:cs="Arial"/>
        </w:rPr>
        <w:t xml:space="preserve"> </w:t>
      </w:r>
      <w:r w:rsidRPr="007D322B">
        <w:rPr>
          <w:rFonts w:ascii="Arial" w:hAnsi="Arial" w:cs="Arial"/>
        </w:rPr>
        <w:t>accommodation</w:t>
      </w:r>
      <w:r w:rsidR="00EE0CCC">
        <w:rPr>
          <w:rFonts w:ascii="Arial" w:hAnsi="Arial" w:cs="Arial"/>
        </w:rPr>
        <w:t xml:space="preserve"> </w:t>
      </w:r>
      <w:r w:rsidRPr="007D322B">
        <w:rPr>
          <w:rFonts w:ascii="Arial" w:hAnsi="Arial" w:cs="Arial"/>
        </w:rPr>
        <w:t>that</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correctable</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008C1D88" w:rsidRPr="007D322B">
        <w:rPr>
          <w:rFonts w:ascii="Arial" w:hAnsi="Arial" w:cs="Arial"/>
        </w:rPr>
        <w:t>eyeglasses</w:t>
      </w:r>
      <w:r w:rsidRPr="007D322B">
        <w:rPr>
          <w:rFonts w:ascii="Arial" w:hAnsi="Arial" w:cs="Arial"/>
        </w:rPr>
        <w:t>,</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well</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mydriasis</w:t>
      </w:r>
      <w:r w:rsidR="00EE0CCC">
        <w:rPr>
          <w:rFonts w:ascii="Arial" w:hAnsi="Arial" w:cs="Arial"/>
        </w:rPr>
        <w:t xml:space="preserve"> </w:t>
      </w:r>
      <w:r w:rsidRPr="007D322B">
        <w:rPr>
          <w:rFonts w:ascii="Arial" w:hAnsi="Arial" w:cs="Arial"/>
        </w:rPr>
        <w:t>(13%),</w:t>
      </w:r>
      <w:r w:rsidR="00EE0CCC">
        <w:rPr>
          <w:rFonts w:ascii="Arial" w:hAnsi="Arial" w:cs="Arial"/>
        </w:rPr>
        <w:t xml:space="preserve"> </w:t>
      </w:r>
      <w:r w:rsidRPr="007D322B">
        <w:rPr>
          <w:rFonts w:ascii="Arial" w:hAnsi="Arial" w:cs="Arial"/>
        </w:rPr>
        <w:t>blurred</w:t>
      </w:r>
      <w:r w:rsidR="00EE0CCC">
        <w:rPr>
          <w:rFonts w:ascii="Arial" w:hAnsi="Arial" w:cs="Arial"/>
        </w:rPr>
        <w:t xml:space="preserve"> </w:t>
      </w:r>
      <w:r w:rsidRPr="007D322B">
        <w:rPr>
          <w:rFonts w:ascii="Arial" w:hAnsi="Arial" w:cs="Arial"/>
        </w:rPr>
        <w:t>vision</w:t>
      </w:r>
      <w:r w:rsidR="00EE0CCC">
        <w:rPr>
          <w:rFonts w:ascii="Arial" w:hAnsi="Arial" w:cs="Arial"/>
        </w:rPr>
        <w:t xml:space="preserve"> </w:t>
      </w:r>
      <w:r w:rsidRPr="007D322B">
        <w:rPr>
          <w:rFonts w:ascii="Arial" w:hAnsi="Arial" w:cs="Arial"/>
        </w:rPr>
        <w:t>(3%)</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photophobia</w:t>
      </w:r>
      <w:r w:rsidR="00EE0CCC">
        <w:rPr>
          <w:rFonts w:ascii="Arial" w:hAnsi="Arial" w:cs="Arial"/>
        </w:rPr>
        <w:t xml:space="preserve"> </w:t>
      </w:r>
      <w:r w:rsidRPr="007D322B">
        <w:rPr>
          <w:rFonts w:ascii="Arial" w:hAnsi="Arial" w:cs="Arial"/>
        </w:rPr>
        <w:t>(3%),</w:t>
      </w:r>
      <w:r w:rsidR="00EE0CCC">
        <w:rPr>
          <w:rFonts w:ascii="Arial" w:hAnsi="Arial" w:cs="Arial"/>
        </w:rPr>
        <w:t xml:space="preserve"> </w:t>
      </w:r>
      <w:r w:rsidRPr="007D322B">
        <w:rPr>
          <w:rFonts w:ascii="Arial" w:hAnsi="Arial" w:cs="Arial"/>
        </w:rPr>
        <w:t>which</w:t>
      </w:r>
      <w:r w:rsidR="00EE0CCC">
        <w:rPr>
          <w:rFonts w:ascii="Arial" w:hAnsi="Arial" w:cs="Arial"/>
        </w:rPr>
        <w:t xml:space="preserve"> </w:t>
      </w:r>
      <w:r w:rsidRPr="007D322B">
        <w:rPr>
          <w:rFonts w:ascii="Arial" w:hAnsi="Arial" w:cs="Arial"/>
        </w:rPr>
        <w:t>were</w:t>
      </w:r>
      <w:r w:rsidR="00EE0CCC">
        <w:rPr>
          <w:rFonts w:ascii="Arial" w:hAnsi="Arial" w:cs="Arial"/>
        </w:rPr>
        <w:t xml:space="preserve"> </w:t>
      </w:r>
      <w:r w:rsidRPr="007D322B">
        <w:rPr>
          <w:rFonts w:ascii="Arial" w:hAnsi="Arial" w:cs="Arial"/>
        </w:rPr>
        <w:t>usually</w:t>
      </w:r>
      <w:r w:rsidR="00EE0CCC">
        <w:rPr>
          <w:rFonts w:ascii="Arial" w:hAnsi="Arial" w:cs="Arial"/>
        </w:rPr>
        <w:t xml:space="preserve"> </w:t>
      </w:r>
      <w:r w:rsidRPr="007D322B">
        <w:rPr>
          <w:rFonts w:ascii="Arial" w:hAnsi="Arial" w:cs="Arial"/>
        </w:rPr>
        <w:t>reversible</w:t>
      </w:r>
      <w:r w:rsidR="00EE0CCC">
        <w:rPr>
          <w:rFonts w:ascii="Arial" w:hAnsi="Arial" w:cs="Arial"/>
        </w:rPr>
        <w:t xml:space="preserve"> </w:t>
      </w:r>
      <w:r w:rsidRPr="007D322B">
        <w:rPr>
          <w:rFonts w:ascii="Arial" w:hAnsi="Arial" w:cs="Arial"/>
        </w:rPr>
        <w:t>after</w:t>
      </w:r>
      <w:r w:rsidR="00EE0CCC">
        <w:rPr>
          <w:rFonts w:ascii="Arial" w:hAnsi="Arial" w:cs="Arial"/>
        </w:rPr>
        <w:t xml:space="preserve"> </w:t>
      </w:r>
      <w:r w:rsidRPr="007D322B">
        <w:rPr>
          <w:rFonts w:ascii="Arial" w:hAnsi="Arial" w:cs="Arial"/>
        </w:rPr>
        <w:t>treatment</w:t>
      </w:r>
      <w:r w:rsidR="00EE0CCC">
        <w:rPr>
          <w:rFonts w:ascii="Arial" w:hAnsi="Arial" w:cs="Arial"/>
        </w:rPr>
        <w:t xml:space="preserve"> </w:t>
      </w:r>
      <w:r w:rsidRPr="007D322B">
        <w:rPr>
          <w:rFonts w:ascii="Arial" w:hAnsi="Arial" w:cs="Arial"/>
        </w:rPr>
        <w:t>discontinuation.</w:t>
      </w:r>
      <w:r w:rsidR="00EE0CCC">
        <w:rPr>
          <w:rFonts w:ascii="Arial" w:hAnsi="Arial" w:cs="Arial"/>
        </w:rPr>
        <w:t xml:space="preserve"> </w:t>
      </w:r>
      <w:r w:rsidRPr="007D322B">
        <w:rPr>
          <w:rFonts w:ascii="Arial" w:hAnsi="Arial" w:cs="Arial"/>
        </w:rPr>
        <w:t>Severe</w:t>
      </w:r>
      <w:r w:rsidR="00EE0CCC">
        <w:rPr>
          <w:rFonts w:ascii="Arial" w:hAnsi="Arial" w:cs="Arial"/>
        </w:rPr>
        <w:t xml:space="preserve"> </w:t>
      </w:r>
      <w:r w:rsidRPr="007D322B">
        <w:rPr>
          <w:rFonts w:ascii="Arial" w:hAnsi="Arial" w:cs="Arial"/>
        </w:rPr>
        <w:t>eye</w:t>
      </w:r>
      <w:r w:rsidR="00EE0CCC">
        <w:rPr>
          <w:rFonts w:ascii="Arial" w:hAnsi="Arial" w:cs="Arial"/>
        </w:rPr>
        <w:t xml:space="preserve"> </w:t>
      </w:r>
      <w:r w:rsidRPr="007D322B">
        <w:rPr>
          <w:rFonts w:ascii="Arial" w:hAnsi="Arial" w:cs="Arial"/>
        </w:rPr>
        <w:t>disorders</w:t>
      </w:r>
      <w:r w:rsidR="00EE0CCC">
        <w:rPr>
          <w:rFonts w:ascii="Arial" w:hAnsi="Arial" w:cs="Arial"/>
        </w:rPr>
        <w:t xml:space="preserve"> </w:t>
      </w:r>
      <w:r w:rsidRPr="007D322B">
        <w:rPr>
          <w:rFonts w:ascii="Arial" w:hAnsi="Arial" w:cs="Arial"/>
        </w:rPr>
        <w:t>were</w:t>
      </w:r>
      <w:r w:rsidR="00EE0CCC">
        <w:rPr>
          <w:rFonts w:ascii="Arial" w:hAnsi="Arial" w:cs="Arial"/>
        </w:rPr>
        <w:t xml:space="preserve"> </w:t>
      </w:r>
      <w:r w:rsidRPr="007D322B">
        <w:rPr>
          <w:rFonts w:ascii="Arial" w:hAnsi="Arial" w:cs="Arial"/>
        </w:rPr>
        <w:t>also</w:t>
      </w:r>
      <w:r w:rsidR="00EE0CCC">
        <w:rPr>
          <w:rFonts w:ascii="Arial" w:hAnsi="Arial" w:cs="Arial"/>
        </w:rPr>
        <w:t xml:space="preserve"> </w:t>
      </w:r>
      <w:r w:rsidRPr="007D322B">
        <w:rPr>
          <w:rFonts w:ascii="Arial" w:hAnsi="Arial" w:cs="Arial"/>
        </w:rPr>
        <w:t>reported</w:t>
      </w:r>
      <w:r w:rsidR="00EE0CCC">
        <w:rPr>
          <w:rFonts w:ascii="Arial" w:hAnsi="Arial" w:cs="Arial"/>
        </w:rPr>
        <w:t xml:space="preserve"> </w:t>
      </w:r>
      <w:r w:rsidRPr="007D322B">
        <w:rPr>
          <w:rFonts w:ascii="Arial" w:hAnsi="Arial" w:cs="Arial"/>
        </w:rPr>
        <w:t>including</w:t>
      </w:r>
      <w:r w:rsidR="00EE0CCC">
        <w:rPr>
          <w:rFonts w:ascii="Arial" w:hAnsi="Arial" w:cs="Arial"/>
        </w:rPr>
        <w:t xml:space="preserve"> </w:t>
      </w:r>
      <w:r w:rsidRPr="007D322B">
        <w:rPr>
          <w:rFonts w:ascii="Arial" w:hAnsi="Arial" w:cs="Arial"/>
        </w:rPr>
        <w:t>ophthalmoplegia</w:t>
      </w:r>
      <w:r w:rsidR="00EE0CCC">
        <w:rPr>
          <w:rFonts w:ascii="Arial" w:hAnsi="Arial" w:cs="Arial"/>
        </w:rPr>
        <w:t xml:space="preserve"> </w:t>
      </w:r>
      <w:r w:rsidRPr="007D322B">
        <w:rPr>
          <w:rFonts w:ascii="Arial" w:hAnsi="Arial" w:cs="Arial"/>
        </w:rPr>
        <w:t>(2%)</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optic</w:t>
      </w:r>
      <w:r w:rsidR="00EE0CCC">
        <w:rPr>
          <w:rFonts w:ascii="Arial" w:hAnsi="Arial" w:cs="Arial"/>
        </w:rPr>
        <w:t xml:space="preserve"> </w:t>
      </w:r>
      <w:r w:rsidRPr="007D322B">
        <w:rPr>
          <w:rFonts w:ascii="Arial" w:hAnsi="Arial" w:cs="Arial"/>
        </w:rPr>
        <w:t>atrophy.</w:t>
      </w:r>
    </w:p>
    <w:p w:rsidR="00DB02A6" w:rsidRPr="007D322B" w:rsidRDefault="00DB02A6" w:rsidP="00DB02A6">
      <w:pPr>
        <w:rPr>
          <w:rFonts w:ascii="Arial" w:hAnsi="Arial" w:cs="Arial"/>
        </w:rPr>
      </w:pPr>
    </w:p>
    <w:p w:rsidR="00DB02A6" w:rsidRPr="007D322B" w:rsidRDefault="00DB02A6" w:rsidP="00DB02A6">
      <w:pPr>
        <w:keepNext/>
        <w:keepLines/>
        <w:autoSpaceDE w:val="0"/>
        <w:autoSpaceDN w:val="0"/>
        <w:adjustRightInd w:val="0"/>
        <w:rPr>
          <w:rFonts w:ascii="Arial" w:hAnsi="Arial" w:cs="Arial"/>
          <w:i/>
        </w:rPr>
      </w:pPr>
      <w:r w:rsidRPr="007D322B">
        <w:rPr>
          <w:rFonts w:ascii="Arial" w:hAnsi="Arial" w:cs="Arial"/>
          <w:i/>
        </w:rPr>
        <w:t>Peripheral</w:t>
      </w:r>
      <w:r w:rsidR="00EE0CCC">
        <w:rPr>
          <w:rFonts w:ascii="Arial" w:hAnsi="Arial" w:cs="Arial"/>
          <w:i/>
        </w:rPr>
        <w:t xml:space="preserve"> </w:t>
      </w:r>
      <w:r w:rsidRPr="007D322B">
        <w:rPr>
          <w:rFonts w:ascii="Arial" w:hAnsi="Arial" w:cs="Arial"/>
          <w:i/>
        </w:rPr>
        <w:t>neuropathy</w:t>
      </w:r>
    </w:p>
    <w:p w:rsidR="00DB02A6" w:rsidRPr="007D322B" w:rsidRDefault="00DB02A6" w:rsidP="00DB02A6">
      <w:pPr>
        <w:keepNext/>
        <w:keepLines/>
        <w:rPr>
          <w:rFonts w:ascii="Arial" w:hAnsi="Arial" w:cs="Arial"/>
        </w:rPr>
      </w:pPr>
      <w:r w:rsidRPr="007D322B">
        <w:rPr>
          <w:rFonts w:ascii="Arial" w:hAnsi="Arial" w:cs="Arial"/>
        </w:rPr>
        <w:t>Both</w:t>
      </w:r>
      <w:r w:rsidR="00EE0CCC">
        <w:rPr>
          <w:rFonts w:ascii="Arial" w:hAnsi="Arial" w:cs="Arial"/>
        </w:rPr>
        <w:t xml:space="preserve"> </w:t>
      </w:r>
      <w:r w:rsidRPr="007D322B">
        <w:rPr>
          <w:rFonts w:ascii="Arial" w:hAnsi="Arial" w:cs="Arial"/>
        </w:rPr>
        <w:t>motor</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sensory</w:t>
      </w:r>
      <w:r w:rsidR="00EE0CCC">
        <w:rPr>
          <w:rFonts w:ascii="Arial" w:hAnsi="Arial" w:cs="Arial"/>
        </w:rPr>
        <w:t xml:space="preserve"> </w:t>
      </w:r>
      <w:r w:rsidRPr="007D322B">
        <w:rPr>
          <w:rFonts w:ascii="Arial" w:hAnsi="Arial" w:cs="Arial"/>
        </w:rPr>
        <w:t>peripheral</w:t>
      </w:r>
      <w:r w:rsidR="00EE0CCC">
        <w:rPr>
          <w:rFonts w:ascii="Arial" w:hAnsi="Arial" w:cs="Arial"/>
        </w:rPr>
        <w:t xml:space="preserve"> </w:t>
      </w:r>
      <w:r w:rsidRPr="007D322B">
        <w:rPr>
          <w:rFonts w:ascii="Arial" w:hAnsi="Arial" w:cs="Arial"/>
        </w:rPr>
        <w:t>neuropathies</w:t>
      </w:r>
      <w:r w:rsidR="00EE0CCC">
        <w:rPr>
          <w:rFonts w:ascii="Arial" w:hAnsi="Arial" w:cs="Arial"/>
        </w:rPr>
        <w:t xml:space="preserve"> </w:t>
      </w:r>
      <w:r w:rsidRPr="007D322B">
        <w:rPr>
          <w:rFonts w:ascii="Arial" w:hAnsi="Arial" w:cs="Arial"/>
        </w:rPr>
        <w:t>have</w:t>
      </w:r>
      <w:r w:rsidR="00EE0CCC">
        <w:rPr>
          <w:rFonts w:ascii="Arial" w:hAnsi="Arial" w:cs="Arial"/>
        </w:rPr>
        <w:t xml:space="preserve"> </w:t>
      </w:r>
      <w:r w:rsidRPr="007D322B">
        <w:rPr>
          <w:rFonts w:ascii="Arial" w:hAnsi="Arial" w:cs="Arial"/>
        </w:rPr>
        <w:t>been</w:t>
      </w:r>
      <w:r w:rsidR="00EE0CCC">
        <w:rPr>
          <w:rFonts w:ascii="Arial" w:hAnsi="Arial" w:cs="Arial"/>
        </w:rPr>
        <w:t xml:space="preserve"> </w:t>
      </w:r>
      <w:r w:rsidRPr="007D322B">
        <w:rPr>
          <w:rFonts w:ascii="Arial" w:hAnsi="Arial" w:cs="Arial"/>
        </w:rPr>
        <w:t>reported,</w:t>
      </w:r>
      <w:r w:rsidR="00EE0CCC">
        <w:rPr>
          <w:rFonts w:ascii="Arial" w:hAnsi="Arial" w:cs="Arial"/>
        </w:rPr>
        <w:t xml:space="preserve"> </w:t>
      </w:r>
      <w:r w:rsidRPr="007D322B">
        <w:rPr>
          <w:rFonts w:ascii="Arial" w:hAnsi="Arial" w:cs="Arial"/>
        </w:rPr>
        <w:t>overall</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9%</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patients.</w:t>
      </w:r>
      <w:r w:rsidR="00EE0CCC">
        <w:rPr>
          <w:rFonts w:ascii="Arial" w:hAnsi="Arial" w:cs="Arial"/>
        </w:rPr>
        <w:t xml:space="preserve"> </w:t>
      </w:r>
      <w:r w:rsidRPr="007D322B">
        <w:rPr>
          <w:rFonts w:ascii="Arial" w:hAnsi="Arial" w:cs="Arial"/>
        </w:rPr>
        <w:t>Most</w:t>
      </w:r>
      <w:r w:rsidR="00EE0CCC">
        <w:rPr>
          <w:rFonts w:ascii="Arial" w:hAnsi="Arial" w:cs="Arial"/>
        </w:rPr>
        <w:t xml:space="preserve"> </w:t>
      </w:r>
      <w:r w:rsidRPr="007D322B">
        <w:rPr>
          <w:rFonts w:ascii="Arial" w:hAnsi="Arial" w:cs="Arial"/>
        </w:rPr>
        <w:t>events</w:t>
      </w:r>
      <w:r w:rsidR="00EE0CCC">
        <w:rPr>
          <w:rFonts w:ascii="Arial" w:hAnsi="Arial" w:cs="Arial"/>
        </w:rPr>
        <w:t xml:space="preserve"> </w:t>
      </w:r>
      <w:r w:rsidRPr="007D322B">
        <w:rPr>
          <w:rFonts w:ascii="Arial" w:hAnsi="Arial" w:cs="Arial"/>
        </w:rPr>
        <w:t>were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grade</w:t>
      </w:r>
      <w:r w:rsidR="00EE0CCC">
        <w:rPr>
          <w:rFonts w:ascii="Arial" w:hAnsi="Arial" w:cs="Arial"/>
        </w:rPr>
        <w:t xml:space="preserve"> </w:t>
      </w:r>
      <w:r w:rsidRPr="007D322B">
        <w:rPr>
          <w:rFonts w:ascii="Arial" w:hAnsi="Arial" w:cs="Arial"/>
        </w:rPr>
        <w:t>1</w:t>
      </w:r>
      <w:r w:rsidRPr="007D322B">
        <w:rPr>
          <w:rFonts w:ascii="Arial" w:hAnsi="Arial" w:cs="Arial"/>
        </w:rPr>
        <w:noBreakHyphen/>
        <w:t>2</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resolved.</w:t>
      </w:r>
      <w:r w:rsidR="00EE0CCC">
        <w:rPr>
          <w:rFonts w:ascii="Arial" w:hAnsi="Arial" w:cs="Arial"/>
        </w:rPr>
        <w:t xml:space="preserve"> </w:t>
      </w:r>
    </w:p>
    <w:p w:rsidR="00DB02A6" w:rsidRPr="007D322B" w:rsidRDefault="00DB02A6" w:rsidP="00DB02A6">
      <w:pPr>
        <w:rPr>
          <w:rFonts w:ascii="Arial" w:hAnsi="Arial" w:cs="Arial"/>
          <w:i/>
        </w:rPr>
      </w:pPr>
    </w:p>
    <w:p w:rsidR="00DB02A6" w:rsidRPr="007D322B" w:rsidRDefault="00DB02A6" w:rsidP="00DB02A6">
      <w:pPr>
        <w:keepNext/>
        <w:keepLines/>
        <w:rPr>
          <w:rFonts w:ascii="Arial" w:hAnsi="Arial" w:cs="Arial"/>
        </w:rPr>
      </w:pPr>
      <w:r w:rsidRPr="007D322B">
        <w:rPr>
          <w:rFonts w:ascii="Arial" w:hAnsi="Arial" w:cs="Arial"/>
          <w:i/>
        </w:rPr>
        <w:t>Safety</w:t>
      </w:r>
      <w:r w:rsidR="00EE0CCC">
        <w:rPr>
          <w:rFonts w:ascii="Arial" w:hAnsi="Arial" w:cs="Arial"/>
          <w:i/>
        </w:rPr>
        <w:t xml:space="preserve"> </w:t>
      </w:r>
      <w:r w:rsidRPr="007D322B">
        <w:rPr>
          <w:rFonts w:ascii="Arial" w:hAnsi="Arial" w:cs="Arial"/>
          <w:i/>
        </w:rPr>
        <w:t>profile</w:t>
      </w:r>
      <w:r w:rsidR="00EE0CCC">
        <w:rPr>
          <w:rFonts w:ascii="Arial" w:hAnsi="Arial" w:cs="Arial"/>
          <w:i/>
        </w:rPr>
        <w:t xml:space="preserve"> </w:t>
      </w:r>
      <w:r w:rsidRPr="007D322B">
        <w:rPr>
          <w:rFonts w:ascii="Arial" w:hAnsi="Arial" w:cs="Arial"/>
          <w:i/>
        </w:rPr>
        <w:t>with</w:t>
      </w:r>
      <w:r w:rsidR="00EE0CCC">
        <w:rPr>
          <w:rFonts w:ascii="Arial" w:hAnsi="Arial" w:cs="Arial"/>
          <w:i/>
        </w:rPr>
        <w:t xml:space="preserve"> </w:t>
      </w:r>
      <w:r w:rsidRPr="007D322B">
        <w:rPr>
          <w:rFonts w:ascii="Arial" w:hAnsi="Arial" w:cs="Arial"/>
          <w:i/>
        </w:rPr>
        <w:t>and</w:t>
      </w:r>
      <w:r w:rsidR="00EE0CCC">
        <w:rPr>
          <w:rFonts w:ascii="Arial" w:hAnsi="Arial" w:cs="Arial"/>
          <w:i/>
        </w:rPr>
        <w:t xml:space="preserve"> </w:t>
      </w:r>
      <w:r w:rsidRPr="007D322B">
        <w:rPr>
          <w:rFonts w:ascii="Arial" w:hAnsi="Arial" w:cs="Arial"/>
          <w:i/>
        </w:rPr>
        <w:t>without</w:t>
      </w:r>
      <w:r w:rsidR="00EE0CCC">
        <w:rPr>
          <w:rFonts w:ascii="Arial" w:hAnsi="Arial" w:cs="Arial"/>
          <w:i/>
        </w:rPr>
        <w:t xml:space="preserve"> </w:t>
      </w:r>
      <w:r w:rsidRPr="007D322B">
        <w:rPr>
          <w:rFonts w:ascii="Arial" w:hAnsi="Arial" w:cs="Arial"/>
          <w:i/>
        </w:rPr>
        <w:t>IL-2</w:t>
      </w:r>
    </w:p>
    <w:p w:rsidR="00DB02A6" w:rsidRPr="007D322B" w:rsidRDefault="00DB02A6" w:rsidP="00B51D16">
      <w:pPr>
        <w:keepNext/>
        <w:keepLines/>
        <w:rPr>
          <w:rFonts w:ascii="Arial" w:hAnsi="Arial" w:cs="Arial"/>
        </w:rPr>
      </w:pPr>
      <w:r w:rsidRPr="007D322B">
        <w:rPr>
          <w:rFonts w:ascii="Arial" w:hAnsi="Arial" w:cs="Arial"/>
        </w:rPr>
        <w:t>The</w:t>
      </w:r>
      <w:r w:rsidR="00EE0CCC">
        <w:rPr>
          <w:rFonts w:ascii="Arial" w:hAnsi="Arial" w:cs="Arial"/>
        </w:rPr>
        <w:t xml:space="preserve"> </w:t>
      </w:r>
      <w:r w:rsidRPr="007D322B">
        <w:rPr>
          <w:rFonts w:ascii="Arial" w:hAnsi="Arial" w:cs="Arial"/>
        </w:rPr>
        <w:t>combination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008C1D88" w:rsidRPr="007D322B">
        <w:rPr>
          <w:rFonts w:ascii="Arial" w:hAnsi="Arial" w:cs="Arial"/>
        </w:rPr>
        <w:t>QARZIBA</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IL</w:t>
      </w:r>
      <w:r w:rsidRPr="007D322B">
        <w:rPr>
          <w:rFonts w:ascii="Arial" w:hAnsi="Arial" w:cs="Arial"/>
        </w:rPr>
        <w:noBreakHyphen/>
        <w:t>2</w:t>
      </w:r>
      <w:r w:rsidR="00EE0CCC">
        <w:rPr>
          <w:rFonts w:ascii="Arial" w:hAnsi="Arial" w:cs="Arial"/>
        </w:rPr>
        <w:t xml:space="preserve"> </w:t>
      </w:r>
      <w:r w:rsidRPr="007D322B">
        <w:rPr>
          <w:rFonts w:ascii="Arial" w:hAnsi="Arial" w:cs="Arial"/>
        </w:rPr>
        <w:t>increases</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risk</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adverse</w:t>
      </w:r>
      <w:r w:rsidR="00EE0CCC">
        <w:rPr>
          <w:rFonts w:ascii="Arial" w:hAnsi="Arial" w:cs="Arial"/>
        </w:rPr>
        <w:t xml:space="preserve"> </w:t>
      </w:r>
      <w:r w:rsidRPr="007D322B">
        <w:rPr>
          <w:rFonts w:ascii="Arial" w:hAnsi="Arial" w:cs="Arial"/>
        </w:rPr>
        <w:t>drug</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compared</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008C1D88" w:rsidRPr="007D322B">
        <w:rPr>
          <w:rFonts w:ascii="Arial" w:hAnsi="Arial" w:cs="Arial"/>
        </w:rPr>
        <w:t>QARZIBA</w:t>
      </w:r>
      <w:r w:rsidR="00EE0CCC">
        <w:rPr>
          <w:rFonts w:ascii="Arial" w:hAnsi="Arial" w:cs="Arial"/>
        </w:rPr>
        <w:t xml:space="preserve"> </w:t>
      </w:r>
      <w:r w:rsidRPr="007D322B">
        <w:rPr>
          <w:rFonts w:ascii="Arial" w:hAnsi="Arial" w:cs="Arial"/>
        </w:rPr>
        <w:t>without</w:t>
      </w:r>
      <w:r w:rsidR="00EE0CCC">
        <w:rPr>
          <w:rFonts w:ascii="Arial" w:hAnsi="Arial" w:cs="Arial"/>
        </w:rPr>
        <w:t xml:space="preserve"> </w:t>
      </w:r>
      <w:r w:rsidRPr="007D322B">
        <w:rPr>
          <w:rFonts w:ascii="Arial" w:hAnsi="Arial" w:cs="Arial"/>
        </w:rPr>
        <w:t>IL</w:t>
      </w:r>
      <w:r w:rsidRPr="007D322B">
        <w:rPr>
          <w:rFonts w:ascii="Arial" w:hAnsi="Arial" w:cs="Arial"/>
        </w:rPr>
        <w:noBreakHyphen/>
        <w:t>2,</w:t>
      </w:r>
      <w:r w:rsidR="00EE0CCC">
        <w:rPr>
          <w:rFonts w:ascii="Arial" w:hAnsi="Arial" w:cs="Arial"/>
        </w:rPr>
        <w:t xml:space="preserve"> </w:t>
      </w:r>
      <w:r w:rsidRPr="007D322B">
        <w:rPr>
          <w:rFonts w:ascii="Arial" w:hAnsi="Arial" w:cs="Arial"/>
        </w:rPr>
        <w:t>especially</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pyrexia</w:t>
      </w:r>
      <w:r w:rsidR="00EE0CCC">
        <w:rPr>
          <w:rFonts w:ascii="Arial" w:hAnsi="Arial" w:cs="Arial"/>
        </w:rPr>
        <w:t xml:space="preserve"> </w:t>
      </w:r>
      <w:r w:rsidRPr="007D322B">
        <w:rPr>
          <w:rFonts w:ascii="Arial" w:hAnsi="Arial" w:cs="Arial"/>
        </w:rPr>
        <w:t>(92%</w:t>
      </w:r>
      <w:r w:rsidR="00EE0CCC">
        <w:rPr>
          <w:rFonts w:ascii="Arial" w:hAnsi="Arial" w:cs="Arial"/>
        </w:rPr>
        <w:t xml:space="preserve"> </w:t>
      </w:r>
      <w:r w:rsidRPr="007D322B">
        <w:rPr>
          <w:rFonts w:ascii="Arial" w:hAnsi="Arial" w:cs="Arial"/>
        </w:rPr>
        <w:t>vs.</w:t>
      </w:r>
      <w:r w:rsidR="00EE0CCC">
        <w:rPr>
          <w:rFonts w:ascii="Arial" w:hAnsi="Arial" w:cs="Arial"/>
        </w:rPr>
        <w:t xml:space="preserve"> </w:t>
      </w:r>
      <w:r w:rsidRPr="007D322B">
        <w:rPr>
          <w:rFonts w:ascii="Arial" w:hAnsi="Arial" w:cs="Arial"/>
        </w:rPr>
        <w:t>79%),</w:t>
      </w:r>
      <w:r w:rsidR="00EE0CCC">
        <w:rPr>
          <w:rFonts w:ascii="Arial" w:hAnsi="Arial" w:cs="Arial"/>
        </w:rPr>
        <w:t xml:space="preserve"> </w:t>
      </w:r>
      <w:r w:rsidRPr="007D322B">
        <w:rPr>
          <w:rFonts w:ascii="Arial" w:hAnsi="Arial" w:cs="Arial"/>
        </w:rPr>
        <w:t>CLS</w:t>
      </w:r>
      <w:r w:rsidR="00EE0CCC">
        <w:rPr>
          <w:rFonts w:ascii="Arial" w:hAnsi="Arial" w:cs="Arial"/>
        </w:rPr>
        <w:t xml:space="preserve"> </w:t>
      </w:r>
      <w:r w:rsidRPr="007D322B">
        <w:rPr>
          <w:rFonts w:ascii="Arial" w:hAnsi="Arial" w:cs="Arial"/>
        </w:rPr>
        <w:t>(50%</w:t>
      </w:r>
      <w:r w:rsidR="00EE0CCC">
        <w:rPr>
          <w:rFonts w:ascii="Arial" w:hAnsi="Arial" w:cs="Arial"/>
        </w:rPr>
        <w:t xml:space="preserve"> </w:t>
      </w:r>
      <w:r w:rsidRPr="007D322B">
        <w:rPr>
          <w:rFonts w:ascii="Arial" w:hAnsi="Arial" w:cs="Arial"/>
        </w:rPr>
        <w:t>vs.</w:t>
      </w:r>
      <w:r w:rsidR="00EE0CCC">
        <w:rPr>
          <w:rFonts w:ascii="Arial" w:hAnsi="Arial" w:cs="Arial"/>
        </w:rPr>
        <w:t xml:space="preserve"> </w:t>
      </w:r>
      <w:r w:rsidRPr="007D322B">
        <w:rPr>
          <w:rFonts w:ascii="Arial" w:hAnsi="Arial" w:cs="Arial"/>
        </w:rPr>
        <w:t>25%),</w:t>
      </w:r>
      <w:r w:rsidR="00EE0CCC">
        <w:rPr>
          <w:rFonts w:ascii="Arial" w:hAnsi="Arial" w:cs="Arial"/>
        </w:rPr>
        <w:t xml:space="preserve"> </w:t>
      </w:r>
      <w:r w:rsidRPr="007D322B">
        <w:rPr>
          <w:rFonts w:ascii="Arial" w:hAnsi="Arial" w:cs="Arial"/>
        </w:rPr>
        <w:t>pain</w:t>
      </w:r>
      <w:r w:rsidR="00EE0CCC">
        <w:rPr>
          <w:rFonts w:ascii="Arial" w:hAnsi="Arial" w:cs="Arial"/>
        </w:rPr>
        <w:t xml:space="preserve"> </w:t>
      </w:r>
      <w:r w:rsidRPr="007D322B">
        <w:rPr>
          <w:rFonts w:ascii="Arial" w:hAnsi="Arial" w:cs="Arial"/>
        </w:rPr>
        <w:t>related</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dinutuximab</w:t>
      </w:r>
      <w:r w:rsidR="00EE0CCC">
        <w:rPr>
          <w:rFonts w:ascii="Arial" w:hAnsi="Arial" w:cs="Arial"/>
        </w:rPr>
        <w:t xml:space="preserve"> </w:t>
      </w:r>
      <w:r w:rsidRPr="007D322B">
        <w:rPr>
          <w:rFonts w:ascii="Arial" w:hAnsi="Arial" w:cs="Arial"/>
        </w:rPr>
        <w:t>beta</w:t>
      </w:r>
      <w:r w:rsidR="00EE0CCC">
        <w:rPr>
          <w:rFonts w:ascii="Arial" w:hAnsi="Arial" w:cs="Arial"/>
        </w:rPr>
        <w:t xml:space="preserve"> </w:t>
      </w:r>
      <w:r w:rsidRPr="007D322B">
        <w:rPr>
          <w:rFonts w:ascii="Arial" w:hAnsi="Arial" w:cs="Arial"/>
        </w:rPr>
        <w:t>(75%</w:t>
      </w:r>
      <w:r w:rsidR="00EE0CCC">
        <w:rPr>
          <w:rFonts w:ascii="Arial" w:hAnsi="Arial" w:cs="Arial"/>
        </w:rPr>
        <w:t xml:space="preserve"> </w:t>
      </w:r>
      <w:r w:rsidRPr="007D322B">
        <w:rPr>
          <w:rFonts w:ascii="Arial" w:hAnsi="Arial" w:cs="Arial"/>
        </w:rPr>
        <w:t>vs.</w:t>
      </w:r>
      <w:r w:rsidR="00EE0CCC">
        <w:rPr>
          <w:rFonts w:ascii="Arial" w:hAnsi="Arial" w:cs="Arial"/>
        </w:rPr>
        <w:t xml:space="preserve"> </w:t>
      </w:r>
      <w:r w:rsidRPr="007D322B">
        <w:rPr>
          <w:rFonts w:ascii="Arial" w:hAnsi="Arial" w:cs="Arial"/>
        </w:rPr>
        <w:t>63%),</w:t>
      </w:r>
      <w:r w:rsidR="00EE0CCC">
        <w:rPr>
          <w:rFonts w:ascii="Arial" w:hAnsi="Arial" w:cs="Arial"/>
        </w:rPr>
        <w:t xml:space="preserve"> </w:t>
      </w:r>
      <w:r w:rsidRPr="007D322B">
        <w:rPr>
          <w:rFonts w:ascii="Arial" w:hAnsi="Arial" w:cs="Arial"/>
        </w:rPr>
        <w:t>hypotension</w:t>
      </w:r>
      <w:r w:rsidR="00EE0CCC">
        <w:rPr>
          <w:rFonts w:ascii="Arial" w:hAnsi="Arial" w:cs="Arial"/>
        </w:rPr>
        <w:t xml:space="preserve"> </w:t>
      </w:r>
      <w:r w:rsidRPr="007D322B">
        <w:rPr>
          <w:rFonts w:ascii="Arial" w:hAnsi="Arial" w:cs="Arial"/>
        </w:rPr>
        <w:t>(43%</w:t>
      </w:r>
      <w:r w:rsidR="00EE0CCC">
        <w:rPr>
          <w:rFonts w:ascii="Arial" w:hAnsi="Arial" w:cs="Arial"/>
        </w:rPr>
        <w:t xml:space="preserve"> </w:t>
      </w:r>
      <w:r w:rsidRPr="007D322B">
        <w:rPr>
          <w:rFonts w:ascii="Arial" w:hAnsi="Arial" w:cs="Arial"/>
        </w:rPr>
        <w:t>vs.</w:t>
      </w:r>
      <w:r w:rsidR="00EE0CCC">
        <w:rPr>
          <w:rFonts w:ascii="Arial" w:hAnsi="Arial" w:cs="Arial"/>
        </w:rPr>
        <w:t xml:space="preserve"> </w:t>
      </w:r>
      <w:r w:rsidRPr="007D322B">
        <w:rPr>
          <w:rFonts w:ascii="Arial" w:hAnsi="Arial" w:cs="Arial"/>
        </w:rPr>
        <w:t>26%),</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peripheral</w:t>
      </w:r>
      <w:r w:rsidR="00EE0CCC">
        <w:rPr>
          <w:rFonts w:ascii="Arial" w:hAnsi="Arial" w:cs="Arial"/>
        </w:rPr>
        <w:t xml:space="preserve"> </w:t>
      </w:r>
      <w:r w:rsidRPr="007D322B">
        <w:rPr>
          <w:rFonts w:ascii="Arial" w:hAnsi="Arial" w:cs="Arial"/>
        </w:rPr>
        <w:t>neuropathy</w:t>
      </w:r>
      <w:r w:rsidR="00EE0CCC">
        <w:rPr>
          <w:rFonts w:ascii="Arial" w:hAnsi="Arial" w:cs="Arial"/>
        </w:rPr>
        <w:t xml:space="preserve"> </w:t>
      </w:r>
      <w:r w:rsidRPr="007D322B">
        <w:rPr>
          <w:rFonts w:ascii="Arial" w:hAnsi="Arial" w:cs="Arial"/>
        </w:rPr>
        <w:t>(14%</w:t>
      </w:r>
      <w:r w:rsidR="00EE0CCC">
        <w:rPr>
          <w:rFonts w:ascii="Arial" w:hAnsi="Arial" w:cs="Arial"/>
        </w:rPr>
        <w:t xml:space="preserve"> </w:t>
      </w:r>
      <w:r w:rsidRPr="007D322B">
        <w:rPr>
          <w:rFonts w:ascii="Arial" w:hAnsi="Arial" w:cs="Arial"/>
        </w:rPr>
        <w:t>vs.</w:t>
      </w:r>
      <w:r w:rsidR="00EE0CCC">
        <w:rPr>
          <w:rFonts w:ascii="Arial" w:hAnsi="Arial" w:cs="Arial"/>
        </w:rPr>
        <w:t xml:space="preserve"> </w:t>
      </w:r>
      <w:r w:rsidRPr="007D322B">
        <w:rPr>
          <w:rFonts w:ascii="Arial" w:hAnsi="Arial" w:cs="Arial"/>
        </w:rPr>
        <w:t>7%),</w:t>
      </w:r>
      <w:r w:rsidR="00EE0CCC">
        <w:rPr>
          <w:rFonts w:ascii="Arial" w:hAnsi="Arial" w:cs="Arial"/>
        </w:rPr>
        <w:t xml:space="preserve"> </w:t>
      </w:r>
      <w:r w:rsidRPr="007D322B">
        <w:rPr>
          <w:rFonts w:ascii="Arial" w:hAnsi="Arial" w:cs="Arial"/>
        </w:rPr>
        <w:t>respectively.</w:t>
      </w:r>
    </w:p>
    <w:p w:rsidR="00E36A88" w:rsidRDefault="00E36A88" w:rsidP="00946995">
      <w:pPr>
        <w:pStyle w:val="NoSpacing"/>
        <w:rPr>
          <w:rFonts w:ascii="Arial" w:hAnsi="Arial" w:cs="Arial"/>
          <w:b/>
          <w:i/>
        </w:rPr>
      </w:pPr>
    </w:p>
    <w:p w:rsidR="00B17C13" w:rsidRPr="007D322B" w:rsidRDefault="00B17C13" w:rsidP="00A34C43">
      <w:pPr>
        <w:pStyle w:val="NoSpacing"/>
        <w:pageBreakBefore/>
        <w:rPr>
          <w:rFonts w:ascii="Arial" w:hAnsi="Arial" w:cs="Arial"/>
          <w:b/>
          <w:i/>
        </w:rPr>
      </w:pPr>
      <w:r w:rsidRPr="007D322B">
        <w:rPr>
          <w:rFonts w:ascii="Arial" w:hAnsi="Arial" w:cs="Arial"/>
          <w:b/>
          <w:i/>
        </w:rPr>
        <w:lastRenderedPageBreak/>
        <w:t>Reporting</w:t>
      </w:r>
      <w:r w:rsidR="00EE0CCC">
        <w:rPr>
          <w:rFonts w:ascii="Arial" w:hAnsi="Arial" w:cs="Arial"/>
          <w:b/>
          <w:i/>
        </w:rPr>
        <w:t xml:space="preserve"> </w:t>
      </w:r>
      <w:r w:rsidRPr="007D322B">
        <w:rPr>
          <w:rFonts w:ascii="Arial" w:hAnsi="Arial" w:cs="Arial"/>
          <w:b/>
          <w:i/>
        </w:rPr>
        <w:t>suspected</w:t>
      </w:r>
      <w:r w:rsidR="00EE0CCC">
        <w:rPr>
          <w:rFonts w:ascii="Arial" w:hAnsi="Arial" w:cs="Arial"/>
          <w:b/>
          <w:i/>
        </w:rPr>
        <w:t xml:space="preserve"> </w:t>
      </w:r>
      <w:r w:rsidRPr="007D322B">
        <w:rPr>
          <w:rFonts w:ascii="Arial" w:hAnsi="Arial" w:cs="Arial"/>
          <w:b/>
          <w:i/>
        </w:rPr>
        <w:t>adverse</w:t>
      </w:r>
      <w:r w:rsidR="00EE0CCC">
        <w:rPr>
          <w:rFonts w:ascii="Arial" w:hAnsi="Arial" w:cs="Arial"/>
          <w:b/>
          <w:i/>
        </w:rPr>
        <w:t xml:space="preserve"> </w:t>
      </w:r>
      <w:r w:rsidRPr="007D322B">
        <w:rPr>
          <w:rFonts w:ascii="Arial" w:hAnsi="Arial" w:cs="Arial"/>
          <w:b/>
          <w:i/>
        </w:rPr>
        <w:t>effects</w:t>
      </w:r>
    </w:p>
    <w:p w:rsidR="00B17C13" w:rsidRPr="007D322B" w:rsidRDefault="00B17C13" w:rsidP="00946995">
      <w:pPr>
        <w:pStyle w:val="NoSpacing"/>
        <w:rPr>
          <w:rFonts w:ascii="Arial" w:hAnsi="Arial" w:cs="Arial"/>
        </w:rPr>
      </w:pPr>
      <w:r w:rsidRPr="007D322B">
        <w:rPr>
          <w:rFonts w:ascii="Arial" w:hAnsi="Arial" w:cs="Arial"/>
        </w:rPr>
        <w:t>Reporting</w:t>
      </w:r>
      <w:r w:rsidR="00EE0CCC">
        <w:rPr>
          <w:rFonts w:ascii="Arial" w:hAnsi="Arial" w:cs="Arial"/>
        </w:rPr>
        <w:t xml:space="preserve"> </w:t>
      </w:r>
      <w:r w:rsidRPr="007D322B">
        <w:rPr>
          <w:rFonts w:ascii="Arial" w:hAnsi="Arial" w:cs="Arial"/>
        </w:rPr>
        <w:t>suspected</w:t>
      </w:r>
      <w:r w:rsidR="00EE0CCC">
        <w:rPr>
          <w:rFonts w:ascii="Arial" w:hAnsi="Arial" w:cs="Arial"/>
        </w:rPr>
        <w:t xml:space="preserve"> </w:t>
      </w:r>
      <w:r w:rsidRPr="007D322B">
        <w:rPr>
          <w:rFonts w:ascii="Arial" w:hAnsi="Arial" w:cs="Arial"/>
        </w:rPr>
        <w:t>adverse</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after</w:t>
      </w:r>
      <w:r w:rsidR="00EE0CCC">
        <w:rPr>
          <w:rFonts w:ascii="Arial" w:hAnsi="Arial" w:cs="Arial"/>
        </w:rPr>
        <w:t xml:space="preserve"> </w:t>
      </w:r>
      <w:r w:rsidRPr="007D322B">
        <w:rPr>
          <w:rFonts w:ascii="Arial" w:hAnsi="Arial" w:cs="Arial"/>
        </w:rPr>
        <w:t>registration</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medicinal</w:t>
      </w:r>
      <w:r w:rsidR="00EE0CCC">
        <w:rPr>
          <w:rFonts w:ascii="Arial" w:hAnsi="Arial" w:cs="Arial"/>
        </w:rPr>
        <w:t xml:space="preserve"> </w:t>
      </w:r>
      <w:r w:rsidRPr="007D322B">
        <w:rPr>
          <w:rFonts w:ascii="Arial" w:hAnsi="Arial" w:cs="Arial"/>
        </w:rPr>
        <w:t>product</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important.</w:t>
      </w:r>
      <w:r w:rsidR="00EE0CCC">
        <w:rPr>
          <w:rFonts w:ascii="Arial" w:hAnsi="Arial" w:cs="Arial"/>
        </w:rPr>
        <w:t xml:space="preserve"> </w:t>
      </w:r>
      <w:r w:rsidRPr="007D322B">
        <w:rPr>
          <w:rFonts w:ascii="Arial" w:hAnsi="Arial" w:cs="Arial"/>
        </w:rPr>
        <w:t>It</w:t>
      </w:r>
      <w:r w:rsidR="00EE0CCC">
        <w:rPr>
          <w:rFonts w:ascii="Arial" w:hAnsi="Arial" w:cs="Arial"/>
        </w:rPr>
        <w:t xml:space="preserve"> </w:t>
      </w:r>
      <w:r w:rsidRPr="007D322B">
        <w:rPr>
          <w:rFonts w:ascii="Arial" w:hAnsi="Arial" w:cs="Arial"/>
        </w:rPr>
        <w:t>allows</w:t>
      </w:r>
      <w:r w:rsidR="00EE0CCC">
        <w:rPr>
          <w:rFonts w:ascii="Arial" w:hAnsi="Arial" w:cs="Arial"/>
        </w:rPr>
        <w:t xml:space="preserve"> </w:t>
      </w:r>
      <w:r w:rsidRPr="007D322B">
        <w:rPr>
          <w:rFonts w:ascii="Arial" w:hAnsi="Arial" w:cs="Arial"/>
        </w:rPr>
        <w:t>continued</w:t>
      </w:r>
      <w:r w:rsidR="00EE0CCC">
        <w:rPr>
          <w:rFonts w:ascii="Arial" w:hAnsi="Arial" w:cs="Arial"/>
        </w:rPr>
        <w:t xml:space="preserve"> </w:t>
      </w:r>
      <w:r w:rsidRPr="007D322B">
        <w:rPr>
          <w:rFonts w:ascii="Arial" w:hAnsi="Arial" w:cs="Arial"/>
        </w:rPr>
        <w:t>monitoring</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benefit-risk</w:t>
      </w:r>
      <w:r w:rsidR="00EE0CCC">
        <w:rPr>
          <w:rFonts w:ascii="Arial" w:hAnsi="Arial" w:cs="Arial"/>
        </w:rPr>
        <w:t xml:space="preserve"> </w:t>
      </w:r>
      <w:r w:rsidRPr="007D322B">
        <w:rPr>
          <w:rFonts w:ascii="Arial" w:hAnsi="Arial" w:cs="Arial"/>
        </w:rPr>
        <w:t>balance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medicinal</w:t>
      </w:r>
      <w:r w:rsidR="00EE0CCC">
        <w:rPr>
          <w:rFonts w:ascii="Arial" w:hAnsi="Arial" w:cs="Arial"/>
        </w:rPr>
        <w:t xml:space="preserve"> </w:t>
      </w:r>
      <w:r w:rsidRPr="007D322B">
        <w:rPr>
          <w:rFonts w:ascii="Arial" w:hAnsi="Arial" w:cs="Arial"/>
        </w:rPr>
        <w:t>product.</w:t>
      </w:r>
      <w:r w:rsidR="00EE0CCC">
        <w:rPr>
          <w:rFonts w:ascii="Arial" w:hAnsi="Arial" w:cs="Arial"/>
        </w:rPr>
        <w:t xml:space="preserve"> </w:t>
      </w:r>
      <w:r w:rsidRPr="007D322B">
        <w:rPr>
          <w:rFonts w:ascii="Arial" w:hAnsi="Arial" w:cs="Arial"/>
        </w:rPr>
        <w:t>Healthcare</w:t>
      </w:r>
      <w:r w:rsidR="00EE0CCC">
        <w:rPr>
          <w:rFonts w:ascii="Arial" w:hAnsi="Arial" w:cs="Arial"/>
        </w:rPr>
        <w:t xml:space="preserve"> </w:t>
      </w:r>
      <w:r w:rsidRPr="007D322B">
        <w:rPr>
          <w:rFonts w:ascii="Arial" w:hAnsi="Arial" w:cs="Arial"/>
        </w:rPr>
        <w:t>professionals</w:t>
      </w:r>
      <w:r w:rsidR="00EE0CCC">
        <w:rPr>
          <w:rFonts w:ascii="Arial" w:hAnsi="Arial" w:cs="Arial"/>
        </w:rPr>
        <w:t xml:space="preserve"> </w:t>
      </w:r>
      <w:r w:rsidRPr="007D322B">
        <w:rPr>
          <w:rFonts w:ascii="Arial" w:hAnsi="Arial" w:cs="Arial"/>
        </w:rPr>
        <w:t>are</w:t>
      </w:r>
      <w:r w:rsidR="00EE0CCC">
        <w:rPr>
          <w:rFonts w:ascii="Arial" w:hAnsi="Arial" w:cs="Arial"/>
        </w:rPr>
        <w:t xml:space="preserve"> </w:t>
      </w:r>
      <w:r w:rsidRPr="007D322B">
        <w:rPr>
          <w:rFonts w:ascii="Arial" w:hAnsi="Arial" w:cs="Arial"/>
        </w:rPr>
        <w:t>asked</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report</w:t>
      </w:r>
      <w:r w:rsidR="00EE0CCC">
        <w:rPr>
          <w:rFonts w:ascii="Arial" w:hAnsi="Arial" w:cs="Arial"/>
        </w:rPr>
        <w:t xml:space="preserve"> </w:t>
      </w:r>
      <w:r w:rsidRPr="007D322B">
        <w:rPr>
          <w:rFonts w:ascii="Arial" w:hAnsi="Arial" w:cs="Arial"/>
        </w:rPr>
        <w:t>any</w:t>
      </w:r>
      <w:r w:rsidR="00EE0CCC">
        <w:rPr>
          <w:rFonts w:ascii="Arial" w:hAnsi="Arial" w:cs="Arial"/>
        </w:rPr>
        <w:t xml:space="preserve"> </w:t>
      </w:r>
      <w:r w:rsidRPr="007D322B">
        <w:rPr>
          <w:rFonts w:ascii="Arial" w:hAnsi="Arial" w:cs="Arial"/>
        </w:rPr>
        <w:t>suspected</w:t>
      </w:r>
      <w:r w:rsidR="00EE0CCC">
        <w:rPr>
          <w:rFonts w:ascii="Arial" w:hAnsi="Arial" w:cs="Arial"/>
        </w:rPr>
        <w:t xml:space="preserve"> </w:t>
      </w:r>
      <w:r w:rsidRPr="007D322B">
        <w:rPr>
          <w:rFonts w:ascii="Arial" w:hAnsi="Arial" w:cs="Arial"/>
        </w:rPr>
        <w:t>adverse</w:t>
      </w:r>
      <w:r w:rsidR="00EE0CCC">
        <w:rPr>
          <w:rFonts w:ascii="Arial" w:hAnsi="Arial" w:cs="Arial"/>
        </w:rPr>
        <w:t xml:space="preserve"> </w:t>
      </w:r>
      <w:r w:rsidRPr="007D322B">
        <w:rPr>
          <w:rFonts w:ascii="Arial" w:hAnsi="Arial" w:cs="Arial"/>
        </w:rPr>
        <w:t>reactions</w:t>
      </w:r>
      <w:r w:rsidR="00EE0CCC">
        <w:rPr>
          <w:rFonts w:ascii="Arial" w:hAnsi="Arial" w:cs="Arial"/>
        </w:rPr>
        <w:t xml:space="preserve"> </w:t>
      </w:r>
      <w:r w:rsidRPr="007D322B">
        <w:rPr>
          <w:rFonts w:ascii="Arial" w:hAnsi="Arial" w:cs="Arial"/>
        </w:rPr>
        <w:t>at</w:t>
      </w:r>
      <w:r w:rsidR="00EE0CCC">
        <w:rPr>
          <w:rFonts w:ascii="Arial" w:hAnsi="Arial" w:cs="Arial"/>
        </w:rPr>
        <w:t xml:space="preserve"> </w:t>
      </w:r>
      <w:hyperlink r:id="rId13" w:history="1">
        <w:r w:rsidR="00224739" w:rsidRPr="007D322B">
          <w:rPr>
            <w:rStyle w:val="Hyperlink"/>
            <w:rFonts w:ascii="Arial" w:hAnsi="Arial" w:cs="Arial"/>
          </w:rPr>
          <w:t>www.tga.gov.au/reporting-problems</w:t>
        </w:r>
      </w:hyperlink>
      <w:r w:rsidRPr="007D322B">
        <w:rPr>
          <w:rFonts w:ascii="Arial" w:hAnsi="Arial" w:cs="Arial"/>
        </w:rPr>
        <w:t>.</w:t>
      </w:r>
    </w:p>
    <w:p w:rsidR="00184056" w:rsidRPr="007D322B" w:rsidRDefault="00184056" w:rsidP="00946995">
      <w:pPr>
        <w:pStyle w:val="NoSpacing"/>
        <w:rPr>
          <w:rFonts w:ascii="Arial" w:hAnsi="Arial" w:cs="Arial"/>
        </w:rPr>
      </w:pPr>
    </w:p>
    <w:p w:rsidR="00BD01E0" w:rsidRPr="007D322B" w:rsidRDefault="00BD01E0" w:rsidP="00946995">
      <w:pPr>
        <w:pStyle w:val="Heading2"/>
        <w:rPr>
          <w:rFonts w:ascii="Arial" w:eastAsia="Calibri" w:hAnsi="Arial" w:cs="Arial"/>
          <w:b w:val="0"/>
          <w:sz w:val="24"/>
          <w:szCs w:val="24"/>
        </w:rPr>
      </w:pPr>
      <w:r w:rsidRPr="007D322B">
        <w:rPr>
          <w:rFonts w:ascii="Arial" w:eastAsia="Calibri" w:hAnsi="Arial" w:cs="Arial"/>
          <w:i w:val="0"/>
          <w:sz w:val="24"/>
          <w:szCs w:val="24"/>
        </w:rPr>
        <w:t>OVERDOSE</w:t>
      </w:r>
    </w:p>
    <w:p w:rsidR="0064683C" w:rsidRPr="007D322B" w:rsidRDefault="00B17C13" w:rsidP="00946995">
      <w:pPr>
        <w:pStyle w:val="NoSpacing"/>
        <w:rPr>
          <w:rFonts w:ascii="Arial" w:eastAsia="Calibri" w:hAnsi="Arial" w:cs="Arial"/>
          <w:bCs/>
        </w:rPr>
      </w:pPr>
      <w:r w:rsidRPr="007D322B">
        <w:rPr>
          <w:rFonts w:ascii="Arial" w:eastAsia="Calibri" w:hAnsi="Arial" w:cs="Arial"/>
          <w:bCs/>
        </w:rPr>
        <w:t>For</w:t>
      </w:r>
      <w:r w:rsidR="00EE0CCC">
        <w:rPr>
          <w:rFonts w:ascii="Arial" w:eastAsia="Calibri" w:hAnsi="Arial" w:cs="Arial"/>
          <w:bCs/>
        </w:rPr>
        <w:t xml:space="preserve"> </w:t>
      </w:r>
      <w:r w:rsidRPr="007D322B">
        <w:rPr>
          <w:rFonts w:ascii="Arial" w:eastAsia="Calibri" w:hAnsi="Arial" w:cs="Arial"/>
          <w:bCs/>
        </w:rPr>
        <w:t>information</w:t>
      </w:r>
      <w:r w:rsidR="00EE0CCC">
        <w:rPr>
          <w:rFonts w:ascii="Arial" w:eastAsia="Calibri" w:hAnsi="Arial" w:cs="Arial"/>
          <w:bCs/>
        </w:rPr>
        <w:t xml:space="preserve"> </w:t>
      </w:r>
      <w:r w:rsidRPr="007D322B">
        <w:rPr>
          <w:rFonts w:ascii="Arial" w:eastAsia="Calibri" w:hAnsi="Arial" w:cs="Arial"/>
          <w:bCs/>
        </w:rPr>
        <w:t>on</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management</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overdose,</w:t>
      </w:r>
      <w:r w:rsidR="00EE0CCC">
        <w:rPr>
          <w:rFonts w:ascii="Arial" w:eastAsia="Calibri" w:hAnsi="Arial" w:cs="Arial"/>
          <w:bCs/>
        </w:rPr>
        <w:t xml:space="preserve"> </w:t>
      </w:r>
      <w:r w:rsidRPr="007D322B">
        <w:rPr>
          <w:rFonts w:ascii="Arial" w:eastAsia="Calibri" w:hAnsi="Arial" w:cs="Arial"/>
          <w:bCs/>
        </w:rPr>
        <w:t>contact</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Poisons</w:t>
      </w:r>
      <w:r w:rsidR="00EE0CCC">
        <w:rPr>
          <w:rFonts w:ascii="Arial" w:eastAsia="Calibri" w:hAnsi="Arial" w:cs="Arial"/>
          <w:bCs/>
        </w:rPr>
        <w:t xml:space="preserve"> </w:t>
      </w:r>
      <w:r w:rsidRPr="007D322B">
        <w:rPr>
          <w:rFonts w:ascii="Arial" w:eastAsia="Calibri" w:hAnsi="Arial" w:cs="Arial"/>
          <w:bCs/>
        </w:rPr>
        <w:t>Information</w:t>
      </w:r>
      <w:r w:rsidR="00EE0CCC">
        <w:rPr>
          <w:rFonts w:ascii="Arial" w:eastAsia="Calibri" w:hAnsi="Arial" w:cs="Arial"/>
          <w:bCs/>
        </w:rPr>
        <w:t xml:space="preserve"> </w:t>
      </w:r>
      <w:r w:rsidRPr="007D322B">
        <w:rPr>
          <w:rFonts w:ascii="Arial" w:eastAsia="Calibri" w:hAnsi="Arial" w:cs="Arial"/>
          <w:bCs/>
        </w:rPr>
        <w:t>Centre</w:t>
      </w:r>
      <w:r w:rsidR="00EE0CCC">
        <w:rPr>
          <w:rFonts w:ascii="Arial" w:eastAsia="Calibri" w:hAnsi="Arial" w:cs="Arial"/>
          <w:bCs/>
        </w:rPr>
        <w:t xml:space="preserve"> </w:t>
      </w:r>
      <w:r w:rsidRPr="007D322B">
        <w:rPr>
          <w:rFonts w:ascii="Arial" w:eastAsia="Calibri" w:hAnsi="Arial" w:cs="Arial"/>
          <w:bCs/>
        </w:rPr>
        <w:t>on</w:t>
      </w:r>
      <w:r w:rsidR="00EE0CCC">
        <w:rPr>
          <w:rFonts w:ascii="Arial" w:eastAsia="Calibri" w:hAnsi="Arial" w:cs="Arial"/>
          <w:bCs/>
        </w:rPr>
        <w:t xml:space="preserve"> </w:t>
      </w:r>
      <w:r w:rsidRPr="007D322B">
        <w:rPr>
          <w:rFonts w:ascii="Arial" w:eastAsia="Calibri" w:hAnsi="Arial" w:cs="Arial"/>
          <w:bCs/>
        </w:rPr>
        <w:t>131126</w:t>
      </w:r>
      <w:r w:rsidR="00EE0CCC">
        <w:rPr>
          <w:rFonts w:ascii="Arial" w:eastAsia="Calibri" w:hAnsi="Arial" w:cs="Arial"/>
          <w:bCs/>
        </w:rPr>
        <w:t xml:space="preserve"> </w:t>
      </w:r>
      <w:r w:rsidRPr="007D322B">
        <w:rPr>
          <w:rFonts w:ascii="Arial" w:eastAsia="Calibri" w:hAnsi="Arial" w:cs="Arial"/>
          <w:bCs/>
        </w:rPr>
        <w:t>(Australia)</w:t>
      </w:r>
      <w:r w:rsidR="00EE0CCC">
        <w:rPr>
          <w:rFonts w:ascii="Arial" w:eastAsia="Calibri" w:hAnsi="Arial" w:cs="Arial"/>
          <w:bCs/>
        </w:rPr>
        <w:t xml:space="preserve"> </w:t>
      </w:r>
      <w:r w:rsidR="00BD01E0" w:rsidRPr="007D322B">
        <w:rPr>
          <w:rFonts w:ascii="Arial" w:eastAsia="Calibri" w:hAnsi="Arial" w:cs="Arial"/>
          <w:bCs/>
        </w:rPr>
        <w:t>or</w:t>
      </w:r>
      <w:r w:rsidR="00EE0CCC">
        <w:rPr>
          <w:rFonts w:ascii="Arial" w:eastAsia="Calibri" w:hAnsi="Arial" w:cs="Arial"/>
          <w:bCs/>
        </w:rPr>
        <w:t xml:space="preserve"> </w:t>
      </w:r>
      <w:r w:rsidR="00BD01E0" w:rsidRPr="007D322B">
        <w:rPr>
          <w:rFonts w:ascii="Arial" w:eastAsia="Calibri" w:hAnsi="Arial" w:cs="Arial"/>
          <w:bCs/>
        </w:rPr>
        <w:t>0800</w:t>
      </w:r>
      <w:r w:rsidR="00EE0CCC">
        <w:rPr>
          <w:rFonts w:ascii="Arial" w:eastAsia="Calibri" w:hAnsi="Arial" w:cs="Arial"/>
          <w:bCs/>
        </w:rPr>
        <w:t xml:space="preserve"> </w:t>
      </w:r>
      <w:r w:rsidR="00BD01E0" w:rsidRPr="007D322B">
        <w:rPr>
          <w:rFonts w:ascii="Arial" w:eastAsia="Calibri" w:hAnsi="Arial" w:cs="Arial"/>
          <w:bCs/>
        </w:rPr>
        <w:t>764</w:t>
      </w:r>
      <w:r w:rsidR="00EE0CCC">
        <w:rPr>
          <w:rFonts w:ascii="Arial" w:eastAsia="Calibri" w:hAnsi="Arial" w:cs="Arial"/>
          <w:bCs/>
        </w:rPr>
        <w:t xml:space="preserve"> </w:t>
      </w:r>
      <w:r w:rsidR="00BD01E0" w:rsidRPr="007D322B">
        <w:rPr>
          <w:rFonts w:ascii="Arial" w:eastAsia="Calibri" w:hAnsi="Arial" w:cs="Arial"/>
          <w:bCs/>
        </w:rPr>
        <w:t>766</w:t>
      </w:r>
      <w:r w:rsidR="00EE0CCC">
        <w:rPr>
          <w:rFonts w:ascii="Arial" w:eastAsia="Calibri" w:hAnsi="Arial" w:cs="Arial"/>
          <w:bCs/>
        </w:rPr>
        <w:t xml:space="preserve"> </w:t>
      </w:r>
      <w:r w:rsidR="00BD01E0" w:rsidRPr="007D322B">
        <w:rPr>
          <w:rFonts w:ascii="Arial" w:eastAsia="Calibri" w:hAnsi="Arial" w:cs="Arial"/>
          <w:bCs/>
        </w:rPr>
        <w:t>(New</w:t>
      </w:r>
      <w:r w:rsidR="00EE0CCC">
        <w:rPr>
          <w:rFonts w:ascii="Arial" w:eastAsia="Calibri" w:hAnsi="Arial" w:cs="Arial"/>
          <w:bCs/>
        </w:rPr>
        <w:t xml:space="preserve"> </w:t>
      </w:r>
      <w:r w:rsidR="00BD01E0" w:rsidRPr="007D322B">
        <w:rPr>
          <w:rFonts w:ascii="Arial" w:eastAsia="Calibri" w:hAnsi="Arial" w:cs="Arial"/>
          <w:bCs/>
        </w:rPr>
        <w:t>Zealand).</w:t>
      </w:r>
      <w:r w:rsidR="00EE0CCC">
        <w:rPr>
          <w:rFonts w:ascii="Arial" w:eastAsia="Calibri" w:hAnsi="Arial" w:cs="Arial"/>
          <w:bCs/>
        </w:rPr>
        <w:t xml:space="preserve"> </w:t>
      </w:r>
    </w:p>
    <w:p w:rsidR="004F5C48" w:rsidRPr="007D322B" w:rsidRDefault="004F5C48" w:rsidP="00946995">
      <w:pPr>
        <w:pStyle w:val="NoSpacing"/>
        <w:rPr>
          <w:rFonts w:ascii="Arial" w:eastAsia="Calibri" w:hAnsi="Arial" w:cs="Arial"/>
          <w:bCs/>
        </w:rPr>
      </w:pPr>
    </w:p>
    <w:p w:rsidR="00B51D16" w:rsidRPr="007D322B" w:rsidRDefault="00B51D16" w:rsidP="00B51D16">
      <w:pPr>
        <w:pStyle w:val="NoSpacing"/>
        <w:rPr>
          <w:rFonts w:ascii="Arial" w:eastAsia="Calibri" w:hAnsi="Arial" w:cs="Arial"/>
          <w:bCs/>
        </w:rPr>
      </w:pPr>
      <w:r w:rsidRPr="007D322B">
        <w:rPr>
          <w:rFonts w:ascii="Arial" w:eastAsia="Calibri" w:hAnsi="Arial" w:cs="Arial"/>
          <w:bCs/>
        </w:rPr>
        <w:t>No</w:t>
      </w:r>
      <w:r w:rsidR="00EE0CCC">
        <w:rPr>
          <w:rFonts w:ascii="Arial" w:eastAsia="Calibri" w:hAnsi="Arial" w:cs="Arial"/>
          <w:bCs/>
        </w:rPr>
        <w:t xml:space="preserve"> </w:t>
      </w:r>
      <w:r w:rsidRPr="007D322B">
        <w:rPr>
          <w:rFonts w:ascii="Arial" w:eastAsia="Calibri" w:hAnsi="Arial" w:cs="Arial"/>
          <w:bCs/>
        </w:rPr>
        <w:t>cases</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dinutuximab</w:t>
      </w:r>
      <w:r w:rsidR="00EE0CCC">
        <w:rPr>
          <w:rFonts w:ascii="Arial" w:eastAsia="Calibri" w:hAnsi="Arial" w:cs="Arial"/>
          <w:bCs/>
        </w:rPr>
        <w:t xml:space="preserve"> </w:t>
      </w:r>
      <w:r w:rsidRPr="007D322B">
        <w:rPr>
          <w:rFonts w:ascii="Arial" w:eastAsia="Calibri" w:hAnsi="Arial" w:cs="Arial"/>
          <w:bCs/>
        </w:rPr>
        <w:t>beta</w:t>
      </w:r>
      <w:r w:rsidR="00EE0CCC">
        <w:rPr>
          <w:rFonts w:ascii="Arial" w:eastAsia="Calibri" w:hAnsi="Arial" w:cs="Arial"/>
          <w:bCs/>
        </w:rPr>
        <w:t xml:space="preserve"> </w:t>
      </w:r>
      <w:r w:rsidRPr="007D322B">
        <w:rPr>
          <w:rFonts w:ascii="Arial" w:eastAsia="Calibri" w:hAnsi="Arial" w:cs="Arial"/>
          <w:bCs/>
        </w:rPr>
        <w:t>overdose</w:t>
      </w:r>
      <w:r w:rsidR="00EE0CCC">
        <w:rPr>
          <w:rFonts w:ascii="Arial" w:eastAsia="Calibri" w:hAnsi="Arial" w:cs="Arial"/>
          <w:bCs/>
        </w:rPr>
        <w:t xml:space="preserve"> </w:t>
      </w:r>
      <w:r w:rsidRPr="007D322B">
        <w:rPr>
          <w:rFonts w:ascii="Arial" w:eastAsia="Calibri" w:hAnsi="Arial" w:cs="Arial"/>
          <w:bCs/>
        </w:rPr>
        <w:t>have</w:t>
      </w:r>
      <w:r w:rsidR="00EE0CCC">
        <w:rPr>
          <w:rFonts w:ascii="Arial" w:eastAsia="Calibri" w:hAnsi="Arial" w:cs="Arial"/>
          <w:bCs/>
        </w:rPr>
        <w:t xml:space="preserve"> </w:t>
      </w:r>
      <w:r w:rsidRPr="007D322B">
        <w:rPr>
          <w:rFonts w:ascii="Arial" w:eastAsia="Calibri" w:hAnsi="Arial" w:cs="Arial"/>
          <w:bCs/>
        </w:rPr>
        <w:t>been</w:t>
      </w:r>
      <w:r w:rsidR="00EE0CCC">
        <w:rPr>
          <w:rFonts w:ascii="Arial" w:eastAsia="Calibri" w:hAnsi="Arial" w:cs="Arial"/>
          <w:bCs/>
        </w:rPr>
        <w:t xml:space="preserve"> </w:t>
      </w:r>
      <w:r w:rsidRPr="007D322B">
        <w:rPr>
          <w:rFonts w:ascii="Arial" w:eastAsia="Calibri" w:hAnsi="Arial" w:cs="Arial"/>
          <w:bCs/>
        </w:rPr>
        <w:t>reported.</w:t>
      </w:r>
    </w:p>
    <w:p w:rsidR="00B51D16" w:rsidRPr="007D322B" w:rsidRDefault="00B51D16" w:rsidP="00B51D16">
      <w:pPr>
        <w:pStyle w:val="NoSpacing"/>
        <w:rPr>
          <w:rFonts w:ascii="Arial" w:eastAsia="Calibri" w:hAnsi="Arial" w:cs="Arial"/>
          <w:bCs/>
        </w:rPr>
      </w:pPr>
    </w:p>
    <w:p w:rsidR="00BD01E0" w:rsidRPr="007D322B" w:rsidRDefault="00B51D16" w:rsidP="00B51D16">
      <w:pPr>
        <w:pStyle w:val="NoSpacing"/>
        <w:rPr>
          <w:rFonts w:ascii="Arial" w:eastAsia="Calibri" w:hAnsi="Arial" w:cs="Arial"/>
          <w:bCs/>
        </w:rPr>
      </w:pP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case</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overdose,</w:t>
      </w:r>
      <w:r w:rsidR="00EE0CCC">
        <w:rPr>
          <w:rFonts w:ascii="Arial" w:eastAsia="Calibri" w:hAnsi="Arial" w:cs="Arial"/>
          <w:bCs/>
        </w:rPr>
        <w:t xml:space="preserve"> </w:t>
      </w:r>
      <w:r w:rsidRPr="007D322B">
        <w:rPr>
          <w:rFonts w:ascii="Arial" w:eastAsia="Calibri" w:hAnsi="Arial" w:cs="Arial"/>
          <w:bCs/>
        </w:rPr>
        <w:t>patients</w:t>
      </w:r>
      <w:r w:rsidR="00EE0CCC">
        <w:rPr>
          <w:rFonts w:ascii="Arial" w:eastAsia="Calibri" w:hAnsi="Arial" w:cs="Arial"/>
          <w:bCs/>
        </w:rPr>
        <w:t xml:space="preserve"> </w:t>
      </w:r>
      <w:r w:rsidRPr="007D322B">
        <w:rPr>
          <w:rFonts w:ascii="Arial" w:eastAsia="Calibri" w:hAnsi="Arial" w:cs="Arial"/>
          <w:bCs/>
        </w:rPr>
        <w:t>should</w:t>
      </w:r>
      <w:r w:rsidR="00EE0CCC">
        <w:rPr>
          <w:rFonts w:ascii="Arial" w:eastAsia="Calibri" w:hAnsi="Arial" w:cs="Arial"/>
          <w:bCs/>
        </w:rPr>
        <w:t xml:space="preserve"> </w:t>
      </w:r>
      <w:r w:rsidRPr="007D322B">
        <w:rPr>
          <w:rFonts w:ascii="Arial" w:eastAsia="Calibri" w:hAnsi="Arial" w:cs="Arial"/>
          <w:bCs/>
        </w:rPr>
        <w:t>be</w:t>
      </w:r>
      <w:r w:rsidR="00EE0CCC">
        <w:rPr>
          <w:rFonts w:ascii="Arial" w:eastAsia="Calibri" w:hAnsi="Arial" w:cs="Arial"/>
          <w:bCs/>
        </w:rPr>
        <w:t xml:space="preserve"> </w:t>
      </w:r>
      <w:r w:rsidRPr="007D322B">
        <w:rPr>
          <w:rFonts w:ascii="Arial" w:eastAsia="Calibri" w:hAnsi="Arial" w:cs="Arial"/>
          <w:bCs/>
        </w:rPr>
        <w:t>carefully</w:t>
      </w:r>
      <w:r w:rsidR="00EE0CCC">
        <w:rPr>
          <w:rFonts w:ascii="Arial" w:eastAsia="Calibri" w:hAnsi="Arial" w:cs="Arial"/>
          <w:bCs/>
        </w:rPr>
        <w:t xml:space="preserve"> </w:t>
      </w:r>
      <w:r w:rsidRPr="007D322B">
        <w:rPr>
          <w:rFonts w:ascii="Arial" w:eastAsia="Calibri" w:hAnsi="Arial" w:cs="Arial"/>
          <w:bCs/>
        </w:rPr>
        <w:t>observed</w:t>
      </w:r>
      <w:r w:rsidR="00EE0CCC">
        <w:rPr>
          <w:rFonts w:ascii="Arial" w:eastAsia="Calibri" w:hAnsi="Arial" w:cs="Arial"/>
          <w:bCs/>
        </w:rPr>
        <w:t xml:space="preserve"> </w:t>
      </w:r>
      <w:r w:rsidRPr="007D322B">
        <w:rPr>
          <w:rFonts w:ascii="Arial" w:eastAsia="Calibri" w:hAnsi="Arial" w:cs="Arial"/>
          <w:bCs/>
        </w:rPr>
        <w:t>for</w:t>
      </w:r>
      <w:r w:rsidR="00EE0CCC">
        <w:rPr>
          <w:rFonts w:ascii="Arial" w:eastAsia="Calibri" w:hAnsi="Arial" w:cs="Arial"/>
          <w:bCs/>
        </w:rPr>
        <w:t xml:space="preserve"> </w:t>
      </w:r>
      <w:r w:rsidRPr="007D322B">
        <w:rPr>
          <w:rFonts w:ascii="Arial" w:eastAsia="Calibri" w:hAnsi="Arial" w:cs="Arial"/>
          <w:bCs/>
        </w:rPr>
        <w:t>signs</w:t>
      </w:r>
      <w:r w:rsidR="00EE0CCC">
        <w:rPr>
          <w:rFonts w:ascii="Arial" w:eastAsia="Calibri" w:hAnsi="Arial" w:cs="Arial"/>
          <w:bCs/>
        </w:rPr>
        <w:t xml:space="preserve"> </w:t>
      </w:r>
      <w:r w:rsidRPr="007D322B">
        <w:rPr>
          <w:rFonts w:ascii="Arial" w:eastAsia="Calibri" w:hAnsi="Arial" w:cs="Arial"/>
          <w:bCs/>
        </w:rPr>
        <w:t>or</w:t>
      </w:r>
      <w:r w:rsidR="00EE0CCC">
        <w:rPr>
          <w:rFonts w:ascii="Arial" w:eastAsia="Calibri" w:hAnsi="Arial" w:cs="Arial"/>
          <w:bCs/>
        </w:rPr>
        <w:t xml:space="preserve"> </w:t>
      </w:r>
      <w:r w:rsidRPr="007D322B">
        <w:rPr>
          <w:rFonts w:ascii="Arial" w:eastAsia="Calibri" w:hAnsi="Arial" w:cs="Arial"/>
          <w:bCs/>
        </w:rPr>
        <w:t>symptoms</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adverse</w:t>
      </w:r>
      <w:r w:rsidR="00EE0CCC">
        <w:rPr>
          <w:rFonts w:ascii="Arial" w:eastAsia="Calibri" w:hAnsi="Arial" w:cs="Arial"/>
          <w:bCs/>
        </w:rPr>
        <w:t xml:space="preserve"> </w:t>
      </w:r>
      <w:r w:rsidRPr="007D322B">
        <w:rPr>
          <w:rFonts w:ascii="Arial" w:eastAsia="Calibri" w:hAnsi="Arial" w:cs="Arial"/>
          <w:bCs/>
        </w:rPr>
        <w:t>reactions</w:t>
      </w:r>
      <w:r w:rsidR="00EE0CCC">
        <w:rPr>
          <w:rFonts w:ascii="Arial" w:eastAsia="Calibri" w:hAnsi="Arial" w:cs="Arial"/>
          <w:bCs/>
        </w:rPr>
        <w:t xml:space="preserve"> </w:t>
      </w:r>
      <w:r w:rsidRPr="007D322B">
        <w:rPr>
          <w:rFonts w:ascii="Arial" w:eastAsia="Calibri" w:hAnsi="Arial" w:cs="Arial"/>
          <w:bCs/>
        </w:rPr>
        <w:t>and</w:t>
      </w:r>
      <w:r w:rsidR="00EE0CCC">
        <w:rPr>
          <w:rFonts w:ascii="Arial" w:eastAsia="Calibri" w:hAnsi="Arial" w:cs="Arial"/>
          <w:bCs/>
        </w:rPr>
        <w:t xml:space="preserve"> </w:t>
      </w:r>
      <w:r w:rsidRPr="007D322B">
        <w:rPr>
          <w:rFonts w:ascii="Arial" w:eastAsia="Calibri" w:hAnsi="Arial" w:cs="Arial"/>
          <w:bCs/>
        </w:rPr>
        <w:t>supportive</w:t>
      </w:r>
      <w:r w:rsidR="00EE0CCC">
        <w:rPr>
          <w:rFonts w:ascii="Arial" w:eastAsia="Calibri" w:hAnsi="Arial" w:cs="Arial"/>
          <w:bCs/>
        </w:rPr>
        <w:t xml:space="preserve"> </w:t>
      </w:r>
      <w:r w:rsidRPr="007D322B">
        <w:rPr>
          <w:rFonts w:ascii="Arial" w:eastAsia="Calibri" w:hAnsi="Arial" w:cs="Arial"/>
          <w:bCs/>
        </w:rPr>
        <w:t>care</w:t>
      </w:r>
      <w:r w:rsidR="00EE0CCC">
        <w:rPr>
          <w:rFonts w:ascii="Arial" w:eastAsia="Calibri" w:hAnsi="Arial" w:cs="Arial"/>
          <w:bCs/>
        </w:rPr>
        <w:t xml:space="preserve"> </w:t>
      </w:r>
      <w:r w:rsidRPr="007D322B">
        <w:rPr>
          <w:rFonts w:ascii="Arial" w:eastAsia="Calibri" w:hAnsi="Arial" w:cs="Arial"/>
          <w:bCs/>
        </w:rPr>
        <w:t>administered,</w:t>
      </w:r>
      <w:r w:rsidR="00EE0CCC">
        <w:rPr>
          <w:rFonts w:ascii="Arial" w:eastAsia="Calibri" w:hAnsi="Arial" w:cs="Arial"/>
          <w:bCs/>
        </w:rPr>
        <w:t xml:space="preserve"> </w:t>
      </w:r>
      <w:r w:rsidRPr="007D322B">
        <w:rPr>
          <w:rFonts w:ascii="Arial" w:eastAsia="Calibri" w:hAnsi="Arial" w:cs="Arial"/>
          <w:bCs/>
        </w:rPr>
        <w:t>as</w:t>
      </w:r>
      <w:r w:rsidR="00EE0CCC">
        <w:rPr>
          <w:rFonts w:ascii="Arial" w:eastAsia="Calibri" w:hAnsi="Arial" w:cs="Arial"/>
          <w:bCs/>
        </w:rPr>
        <w:t xml:space="preserve"> </w:t>
      </w:r>
      <w:r w:rsidRPr="007D322B">
        <w:rPr>
          <w:rFonts w:ascii="Arial" w:eastAsia="Calibri" w:hAnsi="Arial" w:cs="Arial"/>
          <w:bCs/>
        </w:rPr>
        <w:t>appropriate</w:t>
      </w:r>
      <w:r w:rsidR="00BD01E0" w:rsidRPr="007D322B">
        <w:rPr>
          <w:rFonts w:ascii="Arial" w:eastAsia="Calibri" w:hAnsi="Arial" w:cs="Arial"/>
          <w:bCs/>
        </w:rPr>
        <w:t>.</w:t>
      </w:r>
    </w:p>
    <w:p w:rsidR="00B17C13" w:rsidRPr="007D322B" w:rsidRDefault="00B17C13" w:rsidP="00B11EAE">
      <w:pPr>
        <w:pStyle w:val="Heading1"/>
      </w:pPr>
      <w:r w:rsidRPr="007D322B">
        <w:t>PHARMACOLOGICAL</w:t>
      </w:r>
      <w:r w:rsidR="00EE0CCC">
        <w:t xml:space="preserve"> </w:t>
      </w:r>
      <w:r w:rsidRPr="007D322B">
        <w:t>PROPERTIES</w:t>
      </w:r>
    </w:p>
    <w:p w:rsidR="00E75CC8" w:rsidRPr="007D322B" w:rsidRDefault="00E75CC8" w:rsidP="00946995">
      <w:pPr>
        <w:pStyle w:val="Heading2"/>
        <w:rPr>
          <w:rFonts w:ascii="Arial" w:eastAsia="Calibri" w:hAnsi="Arial" w:cs="Arial"/>
          <w:b w:val="0"/>
          <w:sz w:val="24"/>
          <w:szCs w:val="24"/>
        </w:rPr>
      </w:pPr>
      <w:r w:rsidRPr="007D322B">
        <w:rPr>
          <w:rFonts w:ascii="Arial" w:eastAsia="Calibri" w:hAnsi="Arial" w:cs="Arial"/>
          <w:i w:val="0"/>
          <w:sz w:val="24"/>
          <w:szCs w:val="24"/>
        </w:rPr>
        <w:t>PHARMACODYNAMIC</w:t>
      </w:r>
      <w:r w:rsidR="00EE0CCC">
        <w:rPr>
          <w:rFonts w:ascii="Arial" w:eastAsia="Calibri" w:hAnsi="Arial" w:cs="Arial"/>
          <w:i w:val="0"/>
          <w:sz w:val="24"/>
          <w:szCs w:val="24"/>
        </w:rPr>
        <w:t xml:space="preserve"> </w:t>
      </w:r>
      <w:r w:rsidRPr="007D322B">
        <w:rPr>
          <w:rFonts w:ascii="Arial" w:eastAsia="Calibri" w:hAnsi="Arial" w:cs="Arial"/>
          <w:i w:val="0"/>
          <w:sz w:val="24"/>
          <w:szCs w:val="24"/>
        </w:rPr>
        <w:t>PROPERTIES</w:t>
      </w:r>
    </w:p>
    <w:p w:rsidR="00DE2AA7" w:rsidRPr="007D322B" w:rsidRDefault="00DE2AA7" w:rsidP="00946995">
      <w:pPr>
        <w:pStyle w:val="NoSpacing"/>
        <w:rPr>
          <w:rFonts w:ascii="Arial" w:eastAsia="Calibri" w:hAnsi="Arial" w:cs="Arial"/>
          <w:bCs/>
          <w:iCs/>
        </w:rPr>
      </w:pPr>
      <w:r w:rsidRPr="007D322B">
        <w:rPr>
          <w:rFonts w:ascii="Arial" w:eastAsia="Calibri" w:hAnsi="Arial" w:cs="Arial"/>
          <w:bCs/>
          <w:iCs/>
        </w:rPr>
        <w:t>Pharmacotherapeutic</w:t>
      </w:r>
      <w:r w:rsidR="00EE0CCC">
        <w:rPr>
          <w:rFonts w:ascii="Arial" w:eastAsia="Calibri" w:hAnsi="Arial" w:cs="Arial"/>
          <w:bCs/>
          <w:iCs/>
        </w:rPr>
        <w:t xml:space="preserve"> </w:t>
      </w:r>
      <w:r w:rsidRPr="007D322B">
        <w:rPr>
          <w:rFonts w:ascii="Arial" w:eastAsia="Calibri" w:hAnsi="Arial" w:cs="Arial"/>
          <w:bCs/>
          <w:iCs/>
        </w:rPr>
        <w:t>group:</w:t>
      </w:r>
      <w:r w:rsidR="00EE0CCC">
        <w:rPr>
          <w:rFonts w:ascii="Arial" w:eastAsia="Calibri" w:hAnsi="Arial" w:cs="Arial"/>
          <w:bCs/>
          <w:iCs/>
        </w:rPr>
        <w:t xml:space="preserve"> </w:t>
      </w:r>
      <w:r w:rsidRPr="007D322B">
        <w:rPr>
          <w:rFonts w:ascii="Arial" w:eastAsia="Calibri" w:hAnsi="Arial" w:cs="Arial"/>
          <w:bCs/>
          <w:iCs/>
        </w:rPr>
        <w:t>Antineoplastic</w:t>
      </w:r>
      <w:r w:rsidR="00EE0CCC">
        <w:rPr>
          <w:rFonts w:ascii="Arial" w:eastAsia="Calibri" w:hAnsi="Arial" w:cs="Arial"/>
          <w:bCs/>
          <w:iCs/>
        </w:rPr>
        <w:t xml:space="preserve"> </w:t>
      </w:r>
      <w:r w:rsidRPr="007D322B">
        <w:rPr>
          <w:rFonts w:ascii="Arial" w:eastAsia="Calibri" w:hAnsi="Arial" w:cs="Arial"/>
          <w:bCs/>
          <w:iCs/>
        </w:rPr>
        <w:t>agents,</w:t>
      </w:r>
      <w:r w:rsidR="00EE0CCC">
        <w:rPr>
          <w:rFonts w:ascii="Arial" w:eastAsia="Calibri" w:hAnsi="Arial" w:cs="Arial"/>
          <w:bCs/>
          <w:iCs/>
        </w:rPr>
        <w:t xml:space="preserve"> </w:t>
      </w:r>
      <w:r w:rsidRPr="007D322B">
        <w:rPr>
          <w:rFonts w:ascii="Arial" w:eastAsia="Calibri" w:hAnsi="Arial" w:cs="Arial"/>
          <w:bCs/>
          <w:iCs/>
        </w:rPr>
        <w:t>monoclonal</w:t>
      </w:r>
      <w:r w:rsidR="00EE0CCC">
        <w:rPr>
          <w:rFonts w:ascii="Arial" w:eastAsia="Calibri" w:hAnsi="Arial" w:cs="Arial"/>
          <w:bCs/>
          <w:iCs/>
        </w:rPr>
        <w:t xml:space="preserve"> </w:t>
      </w:r>
      <w:r w:rsidRPr="007D322B">
        <w:rPr>
          <w:rFonts w:ascii="Arial" w:eastAsia="Calibri" w:hAnsi="Arial" w:cs="Arial"/>
          <w:bCs/>
          <w:iCs/>
        </w:rPr>
        <w:t>antibodies,</w:t>
      </w:r>
      <w:r w:rsidR="00EE0CCC">
        <w:rPr>
          <w:rFonts w:ascii="Arial" w:eastAsia="Calibri" w:hAnsi="Arial" w:cs="Arial"/>
          <w:bCs/>
          <w:iCs/>
        </w:rPr>
        <w:t xml:space="preserve"> </w:t>
      </w:r>
      <w:r w:rsidRPr="007D322B">
        <w:rPr>
          <w:rFonts w:ascii="Arial" w:eastAsia="Calibri" w:hAnsi="Arial" w:cs="Arial"/>
          <w:bCs/>
          <w:iCs/>
        </w:rPr>
        <w:t>ATC</w:t>
      </w:r>
      <w:r w:rsidR="00EE0CCC">
        <w:rPr>
          <w:rFonts w:ascii="Arial" w:eastAsia="Calibri" w:hAnsi="Arial" w:cs="Arial"/>
          <w:bCs/>
          <w:iCs/>
        </w:rPr>
        <w:t xml:space="preserve"> </w:t>
      </w:r>
      <w:r w:rsidRPr="007D322B">
        <w:rPr>
          <w:rFonts w:ascii="Arial" w:eastAsia="Calibri" w:hAnsi="Arial" w:cs="Arial"/>
          <w:bCs/>
          <w:iCs/>
        </w:rPr>
        <w:t>code:</w:t>
      </w:r>
      <w:r w:rsidR="00EE0CCC">
        <w:rPr>
          <w:rFonts w:ascii="Arial" w:eastAsia="Calibri" w:hAnsi="Arial" w:cs="Arial"/>
          <w:bCs/>
          <w:iCs/>
        </w:rPr>
        <w:t xml:space="preserve"> </w:t>
      </w:r>
      <w:r w:rsidRPr="007D322B">
        <w:rPr>
          <w:rFonts w:ascii="Arial" w:eastAsia="Calibri" w:hAnsi="Arial" w:cs="Arial"/>
          <w:bCs/>
          <w:iCs/>
        </w:rPr>
        <w:t>L01XC</w:t>
      </w:r>
    </w:p>
    <w:p w:rsidR="00DE2AA7" w:rsidRPr="007D322B" w:rsidRDefault="00DE2AA7" w:rsidP="00946995">
      <w:pPr>
        <w:pStyle w:val="NoSpacing"/>
        <w:rPr>
          <w:rFonts w:ascii="Arial" w:eastAsia="Calibri" w:hAnsi="Arial" w:cs="Arial"/>
          <w:bCs/>
          <w:iCs/>
        </w:rPr>
      </w:pPr>
    </w:p>
    <w:p w:rsidR="00B17C13" w:rsidRPr="007D322B" w:rsidRDefault="00B17C13" w:rsidP="00946995">
      <w:pPr>
        <w:pStyle w:val="NoSpacing"/>
        <w:rPr>
          <w:rFonts w:ascii="Arial" w:eastAsia="Calibri" w:hAnsi="Arial" w:cs="Arial"/>
          <w:b/>
          <w:i/>
        </w:rPr>
      </w:pPr>
      <w:r w:rsidRPr="007D322B">
        <w:rPr>
          <w:rFonts w:ascii="Arial" w:eastAsia="Calibri" w:hAnsi="Arial" w:cs="Arial"/>
          <w:b/>
          <w:i/>
        </w:rPr>
        <w:t>Mechanism</w:t>
      </w:r>
      <w:r w:rsidR="00EE0CCC">
        <w:rPr>
          <w:rFonts w:ascii="Arial" w:eastAsia="Calibri" w:hAnsi="Arial" w:cs="Arial"/>
          <w:b/>
          <w:i/>
        </w:rPr>
        <w:t xml:space="preserve"> </w:t>
      </w:r>
      <w:r w:rsidRPr="007D322B">
        <w:rPr>
          <w:rFonts w:ascii="Arial" w:eastAsia="Calibri" w:hAnsi="Arial" w:cs="Arial"/>
          <w:b/>
          <w:i/>
        </w:rPr>
        <w:t>of</w:t>
      </w:r>
      <w:r w:rsidR="00EE0CCC">
        <w:rPr>
          <w:rFonts w:ascii="Arial" w:eastAsia="Calibri" w:hAnsi="Arial" w:cs="Arial"/>
          <w:b/>
          <w:i/>
        </w:rPr>
        <w:t xml:space="preserve"> </w:t>
      </w:r>
      <w:r w:rsidRPr="007D322B">
        <w:rPr>
          <w:rFonts w:ascii="Arial" w:eastAsia="Calibri" w:hAnsi="Arial" w:cs="Arial"/>
          <w:b/>
          <w:i/>
        </w:rPr>
        <w:t>action</w:t>
      </w:r>
    </w:p>
    <w:p w:rsidR="00B17C13" w:rsidRPr="007D322B" w:rsidRDefault="00DE2AA7" w:rsidP="00946995">
      <w:pPr>
        <w:pStyle w:val="NoSpacing"/>
        <w:rPr>
          <w:rFonts w:ascii="Arial" w:eastAsia="Calibri" w:hAnsi="Arial" w:cs="Arial"/>
        </w:rPr>
      </w:pPr>
      <w:r w:rsidRPr="007D322B">
        <w:rPr>
          <w:rFonts w:ascii="Arial" w:eastAsia="Calibri" w:hAnsi="Arial" w:cs="Arial"/>
        </w:rPr>
        <w:t>Dinutuximab</w:t>
      </w:r>
      <w:r w:rsidR="00EE0CCC">
        <w:rPr>
          <w:rFonts w:ascii="Arial" w:eastAsia="Calibri" w:hAnsi="Arial" w:cs="Arial"/>
        </w:rPr>
        <w:t xml:space="preserve"> </w:t>
      </w:r>
      <w:r w:rsidRPr="007D322B">
        <w:rPr>
          <w:rFonts w:ascii="Arial" w:eastAsia="Calibri" w:hAnsi="Arial" w:cs="Arial"/>
        </w:rPr>
        <w:t>beta</w:t>
      </w:r>
      <w:r w:rsidR="00EE0CCC">
        <w:rPr>
          <w:rFonts w:ascii="Arial" w:eastAsia="Calibri" w:hAnsi="Arial" w:cs="Arial"/>
        </w:rPr>
        <w:t xml:space="preserve"> </w:t>
      </w:r>
      <w:r w:rsidRPr="007D322B">
        <w:rPr>
          <w:rFonts w:ascii="Arial" w:eastAsia="Calibri" w:hAnsi="Arial" w:cs="Arial"/>
        </w:rPr>
        <w:t>is</w:t>
      </w:r>
      <w:r w:rsidR="00EE0CCC">
        <w:rPr>
          <w:rFonts w:ascii="Arial" w:eastAsia="Calibri" w:hAnsi="Arial" w:cs="Arial"/>
        </w:rPr>
        <w:t xml:space="preserve"> </w:t>
      </w:r>
      <w:r w:rsidRPr="007D322B">
        <w:rPr>
          <w:rFonts w:ascii="Arial" w:eastAsia="Calibri" w:hAnsi="Arial" w:cs="Arial"/>
        </w:rPr>
        <w:t>a</w:t>
      </w:r>
      <w:r w:rsidR="00EE0CCC">
        <w:rPr>
          <w:rFonts w:ascii="Arial" w:eastAsia="Calibri" w:hAnsi="Arial" w:cs="Arial"/>
        </w:rPr>
        <w:t xml:space="preserve"> </w:t>
      </w:r>
      <w:r w:rsidRPr="007D322B">
        <w:rPr>
          <w:rFonts w:ascii="Arial" w:eastAsia="Calibri" w:hAnsi="Arial" w:cs="Arial"/>
        </w:rPr>
        <w:t>chimeric</w:t>
      </w:r>
      <w:r w:rsidR="00EE0CCC">
        <w:rPr>
          <w:rFonts w:ascii="Arial" w:eastAsia="Calibri" w:hAnsi="Arial" w:cs="Arial"/>
        </w:rPr>
        <w:t xml:space="preserve"> </w:t>
      </w:r>
      <w:r w:rsidRPr="007D322B">
        <w:rPr>
          <w:rFonts w:ascii="Arial" w:eastAsia="Calibri" w:hAnsi="Arial" w:cs="Arial"/>
        </w:rPr>
        <w:t>monoclonal</w:t>
      </w:r>
      <w:r w:rsidR="00EE0CCC">
        <w:rPr>
          <w:rFonts w:ascii="Arial" w:eastAsia="Calibri" w:hAnsi="Arial" w:cs="Arial"/>
        </w:rPr>
        <w:t xml:space="preserve"> </w:t>
      </w:r>
      <w:r w:rsidRPr="007D322B">
        <w:rPr>
          <w:rFonts w:ascii="Arial" w:eastAsia="Calibri" w:hAnsi="Arial" w:cs="Arial"/>
        </w:rPr>
        <w:t>IgG1</w:t>
      </w:r>
      <w:r w:rsidR="00EE0CCC">
        <w:rPr>
          <w:rFonts w:ascii="Arial" w:eastAsia="Calibri" w:hAnsi="Arial" w:cs="Arial"/>
        </w:rPr>
        <w:t xml:space="preserve"> </w:t>
      </w:r>
      <w:r w:rsidRPr="007D322B">
        <w:rPr>
          <w:rFonts w:ascii="Arial" w:eastAsia="Calibri" w:hAnsi="Arial" w:cs="Arial"/>
        </w:rPr>
        <w:t>antibody</w:t>
      </w:r>
      <w:r w:rsidR="00EE0CCC">
        <w:rPr>
          <w:rFonts w:ascii="Arial" w:eastAsia="Calibri" w:hAnsi="Arial" w:cs="Arial"/>
        </w:rPr>
        <w:t xml:space="preserve"> </w:t>
      </w:r>
      <w:r w:rsidRPr="007D322B">
        <w:rPr>
          <w:rFonts w:ascii="Arial" w:eastAsia="Calibri" w:hAnsi="Arial" w:cs="Arial"/>
        </w:rPr>
        <w:t>that</w:t>
      </w:r>
      <w:r w:rsidR="00EE0CCC">
        <w:rPr>
          <w:rFonts w:ascii="Arial" w:eastAsia="Calibri" w:hAnsi="Arial" w:cs="Arial"/>
        </w:rPr>
        <w:t xml:space="preserve"> </w:t>
      </w:r>
      <w:r w:rsidRPr="007D322B">
        <w:rPr>
          <w:rFonts w:ascii="Arial" w:eastAsia="Calibri" w:hAnsi="Arial" w:cs="Arial"/>
        </w:rPr>
        <w:t>is</w:t>
      </w:r>
      <w:r w:rsidR="00EE0CCC">
        <w:rPr>
          <w:rFonts w:ascii="Arial" w:eastAsia="Calibri" w:hAnsi="Arial" w:cs="Arial"/>
        </w:rPr>
        <w:t xml:space="preserve"> </w:t>
      </w:r>
      <w:r w:rsidRPr="007D322B">
        <w:rPr>
          <w:rFonts w:ascii="Arial" w:eastAsia="Calibri" w:hAnsi="Arial" w:cs="Arial"/>
        </w:rPr>
        <w:t>specifically</w:t>
      </w:r>
      <w:r w:rsidR="00EE0CCC">
        <w:rPr>
          <w:rFonts w:ascii="Arial" w:eastAsia="Calibri" w:hAnsi="Arial" w:cs="Arial"/>
        </w:rPr>
        <w:t xml:space="preserve"> </w:t>
      </w:r>
      <w:r w:rsidRPr="007D322B">
        <w:rPr>
          <w:rFonts w:ascii="Arial" w:eastAsia="Calibri" w:hAnsi="Arial" w:cs="Arial"/>
        </w:rPr>
        <w:t>directed</w:t>
      </w:r>
      <w:r w:rsidR="00EE0CCC">
        <w:rPr>
          <w:rFonts w:ascii="Arial" w:eastAsia="Calibri" w:hAnsi="Arial" w:cs="Arial"/>
        </w:rPr>
        <w:t xml:space="preserve"> </w:t>
      </w:r>
      <w:r w:rsidRPr="007D322B">
        <w:rPr>
          <w:rFonts w:ascii="Arial" w:eastAsia="Calibri" w:hAnsi="Arial" w:cs="Arial"/>
        </w:rPr>
        <w:t>against</w:t>
      </w:r>
      <w:r w:rsidR="00EE0CCC">
        <w:rPr>
          <w:rFonts w:ascii="Arial" w:eastAsia="Calibri" w:hAnsi="Arial" w:cs="Arial"/>
        </w:rPr>
        <w:t xml:space="preserve"> </w:t>
      </w:r>
      <w:r w:rsidRPr="007D322B">
        <w:rPr>
          <w:rFonts w:ascii="Arial" w:eastAsia="Calibri" w:hAnsi="Arial" w:cs="Arial"/>
        </w:rPr>
        <w:t>the</w:t>
      </w:r>
      <w:r w:rsidR="00EE0CCC">
        <w:rPr>
          <w:rFonts w:ascii="Arial" w:eastAsia="Calibri" w:hAnsi="Arial" w:cs="Arial"/>
        </w:rPr>
        <w:t xml:space="preserve"> </w:t>
      </w:r>
      <w:r w:rsidRPr="007D322B">
        <w:rPr>
          <w:rFonts w:ascii="Arial" w:eastAsia="Calibri" w:hAnsi="Arial" w:cs="Arial"/>
        </w:rPr>
        <w:t>carbohydrate</w:t>
      </w:r>
      <w:r w:rsidR="00EE0CCC">
        <w:rPr>
          <w:rFonts w:ascii="Arial" w:eastAsia="Calibri" w:hAnsi="Arial" w:cs="Arial"/>
        </w:rPr>
        <w:t xml:space="preserve"> </w:t>
      </w:r>
      <w:r w:rsidRPr="007D322B">
        <w:rPr>
          <w:rFonts w:ascii="Arial" w:eastAsia="Calibri" w:hAnsi="Arial" w:cs="Arial"/>
        </w:rPr>
        <w:t>moiety</w:t>
      </w:r>
      <w:r w:rsidR="00EE0CCC">
        <w:rPr>
          <w:rFonts w:ascii="Arial" w:eastAsia="Calibri" w:hAnsi="Arial" w:cs="Arial"/>
        </w:rPr>
        <w:t xml:space="preserve"> </w:t>
      </w:r>
      <w:r w:rsidRPr="007D322B">
        <w:rPr>
          <w:rFonts w:ascii="Arial" w:eastAsia="Calibri" w:hAnsi="Arial" w:cs="Arial"/>
        </w:rPr>
        <w:t>of</w:t>
      </w:r>
      <w:r w:rsidR="00EE0CCC">
        <w:rPr>
          <w:rFonts w:ascii="Arial" w:eastAsia="Calibri" w:hAnsi="Arial" w:cs="Arial"/>
        </w:rPr>
        <w:t xml:space="preserve"> </w:t>
      </w:r>
      <w:r w:rsidRPr="007D322B">
        <w:rPr>
          <w:rFonts w:ascii="Arial" w:eastAsia="Calibri" w:hAnsi="Arial" w:cs="Arial"/>
        </w:rPr>
        <w:t>disialoganglioside</w:t>
      </w:r>
      <w:r w:rsidR="00EE0CCC">
        <w:rPr>
          <w:rFonts w:ascii="Arial" w:eastAsia="Calibri" w:hAnsi="Arial" w:cs="Arial"/>
        </w:rPr>
        <w:t xml:space="preserve"> </w:t>
      </w:r>
      <w:r w:rsidRPr="007D322B">
        <w:rPr>
          <w:rFonts w:ascii="Arial" w:eastAsia="Calibri" w:hAnsi="Arial" w:cs="Arial"/>
        </w:rPr>
        <w:t>2</w:t>
      </w:r>
      <w:r w:rsidR="00EE0CCC">
        <w:rPr>
          <w:rFonts w:ascii="Arial" w:eastAsia="Calibri" w:hAnsi="Arial" w:cs="Arial"/>
        </w:rPr>
        <w:t xml:space="preserve"> </w:t>
      </w:r>
      <w:r w:rsidRPr="007D322B">
        <w:rPr>
          <w:rFonts w:ascii="Arial" w:eastAsia="Calibri" w:hAnsi="Arial" w:cs="Arial"/>
        </w:rPr>
        <w:t>(GD2),</w:t>
      </w:r>
      <w:r w:rsidR="00EE0CCC">
        <w:rPr>
          <w:rFonts w:ascii="Arial" w:eastAsia="Calibri" w:hAnsi="Arial" w:cs="Arial"/>
        </w:rPr>
        <w:t xml:space="preserve"> </w:t>
      </w:r>
      <w:r w:rsidRPr="007D322B">
        <w:rPr>
          <w:rFonts w:ascii="Arial" w:eastAsia="Calibri" w:hAnsi="Arial" w:cs="Arial"/>
        </w:rPr>
        <w:t>which</w:t>
      </w:r>
      <w:r w:rsidR="00EE0CCC">
        <w:rPr>
          <w:rFonts w:ascii="Arial" w:eastAsia="Calibri" w:hAnsi="Arial" w:cs="Arial"/>
        </w:rPr>
        <w:t xml:space="preserve"> </w:t>
      </w:r>
      <w:r w:rsidRPr="007D322B">
        <w:rPr>
          <w:rFonts w:ascii="Arial" w:eastAsia="Calibri" w:hAnsi="Arial" w:cs="Arial"/>
        </w:rPr>
        <w:t>is</w:t>
      </w:r>
      <w:r w:rsidR="00EE0CCC">
        <w:rPr>
          <w:rFonts w:ascii="Arial" w:eastAsia="Calibri" w:hAnsi="Arial" w:cs="Arial"/>
        </w:rPr>
        <w:t xml:space="preserve"> </w:t>
      </w:r>
      <w:r w:rsidRPr="007D322B">
        <w:rPr>
          <w:rFonts w:ascii="Arial" w:eastAsia="Calibri" w:hAnsi="Arial" w:cs="Arial"/>
        </w:rPr>
        <w:t>overexpressed</w:t>
      </w:r>
      <w:r w:rsidR="00EE0CCC">
        <w:rPr>
          <w:rFonts w:ascii="Arial" w:eastAsia="Calibri" w:hAnsi="Arial" w:cs="Arial"/>
        </w:rPr>
        <w:t xml:space="preserve"> </w:t>
      </w:r>
      <w:r w:rsidRPr="007D322B">
        <w:rPr>
          <w:rFonts w:ascii="Arial" w:eastAsia="Calibri" w:hAnsi="Arial" w:cs="Arial"/>
        </w:rPr>
        <w:t>on</w:t>
      </w:r>
      <w:r w:rsidR="00EE0CCC">
        <w:rPr>
          <w:rFonts w:ascii="Arial" w:eastAsia="Calibri" w:hAnsi="Arial" w:cs="Arial"/>
        </w:rPr>
        <w:t xml:space="preserve"> </w:t>
      </w:r>
      <w:r w:rsidRPr="007D322B">
        <w:rPr>
          <w:rFonts w:ascii="Arial" w:eastAsia="Calibri" w:hAnsi="Arial" w:cs="Arial"/>
        </w:rPr>
        <w:t>neuroblastoma</w:t>
      </w:r>
      <w:r w:rsidR="00EE0CCC">
        <w:rPr>
          <w:rFonts w:ascii="Arial" w:eastAsia="Calibri" w:hAnsi="Arial" w:cs="Arial"/>
        </w:rPr>
        <w:t xml:space="preserve"> </w:t>
      </w:r>
      <w:r w:rsidRPr="007D322B">
        <w:rPr>
          <w:rFonts w:ascii="Arial" w:eastAsia="Calibri" w:hAnsi="Arial" w:cs="Arial"/>
        </w:rPr>
        <w:t>cells</w:t>
      </w:r>
      <w:r w:rsidR="00B17C13" w:rsidRPr="007D322B">
        <w:rPr>
          <w:rFonts w:ascii="Arial" w:eastAsia="Calibri" w:hAnsi="Arial" w:cs="Arial"/>
        </w:rPr>
        <w:t>.</w:t>
      </w:r>
    </w:p>
    <w:p w:rsidR="00B17C13" w:rsidRPr="007D322B" w:rsidRDefault="00B17C13" w:rsidP="00946995">
      <w:pPr>
        <w:pStyle w:val="NoSpacing"/>
        <w:rPr>
          <w:rFonts w:ascii="Arial" w:eastAsia="Calibri" w:hAnsi="Arial" w:cs="Arial"/>
        </w:rPr>
      </w:pPr>
    </w:p>
    <w:p w:rsidR="00DE2AA7" w:rsidRPr="007D322B" w:rsidRDefault="00DE2AA7" w:rsidP="00DE2AA7">
      <w:pPr>
        <w:keepNext/>
        <w:keepLines/>
        <w:autoSpaceDE w:val="0"/>
        <w:autoSpaceDN w:val="0"/>
        <w:adjustRightInd w:val="0"/>
        <w:rPr>
          <w:rFonts w:ascii="Arial" w:hAnsi="Arial" w:cs="Arial"/>
          <w:iCs/>
          <w:noProof/>
        </w:rPr>
      </w:pPr>
      <w:r w:rsidRPr="007D322B">
        <w:rPr>
          <w:rFonts w:ascii="Arial" w:hAnsi="Arial" w:cs="Arial"/>
          <w:iCs/>
          <w:noProof/>
        </w:rPr>
        <w:t>Dinutuximab</w:t>
      </w:r>
      <w:r w:rsidR="00EE0CCC">
        <w:rPr>
          <w:rFonts w:ascii="Arial" w:hAnsi="Arial" w:cs="Arial"/>
          <w:iCs/>
          <w:noProof/>
        </w:rPr>
        <w:t xml:space="preserve"> </w:t>
      </w:r>
      <w:r w:rsidRPr="007D322B">
        <w:rPr>
          <w:rFonts w:ascii="Arial" w:hAnsi="Arial" w:cs="Arial"/>
          <w:iCs/>
          <w:noProof/>
        </w:rPr>
        <w:t>beta</w:t>
      </w:r>
      <w:r w:rsidR="00EE0CCC">
        <w:rPr>
          <w:rFonts w:ascii="Arial" w:hAnsi="Arial" w:cs="Arial"/>
          <w:iCs/>
          <w:noProof/>
        </w:rPr>
        <w:t xml:space="preserve"> </w:t>
      </w:r>
      <w:r w:rsidRPr="007D322B">
        <w:rPr>
          <w:rFonts w:ascii="Arial" w:hAnsi="Arial" w:cs="Arial"/>
          <w:iCs/>
          <w:noProof/>
        </w:rPr>
        <w:t>has</w:t>
      </w:r>
      <w:r w:rsidR="00EE0CCC">
        <w:rPr>
          <w:rFonts w:ascii="Arial" w:hAnsi="Arial" w:cs="Arial"/>
          <w:iCs/>
          <w:noProof/>
        </w:rPr>
        <w:t xml:space="preserve"> </w:t>
      </w:r>
      <w:r w:rsidRPr="007D322B">
        <w:rPr>
          <w:rFonts w:ascii="Arial" w:hAnsi="Arial" w:cs="Arial"/>
          <w:iCs/>
          <w:noProof/>
        </w:rPr>
        <w:t>been</w:t>
      </w:r>
      <w:r w:rsidR="00EE0CCC">
        <w:rPr>
          <w:rFonts w:ascii="Arial" w:hAnsi="Arial" w:cs="Arial"/>
          <w:iCs/>
          <w:noProof/>
        </w:rPr>
        <w:t xml:space="preserve"> </w:t>
      </w:r>
      <w:r w:rsidRPr="007D322B">
        <w:rPr>
          <w:rFonts w:ascii="Arial" w:hAnsi="Arial" w:cs="Arial"/>
          <w:iCs/>
          <w:noProof/>
        </w:rPr>
        <w:t>shown</w:t>
      </w:r>
      <w:r w:rsidR="00EE0CCC">
        <w:rPr>
          <w:rFonts w:ascii="Arial" w:hAnsi="Arial" w:cs="Arial"/>
          <w:iCs/>
          <w:noProof/>
        </w:rPr>
        <w:t xml:space="preserve"> </w:t>
      </w:r>
      <w:r w:rsidRPr="007D322B">
        <w:rPr>
          <w:rFonts w:ascii="Arial" w:hAnsi="Arial" w:cs="Arial"/>
          <w:i/>
          <w:iCs/>
          <w:noProof/>
        </w:rPr>
        <w:t>in</w:t>
      </w:r>
      <w:r w:rsidR="00EE0CCC">
        <w:rPr>
          <w:rFonts w:ascii="Arial" w:hAnsi="Arial" w:cs="Arial"/>
          <w:i/>
          <w:iCs/>
          <w:noProof/>
        </w:rPr>
        <w:t xml:space="preserve"> </w:t>
      </w:r>
      <w:r w:rsidRPr="007D322B">
        <w:rPr>
          <w:rFonts w:ascii="Arial" w:hAnsi="Arial" w:cs="Arial"/>
          <w:i/>
          <w:iCs/>
          <w:noProof/>
        </w:rPr>
        <w:t>vitro</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bind</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neuroblastoma</w:t>
      </w:r>
      <w:r w:rsidR="00EE0CCC">
        <w:rPr>
          <w:rFonts w:ascii="Arial" w:hAnsi="Arial" w:cs="Arial"/>
          <w:iCs/>
          <w:noProof/>
        </w:rPr>
        <w:t xml:space="preserve"> </w:t>
      </w:r>
      <w:r w:rsidRPr="007D322B">
        <w:rPr>
          <w:rFonts w:ascii="Arial" w:hAnsi="Arial" w:cs="Arial"/>
          <w:iCs/>
          <w:noProof/>
        </w:rPr>
        <w:t>cell</w:t>
      </w:r>
      <w:r w:rsidR="00EE0CCC">
        <w:rPr>
          <w:rFonts w:ascii="Arial" w:hAnsi="Arial" w:cs="Arial"/>
          <w:iCs/>
          <w:noProof/>
        </w:rPr>
        <w:t xml:space="preserve"> </w:t>
      </w:r>
      <w:r w:rsidRPr="007D322B">
        <w:rPr>
          <w:rFonts w:ascii="Arial" w:hAnsi="Arial" w:cs="Arial"/>
          <w:iCs/>
          <w:noProof/>
        </w:rPr>
        <w:t>lines</w:t>
      </w:r>
      <w:r w:rsidR="00EE0CCC">
        <w:rPr>
          <w:rFonts w:ascii="Arial" w:hAnsi="Arial" w:cs="Arial"/>
          <w:iCs/>
          <w:noProof/>
        </w:rPr>
        <w:t xml:space="preserve"> </w:t>
      </w:r>
      <w:r w:rsidRPr="007D322B">
        <w:rPr>
          <w:rFonts w:ascii="Arial" w:hAnsi="Arial" w:cs="Arial"/>
          <w:iCs/>
          <w:noProof/>
        </w:rPr>
        <w:t>known</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express</w:t>
      </w:r>
      <w:r w:rsidR="00EE0CCC">
        <w:rPr>
          <w:rFonts w:ascii="Arial" w:hAnsi="Arial" w:cs="Arial"/>
          <w:iCs/>
          <w:noProof/>
        </w:rPr>
        <w:t xml:space="preserve"> </w:t>
      </w:r>
      <w:r w:rsidRPr="007D322B">
        <w:rPr>
          <w:rFonts w:ascii="Arial" w:hAnsi="Arial" w:cs="Arial"/>
          <w:iCs/>
          <w:noProof/>
        </w:rPr>
        <w:t>GD2</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induce</w:t>
      </w:r>
      <w:r w:rsidR="00EE0CCC">
        <w:rPr>
          <w:rFonts w:ascii="Arial" w:hAnsi="Arial" w:cs="Arial"/>
          <w:iCs/>
          <w:noProof/>
        </w:rPr>
        <w:t xml:space="preserve"> </w:t>
      </w:r>
      <w:r w:rsidRPr="007D322B">
        <w:rPr>
          <w:rFonts w:ascii="Arial" w:hAnsi="Arial" w:cs="Arial"/>
          <w:iCs/>
          <w:noProof/>
        </w:rPr>
        <w:t>both</w:t>
      </w:r>
      <w:r w:rsidR="00EE0CCC">
        <w:rPr>
          <w:rFonts w:ascii="Arial" w:hAnsi="Arial" w:cs="Arial"/>
          <w:iCs/>
          <w:noProof/>
        </w:rPr>
        <w:t xml:space="preserve"> </w:t>
      </w:r>
      <w:r w:rsidRPr="007D322B">
        <w:rPr>
          <w:rFonts w:ascii="Arial" w:hAnsi="Arial" w:cs="Arial"/>
          <w:iCs/>
          <w:noProof/>
        </w:rPr>
        <w:t>complement</w:t>
      </w:r>
      <w:r w:rsidR="00EE0CCC">
        <w:rPr>
          <w:rFonts w:ascii="Arial" w:hAnsi="Arial" w:cs="Arial"/>
          <w:iCs/>
          <w:noProof/>
        </w:rPr>
        <w:t xml:space="preserve"> </w:t>
      </w:r>
      <w:r w:rsidRPr="007D322B">
        <w:rPr>
          <w:rFonts w:ascii="Arial" w:hAnsi="Arial" w:cs="Arial"/>
          <w:iCs/>
          <w:noProof/>
        </w:rPr>
        <w:t>dependent</w:t>
      </w:r>
      <w:r w:rsidR="00EE0CCC">
        <w:rPr>
          <w:rFonts w:ascii="Arial" w:hAnsi="Arial" w:cs="Arial"/>
          <w:iCs/>
          <w:noProof/>
        </w:rPr>
        <w:t xml:space="preserve"> </w:t>
      </w:r>
      <w:r w:rsidRPr="007D322B">
        <w:rPr>
          <w:rFonts w:ascii="Arial" w:hAnsi="Arial" w:cs="Arial"/>
          <w:iCs/>
          <w:noProof/>
        </w:rPr>
        <w:t>cy</w:t>
      </w:r>
      <w:r w:rsidR="003152F1">
        <w:rPr>
          <w:rFonts w:ascii="Arial" w:hAnsi="Arial" w:cs="Arial"/>
          <w:iCs/>
          <w:noProof/>
        </w:rPr>
        <w:t>to</w:t>
      </w:r>
      <w:r w:rsidRPr="007D322B">
        <w:rPr>
          <w:rFonts w:ascii="Arial" w:hAnsi="Arial" w:cs="Arial"/>
          <w:iCs/>
          <w:noProof/>
        </w:rPr>
        <w:t>toxicity</w:t>
      </w:r>
      <w:r w:rsidR="00EE0CCC">
        <w:rPr>
          <w:rFonts w:ascii="Arial" w:hAnsi="Arial" w:cs="Arial"/>
          <w:iCs/>
          <w:noProof/>
        </w:rPr>
        <w:t xml:space="preserve"> </w:t>
      </w:r>
      <w:r w:rsidRPr="007D322B">
        <w:rPr>
          <w:rFonts w:ascii="Arial" w:hAnsi="Arial" w:cs="Arial"/>
          <w:iCs/>
          <w:noProof/>
        </w:rPr>
        <w:t>(CDC)</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antibody</w:t>
      </w:r>
      <w:r w:rsidR="00EE0CCC">
        <w:rPr>
          <w:rFonts w:ascii="Arial" w:hAnsi="Arial" w:cs="Arial"/>
          <w:iCs/>
          <w:noProof/>
        </w:rPr>
        <w:t xml:space="preserve"> </w:t>
      </w:r>
      <w:r w:rsidRPr="007D322B">
        <w:rPr>
          <w:rFonts w:ascii="Arial" w:hAnsi="Arial" w:cs="Arial"/>
          <w:iCs/>
          <w:noProof/>
        </w:rPr>
        <w:t>dependent</w:t>
      </w:r>
      <w:r w:rsidR="00EE0CCC">
        <w:rPr>
          <w:rFonts w:ascii="Arial" w:hAnsi="Arial" w:cs="Arial"/>
          <w:iCs/>
          <w:noProof/>
        </w:rPr>
        <w:t xml:space="preserve"> </w:t>
      </w:r>
      <w:r w:rsidRPr="007D322B">
        <w:rPr>
          <w:rFonts w:ascii="Arial" w:hAnsi="Arial" w:cs="Arial"/>
          <w:iCs/>
          <w:noProof/>
        </w:rPr>
        <w:t>cell-mediated</w:t>
      </w:r>
      <w:r w:rsidR="00EE0CCC">
        <w:rPr>
          <w:rFonts w:ascii="Arial" w:hAnsi="Arial" w:cs="Arial"/>
          <w:iCs/>
          <w:noProof/>
        </w:rPr>
        <w:t xml:space="preserve"> </w:t>
      </w:r>
      <w:r w:rsidRPr="007D322B">
        <w:rPr>
          <w:rFonts w:ascii="Arial" w:hAnsi="Arial" w:cs="Arial"/>
          <w:iCs/>
          <w:noProof/>
        </w:rPr>
        <w:t>cy</w:t>
      </w:r>
      <w:r w:rsidR="003152F1">
        <w:rPr>
          <w:rFonts w:ascii="Arial" w:hAnsi="Arial" w:cs="Arial"/>
          <w:iCs/>
          <w:noProof/>
        </w:rPr>
        <w:t>to</w:t>
      </w:r>
      <w:r w:rsidRPr="007D322B">
        <w:rPr>
          <w:rFonts w:ascii="Arial" w:hAnsi="Arial" w:cs="Arial"/>
          <w:iCs/>
          <w:noProof/>
        </w:rPr>
        <w:t>toxicity</w:t>
      </w:r>
      <w:r w:rsidR="00EE0CCC">
        <w:rPr>
          <w:rFonts w:ascii="Arial" w:hAnsi="Arial" w:cs="Arial"/>
          <w:iCs/>
          <w:noProof/>
        </w:rPr>
        <w:t xml:space="preserve"> </w:t>
      </w:r>
      <w:r w:rsidRPr="007D322B">
        <w:rPr>
          <w:rFonts w:ascii="Arial" w:hAnsi="Arial" w:cs="Arial"/>
          <w:iCs/>
          <w:noProof/>
        </w:rPr>
        <w:t>(ADCC).</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presence</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human</w:t>
      </w:r>
      <w:r w:rsidR="00EE0CCC">
        <w:rPr>
          <w:rFonts w:ascii="Arial" w:hAnsi="Arial" w:cs="Arial"/>
          <w:iCs/>
          <w:noProof/>
        </w:rPr>
        <w:t xml:space="preserve"> </w:t>
      </w:r>
      <w:r w:rsidRPr="007D322B">
        <w:rPr>
          <w:rFonts w:ascii="Arial" w:hAnsi="Arial" w:cs="Arial"/>
          <w:iCs/>
          <w:noProof/>
        </w:rPr>
        <w:t>effector</w:t>
      </w:r>
      <w:r w:rsidR="00EE0CCC">
        <w:rPr>
          <w:rFonts w:ascii="Arial" w:hAnsi="Arial" w:cs="Arial"/>
          <w:iCs/>
          <w:noProof/>
        </w:rPr>
        <w:t xml:space="preserve"> </w:t>
      </w:r>
      <w:r w:rsidRPr="007D322B">
        <w:rPr>
          <w:rFonts w:ascii="Arial" w:hAnsi="Arial" w:cs="Arial"/>
          <w:iCs/>
          <w:noProof/>
        </w:rPr>
        <w:t>cells,</w:t>
      </w:r>
      <w:r w:rsidR="00EE0CCC">
        <w:rPr>
          <w:rFonts w:ascii="Arial" w:hAnsi="Arial" w:cs="Arial"/>
          <w:iCs/>
          <w:noProof/>
        </w:rPr>
        <w:t xml:space="preserve"> </w:t>
      </w:r>
      <w:r w:rsidRPr="007D322B">
        <w:rPr>
          <w:rFonts w:ascii="Arial" w:hAnsi="Arial" w:cs="Arial"/>
          <w:iCs/>
          <w:noProof/>
        </w:rPr>
        <w:t>including</w:t>
      </w:r>
      <w:r w:rsidR="00EE0CCC">
        <w:rPr>
          <w:rFonts w:ascii="Arial" w:hAnsi="Arial" w:cs="Arial"/>
          <w:iCs/>
          <w:noProof/>
        </w:rPr>
        <w:t xml:space="preserve"> </w:t>
      </w:r>
      <w:r w:rsidRPr="007D322B">
        <w:rPr>
          <w:rFonts w:ascii="Arial" w:hAnsi="Arial" w:cs="Arial"/>
          <w:iCs/>
          <w:noProof/>
        </w:rPr>
        <w:t>peripheral</w:t>
      </w:r>
      <w:r w:rsidR="00EE0CCC">
        <w:rPr>
          <w:rFonts w:ascii="Arial" w:hAnsi="Arial" w:cs="Arial"/>
          <w:iCs/>
          <w:noProof/>
        </w:rPr>
        <w:t xml:space="preserve"> </w:t>
      </w:r>
      <w:r w:rsidRPr="007D322B">
        <w:rPr>
          <w:rFonts w:ascii="Arial" w:hAnsi="Arial" w:cs="Arial"/>
          <w:iCs/>
          <w:noProof/>
        </w:rPr>
        <w:t>blood</w:t>
      </w:r>
      <w:r w:rsidR="00EE0CCC">
        <w:rPr>
          <w:rFonts w:ascii="Arial" w:hAnsi="Arial" w:cs="Arial"/>
          <w:iCs/>
          <w:noProof/>
        </w:rPr>
        <w:t xml:space="preserve"> </w:t>
      </w:r>
      <w:r w:rsidR="003152F1">
        <w:rPr>
          <w:rFonts w:ascii="Arial" w:hAnsi="Arial" w:cs="Arial"/>
          <w:iCs/>
          <w:noProof/>
        </w:rPr>
        <w:t>mono</w:t>
      </w:r>
      <w:r w:rsidRPr="007D322B">
        <w:rPr>
          <w:rFonts w:ascii="Arial" w:hAnsi="Arial" w:cs="Arial"/>
          <w:iCs/>
          <w:noProof/>
        </w:rPr>
        <w:t>nuclear</w:t>
      </w:r>
      <w:r w:rsidR="00EE0CCC">
        <w:rPr>
          <w:rFonts w:ascii="Arial" w:hAnsi="Arial" w:cs="Arial"/>
          <w:iCs/>
          <w:noProof/>
        </w:rPr>
        <w:t xml:space="preserve"> </w:t>
      </w:r>
      <w:r w:rsidRPr="007D322B">
        <w:rPr>
          <w:rFonts w:ascii="Arial" w:hAnsi="Arial" w:cs="Arial"/>
          <w:iCs/>
          <w:noProof/>
        </w:rPr>
        <w:t>cells</w:t>
      </w:r>
      <w:r w:rsidR="00EE0CCC">
        <w:rPr>
          <w:rFonts w:ascii="Arial" w:hAnsi="Arial" w:cs="Arial"/>
          <w:iCs/>
          <w:noProof/>
        </w:rPr>
        <w:t xml:space="preserve"> </w:t>
      </w:r>
      <w:r w:rsidRPr="007D322B">
        <w:rPr>
          <w:rFonts w:ascii="Arial" w:hAnsi="Arial" w:cs="Arial"/>
          <w:iCs/>
          <w:noProof/>
        </w:rPr>
        <w:t>from</w:t>
      </w:r>
      <w:r w:rsidR="00EE0CCC">
        <w:rPr>
          <w:rFonts w:ascii="Arial" w:hAnsi="Arial" w:cs="Arial"/>
          <w:iCs/>
          <w:noProof/>
        </w:rPr>
        <w:t xml:space="preserve"> </w:t>
      </w:r>
      <w:r w:rsidRPr="007D322B">
        <w:rPr>
          <w:rFonts w:ascii="Arial" w:hAnsi="Arial" w:cs="Arial"/>
          <w:iCs/>
          <w:noProof/>
        </w:rPr>
        <w:t>normal</w:t>
      </w:r>
      <w:r w:rsidR="00EE0CCC">
        <w:rPr>
          <w:rFonts w:ascii="Arial" w:hAnsi="Arial" w:cs="Arial"/>
          <w:iCs/>
          <w:noProof/>
        </w:rPr>
        <w:t xml:space="preserve"> </w:t>
      </w:r>
      <w:r w:rsidRPr="007D322B">
        <w:rPr>
          <w:rFonts w:ascii="Arial" w:hAnsi="Arial" w:cs="Arial"/>
          <w:iCs/>
          <w:noProof/>
        </w:rPr>
        <w:t>human</w:t>
      </w:r>
      <w:r w:rsidR="00EE0CCC">
        <w:rPr>
          <w:rFonts w:ascii="Arial" w:hAnsi="Arial" w:cs="Arial"/>
          <w:iCs/>
          <w:noProof/>
        </w:rPr>
        <w:t xml:space="preserve"> </w:t>
      </w:r>
      <w:r w:rsidRPr="007D322B">
        <w:rPr>
          <w:rFonts w:ascii="Arial" w:hAnsi="Arial" w:cs="Arial"/>
          <w:iCs/>
          <w:noProof/>
        </w:rPr>
        <w:t>donors,</w:t>
      </w:r>
      <w:r w:rsidR="00EE0CCC">
        <w:rPr>
          <w:rFonts w:ascii="Arial" w:hAnsi="Arial" w:cs="Arial"/>
          <w:iCs/>
          <w:noProof/>
        </w:rPr>
        <w:t xml:space="preserve"> </w:t>
      </w:r>
      <w:r w:rsidRPr="007D322B">
        <w:rPr>
          <w:rFonts w:ascii="Arial" w:hAnsi="Arial" w:cs="Arial"/>
          <w:iCs/>
          <w:noProof/>
        </w:rPr>
        <w:t>dinutuximab</w:t>
      </w:r>
      <w:r w:rsidR="00EE0CCC">
        <w:rPr>
          <w:rFonts w:ascii="Arial" w:hAnsi="Arial" w:cs="Arial"/>
          <w:iCs/>
          <w:noProof/>
        </w:rPr>
        <w:t xml:space="preserve"> </w:t>
      </w:r>
      <w:r w:rsidRPr="007D322B">
        <w:rPr>
          <w:rFonts w:ascii="Arial" w:hAnsi="Arial" w:cs="Arial"/>
          <w:iCs/>
          <w:noProof/>
        </w:rPr>
        <w:t>beta</w:t>
      </w:r>
      <w:r w:rsidR="00EE0CCC">
        <w:rPr>
          <w:rFonts w:ascii="Arial" w:hAnsi="Arial" w:cs="Arial"/>
          <w:iCs/>
          <w:noProof/>
        </w:rPr>
        <w:t xml:space="preserve"> </w:t>
      </w:r>
      <w:r w:rsidRPr="007D322B">
        <w:rPr>
          <w:rFonts w:ascii="Arial" w:hAnsi="Arial" w:cs="Arial"/>
          <w:iCs/>
          <w:noProof/>
        </w:rPr>
        <w:t>was</w:t>
      </w:r>
      <w:r w:rsidR="00EE0CCC">
        <w:rPr>
          <w:rFonts w:ascii="Arial" w:hAnsi="Arial" w:cs="Arial"/>
          <w:iCs/>
          <w:noProof/>
        </w:rPr>
        <w:t xml:space="preserve"> </w:t>
      </w:r>
      <w:r w:rsidRPr="007D322B">
        <w:rPr>
          <w:rFonts w:ascii="Arial" w:hAnsi="Arial" w:cs="Arial"/>
          <w:iCs/>
          <w:noProof/>
        </w:rPr>
        <w:t>found</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mediate</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lysis</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human</w:t>
      </w:r>
      <w:r w:rsidR="00EE0CCC">
        <w:rPr>
          <w:rFonts w:ascii="Arial" w:hAnsi="Arial" w:cs="Arial"/>
          <w:iCs/>
          <w:noProof/>
        </w:rPr>
        <w:t xml:space="preserve"> </w:t>
      </w:r>
      <w:r w:rsidRPr="007D322B">
        <w:rPr>
          <w:rFonts w:ascii="Arial" w:hAnsi="Arial" w:cs="Arial"/>
          <w:iCs/>
          <w:noProof/>
        </w:rPr>
        <w:t>neuroblastoma</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melanoma</w:t>
      </w:r>
      <w:r w:rsidR="00EE0CCC">
        <w:rPr>
          <w:rFonts w:ascii="Arial" w:hAnsi="Arial" w:cs="Arial"/>
          <w:iCs/>
          <w:noProof/>
        </w:rPr>
        <w:t xml:space="preserve"> </w:t>
      </w:r>
      <w:r w:rsidRPr="007D322B">
        <w:rPr>
          <w:rFonts w:ascii="Arial" w:hAnsi="Arial" w:cs="Arial"/>
          <w:iCs/>
          <w:noProof/>
        </w:rPr>
        <w:t>cell</w:t>
      </w:r>
      <w:r w:rsidR="00EE0CCC">
        <w:rPr>
          <w:rFonts w:ascii="Arial" w:hAnsi="Arial" w:cs="Arial"/>
          <w:iCs/>
          <w:noProof/>
        </w:rPr>
        <w:t xml:space="preserve"> </w:t>
      </w:r>
      <w:r w:rsidRPr="007D322B">
        <w:rPr>
          <w:rFonts w:ascii="Arial" w:hAnsi="Arial" w:cs="Arial"/>
          <w:iCs/>
          <w:noProof/>
        </w:rPr>
        <w:t>lines</w:t>
      </w:r>
      <w:r w:rsidR="00EE0CCC">
        <w:rPr>
          <w:rFonts w:ascii="Arial" w:hAnsi="Arial" w:cs="Arial"/>
          <w:iCs/>
          <w:noProof/>
        </w:rPr>
        <w:t xml:space="preserve"> </w:t>
      </w:r>
      <w:r w:rsidR="003152F1">
        <w:rPr>
          <w:rFonts w:ascii="Arial" w:hAnsi="Arial" w:cs="Arial"/>
          <w:iCs/>
          <w:noProof/>
        </w:rPr>
        <w:t>expressing</w:t>
      </w:r>
      <w:r w:rsidR="00EE0CCC">
        <w:rPr>
          <w:rFonts w:ascii="Arial" w:hAnsi="Arial" w:cs="Arial"/>
          <w:iCs/>
          <w:noProof/>
        </w:rPr>
        <w:t xml:space="preserve"> </w:t>
      </w:r>
      <w:r w:rsidR="003152F1">
        <w:rPr>
          <w:rFonts w:ascii="Arial" w:hAnsi="Arial" w:cs="Arial"/>
          <w:iCs/>
          <w:noProof/>
        </w:rPr>
        <w:t>GD2</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dosedependent</w:t>
      </w:r>
      <w:r w:rsidR="00EE0CCC">
        <w:rPr>
          <w:rFonts w:ascii="Arial" w:hAnsi="Arial" w:cs="Arial"/>
          <w:iCs/>
          <w:noProof/>
        </w:rPr>
        <w:t xml:space="preserve"> </w:t>
      </w:r>
      <w:r w:rsidRPr="007D322B">
        <w:rPr>
          <w:rFonts w:ascii="Arial" w:hAnsi="Arial" w:cs="Arial"/>
          <w:iCs/>
          <w:noProof/>
        </w:rPr>
        <w:t>manner.</w:t>
      </w:r>
      <w:r w:rsidR="00EE0CCC">
        <w:rPr>
          <w:rFonts w:ascii="Arial" w:hAnsi="Arial" w:cs="Arial"/>
          <w:iCs/>
          <w:noProof/>
        </w:rPr>
        <w:t xml:space="preserve"> </w:t>
      </w:r>
      <w:r w:rsidRPr="007D322B">
        <w:rPr>
          <w:rFonts w:ascii="Arial" w:hAnsi="Arial" w:cs="Arial"/>
          <w:iCs/>
          <w:noProof/>
        </w:rPr>
        <w:t>Additionally,</w:t>
      </w:r>
      <w:r w:rsidR="00EE0CCC">
        <w:rPr>
          <w:rFonts w:ascii="Arial" w:hAnsi="Arial" w:cs="Arial"/>
          <w:iCs/>
          <w:noProof/>
        </w:rPr>
        <w:t xml:space="preserve"> </w:t>
      </w:r>
      <w:r w:rsidRPr="007D322B">
        <w:rPr>
          <w:rFonts w:ascii="Arial" w:hAnsi="Arial" w:cs="Arial"/>
          <w:i/>
          <w:iCs/>
          <w:noProof/>
        </w:rPr>
        <w:t>in</w:t>
      </w:r>
      <w:r w:rsidR="00EE0CCC">
        <w:rPr>
          <w:rFonts w:ascii="Arial" w:hAnsi="Arial" w:cs="Arial"/>
          <w:i/>
          <w:iCs/>
          <w:noProof/>
        </w:rPr>
        <w:t xml:space="preserve"> </w:t>
      </w:r>
      <w:r w:rsidRPr="007D322B">
        <w:rPr>
          <w:rFonts w:ascii="Arial" w:hAnsi="Arial" w:cs="Arial"/>
          <w:i/>
          <w:iCs/>
          <w:noProof/>
        </w:rPr>
        <w:t>vivo</w:t>
      </w:r>
      <w:r w:rsidR="00EE0CCC">
        <w:rPr>
          <w:rFonts w:ascii="Arial" w:hAnsi="Arial" w:cs="Arial"/>
          <w:iCs/>
          <w:noProof/>
        </w:rPr>
        <w:t xml:space="preserve"> </w:t>
      </w:r>
      <w:r w:rsidRPr="007D322B">
        <w:rPr>
          <w:rFonts w:ascii="Arial" w:hAnsi="Arial" w:cs="Arial"/>
          <w:iCs/>
          <w:noProof/>
        </w:rPr>
        <w:t>studies</w:t>
      </w:r>
      <w:r w:rsidR="00EE0CCC">
        <w:rPr>
          <w:rFonts w:ascii="Arial" w:hAnsi="Arial" w:cs="Arial"/>
          <w:iCs/>
          <w:noProof/>
        </w:rPr>
        <w:t xml:space="preserve"> </w:t>
      </w:r>
      <w:r w:rsidRPr="007D322B">
        <w:rPr>
          <w:rFonts w:ascii="Arial" w:hAnsi="Arial" w:cs="Arial"/>
          <w:iCs/>
          <w:noProof/>
        </w:rPr>
        <w:t>demonstrated</w:t>
      </w:r>
      <w:r w:rsidR="00EE0CCC">
        <w:rPr>
          <w:rFonts w:ascii="Arial" w:hAnsi="Arial" w:cs="Arial"/>
          <w:iCs/>
          <w:noProof/>
        </w:rPr>
        <w:t xml:space="preserve"> </w:t>
      </w:r>
      <w:r w:rsidRPr="007D322B">
        <w:rPr>
          <w:rFonts w:ascii="Arial" w:hAnsi="Arial" w:cs="Arial"/>
          <w:iCs/>
          <w:noProof/>
        </w:rPr>
        <w:t>that</w:t>
      </w:r>
      <w:r w:rsidR="00EE0CCC">
        <w:rPr>
          <w:rFonts w:ascii="Arial" w:hAnsi="Arial" w:cs="Arial"/>
          <w:iCs/>
          <w:noProof/>
        </w:rPr>
        <w:t xml:space="preserve"> </w:t>
      </w:r>
      <w:r w:rsidRPr="007D322B">
        <w:rPr>
          <w:rFonts w:ascii="Arial" w:hAnsi="Arial" w:cs="Arial"/>
          <w:iCs/>
          <w:noProof/>
        </w:rPr>
        <w:t>dinutuximab</w:t>
      </w:r>
      <w:r w:rsidR="00EE0CCC">
        <w:rPr>
          <w:rFonts w:ascii="Arial" w:hAnsi="Arial" w:cs="Arial"/>
          <w:iCs/>
          <w:noProof/>
        </w:rPr>
        <w:t xml:space="preserve"> </w:t>
      </w:r>
      <w:r w:rsidRPr="007D322B">
        <w:rPr>
          <w:rFonts w:ascii="Arial" w:hAnsi="Arial" w:cs="Arial"/>
          <w:iCs/>
          <w:noProof/>
        </w:rPr>
        <w:t>beta</w:t>
      </w:r>
      <w:r w:rsidR="00EE0CCC">
        <w:rPr>
          <w:rFonts w:ascii="Arial" w:hAnsi="Arial" w:cs="Arial"/>
          <w:iCs/>
          <w:noProof/>
        </w:rPr>
        <w:t xml:space="preserve"> </w:t>
      </w:r>
      <w:r w:rsidRPr="007D322B">
        <w:rPr>
          <w:rFonts w:ascii="Arial" w:hAnsi="Arial" w:cs="Arial"/>
          <w:iCs/>
          <w:noProof/>
        </w:rPr>
        <w:t>could</w:t>
      </w:r>
      <w:r w:rsidR="00EE0CCC">
        <w:rPr>
          <w:rFonts w:ascii="Arial" w:hAnsi="Arial" w:cs="Arial"/>
          <w:iCs/>
          <w:noProof/>
        </w:rPr>
        <w:t xml:space="preserve"> </w:t>
      </w:r>
      <w:r w:rsidRPr="007D322B">
        <w:rPr>
          <w:rFonts w:ascii="Arial" w:hAnsi="Arial" w:cs="Arial"/>
          <w:iCs/>
          <w:noProof/>
        </w:rPr>
        <w:t>suppress</w:t>
      </w:r>
      <w:r w:rsidR="00EE0CCC">
        <w:rPr>
          <w:rFonts w:ascii="Arial" w:hAnsi="Arial" w:cs="Arial"/>
          <w:iCs/>
          <w:noProof/>
        </w:rPr>
        <w:t xml:space="preserve"> </w:t>
      </w:r>
      <w:r w:rsidRPr="007D322B">
        <w:rPr>
          <w:rFonts w:ascii="Arial" w:hAnsi="Arial" w:cs="Arial"/>
          <w:iCs/>
          <w:noProof/>
        </w:rPr>
        <w:t>liver</w:t>
      </w:r>
      <w:r w:rsidR="00EE0CCC">
        <w:rPr>
          <w:rFonts w:ascii="Arial" w:hAnsi="Arial" w:cs="Arial"/>
          <w:iCs/>
          <w:noProof/>
        </w:rPr>
        <w:t xml:space="preserve"> </w:t>
      </w:r>
      <w:r w:rsidRPr="007D322B">
        <w:rPr>
          <w:rFonts w:ascii="Arial" w:hAnsi="Arial" w:cs="Arial"/>
          <w:iCs/>
          <w:noProof/>
        </w:rPr>
        <w:t>metastasis</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syngeneic</w:t>
      </w:r>
      <w:r w:rsidR="00EE0CCC">
        <w:rPr>
          <w:rFonts w:ascii="Arial" w:hAnsi="Arial" w:cs="Arial"/>
          <w:iCs/>
          <w:noProof/>
        </w:rPr>
        <w:t xml:space="preserve"> </w:t>
      </w:r>
      <w:r w:rsidRPr="007D322B">
        <w:rPr>
          <w:rFonts w:ascii="Arial" w:hAnsi="Arial" w:cs="Arial"/>
          <w:iCs/>
          <w:noProof/>
        </w:rPr>
        <w:t>liver</w:t>
      </w:r>
      <w:r w:rsidR="00EE0CCC">
        <w:rPr>
          <w:rFonts w:ascii="Arial" w:hAnsi="Arial" w:cs="Arial"/>
          <w:iCs/>
          <w:noProof/>
        </w:rPr>
        <w:t xml:space="preserve"> </w:t>
      </w:r>
      <w:r w:rsidRPr="007D322B">
        <w:rPr>
          <w:rFonts w:ascii="Arial" w:hAnsi="Arial" w:cs="Arial"/>
          <w:iCs/>
          <w:noProof/>
        </w:rPr>
        <w:t>metastasis</w:t>
      </w:r>
      <w:r w:rsidR="00EE0CCC">
        <w:rPr>
          <w:rFonts w:ascii="Arial" w:hAnsi="Arial" w:cs="Arial"/>
          <w:iCs/>
          <w:noProof/>
        </w:rPr>
        <w:t xml:space="preserve"> </w:t>
      </w:r>
      <w:r w:rsidRPr="007D322B">
        <w:rPr>
          <w:rFonts w:ascii="Arial" w:hAnsi="Arial" w:cs="Arial"/>
          <w:iCs/>
          <w:noProof/>
        </w:rPr>
        <w:t>mouse</w:t>
      </w:r>
      <w:r w:rsidR="00EE0CCC">
        <w:rPr>
          <w:rFonts w:ascii="Arial" w:hAnsi="Arial" w:cs="Arial"/>
          <w:iCs/>
          <w:noProof/>
        </w:rPr>
        <w:t xml:space="preserve"> </w:t>
      </w:r>
      <w:r w:rsidRPr="007D322B">
        <w:rPr>
          <w:rFonts w:ascii="Arial" w:hAnsi="Arial" w:cs="Arial"/>
          <w:iCs/>
          <w:noProof/>
        </w:rPr>
        <w:t>model.</w:t>
      </w:r>
    </w:p>
    <w:p w:rsidR="00DE2AA7" w:rsidRPr="007D322B" w:rsidRDefault="00DE2AA7" w:rsidP="00DE2AA7">
      <w:pPr>
        <w:autoSpaceDE w:val="0"/>
        <w:autoSpaceDN w:val="0"/>
        <w:adjustRightInd w:val="0"/>
        <w:rPr>
          <w:rFonts w:ascii="Arial" w:hAnsi="Arial" w:cs="Arial"/>
          <w:iCs/>
          <w:noProof/>
        </w:rPr>
      </w:pPr>
    </w:p>
    <w:p w:rsidR="00DE2AA7" w:rsidRPr="007D322B" w:rsidRDefault="00DE2AA7" w:rsidP="00DE2AA7">
      <w:pPr>
        <w:autoSpaceDE w:val="0"/>
        <w:autoSpaceDN w:val="0"/>
        <w:adjustRightInd w:val="0"/>
        <w:rPr>
          <w:rFonts w:ascii="Arial" w:hAnsi="Arial" w:cs="Arial"/>
          <w:iCs/>
          <w:noProof/>
        </w:rPr>
      </w:pPr>
      <w:r w:rsidRPr="007D322B">
        <w:rPr>
          <w:rFonts w:ascii="Arial" w:hAnsi="Arial" w:cs="Arial"/>
          <w:iCs/>
          <w:noProof/>
        </w:rPr>
        <w:t>Neurotoxicity</w:t>
      </w:r>
      <w:r w:rsidR="00EE0CCC">
        <w:rPr>
          <w:rFonts w:ascii="Arial" w:hAnsi="Arial" w:cs="Arial"/>
          <w:iCs/>
          <w:noProof/>
        </w:rPr>
        <w:t xml:space="preserve"> </w:t>
      </w:r>
      <w:r w:rsidRPr="007D322B">
        <w:rPr>
          <w:rFonts w:ascii="Arial" w:hAnsi="Arial" w:cs="Arial"/>
          <w:iCs/>
          <w:noProof/>
        </w:rPr>
        <w:t>associated</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dinutuximab</w:t>
      </w:r>
      <w:r w:rsidR="00EE0CCC">
        <w:rPr>
          <w:rFonts w:ascii="Arial" w:hAnsi="Arial" w:cs="Arial"/>
          <w:iCs/>
          <w:noProof/>
        </w:rPr>
        <w:t xml:space="preserve"> </w:t>
      </w:r>
      <w:r w:rsidRPr="007D322B">
        <w:rPr>
          <w:rFonts w:ascii="Arial" w:hAnsi="Arial" w:cs="Arial"/>
          <w:iCs/>
          <w:noProof/>
        </w:rPr>
        <w:t>beta</w:t>
      </w:r>
      <w:r w:rsidR="00EE0CCC">
        <w:rPr>
          <w:rFonts w:ascii="Arial" w:hAnsi="Arial" w:cs="Arial"/>
          <w:iCs/>
          <w:noProof/>
        </w:rPr>
        <w:t xml:space="preserve"> </w:t>
      </w:r>
      <w:r w:rsidRPr="007D322B">
        <w:rPr>
          <w:rFonts w:ascii="Arial" w:hAnsi="Arial" w:cs="Arial"/>
          <w:iCs/>
          <w:noProof/>
        </w:rPr>
        <w:t>is</w:t>
      </w:r>
      <w:r w:rsidR="00EE0CCC">
        <w:rPr>
          <w:rFonts w:ascii="Arial" w:hAnsi="Arial" w:cs="Arial"/>
          <w:iCs/>
          <w:noProof/>
        </w:rPr>
        <w:t xml:space="preserve"> </w:t>
      </w:r>
      <w:r w:rsidRPr="007D322B">
        <w:rPr>
          <w:rFonts w:ascii="Arial" w:hAnsi="Arial" w:cs="Arial"/>
          <w:iCs/>
          <w:noProof/>
        </w:rPr>
        <w:t>likely</w:t>
      </w:r>
      <w:r w:rsidR="00EE0CCC">
        <w:rPr>
          <w:rFonts w:ascii="Arial" w:hAnsi="Arial" w:cs="Arial"/>
          <w:iCs/>
          <w:noProof/>
        </w:rPr>
        <w:t xml:space="preserve"> </w:t>
      </w:r>
      <w:r w:rsidRPr="007D322B">
        <w:rPr>
          <w:rFonts w:ascii="Arial" w:hAnsi="Arial" w:cs="Arial"/>
          <w:iCs/>
          <w:noProof/>
        </w:rPr>
        <w:t>due</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induction</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mechanical</w:t>
      </w:r>
      <w:r w:rsidR="00EE0CCC">
        <w:rPr>
          <w:rFonts w:ascii="Arial" w:hAnsi="Arial" w:cs="Arial"/>
          <w:iCs/>
          <w:noProof/>
        </w:rPr>
        <w:t xml:space="preserve"> </w:t>
      </w:r>
      <w:r w:rsidRPr="007D322B">
        <w:rPr>
          <w:rFonts w:ascii="Arial" w:hAnsi="Arial" w:cs="Arial"/>
          <w:iCs/>
          <w:noProof/>
        </w:rPr>
        <w:t>allodynia</w:t>
      </w:r>
      <w:r w:rsidR="00EE0CCC">
        <w:rPr>
          <w:rFonts w:ascii="Arial" w:hAnsi="Arial" w:cs="Arial"/>
          <w:iCs/>
          <w:noProof/>
        </w:rPr>
        <w:t xml:space="preserve"> </w:t>
      </w:r>
      <w:r w:rsidRPr="007D322B">
        <w:rPr>
          <w:rFonts w:ascii="Arial" w:hAnsi="Arial" w:cs="Arial"/>
          <w:iCs/>
          <w:noProof/>
        </w:rPr>
        <w:t>that</w:t>
      </w:r>
      <w:r w:rsidR="00EE0CCC">
        <w:rPr>
          <w:rFonts w:ascii="Arial" w:hAnsi="Arial" w:cs="Arial"/>
          <w:iCs/>
          <w:noProof/>
        </w:rPr>
        <w:t xml:space="preserve"> </w:t>
      </w:r>
      <w:r w:rsidRPr="007D322B">
        <w:rPr>
          <w:rFonts w:ascii="Arial" w:hAnsi="Arial" w:cs="Arial"/>
          <w:iCs/>
          <w:noProof/>
        </w:rPr>
        <w:t>may</w:t>
      </w:r>
      <w:r w:rsidR="00EE0CCC">
        <w:rPr>
          <w:rFonts w:ascii="Arial" w:hAnsi="Arial" w:cs="Arial"/>
          <w:iCs/>
          <w:noProof/>
        </w:rPr>
        <w:t xml:space="preserve"> </w:t>
      </w:r>
      <w:r w:rsidRPr="007D322B">
        <w:rPr>
          <w:rFonts w:ascii="Arial" w:hAnsi="Arial" w:cs="Arial"/>
          <w:iCs/>
          <w:noProof/>
        </w:rPr>
        <w:t>be</w:t>
      </w:r>
      <w:r w:rsidR="00EE0CCC">
        <w:rPr>
          <w:rFonts w:ascii="Arial" w:hAnsi="Arial" w:cs="Arial"/>
          <w:iCs/>
          <w:noProof/>
        </w:rPr>
        <w:t xml:space="preserve"> </w:t>
      </w:r>
      <w:r w:rsidRPr="007D322B">
        <w:rPr>
          <w:rFonts w:ascii="Arial" w:hAnsi="Arial" w:cs="Arial"/>
          <w:iCs/>
          <w:noProof/>
        </w:rPr>
        <w:t>mediated</w:t>
      </w:r>
      <w:r w:rsidR="00EE0CCC">
        <w:rPr>
          <w:rFonts w:ascii="Arial" w:hAnsi="Arial" w:cs="Arial"/>
          <w:iCs/>
          <w:noProof/>
        </w:rPr>
        <w:t xml:space="preserve"> </w:t>
      </w:r>
      <w:r w:rsidRPr="007D322B">
        <w:rPr>
          <w:rFonts w:ascii="Arial" w:hAnsi="Arial" w:cs="Arial"/>
          <w:iCs/>
          <w:noProof/>
        </w:rPr>
        <w:t>by</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reactivity</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dinutuximab</w:t>
      </w:r>
      <w:r w:rsidR="00EE0CCC">
        <w:rPr>
          <w:rFonts w:ascii="Arial" w:hAnsi="Arial" w:cs="Arial"/>
          <w:iCs/>
          <w:noProof/>
        </w:rPr>
        <w:t xml:space="preserve"> </w:t>
      </w:r>
      <w:r w:rsidRPr="007D322B">
        <w:rPr>
          <w:rFonts w:ascii="Arial" w:hAnsi="Arial" w:cs="Arial"/>
          <w:iCs/>
          <w:noProof/>
        </w:rPr>
        <w:t>beta</w:t>
      </w:r>
      <w:r w:rsidR="00EE0CCC">
        <w:rPr>
          <w:rFonts w:ascii="Arial" w:hAnsi="Arial" w:cs="Arial"/>
          <w:iCs/>
          <w:noProof/>
        </w:rPr>
        <w:t xml:space="preserve"> </w:t>
      </w:r>
      <w:r w:rsidRPr="007D322B">
        <w:rPr>
          <w:rFonts w:ascii="Arial" w:hAnsi="Arial" w:cs="Arial"/>
          <w:iCs/>
          <w:noProof/>
        </w:rPr>
        <w:t>with</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GD2</w:t>
      </w:r>
      <w:r w:rsidR="00EE0CCC">
        <w:rPr>
          <w:rFonts w:ascii="Arial" w:hAnsi="Arial" w:cs="Arial"/>
          <w:iCs/>
          <w:noProof/>
        </w:rPr>
        <w:t xml:space="preserve"> </w:t>
      </w:r>
      <w:r w:rsidRPr="007D322B">
        <w:rPr>
          <w:rFonts w:ascii="Arial" w:hAnsi="Arial" w:cs="Arial"/>
          <w:iCs/>
          <w:noProof/>
        </w:rPr>
        <w:t>antigen</w:t>
      </w:r>
      <w:r w:rsidR="00EE0CCC">
        <w:rPr>
          <w:rFonts w:ascii="Arial" w:hAnsi="Arial" w:cs="Arial"/>
          <w:iCs/>
          <w:noProof/>
        </w:rPr>
        <w:t xml:space="preserve"> </w:t>
      </w:r>
      <w:r w:rsidRPr="007D322B">
        <w:rPr>
          <w:rFonts w:ascii="Arial" w:hAnsi="Arial" w:cs="Arial"/>
          <w:iCs/>
          <w:noProof/>
        </w:rPr>
        <w:t>located</w:t>
      </w:r>
      <w:r w:rsidR="00EE0CCC">
        <w:rPr>
          <w:rFonts w:ascii="Arial" w:hAnsi="Arial" w:cs="Arial"/>
          <w:iCs/>
          <w:noProof/>
        </w:rPr>
        <w:t xml:space="preserve"> </w:t>
      </w:r>
      <w:r w:rsidRPr="007D322B">
        <w:rPr>
          <w:rFonts w:ascii="Arial" w:hAnsi="Arial" w:cs="Arial"/>
          <w:iCs/>
          <w:noProof/>
        </w:rPr>
        <w:t>on</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surface</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peripheral</w:t>
      </w:r>
      <w:r w:rsidR="00EE0CCC">
        <w:rPr>
          <w:rFonts w:ascii="Arial" w:hAnsi="Arial" w:cs="Arial"/>
          <w:iCs/>
          <w:noProof/>
        </w:rPr>
        <w:t xml:space="preserve"> </w:t>
      </w:r>
      <w:r w:rsidRPr="007D322B">
        <w:rPr>
          <w:rFonts w:ascii="Arial" w:hAnsi="Arial" w:cs="Arial"/>
          <w:iCs/>
          <w:noProof/>
        </w:rPr>
        <w:t>nerve</w:t>
      </w:r>
      <w:r w:rsidR="00EE0CCC">
        <w:rPr>
          <w:rFonts w:ascii="Arial" w:hAnsi="Arial" w:cs="Arial"/>
          <w:iCs/>
          <w:noProof/>
        </w:rPr>
        <w:t xml:space="preserve"> </w:t>
      </w:r>
      <w:r w:rsidRPr="007D322B">
        <w:rPr>
          <w:rFonts w:ascii="Arial" w:hAnsi="Arial" w:cs="Arial"/>
          <w:iCs/>
          <w:noProof/>
        </w:rPr>
        <w:t>fibres</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myelin.</w:t>
      </w:r>
    </w:p>
    <w:p w:rsidR="00DE2AA7" w:rsidRPr="007D322B" w:rsidRDefault="00DE2AA7" w:rsidP="00946995">
      <w:pPr>
        <w:pStyle w:val="NoSpacing"/>
        <w:rPr>
          <w:rFonts w:ascii="Arial" w:eastAsia="Calibri" w:hAnsi="Arial" w:cs="Arial"/>
        </w:rPr>
      </w:pPr>
    </w:p>
    <w:p w:rsidR="00B17C13" w:rsidRPr="007D322B" w:rsidRDefault="00B17C13" w:rsidP="00A34C43">
      <w:pPr>
        <w:pStyle w:val="NoSpacing"/>
        <w:pageBreakBefore/>
        <w:rPr>
          <w:rFonts w:ascii="Arial" w:eastAsia="Calibri" w:hAnsi="Arial" w:cs="Arial"/>
          <w:b/>
          <w:i/>
        </w:rPr>
      </w:pPr>
      <w:r w:rsidRPr="007D322B">
        <w:rPr>
          <w:rFonts w:ascii="Arial" w:eastAsia="Calibri" w:hAnsi="Arial" w:cs="Arial"/>
          <w:b/>
          <w:i/>
        </w:rPr>
        <w:lastRenderedPageBreak/>
        <w:t>Clinical</w:t>
      </w:r>
      <w:r w:rsidR="00EE0CCC">
        <w:rPr>
          <w:rFonts w:ascii="Arial" w:eastAsia="Calibri" w:hAnsi="Arial" w:cs="Arial"/>
          <w:b/>
          <w:i/>
        </w:rPr>
        <w:t xml:space="preserve"> </w:t>
      </w:r>
      <w:r w:rsidRPr="007D322B">
        <w:rPr>
          <w:rFonts w:ascii="Arial" w:eastAsia="Calibri" w:hAnsi="Arial" w:cs="Arial"/>
          <w:b/>
          <w:i/>
        </w:rPr>
        <w:t>trials</w:t>
      </w:r>
    </w:p>
    <w:p w:rsidR="00DE2AA7" w:rsidRPr="007D322B" w:rsidRDefault="00DE2AA7" w:rsidP="00DE2AA7">
      <w:pPr>
        <w:pStyle w:val="BodytextAgency"/>
        <w:keepNext/>
        <w:keepLines/>
        <w:spacing w:after="0" w:line="240" w:lineRule="auto"/>
        <w:rPr>
          <w:rFonts w:ascii="Arial" w:hAnsi="Arial" w:cs="Arial"/>
          <w:sz w:val="24"/>
          <w:szCs w:val="24"/>
          <w:lang w:val="en-AU"/>
        </w:rPr>
      </w:pPr>
      <w:r w:rsidRPr="007D322B">
        <w:rPr>
          <w:rFonts w:ascii="Arial" w:hAnsi="Arial" w:cs="Arial"/>
          <w:sz w:val="24"/>
          <w:szCs w:val="24"/>
          <w:lang w:val="en-AU"/>
        </w:rPr>
        <w:t>The</w:t>
      </w:r>
      <w:r w:rsidR="00EE0CCC">
        <w:rPr>
          <w:rFonts w:ascii="Arial" w:hAnsi="Arial" w:cs="Arial"/>
          <w:sz w:val="24"/>
          <w:szCs w:val="24"/>
          <w:lang w:val="en-AU"/>
        </w:rPr>
        <w:t xml:space="preserve"> </w:t>
      </w:r>
      <w:r w:rsidRPr="007D322B">
        <w:rPr>
          <w:rFonts w:ascii="Arial" w:hAnsi="Arial" w:cs="Arial"/>
          <w:sz w:val="24"/>
          <w:szCs w:val="24"/>
          <w:lang w:val="en-AU"/>
        </w:rPr>
        <w:t>efficacy</w:t>
      </w:r>
      <w:r w:rsidR="00EE0CCC">
        <w:rPr>
          <w:rFonts w:ascii="Arial" w:hAnsi="Arial" w:cs="Arial"/>
          <w:sz w:val="24"/>
          <w:szCs w:val="24"/>
          <w:lang w:val="en-AU"/>
        </w:rPr>
        <w:t xml:space="preserve"> </w:t>
      </w:r>
      <w:r w:rsidRPr="007D322B">
        <w:rPr>
          <w:rFonts w:ascii="Arial" w:hAnsi="Arial" w:cs="Arial"/>
          <w:sz w:val="24"/>
          <w:szCs w:val="24"/>
          <w:lang w:val="en-AU"/>
        </w:rPr>
        <w:t>of</w:t>
      </w:r>
      <w:r w:rsidR="00EE0CCC">
        <w:rPr>
          <w:rFonts w:ascii="Arial" w:hAnsi="Arial" w:cs="Arial"/>
          <w:sz w:val="24"/>
          <w:szCs w:val="24"/>
          <w:lang w:val="en-AU"/>
        </w:rPr>
        <w:t xml:space="preserve"> </w:t>
      </w:r>
      <w:r w:rsidRPr="007D322B">
        <w:rPr>
          <w:rFonts w:ascii="Arial" w:hAnsi="Arial" w:cs="Arial"/>
          <w:sz w:val="24"/>
          <w:szCs w:val="24"/>
          <w:lang w:val="en-AU"/>
        </w:rPr>
        <w:t>dinutuximab</w:t>
      </w:r>
      <w:r w:rsidR="00EE0CCC">
        <w:rPr>
          <w:rFonts w:ascii="Arial" w:hAnsi="Arial" w:cs="Arial"/>
          <w:sz w:val="24"/>
          <w:szCs w:val="24"/>
          <w:lang w:val="en-AU"/>
        </w:rPr>
        <w:t xml:space="preserve"> </w:t>
      </w:r>
      <w:r w:rsidRPr="007D322B">
        <w:rPr>
          <w:rFonts w:ascii="Arial" w:hAnsi="Arial" w:cs="Arial"/>
          <w:sz w:val="24"/>
          <w:szCs w:val="24"/>
          <w:lang w:val="en-AU"/>
        </w:rPr>
        <w:t>beta</w:t>
      </w:r>
      <w:r w:rsidR="00EE0CCC">
        <w:rPr>
          <w:rFonts w:ascii="Arial" w:hAnsi="Arial" w:cs="Arial"/>
          <w:sz w:val="24"/>
          <w:szCs w:val="24"/>
          <w:lang w:val="en-AU"/>
        </w:rPr>
        <w:t xml:space="preserve"> </w:t>
      </w:r>
      <w:r w:rsidRPr="007D322B">
        <w:rPr>
          <w:rFonts w:ascii="Arial" w:hAnsi="Arial" w:cs="Arial"/>
          <w:sz w:val="24"/>
          <w:szCs w:val="24"/>
          <w:lang w:val="en-AU"/>
        </w:rPr>
        <w:t>has</w:t>
      </w:r>
      <w:r w:rsidR="00EE0CCC">
        <w:rPr>
          <w:rFonts w:ascii="Arial" w:hAnsi="Arial" w:cs="Arial"/>
          <w:sz w:val="24"/>
          <w:szCs w:val="24"/>
          <w:lang w:val="en-AU"/>
        </w:rPr>
        <w:t xml:space="preserve"> </w:t>
      </w:r>
      <w:r w:rsidRPr="007D322B">
        <w:rPr>
          <w:rFonts w:ascii="Arial" w:hAnsi="Arial" w:cs="Arial"/>
          <w:sz w:val="24"/>
          <w:szCs w:val="24"/>
          <w:lang w:val="en-AU"/>
        </w:rPr>
        <w:t>been</w:t>
      </w:r>
      <w:r w:rsidR="00EE0CCC">
        <w:rPr>
          <w:rFonts w:ascii="Arial" w:hAnsi="Arial" w:cs="Arial"/>
          <w:sz w:val="24"/>
          <w:szCs w:val="24"/>
          <w:lang w:val="en-AU"/>
        </w:rPr>
        <w:t xml:space="preserve"> </w:t>
      </w:r>
      <w:r w:rsidRPr="007D322B">
        <w:rPr>
          <w:rFonts w:ascii="Arial" w:hAnsi="Arial" w:cs="Arial"/>
          <w:sz w:val="24"/>
          <w:szCs w:val="24"/>
          <w:lang w:val="en-AU"/>
        </w:rPr>
        <w:t>evaluated</w:t>
      </w:r>
      <w:r w:rsidR="00EE0CCC">
        <w:rPr>
          <w:rFonts w:ascii="Arial" w:hAnsi="Arial" w:cs="Arial"/>
          <w:sz w:val="24"/>
          <w:szCs w:val="24"/>
          <w:lang w:val="en-AU"/>
        </w:rPr>
        <w:t xml:space="preserve"> </w:t>
      </w:r>
      <w:r w:rsidRPr="007D322B">
        <w:rPr>
          <w:rFonts w:ascii="Arial" w:hAnsi="Arial" w:cs="Arial"/>
          <w:sz w:val="24"/>
          <w:szCs w:val="24"/>
          <w:lang w:val="en-AU"/>
        </w:rPr>
        <w:t>in</w:t>
      </w:r>
      <w:r w:rsidR="00EE0CCC">
        <w:rPr>
          <w:rFonts w:ascii="Arial" w:hAnsi="Arial" w:cs="Arial"/>
          <w:sz w:val="24"/>
          <w:szCs w:val="24"/>
          <w:lang w:val="en-AU"/>
        </w:rPr>
        <w:t xml:space="preserve"> </w:t>
      </w:r>
      <w:r w:rsidRPr="007D322B">
        <w:rPr>
          <w:rFonts w:ascii="Arial" w:hAnsi="Arial" w:cs="Arial"/>
          <w:sz w:val="24"/>
          <w:szCs w:val="24"/>
          <w:lang w:val="en-AU"/>
        </w:rPr>
        <w:t>a</w:t>
      </w:r>
      <w:r w:rsidR="00EE0CCC">
        <w:rPr>
          <w:rFonts w:ascii="Arial" w:hAnsi="Arial" w:cs="Arial"/>
          <w:sz w:val="24"/>
          <w:szCs w:val="24"/>
          <w:lang w:val="en-AU"/>
        </w:rPr>
        <w:t xml:space="preserve"> </w:t>
      </w:r>
      <w:r w:rsidRPr="007D322B">
        <w:rPr>
          <w:rFonts w:ascii="Arial" w:hAnsi="Arial" w:cs="Arial"/>
          <w:sz w:val="24"/>
          <w:szCs w:val="24"/>
          <w:lang w:val="en-AU"/>
        </w:rPr>
        <w:t>randomised</w:t>
      </w:r>
      <w:r w:rsidR="00EE0CCC">
        <w:rPr>
          <w:rFonts w:ascii="Arial" w:hAnsi="Arial" w:cs="Arial"/>
          <w:sz w:val="24"/>
          <w:szCs w:val="24"/>
          <w:lang w:val="en-AU"/>
        </w:rPr>
        <w:t xml:space="preserve"> </w:t>
      </w:r>
      <w:r w:rsidRPr="007D322B">
        <w:rPr>
          <w:rFonts w:ascii="Arial" w:hAnsi="Arial" w:cs="Arial"/>
          <w:sz w:val="24"/>
          <w:szCs w:val="24"/>
          <w:lang w:val="en-AU"/>
        </w:rPr>
        <w:t>controlled</w:t>
      </w:r>
      <w:r w:rsidR="00EE0CCC">
        <w:rPr>
          <w:rFonts w:ascii="Arial" w:hAnsi="Arial" w:cs="Arial"/>
          <w:sz w:val="24"/>
          <w:szCs w:val="24"/>
          <w:lang w:val="en-AU"/>
        </w:rPr>
        <w:t xml:space="preserve"> </w:t>
      </w:r>
      <w:r w:rsidRPr="007D322B">
        <w:rPr>
          <w:rFonts w:ascii="Arial" w:hAnsi="Arial" w:cs="Arial"/>
          <w:sz w:val="24"/>
          <w:szCs w:val="24"/>
          <w:lang w:val="en-AU"/>
        </w:rPr>
        <w:t>trial</w:t>
      </w:r>
      <w:r w:rsidR="00EE0CCC">
        <w:rPr>
          <w:rFonts w:ascii="Arial" w:hAnsi="Arial" w:cs="Arial"/>
          <w:sz w:val="24"/>
          <w:szCs w:val="24"/>
          <w:lang w:val="en-AU"/>
        </w:rPr>
        <w:t xml:space="preserve"> </w:t>
      </w:r>
      <w:r w:rsidRPr="007D322B">
        <w:rPr>
          <w:rFonts w:ascii="Arial" w:hAnsi="Arial" w:cs="Arial"/>
          <w:sz w:val="24"/>
          <w:szCs w:val="24"/>
          <w:lang w:val="en-AU"/>
        </w:rPr>
        <w:t>comparing</w:t>
      </w:r>
      <w:r w:rsidR="00EE0CCC">
        <w:rPr>
          <w:rFonts w:ascii="Arial" w:hAnsi="Arial" w:cs="Arial"/>
          <w:sz w:val="24"/>
          <w:szCs w:val="24"/>
          <w:lang w:val="en-AU"/>
        </w:rPr>
        <w:t xml:space="preserve"> </w:t>
      </w:r>
      <w:r w:rsidRPr="007D322B">
        <w:rPr>
          <w:rFonts w:ascii="Arial" w:hAnsi="Arial" w:cs="Arial"/>
          <w:sz w:val="24"/>
          <w:szCs w:val="24"/>
          <w:lang w:val="en-AU"/>
        </w:rPr>
        <w:t>the</w:t>
      </w:r>
      <w:r w:rsidR="00EE0CCC">
        <w:rPr>
          <w:rFonts w:ascii="Arial" w:hAnsi="Arial" w:cs="Arial"/>
          <w:sz w:val="24"/>
          <w:szCs w:val="24"/>
          <w:lang w:val="en-AU"/>
        </w:rPr>
        <w:t xml:space="preserve"> </w:t>
      </w:r>
      <w:r w:rsidRPr="007D322B">
        <w:rPr>
          <w:rFonts w:ascii="Arial" w:hAnsi="Arial" w:cs="Arial"/>
          <w:sz w:val="24"/>
          <w:szCs w:val="24"/>
          <w:lang w:val="en-AU"/>
        </w:rPr>
        <w:t>administration</w:t>
      </w:r>
      <w:r w:rsidR="00EE0CCC">
        <w:rPr>
          <w:rFonts w:ascii="Arial" w:hAnsi="Arial" w:cs="Arial"/>
          <w:sz w:val="24"/>
          <w:szCs w:val="24"/>
          <w:lang w:val="en-AU"/>
        </w:rPr>
        <w:t xml:space="preserve"> </w:t>
      </w:r>
      <w:r w:rsidRPr="007D322B">
        <w:rPr>
          <w:rFonts w:ascii="Arial" w:hAnsi="Arial" w:cs="Arial"/>
          <w:sz w:val="24"/>
          <w:szCs w:val="24"/>
          <w:lang w:val="en-AU"/>
        </w:rPr>
        <w:t>of</w:t>
      </w:r>
      <w:r w:rsidR="00EE0CCC">
        <w:rPr>
          <w:rFonts w:ascii="Arial" w:hAnsi="Arial" w:cs="Arial"/>
          <w:sz w:val="24"/>
          <w:szCs w:val="24"/>
          <w:lang w:val="en-AU"/>
        </w:rPr>
        <w:t xml:space="preserve"> </w:t>
      </w:r>
      <w:r w:rsidRPr="007D322B">
        <w:rPr>
          <w:rFonts w:ascii="Arial" w:hAnsi="Arial" w:cs="Arial"/>
          <w:sz w:val="24"/>
          <w:szCs w:val="24"/>
          <w:lang w:val="en-AU"/>
        </w:rPr>
        <w:t>dinutuximab</w:t>
      </w:r>
      <w:r w:rsidR="00EE0CCC">
        <w:rPr>
          <w:rFonts w:ascii="Arial" w:hAnsi="Arial" w:cs="Arial"/>
          <w:sz w:val="24"/>
          <w:szCs w:val="24"/>
          <w:lang w:val="en-AU"/>
        </w:rPr>
        <w:t xml:space="preserve"> </w:t>
      </w:r>
      <w:r w:rsidRPr="007D322B">
        <w:rPr>
          <w:rFonts w:ascii="Arial" w:hAnsi="Arial" w:cs="Arial"/>
          <w:sz w:val="24"/>
          <w:szCs w:val="24"/>
          <w:lang w:val="en-AU"/>
        </w:rPr>
        <w:t>beta</w:t>
      </w:r>
      <w:r w:rsidR="00EE0CCC">
        <w:rPr>
          <w:rFonts w:ascii="Arial" w:hAnsi="Arial" w:cs="Arial"/>
          <w:sz w:val="24"/>
          <w:szCs w:val="24"/>
          <w:lang w:val="en-AU"/>
        </w:rPr>
        <w:t xml:space="preserve"> </w:t>
      </w:r>
      <w:r w:rsidRPr="007D322B">
        <w:rPr>
          <w:rFonts w:ascii="Arial" w:hAnsi="Arial" w:cs="Arial"/>
          <w:sz w:val="24"/>
          <w:szCs w:val="24"/>
          <w:lang w:val="en-AU"/>
        </w:rPr>
        <w:t>with</w:t>
      </w:r>
      <w:r w:rsidR="00EE0CCC">
        <w:rPr>
          <w:rFonts w:ascii="Arial" w:hAnsi="Arial" w:cs="Arial"/>
          <w:sz w:val="24"/>
          <w:szCs w:val="24"/>
          <w:lang w:val="en-AU"/>
        </w:rPr>
        <w:t xml:space="preserve"> </w:t>
      </w:r>
      <w:r w:rsidRPr="007D322B">
        <w:rPr>
          <w:rFonts w:ascii="Arial" w:hAnsi="Arial" w:cs="Arial"/>
          <w:sz w:val="24"/>
          <w:szCs w:val="24"/>
          <w:lang w:val="en-AU"/>
        </w:rPr>
        <w:t>or</w:t>
      </w:r>
      <w:r w:rsidR="00EE0CCC">
        <w:rPr>
          <w:rFonts w:ascii="Arial" w:hAnsi="Arial" w:cs="Arial"/>
          <w:sz w:val="24"/>
          <w:szCs w:val="24"/>
          <w:lang w:val="en-AU"/>
        </w:rPr>
        <w:t xml:space="preserve"> </w:t>
      </w:r>
      <w:r w:rsidRPr="007D322B">
        <w:rPr>
          <w:rFonts w:ascii="Arial" w:hAnsi="Arial" w:cs="Arial"/>
          <w:sz w:val="24"/>
          <w:szCs w:val="24"/>
          <w:lang w:val="en-AU"/>
        </w:rPr>
        <w:t>without</w:t>
      </w:r>
      <w:r w:rsidR="00EE0CCC">
        <w:rPr>
          <w:rFonts w:ascii="Arial" w:hAnsi="Arial" w:cs="Arial"/>
          <w:sz w:val="24"/>
          <w:szCs w:val="24"/>
          <w:lang w:val="en-AU"/>
        </w:rPr>
        <w:t xml:space="preserve"> </w:t>
      </w:r>
      <w:r w:rsidRPr="007D322B">
        <w:rPr>
          <w:rFonts w:ascii="Arial" w:hAnsi="Arial" w:cs="Arial"/>
          <w:sz w:val="24"/>
          <w:szCs w:val="24"/>
          <w:lang w:val="en-AU"/>
        </w:rPr>
        <w:t>IL</w:t>
      </w:r>
      <w:r w:rsidRPr="007D322B">
        <w:rPr>
          <w:rFonts w:ascii="Arial" w:hAnsi="Arial" w:cs="Arial"/>
          <w:sz w:val="24"/>
          <w:szCs w:val="24"/>
          <w:lang w:val="en-AU"/>
        </w:rPr>
        <w:noBreakHyphen/>
        <w:t>2</w:t>
      </w:r>
      <w:r w:rsidR="00EE0CCC">
        <w:rPr>
          <w:rFonts w:ascii="Arial" w:hAnsi="Arial" w:cs="Arial"/>
          <w:sz w:val="24"/>
          <w:szCs w:val="24"/>
          <w:lang w:val="en-AU"/>
        </w:rPr>
        <w:t xml:space="preserve"> </w:t>
      </w:r>
      <w:r w:rsidRPr="007D322B">
        <w:rPr>
          <w:rFonts w:ascii="Arial" w:hAnsi="Arial" w:cs="Arial"/>
          <w:sz w:val="24"/>
          <w:szCs w:val="24"/>
          <w:lang w:val="en-AU"/>
        </w:rPr>
        <w:t>in</w:t>
      </w:r>
      <w:r w:rsidR="00EE0CCC">
        <w:rPr>
          <w:rFonts w:ascii="Arial" w:hAnsi="Arial" w:cs="Arial"/>
          <w:sz w:val="24"/>
          <w:szCs w:val="24"/>
          <w:lang w:val="en-AU"/>
        </w:rPr>
        <w:t xml:space="preserve"> </w:t>
      </w:r>
      <w:r w:rsidRPr="007D322B">
        <w:rPr>
          <w:rFonts w:ascii="Arial" w:hAnsi="Arial" w:cs="Arial"/>
          <w:sz w:val="24"/>
          <w:szCs w:val="24"/>
          <w:lang w:val="en-AU"/>
        </w:rPr>
        <w:t>the</w:t>
      </w:r>
      <w:r w:rsidR="00EE0CCC">
        <w:rPr>
          <w:rFonts w:ascii="Arial" w:hAnsi="Arial" w:cs="Arial"/>
          <w:sz w:val="24"/>
          <w:szCs w:val="24"/>
          <w:lang w:val="en-AU"/>
        </w:rPr>
        <w:t xml:space="preserve"> </w:t>
      </w:r>
      <w:r w:rsidRPr="007D322B">
        <w:rPr>
          <w:rFonts w:ascii="Arial" w:hAnsi="Arial" w:cs="Arial"/>
          <w:sz w:val="24"/>
          <w:szCs w:val="24"/>
          <w:lang w:val="en-AU"/>
        </w:rPr>
        <w:t>first-line</w:t>
      </w:r>
      <w:r w:rsidR="00EE0CCC">
        <w:rPr>
          <w:rFonts w:ascii="Arial" w:hAnsi="Arial" w:cs="Arial"/>
          <w:sz w:val="24"/>
          <w:szCs w:val="24"/>
          <w:lang w:val="en-AU"/>
        </w:rPr>
        <w:t xml:space="preserve"> </w:t>
      </w:r>
      <w:r w:rsidRPr="007D322B">
        <w:rPr>
          <w:rFonts w:ascii="Arial" w:hAnsi="Arial" w:cs="Arial"/>
          <w:sz w:val="24"/>
          <w:szCs w:val="24"/>
          <w:lang w:val="en-AU"/>
        </w:rPr>
        <w:t>treatment</w:t>
      </w:r>
      <w:r w:rsidR="00EE0CCC">
        <w:rPr>
          <w:rFonts w:ascii="Arial" w:hAnsi="Arial" w:cs="Arial"/>
          <w:sz w:val="24"/>
          <w:szCs w:val="24"/>
          <w:lang w:val="en-AU"/>
        </w:rPr>
        <w:t xml:space="preserve"> </w:t>
      </w:r>
      <w:r w:rsidRPr="007D322B">
        <w:rPr>
          <w:rFonts w:ascii="Arial" w:hAnsi="Arial" w:cs="Arial"/>
          <w:sz w:val="24"/>
          <w:szCs w:val="24"/>
          <w:lang w:val="en-AU"/>
        </w:rPr>
        <w:t>of</w:t>
      </w:r>
      <w:r w:rsidR="00EE0CCC">
        <w:rPr>
          <w:rFonts w:ascii="Arial" w:hAnsi="Arial" w:cs="Arial"/>
          <w:sz w:val="24"/>
          <w:szCs w:val="24"/>
          <w:lang w:val="en-AU"/>
        </w:rPr>
        <w:t xml:space="preserve"> </w:t>
      </w:r>
      <w:r w:rsidRPr="007D322B">
        <w:rPr>
          <w:rFonts w:ascii="Arial" w:hAnsi="Arial" w:cs="Arial"/>
          <w:sz w:val="24"/>
          <w:szCs w:val="24"/>
          <w:lang w:val="en-AU"/>
        </w:rPr>
        <w:t>patients</w:t>
      </w:r>
      <w:r w:rsidR="00EE0CCC">
        <w:rPr>
          <w:rFonts w:ascii="Arial" w:hAnsi="Arial" w:cs="Arial"/>
          <w:sz w:val="24"/>
          <w:szCs w:val="24"/>
          <w:lang w:val="en-AU"/>
        </w:rPr>
        <w:t xml:space="preserve"> </w:t>
      </w:r>
      <w:r w:rsidRPr="007D322B">
        <w:rPr>
          <w:rFonts w:ascii="Arial" w:hAnsi="Arial" w:cs="Arial"/>
          <w:sz w:val="24"/>
          <w:szCs w:val="24"/>
          <w:lang w:val="en-AU"/>
        </w:rPr>
        <w:t>with</w:t>
      </w:r>
      <w:r w:rsidR="00EE0CCC">
        <w:rPr>
          <w:rFonts w:ascii="Arial" w:hAnsi="Arial" w:cs="Arial"/>
          <w:sz w:val="24"/>
          <w:szCs w:val="24"/>
          <w:lang w:val="en-AU"/>
        </w:rPr>
        <w:t xml:space="preserve"> </w:t>
      </w:r>
      <w:r w:rsidRPr="007D322B">
        <w:rPr>
          <w:rFonts w:ascii="Arial" w:hAnsi="Arial" w:cs="Arial"/>
          <w:sz w:val="24"/>
          <w:szCs w:val="24"/>
          <w:lang w:val="en-AU"/>
        </w:rPr>
        <w:t>high-risk</w:t>
      </w:r>
      <w:r w:rsidR="00EE0CCC">
        <w:rPr>
          <w:rFonts w:ascii="Arial" w:hAnsi="Arial" w:cs="Arial"/>
          <w:sz w:val="24"/>
          <w:szCs w:val="24"/>
          <w:lang w:val="en-AU"/>
        </w:rPr>
        <w:t xml:space="preserve"> </w:t>
      </w:r>
      <w:r w:rsidRPr="007D322B">
        <w:rPr>
          <w:rFonts w:ascii="Arial" w:hAnsi="Arial" w:cs="Arial"/>
          <w:sz w:val="24"/>
          <w:szCs w:val="24"/>
          <w:lang w:val="en-AU"/>
        </w:rPr>
        <w:t>neuroblastoma</w:t>
      </w:r>
      <w:r w:rsidR="00EE0CCC">
        <w:rPr>
          <w:rFonts w:ascii="Arial" w:hAnsi="Arial" w:cs="Arial"/>
          <w:sz w:val="24"/>
          <w:szCs w:val="24"/>
          <w:lang w:val="en-AU"/>
        </w:rPr>
        <w:t xml:space="preserve"> </w:t>
      </w:r>
      <w:r w:rsidRPr="007D322B">
        <w:rPr>
          <w:rFonts w:ascii="Arial" w:hAnsi="Arial" w:cs="Arial"/>
          <w:sz w:val="24"/>
          <w:szCs w:val="24"/>
          <w:lang w:val="en-AU"/>
        </w:rPr>
        <w:t>and</w:t>
      </w:r>
      <w:r w:rsidR="00EE0CCC">
        <w:rPr>
          <w:rFonts w:ascii="Arial" w:hAnsi="Arial" w:cs="Arial"/>
          <w:sz w:val="24"/>
          <w:szCs w:val="24"/>
          <w:lang w:val="en-AU"/>
        </w:rPr>
        <w:t xml:space="preserve"> </w:t>
      </w:r>
      <w:r w:rsidRPr="007D322B">
        <w:rPr>
          <w:rFonts w:ascii="Arial" w:hAnsi="Arial" w:cs="Arial"/>
          <w:sz w:val="24"/>
          <w:szCs w:val="24"/>
          <w:lang w:val="en-AU"/>
        </w:rPr>
        <w:t>in</w:t>
      </w:r>
      <w:r w:rsidR="00EE0CCC">
        <w:rPr>
          <w:rFonts w:ascii="Arial" w:hAnsi="Arial" w:cs="Arial"/>
          <w:sz w:val="24"/>
          <w:szCs w:val="24"/>
          <w:lang w:val="en-AU"/>
        </w:rPr>
        <w:t xml:space="preserve"> </w:t>
      </w:r>
      <w:r w:rsidRPr="007D322B">
        <w:rPr>
          <w:rFonts w:ascii="Arial" w:hAnsi="Arial" w:cs="Arial"/>
          <w:sz w:val="24"/>
          <w:szCs w:val="24"/>
          <w:lang w:val="en-AU"/>
        </w:rPr>
        <w:t>two</w:t>
      </w:r>
      <w:r w:rsidR="00EE0CCC">
        <w:rPr>
          <w:rFonts w:ascii="Arial" w:hAnsi="Arial" w:cs="Arial"/>
          <w:sz w:val="24"/>
          <w:szCs w:val="24"/>
          <w:lang w:val="en-AU"/>
        </w:rPr>
        <w:t xml:space="preserve"> </w:t>
      </w:r>
      <w:r w:rsidRPr="007D322B">
        <w:rPr>
          <w:rFonts w:ascii="Arial" w:hAnsi="Arial" w:cs="Arial"/>
          <w:sz w:val="24"/>
          <w:szCs w:val="24"/>
          <w:lang w:val="en-AU"/>
        </w:rPr>
        <w:t>single-arm</w:t>
      </w:r>
      <w:r w:rsidR="00EE0CCC">
        <w:rPr>
          <w:rFonts w:ascii="Arial" w:hAnsi="Arial" w:cs="Arial"/>
          <w:sz w:val="24"/>
          <w:szCs w:val="24"/>
          <w:lang w:val="en-AU"/>
        </w:rPr>
        <w:t xml:space="preserve"> </w:t>
      </w:r>
      <w:r w:rsidRPr="007D322B">
        <w:rPr>
          <w:rFonts w:ascii="Arial" w:hAnsi="Arial" w:cs="Arial"/>
          <w:sz w:val="24"/>
          <w:szCs w:val="24"/>
          <w:lang w:val="en-AU"/>
        </w:rPr>
        <w:t>studies</w:t>
      </w:r>
      <w:r w:rsidR="00EE0CCC">
        <w:rPr>
          <w:rFonts w:ascii="Arial" w:hAnsi="Arial" w:cs="Arial"/>
          <w:sz w:val="24"/>
          <w:szCs w:val="24"/>
          <w:lang w:val="en-AU"/>
        </w:rPr>
        <w:t xml:space="preserve"> </w:t>
      </w:r>
      <w:r w:rsidRPr="007D322B">
        <w:rPr>
          <w:rFonts w:ascii="Arial" w:hAnsi="Arial" w:cs="Arial"/>
          <w:sz w:val="24"/>
          <w:szCs w:val="24"/>
          <w:lang w:val="en-AU"/>
        </w:rPr>
        <w:t>in</w:t>
      </w:r>
      <w:r w:rsidR="00EE0CCC">
        <w:rPr>
          <w:rFonts w:ascii="Arial" w:hAnsi="Arial" w:cs="Arial"/>
          <w:sz w:val="24"/>
          <w:szCs w:val="24"/>
          <w:lang w:val="en-AU"/>
        </w:rPr>
        <w:t xml:space="preserve"> </w:t>
      </w:r>
      <w:r w:rsidRPr="007D322B">
        <w:rPr>
          <w:rFonts w:ascii="Arial" w:hAnsi="Arial" w:cs="Arial"/>
          <w:sz w:val="24"/>
          <w:szCs w:val="24"/>
          <w:lang w:val="en-AU"/>
        </w:rPr>
        <w:t>the</w:t>
      </w:r>
      <w:r w:rsidR="00EE0CCC">
        <w:rPr>
          <w:rFonts w:ascii="Arial" w:hAnsi="Arial" w:cs="Arial"/>
          <w:sz w:val="24"/>
          <w:szCs w:val="24"/>
          <w:lang w:val="en-AU"/>
        </w:rPr>
        <w:t xml:space="preserve"> </w:t>
      </w:r>
      <w:r w:rsidRPr="007D322B">
        <w:rPr>
          <w:rFonts w:ascii="Arial" w:hAnsi="Arial" w:cs="Arial"/>
          <w:sz w:val="24"/>
          <w:szCs w:val="24"/>
          <w:lang w:val="en-AU"/>
        </w:rPr>
        <w:t>relapsed/refractory</w:t>
      </w:r>
      <w:r w:rsidR="00EE0CCC">
        <w:rPr>
          <w:rFonts w:ascii="Arial" w:hAnsi="Arial" w:cs="Arial"/>
          <w:sz w:val="24"/>
          <w:szCs w:val="24"/>
          <w:lang w:val="en-AU"/>
        </w:rPr>
        <w:t xml:space="preserve"> </w:t>
      </w:r>
      <w:r w:rsidRPr="007D322B">
        <w:rPr>
          <w:rFonts w:ascii="Arial" w:hAnsi="Arial" w:cs="Arial"/>
          <w:sz w:val="24"/>
          <w:szCs w:val="24"/>
          <w:lang w:val="en-AU"/>
        </w:rPr>
        <w:t>setting.</w:t>
      </w:r>
    </w:p>
    <w:p w:rsidR="00DE2AA7" w:rsidRPr="007D322B" w:rsidRDefault="00DE2AA7" w:rsidP="00DE2AA7">
      <w:pPr>
        <w:keepNext/>
        <w:keepLines/>
        <w:rPr>
          <w:rFonts w:ascii="Arial" w:hAnsi="Arial" w:cs="Arial"/>
          <w:i/>
          <w:noProof/>
        </w:rPr>
      </w:pPr>
      <w:r w:rsidRPr="007D322B">
        <w:rPr>
          <w:rFonts w:ascii="Arial" w:hAnsi="Arial" w:cs="Arial"/>
          <w:i/>
          <w:noProof/>
        </w:rPr>
        <w:t>First-line</w:t>
      </w:r>
      <w:r w:rsidR="00EE0CCC">
        <w:rPr>
          <w:rFonts w:ascii="Arial" w:hAnsi="Arial" w:cs="Arial"/>
          <w:i/>
          <w:noProof/>
        </w:rPr>
        <w:t xml:space="preserve"> </w:t>
      </w:r>
      <w:r w:rsidRPr="007D322B">
        <w:rPr>
          <w:rFonts w:ascii="Arial" w:hAnsi="Arial" w:cs="Arial"/>
          <w:i/>
          <w:noProof/>
        </w:rPr>
        <w:t>patients</w:t>
      </w:r>
      <w:r w:rsidR="00EE0CCC">
        <w:rPr>
          <w:rFonts w:ascii="Arial" w:hAnsi="Arial" w:cs="Arial"/>
          <w:i/>
          <w:noProof/>
        </w:rPr>
        <w:t xml:space="preserve"> </w:t>
      </w:r>
      <w:r w:rsidRPr="007D322B">
        <w:rPr>
          <w:rFonts w:ascii="Arial" w:hAnsi="Arial" w:cs="Arial"/>
          <w:i/>
          <w:noProof/>
        </w:rPr>
        <w:t>who</w:t>
      </w:r>
      <w:r w:rsidR="00EE0CCC">
        <w:rPr>
          <w:rFonts w:ascii="Arial" w:hAnsi="Arial" w:cs="Arial"/>
          <w:i/>
          <w:noProof/>
        </w:rPr>
        <w:t xml:space="preserve"> </w:t>
      </w:r>
      <w:r w:rsidRPr="007D322B">
        <w:rPr>
          <w:rFonts w:ascii="Arial" w:hAnsi="Arial" w:cs="Arial"/>
          <w:i/>
          <w:noProof/>
        </w:rPr>
        <w:t>received</w:t>
      </w:r>
      <w:r w:rsidR="00EE0CCC">
        <w:rPr>
          <w:rFonts w:ascii="Arial" w:hAnsi="Arial" w:cs="Arial"/>
          <w:i/>
          <w:noProof/>
        </w:rPr>
        <w:t xml:space="preserve"> </w:t>
      </w:r>
      <w:r w:rsidRPr="007D322B">
        <w:rPr>
          <w:rFonts w:ascii="Arial" w:hAnsi="Arial" w:cs="Arial"/>
          <w:i/>
          <w:noProof/>
        </w:rPr>
        <w:t>autologous</w:t>
      </w:r>
      <w:r w:rsidR="00EE0CCC">
        <w:rPr>
          <w:rFonts w:ascii="Arial" w:hAnsi="Arial" w:cs="Arial"/>
          <w:i/>
          <w:noProof/>
        </w:rPr>
        <w:t xml:space="preserve"> </w:t>
      </w:r>
      <w:r w:rsidRPr="007D322B">
        <w:rPr>
          <w:rFonts w:ascii="Arial" w:hAnsi="Arial" w:cs="Arial"/>
          <w:i/>
          <w:noProof/>
        </w:rPr>
        <w:t>stem</w:t>
      </w:r>
      <w:r w:rsidR="00EE0CCC">
        <w:rPr>
          <w:rFonts w:ascii="Arial" w:hAnsi="Arial" w:cs="Arial"/>
          <w:i/>
          <w:noProof/>
        </w:rPr>
        <w:t xml:space="preserve"> </w:t>
      </w:r>
      <w:r w:rsidRPr="007D322B">
        <w:rPr>
          <w:rFonts w:ascii="Arial" w:hAnsi="Arial" w:cs="Arial"/>
          <w:i/>
          <w:noProof/>
        </w:rPr>
        <w:t>cell</w:t>
      </w:r>
      <w:r w:rsidR="00EE0CCC">
        <w:rPr>
          <w:rFonts w:ascii="Arial" w:hAnsi="Arial" w:cs="Arial"/>
          <w:i/>
          <w:noProof/>
        </w:rPr>
        <w:t xml:space="preserve"> </w:t>
      </w:r>
      <w:r w:rsidRPr="007D322B">
        <w:rPr>
          <w:rFonts w:ascii="Arial" w:hAnsi="Arial" w:cs="Arial"/>
          <w:i/>
          <w:noProof/>
        </w:rPr>
        <w:t>transplantation</w:t>
      </w:r>
    </w:p>
    <w:p w:rsidR="00DE2AA7" w:rsidRPr="007D322B" w:rsidRDefault="00DE2AA7" w:rsidP="00DE2AA7">
      <w:pPr>
        <w:keepNext/>
        <w:keepLines/>
        <w:rPr>
          <w:rFonts w:ascii="Arial" w:hAnsi="Arial" w:cs="Arial"/>
          <w:iCs/>
          <w:noProof/>
        </w:rPr>
      </w:pP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study</w:t>
      </w:r>
      <w:r w:rsidR="00EE0CCC">
        <w:rPr>
          <w:rFonts w:ascii="Arial" w:hAnsi="Arial" w:cs="Arial"/>
          <w:iCs/>
          <w:noProof/>
        </w:rPr>
        <w:t xml:space="preserve"> </w:t>
      </w:r>
      <w:r w:rsidRPr="007D322B">
        <w:rPr>
          <w:rFonts w:ascii="Arial" w:hAnsi="Arial" w:cs="Arial"/>
          <w:iCs/>
          <w:noProof/>
        </w:rPr>
        <w:t>3,</w:t>
      </w:r>
      <w:r w:rsidR="00EE0CCC">
        <w:rPr>
          <w:rFonts w:ascii="Arial" w:hAnsi="Arial" w:cs="Arial"/>
          <w:iCs/>
          <w:noProof/>
        </w:rPr>
        <w:t xml:space="preserve"> </w:t>
      </w:r>
      <w:r w:rsidRPr="007D322B">
        <w:rPr>
          <w:rFonts w:ascii="Arial" w:hAnsi="Arial" w:cs="Arial"/>
          <w:iCs/>
          <w:noProof/>
        </w:rPr>
        <w:t>patients</w:t>
      </w:r>
      <w:r w:rsidR="00EE0CCC">
        <w:rPr>
          <w:rFonts w:ascii="Arial" w:hAnsi="Arial" w:cs="Arial"/>
          <w:iCs/>
          <w:noProof/>
        </w:rPr>
        <w:t xml:space="preserve"> </w:t>
      </w:r>
      <w:r w:rsidRPr="007D322B">
        <w:rPr>
          <w:rFonts w:ascii="Arial" w:hAnsi="Arial" w:cs="Arial"/>
          <w:iCs/>
          <w:noProof/>
        </w:rPr>
        <w:t>with</w:t>
      </w:r>
      <w:r w:rsidR="00EE0CCC">
        <w:rPr>
          <w:rFonts w:ascii="Arial" w:hAnsi="Arial" w:cs="Arial"/>
          <w:iCs/>
          <w:noProof/>
        </w:rPr>
        <w:t xml:space="preserve"> </w:t>
      </w:r>
      <w:r w:rsidRPr="007D322B">
        <w:rPr>
          <w:rFonts w:ascii="Arial" w:hAnsi="Arial" w:cs="Arial"/>
          <w:iCs/>
          <w:noProof/>
        </w:rPr>
        <w:t>high-risk</w:t>
      </w:r>
      <w:r w:rsidR="00EE0CCC">
        <w:rPr>
          <w:rFonts w:ascii="Arial" w:hAnsi="Arial" w:cs="Arial"/>
          <w:iCs/>
          <w:noProof/>
        </w:rPr>
        <w:t xml:space="preserve"> </w:t>
      </w:r>
      <w:r w:rsidRPr="007D322B">
        <w:rPr>
          <w:rFonts w:ascii="Arial" w:hAnsi="Arial" w:cs="Arial"/>
          <w:iCs/>
          <w:noProof/>
        </w:rPr>
        <w:t>neuroblastoma</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enrolled</w:t>
      </w:r>
      <w:r w:rsidR="00EE0CCC">
        <w:rPr>
          <w:rFonts w:ascii="Arial" w:hAnsi="Arial" w:cs="Arial"/>
          <w:iCs/>
          <w:noProof/>
        </w:rPr>
        <w:t xml:space="preserve"> </w:t>
      </w:r>
      <w:r w:rsidRPr="007D322B">
        <w:rPr>
          <w:rFonts w:ascii="Arial" w:hAnsi="Arial" w:cs="Arial"/>
          <w:iCs/>
          <w:noProof/>
        </w:rPr>
        <w:t>after</w:t>
      </w:r>
      <w:r w:rsidR="00EE0CCC">
        <w:rPr>
          <w:rFonts w:ascii="Arial" w:hAnsi="Arial" w:cs="Arial"/>
          <w:iCs/>
          <w:noProof/>
        </w:rPr>
        <w:t xml:space="preserve"> </w:t>
      </w:r>
      <w:r w:rsidRPr="007D322B">
        <w:rPr>
          <w:rFonts w:ascii="Arial" w:hAnsi="Arial" w:cs="Arial"/>
          <w:iCs/>
          <w:noProof/>
        </w:rPr>
        <w:t>they</w:t>
      </w:r>
      <w:r w:rsidR="00EE0CCC">
        <w:rPr>
          <w:rFonts w:ascii="Arial" w:hAnsi="Arial" w:cs="Arial"/>
          <w:iCs/>
          <w:noProof/>
        </w:rPr>
        <w:t xml:space="preserve"> </w:t>
      </w:r>
      <w:r w:rsidRPr="007D322B">
        <w:rPr>
          <w:rFonts w:ascii="Arial" w:hAnsi="Arial" w:cs="Arial"/>
          <w:iCs/>
          <w:noProof/>
        </w:rPr>
        <w:t>had</w:t>
      </w:r>
      <w:r w:rsidR="00EE0CCC">
        <w:rPr>
          <w:rFonts w:ascii="Arial" w:hAnsi="Arial" w:cs="Arial"/>
          <w:iCs/>
          <w:noProof/>
        </w:rPr>
        <w:t xml:space="preserve"> </w:t>
      </w:r>
      <w:r w:rsidRPr="007D322B">
        <w:rPr>
          <w:rFonts w:ascii="Arial" w:hAnsi="Arial" w:cs="Arial"/>
          <w:iCs/>
          <w:noProof/>
        </w:rPr>
        <w:t>received</w:t>
      </w:r>
      <w:r w:rsidR="00EE0CCC">
        <w:rPr>
          <w:rFonts w:ascii="Arial" w:hAnsi="Arial" w:cs="Arial"/>
          <w:iCs/>
          <w:noProof/>
        </w:rPr>
        <w:t xml:space="preserve"> </w:t>
      </w:r>
      <w:r w:rsidRPr="007D322B">
        <w:rPr>
          <w:rFonts w:ascii="Arial" w:hAnsi="Arial" w:cs="Arial"/>
          <w:iCs/>
          <w:noProof/>
        </w:rPr>
        <w:t>induction</w:t>
      </w:r>
      <w:r w:rsidR="00EE0CCC">
        <w:rPr>
          <w:rFonts w:ascii="Arial" w:hAnsi="Arial" w:cs="Arial"/>
          <w:iCs/>
          <w:noProof/>
        </w:rPr>
        <w:t xml:space="preserve"> </w:t>
      </w:r>
      <w:r w:rsidRPr="007D322B">
        <w:rPr>
          <w:rFonts w:ascii="Arial" w:hAnsi="Arial" w:cs="Arial"/>
          <w:iCs/>
          <w:noProof/>
        </w:rPr>
        <w:t>chemotherapy</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achieved</w:t>
      </w:r>
      <w:r w:rsidR="00EE0CCC">
        <w:rPr>
          <w:rFonts w:ascii="Arial" w:hAnsi="Arial" w:cs="Arial"/>
          <w:iCs/>
          <w:noProof/>
        </w:rPr>
        <w:t xml:space="preserve"> </w:t>
      </w:r>
      <w:r w:rsidRPr="007D322B">
        <w:rPr>
          <w:rFonts w:ascii="Arial" w:hAnsi="Arial" w:cs="Arial"/>
          <w:iCs/>
          <w:noProof/>
        </w:rPr>
        <w:t>at</w:t>
      </w:r>
      <w:r w:rsidR="00EE0CCC">
        <w:rPr>
          <w:rFonts w:ascii="Arial" w:hAnsi="Arial" w:cs="Arial"/>
          <w:iCs/>
          <w:noProof/>
        </w:rPr>
        <w:t xml:space="preserve"> </w:t>
      </w:r>
      <w:r w:rsidRPr="007D322B">
        <w:rPr>
          <w:rFonts w:ascii="Arial" w:hAnsi="Arial" w:cs="Arial"/>
          <w:iCs/>
          <w:noProof/>
        </w:rPr>
        <w:t>least</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partial</w:t>
      </w:r>
      <w:r w:rsidR="00EE0CCC">
        <w:rPr>
          <w:rFonts w:ascii="Arial" w:hAnsi="Arial" w:cs="Arial"/>
          <w:iCs/>
          <w:noProof/>
        </w:rPr>
        <w:t xml:space="preserve"> </w:t>
      </w:r>
      <w:r w:rsidRPr="007D322B">
        <w:rPr>
          <w:rFonts w:ascii="Arial" w:hAnsi="Arial" w:cs="Arial"/>
          <w:iCs/>
          <w:noProof/>
        </w:rPr>
        <w:t>response,</w:t>
      </w:r>
      <w:r w:rsidR="00EE0CCC">
        <w:rPr>
          <w:rFonts w:ascii="Arial" w:hAnsi="Arial" w:cs="Arial"/>
          <w:iCs/>
          <w:noProof/>
        </w:rPr>
        <w:t xml:space="preserve"> </w:t>
      </w:r>
      <w:r w:rsidRPr="007D322B">
        <w:rPr>
          <w:rFonts w:ascii="Arial" w:hAnsi="Arial" w:cs="Arial"/>
          <w:iCs/>
          <w:noProof/>
        </w:rPr>
        <w:t>then</w:t>
      </w:r>
      <w:r w:rsidR="00EE0CCC">
        <w:rPr>
          <w:rFonts w:ascii="Arial" w:hAnsi="Arial" w:cs="Arial"/>
          <w:iCs/>
          <w:noProof/>
        </w:rPr>
        <w:t xml:space="preserve"> </w:t>
      </w:r>
      <w:r w:rsidRPr="007D322B">
        <w:rPr>
          <w:rFonts w:ascii="Arial" w:hAnsi="Arial" w:cs="Arial"/>
          <w:iCs/>
          <w:noProof/>
        </w:rPr>
        <w:t>myeloablative</w:t>
      </w:r>
      <w:r w:rsidR="00EE0CCC">
        <w:rPr>
          <w:rFonts w:ascii="Arial" w:hAnsi="Arial" w:cs="Arial"/>
          <w:iCs/>
          <w:noProof/>
        </w:rPr>
        <w:t xml:space="preserve"> </w:t>
      </w:r>
      <w:r w:rsidRPr="007D322B">
        <w:rPr>
          <w:rFonts w:ascii="Arial" w:hAnsi="Arial" w:cs="Arial"/>
          <w:iCs/>
          <w:noProof/>
        </w:rPr>
        <w:t>therapy</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stem</w:t>
      </w:r>
      <w:r w:rsidR="00EE0CCC">
        <w:rPr>
          <w:rFonts w:ascii="Arial" w:hAnsi="Arial" w:cs="Arial"/>
          <w:iCs/>
          <w:noProof/>
        </w:rPr>
        <w:t xml:space="preserve"> </w:t>
      </w:r>
      <w:r w:rsidRPr="007D322B">
        <w:rPr>
          <w:rFonts w:ascii="Arial" w:hAnsi="Arial" w:cs="Arial"/>
          <w:iCs/>
          <w:noProof/>
        </w:rPr>
        <w:t>cell</w:t>
      </w:r>
      <w:r w:rsidR="00EE0CCC">
        <w:rPr>
          <w:rFonts w:ascii="Arial" w:hAnsi="Arial" w:cs="Arial"/>
          <w:iCs/>
          <w:noProof/>
        </w:rPr>
        <w:t xml:space="preserve"> </w:t>
      </w:r>
      <w:r w:rsidRPr="007D322B">
        <w:rPr>
          <w:rFonts w:ascii="Arial" w:hAnsi="Arial" w:cs="Arial"/>
          <w:iCs/>
          <w:noProof/>
        </w:rPr>
        <w:t>transplantation.</w:t>
      </w:r>
      <w:r w:rsidR="00EE0CCC">
        <w:rPr>
          <w:rFonts w:ascii="Arial" w:hAnsi="Arial" w:cs="Arial"/>
          <w:iCs/>
          <w:noProof/>
        </w:rPr>
        <w:t xml:space="preserve"> </w:t>
      </w:r>
      <w:r w:rsidRPr="007D322B">
        <w:rPr>
          <w:rFonts w:ascii="Arial" w:hAnsi="Arial" w:cs="Arial"/>
          <w:iCs/>
          <w:noProof/>
        </w:rPr>
        <w:t>Patients</w:t>
      </w:r>
      <w:r w:rsidR="00EE0CCC">
        <w:rPr>
          <w:rFonts w:ascii="Arial" w:hAnsi="Arial" w:cs="Arial"/>
          <w:iCs/>
          <w:noProof/>
        </w:rPr>
        <w:t xml:space="preserve"> </w:t>
      </w:r>
      <w:r w:rsidRPr="007D322B">
        <w:rPr>
          <w:rFonts w:ascii="Arial" w:hAnsi="Arial" w:cs="Arial"/>
          <w:iCs/>
          <w:noProof/>
        </w:rPr>
        <w:t>with</w:t>
      </w:r>
      <w:r w:rsidR="00EE0CCC">
        <w:rPr>
          <w:rFonts w:ascii="Arial" w:hAnsi="Arial" w:cs="Arial"/>
          <w:iCs/>
          <w:noProof/>
        </w:rPr>
        <w:t xml:space="preserve"> </w:t>
      </w:r>
      <w:r w:rsidRPr="007D322B">
        <w:rPr>
          <w:rFonts w:ascii="Arial" w:hAnsi="Arial" w:cs="Arial"/>
          <w:iCs/>
          <w:noProof/>
        </w:rPr>
        <w:t>progressive</w:t>
      </w:r>
      <w:r w:rsidR="00EE0CCC">
        <w:rPr>
          <w:rFonts w:ascii="Arial" w:hAnsi="Arial" w:cs="Arial"/>
          <w:iCs/>
          <w:noProof/>
        </w:rPr>
        <w:t xml:space="preserve"> </w:t>
      </w:r>
      <w:r w:rsidRPr="007D322B">
        <w:rPr>
          <w:rFonts w:ascii="Arial" w:hAnsi="Arial" w:cs="Arial"/>
          <w:iCs/>
          <w:noProof/>
        </w:rPr>
        <w:t>disease</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excluded.</w:t>
      </w:r>
      <w:r w:rsidR="00EE0CCC">
        <w:rPr>
          <w:rFonts w:ascii="Arial" w:hAnsi="Arial" w:cs="Arial"/>
          <w:iCs/>
          <w:noProof/>
        </w:rPr>
        <w:t xml:space="preserve"> </w:t>
      </w:r>
      <w:r w:rsidRPr="007D322B">
        <w:rPr>
          <w:rFonts w:ascii="Arial" w:hAnsi="Arial" w:cs="Arial"/>
          <w:iCs/>
          <w:noProof/>
        </w:rPr>
        <w:t>Dinutuximab</w:t>
      </w:r>
      <w:r w:rsidR="00EE0CCC">
        <w:rPr>
          <w:rFonts w:ascii="Arial" w:hAnsi="Arial" w:cs="Arial"/>
          <w:iCs/>
          <w:noProof/>
        </w:rPr>
        <w:t xml:space="preserve"> </w:t>
      </w:r>
      <w:r w:rsidRPr="007D322B">
        <w:rPr>
          <w:rFonts w:ascii="Arial" w:hAnsi="Arial" w:cs="Arial"/>
          <w:iCs/>
          <w:noProof/>
        </w:rPr>
        <w:t>beta</w:t>
      </w:r>
      <w:r w:rsidR="00EE0CCC">
        <w:rPr>
          <w:rFonts w:ascii="Arial" w:hAnsi="Arial" w:cs="Arial"/>
          <w:iCs/>
          <w:noProof/>
        </w:rPr>
        <w:t xml:space="preserve"> </w:t>
      </w:r>
      <w:r w:rsidRPr="007D322B">
        <w:rPr>
          <w:rFonts w:ascii="Arial" w:hAnsi="Arial" w:cs="Arial"/>
          <w:iCs/>
          <w:noProof/>
        </w:rPr>
        <w:t>was</w:t>
      </w:r>
      <w:r w:rsidR="00EE0CCC">
        <w:rPr>
          <w:rFonts w:ascii="Arial" w:hAnsi="Arial" w:cs="Arial"/>
          <w:iCs/>
          <w:noProof/>
        </w:rPr>
        <w:t xml:space="preserve"> </w:t>
      </w:r>
      <w:r w:rsidRPr="007D322B">
        <w:rPr>
          <w:rFonts w:ascii="Arial" w:hAnsi="Arial" w:cs="Arial"/>
          <w:iCs/>
          <w:noProof/>
        </w:rPr>
        <w:t>administered</w:t>
      </w:r>
      <w:r w:rsidR="00EE0CCC">
        <w:rPr>
          <w:rFonts w:ascii="Arial" w:hAnsi="Arial" w:cs="Arial"/>
          <w:iCs/>
          <w:noProof/>
        </w:rPr>
        <w:t xml:space="preserve"> </w:t>
      </w:r>
      <w:r w:rsidRPr="007D322B">
        <w:rPr>
          <w:rFonts w:ascii="Arial" w:hAnsi="Arial" w:cs="Arial"/>
          <w:iCs/>
          <w:noProof/>
        </w:rPr>
        <w:t>at</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dose</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20</w:t>
      </w:r>
      <w:r w:rsidR="00EE0CCC">
        <w:rPr>
          <w:rFonts w:ascii="Arial" w:hAnsi="Arial" w:cs="Arial"/>
          <w:iCs/>
          <w:noProof/>
        </w:rPr>
        <w:t xml:space="preserve"> </w:t>
      </w:r>
      <w:r w:rsidRPr="007D322B">
        <w:rPr>
          <w:rFonts w:ascii="Arial" w:hAnsi="Arial" w:cs="Arial"/>
          <w:iCs/>
          <w:noProof/>
        </w:rPr>
        <w:t>mg/m</w:t>
      </w:r>
      <w:r w:rsidRPr="007D322B">
        <w:rPr>
          <w:rFonts w:ascii="Arial" w:hAnsi="Arial" w:cs="Arial"/>
          <w:iCs/>
          <w:noProof/>
          <w:vertAlign w:val="superscript"/>
        </w:rPr>
        <w:t>2</w:t>
      </w:r>
      <w:r w:rsidRPr="007D322B">
        <w:rPr>
          <w:rFonts w:ascii="Arial" w:hAnsi="Arial" w:cs="Arial"/>
          <w:iCs/>
          <w:noProof/>
        </w:rPr>
        <w:t>/day</w:t>
      </w:r>
      <w:r w:rsidR="00EE0CCC">
        <w:rPr>
          <w:rFonts w:ascii="Arial" w:hAnsi="Arial" w:cs="Arial"/>
          <w:iCs/>
          <w:noProof/>
        </w:rPr>
        <w:t xml:space="preserve"> </w:t>
      </w:r>
      <w:r w:rsidRPr="007D322B">
        <w:rPr>
          <w:rFonts w:ascii="Arial" w:hAnsi="Arial" w:cs="Arial"/>
          <w:iCs/>
          <w:noProof/>
        </w:rPr>
        <w:t>on</w:t>
      </w:r>
      <w:r w:rsidR="00EE0CCC">
        <w:rPr>
          <w:rFonts w:ascii="Arial" w:hAnsi="Arial" w:cs="Arial"/>
          <w:iCs/>
          <w:noProof/>
        </w:rPr>
        <w:t xml:space="preserve"> </w:t>
      </w:r>
      <w:r w:rsidRPr="007D322B">
        <w:rPr>
          <w:rFonts w:ascii="Arial" w:hAnsi="Arial" w:cs="Arial"/>
          <w:iCs/>
          <w:noProof/>
        </w:rPr>
        <w:t>5</w:t>
      </w:r>
      <w:r w:rsidR="00EE0CCC">
        <w:rPr>
          <w:rFonts w:ascii="Arial" w:hAnsi="Arial" w:cs="Arial"/>
          <w:iCs/>
          <w:noProof/>
        </w:rPr>
        <w:t xml:space="preserve"> </w:t>
      </w:r>
      <w:r w:rsidRPr="007D322B">
        <w:rPr>
          <w:rFonts w:ascii="Arial" w:hAnsi="Arial" w:cs="Arial"/>
          <w:iCs/>
          <w:noProof/>
        </w:rPr>
        <w:t>consecutive</w:t>
      </w:r>
      <w:r w:rsidR="00EE0CCC">
        <w:rPr>
          <w:rFonts w:ascii="Arial" w:hAnsi="Arial" w:cs="Arial"/>
          <w:iCs/>
          <w:noProof/>
        </w:rPr>
        <w:t xml:space="preserve"> </w:t>
      </w:r>
      <w:r w:rsidRPr="007D322B">
        <w:rPr>
          <w:rFonts w:ascii="Arial" w:hAnsi="Arial" w:cs="Arial"/>
          <w:iCs/>
          <w:noProof/>
        </w:rPr>
        <w:t>days,</w:t>
      </w:r>
      <w:r w:rsidR="00EE0CCC">
        <w:rPr>
          <w:rFonts w:ascii="Arial" w:hAnsi="Arial" w:cs="Arial"/>
          <w:iCs/>
          <w:noProof/>
        </w:rPr>
        <w:t xml:space="preserve"> </w:t>
      </w:r>
      <w:r w:rsidRPr="007D322B">
        <w:rPr>
          <w:rFonts w:ascii="Arial" w:hAnsi="Arial" w:cs="Arial"/>
          <w:iCs/>
          <w:noProof/>
        </w:rPr>
        <w:t>given</w:t>
      </w:r>
      <w:r w:rsidR="00EE0CCC">
        <w:rPr>
          <w:rFonts w:ascii="Arial" w:hAnsi="Arial" w:cs="Arial"/>
          <w:iCs/>
          <w:noProof/>
        </w:rPr>
        <w:t xml:space="preserve"> </w:t>
      </w:r>
      <w:r w:rsidRPr="007D322B">
        <w:rPr>
          <w:rFonts w:ascii="Arial" w:hAnsi="Arial" w:cs="Arial"/>
          <w:iCs/>
          <w:noProof/>
        </w:rPr>
        <w:t>by</w:t>
      </w:r>
      <w:r w:rsidR="00EE0CCC">
        <w:rPr>
          <w:rFonts w:ascii="Arial" w:hAnsi="Arial" w:cs="Arial"/>
          <w:iCs/>
          <w:noProof/>
        </w:rPr>
        <w:t xml:space="preserve"> </w:t>
      </w:r>
      <w:r w:rsidRPr="007D322B">
        <w:rPr>
          <w:rFonts w:ascii="Arial" w:hAnsi="Arial" w:cs="Arial"/>
          <w:iCs/>
          <w:noProof/>
        </w:rPr>
        <w:t>8</w:t>
      </w:r>
      <w:r w:rsidRPr="007D322B">
        <w:rPr>
          <w:rFonts w:ascii="Arial" w:hAnsi="Arial" w:cs="Arial"/>
          <w:iCs/>
          <w:noProof/>
        </w:rPr>
        <w:noBreakHyphen/>
        <w:t>hour</w:t>
      </w:r>
      <w:r w:rsidR="00EE0CCC">
        <w:rPr>
          <w:rFonts w:ascii="Arial" w:hAnsi="Arial" w:cs="Arial"/>
          <w:iCs/>
          <w:noProof/>
        </w:rPr>
        <w:t xml:space="preserve"> </w:t>
      </w:r>
      <w:r w:rsidRPr="007D322B">
        <w:rPr>
          <w:rFonts w:ascii="Arial" w:hAnsi="Arial" w:cs="Arial"/>
          <w:iCs/>
          <w:noProof/>
        </w:rPr>
        <w:t>intravenous</w:t>
      </w:r>
      <w:r w:rsidR="00EE0CCC">
        <w:rPr>
          <w:rFonts w:ascii="Arial" w:hAnsi="Arial" w:cs="Arial"/>
          <w:iCs/>
          <w:noProof/>
        </w:rPr>
        <w:t xml:space="preserve"> </w:t>
      </w:r>
      <w:r w:rsidRPr="007D322B">
        <w:rPr>
          <w:rFonts w:ascii="Arial" w:hAnsi="Arial" w:cs="Arial"/>
          <w:iCs/>
          <w:noProof/>
        </w:rPr>
        <w:t>infusion</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5</w:t>
      </w:r>
      <w:r w:rsidRPr="007D322B">
        <w:rPr>
          <w:rFonts w:ascii="Arial" w:hAnsi="Arial" w:cs="Arial"/>
          <w:iCs/>
          <w:noProof/>
        </w:rPr>
        <w:noBreakHyphen/>
        <w:t>week</w:t>
      </w:r>
      <w:r w:rsidR="00EE0CCC">
        <w:rPr>
          <w:rFonts w:ascii="Arial" w:hAnsi="Arial" w:cs="Arial"/>
          <w:iCs/>
          <w:noProof/>
        </w:rPr>
        <w:t xml:space="preserve"> </w:t>
      </w:r>
      <w:r w:rsidRPr="007D322B">
        <w:rPr>
          <w:rFonts w:ascii="Arial" w:hAnsi="Arial" w:cs="Arial"/>
          <w:iCs/>
          <w:noProof/>
        </w:rPr>
        <w:t>treatment</w:t>
      </w:r>
      <w:r w:rsidR="00EE0CCC">
        <w:rPr>
          <w:rFonts w:ascii="Arial" w:hAnsi="Arial" w:cs="Arial"/>
          <w:iCs/>
          <w:noProof/>
        </w:rPr>
        <w:t xml:space="preserve"> </w:t>
      </w:r>
      <w:r w:rsidRPr="007D322B">
        <w:rPr>
          <w:rFonts w:ascii="Arial" w:hAnsi="Arial" w:cs="Arial"/>
          <w:iCs/>
          <w:noProof/>
        </w:rPr>
        <w:t>course,</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was</w:t>
      </w:r>
      <w:r w:rsidR="00EE0CCC">
        <w:rPr>
          <w:rFonts w:ascii="Arial" w:hAnsi="Arial" w:cs="Arial"/>
          <w:iCs/>
          <w:noProof/>
        </w:rPr>
        <w:t xml:space="preserve"> </w:t>
      </w:r>
      <w:r w:rsidRPr="007D322B">
        <w:rPr>
          <w:rFonts w:ascii="Arial" w:hAnsi="Arial" w:cs="Arial"/>
          <w:iCs/>
          <w:noProof/>
        </w:rPr>
        <w:t>combined</w:t>
      </w:r>
      <w:r w:rsidR="00EE0CCC">
        <w:rPr>
          <w:rFonts w:ascii="Arial" w:hAnsi="Arial" w:cs="Arial"/>
          <w:iCs/>
          <w:noProof/>
        </w:rPr>
        <w:t xml:space="preserve"> </w:t>
      </w:r>
      <w:r w:rsidRPr="007D322B">
        <w:rPr>
          <w:rFonts w:ascii="Arial" w:hAnsi="Arial" w:cs="Arial"/>
          <w:iCs/>
          <w:noProof/>
        </w:rPr>
        <w:t>with</w:t>
      </w:r>
      <w:r w:rsidR="00EE0CCC">
        <w:rPr>
          <w:rFonts w:ascii="Arial" w:hAnsi="Arial" w:cs="Arial"/>
          <w:iCs/>
          <w:noProof/>
        </w:rPr>
        <w:t xml:space="preserve"> </w:t>
      </w:r>
      <w:r w:rsidRPr="007D322B">
        <w:rPr>
          <w:rFonts w:ascii="Arial" w:hAnsi="Arial" w:cs="Arial"/>
          <w:iCs/>
          <w:noProof/>
        </w:rPr>
        <w:t>13</w:t>
      </w:r>
      <w:r w:rsidRPr="007D322B">
        <w:rPr>
          <w:rFonts w:ascii="Arial" w:hAnsi="Arial" w:cs="Arial"/>
          <w:iCs/>
          <w:noProof/>
        </w:rPr>
        <w:noBreakHyphen/>
        <w:t>cis</w:t>
      </w:r>
      <w:r w:rsidRPr="007D322B">
        <w:rPr>
          <w:rFonts w:ascii="Arial" w:hAnsi="Arial" w:cs="Arial"/>
          <w:iCs/>
          <w:noProof/>
        </w:rPr>
        <w:noBreakHyphen/>
        <w:t>RA</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with</w:t>
      </w:r>
      <w:r w:rsidR="00EE0CCC">
        <w:rPr>
          <w:rFonts w:ascii="Arial" w:hAnsi="Arial" w:cs="Arial"/>
          <w:iCs/>
          <w:noProof/>
        </w:rPr>
        <w:t xml:space="preserve"> </w:t>
      </w:r>
      <w:r w:rsidRPr="007D322B">
        <w:rPr>
          <w:rFonts w:ascii="Arial" w:hAnsi="Arial" w:cs="Arial"/>
          <w:iCs/>
          <w:noProof/>
        </w:rPr>
        <w:t>or</w:t>
      </w:r>
      <w:r w:rsidR="00EE0CCC">
        <w:rPr>
          <w:rFonts w:ascii="Arial" w:hAnsi="Arial" w:cs="Arial"/>
          <w:iCs/>
          <w:noProof/>
        </w:rPr>
        <w:t xml:space="preserve"> </w:t>
      </w:r>
      <w:r w:rsidRPr="007D322B">
        <w:rPr>
          <w:rFonts w:ascii="Arial" w:hAnsi="Arial" w:cs="Arial"/>
          <w:iCs/>
          <w:noProof/>
        </w:rPr>
        <w:t>without</w:t>
      </w:r>
      <w:r w:rsidR="00EE0CCC">
        <w:rPr>
          <w:rFonts w:ascii="Arial" w:hAnsi="Arial" w:cs="Arial"/>
          <w:iCs/>
          <w:noProof/>
        </w:rPr>
        <w:t xml:space="preserve"> </w:t>
      </w:r>
      <w:r w:rsidRPr="007D322B">
        <w:rPr>
          <w:rFonts w:ascii="Arial" w:hAnsi="Arial" w:cs="Arial"/>
          <w:iCs/>
          <w:noProof/>
        </w:rPr>
        <w:t>additional</w:t>
      </w:r>
      <w:r w:rsidR="00EE0CCC">
        <w:rPr>
          <w:rFonts w:ascii="Arial" w:hAnsi="Arial" w:cs="Arial"/>
          <w:iCs/>
          <w:noProof/>
        </w:rPr>
        <w:t xml:space="preserve"> </w:t>
      </w:r>
      <w:r w:rsidRPr="007D322B">
        <w:rPr>
          <w:rFonts w:ascii="Arial" w:hAnsi="Arial" w:cs="Arial"/>
          <w:iCs/>
          <w:noProof/>
        </w:rPr>
        <w:t>subcutaneous</w:t>
      </w:r>
      <w:r w:rsidR="00EE0CCC">
        <w:rPr>
          <w:rFonts w:ascii="Arial" w:hAnsi="Arial" w:cs="Arial"/>
          <w:iCs/>
          <w:noProof/>
        </w:rPr>
        <w:t xml:space="preserve"> </w:t>
      </w:r>
      <w:r w:rsidRPr="007D322B">
        <w:rPr>
          <w:rFonts w:ascii="Arial" w:hAnsi="Arial" w:cs="Arial"/>
          <w:iCs/>
          <w:noProof/>
        </w:rPr>
        <w:t>IL</w:t>
      </w:r>
      <w:r w:rsidRPr="007D322B">
        <w:rPr>
          <w:rFonts w:ascii="Arial" w:hAnsi="Arial" w:cs="Arial"/>
          <w:iCs/>
          <w:noProof/>
        </w:rPr>
        <w:noBreakHyphen/>
        <w:t>2</w:t>
      </w:r>
      <w:r w:rsidR="00EE0CCC">
        <w:rPr>
          <w:rFonts w:ascii="Arial" w:hAnsi="Arial" w:cs="Arial"/>
          <w:iCs/>
          <w:noProof/>
        </w:rPr>
        <w:t xml:space="preserve"> </w:t>
      </w:r>
      <w:r w:rsidRPr="007D322B">
        <w:rPr>
          <w:rFonts w:ascii="Arial" w:hAnsi="Arial" w:cs="Arial"/>
          <w:iCs/>
          <w:noProof/>
        </w:rPr>
        <w:t>at</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same</w:t>
      </w:r>
      <w:r w:rsidR="00EE0CCC">
        <w:rPr>
          <w:rFonts w:ascii="Arial" w:hAnsi="Arial" w:cs="Arial"/>
          <w:iCs/>
          <w:noProof/>
        </w:rPr>
        <w:t xml:space="preserve"> </w:t>
      </w:r>
      <w:r w:rsidRPr="007D322B">
        <w:rPr>
          <w:rFonts w:ascii="Arial" w:hAnsi="Arial" w:cs="Arial"/>
          <w:iCs/>
          <w:noProof/>
        </w:rPr>
        <w:t>posologies</w:t>
      </w:r>
      <w:r w:rsidR="00EE0CCC">
        <w:rPr>
          <w:rFonts w:ascii="Arial" w:hAnsi="Arial" w:cs="Arial"/>
          <w:iCs/>
          <w:noProof/>
        </w:rPr>
        <w:t xml:space="preserve"> </w:t>
      </w:r>
      <w:r w:rsidRPr="007D322B">
        <w:rPr>
          <w:rFonts w:ascii="Arial" w:hAnsi="Arial" w:cs="Arial"/>
          <w:iCs/>
          <w:noProof/>
        </w:rPr>
        <w:t>as</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previous</w:t>
      </w:r>
      <w:r w:rsidR="00EE0CCC">
        <w:rPr>
          <w:rFonts w:ascii="Arial" w:hAnsi="Arial" w:cs="Arial"/>
          <w:iCs/>
          <w:noProof/>
        </w:rPr>
        <w:t xml:space="preserve"> </w:t>
      </w:r>
      <w:r w:rsidRPr="007D322B">
        <w:rPr>
          <w:rFonts w:ascii="Arial" w:hAnsi="Arial" w:cs="Arial"/>
          <w:iCs/>
          <w:noProof/>
        </w:rPr>
        <w:t>studies.</w:t>
      </w:r>
    </w:p>
    <w:p w:rsidR="00DE2AA7" w:rsidRPr="007D322B" w:rsidRDefault="00DE2AA7" w:rsidP="00DE2AA7">
      <w:pPr>
        <w:widowControl w:val="0"/>
        <w:autoSpaceDE w:val="0"/>
        <w:autoSpaceDN w:val="0"/>
        <w:adjustRightInd w:val="0"/>
        <w:rPr>
          <w:rFonts w:ascii="Arial" w:hAnsi="Arial" w:cs="Arial"/>
          <w:iCs/>
          <w:noProof/>
        </w:rPr>
      </w:pPr>
    </w:p>
    <w:p w:rsidR="00DE2AA7" w:rsidRPr="007D322B" w:rsidRDefault="00DE2AA7" w:rsidP="00DE2AA7">
      <w:pPr>
        <w:widowControl w:val="0"/>
        <w:autoSpaceDE w:val="0"/>
        <w:autoSpaceDN w:val="0"/>
        <w:adjustRightInd w:val="0"/>
        <w:rPr>
          <w:rFonts w:ascii="Arial" w:hAnsi="Arial" w:cs="Arial"/>
          <w:iCs/>
          <w:noProof/>
        </w:rPr>
      </w:pP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total</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370</w:t>
      </w:r>
      <w:r w:rsidR="00EE0CCC">
        <w:rPr>
          <w:rFonts w:ascii="Arial" w:hAnsi="Arial" w:cs="Arial"/>
          <w:iCs/>
          <w:noProof/>
        </w:rPr>
        <w:t xml:space="preserve"> </w:t>
      </w:r>
      <w:r w:rsidRPr="007D322B">
        <w:rPr>
          <w:rFonts w:ascii="Arial" w:hAnsi="Arial" w:cs="Arial"/>
          <w:iCs/>
          <w:noProof/>
        </w:rPr>
        <w:t>patients</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randomised</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received</w:t>
      </w:r>
      <w:r w:rsidR="00EE0CCC">
        <w:rPr>
          <w:rFonts w:ascii="Arial" w:hAnsi="Arial" w:cs="Arial"/>
          <w:iCs/>
          <w:noProof/>
        </w:rPr>
        <w:t xml:space="preserve"> </w:t>
      </w:r>
      <w:r w:rsidRPr="007D322B">
        <w:rPr>
          <w:rFonts w:ascii="Arial" w:hAnsi="Arial" w:cs="Arial"/>
          <w:iCs/>
          <w:noProof/>
        </w:rPr>
        <w:t>treatment.</w:t>
      </w:r>
      <w:r w:rsidR="00EE0CCC">
        <w:rPr>
          <w:rFonts w:ascii="Arial" w:hAnsi="Arial" w:cs="Arial"/>
          <w:iCs/>
          <w:noProof/>
        </w:rPr>
        <w:t xml:space="preserve"> </w:t>
      </w:r>
      <w:r w:rsidRPr="007D322B">
        <w:rPr>
          <w:rFonts w:ascii="Arial" w:hAnsi="Arial" w:cs="Arial"/>
          <w:iCs/>
          <w:noProof/>
        </w:rPr>
        <w:t>These</w:t>
      </w:r>
      <w:r w:rsidR="00EE0CCC">
        <w:rPr>
          <w:rFonts w:ascii="Arial" w:hAnsi="Arial" w:cs="Arial"/>
          <w:iCs/>
          <w:noProof/>
        </w:rPr>
        <w:t xml:space="preserve"> </w:t>
      </w:r>
      <w:r w:rsidRPr="007D322B">
        <w:rPr>
          <w:rFonts w:ascii="Arial" w:hAnsi="Arial" w:cs="Arial"/>
          <w:iCs/>
          <w:noProof/>
        </w:rPr>
        <w:t>included</w:t>
      </w:r>
      <w:r w:rsidR="00EE0CCC">
        <w:rPr>
          <w:rFonts w:ascii="Arial" w:hAnsi="Arial" w:cs="Arial"/>
          <w:iCs/>
          <w:noProof/>
        </w:rPr>
        <w:t xml:space="preserve"> </w:t>
      </w:r>
      <w:r w:rsidRPr="007D322B">
        <w:rPr>
          <w:rFonts w:ascii="Arial" w:hAnsi="Arial" w:cs="Arial"/>
          <w:iCs/>
          <w:noProof/>
        </w:rPr>
        <w:t>64%</w:t>
      </w:r>
      <w:r w:rsidR="00EE0CCC">
        <w:rPr>
          <w:rFonts w:ascii="Arial" w:hAnsi="Arial" w:cs="Arial"/>
          <w:iCs/>
          <w:noProof/>
        </w:rPr>
        <w:t xml:space="preserve"> </w:t>
      </w:r>
      <w:r w:rsidRPr="007D322B">
        <w:rPr>
          <w:rFonts w:ascii="Arial" w:hAnsi="Arial" w:cs="Arial"/>
          <w:iCs/>
          <w:noProof/>
        </w:rPr>
        <w:t>male</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36%</w:t>
      </w:r>
      <w:r w:rsidR="00EE0CCC">
        <w:rPr>
          <w:rFonts w:ascii="Arial" w:hAnsi="Arial" w:cs="Arial"/>
          <w:iCs/>
          <w:noProof/>
        </w:rPr>
        <w:t xml:space="preserve"> </w:t>
      </w:r>
      <w:r w:rsidRPr="007D322B">
        <w:rPr>
          <w:rFonts w:ascii="Arial" w:hAnsi="Arial" w:cs="Arial"/>
          <w:iCs/>
          <w:noProof/>
        </w:rPr>
        <w:t>female</w:t>
      </w:r>
      <w:r w:rsidR="00EE0CCC">
        <w:rPr>
          <w:rFonts w:ascii="Arial" w:hAnsi="Arial" w:cs="Arial"/>
          <w:iCs/>
          <w:noProof/>
        </w:rPr>
        <w:t xml:space="preserve"> </w:t>
      </w:r>
      <w:r w:rsidRPr="007D322B">
        <w:rPr>
          <w:rFonts w:ascii="Arial" w:hAnsi="Arial" w:cs="Arial"/>
          <w:iCs/>
          <w:noProof/>
        </w:rPr>
        <w:t>patients</w:t>
      </w:r>
      <w:r w:rsidR="00EE0CCC">
        <w:rPr>
          <w:rFonts w:ascii="Arial" w:hAnsi="Arial" w:cs="Arial"/>
          <w:iCs/>
          <w:noProof/>
        </w:rPr>
        <w:t xml:space="preserve"> </w:t>
      </w:r>
      <w:r w:rsidRPr="007D322B">
        <w:rPr>
          <w:rFonts w:ascii="Arial" w:hAnsi="Arial" w:cs="Arial"/>
          <w:iCs/>
          <w:noProof/>
        </w:rPr>
        <w:t>with</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median</w:t>
      </w:r>
      <w:r w:rsidR="00EE0CCC">
        <w:rPr>
          <w:rFonts w:ascii="Arial" w:hAnsi="Arial" w:cs="Arial"/>
          <w:iCs/>
          <w:noProof/>
        </w:rPr>
        <w:t xml:space="preserve"> </w:t>
      </w:r>
      <w:r w:rsidRPr="007D322B">
        <w:rPr>
          <w:rFonts w:ascii="Arial" w:hAnsi="Arial" w:cs="Arial"/>
          <w:iCs/>
          <w:noProof/>
        </w:rPr>
        <w:t>age</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3</w:t>
      </w:r>
      <w:r w:rsidR="00EE0CCC">
        <w:rPr>
          <w:rFonts w:ascii="Arial" w:hAnsi="Arial" w:cs="Arial"/>
          <w:iCs/>
          <w:noProof/>
        </w:rPr>
        <w:t xml:space="preserve"> </w:t>
      </w:r>
      <w:r w:rsidRPr="007D322B">
        <w:rPr>
          <w:rFonts w:ascii="Arial" w:hAnsi="Arial" w:cs="Arial"/>
          <w:iCs/>
          <w:noProof/>
        </w:rPr>
        <w:t>years</w:t>
      </w:r>
      <w:r w:rsidR="00EE0CCC">
        <w:rPr>
          <w:rFonts w:ascii="Arial" w:hAnsi="Arial" w:cs="Arial"/>
          <w:iCs/>
          <w:noProof/>
        </w:rPr>
        <w:t xml:space="preserve"> </w:t>
      </w:r>
      <w:r w:rsidRPr="007D322B">
        <w:rPr>
          <w:rFonts w:ascii="Arial" w:hAnsi="Arial" w:cs="Arial"/>
          <w:iCs/>
          <w:noProof/>
        </w:rPr>
        <w:t>(0.6</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20);</w:t>
      </w:r>
      <w:r w:rsidR="00EE0CCC">
        <w:rPr>
          <w:rFonts w:ascii="Arial" w:hAnsi="Arial" w:cs="Arial"/>
          <w:iCs/>
          <w:noProof/>
        </w:rPr>
        <w:t xml:space="preserve"> </w:t>
      </w:r>
      <w:r w:rsidRPr="007D322B">
        <w:rPr>
          <w:rFonts w:ascii="Arial" w:hAnsi="Arial" w:cs="Arial"/>
          <w:iCs/>
          <w:noProof/>
        </w:rPr>
        <w:t>89%</w:t>
      </w:r>
      <w:r w:rsidR="00EE0CCC">
        <w:rPr>
          <w:rFonts w:ascii="Arial" w:hAnsi="Arial" w:cs="Arial"/>
          <w:iCs/>
          <w:noProof/>
        </w:rPr>
        <w:t xml:space="preserve"> </w:t>
      </w:r>
      <w:r w:rsidRPr="007D322B">
        <w:rPr>
          <w:rFonts w:ascii="Arial" w:hAnsi="Arial" w:cs="Arial"/>
          <w:iCs/>
          <w:noProof/>
        </w:rPr>
        <w:t>had</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tumour</w:t>
      </w:r>
      <w:r w:rsidR="00EE0CCC">
        <w:rPr>
          <w:rFonts w:ascii="Arial" w:hAnsi="Arial" w:cs="Arial"/>
          <w:iCs/>
          <w:noProof/>
        </w:rPr>
        <w:t xml:space="preserve"> </w:t>
      </w:r>
      <w:r w:rsidRPr="007D322B">
        <w:rPr>
          <w:rFonts w:ascii="Arial" w:hAnsi="Arial" w:cs="Arial"/>
          <w:iCs/>
          <w:noProof/>
        </w:rPr>
        <w:t>INSS</w:t>
      </w:r>
      <w:r w:rsidR="00EE0CCC">
        <w:rPr>
          <w:rFonts w:ascii="Arial" w:hAnsi="Arial" w:cs="Arial"/>
          <w:iCs/>
          <w:noProof/>
        </w:rPr>
        <w:t xml:space="preserve"> </w:t>
      </w:r>
      <w:r w:rsidRPr="007D322B">
        <w:rPr>
          <w:rFonts w:ascii="Arial" w:hAnsi="Arial" w:cs="Arial"/>
          <w:iCs/>
          <w:noProof/>
        </w:rPr>
        <w:t>stage</w:t>
      </w:r>
      <w:r w:rsidR="00EE0CCC">
        <w:rPr>
          <w:rFonts w:ascii="Arial" w:hAnsi="Arial" w:cs="Arial"/>
          <w:iCs/>
          <w:noProof/>
        </w:rPr>
        <w:t xml:space="preserve"> </w:t>
      </w:r>
      <w:r w:rsidRPr="007D322B">
        <w:rPr>
          <w:rFonts w:ascii="Arial" w:hAnsi="Arial" w:cs="Arial"/>
          <w:iCs/>
          <w:noProof/>
        </w:rPr>
        <w:t>4</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MYCN</w:t>
      </w:r>
      <w:r w:rsidR="00EE0CCC">
        <w:rPr>
          <w:rFonts w:ascii="Arial" w:hAnsi="Arial" w:cs="Arial"/>
          <w:iCs/>
          <w:noProof/>
        </w:rPr>
        <w:t xml:space="preserve"> </w:t>
      </w:r>
      <w:r w:rsidRPr="007D322B">
        <w:rPr>
          <w:rFonts w:ascii="Arial" w:hAnsi="Arial" w:cs="Arial"/>
          <w:iCs/>
          <w:noProof/>
        </w:rPr>
        <w:t>amplification</w:t>
      </w:r>
      <w:r w:rsidR="00EE0CCC">
        <w:rPr>
          <w:rFonts w:ascii="Arial" w:hAnsi="Arial" w:cs="Arial"/>
          <w:iCs/>
          <w:noProof/>
        </w:rPr>
        <w:t xml:space="preserve"> </w:t>
      </w:r>
      <w:r w:rsidRPr="007D322B">
        <w:rPr>
          <w:rFonts w:ascii="Arial" w:hAnsi="Arial" w:cs="Arial"/>
          <w:iCs/>
          <w:noProof/>
        </w:rPr>
        <w:t>was</w:t>
      </w:r>
      <w:r w:rsidR="00EE0CCC">
        <w:rPr>
          <w:rFonts w:ascii="Arial" w:hAnsi="Arial" w:cs="Arial"/>
          <w:iCs/>
          <w:noProof/>
        </w:rPr>
        <w:t xml:space="preserve"> </w:t>
      </w:r>
      <w:r w:rsidRPr="007D322B">
        <w:rPr>
          <w:rFonts w:ascii="Arial" w:hAnsi="Arial" w:cs="Arial"/>
          <w:iCs/>
          <w:noProof/>
        </w:rPr>
        <w:t>reported</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44%</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cases.</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primary</w:t>
      </w:r>
      <w:r w:rsidR="00EE0CCC">
        <w:rPr>
          <w:rFonts w:ascii="Arial" w:hAnsi="Arial" w:cs="Arial"/>
          <w:iCs/>
          <w:noProof/>
        </w:rPr>
        <w:t xml:space="preserve"> </w:t>
      </w:r>
      <w:r w:rsidRPr="007D322B">
        <w:rPr>
          <w:rFonts w:ascii="Arial" w:hAnsi="Arial" w:cs="Arial"/>
          <w:iCs/>
          <w:noProof/>
        </w:rPr>
        <w:t>efficacy</w:t>
      </w:r>
      <w:r w:rsidR="00EE0CCC">
        <w:rPr>
          <w:rFonts w:ascii="Arial" w:hAnsi="Arial" w:cs="Arial"/>
          <w:iCs/>
          <w:noProof/>
        </w:rPr>
        <w:t xml:space="preserve"> </w:t>
      </w:r>
      <w:r w:rsidRPr="007D322B">
        <w:rPr>
          <w:rFonts w:ascii="Arial" w:hAnsi="Arial" w:cs="Arial"/>
          <w:iCs/>
          <w:noProof/>
        </w:rPr>
        <w:t>endpoint</w:t>
      </w:r>
      <w:r w:rsidR="00EE0CCC">
        <w:rPr>
          <w:rFonts w:ascii="Arial" w:hAnsi="Arial" w:cs="Arial"/>
          <w:iCs/>
          <w:noProof/>
        </w:rPr>
        <w:t xml:space="preserve"> </w:t>
      </w:r>
      <w:r w:rsidRPr="007D322B">
        <w:rPr>
          <w:rFonts w:ascii="Arial" w:hAnsi="Arial" w:cs="Arial"/>
          <w:iCs/>
          <w:noProof/>
        </w:rPr>
        <w:t>was</w:t>
      </w:r>
      <w:r w:rsidR="00EE0CCC">
        <w:rPr>
          <w:rFonts w:ascii="Arial" w:hAnsi="Arial" w:cs="Arial"/>
          <w:iCs/>
          <w:noProof/>
        </w:rPr>
        <w:t xml:space="preserve"> </w:t>
      </w:r>
      <w:r w:rsidRPr="007D322B">
        <w:rPr>
          <w:rFonts w:ascii="Arial" w:hAnsi="Arial" w:cs="Arial"/>
          <w:iCs/>
          <w:noProof/>
        </w:rPr>
        <w:t>3</w:t>
      </w:r>
      <w:r w:rsidRPr="007D322B">
        <w:rPr>
          <w:rFonts w:ascii="Arial" w:hAnsi="Arial" w:cs="Arial"/>
          <w:iCs/>
          <w:noProof/>
        </w:rPr>
        <w:noBreakHyphen/>
        <w:t>year</w:t>
      </w:r>
      <w:r w:rsidR="00EE0CCC">
        <w:rPr>
          <w:rFonts w:ascii="Arial" w:hAnsi="Arial" w:cs="Arial"/>
          <w:iCs/>
          <w:noProof/>
        </w:rPr>
        <w:t xml:space="preserve"> </w:t>
      </w:r>
      <w:r w:rsidRPr="007D322B">
        <w:rPr>
          <w:rFonts w:ascii="Arial" w:hAnsi="Arial" w:cs="Arial"/>
          <w:iCs/>
          <w:noProof/>
        </w:rPr>
        <w:t>EFS</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secondary</w:t>
      </w:r>
      <w:r w:rsidR="00EE0CCC">
        <w:rPr>
          <w:rFonts w:ascii="Arial" w:hAnsi="Arial" w:cs="Arial"/>
          <w:iCs/>
          <w:noProof/>
        </w:rPr>
        <w:t xml:space="preserve"> </w:t>
      </w:r>
      <w:r w:rsidRPr="007D322B">
        <w:rPr>
          <w:rFonts w:ascii="Arial" w:hAnsi="Arial" w:cs="Arial"/>
          <w:iCs/>
          <w:noProof/>
        </w:rPr>
        <w:t>endpoint</w:t>
      </w:r>
      <w:r w:rsidR="00EE0CCC">
        <w:rPr>
          <w:rFonts w:ascii="Arial" w:hAnsi="Arial" w:cs="Arial"/>
          <w:iCs/>
          <w:noProof/>
        </w:rPr>
        <w:t xml:space="preserve"> </w:t>
      </w:r>
      <w:r w:rsidRPr="007D322B">
        <w:rPr>
          <w:rFonts w:ascii="Arial" w:hAnsi="Arial" w:cs="Arial"/>
          <w:iCs/>
          <w:noProof/>
        </w:rPr>
        <w:t>was</w:t>
      </w:r>
      <w:r w:rsidR="00EE0CCC">
        <w:rPr>
          <w:rFonts w:ascii="Arial" w:hAnsi="Arial" w:cs="Arial"/>
          <w:iCs/>
          <w:noProof/>
        </w:rPr>
        <w:t xml:space="preserve"> </w:t>
      </w:r>
      <w:r w:rsidRPr="007D322B">
        <w:rPr>
          <w:rFonts w:ascii="Arial" w:hAnsi="Arial" w:cs="Arial"/>
          <w:iCs/>
          <w:noProof/>
        </w:rPr>
        <w:t>OS.</w:t>
      </w:r>
      <w:r w:rsidR="00EE0CCC">
        <w:rPr>
          <w:rFonts w:ascii="Arial" w:hAnsi="Arial" w:cs="Arial"/>
          <w:iCs/>
          <w:noProof/>
        </w:rPr>
        <w:t xml:space="preserve"> </w:t>
      </w:r>
      <w:r w:rsidRPr="007D322B">
        <w:rPr>
          <w:rFonts w:ascii="Arial" w:hAnsi="Arial" w:cs="Arial"/>
          <w:iCs/>
          <w:noProof/>
        </w:rPr>
        <w:t>EFS</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OS</w:t>
      </w:r>
      <w:r w:rsidR="00EE0CCC">
        <w:rPr>
          <w:rFonts w:ascii="Arial" w:hAnsi="Arial" w:cs="Arial"/>
          <w:iCs/>
          <w:noProof/>
        </w:rPr>
        <w:t xml:space="preserve"> </w:t>
      </w:r>
      <w:r w:rsidRPr="007D322B">
        <w:rPr>
          <w:rFonts w:ascii="Arial" w:hAnsi="Arial" w:cs="Arial"/>
          <w:iCs/>
          <w:noProof/>
        </w:rPr>
        <w:t>rates</w:t>
      </w:r>
      <w:r w:rsidR="00EE0CCC">
        <w:rPr>
          <w:rFonts w:ascii="Arial" w:hAnsi="Arial" w:cs="Arial"/>
          <w:iCs/>
          <w:noProof/>
        </w:rPr>
        <w:t xml:space="preserve"> </w:t>
      </w:r>
      <w:r w:rsidRPr="007D322B">
        <w:rPr>
          <w:rFonts w:ascii="Arial" w:hAnsi="Arial" w:cs="Arial"/>
          <w:iCs/>
          <w:noProof/>
        </w:rPr>
        <w:t>are</w:t>
      </w:r>
      <w:r w:rsidR="00EE0CCC">
        <w:rPr>
          <w:rFonts w:ascii="Arial" w:hAnsi="Arial" w:cs="Arial"/>
          <w:iCs/>
          <w:noProof/>
        </w:rPr>
        <w:t xml:space="preserve"> </w:t>
      </w:r>
      <w:r w:rsidRPr="007D322B">
        <w:rPr>
          <w:rFonts w:ascii="Arial" w:hAnsi="Arial" w:cs="Arial"/>
          <w:iCs/>
          <w:noProof/>
        </w:rPr>
        <w:t>presented</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Tables</w:t>
      </w:r>
      <w:r w:rsidR="00EE0CCC">
        <w:rPr>
          <w:rFonts w:ascii="Arial" w:hAnsi="Arial" w:cs="Arial"/>
          <w:iCs/>
          <w:noProof/>
        </w:rPr>
        <w:t xml:space="preserve"> </w:t>
      </w:r>
      <w:r w:rsidRPr="007D322B">
        <w:rPr>
          <w:rFonts w:ascii="Arial" w:hAnsi="Arial" w:cs="Arial"/>
          <w:iCs/>
          <w:noProof/>
        </w:rPr>
        <w:t>2</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3</w:t>
      </w:r>
      <w:r w:rsidR="00EE0CCC">
        <w:rPr>
          <w:rFonts w:ascii="Arial" w:hAnsi="Arial" w:cs="Arial"/>
          <w:iCs/>
          <w:noProof/>
        </w:rPr>
        <w:t xml:space="preserve"> </w:t>
      </w:r>
      <w:r w:rsidRPr="007D322B">
        <w:rPr>
          <w:rFonts w:ascii="Arial" w:hAnsi="Arial" w:cs="Arial"/>
          <w:iCs/>
          <w:noProof/>
        </w:rPr>
        <w:t>according</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evidence</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disease</w:t>
      </w:r>
      <w:r w:rsidR="00EE0CCC">
        <w:rPr>
          <w:rFonts w:ascii="Arial" w:hAnsi="Arial" w:cs="Arial"/>
          <w:iCs/>
          <w:noProof/>
        </w:rPr>
        <w:t xml:space="preserve"> </w:t>
      </w:r>
      <w:r w:rsidRPr="007D322B">
        <w:rPr>
          <w:rFonts w:ascii="Arial" w:hAnsi="Arial" w:cs="Arial"/>
          <w:iCs/>
          <w:noProof/>
        </w:rPr>
        <w:t>at</w:t>
      </w:r>
      <w:r w:rsidR="00EE0CCC">
        <w:rPr>
          <w:rFonts w:ascii="Arial" w:hAnsi="Arial" w:cs="Arial"/>
          <w:iCs/>
          <w:noProof/>
        </w:rPr>
        <w:t xml:space="preserve"> </w:t>
      </w:r>
      <w:r w:rsidRPr="007D322B">
        <w:rPr>
          <w:rFonts w:ascii="Arial" w:hAnsi="Arial" w:cs="Arial"/>
          <w:iCs/>
          <w:noProof/>
        </w:rPr>
        <w:t>baseline.</w:t>
      </w:r>
    </w:p>
    <w:p w:rsidR="00DE2AA7" w:rsidRPr="007D322B" w:rsidRDefault="00DE2AA7" w:rsidP="00DE2AA7">
      <w:pPr>
        <w:widowControl w:val="0"/>
        <w:autoSpaceDE w:val="0"/>
        <w:autoSpaceDN w:val="0"/>
        <w:adjustRightInd w:val="0"/>
        <w:rPr>
          <w:rFonts w:ascii="Arial" w:hAnsi="Arial" w:cs="Arial"/>
          <w:iCs/>
          <w:noProof/>
        </w:rPr>
      </w:pPr>
    </w:p>
    <w:p w:rsidR="00DE2AA7" w:rsidRPr="007D322B" w:rsidRDefault="00DE2AA7" w:rsidP="00DE2AA7">
      <w:pPr>
        <w:widowControl w:val="0"/>
        <w:autoSpaceDE w:val="0"/>
        <w:autoSpaceDN w:val="0"/>
        <w:adjustRightInd w:val="0"/>
        <w:rPr>
          <w:rFonts w:ascii="Arial" w:hAnsi="Arial" w:cs="Arial"/>
          <w:iCs/>
          <w:noProof/>
        </w:rPr>
      </w:pPr>
      <w:r w:rsidRPr="007D322B">
        <w:rPr>
          <w:rFonts w:ascii="Arial" w:hAnsi="Arial" w:cs="Arial"/>
          <w:iCs/>
          <w:noProof/>
        </w:rPr>
        <w:t>For</w:t>
      </w:r>
      <w:r w:rsidR="00EE0CCC">
        <w:rPr>
          <w:rFonts w:ascii="Arial" w:hAnsi="Arial" w:cs="Arial"/>
          <w:iCs/>
          <w:noProof/>
        </w:rPr>
        <w:t xml:space="preserve"> </w:t>
      </w:r>
      <w:r w:rsidRPr="007D322B">
        <w:rPr>
          <w:rFonts w:ascii="Arial" w:hAnsi="Arial" w:cs="Arial"/>
          <w:iCs/>
          <w:noProof/>
        </w:rPr>
        <w:t>patients</w:t>
      </w:r>
      <w:r w:rsidR="00EE0CCC">
        <w:rPr>
          <w:rFonts w:ascii="Arial" w:hAnsi="Arial" w:cs="Arial"/>
          <w:iCs/>
          <w:noProof/>
        </w:rPr>
        <w:t xml:space="preserve"> </w:t>
      </w:r>
      <w:r w:rsidRPr="007D322B">
        <w:rPr>
          <w:rFonts w:ascii="Arial" w:hAnsi="Arial" w:cs="Arial"/>
          <w:iCs/>
          <w:noProof/>
        </w:rPr>
        <w:t>without</w:t>
      </w:r>
      <w:r w:rsidR="00EE0CCC">
        <w:rPr>
          <w:rFonts w:ascii="Arial" w:hAnsi="Arial" w:cs="Arial"/>
          <w:iCs/>
          <w:noProof/>
        </w:rPr>
        <w:t xml:space="preserve"> </w:t>
      </w:r>
      <w:r w:rsidRPr="007D322B">
        <w:rPr>
          <w:rFonts w:ascii="Arial" w:hAnsi="Arial" w:cs="Arial"/>
          <w:iCs/>
          <w:noProof/>
        </w:rPr>
        <w:t>evidence</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disease</w:t>
      </w:r>
      <w:r w:rsidR="00EE0CCC">
        <w:rPr>
          <w:rFonts w:ascii="Arial" w:hAnsi="Arial" w:cs="Arial"/>
          <w:iCs/>
          <w:noProof/>
        </w:rPr>
        <w:t xml:space="preserve"> </w:t>
      </w:r>
      <w:r w:rsidRPr="007D322B">
        <w:rPr>
          <w:rFonts w:ascii="Arial" w:hAnsi="Arial" w:cs="Arial"/>
          <w:iCs/>
          <w:noProof/>
        </w:rPr>
        <w:t>at</w:t>
      </w:r>
      <w:r w:rsidR="00EE0CCC">
        <w:rPr>
          <w:rFonts w:ascii="Arial" w:hAnsi="Arial" w:cs="Arial"/>
          <w:iCs/>
          <w:noProof/>
        </w:rPr>
        <w:t xml:space="preserve"> </w:t>
      </w:r>
      <w:r w:rsidRPr="007D322B">
        <w:rPr>
          <w:rFonts w:ascii="Arial" w:hAnsi="Arial" w:cs="Arial"/>
          <w:iCs/>
          <w:noProof/>
        </w:rPr>
        <w:t>baseline,</w:t>
      </w:r>
      <w:r w:rsidR="00EE0CCC">
        <w:rPr>
          <w:rFonts w:ascii="Arial" w:hAnsi="Arial" w:cs="Arial"/>
          <w:iCs/>
          <w:noProof/>
        </w:rPr>
        <w:t xml:space="preserve"> </w:t>
      </w:r>
      <w:r w:rsidRPr="007D322B">
        <w:rPr>
          <w:rFonts w:ascii="Arial" w:hAnsi="Arial" w:cs="Arial"/>
          <w:iCs/>
          <w:noProof/>
        </w:rPr>
        <w:t>addition</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IL</w:t>
      </w:r>
      <w:r w:rsidRPr="007D322B">
        <w:rPr>
          <w:rFonts w:ascii="Arial" w:hAnsi="Arial" w:cs="Arial"/>
          <w:iCs/>
          <w:noProof/>
        </w:rPr>
        <w:noBreakHyphen/>
        <w:t>2</w:t>
      </w:r>
      <w:r w:rsidR="00EE0CCC">
        <w:rPr>
          <w:rFonts w:ascii="Arial" w:hAnsi="Arial" w:cs="Arial"/>
          <w:iCs/>
          <w:noProof/>
        </w:rPr>
        <w:t xml:space="preserve"> </w:t>
      </w:r>
      <w:r w:rsidRPr="007D322B">
        <w:rPr>
          <w:rFonts w:ascii="Arial" w:hAnsi="Arial" w:cs="Arial"/>
          <w:iCs/>
          <w:noProof/>
        </w:rPr>
        <w:t>did</w:t>
      </w:r>
      <w:r w:rsidR="00EE0CCC">
        <w:rPr>
          <w:rFonts w:ascii="Arial" w:hAnsi="Arial" w:cs="Arial"/>
          <w:iCs/>
          <w:noProof/>
        </w:rPr>
        <w:t xml:space="preserve"> </w:t>
      </w:r>
      <w:r w:rsidRPr="007D322B">
        <w:rPr>
          <w:rFonts w:ascii="Arial" w:hAnsi="Arial" w:cs="Arial"/>
          <w:iCs/>
          <w:noProof/>
        </w:rPr>
        <w:t>not</w:t>
      </w:r>
      <w:r w:rsidR="00EE0CCC">
        <w:rPr>
          <w:rFonts w:ascii="Arial" w:hAnsi="Arial" w:cs="Arial"/>
          <w:iCs/>
          <w:noProof/>
        </w:rPr>
        <w:t xml:space="preserve"> </w:t>
      </w:r>
      <w:r w:rsidRPr="007D322B">
        <w:rPr>
          <w:rFonts w:ascii="Arial" w:hAnsi="Arial" w:cs="Arial"/>
          <w:iCs/>
          <w:noProof/>
        </w:rPr>
        <w:t>improve</w:t>
      </w:r>
      <w:r w:rsidR="00EE0CCC">
        <w:rPr>
          <w:rFonts w:ascii="Arial" w:hAnsi="Arial" w:cs="Arial"/>
          <w:iCs/>
          <w:noProof/>
        </w:rPr>
        <w:t xml:space="preserve"> </w:t>
      </w:r>
      <w:r w:rsidRPr="007D322B">
        <w:rPr>
          <w:rFonts w:ascii="Arial" w:hAnsi="Arial" w:cs="Arial"/>
          <w:iCs/>
          <w:noProof/>
        </w:rPr>
        <w:t>EFS</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OS.</w:t>
      </w:r>
    </w:p>
    <w:p w:rsidR="00DE2AA7" w:rsidRPr="007D322B" w:rsidRDefault="00DE2AA7" w:rsidP="00DE2AA7">
      <w:pPr>
        <w:widowControl w:val="0"/>
        <w:autoSpaceDE w:val="0"/>
        <w:autoSpaceDN w:val="0"/>
        <w:adjustRightInd w:val="0"/>
        <w:rPr>
          <w:rFonts w:ascii="Arial" w:hAnsi="Arial" w:cs="Arial"/>
          <w:iCs/>
          <w:noProof/>
        </w:rPr>
      </w:pPr>
    </w:p>
    <w:p w:rsidR="00DE2AA7" w:rsidRPr="007D322B" w:rsidRDefault="00DE2AA7" w:rsidP="00DE2AA7">
      <w:pPr>
        <w:keepNext/>
        <w:autoSpaceDE w:val="0"/>
        <w:autoSpaceDN w:val="0"/>
        <w:adjustRightInd w:val="0"/>
        <w:rPr>
          <w:rFonts w:ascii="Arial" w:hAnsi="Arial" w:cs="Arial"/>
        </w:rPr>
      </w:pPr>
      <w:r w:rsidRPr="007D322B">
        <w:rPr>
          <w:rFonts w:ascii="Arial" w:hAnsi="Arial" w:cs="Arial"/>
        </w:rPr>
        <w:t>Table</w:t>
      </w:r>
      <w:r w:rsidR="00EE0CCC">
        <w:rPr>
          <w:rFonts w:ascii="Arial" w:hAnsi="Arial" w:cs="Arial"/>
        </w:rPr>
        <w:t xml:space="preserve"> </w:t>
      </w:r>
      <w:r w:rsidR="00F76C3C">
        <w:rPr>
          <w:rFonts w:ascii="Arial" w:hAnsi="Arial" w:cs="Arial"/>
        </w:rPr>
        <w:t>1</w:t>
      </w:r>
      <w:r w:rsidRPr="007D322B">
        <w:rPr>
          <w:rFonts w:ascii="Arial" w:hAnsi="Arial" w:cs="Arial"/>
        </w:rPr>
        <w:t>:</w:t>
      </w:r>
      <w:r w:rsidR="00EE0CCC">
        <w:rPr>
          <w:rFonts w:ascii="Arial" w:hAnsi="Arial" w:cs="Arial"/>
        </w:rPr>
        <w:t xml:space="preserve"> </w:t>
      </w:r>
      <w:r w:rsidRPr="007D322B">
        <w:rPr>
          <w:rFonts w:ascii="Arial" w:hAnsi="Arial" w:cs="Arial"/>
        </w:rPr>
        <w:t>Event-free</w:t>
      </w:r>
      <w:r w:rsidR="00EE0CCC">
        <w:rPr>
          <w:rFonts w:ascii="Arial" w:hAnsi="Arial" w:cs="Arial"/>
        </w:rPr>
        <w:t xml:space="preserve"> </w:t>
      </w:r>
      <w:r w:rsidRPr="007D322B">
        <w:rPr>
          <w:rFonts w:ascii="Arial" w:hAnsi="Arial" w:cs="Arial"/>
        </w:rPr>
        <w:t>survival</w:t>
      </w:r>
      <w:r w:rsidR="00EE0CCC">
        <w:rPr>
          <w:rFonts w:ascii="Arial" w:hAnsi="Arial" w:cs="Arial"/>
        </w:rPr>
        <w:t xml:space="preserve"> </w:t>
      </w:r>
      <w:r w:rsidRPr="007D322B">
        <w:rPr>
          <w:rFonts w:ascii="Arial" w:hAnsi="Arial" w:cs="Arial"/>
        </w:rPr>
        <w:t>(EFS)</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overall</w:t>
      </w:r>
      <w:r w:rsidR="00EE0CCC">
        <w:rPr>
          <w:rFonts w:ascii="Arial" w:hAnsi="Arial" w:cs="Arial"/>
        </w:rPr>
        <w:t xml:space="preserve"> </w:t>
      </w:r>
      <w:r w:rsidRPr="007D322B">
        <w:rPr>
          <w:rFonts w:ascii="Arial" w:hAnsi="Arial" w:cs="Arial"/>
        </w:rPr>
        <w:t>survival</w:t>
      </w:r>
      <w:r w:rsidR="00EE0CCC">
        <w:rPr>
          <w:rFonts w:ascii="Arial" w:hAnsi="Arial" w:cs="Arial"/>
        </w:rPr>
        <w:t xml:space="preserve"> </w:t>
      </w:r>
      <w:r w:rsidRPr="007D322B">
        <w:rPr>
          <w:rFonts w:ascii="Arial" w:hAnsi="Arial" w:cs="Arial"/>
        </w:rPr>
        <w:t>(OS)</w:t>
      </w:r>
      <w:r w:rsidR="00EE0CCC">
        <w:rPr>
          <w:rFonts w:ascii="Arial" w:hAnsi="Arial" w:cs="Arial"/>
        </w:rPr>
        <w:t xml:space="preserve"> </w:t>
      </w:r>
      <w:r w:rsidRPr="007D322B">
        <w:rPr>
          <w:rFonts w:ascii="Arial" w:hAnsi="Arial" w:cs="Arial"/>
        </w:rPr>
        <w:t>rates</w:t>
      </w:r>
      <w:r w:rsidR="00EE0CCC">
        <w:rPr>
          <w:rFonts w:ascii="Arial" w:hAnsi="Arial" w:cs="Arial"/>
        </w:rPr>
        <w:t xml:space="preserve"> </w:t>
      </w:r>
      <w:r w:rsidRPr="007D322B">
        <w:rPr>
          <w:rFonts w:ascii="Arial" w:hAnsi="Arial" w:cs="Arial"/>
        </w:rPr>
        <w:t>[95%</w:t>
      </w:r>
      <w:r w:rsidR="00EE0CCC">
        <w:rPr>
          <w:rFonts w:ascii="Arial" w:hAnsi="Arial" w:cs="Arial"/>
        </w:rPr>
        <w:t xml:space="preserve"> </w:t>
      </w:r>
      <w:r w:rsidRPr="007D322B">
        <w:rPr>
          <w:rFonts w:ascii="Arial" w:hAnsi="Arial" w:cs="Arial"/>
        </w:rPr>
        <w:t>confidence</w:t>
      </w:r>
      <w:r w:rsidR="00EE0CCC">
        <w:rPr>
          <w:rFonts w:ascii="Arial" w:hAnsi="Arial" w:cs="Arial"/>
        </w:rPr>
        <w:t xml:space="preserve"> </w:t>
      </w:r>
      <w:r w:rsidRPr="007D322B">
        <w:rPr>
          <w:rFonts w:ascii="Arial" w:hAnsi="Arial" w:cs="Arial"/>
        </w:rPr>
        <w:t>interval]</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patients</w:t>
      </w:r>
      <w:r w:rsidR="00EE0CCC">
        <w:rPr>
          <w:rFonts w:ascii="Arial" w:hAnsi="Arial" w:cs="Arial"/>
        </w:rPr>
        <w:t xml:space="preserve"> </w:t>
      </w:r>
      <w:r w:rsidRPr="007D322B">
        <w:rPr>
          <w:rFonts w:ascii="Arial" w:hAnsi="Arial" w:cs="Arial"/>
        </w:rPr>
        <w:t>without</w:t>
      </w:r>
      <w:r w:rsidR="00EE0CCC">
        <w:rPr>
          <w:rFonts w:ascii="Arial" w:hAnsi="Arial" w:cs="Arial"/>
        </w:rPr>
        <w:t xml:space="preserve"> </w:t>
      </w:r>
      <w:r w:rsidRPr="007D322B">
        <w:rPr>
          <w:rFonts w:ascii="Arial" w:hAnsi="Arial" w:cs="Arial"/>
        </w:rPr>
        <w:t>evidence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disease</w:t>
      </w:r>
      <w:r w:rsidR="00EE0CCC">
        <w:rPr>
          <w:rFonts w:ascii="Arial" w:hAnsi="Arial" w:cs="Arial"/>
        </w:rPr>
        <w:t xml:space="preserve"> </w:t>
      </w:r>
      <w:r w:rsidRPr="007D322B">
        <w:rPr>
          <w:rFonts w:ascii="Arial" w:hAnsi="Arial" w:cs="Arial"/>
        </w:rPr>
        <w:t>at</w:t>
      </w:r>
      <w:r w:rsidR="00EE0CCC">
        <w:rPr>
          <w:rFonts w:ascii="Arial" w:hAnsi="Arial" w:cs="Arial"/>
        </w:rPr>
        <w:t xml:space="preserve"> </w:t>
      </w:r>
      <w:r w:rsidRPr="007D322B">
        <w:rPr>
          <w:rFonts w:ascii="Arial" w:hAnsi="Arial" w:cs="Arial"/>
        </w:rPr>
        <w:t>baseline</w:t>
      </w:r>
      <w:r w:rsidR="00EE0CCC">
        <w:rPr>
          <w:rFonts w:ascii="Arial" w:hAnsi="Arial" w:cs="Arial"/>
        </w:rPr>
        <w:t xml:space="preserve"> </w:t>
      </w:r>
      <w:r w:rsidRPr="007D322B">
        <w:rPr>
          <w:rFonts w:ascii="Arial" w:hAnsi="Arial" w:cs="Arial"/>
        </w:rPr>
        <w:t>(complete</w:t>
      </w:r>
      <w:r w:rsidR="00EE0CCC">
        <w:rPr>
          <w:rFonts w:ascii="Arial" w:hAnsi="Arial" w:cs="Arial"/>
        </w:rPr>
        <w:t xml:space="preserve"> </w:t>
      </w:r>
      <w:r w:rsidRPr="007D322B">
        <w:rPr>
          <w:rFonts w:ascii="Arial" w:hAnsi="Arial" w:cs="Arial"/>
        </w:rPr>
        <w:t>response</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initial</w:t>
      </w:r>
      <w:r w:rsidR="00EE0CCC">
        <w:rPr>
          <w:rFonts w:ascii="Arial" w:hAnsi="Arial" w:cs="Arial"/>
        </w:rPr>
        <w:t xml:space="preserve"> </w:t>
      </w:r>
      <w:r w:rsidRPr="007D322B">
        <w:rPr>
          <w:rFonts w:ascii="Arial" w:hAnsi="Arial" w:cs="Arial"/>
        </w:rPr>
        <w:t>treatment)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73"/>
        <w:gridCol w:w="1303"/>
        <w:gridCol w:w="1380"/>
        <w:gridCol w:w="1373"/>
        <w:gridCol w:w="1272"/>
        <w:gridCol w:w="1374"/>
      </w:tblGrid>
      <w:tr w:rsidR="00DE2AA7" w:rsidRPr="007D322B" w:rsidTr="00DE2AA7">
        <w:trPr>
          <w:trHeight w:val="549"/>
        </w:trPr>
        <w:tc>
          <w:tcPr>
            <w:tcW w:w="1418" w:type="dxa"/>
            <w:vMerge w:val="restart"/>
            <w:shd w:val="clear" w:color="auto" w:fill="auto"/>
            <w:vAlign w:val="center"/>
          </w:tcPr>
          <w:p w:rsidR="00DE2AA7" w:rsidRPr="007D322B" w:rsidRDefault="00DE2AA7" w:rsidP="00190308">
            <w:pPr>
              <w:keepNext/>
              <w:autoSpaceDE w:val="0"/>
              <w:autoSpaceDN w:val="0"/>
              <w:adjustRightInd w:val="0"/>
              <w:rPr>
                <w:rFonts w:ascii="Arial" w:hAnsi="Arial" w:cs="Arial"/>
                <w:b/>
                <w:sz w:val="20"/>
                <w:szCs w:val="20"/>
              </w:rPr>
            </w:pPr>
            <w:r w:rsidRPr="007D322B">
              <w:rPr>
                <w:rFonts w:ascii="Arial" w:hAnsi="Arial" w:cs="Arial"/>
                <w:b/>
                <w:sz w:val="20"/>
                <w:szCs w:val="20"/>
              </w:rPr>
              <w:t>Efficacy</w:t>
            </w:r>
          </w:p>
        </w:tc>
        <w:tc>
          <w:tcPr>
            <w:tcW w:w="4056" w:type="dxa"/>
            <w:gridSpan w:val="3"/>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without</w:t>
            </w:r>
            <w:r w:rsidR="00EE0CCC">
              <w:rPr>
                <w:rFonts w:ascii="Arial" w:hAnsi="Arial" w:cs="Arial"/>
                <w:b/>
                <w:sz w:val="20"/>
                <w:szCs w:val="20"/>
              </w:rPr>
              <w:t xml:space="preserve"> </w:t>
            </w:r>
            <w:r w:rsidRPr="007D322B">
              <w:rPr>
                <w:rFonts w:ascii="Arial" w:hAnsi="Arial" w:cs="Arial"/>
                <w:b/>
                <w:sz w:val="20"/>
                <w:szCs w:val="20"/>
              </w:rPr>
              <w:t>IL</w:t>
            </w:r>
            <w:r w:rsidRPr="007D322B">
              <w:rPr>
                <w:rFonts w:ascii="Arial" w:hAnsi="Arial" w:cs="Arial"/>
                <w:b/>
                <w:sz w:val="20"/>
                <w:szCs w:val="20"/>
              </w:rPr>
              <w:noBreakHyphen/>
              <w:t>2</w:t>
            </w:r>
          </w:p>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N=104</w:t>
            </w:r>
          </w:p>
        </w:tc>
        <w:tc>
          <w:tcPr>
            <w:tcW w:w="4019" w:type="dxa"/>
            <w:gridSpan w:val="3"/>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with</w:t>
            </w:r>
            <w:r w:rsidR="00EE0CCC">
              <w:rPr>
                <w:rFonts w:ascii="Arial" w:hAnsi="Arial" w:cs="Arial"/>
                <w:b/>
                <w:sz w:val="20"/>
                <w:szCs w:val="20"/>
              </w:rPr>
              <w:t xml:space="preserve"> </w:t>
            </w:r>
            <w:r w:rsidRPr="007D322B">
              <w:rPr>
                <w:rFonts w:ascii="Arial" w:hAnsi="Arial" w:cs="Arial"/>
                <w:b/>
                <w:sz w:val="20"/>
                <w:szCs w:val="20"/>
              </w:rPr>
              <w:t>IL-2</w:t>
            </w:r>
          </w:p>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N=107</w:t>
            </w:r>
          </w:p>
        </w:tc>
      </w:tr>
      <w:tr w:rsidR="00DE2AA7" w:rsidRPr="007D322B" w:rsidTr="00DE2AA7">
        <w:trPr>
          <w:trHeight w:val="572"/>
        </w:trPr>
        <w:tc>
          <w:tcPr>
            <w:tcW w:w="1418" w:type="dxa"/>
            <w:vMerge/>
            <w:shd w:val="clear" w:color="auto" w:fill="auto"/>
            <w:vAlign w:val="center"/>
          </w:tcPr>
          <w:p w:rsidR="00DE2AA7" w:rsidRPr="007D322B" w:rsidRDefault="00DE2AA7" w:rsidP="00190308">
            <w:pPr>
              <w:keepNext/>
              <w:autoSpaceDE w:val="0"/>
              <w:autoSpaceDN w:val="0"/>
              <w:adjustRightInd w:val="0"/>
              <w:rPr>
                <w:rFonts w:ascii="Arial" w:hAnsi="Arial" w:cs="Arial"/>
                <w:b/>
                <w:sz w:val="20"/>
                <w:szCs w:val="20"/>
              </w:rPr>
            </w:pP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1</w:t>
            </w:r>
            <w:r w:rsidR="00EE0CCC">
              <w:rPr>
                <w:rFonts w:ascii="Arial" w:hAnsi="Arial" w:cs="Arial"/>
                <w:b/>
                <w:sz w:val="20"/>
                <w:szCs w:val="20"/>
              </w:rPr>
              <w:t xml:space="preserve"> </w:t>
            </w:r>
            <w:r w:rsidRPr="007D322B">
              <w:rPr>
                <w:rFonts w:ascii="Arial" w:hAnsi="Arial" w:cs="Arial"/>
                <w:b/>
                <w:sz w:val="20"/>
                <w:szCs w:val="20"/>
              </w:rPr>
              <w:t>year</w:t>
            </w:r>
          </w:p>
        </w:tc>
        <w:tc>
          <w:tcPr>
            <w:tcW w:w="130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2</w:t>
            </w:r>
            <w:r w:rsidR="00EE0CCC">
              <w:rPr>
                <w:rFonts w:ascii="Arial" w:hAnsi="Arial" w:cs="Arial"/>
                <w:b/>
                <w:sz w:val="20"/>
                <w:szCs w:val="20"/>
              </w:rPr>
              <w:t xml:space="preserve"> </w:t>
            </w:r>
            <w:r w:rsidRPr="007D322B">
              <w:rPr>
                <w:rFonts w:ascii="Arial" w:hAnsi="Arial" w:cs="Arial"/>
                <w:b/>
                <w:sz w:val="20"/>
                <w:szCs w:val="20"/>
              </w:rPr>
              <w:t>year</w:t>
            </w:r>
          </w:p>
        </w:tc>
        <w:tc>
          <w:tcPr>
            <w:tcW w:w="1379"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3</w:t>
            </w:r>
            <w:r w:rsidR="00EE0CCC">
              <w:rPr>
                <w:rFonts w:ascii="Arial" w:hAnsi="Arial" w:cs="Arial"/>
                <w:b/>
                <w:sz w:val="20"/>
                <w:szCs w:val="20"/>
              </w:rPr>
              <w:t xml:space="preserve"> </w:t>
            </w:r>
            <w:r w:rsidRPr="007D322B">
              <w:rPr>
                <w:rFonts w:ascii="Arial" w:hAnsi="Arial" w:cs="Arial"/>
                <w:b/>
                <w:sz w:val="20"/>
                <w:szCs w:val="20"/>
              </w:rPr>
              <w:t>year</w:t>
            </w: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1</w:t>
            </w:r>
            <w:r w:rsidR="00EE0CCC">
              <w:rPr>
                <w:rFonts w:ascii="Arial" w:hAnsi="Arial" w:cs="Arial"/>
                <w:b/>
                <w:sz w:val="20"/>
                <w:szCs w:val="20"/>
              </w:rPr>
              <w:t xml:space="preserve"> </w:t>
            </w:r>
            <w:r w:rsidRPr="007D322B">
              <w:rPr>
                <w:rFonts w:ascii="Arial" w:hAnsi="Arial" w:cs="Arial"/>
                <w:b/>
                <w:sz w:val="20"/>
                <w:szCs w:val="20"/>
              </w:rPr>
              <w:t>year</w:t>
            </w:r>
          </w:p>
        </w:tc>
        <w:tc>
          <w:tcPr>
            <w:tcW w:w="1272"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2</w:t>
            </w:r>
            <w:r w:rsidR="00EE0CCC">
              <w:rPr>
                <w:rFonts w:ascii="Arial" w:hAnsi="Arial" w:cs="Arial"/>
                <w:b/>
                <w:sz w:val="20"/>
                <w:szCs w:val="20"/>
              </w:rPr>
              <w:t xml:space="preserve"> </w:t>
            </w:r>
            <w:r w:rsidRPr="007D322B">
              <w:rPr>
                <w:rFonts w:ascii="Arial" w:hAnsi="Arial" w:cs="Arial"/>
                <w:b/>
                <w:sz w:val="20"/>
                <w:szCs w:val="20"/>
              </w:rPr>
              <w:t>year</w:t>
            </w: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3</w:t>
            </w:r>
            <w:r w:rsidR="00EE0CCC">
              <w:rPr>
                <w:rFonts w:ascii="Arial" w:hAnsi="Arial" w:cs="Arial"/>
                <w:b/>
                <w:sz w:val="20"/>
                <w:szCs w:val="20"/>
              </w:rPr>
              <w:t xml:space="preserve"> </w:t>
            </w:r>
            <w:r w:rsidRPr="007D322B">
              <w:rPr>
                <w:rFonts w:ascii="Arial" w:hAnsi="Arial" w:cs="Arial"/>
                <w:b/>
                <w:sz w:val="20"/>
                <w:szCs w:val="20"/>
              </w:rPr>
              <w:t>year</w:t>
            </w:r>
          </w:p>
        </w:tc>
      </w:tr>
      <w:tr w:rsidR="00DE2AA7" w:rsidRPr="007D322B" w:rsidTr="00DE2AA7">
        <w:trPr>
          <w:trHeight w:val="566"/>
        </w:trPr>
        <w:tc>
          <w:tcPr>
            <w:tcW w:w="1418" w:type="dxa"/>
            <w:shd w:val="clear" w:color="auto" w:fill="auto"/>
            <w:vAlign w:val="center"/>
          </w:tcPr>
          <w:p w:rsidR="00DE2AA7" w:rsidRPr="007D322B" w:rsidRDefault="00DE2AA7" w:rsidP="00190308">
            <w:pPr>
              <w:keepNext/>
              <w:autoSpaceDE w:val="0"/>
              <w:autoSpaceDN w:val="0"/>
              <w:adjustRightInd w:val="0"/>
              <w:rPr>
                <w:rFonts w:ascii="Arial" w:hAnsi="Arial" w:cs="Arial"/>
                <w:b/>
                <w:sz w:val="20"/>
                <w:szCs w:val="20"/>
              </w:rPr>
            </w:pPr>
            <w:r w:rsidRPr="007D322B">
              <w:rPr>
                <w:rFonts w:ascii="Arial" w:hAnsi="Arial" w:cs="Arial"/>
                <w:iCs/>
                <w:noProof/>
                <w:sz w:val="20"/>
                <w:szCs w:val="20"/>
              </w:rPr>
              <w:t>EFS</w:t>
            </w: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77%</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[67;</w:t>
            </w:r>
            <w:r w:rsidR="00EE0CCC">
              <w:rPr>
                <w:rFonts w:ascii="Arial" w:hAnsi="Arial" w:cs="Arial"/>
                <w:sz w:val="20"/>
                <w:szCs w:val="20"/>
              </w:rPr>
              <w:t xml:space="preserve"> </w:t>
            </w:r>
            <w:r w:rsidRPr="007D322B">
              <w:rPr>
                <w:rFonts w:ascii="Arial" w:hAnsi="Arial" w:cs="Arial"/>
                <w:sz w:val="20"/>
                <w:szCs w:val="20"/>
              </w:rPr>
              <w:t>84]</w:t>
            </w:r>
          </w:p>
        </w:tc>
        <w:tc>
          <w:tcPr>
            <w:tcW w:w="130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67%</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[57;</w:t>
            </w:r>
            <w:r w:rsidR="00EE0CCC">
              <w:rPr>
                <w:rFonts w:ascii="Arial" w:hAnsi="Arial" w:cs="Arial"/>
                <w:sz w:val="20"/>
                <w:szCs w:val="20"/>
              </w:rPr>
              <w:t xml:space="preserve"> </w:t>
            </w:r>
            <w:r w:rsidRPr="007D322B">
              <w:rPr>
                <w:rFonts w:ascii="Arial" w:hAnsi="Arial" w:cs="Arial"/>
                <w:sz w:val="20"/>
                <w:szCs w:val="20"/>
              </w:rPr>
              <w:t>75]</w:t>
            </w:r>
          </w:p>
        </w:tc>
        <w:tc>
          <w:tcPr>
            <w:tcW w:w="1379"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62%</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[51;</w:t>
            </w:r>
            <w:r w:rsidR="00EE0CCC">
              <w:rPr>
                <w:rFonts w:ascii="Arial" w:hAnsi="Arial" w:cs="Arial"/>
                <w:sz w:val="20"/>
                <w:szCs w:val="20"/>
              </w:rPr>
              <w:t xml:space="preserve"> </w:t>
            </w:r>
            <w:r w:rsidRPr="007D322B">
              <w:rPr>
                <w:rFonts w:ascii="Arial" w:hAnsi="Arial" w:cs="Arial"/>
                <w:sz w:val="20"/>
                <w:szCs w:val="20"/>
              </w:rPr>
              <w:t>71]</w:t>
            </w: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73%</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[63;</w:t>
            </w:r>
            <w:r w:rsidR="00EE0CCC">
              <w:rPr>
                <w:rFonts w:ascii="Arial" w:hAnsi="Arial" w:cs="Arial"/>
                <w:sz w:val="20"/>
                <w:szCs w:val="20"/>
              </w:rPr>
              <w:t xml:space="preserve"> </w:t>
            </w:r>
            <w:r w:rsidRPr="007D322B">
              <w:rPr>
                <w:rFonts w:ascii="Arial" w:hAnsi="Arial" w:cs="Arial"/>
                <w:sz w:val="20"/>
                <w:szCs w:val="20"/>
              </w:rPr>
              <w:t>80]</w:t>
            </w:r>
          </w:p>
        </w:tc>
        <w:tc>
          <w:tcPr>
            <w:tcW w:w="1272"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70%</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[60;</w:t>
            </w:r>
            <w:r w:rsidR="00EE0CCC">
              <w:rPr>
                <w:rFonts w:ascii="Arial" w:hAnsi="Arial" w:cs="Arial"/>
                <w:sz w:val="20"/>
                <w:szCs w:val="20"/>
              </w:rPr>
              <w:t xml:space="preserve"> </w:t>
            </w:r>
            <w:r w:rsidRPr="007D322B">
              <w:rPr>
                <w:rFonts w:ascii="Arial" w:hAnsi="Arial" w:cs="Arial"/>
                <w:sz w:val="20"/>
                <w:szCs w:val="20"/>
              </w:rPr>
              <w:t>77]</w:t>
            </w: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66%</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[56;</w:t>
            </w:r>
            <w:r w:rsidR="00EE0CCC">
              <w:rPr>
                <w:rFonts w:ascii="Arial" w:hAnsi="Arial" w:cs="Arial"/>
                <w:sz w:val="20"/>
                <w:szCs w:val="20"/>
              </w:rPr>
              <w:t xml:space="preserve"> </w:t>
            </w:r>
            <w:r w:rsidRPr="007D322B">
              <w:rPr>
                <w:rFonts w:ascii="Arial" w:hAnsi="Arial" w:cs="Arial"/>
                <w:sz w:val="20"/>
                <w:szCs w:val="20"/>
              </w:rPr>
              <w:t>75]</w:t>
            </w:r>
          </w:p>
        </w:tc>
      </w:tr>
      <w:tr w:rsidR="00DE2AA7" w:rsidRPr="007D322B" w:rsidTr="00DE2AA7">
        <w:trPr>
          <w:trHeight w:val="574"/>
        </w:trPr>
        <w:tc>
          <w:tcPr>
            <w:tcW w:w="1418" w:type="dxa"/>
            <w:shd w:val="clear" w:color="auto" w:fill="auto"/>
            <w:vAlign w:val="center"/>
          </w:tcPr>
          <w:p w:rsidR="00DE2AA7" w:rsidRPr="007D322B" w:rsidRDefault="00DE2AA7" w:rsidP="00190308">
            <w:pPr>
              <w:keepNext/>
              <w:autoSpaceDE w:val="0"/>
              <w:autoSpaceDN w:val="0"/>
              <w:adjustRightInd w:val="0"/>
              <w:rPr>
                <w:rFonts w:ascii="Arial" w:hAnsi="Arial" w:cs="Arial"/>
                <w:sz w:val="20"/>
                <w:szCs w:val="20"/>
              </w:rPr>
            </w:pPr>
            <w:r w:rsidRPr="007D322B">
              <w:rPr>
                <w:rFonts w:ascii="Arial" w:hAnsi="Arial" w:cs="Arial"/>
                <w:sz w:val="20"/>
                <w:szCs w:val="20"/>
              </w:rPr>
              <w:t>OS</w:t>
            </w: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89%</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[81;</w:t>
            </w:r>
            <w:r w:rsidR="00EE0CCC">
              <w:rPr>
                <w:rFonts w:ascii="Arial" w:hAnsi="Arial" w:cs="Arial"/>
                <w:sz w:val="20"/>
                <w:szCs w:val="20"/>
              </w:rPr>
              <w:t xml:space="preserve"> </w:t>
            </w:r>
            <w:r w:rsidRPr="007D322B">
              <w:rPr>
                <w:rFonts w:ascii="Arial" w:hAnsi="Arial" w:cs="Arial"/>
                <w:sz w:val="20"/>
                <w:szCs w:val="20"/>
              </w:rPr>
              <w:t>94]</w:t>
            </w:r>
          </w:p>
        </w:tc>
        <w:tc>
          <w:tcPr>
            <w:tcW w:w="130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78%</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[68;</w:t>
            </w:r>
            <w:r w:rsidR="00EE0CCC">
              <w:rPr>
                <w:rFonts w:ascii="Arial" w:hAnsi="Arial" w:cs="Arial"/>
                <w:sz w:val="20"/>
                <w:szCs w:val="20"/>
              </w:rPr>
              <w:t xml:space="preserve"> </w:t>
            </w:r>
            <w:r w:rsidRPr="007D322B">
              <w:rPr>
                <w:rFonts w:ascii="Arial" w:hAnsi="Arial" w:cs="Arial"/>
                <w:sz w:val="20"/>
                <w:szCs w:val="20"/>
              </w:rPr>
              <w:t>85]</w:t>
            </w:r>
          </w:p>
        </w:tc>
        <w:tc>
          <w:tcPr>
            <w:tcW w:w="1379"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71%</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[60;</w:t>
            </w:r>
            <w:r w:rsidR="00EE0CCC">
              <w:rPr>
                <w:rFonts w:ascii="Arial" w:hAnsi="Arial" w:cs="Arial"/>
                <w:sz w:val="20"/>
                <w:szCs w:val="20"/>
              </w:rPr>
              <w:t xml:space="preserve"> </w:t>
            </w:r>
            <w:r w:rsidRPr="007D322B">
              <w:rPr>
                <w:rFonts w:ascii="Arial" w:hAnsi="Arial" w:cs="Arial"/>
                <w:sz w:val="20"/>
                <w:szCs w:val="20"/>
              </w:rPr>
              <w:t>80]</w:t>
            </w: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89%</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[81;</w:t>
            </w:r>
            <w:r w:rsidR="00EE0CCC">
              <w:rPr>
                <w:rFonts w:ascii="Arial" w:hAnsi="Arial" w:cs="Arial"/>
                <w:sz w:val="20"/>
                <w:szCs w:val="20"/>
              </w:rPr>
              <w:t xml:space="preserve"> </w:t>
            </w:r>
            <w:r w:rsidRPr="007D322B">
              <w:rPr>
                <w:rFonts w:ascii="Arial" w:hAnsi="Arial" w:cs="Arial"/>
                <w:sz w:val="20"/>
                <w:szCs w:val="20"/>
              </w:rPr>
              <w:t>93]</w:t>
            </w:r>
          </w:p>
        </w:tc>
        <w:tc>
          <w:tcPr>
            <w:tcW w:w="1272"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78%</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[68;</w:t>
            </w:r>
            <w:r w:rsidR="00EE0CCC">
              <w:rPr>
                <w:rFonts w:ascii="Arial" w:hAnsi="Arial" w:cs="Arial"/>
                <w:sz w:val="20"/>
                <w:szCs w:val="20"/>
              </w:rPr>
              <w:t xml:space="preserve"> </w:t>
            </w:r>
            <w:r w:rsidRPr="007D322B">
              <w:rPr>
                <w:rFonts w:ascii="Arial" w:hAnsi="Arial" w:cs="Arial"/>
                <w:sz w:val="20"/>
                <w:szCs w:val="20"/>
              </w:rPr>
              <w:t>85]</w:t>
            </w:r>
          </w:p>
        </w:tc>
        <w:tc>
          <w:tcPr>
            <w:tcW w:w="1373"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72%</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[61;</w:t>
            </w:r>
            <w:r w:rsidR="00EE0CCC">
              <w:rPr>
                <w:rFonts w:ascii="Arial" w:hAnsi="Arial" w:cs="Arial"/>
                <w:sz w:val="20"/>
                <w:szCs w:val="20"/>
              </w:rPr>
              <w:t xml:space="preserve"> </w:t>
            </w:r>
            <w:r w:rsidRPr="007D322B">
              <w:rPr>
                <w:rFonts w:ascii="Arial" w:hAnsi="Arial" w:cs="Arial"/>
                <w:sz w:val="20"/>
                <w:szCs w:val="20"/>
              </w:rPr>
              <w:t>80]</w:t>
            </w:r>
          </w:p>
        </w:tc>
      </w:tr>
    </w:tbl>
    <w:p w:rsidR="00DE2AA7" w:rsidRPr="007D322B" w:rsidRDefault="00DE2AA7" w:rsidP="00DE2AA7">
      <w:pPr>
        <w:autoSpaceDE w:val="0"/>
        <w:autoSpaceDN w:val="0"/>
        <w:adjustRightInd w:val="0"/>
        <w:rPr>
          <w:rFonts w:ascii="Arial" w:hAnsi="Arial" w:cs="Arial"/>
        </w:rPr>
      </w:pPr>
    </w:p>
    <w:p w:rsidR="00DE2AA7" w:rsidRPr="007D322B" w:rsidRDefault="00DE2AA7" w:rsidP="00DE2AA7">
      <w:pPr>
        <w:keepNext/>
        <w:autoSpaceDE w:val="0"/>
        <w:autoSpaceDN w:val="0"/>
        <w:adjustRightInd w:val="0"/>
        <w:rPr>
          <w:rFonts w:ascii="Arial" w:hAnsi="Arial" w:cs="Arial"/>
        </w:rPr>
      </w:pPr>
      <w:r w:rsidRPr="007D322B">
        <w:rPr>
          <w:rFonts w:ascii="Arial" w:hAnsi="Arial" w:cs="Arial"/>
        </w:rPr>
        <w:t>Table</w:t>
      </w:r>
      <w:r w:rsidR="00EE0CCC">
        <w:rPr>
          <w:rFonts w:ascii="Arial" w:hAnsi="Arial" w:cs="Arial"/>
        </w:rPr>
        <w:t xml:space="preserve"> </w:t>
      </w:r>
      <w:r w:rsidR="00F76C3C">
        <w:rPr>
          <w:rFonts w:ascii="Arial" w:hAnsi="Arial" w:cs="Arial"/>
        </w:rPr>
        <w:t>2</w:t>
      </w:r>
      <w:r w:rsidRPr="007D322B">
        <w:rPr>
          <w:rFonts w:ascii="Arial" w:hAnsi="Arial" w:cs="Arial"/>
        </w:rPr>
        <w:t>:</w:t>
      </w:r>
      <w:r w:rsidR="00EE0CCC">
        <w:rPr>
          <w:rFonts w:ascii="Arial" w:hAnsi="Arial" w:cs="Arial"/>
        </w:rPr>
        <w:t xml:space="preserve"> </w:t>
      </w:r>
      <w:r w:rsidRPr="007D322B">
        <w:rPr>
          <w:rFonts w:ascii="Arial" w:hAnsi="Arial" w:cs="Arial"/>
        </w:rPr>
        <w:t>Event-free</w:t>
      </w:r>
      <w:r w:rsidR="00EE0CCC">
        <w:rPr>
          <w:rFonts w:ascii="Arial" w:hAnsi="Arial" w:cs="Arial"/>
        </w:rPr>
        <w:t xml:space="preserve"> </w:t>
      </w:r>
      <w:r w:rsidRPr="007D322B">
        <w:rPr>
          <w:rFonts w:ascii="Arial" w:hAnsi="Arial" w:cs="Arial"/>
        </w:rPr>
        <w:t>survival</w:t>
      </w:r>
      <w:r w:rsidR="00EE0CCC">
        <w:rPr>
          <w:rFonts w:ascii="Arial" w:hAnsi="Arial" w:cs="Arial"/>
        </w:rPr>
        <w:t xml:space="preserve"> </w:t>
      </w:r>
      <w:r w:rsidRPr="007D322B">
        <w:rPr>
          <w:rFonts w:ascii="Arial" w:hAnsi="Arial" w:cs="Arial"/>
        </w:rPr>
        <w:t>(EFS)</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overall</w:t>
      </w:r>
      <w:r w:rsidR="00EE0CCC">
        <w:rPr>
          <w:rFonts w:ascii="Arial" w:hAnsi="Arial" w:cs="Arial"/>
        </w:rPr>
        <w:t xml:space="preserve"> </w:t>
      </w:r>
      <w:r w:rsidRPr="007D322B">
        <w:rPr>
          <w:rFonts w:ascii="Arial" w:hAnsi="Arial" w:cs="Arial"/>
        </w:rPr>
        <w:t>survival</w:t>
      </w:r>
      <w:r w:rsidR="00EE0CCC">
        <w:rPr>
          <w:rFonts w:ascii="Arial" w:hAnsi="Arial" w:cs="Arial"/>
        </w:rPr>
        <w:t xml:space="preserve"> </w:t>
      </w:r>
      <w:r w:rsidRPr="007D322B">
        <w:rPr>
          <w:rFonts w:ascii="Arial" w:hAnsi="Arial" w:cs="Arial"/>
        </w:rPr>
        <w:t>(OS)</w:t>
      </w:r>
      <w:r w:rsidR="00EE0CCC">
        <w:rPr>
          <w:rFonts w:ascii="Arial" w:hAnsi="Arial" w:cs="Arial"/>
        </w:rPr>
        <w:t xml:space="preserve"> </w:t>
      </w:r>
      <w:r w:rsidRPr="007D322B">
        <w:rPr>
          <w:rFonts w:ascii="Arial" w:hAnsi="Arial" w:cs="Arial"/>
        </w:rPr>
        <w:t>rates</w:t>
      </w:r>
      <w:r w:rsidR="00EE0CCC">
        <w:rPr>
          <w:rFonts w:ascii="Arial" w:hAnsi="Arial" w:cs="Arial"/>
        </w:rPr>
        <w:t xml:space="preserve"> </w:t>
      </w:r>
      <w:r w:rsidRPr="007D322B">
        <w:rPr>
          <w:rFonts w:ascii="Arial" w:hAnsi="Arial" w:cs="Arial"/>
        </w:rPr>
        <w:t>[95%</w:t>
      </w:r>
      <w:r w:rsidR="00EE0CCC">
        <w:rPr>
          <w:rFonts w:ascii="Arial" w:hAnsi="Arial" w:cs="Arial"/>
        </w:rPr>
        <w:t xml:space="preserve"> </w:t>
      </w:r>
      <w:r w:rsidRPr="007D322B">
        <w:rPr>
          <w:rFonts w:ascii="Arial" w:hAnsi="Arial" w:cs="Arial"/>
        </w:rPr>
        <w:t>confidence</w:t>
      </w:r>
      <w:r w:rsidR="00EE0CCC">
        <w:rPr>
          <w:rFonts w:ascii="Arial" w:hAnsi="Arial" w:cs="Arial"/>
        </w:rPr>
        <w:t xml:space="preserve"> </w:t>
      </w:r>
      <w:r w:rsidRPr="007D322B">
        <w:rPr>
          <w:rFonts w:ascii="Arial" w:hAnsi="Arial" w:cs="Arial"/>
        </w:rPr>
        <w:t>interval]</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patients</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evidence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disease</w:t>
      </w:r>
      <w:r w:rsidR="00EE0CCC">
        <w:rPr>
          <w:rFonts w:ascii="Arial" w:hAnsi="Arial" w:cs="Arial"/>
        </w:rPr>
        <w:t xml:space="preserve"> </w:t>
      </w:r>
      <w:r w:rsidRPr="007D322B">
        <w:rPr>
          <w:rFonts w:ascii="Arial" w:hAnsi="Arial" w:cs="Arial"/>
        </w:rPr>
        <w:t>at</w:t>
      </w:r>
      <w:r w:rsidR="00EE0CCC">
        <w:rPr>
          <w:rFonts w:ascii="Arial" w:hAnsi="Arial" w:cs="Arial"/>
        </w:rPr>
        <w:t xml:space="preserve"> </w:t>
      </w:r>
      <w:r w:rsidRPr="007D322B">
        <w:rPr>
          <w:rFonts w:ascii="Arial" w:hAnsi="Arial" w:cs="Arial"/>
        </w:rPr>
        <w:t>baseline</w:t>
      </w:r>
      <w:r w:rsidR="00EE0CCC">
        <w:rPr>
          <w:rFonts w:ascii="Arial" w:hAnsi="Arial" w:cs="Arial"/>
        </w:rPr>
        <w:t xml:space="preserve"> </w:t>
      </w:r>
      <w:r w:rsidRPr="007D322B">
        <w:rPr>
          <w:rFonts w:ascii="Arial" w:hAnsi="Arial" w:cs="Arial"/>
        </w:rPr>
        <w:t>(no</w:t>
      </w:r>
      <w:r w:rsidR="00EE0CCC">
        <w:rPr>
          <w:rFonts w:ascii="Arial" w:hAnsi="Arial" w:cs="Arial"/>
        </w:rPr>
        <w:t xml:space="preserve"> </w:t>
      </w:r>
      <w:r w:rsidRPr="007D322B">
        <w:rPr>
          <w:rFonts w:ascii="Arial" w:hAnsi="Arial" w:cs="Arial"/>
        </w:rPr>
        <w:t>complete</w:t>
      </w:r>
      <w:r w:rsidR="00EE0CCC">
        <w:rPr>
          <w:rFonts w:ascii="Arial" w:hAnsi="Arial" w:cs="Arial"/>
        </w:rPr>
        <w:t xml:space="preserve"> </w:t>
      </w:r>
      <w:r w:rsidRPr="007D322B">
        <w:rPr>
          <w:rFonts w:ascii="Arial" w:hAnsi="Arial" w:cs="Arial"/>
        </w:rPr>
        <w:t>response</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initial</w:t>
      </w:r>
      <w:r w:rsidR="00EE0CCC">
        <w:rPr>
          <w:rFonts w:ascii="Arial" w:hAnsi="Arial" w:cs="Arial"/>
        </w:rPr>
        <w:t xml:space="preserve"> </w:t>
      </w:r>
      <w:r w:rsidRPr="007D322B">
        <w:rPr>
          <w:rFonts w:ascii="Arial" w:hAnsi="Arial" w:cs="Arial"/>
        </w:rPr>
        <w:t>treatment)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238"/>
        <w:gridCol w:w="1260"/>
        <w:gridCol w:w="1427"/>
        <w:gridCol w:w="1578"/>
        <w:gridCol w:w="1245"/>
        <w:gridCol w:w="1356"/>
      </w:tblGrid>
      <w:tr w:rsidR="00DE2AA7" w:rsidRPr="007D322B" w:rsidTr="00DE2AA7">
        <w:trPr>
          <w:trHeight w:val="560"/>
        </w:trPr>
        <w:tc>
          <w:tcPr>
            <w:tcW w:w="1401" w:type="dxa"/>
            <w:vMerge w:val="restart"/>
            <w:shd w:val="clear" w:color="auto" w:fill="auto"/>
            <w:vAlign w:val="center"/>
          </w:tcPr>
          <w:p w:rsidR="00DE2AA7" w:rsidRPr="007D322B" w:rsidRDefault="00DE2AA7" w:rsidP="00190308">
            <w:pPr>
              <w:keepNext/>
              <w:autoSpaceDE w:val="0"/>
              <w:autoSpaceDN w:val="0"/>
              <w:adjustRightInd w:val="0"/>
              <w:rPr>
                <w:rFonts w:ascii="Arial" w:hAnsi="Arial" w:cs="Arial"/>
                <w:b/>
                <w:sz w:val="20"/>
                <w:szCs w:val="20"/>
              </w:rPr>
            </w:pPr>
            <w:r w:rsidRPr="007D322B">
              <w:rPr>
                <w:rFonts w:ascii="Arial" w:hAnsi="Arial" w:cs="Arial"/>
                <w:b/>
                <w:sz w:val="20"/>
                <w:szCs w:val="20"/>
              </w:rPr>
              <w:t>Efficacy</w:t>
            </w:r>
          </w:p>
        </w:tc>
        <w:tc>
          <w:tcPr>
            <w:tcW w:w="3925" w:type="dxa"/>
            <w:gridSpan w:val="3"/>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without</w:t>
            </w:r>
            <w:r w:rsidR="00EE0CCC">
              <w:rPr>
                <w:rFonts w:ascii="Arial" w:hAnsi="Arial" w:cs="Arial"/>
                <w:b/>
                <w:sz w:val="20"/>
                <w:szCs w:val="20"/>
              </w:rPr>
              <w:t xml:space="preserve"> </w:t>
            </w:r>
            <w:r w:rsidRPr="007D322B">
              <w:rPr>
                <w:rFonts w:ascii="Arial" w:hAnsi="Arial" w:cs="Arial"/>
                <w:b/>
                <w:sz w:val="20"/>
                <w:szCs w:val="20"/>
              </w:rPr>
              <w:t>IL</w:t>
            </w:r>
            <w:r w:rsidRPr="007D322B">
              <w:rPr>
                <w:rFonts w:ascii="Arial" w:hAnsi="Arial" w:cs="Arial"/>
                <w:b/>
                <w:sz w:val="20"/>
                <w:szCs w:val="20"/>
              </w:rPr>
              <w:noBreakHyphen/>
              <w:t>2</w:t>
            </w:r>
          </w:p>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N=73</w:t>
            </w:r>
          </w:p>
        </w:tc>
        <w:tc>
          <w:tcPr>
            <w:tcW w:w="4179" w:type="dxa"/>
            <w:gridSpan w:val="3"/>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with</w:t>
            </w:r>
            <w:r w:rsidR="00EE0CCC">
              <w:rPr>
                <w:rFonts w:ascii="Arial" w:hAnsi="Arial" w:cs="Arial"/>
                <w:b/>
                <w:sz w:val="20"/>
                <w:szCs w:val="20"/>
              </w:rPr>
              <w:t xml:space="preserve"> </w:t>
            </w:r>
            <w:r w:rsidRPr="007D322B">
              <w:rPr>
                <w:rFonts w:ascii="Arial" w:hAnsi="Arial" w:cs="Arial"/>
                <w:b/>
                <w:sz w:val="20"/>
                <w:szCs w:val="20"/>
              </w:rPr>
              <w:t>IL-2</w:t>
            </w:r>
          </w:p>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N=76</w:t>
            </w:r>
          </w:p>
        </w:tc>
      </w:tr>
      <w:tr w:rsidR="00DE2AA7" w:rsidRPr="007D322B" w:rsidTr="00DE2AA7">
        <w:trPr>
          <w:trHeight w:val="582"/>
        </w:trPr>
        <w:tc>
          <w:tcPr>
            <w:tcW w:w="1401" w:type="dxa"/>
            <w:vMerge/>
            <w:shd w:val="clear" w:color="auto" w:fill="auto"/>
            <w:vAlign w:val="center"/>
          </w:tcPr>
          <w:p w:rsidR="00DE2AA7" w:rsidRPr="007D322B" w:rsidRDefault="00DE2AA7" w:rsidP="00190308">
            <w:pPr>
              <w:keepNext/>
              <w:autoSpaceDE w:val="0"/>
              <w:autoSpaceDN w:val="0"/>
              <w:adjustRightInd w:val="0"/>
              <w:rPr>
                <w:rFonts w:ascii="Arial" w:hAnsi="Arial" w:cs="Arial"/>
                <w:b/>
                <w:sz w:val="20"/>
                <w:szCs w:val="20"/>
              </w:rPr>
            </w:pPr>
          </w:p>
        </w:tc>
        <w:tc>
          <w:tcPr>
            <w:tcW w:w="1238"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1</w:t>
            </w:r>
            <w:r w:rsidR="00EE0CCC">
              <w:rPr>
                <w:rFonts w:ascii="Arial" w:hAnsi="Arial" w:cs="Arial"/>
                <w:b/>
                <w:sz w:val="20"/>
                <w:szCs w:val="20"/>
              </w:rPr>
              <w:t xml:space="preserve"> </w:t>
            </w:r>
            <w:r w:rsidRPr="007D322B">
              <w:rPr>
                <w:rFonts w:ascii="Arial" w:hAnsi="Arial" w:cs="Arial"/>
                <w:b/>
                <w:sz w:val="20"/>
                <w:szCs w:val="20"/>
              </w:rPr>
              <w:t>year</w:t>
            </w:r>
          </w:p>
        </w:tc>
        <w:tc>
          <w:tcPr>
            <w:tcW w:w="1260"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2</w:t>
            </w:r>
            <w:r w:rsidR="00EE0CCC">
              <w:rPr>
                <w:rFonts w:ascii="Arial" w:hAnsi="Arial" w:cs="Arial"/>
                <w:b/>
                <w:sz w:val="20"/>
                <w:szCs w:val="20"/>
              </w:rPr>
              <w:t xml:space="preserve"> </w:t>
            </w:r>
            <w:r w:rsidRPr="007D322B">
              <w:rPr>
                <w:rFonts w:ascii="Arial" w:hAnsi="Arial" w:cs="Arial"/>
                <w:b/>
                <w:sz w:val="20"/>
                <w:szCs w:val="20"/>
              </w:rPr>
              <w:t>year</w:t>
            </w:r>
          </w:p>
        </w:tc>
        <w:tc>
          <w:tcPr>
            <w:tcW w:w="142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3</w:t>
            </w:r>
            <w:r w:rsidR="00EE0CCC">
              <w:rPr>
                <w:rFonts w:ascii="Arial" w:hAnsi="Arial" w:cs="Arial"/>
                <w:b/>
                <w:sz w:val="20"/>
                <w:szCs w:val="20"/>
              </w:rPr>
              <w:t xml:space="preserve"> </w:t>
            </w:r>
            <w:r w:rsidRPr="007D322B">
              <w:rPr>
                <w:rFonts w:ascii="Arial" w:hAnsi="Arial" w:cs="Arial"/>
                <w:b/>
                <w:sz w:val="20"/>
                <w:szCs w:val="20"/>
              </w:rPr>
              <w:t>year</w:t>
            </w:r>
          </w:p>
        </w:tc>
        <w:tc>
          <w:tcPr>
            <w:tcW w:w="1578"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1</w:t>
            </w:r>
            <w:r w:rsidR="00EE0CCC">
              <w:rPr>
                <w:rFonts w:ascii="Arial" w:hAnsi="Arial" w:cs="Arial"/>
                <w:b/>
                <w:sz w:val="20"/>
                <w:szCs w:val="20"/>
              </w:rPr>
              <w:t xml:space="preserve"> </w:t>
            </w:r>
            <w:r w:rsidRPr="007D322B">
              <w:rPr>
                <w:rFonts w:ascii="Arial" w:hAnsi="Arial" w:cs="Arial"/>
                <w:b/>
                <w:sz w:val="20"/>
                <w:szCs w:val="20"/>
              </w:rPr>
              <w:t>year</w:t>
            </w:r>
          </w:p>
        </w:tc>
        <w:tc>
          <w:tcPr>
            <w:tcW w:w="124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2</w:t>
            </w:r>
            <w:r w:rsidR="00EE0CCC">
              <w:rPr>
                <w:rFonts w:ascii="Arial" w:hAnsi="Arial" w:cs="Arial"/>
                <w:b/>
                <w:sz w:val="20"/>
                <w:szCs w:val="20"/>
              </w:rPr>
              <w:t xml:space="preserve"> </w:t>
            </w:r>
            <w:r w:rsidRPr="007D322B">
              <w:rPr>
                <w:rFonts w:ascii="Arial" w:hAnsi="Arial" w:cs="Arial"/>
                <w:b/>
                <w:sz w:val="20"/>
                <w:szCs w:val="20"/>
              </w:rPr>
              <w:t>year</w:t>
            </w:r>
          </w:p>
        </w:tc>
        <w:tc>
          <w:tcPr>
            <w:tcW w:w="135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b/>
                <w:sz w:val="20"/>
                <w:szCs w:val="20"/>
              </w:rPr>
            </w:pPr>
            <w:r w:rsidRPr="007D322B">
              <w:rPr>
                <w:rFonts w:ascii="Arial" w:hAnsi="Arial" w:cs="Arial"/>
                <w:b/>
                <w:sz w:val="20"/>
                <w:szCs w:val="20"/>
              </w:rPr>
              <w:t>3</w:t>
            </w:r>
            <w:r w:rsidR="00EE0CCC">
              <w:rPr>
                <w:rFonts w:ascii="Arial" w:hAnsi="Arial" w:cs="Arial"/>
                <w:b/>
                <w:sz w:val="20"/>
                <w:szCs w:val="20"/>
              </w:rPr>
              <w:t xml:space="preserve"> </w:t>
            </w:r>
            <w:r w:rsidRPr="007D322B">
              <w:rPr>
                <w:rFonts w:ascii="Arial" w:hAnsi="Arial" w:cs="Arial"/>
                <w:b/>
                <w:sz w:val="20"/>
                <w:szCs w:val="20"/>
              </w:rPr>
              <w:t>year</w:t>
            </w:r>
          </w:p>
        </w:tc>
      </w:tr>
      <w:tr w:rsidR="00DE2AA7" w:rsidRPr="007D322B" w:rsidTr="00DE2AA7">
        <w:trPr>
          <w:trHeight w:val="576"/>
        </w:trPr>
        <w:tc>
          <w:tcPr>
            <w:tcW w:w="1401" w:type="dxa"/>
            <w:shd w:val="clear" w:color="auto" w:fill="auto"/>
            <w:vAlign w:val="center"/>
          </w:tcPr>
          <w:p w:rsidR="00DE2AA7" w:rsidRPr="007D322B" w:rsidRDefault="00DE2AA7" w:rsidP="00190308">
            <w:pPr>
              <w:keepNext/>
              <w:autoSpaceDE w:val="0"/>
              <w:autoSpaceDN w:val="0"/>
              <w:adjustRightInd w:val="0"/>
              <w:rPr>
                <w:rFonts w:ascii="Arial" w:hAnsi="Arial" w:cs="Arial"/>
                <w:b/>
                <w:sz w:val="20"/>
                <w:szCs w:val="20"/>
              </w:rPr>
            </w:pPr>
            <w:r w:rsidRPr="007D322B">
              <w:rPr>
                <w:rFonts w:ascii="Arial" w:hAnsi="Arial" w:cs="Arial"/>
                <w:iCs/>
                <w:noProof/>
                <w:sz w:val="20"/>
                <w:szCs w:val="20"/>
              </w:rPr>
              <w:t>EFS</w:t>
            </w:r>
          </w:p>
        </w:tc>
        <w:tc>
          <w:tcPr>
            <w:tcW w:w="1238"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67%</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[55;</w:t>
            </w:r>
            <w:r w:rsidR="00EE0CCC">
              <w:rPr>
                <w:rFonts w:ascii="Arial" w:hAnsi="Arial" w:cs="Arial"/>
                <w:sz w:val="20"/>
                <w:szCs w:val="20"/>
              </w:rPr>
              <w:t xml:space="preserve"> </w:t>
            </w:r>
            <w:r w:rsidRPr="007D322B">
              <w:rPr>
                <w:rFonts w:ascii="Arial" w:hAnsi="Arial" w:cs="Arial"/>
                <w:sz w:val="20"/>
                <w:szCs w:val="20"/>
              </w:rPr>
              <w:t>76]</w:t>
            </w:r>
          </w:p>
        </w:tc>
        <w:tc>
          <w:tcPr>
            <w:tcW w:w="1260"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58%</w:t>
            </w:r>
          </w:p>
          <w:p w:rsidR="00DE2AA7" w:rsidRPr="007D322B" w:rsidDel="00EC3588"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[45;</w:t>
            </w:r>
            <w:r w:rsidR="00EE0CCC">
              <w:rPr>
                <w:rFonts w:ascii="Arial" w:hAnsi="Arial" w:cs="Arial"/>
                <w:sz w:val="20"/>
                <w:szCs w:val="20"/>
              </w:rPr>
              <w:t xml:space="preserve"> </w:t>
            </w:r>
            <w:r w:rsidRPr="007D322B">
              <w:rPr>
                <w:rFonts w:ascii="Arial" w:hAnsi="Arial" w:cs="Arial"/>
                <w:sz w:val="20"/>
                <w:szCs w:val="20"/>
              </w:rPr>
              <w:t>69]</w:t>
            </w:r>
          </w:p>
        </w:tc>
        <w:tc>
          <w:tcPr>
            <w:tcW w:w="142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46%</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[33;</w:t>
            </w:r>
            <w:r w:rsidR="00EE0CCC">
              <w:rPr>
                <w:rFonts w:ascii="Arial" w:hAnsi="Arial" w:cs="Arial"/>
                <w:sz w:val="20"/>
                <w:szCs w:val="20"/>
              </w:rPr>
              <w:t xml:space="preserve"> </w:t>
            </w:r>
            <w:r w:rsidRPr="007D322B">
              <w:rPr>
                <w:rFonts w:ascii="Arial" w:hAnsi="Arial" w:cs="Arial"/>
                <w:sz w:val="20"/>
                <w:szCs w:val="20"/>
              </w:rPr>
              <w:t>58]</w:t>
            </w:r>
          </w:p>
        </w:tc>
        <w:tc>
          <w:tcPr>
            <w:tcW w:w="1578"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72%</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[60;</w:t>
            </w:r>
            <w:r w:rsidR="00EE0CCC">
              <w:rPr>
                <w:rFonts w:ascii="Arial" w:hAnsi="Arial" w:cs="Arial"/>
                <w:sz w:val="20"/>
                <w:szCs w:val="20"/>
              </w:rPr>
              <w:t xml:space="preserve"> </w:t>
            </w:r>
            <w:r w:rsidRPr="007D322B">
              <w:rPr>
                <w:rFonts w:ascii="Arial" w:hAnsi="Arial" w:cs="Arial"/>
                <w:sz w:val="20"/>
                <w:szCs w:val="20"/>
              </w:rPr>
              <w:t>81]</w:t>
            </w:r>
          </w:p>
        </w:tc>
        <w:tc>
          <w:tcPr>
            <w:tcW w:w="124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62%</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[49;</w:t>
            </w:r>
            <w:r w:rsidR="00EE0CCC">
              <w:rPr>
                <w:rFonts w:ascii="Arial" w:hAnsi="Arial" w:cs="Arial"/>
                <w:sz w:val="20"/>
                <w:szCs w:val="20"/>
              </w:rPr>
              <w:t xml:space="preserve"> </w:t>
            </w:r>
            <w:r w:rsidRPr="007D322B">
              <w:rPr>
                <w:rFonts w:ascii="Arial" w:hAnsi="Arial" w:cs="Arial"/>
                <w:sz w:val="20"/>
                <w:szCs w:val="20"/>
              </w:rPr>
              <w:t>72]</w:t>
            </w:r>
          </w:p>
        </w:tc>
        <w:tc>
          <w:tcPr>
            <w:tcW w:w="135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54%</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[41;</w:t>
            </w:r>
            <w:r w:rsidR="00EE0CCC">
              <w:rPr>
                <w:rFonts w:ascii="Arial" w:hAnsi="Arial" w:cs="Arial"/>
                <w:sz w:val="20"/>
                <w:szCs w:val="20"/>
              </w:rPr>
              <w:t xml:space="preserve"> </w:t>
            </w:r>
            <w:r w:rsidRPr="007D322B">
              <w:rPr>
                <w:rFonts w:ascii="Arial" w:hAnsi="Arial" w:cs="Arial"/>
                <w:sz w:val="20"/>
                <w:szCs w:val="20"/>
              </w:rPr>
              <w:t>65]</w:t>
            </w:r>
          </w:p>
        </w:tc>
      </w:tr>
      <w:tr w:rsidR="00DE2AA7" w:rsidRPr="007D322B" w:rsidTr="00DE2AA7">
        <w:trPr>
          <w:trHeight w:val="585"/>
        </w:trPr>
        <w:tc>
          <w:tcPr>
            <w:tcW w:w="1401" w:type="dxa"/>
            <w:shd w:val="clear" w:color="auto" w:fill="auto"/>
            <w:vAlign w:val="center"/>
          </w:tcPr>
          <w:p w:rsidR="00DE2AA7" w:rsidRPr="007D322B" w:rsidRDefault="00DE2AA7" w:rsidP="00190308">
            <w:pPr>
              <w:keepNext/>
              <w:autoSpaceDE w:val="0"/>
              <w:autoSpaceDN w:val="0"/>
              <w:adjustRightInd w:val="0"/>
              <w:rPr>
                <w:rFonts w:ascii="Arial" w:hAnsi="Arial" w:cs="Arial"/>
                <w:sz w:val="20"/>
                <w:szCs w:val="20"/>
              </w:rPr>
            </w:pPr>
            <w:r w:rsidRPr="007D322B">
              <w:rPr>
                <w:rFonts w:ascii="Arial" w:hAnsi="Arial" w:cs="Arial"/>
                <w:sz w:val="20"/>
                <w:szCs w:val="20"/>
              </w:rPr>
              <w:t>OS</w:t>
            </w:r>
          </w:p>
        </w:tc>
        <w:tc>
          <w:tcPr>
            <w:tcW w:w="1238"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83%</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[72;</w:t>
            </w:r>
            <w:r w:rsidR="00EE0CCC">
              <w:rPr>
                <w:rFonts w:ascii="Arial" w:hAnsi="Arial" w:cs="Arial"/>
                <w:sz w:val="20"/>
                <w:szCs w:val="20"/>
              </w:rPr>
              <w:t xml:space="preserve"> </w:t>
            </w:r>
            <w:r w:rsidRPr="007D322B">
              <w:rPr>
                <w:rFonts w:ascii="Arial" w:hAnsi="Arial" w:cs="Arial"/>
                <w:sz w:val="20"/>
                <w:szCs w:val="20"/>
              </w:rPr>
              <w:t>90]</w:t>
            </w:r>
          </w:p>
        </w:tc>
        <w:tc>
          <w:tcPr>
            <w:tcW w:w="1260"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73%</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[61;</w:t>
            </w:r>
            <w:r w:rsidR="00EE0CCC">
              <w:rPr>
                <w:rFonts w:ascii="Arial" w:hAnsi="Arial" w:cs="Arial"/>
                <w:sz w:val="20"/>
                <w:szCs w:val="20"/>
              </w:rPr>
              <w:t xml:space="preserve"> </w:t>
            </w:r>
            <w:r w:rsidRPr="007D322B">
              <w:rPr>
                <w:rFonts w:ascii="Arial" w:hAnsi="Arial" w:cs="Arial"/>
                <w:sz w:val="20"/>
                <w:szCs w:val="20"/>
              </w:rPr>
              <w:t>82]</w:t>
            </w:r>
          </w:p>
        </w:tc>
        <w:tc>
          <w:tcPr>
            <w:tcW w:w="142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54%</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[40;</w:t>
            </w:r>
            <w:r w:rsidR="00EE0CCC">
              <w:rPr>
                <w:rFonts w:ascii="Arial" w:hAnsi="Arial" w:cs="Arial"/>
                <w:sz w:val="20"/>
                <w:szCs w:val="20"/>
              </w:rPr>
              <w:t xml:space="preserve"> </w:t>
            </w:r>
            <w:r w:rsidRPr="007D322B">
              <w:rPr>
                <w:rFonts w:ascii="Arial" w:hAnsi="Arial" w:cs="Arial"/>
                <w:sz w:val="20"/>
                <w:szCs w:val="20"/>
              </w:rPr>
              <w:t>66]</w:t>
            </w:r>
          </w:p>
        </w:tc>
        <w:tc>
          <w:tcPr>
            <w:tcW w:w="1578"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86%</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[75;</w:t>
            </w:r>
            <w:r w:rsidR="00EE0CCC">
              <w:rPr>
                <w:rFonts w:ascii="Arial" w:hAnsi="Arial" w:cs="Arial"/>
                <w:sz w:val="20"/>
                <w:szCs w:val="20"/>
              </w:rPr>
              <w:t xml:space="preserve"> </w:t>
            </w:r>
            <w:r w:rsidRPr="007D322B">
              <w:rPr>
                <w:rFonts w:ascii="Arial" w:hAnsi="Arial" w:cs="Arial"/>
                <w:sz w:val="20"/>
                <w:szCs w:val="20"/>
              </w:rPr>
              <w:t>92]</w:t>
            </w:r>
          </w:p>
        </w:tc>
        <w:tc>
          <w:tcPr>
            <w:tcW w:w="124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71%</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[58;</w:t>
            </w:r>
            <w:r w:rsidR="00EE0CCC">
              <w:rPr>
                <w:rFonts w:ascii="Arial" w:hAnsi="Arial" w:cs="Arial"/>
                <w:sz w:val="20"/>
                <w:szCs w:val="20"/>
              </w:rPr>
              <w:t xml:space="preserve"> </w:t>
            </w:r>
            <w:r w:rsidRPr="007D322B">
              <w:rPr>
                <w:rFonts w:ascii="Arial" w:hAnsi="Arial" w:cs="Arial"/>
                <w:sz w:val="20"/>
                <w:szCs w:val="20"/>
              </w:rPr>
              <w:t>80]</w:t>
            </w:r>
          </w:p>
        </w:tc>
        <w:tc>
          <w:tcPr>
            <w:tcW w:w="1355" w:type="dxa"/>
            <w:shd w:val="clear" w:color="auto" w:fill="auto"/>
            <w:vAlign w:val="center"/>
          </w:tcPr>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63%</w:t>
            </w:r>
          </w:p>
          <w:p w:rsidR="00DE2AA7" w:rsidRPr="007D322B" w:rsidRDefault="00DE2AA7" w:rsidP="00190308">
            <w:pPr>
              <w:keepNext/>
              <w:autoSpaceDE w:val="0"/>
              <w:autoSpaceDN w:val="0"/>
              <w:adjustRightInd w:val="0"/>
              <w:jc w:val="center"/>
              <w:rPr>
                <w:rFonts w:ascii="Arial" w:hAnsi="Arial" w:cs="Arial"/>
                <w:sz w:val="20"/>
                <w:szCs w:val="20"/>
              </w:rPr>
            </w:pPr>
            <w:r w:rsidRPr="007D322B">
              <w:rPr>
                <w:rFonts w:ascii="Arial" w:hAnsi="Arial" w:cs="Arial"/>
                <w:sz w:val="20"/>
                <w:szCs w:val="20"/>
              </w:rPr>
              <w:t>[50;</w:t>
            </w:r>
            <w:r w:rsidR="00EE0CCC">
              <w:rPr>
                <w:rFonts w:ascii="Arial" w:hAnsi="Arial" w:cs="Arial"/>
                <w:sz w:val="20"/>
                <w:szCs w:val="20"/>
              </w:rPr>
              <w:t xml:space="preserve"> </w:t>
            </w:r>
            <w:r w:rsidRPr="007D322B">
              <w:rPr>
                <w:rFonts w:ascii="Arial" w:hAnsi="Arial" w:cs="Arial"/>
                <w:sz w:val="20"/>
                <w:szCs w:val="20"/>
              </w:rPr>
              <w:t>74]</w:t>
            </w:r>
          </w:p>
        </w:tc>
      </w:tr>
    </w:tbl>
    <w:p w:rsidR="00DE2AA7" w:rsidRPr="007D322B" w:rsidRDefault="00DE2AA7" w:rsidP="00DE2AA7">
      <w:pPr>
        <w:rPr>
          <w:rFonts w:ascii="Arial" w:hAnsi="Arial" w:cs="Arial"/>
          <w:iCs/>
          <w:noProof/>
        </w:rPr>
      </w:pPr>
    </w:p>
    <w:p w:rsidR="00DE2AA7" w:rsidRPr="007D322B" w:rsidRDefault="00DE2AA7" w:rsidP="00DE2AA7">
      <w:pPr>
        <w:keepNext/>
        <w:keepLines/>
        <w:rPr>
          <w:rFonts w:ascii="Arial" w:hAnsi="Arial" w:cs="Arial"/>
          <w:b/>
          <w:bCs/>
          <w:iCs/>
          <w:noProof/>
        </w:rPr>
      </w:pPr>
      <w:r w:rsidRPr="007D322B">
        <w:rPr>
          <w:rFonts w:ascii="Arial" w:hAnsi="Arial" w:cs="Arial"/>
          <w:b/>
          <w:bCs/>
          <w:iCs/>
          <w:noProof/>
        </w:rPr>
        <w:lastRenderedPageBreak/>
        <w:t>Immunogenicity</w:t>
      </w:r>
    </w:p>
    <w:p w:rsidR="00DE2AA7" w:rsidRPr="007D322B" w:rsidRDefault="00DE2AA7" w:rsidP="00DE2AA7">
      <w:pPr>
        <w:keepNext/>
        <w:keepLines/>
        <w:rPr>
          <w:rFonts w:ascii="Arial" w:hAnsi="Arial" w:cs="Arial"/>
          <w:iCs/>
          <w:noProof/>
        </w:rPr>
      </w:pP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development</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anti-drug</w:t>
      </w:r>
      <w:r w:rsidR="00EE0CCC">
        <w:rPr>
          <w:rFonts w:ascii="Arial" w:hAnsi="Arial" w:cs="Arial"/>
          <w:iCs/>
          <w:noProof/>
        </w:rPr>
        <w:t xml:space="preserve"> </w:t>
      </w:r>
      <w:r w:rsidRPr="007D322B">
        <w:rPr>
          <w:rFonts w:ascii="Arial" w:hAnsi="Arial" w:cs="Arial"/>
          <w:iCs/>
          <w:noProof/>
        </w:rPr>
        <w:t>antibodies</w:t>
      </w:r>
      <w:r w:rsidR="00EE0CCC">
        <w:rPr>
          <w:rFonts w:ascii="Arial" w:hAnsi="Arial" w:cs="Arial"/>
          <w:iCs/>
          <w:noProof/>
        </w:rPr>
        <w:t xml:space="preserve"> </w:t>
      </w:r>
      <w:r w:rsidRPr="007D322B">
        <w:rPr>
          <w:rFonts w:ascii="Arial" w:hAnsi="Arial" w:cs="Arial"/>
          <w:iCs/>
          <w:noProof/>
        </w:rPr>
        <w:t>is</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class</w:t>
      </w:r>
      <w:r w:rsidR="00EE0CCC">
        <w:rPr>
          <w:rFonts w:ascii="Arial" w:hAnsi="Arial" w:cs="Arial"/>
          <w:iCs/>
          <w:noProof/>
        </w:rPr>
        <w:t xml:space="preserve"> </w:t>
      </w:r>
      <w:r w:rsidRPr="007D322B">
        <w:rPr>
          <w:rFonts w:ascii="Arial" w:hAnsi="Arial" w:cs="Arial"/>
          <w:iCs/>
          <w:noProof/>
        </w:rPr>
        <w:t>effect</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monoclonal</w:t>
      </w:r>
      <w:r w:rsidR="00EE0CCC">
        <w:rPr>
          <w:rFonts w:ascii="Arial" w:hAnsi="Arial" w:cs="Arial"/>
          <w:iCs/>
          <w:noProof/>
        </w:rPr>
        <w:t xml:space="preserve"> </w:t>
      </w:r>
      <w:r w:rsidRPr="007D322B">
        <w:rPr>
          <w:rFonts w:ascii="Arial" w:hAnsi="Arial" w:cs="Arial"/>
          <w:iCs/>
          <w:noProof/>
        </w:rPr>
        <w:t>chimeric</w:t>
      </w:r>
      <w:r w:rsidR="00EE0CCC">
        <w:rPr>
          <w:rFonts w:ascii="Arial" w:hAnsi="Arial" w:cs="Arial"/>
          <w:iCs/>
          <w:noProof/>
        </w:rPr>
        <w:t xml:space="preserve"> </w:t>
      </w:r>
      <w:r w:rsidRPr="007D322B">
        <w:rPr>
          <w:rFonts w:ascii="Arial" w:hAnsi="Arial" w:cs="Arial"/>
          <w:iCs/>
          <w:noProof/>
        </w:rPr>
        <w:t>antibodies.</w:t>
      </w:r>
      <w:r w:rsidR="00EE0CCC">
        <w:rPr>
          <w:rFonts w:ascii="Arial" w:hAnsi="Arial" w:cs="Arial"/>
          <w:iCs/>
          <w:noProof/>
        </w:rPr>
        <w:t xml:space="preserve"> </w:t>
      </w:r>
      <w:r w:rsidRPr="007D322B">
        <w:rPr>
          <w:rFonts w:ascii="Arial" w:hAnsi="Arial" w:cs="Arial"/>
          <w:iCs/>
          <w:noProof/>
        </w:rPr>
        <w:t>Overall,</w:t>
      </w:r>
      <w:r w:rsidR="00EE0CCC">
        <w:rPr>
          <w:rFonts w:ascii="Arial" w:hAnsi="Arial" w:cs="Arial"/>
          <w:iCs/>
          <w:noProof/>
        </w:rPr>
        <w:t xml:space="preserve"> </w:t>
      </w:r>
      <w:r w:rsidRPr="007D322B">
        <w:rPr>
          <w:rFonts w:ascii="Arial" w:hAnsi="Arial" w:cs="Arial"/>
          <w:iCs/>
          <w:noProof/>
        </w:rPr>
        <w:t>measurable</w:t>
      </w:r>
      <w:r w:rsidR="00EE0CCC">
        <w:rPr>
          <w:rFonts w:ascii="Arial" w:hAnsi="Arial" w:cs="Arial"/>
          <w:iCs/>
          <w:noProof/>
        </w:rPr>
        <w:t xml:space="preserve"> </w:t>
      </w:r>
      <w:r w:rsidRPr="007D322B">
        <w:rPr>
          <w:rFonts w:ascii="Arial" w:hAnsi="Arial" w:cs="Arial"/>
          <w:iCs/>
          <w:noProof/>
        </w:rPr>
        <w:t>ADA</w:t>
      </w:r>
      <w:r w:rsidR="00EE0CCC">
        <w:rPr>
          <w:rFonts w:ascii="Arial" w:hAnsi="Arial" w:cs="Arial"/>
          <w:iCs/>
          <w:noProof/>
        </w:rPr>
        <w:t xml:space="preserve"> </w:t>
      </w:r>
      <w:r w:rsidRPr="007D322B">
        <w:rPr>
          <w:rFonts w:ascii="Arial" w:hAnsi="Arial" w:cs="Arial"/>
          <w:iCs/>
          <w:noProof/>
        </w:rPr>
        <w:t>titres</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detected</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65</w:t>
      </w:r>
      <w:r w:rsidR="00EE0CCC">
        <w:rPr>
          <w:rFonts w:ascii="Arial" w:hAnsi="Arial" w:cs="Arial"/>
          <w:iCs/>
          <w:noProof/>
        </w:rPr>
        <w:t xml:space="preserve"> </w:t>
      </w:r>
      <w:r w:rsidRPr="007D322B">
        <w:rPr>
          <w:rFonts w:ascii="Arial" w:hAnsi="Arial" w:cs="Arial"/>
          <w:iCs/>
          <w:noProof/>
        </w:rPr>
        <w:t>(62%)</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105</w:t>
      </w:r>
      <w:r w:rsidR="00EE0CCC">
        <w:rPr>
          <w:rFonts w:ascii="Arial" w:hAnsi="Arial" w:cs="Arial"/>
          <w:iCs/>
          <w:noProof/>
        </w:rPr>
        <w:t xml:space="preserve"> </w:t>
      </w:r>
      <w:r w:rsidRPr="007D322B">
        <w:rPr>
          <w:rFonts w:ascii="Arial" w:hAnsi="Arial" w:cs="Arial"/>
          <w:iCs/>
          <w:noProof/>
        </w:rPr>
        <w:t>patients</w:t>
      </w:r>
      <w:r w:rsidR="00EE0CCC">
        <w:rPr>
          <w:rFonts w:ascii="Arial" w:hAnsi="Arial" w:cs="Arial"/>
          <w:iCs/>
          <w:noProof/>
        </w:rPr>
        <w:t xml:space="preserve"> </w:t>
      </w:r>
      <w:r w:rsidRPr="007D322B">
        <w:rPr>
          <w:rFonts w:ascii="Arial" w:hAnsi="Arial" w:cs="Arial"/>
          <w:iCs/>
          <w:noProof/>
        </w:rPr>
        <w:t>examined.</w:t>
      </w:r>
      <w:r w:rsidR="00EE0CCC">
        <w:rPr>
          <w:rFonts w:ascii="Arial" w:hAnsi="Arial" w:cs="Arial"/>
          <w:iCs/>
          <w:noProof/>
        </w:rPr>
        <w:t xml:space="preserve"> </w:t>
      </w:r>
    </w:p>
    <w:p w:rsidR="00DE2AA7" w:rsidRPr="007D322B" w:rsidRDefault="00DE2AA7" w:rsidP="00DE2AA7">
      <w:pPr>
        <w:rPr>
          <w:rFonts w:ascii="Arial" w:hAnsi="Arial" w:cs="Arial"/>
          <w:iCs/>
          <w:noProof/>
        </w:rPr>
      </w:pPr>
    </w:p>
    <w:p w:rsidR="00DE2AA7" w:rsidRPr="007D322B" w:rsidRDefault="00DE2AA7" w:rsidP="00DE2AA7">
      <w:pPr>
        <w:rPr>
          <w:rFonts w:ascii="Arial" w:hAnsi="Arial" w:cs="Arial"/>
          <w:iCs/>
          <w:noProof/>
        </w:rPr>
      </w:pPr>
      <w:r w:rsidRPr="007D322B">
        <w:rPr>
          <w:rFonts w:ascii="Arial" w:hAnsi="Arial" w:cs="Arial"/>
          <w:iCs/>
          <w:noProof/>
        </w:rPr>
        <w:t>Given</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limitation</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bioanalytical</w:t>
      </w:r>
      <w:r w:rsidR="00EE0CCC">
        <w:rPr>
          <w:rFonts w:ascii="Arial" w:hAnsi="Arial" w:cs="Arial"/>
          <w:iCs/>
          <w:noProof/>
        </w:rPr>
        <w:t xml:space="preserve"> </w:t>
      </w:r>
      <w:r w:rsidRPr="007D322B">
        <w:rPr>
          <w:rFonts w:ascii="Arial" w:hAnsi="Arial" w:cs="Arial"/>
          <w:iCs/>
          <w:noProof/>
        </w:rPr>
        <w:t>methods,</w:t>
      </w:r>
      <w:r w:rsidR="00EE0CCC">
        <w:rPr>
          <w:rFonts w:ascii="Arial" w:hAnsi="Arial" w:cs="Arial"/>
          <w:iCs/>
          <w:noProof/>
        </w:rPr>
        <w:t xml:space="preserve"> </w:t>
      </w:r>
      <w:r w:rsidRPr="007D322B">
        <w:rPr>
          <w:rFonts w:ascii="Arial" w:hAnsi="Arial" w:cs="Arial"/>
          <w:iCs/>
          <w:noProof/>
        </w:rPr>
        <w:t>data</w:t>
      </w:r>
      <w:r w:rsidR="00EE0CCC">
        <w:rPr>
          <w:rFonts w:ascii="Arial" w:hAnsi="Arial" w:cs="Arial"/>
          <w:iCs/>
          <w:noProof/>
        </w:rPr>
        <w:t xml:space="preserve"> </w:t>
      </w:r>
      <w:r w:rsidRPr="007D322B">
        <w:rPr>
          <w:rFonts w:ascii="Arial" w:hAnsi="Arial" w:cs="Arial"/>
          <w:iCs/>
          <w:noProof/>
        </w:rPr>
        <w:t>are</w:t>
      </w:r>
      <w:r w:rsidR="00EE0CCC">
        <w:rPr>
          <w:rFonts w:ascii="Arial" w:hAnsi="Arial" w:cs="Arial"/>
          <w:iCs/>
          <w:noProof/>
        </w:rPr>
        <w:t xml:space="preserve"> </w:t>
      </w:r>
      <w:r w:rsidRPr="007D322B">
        <w:rPr>
          <w:rFonts w:ascii="Arial" w:hAnsi="Arial" w:cs="Arial"/>
          <w:iCs/>
          <w:noProof/>
        </w:rPr>
        <w:t>currently</w:t>
      </w:r>
      <w:r w:rsidR="00EE0CCC">
        <w:rPr>
          <w:rFonts w:ascii="Arial" w:hAnsi="Arial" w:cs="Arial"/>
          <w:iCs/>
          <w:noProof/>
        </w:rPr>
        <w:t xml:space="preserve"> </w:t>
      </w:r>
      <w:r w:rsidRPr="007D322B">
        <w:rPr>
          <w:rFonts w:ascii="Arial" w:hAnsi="Arial" w:cs="Arial"/>
          <w:iCs/>
          <w:noProof/>
        </w:rPr>
        <w:t>insufficient</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properly</w:t>
      </w:r>
      <w:r w:rsidR="00EE0CCC">
        <w:rPr>
          <w:rFonts w:ascii="Arial" w:hAnsi="Arial" w:cs="Arial"/>
          <w:iCs/>
          <w:noProof/>
        </w:rPr>
        <w:t xml:space="preserve"> </w:t>
      </w:r>
      <w:r w:rsidRPr="007D322B">
        <w:rPr>
          <w:rFonts w:ascii="Arial" w:hAnsi="Arial" w:cs="Arial"/>
          <w:iCs/>
          <w:noProof/>
        </w:rPr>
        <w:t>evaluate</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impact</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formation</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anti-drug</w:t>
      </w:r>
      <w:r w:rsidR="00EE0CCC">
        <w:rPr>
          <w:rFonts w:ascii="Arial" w:hAnsi="Arial" w:cs="Arial"/>
          <w:iCs/>
          <w:noProof/>
        </w:rPr>
        <w:t xml:space="preserve"> </w:t>
      </w:r>
      <w:r w:rsidRPr="007D322B">
        <w:rPr>
          <w:rFonts w:ascii="Arial" w:hAnsi="Arial" w:cs="Arial"/>
          <w:iCs/>
          <w:noProof/>
        </w:rPr>
        <w:t>antibodies</w:t>
      </w:r>
      <w:r w:rsidR="00EE0CCC">
        <w:rPr>
          <w:rFonts w:ascii="Arial" w:hAnsi="Arial" w:cs="Arial"/>
          <w:iCs/>
          <w:noProof/>
        </w:rPr>
        <w:t xml:space="preserve"> </w:t>
      </w:r>
      <w:r w:rsidRPr="007D322B">
        <w:rPr>
          <w:rFonts w:ascii="Arial" w:hAnsi="Arial" w:cs="Arial"/>
          <w:iCs/>
          <w:noProof/>
        </w:rPr>
        <w:t>on</w:t>
      </w:r>
      <w:r w:rsidR="00EE0CCC">
        <w:rPr>
          <w:rFonts w:ascii="Arial" w:hAnsi="Arial" w:cs="Arial"/>
          <w:iCs/>
          <w:noProof/>
        </w:rPr>
        <w:t xml:space="preserve"> </w:t>
      </w:r>
      <w:r w:rsidRPr="007D322B">
        <w:rPr>
          <w:rFonts w:ascii="Arial" w:hAnsi="Arial" w:cs="Arial"/>
          <w:iCs/>
          <w:noProof/>
        </w:rPr>
        <w:t>pharmacokinetic</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pharmacodynamic</w:t>
      </w:r>
      <w:r w:rsidR="00EE0CCC">
        <w:rPr>
          <w:rFonts w:ascii="Arial" w:hAnsi="Arial" w:cs="Arial"/>
        </w:rPr>
        <w:t xml:space="preserve"> </w:t>
      </w:r>
      <w:r w:rsidRPr="007D322B">
        <w:rPr>
          <w:rFonts w:ascii="Arial" w:hAnsi="Arial" w:cs="Arial"/>
        </w:rPr>
        <w:t>parameters,</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well</w:t>
      </w:r>
      <w:r w:rsidR="00EE0CCC">
        <w:rPr>
          <w:rFonts w:ascii="Arial" w:hAnsi="Arial" w:cs="Arial"/>
        </w:rPr>
        <w:t xml:space="preserve"> </w:t>
      </w:r>
      <w:r w:rsidRPr="007D322B">
        <w:rPr>
          <w:rFonts w:ascii="Arial" w:hAnsi="Arial" w:cs="Arial"/>
        </w:rPr>
        <w:t>as</w:t>
      </w:r>
      <w:r w:rsidR="00EE0CCC">
        <w:rPr>
          <w:rFonts w:ascii="Arial" w:hAnsi="Arial" w:cs="Arial"/>
        </w:rPr>
        <w:t xml:space="preserve"> </w:t>
      </w:r>
      <w:r w:rsidRPr="007D322B">
        <w:rPr>
          <w:rFonts w:ascii="Arial" w:hAnsi="Arial" w:cs="Arial"/>
        </w:rPr>
        <w:t>on</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efficacy</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safety</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dinutuximab</w:t>
      </w:r>
      <w:r w:rsidR="00EE0CCC">
        <w:rPr>
          <w:rFonts w:ascii="Arial" w:hAnsi="Arial" w:cs="Arial"/>
        </w:rPr>
        <w:t xml:space="preserve"> </w:t>
      </w:r>
      <w:r w:rsidRPr="007D322B">
        <w:rPr>
          <w:rFonts w:ascii="Arial" w:hAnsi="Arial" w:cs="Arial"/>
        </w:rPr>
        <w:t>beta.</w:t>
      </w:r>
    </w:p>
    <w:p w:rsidR="00224739" w:rsidRPr="007D322B" w:rsidRDefault="00224739" w:rsidP="00946995">
      <w:pPr>
        <w:pStyle w:val="NoSpacing"/>
        <w:rPr>
          <w:rFonts w:ascii="Arial" w:eastAsia="Calibri" w:hAnsi="Arial" w:cs="Arial"/>
        </w:rPr>
      </w:pPr>
    </w:p>
    <w:p w:rsidR="00B17C13" w:rsidRPr="007D322B" w:rsidRDefault="00E75CC8" w:rsidP="0084108E">
      <w:pPr>
        <w:pStyle w:val="Heading2"/>
        <w:rPr>
          <w:rFonts w:ascii="Arial" w:eastAsia="Calibri" w:hAnsi="Arial" w:cs="Arial"/>
          <w:b w:val="0"/>
          <w:sz w:val="24"/>
          <w:szCs w:val="24"/>
        </w:rPr>
      </w:pPr>
      <w:bookmarkStart w:id="7" w:name="_PHARMACOKINETIC_PROPERTIES"/>
      <w:bookmarkEnd w:id="7"/>
      <w:r w:rsidRPr="007D322B">
        <w:rPr>
          <w:rFonts w:ascii="Arial" w:eastAsia="Calibri" w:hAnsi="Arial" w:cs="Arial"/>
          <w:i w:val="0"/>
          <w:sz w:val="24"/>
          <w:szCs w:val="24"/>
        </w:rPr>
        <w:t>PHARMACOKINETIC</w:t>
      </w:r>
      <w:r w:rsidR="00EE0CCC">
        <w:rPr>
          <w:rFonts w:ascii="Arial" w:eastAsia="Calibri" w:hAnsi="Arial" w:cs="Arial"/>
          <w:i w:val="0"/>
          <w:sz w:val="24"/>
          <w:szCs w:val="24"/>
        </w:rPr>
        <w:t xml:space="preserve"> </w:t>
      </w:r>
      <w:r w:rsidRPr="007D322B">
        <w:rPr>
          <w:rFonts w:ascii="Arial" w:eastAsia="Calibri" w:hAnsi="Arial" w:cs="Arial"/>
          <w:i w:val="0"/>
          <w:sz w:val="24"/>
          <w:szCs w:val="24"/>
        </w:rPr>
        <w:t>PROPERTIES</w:t>
      </w:r>
    </w:p>
    <w:p w:rsidR="00EC503A" w:rsidRPr="007D322B" w:rsidRDefault="00EC503A" w:rsidP="00946995">
      <w:pPr>
        <w:pStyle w:val="NoSpacing"/>
        <w:rPr>
          <w:rFonts w:ascii="Arial" w:eastAsia="Calibri" w:hAnsi="Arial" w:cs="Arial"/>
          <w:b/>
          <w:bCs/>
          <w:i/>
          <w:iCs/>
        </w:rPr>
      </w:pPr>
      <w:r w:rsidRPr="007D322B">
        <w:rPr>
          <w:rFonts w:ascii="Arial" w:eastAsia="Calibri" w:hAnsi="Arial" w:cs="Arial"/>
          <w:b/>
          <w:bCs/>
          <w:i/>
          <w:iCs/>
        </w:rPr>
        <w:t>Absorption</w:t>
      </w:r>
      <w:r w:rsidR="00EE0CCC">
        <w:rPr>
          <w:rFonts w:ascii="Arial" w:eastAsia="Calibri" w:hAnsi="Arial" w:cs="Arial"/>
          <w:b/>
          <w:bCs/>
          <w:i/>
          <w:iCs/>
        </w:rPr>
        <w:t xml:space="preserve"> </w:t>
      </w:r>
      <w:r w:rsidR="0035128F" w:rsidRPr="007D322B">
        <w:rPr>
          <w:rFonts w:ascii="Arial" w:eastAsia="Calibri" w:hAnsi="Arial" w:cs="Arial"/>
          <w:b/>
          <w:bCs/>
          <w:i/>
          <w:iCs/>
        </w:rPr>
        <w:t>and</w:t>
      </w:r>
      <w:r w:rsidR="00EE0CCC">
        <w:rPr>
          <w:rFonts w:ascii="Arial" w:eastAsia="Calibri" w:hAnsi="Arial" w:cs="Arial"/>
          <w:b/>
          <w:bCs/>
          <w:i/>
          <w:iCs/>
        </w:rPr>
        <w:t xml:space="preserve"> </w:t>
      </w:r>
      <w:r w:rsidRPr="007D322B">
        <w:rPr>
          <w:rFonts w:ascii="Arial" w:eastAsia="Calibri" w:hAnsi="Arial" w:cs="Arial"/>
          <w:b/>
          <w:bCs/>
          <w:i/>
          <w:iCs/>
        </w:rPr>
        <w:t>Distribution</w:t>
      </w:r>
    </w:p>
    <w:p w:rsidR="0035128F" w:rsidRPr="007D322B" w:rsidRDefault="0035128F" w:rsidP="0035128F">
      <w:pPr>
        <w:keepNext/>
        <w:keepLines/>
        <w:autoSpaceDE w:val="0"/>
        <w:autoSpaceDN w:val="0"/>
        <w:adjustRightInd w:val="0"/>
        <w:rPr>
          <w:rFonts w:ascii="Arial" w:hAnsi="Arial" w:cs="Arial"/>
        </w:rPr>
      </w:pPr>
      <w:r w:rsidRPr="007D322B">
        <w:rPr>
          <w:rFonts w:ascii="Arial" w:hAnsi="Arial" w:cs="Arial"/>
        </w:rPr>
        <w:t>Calculations</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pharmacokinetic</w:t>
      </w:r>
      <w:r w:rsidR="00EE0CCC">
        <w:rPr>
          <w:rFonts w:ascii="Arial" w:hAnsi="Arial" w:cs="Arial"/>
        </w:rPr>
        <w:t xml:space="preserve"> </w:t>
      </w:r>
      <w:r w:rsidRPr="007D322B">
        <w:rPr>
          <w:rFonts w:ascii="Arial" w:hAnsi="Arial" w:cs="Arial"/>
        </w:rPr>
        <w:t>parameters</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iCs/>
          <w:noProof/>
        </w:rPr>
        <w:t>dinutuximab</w:t>
      </w:r>
      <w:r w:rsidR="00EE0CCC">
        <w:rPr>
          <w:rFonts w:ascii="Arial" w:hAnsi="Arial" w:cs="Arial"/>
          <w:iCs/>
          <w:noProof/>
        </w:rPr>
        <w:t xml:space="preserve"> </w:t>
      </w:r>
      <w:r w:rsidRPr="007D322B">
        <w:rPr>
          <w:rFonts w:ascii="Arial" w:hAnsi="Arial" w:cs="Arial"/>
          <w:iCs/>
          <w:noProof/>
        </w:rPr>
        <w:t>beta</w:t>
      </w:r>
      <w:r w:rsidR="00EE0CCC">
        <w:rPr>
          <w:rFonts w:ascii="Arial" w:hAnsi="Arial" w:cs="Arial"/>
          <w:iCs/>
          <w:noProof/>
        </w:rPr>
        <w:t xml:space="preserve"> </w:t>
      </w:r>
      <w:r w:rsidRPr="007D322B">
        <w:rPr>
          <w:rFonts w:ascii="Arial" w:hAnsi="Arial" w:cs="Arial"/>
          <w:iCs/>
          <w:noProof/>
        </w:rPr>
        <w:t>are</w:t>
      </w:r>
      <w:r w:rsidR="00EE0CCC">
        <w:rPr>
          <w:rFonts w:ascii="Arial" w:hAnsi="Arial" w:cs="Arial"/>
          <w:iCs/>
          <w:noProof/>
        </w:rPr>
        <w:t xml:space="preserve"> </w:t>
      </w:r>
      <w:r w:rsidRPr="007D322B">
        <w:rPr>
          <w:rFonts w:ascii="Arial" w:hAnsi="Arial" w:cs="Arial"/>
          <w:iCs/>
          <w:noProof/>
        </w:rPr>
        <w:t>based</w:t>
      </w:r>
      <w:r w:rsidR="00EE0CCC">
        <w:rPr>
          <w:rFonts w:ascii="Arial" w:hAnsi="Arial" w:cs="Arial"/>
          <w:iCs/>
          <w:noProof/>
        </w:rPr>
        <w:t xml:space="preserve"> </w:t>
      </w:r>
      <w:r w:rsidRPr="007D322B">
        <w:rPr>
          <w:rFonts w:ascii="Arial" w:hAnsi="Arial" w:cs="Arial"/>
          <w:iCs/>
          <w:noProof/>
        </w:rPr>
        <w:t>upon</w:t>
      </w:r>
      <w:r w:rsidR="00EE0CCC">
        <w:rPr>
          <w:rFonts w:ascii="Arial" w:hAnsi="Arial" w:cs="Arial"/>
          <w:iCs/>
          <w:noProof/>
        </w:rPr>
        <w:t xml:space="preserve"> </w:t>
      </w:r>
      <w:r w:rsidRPr="007D322B">
        <w:rPr>
          <w:rFonts w:ascii="Arial" w:hAnsi="Arial" w:cs="Arial"/>
          <w:iCs/>
          <w:noProof/>
        </w:rPr>
        <w:t>measurements</w:t>
      </w:r>
      <w:r w:rsidR="00EE0CCC">
        <w:rPr>
          <w:rFonts w:ascii="Arial" w:hAnsi="Arial" w:cs="Arial"/>
          <w:iCs/>
          <w:noProof/>
        </w:rPr>
        <w:t xml:space="preserve"> </w:t>
      </w:r>
      <w:r w:rsidRPr="007D322B">
        <w:rPr>
          <w:rFonts w:ascii="Arial" w:hAnsi="Arial" w:cs="Arial"/>
          <w:iCs/>
          <w:noProof/>
        </w:rPr>
        <w:t>using</w:t>
      </w:r>
      <w:r w:rsidR="00EE0CCC">
        <w:rPr>
          <w:rFonts w:ascii="Arial" w:hAnsi="Arial" w:cs="Arial"/>
          <w:iCs/>
          <w:noProof/>
        </w:rPr>
        <w:t xml:space="preserve"> </w:t>
      </w:r>
      <w:r w:rsidRPr="007D322B">
        <w:rPr>
          <w:rFonts w:ascii="Arial" w:hAnsi="Arial" w:cs="Arial"/>
        </w:rPr>
        <w:t>non-validated</w:t>
      </w:r>
      <w:r w:rsidR="00EE0CCC">
        <w:rPr>
          <w:rFonts w:ascii="Arial" w:hAnsi="Arial" w:cs="Arial"/>
        </w:rPr>
        <w:t xml:space="preserve"> </w:t>
      </w:r>
      <w:r w:rsidRPr="007D322B">
        <w:rPr>
          <w:rFonts w:ascii="Arial" w:hAnsi="Arial" w:cs="Arial"/>
        </w:rPr>
        <w:t>bioanalytical</w:t>
      </w:r>
      <w:r w:rsidR="00EE0CCC">
        <w:rPr>
          <w:rFonts w:ascii="Arial" w:hAnsi="Arial" w:cs="Arial"/>
        </w:rPr>
        <w:t xml:space="preserve"> </w:t>
      </w:r>
      <w:r w:rsidRPr="007D322B">
        <w:rPr>
          <w:rFonts w:ascii="Arial" w:hAnsi="Arial" w:cs="Arial"/>
        </w:rPr>
        <w:t>methods.</w:t>
      </w:r>
      <w:r w:rsidR="00EE0CCC">
        <w:rPr>
          <w:rFonts w:ascii="Arial" w:hAnsi="Arial" w:cs="Arial"/>
        </w:rPr>
        <w:t xml:space="preserve"> </w:t>
      </w:r>
      <w:r w:rsidRPr="007D322B">
        <w:rPr>
          <w:rFonts w:ascii="Arial" w:hAnsi="Arial" w:cs="Arial"/>
        </w:rPr>
        <w:t>This</w:t>
      </w:r>
      <w:r w:rsidR="00EE0CCC">
        <w:rPr>
          <w:rFonts w:ascii="Arial" w:hAnsi="Arial" w:cs="Arial"/>
        </w:rPr>
        <w:t xml:space="preserve"> </w:t>
      </w:r>
      <w:r w:rsidRPr="007D322B">
        <w:rPr>
          <w:rFonts w:ascii="Arial" w:hAnsi="Arial" w:cs="Arial"/>
        </w:rPr>
        <w:t>has</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taken</w:t>
      </w:r>
      <w:r w:rsidR="00EE0CCC">
        <w:rPr>
          <w:rFonts w:ascii="Arial" w:hAnsi="Arial" w:cs="Arial"/>
        </w:rPr>
        <w:t xml:space="preserve"> </w:t>
      </w:r>
      <w:r w:rsidRPr="007D322B">
        <w:rPr>
          <w:rFonts w:ascii="Arial" w:hAnsi="Arial" w:cs="Arial"/>
        </w:rPr>
        <w:t>into</w:t>
      </w:r>
      <w:r w:rsidR="00EE0CCC">
        <w:rPr>
          <w:rFonts w:ascii="Arial" w:hAnsi="Arial" w:cs="Arial"/>
        </w:rPr>
        <w:t xml:space="preserve"> </w:t>
      </w:r>
      <w:r w:rsidRPr="007D322B">
        <w:rPr>
          <w:rFonts w:ascii="Arial" w:hAnsi="Arial" w:cs="Arial"/>
        </w:rPr>
        <w:t>consideration</w:t>
      </w:r>
      <w:r w:rsidR="00EE0CCC">
        <w:rPr>
          <w:rFonts w:ascii="Arial" w:hAnsi="Arial" w:cs="Arial"/>
        </w:rPr>
        <w:t xml:space="preserve"> </w:t>
      </w:r>
      <w:r w:rsidRPr="007D322B">
        <w:rPr>
          <w:rFonts w:ascii="Arial" w:hAnsi="Arial" w:cs="Arial"/>
        </w:rPr>
        <w:t>when</w:t>
      </w:r>
      <w:r w:rsidR="00EE0CCC">
        <w:rPr>
          <w:rFonts w:ascii="Arial" w:hAnsi="Arial" w:cs="Arial"/>
        </w:rPr>
        <w:t xml:space="preserve"> </w:t>
      </w:r>
      <w:r w:rsidRPr="007D322B">
        <w:rPr>
          <w:rFonts w:ascii="Arial" w:hAnsi="Arial" w:cs="Arial"/>
        </w:rPr>
        <w:t>interpreting</w:t>
      </w:r>
      <w:r w:rsidR="00EE0CCC">
        <w:rPr>
          <w:rFonts w:ascii="Arial" w:hAnsi="Arial" w:cs="Arial"/>
        </w:rPr>
        <w:t xml:space="preserve"> </w:t>
      </w:r>
      <w:r w:rsidRPr="007D322B">
        <w:rPr>
          <w:rFonts w:ascii="Arial" w:hAnsi="Arial" w:cs="Arial"/>
        </w:rPr>
        <w:t>PK</w:t>
      </w:r>
      <w:r w:rsidR="00EE0CCC">
        <w:rPr>
          <w:rFonts w:ascii="Arial" w:hAnsi="Arial" w:cs="Arial"/>
        </w:rPr>
        <w:t xml:space="preserve"> </w:t>
      </w:r>
      <w:r w:rsidRPr="007D322B">
        <w:rPr>
          <w:rFonts w:ascii="Arial" w:hAnsi="Arial" w:cs="Arial"/>
        </w:rPr>
        <w:t>parameters</w:t>
      </w:r>
      <w:r w:rsidR="00EE0CCC">
        <w:rPr>
          <w:rFonts w:ascii="Arial" w:hAnsi="Arial" w:cs="Arial"/>
        </w:rPr>
        <w:t xml:space="preserve"> </w:t>
      </w:r>
      <w:r w:rsidRPr="007D322B">
        <w:rPr>
          <w:rFonts w:ascii="Arial" w:hAnsi="Arial" w:cs="Arial"/>
        </w:rPr>
        <w:t>(C</w:t>
      </w:r>
      <w:r w:rsidRPr="007D322B">
        <w:rPr>
          <w:rFonts w:ascii="Arial" w:hAnsi="Arial" w:cs="Arial"/>
          <w:vertAlign w:val="subscript"/>
        </w:rPr>
        <w:t>max</w:t>
      </w:r>
      <w:r w:rsidRPr="007D322B">
        <w:rPr>
          <w:rFonts w:ascii="Arial" w:hAnsi="Arial" w:cs="Arial"/>
        </w:rPr>
        <w:t>,</w:t>
      </w:r>
      <w:r w:rsidR="00EE0CCC">
        <w:rPr>
          <w:rFonts w:ascii="Arial" w:hAnsi="Arial" w:cs="Arial"/>
        </w:rPr>
        <w:t xml:space="preserve"> </w:t>
      </w:r>
      <w:r w:rsidRPr="007D322B">
        <w:rPr>
          <w:rFonts w:ascii="Arial" w:hAnsi="Arial" w:cs="Arial"/>
        </w:rPr>
        <w:t>exposure,</w:t>
      </w:r>
      <w:r w:rsidR="00EE0CCC">
        <w:rPr>
          <w:rFonts w:ascii="Arial" w:hAnsi="Arial" w:cs="Arial"/>
        </w:rPr>
        <w:t xml:space="preserve"> </w:t>
      </w:r>
      <w:r w:rsidRPr="007D322B">
        <w:rPr>
          <w:rFonts w:ascii="Arial" w:hAnsi="Arial" w:cs="Arial"/>
        </w:rPr>
        <w:t>half-life)</w:t>
      </w:r>
      <w:r w:rsidR="00EE0CCC">
        <w:rPr>
          <w:rFonts w:ascii="Arial" w:hAnsi="Arial" w:cs="Arial"/>
        </w:rPr>
        <w:t xml:space="preserve"> </w:t>
      </w:r>
      <w:r w:rsidRPr="007D322B">
        <w:rPr>
          <w:rFonts w:ascii="Arial" w:hAnsi="Arial" w:cs="Arial"/>
        </w:rPr>
        <w:t>listed</w:t>
      </w:r>
      <w:r w:rsidR="00EE0CCC">
        <w:rPr>
          <w:rFonts w:ascii="Arial" w:hAnsi="Arial" w:cs="Arial"/>
        </w:rPr>
        <w:t xml:space="preserve"> </w:t>
      </w:r>
      <w:r w:rsidRPr="007D322B">
        <w:rPr>
          <w:rFonts w:ascii="Arial" w:hAnsi="Arial" w:cs="Arial"/>
        </w:rPr>
        <w:t>below.</w:t>
      </w:r>
    </w:p>
    <w:p w:rsidR="0035128F" w:rsidRPr="007D322B" w:rsidRDefault="0035128F" w:rsidP="0035128F">
      <w:pPr>
        <w:rPr>
          <w:rFonts w:ascii="Arial" w:hAnsi="Arial" w:cs="Arial"/>
          <w:iCs/>
          <w:noProof/>
        </w:rPr>
      </w:pPr>
    </w:p>
    <w:p w:rsidR="00EC503A" w:rsidRPr="007D322B" w:rsidRDefault="0035128F" w:rsidP="0035128F">
      <w:pPr>
        <w:pStyle w:val="NoSpacing"/>
        <w:rPr>
          <w:rFonts w:ascii="Arial" w:eastAsia="Calibri" w:hAnsi="Arial" w:cs="Arial"/>
        </w:rPr>
      </w:pP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pharmacokinetics</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dinutuximab</w:t>
      </w:r>
      <w:r w:rsidR="00EE0CCC">
        <w:rPr>
          <w:rFonts w:ascii="Arial" w:hAnsi="Arial" w:cs="Arial"/>
          <w:iCs/>
          <w:noProof/>
        </w:rPr>
        <w:t xml:space="preserve"> </w:t>
      </w:r>
      <w:r w:rsidRPr="007D322B">
        <w:rPr>
          <w:rFonts w:ascii="Arial" w:hAnsi="Arial" w:cs="Arial"/>
          <w:iCs/>
          <w:noProof/>
        </w:rPr>
        <w:t>beta,</w:t>
      </w:r>
      <w:r w:rsidR="00EE0CCC">
        <w:rPr>
          <w:rFonts w:ascii="Arial" w:hAnsi="Arial" w:cs="Arial"/>
          <w:iCs/>
          <w:noProof/>
        </w:rPr>
        <w:t xml:space="preserve"> </w:t>
      </w:r>
      <w:r w:rsidRPr="007D322B">
        <w:rPr>
          <w:rFonts w:ascii="Arial" w:hAnsi="Arial" w:cs="Arial"/>
          <w:iCs/>
          <w:noProof/>
        </w:rPr>
        <w:t>based</w:t>
      </w:r>
      <w:r w:rsidR="00EE0CCC">
        <w:rPr>
          <w:rFonts w:ascii="Arial" w:hAnsi="Arial" w:cs="Arial"/>
          <w:iCs/>
          <w:noProof/>
        </w:rPr>
        <w:t xml:space="preserve"> </w:t>
      </w:r>
      <w:r w:rsidRPr="007D322B">
        <w:rPr>
          <w:rFonts w:ascii="Arial" w:hAnsi="Arial" w:cs="Arial"/>
          <w:iCs/>
          <w:noProof/>
        </w:rPr>
        <w:t>on</w:t>
      </w:r>
      <w:r w:rsidR="00EE0CCC">
        <w:rPr>
          <w:rFonts w:ascii="Arial" w:hAnsi="Arial" w:cs="Arial"/>
          <w:iCs/>
          <w:noProof/>
        </w:rPr>
        <w:t xml:space="preserve"> </w:t>
      </w:r>
      <w:r w:rsidRPr="007D322B">
        <w:rPr>
          <w:rFonts w:ascii="Arial" w:hAnsi="Arial" w:cs="Arial"/>
          <w:iCs/>
          <w:noProof/>
        </w:rPr>
        <w:t>10</w:t>
      </w:r>
      <w:r w:rsidRPr="007D322B">
        <w:rPr>
          <w:rFonts w:ascii="Arial" w:hAnsi="Arial" w:cs="Arial"/>
          <w:iCs/>
          <w:noProof/>
        </w:rPr>
        <w:noBreakHyphen/>
        <w:t>day</w:t>
      </w:r>
      <w:r w:rsidR="00EE0CCC">
        <w:rPr>
          <w:rFonts w:ascii="Arial" w:hAnsi="Arial" w:cs="Arial"/>
          <w:iCs/>
          <w:noProof/>
        </w:rPr>
        <w:t xml:space="preserve"> </w:t>
      </w:r>
      <w:r w:rsidRPr="007D322B">
        <w:rPr>
          <w:rFonts w:ascii="Arial" w:hAnsi="Arial" w:cs="Arial"/>
          <w:iCs/>
          <w:noProof/>
        </w:rPr>
        <w:t>continuous</w:t>
      </w:r>
      <w:r w:rsidR="00EE0CCC">
        <w:rPr>
          <w:rFonts w:ascii="Arial" w:hAnsi="Arial" w:cs="Arial"/>
          <w:iCs/>
          <w:noProof/>
        </w:rPr>
        <w:t xml:space="preserve"> </w:t>
      </w:r>
      <w:r w:rsidRPr="007D322B">
        <w:rPr>
          <w:rFonts w:ascii="Arial" w:hAnsi="Arial" w:cs="Arial"/>
          <w:iCs/>
          <w:noProof/>
        </w:rPr>
        <w:t>intravenous</w:t>
      </w:r>
      <w:r w:rsidR="00EE0CCC">
        <w:rPr>
          <w:rFonts w:ascii="Arial" w:hAnsi="Arial" w:cs="Arial"/>
          <w:iCs/>
          <w:noProof/>
        </w:rPr>
        <w:t xml:space="preserve"> </w:t>
      </w:r>
      <w:r w:rsidRPr="007D322B">
        <w:rPr>
          <w:rFonts w:ascii="Arial" w:hAnsi="Arial" w:cs="Arial"/>
          <w:iCs/>
          <w:noProof/>
        </w:rPr>
        <w:t>infusion</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10</w:t>
      </w:r>
      <w:r w:rsidR="00EE0CCC">
        <w:rPr>
          <w:rFonts w:ascii="Arial" w:hAnsi="Arial" w:cs="Arial"/>
          <w:iCs/>
          <w:noProof/>
        </w:rPr>
        <w:t xml:space="preserve"> </w:t>
      </w:r>
      <w:r w:rsidRPr="007D322B">
        <w:rPr>
          <w:rFonts w:ascii="Arial" w:hAnsi="Arial" w:cs="Arial"/>
          <w:iCs/>
          <w:noProof/>
        </w:rPr>
        <w:t>mg/m</w:t>
      </w:r>
      <w:r w:rsidRPr="007D322B">
        <w:rPr>
          <w:rFonts w:ascii="Arial" w:hAnsi="Arial" w:cs="Arial"/>
          <w:iCs/>
          <w:noProof/>
          <w:vertAlign w:val="superscript"/>
        </w:rPr>
        <w:t>2</w:t>
      </w:r>
      <w:r w:rsidRPr="007D322B">
        <w:rPr>
          <w:rFonts w:ascii="Arial" w:hAnsi="Arial" w:cs="Arial"/>
          <w:iCs/>
          <w:noProof/>
        </w:rPr>
        <w:t>/day</w:t>
      </w:r>
      <w:r w:rsidR="00EE0CCC">
        <w:rPr>
          <w:rFonts w:ascii="Arial" w:hAnsi="Arial" w:cs="Arial"/>
          <w:iCs/>
          <w:noProof/>
        </w:rPr>
        <w:t xml:space="preserve"> </w:t>
      </w:r>
      <w:r w:rsidRPr="007D322B">
        <w:rPr>
          <w:rFonts w:ascii="Arial" w:hAnsi="Arial" w:cs="Arial"/>
          <w:iCs/>
          <w:noProof/>
        </w:rPr>
        <w:t>(equal</w:t>
      </w:r>
      <w:r w:rsidR="00EE0CCC">
        <w:rPr>
          <w:rFonts w:ascii="Arial" w:hAnsi="Arial" w:cs="Arial"/>
          <w:iCs/>
          <w:noProof/>
        </w:rPr>
        <w:t xml:space="preserve"> </w:t>
      </w:r>
      <w:r w:rsidRPr="007D322B">
        <w:rPr>
          <w:rFonts w:ascii="Arial" w:hAnsi="Arial" w:cs="Arial"/>
          <w:iCs/>
          <w:noProof/>
        </w:rPr>
        <w:t>to</w:t>
      </w:r>
      <w:r w:rsidR="00EE0CCC">
        <w:rPr>
          <w:rFonts w:ascii="Arial" w:hAnsi="Arial" w:cs="Arial"/>
          <w:iCs/>
          <w:noProof/>
        </w:rPr>
        <w:t xml:space="preserve"> </w:t>
      </w:r>
      <w:r w:rsidRPr="007D322B">
        <w:rPr>
          <w:rFonts w:ascii="Arial" w:hAnsi="Arial" w:cs="Arial"/>
          <w:iCs/>
          <w:noProof/>
        </w:rPr>
        <w:t>a</w:t>
      </w:r>
      <w:r w:rsidR="00EE0CCC">
        <w:rPr>
          <w:rFonts w:ascii="Arial" w:hAnsi="Arial" w:cs="Arial"/>
          <w:iCs/>
          <w:noProof/>
        </w:rPr>
        <w:t xml:space="preserve"> </w:t>
      </w:r>
      <w:r w:rsidRPr="007D322B">
        <w:rPr>
          <w:rFonts w:ascii="Arial" w:hAnsi="Arial" w:cs="Arial"/>
          <w:iCs/>
          <w:noProof/>
        </w:rPr>
        <w:t>total</w:t>
      </w:r>
      <w:r w:rsidR="00EE0CCC">
        <w:rPr>
          <w:rFonts w:ascii="Arial" w:hAnsi="Arial" w:cs="Arial"/>
          <w:iCs/>
          <w:noProof/>
        </w:rPr>
        <w:t xml:space="preserve"> </w:t>
      </w:r>
      <w:r w:rsidRPr="007D322B">
        <w:rPr>
          <w:rFonts w:ascii="Arial" w:hAnsi="Arial" w:cs="Arial"/>
          <w:iCs/>
          <w:noProof/>
        </w:rPr>
        <w:t>dose</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100</w:t>
      </w:r>
      <w:r w:rsidR="00EE0CCC">
        <w:rPr>
          <w:rFonts w:ascii="Arial" w:hAnsi="Arial" w:cs="Arial"/>
          <w:iCs/>
          <w:noProof/>
        </w:rPr>
        <w:t xml:space="preserve"> </w:t>
      </w:r>
      <w:r w:rsidRPr="007D322B">
        <w:rPr>
          <w:rFonts w:ascii="Arial" w:hAnsi="Arial" w:cs="Arial"/>
          <w:iCs/>
          <w:noProof/>
        </w:rPr>
        <w:t>mg/m</w:t>
      </w:r>
      <w:r w:rsidRPr="007D322B">
        <w:rPr>
          <w:rFonts w:ascii="Arial" w:hAnsi="Arial" w:cs="Arial"/>
          <w:iCs/>
          <w:noProof/>
          <w:vertAlign w:val="superscript"/>
        </w:rPr>
        <w:t>2</w:t>
      </w:r>
      <w:r w:rsidRPr="007D322B">
        <w:rPr>
          <w:rFonts w:ascii="Arial" w:hAnsi="Arial" w:cs="Arial"/>
          <w:iCs/>
          <w:noProof/>
        </w:rPr>
        <w:t>/course)</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evaluated</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studies</w:t>
      </w:r>
      <w:r w:rsidR="00EE0CCC">
        <w:rPr>
          <w:rFonts w:ascii="Arial" w:hAnsi="Arial" w:cs="Arial"/>
          <w:iCs/>
          <w:noProof/>
        </w:rPr>
        <w:t xml:space="preserve"> </w:t>
      </w:r>
      <w:r w:rsidRPr="007D322B">
        <w:rPr>
          <w:rFonts w:ascii="Arial" w:hAnsi="Arial" w:cs="Arial"/>
          <w:iCs/>
          <w:noProof/>
        </w:rPr>
        <w:t>1</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2.</w:t>
      </w:r>
      <w:r w:rsidR="00EE0CCC">
        <w:rPr>
          <w:rFonts w:ascii="Arial" w:hAnsi="Arial" w:cs="Arial"/>
          <w:iCs/>
          <w:noProof/>
        </w:rPr>
        <w:t xml:space="preserve"> </w:t>
      </w:r>
      <w:r w:rsidRPr="007D322B">
        <w:rPr>
          <w:rFonts w:ascii="Arial" w:hAnsi="Arial" w:cs="Arial"/>
          <w:iCs/>
          <w:noProof/>
        </w:rPr>
        <w:t>Mean</w:t>
      </w:r>
      <w:r w:rsidR="00EE0CCC">
        <w:rPr>
          <w:rFonts w:ascii="Arial" w:hAnsi="Arial" w:cs="Arial"/>
          <w:iCs/>
          <w:noProof/>
        </w:rPr>
        <w:t xml:space="preserve"> </w:t>
      </w:r>
      <w:r w:rsidRPr="007D322B">
        <w:rPr>
          <w:rFonts w:ascii="Arial" w:hAnsi="Arial" w:cs="Arial"/>
          <w:iCs/>
          <w:noProof/>
        </w:rPr>
        <w:t>plasma</w:t>
      </w:r>
      <w:r w:rsidR="00EE0CCC">
        <w:rPr>
          <w:rFonts w:ascii="Arial" w:hAnsi="Arial" w:cs="Arial"/>
          <w:iCs/>
          <w:noProof/>
        </w:rPr>
        <w:t xml:space="preserve"> </w:t>
      </w:r>
      <w:r w:rsidRPr="007D322B">
        <w:rPr>
          <w:rFonts w:ascii="Arial" w:hAnsi="Arial" w:cs="Arial"/>
          <w:iCs/>
          <w:noProof/>
        </w:rPr>
        <w:t>C</w:t>
      </w:r>
      <w:r w:rsidRPr="007D322B">
        <w:rPr>
          <w:rFonts w:ascii="Arial" w:hAnsi="Arial" w:cs="Arial"/>
          <w:iCs/>
          <w:noProof/>
          <w:vertAlign w:val="subscript"/>
        </w:rPr>
        <w:t>max</w:t>
      </w:r>
      <w:r w:rsidR="00EE0CCC">
        <w:rPr>
          <w:rFonts w:ascii="Arial" w:hAnsi="Arial" w:cs="Arial"/>
          <w:iCs/>
          <w:noProof/>
        </w:rPr>
        <w:t xml:space="preserve"> </w:t>
      </w:r>
      <w:r w:rsidRPr="007D322B">
        <w:rPr>
          <w:rFonts w:ascii="Arial" w:hAnsi="Arial" w:cs="Arial"/>
          <w:iCs/>
          <w:noProof/>
        </w:rPr>
        <w:t>levels</w:t>
      </w:r>
      <w:r w:rsidR="00EE0CCC">
        <w:rPr>
          <w:rFonts w:ascii="Arial" w:hAnsi="Arial" w:cs="Arial"/>
          <w:iCs/>
          <w:noProof/>
        </w:rPr>
        <w:t xml:space="preserve"> </w:t>
      </w:r>
      <w:r w:rsidRPr="007D322B">
        <w:rPr>
          <w:rFonts w:ascii="Arial" w:hAnsi="Arial" w:cs="Arial"/>
          <w:iCs/>
          <w:noProof/>
        </w:rPr>
        <w:t>(around</w:t>
      </w:r>
      <w:r w:rsidR="00EE0CCC">
        <w:rPr>
          <w:rFonts w:ascii="Arial" w:hAnsi="Arial" w:cs="Arial"/>
          <w:iCs/>
          <w:noProof/>
        </w:rPr>
        <w:t xml:space="preserve"> </w:t>
      </w:r>
      <w:r w:rsidRPr="007D322B">
        <w:rPr>
          <w:rFonts w:ascii="Arial" w:hAnsi="Arial" w:cs="Arial"/>
          <w:iCs/>
          <w:noProof/>
        </w:rPr>
        <w:t>12</w:t>
      </w:r>
      <w:r w:rsidR="00EE0CCC">
        <w:rPr>
          <w:rFonts w:ascii="Arial" w:hAnsi="Arial" w:cs="Arial"/>
          <w:iCs/>
          <w:noProof/>
        </w:rPr>
        <w:t xml:space="preserve"> </w:t>
      </w:r>
      <w:r w:rsidRPr="007D322B">
        <w:rPr>
          <w:rFonts w:ascii="Arial" w:hAnsi="Arial" w:cs="Arial"/>
          <w:iCs/>
          <w:noProof/>
        </w:rPr>
        <w:t>micrograms/mL)</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reached</w:t>
      </w:r>
      <w:r w:rsidR="00EE0CCC">
        <w:rPr>
          <w:rFonts w:ascii="Arial" w:hAnsi="Arial" w:cs="Arial"/>
          <w:iCs/>
          <w:noProof/>
        </w:rPr>
        <w:t xml:space="preserve"> </w:t>
      </w:r>
      <w:r w:rsidRPr="007D322B">
        <w:rPr>
          <w:rFonts w:ascii="Arial" w:hAnsi="Arial" w:cs="Arial"/>
          <w:iCs/>
          <w:noProof/>
        </w:rPr>
        <w:t>on</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last</w:t>
      </w:r>
      <w:r w:rsidR="00EE0CCC">
        <w:rPr>
          <w:rFonts w:ascii="Arial" w:hAnsi="Arial" w:cs="Arial"/>
          <w:iCs/>
          <w:noProof/>
        </w:rPr>
        <w:t xml:space="preserve"> </w:t>
      </w:r>
      <w:r w:rsidRPr="007D322B">
        <w:rPr>
          <w:rFonts w:ascii="Arial" w:hAnsi="Arial" w:cs="Arial"/>
          <w:iCs/>
          <w:noProof/>
        </w:rPr>
        <w:t>day</w:t>
      </w:r>
      <w:r w:rsidR="00EE0CCC">
        <w:rPr>
          <w:rFonts w:ascii="Arial" w:hAnsi="Arial" w:cs="Arial"/>
          <w:iCs/>
          <w:noProof/>
        </w:rPr>
        <w:t xml:space="preserve"> </w:t>
      </w:r>
      <w:r w:rsidRPr="007D322B">
        <w:rPr>
          <w:rFonts w:ascii="Arial" w:hAnsi="Arial" w:cs="Arial"/>
          <w:iCs/>
          <w:noProof/>
        </w:rPr>
        <w:t>of</w:t>
      </w:r>
      <w:r w:rsidR="00EE0CCC">
        <w:rPr>
          <w:rFonts w:ascii="Arial" w:hAnsi="Arial" w:cs="Arial"/>
          <w:iCs/>
          <w:noProof/>
        </w:rPr>
        <w:t xml:space="preserve"> </w:t>
      </w:r>
      <w:r w:rsidRPr="007D322B">
        <w:rPr>
          <w:rFonts w:ascii="Arial" w:hAnsi="Arial" w:cs="Arial"/>
          <w:iCs/>
          <w:noProof/>
        </w:rPr>
        <w:t>infusion.</w:t>
      </w:r>
      <w:r w:rsidR="00EE0CCC">
        <w:rPr>
          <w:rFonts w:ascii="Arial" w:hAnsi="Arial" w:cs="Arial"/>
          <w:iCs/>
          <w:noProof/>
        </w:rPr>
        <w:t xml:space="preserve"> </w:t>
      </w:r>
      <w:r w:rsidRPr="007D322B">
        <w:rPr>
          <w:rFonts w:ascii="Arial" w:hAnsi="Arial" w:cs="Arial"/>
          <w:iCs/>
          <w:noProof/>
        </w:rPr>
        <w:t>Mean</w:t>
      </w:r>
      <w:r w:rsidR="00EE0CCC">
        <w:rPr>
          <w:rFonts w:ascii="Arial" w:hAnsi="Arial" w:cs="Arial"/>
          <w:iCs/>
          <w:noProof/>
        </w:rPr>
        <w:t xml:space="preserve"> </w:t>
      </w:r>
      <w:r w:rsidRPr="007D322B">
        <w:rPr>
          <w:rFonts w:ascii="Arial" w:hAnsi="Arial" w:cs="Arial"/>
          <w:iCs/>
          <w:noProof/>
        </w:rPr>
        <w:t>plasma</w:t>
      </w:r>
      <w:r w:rsidR="00EE0CCC">
        <w:rPr>
          <w:rFonts w:ascii="Arial" w:hAnsi="Arial" w:cs="Arial"/>
          <w:iCs/>
          <w:noProof/>
        </w:rPr>
        <w:t xml:space="preserve"> </w:t>
      </w:r>
      <w:r w:rsidRPr="007D322B">
        <w:rPr>
          <w:rFonts w:ascii="Arial" w:hAnsi="Arial" w:cs="Arial"/>
          <w:iCs/>
          <w:noProof/>
        </w:rPr>
        <w:t>C</w:t>
      </w:r>
      <w:r w:rsidRPr="007D322B">
        <w:rPr>
          <w:rFonts w:ascii="Arial" w:hAnsi="Arial" w:cs="Arial"/>
          <w:iCs/>
          <w:noProof/>
          <w:vertAlign w:val="subscript"/>
        </w:rPr>
        <w:t>max</w:t>
      </w:r>
      <w:r w:rsidR="00EE0CCC">
        <w:rPr>
          <w:rFonts w:ascii="Arial" w:hAnsi="Arial" w:cs="Arial"/>
          <w:iCs/>
          <w:noProof/>
        </w:rPr>
        <w:t xml:space="preserve"> </w:t>
      </w:r>
      <w:r w:rsidRPr="007D322B">
        <w:rPr>
          <w:rFonts w:ascii="Arial" w:hAnsi="Arial" w:cs="Arial"/>
          <w:iCs/>
          <w:noProof/>
        </w:rPr>
        <w:t>levels,</w:t>
      </w:r>
      <w:r w:rsidR="00EE0CCC">
        <w:rPr>
          <w:rFonts w:ascii="Arial" w:hAnsi="Arial" w:cs="Arial"/>
          <w:iCs/>
          <w:noProof/>
        </w:rPr>
        <w:t xml:space="preserve"> </w:t>
      </w:r>
      <w:r w:rsidRPr="007D322B">
        <w:rPr>
          <w:rFonts w:ascii="Arial" w:hAnsi="Arial" w:cs="Arial"/>
          <w:iCs/>
          <w:noProof/>
        </w:rPr>
        <w:t>observed</w:t>
      </w:r>
      <w:r w:rsidR="00EE0CCC">
        <w:rPr>
          <w:rFonts w:ascii="Arial" w:hAnsi="Arial" w:cs="Arial"/>
          <w:iCs/>
          <w:noProof/>
        </w:rPr>
        <w:t xml:space="preserve"> </w:t>
      </w:r>
      <w:r w:rsidRPr="007D322B">
        <w:rPr>
          <w:rFonts w:ascii="Arial" w:hAnsi="Arial" w:cs="Arial"/>
          <w:iCs/>
          <w:noProof/>
        </w:rPr>
        <w:t>during</w:t>
      </w:r>
      <w:r w:rsidR="00EE0CCC">
        <w:rPr>
          <w:rFonts w:ascii="Arial" w:hAnsi="Arial" w:cs="Arial"/>
          <w:iCs/>
          <w:noProof/>
        </w:rPr>
        <w:t xml:space="preserve"> </w:t>
      </w:r>
      <w:r w:rsidRPr="007D322B">
        <w:rPr>
          <w:rFonts w:ascii="Arial" w:hAnsi="Arial" w:cs="Arial"/>
          <w:iCs/>
          <w:noProof/>
        </w:rPr>
        <w:t>8</w:t>
      </w:r>
      <w:r w:rsidRPr="007D322B">
        <w:rPr>
          <w:rFonts w:ascii="Arial" w:hAnsi="Arial" w:cs="Arial"/>
          <w:iCs/>
          <w:noProof/>
        </w:rPr>
        <w:noBreakHyphen/>
        <w:t>hour</w:t>
      </w:r>
      <w:r w:rsidR="00EE0CCC">
        <w:rPr>
          <w:rFonts w:ascii="Arial" w:hAnsi="Arial" w:cs="Arial"/>
          <w:iCs/>
          <w:noProof/>
        </w:rPr>
        <w:t xml:space="preserve"> </w:t>
      </w:r>
      <w:r w:rsidRPr="007D322B">
        <w:rPr>
          <w:rFonts w:ascii="Arial" w:hAnsi="Arial" w:cs="Arial"/>
          <w:iCs/>
          <w:noProof/>
        </w:rPr>
        <w:t>infusions</w:t>
      </w:r>
      <w:r w:rsidR="00EE0CCC">
        <w:rPr>
          <w:rFonts w:ascii="Arial" w:hAnsi="Arial" w:cs="Arial"/>
          <w:iCs/>
          <w:noProof/>
        </w:rPr>
        <w:t xml:space="preserve"> </w:t>
      </w:r>
      <w:r w:rsidRPr="007D322B">
        <w:rPr>
          <w:rFonts w:ascii="Arial" w:hAnsi="Arial" w:cs="Arial"/>
          <w:iCs/>
          <w:noProof/>
        </w:rPr>
        <w:t>(20</w:t>
      </w:r>
      <w:r w:rsidR="00EE0CCC">
        <w:rPr>
          <w:rFonts w:ascii="Arial" w:hAnsi="Arial" w:cs="Arial"/>
          <w:iCs/>
          <w:noProof/>
        </w:rPr>
        <w:t xml:space="preserve"> </w:t>
      </w:r>
      <w:r w:rsidRPr="007D322B">
        <w:rPr>
          <w:rFonts w:ascii="Arial" w:hAnsi="Arial" w:cs="Arial"/>
          <w:iCs/>
          <w:noProof/>
        </w:rPr>
        <w:t>mg/m</w:t>
      </w:r>
      <w:r w:rsidRPr="007D322B">
        <w:rPr>
          <w:rFonts w:ascii="Arial" w:hAnsi="Arial" w:cs="Arial"/>
          <w:iCs/>
          <w:noProof/>
          <w:vertAlign w:val="superscript"/>
        </w:rPr>
        <w:t>2</w:t>
      </w:r>
      <w:r w:rsidRPr="007D322B">
        <w:rPr>
          <w:rFonts w:ascii="Arial" w:hAnsi="Arial" w:cs="Arial"/>
          <w:iCs/>
          <w:noProof/>
        </w:rPr>
        <w:t>/day</w:t>
      </w:r>
      <w:r w:rsidR="00EE0CCC">
        <w:rPr>
          <w:rFonts w:ascii="Arial" w:hAnsi="Arial" w:cs="Arial"/>
          <w:iCs/>
          <w:noProof/>
        </w:rPr>
        <w:t xml:space="preserve"> </w:t>
      </w:r>
      <w:r w:rsidRPr="007D322B">
        <w:rPr>
          <w:rFonts w:ascii="Arial" w:hAnsi="Arial" w:cs="Arial"/>
          <w:iCs/>
          <w:noProof/>
        </w:rPr>
        <w:t>on</w:t>
      </w:r>
      <w:r w:rsidR="00EE0CCC">
        <w:rPr>
          <w:rFonts w:ascii="Arial" w:hAnsi="Arial" w:cs="Arial"/>
          <w:iCs/>
          <w:noProof/>
        </w:rPr>
        <w:t xml:space="preserve"> </w:t>
      </w:r>
      <w:r w:rsidRPr="007D322B">
        <w:rPr>
          <w:rFonts w:ascii="Arial" w:hAnsi="Arial" w:cs="Arial"/>
          <w:iCs/>
          <w:noProof/>
        </w:rPr>
        <w:t>five</w:t>
      </w:r>
      <w:r w:rsidR="00EE0CCC">
        <w:rPr>
          <w:rFonts w:ascii="Arial" w:hAnsi="Arial" w:cs="Arial"/>
          <w:iCs/>
          <w:noProof/>
        </w:rPr>
        <w:t xml:space="preserve"> </w:t>
      </w:r>
      <w:r w:rsidRPr="007D322B">
        <w:rPr>
          <w:rFonts w:ascii="Arial" w:hAnsi="Arial" w:cs="Arial"/>
          <w:iCs/>
          <w:noProof/>
        </w:rPr>
        <w:t>consecutive</w:t>
      </w:r>
      <w:r w:rsidR="00EE0CCC">
        <w:rPr>
          <w:rFonts w:ascii="Arial" w:hAnsi="Arial" w:cs="Arial"/>
          <w:iCs/>
          <w:noProof/>
        </w:rPr>
        <w:t xml:space="preserve"> </w:t>
      </w:r>
      <w:r w:rsidRPr="007D322B">
        <w:rPr>
          <w:rFonts w:ascii="Arial" w:hAnsi="Arial" w:cs="Arial"/>
          <w:iCs/>
          <w:noProof/>
        </w:rPr>
        <w:t>days),</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determined</w:t>
      </w:r>
      <w:r w:rsidR="00EE0CCC">
        <w:rPr>
          <w:rFonts w:ascii="Arial" w:hAnsi="Arial" w:cs="Arial"/>
          <w:iCs/>
          <w:noProof/>
        </w:rPr>
        <w:t xml:space="preserve"> </w:t>
      </w:r>
      <w:r w:rsidRPr="007D322B">
        <w:rPr>
          <w:rFonts w:ascii="Arial" w:hAnsi="Arial" w:cs="Arial"/>
          <w:iCs/>
          <w:noProof/>
        </w:rPr>
        <w:t>in</w:t>
      </w:r>
      <w:r w:rsidR="00EE0CCC">
        <w:rPr>
          <w:rFonts w:ascii="Arial" w:hAnsi="Arial" w:cs="Arial"/>
          <w:iCs/>
          <w:noProof/>
        </w:rPr>
        <w:t xml:space="preserve"> </w:t>
      </w:r>
      <w:r w:rsidRPr="007D322B">
        <w:rPr>
          <w:rFonts w:ascii="Arial" w:hAnsi="Arial" w:cs="Arial"/>
          <w:iCs/>
          <w:noProof/>
        </w:rPr>
        <w:t>another</w:t>
      </w:r>
      <w:r w:rsidR="00EE0CCC">
        <w:rPr>
          <w:rFonts w:ascii="Arial" w:hAnsi="Arial" w:cs="Arial"/>
          <w:iCs/>
          <w:noProof/>
        </w:rPr>
        <w:t xml:space="preserve"> </w:t>
      </w:r>
      <w:r w:rsidRPr="007D322B">
        <w:rPr>
          <w:rFonts w:ascii="Arial" w:hAnsi="Arial" w:cs="Arial"/>
          <w:iCs/>
          <w:noProof/>
        </w:rPr>
        <w:t>study</w:t>
      </w:r>
      <w:r w:rsidR="00EE0CCC">
        <w:rPr>
          <w:rFonts w:ascii="Arial" w:hAnsi="Arial" w:cs="Arial"/>
          <w:iCs/>
          <w:noProof/>
        </w:rPr>
        <w:t xml:space="preserve"> </w:t>
      </w:r>
      <w:r w:rsidRPr="007D322B">
        <w:rPr>
          <w:rFonts w:ascii="Arial" w:hAnsi="Arial" w:cs="Arial"/>
          <w:iCs/>
          <w:noProof/>
        </w:rPr>
        <w:t>(n=15).</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observed</w:t>
      </w:r>
      <w:r w:rsidR="00EE0CCC">
        <w:rPr>
          <w:rFonts w:ascii="Arial" w:hAnsi="Arial" w:cs="Arial"/>
          <w:iCs/>
          <w:noProof/>
        </w:rPr>
        <w:t xml:space="preserve"> </w:t>
      </w:r>
      <w:r w:rsidRPr="007D322B">
        <w:rPr>
          <w:rFonts w:ascii="Arial" w:hAnsi="Arial" w:cs="Arial"/>
          <w:iCs/>
          <w:noProof/>
        </w:rPr>
        <w:t>C</w:t>
      </w:r>
      <w:r w:rsidRPr="007D322B">
        <w:rPr>
          <w:rFonts w:ascii="Arial" w:hAnsi="Arial" w:cs="Arial"/>
          <w:iCs/>
          <w:noProof/>
          <w:vertAlign w:val="subscript"/>
        </w:rPr>
        <w:t>max</w:t>
      </w:r>
      <w:r w:rsidR="00EE0CCC">
        <w:rPr>
          <w:rFonts w:ascii="Arial" w:hAnsi="Arial" w:cs="Arial"/>
          <w:iCs/>
          <w:noProof/>
        </w:rPr>
        <w:t xml:space="preserve"> </w:t>
      </w:r>
      <w:r w:rsidRPr="007D322B">
        <w:rPr>
          <w:rFonts w:ascii="Arial" w:hAnsi="Arial" w:cs="Arial"/>
          <w:iCs/>
          <w:noProof/>
        </w:rPr>
        <w:t>levels</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slightly</w:t>
      </w:r>
      <w:r w:rsidR="00EE0CCC">
        <w:rPr>
          <w:rFonts w:ascii="Arial" w:hAnsi="Arial" w:cs="Arial"/>
          <w:iCs/>
          <w:noProof/>
        </w:rPr>
        <w:t xml:space="preserve"> </w:t>
      </w:r>
      <w:r w:rsidRPr="007D322B">
        <w:rPr>
          <w:rFonts w:ascii="Arial" w:hAnsi="Arial" w:cs="Arial"/>
          <w:iCs/>
          <w:noProof/>
        </w:rPr>
        <w:t>higher</w:t>
      </w:r>
      <w:r w:rsidR="00EE0CCC">
        <w:rPr>
          <w:rFonts w:ascii="Arial" w:hAnsi="Arial" w:cs="Arial"/>
          <w:iCs/>
          <w:noProof/>
        </w:rPr>
        <w:t xml:space="preserve"> </w:t>
      </w:r>
      <w:r w:rsidRPr="007D322B">
        <w:rPr>
          <w:rFonts w:ascii="Arial" w:hAnsi="Arial" w:cs="Arial"/>
          <w:iCs/>
          <w:noProof/>
        </w:rPr>
        <w:t>(16.5</w:t>
      </w:r>
      <w:r w:rsidR="00EE0CCC">
        <w:rPr>
          <w:rFonts w:ascii="Arial" w:hAnsi="Arial" w:cs="Arial"/>
          <w:iCs/>
          <w:noProof/>
        </w:rPr>
        <w:t xml:space="preserve"> </w:t>
      </w:r>
      <w:r w:rsidRPr="007D322B">
        <w:rPr>
          <w:rFonts w:ascii="Arial" w:hAnsi="Arial" w:cs="Arial"/>
          <w:iCs/>
          <w:noProof/>
        </w:rPr>
        <w:t>micrograms/mL)</w:t>
      </w:r>
      <w:r w:rsidR="00EE0CCC">
        <w:rPr>
          <w:rFonts w:ascii="Arial" w:hAnsi="Arial" w:cs="Arial"/>
          <w:iCs/>
          <w:noProof/>
        </w:rPr>
        <w:t xml:space="preserve"> </w:t>
      </w:r>
      <w:r w:rsidRPr="007D322B">
        <w:rPr>
          <w:rFonts w:ascii="Arial" w:hAnsi="Arial" w:cs="Arial"/>
          <w:iCs/>
          <w:noProof/>
        </w:rPr>
        <w:t>and</w:t>
      </w:r>
      <w:r w:rsidR="00EE0CCC">
        <w:rPr>
          <w:rFonts w:ascii="Arial" w:hAnsi="Arial" w:cs="Arial"/>
          <w:iCs/>
          <w:noProof/>
        </w:rPr>
        <w:t xml:space="preserve"> </w:t>
      </w:r>
      <w:r w:rsidRPr="007D322B">
        <w:rPr>
          <w:rFonts w:ascii="Arial" w:hAnsi="Arial" w:cs="Arial"/>
          <w:iCs/>
          <w:noProof/>
        </w:rPr>
        <w:t>were</w:t>
      </w:r>
      <w:r w:rsidR="00EE0CCC">
        <w:rPr>
          <w:rFonts w:ascii="Arial" w:hAnsi="Arial" w:cs="Arial"/>
          <w:iCs/>
          <w:noProof/>
        </w:rPr>
        <w:t xml:space="preserve"> </w:t>
      </w:r>
      <w:r w:rsidRPr="007D322B">
        <w:rPr>
          <w:rFonts w:ascii="Arial" w:hAnsi="Arial" w:cs="Arial"/>
          <w:iCs/>
          <w:noProof/>
        </w:rPr>
        <w:t>reached</w:t>
      </w:r>
      <w:r w:rsidR="00EE0CCC">
        <w:rPr>
          <w:rFonts w:ascii="Arial" w:hAnsi="Arial" w:cs="Arial"/>
          <w:iCs/>
          <w:noProof/>
        </w:rPr>
        <w:t xml:space="preserve"> </w:t>
      </w:r>
      <w:r w:rsidRPr="007D322B">
        <w:rPr>
          <w:rFonts w:ascii="Arial" w:hAnsi="Arial" w:cs="Arial"/>
          <w:iCs/>
          <w:noProof/>
        </w:rPr>
        <w:t>on</w:t>
      </w:r>
      <w:r w:rsidR="00EE0CCC">
        <w:rPr>
          <w:rFonts w:ascii="Arial" w:hAnsi="Arial" w:cs="Arial"/>
          <w:iCs/>
          <w:noProof/>
        </w:rPr>
        <w:t xml:space="preserve"> </w:t>
      </w:r>
      <w:r w:rsidRPr="007D322B">
        <w:rPr>
          <w:rFonts w:ascii="Arial" w:hAnsi="Arial" w:cs="Arial"/>
          <w:iCs/>
          <w:noProof/>
        </w:rPr>
        <w:t>the</w:t>
      </w:r>
      <w:r w:rsidR="00EE0CCC">
        <w:rPr>
          <w:rFonts w:ascii="Arial" w:hAnsi="Arial" w:cs="Arial"/>
          <w:iCs/>
          <w:noProof/>
        </w:rPr>
        <w:t xml:space="preserve"> </w:t>
      </w:r>
      <w:r w:rsidRPr="007D322B">
        <w:rPr>
          <w:rFonts w:ascii="Arial" w:hAnsi="Arial" w:cs="Arial"/>
          <w:iCs/>
          <w:noProof/>
        </w:rPr>
        <w:t>fifth</w:t>
      </w:r>
      <w:r w:rsidR="00EE0CCC">
        <w:rPr>
          <w:rFonts w:ascii="Arial" w:hAnsi="Arial" w:cs="Arial"/>
          <w:iCs/>
          <w:noProof/>
        </w:rPr>
        <w:t xml:space="preserve"> </w:t>
      </w:r>
      <w:r w:rsidRPr="007D322B">
        <w:rPr>
          <w:rFonts w:ascii="Arial" w:hAnsi="Arial" w:cs="Arial"/>
          <w:iCs/>
          <w:noProof/>
        </w:rPr>
        <w:t>infusion.</w:t>
      </w:r>
    </w:p>
    <w:p w:rsidR="00EC503A" w:rsidRPr="007D322B" w:rsidRDefault="00EC503A" w:rsidP="00946995">
      <w:pPr>
        <w:pStyle w:val="NoSpacing"/>
        <w:rPr>
          <w:rFonts w:ascii="Arial" w:eastAsia="Calibri" w:hAnsi="Arial" w:cs="Arial"/>
        </w:rPr>
      </w:pPr>
    </w:p>
    <w:p w:rsidR="00EC503A" w:rsidRPr="007D322B" w:rsidRDefault="00EC503A" w:rsidP="00946995">
      <w:pPr>
        <w:pStyle w:val="NoSpacing"/>
        <w:rPr>
          <w:rFonts w:ascii="Arial" w:eastAsia="Calibri" w:hAnsi="Arial" w:cs="Arial"/>
          <w:b/>
          <w:bCs/>
          <w:i/>
          <w:iCs/>
        </w:rPr>
      </w:pPr>
      <w:r w:rsidRPr="007D322B">
        <w:rPr>
          <w:rFonts w:ascii="Arial" w:eastAsia="Calibri" w:hAnsi="Arial" w:cs="Arial"/>
          <w:b/>
          <w:bCs/>
          <w:i/>
          <w:iCs/>
        </w:rPr>
        <w:t>Metabolism</w:t>
      </w:r>
    </w:p>
    <w:p w:rsidR="00EC503A" w:rsidRPr="007D322B" w:rsidRDefault="0035128F" w:rsidP="00946995">
      <w:pPr>
        <w:pStyle w:val="NoSpacing"/>
        <w:rPr>
          <w:rFonts w:ascii="Arial" w:eastAsia="Calibri" w:hAnsi="Arial" w:cs="Arial"/>
        </w:rPr>
      </w:pPr>
      <w:r w:rsidRPr="007D322B">
        <w:rPr>
          <w:rFonts w:ascii="Arial" w:eastAsia="Calibri" w:hAnsi="Arial" w:cs="Arial"/>
        </w:rPr>
        <w:t>Dinutuximab</w:t>
      </w:r>
      <w:r w:rsidR="00EE0CCC">
        <w:rPr>
          <w:rFonts w:ascii="Arial" w:eastAsia="Calibri" w:hAnsi="Arial" w:cs="Arial"/>
        </w:rPr>
        <w:t xml:space="preserve"> </w:t>
      </w:r>
      <w:r w:rsidRPr="007D322B">
        <w:rPr>
          <w:rFonts w:ascii="Arial" w:eastAsia="Calibri" w:hAnsi="Arial" w:cs="Arial"/>
        </w:rPr>
        <w:t>beta</w:t>
      </w:r>
      <w:r w:rsidR="00EE0CCC">
        <w:rPr>
          <w:rFonts w:ascii="Arial" w:eastAsia="Calibri" w:hAnsi="Arial" w:cs="Arial"/>
        </w:rPr>
        <w:t xml:space="preserve"> </w:t>
      </w:r>
      <w:r w:rsidRPr="007D322B">
        <w:rPr>
          <w:rFonts w:ascii="Arial" w:eastAsia="Calibri" w:hAnsi="Arial" w:cs="Arial"/>
        </w:rPr>
        <w:t>is</w:t>
      </w:r>
      <w:r w:rsidR="00EE0CCC">
        <w:rPr>
          <w:rFonts w:ascii="Arial" w:eastAsia="Calibri" w:hAnsi="Arial" w:cs="Arial"/>
        </w:rPr>
        <w:t xml:space="preserve"> </w:t>
      </w:r>
      <w:r w:rsidRPr="007D322B">
        <w:rPr>
          <w:rFonts w:ascii="Arial" w:eastAsia="Calibri" w:hAnsi="Arial" w:cs="Arial"/>
        </w:rPr>
        <w:t>a</w:t>
      </w:r>
      <w:r w:rsidR="00EE0CCC">
        <w:rPr>
          <w:rFonts w:ascii="Arial" w:eastAsia="Calibri" w:hAnsi="Arial" w:cs="Arial"/>
        </w:rPr>
        <w:t xml:space="preserve"> </w:t>
      </w:r>
      <w:r w:rsidRPr="007D322B">
        <w:rPr>
          <w:rFonts w:ascii="Arial" w:eastAsia="Calibri" w:hAnsi="Arial" w:cs="Arial"/>
        </w:rPr>
        <w:t>protein</w:t>
      </w:r>
      <w:r w:rsidR="00EE0CCC">
        <w:rPr>
          <w:rFonts w:ascii="Arial" w:eastAsia="Calibri" w:hAnsi="Arial" w:cs="Arial"/>
        </w:rPr>
        <w:t xml:space="preserve"> </w:t>
      </w:r>
      <w:r w:rsidRPr="007D322B">
        <w:rPr>
          <w:rFonts w:ascii="Arial" w:eastAsia="Calibri" w:hAnsi="Arial" w:cs="Arial"/>
        </w:rPr>
        <w:t>for</w:t>
      </w:r>
      <w:r w:rsidR="00EE0CCC">
        <w:rPr>
          <w:rFonts w:ascii="Arial" w:eastAsia="Calibri" w:hAnsi="Arial" w:cs="Arial"/>
        </w:rPr>
        <w:t xml:space="preserve"> </w:t>
      </w:r>
      <w:r w:rsidRPr="007D322B">
        <w:rPr>
          <w:rFonts w:ascii="Arial" w:eastAsia="Calibri" w:hAnsi="Arial" w:cs="Arial"/>
        </w:rPr>
        <w:t>which</w:t>
      </w:r>
      <w:r w:rsidR="00EE0CCC">
        <w:rPr>
          <w:rFonts w:ascii="Arial" w:eastAsia="Calibri" w:hAnsi="Arial" w:cs="Arial"/>
        </w:rPr>
        <w:t xml:space="preserve"> </w:t>
      </w:r>
      <w:r w:rsidRPr="007D322B">
        <w:rPr>
          <w:rFonts w:ascii="Arial" w:eastAsia="Calibri" w:hAnsi="Arial" w:cs="Arial"/>
        </w:rPr>
        <w:t>the</w:t>
      </w:r>
      <w:r w:rsidR="00EE0CCC">
        <w:rPr>
          <w:rFonts w:ascii="Arial" w:eastAsia="Calibri" w:hAnsi="Arial" w:cs="Arial"/>
        </w:rPr>
        <w:t xml:space="preserve"> </w:t>
      </w:r>
      <w:r w:rsidRPr="007D322B">
        <w:rPr>
          <w:rFonts w:ascii="Arial" w:eastAsia="Calibri" w:hAnsi="Arial" w:cs="Arial"/>
        </w:rPr>
        <w:t>expected</w:t>
      </w:r>
      <w:r w:rsidR="00EE0CCC">
        <w:rPr>
          <w:rFonts w:ascii="Arial" w:eastAsia="Calibri" w:hAnsi="Arial" w:cs="Arial"/>
        </w:rPr>
        <w:t xml:space="preserve"> </w:t>
      </w:r>
      <w:r w:rsidRPr="007D322B">
        <w:rPr>
          <w:rFonts w:ascii="Arial" w:eastAsia="Calibri" w:hAnsi="Arial" w:cs="Arial"/>
        </w:rPr>
        <w:t>metabolic</w:t>
      </w:r>
      <w:r w:rsidR="00EE0CCC">
        <w:rPr>
          <w:rFonts w:ascii="Arial" w:eastAsia="Calibri" w:hAnsi="Arial" w:cs="Arial"/>
        </w:rPr>
        <w:t xml:space="preserve"> </w:t>
      </w:r>
      <w:r w:rsidRPr="007D322B">
        <w:rPr>
          <w:rFonts w:ascii="Arial" w:eastAsia="Calibri" w:hAnsi="Arial" w:cs="Arial"/>
        </w:rPr>
        <w:t>pathway</w:t>
      </w:r>
      <w:r w:rsidR="00EE0CCC">
        <w:rPr>
          <w:rFonts w:ascii="Arial" w:eastAsia="Calibri" w:hAnsi="Arial" w:cs="Arial"/>
        </w:rPr>
        <w:t xml:space="preserve"> </w:t>
      </w:r>
      <w:r w:rsidRPr="007D322B">
        <w:rPr>
          <w:rFonts w:ascii="Arial" w:eastAsia="Calibri" w:hAnsi="Arial" w:cs="Arial"/>
        </w:rPr>
        <w:t>is</w:t>
      </w:r>
      <w:r w:rsidR="00EE0CCC">
        <w:rPr>
          <w:rFonts w:ascii="Arial" w:eastAsia="Calibri" w:hAnsi="Arial" w:cs="Arial"/>
        </w:rPr>
        <w:t xml:space="preserve"> </w:t>
      </w:r>
      <w:r w:rsidRPr="007D322B">
        <w:rPr>
          <w:rFonts w:ascii="Arial" w:eastAsia="Calibri" w:hAnsi="Arial" w:cs="Arial"/>
        </w:rPr>
        <w:t>degradation</w:t>
      </w:r>
      <w:r w:rsidR="00EE0CCC">
        <w:rPr>
          <w:rFonts w:ascii="Arial" w:eastAsia="Calibri" w:hAnsi="Arial" w:cs="Arial"/>
        </w:rPr>
        <w:t xml:space="preserve"> </w:t>
      </w:r>
      <w:r w:rsidRPr="007D322B">
        <w:rPr>
          <w:rFonts w:ascii="Arial" w:eastAsia="Calibri" w:hAnsi="Arial" w:cs="Arial"/>
        </w:rPr>
        <w:t>to</w:t>
      </w:r>
      <w:r w:rsidR="00EE0CCC">
        <w:rPr>
          <w:rFonts w:ascii="Arial" w:eastAsia="Calibri" w:hAnsi="Arial" w:cs="Arial"/>
        </w:rPr>
        <w:t xml:space="preserve"> </w:t>
      </w:r>
      <w:r w:rsidRPr="007D322B">
        <w:rPr>
          <w:rFonts w:ascii="Arial" w:eastAsia="Calibri" w:hAnsi="Arial" w:cs="Arial"/>
        </w:rPr>
        <w:t>small</w:t>
      </w:r>
      <w:r w:rsidR="00EE0CCC">
        <w:rPr>
          <w:rFonts w:ascii="Arial" w:eastAsia="Calibri" w:hAnsi="Arial" w:cs="Arial"/>
        </w:rPr>
        <w:t xml:space="preserve"> </w:t>
      </w:r>
      <w:r w:rsidRPr="007D322B">
        <w:rPr>
          <w:rFonts w:ascii="Arial" w:eastAsia="Calibri" w:hAnsi="Arial" w:cs="Arial"/>
        </w:rPr>
        <w:t>peptides</w:t>
      </w:r>
      <w:r w:rsidR="00EE0CCC">
        <w:rPr>
          <w:rFonts w:ascii="Arial" w:eastAsia="Calibri" w:hAnsi="Arial" w:cs="Arial"/>
        </w:rPr>
        <w:t xml:space="preserve"> </w:t>
      </w:r>
      <w:r w:rsidRPr="007D322B">
        <w:rPr>
          <w:rFonts w:ascii="Arial" w:eastAsia="Calibri" w:hAnsi="Arial" w:cs="Arial"/>
        </w:rPr>
        <w:t>and</w:t>
      </w:r>
      <w:r w:rsidR="00EE0CCC">
        <w:rPr>
          <w:rFonts w:ascii="Arial" w:eastAsia="Calibri" w:hAnsi="Arial" w:cs="Arial"/>
        </w:rPr>
        <w:t xml:space="preserve"> </w:t>
      </w:r>
      <w:r w:rsidRPr="007D322B">
        <w:rPr>
          <w:rFonts w:ascii="Arial" w:eastAsia="Calibri" w:hAnsi="Arial" w:cs="Arial"/>
        </w:rPr>
        <w:t>individual</w:t>
      </w:r>
      <w:r w:rsidR="00EE0CCC">
        <w:rPr>
          <w:rFonts w:ascii="Arial" w:eastAsia="Calibri" w:hAnsi="Arial" w:cs="Arial"/>
        </w:rPr>
        <w:t xml:space="preserve"> </w:t>
      </w:r>
      <w:r w:rsidRPr="007D322B">
        <w:rPr>
          <w:rFonts w:ascii="Arial" w:eastAsia="Calibri" w:hAnsi="Arial" w:cs="Arial"/>
        </w:rPr>
        <w:t>amino</w:t>
      </w:r>
      <w:r w:rsidR="00EE0CCC">
        <w:rPr>
          <w:rFonts w:ascii="Arial" w:eastAsia="Calibri" w:hAnsi="Arial" w:cs="Arial"/>
        </w:rPr>
        <w:t xml:space="preserve"> </w:t>
      </w:r>
      <w:r w:rsidRPr="007D322B">
        <w:rPr>
          <w:rFonts w:ascii="Arial" w:eastAsia="Calibri" w:hAnsi="Arial" w:cs="Arial"/>
        </w:rPr>
        <w:t>acids</w:t>
      </w:r>
      <w:r w:rsidR="00EE0CCC">
        <w:rPr>
          <w:rFonts w:ascii="Arial" w:eastAsia="Calibri" w:hAnsi="Arial" w:cs="Arial"/>
        </w:rPr>
        <w:t xml:space="preserve"> </w:t>
      </w:r>
      <w:r w:rsidRPr="007D322B">
        <w:rPr>
          <w:rFonts w:ascii="Arial" w:eastAsia="Calibri" w:hAnsi="Arial" w:cs="Arial"/>
        </w:rPr>
        <w:t>by</w:t>
      </w:r>
      <w:r w:rsidR="00EE0CCC">
        <w:rPr>
          <w:rFonts w:ascii="Arial" w:eastAsia="Calibri" w:hAnsi="Arial" w:cs="Arial"/>
        </w:rPr>
        <w:t xml:space="preserve"> </w:t>
      </w:r>
      <w:r w:rsidRPr="007D322B">
        <w:rPr>
          <w:rFonts w:ascii="Arial" w:eastAsia="Calibri" w:hAnsi="Arial" w:cs="Arial"/>
        </w:rPr>
        <w:t>ubiquitous</w:t>
      </w:r>
      <w:r w:rsidR="00EE0CCC">
        <w:rPr>
          <w:rFonts w:ascii="Arial" w:eastAsia="Calibri" w:hAnsi="Arial" w:cs="Arial"/>
        </w:rPr>
        <w:t xml:space="preserve"> </w:t>
      </w:r>
      <w:r w:rsidRPr="007D322B">
        <w:rPr>
          <w:rFonts w:ascii="Arial" w:eastAsia="Calibri" w:hAnsi="Arial" w:cs="Arial"/>
        </w:rPr>
        <w:t>proteolytic</w:t>
      </w:r>
      <w:r w:rsidR="00EE0CCC">
        <w:rPr>
          <w:rFonts w:ascii="Arial" w:eastAsia="Calibri" w:hAnsi="Arial" w:cs="Arial"/>
        </w:rPr>
        <w:t xml:space="preserve"> </w:t>
      </w:r>
      <w:r w:rsidRPr="007D322B">
        <w:rPr>
          <w:rFonts w:ascii="Arial" w:eastAsia="Calibri" w:hAnsi="Arial" w:cs="Arial"/>
        </w:rPr>
        <w:t>enzymes.</w:t>
      </w:r>
      <w:r w:rsidR="00EE0CCC">
        <w:rPr>
          <w:rFonts w:ascii="Arial" w:eastAsia="Calibri" w:hAnsi="Arial" w:cs="Arial"/>
        </w:rPr>
        <w:t xml:space="preserve"> </w:t>
      </w:r>
      <w:r w:rsidRPr="007D322B">
        <w:rPr>
          <w:rFonts w:ascii="Arial" w:eastAsia="Calibri" w:hAnsi="Arial" w:cs="Arial"/>
        </w:rPr>
        <w:t>Classical</w:t>
      </w:r>
      <w:r w:rsidR="00EE0CCC">
        <w:rPr>
          <w:rFonts w:ascii="Arial" w:eastAsia="Calibri" w:hAnsi="Arial" w:cs="Arial"/>
        </w:rPr>
        <w:t xml:space="preserve"> </w:t>
      </w:r>
      <w:r w:rsidRPr="007D322B">
        <w:rPr>
          <w:rFonts w:ascii="Arial" w:eastAsia="Calibri" w:hAnsi="Arial" w:cs="Arial"/>
        </w:rPr>
        <w:t>biotransformation</w:t>
      </w:r>
      <w:r w:rsidR="00EE0CCC">
        <w:rPr>
          <w:rFonts w:ascii="Arial" w:eastAsia="Calibri" w:hAnsi="Arial" w:cs="Arial"/>
        </w:rPr>
        <w:t xml:space="preserve"> </w:t>
      </w:r>
      <w:r w:rsidRPr="007D322B">
        <w:rPr>
          <w:rFonts w:ascii="Arial" w:eastAsia="Calibri" w:hAnsi="Arial" w:cs="Arial"/>
        </w:rPr>
        <w:t>studies</w:t>
      </w:r>
      <w:r w:rsidR="00EE0CCC">
        <w:rPr>
          <w:rFonts w:ascii="Arial" w:eastAsia="Calibri" w:hAnsi="Arial" w:cs="Arial"/>
        </w:rPr>
        <w:t xml:space="preserve"> </w:t>
      </w:r>
      <w:r w:rsidRPr="007D322B">
        <w:rPr>
          <w:rFonts w:ascii="Arial" w:eastAsia="Calibri" w:hAnsi="Arial" w:cs="Arial"/>
        </w:rPr>
        <w:t>have</w:t>
      </w:r>
      <w:r w:rsidR="00EE0CCC">
        <w:rPr>
          <w:rFonts w:ascii="Arial" w:eastAsia="Calibri" w:hAnsi="Arial" w:cs="Arial"/>
        </w:rPr>
        <w:t xml:space="preserve"> </w:t>
      </w:r>
      <w:r w:rsidRPr="007D322B">
        <w:rPr>
          <w:rFonts w:ascii="Arial" w:eastAsia="Calibri" w:hAnsi="Arial" w:cs="Arial"/>
        </w:rPr>
        <w:t>not</w:t>
      </w:r>
      <w:r w:rsidR="00EE0CCC">
        <w:rPr>
          <w:rFonts w:ascii="Arial" w:eastAsia="Calibri" w:hAnsi="Arial" w:cs="Arial"/>
        </w:rPr>
        <w:t xml:space="preserve"> </w:t>
      </w:r>
      <w:r w:rsidRPr="007D322B">
        <w:rPr>
          <w:rFonts w:ascii="Arial" w:eastAsia="Calibri" w:hAnsi="Arial" w:cs="Arial"/>
        </w:rPr>
        <w:t>been</w:t>
      </w:r>
      <w:r w:rsidR="00EE0CCC">
        <w:rPr>
          <w:rFonts w:ascii="Arial" w:eastAsia="Calibri" w:hAnsi="Arial" w:cs="Arial"/>
        </w:rPr>
        <w:t xml:space="preserve"> </w:t>
      </w:r>
      <w:r w:rsidRPr="007D322B">
        <w:rPr>
          <w:rFonts w:ascii="Arial" w:eastAsia="Calibri" w:hAnsi="Arial" w:cs="Arial"/>
        </w:rPr>
        <w:t>performed.</w:t>
      </w:r>
    </w:p>
    <w:p w:rsidR="00EC503A" w:rsidRPr="007D322B" w:rsidRDefault="00EC503A" w:rsidP="00946995">
      <w:pPr>
        <w:pStyle w:val="NoSpacing"/>
        <w:rPr>
          <w:rFonts w:ascii="Arial" w:eastAsia="Calibri" w:hAnsi="Arial" w:cs="Arial"/>
        </w:rPr>
      </w:pPr>
    </w:p>
    <w:p w:rsidR="00B17C13" w:rsidRPr="007D322B" w:rsidRDefault="00EC503A" w:rsidP="00946995">
      <w:pPr>
        <w:pStyle w:val="NoSpacing"/>
        <w:rPr>
          <w:rFonts w:ascii="Arial" w:hAnsi="Arial" w:cs="Arial"/>
          <w:b/>
          <w:bCs/>
          <w:i/>
          <w:iCs/>
        </w:rPr>
      </w:pPr>
      <w:r w:rsidRPr="007D322B">
        <w:rPr>
          <w:rFonts w:ascii="Arial" w:hAnsi="Arial" w:cs="Arial"/>
          <w:b/>
          <w:bCs/>
          <w:i/>
          <w:iCs/>
        </w:rPr>
        <w:t>Excretion</w:t>
      </w:r>
    </w:p>
    <w:p w:rsidR="00EC503A" w:rsidRPr="007D322B" w:rsidRDefault="0035128F" w:rsidP="00946995">
      <w:pPr>
        <w:pStyle w:val="NoSpacing"/>
        <w:rPr>
          <w:rFonts w:ascii="Arial" w:hAnsi="Arial" w:cs="Arial"/>
        </w:rPr>
      </w:pPr>
      <w:r w:rsidRPr="007D322B">
        <w:rPr>
          <w:rFonts w:ascii="Arial" w:hAnsi="Arial" w:cs="Arial"/>
        </w:rPr>
        <w:t>The</w:t>
      </w:r>
      <w:r w:rsidR="00EE0CCC">
        <w:rPr>
          <w:rFonts w:ascii="Arial" w:hAnsi="Arial" w:cs="Arial"/>
        </w:rPr>
        <w:t xml:space="preserve"> </w:t>
      </w:r>
      <w:r w:rsidRPr="007D322B">
        <w:rPr>
          <w:rFonts w:ascii="Arial" w:hAnsi="Arial" w:cs="Arial"/>
        </w:rPr>
        <w:t>half-life</w:t>
      </w:r>
      <w:r w:rsidR="00EE0CCC">
        <w:rPr>
          <w:rFonts w:ascii="Arial" w:hAnsi="Arial" w:cs="Arial"/>
        </w:rPr>
        <w:t xml:space="preserve"> </w:t>
      </w:r>
      <w:r w:rsidRPr="007D322B">
        <w:rPr>
          <w:rFonts w:ascii="Arial" w:hAnsi="Arial" w:cs="Arial"/>
        </w:rPr>
        <w:t>observed</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studies</w:t>
      </w:r>
      <w:r w:rsidR="00EE0CCC">
        <w:rPr>
          <w:rFonts w:ascii="Arial" w:hAnsi="Arial" w:cs="Arial"/>
        </w:rPr>
        <w:t xml:space="preserve"> </w:t>
      </w:r>
      <w:r w:rsidRPr="007D322B">
        <w:rPr>
          <w:rFonts w:ascii="Arial" w:hAnsi="Arial" w:cs="Arial"/>
        </w:rPr>
        <w:t>1</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2</w:t>
      </w:r>
      <w:r w:rsidR="00EE0CCC">
        <w:rPr>
          <w:rFonts w:ascii="Arial" w:hAnsi="Arial" w:cs="Arial"/>
        </w:rPr>
        <w:t xml:space="preserve"> </w:t>
      </w:r>
      <w:r w:rsidRPr="007D322B">
        <w:rPr>
          <w:rFonts w:ascii="Arial" w:hAnsi="Arial" w:cs="Arial"/>
        </w:rPr>
        <w:t>was</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range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190</w:t>
      </w:r>
      <w:r w:rsidR="00EE0CCC">
        <w:rPr>
          <w:rFonts w:ascii="Arial" w:hAnsi="Arial" w:cs="Arial"/>
        </w:rPr>
        <w:t xml:space="preserve"> </w:t>
      </w:r>
      <w:r w:rsidRPr="007D322B">
        <w:rPr>
          <w:rFonts w:ascii="Arial" w:hAnsi="Arial" w:cs="Arial"/>
        </w:rPr>
        <w:t>hours,</w:t>
      </w:r>
      <w:r w:rsidR="00EE0CCC">
        <w:rPr>
          <w:rFonts w:ascii="Arial" w:hAnsi="Arial" w:cs="Arial"/>
        </w:rPr>
        <w:t xml:space="preserve"> </w:t>
      </w:r>
      <w:r w:rsidRPr="007D322B">
        <w:rPr>
          <w:rFonts w:ascii="Arial" w:hAnsi="Arial" w:cs="Arial"/>
        </w:rPr>
        <w:t>i.e.</w:t>
      </w:r>
      <w:r w:rsidR="00EE0CCC">
        <w:rPr>
          <w:rFonts w:ascii="Arial" w:hAnsi="Arial" w:cs="Arial"/>
        </w:rPr>
        <w:t xml:space="preserve"> </w:t>
      </w:r>
      <w:r w:rsidRPr="007D322B">
        <w:rPr>
          <w:rFonts w:ascii="Arial" w:hAnsi="Arial" w:cs="Arial"/>
        </w:rPr>
        <w:t>8</w:t>
      </w:r>
      <w:r w:rsidR="00EE0CCC">
        <w:rPr>
          <w:rFonts w:ascii="Arial" w:hAnsi="Arial" w:cs="Arial"/>
        </w:rPr>
        <w:t xml:space="preserve"> </w:t>
      </w:r>
      <w:r w:rsidRPr="007D322B">
        <w:rPr>
          <w:rFonts w:ascii="Arial" w:hAnsi="Arial" w:cs="Arial"/>
        </w:rPr>
        <w:t>days.</w:t>
      </w:r>
    </w:p>
    <w:p w:rsidR="0035128F" w:rsidRPr="007D322B" w:rsidRDefault="0035128F" w:rsidP="00946995">
      <w:pPr>
        <w:pStyle w:val="NoSpacing"/>
        <w:rPr>
          <w:rFonts w:ascii="Arial" w:hAnsi="Arial" w:cs="Arial"/>
        </w:rPr>
      </w:pPr>
    </w:p>
    <w:p w:rsidR="0035128F" w:rsidRPr="007D322B" w:rsidRDefault="0035128F" w:rsidP="0035128F">
      <w:pPr>
        <w:keepNext/>
        <w:keepLines/>
        <w:autoSpaceDE w:val="0"/>
        <w:autoSpaceDN w:val="0"/>
        <w:adjustRightInd w:val="0"/>
        <w:rPr>
          <w:rFonts w:ascii="Arial" w:hAnsi="Arial" w:cs="Arial"/>
          <w:b/>
          <w:bCs/>
          <w:iCs/>
          <w:noProof/>
        </w:rPr>
      </w:pPr>
      <w:r w:rsidRPr="007D322B">
        <w:rPr>
          <w:rFonts w:ascii="Arial" w:hAnsi="Arial" w:cs="Arial"/>
          <w:b/>
          <w:bCs/>
          <w:iCs/>
          <w:noProof/>
        </w:rPr>
        <w:t>Special</w:t>
      </w:r>
      <w:r w:rsidR="00EE0CCC">
        <w:rPr>
          <w:rFonts w:ascii="Arial" w:hAnsi="Arial" w:cs="Arial"/>
          <w:b/>
          <w:bCs/>
          <w:iCs/>
          <w:noProof/>
        </w:rPr>
        <w:t xml:space="preserve"> </w:t>
      </w:r>
      <w:r w:rsidRPr="007D322B">
        <w:rPr>
          <w:rFonts w:ascii="Arial" w:hAnsi="Arial" w:cs="Arial"/>
          <w:b/>
          <w:bCs/>
          <w:iCs/>
          <w:noProof/>
        </w:rPr>
        <w:t>population</w:t>
      </w:r>
    </w:p>
    <w:p w:rsidR="0035128F" w:rsidRPr="007D322B" w:rsidRDefault="0035128F" w:rsidP="0035128F">
      <w:pPr>
        <w:pStyle w:val="CommentText"/>
        <w:keepNext/>
        <w:keepLines/>
        <w:rPr>
          <w:rFonts w:ascii="Arial" w:hAnsi="Arial" w:cs="Arial"/>
          <w:sz w:val="24"/>
          <w:szCs w:val="24"/>
        </w:rPr>
      </w:pPr>
      <w:r w:rsidRPr="007D322B">
        <w:rPr>
          <w:rFonts w:ascii="Arial" w:hAnsi="Arial" w:cs="Arial"/>
          <w:sz w:val="24"/>
          <w:szCs w:val="24"/>
        </w:rPr>
        <w:t>A</w:t>
      </w:r>
      <w:r w:rsidR="00EE0CCC">
        <w:rPr>
          <w:rFonts w:ascii="Arial" w:hAnsi="Arial" w:cs="Arial"/>
          <w:sz w:val="24"/>
          <w:szCs w:val="24"/>
        </w:rPr>
        <w:t xml:space="preserve"> </w:t>
      </w:r>
      <w:r w:rsidRPr="007D322B">
        <w:rPr>
          <w:rFonts w:ascii="Arial" w:hAnsi="Arial" w:cs="Arial"/>
          <w:sz w:val="24"/>
          <w:szCs w:val="24"/>
        </w:rPr>
        <w:t>population</w:t>
      </w:r>
      <w:r w:rsidR="00EE0CCC">
        <w:rPr>
          <w:rFonts w:ascii="Arial" w:hAnsi="Arial" w:cs="Arial"/>
          <w:sz w:val="24"/>
          <w:szCs w:val="24"/>
        </w:rPr>
        <w:t xml:space="preserve"> </w:t>
      </w:r>
      <w:r w:rsidRPr="007D322B">
        <w:rPr>
          <w:rFonts w:ascii="Arial" w:hAnsi="Arial" w:cs="Arial"/>
          <w:sz w:val="24"/>
          <w:szCs w:val="24"/>
        </w:rPr>
        <w:t>pharmacokinetic</w:t>
      </w:r>
      <w:r w:rsidR="00EE0CCC">
        <w:rPr>
          <w:rFonts w:ascii="Arial" w:hAnsi="Arial" w:cs="Arial"/>
          <w:sz w:val="24"/>
          <w:szCs w:val="24"/>
        </w:rPr>
        <w:t xml:space="preserve"> </w:t>
      </w:r>
      <w:r w:rsidRPr="007D322B">
        <w:rPr>
          <w:rFonts w:ascii="Arial" w:hAnsi="Arial" w:cs="Arial"/>
          <w:sz w:val="24"/>
          <w:szCs w:val="24"/>
        </w:rPr>
        <w:t>modelling</w:t>
      </w:r>
      <w:r w:rsidR="00EE0CCC">
        <w:rPr>
          <w:rFonts w:ascii="Arial" w:hAnsi="Arial" w:cs="Arial"/>
          <w:sz w:val="24"/>
          <w:szCs w:val="24"/>
        </w:rPr>
        <w:t xml:space="preserve"> </w:t>
      </w:r>
      <w:r w:rsidRPr="007D322B">
        <w:rPr>
          <w:rFonts w:ascii="Arial" w:hAnsi="Arial" w:cs="Arial"/>
          <w:sz w:val="24"/>
          <w:szCs w:val="24"/>
        </w:rPr>
        <w:t>approach</w:t>
      </w:r>
      <w:r w:rsidR="00EE0CCC">
        <w:rPr>
          <w:rFonts w:ascii="Arial" w:hAnsi="Arial" w:cs="Arial"/>
          <w:sz w:val="24"/>
          <w:szCs w:val="24"/>
        </w:rPr>
        <w:t xml:space="preserve"> </w:t>
      </w:r>
      <w:r w:rsidRPr="007D322B">
        <w:rPr>
          <w:rFonts w:ascii="Arial" w:hAnsi="Arial" w:cs="Arial"/>
          <w:sz w:val="24"/>
          <w:szCs w:val="24"/>
        </w:rPr>
        <w:t>was</w:t>
      </w:r>
      <w:r w:rsidR="00EE0CCC">
        <w:rPr>
          <w:rFonts w:ascii="Arial" w:hAnsi="Arial" w:cs="Arial"/>
          <w:sz w:val="24"/>
          <w:szCs w:val="24"/>
        </w:rPr>
        <w:t xml:space="preserve"> </w:t>
      </w:r>
      <w:r w:rsidRPr="007D322B">
        <w:rPr>
          <w:rFonts w:ascii="Arial" w:hAnsi="Arial" w:cs="Arial"/>
          <w:sz w:val="24"/>
          <w:szCs w:val="24"/>
        </w:rPr>
        <w:t>used</w:t>
      </w:r>
      <w:r w:rsidR="00EE0CCC">
        <w:rPr>
          <w:rFonts w:ascii="Arial" w:hAnsi="Arial" w:cs="Arial"/>
          <w:sz w:val="24"/>
          <w:szCs w:val="24"/>
        </w:rPr>
        <w:t xml:space="preserve"> </w:t>
      </w:r>
      <w:r w:rsidRPr="007D322B">
        <w:rPr>
          <w:rFonts w:ascii="Arial" w:hAnsi="Arial" w:cs="Arial"/>
          <w:sz w:val="24"/>
          <w:szCs w:val="24"/>
        </w:rPr>
        <w:t>to</w:t>
      </w:r>
      <w:r w:rsidR="00EE0CCC">
        <w:rPr>
          <w:rFonts w:ascii="Arial" w:hAnsi="Arial" w:cs="Arial"/>
          <w:sz w:val="24"/>
          <w:szCs w:val="24"/>
        </w:rPr>
        <w:t xml:space="preserve"> </w:t>
      </w:r>
      <w:r w:rsidRPr="007D322B">
        <w:rPr>
          <w:rFonts w:ascii="Arial" w:hAnsi="Arial" w:cs="Arial"/>
          <w:sz w:val="24"/>
          <w:szCs w:val="24"/>
        </w:rPr>
        <w:t>investigate</w:t>
      </w:r>
      <w:r w:rsidR="00EE0CCC">
        <w:rPr>
          <w:rFonts w:ascii="Arial" w:hAnsi="Arial" w:cs="Arial"/>
          <w:sz w:val="24"/>
          <w:szCs w:val="24"/>
        </w:rPr>
        <w:t xml:space="preserve"> </w:t>
      </w:r>
      <w:r w:rsidRPr="007D322B">
        <w:rPr>
          <w:rFonts w:ascii="Arial" w:hAnsi="Arial" w:cs="Arial"/>
          <w:sz w:val="24"/>
          <w:szCs w:val="24"/>
        </w:rPr>
        <w:t>the</w:t>
      </w:r>
      <w:r w:rsidR="00EE0CCC">
        <w:rPr>
          <w:rFonts w:ascii="Arial" w:hAnsi="Arial" w:cs="Arial"/>
          <w:sz w:val="24"/>
          <w:szCs w:val="24"/>
        </w:rPr>
        <w:t xml:space="preserve"> </w:t>
      </w:r>
      <w:r w:rsidRPr="007D322B">
        <w:rPr>
          <w:rFonts w:ascii="Arial" w:hAnsi="Arial" w:cs="Arial"/>
          <w:sz w:val="24"/>
          <w:szCs w:val="24"/>
        </w:rPr>
        <w:t>influence</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covariates.</w:t>
      </w:r>
      <w:r w:rsidR="00EE0CCC">
        <w:rPr>
          <w:rFonts w:ascii="Arial" w:hAnsi="Arial" w:cs="Arial"/>
          <w:sz w:val="24"/>
          <w:szCs w:val="24"/>
        </w:rPr>
        <w:t xml:space="preserve"> </w:t>
      </w:r>
      <w:r w:rsidRPr="007D322B">
        <w:rPr>
          <w:rFonts w:ascii="Arial" w:hAnsi="Arial" w:cs="Arial"/>
          <w:sz w:val="24"/>
          <w:szCs w:val="24"/>
        </w:rPr>
        <w:t>The</w:t>
      </w:r>
      <w:r w:rsidR="00EE0CCC">
        <w:rPr>
          <w:rFonts w:ascii="Arial" w:hAnsi="Arial" w:cs="Arial"/>
          <w:sz w:val="24"/>
          <w:szCs w:val="24"/>
        </w:rPr>
        <w:t xml:space="preserve"> </w:t>
      </w:r>
      <w:r w:rsidRPr="007D322B">
        <w:rPr>
          <w:rFonts w:ascii="Arial" w:hAnsi="Arial" w:cs="Arial"/>
          <w:sz w:val="24"/>
          <w:szCs w:val="24"/>
        </w:rPr>
        <w:t>population</w:t>
      </w:r>
      <w:r w:rsidR="00EE0CCC">
        <w:rPr>
          <w:rFonts w:ascii="Arial" w:hAnsi="Arial" w:cs="Arial"/>
          <w:sz w:val="24"/>
          <w:szCs w:val="24"/>
        </w:rPr>
        <w:t xml:space="preserve"> </w:t>
      </w:r>
      <w:r w:rsidRPr="007D322B">
        <w:rPr>
          <w:rFonts w:ascii="Arial" w:hAnsi="Arial" w:cs="Arial"/>
          <w:sz w:val="24"/>
          <w:szCs w:val="24"/>
        </w:rPr>
        <w:t>pharmacokinetic</w:t>
      </w:r>
      <w:r w:rsidR="00EE0CCC">
        <w:rPr>
          <w:rFonts w:ascii="Arial" w:hAnsi="Arial" w:cs="Arial"/>
          <w:sz w:val="24"/>
          <w:szCs w:val="24"/>
        </w:rPr>
        <w:t xml:space="preserve"> </w:t>
      </w:r>
      <w:r w:rsidRPr="007D322B">
        <w:rPr>
          <w:rFonts w:ascii="Arial" w:hAnsi="Arial" w:cs="Arial"/>
          <w:sz w:val="24"/>
          <w:szCs w:val="24"/>
        </w:rPr>
        <w:t>model</w:t>
      </w:r>
      <w:r w:rsidR="00EE0CCC">
        <w:rPr>
          <w:rFonts w:ascii="Arial" w:hAnsi="Arial" w:cs="Arial"/>
          <w:sz w:val="24"/>
          <w:szCs w:val="24"/>
        </w:rPr>
        <w:t xml:space="preserve"> </w:t>
      </w:r>
      <w:r w:rsidRPr="007D322B">
        <w:rPr>
          <w:rFonts w:ascii="Arial" w:hAnsi="Arial" w:cs="Arial"/>
          <w:sz w:val="24"/>
          <w:szCs w:val="24"/>
        </w:rPr>
        <w:t>included</w:t>
      </w:r>
      <w:r w:rsidR="00EE0CCC">
        <w:rPr>
          <w:rFonts w:ascii="Arial" w:hAnsi="Arial" w:cs="Arial"/>
          <w:sz w:val="24"/>
          <w:szCs w:val="24"/>
        </w:rPr>
        <w:t xml:space="preserve"> </w:t>
      </w:r>
      <w:r w:rsidRPr="007D322B">
        <w:rPr>
          <w:rFonts w:ascii="Arial" w:hAnsi="Arial" w:cs="Arial"/>
          <w:sz w:val="24"/>
          <w:szCs w:val="24"/>
        </w:rPr>
        <w:t>allometric</w:t>
      </w:r>
      <w:r w:rsidR="00EE0CCC">
        <w:rPr>
          <w:rFonts w:ascii="Arial" w:hAnsi="Arial" w:cs="Arial"/>
          <w:sz w:val="24"/>
          <w:szCs w:val="24"/>
        </w:rPr>
        <w:t xml:space="preserve"> </w:t>
      </w:r>
      <w:r w:rsidRPr="007D322B">
        <w:rPr>
          <w:rFonts w:ascii="Arial" w:hAnsi="Arial" w:cs="Arial"/>
          <w:sz w:val="24"/>
          <w:szCs w:val="24"/>
        </w:rPr>
        <w:t>scaling</w:t>
      </w:r>
      <w:r w:rsidR="00EE0CCC">
        <w:rPr>
          <w:rFonts w:ascii="Arial" w:hAnsi="Arial" w:cs="Arial"/>
          <w:sz w:val="24"/>
          <w:szCs w:val="24"/>
        </w:rPr>
        <w:t xml:space="preserve"> </w:t>
      </w:r>
      <w:r w:rsidRPr="007D322B">
        <w:rPr>
          <w:rFonts w:ascii="Arial" w:hAnsi="Arial" w:cs="Arial"/>
          <w:sz w:val="24"/>
          <w:szCs w:val="24"/>
        </w:rPr>
        <w:t>(reference</w:t>
      </w:r>
      <w:r w:rsidR="00EE0CCC">
        <w:rPr>
          <w:rFonts w:ascii="Arial" w:hAnsi="Arial" w:cs="Arial"/>
          <w:sz w:val="24"/>
          <w:szCs w:val="24"/>
        </w:rPr>
        <w:t xml:space="preserve"> </w:t>
      </w:r>
      <w:r w:rsidRPr="007D322B">
        <w:rPr>
          <w:rFonts w:ascii="Arial" w:hAnsi="Arial" w:cs="Arial"/>
          <w:sz w:val="24"/>
          <w:szCs w:val="24"/>
        </w:rPr>
        <w:t>weight</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18.1</w:t>
      </w:r>
      <w:r w:rsidR="00EE0CCC">
        <w:rPr>
          <w:rFonts w:ascii="Arial" w:hAnsi="Arial" w:cs="Arial"/>
          <w:sz w:val="24"/>
          <w:szCs w:val="24"/>
        </w:rPr>
        <w:t xml:space="preserve"> </w:t>
      </w:r>
      <w:r w:rsidRPr="007D322B">
        <w:rPr>
          <w:rFonts w:ascii="Arial" w:hAnsi="Arial" w:cs="Arial"/>
          <w:sz w:val="24"/>
          <w:szCs w:val="24"/>
        </w:rPr>
        <w:t>kg)</w:t>
      </w:r>
      <w:r w:rsidR="00EE0CCC">
        <w:rPr>
          <w:rFonts w:ascii="Arial" w:hAnsi="Arial" w:cs="Arial"/>
          <w:sz w:val="24"/>
          <w:szCs w:val="24"/>
        </w:rPr>
        <w:t xml:space="preserve"> </w:t>
      </w:r>
      <w:r w:rsidRPr="007D322B">
        <w:rPr>
          <w:rFonts w:ascii="Arial" w:hAnsi="Arial" w:cs="Arial"/>
          <w:sz w:val="24"/>
          <w:szCs w:val="24"/>
        </w:rPr>
        <w:t>on</w:t>
      </w:r>
      <w:r w:rsidR="00EE0CCC">
        <w:rPr>
          <w:rFonts w:ascii="Arial" w:hAnsi="Arial" w:cs="Arial"/>
          <w:sz w:val="24"/>
          <w:szCs w:val="24"/>
        </w:rPr>
        <w:t xml:space="preserve"> </w:t>
      </w:r>
      <w:r w:rsidRPr="007D322B">
        <w:rPr>
          <w:rFonts w:ascii="Arial" w:hAnsi="Arial" w:cs="Arial"/>
          <w:sz w:val="24"/>
          <w:szCs w:val="24"/>
        </w:rPr>
        <w:t>clearance</w:t>
      </w:r>
      <w:r w:rsidR="00EE0CCC">
        <w:rPr>
          <w:rFonts w:ascii="Arial" w:hAnsi="Arial" w:cs="Arial"/>
          <w:sz w:val="24"/>
          <w:szCs w:val="24"/>
        </w:rPr>
        <w:t xml:space="preserve"> </w:t>
      </w:r>
      <w:r w:rsidRPr="007D322B">
        <w:rPr>
          <w:rFonts w:ascii="Arial" w:hAnsi="Arial" w:cs="Arial"/>
          <w:sz w:val="24"/>
          <w:szCs w:val="24"/>
        </w:rPr>
        <w:t>and</w:t>
      </w:r>
      <w:r w:rsidR="00EE0CCC">
        <w:rPr>
          <w:rFonts w:ascii="Arial" w:hAnsi="Arial" w:cs="Arial"/>
          <w:sz w:val="24"/>
          <w:szCs w:val="24"/>
        </w:rPr>
        <w:t xml:space="preserve"> </w:t>
      </w:r>
      <w:r w:rsidRPr="007D322B">
        <w:rPr>
          <w:rFonts w:ascii="Arial" w:hAnsi="Arial" w:cs="Arial"/>
          <w:sz w:val="24"/>
          <w:szCs w:val="24"/>
        </w:rPr>
        <w:t>volume</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distribution</w:t>
      </w:r>
      <w:r w:rsidR="00EE0CCC">
        <w:rPr>
          <w:rFonts w:ascii="Arial" w:hAnsi="Arial" w:cs="Arial"/>
          <w:sz w:val="24"/>
          <w:szCs w:val="24"/>
        </w:rPr>
        <w:t xml:space="preserve"> </w:t>
      </w:r>
      <w:r w:rsidRPr="007D322B">
        <w:rPr>
          <w:rFonts w:ascii="Arial" w:hAnsi="Arial" w:cs="Arial"/>
          <w:sz w:val="24"/>
          <w:szCs w:val="24"/>
        </w:rPr>
        <w:t>with</w:t>
      </w:r>
      <w:r w:rsidR="00EE0CCC">
        <w:rPr>
          <w:rFonts w:ascii="Arial" w:hAnsi="Arial" w:cs="Arial"/>
          <w:sz w:val="24"/>
          <w:szCs w:val="24"/>
        </w:rPr>
        <w:t xml:space="preserve"> </w:t>
      </w:r>
      <w:r w:rsidRPr="007D322B">
        <w:rPr>
          <w:rFonts w:ascii="Arial" w:hAnsi="Arial" w:cs="Arial"/>
          <w:sz w:val="24"/>
          <w:szCs w:val="24"/>
        </w:rPr>
        <w:t>exponents</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0.75</w:t>
      </w:r>
      <w:r w:rsidR="00EE0CCC">
        <w:rPr>
          <w:rFonts w:ascii="Arial" w:hAnsi="Arial" w:cs="Arial"/>
          <w:sz w:val="24"/>
          <w:szCs w:val="24"/>
        </w:rPr>
        <w:t xml:space="preserve"> </w:t>
      </w:r>
      <w:r w:rsidRPr="007D322B">
        <w:rPr>
          <w:rFonts w:ascii="Arial" w:hAnsi="Arial" w:cs="Arial"/>
          <w:sz w:val="24"/>
          <w:szCs w:val="24"/>
        </w:rPr>
        <w:t>and</w:t>
      </w:r>
      <w:r w:rsidR="00EE0CCC">
        <w:rPr>
          <w:rFonts w:ascii="Arial" w:hAnsi="Arial" w:cs="Arial"/>
          <w:sz w:val="24"/>
          <w:szCs w:val="24"/>
        </w:rPr>
        <w:t xml:space="preserve"> </w:t>
      </w:r>
      <w:r w:rsidRPr="007D322B">
        <w:rPr>
          <w:rFonts w:ascii="Arial" w:hAnsi="Arial" w:cs="Arial"/>
          <w:sz w:val="24"/>
          <w:szCs w:val="24"/>
        </w:rPr>
        <w:t>1,</w:t>
      </w:r>
      <w:r w:rsidR="00EE0CCC">
        <w:rPr>
          <w:rFonts w:ascii="Arial" w:hAnsi="Arial" w:cs="Arial"/>
          <w:sz w:val="24"/>
          <w:szCs w:val="24"/>
        </w:rPr>
        <w:t xml:space="preserve"> </w:t>
      </w:r>
      <w:r w:rsidRPr="007D322B">
        <w:rPr>
          <w:rFonts w:ascii="Arial" w:hAnsi="Arial" w:cs="Arial"/>
          <w:sz w:val="24"/>
          <w:szCs w:val="24"/>
        </w:rPr>
        <w:t>respectively.</w:t>
      </w:r>
    </w:p>
    <w:p w:rsidR="0035128F" w:rsidRPr="007D322B" w:rsidRDefault="0035128F" w:rsidP="0035128F">
      <w:pPr>
        <w:pStyle w:val="CommentText"/>
        <w:rPr>
          <w:rFonts w:ascii="Arial" w:hAnsi="Arial" w:cs="Arial"/>
          <w:sz w:val="24"/>
          <w:szCs w:val="24"/>
        </w:rPr>
      </w:pPr>
    </w:p>
    <w:p w:rsidR="0035128F" w:rsidRPr="007D322B" w:rsidRDefault="0035128F" w:rsidP="0035128F">
      <w:pPr>
        <w:pStyle w:val="CommentText"/>
        <w:rPr>
          <w:rFonts w:ascii="Arial" w:hAnsi="Arial" w:cs="Arial"/>
          <w:sz w:val="24"/>
          <w:szCs w:val="24"/>
        </w:rPr>
      </w:pPr>
      <w:r w:rsidRPr="007D322B">
        <w:rPr>
          <w:rFonts w:ascii="Arial" w:hAnsi="Arial" w:cs="Arial"/>
          <w:sz w:val="24"/>
          <w:szCs w:val="24"/>
        </w:rPr>
        <w:t>The</w:t>
      </w:r>
      <w:r w:rsidR="00EE0CCC">
        <w:rPr>
          <w:rFonts w:ascii="Arial" w:hAnsi="Arial" w:cs="Arial"/>
          <w:sz w:val="24"/>
          <w:szCs w:val="24"/>
        </w:rPr>
        <w:t xml:space="preserve"> </w:t>
      </w:r>
      <w:r w:rsidRPr="007D322B">
        <w:rPr>
          <w:rFonts w:ascii="Arial" w:hAnsi="Arial" w:cs="Arial"/>
          <w:sz w:val="24"/>
          <w:szCs w:val="24"/>
        </w:rPr>
        <w:t>exposure</w:t>
      </w:r>
      <w:r w:rsidR="00EE0CCC">
        <w:rPr>
          <w:rFonts w:ascii="Arial" w:hAnsi="Arial" w:cs="Arial"/>
          <w:sz w:val="24"/>
          <w:szCs w:val="24"/>
        </w:rPr>
        <w:t xml:space="preserve"> </w:t>
      </w:r>
      <w:r w:rsidRPr="007D322B">
        <w:rPr>
          <w:rFonts w:ascii="Arial" w:hAnsi="Arial" w:cs="Arial"/>
          <w:sz w:val="24"/>
          <w:szCs w:val="24"/>
        </w:rPr>
        <w:t>(C</w:t>
      </w:r>
      <w:r w:rsidRPr="007D322B">
        <w:rPr>
          <w:rFonts w:ascii="Arial" w:hAnsi="Arial" w:cs="Arial"/>
          <w:sz w:val="24"/>
          <w:szCs w:val="24"/>
          <w:vertAlign w:val="subscript"/>
        </w:rPr>
        <w:t>max</w:t>
      </w:r>
      <w:r w:rsidR="00EE0CCC">
        <w:rPr>
          <w:rFonts w:ascii="Arial" w:hAnsi="Arial" w:cs="Arial"/>
          <w:sz w:val="24"/>
          <w:szCs w:val="24"/>
        </w:rPr>
        <w:t xml:space="preserve"> </w:t>
      </w:r>
      <w:r w:rsidRPr="007D322B">
        <w:rPr>
          <w:rFonts w:ascii="Arial" w:hAnsi="Arial" w:cs="Arial"/>
          <w:sz w:val="24"/>
          <w:szCs w:val="24"/>
        </w:rPr>
        <w:t>and</w:t>
      </w:r>
      <w:r w:rsidR="00EE0CCC">
        <w:rPr>
          <w:rFonts w:ascii="Arial" w:hAnsi="Arial" w:cs="Arial"/>
          <w:sz w:val="24"/>
          <w:szCs w:val="24"/>
        </w:rPr>
        <w:t xml:space="preserve"> </w:t>
      </w:r>
      <w:r w:rsidRPr="007D322B">
        <w:rPr>
          <w:rFonts w:ascii="Arial" w:hAnsi="Arial" w:cs="Arial"/>
          <w:sz w:val="24"/>
          <w:szCs w:val="24"/>
        </w:rPr>
        <w:t>AUC</w:t>
      </w:r>
      <w:r w:rsidRPr="007D322B">
        <w:rPr>
          <w:rFonts w:ascii="Arial" w:hAnsi="Arial" w:cs="Arial"/>
          <w:sz w:val="24"/>
          <w:szCs w:val="24"/>
          <w:vertAlign w:val="subscript"/>
        </w:rPr>
        <w:t>24h</w:t>
      </w:r>
      <w:r w:rsidR="00EE0CCC">
        <w:rPr>
          <w:rFonts w:ascii="Arial" w:hAnsi="Arial" w:cs="Arial"/>
          <w:sz w:val="24"/>
          <w:szCs w:val="24"/>
        </w:rPr>
        <w:t xml:space="preserve"> </w:t>
      </w:r>
      <w:r w:rsidRPr="007D322B">
        <w:rPr>
          <w:rFonts w:ascii="Arial" w:hAnsi="Arial" w:cs="Arial"/>
          <w:sz w:val="24"/>
          <w:szCs w:val="24"/>
        </w:rPr>
        <w:t>on</w:t>
      </w:r>
      <w:r w:rsidR="00EE0CCC">
        <w:rPr>
          <w:rFonts w:ascii="Arial" w:hAnsi="Arial" w:cs="Arial"/>
          <w:sz w:val="24"/>
          <w:szCs w:val="24"/>
        </w:rPr>
        <w:t xml:space="preserve"> </w:t>
      </w:r>
      <w:r w:rsidRPr="007D322B">
        <w:rPr>
          <w:rFonts w:ascii="Arial" w:hAnsi="Arial" w:cs="Arial"/>
          <w:sz w:val="24"/>
          <w:szCs w:val="24"/>
        </w:rPr>
        <w:t>day</w:t>
      </w:r>
      <w:r w:rsidR="00EE0CCC">
        <w:rPr>
          <w:rFonts w:ascii="Arial" w:hAnsi="Arial" w:cs="Arial"/>
          <w:sz w:val="24"/>
          <w:szCs w:val="24"/>
        </w:rPr>
        <w:t xml:space="preserve"> </w:t>
      </w:r>
      <w:r w:rsidRPr="007D322B">
        <w:rPr>
          <w:rFonts w:ascii="Arial" w:hAnsi="Arial" w:cs="Arial"/>
          <w:sz w:val="24"/>
          <w:szCs w:val="24"/>
        </w:rPr>
        <w:t>1</w:t>
      </w:r>
      <w:r w:rsidR="00EE0CCC">
        <w:rPr>
          <w:rFonts w:ascii="Arial" w:hAnsi="Arial" w:cs="Arial"/>
          <w:sz w:val="24"/>
          <w:szCs w:val="24"/>
        </w:rPr>
        <w:t xml:space="preserve"> </w:t>
      </w:r>
      <w:r w:rsidRPr="007D322B">
        <w:rPr>
          <w:rFonts w:ascii="Arial" w:hAnsi="Arial" w:cs="Arial"/>
          <w:sz w:val="24"/>
          <w:szCs w:val="24"/>
        </w:rPr>
        <w:t>and</w:t>
      </w:r>
      <w:r w:rsidR="00EE0CCC">
        <w:rPr>
          <w:rFonts w:ascii="Arial" w:hAnsi="Arial" w:cs="Arial"/>
          <w:sz w:val="24"/>
          <w:szCs w:val="24"/>
        </w:rPr>
        <w:t xml:space="preserve"> </w:t>
      </w:r>
      <w:r w:rsidRPr="007D322B">
        <w:rPr>
          <w:rFonts w:ascii="Arial" w:hAnsi="Arial" w:cs="Arial"/>
          <w:sz w:val="24"/>
          <w:szCs w:val="24"/>
        </w:rPr>
        <w:t>day</w:t>
      </w:r>
      <w:r w:rsidR="00EE0CCC">
        <w:rPr>
          <w:rFonts w:ascii="Arial" w:hAnsi="Arial" w:cs="Arial"/>
          <w:sz w:val="24"/>
          <w:szCs w:val="24"/>
        </w:rPr>
        <w:t xml:space="preserve"> </w:t>
      </w:r>
      <w:r w:rsidRPr="007D322B">
        <w:rPr>
          <w:rFonts w:ascii="Arial" w:hAnsi="Arial" w:cs="Arial"/>
          <w:sz w:val="24"/>
          <w:szCs w:val="24"/>
        </w:rPr>
        <w:t>10</w:t>
      </w:r>
      <w:r w:rsidR="00EE0CCC">
        <w:rPr>
          <w:rFonts w:ascii="Arial" w:hAnsi="Arial" w:cs="Arial"/>
          <w:sz w:val="24"/>
          <w:szCs w:val="24"/>
        </w:rPr>
        <w:t xml:space="preserve"> </w:t>
      </w:r>
      <w:r w:rsidRPr="007D322B">
        <w:rPr>
          <w:rFonts w:ascii="Arial" w:hAnsi="Arial" w:cs="Arial"/>
          <w:sz w:val="24"/>
          <w:szCs w:val="24"/>
        </w:rPr>
        <w:t>during</w:t>
      </w:r>
      <w:r w:rsidR="00EE0CCC">
        <w:rPr>
          <w:rFonts w:ascii="Arial" w:hAnsi="Arial" w:cs="Arial"/>
          <w:sz w:val="24"/>
          <w:szCs w:val="24"/>
        </w:rPr>
        <w:t xml:space="preserve"> </w:t>
      </w:r>
      <w:r w:rsidRPr="007D322B">
        <w:rPr>
          <w:rFonts w:ascii="Arial" w:hAnsi="Arial" w:cs="Arial"/>
          <w:sz w:val="24"/>
          <w:szCs w:val="24"/>
        </w:rPr>
        <w:t>a</w:t>
      </w:r>
      <w:r w:rsidR="00EE0CCC">
        <w:rPr>
          <w:rFonts w:ascii="Arial" w:hAnsi="Arial" w:cs="Arial"/>
          <w:sz w:val="24"/>
          <w:szCs w:val="24"/>
        </w:rPr>
        <w:t xml:space="preserve"> </w:t>
      </w:r>
      <w:r w:rsidRPr="007D322B">
        <w:rPr>
          <w:rFonts w:ascii="Arial" w:hAnsi="Arial" w:cs="Arial"/>
          <w:sz w:val="24"/>
          <w:szCs w:val="24"/>
        </w:rPr>
        <w:t>10</w:t>
      </w:r>
      <w:r w:rsidRPr="007D322B">
        <w:rPr>
          <w:rFonts w:ascii="Arial" w:hAnsi="Arial" w:cs="Arial"/>
          <w:sz w:val="24"/>
          <w:szCs w:val="24"/>
        </w:rPr>
        <w:noBreakHyphen/>
        <w:t>day</w:t>
      </w:r>
      <w:r w:rsidR="00EE0CCC">
        <w:rPr>
          <w:rFonts w:ascii="Arial" w:hAnsi="Arial" w:cs="Arial"/>
          <w:sz w:val="24"/>
          <w:szCs w:val="24"/>
        </w:rPr>
        <w:t xml:space="preserve"> </w:t>
      </w:r>
      <w:r w:rsidRPr="007D322B">
        <w:rPr>
          <w:rFonts w:ascii="Arial" w:hAnsi="Arial" w:cs="Arial"/>
          <w:sz w:val="24"/>
          <w:szCs w:val="24"/>
        </w:rPr>
        <w:t>infusion)</w:t>
      </w:r>
      <w:r w:rsidR="00EE0CCC">
        <w:rPr>
          <w:rFonts w:ascii="Arial" w:hAnsi="Arial" w:cs="Arial"/>
          <w:sz w:val="24"/>
          <w:szCs w:val="24"/>
        </w:rPr>
        <w:t xml:space="preserve"> </w:t>
      </w:r>
      <w:r w:rsidRPr="007D322B">
        <w:rPr>
          <w:rFonts w:ascii="Arial" w:hAnsi="Arial" w:cs="Arial"/>
          <w:sz w:val="24"/>
          <w:szCs w:val="24"/>
        </w:rPr>
        <w:t>is</w:t>
      </w:r>
      <w:r w:rsidR="00EE0CCC">
        <w:rPr>
          <w:rFonts w:ascii="Arial" w:hAnsi="Arial" w:cs="Arial"/>
          <w:sz w:val="24"/>
          <w:szCs w:val="24"/>
        </w:rPr>
        <w:t xml:space="preserve"> </w:t>
      </w:r>
      <w:r w:rsidRPr="007D322B">
        <w:rPr>
          <w:rFonts w:ascii="Arial" w:hAnsi="Arial" w:cs="Arial"/>
          <w:sz w:val="24"/>
          <w:szCs w:val="24"/>
        </w:rPr>
        <w:t>predicted</w:t>
      </w:r>
      <w:r w:rsidR="00EE0CCC">
        <w:rPr>
          <w:rFonts w:ascii="Arial" w:hAnsi="Arial" w:cs="Arial"/>
          <w:sz w:val="24"/>
          <w:szCs w:val="24"/>
        </w:rPr>
        <w:t xml:space="preserve"> </w:t>
      </w:r>
      <w:r w:rsidRPr="007D322B">
        <w:rPr>
          <w:rFonts w:ascii="Arial" w:hAnsi="Arial" w:cs="Arial"/>
          <w:sz w:val="24"/>
          <w:szCs w:val="24"/>
        </w:rPr>
        <w:t>to</w:t>
      </w:r>
      <w:r w:rsidR="00EE0CCC">
        <w:rPr>
          <w:rFonts w:ascii="Arial" w:hAnsi="Arial" w:cs="Arial"/>
          <w:sz w:val="24"/>
          <w:szCs w:val="24"/>
        </w:rPr>
        <w:t xml:space="preserve"> </w:t>
      </w:r>
      <w:r w:rsidRPr="007D322B">
        <w:rPr>
          <w:rFonts w:ascii="Arial" w:hAnsi="Arial" w:cs="Arial"/>
          <w:sz w:val="24"/>
          <w:szCs w:val="24"/>
        </w:rPr>
        <w:t>be</w:t>
      </w:r>
      <w:r w:rsidR="00EE0CCC">
        <w:rPr>
          <w:rFonts w:ascii="Arial" w:hAnsi="Arial" w:cs="Arial"/>
          <w:sz w:val="24"/>
          <w:szCs w:val="24"/>
        </w:rPr>
        <w:t xml:space="preserve"> </w:t>
      </w:r>
      <w:r w:rsidRPr="007D322B">
        <w:rPr>
          <w:rFonts w:ascii="Arial" w:hAnsi="Arial" w:cs="Arial"/>
          <w:sz w:val="24"/>
          <w:szCs w:val="24"/>
        </w:rPr>
        <w:t>similar</w:t>
      </w:r>
      <w:r w:rsidR="00EE0CCC">
        <w:rPr>
          <w:rFonts w:ascii="Arial" w:hAnsi="Arial" w:cs="Arial"/>
          <w:sz w:val="24"/>
          <w:szCs w:val="24"/>
        </w:rPr>
        <w:t xml:space="preserve"> </w:t>
      </w:r>
      <w:r w:rsidRPr="007D322B">
        <w:rPr>
          <w:rFonts w:ascii="Arial" w:hAnsi="Arial" w:cs="Arial"/>
          <w:sz w:val="24"/>
          <w:szCs w:val="24"/>
        </w:rPr>
        <w:t>in</w:t>
      </w:r>
      <w:r w:rsidR="00EE0CCC">
        <w:rPr>
          <w:rFonts w:ascii="Arial" w:hAnsi="Arial" w:cs="Arial"/>
          <w:sz w:val="24"/>
          <w:szCs w:val="24"/>
        </w:rPr>
        <w:t xml:space="preserve"> </w:t>
      </w:r>
      <w:r w:rsidRPr="007D322B">
        <w:rPr>
          <w:rFonts w:ascii="Arial" w:hAnsi="Arial" w:cs="Arial"/>
          <w:sz w:val="24"/>
          <w:szCs w:val="24"/>
        </w:rPr>
        <w:t>subjects</w:t>
      </w:r>
      <w:r w:rsidR="00EE0CCC">
        <w:rPr>
          <w:rFonts w:ascii="Arial" w:hAnsi="Arial" w:cs="Arial"/>
          <w:sz w:val="24"/>
          <w:szCs w:val="24"/>
        </w:rPr>
        <w:t xml:space="preserve"> </w:t>
      </w:r>
      <w:r w:rsidRPr="007D322B">
        <w:rPr>
          <w:rFonts w:ascii="Arial" w:hAnsi="Arial" w:cs="Arial"/>
          <w:sz w:val="24"/>
          <w:szCs w:val="24"/>
        </w:rPr>
        <w:t>with</w:t>
      </w:r>
      <w:r w:rsidR="00EE0CCC">
        <w:rPr>
          <w:rFonts w:ascii="Arial" w:hAnsi="Arial" w:cs="Arial"/>
          <w:sz w:val="24"/>
          <w:szCs w:val="24"/>
        </w:rPr>
        <w:t xml:space="preserve"> </w:t>
      </w:r>
      <w:r w:rsidRPr="007D322B">
        <w:rPr>
          <w:rFonts w:ascii="Arial" w:hAnsi="Arial" w:cs="Arial"/>
          <w:sz w:val="24"/>
          <w:szCs w:val="24"/>
        </w:rPr>
        <w:t>ages</w:t>
      </w:r>
      <w:r w:rsidR="00EE0CCC">
        <w:rPr>
          <w:rFonts w:ascii="Arial" w:hAnsi="Arial" w:cs="Arial"/>
          <w:sz w:val="24"/>
          <w:szCs w:val="24"/>
        </w:rPr>
        <w:t xml:space="preserve"> </w:t>
      </w:r>
      <w:r w:rsidRPr="007D322B">
        <w:rPr>
          <w:rFonts w:ascii="Arial" w:hAnsi="Arial" w:cs="Arial"/>
          <w:sz w:val="24"/>
          <w:szCs w:val="24"/>
        </w:rPr>
        <w:t>less</w:t>
      </w:r>
      <w:r w:rsidR="00EE0CCC">
        <w:rPr>
          <w:rFonts w:ascii="Arial" w:hAnsi="Arial" w:cs="Arial"/>
          <w:sz w:val="24"/>
          <w:szCs w:val="24"/>
        </w:rPr>
        <w:t xml:space="preserve"> </w:t>
      </w:r>
      <w:r w:rsidRPr="007D322B">
        <w:rPr>
          <w:rFonts w:ascii="Arial" w:hAnsi="Arial" w:cs="Arial"/>
          <w:sz w:val="24"/>
          <w:szCs w:val="24"/>
        </w:rPr>
        <w:t>than</w:t>
      </w:r>
      <w:r w:rsidR="00EE0CCC">
        <w:rPr>
          <w:rFonts w:ascii="Arial" w:hAnsi="Arial" w:cs="Arial"/>
          <w:sz w:val="24"/>
          <w:szCs w:val="24"/>
        </w:rPr>
        <w:t xml:space="preserve"> </w:t>
      </w:r>
      <w:r w:rsidRPr="007D322B">
        <w:rPr>
          <w:rFonts w:ascii="Arial" w:hAnsi="Arial" w:cs="Arial"/>
          <w:sz w:val="24"/>
          <w:szCs w:val="24"/>
        </w:rPr>
        <w:t>or</w:t>
      </w:r>
      <w:r w:rsidR="00EE0CCC">
        <w:rPr>
          <w:rFonts w:ascii="Arial" w:hAnsi="Arial" w:cs="Arial"/>
          <w:sz w:val="24"/>
          <w:szCs w:val="24"/>
        </w:rPr>
        <w:t xml:space="preserve"> </w:t>
      </w:r>
      <w:r w:rsidRPr="007D322B">
        <w:rPr>
          <w:rFonts w:ascii="Arial" w:hAnsi="Arial" w:cs="Arial"/>
          <w:sz w:val="24"/>
          <w:szCs w:val="24"/>
        </w:rPr>
        <w:t>equal</w:t>
      </w:r>
      <w:r w:rsidR="00EE0CCC">
        <w:rPr>
          <w:rFonts w:ascii="Arial" w:hAnsi="Arial" w:cs="Arial"/>
          <w:sz w:val="24"/>
          <w:szCs w:val="24"/>
        </w:rPr>
        <w:t xml:space="preserve"> </w:t>
      </w:r>
      <w:r w:rsidRPr="007D322B">
        <w:rPr>
          <w:rFonts w:ascii="Arial" w:hAnsi="Arial" w:cs="Arial"/>
          <w:sz w:val="24"/>
          <w:szCs w:val="24"/>
        </w:rPr>
        <w:t>to</w:t>
      </w:r>
      <w:r w:rsidR="00EE0CCC">
        <w:rPr>
          <w:rFonts w:ascii="Arial" w:hAnsi="Arial" w:cs="Arial"/>
          <w:sz w:val="24"/>
          <w:szCs w:val="24"/>
        </w:rPr>
        <w:t xml:space="preserve"> </w:t>
      </w:r>
      <w:r w:rsidRPr="007D322B">
        <w:rPr>
          <w:rFonts w:ascii="Arial" w:hAnsi="Arial" w:cs="Arial"/>
          <w:sz w:val="24"/>
          <w:szCs w:val="24"/>
        </w:rPr>
        <w:t>12</w:t>
      </w:r>
      <w:r w:rsidR="00EE0CCC">
        <w:rPr>
          <w:rFonts w:ascii="Arial" w:hAnsi="Arial" w:cs="Arial"/>
          <w:sz w:val="24"/>
          <w:szCs w:val="24"/>
        </w:rPr>
        <w:t xml:space="preserve"> </w:t>
      </w:r>
      <w:r w:rsidRPr="007D322B">
        <w:rPr>
          <w:rFonts w:ascii="Arial" w:hAnsi="Arial" w:cs="Arial"/>
          <w:sz w:val="24"/>
          <w:szCs w:val="24"/>
        </w:rPr>
        <w:t>years</w:t>
      </w:r>
      <w:r w:rsidR="00EE0CCC">
        <w:rPr>
          <w:rFonts w:ascii="Arial" w:hAnsi="Arial" w:cs="Arial"/>
          <w:sz w:val="24"/>
          <w:szCs w:val="24"/>
        </w:rPr>
        <w:t xml:space="preserve"> </w:t>
      </w:r>
      <w:r w:rsidRPr="007D322B">
        <w:rPr>
          <w:rFonts w:ascii="Arial" w:hAnsi="Arial" w:cs="Arial"/>
          <w:sz w:val="24"/>
          <w:szCs w:val="24"/>
        </w:rPr>
        <w:t>and</w:t>
      </w:r>
      <w:r w:rsidR="00EE0CCC">
        <w:rPr>
          <w:rFonts w:ascii="Arial" w:hAnsi="Arial" w:cs="Arial"/>
          <w:sz w:val="24"/>
          <w:szCs w:val="24"/>
        </w:rPr>
        <w:t xml:space="preserve"> </w:t>
      </w:r>
      <w:r w:rsidRPr="007D322B">
        <w:rPr>
          <w:rFonts w:ascii="Arial" w:hAnsi="Arial" w:cs="Arial"/>
          <w:sz w:val="24"/>
          <w:szCs w:val="24"/>
        </w:rPr>
        <w:t>decreases</w:t>
      </w:r>
      <w:r w:rsidR="00EE0CCC">
        <w:rPr>
          <w:rFonts w:ascii="Arial" w:hAnsi="Arial" w:cs="Arial"/>
          <w:sz w:val="24"/>
          <w:szCs w:val="24"/>
        </w:rPr>
        <w:t xml:space="preserve"> </w:t>
      </w:r>
      <w:r w:rsidRPr="007D322B">
        <w:rPr>
          <w:rFonts w:ascii="Arial" w:hAnsi="Arial" w:cs="Arial"/>
          <w:sz w:val="24"/>
          <w:szCs w:val="24"/>
        </w:rPr>
        <w:t>slightly</w:t>
      </w:r>
      <w:r w:rsidR="00EE0CCC">
        <w:rPr>
          <w:rFonts w:ascii="Arial" w:hAnsi="Arial" w:cs="Arial"/>
          <w:sz w:val="24"/>
          <w:szCs w:val="24"/>
        </w:rPr>
        <w:t xml:space="preserve"> </w:t>
      </w:r>
      <w:r w:rsidRPr="007D322B">
        <w:rPr>
          <w:rFonts w:ascii="Arial" w:hAnsi="Arial" w:cs="Arial"/>
          <w:sz w:val="24"/>
          <w:szCs w:val="24"/>
        </w:rPr>
        <w:t>for</w:t>
      </w:r>
      <w:r w:rsidR="00EE0CCC">
        <w:rPr>
          <w:rFonts w:ascii="Arial" w:hAnsi="Arial" w:cs="Arial"/>
          <w:sz w:val="24"/>
          <w:szCs w:val="24"/>
        </w:rPr>
        <w:t xml:space="preserve"> </w:t>
      </w:r>
      <w:r w:rsidRPr="007D322B">
        <w:rPr>
          <w:rFonts w:ascii="Arial" w:hAnsi="Arial" w:cs="Arial"/>
          <w:sz w:val="24"/>
          <w:szCs w:val="24"/>
        </w:rPr>
        <w:t>older,</w:t>
      </w:r>
      <w:r w:rsidR="00EE0CCC">
        <w:rPr>
          <w:rFonts w:ascii="Arial" w:hAnsi="Arial" w:cs="Arial"/>
          <w:sz w:val="24"/>
          <w:szCs w:val="24"/>
        </w:rPr>
        <w:t xml:space="preserve"> </w:t>
      </w:r>
      <w:r w:rsidRPr="007D322B">
        <w:rPr>
          <w:rFonts w:ascii="Arial" w:hAnsi="Arial" w:cs="Arial"/>
          <w:sz w:val="24"/>
          <w:szCs w:val="24"/>
        </w:rPr>
        <w:t>heavier</w:t>
      </w:r>
      <w:r w:rsidR="00EE0CCC">
        <w:rPr>
          <w:rFonts w:ascii="Arial" w:hAnsi="Arial" w:cs="Arial"/>
          <w:sz w:val="24"/>
          <w:szCs w:val="24"/>
        </w:rPr>
        <w:t xml:space="preserve"> </w:t>
      </w:r>
      <w:r w:rsidRPr="007D322B">
        <w:rPr>
          <w:rFonts w:ascii="Arial" w:hAnsi="Arial" w:cs="Arial"/>
          <w:sz w:val="24"/>
          <w:szCs w:val="24"/>
        </w:rPr>
        <w:t>subjects.</w:t>
      </w:r>
      <w:r w:rsidR="00EE0CCC">
        <w:rPr>
          <w:rFonts w:ascii="Arial" w:hAnsi="Arial" w:cs="Arial"/>
          <w:sz w:val="24"/>
          <w:szCs w:val="24"/>
        </w:rPr>
        <w:t xml:space="preserve"> </w:t>
      </w:r>
      <w:r w:rsidRPr="007D322B">
        <w:rPr>
          <w:rFonts w:ascii="Arial" w:hAnsi="Arial" w:cs="Arial"/>
          <w:sz w:val="24"/>
          <w:szCs w:val="24"/>
        </w:rPr>
        <w:t>Effects</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gender</w:t>
      </w:r>
      <w:r w:rsidR="00EE0CCC">
        <w:rPr>
          <w:rFonts w:ascii="Arial" w:hAnsi="Arial" w:cs="Arial"/>
          <w:sz w:val="24"/>
          <w:szCs w:val="24"/>
        </w:rPr>
        <w:t xml:space="preserve"> </w:t>
      </w:r>
      <w:r w:rsidRPr="007D322B">
        <w:rPr>
          <w:rFonts w:ascii="Arial" w:hAnsi="Arial" w:cs="Arial"/>
          <w:sz w:val="24"/>
          <w:szCs w:val="24"/>
        </w:rPr>
        <w:t>and</w:t>
      </w:r>
      <w:r w:rsidR="00EE0CCC">
        <w:rPr>
          <w:rFonts w:ascii="Arial" w:hAnsi="Arial" w:cs="Arial"/>
          <w:sz w:val="24"/>
          <w:szCs w:val="24"/>
        </w:rPr>
        <w:t xml:space="preserve"> </w:t>
      </w:r>
      <w:r w:rsidRPr="007D322B">
        <w:rPr>
          <w:rFonts w:ascii="Arial" w:hAnsi="Arial" w:cs="Arial"/>
          <w:sz w:val="24"/>
          <w:szCs w:val="24"/>
        </w:rPr>
        <w:t>age</w:t>
      </w:r>
      <w:r w:rsidR="00EE0CCC">
        <w:rPr>
          <w:rFonts w:ascii="Arial" w:hAnsi="Arial" w:cs="Arial"/>
          <w:sz w:val="24"/>
          <w:szCs w:val="24"/>
        </w:rPr>
        <w:t xml:space="preserve"> </w:t>
      </w:r>
      <w:r w:rsidRPr="007D322B">
        <w:rPr>
          <w:rFonts w:ascii="Arial" w:hAnsi="Arial" w:cs="Arial"/>
          <w:sz w:val="24"/>
          <w:szCs w:val="24"/>
        </w:rPr>
        <w:t>were</w:t>
      </w:r>
      <w:r w:rsidR="00EE0CCC">
        <w:rPr>
          <w:rFonts w:ascii="Arial" w:hAnsi="Arial" w:cs="Arial"/>
          <w:sz w:val="24"/>
          <w:szCs w:val="24"/>
        </w:rPr>
        <w:t xml:space="preserve"> </w:t>
      </w:r>
      <w:r w:rsidRPr="007D322B">
        <w:rPr>
          <w:rFonts w:ascii="Arial" w:hAnsi="Arial" w:cs="Arial"/>
          <w:sz w:val="24"/>
          <w:szCs w:val="24"/>
        </w:rPr>
        <w:t>not</w:t>
      </w:r>
      <w:r w:rsidR="00EE0CCC">
        <w:rPr>
          <w:rFonts w:ascii="Arial" w:hAnsi="Arial" w:cs="Arial"/>
          <w:sz w:val="24"/>
          <w:szCs w:val="24"/>
        </w:rPr>
        <w:t xml:space="preserve"> </w:t>
      </w:r>
      <w:r w:rsidRPr="007D322B">
        <w:rPr>
          <w:rFonts w:ascii="Arial" w:hAnsi="Arial" w:cs="Arial"/>
          <w:sz w:val="24"/>
          <w:szCs w:val="24"/>
        </w:rPr>
        <w:t>found</w:t>
      </w:r>
      <w:r w:rsidR="00EE0CCC">
        <w:rPr>
          <w:rFonts w:ascii="Arial" w:hAnsi="Arial" w:cs="Arial"/>
          <w:sz w:val="24"/>
          <w:szCs w:val="24"/>
        </w:rPr>
        <w:t xml:space="preserve"> </w:t>
      </w:r>
      <w:r w:rsidRPr="007D322B">
        <w:rPr>
          <w:rFonts w:ascii="Arial" w:hAnsi="Arial" w:cs="Arial"/>
          <w:sz w:val="24"/>
          <w:szCs w:val="24"/>
        </w:rPr>
        <w:t>to</w:t>
      </w:r>
      <w:r w:rsidR="00EE0CCC">
        <w:rPr>
          <w:rFonts w:ascii="Arial" w:hAnsi="Arial" w:cs="Arial"/>
          <w:sz w:val="24"/>
          <w:szCs w:val="24"/>
        </w:rPr>
        <w:t xml:space="preserve"> </w:t>
      </w:r>
      <w:r w:rsidRPr="007D322B">
        <w:rPr>
          <w:rFonts w:ascii="Arial" w:hAnsi="Arial" w:cs="Arial"/>
          <w:sz w:val="24"/>
          <w:szCs w:val="24"/>
        </w:rPr>
        <w:t>influence</w:t>
      </w:r>
      <w:r w:rsidR="00EE0CCC">
        <w:rPr>
          <w:rFonts w:ascii="Arial" w:hAnsi="Arial" w:cs="Arial"/>
          <w:sz w:val="24"/>
          <w:szCs w:val="24"/>
        </w:rPr>
        <w:t xml:space="preserve"> </w:t>
      </w:r>
      <w:r w:rsidRPr="007D322B">
        <w:rPr>
          <w:rFonts w:ascii="Arial" w:hAnsi="Arial" w:cs="Arial"/>
          <w:sz w:val="24"/>
          <w:szCs w:val="24"/>
        </w:rPr>
        <w:t>the</w:t>
      </w:r>
      <w:r w:rsidR="00EE0CCC">
        <w:rPr>
          <w:rFonts w:ascii="Arial" w:hAnsi="Arial" w:cs="Arial"/>
          <w:sz w:val="24"/>
          <w:szCs w:val="24"/>
        </w:rPr>
        <w:t xml:space="preserve"> </w:t>
      </w:r>
      <w:r w:rsidRPr="007D322B">
        <w:rPr>
          <w:rFonts w:ascii="Arial" w:hAnsi="Arial" w:cs="Arial"/>
          <w:sz w:val="24"/>
          <w:szCs w:val="24"/>
        </w:rPr>
        <w:t>pharmacokinetics</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dinutuximab</w:t>
      </w:r>
      <w:r w:rsidR="00EE0CCC">
        <w:rPr>
          <w:rFonts w:ascii="Arial" w:hAnsi="Arial" w:cs="Arial"/>
          <w:sz w:val="24"/>
          <w:szCs w:val="24"/>
        </w:rPr>
        <w:t xml:space="preserve"> </w:t>
      </w:r>
      <w:r w:rsidRPr="007D322B">
        <w:rPr>
          <w:rFonts w:ascii="Arial" w:hAnsi="Arial" w:cs="Arial"/>
          <w:sz w:val="24"/>
          <w:szCs w:val="24"/>
        </w:rPr>
        <w:t>beta</w:t>
      </w:r>
      <w:r w:rsidR="00EE0CCC">
        <w:rPr>
          <w:rFonts w:ascii="Arial" w:hAnsi="Arial" w:cs="Arial"/>
          <w:sz w:val="24"/>
          <w:szCs w:val="24"/>
        </w:rPr>
        <w:t xml:space="preserve"> </w:t>
      </w:r>
      <w:r w:rsidRPr="007D322B">
        <w:rPr>
          <w:rFonts w:ascii="Arial" w:hAnsi="Arial" w:cs="Arial"/>
          <w:sz w:val="24"/>
          <w:szCs w:val="24"/>
        </w:rPr>
        <w:t>but</w:t>
      </w:r>
      <w:r w:rsidR="00EE0CCC">
        <w:rPr>
          <w:rFonts w:ascii="Arial" w:hAnsi="Arial" w:cs="Arial"/>
          <w:sz w:val="24"/>
          <w:szCs w:val="24"/>
        </w:rPr>
        <w:t xml:space="preserve"> </w:t>
      </w:r>
      <w:r w:rsidRPr="007D322B">
        <w:rPr>
          <w:rFonts w:ascii="Arial" w:hAnsi="Arial" w:cs="Arial"/>
          <w:sz w:val="24"/>
          <w:szCs w:val="24"/>
        </w:rPr>
        <w:t>data</w:t>
      </w:r>
      <w:r w:rsidR="00EE0CCC">
        <w:rPr>
          <w:rFonts w:ascii="Arial" w:hAnsi="Arial" w:cs="Arial"/>
          <w:sz w:val="24"/>
          <w:szCs w:val="24"/>
        </w:rPr>
        <w:t xml:space="preserve"> </w:t>
      </w:r>
      <w:r w:rsidRPr="007D322B">
        <w:rPr>
          <w:rFonts w:ascii="Arial" w:hAnsi="Arial" w:cs="Arial"/>
          <w:sz w:val="24"/>
          <w:szCs w:val="24"/>
        </w:rPr>
        <w:t>in</w:t>
      </w:r>
      <w:r w:rsidR="00EE0CCC">
        <w:rPr>
          <w:rFonts w:ascii="Arial" w:hAnsi="Arial" w:cs="Arial"/>
          <w:sz w:val="24"/>
          <w:szCs w:val="24"/>
        </w:rPr>
        <w:t xml:space="preserve"> </w:t>
      </w:r>
      <w:r w:rsidRPr="007D322B">
        <w:rPr>
          <w:rFonts w:ascii="Arial" w:hAnsi="Arial" w:cs="Arial"/>
          <w:sz w:val="24"/>
          <w:szCs w:val="24"/>
        </w:rPr>
        <w:t>children</w:t>
      </w:r>
      <w:r w:rsidR="00EE0CCC">
        <w:rPr>
          <w:rFonts w:ascii="Arial" w:hAnsi="Arial" w:cs="Arial"/>
          <w:sz w:val="24"/>
          <w:szCs w:val="24"/>
        </w:rPr>
        <w:t xml:space="preserve"> </w:t>
      </w:r>
      <w:r w:rsidRPr="007D322B">
        <w:rPr>
          <w:rFonts w:ascii="Arial" w:hAnsi="Arial" w:cs="Arial"/>
          <w:sz w:val="24"/>
          <w:szCs w:val="24"/>
        </w:rPr>
        <w:t>less</w:t>
      </w:r>
      <w:r w:rsidR="00EE0CCC">
        <w:rPr>
          <w:rFonts w:ascii="Arial" w:hAnsi="Arial" w:cs="Arial"/>
          <w:sz w:val="24"/>
          <w:szCs w:val="24"/>
        </w:rPr>
        <w:t xml:space="preserve"> </w:t>
      </w:r>
      <w:r w:rsidRPr="007D322B">
        <w:rPr>
          <w:rFonts w:ascii="Arial" w:hAnsi="Arial" w:cs="Arial"/>
          <w:sz w:val="24"/>
          <w:szCs w:val="24"/>
        </w:rPr>
        <w:t>than</w:t>
      </w:r>
      <w:r w:rsidR="00EE0CCC">
        <w:rPr>
          <w:rFonts w:ascii="Arial" w:hAnsi="Arial" w:cs="Arial"/>
          <w:sz w:val="24"/>
          <w:szCs w:val="24"/>
        </w:rPr>
        <w:t xml:space="preserve"> </w:t>
      </w:r>
      <w:r w:rsidRPr="007D322B">
        <w:rPr>
          <w:rFonts w:ascii="Arial" w:hAnsi="Arial" w:cs="Arial"/>
          <w:sz w:val="24"/>
          <w:szCs w:val="24"/>
        </w:rPr>
        <w:t>2</w:t>
      </w:r>
      <w:r w:rsidR="00EE0CCC">
        <w:rPr>
          <w:rFonts w:ascii="Arial" w:hAnsi="Arial" w:cs="Arial"/>
          <w:sz w:val="24"/>
          <w:szCs w:val="24"/>
        </w:rPr>
        <w:t xml:space="preserve"> </w:t>
      </w:r>
      <w:r w:rsidRPr="007D322B">
        <w:rPr>
          <w:rFonts w:ascii="Arial" w:hAnsi="Arial" w:cs="Arial"/>
          <w:sz w:val="24"/>
          <w:szCs w:val="24"/>
        </w:rPr>
        <w:t>years</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age</w:t>
      </w:r>
      <w:r w:rsidR="00EE0CCC">
        <w:rPr>
          <w:rFonts w:ascii="Arial" w:hAnsi="Arial" w:cs="Arial"/>
          <w:sz w:val="24"/>
          <w:szCs w:val="24"/>
        </w:rPr>
        <w:t xml:space="preserve"> </w:t>
      </w:r>
      <w:r w:rsidRPr="007D322B">
        <w:rPr>
          <w:rFonts w:ascii="Arial" w:hAnsi="Arial" w:cs="Arial"/>
          <w:sz w:val="24"/>
          <w:szCs w:val="24"/>
        </w:rPr>
        <w:t>are</w:t>
      </w:r>
      <w:r w:rsidR="00EE0CCC">
        <w:rPr>
          <w:rFonts w:ascii="Arial" w:hAnsi="Arial" w:cs="Arial"/>
          <w:sz w:val="24"/>
          <w:szCs w:val="24"/>
        </w:rPr>
        <w:t xml:space="preserve"> </w:t>
      </w:r>
      <w:r w:rsidRPr="007D322B">
        <w:rPr>
          <w:rFonts w:ascii="Arial" w:hAnsi="Arial" w:cs="Arial"/>
          <w:sz w:val="24"/>
          <w:szCs w:val="24"/>
        </w:rPr>
        <w:t>very</w:t>
      </w:r>
      <w:r w:rsidR="00EE0CCC">
        <w:rPr>
          <w:rFonts w:ascii="Arial" w:hAnsi="Arial" w:cs="Arial"/>
          <w:sz w:val="24"/>
          <w:szCs w:val="24"/>
        </w:rPr>
        <w:t xml:space="preserve"> </w:t>
      </w:r>
      <w:r w:rsidRPr="007D322B">
        <w:rPr>
          <w:rFonts w:ascii="Arial" w:hAnsi="Arial" w:cs="Arial"/>
          <w:sz w:val="24"/>
          <w:szCs w:val="24"/>
        </w:rPr>
        <w:t>limited</w:t>
      </w:r>
      <w:r w:rsidR="00EE0CCC">
        <w:rPr>
          <w:rFonts w:ascii="Arial" w:hAnsi="Arial" w:cs="Arial"/>
          <w:sz w:val="24"/>
          <w:szCs w:val="24"/>
        </w:rPr>
        <w:t xml:space="preserve"> </w:t>
      </w:r>
      <w:r w:rsidRPr="007D322B">
        <w:rPr>
          <w:rFonts w:ascii="Arial" w:hAnsi="Arial" w:cs="Arial"/>
          <w:sz w:val="24"/>
          <w:szCs w:val="24"/>
        </w:rPr>
        <w:t>and</w:t>
      </w:r>
      <w:r w:rsidR="00EE0CCC">
        <w:rPr>
          <w:rFonts w:ascii="Arial" w:hAnsi="Arial" w:cs="Arial"/>
          <w:sz w:val="24"/>
          <w:szCs w:val="24"/>
        </w:rPr>
        <w:t xml:space="preserve"> </w:t>
      </w:r>
      <w:r w:rsidRPr="007D322B">
        <w:rPr>
          <w:rFonts w:ascii="Arial" w:hAnsi="Arial" w:cs="Arial"/>
          <w:sz w:val="24"/>
          <w:szCs w:val="24"/>
        </w:rPr>
        <w:t>insufficient</w:t>
      </w:r>
      <w:r w:rsidR="00EE0CCC">
        <w:rPr>
          <w:rFonts w:ascii="Arial" w:hAnsi="Arial" w:cs="Arial"/>
          <w:sz w:val="24"/>
          <w:szCs w:val="24"/>
        </w:rPr>
        <w:t xml:space="preserve"> </w:t>
      </w:r>
      <w:r w:rsidRPr="007D322B">
        <w:rPr>
          <w:rFonts w:ascii="Arial" w:hAnsi="Arial" w:cs="Arial"/>
          <w:sz w:val="24"/>
          <w:szCs w:val="24"/>
        </w:rPr>
        <w:t>to</w:t>
      </w:r>
      <w:r w:rsidR="00EE0CCC">
        <w:rPr>
          <w:rFonts w:ascii="Arial" w:hAnsi="Arial" w:cs="Arial"/>
          <w:sz w:val="24"/>
          <w:szCs w:val="24"/>
        </w:rPr>
        <w:t xml:space="preserve"> </w:t>
      </w:r>
      <w:r w:rsidRPr="007D322B">
        <w:rPr>
          <w:rFonts w:ascii="Arial" w:hAnsi="Arial" w:cs="Arial"/>
          <w:sz w:val="24"/>
          <w:szCs w:val="24"/>
        </w:rPr>
        <w:t>support</w:t>
      </w:r>
      <w:r w:rsidR="00EE0CCC">
        <w:rPr>
          <w:rFonts w:ascii="Arial" w:hAnsi="Arial" w:cs="Arial"/>
          <w:sz w:val="24"/>
          <w:szCs w:val="24"/>
        </w:rPr>
        <w:t xml:space="preserve"> </w:t>
      </w:r>
      <w:r w:rsidRPr="007D322B">
        <w:rPr>
          <w:rFonts w:ascii="Arial" w:hAnsi="Arial" w:cs="Arial"/>
          <w:sz w:val="24"/>
          <w:szCs w:val="24"/>
        </w:rPr>
        <w:t>dosing.</w:t>
      </w:r>
    </w:p>
    <w:p w:rsidR="0035128F" w:rsidRPr="007D322B" w:rsidRDefault="0035128F" w:rsidP="0035128F">
      <w:pPr>
        <w:pStyle w:val="CommentText"/>
        <w:rPr>
          <w:rFonts w:ascii="Arial" w:hAnsi="Arial" w:cs="Arial"/>
          <w:sz w:val="24"/>
          <w:szCs w:val="24"/>
        </w:rPr>
      </w:pPr>
    </w:p>
    <w:p w:rsidR="0035128F" w:rsidRPr="007D322B" w:rsidRDefault="0035128F" w:rsidP="0035128F">
      <w:pPr>
        <w:pStyle w:val="CommentText"/>
        <w:rPr>
          <w:rFonts w:ascii="Arial" w:hAnsi="Arial" w:cs="Arial"/>
          <w:sz w:val="24"/>
          <w:szCs w:val="24"/>
        </w:rPr>
      </w:pPr>
      <w:r w:rsidRPr="007D322B">
        <w:rPr>
          <w:rFonts w:ascii="Arial" w:hAnsi="Arial" w:cs="Arial"/>
          <w:sz w:val="24"/>
          <w:szCs w:val="24"/>
        </w:rPr>
        <w:t>An</w:t>
      </w:r>
      <w:r w:rsidR="00EE0CCC">
        <w:rPr>
          <w:rFonts w:ascii="Arial" w:hAnsi="Arial" w:cs="Arial"/>
          <w:sz w:val="24"/>
          <w:szCs w:val="24"/>
        </w:rPr>
        <w:t xml:space="preserve"> </w:t>
      </w:r>
      <w:r w:rsidRPr="007D322B">
        <w:rPr>
          <w:rFonts w:ascii="Arial" w:hAnsi="Arial" w:cs="Arial"/>
          <w:sz w:val="24"/>
          <w:szCs w:val="24"/>
        </w:rPr>
        <w:t>effect</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ADA</w:t>
      </w:r>
      <w:r w:rsidR="00EE0CCC">
        <w:rPr>
          <w:rFonts w:ascii="Arial" w:hAnsi="Arial" w:cs="Arial"/>
          <w:sz w:val="24"/>
          <w:szCs w:val="24"/>
        </w:rPr>
        <w:t xml:space="preserve"> </w:t>
      </w:r>
      <w:r w:rsidRPr="007D322B">
        <w:rPr>
          <w:rFonts w:ascii="Arial" w:hAnsi="Arial" w:cs="Arial"/>
          <w:sz w:val="24"/>
          <w:szCs w:val="24"/>
        </w:rPr>
        <w:t>formation</w:t>
      </w:r>
      <w:r w:rsidR="00EE0CCC">
        <w:rPr>
          <w:rFonts w:ascii="Arial" w:hAnsi="Arial" w:cs="Arial"/>
          <w:sz w:val="24"/>
          <w:szCs w:val="24"/>
        </w:rPr>
        <w:t xml:space="preserve"> </w:t>
      </w:r>
      <w:r w:rsidRPr="007D322B">
        <w:rPr>
          <w:rFonts w:ascii="Arial" w:hAnsi="Arial" w:cs="Arial"/>
          <w:sz w:val="24"/>
          <w:szCs w:val="24"/>
        </w:rPr>
        <w:t>on</w:t>
      </w:r>
      <w:r w:rsidR="00EE0CCC">
        <w:rPr>
          <w:rFonts w:ascii="Arial" w:hAnsi="Arial" w:cs="Arial"/>
          <w:sz w:val="24"/>
          <w:szCs w:val="24"/>
        </w:rPr>
        <w:t xml:space="preserve"> </w:t>
      </w:r>
      <w:r w:rsidRPr="007D322B">
        <w:rPr>
          <w:rFonts w:ascii="Arial" w:hAnsi="Arial" w:cs="Arial"/>
          <w:sz w:val="24"/>
          <w:szCs w:val="24"/>
        </w:rPr>
        <w:t>the</w:t>
      </w:r>
      <w:r w:rsidR="00EE0CCC">
        <w:rPr>
          <w:rFonts w:ascii="Arial" w:hAnsi="Arial" w:cs="Arial"/>
          <w:sz w:val="24"/>
          <w:szCs w:val="24"/>
        </w:rPr>
        <w:t xml:space="preserve"> </w:t>
      </w:r>
      <w:r w:rsidRPr="007D322B">
        <w:rPr>
          <w:rFonts w:ascii="Arial" w:hAnsi="Arial" w:cs="Arial"/>
          <w:sz w:val="24"/>
          <w:szCs w:val="24"/>
        </w:rPr>
        <w:t>volume</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distribution</w:t>
      </w:r>
      <w:r w:rsidR="00EE0CCC">
        <w:rPr>
          <w:rFonts w:ascii="Arial" w:hAnsi="Arial" w:cs="Arial"/>
          <w:sz w:val="24"/>
          <w:szCs w:val="24"/>
        </w:rPr>
        <w:t xml:space="preserve"> </w:t>
      </w:r>
      <w:r w:rsidRPr="007D322B">
        <w:rPr>
          <w:rFonts w:ascii="Arial" w:hAnsi="Arial" w:cs="Arial"/>
          <w:sz w:val="24"/>
          <w:szCs w:val="24"/>
        </w:rPr>
        <w:t>was</w:t>
      </w:r>
      <w:r w:rsidR="00EE0CCC">
        <w:rPr>
          <w:rFonts w:ascii="Arial" w:hAnsi="Arial" w:cs="Arial"/>
          <w:sz w:val="24"/>
          <w:szCs w:val="24"/>
        </w:rPr>
        <w:t xml:space="preserve"> </w:t>
      </w:r>
      <w:r w:rsidRPr="007D322B">
        <w:rPr>
          <w:rFonts w:ascii="Arial" w:hAnsi="Arial" w:cs="Arial"/>
          <w:sz w:val="24"/>
          <w:szCs w:val="24"/>
        </w:rPr>
        <w:t>found</w:t>
      </w:r>
      <w:r w:rsidR="00EE0CCC">
        <w:rPr>
          <w:rFonts w:ascii="Arial" w:hAnsi="Arial" w:cs="Arial"/>
          <w:sz w:val="24"/>
          <w:szCs w:val="24"/>
        </w:rPr>
        <w:t xml:space="preserve"> </w:t>
      </w:r>
      <w:r w:rsidRPr="007D322B">
        <w:rPr>
          <w:rFonts w:ascii="Arial" w:hAnsi="Arial" w:cs="Arial"/>
          <w:sz w:val="24"/>
          <w:szCs w:val="24"/>
        </w:rPr>
        <w:t>(increase</w:t>
      </w:r>
      <w:r w:rsidR="00EE0CCC">
        <w:rPr>
          <w:rFonts w:ascii="Arial" w:hAnsi="Arial" w:cs="Arial"/>
          <w:sz w:val="24"/>
          <w:szCs w:val="24"/>
        </w:rPr>
        <w:t xml:space="preserve"> </w:t>
      </w:r>
      <w:r w:rsidRPr="007D322B">
        <w:rPr>
          <w:rFonts w:ascii="Arial" w:hAnsi="Arial" w:cs="Arial"/>
          <w:sz w:val="24"/>
          <w:szCs w:val="24"/>
        </w:rPr>
        <w:t>of</w:t>
      </w:r>
      <w:r w:rsidR="00EE0CCC">
        <w:rPr>
          <w:rFonts w:ascii="Arial" w:hAnsi="Arial" w:cs="Arial"/>
          <w:sz w:val="24"/>
          <w:szCs w:val="24"/>
        </w:rPr>
        <w:t xml:space="preserve"> </w:t>
      </w:r>
      <w:r w:rsidRPr="007D322B">
        <w:rPr>
          <w:rFonts w:ascii="Arial" w:hAnsi="Arial" w:cs="Arial"/>
          <w:sz w:val="24"/>
          <w:szCs w:val="24"/>
        </w:rPr>
        <w:t>37%</w:t>
      </w:r>
      <w:r w:rsidR="00EE0CCC">
        <w:rPr>
          <w:rFonts w:ascii="Arial" w:hAnsi="Arial" w:cs="Arial"/>
          <w:sz w:val="24"/>
          <w:szCs w:val="24"/>
        </w:rPr>
        <w:t xml:space="preserve"> </w:t>
      </w:r>
      <w:r w:rsidRPr="007D322B">
        <w:rPr>
          <w:rFonts w:ascii="Arial" w:hAnsi="Arial" w:cs="Arial"/>
          <w:sz w:val="24"/>
          <w:szCs w:val="24"/>
        </w:rPr>
        <w:t>in</w:t>
      </w:r>
      <w:r w:rsidR="00EE0CCC">
        <w:rPr>
          <w:rFonts w:ascii="Arial" w:hAnsi="Arial" w:cs="Arial"/>
          <w:sz w:val="24"/>
          <w:szCs w:val="24"/>
        </w:rPr>
        <w:t xml:space="preserve"> </w:t>
      </w:r>
      <w:r w:rsidRPr="007D322B">
        <w:rPr>
          <w:rFonts w:ascii="Arial" w:hAnsi="Arial" w:cs="Arial"/>
          <w:sz w:val="24"/>
          <w:szCs w:val="24"/>
        </w:rPr>
        <w:t>volume).</w:t>
      </w:r>
      <w:r w:rsidR="00EE0CCC">
        <w:rPr>
          <w:rFonts w:ascii="Arial" w:hAnsi="Arial" w:cs="Arial"/>
          <w:sz w:val="24"/>
          <w:szCs w:val="24"/>
        </w:rPr>
        <w:t xml:space="preserve"> </w:t>
      </w:r>
      <w:r w:rsidRPr="007D322B">
        <w:rPr>
          <w:rFonts w:ascii="Arial" w:hAnsi="Arial" w:cs="Arial"/>
          <w:sz w:val="24"/>
          <w:szCs w:val="24"/>
        </w:rPr>
        <w:t>Therefore,</w:t>
      </w:r>
      <w:r w:rsidR="00EE0CCC">
        <w:rPr>
          <w:rFonts w:ascii="Arial" w:hAnsi="Arial" w:cs="Arial"/>
          <w:sz w:val="24"/>
          <w:szCs w:val="24"/>
        </w:rPr>
        <w:t xml:space="preserve"> </w:t>
      </w:r>
      <w:r w:rsidRPr="007D322B">
        <w:rPr>
          <w:rFonts w:ascii="Arial" w:hAnsi="Arial" w:cs="Arial"/>
          <w:sz w:val="24"/>
          <w:szCs w:val="24"/>
        </w:rPr>
        <w:t>ADA</w:t>
      </w:r>
      <w:r w:rsidR="00EE0CCC">
        <w:rPr>
          <w:rFonts w:ascii="Arial" w:hAnsi="Arial" w:cs="Arial"/>
          <w:sz w:val="24"/>
          <w:szCs w:val="24"/>
        </w:rPr>
        <w:t xml:space="preserve"> </w:t>
      </w:r>
      <w:r w:rsidRPr="007D322B">
        <w:rPr>
          <w:rFonts w:ascii="Arial" w:hAnsi="Arial" w:cs="Arial"/>
          <w:sz w:val="24"/>
          <w:szCs w:val="24"/>
        </w:rPr>
        <w:t>formation</w:t>
      </w:r>
      <w:r w:rsidR="00EE0CCC">
        <w:rPr>
          <w:rFonts w:ascii="Arial" w:hAnsi="Arial" w:cs="Arial"/>
          <w:sz w:val="24"/>
          <w:szCs w:val="24"/>
        </w:rPr>
        <w:t xml:space="preserve"> </w:t>
      </w:r>
      <w:r w:rsidRPr="007D322B">
        <w:rPr>
          <w:rFonts w:ascii="Arial" w:hAnsi="Arial" w:cs="Arial"/>
          <w:sz w:val="24"/>
          <w:szCs w:val="24"/>
        </w:rPr>
        <w:t>would</w:t>
      </w:r>
      <w:r w:rsidR="00EE0CCC">
        <w:rPr>
          <w:rFonts w:ascii="Arial" w:hAnsi="Arial" w:cs="Arial"/>
          <w:sz w:val="24"/>
          <w:szCs w:val="24"/>
        </w:rPr>
        <w:t xml:space="preserve"> </w:t>
      </w:r>
      <w:r w:rsidRPr="007D322B">
        <w:rPr>
          <w:rFonts w:ascii="Arial" w:hAnsi="Arial" w:cs="Arial"/>
          <w:sz w:val="24"/>
          <w:szCs w:val="24"/>
        </w:rPr>
        <w:t>be</w:t>
      </w:r>
      <w:r w:rsidR="00EE0CCC">
        <w:rPr>
          <w:rFonts w:ascii="Arial" w:hAnsi="Arial" w:cs="Arial"/>
          <w:sz w:val="24"/>
          <w:szCs w:val="24"/>
        </w:rPr>
        <w:t xml:space="preserve"> </w:t>
      </w:r>
      <w:r w:rsidRPr="007D322B">
        <w:rPr>
          <w:rFonts w:ascii="Arial" w:hAnsi="Arial" w:cs="Arial"/>
          <w:sz w:val="24"/>
          <w:szCs w:val="24"/>
        </w:rPr>
        <w:t>predicted</w:t>
      </w:r>
      <w:r w:rsidR="00EE0CCC">
        <w:rPr>
          <w:rFonts w:ascii="Arial" w:hAnsi="Arial" w:cs="Arial"/>
          <w:sz w:val="24"/>
          <w:szCs w:val="24"/>
        </w:rPr>
        <w:t xml:space="preserve"> </w:t>
      </w:r>
      <w:r w:rsidRPr="007D322B">
        <w:rPr>
          <w:rFonts w:ascii="Arial" w:hAnsi="Arial" w:cs="Arial"/>
          <w:sz w:val="24"/>
          <w:szCs w:val="24"/>
        </w:rPr>
        <w:t>to</w:t>
      </w:r>
      <w:r w:rsidR="00EE0CCC">
        <w:rPr>
          <w:rFonts w:ascii="Arial" w:hAnsi="Arial" w:cs="Arial"/>
          <w:sz w:val="24"/>
          <w:szCs w:val="24"/>
        </w:rPr>
        <w:t xml:space="preserve"> </w:t>
      </w:r>
      <w:r w:rsidRPr="007D322B">
        <w:rPr>
          <w:rFonts w:ascii="Arial" w:hAnsi="Arial" w:cs="Arial"/>
          <w:sz w:val="24"/>
          <w:szCs w:val="24"/>
        </w:rPr>
        <w:t>have</w:t>
      </w:r>
      <w:r w:rsidR="00EE0CCC">
        <w:rPr>
          <w:rFonts w:ascii="Arial" w:hAnsi="Arial" w:cs="Arial"/>
          <w:sz w:val="24"/>
          <w:szCs w:val="24"/>
        </w:rPr>
        <w:t xml:space="preserve"> </w:t>
      </w:r>
      <w:r w:rsidRPr="007D322B">
        <w:rPr>
          <w:rFonts w:ascii="Arial" w:hAnsi="Arial" w:cs="Arial"/>
          <w:sz w:val="24"/>
          <w:szCs w:val="24"/>
        </w:rPr>
        <w:t>a</w:t>
      </w:r>
      <w:r w:rsidR="00EE0CCC">
        <w:rPr>
          <w:rFonts w:ascii="Arial" w:hAnsi="Arial" w:cs="Arial"/>
          <w:sz w:val="24"/>
          <w:szCs w:val="24"/>
        </w:rPr>
        <w:t xml:space="preserve"> </w:t>
      </w:r>
      <w:r w:rsidRPr="007D322B">
        <w:rPr>
          <w:rFonts w:ascii="Arial" w:hAnsi="Arial" w:cs="Arial"/>
          <w:sz w:val="24"/>
          <w:szCs w:val="24"/>
        </w:rPr>
        <w:t>slight</w:t>
      </w:r>
      <w:r w:rsidR="00EE0CCC">
        <w:rPr>
          <w:rFonts w:ascii="Arial" w:hAnsi="Arial" w:cs="Arial"/>
          <w:sz w:val="24"/>
          <w:szCs w:val="24"/>
        </w:rPr>
        <w:t xml:space="preserve"> </w:t>
      </w:r>
      <w:r w:rsidRPr="007D322B">
        <w:rPr>
          <w:rFonts w:ascii="Arial" w:hAnsi="Arial" w:cs="Arial"/>
          <w:sz w:val="24"/>
          <w:szCs w:val="24"/>
        </w:rPr>
        <w:t>impact</w:t>
      </w:r>
      <w:r w:rsidR="00EE0CCC">
        <w:rPr>
          <w:rFonts w:ascii="Arial" w:hAnsi="Arial" w:cs="Arial"/>
          <w:sz w:val="24"/>
          <w:szCs w:val="24"/>
        </w:rPr>
        <w:t xml:space="preserve"> </w:t>
      </w:r>
      <w:r w:rsidRPr="007D322B">
        <w:rPr>
          <w:rFonts w:ascii="Arial" w:hAnsi="Arial" w:cs="Arial"/>
          <w:sz w:val="24"/>
          <w:szCs w:val="24"/>
        </w:rPr>
        <w:t>(less</w:t>
      </w:r>
      <w:r w:rsidR="00EE0CCC">
        <w:rPr>
          <w:rFonts w:ascii="Arial" w:hAnsi="Arial" w:cs="Arial"/>
          <w:sz w:val="24"/>
          <w:szCs w:val="24"/>
        </w:rPr>
        <w:t xml:space="preserve"> </w:t>
      </w:r>
      <w:r w:rsidRPr="007D322B">
        <w:rPr>
          <w:rFonts w:ascii="Arial" w:hAnsi="Arial" w:cs="Arial"/>
          <w:sz w:val="24"/>
          <w:szCs w:val="24"/>
        </w:rPr>
        <w:t>than</w:t>
      </w:r>
      <w:r w:rsidR="00EE0CCC">
        <w:rPr>
          <w:rFonts w:ascii="Arial" w:hAnsi="Arial" w:cs="Arial"/>
          <w:sz w:val="24"/>
          <w:szCs w:val="24"/>
        </w:rPr>
        <w:t xml:space="preserve"> </w:t>
      </w:r>
      <w:r w:rsidRPr="007D322B">
        <w:rPr>
          <w:rFonts w:ascii="Arial" w:hAnsi="Arial" w:cs="Arial"/>
          <w:sz w:val="24"/>
          <w:szCs w:val="24"/>
        </w:rPr>
        <w:t>10%</w:t>
      </w:r>
      <w:r w:rsidR="00EE0CCC">
        <w:rPr>
          <w:rFonts w:ascii="Arial" w:hAnsi="Arial" w:cs="Arial"/>
          <w:sz w:val="24"/>
          <w:szCs w:val="24"/>
        </w:rPr>
        <w:t xml:space="preserve"> </w:t>
      </w:r>
      <w:r w:rsidRPr="007D322B">
        <w:rPr>
          <w:rFonts w:ascii="Arial" w:hAnsi="Arial" w:cs="Arial"/>
          <w:sz w:val="24"/>
          <w:szCs w:val="24"/>
        </w:rPr>
        <w:t>decrease)</w:t>
      </w:r>
      <w:r w:rsidR="00EE0CCC">
        <w:rPr>
          <w:rFonts w:ascii="Arial" w:hAnsi="Arial" w:cs="Arial"/>
          <w:sz w:val="24"/>
          <w:szCs w:val="24"/>
        </w:rPr>
        <w:t xml:space="preserve"> </w:t>
      </w:r>
      <w:r w:rsidRPr="007D322B">
        <w:rPr>
          <w:rFonts w:ascii="Arial" w:hAnsi="Arial" w:cs="Arial"/>
          <w:sz w:val="24"/>
          <w:szCs w:val="24"/>
        </w:rPr>
        <w:t>on</w:t>
      </w:r>
      <w:r w:rsidR="00EE0CCC">
        <w:rPr>
          <w:rFonts w:ascii="Arial" w:hAnsi="Arial" w:cs="Arial"/>
          <w:sz w:val="24"/>
          <w:szCs w:val="24"/>
        </w:rPr>
        <w:t xml:space="preserve"> </w:t>
      </w:r>
      <w:r w:rsidRPr="007D322B">
        <w:rPr>
          <w:rFonts w:ascii="Arial" w:hAnsi="Arial" w:cs="Arial"/>
          <w:sz w:val="24"/>
          <w:szCs w:val="24"/>
        </w:rPr>
        <w:t>exposure</w:t>
      </w:r>
      <w:r w:rsidR="00EE0CCC">
        <w:rPr>
          <w:rFonts w:ascii="Arial" w:hAnsi="Arial" w:cs="Arial"/>
          <w:sz w:val="24"/>
          <w:szCs w:val="24"/>
        </w:rPr>
        <w:t xml:space="preserve"> </w:t>
      </w:r>
      <w:r w:rsidRPr="007D322B">
        <w:rPr>
          <w:rFonts w:ascii="Arial" w:hAnsi="Arial" w:cs="Arial"/>
          <w:sz w:val="24"/>
          <w:szCs w:val="24"/>
        </w:rPr>
        <w:t>within</w:t>
      </w:r>
      <w:r w:rsidR="00EE0CCC">
        <w:rPr>
          <w:rFonts w:ascii="Arial" w:hAnsi="Arial" w:cs="Arial"/>
          <w:sz w:val="24"/>
          <w:szCs w:val="24"/>
        </w:rPr>
        <w:t xml:space="preserve"> </w:t>
      </w:r>
      <w:r w:rsidRPr="007D322B">
        <w:rPr>
          <w:rFonts w:ascii="Arial" w:hAnsi="Arial" w:cs="Arial"/>
          <w:sz w:val="24"/>
          <w:szCs w:val="24"/>
        </w:rPr>
        <w:t>24</w:t>
      </w:r>
      <w:r w:rsidR="00EE0CCC">
        <w:rPr>
          <w:rFonts w:ascii="Arial" w:hAnsi="Arial" w:cs="Arial"/>
          <w:sz w:val="24"/>
          <w:szCs w:val="24"/>
        </w:rPr>
        <w:t xml:space="preserve"> </w:t>
      </w:r>
      <w:r w:rsidRPr="007D322B">
        <w:rPr>
          <w:rFonts w:ascii="Arial" w:hAnsi="Arial" w:cs="Arial"/>
          <w:sz w:val="24"/>
          <w:szCs w:val="24"/>
        </w:rPr>
        <w:t>hours</w:t>
      </w:r>
      <w:r w:rsidR="00EE0CCC">
        <w:rPr>
          <w:rFonts w:ascii="Arial" w:hAnsi="Arial" w:cs="Arial"/>
          <w:sz w:val="24"/>
          <w:szCs w:val="24"/>
        </w:rPr>
        <w:t xml:space="preserve"> </w:t>
      </w:r>
      <w:r w:rsidRPr="007D322B">
        <w:rPr>
          <w:rFonts w:ascii="Arial" w:hAnsi="Arial" w:cs="Arial"/>
          <w:sz w:val="24"/>
          <w:szCs w:val="24"/>
        </w:rPr>
        <w:t>after</w:t>
      </w:r>
      <w:r w:rsidR="00EE0CCC">
        <w:rPr>
          <w:rFonts w:ascii="Arial" w:hAnsi="Arial" w:cs="Arial"/>
          <w:sz w:val="24"/>
          <w:szCs w:val="24"/>
        </w:rPr>
        <w:t xml:space="preserve"> </w:t>
      </w:r>
      <w:r w:rsidRPr="007D322B">
        <w:rPr>
          <w:rFonts w:ascii="Arial" w:hAnsi="Arial" w:cs="Arial"/>
          <w:sz w:val="24"/>
          <w:szCs w:val="24"/>
        </w:rPr>
        <w:t>administration,</w:t>
      </w:r>
      <w:r w:rsidR="00EE0CCC">
        <w:rPr>
          <w:rFonts w:ascii="Arial" w:hAnsi="Arial" w:cs="Arial"/>
          <w:sz w:val="24"/>
          <w:szCs w:val="24"/>
        </w:rPr>
        <w:t xml:space="preserve"> </w:t>
      </w:r>
      <w:r w:rsidRPr="007D322B">
        <w:rPr>
          <w:rFonts w:ascii="Arial" w:hAnsi="Arial" w:cs="Arial"/>
          <w:sz w:val="24"/>
          <w:szCs w:val="24"/>
        </w:rPr>
        <w:t>under</w:t>
      </w:r>
      <w:r w:rsidR="00EE0CCC">
        <w:rPr>
          <w:rFonts w:ascii="Arial" w:hAnsi="Arial" w:cs="Arial"/>
          <w:sz w:val="24"/>
          <w:szCs w:val="24"/>
        </w:rPr>
        <w:t xml:space="preserve"> </w:t>
      </w:r>
      <w:r w:rsidRPr="007D322B">
        <w:rPr>
          <w:rFonts w:ascii="Arial" w:hAnsi="Arial" w:cs="Arial"/>
          <w:sz w:val="24"/>
          <w:szCs w:val="24"/>
        </w:rPr>
        <w:t>non</w:t>
      </w:r>
      <w:r w:rsidRPr="007D322B">
        <w:rPr>
          <w:rFonts w:ascii="Arial" w:hAnsi="Arial" w:cs="Arial"/>
          <w:sz w:val="24"/>
          <w:szCs w:val="24"/>
        </w:rPr>
        <w:noBreakHyphen/>
        <w:t>steady</w:t>
      </w:r>
      <w:r w:rsidR="00EE0CCC">
        <w:rPr>
          <w:rFonts w:ascii="Arial" w:hAnsi="Arial" w:cs="Arial"/>
          <w:sz w:val="24"/>
          <w:szCs w:val="24"/>
        </w:rPr>
        <w:t xml:space="preserve"> </w:t>
      </w:r>
      <w:r w:rsidRPr="007D322B">
        <w:rPr>
          <w:rFonts w:ascii="Arial" w:hAnsi="Arial" w:cs="Arial"/>
          <w:sz w:val="24"/>
          <w:szCs w:val="24"/>
        </w:rPr>
        <w:t>state</w:t>
      </w:r>
      <w:r w:rsidR="00EE0CCC">
        <w:rPr>
          <w:rFonts w:ascii="Arial" w:hAnsi="Arial" w:cs="Arial"/>
          <w:sz w:val="24"/>
          <w:szCs w:val="24"/>
        </w:rPr>
        <w:t xml:space="preserve"> </w:t>
      </w:r>
      <w:r w:rsidRPr="007D322B">
        <w:rPr>
          <w:rFonts w:ascii="Arial" w:hAnsi="Arial" w:cs="Arial"/>
          <w:sz w:val="24"/>
          <w:szCs w:val="24"/>
        </w:rPr>
        <w:t>conditions.</w:t>
      </w:r>
      <w:r w:rsidR="00EE0CCC">
        <w:rPr>
          <w:rFonts w:ascii="Arial" w:hAnsi="Arial" w:cs="Arial"/>
          <w:sz w:val="24"/>
          <w:szCs w:val="24"/>
        </w:rPr>
        <w:t xml:space="preserve"> </w:t>
      </w:r>
      <w:r w:rsidRPr="007D322B">
        <w:rPr>
          <w:rFonts w:ascii="Arial" w:hAnsi="Arial" w:cs="Arial"/>
          <w:sz w:val="24"/>
          <w:szCs w:val="24"/>
        </w:rPr>
        <w:t>After</w:t>
      </w:r>
      <w:r w:rsidR="00EE0CCC">
        <w:rPr>
          <w:rFonts w:ascii="Arial" w:hAnsi="Arial" w:cs="Arial"/>
          <w:sz w:val="24"/>
          <w:szCs w:val="24"/>
        </w:rPr>
        <w:t xml:space="preserve"> </w:t>
      </w:r>
      <w:r w:rsidRPr="007D322B">
        <w:rPr>
          <w:rFonts w:ascii="Arial" w:hAnsi="Arial" w:cs="Arial"/>
          <w:sz w:val="24"/>
          <w:szCs w:val="24"/>
        </w:rPr>
        <w:t>reaching</w:t>
      </w:r>
      <w:r w:rsidR="00EE0CCC">
        <w:rPr>
          <w:rFonts w:ascii="Arial" w:hAnsi="Arial" w:cs="Arial"/>
          <w:sz w:val="24"/>
          <w:szCs w:val="24"/>
        </w:rPr>
        <w:t xml:space="preserve"> </w:t>
      </w:r>
      <w:r w:rsidRPr="007D322B">
        <w:rPr>
          <w:rFonts w:ascii="Arial" w:hAnsi="Arial" w:cs="Arial"/>
          <w:sz w:val="24"/>
          <w:szCs w:val="24"/>
        </w:rPr>
        <w:t>steady</w:t>
      </w:r>
      <w:r w:rsidR="00EE0CCC">
        <w:rPr>
          <w:rFonts w:ascii="Arial" w:hAnsi="Arial" w:cs="Arial"/>
          <w:sz w:val="24"/>
          <w:szCs w:val="24"/>
        </w:rPr>
        <w:t xml:space="preserve"> </w:t>
      </w:r>
      <w:r w:rsidRPr="007D322B">
        <w:rPr>
          <w:rFonts w:ascii="Arial" w:hAnsi="Arial" w:cs="Arial"/>
          <w:sz w:val="24"/>
          <w:szCs w:val="24"/>
        </w:rPr>
        <w:t>state,</w:t>
      </w:r>
      <w:r w:rsidR="00EE0CCC">
        <w:rPr>
          <w:rFonts w:ascii="Arial" w:hAnsi="Arial" w:cs="Arial"/>
          <w:sz w:val="24"/>
          <w:szCs w:val="24"/>
        </w:rPr>
        <w:t xml:space="preserve"> </w:t>
      </w:r>
      <w:r w:rsidRPr="007D322B">
        <w:rPr>
          <w:rFonts w:ascii="Arial" w:hAnsi="Arial" w:cs="Arial"/>
          <w:sz w:val="24"/>
          <w:szCs w:val="24"/>
        </w:rPr>
        <w:t>no</w:t>
      </w:r>
      <w:r w:rsidR="00EE0CCC">
        <w:rPr>
          <w:rFonts w:ascii="Arial" w:hAnsi="Arial" w:cs="Arial"/>
          <w:sz w:val="24"/>
          <w:szCs w:val="24"/>
        </w:rPr>
        <w:t xml:space="preserve"> </w:t>
      </w:r>
      <w:r w:rsidRPr="007D322B">
        <w:rPr>
          <w:rFonts w:ascii="Arial" w:hAnsi="Arial" w:cs="Arial"/>
          <w:sz w:val="24"/>
          <w:szCs w:val="24"/>
        </w:rPr>
        <w:t>difference</w:t>
      </w:r>
      <w:r w:rsidR="00EE0CCC">
        <w:rPr>
          <w:rFonts w:ascii="Arial" w:hAnsi="Arial" w:cs="Arial"/>
          <w:sz w:val="24"/>
          <w:szCs w:val="24"/>
        </w:rPr>
        <w:t xml:space="preserve"> </w:t>
      </w:r>
      <w:r w:rsidRPr="007D322B">
        <w:rPr>
          <w:rFonts w:ascii="Arial" w:hAnsi="Arial" w:cs="Arial"/>
          <w:sz w:val="24"/>
          <w:szCs w:val="24"/>
        </w:rPr>
        <w:t>in</w:t>
      </w:r>
      <w:r w:rsidR="00EE0CCC">
        <w:rPr>
          <w:rFonts w:ascii="Arial" w:hAnsi="Arial" w:cs="Arial"/>
          <w:sz w:val="24"/>
          <w:szCs w:val="24"/>
        </w:rPr>
        <w:t xml:space="preserve"> </w:t>
      </w:r>
      <w:r w:rsidRPr="007D322B">
        <w:rPr>
          <w:rFonts w:ascii="Arial" w:hAnsi="Arial" w:cs="Arial"/>
          <w:sz w:val="24"/>
          <w:szCs w:val="24"/>
        </w:rPr>
        <w:t>exposure</w:t>
      </w:r>
      <w:r w:rsidR="00EE0CCC">
        <w:rPr>
          <w:rFonts w:ascii="Arial" w:hAnsi="Arial" w:cs="Arial"/>
          <w:sz w:val="24"/>
          <w:szCs w:val="24"/>
        </w:rPr>
        <w:t xml:space="preserve"> </w:t>
      </w:r>
      <w:r w:rsidRPr="007D322B">
        <w:rPr>
          <w:rFonts w:ascii="Arial" w:hAnsi="Arial" w:cs="Arial"/>
          <w:sz w:val="24"/>
          <w:szCs w:val="24"/>
        </w:rPr>
        <w:t>is</w:t>
      </w:r>
      <w:r w:rsidR="00EE0CCC">
        <w:rPr>
          <w:rFonts w:ascii="Arial" w:hAnsi="Arial" w:cs="Arial"/>
          <w:sz w:val="24"/>
          <w:szCs w:val="24"/>
        </w:rPr>
        <w:t xml:space="preserve"> </w:t>
      </w:r>
      <w:r w:rsidRPr="007D322B">
        <w:rPr>
          <w:rFonts w:ascii="Arial" w:hAnsi="Arial" w:cs="Arial"/>
          <w:sz w:val="24"/>
          <w:szCs w:val="24"/>
        </w:rPr>
        <w:t>predicted,</w:t>
      </w:r>
      <w:r w:rsidR="00EE0CCC">
        <w:rPr>
          <w:rFonts w:ascii="Arial" w:hAnsi="Arial" w:cs="Arial"/>
          <w:sz w:val="24"/>
          <w:szCs w:val="24"/>
        </w:rPr>
        <w:t xml:space="preserve"> </w:t>
      </w:r>
      <w:r w:rsidRPr="007D322B">
        <w:rPr>
          <w:rFonts w:ascii="Arial" w:hAnsi="Arial" w:cs="Arial"/>
          <w:sz w:val="24"/>
          <w:szCs w:val="24"/>
        </w:rPr>
        <w:t>with</w:t>
      </w:r>
      <w:r w:rsidR="00EE0CCC">
        <w:rPr>
          <w:rFonts w:ascii="Arial" w:hAnsi="Arial" w:cs="Arial"/>
          <w:sz w:val="24"/>
          <w:szCs w:val="24"/>
        </w:rPr>
        <w:t xml:space="preserve"> </w:t>
      </w:r>
      <w:r w:rsidRPr="007D322B">
        <w:rPr>
          <w:rFonts w:ascii="Arial" w:hAnsi="Arial" w:cs="Arial"/>
          <w:sz w:val="24"/>
          <w:szCs w:val="24"/>
        </w:rPr>
        <w:t>and</w:t>
      </w:r>
      <w:r w:rsidR="00EE0CCC">
        <w:rPr>
          <w:rFonts w:ascii="Arial" w:hAnsi="Arial" w:cs="Arial"/>
          <w:sz w:val="24"/>
          <w:szCs w:val="24"/>
        </w:rPr>
        <w:t xml:space="preserve"> </w:t>
      </w:r>
      <w:r w:rsidRPr="007D322B">
        <w:rPr>
          <w:rFonts w:ascii="Arial" w:hAnsi="Arial" w:cs="Arial"/>
          <w:sz w:val="24"/>
          <w:szCs w:val="24"/>
        </w:rPr>
        <w:t>without</w:t>
      </w:r>
      <w:r w:rsidR="00EE0CCC">
        <w:rPr>
          <w:rFonts w:ascii="Arial" w:hAnsi="Arial" w:cs="Arial"/>
          <w:sz w:val="24"/>
          <w:szCs w:val="24"/>
        </w:rPr>
        <w:t xml:space="preserve"> </w:t>
      </w:r>
      <w:r w:rsidRPr="007D322B">
        <w:rPr>
          <w:rFonts w:ascii="Arial" w:hAnsi="Arial" w:cs="Arial"/>
          <w:sz w:val="24"/>
          <w:szCs w:val="24"/>
        </w:rPr>
        <w:t>ADA</w:t>
      </w:r>
      <w:r w:rsidR="00EE0CCC">
        <w:rPr>
          <w:rFonts w:ascii="Arial" w:hAnsi="Arial" w:cs="Arial"/>
          <w:sz w:val="24"/>
          <w:szCs w:val="24"/>
        </w:rPr>
        <w:t xml:space="preserve"> </w:t>
      </w:r>
      <w:r w:rsidRPr="007D322B">
        <w:rPr>
          <w:rFonts w:ascii="Arial" w:hAnsi="Arial" w:cs="Arial"/>
          <w:sz w:val="24"/>
          <w:szCs w:val="24"/>
        </w:rPr>
        <w:t>formation.</w:t>
      </w:r>
    </w:p>
    <w:p w:rsidR="0035128F" w:rsidRPr="007D322B" w:rsidRDefault="0035128F" w:rsidP="0035128F">
      <w:pPr>
        <w:pStyle w:val="CommentText"/>
        <w:rPr>
          <w:rFonts w:ascii="Arial" w:hAnsi="Arial" w:cs="Arial"/>
          <w:sz w:val="24"/>
          <w:szCs w:val="24"/>
        </w:rPr>
      </w:pPr>
    </w:p>
    <w:p w:rsidR="0035128F" w:rsidRPr="007D322B" w:rsidRDefault="0035128F" w:rsidP="0035128F">
      <w:pPr>
        <w:autoSpaceDE w:val="0"/>
        <w:autoSpaceDN w:val="0"/>
        <w:adjustRightInd w:val="0"/>
        <w:rPr>
          <w:rFonts w:ascii="Arial" w:hAnsi="Arial" w:cs="Arial"/>
          <w:iCs/>
          <w:noProof/>
        </w:rPr>
      </w:pPr>
      <w:r w:rsidRPr="007D322B">
        <w:rPr>
          <w:rFonts w:ascii="Arial" w:hAnsi="Arial" w:cs="Arial"/>
        </w:rPr>
        <w:t>Markers</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renal</w:t>
      </w:r>
      <w:r w:rsidR="00EE0CCC">
        <w:rPr>
          <w:rFonts w:ascii="Arial" w:hAnsi="Arial" w:cs="Arial"/>
        </w:rPr>
        <w:t xml:space="preserve"> </w:t>
      </w:r>
      <w:r w:rsidRPr="007D322B">
        <w:rPr>
          <w:rFonts w:ascii="Arial" w:hAnsi="Arial" w:cs="Arial"/>
        </w:rPr>
        <w:t>(eGFR)</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hepatic</w:t>
      </w:r>
      <w:r w:rsidR="00EE0CCC">
        <w:rPr>
          <w:rFonts w:ascii="Arial" w:hAnsi="Arial" w:cs="Arial"/>
        </w:rPr>
        <w:t xml:space="preserve"> </w:t>
      </w:r>
      <w:r w:rsidRPr="007D322B">
        <w:rPr>
          <w:rFonts w:ascii="Arial" w:hAnsi="Arial" w:cs="Arial"/>
        </w:rPr>
        <w:t>(bilirubin)</w:t>
      </w:r>
      <w:r w:rsidR="00EE0CCC">
        <w:rPr>
          <w:rFonts w:ascii="Arial" w:hAnsi="Arial" w:cs="Arial"/>
        </w:rPr>
        <w:t xml:space="preserve"> </w:t>
      </w:r>
      <w:r w:rsidRPr="007D322B">
        <w:rPr>
          <w:rFonts w:ascii="Arial" w:hAnsi="Arial" w:cs="Arial"/>
        </w:rPr>
        <w:t>function</w:t>
      </w:r>
      <w:r w:rsidR="00EE0CCC">
        <w:rPr>
          <w:rFonts w:ascii="Arial" w:hAnsi="Arial" w:cs="Arial"/>
        </w:rPr>
        <w:t xml:space="preserve"> </w:t>
      </w:r>
      <w:r w:rsidRPr="007D322B">
        <w:rPr>
          <w:rFonts w:ascii="Arial" w:hAnsi="Arial" w:cs="Arial"/>
        </w:rPr>
        <w:t>did</w:t>
      </w:r>
      <w:r w:rsidR="00EE0CCC">
        <w:rPr>
          <w:rFonts w:ascii="Arial" w:hAnsi="Arial" w:cs="Arial"/>
        </w:rPr>
        <w:t xml:space="preserve"> </w:t>
      </w:r>
      <w:r w:rsidRPr="007D322B">
        <w:rPr>
          <w:rFonts w:ascii="Arial" w:hAnsi="Arial" w:cs="Arial"/>
        </w:rPr>
        <w:t>not</w:t>
      </w:r>
      <w:r w:rsidR="00EE0CCC">
        <w:rPr>
          <w:rFonts w:ascii="Arial" w:hAnsi="Arial" w:cs="Arial"/>
        </w:rPr>
        <w:t xml:space="preserve"> </w:t>
      </w:r>
      <w:r w:rsidRPr="007D322B">
        <w:rPr>
          <w:rFonts w:ascii="Arial" w:hAnsi="Arial" w:cs="Arial"/>
        </w:rPr>
        <w:t>show</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relationship</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exposure</w:t>
      </w:r>
      <w:r w:rsidR="00EE0CCC">
        <w:rPr>
          <w:rFonts w:ascii="Arial" w:hAnsi="Arial" w:cs="Arial"/>
        </w:rPr>
        <w:t xml:space="preserve"> </w:t>
      </w:r>
      <w:r w:rsidRPr="007D322B">
        <w:rPr>
          <w:rFonts w:ascii="Arial" w:hAnsi="Arial" w:cs="Arial"/>
        </w:rPr>
        <w:t>(C</w:t>
      </w:r>
      <w:r w:rsidRPr="007D322B">
        <w:rPr>
          <w:rFonts w:ascii="Arial" w:hAnsi="Arial" w:cs="Arial"/>
          <w:vertAlign w:val="subscript"/>
        </w:rPr>
        <w:t>max</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AUC</w:t>
      </w:r>
      <w:r w:rsidRPr="007D322B">
        <w:rPr>
          <w:rFonts w:ascii="Arial" w:hAnsi="Arial" w:cs="Arial"/>
          <w:vertAlign w:val="subscript"/>
        </w:rPr>
        <w:t>24h</w:t>
      </w:r>
      <w:r w:rsidR="00EE0CCC">
        <w:rPr>
          <w:rFonts w:ascii="Arial" w:hAnsi="Arial" w:cs="Arial"/>
        </w:rPr>
        <w:t xml:space="preserve"> </w:t>
      </w:r>
      <w:r w:rsidRPr="007D322B">
        <w:rPr>
          <w:rFonts w:ascii="Arial" w:hAnsi="Arial" w:cs="Arial"/>
        </w:rPr>
        <w:t>on</w:t>
      </w:r>
      <w:r w:rsidR="00EE0CCC">
        <w:rPr>
          <w:rFonts w:ascii="Arial" w:hAnsi="Arial" w:cs="Arial"/>
        </w:rPr>
        <w:t xml:space="preserve"> </w:t>
      </w:r>
      <w:r w:rsidRPr="007D322B">
        <w:rPr>
          <w:rFonts w:ascii="Arial" w:hAnsi="Arial" w:cs="Arial"/>
        </w:rPr>
        <w:t>day</w:t>
      </w:r>
      <w:r w:rsidR="00EE0CCC">
        <w:rPr>
          <w:rFonts w:ascii="Arial" w:hAnsi="Arial" w:cs="Arial"/>
        </w:rPr>
        <w:t xml:space="preserve"> </w:t>
      </w:r>
      <w:r w:rsidRPr="007D322B">
        <w:rPr>
          <w:rFonts w:ascii="Arial" w:hAnsi="Arial" w:cs="Arial"/>
        </w:rPr>
        <w:t>1</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day</w:t>
      </w:r>
      <w:r w:rsidR="00EE0CCC">
        <w:rPr>
          <w:rFonts w:ascii="Arial" w:hAnsi="Arial" w:cs="Arial"/>
        </w:rPr>
        <w:t xml:space="preserve"> </w:t>
      </w:r>
      <w:r w:rsidRPr="007D322B">
        <w:rPr>
          <w:rFonts w:ascii="Arial" w:hAnsi="Arial" w:cs="Arial"/>
        </w:rPr>
        <w:t>10</w:t>
      </w:r>
      <w:r w:rsidR="00EE0CCC">
        <w:rPr>
          <w:rFonts w:ascii="Arial" w:hAnsi="Arial" w:cs="Arial"/>
        </w:rPr>
        <w:t xml:space="preserve"> </w:t>
      </w:r>
      <w:r w:rsidRPr="007D322B">
        <w:rPr>
          <w:rFonts w:ascii="Arial" w:hAnsi="Arial" w:cs="Arial"/>
        </w:rPr>
        <w:t>during</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10</w:t>
      </w:r>
      <w:r w:rsidRPr="007D322B">
        <w:rPr>
          <w:rFonts w:ascii="Arial" w:hAnsi="Arial" w:cs="Arial"/>
        </w:rPr>
        <w:noBreakHyphen/>
        <w:t>day</w:t>
      </w:r>
      <w:r w:rsidR="00EE0CCC">
        <w:rPr>
          <w:rFonts w:ascii="Arial" w:hAnsi="Arial" w:cs="Arial"/>
        </w:rPr>
        <w:t xml:space="preserve"> </w:t>
      </w:r>
      <w:r w:rsidRPr="007D322B">
        <w:rPr>
          <w:rFonts w:ascii="Arial" w:hAnsi="Arial" w:cs="Arial"/>
        </w:rPr>
        <w:t>infusion).</w:t>
      </w:r>
    </w:p>
    <w:p w:rsidR="0035128F" w:rsidRPr="007D322B" w:rsidRDefault="0035128F" w:rsidP="00946995">
      <w:pPr>
        <w:pStyle w:val="NoSpacing"/>
        <w:rPr>
          <w:rFonts w:ascii="Arial" w:hAnsi="Arial" w:cs="Arial"/>
        </w:rPr>
      </w:pPr>
    </w:p>
    <w:p w:rsidR="00B17C13" w:rsidRPr="007D322B" w:rsidRDefault="00E75CC8" w:rsidP="0084108E">
      <w:pPr>
        <w:pStyle w:val="Heading2"/>
        <w:rPr>
          <w:rFonts w:ascii="Arial" w:eastAsia="Calibri" w:hAnsi="Arial" w:cs="Arial"/>
          <w:b w:val="0"/>
          <w:sz w:val="24"/>
          <w:szCs w:val="24"/>
        </w:rPr>
      </w:pPr>
      <w:r w:rsidRPr="007D322B">
        <w:rPr>
          <w:rFonts w:ascii="Arial" w:eastAsia="Calibri" w:hAnsi="Arial" w:cs="Arial"/>
          <w:i w:val="0"/>
          <w:sz w:val="24"/>
          <w:szCs w:val="24"/>
        </w:rPr>
        <w:t>PRECLINICAL</w:t>
      </w:r>
      <w:r w:rsidR="00EE0CCC">
        <w:rPr>
          <w:rFonts w:ascii="Arial" w:eastAsia="Calibri" w:hAnsi="Arial" w:cs="Arial"/>
          <w:i w:val="0"/>
          <w:sz w:val="24"/>
          <w:szCs w:val="24"/>
        </w:rPr>
        <w:t xml:space="preserve"> </w:t>
      </w:r>
      <w:r w:rsidRPr="007D322B">
        <w:rPr>
          <w:rFonts w:ascii="Arial" w:eastAsia="Calibri" w:hAnsi="Arial" w:cs="Arial"/>
          <w:i w:val="0"/>
          <w:sz w:val="24"/>
          <w:szCs w:val="24"/>
        </w:rPr>
        <w:t>SAFETY</w:t>
      </w:r>
      <w:r w:rsidR="00EE0CCC">
        <w:rPr>
          <w:rFonts w:ascii="Arial" w:eastAsia="Calibri" w:hAnsi="Arial" w:cs="Arial"/>
          <w:i w:val="0"/>
          <w:sz w:val="24"/>
          <w:szCs w:val="24"/>
        </w:rPr>
        <w:t xml:space="preserve"> </w:t>
      </w:r>
      <w:r w:rsidRPr="007D322B">
        <w:rPr>
          <w:rFonts w:ascii="Arial" w:eastAsia="Calibri" w:hAnsi="Arial" w:cs="Arial"/>
          <w:i w:val="0"/>
          <w:sz w:val="24"/>
          <w:szCs w:val="24"/>
        </w:rPr>
        <w:t>DATA</w:t>
      </w:r>
    </w:p>
    <w:p w:rsidR="00E01067" w:rsidRPr="007D322B" w:rsidRDefault="00E01067" w:rsidP="00E01067">
      <w:pPr>
        <w:pStyle w:val="NoSpacing"/>
        <w:rPr>
          <w:rFonts w:ascii="Arial" w:eastAsia="Calibri" w:hAnsi="Arial" w:cs="Arial"/>
          <w:b/>
          <w:iCs/>
        </w:rPr>
      </w:pPr>
      <w:r w:rsidRPr="007D322B">
        <w:rPr>
          <w:rFonts w:ascii="Arial" w:eastAsia="Calibri" w:hAnsi="Arial" w:cs="Arial"/>
          <w:b/>
          <w:iCs/>
        </w:rPr>
        <w:t>General</w:t>
      </w:r>
      <w:r w:rsidR="00EE0CCC">
        <w:rPr>
          <w:rFonts w:ascii="Arial" w:eastAsia="Calibri" w:hAnsi="Arial" w:cs="Arial"/>
          <w:b/>
          <w:iCs/>
        </w:rPr>
        <w:t xml:space="preserve"> </w:t>
      </w:r>
      <w:r w:rsidRPr="007D322B">
        <w:rPr>
          <w:rFonts w:ascii="Arial" w:eastAsia="Calibri" w:hAnsi="Arial" w:cs="Arial"/>
          <w:b/>
          <w:iCs/>
        </w:rPr>
        <w:t>toxicology</w:t>
      </w:r>
    </w:p>
    <w:p w:rsidR="00E01067" w:rsidRPr="007D322B" w:rsidRDefault="00E01067" w:rsidP="00E01067">
      <w:pPr>
        <w:pStyle w:val="NoSpacing"/>
        <w:rPr>
          <w:rFonts w:ascii="Arial" w:eastAsia="Calibri" w:hAnsi="Arial" w:cs="Arial"/>
          <w:bCs/>
          <w:iCs/>
        </w:rPr>
      </w:pPr>
      <w:r w:rsidRPr="007D322B">
        <w:rPr>
          <w:rFonts w:ascii="Arial" w:eastAsia="Calibri" w:hAnsi="Arial" w:cs="Arial"/>
          <w:bCs/>
          <w:iCs/>
        </w:rPr>
        <w:t>Dinutuximab</w:t>
      </w:r>
      <w:r w:rsidR="00EE0CCC">
        <w:rPr>
          <w:rFonts w:ascii="Arial" w:eastAsia="Calibri" w:hAnsi="Arial" w:cs="Arial"/>
          <w:bCs/>
          <w:iCs/>
        </w:rPr>
        <w:t xml:space="preserve"> </w:t>
      </w:r>
      <w:r w:rsidRPr="007D322B">
        <w:rPr>
          <w:rFonts w:ascii="Arial" w:eastAsia="Calibri" w:hAnsi="Arial" w:cs="Arial"/>
          <w:bCs/>
          <w:iCs/>
        </w:rPr>
        <w:t>beta</w:t>
      </w:r>
      <w:r w:rsidR="00EE0CCC">
        <w:rPr>
          <w:rFonts w:ascii="Arial" w:eastAsia="Calibri" w:hAnsi="Arial" w:cs="Arial"/>
          <w:bCs/>
          <w:iCs/>
        </w:rPr>
        <w:t xml:space="preserve"> </w:t>
      </w:r>
      <w:r w:rsidRPr="007D322B">
        <w:rPr>
          <w:rFonts w:ascii="Arial" w:eastAsia="Calibri" w:hAnsi="Arial" w:cs="Arial"/>
          <w:bCs/>
          <w:iCs/>
        </w:rPr>
        <w:t>has</w:t>
      </w:r>
      <w:r w:rsidR="00EE0CCC">
        <w:rPr>
          <w:rFonts w:ascii="Arial" w:eastAsia="Calibri" w:hAnsi="Arial" w:cs="Arial"/>
          <w:bCs/>
          <w:iCs/>
        </w:rPr>
        <w:t xml:space="preserve"> </w:t>
      </w:r>
      <w:r w:rsidRPr="007D322B">
        <w:rPr>
          <w:rFonts w:ascii="Arial" w:eastAsia="Calibri" w:hAnsi="Arial" w:cs="Arial"/>
          <w:bCs/>
          <w:iCs/>
        </w:rPr>
        <w:t>been</w:t>
      </w:r>
      <w:r w:rsidR="00EE0CCC">
        <w:rPr>
          <w:rFonts w:ascii="Arial" w:eastAsia="Calibri" w:hAnsi="Arial" w:cs="Arial"/>
          <w:bCs/>
          <w:iCs/>
        </w:rPr>
        <w:t xml:space="preserve"> </w:t>
      </w:r>
      <w:r w:rsidRPr="007D322B">
        <w:rPr>
          <w:rFonts w:ascii="Arial" w:eastAsia="Calibri" w:hAnsi="Arial" w:cs="Arial"/>
          <w:bCs/>
          <w:iCs/>
        </w:rPr>
        <w:t>administered</w:t>
      </w:r>
      <w:r w:rsidR="00EE0CCC">
        <w:rPr>
          <w:rFonts w:ascii="Arial" w:eastAsia="Calibri" w:hAnsi="Arial" w:cs="Arial"/>
          <w:bCs/>
          <w:iCs/>
        </w:rPr>
        <w:t xml:space="preserve"> </w:t>
      </w:r>
      <w:r w:rsidRPr="007D322B">
        <w:rPr>
          <w:rFonts w:ascii="Arial" w:eastAsia="Calibri" w:hAnsi="Arial" w:cs="Arial"/>
          <w:bCs/>
          <w:iCs/>
        </w:rPr>
        <w:t>to</w:t>
      </w:r>
      <w:r w:rsidR="00EE0CCC">
        <w:rPr>
          <w:rFonts w:ascii="Arial" w:eastAsia="Calibri" w:hAnsi="Arial" w:cs="Arial"/>
          <w:bCs/>
          <w:iCs/>
        </w:rPr>
        <w:t xml:space="preserve"> </w:t>
      </w:r>
      <w:r w:rsidRPr="007D322B">
        <w:rPr>
          <w:rFonts w:ascii="Arial" w:eastAsia="Calibri" w:hAnsi="Arial" w:cs="Arial"/>
          <w:bCs/>
          <w:iCs/>
        </w:rPr>
        <w:t>male</w:t>
      </w:r>
      <w:r w:rsidR="00EE0CCC">
        <w:rPr>
          <w:rFonts w:ascii="Arial" w:eastAsia="Calibri" w:hAnsi="Arial" w:cs="Arial"/>
          <w:bCs/>
          <w:iCs/>
        </w:rPr>
        <w:t xml:space="preserve"> </w:t>
      </w:r>
      <w:r w:rsidRPr="007D322B">
        <w:rPr>
          <w:rFonts w:ascii="Arial" w:eastAsia="Calibri" w:hAnsi="Arial" w:cs="Arial"/>
          <w:bCs/>
          <w:iCs/>
        </w:rPr>
        <w:t>and</w:t>
      </w:r>
      <w:r w:rsidR="00EE0CCC">
        <w:rPr>
          <w:rFonts w:ascii="Arial" w:eastAsia="Calibri" w:hAnsi="Arial" w:cs="Arial"/>
          <w:bCs/>
          <w:iCs/>
        </w:rPr>
        <w:t xml:space="preserve"> </w:t>
      </w:r>
      <w:r w:rsidRPr="007D322B">
        <w:rPr>
          <w:rFonts w:ascii="Arial" w:eastAsia="Calibri" w:hAnsi="Arial" w:cs="Arial"/>
          <w:bCs/>
          <w:iCs/>
        </w:rPr>
        <w:t>female</w:t>
      </w:r>
      <w:r w:rsidR="00EE0CCC">
        <w:rPr>
          <w:rFonts w:ascii="Arial" w:eastAsia="Calibri" w:hAnsi="Arial" w:cs="Arial"/>
          <w:bCs/>
          <w:iCs/>
        </w:rPr>
        <w:t xml:space="preserve"> </w:t>
      </w:r>
      <w:r w:rsidRPr="007D322B">
        <w:rPr>
          <w:rFonts w:ascii="Arial" w:eastAsia="Calibri" w:hAnsi="Arial" w:cs="Arial"/>
          <w:bCs/>
          <w:iCs/>
        </w:rPr>
        <w:t>juvenile</w:t>
      </w:r>
      <w:r w:rsidR="00EE0CCC">
        <w:rPr>
          <w:rFonts w:ascii="Arial" w:eastAsia="Calibri" w:hAnsi="Arial" w:cs="Arial"/>
          <w:bCs/>
          <w:iCs/>
        </w:rPr>
        <w:t xml:space="preserve"> </w:t>
      </w:r>
      <w:r w:rsidRPr="007D322B">
        <w:rPr>
          <w:rFonts w:ascii="Arial" w:eastAsia="Calibri" w:hAnsi="Arial" w:cs="Arial"/>
          <w:bCs/>
          <w:iCs/>
        </w:rPr>
        <w:t>Guinea</w:t>
      </w:r>
      <w:r w:rsidR="00EE0CCC">
        <w:rPr>
          <w:rFonts w:ascii="Arial" w:eastAsia="Calibri" w:hAnsi="Arial" w:cs="Arial"/>
          <w:bCs/>
          <w:iCs/>
        </w:rPr>
        <w:t xml:space="preserve"> </w:t>
      </w:r>
      <w:r w:rsidRPr="007D322B">
        <w:rPr>
          <w:rFonts w:ascii="Arial" w:eastAsia="Calibri" w:hAnsi="Arial" w:cs="Arial"/>
          <w:bCs/>
          <w:iCs/>
        </w:rPr>
        <w:t>pigs,</w:t>
      </w:r>
      <w:r w:rsidR="00EE0CCC">
        <w:rPr>
          <w:rFonts w:ascii="Arial" w:eastAsia="Calibri" w:hAnsi="Arial" w:cs="Arial"/>
          <w:bCs/>
          <w:iCs/>
        </w:rPr>
        <w:t xml:space="preserve"> </w:t>
      </w:r>
      <w:r w:rsidRPr="007D322B">
        <w:rPr>
          <w:rFonts w:ascii="Arial" w:eastAsia="Calibri" w:hAnsi="Arial" w:cs="Arial"/>
          <w:bCs/>
          <w:iCs/>
        </w:rPr>
        <w:t>as</w:t>
      </w:r>
      <w:r w:rsidR="00EE0CCC">
        <w:rPr>
          <w:rFonts w:ascii="Arial" w:eastAsia="Calibri" w:hAnsi="Arial" w:cs="Arial"/>
          <w:bCs/>
          <w:iCs/>
        </w:rPr>
        <w:t xml:space="preserve"> </w:t>
      </w:r>
      <w:r w:rsidRPr="007D322B">
        <w:rPr>
          <w:rFonts w:ascii="Arial" w:eastAsia="Calibri" w:hAnsi="Arial" w:cs="Arial"/>
          <w:bCs/>
          <w:iCs/>
        </w:rPr>
        <w:t>well</w:t>
      </w:r>
      <w:r w:rsidR="00EE0CCC">
        <w:rPr>
          <w:rFonts w:ascii="Arial" w:eastAsia="Calibri" w:hAnsi="Arial" w:cs="Arial"/>
          <w:bCs/>
          <w:iCs/>
        </w:rPr>
        <w:t xml:space="preserve"> </w:t>
      </w:r>
      <w:r w:rsidRPr="007D322B">
        <w:rPr>
          <w:rFonts w:ascii="Arial" w:eastAsia="Calibri" w:hAnsi="Arial" w:cs="Arial"/>
          <w:bCs/>
          <w:iCs/>
        </w:rPr>
        <w:t>as</w:t>
      </w:r>
      <w:r w:rsidR="00EE0CCC">
        <w:rPr>
          <w:rFonts w:ascii="Arial" w:eastAsia="Calibri" w:hAnsi="Arial" w:cs="Arial"/>
          <w:bCs/>
          <w:iCs/>
        </w:rPr>
        <w:t xml:space="preserve"> </w:t>
      </w:r>
      <w:r w:rsidRPr="007D322B">
        <w:rPr>
          <w:rFonts w:ascii="Arial" w:eastAsia="Calibri" w:hAnsi="Arial" w:cs="Arial"/>
          <w:bCs/>
          <w:iCs/>
        </w:rPr>
        <w:t>male</w:t>
      </w:r>
      <w:r w:rsidR="00EE0CCC">
        <w:rPr>
          <w:rFonts w:ascii="Arial" w:eastAsia="Calibri" w:hAnsi="Arial" w:cs="Arial"/>
          <w:bCs/>
          <w:iCs/>
        </w:rPr>
        <w:t xml:space="preserve"> </w:t>
      </w:r>
      <w:r w:rsidRPr="007D322B">
        <w:rPr>
          <w:rFonts w:ascii="Arial" w:eastAsia="Calibri" w:hAnsi="Arial" w:cs="Arial"/>
          <w:bCs/>
          <w:iCs/>
        </w:rPr>
        <w:t>and</w:t>
      </w:r>
      <w:r w:rsidR="00EE0CCC">
        <w:rPr>
          <w:rFonts w:ascii="Arial" w:eastAsia="Calibri" w:hAnsi="Arial" w:cs="Arial"/>
          <w:bCs/>
          <w:iCs/>
        </w:rPr>
        <w:t xml:space="preserve"> </w:t>
      </w:r>
      <w:r w:rsidRPr="007D322B">
        <w:rPr>
          <w:rFonts w:ascii="Arial" w:eastAsia="Calibri" w:hAnsi="Arial" w:cs="Arial"/>
          <w:bCs/>
          <w:iCs/>
        </w:rPr>
        <w:t>female</w:t>
      </w:r>
      <w:r w:rsidR="00EE0CCC">
        <w:rPr>
          <w:rFonts w:ascii="Arial" w:eastAsia="Calibri" w:hAnsi="Arial" w:cs="Arial"/>
          <w:bCs/>
          <w:iCs/>
        </w:rPr>
        <w:t xml:space="preserve"> </w:t>
      </w:r>
      <w:r w:rsidRPr="007D322B">
        <w:rPr>
          <w:rFonts w:ascii="Arial" w:eastAsia="Calibri" w:hAnsi="Arial" w:cs="Arial"/>
          <w:bCs/>
          <w:iCs/>
        </w:rPr>
        <w:t>young</w:t>
      </w:r>
      <w:r w:rsidR="00EE0CCC">
        <w:rPr>
          <w:rFonts w:ascii="Arial" w:eastAsia="Calibri" w:hAnsi="Arial" w:cs="Arial"/>
          <w:bCs/>
          <w:iCs/>
        </w:rPr>
        <w:t xml:space="preserve"> </w:t>
      </w:r>
      <w:r w:rsidRPr="007D322B">
        <w:rPr>
          <w:rFonts w:ascii="Arial" w:eastAsia="Calibri" w:hAnsi="Arial" w:cs="Arial"/>
          <w:bCs/>
          <w:iCs/>
        </w:rPr>
        <w:t>cynomolgus</w:t>
      </w:r>
      <w:r w:rsidR="00EE0CCC">
        <w:rPr>
          <w:rFonts w:ascii="Arial" w:eastAsia="Calibri" w:hAnsi="Arial" w:cs="Arial"/>
          <w:bCs/>
          <w:iCs/>
        </w:rPr>
        <w:t xml:space="preserve"> </w:t>
      </w:r>
      <w:r w:rsidRPr="007D322B">
        <w:rPr>
          <w:rFonts w:ascii="Arial" w:eastAsia="Calibri" w:hAnsi="Arial" w:cs="Arial"/>
          <w:bCs/>
          <w:iCs/>
        </w:rPr>
        <w:t>monkeys,</w:t>
      </w:r>
      <w:r w:rsidR="00EE0CCC">
        <w:rPr>
          <w:rFonts w:ascii="Arial" w:eastAsia="Calibri" w:hAnsi="Arial" w:cs="Arial"/>
          <w:bCs/>
          <w:iCs/>
        </w:rPr>
        <w:t xml:space="preserve"> </w:t>
      </w:r>
      <w:r w:rsidRPr="007D322B">
        <w:rPr>
          <w:rFonts w:ascii="Arial" w:eastAsia="Calibri" w:hAnsi="Arial" w:cs="Arial"/>
          <w:bCs/>
          <w:iCs/>
        </w:rPr>
        <w:t>as</w:t>
      </w:r>
      <w:r w:rsidR="00EE0CCC">
        <w:rPr>
          <w:rFonts w:ascii="Arial" w:eastAsia="Calibri" w:hAnsi="Arial" w:cs="Arial"/>
          <w:bCs/>
          <w:iCs/>
        </w:rPr>
        <w:t xml:space="preserve"> </w:t>
      </w:r>
      <w:r w:rsidRPr="007D322B">
        <w:rPr>
          <w:rFonts w:ascii="Arial" w:eastAsia="Calibri" w:hAnsi="Arial" w:cs="Arial"/>
          <w:bCs/>
          <w:iCs/>
        </w:rPr>
        <w:t>repeat-dose</w:t>
      </w:r>
      <w:r w:rsidR="00EE0CCC">
        <w:rPr>
          <w:rFonts w:ascii="Arial" w:eastAsia="Calibri" w:hAnsi="Arial" w:cs="Arial"/>
          <w:bCs/>
          <w:iCs/>
        </w:rPr>
        <w:t xml:space="preserve"> </w:t>
      </w:r>
      <w:r w:rsidRPr="007D322B">
        <w:rPr>
          <w:rFonts w:ascii="Arial" w:eastAsia="Calibri" w:hAnsi="Arial" w:cs="Arial"/>
          <w:bCs/>
          <w:iCs/>
        </w:rPr>
        <w:t>regimens</w:t>
      </w:r>
      <w:r w:rsidR="00EE0CCC">
        <w:rPr>
          <w:rFonts w:ascii="Arial" w:eastAsia="Calibri" w:hAnsi="Arial" w:cs="Arial"/>
          <w:bCs/>
          <w:iCs/>
        </w:rPr>
        <w:t xml:space="preserve"> </w:t>
      </w:r>
      <w:r w:rsidRPr="007D322B">
        <w:rPr>
          <w:rFonts w:ascii="Arial" w:eastAsia="Calibri" w:hAnsi="Arial" w:cs="Arial"/>
          <w:bCs/>
          <w:iCs/>
        </w:rPr>
        <w:t>that</w:t>
      </w:r>
      <w:r w:rsidR="00EE0CCC">
        <w:rPr>
          <w:rFonts w:ascii="Arial" w:eastAsia="Calibri" w:hAnsi="Arial" w:cs="Arial"/>
          <w:bCs/>
          <w:iCs/>
        </w:rPr>
        <w:t xml:space="preserve"> </w:t>
      </w:r>
      <w:r w:rsidRPr="007D322B">
        <w:rPr>
          <w:rFonts w:ascii="Arial" w:eastAsia="Calibri" w:hAnsi="Arial" w:cs="Arial"/>
          <w:bCs/>
          <w:iCs/>
        </w:rPr>
        <w:t>exceeded</w:t>
      </w:r>
      <w:r w:rsidR="00EE0CCC">
        <w:rPr>
          <w:rFonts w:ascii="Arial" w:eastAsia="Calibri" w:hAnsi="Arial" w:cs="Arial"/>
          <w:bCs/>
          <w:iCs/>
        </w:rPr>
        <w:t xml:space="preserve"> </w:t>
      </w:r>
      <w:r w:rsidRPr="007D322B">
        <w:rPr>
          <w:rFonts w:ascii="Arial" w:eastAsia="Calibri" w:hAnsi="Arial" w:cs="Arial"/>
          <w:bCs/>
          <w:iCs/>
        </w:rPr>
        <w:t>the</w:t>
      </w:r>
      <w:r w:rsidR="00EE0CCC">
        <w:rPr>
          <w:rFonts w:ascii="Arial" w:eastAsia="Calibri" w:hAnsi="Arial" w:cs="Arial"/>
          <w:bCs/>
          <w:iCs/>
        </w:rPr>
        <w:t xml:space="preserve"> </w:t>
      </w:r>
      <w:r w:rsidRPr="007D322B">
        <w:rPr>
          <w:rFonts w:ascii="Arial" w:eastAsia="Calibri" w:hAnsi="Arial" w:cs="Arial"/>
          <w:bCs/>
          <w:iCs/>
        </w:rPr>
        <w:t>recommended</w:t>
      </w:r>
      <w:r w:rsidR="00EE0CCC">
        <w:rPr>
          <w:rFonts w:ascii="Arial" w:eastAsia="Calibri" w:hAnsi="Arial" w:cs="Arial"/>
          <w:bCs/>
          <w:iCs/>
        </w:rPr>
        <w:t xml:space="preserve"> </w:t>
      </w:r>
      <w:r w:rsidRPr="007D322B">
        <w:rPr>
          <w:rFonts w:ascii="Arial" w:eastAsia="Calibri" w:hAnsi="Arial" w:cs="Arial"/>
          <w:bCs/>
          <w:iCs/>
        </w:rPr>
        <w:t>clinical</w:t>
      </w:r>
      <w:r w:rsidR="00EE0CCC">
        <w:rPr>
          <w:rFonts w:ascii="Arial" w:eastAsia="Calibri" w:hAnsi="Arial" w:cs="Arial"/>
          <w:bCs/>
          <w:iCs/>
        </w:rPr>
        <w:t xml:space="preserve"> </w:t>
      </w:r>
      <w:r w:rsidRPr="007D322B">
        <w:rPr>
          <w:rFonts w:ascii="Arial" w:eastAsia="Calibri" w:hAnsi="Arial" w:cs="Arial"/>
          <w:bCs/>
          <w:iCs/>
        </w:rPr>
        <w:t>dose.</w:t>
      </w:r>
      <w:r w:rsidR="00EE0CCC">
        <w:rPr>
          <w:rFonts w:ascii="Arial" w:eastAsia="Calibri" w:hAnsi="Arial" w:cs="Arial"/>
          <w:bCs/>
          <w:iCs/>
        </w:rPr>
        <w:t xml:space="preserve"> </w:t>
      </w:r>
      <w:r w:rsidRPr="007D322B">
        <w:rPr>
          <w:rFonts w:ascii="Arial" w:eastAsia="Calibri" w:hAnsi="Arial" w:cs="Arial"/>
          <w:bCs/>
          <w:iCs/>
        </w:rPr>
        <w:t>Findings</w:t>
      </w:r>
      <w:r w:rsidR="00EE0CCC">
        <w:rPr>
          <w:rFonts w:ascii="Arial" w:eastAsia="Calibri" w:hAnsi="Arial" w:cs="Arial"/>
          <w:bCs/>
          <w:iCs/>
        </w:rPr>
        <w:t xml:space="preserve"> </w:t>
      </w:r>
      <w:r w:rsidRPr="007D322B">
        <w:rPr>
          <w:rFonts w:ascii="Arial" w:eastAsia="Calibri" w:hAnsi="Arial" w:cs="Arial"/>
          <w:bCs/>
          <w:iCs/>
        </w:rPr>
        <w:t>of</w:t>
      </w:r>
      <w:r w:rsidR="00EE0CCC">
        <w:rPr>
          <w:rFonts w:ascii="Arial" w:eastAsia="Calibri" w:hAnsi="Arial" w:cs="Arial"/>
          <w:bCs/>
          <w:iCs/>
        </w:rPr>
        <w:t xml:space="preserve"> </w:t>
      </w:r>
      <w:r w:rsidRPr="007D322B">
        <w:rPr>
          <w:rFonts w:ascii="Arial" w:eastAsia="Calibri" w:hAnsi="Arial" w:cs="Arial"/>
          <w:bCs/>
          <w:iCs/>
        </w:rPr>
        <w:t>note</w:t>
      </w:r>
      <w:r w:rsidR="00EE0CCC">
        <w:rPr>
          <w:rFonts w:ascii="Arial" w:eastAsia="Calibri" w:hAnsi="Arial" w:cs="Arial"/>
          <w:bCs/>
          <w:iCs/>
        </w:rPr>
        <w:t xml:space="preserve"> </w:t>
      </w:r>
      <w:r w:rsidRPr="007D322B">
        <w:rPr>
          <w:rFonts w:ascii="Arial" w:eastAsia="Calibri" w:hAnsi="Arial" w:cs="Arial"/>
          <w:bCs/>
          <w:iCs/>
        </w:rPr>
        <w:t>included</w:t>
      </w:r>
      <w:r w:rsidR="00EE0CCC">
        <w:rPr>
          <w:rFonts w:ascii="Arial" w:eastAsia="Calibri" w:hAnsi="Arial" w:cs="Arial"/>
          <w:bCs/>
          <w:iCs/>
        </w:rPr>
        <w:t xml:space="preserve"> </w:t>
      </w:r>
      <w:r w:rsidRPr="007D322B">
        <w:rPr>
          <w:rFonts w:ascii="Arial" w:eastAsia="Calibri" w:hAnsi="Arial" w:cs="Arial"/>
          <w:bCs/>
          <w:iCs/>
        </w:rPr>
        <w:t>changes</w:t>
      </w:r>
      <w:r w:rsidR="00EE0CCC">
        <w:rPr>
          <w:rFonts w:ascii="Arial" w:eastAsia="Calibri" w:hAnsi="Arial" w:cs="Arial"/>
          <w:bCs/>
          <w:iCs/>
        </w:rPr>
        <w:t xml:space="preserve"> </w:t>
      </w:r>
      <w:r w:rsidRPr="007D322B">
        <w:rPr>
          <w:rFonts w:ascii="Arial" w:eastAsia="Calibri" w:hAnsi="Arial" w:cs="Arial"/>
          <w:bCs/>
          <w:iCs/>
        </w:rPr>
        <w:t>(decrease)</w:t>
      </w:r>
      <w:r w:rsidR="00EE0CCC">
        <w:rPr>
          <w:rFonts w:ascii="Arial" w:eastAsia="Calibri" w:hAnsi="Arial" w:cs="Arial"/>
          <w:bCs/>
          <w:iCs/>
        </w:rPr>
        <w:t xml:space="preserve"> </w:t>
      </w:r>
      <w:r w:rsidRPr="007D322B">
        <w:rPr>
          <w:rFonts w:ascii="Arial" w:eastAsia="Calibri" w:hAnsi="Arial" w:cs="Arial"/>
          <w:bCs/>
          <w:iCs/>
        </w:rPr>
        <w:t>in</w:t>
      </w:r>
      <w:r w:rsidR="00EE0CCC">
        <w:rPr>
          <w:rFonts w:ascii="Arial" w:eastAsia="Calibri" w:hAnsi="Arial" w:cs="Arial"/>
          <w:bCs/>
          <w:iCs/>
        </w:rPr>
        <w:t xml:space="preserve"> </w:t>
      </w:r>
      <w:r w:rsidRPr="007D322B">
        <w:rPr>
          <w:rFonts w:ascii="Arial" w:eastAsia="Calibri" w:hAnsi="Arial" w:cs="Arial"/>
          <w:bCs/>
          <w:iCs/>
        </w:rPr>
        <w:t>thymus</w:t>
      </w:r>
      <w:r w:rsidR="00EE0CCC">
        <w:rPr>
          <w:rFonts w:ascii="Arial" w:eastAsia="Calibri" w:hAnsi="Arial" w:cs="Arial"/>
          <w:bCs/>
          <w:iCs/>
        </w:rPr>
        <w:t xml:space="preserve"> </w:t>
      </w:r>
      <w:r w:rsidRPr="007D322B">
        <w:rPr>
          <w:rFonts w:ascii="Arial" w:eastAsia="Calibri" w:hAnsi="Arial" w:cs="Arial"/>
          <w:bCs/>
          <w:iCs/>
        </w:rPr>
        <w:t>weight</w:t>
      </w:r>
      <w:r w:rsidR="00EE0CCC">
        <w:rPr>
          <w:rFonts w:ascii="Arial" w:eastAsia="Calibri" w:hAnsi="Arial" w:cs="Arial"/>
          <w:bCs/>
          <w:iCs/>
        </w:rPr>
        <w:t xml:space="preserve"> </w:t>
      </w:r>
      <w:r w:rsidRPr="007D322B">
        <w:rPr>
          <w:rFonts w:ascii="Arial" w:eastAsia="Calibri" w:hAnsi="Arial" w:cs="Arial"/>
          <w:bCs/>
          <w:iCs/>
        </w:rPr>
        <w:t>as</w:t>
      </w:r>
      <w:r w:rsidR="00EE0CCC">
        <w:rPr>
          <w:rFonts w:ascii="Arial" w:eastAsia="Calibri" w:hAnsi="Arial" w:cs="Arial"/>
          <w:bCs/>
          <w:iCs/>
        </w:rPr>
        <w:t xml:space="preserve"> </w:t>
      </w:r>
      <w:r w:rsidRPr="007D322B">
        <w:rPr>
          <w:rFonts w:ascii="Arial" w:eastAsia="Calibri" w:hAnsi="Arial" w:cs="Arial"/>
          <w:bCs/>
          <w:iCs/>
        </w:rPr>
        <w:t>well</w:t>
      </w:r>
      <w:r w:rsidR="00EE0CCC">
        <w:rPr>
          <w:rFonts w:ascii="Arial" w:eastAsia="Calibri" w:hAnsi="Arial" w:cs="Arial"/>
          <w:bCs/>
          <w:iCs/>
        </w:rPr>
        <w:t xml:space="preserve"> </w:t>
      </w:r>
      <w:r w:rsidRPr="007D322B">
        <w:rPr>
          <w:rFonts w:ascii="Arial" w:eastAsia="Calibri" w:hAnsi="Arial" w:cs="Arial"/>
          <w:bCs/>
          <w:iCs/>
        </w:rPr>
        <w:t>as</w:t>
      </w:r>
      <w:r w:rsidR="00EE0CCC">
        <w:rPr>
          <w:rFonts w:ascii="Arial" w:eastAsia="Calibri" w:hAnsi="Arial" w:cs="Arial"/>
          <w:bCs/>
          <w:iCs/>
        </w:rPr>
        <w:t xml:space="preserve"> </w:t>
      </w:r>
      <w:r w:rsidRPr="007D322B">
        <w:rPr>
          <w:rFonts w:ascii="Arial" w:eastAsia="Calibri" w:hAnsi="Arial" w:cs="Arial"/>
          <w:bCs/>
          <w:iCs/>
        </w:rPr>
        <w:t>bone</w:t>
      </w:r>
      <w:r w:rsidR="00EE0CCC">
        <w:rPr>
          <w:rFonts w:ascii="Arial" w:eastAsia="Calibri" w:hAnsi="Arial" w:cs="Arial"/>
          <w:bCs/>
          <w:iCs/>
        </w:rPr>
        <w:t xml:space="preserve"> </w:t>
      </w:r>
      <w:r w:rsidRPr="007D322B">
        <w:rPr>
          <w:rFonts w:ascii="Arial" w:eastAsia="Calibri" w:hAnsi="Arial" w:cs="Arial"/>
          <w:bCs/>
          <w:iCs/>
        </w:rPr>
        <w:t>marrow</w:t>
      </w:r>
      <w:r w:rsidR="00EE0CCC">
        <w:rPr>
          <w:rFonts w:ascii="Arial" w:eastAsia="Calibri" w:hAnsi="Arial" w:cs="Arial"/>
          <w:bCs/>
          <w:iCs/>
        </w:rPr>
        <w:t xml:space="preserve"> </w:t>
      </w:r>
      <w:r w:rsidRPr="007D322B">
        <w:rPr>
          <w:rFonts w:ascii="Arial" w:eastAsia="Calibri" w:hAnsi="Arial" w:cs="Arial"/>
          <w:bCs/>
          <w:iCs/>
        </w:rPr>
        <w:t>changes</w:t>
      </w:r>
      <w:r w:rsidR="00EE0CCC">
        <w:rPr>
          <w:rFonts w:ascii="Arial" w:eastAsia="Calibri" w:hAnsi="Arial" w:cs="Arial"/>
          <w:bCs/>
          <w:iCs/>
        </w:rPr>
        <w:t xml:space="preserve"> </w:t>
      </w:r>
      <w:r w:rsidRPr="007D322B">
        <w:rPr>
          <w:rFonts w:ascii="Arial" w:eastAsia="Calibri" w:hAnsi="Arial" w:cs="Arial"/>
          <w:bCs/>
          <w:iCs/>
        </w:rPr>
        <w:t>(atrophy</w:t>
      </w:r>
      <w:r w:rsidR="00EE0CCC">
        <w:rPr>
          <w:rFonts w:ascii="Arial" w:eastAsia="Calibri" w:hAnsi="Arial" w:cs="Arial"/>
          <w:bCs/>
          <w:iCs/>
        </w:rPr>
        <w:t xml:space="preserve"> </w:t>
      </w:r>
      <w:r w:rsidRPr="007D322B">
        <w:rPr>
          <w:rFonts w:ascii="Arial" w:eastAsia="Calibri" w:hAnsi="Arial" w:cs="Arial"/>
          <w:bCs/>
          <w:iCs/>
        </w:rPr>
        <w:t>affecting</w:t>
      </w:r>
      <w:r w:rsidR="00EE0CCC">
        <w:rPr>
          <w:rFonts w:ascii="Arial" w:eastAsia="Calibri" w:hAnsi="Arial" w:cs="Arial"/>
          <w:bCs/>
          <w:iCs/>
        </w:rPr>
        <w:t xml:space="preserve"> </w:t>
      </w:r>
      <w:r w:rsidRPr="007D322B">
        <w:rPr>
          <w:rFonts w:ascii="Arial" w:eastAsia="Calibri" w:hAnsi="Arial" w:cs="Arial"/>
          <w:bCs/>
          <w:iCs/>
        </w:rPr>
        <w:t>myeloid</w:t>
      </w:r>
      <w:r w:rsidR="00EE0CCC">
        <w:rPr>
          <w:rFonts w:ascii="Arial" w:eastAsia="Calibri" w:hAnsi="Arial" w:cs="Arial"/>
          <w:bCs/>
          <w:iCs/>
        </w:rPr>
        <w:t xml:space="preserve"> </w:t>
      </w:r>
      <w:r w:rsidRPr="007D322B">
        <w:rPr>
          <w:rFonts w:ascii="Arial" w:eastAsia="Calibri" w:hAnsi="Arial" w:cs="Arial"/>
          <w:bCs/>
          <w:iCs/>
        </w:rPr>
        <w:t>and</w:t>
      </w:r>
      <w:r w:rsidR="00EE0CCC">
        <w:rPr>
          <w:rFonts w:ascii="Arial" w:eastAsia="Calibri" w:hAnsi="Arial" w:cs="Arial"/>
          <w:bCs/>
          <w:iCs/>
        </w:rPr>
        <w:t xml:space="preserve"> </w:t>
      </w:r>
      <w:r w:rsidRPr="007D322B">
        <w:rPr>
          <w:rFonts w:ascii="Arial" w:eastAsia="Calibri" w:hAnsi="Arial" w:cs="Arial"/>
          <w:bCs/>
          <w:iCs/>
        </w:rPr>
        <w:t>erythroid</w:t>
      </w:r>
      <w:r w:rsidR="00EE0CCC">
        <w:rPr>
          <w:rFonts w:ascii="Arial" w:eastAsia="Calibri" w:hAnsi="Arial" w:cs="Arial"/>
          <w:bCs/>
          <w:iCs/>
        </w:rPr>
        <w:t xml:space="preserve"> </w:t>
      </w:r>
      <w:r w:rsidRPr="007D322B">
        <w:rPr>
          <w:rFonts w:ascii="Arial" w:eastAsia="Calibri" w:hAnsi="Arial" w:cs="Arial"/>
          <w:bCs/>
          <w:iCs/>
        </w:rPr>
        <w:t>precursor</w:t>
      </w:r>
      <w:r w:rsidR="00EE0CCC">
        <w:rPr>
          <w:rFonts w:ascii="Arial" w:eastAsia="Calibri" w:hAnsi="Arial" w:cs="Arial"/>
          <w:bCs/>
          <w:iCs/>
        </w:rPr>
        <w:t xml:space="preserve"> </w:t>
      </w:r>
      <w:r w:rsidRPr="007D322B">
        <w:rPr>
          <w:rFonts w:ascii="Arial" w:eastAsia="Calibri" w:hAnsi="Arial" w:cs="Arial"/>
          <w:bCs/>
          <w:iCs/>
        </w:rPr>
        <w:t>cell</w:t>
      </w:r>
      <w:r w:rsidR="00EE0CCC">
        <w:rPr>
          <w:rFonts w:ascii="Arial" w:eastAsia="Calibri" w:hAnsi="Arial" w:cs="Arial"/>
          <w:bCs/>
          <w:iCs/>
        </w:rPr>
        <w:t xml:space="preserve"> </w:t>
      </w:r>
      <w:r w:rsidRPr="007D322B">
        <w:rPr>
          <w:rFonts w:ascii="Arial" w:eastAsia="Calibri" w:hAnsi="Arial" w:cs="Arial"/>
          <w:bCs/>
          <w:iCs/>
        </w:rPr>
        <w:t>lines)</w:t>
      </w:r>
      <w:r w:rsidR="009A7D16">
        <w:rPr>
          <w:rFonts w:ascii="Arial" w:eastAsia="Calibri" w:hAnsi="Arial" w:cs="Arial"/>
          <w:bCs/>
          <w:iCs/>
        </w:rPr>
        <w:t>,</w:t>
      </w:r>
      <w:r w:rsidR="00EE0CCC">
        <w:rPr>
          <w:rFonts w:ascii="Arial" w:eastAsia="Calibri" w:hAnsi="Arial" w:cs="Arial"/>
          <w:bCs/>
          <w:iCs/>
        </w:rPr>
        <w:t xml:space="preserve"> </w:t>
      </w:r>
      <w:r w:rsidR="009A7D16" w:rsidRPr="009A7D16">
        <w:rPr>
          <w:rFonts w:ascii="Arial" w:eastAsia="Calibri" w:hAnsi="Arial" w:cs="Arial"/>
          <w:bCs/>
          <w:iCs/>
        </w:rPr>
        <w:t>reduced</w:t>
      </w:r>
      <w:r w:rsidR="00EE0CCC">
        <w:rPr>
          <w:rFonts w:ascii="Arial" w:eastAsia="Calibri" w:hAnsi="Arial" w:cs="Arial"/>
          <w:bCs/>
          <w:iCs/>
        </w:rPr>
        <w:t xml:space="preserve"> </w:t>
      </w:r>
      <w:r w:rsidR="009A7D16" w:rsidRPr="009A7D16">
        <w:rPr>
          <w:rFonts w:ascii="Arial" w:eastAsia="Calibri" w:hAnsi="Arial" w:cs="Arial"/>
          <w:bCs/>
          <w:iCs/>
        </w:rPr>
        <w:t>activity,</w:t>
      </w:r>
      <w:r w:rsidR="00EE0CCC">
        <w:rPr>
          <w:rFonts w:ascii="Arial" w:eastAsia="Calibri" w:hAnsi="Arial" w:cs="Arial"/>
          <w:bCs/>
          <w:iCs/>
        </w:rPr>
        <w:t xml:space="preserve"> </w:t>
      </w:r>
      <w:r w:rsidR="009A7D16" w:rsidRPr="009A7D16">
        <w:rPr>
          <w:rFonts w:ascii="Arial" w:eastAsia="Calibri" w:hAnsi="Arial" w:cs="Arial"/>
          <w:bCs/>
          <w:iCs/>
        </w:rPr>
        <w:t>food</w:t>
      </w:r>
      <w:r w:rsidR="00EE0CCC">
        <w:rPr>
          <w:rFonts w:ascii="Arial" w:eastAsia="Calibri" w:hAnsi="Arial" w:cs="Arial"/>
          <w:bCs/>
          <w:iCs/>
        </w:rPr>
        <w:t xml:space="preserve"> </w:t>
      </w:r>
      <w:r w:rsidR="009A7D16" w:rsidRPr="009A7D16">
        <w:rPr>
          <w:rFonts w:ascii="Arial" w:eastAsia="Calibri" w:hAnsi="Arial" w:cs="Arial"/>
          <w:bCs/>
          <w:iCs/>
        </w:rPr>
        <w:t>consumption</w:t>
      </w:r>
      <w:r w:rsidR="00EE0CCC">
        <w:rPr>
          <w:rFonts w:ascii="Arial" w:eastAsia="Calibri" w:hAnsi="Arial" w:cs="Arial"/>
          <w:bCs/>
          <w:iCs/>
        </w:rPr>
        <w:t xml:space="preserve"> </w:t>
      </w:r>
      <w:r w:rsidR="009A7D16" w:rsidRPr="009A7D16">
        <w:rPr>
          <w:rFonts w:ascii="Arial" w:eastAsia="Calibri" w:hAnsi="Arial" w:cs="Arial"/>
          <w:bCs/>
          <w:iCs/>
        </w:rPr>
        <w:t>and</w:t>
      </w:r>
      <w:r w:rsidR="00EE0CCC">
        <w:rPr>
          <w:rFonts w:ascii="Arial" w:eastAsia="Calibri" w:hAnsi="Arial" w:cs="Arial"/>
          <w:bCs/>
          <w:iCs/>
        </w:rPr>
        <w:t xml:space="preserve"> </w:t>
      </w:r>
      <w:r w:rsidR="009A7D16" w:rsidRPr="009A7D16">
        <w:rPr>
          <w:rFonts w:ascii="Arial" w:eastAsia="Calibri" w:hAnsi="Arial" w:cs="Arial"/>
          <w:bCs/>
          <w:iCs/>
        </w:rPr>
        <w:t>body</w:t>
      </w:r>
      <w:r w:rsidR="00EE0CCC">
        <w:rPr>
          <w:rFonts w:ascii="Arial" w:eastAsia="Calibri" w:hAnsi="Arial" w:cs="Arial"/>
          <w:bCs/>
          <w:iCs/>
        </w:rPr>
        <w:t xml:space="preserve"> </w:t>
      </w:r>
      <w:r w:rsidR="009A7D16" w:rsidRPr="009A7D16">
        <w:rPr>
          <w:rFonts w:ascii="Arial" w:eastAsia="Calibri" w:hAnsi="Arial" w:cs="Arial"/>
          <w:bCs/>
          <w:iCs/>
        </w:rPr>
        <w:t>weight</w:t>
      </w:r>
      <w:r w:rsidR="00EE0CCC">
        <w:rPr>
          <w:rFonts w:ascii="Arial" w:eastAsia="Calibri" w:hAnsi="Arial" w:cs="Arial"/>
          <w:bCs/>
          <w:iCs/>
        </w:rPr>
        <w:t xml:space="preserve"> </w:t>
      </w:r>
      <w:r w:rsidR="009A7D16" w:rsidRPr="009A7D16">
        <w:rPr>
          <w:rFonts w:ascii="Arial" w:eastAsia="Calibri" w:hAnsi="Arial" w:cs="Arial"/>
          <w:bCs/>
          <w:iCs/>
        </w:rPr>
        <w:t>gain</w:t>
      </w:r>
      <w:r w:rsidR="00EE0CCC">
        <w:rPr>
          <w:rFonts w:ascii="Arial" w:eastAsia="Calibri" w:hAnsi="Arial" w:cs="Arial"/>
          <w:bCs/>
          <w:iCs/>
        </w:rPr>
        <w:t xml:space="preserve"> </w:t>
      </w:r>
      <w:r w:rsidR="009A7D16" w:rsidRPr="009A7D16">
        <w:rPr>
          <w:rFonts w:ascii="Arial" w:eastAsia="Calibri" w:hAnsi="Arial" w:cs="Arial"/>
          <w:bCs/>
          <w:iCs/>
        </w:rPr>
        <w:t>possibly</w:t>
      </w:r>
      <w:r w:rsidR="00EE0CCC">
        <w:rPr>
          <w:rFonts w:ascii="Arial" w:eastAsia="Calibri" w:hAnsi="Arial" w:cs="Arial"/>
          <w:bCs/>
          <w:iCs/>
        </w:rPr>
        <w:t xml:space="preserve"> </w:t>
      </w:r>
      <w:r w:rsidR="009A7D16" w:rsidRPr="009A7D16">
        <w:rPr>
          <w:rFonts w:ascii="Arial" w:eastAsia="Calibri" w:hAnsi="Arial" w:cs="Arial"/>
          <w:bCs/>
          <w:iCs/>
        </w:rPr>
        <w:t>due</w:t>
      </w:r>
      <w:r w:rsidR="00EE0CCC">
        <w:rPr>
          <w:rFonts w:ascii="Arial" w:eastAsia="Calibri" w:hAnsi="Arial" w:cs="Arial"/>
          <w:bCs/>
          <w:iCs/>
        </w:rPr>
        <w:t xml:space="preserve"> </w:t>
      </w:r>
      <w:r w:rsidR="009A7D16" w:rsidRPr="009A7D16">
        <w:rPr>
          <w:rFonts w:ascii="Arial" w:eastAsia="Calibri" w:hAnsi="Arial" w:cs="Arial"/>
          <w:bCs/>
          <w:iCs/>
        </w:rPr>
        <w:t>to</w:t>
      </w:r>
      <w:r w:rsidR="00EE0CCC">
        <w:rPr>
          <w:rFonts w:ascii="Arial" w:eastAsia="Calibri" w:hAnsi="Arial" w:cs="Arial"/>
          <w:bCs/>
          <w:iCs/>
        </w:rPr>
        <w:t xml:space="preserve"> </w:t>
      </w:r>
      <w:r w:rsidR="009A7D16" w:rsidRPr="009A7D16">
        <w:rPr>
          <w:rFonts w:ascii="Arial" w:eastAsia="Calibri" w:hAnsi="Arial" w:cs="Arial"/>
          <w:bCs/>
          <w:iCs/>
        </w:rPr>
        <w:t>pain</w:t>
      </w:r>
      <w:r w:rsidR="00EE0CCC">
        <w:rPr>
          <w:rFonts w:ascii="Arial" w:eastAsia="Calibri" w:hAnsi="Arial" w:cs="Arial"/>
          <w:bCs/>
          <w:iCs/>
        </w:rPr>
        <w:t xml:space="preserve"> </w:t>
      </w:r>
      <w:r w:rsidR="009A7D16" w:rsidRPr="009A7D16">
        <w:rPr>
          <w:rFonts w:ascii="Arial" w:eastAsia="Calibri" w:hAnsi="Arial" w:cs="Arial"/>
          <w:bCs/>
          <w:iCs/>
        </w:rPr>
        <w:t>associated</w:t>
      </w:r>
      <w:r w:rsidR="00EE0CCC">
        <w:rPr>
          <w:rFonts w:ascii="Arial" w:eastAsia="Calibri" w:hAnsi="Arial" w:cs="Arial"/>
          <w:bCs/>
          <w:iCs/>
        </w:rPr>
        <w:t xml:space="preserve"> </w:t>
      </w:r>
      <w:r w:rsidR="009A7D16" w:rsidRPr="009A7D16">
        <w:rPr>
          <w:rFonts w:ascii="Arial" w:eastAsia="Calibri" w:hAnsi="Arial" w:cs="Arial"/>
          <w:bCs/>
          <w:iCs/>
        </w:rPr>
        <w:t>with</w:t>
      </w:r>
      <w:r w:rsidR="00EE0CCC">
        <w:rPr>
          <w:rFonts w:ascii="Arial" w:eastAsia="Calibri" w:hAnsi="Arial" w:cs="Arial"/>
          <w:bCs/>
          <w:iCs/>
        </w:rPr>
        <w:t xml:space="preserve"> </w:t>
      </w:r>
      <w:r w:rsidR="009A7D16" w:rsidRPr="009A7D16">
        <w:rPr>
          <w:rFonts w:ascii="Arial" w:eastAsia="Calibri" w:hAnsi="Arial" w:cs="Arial"/>
          <w:bCs/>
          <w:iCs/>
        </w:rPr>
        <w:t>drug</w:t>
      </w:r>
      <w:r w:rsidR="00EE0CCC">
        <w:rPr>
          <w:rFonts w:ascii="Arial" w:eastAsia="Calibri" w:hAnsi="Arial" w:cs="Arial"/>
          <w:bCs/>
          <w:iCs/>
        </w:rPr>
        <w:t xml:space="preserve"> </w:t>
      </w:r>
      <w:r w:rsidR="009A7D16" w:rsidRPr="009A7D16">
        <w:rPr>
          <w:rFonts w:ascii="Arial" w:eastAsia="Calibri" w:hAnsi="Arial" w:cs="Arial"/>
          <w:bCs/>
          <w:iCs/>
        </w:rPr>
        <w:t>treatment</w:t>
      </w:r>
      <w:r w:rsidRPr="007D322B">
        <w:rPr>
          <w:rFonts w:ascii="Arial" w:eastAsia="Calibri" w:hAnsi="Arial" w:cs="Arial"/>
          <w:bCs/>
          <w:iCs/>
        </w:rPr>
        <w:t>.</w:t>
      </w:r>
      <w:r w:rsidR="00EE0CCC">
        <w:rPr>
          <w:rFonts w:ascii="Arial" w:eastAsia="Calibri" w:hAnsi="Arial" w:cs="Arial"/>
          <w:bCs/>
          <w:iCs/>
        </w:rPr>
        <w:t xml:space="preserve"> </w:t>
      </w:r>
      <w:r w:rsidRPr="007D322B">
        <w:rPr>
          <w:rFonts w:ascii="Arial" w:eastAsia="Calibri" w:hAnsi="Arial" w:cs="Arial"/>
          <w:bCs/>
          <w:iCs/>
        </w:rPr>
        <w:t>The</w:t>
      </w:r>
      <w:r w:rsidR="00EE0CCC">
        <w:rPr>
          <w:rFonts w:ascii="Arial" w:eastAsia="Calibri" w:hAnsi="Arial" w:cs="Arial"/>
          <w:bCs/>
          <w:iCs/>
        </w:rPr>
        <w:t xml:space="preserve"> </w:t>
      </w:r>
      <w:r w:rsidRPr="007D322B">
        <w:rPr>
          <w:rFonts w:ascii="Arial" w:eastAsia="Calibri" w:hAnsi="Arial" w:cs="Arial"/>
          <w:bCs/>
          <w:iCs/>
        </w:rPr>
        <w:t>bone</w:t>
      </w:r>
      <w:r w:rsidR="00EE0CCC">
        <w:rPr>
          <w:rFonts w:ascii="Arial" w:eastAsia="Calibri" w:hAnsi="Arial" w:cs="Arial"/>
          <w:bCs/>
          <w:iCs/>
        </w:rPr>
        <w:t xml:space="preserve"> </w:t>
      </w:r>
      <w:r w:rsidRPr="007D322B">
        <w:rPr>
          <w:rFonts w:ascii="Arial" w:eastAsia="Calibri" w:hAnsi="Arial" w:cs="Arial"/>
          <w:bCs/>
          <w:iCs/>
        </w:rPr>
        <w:t>marrow</w:t>
      </w:r>
      <w:r w:rsidR="00EE0CCC">
        <w:rPr>
          <w:rFonts w:ascii="Arial" w:eastAsia="Calibri" w:hAnsi="Arial" w:cs="Arial"/>
          <w:bCs/>
          <w:iCs/>
        </w:rPr>
        <w:t xml:space="preserve"> </w:t>
      </w:r>
      <w:r w:rsidRPr="007D322B">
        <w:rPr>
          <w:rFonts w:ascii="Arial" w:eastAsia="Calibri" w:hAnsi="Arial" w:cs="Arial"/>
          <w:bCs/>
          <w:iCs/>
        </w:rPr>
        <w:t>changes</w:t>
      </w:r>
      <w:r w:rsidR="00EE0CCC">
        <w:rPr>
          <w:rFonts w:ascii="Arial" w:eastAsia="Calibri" w:hAnsi="Arial" w:cs="Arial"/>
          <w:bCs/>
          <w:iCs/>
        </w:rPr>
        <w:t xml:space="preserve"> </w:t>
      </w:r>
      <w:r w:rsidRPr="007D322B">
        <w:rPr>
          <w:rFonts w:ascii="Arial" w:eastAsia="Calibri" w:hAnsi="Arial" w:cs="Arial"/>
          <w:bCs/>
          <w:iCs/>
        </w:rPr>
        <w:t>were</w:t>
      </w:r>
      <w:r w:rsidR="00EE0CCC">
        <w:rPr>
          <w:rFonts w:ascii="Arial" w:eastAsia="Calibri" w:hAnsi="Arial" w:cs="Arial"/>
          <w:bCs/>
          <w:iCs/>
        </w:rPr>
        <w:t xml:space="preserve"> </w:t>
      </w:r>
      <w:r w:rsidRPr="007D322B">
        <w:rPr>
          <w:rFonts w:ascii="Arial" w:eastAsia="Calibri" w:hAnsi="Arial" w:cs="Arial"/>
          <w:bCs/>
          <w:iCs/>
        </w:rPr>
        <w:t>slight</w:t>
      </w:r>
      <w:r w:rsidR="00EE0CCC">
        <w:rPr>
          <w:rFonts w:ascii="Arial" w:eastAsia="Calibri" w:hAnsi="Arial" w:cs="Arial"/>
          <w:bCs/>
          <w:iCs/>
        </w:rPr>
        <w:t xml:space="preserve"> </w:t>
      </w:r>
      <w:r w:rsidRPr="007D322B">
        <w:rPr>
          <w:rFonts w:ascii="Arial" w:eastAsia="Calibri" w:hAnsi="Arial" w:cs="Arial"/>
          <w:bCs/>
          <w:iCs/>
        </w:rPr>
        <w:t>to</w:t>
      </w:r>
      <w:r w:rsidR="00EE0CCC">
        <w:rPr>
          <w:rFonts w:ascii="Arial" w:eastAsia="Calibri" w:hAnsi="Arial" w:cs="Arial"/>
          <w:bCs/>
          <w:iCs/>
        </w:rPr>
        <w:t xml:space="preserve"> </w:t>
      </w:r>
      <w:r w:rsidRPr="007D322B">
        <w:rPr>
          <w:rFonts w:ascii="Arial" w:eastAsia="Calibri" w:hAnsi="Arial" w:cs="Arial"/>
          <w:bCs/>
          <w:iCs/>
        </w:rPr>
        <w:t>severe</w:t>
      </w:r>
      <w:r w:rsidR="00EE0CCC">
        <w:rPr>
          <w:rFonts w:ascii="Arial" w:eastAsia="Calibri" w:hAnsi="Arial" w:cs="Arial"/>
          <w:bCs/>
          <w:iCs/>
        </w:rPr>
        <w:t xml:space="preserve"> </w:t>
      </w:r>
      <w:r w:rsidRPr="007D322B">
        <w:rPr>
          <w:rFonts w:ascii="Arial" w:eastAsia="Calibri" w:hAnsi="Arial" w:cs="Arial"/>
          <w:bCs/>
          <w:iCs/>
        </w:rPr>
        <w:t>and</w:t>
      </w:r>
      <w:r w:rsidR="00EE0CCC">
        <w:rPr>
          <w:rFonts w:ascii="Arial" w:eastAsia="Calibri" w:hAnsi="Arial" w:cs="Arial"/>
          <w:bCs/>
          <w:iCs/>
        </w:rPr>
        <w:t xml:space="preserve"> </w:t>
      </w:r>
      <w:r w:rsidRPr="007D322B">
        <w:rPr>
          <w:rFonts w:ascii="Arial" w:eastAsia="Calibri" w:hAnsi="Arial" w:cs="Arial"/>
          <w:bCs/>
          <w:iCs/>
        </w:rPr>
        <w:t>recovered</w:t>
      </w:r>
      <w:r w:rsidR="00EE0CCC">
        <w:rPr>
          <w:rFonts w:ascii="Arial" w:eastAsia="Calibri" w:hAnsi="Arial" w:cs="Arial"/>
          <w:bCs/>
          <w:iCs/>
        </w:rPr>
        <w:t xml:space="preserve"> </w:t>
      </w:r>
      <w:r w:rsidRPr="007D322B">
        <w:rPr>
          <w:rFonts w:ascii="Arial" w:eastAsia="Calibri" w:hAnsi="Arial" w:cs="Arial"/>
          <w:bCs/>
          <w:iCs/>
        </w:rPr>
        <w:t>after</w:t>
      </w:r>
      <w:r w:rsidR="00EE0CCC">
        <w:rPr>
          <w:rFonts w:ascii="Arial" w:eastAsia="Calibri" w:hAnsi="Arial" w:cs="Arial"/>
          <w:bCs/>
          <w:iCs/>
        </w:rPr>
        <w:t xml:space="preserve"> </w:t>
      </w:r>
      <w:r w:rsidRPr="007D322B">
        <w:rPr>
          <w:rFonts w:ascii="Arial" w:eastAsia="Calibri" w:hAnsi="Arial" w:cs="Arial"/>
          <w:bCs/>
          <w:iCs/>
        </w:rPr>
        <w:t>cessation</w:t>
      </w:r>
      <w:r w:rsidR="00EE0CCC">
        <w:rPr>
          <w:rFonts w:ascii="Arial" w:eastAsia="Calibri" w:hAnsi="Arial" w:cs="Arial"/>
          <w:bCs/>
          <w:iCs/>
        </w:rPr>
        <w:t xml:space="preserve"> </w:t>
      </w:r>
      <w:r w:rsidRPr="007D322B">
        <w:rPr>
          <w:rFonts w:ascii="Arial" w:eastAsia="Calibri" w:hAnsi="Arial" w:cs="Arial"/>
          <w:bCs/>
          <w:iCs/>
        </w:rPr>
        <w:t>of</w:t>
      </w:r>
      <w:r w:rsidR="00EE0CCC">
        <w:rPr>
          <w:rFonts w:ascii="Arial" w:eastAsia="Calibri" w:hAnsi="Arial" w:cs="Arial"/>
          <w:bCs/>
          <w:iCs/>
        </w:rPr>
        <w:t xml:space="preserve"> </w:t>
      </w:r>
      <w:r w:rsidRPr="007D322B">
        <w:rPr>
          <w:rFonts w:ascii="Arial" w:eastAsia="Calibri" w:hAnsi="Arial" w:cs="Arial"/>
          <w:bCs/>
          <w:iCs/>
        </w:rPr>
        <w:t>dosing.</w:t>
      </w:r>
      <w:r w:rsidR="00EE0CCC">
        <w:rPr>
          <w:rFonts w:ascii="Arial" w:eastAsia="Calibri" w:hAnsi="Arial" w:cs="Arial"/>
          <w:bCs/>
          <w:iCs/>
        </w:rPr>
        <w:t xml:space="preserve"> </w:t>
      </w:r>
      <w:r w:rsidRPr="007D322B">
        <w:rPr>
          <w:rFonts w:ascii="Arial" w:eastAsia="Calibri" w:hAnsi="Arial" w:cs="Arial"/>
          <w:bCs/>
          <w:iCs/>
        </w:rPr>
        <w:t>No</w:t>
      </w:r>
      <w:r w:rsidR="00EE0CCC">
        <w:rPr>
          <w:rFonts w:ascii="Arial" w:eastAsia="Calibri" w:hAnsi="Arial" w:cs="Arial"/>
          <w:bCs/>
          <w:iCs/>
        </w:rPr>
        <w:t xml:space="preserve"> </w:t>
      </w:r>
      <w:r w:rsidRPr="007D322B">
        <w:rPr>
          <w:rFonts w:ascii="Arial" w:eastAsia="Calibri" w:hAnsi="Arial" w:cs="Arial"/>
          <w:bCs/>
          <w:iCs/>
        </w:rPr>
        <w:t>effects</w:t>
      </w:r>
      <w:r w:rsidR="00EE0CCC">
        <w:rPr>
          <w:rFonts w:ascii="Arial" w:eastAsia="Calibri" w:hAnsi="Arial" w:cs="Arial"/>
          <w:bCs/>
          <w:iCs/>
        </w:rPr>
        <w:t xml:space="preserve"> </w:t>
      </w:r>
      <w:r w:rsidRPr="007D322B">
        <w:rPr>
          <w:rFonts w:ascii="Arial" w:eastAsia="Calibri" w:hAnsi="Arial" w:cs="Arial"/>
          <w:bCs/>
          <w:iCs/>
        </w:rPr>
        <w:t>on</w:t>
      </w:r>
      <w:r w:rsidR="00EE0CCC">
        <w:rPr>
          <w:rFonts w:ascii="Arial" w:eastAsia="Calibri" w:hAnsi="Arial" w:cs="Arial"/>
          <w:bCs/>
          <w:iCs/>
        </w:rPr>
        <w:t xml:space="preserve"> </w:t>
      </w:r>
      <w:r w:rsidRPr="007D322B">
        <w:rPr>
          <w:rFonts w:ascii="Arial" w:eastAsia="Calibri" w:hAnsi="Arial" w:cs="Arial"/>
          <w:bCs/>
          <w:iCs/>
        </w:rPr>
        <w:t>cardiovascular</w:t>
      </w:r>
      <w:r w:rsidR="00EE0CCC">
        <w:rPr>
          <w:rFonts w:ascii="Arial" w:eastAsia="Calibri" w:hAnsi="Arial" w:cs="Arial"/>
          <w:bCs/>
          <w:iCs/>
        </w:rPr>
        <w:t xml:space="preserve"> </w:t>
      </w:r>
      <w:r w:rsidRPr="007D322B">
        <w:rPr>
          <w:rFonts w:ascii="Arial" w:eastAsia="Calibri" w:hAnsi="Arial" w:cs="Arial"/>
          <w:bCs/>
          <w:iCs/>
        </w:rPr>
        <w:t>functions</w:t>
      </w:r>
      <w:r w:rsidR="00EE0CCC">
        <w:rPr>
          <w:rFonts w:ascii="Arial" w:eastAsia="Calibri" w:hAnsi="Arial" w:cs="Arial"/>
          <w:bCs/>
          <w:iCs/>
        </w:rPr>
        <w:t xml:space="preserve"> </w:t>
      </w:r>
      <w:r w:rsidRPr="007D322B">
        <w:rPr>
          <w:rFonts w:ascii="Arial" w:eastAsia="Calibri" w:hAnsi="Arial" w:cs="Arial"/>
          <w:bCs/>
          <w:iCs/>
        </w:rPr>
        <w:t>(ECG,</w:t>
      </w:r>
      <w:r w:rsidR="00EE0CCC">
        <w:rPr>
          <w:rFonts w:ascii="Arial" w:eastAsia="Calibri" w:hAnsi="Arial" w:cs="Arial"/>
          <w:bCs/>
          <w:iCs/>
        </w:rPr>
        <w:t xml:space="preserve"> </w:t>
      </w:r>
      <w:r w:rsidRPr="007D322B">
        <w:rPr>
          <w:rFonts w:ascii="Arial" w:eastAsia="Calibri" w:hAnsi="Arial" w:cs="Arial"/>
          <w:bCs/>
          <w:iCs/>
        </w:rPr>
        <w:t>blood</w:t>
      </w:r>
      <w:r w:rsidR="00EE0CCC">
        <w:rPr>
          <w:rFonts w:ascii="Arial" w:eastAsia="Calibri" w:hAnsi="Arial" w:cs="Arial"/>
          <w:bCs/>
          <w:iCs/>
        </w:rPr>
        <w:t xml:space="preserve"> </w:t>
      </w:r>
      <w:r w:rsidRPr="007D322B">
        <w:rPr>
          <w:rFonts w:ascii="Arial" w:eastAsia="Calibri" w:hAnsi="Arial" w:cs="Arial"/>
          <w:bCs/>
          <w:iCs/>
        </w:rPr>
        <w:t>pressure)</w:t>
      </w:r>
      <w:r w:rsidR="00EE0CCC">
        <w:rPr>
          <w:rFonts w:ascii="Arial" w:eastAsia="Calibri" w:hAnsi="Arial" w:cs="Arial"/>
          <w:bCs/>
          <w:iCs/>
        </w:rPr>
        <w:t xml:space="preserve"> </w:t>
      </w:r>
      <w:r w:rsidRPr="007D322B">
        <w:rPr>
          <w:rFonts w:ascii="Arial" w:eastAsia="Calibri" w:hAnsi="Arial" w:cs="Arial"/>
          <w:bCs/>
          <w:iCs/>
        </w:rPr>
        <w:t>were</w:t>
      </w:r>
      <w:r w:rsidR="00EE0CCC">
        <w:rPr>
          <w:rFonts w:ascii="Arial" w:eastAsia="Calibri" w:hAnsi="Arial" w:cs="Arial"/>
          <w:bCs/>
          <w:iCs/>
        </w:rPr>
        <w:t xml:space="preserve"> </w:t>
      </w:r>
      <w:r w:rsidRPr="007D322B">
        <w:rPr>
          <w:rFonts w:ascii="Arial" w:eastAsia="Calibri" w:hAnsi="Arial" w:cs="Arial"/>
          <w:bCs/>
          <w:iCs/>
        </w:rPr>
        <w:t>observed</w:t>
      </w:r>
      <w:r w:rsidR="00EE0CCC">
        <w:rPr>
          <w:rFonts w:ascii="Arial" w:eastAsia="Calibri" w:hAnsi="Arial" w:cs="Arial"/>
          <w:bCs/>
          <w:iCs/>
        </w:rPr>
        <w:t xml:space="preserve"> </w:t>
      </w:r>
      <w:r w:rsidRPr="007D322B">
        <w:rPr>
          <w:rFonts w:ascii="Arial" w:eastAsia="Calibri" w:hAnsi="Arial" w:cs="Arial"/>
          <w:bCs/>
          <w:iCs/>
        </w:rPr>
        <w:t>in</w:t>
      </w:r>
      <w:r w:rsidR="00EE0CCC">
        <w:rPr>
          <w:rFonts w:ascii="Arial" w:eastAsia="Calibri" w:hAnsi="Arial" w:cs="Arial"/>
          <w:bCs/>
          <w:iCs/>
        </w:rPr>
        <w:t xml:space="preserve"> </w:t>
      </w:r>
      <w:r w:rsidRPr="007D322B">
        <w:rPr>
          <w:rFonts w:ascii="Arial" w:eastAsia="Calibri" w:hAnsi="Arial" w:cs="Arial"/>
          <w:bCs/>
          <w:iCs/>
        </w:rPr>
        <w:t>monkeys.</w:t>
      </w:r>
    </w:p>
    <w:p w:rsidR="00E01067" w:rsidRPr="007D322B" w:rsidRDefault="00E01067" w:rsidP="0084108E">
      <w:pPr>
        <w:pStyle w:val="NoSpacing"/>
        <w:rPr>
          <w:rFonts w:ascii="Arial" w:eastAsia="Calibri" w:hAnsi="Arial" w:cs="Arial"/>
          <w:bCs/>
          <w:iCs/>
        </w:rPr>
      </w:pPr>
    </w:p>
    <w:p w:rsidR="00B17C13" w:rsidRPr="007D322B" w:rsidRDefault="00B17C13" w:rsidP="0084108E">
      <w:pPr>
        <w:pStyle w:val="NoSpacing"/>
        <w:rPr>
          <w:rFonts w:ascii="Arial" w:eastAsia="Calibri" w:hAnsi="Arial" w:cs="Arial"/>
          <w:b/>
          <w:i/>
        </w:rPr>
      </w:pPr>
      <w:r w:rsidRPr="007D322B">
        <w:rPr>
          <w:rFonts w:ascii="Arial" w:eastAsia="Calibri" w:hAnsi="Arial" w:cs="Arial"/>
          <w:b/>
          <w:i/>
        </w:rPr>
        <w:t>Genotoxicity</w:t>
      </w:r>
    </w:p>
    <w:p w:rsidR="00B17C13" w:rsidRPr="007D322B" w:rsidRDefault="003152F1" w:rsidP="0084108E">
      <w:pPr>
        <w:pStyle w:val="NoSpacing"/>
        <w:rPr>
          <w:rFonts w:ascii="Arial" w:eastAsia="Calibri" w:hAnsi="Arial" w:cs="Arial"/>
        </w:rPr>
      </w:pPr>
      <w:r w:rsidRPr="003152F1">
        <w:rPr>
          <w:rFonts w:ascii="Arial" w:eastAsia="Calibri" w:hAnsi="Arial" w:cs="Arial"/>
        </w:rPr>
        <w:t>No</w:t>
      </w:r>
      <w:r w:rsidR="00EE0CCC">
        <w:rPr>
          <w:rFonts w:ascii="Arial" w:eastAsia="Calibri" w:hAnsi="Arial" w:cs="Arial"/>
        </w:rPr>
        <w:t xml:space="preserve"> </w:t>
      </w:r>
      <w:r w:rsidRPr="003152F1">
        <w:rPr>
          <w:rFonts w:ascii="Arial" w:eastAsia="Calibri" w:hAnsi="Arial" w:cs="Arial"/>
        </w:rPr>
        <w:t>mutagenicity</w:t>
      </w:r>
      <w:r w:rsidR="00EE0CCC">
        <w:rPr>
          <w:rFonts w:ascii="Arial" w:eastAsia="Calibri" w:hAnsi="Arial" w:cs="Arial"/>
        </w:rPr>
        <w:t xml:space="preserve"> </w:t>
      </w:r>
      <w:r w:rsidRPr="003152F1">
        <w:rPr>
          <w:rFonts w:ascii="Arial" w:eastAsia="Calibri" w:hAnsi="Arial" w:cs="Arial"/>
        </w:rPr>
        <w:t>studies</w:t>
      </w:r>
      <w:r w:rsidR="00EE0CCC">
        <w:rPr>
          <w:rFonts w:ascii="Arial" w:eastAsia="Calibri" w:hAnsi="Arial" w:cs="Arial"/>
        </w:rPr>
        <w:t xml:space="preserve"> </w:t>
      </w:r>
      <w:r w:rsidRPr="003152F1">
        <w:rPr>
          <w:rFonts w:ascii="Arial" w:eastAsia="Calibri" w:hAnsi="Arial" w:cs="Arial"/>
        </w:rPr>
        <w:t>in</w:t>
      </w:r>
      <w:r w:rsidR="00EE0CCC">
        <w:rPr>
          <w:rFonts w:ascii="Arial" w:eastAsia="Calibri" w:hAnsi="Arial" w:cs="Arial"/>
        </w:rPr>
        <w:t xml:space="preserve"> </w:t>
      </w:r>
      <w:r w:rsidRPr="003152F1">
        <w:rPr>
          <w:rFonts w:ascii="Arial" w:eastAsia="Calibri" w:hAnsi="Arial" w:cs="Arial"/>
        </w:rPr>
        <w:t>animals</w:t>
      </w:r>
      <w:r w:rsidR="00EE0CCC">
        <w:rPr>
          <w:rFonts w:ascii="Arial" w:eastAsia="Calibri" w:hAnsi="Arial" w:cs="Arial"/>
        </w:rPr>
        <w:t xml:space="preserve"> </w:t>
      </w:r>
      <w:r w:rsidRPr="003152F1">
        <w:rPr>
          <w:rFonts w:ascii="Arial" w:eastAsia="Calibri" w:hAnsi="Arial" w:cs="Arial"/>
        </w:rPr>
        <w:t>have</w:t>
      </w:r>
      <w:r w:rsidR="00EE0CCC">
        <w:rPr>
          <w:rFonts w:ascii="Arial" w:eastAsia="Calibri" w:hAnsi="Arial" w:cs="Arial"/>
        </w:rPr>
        <w:t xml:space="preserve"> </w:t>
      </w:r>
      <w:r w:rsidRPr="003152F1">
        <w:rPr>
          <w:rFonts w:ascii="Arial" w:eastAsia="Calibri" w:hAnsi="Arial" w:cs="Arial"/>
        </w:rPr>
        <w:t>been</w:t>
      </w:r>
      <w:r w:rsidR="00EE0CCC">
        <w:rPr>
          <w:rFonts w:ascii="Arial" w:eastAsia="Calibri" w:hAnsi="Arial" w:cs="Arial"/>
        </w:rPr>
        <w:t xml:space="preserve"> </w:t>
      </w:r>
      <w:r w:rsidRPr="003152F1">
        <w:rPr>
          <w:rFonts w:ascii="Arial" w:eastAsia="Calibri" w:hAnsi="Arial" w:cs="Arial"/>
        </w:rPr>
        <w:t>performed</w:t>
      </w:r>
      <w:r w:rsidR="00EE0CCC">
        <w:rPr>
          <w:rFonts w:ascii="Arial" w:eastAsia="Calibri" w:hAnsi="Arial" w:cs="Arial"/>
        </w:rPr>
        <w:t xml:space="preserve"> </w:t>
      </w:r>
      <w:r w:rsidRPr="003152F1">
        <w:rPr>
          <w:rFonts w:ascii="Arial" w:eastAsia="Calibri" w:hAnsi="Arial" w:cs="Arial"/>
        </w:rPr>
        <w:t>with</w:t>
      </w:r>
      <w:r w:rsidR="00EE0CCC">
        <w:rPr>
          <w:rFonts w:ascii="Arial" w:eastAsia="Calibri" w:hAnsi="Arial" w:cs="Arial"/>
        </w:rPr>
        <w:t xml:space="preserve"> </w:t>
      </w:r>
      <w:r w:rsidRPr="003152F1">
        <w:rPr>
          <w:rFonts w:ascii="Arial" w:eastAsia="Calibri" w:hAnsi="Arial" w:cs="Arial"/>
        </w:rPr>
        <w:t>dinutuximab</w:t>
      </w:r>
      <w:r w:rsidR="00EE0CCC">
        <w:rPr>
          <w:rFonts w:ascii="Arial" w:eastAsia="Calibri" w:hAnsi="Arial" w:cs="Arial"/>
        </w:rPr>
        <w:t xml:space="preserve"> </w:t>
      </w:r>
      <w:r w:rsidRPr="003152F1">
        <w:rPr>
          <w:rFonts w:ascii="Arial" w:eastAsia="Calibri" w:hAnsi="Arial" w:cs="Arial"/>
        </w:rPr>
        <w:t>beta</w:t>
      </w:r>
      <w:r w:rsidR="00B17C13" w:rsidRPr="007D322B">
        <w:rPr>
          <w:rFonts w:ascii="Arial" w:eastAsia="Calibri" w:hAnsi="Arial" w:cs="Arial"/>
        </w:rPr>
        <w:t>.</w:t>
      </w:r>
    </w:p>
    <w:p w:rsidR="00B17C13" w:rsidRPr="007D322B" w:rsidRDefault="00B17C13" w:rsidP="0084108E">
      <w:pPr>
        <w:pStyle w:val="NoSpacing"/>
        <w:rPr>
          <w:rFonts w:ascii="Arial" w:eastAsia="Calibri" w:hAnsi="Arial" w:cs="Arial"/>
          <w:b/>
        </w:rPr>
      </w:pPr>
    </w:p>
    <w:p w:rsidR="00B17C13" w:rsidRPr="007D322B" w:rsidRDefault="00B17C13" w:rsidP="0084108E">
      <w:pPr>
        <w:pStyle w:val="NoSpacing"/>
        <w:rPr>
          <w:rFonts w:ascii="Arial" w:eastAsia="Calibri" w:hAnsi="Arial" w:cs="Arial"/>
          <w:b/>
          <w:i/>
        </w:rPr>
      </w:pPr>
      <w:r w:rsidRPr="007D322B">
        <w:rPr>
          <w:rFonts w:ascii="Arial" w:eastAsia="Calibri" w:hAnsi="Arial" w:cs="Arial"/>
          <w:b/>
          <w:i/>
        </w:rPr>
        <w:t>Carcinogenicity</w:t>
      </w:r>
    </w:p>
    <w:p w:rsidR="00B17C13" w:rsidRPr="007D322B" w:rsidRDefault="003152F1" w:rsidP="0084108E">
      <w:pPr>
        <w:pStyle w:val="NoSpacing"/>
        <w:rPr>
          <w:rFonts w:ascii="Arial" w:eastAsia="Calibri" w:hAnsi="Arial" w:cs="Arial"/>
        </w:rPr>
      </w:pPr>
      <w:r w:rsidRPr="003152F1">
        <w:rPr>
          <w:rFonts w:ascii="Arial" w:eastAsia="Calibri" w:hAnsi="Arial" w:cs="Arial"/>
        </w:rPr>
        <w:t>No</w:t>
      </w:r>
      <w:r w:rsidR="00EE0CCC">
        <w:rPr>
          <w:rFonts w:ascii="Arial" w:eastAsia="Calibri" w:hAnsi="Arial" w:cs="Arial"/>
        </w:rPr>
        <w:t xml:space="preserve"> </w:t>
      </w:r>
      <w:r w:rsidRPr="003152F1">
        <w:rPr>
          <w:rFonts w:ascii="Arial" w:eastAsia="Calibri" w:hAnsi="Arial" w:cs="Arial"/>
        </w:rPr>
        <w:t>carcinogenicity</w:t>
      </w:r>
      <w:r w:rsidR="00EE0CCC">
        <w:rPr>
          <w:rFonts w:ascii="Arial" w:eastAsia="Calibri" w:hAnsi="Arial" w:cs="Arial"/>
        </w:rPr>
        <w:t xml:space="preserve"> </w:t>
      </w:r>
      <w:r w:rsidRPr="003152F1">
        <w:rPr>
          <w:rFonts w:ascii="Arial" w:eastAsia="Calibri" w:hAnsi="Arial" w:cs="Arial"/>
        </w:rPr>
        <w:t>studies</w:t>
      </w:r>
      <w:r w:rsidR="00EE0CCC">
        <w:rPr>
          <w:rFonts w:ascii="Arial" w:eastAsia="Calibri" w:hAnsi="Arial" w:cs="Arial"/>
        </w:rPr>
        <w:t xml:space="preserve"> </w:t>
      </w:r>
      <w:r w:rsidRPr="003152F1">
        <w:rPr>
          <w:rFonts w:ascii="Arial" w:eastAsia="Calibri" w:hAnsi="Arial" w:cs="Arial"/>
        </w:rPr>
        <w:t>in</w:t>
      </w:r>
      <w:r w:rsidR="00EE0CCC">
        <w:rPr>
          <w:rFonts w:ascii="Arial" w:eastAsia="Calibri" w:hAnsi="Arial" w:cs="Arial"/>
        </w:rPr>
        <w:t xml:space="preserve"> </w:t>
      </w:r>
      <w:r w:rsidRPr="003152F1">
        <w:rPr>
          <w:rFonts w:ascii="Arial" w:eastAsia="Calibri" w:hAnsi="Arial" w:cs="Arial"/>
        </w:rPr>
        <w:t>animals</w:t>
      </w:r>
      <w:r w:rsidR="00EE0CCC">
        <w:rPr>
          <w:rFonts w:ascii="Arial" w:eastAsia="Calibri" w:hAnsi="Arial" w:cs="Arial"/>
        </w:rPr>
        <w:t xml:space="preserve"> </w:t>
      </w:r>
      <w:r w:rsidRPr="003152F1">
        <w:rPr>
          <w:rFonts w:ascii="Arial" w:eastAsia="Calibri" w:hAnsi="Arial" w:cs="Arial"/>
        </w:rPr>
        <w:t>have</w:t>
      </w:r>
      <w:r w:rsidR="00EE0CCC">
        <w:rPr>
          <w:rFonts w:ascii="Arial" w:eastAsia="Calibri" w:hAnsi="Arial" w:cs="Arial"/>
        </w:rPr>
        <w:t xml:space="preserve"> </w:t>
      </w:r>
      <w:r w:rsidRPr="003152F1">
        <w:rPr>
          <w:rFonts w:ascii="Arial" w:eastAsia="Calibri" w:hAnsi="Arial" w:cs="Arial"/>
        </w:rPr>
        <w:t>been</w:t>
      </w:r>
      <w:r w:rsidR="00EE0CCC">
        <w:rPr>
          <w:rFonts w:ascii="Arial" w:eastAsia="Calibri" w:hAnsi="Arial" w:cs="Arial"/>
        </w:rPr>
        <w:t xml:space="preserve"> </w:t>
      </w:r>
      <w:r w:rsidRPr="003152F1">
        <w:rPr>
          <w:rFonts w:ascii="Arial" w:eastAsia="Calibri" w:hAnsi="Arial" w:cs="Arial"/>
        </w:rPr>
        <w:t>performed</w:t>
      </w:r>
      <w:r w:rsidR="00EE0CCC">
        <w:rPr>
          <w:rFonts w:ascii="Arial" w:eastAsia="Calibri" w:hAnsi="Arial" w:cs="Arial"/>
        </w:rPr>
        <w:t xml:space="preserve"> </w:t>
      </w:r>
      <w:r w:rsidRPr="003152F1">
        <w:rPr>
          <w:rFonts w:ascii="Arial" w:eastAsia="Calibri" w:hAnsi="Arial" w:cs="Arial"/>
        </w:rPr>
        <w:t>with</w:t>
      </w:r>
      <w:r w:rsidR="00EE0CCC">
        <w:rPr>
          <w:rFonts w:ascii="Arial" w:eastAsia="Calibri" w:hAnsi="Arial" w:cs="Arial"/>
        </w:rPr>
        <w:t xml:space="preserve"> </w:t>
      </w:r>
      <w:r w:rsidRPr="003152F1">
        <w:rPr>
          <w:rFonts w:ascii="Arial" w:eastAsia="Calibri" w:hAnsi="Arial" w:cs="Arial"/>
        </w:rPr>
        <w:t>dinutuximab</w:t>
      </w:r>
      <w:r w:rsidR="00EE0CCC">
        <w:rPr>
          <w:rFonts w:ascii="Arial" w:eastAsia="Calibri" w:hAnsi="Arial" w:cs="Arial"/>
        </w:rPr>
        <w:t xml:space="preserve"> </w:t>
      </w:r>
      <w:r w:rsidRPr="003152F1">
        <w:rPr>
          <w:rFonts w:ascii="Arial" w:eastAsia="Calibri" w:hAnsi="Arial" w:cs="Arial"/>
        </w:rPr>
        <w:t>beta</w:t>
      </w:r>
      <w:r w:rsidR="00B17C13" w:rsidRPr="007D322B">
        <w:rPr>
          <w:rFonts w:ascii="Arial" w:eastAsia="Calibri" w:hAnsi="Arial" w:cs="Arial"/>
        </w:rPr>
        <w:t>.</w:t>
      </w:r>
    </w:p>
    <w:p w:rsidR="00D2229A" w:rsidRPr="007D322B" w:rsidRDefault="00D2229A" w:rsidP="0084108E">
      <w:pPr>
        <w:pStyle w:val="NoSpacing"/>
        <w:rPr>
          <w:rFonts w:ascii="Arial" w:hAnsi="Arial" w:cs="Arial"/>
        </w:rPr>
      </w:pPr>
    </w:p>
    <w:p w:rsidR="00B17C13" w:rsidRPr="007D322B" w:rsidRDefault="00B17C13" w:rsidP="00B11EAE">
      <w:pPr>
        <w:pStyle w:val="Heading1"/>
      </w:pPr>
      <w:r w:rsidRPr="007D322B">
        <w:t>PHARMACEUTICAL</w:t>
      </w:r>
      <w:r w:rsidR="00EE0CCC">
        <w:t xml:space="preserve"> </w:t>
      </w:r>
      <w:r w:rsidRPr="007D322B">
        <w:t>PARTICULARS</w:t>
      </w:r>
    </w:p>
    <w:p w:rsidR="00B17C13" w:rsidRPr="007D322B" w:rsidRDefault="00E75CC8" w:rsidP="0084108E">
      <w:pPr>
        <w:pStyle w:val="Heading2"/>
        <w:rPr>
          <w:rFonts w:ascii="Arial" w:hAnsi="Arial" w:cs="Arial"/>
          <w:sz w:val="24"/>
          <w:szCs w:val="24"/>
        </w:rPr>
      </w:pPr>
      <w:bookmarkStart w:id="8" w:name="_LIST_OF_EXCIPIENTS"/>
      <w:bookmarkEnd w:id="8"/>
      <w:r w:rsidRPr="007D322B">
        <w:rPr>
          <w:rFonts w:ascii="Arial" w:hAnsi="Arial" w:cs="Arial"/>
          <w:i w:val="0"/>
          <w:sz w:val="24"/>
          <w:szCs w:val="24"/>
        </w:rPr>
        <w:t>LIST</w:t>
      </w:r>
      <w:r w:rsidR="00EE0CCC">
        <w:rPr>
          <w:rFonts w:ascii="Arial" w:hAnsi="Arial" w:cs="Arial"/>
          <w:i w:val="0"/>
          <w:sz w:val="24"/>
          <w:szCs w:val="24"/>
        </w:rPr>
        <w:t xml:space="preserve"> </w:t>
      </w:r>
      <w:r w:rsidRPr="007D322B">
        <w:rPr>
          <w:rFonts w:ascii="Arial" w:hAnsi="Arial" w:cs="Arial"/>
          <w:i w:val="0"/>
          <w:sz w:val="24"/>
          <w:szCs w:val="24"/>
        </w:rPr>
        <w:t>OF</w:t>
      </w:r>
      <w:r w:rsidR="00EE0CCC">
        <w:rPr>
          <w:rFonts w:ascii="Arial" w:hAnsi="Arial" w:cs="Arial"/>
          <w:i w:val="0"/>
          <w:sz w:val="24"/>
          <w:szCs w:val="24"/>
        </w:rPr>
        <w:t xml:space="preserve"> </w:t>
      </w:r>
      <w:r w:rsidRPr="007D322B">
        <w:rPr>
          <w:rFonts w:ascii="Arial" w:hAnsi="Arial" w:cs="Arial"/>
          <w:i w:val="0"/>
          <w:sz w:val="24"/>
          <w:szCs w:val="24"/>
        </w:rPr>
        <w:t>EXCIPIENTS</w:t>
      </w:r>
    </w:p>
    <w:p w:rsidR="00E01067" w:rsidRPr="007D322B" w:rsidRDefault="00E01067" w:rsidP="00E01067">
      <w:pPr>
        <w:pStyle w:val="NoSpacing"/>
        <w:rPr>
          <w:rFonts w:ascii="Arial" w:hAnsi="Arial" w:cs="Arial"/>
        </w:rPr>
      </w:pPr>
      <w:r w:rsidRPr="007D322B">
        <w:rPr>
          <w:rFonts w:ascii="Arial" w:hAnsi="Arial" w:cs="Arial"/>
        </w:rPr>
        <w:t>Histidine</w:t>
      </w:r>
    </w:p>
    <w:p w:rsidR="00E01067" w:rsidRPr="007D322B" w:rsidRDefault="00E01067" w:rsidP="00E01067">
      <w:pPr>
        <w:pStyle w:val="NoSpacing"/>
        <w:rPr>
          <w:rFonts w:ascii="Arial" w:hAnsi="Arial" w:cs="Arial"/>
        </w:rPr>
      </w:pPr>
      <w:r w:rsidRPr="007D322B">
        <w:rPr>
          <w:rFonts w:ascii="Arial" w:hAnsi="Arial" w:cs="Arial"/>
        </w:rPr>
        <w:t>Sucrose</w:t>
      </w:r>
    </w:p>
    <w:p w:rsidR="00E01067" w:rsidRPr="007D322B" w:rsidRDefault="00E01067" w:rsidP="00E01067">
      <w:pPr>
        <w:pStyle w:val="NoSpacing"/>
        <w:rPr>
          <w:rFonts w:ascii="Arial" w:hAnsi="Arial" w:cs="Arial"/>
        </w:rPr>
      </w:pPr>
      <w:r w:rsidRPr="007D322B">
        <w:rPr>
          <w:rFonts w:ascii="Arial" w:hAnsi="Arial" w:cs="Arial"/>
        </w:rPr>
        <w:t>Polysorbate</w:t>
      </w:r>
      <w:r w:rsidR="00EE0CCC">
        <w:rPr>
          <w:rFonts w:ascii="Arial" w:hAnsi="Arial" w:cs="Arial"/>
        </w:rPr>
        <w:t xml:space="preserve"> </w:t>
      </w:r>
      <w:r w:rsidRPr="007D322B">
        <w:rPr>
          <w:rFonts w:ascii="Arial" w:hAnsi="Arial" w:cs="Arial"/>
        </w:rPr>
        <w:t>20</w:t>
      </w:r>
    </w:p>
    <w:p w:rsidR="00E01067" w:rsidRPr="007D322B" w:rsidRDefault="00E01067" w:rsidP="00E01067">
      <w:pPr>
        <w:pStyle w:val="NoSpacing"/>
        <w:rPr>
          <w:rFonts w:ascii="Arial" w:hAnsi="Arial" w:cs="Arial"/>
        </w:rPr>
      </w:pPr>
      <w:r w:rsidRPr="007D322B">
        <w:rPr>
          <w:rFonts w:ascii="Arial" w:hAnsi="Arial" w:cs="Arial"/>
        </w:rPr>
        <w:t>Water</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injections</w:t>
      </w:r>
    </w:p>
    <w:p w:rsidR="009B7BB6" w:rsidRPr="007D322B" w:rsidRDefault="00E01067" w:rsidP="0084108E">
      <w:pPr>
        <w:pStyle w:val="NoSpacing"/>
        <w:rPr>
          <w:rFonts w:ascii="Arial" w:hAnsi="Arial" w:cs="Arial"/>
        </w:rPr>
      </w:pPr>
      <w:r w:rsidRPr="007D322B">
        <w:rPr>
          <w:rFonts w:ascii="Arial" w:hAnsi="Arial" w:cs="Arial"/>
        </w:rPr>
        <w:t>Hydrochloric</w:t>
      </w:r>
      <w:r w:rsidR="00EE0CCC">
        <w:rPr>
          <w:rFonts w:ascii="Arial" w:hAnsi="Arial" w:cs="Arial"/>
        </w:rPr>
        <w:t xml:space="preserve"> </w:t>
      </w:r>
      <w:r w:rsidRPr="007D322B">
        <w:rPr>
          <w:rFonts w:ascii="Arial" w:hAnsi="Arial" w:cs="Arial"/>
        </w:rPr>
        <w:t>acid</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pH</w:t>
      </w:r>
      <w:r w:rsidR="00EE0CCC">
        <w:rPr>
          <w:rFonts w:ascii="Arial" w:hAnsi="Arial" w:cs="Arial"/>
        </w:rPr>
        <w:t xml:space="preserve"> </w:t>
      </w:r>
      <w:r w:rsidRPr="007D322B">
        <w:rPr>
          <w:rFonts w:ascii="Arial" w:hAnsi="Arial" w:cs="Arial"/>
        </w:rPr>
        <w:t>adjustment)</w:t>
      </w:r>
    </w:p>
    <w:p w:rsidR="009B7BB6" w:rsidRPr="007D322B" w:rsidRDefault="00E75CC8" w:rsidP="0084108E">
      <w:pPr>
        <w:pStyle w:val="Heading2"/>
        <w:rPr>
          <w:rFonts w:ascii="Arial" w:hAnsi="Arial" w:cs="Arial"/>
          <w:sz w:val="24"/>
          <w:szCs w:val="24"/>
        </w:rPr>
      </w:pPr>
      <w:r w:rsidRPr="007D322B">
        <w:rPr>
          <w:rFonts w:ascii="Arial" w:hAnsi="Arial" w:cs="Arial"/>
          <w:i w:val="0"/>
          <w:sz w:val="24"/>
          <w:szCs w:val="24"/>
        </w:rPr>
        <w:t>INCOMPATIBILITIES</w:t>
      </w:r>
    </w:p>
    <w:p w:rsidR="00B17C13" w:rsidRPr="007D322B" w:rsidRDefault="00E01067" w:rsidP="0084108E">
      <w:pPr>
        <w:pStyle w:val="NoSpacing"/>
        <w:rPr>
          <w:rFonts w:ascii="Arial" w:hAnsi="Arial" w:cs="Arial"/>
        </w:rPr>
      </w:pPr>
      <w:r w:rsidRPr="007D322B">
        <w:rPr>
          <w:rFonts w:ascii="Arial" w:hAnsi="Arial" w:cs="Arial"/>
        </w:rPr>
        <w:t>This</w:t>
      </w:r>
      <w:r w:rsidR="00EE0CCC">
        <w:rPr>
          <w:rFonts w:ascii="Arial" w:hAnsi="Arial" w:cs="Arial"/>
        </w:rPr>
        <w:t xml:space="preserve"> </w:t>
      </w:r>
      <w:r w:rsidRPr="007D322B">
        <w:rPr>
          <w:rFonts w:ascii="Arial" w:hAnsi="Arial" w:cs="Arial"/>
        </w:rPr>
        <w:t>medicinal</w:t>
      </w:r>
      <w:r w:rsidR="00EE0CCC">
        <w:rPr>
          <w:rFonts w:ascii="Arial" w:hAnsi="Arial" w:cs="Arial"/>
        </w:rPr>
        <w:t xml:space="preserve"> </w:t>
      </w:r>
      <w:r w:rsidRPr="007D322B">
        <w:rPr>
          <w:rFonts w:ascii="Arial" w:hAnsi="Arial" w:cs="Arial"/>
        </w:rPr>
        <w:t>product</w:t>
      </w:r>
      <w:r w:rsidR="00EE0CCC">
        <w:rPr>
          <w:rFonts w:ascii="Arial" w:hAnsi="Arial" w:cs="Arial"/>
        </w:rPr>
        <w:t xml:space="preserve"> </w:t>
      </w:r>
      <w:r w:rsidRPr="007D322B">
        <w:rPr>
          <w:rFonts w:ascii="Arial" w:hAnsi="Arial" w:cs="Arial"/>
        </w:rPr>
        <w:t>must</w:t>
      </w:r>
      <w:r w:rsidR="00EE0CCC">
        <w:rPr>
          <w:rFonts w:ascii="Arial" w:hAnsi="Arial" w:cs="Arial"/>
        </w:rPr>
        <w:t xml:space="preserve"> </w:t>
      </w:r>
      <w:r w:rsidRPr="007D322B">
        <w:rPr>
          <w:rFonts w:ascii="Arial" w:hAnsi="Arial" w:cs="Arial"/>
        </w:rPr>
        <w:t>not</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mixed</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other</w:t>
      </w:r>
      <w:r w:rsidR="00EE0CCC">
        <w:rPr>
          <w:rFonts w:ascii="Arial" w:hAnsi="Arial" w:cs="Arial"/>
        </w:rPr>
        <w:t xml:space="preserve"> </w:t>
      </w:r>
      <w:r w:rsidRPr="007D322B">
        <w:rPr>
          <w:rFonts w:ascii="Arial" w:hAnsi="Arial" w:cs="Arial"/>
        </w:rPr>
        <w:t>medicinal</w:t>
      </w:r>
      <w:r w:rsidR="00EE0CCC">
        <w:rPr>
          <w:rFonts w:ascii="Arial" w:hAnsi="Arial" w:cs="Arial"/>
        </w:rPr>
        <w:t xml:space="preserve"> </w:t>
      </w:r>
      <w:r w:rsidRPr="007D322B">
        <w:rPr>
          <w:rFonts w:ascii="Arial" w:hAnsi="Arial" w:cs="Arial"/>
        </w:rPr>
        <w:t>products</w:t>
      </w:r>
      <w:r w:rsidR="00EE0CCC">
        <w:rPr>
          <w:rFonts w:ascii="Arial" w:hAnsi="Arial" w:cs="Arial"/>
        </w:rPr>
        <w:t xml:space="preserve"> </w:t>
      </w:r>
      <w:r w:rsidRPr="007D322B">
        <w:rPr>
          <w:rFonts w:ascii="Arial" w:hAnsi="Arial" w:cs="Arial"/>
        </w:rPr>
        <w:t>except</w:t>
      </w:r>
      <w:r w:rsidR="00EE0CCC">
        <w:rPr>
          <w:rFonts w:ascii="Arial" w:hAnsi="Arial" w:cs="Arial"/>
        </w:rPr>
        <w:t xml:space="preserve"> </w:t>
      </w:r>
      <w:r w:rsidRPr="007D322B">
        <w:rPr>
          <w:rFonts w:ascii="Arial" w:hAnsi="Arial" w:cs="Arial"/>
        </w:rPr>
        <w:t>those</w:t>
      </w:r>
      <w:r w:rsidR="00EE0CCC">
        <w:rPr>
          <w:rFonts w:ascii="Arial" w:hAnsi="Arial" w:cs="Arial"/>
        </w:rPr>
        <w:t xml:space="preserve"> </w:t>
      </w:r>
      <w:r w:rsidRPr="007D322B">
        <w:rPr>
          <w:rFonts w:ascii="Arial" w:hAnsi="Arial" w:cs="Arial"/>
        </w:rPr>
        <w:t>mentioned</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section</w:t>
      </w:r>
      <w:r w:rsidR="00EE0CCC">
        <w:rPr>
          <w:rFonts w:ascii="Arial" w:hAnsi="Arial" w:cs="Arial"/>
        </w:rPr>
        <w:t xml:space="preserve"> </w:t>
      </w:r>
      <w:hyperlink w:anchor="_SPECIAL_PRECAUTIONS_FOR_1" w:history="1">
        <w:r w:rsidRPr="007050E7">
          <w:rPr>
            <w:rStyle w:val="Hyperlink"/>
            <w:rFonts w:ascii="Arial" w:hAnsi="Arial" w:cs="Arial"/>
          </w:rPr>
          <w:t>6.</w:t>
        </w:r>
        <w:r w:rsidR="007050E7" w:rsidRPr="007050E7">
          <w:rPr>
            <w:rStyle w:val="Hyperlink"/>
            <w:rFonts w:ascii="Arial" w:hAnsi="Arial" w:cs="Arial"/>
          </w:rPr>
          <w:t>4</w:t>
        </w:r>
        <w:r w:rsidR="00EE0CCC">
          <w:rPr>
            <w:rStyle w:val="Hyperlink"/>
            <w:rFonts w:ascii="Arial" w:hAnsi="Arial" w:cs="Arial"/>
          </w:rPr>
          <w:t xml:space="preserve"> </w:t>
        </w:r>
        <w:r w:rsidR="007050E7" w:rsidRPr="007050E7">
          <w:rPr>
            <w:rStyle w:val="Hyperlink"/>
            <w:rFonts w:ascii="Arial" w:hAnsi="Arial" w:cs="Arial"/>
          </w:rPr>
          <w:t>SPECIAL</w:t>
        </w:r>
        <w:r w:rsidR="00EE0CCC">
          <w:rPr>
            <w:rStyle w:val="Hyperlink"/>
            <w:rFonts w:ascii="Arial" w:hAnsi="Arial" w:cs="Arial"/>
          </w:rPr>
          <w:t xml:space="preserve"> </w:t>
        </w:r>
        <w:r w:rsidR="007050E7" w:rsidRPr="007050E7">
          <w:rPr>
            <w:rStyle w:val="Hyperlink"/>
            <w:rFonts w:ascii="Arial" w:hAnsi="Arial" w:cs="Arial"/>
          </w:rPr>
          <w:t>PRECAUTIONS</w:t>
        </w:r>
        <w:r w:rsidR="00EE0CCC">
          <w:rPr>
            <w:rStyle w:val="Hyperlink"/>
            <w:rFonts w:ascii="Arial" w:hAnsi="Arial" w:cs="Arial"/>
          </w:rPr>
          <w:t xml:space="preserve"> </w:t>
        </w:r>
        <w:r w:rsidR="007050E7" w:rsidRPr="007050E7">
          <w:rPr>
            <w:rStyle w:val="Hyperlink"/>
            <w:rFonts w:ascii="Arial" w:hAnsi="Arial" w:cs="Arial"/>
          </w:rPr>
          <w:t>FOR</w:t>
        </w:r>
        <w:r w:rsidR="00EE0CCC">
          <w:rPr>
            <w:rStyle w:val="Hyperlink"/>
            <w:rFonts w:ascii="Arial" w:hAnsi="Arial" w:cs="Arial"/>
          </w:rPr>
          <w:t xml:space="preserve"> </w:t>
        </w:r>
        <w:r w:rsidR="007050E7" w:rsidRPr="007050E7">
          <w:rPr>
            <w:rStyle w:val="Hyperlink"/>
            <w:rFonts w:ascii="Arial" w:hAnsi="Arial" w:cs="Arial"/>
          </w:rPr>
          <w:t>STORAGE</w:t>
        </w:r>
      </w:hyperlink>
      <w:r w:rsidR="00224739" w:rsidRPr="007D322B">
        <w:rPr>
          <w:rFonts w:ascii="Arial" w:hAnsi="Arial" w:cs="Arial"/>
        </w:rPr>
        <w:t>.</w:t>
      </w:r>
    </w:p>
    <w:p w:rsidR="009B7BB6" w:rsidRPr="007D322B" w:rsidRDefault="00E75CC8" w:rsidP="0084108E">
      <w:pPr>
        <w:pStyle w:val="Heading2"/>
        <w:rPr>
          <w:rFonts w:ascii="Arial" w:hAnsi="Arial" w:cs="Arial"/>
          <w:sz w:val="24"/>
          <w:szCs w:val="24"/>
        </w:rPr>
      </w:pPr>
      <w:bookmarkStart w:id="9" w:name="_SHELF_LIFE"/>
      <w:bookmarkEnd w:id="9"/>
      <w:r w:rsidRPr="007D322B">
        <w:rPr>
          <w:rFonts w:ascii="Arial" w:hAnsi="Arial" w:cs="Arial"/>
          <w:i w:val="0"/>
          <w:sz w:val="24"/>
          <w:szCs w:val="24"/>
        </w:rPr>
        <w:t>SHELF</w:t>
      </w:r>
      <w:r w:rsidR="00EE0CCC">
        <w:rPr>
          <w:rFonts w:ascii="Arial" w:hAnsi="Arial" w:cs="Arial"/>
          <w:i w:val="0"/>
          <w:sz w:val="24"/>
          <w:szCs w:val="24"/>
        </w:rPr>
        <w:t xml:space="preserve"> </w:t>
      </w:r>
      <w:r w:rsidRPr="007D322B">
        <w:rPr>
          <w:rFonts w:ascii="Arial" w:hAnsi="Arial" w:cs="Arial"/>
          <w:i w:val="0"/>
          <w:sz w:val="24"/>
          <w:szCs w:val="24"/>
        </w:rPr>
        <w:t>LIFE</w:t>
      </w:r>
    </w:p>
    <w:p w:rsidR="00E01067" w:rsidRPr="007D322B" w:rsidRDefault="00E01067" w:rsidP="00E01067">
      <w:pPr>
        <w:pStyle w:val="NoSpacing"/>
        <w:rPr>
          <w:rFonts w:ascii="Arial" w:hAnsi="Arial" w:cs="Arial"/>
          <w:b/>
          <w:bCs/>
        </w:rPr>
      </w:pPr>
      <w:r w:rsidRPr="007D322B">
        <w:rPr>
          <w:rFonts w:ascii="Arial" w:hAnsi="Arial" w:cs="Arial"/>
          <w:b/>
          <w:bCs/>
        </w:rPr>
        <w:t>Unopened</w:t>
      </w:r>
      <w:r w:rsidR="00EE0CCC">
        <w:rPr>
          <w:rFonts w:ascii="Arial" w:hAnsi="Arial" w:cs="Arial"/>
          <w:b/>
          <w:bCs/>
        </w:rPr>
        <w:t xml:space="preserve"> </w:t>
      </w:r>
      <w:r w:rsidRPr="007D322B">
        <w:rPr>
          <w:rFonts w:ascii="Arial" w:hAnsi="Arial" w:cs="Arial"/>
          <w:b/>
          <w:bCs/>
        </w:rPr>
        <w:t>vial</w:t>
      </w:r>
    </w:p>
    <w:p w:rsidR="00E01067" w:rsidRPr="007D322B" w:rsidRDefault="00E01067" w:rsidP="00E01067">
      <w:pPr>
        <w:pStyle w:val="NoSpacing"/>
        <w:rPr>
          <w:rFonts w:ascii="Arial" w:hAnsi="Arial" w:cs="Arial"/>
        </w:rPr>
      </w:pPr>
      <w:r w:rsidRPr="007D322B">
        <w:rPr>
          <w:rFonts w:ascii="Arial" w:hAnsi="Arial" w:cs="Arial"/>
        </w:rPr>
        <w:t>3</w:t>
      </w:r>
      <w:r w:rsidR="00EE0CCC">
        <w:rPr>
          <w:rFonts w:ascii="Arial" w:hAnsi="Arial" w:cs="Arial"/>
        </w:rPr>
        <w:t xml:space="preserve"> </w:t>
      </w:r>
      <w:r w:rsidRPr="007D322B">
        <w:rPr>
          <w:rFonts w:ascii="Arial" w:hAnsi="Arial" w:cs="Arial"/>
        </w:rPr>
        <w:t>years</w:t>
      </w:r>
    </w:p>
    <w:p w:rsidR="00E01067" w:rsidRPr="007D322B" w:rsidRDefault="00E01067" w:rsidP="00E01067">
      <w:pPr>
        <w:pStyle w:val="NoSpacing"/>
        <w:rPr>
          <w:rFonts w:ascii="Arial" w:hAnsi="Arial" w:cs="Arial"/>
        </w:rPr>
      </w:pPr>
    </w:p>
    <w:p w:rsidR="00E01067" w:rsidRPr="007D322B" w:rsidRDefault="00E01067" w:rsidP="00E01067">
      <w:pPr>
        <w:pStyle w:val="NoSpacing"/>
        <w:rPr>
          <w:rFonts w:ascii="Arial" w:hAnsi="Arial" w:cs="Arial"/>
          <w:b/>
          <w:bCs/>
        </w:rPr>
      </w:pPr>
      <w:r w:rsidRPr="007D322B">
        <w:rPr>
          <w:rFonts w:ascii="Arial" w:hAnsi="Arial" w:cs="Arial"/>
          <w:b/>
          <w:bCs/>
        </w:rPr>
        <w:t>Diluted</w:t>
      </w:r>
      <w:r w:rsidR="00EE0CCC">
        <w:rPr>
          <w:rFonts w:ascii="Arial" w:hAnsi="Arial" w:cs="Arial"/>
          <w:b/>
          <w:bCs/>
        </w:rPr>
        <w:t xml:space="preserve"> </w:t>
      </w:r>
      <w:r w:rsidRPr="007D322B">
        <w:rPr>
          <w:rFonts w:ascii="Arial" w:hAnsi="Arial" w:cs="Arial"/>
          <w:b/>
          <w:bCs/>
        </w:rPr>
        <w:t>solution</w:t>
      </w:r>
      <w:r w:rsidR="00EE0CCC">
        <w:rPr>
          <w:rFonts w:ascii="Arial" w:hAnsi="Arial" w:cs="Arial"/>
          <w:b/>
          <w:bCs/>
        </w:rPr>
        <w:t xml:space="preserve"> </w:t>
      </w:r>
      <w:r w:rsidRPr="007D322B">
        <w:rPr>
          <w:rFonts w:ascii="Arial" w:hAnsi="Arial" w:cs="Arial"/>
          <w:b/>
          <w:bCs/>
        </w:rPr>
        <w:t>(solution</w:t>
      </w:r>
      <w:r w:rsidR="00EE0CCC">
        <w:rPr>
          <w:rFonts w:ascii="Arial" w:hAnsi="Arial" w:cs="Arial"/>
          <w:b/>
          <w:bCs/>
        </w:rPr>
        <w:t xml:space="preserve"> </w:t>
      </w:r>
      <w:r w:rsidRPr="007D322B">
        <w:rPr>
          <w:rFonts w:ascii="Arial" w:hAnsi="Arial" w:cs="Arial"/>
          <w:b/>
          <w:bCs/>
        </w:rPr>
        <w:t>for</w:t>
      </w:r>
      <w:r w:rsidR="00EE0CCC">
        <w:rPr>
          <w:rFonts w:ascii="Arial" w:hAnsi="Arial" w:cs="Arial"/>
          <w:b/>
          <w:bCs/>
        </w:rPr>
        <w:t xml:space="preserve"> </w:t>
      </w:r>
      <w:r w:rsidRPr="007D322B">
        <w:rPr>
          <w:rFonts w:ascii="Arial" w:hAnsi="Arial" w:cs="Arial"/>
          <w:b/>
          <w:bCs/>
        </w:rPr>
        <w:t>infusion)</w:t>
      </w:r>
    </w:p>
    <w:p w:rsidR="00E01067" w:rsidRPr="007D322B" w:rsidRDefault="00E01067" w:rsidP="00E01067">
      <w:pPr>
        <w:pStyle w:val="NoSpacing"/>
        <w:rPr>
          <w:rFonts w:ascii="Arial" w:hAnsi="Arial" w:cs="Arial"/>
        </w:rPr>
      </w:pPr>
      <w:r w:rsidRPr="007D322B">
        <w:rPr>
          <w:rFonts w:ascii="Arial" w:hAnsi="Arial" w:cs="Arial"/>
        </w:rPr>
        <w:t>Chemical</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physical</w:t>
      </w:r>
      <w:r w:rsidR="00EE0CCC">
        <w:rPr>
          <w:rFonts w:ascii="Arial" w:hAnsi="Arial" w:cs="Arial"/>
        </w:rPr>
        <w:t xml:space="preserve"> </w:t>
      </w:r>
      <w:r w:rsidRPr="007D322B">
        <w:rPr>
          <w:rFonts w:ascii="Arial" w:hAnsi="Arial" w:cs="Arial"/>
        </w:rPr>
        <w:t>in-use</w:t>
      </w:r>
      <w:r w:rsidR="00EE0CCC">
        <w:rPr>
          <w:rFonts w:ascii="Arial" w:hAnsi="Arial" w:cs="Arial"/>
        </w:rPr>
        <w:t xml:space="preserve"> </w:t>
      </w:r>
      <w:r w:rsidRPr="007D322B">
        <w:rPr>
          <w:rFonts w:ascii="Arial" w:hAnsi="Arial" w:cs="Arial"/>
        </w:rPr>
        <w:t>stability</w:t>
      </w:r>
      <w:r w:rsidR="00EE0CCC">
        <w:rPr>
          <w:rFonts w:ascii="Arial" w:hAnsi="Arial" w:cs="Arial"/>
        </w:rPr>
        <w:t xml:space="preserve"> </w:t>
      </w:r>
      <w:r w:rsidRPr="007D322B">
        <w:rPr>
          <w:rFonts w:ascii="Arial" w:hAnsi="Arial" w:cs="Arial"/>
        </w:rPr>
        <w:t>has</w:t>
      </w:r>
      <w:r w:rsidR="00EE0CCC">
        <w:rPr>
          <w:rFonts w:ascii="Arial" w:hAnsi="Arial" w:cs="Arial"/>
        </w:rPr>
        <w:t xml:space="preserve"> </w:t>
      </w:r>
      <w:r w:rsidRPr="007D322B">
        <w:rPr>
          <w:rFonts w:ascii="Arial" w:hAnsi="Arial" w:cs="Arial"/>
        </w:rPr>
        <w:t>been</w:t>
      </w:r>
      <w:r w:rsidR="00EE0CCC">
        <w:rPr>
          <w:rFonts w:ascii="Arial" w:hAnsi="Arial" w:cs="Arial"/>
        </w:rPr>
        <w:t xml:space="preserve"> </w:t>
      </w:r>
      <w:r w:rsidRPr="007D322B">
        <w:rPr>
          <w:rFonts w:ascii="Arial" w:hAnsi="Arial" w:cs="Arial"/>
        </w:rPr>
        <w:t>demonstrated</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up</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48</w:t>
      </w:r>
      <w:r w:rsidR="00EE0CCC">
        <w:rPr>
          <w:rFonts w:ascii="Arial" w:hAnsi="Arial" w:cs="Arial"/>
        </w:rPr>
        <w:t xml:space="preserve"> </w:t>
      </w:r>
      <w:r w:rsidRPr="007D322B">
        <w:rPr>
          <w:rFonts w:ascii="Arial" w:hAnsi="Arial" w:cs="Arial"/>
        </w:rPr>
        <w:t>hours</w:t>
      </w:r>
      <w:r w:rsidR="00EE0CCC">
        <w:rPr>
          <w:rFonts w:ascii="Arial" w:hAnsi="Arial" w:cs="Arial"/>
        </w:rPr>
        <w:t xml:space="preserve"> </w:t>
      </w:r>
      <w:r w:rsidRPr="007D322B">
        <w:rPr>
          <w:rFonts w:ascii="Arial" w:hAnsi="Arial" w:cs="Arial"/>
        </w:rPr>
        <w:t>at</w:t>
      </w:r>
      <w:r w:rsidR="00EE0CCC">
        <w:rPr>
          <w:rFonts w:ascii="Arial" w:hAnsi="Arial" w:cs="Arial"/>
        </w:rPr>
        <w:t xml:space="preserve"> </w:t>
      </w:r>
      <w:r w:rsidRPr="007D322B">
        <w:rPr>
          <w:rFonts w:ascii="Arial" w:hAnsi="Arial" w:cs="Arial"/>
        </w:rPr>
        <w:t>25</w:t>
      </w:r>
      <w:r w:rsidR="00EE0CCC">
        <w:rPr>
          <w:rFonts w:ascii="Arial" w:hAnsi="Arial" w:cs="Arial"/>
        </w:rPr>
        <w:t xml:space="preserve"> </w:t>
      </w:r>
      <w:r w:rsidRPr="007D322B">
        <w:rPr>
          <w:rFonts w:ascii="Arial" w:hAnsi="Arial" w:cs="Arial"/>
        </w:rPr>
        <w:t>°C</w:t>
      </w:r>
      <w:r w:rsidR="00EE0CCC">
        <w:rPr>
          <w:rFonts w:ascii="Arial" w:hAnsi="Arial" w:cs="Arial"/>
        </w:rPr>
        <w:t xml:space="preserve"> </w:t>
      </w:r>
      <w:r w:rsidRPr="007D322B">
        <w:rPr>
          <w:rFonts w:ascii="Arial" w:hAnsi="Arial" w:cs="Arial"/>
        </w:rPr>
        <w:t>(50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syringe)</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up</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7</w:t>
      </w:r>
      <w:r w:rsidR="00EE0CCC">
        <w:rPr>
          <w:rFonts w:ascii="Arial" w:hAnsi="Arial" w:cs="Arial"/>
        </w:rPr>
        <w:t xml:space="preserve"> </w:t>
      </w:r>
      <w:r w:rsidRPr="007D322B">
        <w:rPr>
          <w:rFonts w:ascii="Arial" w:hAnsi="Arial" w:cs="Arial"/>
        </w:rPr>
        <w:t>days</w:t>
      </w:r>
      <w:r w:rsidR="00EE0CCC">
        <w:rPr>
          <w:rFonts w:ascii="Arial" w:hAnsi="Arial" w:cs="Arial"/>
        </w:rPr>
        <w:t xml:space="preserve"> </w:t>
      </w:r>
      <w:r w:rsidRPr="007D322B">
        <w:rPr>
          <w:rFonts w:ascii="Arial" w:hAnsi="Arial" w:cs="Arial"/>
        </w:rPr>
        <w:t>at</w:t>
      </w:r>
      <w:r w:rsidR="00EE0CCC">
        <w:rPr>
          <w:rFonts w:ascii="Arial" w:hAnsi="Arial" w:cs="Arial"/>
        </w:rPr>
        <w:t xml:space="preserve"> </w:t>
      </w:r>
      <w:r w:rsidRPr="007D322B">
        <w:rPr>
          <w:rFonts w:ascii="Arial" w:hAnsi="Arial" w:cs="Arial"/>
        </w:rPr>
        <w:t>37</w:t>
      </w:r>
      <w:r w:rsidR="00EE0CCC">
        <w:rPr>
          <w:rFonts w:ascii="Arial" w:hAnsi="Arial" w:cs="Arial"/>
        </w:rPr>
        <w:t xml:space="preserve"> </w:t>
      </w:r>
      <w:r w:rsidRPr="007D322B">
        <w:rPr>
          <w:rFonts w:ascii="Arial" w:hAnsi="Arial" w:cs="Arial"/>
        </w:rPr>
        <w:t>ºC</w:t>
      </w:r>
      <w:r w:rsidR="00EE0CCC">
        <w:rPr>
          <w:rFonts w:ascii="Arial" w:hAnsi="Arial" w:cs="Arial"/>
        </w:rPr>
        <w:t xml:space="preserve"> </w:t>
      </w:r>
      <w:r w:rsidRPr="007D322B">
        <w:rPr>
          <w:rFonts w:ascii="Arial" w:hAnsi="Arial" w:cs="Arial"/>
        </w:rPr>
        <w:t>(250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bag),</w:t>
      </w:r>
      <w:r w:rsidR="00EE0CCC">
        <w:rPr>
          <w:rFonts w:ascii="Arial" w:hAnsi="Arial" w:cs="Arial"/>
        </w:rPr>
        <w:t xml:space="preserve"> </w:t>
      </w:r>
      <w:r w:rsidRPr="007D322B">
        <w:rPr>
          <w:rFonts w:ascii="Arial" w:hAnsi="Arial" w:cs="Arial"/>
        </w:rPr>
        <w:t>after</w:t>
      </w:r>
      <w:r w:rsidR="00EE0CCC">
        <w:rPr>
          <w:rFonts w:ascii="Arial" w:hAnsi="Arial" w:cs="Arial"/>
        </w:rPr>
        <w:t xml:space="preserve"> </w:t>
      </w:r>
      <w:r w:rsidRPr="007D322B">
        <w:rPr>
          <w:rFonts w:ascii="Arial" w:hAnsi="Arial" w:cs="Arial"/>
        </w:rPr>
        <w:t>cumulative</w:t>
      </w:r>
      <w:r w:rsidR="00EE0CCC">
        <w:rPr>
          <w:rFonts w:ascii="Arial" w:hAnsi="Arial" w:cs="Arial"/>
        </w:rPr>
        <w:t xml:space="preserve"> </w:t>
      </w:r>
      <w:r w:rsidRPr="007D322B">
        <w:rPr>
          <w:rFonts w:ascii="Arial" w:hAnsi="Arial" w:cs="Arial"/>
        </w:rPr>
        <w:t>storage</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refrigerator</w:t>
      </w:r>
      <w:r w:rsidR="00EE0CCC">
        <w:rPr>
          <w:rFonts w:ascii="Arial" w:hAnsi="Arial" w:cs="Arial"/>
        </w:rPr>
        <w:t xml:space="preserve"> </w:t>
      </w:r>
      <w:r w:rsidRPr="007D322B">
        <w:rPr>
          <w:rFonts w:ascii="Arial" w:hAnsi="Arial" w:cs="Arial"/>
        </w:rPr>
        <w:t>(2</w:t>
      </w:r>
      <w:r w:rsidR="00EE0CCC">
        <w:rPr>
          <w:rFonts w:ascii="Arial" w:hAnsi="Arial" w:cs="Arial"/>
        </w:rPr>
        <w:t xml:space="preserve"> </w:t>
      </w:r>
      <w:r w:rsidRPr="007D322B">
        <w:rPr>
          <w:rFonts w:ascii="Arial" w:hAnsi="Arial" w:cs="Arial"/>
        </w:rPr>
        <w:t>°C</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8</w:t>
      </w:r>
      <w:r w:rsidR="00EE0CCC">
        <w:rPr>
          <w:rFonts w:ascii="Arial" w:hAnsi="Arial" w:cs="Arial"/>
        </w:rPr>
        <w:t xml:space="preserve"> </w:t>
      </w:r>
      <w:r w:rsidRPr="007D322B">
        <w:rPr>
          <w:rFonts w:ascii="Arial" w:hAnsi="Arial" w:cs="Arial"/>
        </w:rPr>
        <w:t>°C)</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72</w:t>
      </w:r>
      <w:r w:rsidR="00EE0CCC">
        <w:rPr>
          <w:rFonts w:ascii="Arial" w:hAnsi="Arial" w:cs="Arial"/>
        </w:rPr>
        <w:t xml:space="preserve"> </w:t>
      </w:r>
      <w:r w:rsidRPr="007D322B">
        <w:rPr>
          <w:rFonts w:ascii="Arial" w:hAnsi="Arial" w:cs="Arial"/>
        </w:rPr>
        <w:t>hours</w:t>
      </w:r>
      <w:r w:rsidR="00EE0CCC">
        <w:rPr>
          <w:rFonts w:ascii="Arial" w:hAnsi="Arial" w:cs="Arial"/>
        </w:rPr>
        <w:t xml:space="preserve"> </w:t>
      </w:r>
      <w:r w:rsidRPr="007D322B">
        <w:rPr>
          <w:rFonts w:ascii="Arial" w:hAnsi="Arial" w:cs="Arial"/>
        </w:rPr>
        <w:t>(see</w:t>
      </w:r>
      <w:r w:rsidR="00EE0CCC">
        <w:rPr>
          <w:rFonts w:ascii="Arial" w:hAnsi="Arial" w:cs="Arial"/>
        </w:rPr>
        <w:t xml:space="preserve"> </w:t>
      </w:r>
      <w:r w:rsidRPr="007D322B">
        <w:rPr>
          <w:rFonts w:ascii="Arial" w:hAnsi="Arial" w:cs="Arial"/>
        </w:rPr>
        <w:t>section</w:t>
      </w:r>
      <w:r w:rsidR="00EE0CCC">
        <w:rPr>
          <w:rFonts w:ascii="Arial" w:hAnsi="Arial" w:cs="Arial"/>
        </w:rPr>
        <w:t xml:space="preserve"> </w:t>
      </w:r>
      <w:hyperlink w:anchor="_SPECIAL_PRECAUTIONS_FOR_1" w:history="1">
        <w:r w:rsidR="007050E7" w:rsidRPr="007050E7">
          <w:rPr>
            <w:rStyle w:val="Hyperlink"/>
            <w:rFonts w:ascii="Arial" w:hAnsi="Arial" w:cs="Arial"/>
          </w:rPr>
          <w:t>6.4</w:t>
        </w:r>
        <w:r w:rsidR="00EE0CCC">
          <w:rPr>
            <w:rStyle w:val="Hyperlink"/>
            <w:rFonts w:ascii="Arial" w:hAnsi="Arial" w:cs="Arial"/>
          </w:rPr>
          <w:t xml:space="preserve"> </w:t>
        </w:r>
        <w:r w:rsidR="007050E7" w:rsidRPr="007050E7">
          <w:rPr>
            <w:rStyle w:val="Hyperlink"/>
            <w:rFonts w:ascii="Arial" w:hAnsi="Arial" w:cs="Arial"/>
          </w:rPr>
          <w:t>SPECIAL</w:t>
        </w:r>
        <w:r w:rsidR="00EE0CCC">
          <w:rPr>
            <w:rStyle w:val="Hyperlink"/>
            <w:rFonts w:ascii="Arial" w:hAnsi="Arial" w:cs="Arial"/>
          </w:rPr>
          <w:t xml:space="preserve"> </w:t>
        </w:r>
        <w:r w:rsidR="007050E7" w:rsidRPr="007050E7">
          <w:rPr>
            <w:rStyle w:val="Hyperlink"/>
            <w:rFonts w:ascii="Arial" w:hAnsi="Arial" w:cs="Arial"/>
          </w:rPr>
          <w:t>PRECAUTIONS</w:t>
        </w:r>
        <w:r w:rsidR="00EE0CCC">
          <w:rPr>
            <w:rStyle w:val="Hyperlink"/>
            <w:rFonts w:ascii="Arial" w:hAnsi="Arial" w:cs="Arial"/>
          </w:rPr>
          <w:t xml:space="preserve"> </w:t>
        </w:r>
        <w:r w:rsidR="007050E7" w:rsidRPr="007050E7">
          <w:rPr>
            <w:rStyle w:val="Hyperlink"/>
            <w:rFonts w:ascii="Arial" w:hAnsi="Arial" w:cs="Arial"/>
          </w:rPr>
          <w:t>FOR</w:t>
        </w:r>
        <w:r w:rsidR="00EE0CCC">
          <w:rPr>
            <w:rStyle w:val="Hyperlink"/>
            <w:rFonts w:ascii="Arial" w:hAnsi="Arial" w:cs="Arial"/>
          </w:rPr>
          <w:t xml:space="preserve"> </w:t>
        </w:r>
        <w:r w:rsidR="007050E7" w:rsidRPr="007050E7">
          <w:rPr>
            <w:rStyle w:val="Hyperlink"/>
            <w:rFonts w:ascii="Arial" w:hAnsi="Arial" w:cs="Arial"/>
          </w:rPr>
          <w:t>STORAGE</w:t>
        </w:r>
      </w:hyperlink>
      <w:r w:rsidRPr="007D322B">
        <w:rPr>
          <w:rFonts w:ascii="Arial" w:hAnsi="Arial" w:cs="Arial"/>
        </w:rPr>
        <w:t>).</w:t>
      </w:r>
    </w:p>
    <w:p w:rsidR="00E01067" w:rsidRPr="007D322B" w:rsidRDefault="00E01067" w:rsidP="00E01067">
      <w:pPr>
        <w:pStyle w:val="NoSpacing"/>
        <w:rPr>
          <w:rFonts w:ascii="Arial" w:hAnsi="Arial" w:cs="Arial"/>
        </w:rPr>
      </w:pPr>
    </w:p>
    <w:p w:rsidR="00E01067" w:rsidRPr="007D322B" w:rsidRDefault="00EF6209" w:rsidP="00E01067">
      <w:pPr>
        <w:pStyle w:val="NoSpacing"/>
        <w:rPr>
          <w:rFonts w:ascii="Arial" w:hAnsi="Arial" w:cs="Arial"/>
        </w:rPr>
      </w:pPr>
      <w:r w:rsidRPr="00EF6209">
        <w:rPr>
          <w:rFonts w:ascii="Arial" w:hAnsi="Arial" w:cs="Arial"/>
        </w:rPr>
        <w:lastRenderedPageBreak/>
        <w:t>To</w:t>
      </w:r>
      <w:r w:rsidR="00EE0CCC">
        <w:rPr>
          <w:rFonts w:ascii="Arial" w:hAnsi="Arial" w:cs="Arial"/>
        </w:rPr>
        <w:t xml:space="preserve"> </w:t>
      </w:r>
      <w:r w:rsidRPr="00EF6209">
        <w:rPr>
          <w:rFonts w:ascii="Arial" w:hAnsi="Arial" w:cs="Arial"/>
        </w:rPr>
        <w:t>reduce</w:t>
      </w:r>
      <w:r w:rsidR="00EE0CCC">
        <w:rPr>
          <w:rFonts w:ascii="Arial" w:hAnsi="Arial" w:cs="Arial"/>
        </w:rPr>
        <w:t xml:space="preserve"> </w:t>
      </w:r>
      <w:r w:rsidRPr="00EF6209">
        <w:rPr>
          <w:rFonts w:ascii="Arial" w:hAnsi="Arial" w:cs="Arial"/>
        </w:rPr>
        <w:t>microbiological</w:t>
      </w:r>
      <w:r w:rsidR="00EE0CCC">
        <w:rPr>
          <w:rFonts w:ascii="Arial" w:hAnsi="Arial" w:cs="Arial"/>
        </w:rPr>
        <w:t xml:space="preserve"> </w:t>
      </w:r>
      <w:r w:rsidRPr="00EF6209">
        <w:rPr>
          <w:rFonts w:ascii="Arial" w:hAnsi="Arial" w:cs="Arial"/>
        </w:rPr>
        <w:t>hazard,</w:t>
      </w:r>
      <w:r w:rsidR="00EE0CCC">
        <w:rPr>
          <w:rFonts w:ascii="Arial" w:hAnsi="Arial" w:cs="Arial"/>
        </w:rPr>
        <w:t xml:space="preserve"> </w:t>
      </w:r>
      <w:r w:rsidRPr="00EF6209">
        <w:rPr>
          <w:rFonts w:ascii="Arial" w:hAnsi="Arial" w:cs="Arial"/>
        </w:rPr>
        <w:t>use</w:t>
      </w:r>
      <w:r w:rsidR="00EE0CCC">
        <w:rPr>
          <w:rFonts w:ascii="Arial" w:hAnsi="Arial" w:cs="Arial"/>
        </w:rPr>
        <w:t xml:space="preserve"> </w:t>
      </w:r>
      <w:r w:rsidRPr="00EF6209">
        <w:rPr>
          <w:rFonts w:ascii="Arial" w:hAnsi="Arial" w:cs="Arial"/>
        </w:rPr>
        <w:t>as</w:t>
      </w:r>
      <w:r w:rsidR="00EE0CCC">
        <w:rPr>
          <w:rFonts w:ascii="Arial" w:hAnsi="Arial" w:cs="Arial"/>
        </w:rPr>
        <w:t xml:space="preserve"> </w:t>
      </w:r>
      <w:r w:rsidRPr="00EF6209">
        <w:rPr>
          <w:rFonts w:ascii="Arial" w:hAnsi="Arial" w:cs="Arial"/>
        </w:rPr>
        <w:t>soon</w:t>
      </w:r>
      <w:r w:rsidR="00EE0CCC">
        <w:rPr>
          <w:rFonts w:ascii="Arial" w:hAnsi="Arial" w:cs="Arial"/>
        </w:rPr>
        <w:t xml:space="preserve"> </w:t>
      </w:r>
      <w:r w:rsidRPr="00EF6209">
        <w:rPr>
          <w:rFonts w:ascii="Arial" w:hAnsi="Arial" w:cs="Arial"/>
        </w:rPr>
        <w:t>as</w:t>
      </w:r>
      <w:r w:rsidR="00EE0CCC">
        <w:rPr>
          <w:rFonts w:ascii="Arial" w:hAnsi="Arial" w:cs="Arial"/>
        </w:rPr>
        <w:t xml:space="preserve"> </w:t>
      </w:r>
      <w:r w:rsidRPr="00EF6209">
        <w:rPr>
          <w:rFonts w:ascii="Arial" w:hAnsi="Arial" w:cs="Arial"/>
        </w:rPr>
        <w:t>practicable</w:t>
      </w:r>
      <w:r w:rsidR="00EE0CCC">
        <w:rPr>
          <w:rFonts w:ascii="Arial" w:hAnsi="Arial" w:cs="Arial"/>
        </w:rPr>
        <w:t xml:space="preserve"> </w:t>
      </w:r>
      <w:r w:rsidRPr="00EF6209">
        <w:rPr>
          <w:rFonts w:ascii="Arial" w:hAnsi="Arial" w:cs="Arial"/>
        </w:rPr>
        <w:t>after</w:t>
      </w:r>
      <w:r w:rsidR="00EE0CCC">
        <w:rPr>
          <w:rFonts w:ascii="Arial" w:hAnsi="Arial" w:cs="Arial"/>
        </w:rPr>
        <w:t xml:space="preserve"> </w:t>
      </w:r>
      <w:r w:rsidRPr="00EF6209">
        <w:rPr>
          <w:rFonts w:ascii="Arial" w:hAnsi="Arial" w:cs="Arial"/>
        </w:rPr>
        <w:t>preparation.</w:t>
      </w:r>
      <w:r w:rsidR="00EE0CCC">
        <w:rPr>
          <w:rFonts w:ascii="Arial" w:hAnsi="Arial" w:cs="Arial"/>
        </w:rPr>
        <w:t xml:space="preserve"> </w:t>
      </w:r>
      <w:r w:rsidRPr="00EF6209">
        <w:rPr>
          <w:rFonts w:ascii="Arial" w:hAnsi="Arial" w:cs="Arial"/>
        </w:rPr>
        <w:t>If</w:t>
      </w:r>
      <w:r w:rsidR="00EE0CCC">
        <w:rPr>
          <w:rFonts w:ascii="Arial" w:hAnsi="Arial" w:cs="Arial"/>
        </w:rPr>
        <w:t xml:space="preserve"> </w:t>
      </w:r>
      <w:r w:rsidRPr="00EF6209">
        <w:rPr>
          <w:rFonts w:ascii="Arial" w:hAnsi="Arial" w:cs="Arial"/>
        </w:rPr>
        <w:t>storage</w:t>
      </w:r>
      <w:r w:rsidR="00EE0CCC">
        <w:rPr>
          <w:rFonts w:ascii="Arial" w:hAnsi="Arial" w:cs="Arial"/>
        </w:rPr>
        <w:t xml:space="preserve"> </w:t>
      </w:r>
      <w:r w:rsidRPr="00EF6209">
        <w:rPr>
          <w:rFonts w:ascii="Arial" w:hAnsi="Arial" w:cs="Arial"/>
        </w:rPr>
        <w:t>is</w:t>
      </w:r>
      <w:r w:rsidR="00EE0CCC">
        <w:rPr>
          <w:rFonts w:ascii="Arial" w:hAnsi="Arial" w:cs="Arial"/>
        </w:rPr>
        <w:t xml:space="preserve"> </w:t>
      </w:r>
      <w:r w:rsidRPr="00EF6209">
        <w:rPr>
          <w:rFonts w:ascii="Arial" w:hAnsi="Arial" w:cs="Arial"/>
        </w:rPr>
        <w:t>necessary,</w:t>
      </w:r>
      <w:r w:rsidR="00EE0CCC">
        <w:rPr>
          <w:rFonts w:ascii="Arial" w:hAnsi="Arial" w:cs="Arial"/>
        </w:rPr>
        <w:t xml:space="preserve"> </w:t>
      </w:r>
      <w:r w:rsidRPr="00EF6209">
        <w:rPr>
          <w:rFonts w:ascii="Arial" w:hAnsi="Arial" w:cs="Arial"/>
        </w:rPr>
        <w:t>hold</w:t>
      </w:r>
      <w:r w:rsidR="00EE0CCC">
        <w:rPr>
          <w:rFonts w:ascii="Arial" w:hAnsi="Arial" w:cs="Arial"/>
        </w:rPr>
        <w:t xml:space="preserve"> </w:t>
      </w:r>
      <w:r w:rsidRPr="00EF6209">
        <w:rPr>
          <w:rFonts w:ascii="Arial" w:hAnsi="Arial" w:cs="Arial"/>
        </w:rPr>
        <w:t>at</w:t>
      </w:r>
      <w:r w:rsidR="00EE0CCC">
        <w:rPr>
          <w:rFonts w:ascii="Arial" w:hAnsi="Arial" w:cs="Arial"/>
        </w:rPr>
        <w:t xml:space="preserve"> </w:t>
      </w:r>
      <w:r w:rsidRPr="00EF6209">
        <w:rPr>
          <w:rFonts w:ascii="Arial" w:hAnsi="Arial" w:cs="Arial"/>
        </w:rPr>
        <w:t>2-8°C</w:t>
      </w:r>
      <w:r w:rsidR="00EE0CCC">
        <w:rPr>
          <w:rFonts w:ascii="Arial" w:hAnsi="Arial" w:cs="Arial"/>
        </w:rPr>
        <w:t xml:space="preserve"> </w:t>
      </w:r>
      <w:r w:rsidRPr="00EF6209">
        <w:rPr>
          <w:rFonts w:ascii="Arial" w:hAnsi="Arial" w:cs="Arial"/>
        </w:rPr>
        <w:t>for</w:t>
      </w:r>
      <w:r w:rsidR="00EE0CCC">
        <w:rPr>
          <w:rFonts w:ascii="Arial" w:hAnsi="Arial" w:cs="Arial"/>
        </w:rPr>
        <w:t xml:space="preserve"> </w:t>
      </w:r>
      <w:r w:rsidRPr="00EF6209">
        <w:rPr>
          <w:rFonts w:ascii="Arial" w:hAnsi="Arial" w:cs="Arial"/>
        </w:rPr>
        <w:t>not</w:t>
      </w:r>
      <w:r w:rsidR="00EE0CCC">
        <w:rPr>
          <w:rFonts w:ascii="Arial" w:hAnsi="Arial" w:cs="Arial"/>
        </w:rPr>
        <w:t xml:space="preserve"> </w:t>
      </w:r>
      <w:r w:rsidRPr="00EF6209">
        <w:rPr>
          <w:rFonts w:ascii="Arial" w:hAnsi="Arial" w:cs="Arial"/>
        </w:rPr>
        <w:t>more</w:t>
      </w:r>
      <w:r w:rsidR="00EE0CCC">
        <w:rPr>
          <w:rFonts w:ascii="Arial" w:hAnsi="Arial" w:cs="Arial"/>
        </w:rPr>
        <w:t xml:space="preserve"> </w:t>
      </w:r>
      <w:r w:rsidRPr="00EF6209">
        <w:rPr>
          <w:rFonts w:ascii="Arial" w:hAnsi="Arial" w:cs="Arial"/>
        </w:rPr>
        <w:t>than</w:t>
      </w:r>
      <w:r w:rsidR="00EE0CCC">
        <w:rPr>
          <w:rFonts w:ascii="Arial" w:hAnsi="Arial" w:cs="Arial"/>
        </w:rPr>
        <w:t xml:space="preserve"> </w:t>
      </w:r>
      <w:r w:rsidRPr="00EF6209">
        <w:rPr>
          <w:rFonts w:ascii="Arial" w:hAnsi="Arial" w:cs="Arial"/>
        </w:rPr>
        <w:t>24</w:t>
      </w:r>
      <w:r w:rsidR="00EE0CCC">
        <w:rPr>
          <w:rFonts w:ascii="Arial" w:hAnsi="Arial" w:cs="Arial"/>
        </w:rPr>
        <w:t xml:space="preserve"> </w:t>
      </w:r>
      <w:r w:rsidRPr="00EF6209">
        <w:rPr>
          <w:rFonts w:ascii="Arial" w:hAnsi="Arial" w:cs="Arial"/>
        </w:rPr>
        <w:t>hours.</w:t>
      </w:r>
    </w:p>
    <w:p w:rsidR="00E75CC8" w:rsidRPr="007D322B" w:rsidRDefault="00E75CC8" w:rsidP="00E75CC8">
      <w:pPr>
        <w:pStyle w:val="Heading2"/>
        <w:rPr>
          <w:rFonts w:ascii="Arial" w:eastAsia="Calibri" w:hAnsi="Arial" w:cs="Arial"/>
          <w:i w:val="0"/>
          <w:sz w:val="24"/>
          <w:szCs w:val="24"/>
        </w:rPr>
      </w:pPr>
      <w:bookmarkStart w:id="10" w:name="_SPECIAL_PRECAUTIONS_FOR_1"/>
      <w:bookmarkEnd w:id="10"/>
      <w:r w:rsidRPr="007D322B">
        <w:rPr>
          <w:rFonts w:ascii="Arial" w:eastAsia="Calibri" w:hAnsi="Arial" w:cs="Arial"/>
          <w:i w:val="0"/>
          <w:sz w:val="24"/>
          <w:szCs w:val="24"/>
        </w:rPr>
        <w:t>SPECIAL</w:t>
      </w:r>
      <w:r w:rsidR="00EE0CCC">
        <w:rPr>
          <w:rFonts w:ascii="Arial" w:eastAsia="Calibri" w:hAnsi="Arial" w:cs="Arial"/>
          <w:i w:val="0"/>
          <w:sz w:val="24"/>
          <w:szCs w:val="24"/>
        </w:rPr>
        <w:t xml:space="preserve"> </w:t>
      </w:r>
      <w:r w:rsidRPr="007D322B">
        <w:rPr>
          <w:rFonts w:ascii="Arial" w:eastAsia="Calibri" w:hAnsi="Arial" w:cs="Arial"/>
          <w:i w:val="0"/>
          <w:sz w:val="24"/>
          <w:szCs w:val="24"/>
        </w:rPr>
        <w:t>PRECAUTIONS</w:t>
      </w:r>
      <w:r w:rsidR="00EE0CCC">
        <w:rPr>
          <w:rFonts w:ascii="Arial" w:eastAsia="Calibri" w:hAnsi="Arial" w:cs="Arial"/>
          <w:i w:val="0"/>
          <w:sz w:val="24"/>
          <w:szCs w:val="24"/>
        </w:rPr>
        <w:t xml:space="preserve"> </w:t>
      </w:r>
      <w:r w:rsidRPr="007D322B">
        <w:rPr>
          <w:rFonts w:ascii="Arial" w:eastAsia="Calibri" w:hAnsi="Arial" w:cs="Arial"/>
          <w:i w:val="0"/>
          <w:sz w:val="24"/>
          <w:szCs w:val="24"/>
        </w:rPr>
        <w:t>FOR</w:t>
      </w:r>
      <w:r w:rsidR="00EE0CCC">
        <w:rPr>
          <w:rFonts w:ascii="Arial" w:eastAsia="Calibri" w:hAnsi="Arial" w:cs="Arial"/>
          <w:i w:val="0"/>
          <w:sz w:val="24"/>
          <w:szCs w:val="24"/>
        </w:rPr>
        <w:t xml:space="preserve"> </w:t>
      </w:r>
      <w:r w:rsidRPr="007D322B">
        <w:rPr>
          <w:rFonts w:ascii="Arial" w:eastAsia="Calibri" w:hAnsi="Arial" w:cs="Arial"/>
          <w:i w:val="0"/>
          <w:sz w:val="24"/>
          <w:szCs w:val="24"/>
        </w:rPr>
        <w:t>STORAGE</w:t>
      </w:r>
    </w:p>
    <w:p w:rsidR="00E01067" w:rsidRPr="007D322B" w:rsidRDefault="00E01067" w:rsidP="00E01067">
      <w:pPr>
        <w:pStyle w:val="NoSpacing"/>
        <w:rPr>
          <w:rFonts w:ascii="Arial" w:eastAsia="Calibri" w:hAnsi="Arial" w:cs="Arial"/>
          <w:bCs/>
        </w:rPr>
      </w:pPr>
      <w:r w:rsidRPr="007D322B">
        <w:rPr>
          <w:rFonts w:ascii="Arial" w:eastAsia="Calibri" w:hAnsi="Arial" w:cs="Arial"/>
          <w:bCs/>
        </w:rPr>
        <w:t>Store</w:t>
      </w:r>
      <w:r w:rsidR="00EE0CCC">
        <w:rPr>
          <w:rFonts w:ascii="Arial" w:eastAsia="Calibri" w:hAnsi="Arial" w:cs="Arial"/>
          <w:bCs/>
        </w:rPr>
        <w:t xml:space="preserve"> </w:t>
      </w:r>
      <w:r w:rsidRPr="007D322B">
        <w:rPr>
          <w:rFonts w:ascii="Arial" w:eastAsia="Calibri" w:hAnsi="Arial" w:cs="Arial"/>
          <w:bCs/>
        </w:rPr>
        <w:t>at</w:t>
      </w:r>
      <w:r w:rsidR="00EE0CCC">
        <w:rPr>
          <w:rFonts w:ascii="Arial" w:eastAsia="Calibri" w:hAnsi="Arial" w:cs="Arial"/>
          <w:bCs/>
        </w:rPr>
        <w:t xml:space="preserve"> </w:t>
      </w:r>
      <w:r w:rsidRPr="007D322B">
        <w:rPr>
          <w:rFonts w:ascii="Arial" w:eastAsia="Calibri" w:hAnsi="Arial" w:cs="Arial"/>
          <w:bCs/>
        </w:rPr>
        <w:t>2</w:t>
      </w:r>
      <w:r w:rsidR="00EE0CCC">
        <w:rPr>
          <w:rFonts w:ascii="Arial" w:eastAsia="Calibri" w:hAnsi="Arial" w:cs="Arial"/>
          <w:bCs/>
        </w:rPr>
        <w:t xml:space="preserve"> </w:t>
      </w:r>
      <w:r w:rsidRPr="007D322B">
        <w:rPr>
          <w:rFonts w:ascii="Arial" w:eastAsia="Calibri" w:hAnsi="Arial" w:cs="Arial"/>
          <w:bCs/>
        </w:rPr>
        <w:t>°C</w:t>
      </w:r>
      <w:r w:rsidR="00EE0CCC">
        <w:rPr>
          <w:rFonts w:ascii="Arial" w:eastAsia="Calibri" w:hAnsi="Arial" w:cs="Arial"/>
          <w:bCs/>
        </w:rPr>
        <w:t xml:space="preserve"> </w:t>
      </w:r>
      <w:r w:rsidRPr="007D322B">
        <w:rPr>
          <w:rFonts w:ascii="Arial" w:eastAsia="Calibri" w:hAnsi="Arial" w:cs="Arial"/>
          <w:bCs/>
        </w:rPr>
        <w:t>to</w:t>
      </w:r>
      <w:r w:rsidR="00EE0CCC">
        <w:rPr>
          <w:rFonts w:ascii="Arial" w:eastAsia="Calibri" w:hAnsi="Arial" w:cs="Arial"/>
          <w:bCs/>
        </w:rPr>
        <w:t xml:space="preserve"> </w:t>
      </w:r>
      <w:r w:rsidRPr="007D322B">
        <w:rPr>
          <w:rFonts w:ascii="Arial" w:eastAsia="Calibri" w:hAnsi="Arial" w:cs="Arial"/>
          <w:bCs/>
        </w:rPr>
        <w:t>8</w:t>
      </w:r>
      <w:r w:rsidR="00EE0CCC">
        <w:rPr>
          <w:rFonts w:ascii="Arial" w:eastAsia="Calibri" w:hAnsi="Arial" w:cs="Arial"/>
          <w:bCs/>
        </w:rPr>
        <w:t xml:space="preserve"> </w:t>
      </w:r>
      <w:r w:rsidRPr="007D322B">
        <w:rPr>
          <w:rFonts w:ascii="Arial" w:eastAsia="Calibri" w:hAnsi="Arial" w:cs="Arial"/>
          <w:bCs/>
        </w:rPr>
        <w:t>°C</w:t>
      </w:r>
      <w:r w:rsidR="00EE0CCC">
        <w:rPr>
          <w:rFonts w:ascii="Arial" w:eastAsia="Calibri" w:hAnsi="Arial" w:cs="Arial"/>
          <w:bCs/>
        </w:rPr>
        <w:t xml:space="preserve"> </w:t>
      </w:r>
      <w:r w:rsidRPr="007D322B">
        <w:rPr>
          <w:rFonts w:ascii="Arial" w:eastAsia="Calibri" w:hAnsi="Arial" w:cs="Arial"/>
          <w:bCs/>
        </w:rPr>
        <w:t>(Refrigerate.</w:t>
      </w:r>
      <w:r w:rsidR="00EE0CCC">
        <w:rPr>
          <w:rFonts w:ascii="Arial" w:eastAsia="Calibri" w:hAnsi="Arial" w:cs="Arial"/>
          <w:bCs/>
        </w:rPr>
        <w:t xml:space="preserve"> </w:t>
      </w:r>
      <w:r w:rsidRPr="007D322B">
        <w:rPr>
          <w:rFonts w:ascii="Arial" w:eastAsia="Calibri" w:hAnsi="Arial" w:cs="Arial"/>
          <w:bCs/>
        </w:rPr>
        <w:t>Do</w:t>
      </w:r>
      <w:r w:rsidR="00EE0CCC">
        <w:rPr>
          <w:rFonts w:ascii="Arial" w:eastAsia="Calibri" w:hAnsi="Arial" w:cs="Arial"/>
          <w:bCs/>
        </w:rPr>
        <w:t xml:space="preserve"> </w:t>
      </w:r>
      <w:r w:rsidRPr="007D322B">
        <w:rPr>
          <w:rFonts w:ascii="Arial" w:eastAsia="Calibri" w:hAnsi="Arial" w:cs="Arial"/>
          <w:bCs/>
        </w:rPr>
        <w:t>not</w:t>
      </w:r>
      <w:r w:rsidR="00EE0CCC">
        <w:rPr>
          <w:rFonts w:ascii="Arial" w:eastAsia="Calibri" w:hAnsi="Arial" w:cs="Arial"/>
          <w:bCs/>
        </w:rPr>
        <w:t xml:space="preserve"> </w:t>
      </w:r>
      <w:r w:rsidRPr="007D322B">
        <w:rPr>
          <w:rFonts w:ascii="Arial" w:eastAsia="Calibri" w:hAnsi="Arial" w:cs="Arial"/>
          <w:bCs/>
        </w:rPr>
        <w:t>freeze).</w:t>
      </w:r>
    </w:p>
    <w:p w:rsidR="00E01067" w:rsidRPr="007D322B" w:rsidRDefault="00E01067" w:rsidP="00E01067">
      <w:pPr>
        <w:pStyle w:val="NoSpacing"/>
        <w:rPr>
          <w:rFonts w:ascii="Arial" w:eastAsia="Calibri" w:hAnsi="Arial" w:cs="Arial"/>
          <w:bCs/>
        </w:rPr>
      </w:pPr>
      <w:r w:rsidRPr="007D322B">
        <w:rPr>
          <w:rFonts w:ascii="Arial" w:eastAsia="Calibri" w:hAnsi="Arial" w:cs="Arial"/>
          <w:bCs/>
        </w:rPr>
        <w:t>Keep</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vial</w:t>
      </w:r>
      <w:r w:rsidR="00EE0CCC">
        <w:rPr>
          <w:rFonts w:ascii="Arial" w:eastAsia="Calibri" w:hAnsi="Arial" w:cs="Arial"/>
          <w:bCs/>
        </w:rPr>
        <w:t xml:space="preserve"> </w:t>
      </w: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outer</w:t>
      </w:r>
      <w:r w:rsidR="00EE0CCC">
        <w:rPr>
          <w:rFonts w:ascii="Arial" w:eastAsia="Calibri" w:hAnsi="Arial" w:cs="Arial"/>
          <w:bCs/>
        </w:rPr>
        <w:t xml:space="preserve"> </w:t>
      </w:r>
      <w:r w:rsidRPr="007D322B">
        <w:rPr>
          <w:rFonts w:ascii="Arial" w:eastAsia="Calibri" w:hAnsi="Arial" w:cs="Arial"/>
          <w:bCs/>
        </w:rPr>
        <w:t>carton</w:t>
      </w:r>
      <w:r w:rsidR="00EE0CCC">
        <w:rPr>
          <w:rFonts w:ascii="Arial" w:eastAsia="Calibri" w:hAnsi="Arial" w:cs="Arial"/>
          <w:bCs/>
        </w:rPr>
        <w:t xml:space="preserve"> </w:t>
      </w: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order</w:t>
      </w:r>
      <w:r w:rsidR="00EE0CCC">
        <w:rPr>
          <w:rFonts w:ascii="Arial" w:eastAsia="Calibri" w:hAnsi="Arial" w:cs="Arial"/>
          <w:bCs/>
        </w:rPr>
        <w:t xml:space="preserve"> </w:t>
      </w:r>
      <w:r w:rsidRPr="007D322B">
        <w:rPr>
          <w:rFonts w:ascii="Arial" w:eastAsia="Calibri" w:hAnsi="Arial" w:cs="Arial"/>
          <w:bCs/>
        </w:rPr>
        <w:t>to</w:t>
      </w:r>
      <w:r w:rsidR="00EE0CCC">
        <w:rPr>
          <w:rFonts w:ascii="Arial" w:eastAsia="Calibri" w:hAnsi="Arial" w:cs="Arial"/>
          <w:bCs/>
        </w:rPr>
        <w:t xml:space="preserve"> </w:t>
      </w:r>
      <w:r w:rsidRPr="007D322B">
        <w:rPr>
          <w:rFonts w:ascii="Arial" w:eastAsia="Calibri" w:hAnsi="Arial" w:cs="Arial"/>
          <w:bCs/>
        </w:rPr>
        <w:t>protect</w:t>
      </w:r>
      <w:r w:rsidR="00EE0CCC">
        <w:rPr>
          <w:rFonts w:ascii="Arial" w:eastAsia="Calibri" w:hAnsi="Arial" w:cs="Arial"/>
          <w:bCs/>
        </w:rPr>
        <w:t xml:space="preserve"> </w:t>
      </w:r>
      <w:r w:rsidRPr="007D322B">
        <w:rPr>
          <w:rFonts w:ascii="Arial" w:eastAsia="Calibri" w:hAnsi="Arial" w:cs="Arial"/>
          <w:bCs/>
        </w:rPr>
        <w:t>from</w:t>
      </w:r>
      <w:r w:rsidR="00EE0CCC">
        <w:rPr>
          <w:rFonts w:ascii="Arial" w:eastAsia="Calibri" w:hAnsi="Arial" w:cs="Arial"/>
          <w:bCs/>
        </w:rPr>
        <w:t xml:space="preserve"> </w:t>
      </w:r>
      <w:r w:rsidRPr="007D322B">
        <w:rPr>
          <w:rFonts w:ascii="Arial" w:eastAsia="Calibri" w:hAnsi="Arial" w:cs="Arial"/>
          <w:bCs/>
        </w:rPr>
        <w:t>light.</w:t>
      </w:r>
    </w:p>
    <w:p w:rsidR="00E01067" w:rsidRPr="007D322B" w:rsidRDefault="00E01067" w:rsidP="00E01067">
      <w:pPr>
        <w:pStyle w:val="NoSpacing"/>
        <w:rPr>
          <w:rFonts w:ascii="Arial" w:eastAsia="Calibri" w:hAnsi="Arial" w:cs="Arial"/>
          <w:bCs/>
        </w:rPr>
      </w:pPr>
    </w:p>
    <w:p w:rsidR="00E75CC8" w:rsidRDefault="00E01067" w:rsidP="00E01067">
      <w:pPr>
        <w:pStyle w:val="NoSpacing"/>
        <w:rPr>
          <w:rFonts w:ascii="Arial" w:eastAsia="Calibri" w:hAnsi="Arial" w:cs="Arial"/>
          <w:bCs/>
        </w:rPr>
      </w:pPr>
      <w:r w:rsidRPr="007D322B">
        <w:rPr>
          <w:rFonts w:ascii="Arial" w:eastAsia="Calibri" w:hAnsi="Arial" w:cs="Arial"/>
          <w:bCs/>
        </w:rPr>
        <w:t>For</w:t>
      </w:r>
      <w:r w:rsidR="00EE0CCC">
        <w:rPr>
          <w:rFonts w:ascii="Arial" w:eastAsia="Calibri" w:hAnsi="Arial" w:cs="Arial"/>
          <w:bCs/>
        </w:rPr>
        <w:t xml:space="preserve"> </w:t>
      </w:r>
      <w:r w:rsidRPr="007D322B">
        <w:rPr>
          <w:rFonts w:ascii="Arial" w:eastAsia="Calibri" w:hAnsi="Arial" w:cs="Arial"/>
          <w:bCs/>
        </w:rPr>
        <w:t>storage</w:t>
      </w:r>
      <w:r w:rsidR="00EE0CCC">
        <w:rPr>
          <w:rFonts w:ascii="Arial" w:eastAsia="Calibri" w:hAnsi="Arial" w:cs="Arial"/>
          <w:bCs/>
        </w:rPr>
        <w:t xml:space="preserve"> </w:t>
      </w:r>
      <w:r w:rsidRPr="007D322B">
        <w:rPr>
          <w:rFonts w:ascii="Arial" w:eastAsia="Calibri" w:hAnsi="Arial" w:cs="Arial"/>
          <w:bCs/>
        </w:rPr>
        <w:t>conditions</w:t>
      </w:r>
      <w:r w:rsidR="00EE0CCC">
        <w:rPr>
          <w:rFonts w:ascii="Arial" w:eastAsia="Calibri" w:hAnsi="Arial" w:cs="Arial"/>
          <w:bCs/>
        </w:rPr>
        <w:t xml:space="preserve"> </w:t>
      </w:r>
      <w:r w:rsidRPr="007D322B">
        <w:rPr>
          <w:rFonts w:ascii="Arial" w:eastAsia="Calibri" w:hAnsi="Arial" w:cs="Arial"/>
          <w:bCs/>
        </w:rPr>
        <w:t>after</w:t>
      </w:r>
      <w:r w:rsidR="00EE0CCC">
        <w:rPr>
          <w:rFonts w:ascii="Arial" w:eastAsia="Calibri" w:hAnsi="Arial" w:cs="Arial"/>
          <w:bCs/>
        </w:rPr>
        <w:t xml:space="preserve"> </w:t>
      </w:r>
      <w:r w:rsidRPr="007D322B">
        <w:rPr>
          <w:rFonts w:ascii="Arial" w:eastAsia="Calibri" w:hAnsi="Arial" w:cs="Arial"/>
          <w:bCs/>
        </w:rPr>
        <w:t>dilution</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the</w:t>
      </w:r>
      <w:r w:rsidR="00EE0CCC">
        <w:rPr>
          <w:rFonts w:ascii="Arial" w:eastAsia="Calibri" w:hAnsi="Arial" w:cs="Arial"/>
          <w:bCs/>
        </w:rPr>
        <w:t xml:space="preserve"> </w:t>
      </w:r>
      <w:r w:rsidRPr="007D322B">
        <w:rPr>
          <w:rFonts w:ascii="Arial" w:eastAsia="Calibri" w:hAnsi="Arial" w:cs="Arial"/>
          <w:bCs/>
        </w:rPr>
        <w:t>medicinal</w:t>
      </w:r>
      <w:r w:rsidR="00EE0CCC">
        <w:rPr>
          <w:rFonts w:ascii="Arial" w:eastAsia="Calibri" w:hAnsi="Arial" w:cs="Arial"/>
          <w:bCs/>
        </w:rPr>
        <w:t xml:space="preserve"> </w:t>
      </w:r>
      <w:r w:rsidRPr="007D322B">
        <w:rPr>
          <w:rFonts w:ascii="Arial" w:eastAsia="Calibri" w:hAnsi="Arial" w:cs="Arial"/>
          <w:bCs/>
        </w:rPr>
        <w:t>product,</w:t>
      </w:r>
      <w:r w:rsidR="00EE0CCC">
        <w:rPr>
          <w:rFonts w:ascii="Arial" w:eastAsia="Calibri" w:hAnsi="Arial" w:cs="Arial"/>
          <w:bCs/>
        </w:rPr>
        <w:t xml:space="preserve"> </w:t>
      </w:r>
      <w:r w:rsidRPr="007D322B">
        <w:rPr>
          <w:rFonts w:ascii="Arial" w:eastAsia="Calibri" w:hAnsi="Arial" w:cs="Arial"/>
          <w:bCs/>
        </w:rPr>
        <w:t>see</w:t>
      </w:r>
      <w:r w:rsidR="00EE0CCC">
        <w:rPr>
          <w:rFonts w:ascii="Arial" w:eastAsia="Calibri" w:hAnsi="Arial" w:cs="Arial"/>
          <w:bCs/>
        </w:rPr>
        <w:t xml:space="preserve"> </w:t>
      </w:r>
      <w:r w:rsidRPr="007D322B">
        <w:rPr>
          <w:rFonts w:ascii="Arial" w:eastAsia="Calibri" w:hAnsi="Arial" w:cs="Arial"/>
          <w:bCs/>
        </w:rPr>
        <w:t>section</w:t>
      </w:r>
      <w:r w:rsidR="00EE0CCC">
        <w:rPr>
          <w:rFonts w:ascii="Arial" w:eastAsia="Calibri" w:hAnsi="Arial" w:cs="Arial"/>
          <w:bCs/>
        </w:rPr>
        <w:t xml:space="preserve"> </w:t>
      </w:r>
      <w:hyperlink w:anchor="_SHELF_LIFE" w:history="1">
        <w:r w:rsidRPr="007050E7">
          <w:rPr>
            <w:rStyle w:val="Hyperlink"/>
            <w:rFonts w:ascii="Arial" w:eastAsia="Calibri" w:hAnsi="Arial" w:cs="Arial"/>
            <w:bCs/>
          </w:rPr>
          <w:t>6.3</w:t>
        </w:r>
        <w:r w:rsidR="00EE0CCC">
          <w:rPr>
            <w:rStyle w:val="Hyperlink"/>
            <w:rFonts w:ascii="Arial" w:eastAsia="Calibri" w:hAnsi="Arial" w:cs="Arial"/>
            <w:bCs/>
          </w:rPr>
          <w:t xml:space="preserve"> </w:t>
        </w:r>
        <w:r w:rsidR="007050E7" w:rsidRPr="007050E7">
          <w:rPr>
            <w:rStyle w:val="Hyperlink"/>
            <w:rFonts w:ascii="Arial" w:eastAsia="Calibri" w:hAnsi="Arial" w:cs="Arial"/>
            <w:bCs/>
          </w:rPr>
          <w:t>SHELF</w:t>
        </w:r>
        <w:r w:rsidR="00EE0CCC">
          <w:rPr>
            <w:rStyle w:val="Hyperlink"/>
            <w:rFonts w:ascii="Arial" w:eastAsia="Calibri" w:hAnsi="Arial" w:cs="Arial"/>
            <w:bCs/>
          </w:rPr>
          <w:t xml:space="preserve"> </w:t>
        </w:r>
        <w:r w:rsidR="007050E7" w:rsidRPr="007050E7">
          <w:rPr>
            <w:rStyle w:val="Hyperlink"/>
            <w:rFonts w:ascii="Arial" w:eastAsia="Calibri" w:hAnsi="Arial" w:cs="Arial"/>
            <w:bCs/>
          </w:rPr>
          <w:t>LIFE</w:t>
        </w:r>
      </w:hyperlink>
      <w:r w:rsidRPr="007D322B">
        <w:rPr>
          <w:rFonts w:ascii="Arial" w:eastAsia="Calibri" w:hAnsi="Arial" w:cs="Arial"/>
          <w:bCs/>
        </w:rPr>
        <w:t>.</w:t>
      </w:r>
    </w:p>
    <w:p w:rsidR="00743044" w:rsidRDefault="00743044" w:rsidP="00E01067">
      <w:pPr>
        <w:pStyle w:val="NoSpacing"/>
        <w:rPr>
          <w:rFonts w:ascii="Arial" w:eastAsia="Calibri" w:hAnsi="Arial" w:cs="Arial"/>
          <w:bCs/>
        </w:rPr>
      </w:pPr>
    </w:p>
    <w:p w:rsidR="00743044" w:rsidRPr="007D322B" w:rsidRDefault="00743044" w:rsidP="00E01067">
      <w:pPr>
        <w:pStyle w:val="NoSpacing"/>
        <w:rPr>
          <w:rFonts w:ascii="Arial" w:eastAsia="Calibri" w:hAnsi="Arial" w:cs="Arial"/>
          <w:bCs/>
        </w:rPr>
      </w:pPr>
      <w:r w:rsidRPr="00743044">
        <w:rPr>
          <w:rFonts w:ascii="Arial" w:eastAsia="Calibri" w:hAnsi="Arial" w:cs="Arial"/>
          <w:bCs/>
        </w:rPr>
        <w:t>Opened</w:t>
      </w:r>
      <w:r w:rsidR="00EE0CCC">
        <w:rPr>
          <w:rFonts w:ascii="Arial" w:eastAsia="Calibri" w:hAnsi="Arial" w:cs="Arial"/>
          <w:bCs/>
        </w:rPr>
        <w:t xml:space="preserve"> </w:t>
      </w:r>
      <w:r w:rsidRPr="00743044">
        <w:rPr>
          <w:rFonts w:ascii="Arial" w:eastAsia="Calibri" w:hAnsi="Arial" w:cs="Arial"/>
          <w:bCs/>
        </w:rPr>
        <w:t>vials</w:t>
      </w:r>
      <w:r w:rsidR="00EE0CCC">
        <w:rPr>
          <w:rFonts w:ascii="Arial" w:eastAsia="Calibri" w:hAnsi="Arial" w:cs="Arial"/>
          <w:bCs/>
        </w:rPr>
        <w:t xml:space="preserve"> </w:t>
      </w:r>
      <w:r w:rsidRPr="00743044">
        <w:rPr>
          <w:rFonts w:ascii="Arial" w:eastAsia="Calibri" w:hAnsi="Arial" w:cs="Arial"/>
          <w:bCs/>
        </w:rPr>
        <w:t>not</w:t>
      </w:r>
      <w:r w:rsidR="00EE0CCC">
        <w:rPr>
          <w:rFonts w:ascii="Arial" w:eastAsia="Calibri" w:hAnsi="Arial" w:cs="Arial"/>
          <w:bCs/>
        </w:rPr>
        <w:t xml:space="preserve"> </w:t>
      </w:r>
      <w:r w:rsidRPr="00743044">
        <w:rPr>
          <w:rFonts w:ascii="Arial" w:eastAsia="Calibri" w:hAnsi="Arial" w:cs="Arial"/>
          <w:bCs/>
        </w:rPr>
        <w:t>immediately</w:t>
      </w:r>
      <w:r w:rsidR="00EE0CCC">
        <w:rPr>
          <w:rFonts w:ascii="Arial" w:eastAsia="Calibri" w:hAnsi="Arial" w:cs="Arial"/>
          <w:bCs/>
        </w:rPr>
        <w:t xml:space="preserve"> </w:t>
      </w:r>
      <w:r w:rsidRPr="00743044">
        <w:rPr>
          <w:rFonts w:ascii="Arial" w:eastAsia="Calibri" w:hAnsi="Arial" w:cs="Arial"/>
          <w:bCs/>
        </w:rPr>
        <w:t>used</w:t>
      </w:r>
      <w:r w:rsidR="00EE0CCC">
        <w:rPr>
          <w:rFonts w:ascii="Arial" w:eastAsia="Calibri" w:hAnsi="Arial" w:cs="Arial"/>
          <w:bCs/>
        </w:rPr>
        <w:t xml:space="preserve"> </w:t>
      </w:r>
      <w:r w:rsidRPr="00743044">
        <w:rPr>
          <w:rFonts w:ascii="Arial" w:eastAsia="Calibri" w:hAnsi="Arial" w:cs="Arial"/>
          <w:bCs/>
        </w:rPr>
        <w:t>are</w:t>
      </w:r>
      <w:r w:rsidR="00EE0CCC">
        <w:rPr>
          <w:rFonts w:ascii="Arial" w:eastAsia="Calibri" w:hAnsi="Arial" w:cs="Arial"/>
          <w:bCs/>
        </w:rPr>
        <w:t xml:space="preserve"> </w:t>
      </w:r>
      <w:r w:rsidRPr="00743044">
        <w:rPr>
          <w:rFonts w:ascii="Arial" w:eastAsia="Calibri" w:hAnsi="Arial" w:cs="Arial"/>
          <w:bCs/>
        </w:rPr>
        <w:t>to</w:t>
      </w:r>
      <w:r w:rsidR="00EE0CCC">
        <w:rPr>
          <w:rFonts w:ascii="Arial" w:eastAsia="Calibri" w:hAnsi="Arial" w:cs="Arial"/>
          <w:bCs/>
        </w:rPr>
        <w:t xml:space="preserve"> </w:t>
      </w:r>
      <w:r w:rsidRPr="00743044">
        <w:rPr>
          <w:rFonts w:ascii="Arial" w:eastAsia="Calibri" w:hAnsi="Arial" w:cs="Arial"/>
          <w:bCs/>
        </w:rPr>
        <w:t>be</w:t>
      </w:r>
      <w:r w:rsidR="00EE0CCC">
        <w:rPr>
          <w:rFonts w:ascii="Arial" w:eastAsia="Calibri" w:hAnsi="Arial" w:cs="Arial"/>
          <w:bCs/>
        </w:rPr>
        <w:t xml:space="preserve"> </w:t>
      </w:r>
      <w:r w:rsidRPr="00743044">
        <w:rPr>
          <w:rFonts w:ascii="Arial" w:eastAsia="Calibri" w:hAnsi="Arial" w:cs="Arial"/>
          <w:bCs/>
        </w:rPr>
        <w:t>discarded.</w:t>
      </w:r>
    </w:p>
    <w:p w:rsidR="00587FFD" w:rsidRPr="007D322B" w:rsidRDefault="00587FFD" w:rsidP="00E01067">
      <w:pPr>
        <w:pStyle w:val="NoSpacing"/>
        <w:rPr>
          <w:rFonts w:ascii="Arial" w:eastAsia="Calibri" w:hAnsi="Arial" w:cs="Arial"/>
          <w:bCs/>
        </w:rPr>
      </w:pPr>
    </w:p>
    <w:p w:rsidR="00587FFD" w:rsidRPr="007D322B" w:rsidRDefault="00587FFD" w:rsidP="00E01067">
      <w:pPr>
        <w:pStyle w:val="NoSpacing"/>
        <w:rPr>
          <w:rFonts w:ascii="Arial" w:eastAsia="Calibri" w:hAnsi="Arial" w:cs="Arial"/>
          <w:b/>
        </w:rPr>
      </w:pPr>
      <w:r w:rsidRPr="007D322B">
        <w:rPr>
          <w:rFonts w:ascii="Arial" w:eastAsia="Calibri" w:hAnsi="Arial" w:cs="Arial"/>
          <w:b/>
        </w:rPr>
        <w:t>Special</w:t>
      </w:r>
      <w:r w:rsidR="00EE0CCC">
        <w:rPr>
          <w:rFonts w:ascii="Arial" w:eastAsia="Calibri" w:hAnsi="Arial" w:cs="Arial"/>
          <w:b/>
        </w:rPr>
        <w:t xml:space="preserve"> </w:t>
      </w:r>
      <w:r w:rsidRPr="007D322B">
        <w:rPr>
          <w:rFonts w:ascii="Arial" w:eastAsia="Calibri" w:hAnsi="Arial" w:cs="Arial"/>
          <w:b/>
        </w:rPr>
        <w:t>precautions</w:t>
      </w:r>
      <w:r w:rsidR="00EE0CCC">
        <w:rPr>
          <w:rFonts w:ascii="Arial" w:eastAsia="Calibri" w:hAnsi="Arial" w:cs="Arial"/>
          <w:b/>
        </w:rPr>
        <w:t xml:space="preserve"> </w:t>
      </w:r>
      <w:r w:rsidRPr="007D322B">
        <w:rPr>
          <w:rFonts w:ascii="Arial" w:eastAsia="Calibri" w:hAnsi="Arial" w:cs="Arial"/>
          <w:b/>
        </w:rPr>
        <w:t>for</w:t>
      </w:r>
      <w:r w:rsidR="00EE0CCC">
        <w:rPr>
          <w:rFonts w:ascii="Arial" w:eastAsia="Calibri" w:hAnsi="Arial" w:cs="Arial"/>
          <w:b/>
        </w:rPr>
        <w:t xml:space="preserve"> </w:t>
      </w:r>
      <w:r w:rsidRPr="007D322B">
        <w:rPr>
          <w:rFonts w:ascii="Arial" w:eastAsia="Calibri" w:hAnsi="Arial" w:cs="Arial"/>
          <w:b/>
        </w:rPr>
        <w:t>handling</w:t>
      </w:r>
    </w:p>
    <w:p w:rsidR="00587FFD" w:rsidRPr="007D322B" w:rsidRDefault="00587FFD" w:rsidP="00587FFD">
      <w:pPr>
        <w:keepNext/>
        <w:keepLines/>
        <w:rPr>
          <w:rFonts w:ascii="Arial" w:hAnsi="Arial" w:cs="Arial"/>
        </w:rPr>
      </w:pPr>
      <w:r w:rsidRPr="007D322B">
        <w:rPr>
          <w:rFonts w:ascii="Arial" w:hAnsi="Arial" w:cs="Arial"/>
        </w:rPr>
        <w:t>The</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must</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prepared</w:t>
      </w:r>
      <w:r w:rsidR="00EE0CCC">
        <w:rPr>
          <w:rFonts w:ascii="Arial" w:hAnsi="Arial" w:cs="Arial"/>
        </w:rPr>
        <w:t xml:space="preserve"> </w:t>
      </w:r>
      <w:r w:rsidRPr="007D322B">
        <w:rPr>
          <w:rFonts w:ascii="Arial" w:hAnsi="Arial" w:cs="Arial"/>
        </w:rPr>
        <w:t>under</w:t>
      </w:r>
      <w:r w:rsidR="00EE0CCC">
        <w:rPr>
          <w:rFonts w:ascii="Arial" w:hAnsi="Arial" w:cs="Arial"/>
        </w:rPr>
        <w:t xml:space="preserve"> </w:t>
      </w:r>
      <w:r w:rsidRPr="007D322B">
        <w:rPr>
          <w:rFonts w:ascii="Arial" w:hAnsi="Arial" w:cs="Arial"/>
        </w:rPr>
        <w:t>aseptic</w:t>
      </w:r>
      <w:r w:rsidR="00EE0CCC">
        <w:rPr>
          <w:rFonts w:ascii="Arial" w:hAnsi="Arial" w:cs="Arial"/>
        </w:rPr>
        <w:t xml:space="preserve"> </w:t>
      </w:r>
      <w:r w:rsidRPr="007D322B">
        <w:rPr>
          <w:rFonts w:ascii="Arial" w:hAnsi="Arial" w:cs="Arial"/>
        </w:rPr>
        <w:t>conditions.</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must</w:t>
      </w:r>
      <w:r w:rsidR="00EE0CCC">
        <w:rPr>
          <w:rFonts w:ascii="Arial" w:hAnsi="Arial" w:cs="Arial"/>
        </w:rPr>
        <w:t xml:space="preserve"> </w:t>
      </w:r>
      <w:r w:rsidRPr="007D322B">
        <w:rPr>
          <w:rFonts w:ascii="Arial" w:hAnsi="Arial" w:cs="Arial"/>
        </w:rPr>
        <w:t>not</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exposed</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direct</w:t>
      </w:r>
      <w:r w:rsidR="00EE0CCC">
        <w:rPr>
          <w:rFonts w:ascii="Arial" w:hAnsi="Arial" w:cs="Arial"/>
        </w:rPr>
        <w:t xml:space="preserve"> </w:t>
      </w:r>
      <w:r w:rsidRPr="007D322B">
        <w:rPr>
          <w:rFonts w:ascii="Arial" w:hAnsi="Arial" w:cs="Arial"/>
        </w:rPr>
        <w:t>sunlight</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heat.</w:t>
      </w:r>
    </w:p>
    <w:p w:rsidR="00587FFD" w:rsidRPr="007D322B" w:rsidRDefault="00587FFD" w:rsidP="00587FFD">
      <w:pPr>
        <w:rPr>
          <w:rFonts w:ascii="Arial" w:hAnsi="Arial" w:cs="Arial"/>
        </w:rPr>
      </w:pPr>
    </w:p>
    <w:p w:rsidR="00587FFD" w:rsidRPr="007D322B" w:rsidRDefault="00587FFD" w:rsidP="00587FFD">
      <w:pPr>
        <w:rPr>
          <w:rFonts w:ascii="Arial" w:hAnsi="Arial" w:cs="Arial"/>
        </w:rPr>
      </w:pPr>
      <w:r w:rsidRPr="007D322B">
        <w:rPr>
          <w:rFonts w:ascii="Arial" w:hAnsi="Arial" w:cs="Arial"/>
        </w:rPr>
        <w:t>The</w:t>
      </w:r>
      <w:r w:rsidR="00EE0CCC">
        <w:rPr>
          <w:rFonts w:ascii="Arial" w:hAnsi="Arial" w:cs="Arial"/>
        </w:rPr>
        <w:t xml:space="preserve"> </w:t>
      </w:r>
      <w:r w:rsidRPr="007D322B">
        <w:rPr>
          <w:rFonts w:ascii="Arial" w:hAnsi="Arial" w:cs="Arial"/>
        </w:rPr>
        <w:t>patient</w:t>
      </w:r>
      <w:r w:rsidR="00EE0CCC">
        <w:rPr>
          <w:rFonts w:ascii="Arial" w:hAnsi="Arial" w:cs="Arial"/>
        </w:rPr>
        <w:t xml:space="preserve"> </w:t>
      </w:r>
      <w:r w:rsidRPr="007D322B">
        <w:rPr>
          <w:rFonts w:ascii="Arial" w:hAnsi="Arial" w:cs="Arial"/>
        </w:rPr>
        <w:t>specific</w:t>
      </w:r>
      <w:r w:rsidR="00EE0CCC">
        <w:rPr>
          <w:rFonts w:ascii="Arial" w:hAnsi="Arial" w:cs="Arial"/>
        </w:rPr>
        <w:t xml:space="preserve"> </w:t>
      </w:r>
      <w:r w:rsidRPr="007D322B">
        <w:rPr>
          <w:rFonts w:ascii="Arial" w:hAnsi="Arial" w:cs="Arial"/>
        </w:rPr>
        <w:t>daily</w:t>
      </w:r>
      <w:r w:rsidR="00EE0CCC">
        <w:rPr>
          <w:rFonts w:ascii="Arial" w:hAnsi="Arial" w:cs="Arial"/>
        </w:rPr>
        <w:t xml:space="preserve"> </w:t>
      </w:r>
      <w:r w:rsidRPr="007D322B">
        <w:rPr>
          <w:rFonts w:ascii="Arial" w:hAnsi="Arial" w:cs="Arial"/>
        </w:rPr>
        <w:t>dose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Qarziba</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calculated</w:t>
      </w:r>
      <w:r w:rsidR="00EE0CCC">
        <w:rPr>
          <w:rFonts w:ascii="Arial" w:hAnsi="Arial" w:cs="Arial"/>
        </w:rPr>
        <w:t xml:space="preserve"> </w:t>
      </w:r>
      <w:r w:rsidRPr="007D322B">
        <w:rPr>
          <w:rFonts w:ascii="Arial" w:hAnsi="Arial" w:cs="Arial"/>
        </w:rPr>
        <w:t>based</w:t>
      </w:r>
      <w:r w:rsidR="00EE0CCC">
        <w:rPr>
          <w:rFonts w:ascii="Arial" w:hAnsi="Arial" w:cs="Arial"/>
        </w:rPr>
        <w:t xml:space="preserve"> </w:t>
      </w:r>
      <w:r w:rsidRPr="007D322B">
        <w:rPr>
          <w:rFonts w:ascii="Arial" w:hAnsi="Arial" w:cs="Arial"/>
        </w:rPr>
        <w:t>on</w:t>
      </w:r>
      <w:r w:rsidR="00EE0CCC">
        <w:rPr>
          <w:rFonts w:ascii="Arial" w:hAnsi="Arial" w:cs="Arial"/>
        </w:rPr>
        <w:t xml:space="preserve"> </w:t>
      </w:r>
      <w:r w:rsidRPr="007D322B">
        <w:rPr>
          <w:rFonts w:ascii="Arial" w:hAnsi="Arial" w:cs="Arial"/>
        </w:rPr>
        <w:t>body</w:t>
      </w:r>
      <w:r w:rsidR="00EE0CCC">
        <w:rPr>
          <w:rFonts w:ascii="Arial" w:hAnsi="Arial" w:cs="Arial"/>
        </w:rPr>
        <w:t xml:space="preserve"> </w:t>
      </w:r>
      <w:r w:rsidRPr="007D322B">
        <w:rPr>
          <w:rFonts w:ascii="Arial" w:hAnsi="Arial" w:cs="Arial"/>
        </w:rPr>
        <w:t>surface</w:t>
      </w:r>
      <w:r w:rsidR="00EE0CCC">
        <w:rPr>
          <w:rFonts w:ascii="Arial" w:hAnsi="Arial" w:cs="Arial"/>
        </w:rPr>
        <w:t xml:space="preserve"> </w:t>
      </w:r>
      <w:r w:rsidRPr="007D322B">
        <w:rPr>
          <w:rFonts w:ascii="Arial" w:hAnsi="Arial" w:cs="Arial"/>
        </w:rPr>
        <w:t>area</w:t>
      </w:r>
      <w:r w:rsidR="00EE0CCC">
        <w:rPr>
          <w:rFonts w:ascii="Arial" w:hAnsi="Arial" w:cs="Arial"/>
        </w:rPr>
        <w:t xml:space="preserve"> </w:t>
      </w:r>
      <w:r w:rsidRPr="007D322B">
        <w:rPr>
          <w:rFonts w:ascii="Arial" w:hAnsi="Arial" w:cs="Arial"/>
        </w:rPr>
        <w:t>(see</w:t>
      </w:r>
      <w:r w:rsidR="00EE0CCC">
        <w:rPr>
          <w:rFonts w:ascii="Arial" w:hAnsi="Arial" w:cs="Arial"/>
        </w:rPr>
        <w:t xml:space="preserve"> </w:t>
      </w:r>
      <w:r w:rsidRPr="007D322B">
        <w:rPr>
          <w:rFonts w:ascii="Arial" w:hAnsi="Arial" w:cs="Arial"/>
        </w:rPr>
        <w:t>section</w:t>
      </w:r>
      <w:r w:rsidR="00EE0CCC">
        <w:rPr>
          <w:rFonts w:ascii="Arial" w:hAnsi="Arial" w:cs="Arial"/>
        </w:rPr>
        <w:t xml:space="preserve"> </w:t>
      </w:r>
      <w:hyperlink w:anchor="_DOSE_AND_METHOD" w:history="1">
        <w:r w:rsidRPr="007050E7">
          <w:rPr>
            <w:rStyle w:val="Hyperlink"/>
            <w:rFonts w:ascii="Arial" w:hAnsi="Arial" w:cs="Arial"/>
          </w:rPr>
          <w:t>4.2</w:t>
        </w:r>
        <w:r w:rsidR="00EE0CCC">
          <w:rPr>
            <w:rStyle w:val="Hyperlink"/>
            <w:rFonts w:ascii="Arial" w:hAnsi="Arial" w:cs="Arial"/>
          </w:rPr>
          <w:t xml:space="preserve"> </w:t>
        </w:r>
        <w:r w:rsidR="007050E7" w:rsidRPr="007050E7">
          <w:rPr>
            <w:rStyle w:val="Hyperlink"/>
            <w:rFonts w:ascii="Arial" w:hAnsi="Arial" w:cs="Arial"/>
          </w:rPr>
          <w:t>DOSE</w:t>
        </w:r>
        <w:r w:rsidR="00EE0CCC">
          <w:rPr>
            <w:rStyle w:val="Hyperlink"/>
            <w:rFonts w:ascii="Arial" w:hAnsi="Arial" w:cs="Arial"/>
          </w:rPr>
          <w:t xml:space="preserve"> </w:t>
        </w:r>
        <w:r w:rsidR="007050E7" w:rsidRPr="007050E7">
          <w:rPr>
            <w:rStyle w:val="Hyperlink"/>
            <w:rFonts w:ascii="Arial" w:hAnsi="Arial" w:cs="Arial"/>
          </w:rPr>
          <w:t>AND</w:t>
        </w:r>
        <w:r w:rsidR="00EE0CCC">
          <w:rPr>
            <w:rStyle w:val="Hyperlink"/>
            <w:rFonts w:ascii="Arial" w:hAnsi="Arial" w:cs="Arial"/>
          </w:rPr>
          <w:t xml:space="preserve"> </w:t>
        </w:r>
        <w:r w:rsidR="007050E7" w:rsidRPr="007050E7">
          <w:rPr>
            <w:rStyle w:val="Hyperlink"/>
            <w:rFonts w:ascii="Arial" w:hAnsi="Arial" w:cs="Arial"/>
          </w:rPr>
          <w:t>METHOD</w:t>
        </w:r>
        <w:r w:rsidR="00EE0CCC">
          <w:rPr>
            <w:rStyle w:val="Hyperlink"/>
            <w:rFonts w:ascii="Arial" w:hAnsi="Arial" w:cs="Arial"/>
          </w:rPr>
          <w:t xml:space="preserve"> </w:t>
        </w:r>
        <w:r w:rsidR="007050E7" w:rsidRPr="007050E7">
          <w:rPr>
            <w:rStyle w:val="Hyperlink"/>
            <w:rFonts w:ascii="Arial" w:hAnsi="Arial" w:cs="Arial"/>
          </w:rPr>
          <w:t>OF</w:t>
        </w:r>
        <w:r w:rsidR="00EE0CCC">
          <w:rPr>
            <w:rStyle w:val="Hyperlink"/>
            <w:rFonts w:ascii="Arial" w:hAnsi="Arial" w:cs="Arial"/>
          </w:rPr>
          <w:t xml:space="preserve"> </w:t>
        </w:r>
        <w:r w:rsidR="007050E7" w:rsidRPr="007050E7">
          <w:rPr>
            <w:rStyle w:val="Hyperlink"/>
            <w:rFonts w:ascii="Arial" w:hAnsi="Arial" w:cs="Arial"/>
          </w:rPr>
          <w:t>ADMINISTRATION</w:t>
        </w:r>
      </w:hyperlink>
      <w:r w:rsidRPr="007D322B">
        <w:rPr>
          <w:rFonts w:ascii="Arial" w:hAnsi="Arial" w:cs="Arial"/>
        </w:rPr>
        <w:t>).</w:t>
      </w:r>
    </w:p>
    <w:p w:rsidR="00587FFD" w:rsidRPr="007D322B" w:rsidRDefault="00587FFD" w:rsidP="00587FFD">
      <w:pPr>
        <w:rPr>
          <w:rFonts w:ascii="Arial" w:hAnsi="Arial" w:cs="Arial"/>
        </w:rPr>
      </w:pPr>
    </w:p>
    <w:p w:rsidR="00587FFD" w:rsidRPr="007D322B" w:rsidRDefault="00587FFD" w:rsidP="00587FFD">
      <w:pPr>
        <w:rPr>
          <w:rFonts w:ascii="Arial" w:hAnsi="Arial" w:cs="Arial"/>
        </w:rPr>
      </w:pPr>
      <w:r w:rsidRPr="007D322B">
        <w:rPr>
          <w:rFonts w:ascii="Arial" w:hAnsi="Arial" w:cs="Arial"/>
        </w:rPr>
        <w:t>Qarziba</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diluted</w:t>
      </w:r>
      <w:r w:rsidR="00EE0CCC">
        <w:rPr>
          <w:rFonts w:ascii="Arial" w:hAnsi="Arial" w:cs="Arial"/>
        </w:rPr>
        <w:t xml:space="preserve"> </w:t>
      </w:r>
      <w:r w:rsidRPr="007D322B">
        <w:rPr>
          <w:rFonts w:ascii="Arial" w:hAnsi="Arial" w:cs="Arial"/>
        </w:rPr>
        <w:t>aseptically</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patient</w:t>
      </w:r>
      <w:r w:rsidR="00EE0CCC">
        <w:rPr>
          <w:rFonts w:ascii="Arial" w:hAnsi="Arial" w:cs="Arial"/>
        </w:rPr>
        <w:t xml:space="preserve"> </w:t>
      </w:r>
      <w:r w:rsidRPr="007D322B">
        <w:rPr>
          <w:rFonts w:ascii="Arial" w:hAnsi="Arial" w:cs="Arial"/>
        </w:rPr>
        <w:t>specific</w:t>
      </w:r>
      <w:r w:rsidR="00EE0CCC">
        <w:rPr>
          <w:rFonts w:ascii="Arial" w:hAnsi="Arial" w:cs="Arial"/>
        </w:rPr>
        <w:t xml:space="preserve"> </w:t>
      </w:r>
      <w:r w:rsidRPr="007D322B">
        <w:rPr>
          <w:rFonts w:ascii="Arial" w:hAnsi="Arial" w:cs="Arial"/>
        </w:rPr>
        <w:t>concentration/dose</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sodium</w:t>
      </w:r>
      <w:r w:rsidR="00EE0CCC">
        <w:rPr>
          <w:rFonts w:ascii="Arial" w:hAnsi="Arial" w:cs="Arial"/>
        </w:rPr>
        <w:t xml:space="preserve"> </w:t>
      </w:r>
      <w:r w:rsidRPr="007D322B">
        <w:rPr>
          <w:rFonts w:ascii="Arial" w:hAnsi="Arial" w:cs="Arial"/>
        </w:rPr>
        <w:t>chloride</w:t>
      </w:r>
      <w:r w:rsidR="00EE0CCC">
        <w:rPr>
          <w:rFonts w:ascii="Arial" w:hAnsi="Arial" w:cs="Arial"/>
        </w:rPr>
        <w:t xml:space="preserve"> </w:t>
      </w:r>
      <w:r w:rsidRPr="007D322B">
        <w:rPr>
          <w:rFonts w:ascii="Arial" w:hAnsi="Arial" w:cs="Arial"/>
        </w:rPr>
        <w:t>9</w:t>
      </w:r>
      <w:r w:rsidR="00EE0CCC">
        <w:rPr>
          <w:rFonts w:ascii="Arial" w:hAnsi="Arial" w:cs="Arial"/>
        </w:rPr>
        <w:t xml:space="preserve"> </w:t>
      </w:r>
      <w:r w:rsidRPr="007D322B">
        <w:rPr>
          <w:rFonts w:ascii="Arial" w:hAnsi="Arial" w:cs="Arial"/>
        </w:rPr>
        <w:t>mg/mL</w:t>
      </w:r>
      <w:r w:rsidR="00EE0CCC">
        <w:rPr>
          <w:rFonts w:ascii="Arial" w:hAnsi="Arial" w:cs="Arial"/>
        </w:rPr>
        <w:t xml:space="preserve"> </w:t>
      </w:r>
      <w:r w:rsidRPr="007D322B">
        <w:rPr>
          <w:rFonts w:ascii="Arial" w:hAnsi="Arial" w:cs="Arial"/>
        </w:rPr>
        <w:t>(0.9%)</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containing</w:t>
      </w:r>
      <w:r w:rsidR="00EE0CCC">
        <w:rPr>
          <w:rFonts w:ascii="Arial" w:hAnsi="Arial" w:cs="Arial"/>
        </w:rPr>
        <w:t xml:space="preserve"> </w:t>
      </w:r>
      <w:r w:rsidRPr="007D322B">
        <w:rPr>
          <w:rFonts w:ascii="Arial" w:hAnsi="Arial" w:cs="Arial"/>
        </w:rPr>
        <w:t>1%</w:t>
      </w:r>
      <w:r w:rsidR="00EE0CCC">
        <w:rPr>
          <w:rFonts w:ascii="Arial" w:hAnsi="Arial" w:cs="Arial"/>
        </w:rPr>
        <w:t xml:space="preserve"> </w:t>
      </w:r>
      <w:r w:rsidRPr="007D322B">
        <w:rPr>
          <w:rFonts w:ascii="Arial" w:hAnsi="Arial" w:cs="Arial"/>
        </w:rPr>
        <w:t>human</w:t>
      </w:r>
      <w:r w:rsidR="00EE0CCC">
        <w:rPr>
          <w:rFonts w:ascii="Arial" w:hAnsi="Arial" w:cs="Arial"/>
        </w:rPr>
        <w:t xml:space="preserve"> </w:t>
      </w:r>
      <w:r w:rsidRPr="007D322B">
        <w:rPr>
          <w:rFonts w:ascii="Arial" w:hAnsi="Arial" w:cs="Arial"/>
        </w:rPr>
        <w:t>albumin</w:t>
      </w:r>
      <w:r w:rsidR="00EE0CCC">
        <w:rPr>
          <w:rFonts w:ascii="Arial" w:hAnsi="Arial" w:cs="Arial"/>
        </w:rPr>
        <w:t xml:space="preserve"> </w:t>
      </w:r>
      <w:r w:rsidRPr="007D322B">
        <w:rPr>
          <w:rFonts w:ascii="Arial" w:hAnsi="Arial" w:cs="Arial"/>
        </w:rPr>
        <w:t>(e.g.</w:t>
      </w:r>
      <w:r w:rsidR="00EE0CCC">
        <w:rPr>
          <w:rFonts w:ascii="Arial" w:hAnsi="Arial" w:cs="Arial"/>
        </w:rPr>
        <w:t xml:space="preserve"> </w:t>
      </w:r>
      <w:r w:rsidRPr="007D322B">
        <w:rPr>
          <w:rFonts w:ascii="Arial" w:hAnsi="Arial" w:cs="Arial"/>
        </w:rPr>
        <w:t>5</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human</w:t>
      </w:r>
      <w:r w:rsidR="00EE0CCC">
        <w:rPr>
          <w:rFonts w:ascii="Arial" w:hAnsi="Arial" w:cs="Arial"/>
        </w:rPr>
        <w:t xml:space="preserve"> </w:t>
      </w:r>
      <w:r w:rsidRPr="007D322B">
        <w:rPr>
          <w:rFonts w:ascii="Arial" w:hAnsi="Arial" w:cs="Arial"/>
        </w:rPr>
        <w:t>albumin</w:t>
      </w:r>
      <w:r w:rsidR="00EE0CCC">
        <w:rPr>
          <w:rFonts w:ascii="Arial" w:hAnsi="Arial" w:cs="Arial"/>
        </w:rPr>
        <w:t xml:space="preserve"> </w:t>
      </w:r>
      <w:r w:rsidRPr="007D322B">
        <w:rPr>
          <w:rFonts w:ascii="Arial" w:hAnsi="Arial" w:cs="Arial"/>
        </w:rPr>
        <w:t>20%</w:t>
      </w:r>
      <w:r w:rsidR="00EE0CCC">
        <w:rPr>
          <w:rFonts w:ascii="Arial" w:hAnsi="Arial" w:cs="Arial"/>
        </w:rPr>
        <w:t xml:space="preserve"> </w:t>
      </w:r>
      <w:r w:rsidRPr="007D322B">
        <w:rPr>
          <w:rFonts w:ascii="Arial" w:hAnsi="Arial" w:cs="Arial"/>
        </w:rPr>
        <w:t>per</w:t>
      </w:r>
      <w:r w:rsidR="00EE0CCC">
        <w:rPr>
          <w:rFonts w:ascii="Arial" w:hAnsi="Arial" w:cs="Arial"/>
        </w:rPr>
        <w:t xml:space="preserve"> </w:t>
      </w:r>
      <w:r w:rsidRPr="007D322B">
        <w:rPr>
          <w:rFonts w:ascii="Arial" w:hAnsi="Arial" w:cs="Arial"/>
        </w:rPr>
        <w:t>100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sodium</w:t>
      </w:r>
      <w:r w:rsidR="00EE0CCC">
        <w:rPr>
          <w:rFonts w:ascii="Arial" w:hAnsi="Arial" w:cs="Arial"/>
        </w:rPr>
        <w:t xml:space="preserve"> </w:t>
      </w:r>
      <w:r w:rsidRPr="007D322B">
        <w:rPr>
          <w:rFonts w:ascii="Arial" w:hAnsi="Arial" w:cs="Arial"/>
        </w:rPr>
        <w:t>chloride</w:t>
      </w:r>
      <w:r w:rsidR="00EE0CCC">
        <w:rPr>
          <w:rFonts w:ascii="Arial" w:hAnsi="Arial" w:cs="Arial"/>
        </w:rPr>
        <w:t xml:space="preserve"> </w:t>
      </w:r>
      <w:r w:rsidRPr="007D322B">
        <w:rPr>
          <w:rFonts w:ascii="Arial" w:hAnsi="Arial" w:cs="Arial"/>
        </w:rPr>
        <w:t>solution).</w:t>
      </w:r>
    </w:p>
    <w:p w:rsidR="00587FFD" w:rsidRPr="007D322B" w:rsidRDefault="00587FFD" w:rsidP="00587FFD">
      <w:pPr>
        <w:rPr>
          <w:rFonts w:ascii="Arial" w:hAnsi="Arial" w:cs="Arial"/>
        </w:rPr>
      </w:pPr>
    </w:p>
    <w:p w:rsidR="00587FFD" w:rsidRPr="007D322B" w:rsidRDefault="00587FFD" w:rsidP="00587FFD">
      <w:pPr>
        <w:rPr>
          <w:rFonts w:ascii="Arial" w:hAnsi="Arial" w:cs="Arial"/>
        </w:rPr>
      </w:pPr>
      <w:r w:rsidRPr="007D322B">
        <w:rPr>
          <w:rFonts w:ascii="Arial" w:hAnsi="Arial" w:cs="Arial"/>
          <w:u w:val="single"/>
        </w:rPr>
        <w:t>For</w:t>
      </w:r>
      <w:r w:rsidR="00EE0CCC">
        <w:rPr>
          <w:rFonts w:ascii="Arial" w:hAnsi="Arial" w:cs="Arial"/>
          <w:u w:val="single"/>
        </w:rPr>
        <w:t xml:space="preserve"> </w:t>
      </w:r>
      <w:r w:rsidRPr="007D322B">
        <w:rPr>
          <w:rFonts w:ascii="Arial" w:hAnsi="Arial" w:cs="Arial"/>
          <w:u w:val="single"/>
        </w:rPr>
        <w:t>continuous</w:t>
      </w:r>
      <w:r w:rsidR="00EE0CCC">
        <w:rPr>
          <w:rFonts w:ascii="Arial" w:hAnsi="Arial" w:cs="Arial"/>
          <w:u w:val="single"/>
        </w:rPr>
        <w:t xml:space="preserve"> </w:t>
      </w:r>
      <w:r w:rsidRPr="007D322B">
        <w:rPr>
          <w:rFonts w:ascii="Arial" w:hAnsi="Arial" w:cs="Arial"/>
          <w:u w:val="single"/>
        </w:rPr>
        <w:t>infusions</w:t>
      </w:r>
      <w:r w:rsidRPr="007D322B">
        <w:rPr>
          <w:rFonts w:ascii="Arial" w:hAnsi="Arial" w:cs="Arial"/>
        </w:rPr>
        <w:t>,</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can</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prepared</w:t>
      </w:r>
      <w:r w:rsidR="00EE0CCC">
        <w:rPr>
          <w:rFonts w:ascii="Arial" w:hAnsi="Arial" w:cs="Arial"/>
        </w:rPr>
        <w:t xml:space="preserve"> </w:t>
      </w:r>
      <w:r w:rsidRPr="007D322B">
        <w:rPr>
          <w:rFonts w:ascii="Arial" w:hAnsi="Arial" w:cs="Arial"/>
        </w:rPr>
        <w:t>freshly</w:t>
      </w:r>
      <w:r w:rsidR="00EE0CCC">
        <w:rPr>
          <w:rFonts w:ascii="Arial" w:hAnsi="Arial" w:cs="Arial"/>
        </w:rPr>
        <w:t xml:space="preserve"> </w:t>
      </w:r>
      <w:r w:rsidRPr="007D322B">
        <w:rPr>
          <w:rFonts w:ascii="Arial" w:hAnsi="Arial" w:cs="Arial"/>
        </w:rPr>
        <w:t>on</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daily</w:t>
      </w:r>
      <w:r w:rsidR="00EE0CCC">
        <w:rPr>
          <w:rFonts w:ascii="Arial" w:hAnsi="Arial" w:cs="Arial"/>
        </w:rPr>
        <w:t xml:space="preserve"> </w:t>
      </w:r>
      <w:r w:rsidRPr="007D322B">
        <w:rPr>
          <w:rFonts w:ascii="Arial" w:hAnsi="Arial" w:cs="Arial"/>
        </w:rPr>
        <w:t>basis,</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sufficient</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up</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5</w:t>
      </w:r>
      <w:r w:rsidR="00EE0CCC">
        <w:rPr>
          <w:rFonts w:ascii="Arial" w:hAnsi="Arial" w:cs="Arial"/>
        </w:rPr>
        <w:t xml:space="preserve"> </w:t>
      </w:r>
      <w:r w:rsidRPr="007D322B">
        <w:rPr>
          <w:rFonts w:ascii="Arial" w:hAnsi="Arial" w:cs="Arial"/>
        </w:rPr>
        <w:t>days</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continuous</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00EF6209" w:rsidRPr="00EF6209">
        <w:rPr>
          <w:rFonts w:ascii="Arial" w:hAnsi="Arial" w:cs="Arial"/>
        </w:rPr>
        <w:t>An</w:t>
      </w:r>
      <w:r w:rsidR="00EE0CCC">
        <w:rPr>
          <w:rFonts w:ascii="Arial" w:hAnsi="Arial" w:cs="Arial"/>
        </w:rPr>
        <w:t xml:space="preserve"> </w:t>
      </w:r>
      <w:r w:rsidR="00EF6209" w:rsidRPr="00EF6209">
        <w:rPr>
          <w:rFonts w:ascii="Arial" w:hAnsi="Arial" w:cs="Arial"/>
        </w:rPr>
        <w:t>in-line</w:t>
      </w:r>
      <w:r w:rsidR="00EE0CCC">
        <w:rPr>
          <w:rFonts w:ascii="Arial" w:hAnsi="Arial" w:cs="Arial"/>
        </w:rPr>
        <w:t xml:space="preserve"> </w:t>
      </w:r>
      <w:r w:rsidR="00EF6209" w:rsidRPr="00EF6209">
        <w:rPr>
          <w:rFonts w:ascii="Arial" w:hAnsi="Arial" w:cs="Arial"/>
        </w:rPr>
        <w:t>filter</w:t>
      </w:r>
      <w:r w:rsidR="00EE0CCC">
        <w:rPr>
          <w:rFonts w:ascii="Arial" w:hAnsi="Arial" w:cs="Arial"/>
        </w:rPr>
        <w:t xml:space="preserve"> </w:t>
      </w:r>
      <w:r w:rsidR="00EF6209" w:rsidRPr="00EF6209">
        <w:rPr>
          <w:rFonts w:ascii="Arial" w:hAnsi="Arial" w:cs="Arial"/>
        </w:rPr>
        <w:t>of</w:t>
      </w:r>
      <w:r w:rsidR="00EE0CCC">
        <w:rPr>
          <w:rFonts w:ascii="Arial" w:hAnsi="Arial" w:cs="Arial"/>
        </w:rPr>
        <w:t xml:space="preserve"> </w:t>
      </w:r>
      <w:r w:rsidR="00EF6209" w:rsidRPr="00EF6209">
        <w:rPr>
          <w:rFonts w:ascii="Arial" w:hAnsi="Arial" w:cs="Arial"/>
        </w:rPr>
        <w:t>0.2</w:t>
      </w:r>
      <w:r w:rsidR="00EE0CCC">
        <w:rPr>
          <w:rFonts w:ascii="Arial" w:hAnsi="Arial" w:cs="Arial"/>
        </w:rPr>
        <w:t xml:space="preserve"> </w:t>
      </w:r>
      <w:r w:rsidR="00EF6209" w:rsidRPr="00EF6209">
        <w:rPr>
          <w:rFonts w:ascii="Arial" w:hAnsi="Arial" w:cs="Arial"/>
        </w:rPr>
        <w:t>μm</w:t>
      </w:r>
      <w:r w:rsidR="00EE0CCC">
        <w:rPr>
          <w:rFonts w:ascii="Arial" w:hAnsi="Arial" w:cs="Arial"/>
        </w:rPr>
        <w:t xml:space="preserve"> </w:t>
      </w:r>
      <w:r w:rsidR="00EF6209" w:rsidRPr="00EF6209">
        <w:rPr>
          <w:rFonts w:ascii="Arial" w:hAnsi="Arial" w:cs="Arial"/>
        </w:rPr>
        <w:t>must</w:t>
      </w:r>
      <w:r w:rsidR="00EE0CCC">
        <w:rPr>
          <w:rFonts w:ascii="Arial" w:hAnsi="Arial" w:cs="Arial"/>
        </w:rPr>
        <w:t xml:space="preserve"> </w:t>
      </w:r>
      <w:r w:rsidR="00EF6209" w:rsidRPr="00EF6209">
        <w:rPr>
          <w:rFonts w:ascii="Arial" w:hAnsi="Arial" w:cs="Arial"/>
        </w:rPr>
        <w:t>be</w:t>
      </w:r>
      <w:r w:rsidR="00EE0CCC">
        <w:rPr>
          <w:rFonts w:ascii="Arial" w:hAnsi="Arial" w:cs="Arial"/>
        </w:rPr>
        <w:t xml:space="preserve"> </w:t>
      </w:r>
      <w:r w:rsidR="00EF6209" w:rsidRPr="00EF6209">
        <w:rPr>
          <w:rFonts w:ascii="Arial" w:hAnsi="Arial" w:cs="Arial"/>
        </w:rPr>
        <w:t>used</w:t>
      </w:r>
      <w:r w:rsidR="00EE0CCC">
        <w:rPr>
          <w:rFonts w:ascii="Arial" w:hAnsi="Arial" w:cs="Arial"/>
        </w:rPr>
        <w:t xml:space="preserve"> </w:t>
      </w:r>
      <w:r w:rsidR="00EF6209" w:rsidRPr="00EF6209">
        <w:rPr>
          <w:rFonts w:ascii="Arial" w:hAnsi="Arial" w:cs="Arial"/>
        </w:rPr>
        <w:t>in</w:t>
      </w:r>
      <w:r w:rsidR="00EE0CCC">
        <w:rPr>
          <w:rFonts w:ascii="Arial" w:hAnsi="Arial" w:cs="Arial"/>
        </w:rPr>
        <w:t xml:space="preserve"> </w:t>
      </w:r>
      <w:r w:rsidR="00EF6209" w:rsidRPr="00EF6209">
        <w:rPr>
          <w:rFonts w:ascii="Arial" w:hAnsi="Arial" w:cs="Arial"/>
        </w:rPr>
        <w:t>combination</w:t>
      </w:r>
      <w:r w:rsidR="00EE0CCC">
        <w:rPr>
          <w:rFonts w:ascii="Arial" w:hAnsi="Arial" w:cs="Arial"/>
        </w:rPr>
        <w:t xml:space="preserve"> </w:t>
      </w:r>
      <w:r w:rsidR="00EF6209" w:rsidRPr="00EF6209">
        <w:rPr>
          <w:rFonts w:ascii="Arial" w:hAnsi="Arial" w:cs="Arial"/>
        </w:rPr>
        <w:t>with</w:t>
      </w:r>
      <w:r w:rsidR="00EE0CCC">
        <w:rPr>
          <w:rFonts w:ascii="Arial" w:hAnsi="Arial" w:cs="Arial"/>
        </w:rPr>
        <w:t xml:space="preserve"> </w:t>
      </w:r>
      <w:r w:rsidR="00EF6209" w:rsidRPr="00EF6209">
        <w:rPr>
          <w:rFonts w:ascii="Arial" w:hAnsi="Arial" w:cs="Arial"/>
        </w:rPr>
        <w:t>infusion</w:t>
      </w:r>
      <w:r w:rsidR="00EE0CCC">
        <w:rPr>
          <w:rFonts w:ascii="Arial" w:hAnsi="Arial" w:cs="Arial"/>
        </w:rPr>
        <w:t xml:space="preserve"> </w:t>
      </w:r>
      <w:r w:rsidR="00EF6209" w:rsidRPr="00EF6209">
        <w:rPr>
          <w:rFonts w:ascii="Arial" w:hAnsi="Arial" w:cs="Arial"/>
        </w:rPr>
        <w:t>bags</w:t>
      </w:r>
      <w:r w:rsidR="00EE0CCC">
        <w:rPr>
          <w:rFonts w:ascii="Arial" w:hAnsi="Arial" w:cs="Arial"/>
        </w:rPr>
        <w:t xml:space="preserve"> </w:t>
      </w:r>
      <w:r w:rsidR="00EF6209" w:rsidRPr="00EF6209">
        <w:rPr>
          <w:rFonts w:ascii="Arial" w:hAnsi="Arial" w:cs="Arial"/>
        </w:rPr>
        <w:t>throughout</w:t>
      </w:r>
      <w:r w:rsidR="00EE0CCC">
        <w:rPr>
          <w:rFonts w:ascii="Arial" w:hAnsi="Arial" w:cs="Arial"/>
        </w:rPr>
        <w:t xml:space="preserve"> </w:t>
      </w:r>
      <w:r w:rsidR="00EF6209" w:rsidRPr="00EF6209">
        <w:rPr>
          <w:rFonts w:ascii="Arial" w:hAnsi="Arial" w:cs="Arial"/>
        </w:rPr>
        <w:t>the</w:t>
      </w:r>
      <w:r w:rsidR="00EE0CCC">
        <w:rPr>
          <w:rFonts w:ascii="Arial" w:hAnsi="Arial" w:cs="Arial"/>
        </w:rPr>
        <w:t xml:space="preserve"> </w:t>
      </w:r>
      <w:r w:rsidR="00EF6209" w:rsidRPr="00EF6209">
        <w:rPr>
          <w:rFonts w:ascii="Arial" w:hAnsi="Arial" w:cs="Arial"/>
        </w:rPr>
        <w:t>duration</w:t>
      </w:r>
      <w:r w:rsidR="00EE0CCC">
        <w:rPr>
          <w:rFonts w:ascii="Arial" w:hAnsi="Arial" w:cs="Arial"/>
        </w:rPr>
        <w:t xml:space="preserve"> </w:t>
      </w:r>
      <w:r w:rsidR="00EF6209" w:rsidRPr="00EF6209">
        <w:rPr>
          <w:rFonts w:ascii="Arial" w:hAnsi="Arial" w:cs="Arial"/>
        </w:rPr>
        <w:t>of</w:t>
      </w:r>
      <w:r w:rsidR="00EE0CCC">
        <w:rPr>
          <w:rFonts w:ascii="Arial" w:hAnsi="Arial" w:cs="Arial"/>
        </w:rPr>
        <w:t xml:space="preserve"> </w:t>
      </w:r>
      <w:r w:rsidR="00EF6209" w:rsidRPr="00EF6209">
        <w:rPr>
          <w:rFonts w:ascii="Arial" w:hAnsi="Arial" w:cs="Arial"/>
        </w:rPr>
        <w:t>the</w:t>
      </w:r>
      <w:r w:rsidR="00EE0CCC">
        <w:rPr>
          <w:rFonts w:ascii="Arial" w:hAnsi="Arial" w:cs="Arial"/>
        </w:rPr>
        <w:t xml:space="preserve"> </w:t>
      </w:r>
      <w:r w:rsidR="00EF6209" w:rsidRPr="00EF6209">
        <w:rPr>
          <w:rFonts w:ascii="Arial" w:hAnsi="Arial" w:cs="Arial"/>
        </w:rPr>
        <w:t>5</w:t>
      </w:r>
      <w:r w:rsidR="00EE0CCC">
        <w:rPr>
          <w:rFonts w:ascii="Arial" w:hAnsi="Arial" w:cs="Arial"/>
        </w:rPr>
        <w:t xml:space="preserve"> </w:t>
      </w:r>
      <w:r w:rsidR="00EF6209" w:rsidRPr="00EF6209">
        <w:rPr>
          <w:rFonts w:ascii="Arial" w:hAnsi="Arial" w:cs="Arial"/>
        </w:rPr>
        <w:t>days</w:t>
      </w:r>
      <w:r w:rsidR="00EE0CCC">
        <w:rPr>
          <w:rFonts w:ascii="Arial" w:hAnsi="Arial" w:cs="Arial"/>
        </w:rPr>
        <w:t xml:space="preserve"> </w:t>
      </w:r>
      <w:r w:rsidR="00EF6209" w:rsidRPr="00EF6209">
        <w:rPr>
          <w:rFonts w:ascii="Arial" w:hAnsi="Arial" w:cs="Arial"/>
        </w:rPr>
        <w:t>administration</w:t>
      </w:r>
      <w:r w:rsidR="00EE0CCC">
        <w:rPr>
          <w:rFonts w:ascii="Arial" w:hAnsi="Arial" w:cs="Arial"/>
        </w:rPr>
        <w:t xml:space="preserve"> </w:t>
      </w:r>
      <w:r w:rsidR="00EF6209" w:rsidRPr="00EF6209">
        <w:rPr>
          <w:rFonts w:ascii="Arial" w:hAnsi="Arial" w:cs="Arial"/>
        </w:rPr>
        <w:t>(or</w:t>
      </w:r>
      <w:r w:rsidR="00EE0CCC">
        <w:rPr>
          <w:rFonts w:ascii="Arial" w:hAnsi="Arial" w:cs="Arial"/>
        </w:rPr>
        <w:t xml:space="preserve"> </w:t>
      </w:r>
      <w:r w:rsidR="00EF6209" w:rsidRPr="00EF6209">
        <w:rPr>
          <w:rFonts w:ascii="Arial" w:hAnsi="Arial" w:cs="Arial"/>
        </w:rPr>
        <w:t>shorter,</w:t>
      </w:r>
      <w:r w:rsidR="00EE0CCC">
        <w:rPr>
          <w:rFonts w:ascii="Arial" w:hAnsi="Arial" w:cs="Arial"/>
        </w:rPr>
        <w:t xml:space="preserve"> </w:t>
      </w:r>
      <w:r w:rsidR="00EF6209" w:rsidRPr="00EF6209">
        <w:rPr>
          <w:rFonts w:ascii="Arial" w:hAnsi="Arial" w:cs="Arial"/>
        </w:rPr>
        <w:t>if</w:t>
      </w:r>
      <w:r w:rsidR="00EE0CCC">
        <w:rPr>
          <w:rFonts w:ascii="Arial" w:hAnsi="Arial" w:cs="Arial"/>
        </w:rPr>
        <w:t xml:space="preserve"> </w:t>
      </w:r>
      <w:r w:rsidR="00EF6209" w:rsidRPr="00EF6209">
        <w:rPr>
          <w:rFonts w:ascii="Arial" w:hAnsi="Arial" w:cs="Arial"/>
        </w:rPr>
        <w:t>applicable).</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daily</w:t>
      </w:r>
      <w:r w:rsidR="00EE0CCC">
        <w:rPr>
          <w:rFonts w:ascii="Arial" w:hAnsi="Arial" w:cs="Arial"/>
        </w:rPr>
        <w:t xml:space="preserve"> </w:t>
      </w:r>
      <w:r w:rsidRPr="007D322B">
        <w:rPr>
          <w:rFonts w:ascii="Arial" w:hAnsi="Arial" w:cs="Arial"/>
        </w:rPr>
        <w:t>dose</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10</w:t>
      </w:r>
      <w:r w:rsidR="00EE0CCC">
        <w:rPr>
          <w:rFonts w:ascii="Arial" w:hAnsi="Arial" w:cs="Arial"/>
        </w:rPr>
        <w:t xml:space="preserve"> </w:t>
      </w:r>
      <w:r w:rsidRPr="007D322B">
        <w:rPr>
          <w:rFonts w:ascii="Arial" w:hAnsi="Arial" w:cs="Arial"/>
        </w:rPr>
        <w:t>mg/m</w:t>
      </w:r>
      <w:r w:rsidRPr="007D322B">
        <w:rPr>
          <w:rFonts w:ascii="Arial" w:hAnsi="Arial" w:cs="Arial"/>
          <w:vertAlign w:val="superscript"/>
        </w:rPr>
        <w:t>2</w:t>
      </w:r>
      <w:r w:rsidRPr="007D322B">
        <w:rPr>
          <w:rFonts w:ascii="Arial" w:hAnsi="Arial" w:cs="Arial"/>
        </w:rPr>
        <w:t>.</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amount</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infused</w:t>
      </w:r>
      <w:r w:rsidR="00EE0CCC">
        <w:rPr>
          <w:rFonts w:ascii="Arial" w:hAnsi="Arial" w:cs="Arial"/>
        </w:rPr>
        <w:t xml:space="preserve"> </w:t>
      </w:r>
      <w:r w:rsidRPr="007D322B">
        <w:rPr>
          <w:rFonts w:ascii="Arial" w:hAnsi="Arial" w:cs="Arial"/>
        </w:rPr>
        <w:t>per</w:t>
      </w:r>
      <w:r w:rsidR="00EE0CCC">
        <w:rPr>
          <w:rFonts w:ascii="Arial" w:hAnsi="Arial" w:cs="Arial"/>
        </w:rPr>
        <w:t xml:space="preserve"> </w:t>
      </w:r>
      <w:r w:rsidRPr="007D322B">
        <w:rPr>
          <w:rFonts w:ascii="Arial" w:hAnsi="Arial" w:cs="Arial"/>
        </w:rPr>
        <w:t>day</w:t>
      </w:r>
      <w:r w:rsidR="00EE0CCC">
        <w:rPr>
          <w:rFonts w:ascii="Arial" w:hAnsi="Arial" w:cs="Arial"/>
        </w:rPr>
        <w:t xml:space="preserve"> </w:t>
      </w:r>
      <w:r w:rsidRPr="007D322B">
        <w:rPr>
          <w:rFonts w:ascii="Arial" w:hAnsi="Arial" w:cs="Arial"/>
        </w:rPr>
        <w:t>(within</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treatment</w:t>
      </w:r>
      <w:r w:rsidR="00EE0CCC">
        <w:rPr>
          <w:rFonts w:ascii="Arial" w:hAnsi="Arial" w:cs="Arial"/>
        </w:rPr>
        <w:t xml:space="preserve"> </w:t>
      </w:r>
      <w:r w:rsidRPr="007D322B">
        <w:rPr>
          <w:rFonts w:ascii="Arial" w:hAnsi="Arial" w:cs="Arial"/>
        </w:rPr>
        <w:t>course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10</w:t>
      </w:r>
      <w:r w:rsidR="00EE0CCC">
        <w:rPr>
          <w:rFonts w:ascii="Arial" w:hAnsi="Arial" w:cs="Arial"/>
        </w:rPr>
        <w:t xml:space="preserve"> </w:t>
      </w:r>
      <w:r w:rsidRPr="007D322B">
        <w:rPr>
          <w:rFonts w:ascii="Arial" w:hAnsi="Arial" w:cs="Arial"/>
        </w:rPr>
        <w:t>consecutive</w:t>
      </w:r>
      <w:r w:rsidR="00EE0CCC">
        <w:rPr>
          <w:rFonts w:ascii="Arial" w:hAnsi="Arial" w:cs="Arial"/>
        </w:rPr>
        <w:t xml:space="preserve"> </w:t>
      </w:r>
      <w:r w:rsidRPr="007D322B">
        <w:rPr>
          <w:rFonts w:ascii="Arial" w:hAnsi="Arial" w:cs="Arial"/>
        </w:rPr>
        <w:t>days)</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48</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240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5</w:t>
      </w:r>
      <w:r w:rsidRPr="007D322B">
        <w:rPr>
          <w:rFonts w:ascii="Arial" w:hAnsi="Arial" w:cs="Arial"/>
        </w:rPr>
        <w:noBreakHyphen/>
        <w:t>day</w:t>
      </w:r>
      <w:r w:rsidR="00EE0CCC">
        <w:rPr>
          <w:rFonts w:ascii="Arial" w:hAnsi="Arial" w:cs="Arial"/>
        </w:rPr>
        <w:t xml:space="preserve"> </w:t>
      </w:r>
      <w:r w:rsidRPr="007D322B">
        <w:rPr>
          <w:rFonts w:ascii="Arial" w:hAnsi="Arial" w:cs="Arial"/>
        </w:rPr>
        <w:t>dose.</w:t>
      </w:r>
      <w:r w:rsidR="00EE0CCC">
        <w:rPr>
          <w:rFonts w:ascii="Arial" w:hAnsi="Arial" w:cs="Arial"/>
        </w:rPr>
        <w:t xml:space="preserve"> </w:t>
      </w:r>
      <w:r w:rsidRPr="007D322B">
        <w:rPr>
          <w:rFonts w:ascii="Arial" w:hAnsi="Arial" w:cs="Arial"/>
        </w:rPr>
        <w:t>It</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recommended</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prepare</w:t>
      </w:r>
      <w:r w:rsidR="00EE0CCC">
        <w:rPr>
          <w:rFonts w:ascii="Arial" w:hAnsi="Arial" w:cs="Arial"/>
        </w:rPr>
        <w:t xml:space="preserve"> </w:t>
      </w:r>
      <w:r w:rsidRPr="007D322B">
        <w:rPr>
          <w:rFonts w:ascii="Arial" w:hAnsi="Arial" w:cs="Arial"/>
        </w:rPr>
        <w:t>50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50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syringe,</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250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an</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bag</w:t>
      </w:r>
      <w:r w:rsidR="00EE0CCC">
        <w:rPr>
          <w:rFonts w:ascii="Arial" w:hAnsi="Arial" w:cs="Arial"/>
        </w:rPr>
        <w:t xml:space="preserve"> </w:t>
      </w:r>
      <w:r w:rsidRPr="007D322B">
        <w:rPr>
          <w:rFonts w:ascii="Arial" w:hAnsi="Arial" w:cs="Arial"/>
        </w:rPr>
        <w:t>suitable</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employed</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pump,</w:t>
      </w:r>
      <w:r w:rsidR="00EE0CCC">
        <w:rPr>
          <w:rFonts w:ascii="Arial" w:hAnsi="Arial" w:cs="Arial"/>
        </w:rPr>
        <w:t xml:space="preserve"> </w:t>
      </w:r>
      <w:r w:rsidRPr="007D322B">
        <w:rPr>
          <w:rFonts w:ascii="Arial" w:hAnsi="Arial" w:cs="Arial"/>
        </w:rPr>
        <w:t>i.e.</w:t>
      </w:r>
      <w:r w:rsidR="00EE0CCC">
        <w:rPr>
          <w:rFonts w:ascii="Arial" w:hAnsi="Arial" w:cs="Arial"/>
        </w:rPr>
        <w:t xml:space="preserve"> </w:t>
      </w:r>
      <w:r w:rsidRPr="007D322B">
        <w:rPr>
          <w:rFonts w:ascii="Arial" w:hAnsi="Arial" w:cs="Arial"/>
        </w:rPr>
        <w:t>an</w:t>
      </w:r>
      <w:r w:rsidR="00EE0CCC">
        <w:rPr>
          <w:rFonts w:ascii="Arial" w:hAnsi="Arial" w:cs="Arial"/>
        </w:rPr>
        <w:t xml:space="preserve"> </w:t>
      </w:r>
      <w:r w:rsidRPr="007D322B">
        <w:rPr>
          <w:rFonts w:ascii="Arial" w:hAnsi="Arial" w:cs="Arial"/>
        </w:rPr>
        <w:t>overfill</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2</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(syringe)</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10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bag)</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allow</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dead</w:t>
      </w:r>
      <w:r w:rsidR="00EE0CCC">
        <w:rPr>
          <w:rFonts w:ascii="Arial" w:hAnsi="Arial" w:cs="Arial"/>
        </w:rPr>
        <w:t xml:space="preserve"> </w:t>
      </w:r>
      <w:r w:rsidRPr="007D322B">
        <w:rPr>
          <w:rFonts w:ascii="Arial" w:hAnsi="Arial" w:cs="Arial"/>
        </w:rPr>
        <w:t>volumes</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systems.</w:t>
      </w:r>
    </w:p>
    <w:p w:rsidR="00587FFD" w:rsidRPr="007D322B" w:rsidRDefault="00587FFD" w:rsidP="00587FFD">
      <w:pPr>
        <w:rPr>
          <w:rFonts w:ascii="Arial" w:hAnsi="Arial" w:cs="Arial"/>
        </w:rPr>
      </w:pPr>
    </w:p>
    <w:p w:rsidR="00587FFD" w:rsidRPr="007D322B" w:rsidRDefault="00587FFD" w:rsidP="00587FFD">
      <w:pPr>
        <w:rPr>
          <w:rFonts w:ascii="Arial" w:hAnsi="Arial" w:cs="Arial"/>
        </w:rPr>
      </w:pPr>
      <w:r w:rsidRPr="007D322B">
        <w:rPr>
          <w:rFonts w:ascii="Arial" w:hAnsi="Arial" w:cs="Arial"/>
          <w:u w:val="single"/>
        </w:rPr>
        <w:t>For</w:t>
      </w:r>
      <w:r w:rsidR="00EE0CCC">
        <w:rPr>
          <w:rFonts w:ascii="Arial" w:hAnsi="Arial" w:cs="Arial"/>
          <w:u w:val="single"/>
        </w:rPr>
        <w:t xml:space="preserve"> </w:t>
      </w:r>
      <w:r w:rsidRPr="007D322B">
        <w:rPr>
          <w:rFonts w:ascii="Arial" w:hAnsi="Arial" w:cs="Arial"/>
          <w:u w:val="single"/>
        </w:rPr>
        <w:t>repeated</w:t>
      </w:r>
      <w:r w:rsidR="00EE0CCC">
        <w:rPr>
          <w:rFonts w:ascii="Arial" w:hAnsi="Arial" w:cs="Arial"/>
          <w:u w:val="single"/>
        </w:rPr>
        <w:t xml:space="preserve"> </w:t>
      </w:r>
      <w:r w:rsidRPr="007D322B">
        <w:rPr>
          <w:rFonts w:ascii="Arial" w:hAnsi="Arial" w:cs="Arial"/>
          <w:u w:val="single"/>
        </w:rPr>
        <w:t>daily</w:t>
      </w:r>
      <w:r w:rsidR="00EE0CCC">
        <w:rPr>
          <w:rFonts w:ascii="Arial" w:hAnsi="Arial" w:cs="Arial"/>
          <w:u w:val="single"/>
        </w:rPr>
        <w:t xml:space="preserve"> </w:t>
      </w:r>
      <w:r w:rsidRPr="007D322B">
        <w:rPr>
          <w:rFonts w:ascii="Arial" w:hAnsi="Arial" w:cs="Arial"/>
          <w:u w:val="single"/>
        </w:rPr>
        <w:t>8</w:t>
      </w:r>
      <w:r w:rsidRPr="007D322B">
        <w:rPr>
          <w:rFonts w:ascii="Arial" w:hAnsi="Arial" w:cs="Arial"/>
          <w:u w:val="single"/>
        </w:rPr>
        <w:noBreakHyphen/>
        <w:t>hour</w:t>
      </w:r>
      <w:r w:rsidR="00EE0CCC">
        <w:rPr>
          <w:rFonts w:ascii="Arial" w:hAnsi="Arial" w:cs="Arial"/>
          <w:u w:val="single"/>
        </w:rPr>
        <w:t xml:space="preserve"> </w:t>
      </w:r>
      <w:r w:rsidRPr="007D322B">
        <w:rPr>
          <w:rFonts w:ascii="Arial" w:hAnsi="Arial" w:cs="Arial"/>
          <w:u w:val="single"/>
        </w:rPr>
        <w:t>infusions</w:t>
      </w:r>
      <w:r w:rsidRPr="007D322B">
        <w:rPr>
          <w:rFonts w:ascii="Arial" w:hAnsi="Arial" w:cs="Arial"/>
        </w:rPr>
        <w:t>,</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daily</w:t>
      </w:r>
      <w:r w:rsidR="00EE0CCC">
        <w:rPr>
          <w:rFonts w:ascii="Arial" w:hAnsi="Arial" w:cs="Arial"/>
        </w:rPr>
        <w:t xml:space="preserve"> </w:t>
      </w:r>
      <w:r w:rsidRPr="007D322B">
        <w:rPr>
          <w:rFonts w:ascii="Arial" w:hAnsi="Arial" w:cs="Arial"/>
        </w:rPr>
        <w:t>dose</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20</w:t>
      </w:r>
      <w:r w:rsidR="00EE0CCC">
        <w:rPr>
          <w:rFonts w:ascii="Arial" w:hAnsi="Arial" w:cs="Arial"/>
        </w:rPr>
        <w:t xml:space="preserve"> </w:t>
      </w:r>
      <w:r w:rsidRPr="007D322B">
        <w:rPr>
          <w:rFonts w:ascii="Arial" w:hAnsi="Arial" w:cs="Arial"/>
        </w:rPr>
        <w:t>mg/m</w:t>
      </w:r>
      <w:r w:rsidRPr="007D322B">
        <w:rPr>
          <w:rFonts w:ascii="Arial" w:hAnsi="Arial" w:cs="Arial"/>
          <w:vertAlign w:val="superscript"/>
        </w:rPr>
        <w:t>2</w:t>
      </w:r>
      <w:r w:rsidR="00EE0CCC">
        <w:rPr>
          <w:rFonts w:ascii="Arial" w:hAnsi="Arial" w:cs="Arial"/>
        </w:rPr>
        <w:t xml:space="preserve"> </w:t>
      </w:r>
      <w:r w:rsidRPr="007D322B">
        <w:rPr>
          <w:rFonts w:ascii="Arial" w:hAnsi="Arial" w:cs="Arial"/>
        </w:rPr>
        <w:t>and</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calculated</w:t>
      </w:r>
      <w:r w:rsidR="00EE0CCC">
        <w:rPr>
          <w:rFonts w:ascii="Arial" w:hAnsi="Arial" w:cs="Arial"/>
        </w:rPr>
        <w:t xml:space="preserve"> </w:t>
      </w:r>
      <w:r w:rsidRPr="007D322B">
        <w:rPr>
          <w:rFonts w:ascii="Arial" w:hAnsi="Arial" w:cs="Arial"/>
        </w:rPr>
        <w:t>dose</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diluted</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100</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sodium</w:t>
      </w:r>
      <w:r w:rsidR="00EE0CCC">
        <w:rPr>
          <w:rFonts w:ascii="Arial" w:hAnsi="Arial" w:cs="Arial"/>
        </w:rPr>
        <w:t xml:space="preserve"> </w:t>
      </w:r>
      <w:r w:rsidRPr="007D322B">
        <w:rPr>
          <w:rFonts w:ascii="Arial" w:hAnsi="Arial" w:cs="Arial"/>
        </w:rPr>
        <w:t>chloride</w:t>
      </w:r>
      <w:r w:rsidR="00EE0CCC">
        <w:rPr>
          <w:rFonts w:ascii="Arial" w:hAnsi="Arial" w:cs="Arial"/>
        </w:rPr>
        <w:t xml:space="preserve"> </w:t>
      </w:r>
      <w:r w:rsidRPr="007D322B">
        <w:rPr>
          <w:rFonts w:ascii="Arial" w:hAnsi="Arial" w:cs="Arial"/>
        </w:rPr>
        <w:t>9</w:t>
      </w:r>
      <w:r w:rsidR="00EE0CCC">
        <w:rPr>
          <w:rFonts w:ascii="Arial" w:hAnsi="Arial" w:cs="Arial"/>
        </w:rPr>
        <w:t xml:space="preserve"> </w:t>
      </w:r>
      <w:r w:rsidRPr="007D322B">
        <w:rPr>
          <w:rFonts w:ascii="Arial" w:hAnsi="Arial" w:cs="Arial"/>
        </w:rPr>
        <w:t>mg/mL</w:t>
      </w:r>
      <w:r w:rsidR="00EE0CCC">
        <w:rPr>
          <w:rFonts w:ascii="Arial" w:hAnsi="Arial" w:cs="Arial"/>
        </w:rPr>
        <w:t xml:space="preserve"> </w:t>
      </w:r>
      <w:r w:rsidRPr="007D322B">
        <w:rPr>
          <w:rFonts w:ascii="Arial" w:hAnsi="Arial" w:cs="Arial"/>
        </w:rPr>
        <w:t>(0.9%)</w:t>
      </w:r>
      <w:r w:rsidR="00EE0CCC">
        <w:rPr>
          <w:rFonts w:ascii="Arial" w:hAnsi="Arial" w:cs="Arial"/>
        </w:rPr>
        <w:t xml:space="preserve"> </w:t>
      </w:r>
      <w:r w:rsidRPr="007D322B">
        <w:rPr>
          <w:rFonts w:ascii="Arial" w:hAnsi="Arial" w:cs="Arial"/>
        </w:rPr>
        <w:t>containing</w:t>
      </w:r>
      <w:r w:rsidR="00EE0CCC">
        <w:rPr>
          <w:rFonts w:ascii="Arial" w:hAnsi="Arial" w:cs="Arial"/>
        </w:rPr>
        <w:t xml:space="preserve"> </w:t>
      </w:r>
      <w:r w:rsidRPr="007D322B">
        <w:rPr>
          <w:rFonts w:ascii="Arial" w:hAnsi="Arial" w:cs="Arial"/>
        </w:rPr>
        <w:t>1%</w:t>
      </w:r>
      <w:r w:rsidR="00EE0CCC">
        <w:rPr>
          <w:rFonts w:ascii="Arial" w:hAnsi="Arial" w:cs="Arial"/>
        </w:rPr>
        <w:t xml:space="preserve"> </w:t>
      </w:r>
      <w:r w:rsidRPr="007D322B">
        <w:rPr>
          <w:rFonts w:ascii="Arial" w:hAnsi="Arial" w:cs="Arial"/>
        </w:rPr>
        <w:t>human</w:t>
      </w:r>
      <w:r w:rsidR="00EE0CCC">
        <w:rPr>
          <w:rFonts w:ascii="Arial" w:hAnsi="Arial" w:cs="Arial"/>
        </w:rPr>
        <w:t xml:space="preserve"> </w:t>
      </w:r>
      <w:r w:rsidRPr="007D322B">
        <w:rPr>
          <w:rFonts w:ascii="Arial" w:hAnsi="Arial" w:cs="Arial"/>
        </w:rPr>
        <w:t>albumin.</w:t>
      </w:r>
    </w:p>
    <w:p w:rsidR="00587FFD" w:rsidRPr="007D322B" w:rsidRDefault="00587FFD" w:rsidP="00587FFD">
      <w:pPr>
        <w:rPr>
          <w:rFonts w:ascii="Arial" w:hAnsi="Arial" w:cs="Arial"/>
        </w:rPr>
      </w:pPr>
    </w:p>
    <w:p w:rsidR="00587FFD" w:rsidRPr="007D322B" w:rsidRDefault="00587FFD" w:rsidP="00587FFD">
      <w:pPr>
        <w:rPr>
          <w:rFonts w:ascii="Arial" w:hAnsi="Arial" w:cs="Arial"/>
        </w:rPr>
      </w:pPr>
      <w:r w:rsidRPr="007D322B">
        <w:rPr>
          <w:rFonts w:ascii="Arial" w:hAnsi="Arial" w:cs="Arial"/>
        </w:rPr>
        <w:t>The</w:t>
      </w:r>
      <w:r w:rsidR="00EE0CCC">
        <w:rPr>
          <w:rFonts w:ascii="Arial" w:hAnsi="Arial" w:cs="Arial"/>
        </w:rPr>
        <w:t xml:space="preserve"> </w:t>
      </w:r>
      <w:r w:rsidRPr="007D322B">
        <w:rPr>
          <w:rFonts w:ascii="Arial" w:hAnsi="Arial" w:cs="Arial"/>
        </w:rPr>
        <w:t>solution</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administered</w:t>
      </w:r>
      <w:r w:rsidR="00EE0CCC">
        <w:rPr>
          <w:rFonts w:ascii="Arial" w:hAnsi="Arial" w:cs="Arial"/>
        </w:rPr>
        <w:t xml:space="preserve"> </w:t>
      </w:r>
      <w:r w:rsidRPr="007D322B">
        <w:rPr>
          <w:rFonts w:ascii="Arial" w:hAnsi="Arial" w:cs="Arial"/>
        </w:rPr>
        <w:t>via</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peripheral</w:t>
      </w:r>
      <w:r w:rsidR="00EE0CCC">
        <w:rPr>
          <w:rFonts w:ascii="Arial" w:hAnsi="Arial" w:cs="Arial"/>
        </w:rPr>
        <w:t xml:space="preserve"> </w:t>
      </w:r>
      <w:r w:rsidRPr="007D322B">
        <w:rPr>
          <w:rFonts w:ascii="Arial" w:hAnsi="Arial" w:cs="Arial"/>
        </w:rPr>
        <w:t>or</w:t>
      </w:r>
      <w:r w:rsidR="00EE0CCC">
        <w:rPr>
          <w:rFonts w:ascii="Arial" w:hAnsi="Arial" w:cs="Arial"/>
        </w:rPr>
        <w:t xml:space="preserve"> </w:t>
      </w:r>
      <w:r w:rsidRPr="007D322B">
        <w:rPr>
          <w:rFonts w:ascii="Arial" w:hAnsi="Arial" w:cs="Arial"/>
        </w:rPr>
        <w:t>central</w:t>
      </w:r>
      <w:r w:rsidR="00EE0CCC">
        <w:rPr>
          <w:rFonts w:ascii="Arial" w:hAnsi="Arial" w:cs="Arial"/>
        </w:rPr>
        <w:t xml:space="preserve"> </w:t>
      </w:r>
      <w:r w:rsidRPr="007D322B">
        <w:rPr>
          <w:rFonts w:ascii="Arial" w:hAnsi="Arial" w:cs="Arial"/>
        </w:rPr>
        <w:t>intravenous</w:t>
      </w:r>
      <w:r w:rsidR="00EE0CCC">
        <w:rPr>
          <w:rFonts w:ascii="Arial" w:hAnsi="Arial" w:cs="Arial"/>
        </w:rPr>
        <w:t xml:space="preserve"> </w:t>
      </w:r>
      <w:r w:rsidRPr="007D322B">
        <w:rPr>
          <w:rFonts w:ascii="Arial" w:hAnsi="Arial" w:cs="Arial"/>
        </w:rPr>
        <w:t>line.</w:t>
      </w:r>
      <w:r w:rsidR="00EE0CCC">
        <w:rPr>
          <w:rFonts w:ascii="Arial" w:hAnsi="Arial" w:cs="Arial"/>
        </w:rPr>
        <w:t xml:space="preserve"> </w:t>
      </w:r>
      <w:r w:rsidRPr="007D322B">
        <w:rPr>
          <w:rFonts w:ascii="Arial" w:hAnsi="Arial" w:cs="Arial"/>
        </w:rPr>
        <w:t>Other</w:t>
      </w:r>
      <w:r w:rsidR="00EE0CCC">
        <w:rPr>
          <w:rFonts w:ascii="Arial" w:hAnsi="Arial" w:cs="Arial"/>
        </w:rPr>
        <w:t xml:space="preserve"> </w:t>
      </w:r>
      <w:r w:rsidRPr="007D322B">
        <w:rPr>
          <w:rFonts w:ascii="Arial" w:hAnsi="Arial" w:cs="Arial"/>
        </w:rPr>
        <w:t>intravenously</w:t>
      </w:r>
      <w:r w:rsidR="00EE0CCC">
        <w:rPr>
          <w:rFonts w:ascii="Arial" w:hAnsi="Arial" w:cs="Arial"/>
        </w:rPr>
        <w:t xml:space="preserve"> </w:t>
      </w:r>
      <w:r w:rsidRPr="007D322B">
        <w:rPr>
          <w:rFonts w:ascii="Arial" w:hAnsi="Arial" w:cs="Arial"/>
        </w:rPr>
        <w:t>co-administered</w:t>
      </w:r>
      <w:r w:rsidR="00EE0CCC">
        <w:rPr>
          <w:rFonts w:ascii="Arial" w:hAnsi="Arial" w:cs="Arial"/>
        </w:rPr>
        <w:t xml:space="preserve"> </w:t>
      </w:r>
      <w:r w:rsidRPr="007D322B">
        <w:rPr>
          <w:rFonts w:ascii="Arial" w:hAnsi="Arial" w:cs="Arial"/>
        </w:rPr>
        <w:t>agents</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delivered</w:t>
      </w:r>
      <w:r w:rsidR="00EE0CCC">
        <w:rPr>
          <w:rFonts w:ascii="Arial" w:hAnsi="Arial" w:cs="Arial"/>
        </w:rPr>
        <w:t xml:space="preserve"> </w:t>
      </w:r>
      <w:r w:rsidRPr="007D322B">
        <w:rPr>
          <w:rFonts w:ascii="Arial" w:hAnsi="Arial" w:cs="Arial"/>
        </w:rPr>
        <w:t>via</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separate</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line.</w:t>
      </w:r>
      <w:r w:rsidR="00EE0CCC">
        <w:rPr>
          <w:rFonts w:ascii="Arial" w:hAnsi="Arial" w:cs="Arial"/>
        </w:rPr>
        <w:t xml:space="preserve"> </w:t>
      </w:r>
      <w:r w:rsidRPr="007D322B">
        <w:rPr>
          <w:rFonts w:ascii="Arial" w:hAnsi="Arial" w:cs="Arial"/>
        </w:rPr>
        <w:t>The</w:t>
      </w:r>
      <w:r w:rsidR="00EE0CCC">
        <w:rPr>
          <w:rFonts w:ascii="Arial" w:hAnsi="Arial" w:cs="Arial"/>
        </w:rPr>
        <w:t xml:space="preserve"> </w:t>
      </w:r>
      <w:r w:rsidRPr="007D322B">
        <w:rPr>
          <w:rFonts w:ascii="Arial" w:hAnsi="Arial" w:cs="Arial"/>
        </w:rPr>
        <w:t>container</w:t>
      </w:r>
      <w:r w:rsidR="00EE0CCC">
        <w:rPr>
          <w:rFonts w:ascii="Arial" w:hAnsi="Arial" w:cs="Arial"/>
        </w:rPr>
        <w:t xml:space="preserve"> </w:t>
      </w:r>
      <w:r w:rsidRPr="007D322B">
        <w:rPr>
          <w:rFonts w:ascii="Arial" w:hAnsi="Arial" w:cs="Arial"/>
        </w:rPr>
        <w:t>should</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inspected</w:t>
      </w:r>
      <w:r w:rsidR="00EE0CCC">
        <w:rPr>
          <w:rFonts w:ascii="Arial" w:hAnsi="Arial" w:cs="Arial"/>
        </w:rPr>
        <w:t xml:space="preserve"> </w:t>
      </w:r>
      <w:r w:rsidRPr="007D322B">
        <w:rPr>
          <w:rFonts w:ascii="Arial" w:hAnsi="Arial" w:cs="Arial"/>
        </w:rPr>
        <w:t>visually</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particulates</w:t>
      </w:r>
      <w:r w:rsidR="00EE0CCC">
        <w:rPr>
          <w:rFonts w:ascii="Arial" w:hAnsi="Arial" w:cs="Arial"/>
        </w:rPr>
        <w:t xml:space="preserve"> </w:t>
      </w:r>
      <w:r w:rsidRPr="007D322B">
        <w:rPr>
          <w:rFonts w:ascii="Arial" w:hAnsi="Arial" w:cs="Arial"/>
        </w:rPr>
        <w:t>prior</w:t>
      </w:r>
      <w:r w:rsidR="00EE0CCC">
        <w:rPr>
          <w:rFonts w:ascii="Arial" w:hAnsi="Arial" w:cs="Arial"/>
        </w:rPr>
        <w:t xml:space="preserve"> </w:t>
      </w:r>
      <w:r w:rsidRPr="007D322B">
        <w:rPr>
          <w:rFonts w:ascii="Arial" w:hAnsi="Arial" w:cs="Arial"/>
        </w:rPr>
        <w:t>to</w:t>
      </w:r>
      <w:r w:rsidR="00EE0CCC">
        <w:rPr>
          <w:rFonts w:ascii="Arial" w:hAnsi="Arial" w:cs="Arial"/>
        </w:rPr>
        <w:t xml:space="preserve"> </w:t>
      </w:r>
      <w:r w:rsidRPr="007D322B">
        <w:rPr>
          <w:rFonts w:ascii="Arial" w:hAnsi="Arial" w:cs="Arial"/>
        </w:rPr>
        <w:t>administration.</w:t>
      </w:r>
      <w:r w:rsidR="00EE0CCC">
        <w:rPr>
          <w:rFonts w:ascii="Arial" w:hAnsi="Arial" w:cs="Arial"/>
        </w:rPr>
        <w:t xml:space="preserve"> </w:t>
      </w:r>
      <w:r w:rsidRPr="007D322B">
        <w:rPr>
          <w:rFonts w:ascii="Arial" w:hAnsi="Arial" w:cs="Arial"/>
        </w:rPr>
        <w:t>It</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recommended</w:t>
      </w:r>
      <w:r w:rsidR="00EE0CCC">
        <w:rPr>
          <w:rFonts w:ascii="Arial" w:hAnsi="Arial" w:cs="Arial"/>
        </w:rPr>
        <w:t xml:space="preserve"> </w:t>
      </w:r>
      <w:r w:rsidRPr="007D322B">
        <w:rPr>
          <w:rFonts w:ascii="Arial" w:hAnsi="Arial" w:cs="Arial"/>
        </w:rPr>
        <w:t>that</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0.22</w:t>
      </w:r>
      <w:r w:rsidR="00EE0CCC">
        <w:rPr>
          <w:rFonts w:ascii="Arial" w:hAnsi="Arial" w:cs="Arial"/>
        </w:rPr>
        <w:t xml:space="preserve"> </w:t>
      </w:r>
      <w:r w:rsidRPr="007D322B">
        <w:rPr>
          <w:rFonts w:ascii="Arial" w:hAnsi="Arial" w:cs="Arial"/>
        </w:rPr>
        <w:t>micrometre</w:t>
      </w:r>
      <w:r w:rsidR="00EE0CCC">
        <w:rPr>
          <w:rFonts w:ascii="Arial" w:hAnsi="Arial" w:cs="Arial"/>
        </w:rPr>
        <w:t xml:space="preserve"> </w:t>
      </w:r>
      <w:r w:rsidRPr="007D322B">
        <w:rPr>
          <w:rFonts w:ascii="Arial" w:hAnsi="Arial" w:cs="Arial"/>
        </w:rPr>
        <w:t>in-line</w:t>
      </w:r>
      <w:r w:rsidR="00EE0CCC">
        <w:rPr>
          <w:rFonts w:ascii="Arial" w:hAnsi="Arial" w:cs="Arial"/>
        </w:rPr>
        <w:t xml:space="preserve"> </w:t>
      </w:r>
      <w:r w:rsidRPr="007D322B">
        <w:rPr>
          <w:rFonts w:ascii="Arial" w:hAnsi="Arial" w:cs="Arial"/>
        </w:rPr>
        <w:t>filter</w:t>
      </w:r>
      <w:r w:rsidR="00EE0CCC">
        <w:rPr>
          <w:rFonts w:ascii="Arial" w:hAnsi="Arial" w:cs="Arial"/>
        </w:rPr>
        <w:t xml:space="preserve"> </w:t>
      </w:r>
      <w:r w:rsidRPr="007D322B">
        <w:rPr>
          <w:rFonts w:ascii="Arial" w:hAnsi="Arial" w:cs="Arial"/>
        </w:rPr>
        <w:t>is</w:t>
      </w:r>
      <w:r w:rsidR="00EE0CCC">
        <w:rPr>
          <w:rFonts w:ascii="Arial" w:hAnsi="Arial" w:cs="Arial"/>
        </w:rPr>
        <w:t xml:space="preserve"> </w:t>
      </w:r>
      <w:r w:rsidRPr="007D322B">
        <w:rPr>
          <w:rFonts w:ascii="Arial" w:hAnsi="Arial" w:cs="Arial"/>
        </w:rPr>
        <w:t>used</w:t>
      </w:r>
      <w:r w:rsidR="00EE0CCC">
        <w:rPr>
          <w:rFonts w:ascii="Arial" w:hAnsi="Arial" w:cs="Arial"/>
        </w:rPr>
        <w:t xml:space="preserve"> </w:t>
      </w:r>
      <w:r w:rsidRPr="007D322B">
        <w:rPr>
          <w:rFonts w:ascii="Arial" w:hAnsi="Arial" w:cs="Arial"/>
        </w:rPr>
        <w:t>during</w:t>
      </w:r>
      <w:r w:rsidR="00EE0CCC">
        <w:rPr>
          <w:rFonts w:ascii="Arial" w:hAnsi="Arial" w:cs="Arial"/>
        </w:rPr>
        <w:t xml:space="preserve"> </w:t>
      </w:r>
      <w:r w:rsidRPr="007D322B">
        <w:rPr>
          <w:rFonts w:ascii="Arial" w:hAnsi="Arial" w:cs="Arial"/>
        </w:rPr>
        <w:t>infusion.</w:t>
      </w:r>
    </w:p>
    <w:p w:rsidR="00587FFD" w:rsidRPr="007D322B" w:rsidRDefault="00587FFD" w:rsidP="00587FFD">
      <w:pPr>
        <w:rPr>
          <w:rFonts w:ascii="Arial" w:hAnsi="Arial" w:cs="Arial"/>
        </w:rPr>
      </w:pPr>
    </w:p>
    <w:p w:rsidR="00587FFD" w:rsidRPr="007D322B" w:rsidRDefault="00587FFD" w:rsidP="00587FFD">
      <w:pPr>
        <w:rPr>
          <w:rFonts w:ascii="Arial" w:hAnsi="Arial" w:cs="Arial"/>
        </w:rPr>
      </w:pPr>
      <w:r w:rsidRPr="007D322B">
        <w:rPr>
          <w:rFonts w:ascii="Arial" w:hAnsi="Arial" w:cs="Arial"/>
        </w:rPr>
        <w:t>For</w:t>
      </w:r>
      <w:r w:rsidR="00EE0CCC">
        <w:rPr>
          <w:rFonts w:ascii="Arial" w:hAnsi="Arial" w:cs="Arial"/>
        </w:rPr>
        <w:t xml:space="preserve"> </w:t>
      </w:r>
      <w:r w:rsidRPr="007D322B">
        <w:rPr>
          <w:rFonts w:ascii="Arial" w:hAnsi="Arial" w:cs="Arial"/>
        </w:rPr>
        <w:t>continuous</w:t>
      </w:r>
      <w:r w:rsidR="00EE0CCC">
        <w:rPr>
          <w:rFonts w:ascii="Arial" w:hAnsi="Arial" w:cs="Arial"/>
        </w:rPr>
        <w:t xml:space="preserve"> </w:t>
      </w:r>
      <w:r w:rsidRPr="007D322B">
        <w:rPr>
          <w:rFonts w:ascii="Arial" w:hAnsi="Arial" w:cs="Arial"/>
        </w:rPr>
        <w:t>infusions,</w:t>
      </w:r>
      <w:r w:rsidR="00EE0CCC">
        <w:rPr>
          <w:rFonts w:ascii="Arial" w:hAnsi="Arial" w:cs="Arial"/>
        </w:rPr>
        <w:t xml:space="preserve"> </w:t>
      </w:r>
      <w:r w:rsidRPr="007D322B">
        <w:rPr>
          <w:rFonts w:ascii="Arial" w:hAnsi="Arial" w:cs="Arial"/>
        </w:rPr>
        <w:t>any</w:t>
      </w:r>
      <w:r w:rsidR="00EE0CCC">
        <w:rPr>
          <w:rFonts w:ascii="Arial" w:hAnsi="Arial" w:cs="Arial"/>
        </w:rPr>
        <w:t xml:space="preserve"> </w:t>
      </w:r>
      <w:r w:rsidRPr="007D322B">
        <w:rPr>
          <w:rFonts w:ascii="Arial" w:hAnsi="Arial" w:cs="Arial"/>
        </w:rPr>
        <w:t>medical</w:t>
      </w:r>
      <w:r w:rsidR="00EE0CCC">
        <w:rPr>
          <w:rFonts w:ascii="Arial" w:hAnsi="Arial" w:cs="Arial"/>
        </w:rPr>
        <w:t xml:space="preserve"> </w:t>
      </w:r>
      <w:r w:rsidRPr="007D322B">
        <w:rPr>
          <w:rFonts w:ascii="Arial" w:hAnsi="Arial" w:cs="Arial"/>
        </w:rPr>
        <w:t>device</w:t>
      </w:r>
      <w:r w:rsidR="00EE0CCC">
        <w:rPr>
          <w:rFonts w:ascii="Arial" w:hAnsi="Arial" w:cs="Arial"/>
        </w:rPr>
        <w:t xml:space="preserve"> </w:t>
      </w:r>
      <w:r w:rsidRPr="007D322B">
        <w:rPr>
          <w:rFonts w:ascii="Arial" w:hAnsi="Arial" w:cs="Arial"/>
        </w:rPr>
        <w:t>suitable</w:t>
      </w:r>
      <w:r w:rsidR="00EE0CCC">
        <w:rPr>
          <w:rFonts w:ascii="Arial" w:hAnsi="Arial" w:cs="Arial"/>
        </w:rPr>
        <w:t xml:space="preserve"> </w:t>
      </w:r>
      <w:r w:rsidRPr="007D322B">
        <w:rPr>
          <w:rFonts w:ascii="Arial" w:hAnsi="Arial" w:cs="Arial"/>
        </w:rPr>
        <w:t>for</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at</w:t>
      </w:r>
      <w:r w:rsidR="00EE0CCC">
        <w:rPr>
          <w:rFonts w:ascii="Arial" w:hAnsi="Arial" w:cs="Arial"/>
        </w:rPr>
        <w:t xml:space="preserve"> </w:t>
      </w:r>
      <w:r w:rsidRPr="007D322B">
        <w:rPr>
          <w:rFonts w:ascii="Arial" w:hAnsi="Arial" w:cs="Arial"/>
        </w:rPr>
        <w:t>a</w:t>
      </w:r>
      <w:r w:rsidR="00EE0CCC">
        <w:rPr>
          <w:rFonts w:ascii="Arial" w:hAnsi="Arial" w:cs="Arial"/>
        </w:rPr>
        <w:t xml:space="preserve"> </w:t>
      </w:r>
      <w:r w:rsidRPr="007D322B">
        <w:rPr>
          <w:rFonts w:ascii="Arial" w:hAnsi="Arial" w:cs="Arial"/>
        </w:rPr>
        <w:t>rate</w:t>
      </w:r>
      <w:r w:rsidR="00EE0CCC">
        <w:rPr>
          <w:rFonts w:ascii="Arial" w:hAnsi="Arial" w:cs="Arial"/>
        </w:rPr>
        <w:t xml:space="preserve"> </w:t>
      </w:r>
      <w:r w:rsidRPr="007D322B">
        <w:rPr>
          <w:rFonts w:ascii="Arial" w:hAnsi="Arial" w:cs="Arial"/>
        </w:rPr>
        <w:t>of</w:t>
      </w:r>
      <w:r w:rsidR="00EE0CCC">
        <w:rPr>
          <w:rFonts w:ascii="Arial" w:hAnsi="Arial" w:cs="Arial"/>
        </w:rPr>
        <w:t xml:space="preserve"> </w:t>
      </w:r>
      <w:r w:rsidRPr="007D322B">
        <w:rPr>
          <w:rFonts w:ascii="Arial" w:hAnsi="Arial" w:cs="Arial"/>
        </w:rPr>
        <w:t>2</w:t>
      </w:r>
      <w:r w:rsidR="00EE0CCC">
        <w:rPr>
          <w:rFonts w:ascii="Arial" w:hAnsi="Arial" w:cs="Arial"/>
        </w:rPr>
        <w:t xml:space="preserve"> </w:t>
      </w:r>
      <w:r w:rsidRPr="007D322B">
        <w:rPr>
          <w:rFonts w:ascii="Arial" w:hAnsi="Arial" w:cs="Arial"/>
        </w:rPr>
        <w:t>mL</w:t>
      </w:r>
      <w:r w:rsidR="00EE0CCC">
        <w:rPr>
          <w:rFonts w:ascii="Arial" w:hAnsi="Arial" w:cs="Arial"/>
        </w:rPr>
        <w:t xml:space="preserve"> </w:t>
      </w:r>
      <w:r w:rsidRPr="007D322B">
        <w:rPr>
          <w:rFonts w:ascii="Arial" w:hAnsi="Arial" w:cs="Arial"/>
        </w:rPr>
        <w:t>per</w:t>
      </w:r>
      <w:r w:rsidR="00EE0CCC">
        <w:rPr>
          <w:rFonts w:ascii="Arial" w:hAnsi="Arial" w:cs="Arial"/>
        </w:rPr>
        <w:t xml:space="preserve"> </w:t>
      </w:r>
      <w:r w:rsidRPr="007D322B">
        <w:rPr>
          <w:rFonts w:ascii="Arial" w:hAnsi="Arial" w:cs="Arial"/>
        </w:rPr>
        <w:t>hour</w:t>
      </w:r>
      <w:r w:rsidR="00EE0CCC">
        <w:rPr>
          <w:rFonts w:ascii="Arial" w:hAnsi="Arial" w:cs="Arial"/>
        </w:rPr>
        <w:t xml:space="preserve"> </w:t>
      </w:r>
      <w:r w:rsidRPr="007D322B">
        <w:rPr>
          <w:rFonts w:ascii="Arial" w:hAnsi="Arial" w:cs="Arial"/>
        </w:rPr>
        <w:t>can</w:t>
      </w:r>
      <w:r w:rsidR="00EE0CCC">
        <w:rPr>
          <w:rFonts w:ascii="Arial" w:hAnsi="Arial" w:cs="Arial"/>
        </w:rPr>
        <w:t xml:space="preserve"> </w:t>
      </w:r>
      <w:r w:rsidRPr="007D322B">
        <w:rPr>
          <w:rFonts w:ascii="Arial" w:hAnsi="Arial" w:cs="Arial"/>
        </w:rPr>
        <w:t>be</w:t>
      </w:r>
      <w:r w:rsidR="00EE0CCC">
        <w:rPr>
          <w:rFonts w:ascii="Arial" w:hAnsi="Arial" w:cs="Arial"/>
        </w:rPr>
        <w:t xml:space="preserve"> </w:t>
      </w:r>
      <w:r w:rsidRPr="007D322B">
        <w:rPr>
          <w:rFonts w:ascii="Arial" w:hAnsi="Arial" w:cs="Arial"/>
        </w:rPr>
        <w:t>used,</w:t>
      </w:r>
      <w:r w:rsidR="00EE0CCC">
        <w:rPr>
          <w:rFonts w:ascii="Arial" w:hAnsi="Arial" w:cs="Arial"/>
        </w:rPr>
        <w:t xml:space="preserve"> </w:t>
      </w:r>
      <w:r w:rsidRPr="007D322B">
        <w:rPr>
          <w:rFonts w:ascii="Arial" w:hAnsi="Arial" w:cs="Arial"/>
        </w:rPr>
        <w:t>e.g.</w:t>
      </w:r>
      <w:r w:rsidR="00EE0CCC">
        <w:rPr>
          <w:rFonts w:ascii="Arial" w:hAnsi="Arial" w:cs="Arial"/>
        </w:rPr>
        <w:t xml:space="preserve"> </w:t>
      </w:r>
      <w:r w:rsidRPr="007D322B">
        <w:rPr>
          <w:rFonts w:ascii="Arial" w:hAnsi="Arial" w:cs="Arial"/>
        </w:rPr>
        <w:t>syringe</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pumps/infusors,</w:t>
      </w:r>
      <w:r w:rsidR="00EE0CCC">
        <w:rPr>
          <w:rFonts w:ascii="Arial" w:hAnsi="Arial" w:cs="Arial"/>
        </w:rPr>
        <w:t xml:space="preserve"> </w:t>
      </w:r>
      <w:r w:rsidRPr="007D322B">
        <w:rPr>
          <w:rFonts w:ascii="Arial" w:hAnsi="Arial" w:cs="Arial"/>
        </w:rPr>
        <w:t>electronic</w:t>
      </w:r>
      <w:r w:rsidR="00EE0CCC">
        <w:rPr>
          <w:rFonts w:ascii="Arial" w:hAnsi="Arial" w:cs="Arial"/>
        </w:rPr>
        <w:t xml:space="preserve"> </w:t>
      </w:r>
      <w:r w:rsidRPr="007D322B">
        <w:rPr>
          <w:rFonts w:ascii="Arial" w:hAnsi="Arial" w:cs="Arial"/>
        </w:rPr>
        <w:t>ambulatory</w:t>
      </w:r>
      <w:r w:rsidR="00EE0CCC">
        <w:rPr>
          <w:rFonts w:ascii="Arial" w:hAnsi="Arial" w:cs="Arial"/>
        </w:rPr>
        <w:t xml:space="preserve"> </w:t>
      </w:r>
      <w:r w:rsidRPr="007D322B">
        <w:rPr>
          <w:rFonts w:ascii="Arial" w:hAnsi="Arial" w:cs="Arial"/>
        </w:rPr>
        <w:t>infusion</w:t>
      </w:r>
      <w:r w:rsidR="00EE0CCC">
        <w:rPr>
          <w:rFonts w:ascii="Arial" w:hAnsi="Arial" w:cs="Arial"/>
        </w:rPr>
        <w:t xml:space="preserve"> </w:t>
      </w:r>
      <w:r w:rsidRPr="007D322B">
        <w:rPr>
          <w:rFonts w:ascii="Arial" w:hAnsi="Arial" w:cs="Arial"/>
        </w:rPr>
        <w:t>pumps.</w:t>
      </w:r>
      <w:r w:rsidR="00EE0CCC">
        <w:rPr>
          <w:rFonts w:ascii="Arial" w:hAnsi="Arial" w:cs="Arial"/>
        </w:rPr>
        <w:t xml:space="preserve"> </w:t>
      </w:r>
      <w:r w:rsidRPr="007D322B">
        <w:rPr>
          <w:rFonts w:ascii="Arial" w:hAnsi="Arial" w:cs="Arial"/>
        </w:rPr>
        <w:t>Note</w:t>
      </w:r>
      <w:r w:rsidR="00EE0CCC">
        <w:rPr>
          <w:rFonts w:ascii="Arial" w:hAnsi="Arial" w:cs="Arial"/>
        </w:rPr>
        <w:t xml:space="preserve"> </w:t>
      </w:r>
      <w:r w:rsidRPr="007D322B">
        <w:rPr>
          <w:rFonts w:ascii="Arial" w:hAnsi="Arial" w:cs="Arial"/>
        </w:rPr>
        <w:t>that</w:t>
      </w:r>
      <w:r w:rsidR="00EE0CCC">
        <w:rPr>
          <w:rFonts w:ascii="Arial" w:hAnsi="Arial" w:cs="Arial"/>
        </w:rPr>
        <w:t xml:space="preserve"> </w:t>
      </w:r>
      <w:r w:rsidRPr="007D322B">
        <w:rPr>
          <w:rFonts w:ascii="Arial" w:hAnsi="Arial" w:cs="Arial"/>
        </w:rPr>
        <w:t>elastomeric</w:t>
      </w:r>
      <w:r w:rsidR="00EE0CCC">
        <w:rPr>
          <w:rFonts w:ascii="Arial" w:hAnsi="Arial" w:cs="Arial"/>
        </w:rPr>
        <w:t xml:space="preserve"> </w:t>
      </w:r>
      <w:r w:rsidRPr="007D322B">
        <w:rPr>
          <w:rFonts w:ascii="Arial" w:hAnsi="Arial" w:cs="Arial"/>
        </w:rPr>
        <w:t>pumps</w:t>
      </w:r>
      <w:r w:rsidR="00EE0CCC">
        <w:rPr>
          <w:rFonts w:ascii="Arial" w:hAnsi="Arial" w:cs="Arial"/>
        </w:rPr>
        <w:t xml:space="preserve"> </w:t>
      </w:r>
      <w:r w:rsidRPr="007D322B">
        <w:rPr>
          <w:rFonts w:ascii="Arial" w:hAnsi="Arial" w:cs="Arial"/>
        </w:rPr>
        <w:t>are</w:t>
      </w:r>
      <w:r w:rsidR="00EE0CCC">
        <w:rPr>
          <w:rFonts w:ascii="Arial" w:hAnsi="Arial" w:cs="Arial"/>
        </w:rPr>
        <w:t xml:space="preserve"> </w:t>
      </w:r>
      <w:r w:rsidRPr="007D322B">
        <w:rPr>
          <w:rFonts w:ascii="Arial" w:hAnsi="Arial" w:cs="Arial"/>
        </w:rPr>
        <w:t>not</w:t>
      </w:r>
      <w:r w:rsidR="00EE0CCC">
        <w:rPr>
          <w:rFonts w:ascii="Arial" w:hAnsi="Arial" w:cs="Arial"/>
        </w:rPr>
        <w:t xml:space="preserve"> </w:t>
      </w:r>
      <w:r w:rsidRPr="007D322B">
        <w:rPr>
          <w:rFonts w:ascii="Arial" w:hAnsi="Arial" w:cs="Arial"/>
        </w:rPr>
        <w:t>considered</w:t>
      </w:r>
      <w:r w:rsidR="00EE0CCC">
        <w:rPr>
          <w:rFonts w:ascii="Arial" w:hAnsi="Arial" w:cs="Arial"/>
        </w:rPr>
        <w:t xml:space="preserve"> </w:t>
      </w:r>
      <w:r w:rsidRPr="007D322B">
        <w:rPr>
          <w:rFonts w:ascii="Arial" w:hAnsi="Arial" w:cs="Arial"/>
        </w:rPr>
        <w:t>suitable</w:t>
      </w:r>
      <w:r w:rsidR="00EE0CCC">
        <w:rPr>
          <w:rFonts w:ascii="Arial" w:hAnsi="Arial" w:cs="Arial"/>
        </w:rPr>
        <w:t xml:space="preserve"> </w:t>
      </w:r>
      <w:r w:rsidRPr="007D322B">
        <w:rPr>
          <w:rFonts w:ascii="Arial" w:hAnsi="Arial" w:cs="Arial"/>
        </w:rPr>
        <w:t>in</w:t>
      </w:r>
      <w:r w:rsidR="00EE0CCC">
        <w:rPr>
          <w:rFonts w:ascii="Arial" w:hAnsi="Arial" w:cs="Arial"/>
        </w:rPr>
        <w:t xml:space="preserve"> </w:t>
      </w:r>
      <w:r w:rsidRPr="007D322B">
        <w:rPr>
          <w:rFonts w:ascii="Arial" w:hAnsi="Arial" w:cs="Arial"/>
        </w:rPr>
        <w:t>combination</w:t>
      </w:r>
      <w:r w:rsidR="00EE0CCC">
        <w:rPr>
          <w:rFonts w:ascii="Arial" w:hAnsi="Arial" w:cs="Arial"/>
        </w:rPr>
        <w:t xml:space="preserve"> </w:t>
      </w:r>
      <w:r w:rsidRPr="007D322B">
        <w:rPr>
          <w:rFonts w:ascii="Arial" w:hAnsi="Arial" w:cs="Arial"/>
        </w:rPr>
        <w:t>with</w:t>
      </w:r>
      <w:r w:rsidR="00EE0CCC">
        <w:rPr>
          <w:rFonts w:ascii="Arial" w:hAnsi="Arial" w:cs="Arial"/>
        </w:rPr>
        <w:t xml:space="preserve"> </w:t>
      </w:r>
      <w:r w:rsidRPr="007D322B">
        <w:rPr>
          <w:rFonts w:ascii="Arial" w:hAnsi="Arial" w:cs="Arial"/>
        </w:rPr>
        <w:t>in-line</w:t>
      </w:r>
      <w:r w:rsidR="00EE0CCC">
        <w:rPr>
          <w:rFonts w:ascii="Arial" w:hAnsi="Arial" w:cs="Arial"/>
        </w:rPr>
        <w:t xml:space="preserve"> </w:t>
      </w:r>
      <w:r w:rsidRPr="007D322B">
        <w:rPr>
          <w:rFonts w:ascii="Arial" w:hAnsi="Arial" w:cs="Arial"/>
        </w:rPr>
        <w:t>filters.</w:t>
      </w:r>
      <w:r w:rsidR="00EE0CCC">
        <w:rPr>
          <w:rFonts w:ascii="Arial" w:hAnsi="Arial" w:cs="Arial"/>
          <w:noProof/>
        </w:rPr>
        <w:t xml:space="preserve"> </w:t>
      </w:r>
    </w:p>
    <w:p w:rsidR="009B7BB6" w:rsidRPr="007D322B" w:rsidRDefault="00E75CC8" w:rsidP="0084108E">
      <w:pPr>
        <w:pStyle w:val="Heading2"/>
        <w:rPr>
          <w:rFonts w:ascii="Arial" w:eastAsia="Calibri" w:hAnsi="Arial" w:cs="Arial"/>
          <w:b w:val="0"/>
          <w:sz w:val="24"/>
          <w:szCs w:val="24"/>
        </w:rPr>
      </w:pPr>
      <w:r w:rsidRPr="007D322B">
        <w:rPr>
          <w:rFonts w:ascii="Arial" w:eastAsia="Calibri" w:hAnsi="Arial" w:cs="Arial"/>
          <w:i w:val="0"/>
          <w:sz w:val="24"/>
          <w:szCs w:val="24"/>
        </w:rPr>
        <w:t>NATURE</w:t>
      </w:r>
      <w:r w:rsidR="00EE0CCC">
        <w:rPr>
          <w:rFonts w:ascii="Arial" w:eastAsia="Calibri" w:hAnsi="Arial" w:cs="Arial"/>
          <w:i w:val="0"/>
          <w:sz w:val="24"/>
          <w:szCs w:val="24"/>
        </w:rPr>
        <w:t xml:space="preserve"> </w:t>
      </w:r>
      <w:r w:rsidRPr="007D322B">
        <w:rPr>
          <w:rFonts w:ascii="Arial" w:eastAsia="Calibri" w:hAnsi="Arial" w:cs="Arial"/>
          <w:i w:val="0"/>
          <w:sz w:val="24"/>
          <w:szCs w:val="24"/>
        </w:rPr>
        <w:t>AND</w:t>
      </w:r>
      <w:r w:rsidR="00EE0CCC">
        <w:rPr>
          <w:rFonts w:ascii="Arial" w:eastAsia="Calibri" w:hAnsi="Arial" w:cs="Arial"/>
          <w:i w:val="0"/>
          <w:sz w:val="24"/>
          <w:szCs w:val="24"/>
        </w:rPr>
        <w:t xml:space="preserve"> </w:t>
      </w:r>
      <w:r w:rsidRPr="007D322B">
        <w:rPr>
          <w:rFonts w:ascii="Arial" w:eastAsia="Calibri" w:hAnsi="Arial" w:cs="Arial"/>
          <w:i w:val="0"/>
          <w:sz w:val="24"/>
          <w:szCs w:val="24"/>
        </w:rPr>
        <w:t>CONTENTS</w:t>
      </w:r>
      <w:r w:rsidR="00EE0CCC">
        <w:rPr>
          <w:rFonts w:ascii="Arial" w:eastAsia="Calibri" w:hAnsi="Arial" w:cs="Arial"/>
          <w:i w:val="0"/>
          <w:sz w:val="24"/>
          <w:szCs w:val="24"/>
        </w:rPr>
        <w:t xml:space="preserve"> </w:t>
      </w:r>
      <w:r w:rsidRPr="007D322B">
        <w:rPr>
          <w:rFonts w:ascii="Arial" w:eastAsia="Calibri" w:hAnsi="Arial" w:cs="Arial"/>
          <w:i w:val="0"/>
          <w:sz w:val="24"/>
          <w:szCs w:val="24"/>
        </w:rPr>
        <w:t>OF</w:t>
      </w:r>
      <w:r w:rsidR="00EE0CCC">
        <w:rPr>
          <w:rFonts w:ascii="Arial" w:eastAsia="Calibri" w:hAnsi="Arial" w:cs="Arial"/>
          <w:i w:val="0"/>
          <w:sz w:val="24"/>
          <w:szCs w:val="24"/>
        </w:rPr>
        <w:t xml:space="preserve"> </w:t>
      </w:r>
      <w:r w:rsidRPr="007D322B">
        <w:rPr>
          <w:rFonts w:ascii="Arial" w:eastAsia="Calibri" w:hAnsi="Arial" w:cs="Arial"/>
          <w:i w:val="0"/>
          <w:sz w:val="24"/>
          <w:szCs w:val="24"/>
        </w:rPr>
        <w:t>CONTAINER</w:t>
      </w:r>
    </w:p>
    <w:p w:rsidR="00E01067" w:rsidRPr="007D322B" w:rsidRDefault="00E01067" w:rsidP="00E01067">
      <w:pPr>
        <w:pStyle w:val="NoSpacing"/>
        <w:rPr>
          <w:rFonts w:ascii="Arial" w:eastAsia="Calibri" w:hAnsi="Arial" w:cs="Arial"/>
        </w:rPr>
      </w:pPr>
      <w:r w:rsidRPr="007D322B">
        <w:rPr>
          <w:rFonts w:ascii="Arial" w:eastAsia="Calibri" w:hAnsi="Arial" w:cs="Arial"/>
        </w:rPr>
        <w:t>Clear</w:t>
      </w:r>
      <w:r w:rsidR="00EE0CCC">
        <w:rPr>
          <w:rFonts w:ascii="Arial" w:eastAsia="Calibri" w:hAnsi="Arial" w:cs="Arial"/>
        </w:rPr>
        <w:t xml:space="preserve"> </w:t>
      </w:r>
      <w:r w:rsidRPr="007D322B">
        <w:rPr>
          <w:rFonts w:ascii="Arial" w:eastAsia="Calibri" w:hAnsi="Arial" w:cs="Arial"/>
        </w:rPr>
        <w:t>Type</w:t>
      </w:r>
      <w:r w:rsidR="00EE0CCC">
        <w:rPr>
          <w:rFonts w:ascii="Arial" w:eastAsia="Calibri" w:hAnsi="Arial" w:cs="Arial"/>
        </w:rPr>
        <w:t xml:space="preserve"> </w:t>
      </w:r>
      <w:r w:rsidRPr="007D322B">
        <w:rPr>
          <w:rFonts w:ascii="Arial" w:eastAsia="Calibri" w:hAnsi="Arial" w:cs="Arial"/>
        </w:rPr>
        <w:t>I</w:t>
      </w:r>
      <w:r w:rsidR="00EE0CCC">
        <w:rPr>
          <w:rFonts w:ascii="Arial" w:eastAsia="Calibri" w:hAnsi="Arial" w:cs="Arial"/>
        </w:rPr>
        <w:t xml:space="preserve"> </w:t>
      </w:r>
      <w:r w:rsidRPr="007D322B">
        <w:rPr>
          <w:rFonts w:ascii="Arial" w:eastAsia="Calibri" w:hAnsi="Arial" w:cs="Arial"/>
        </w:rPr>
        <w:t>glass</w:t>
      </w:r>
      <w:r w:rsidR="00EE0CCC">
        <w:rPr>
          <w:rFonts w:ascii="Arial" w:eastAsia="Calibri" w:hAnsi="Arial" w:cs="Arial"/>
        </w:rPr>
        <w:t xml:space="preserve"> </w:t>
      </w:r>
      <w:r w:rsidRPr="007D322B">
        <w:rPr>
          <w:rFonts w:ascii="Arial" w:eastAsia="Calibri" w:hAnsi="Arial" w:cs="Arial"/>
        </w:rPr>
        <w:t>vial</w:t>
      </w:r>
      <w:r w:rsidR="00EE0CCC">
        <w:rPr>
          <w:rFonts w:ascii="Arial" w:eastAsia="Calibri" w:hAnsi="Arial" w:cs="Arial"/>
        </w:rPr>
        <w:t xml:space="preserve"> </w:t>
      </w:r>
      <w:r w:rsidRPr="007D322B">
        <w:rPr>
          <w:rFonts w:ascii="Arial" w:eastAsia="Calibri" w:hAnsi="Arial" w:cs="Arial"/>
        </w:rPr>
        <w:t>(6</w:t>
      </w:r>
      <w:r w:rsidR="00EE0CCC">
        <w:rPr>
          <w:rFonts w:ascii="Arial" w:eastAsia="Calibri" w:hAnsi="Arial" w:cs="Arial"/>
        </w:rPr>
        <w:t xml:space="preserve"> </w:t>
      </w:r>
      <w:r w:rsidRPr="007D322B">
        <w:rPr>
          <w:rFonts w:ascii="Arial" w:eastAsia="Calibri" w:hAnsi="Arial" w:cs="Arial"/>
        </w:rPr>
        <w:t>mL)</w:t>
      </w:r>
      <w:r w:rsidR="00EE0CCC">
        <w:rPr>
          <w:rFonts w:ascii="Arial" w:eastAsia="Calibri" w:hAnsi="Arial" w:cs="Arial"/>
        </w:rPr>
        <w:t xml:space="preserve"> </w:t>
      </w:r>
      <w:r w:rsidRPr="007D322B">
        <w:rPr>
          <w:rFonts w:ascii="Arial" w:eastAsia="Calibri" w:hAnsi="Arial" w:cs="Arial"/>
        </w:rPr>
        <w:t>with</w:t>
      </w:r>
      <w:r w:rsidR="00EE0CCC">
        <w:rPr>
          <w:rFonts w:ascii="Arial" w:eastAsia="Calibri" w:hAnsi="Arial" w:cs="Arial"/>
        </w:rPr>
        <w:t xml:space="preserve"> </w:t>
      </w:r>
      <w:r w:rsidRPr="007D322B">
        <w:rPr>
          <w:rFonts w:ascii="Arial" w:eastAsia="Calibri" w:hAnsi="Arial" w:cs="Arial"/>
        </w:rPr>
        <w:t>a</w:t>
      </w:r>
      <w:r w:rsidR="00EE0CCC">
        <w:rPr>
          <w:rFonts w:ascii="Arial" w:eastAsia="Calibri" w:hAnsi="Arial" w:cs="Arial"/>
        </w:rPr>
        <w:t xml:space="preserve"> </w:t>
      </w:r>
      <w:r w:rsidRPr="007D322B">
        <w:rPr>
          <w:rFonts w:ascii="Arial" w:eastAsia="Calibri" w:hAnsi="Arial" w:cs="Arial"/>
        </w:rPr>
        <w:t>halobutyl</w:t>
      </w:r>
      <w:r w:rsidR="00EE0CCC">
        <w:rPr>
          <w:rFonts w:ascii="Arial" w:eastAsia="Calibri" w:hAnsi="Arial" w:cs="Arial"/>
        </w:rPr>
        <w:t xml:space="preserve"> </w:t>
      </w:r>
      <w:r w:rsidRPr="007D322B">
        <w:rPr>
          <w:rFonts w:ascii="Arial" w:eastAsia="Calibri" w:hAnsi="Arial" w:cs="Arial"/>
        </w:rPr>
        <w:t>rubber</w:t>
      </w:r>
      <w:r w:rsidR="00EE0CCC">
        <w:rPr>
          <w:rFonts w:ascii="Arial" w:eastAsia="Calibri" w:hAnsi="Arial" w:cs="Arial"/>
        </w:rPr>
        <w:t xml:space="preserve"> </w:t>
      </w:r>
      <w:r w:rsidRPr="007D322B">
        <w:rPr>
          <w:rFonts w:ascii="Arial" w:eastAsia="Calibri" w:hAnsi="Arial" w:cs="Arial"/>
        </w:rPr>
        <w:t>stopper</w:t>
      </w:r>
      <w:r w:rsidR="00EE0CCC">
        <w:rPr>
          <w:rFonts w:ascii="Arial" w:eastAsia="Calibri" w:hAnsi="Arial" w:cs="Arial"/>
        </w:rPr>
        <w:t xml:space="preserve"> </w:t>
      </w:r>
      <w:r w:rsidRPr="007D322B">
        <w:rPr>
          <w:rFonts w:ascii="Arial" w:eastAsia="Calibri" w:hAnsi="Arial" w:cs="Arial"/>
        </w:rPr>
        <w:t>and</w:t>
      </w:r>
      <w:r w:rsidR="00EE0CCC">
        <w:rPr>
          <w:rFonts w:ascii="Arial" w:eastAsia="Calibri" w:hAnsi="Arial" w:cs="Arial"/>
        </w:rPr>
        <w:t xml:space="preserve"> </w:t>
      </w:r>
      <w:r w:rsidRPr="007D322B">
        <w:rPr>
          <w:rFonts w:ascii="Arial" w:eastAsia="Calibri" w:hAnsi="Arial" w:cs="Arial"/>
        </w:rPr>
        <w:t>aluminium</w:t>
      </w:r>
      <w:r w:rsidR="00EE0CCC">
        <w:rPr>
          <w:rFonts w:ascii="Arial" w:eastAsia="Calibri" w:hAnsi="Arial" w:cs="Arial"/>
        </w:rPr>
        <w:t xml:space="preserve"> </w:t>
      </w:r>
      <w:r w:rsidRPr="007D322B">
        <w:rPr>
          <w:rFonts w:ascii="Arial" w:eastAsia="Calibri" w:hAnsi="Arial" w:cs="Arial"/>
        </w:rPr>
        <w:t>flip-off</w:t>
      </w:r>
      <w:r w:rsidR="00EE0CCC">
        <w:rPr>
          <w:rFonts w:ascii="Arial" w:eastAsia="Calibri" w:hAnsi="Arial" w:cs="Arial"/>
        </w:rPr>
        <w:t xml:space="preserve"> </w:t>
      </w:r>
      <w:r w:rsidRPr="007D322B">
        <w:rPr>
          <w:rFonts w:ascii="Arial" w:eastAsia="Calibri" w:hAnsi="Arial" w:cs="Arial"/>
        </w:rPr>
        <w:t>cap,</w:t>
      </w:r>
      <w:r w:rsidR="00EE0CCC">
        <w:rPr>
          <w:rFonts w:ascii="Arial" w:eastAsia="Calibri" w:hAnsi="Arial" w:cs="Arial"/>
        </w:rPr>
        <w:t xml:space="preserve"> </w:t>
      </w:r>
      <w:r w:rsidRPr="007D322B">
        <w:rPr>
          <w:rFonts w:ascii="Arial" w:eastAsia="Calibri" w:hAnsi="Arial" w:cs="Arial"/>
        </w:rPr>
        <w:t>containing</w:t>
      </w:r>
      <w:r w:rsidR="00EE0CCC">
        <w:rPr>
          <w:rFonts w:ascii="Arial" w:eastAsia="Calibri" w:hAnsi="Arial" w:cs="Arial"/>
        </w:rPr>
        <w:t xml:space="preserve"> </w:t>
      </w:r>
      <w:r w:rsidRPr="007D322B">
        <w:rPr>
          <w:rFonts w:ascii="Arial" w:eastAsia="Calibri" w:hAnsi="Arial" w:cs="Arial"/>
        </w:rPr>
        <w:t>a</w:t>
      </w:r>
      <w:r w:rsidR="00EE0CCC">
        <w:rPr>
          <w:rFonts w:ascii="Arial" w:eastAsia="Calibri" w:hAnsi="Arial" w:cs="Arial"/>
        </w:rPr>
        <w:t xml:space="preserve"> </w:t>
      </w:r>
      <w:r w:rsidRPr="007D322B">
        <w:rPr>
          <w:rFonts w:ascii="Arial" w:eastAsia="Calibri" w:hAnsi="Arial" w:cs="Arial"/>
        </w:rPr>
        <w:t>minimum</w:t>
      </w:r>
      <w:r w:rsidR="00EE0CCC">
        <w:rPr>
          <w:rFonts w:ascii="Arial" w:eastAsia="Calibri" w:hAnsi="Arial" w:cs="Arial"/>
        </w:rPr>
        <w:t xml:space="preserve"> </w:t>
      </w:r>
      <w:r w:rsidRPr="007D322B">
        <w:rPr>
          <w:rFonts w:ascii="Arial" w:eastAsia="Calibri" w:hAnsi="Arial" w:cs="Arial"/>
        </w:rPr>
        <w:t>extractable</w:t>
      </w:r>
      <w:r w:rsidR="00EE0CCC">
        <w:rPr>
          <w:rFonts w:ascii="Arial" w:eastAsia="Calibri" w:hAnsi="Arial" w:cs="Arial"/>
        </w:rPr>
        <w:t xml:space="preserve"> </w:t>
      </w:r>
      <w:r w:rsidRPr="007D322B">
        <w:rPr>
          <w:rFonts w:ascii="Arial" w:eastAsia="Calibri" w:hAnsi="Arial" w:cs="Arial"/>
        </w:rPr>
        <w:t>volume</w:t>
      </w:r>
      <w:r w:rsidR="00EE0CCC">
        <w:rPr>
          <w:rFonts w:ascii="Arial" w:eastAsia="Calibri" w:hAnsi="Arial" w:cs="Arial"/>
        </w:rPr>
        <w:t xml:space="preserve"> </w:t>
      </w:r>
      <w:r w:rsidRPr="007D322B">
        <w:rPr>
          <w:rFonts w:ascii="Arial" w:eastAsia="Calibri" w:hAnsi="Arial" w:cs="Arial"/>
        </w:rPr>
        <w:t>of</w:t>
      </w:r>
      <w:r w:rsidR="00EE0CCC">
        <w:rPr>
          <w:rFonts w:ascii="Arial" w:eastAsia="Calibri" w:hAnsi="Arial" w:cs="Arial"/>
        </w:rPr>
        <w:t xml:space="preserve"> </w:t>
      </w:r>
      <w:r w:rsidRPr="007D322B">
        <w:rPr>
          <w:rFonts w:ascii="Arial" w:eastAsia="Calibri" w:hAnsi="Arial" w:cs="Arial"/>
        </w:rPr>
        <w:t>4.5</w:t>
      </w:r>
      <w:r w:rsidR="00EE0CCC">
        <w:rPr>
          <w:rFonts w:ascii="Arial" w:eastAsia="Calibri" w:hAnsi="Arial" w:cs="Arial"/>
        </w:rPr>
        <w:t xml:space="preserve"> </w:t>
      </w:r>
      <w:r w:rsidRPr="007D322B">
        <w:rPr>
          <w:rFonts w:ascii="Arial" w:eastAsia="Calibri" w:hAnsi="Arial" w:cs="Arial"/>
        </w:rPr>
        <w:t>mL</w:t>
      </w:r>
      <w:r w:rsidR="00EE0CCC">
        <w:rPr>
          <w:rFonts w:ascii="Arial" w:eastAsia="Calibri" w:hAnsi="Arial" w:cs="Arial"/>
        </w:rPr>
        <w:t xml:space="preserve"> </w:t>
      </w:r>
      <w:r w:rsidRPr="007D322B">
        <w:rPr>
          <w:rFonts w:ascii="Arial" w:eastAsia="Calibri" w:hAnsi="Arial" w:cs="Arial"/>
        </w:rPr>
        <w:t>concentrate</w:t>
      </w:r>
      <w:r w:rsidR="00EE0CCC">
        <w:rPr>
          <w:rFonts w:ascii="Arial" w:eastAsia="Calibri" w:hAnsi="Arial" w:cs="Arial"/>
        </w:rPr>
        <w:t xml:space="preserve"> </w:t>
      </w:r>
      <w:r w:rsidRPr="007D322B">
        <w:rPr>
          <w:rFonts w:ascii="Arial" w:eastAsia="Calibri" w:hAnsi="Arial" w:cs="Arial"/>
        </w:rPr>
        <w:t>for</w:t>
      </w:r>
      <w:r w:rsidR="00EE0CCC">
        <w:rPr>
          <w:rFonts w:ascii="Arial" w:eastAsia="Calibri" w:hAnsi="Arial" w:cs="Arial"/>
        </w:rPr>
        <w:t xml:space="preserve"> </w:t>
      </w:r>
      <w:r w:rsidRPr="007D322B">
        <w:rPr>
          <w:rFonts w:ascii="Arial" w:eastAsia="Calibri" w:hAnsi="Arial" w:cs="Arial"/>
        </w:rPr>
        <w:t>solution</w:t>
      </w:r>
      <w:r w:rsidR="00EE0CCC">
        <w:rPr>
          <w:rFonts w:ascii="Arial" w:eastAsia="Calibri" w:hAnsi="Arial" w:cs="Arial"/>
        </w:rPr>
        <w:t xml:space="preserve"> </w:t>
      </w:r>
      <w:r w:rsidRPr="007D322B">
        <w:rPr>
          <w:rFonts w:ascii="Arial" w:eastAsia="Calibri" w:hAnsi="Arial" w:cs="Arial"/>
        </w:rPr>
        <w:t>for</w:t>
      </w:r>
      <w:r w:rsidR="00EE0CCC">
        <w:rPr>
          <w:rFonts w:ascii="Arial" w:eastAsia="Calibri" w:hAnsi="Arial" w:cs="Arial"/>
        </w:rPr>
        <w:t xml:space="preserve"> </w:t>
      </w:r>
      <w:r w:rsidRPr="007D322B">
        <w:rPr>
          <w:rFonts w:ascii="Arial" w:eastAsia="Calibri" w:hAnsi="Arial" w:cs="Arial"/>
        </w:rPr>
        <w:t>infusion.</w:t>
      </w:r>
      <w:r w:rsidR="00EE0CCC">
        <w:rPr>
          <w:rFonts w:ascii="Arial" w:eastAsia="Calibri" w:hAnsi="Arial" w:cs="Arial"/>
        </w:rPr>
        <w:t xml:space="preserve"> </w:t>
      </w:r>
    </w:p>
    <w:p w:rsidR="00E01067" w:rsidRPr="007D322B" w:rsidRDefault="00E01067" w:rsidP="00E01067">
      <w:pPr>
        <w:pStyle w:val="NoSpacing"/>
        <w:rPr>
          <w:rFonts w:ascii="Arial" w:eastAsia="Calibri" w:hAnsi="Arial" w:cs="Arial"/>
        </w:rPr>
      </w:pPr>
    </w:p>
    <w:p w:rsidR="009B7BB6" w:rsidRPr="007D322B" w:rsidRDefault="00E01067" w:rsidP="0084108E">
      <w:pPr>
        <w:pStyle w:val="NoSpacing"/>
        <w:rPr>
          <w:rFonts w:ascii="Arial" w:hAnsi="Arial" w:cs="Arial"/>
        </w:rPr>
      </w:pPr>
      <w:r w:rsidRPr="007D322B">
        <w:rPr>
          <w:rFonts w:ascii="Arial" w:eastAsia="Calibri" w:hAnsi="Arial" w:cs="Arial"/>
        </w:rPr>
        <w:lastRenderedPageBreak/>
        <w:t>Each</w:t>
      </w:r>
      <w:r w:rsidR="00EE0CCC">
        <w:rPr>
          <w:rFonts w:ascii="Arial" w:eastAsia="Calibri" w:hAnsi="Arial" w:cs="Arial"/>
        </w:rPr>
        <w:t xml:space="preserve"> </w:t>
      </w:r>
      <w:r w:rsidRPr="007D322B">
        <w:rPr>
          <w:rFonts w:ascii="Arial" w:eastAsia="Calibri" w:hAnsi="Arial" w:cs="Arial"/>
        </w:rPr>
        <w:t>carton</w:t>
      </w:r>
      <w:r w:rsidR="00EE0CCC">
        <w:rPr>
          <w:rFonts w:ascii="Arial" w:eastAsia="Calibri" w:hAnsi="Arial" w:cs="Arial"/>
        </w:rPr>
        <w:t xml:space="preserve"> </w:t>
      </w:r>
      <w:r w:rsidRPr="007D322B">
        <w:rPr>
          <w:rFonts w:ascii="Arial" w:eastAsia="Calibri" w:hAnsi="Arial" w:cs="Arial"/>
        </w:rPr>
        <w:t>contains</w:t>
      </w:r>
      <w:r w:rsidR="00EE0CCC">
        <w:rPr>
          <w:rFonts w:ascii="Arial" w:eastAsia="Calibri" w:hAnsi="Arial" w:cs="Arial"/>
        </w:rPr>
        <w:t xml:space="preserve"> </w:t>
      </w:r>
      <w:r w:rsidRPr="007D322B">
        <w:rPr>
          <w:rFonts w:ascii="Arial" w:eastAsia="Calibri" w:hAnsi="Arial" w:cs="Arial"/>
        </w:rPr>
        <w:t>1</w:t>
      </w:r>
      <w:r w:rsidR="00EE0CCC">
        <w:rPr>
          <w:rFonts w:ascii="Arial" w:eastAsia="Calibri" w:hAnsi="Arial" w:cs="Arial"/>
        </w:rPr>
        <w:t xml:space="preserve"> </w:t>
      </w:r>
      <w:r w:rsidR="009B092F">
        <w:rPr>
          <w:rFonts w:ascii="Arial" w:eastAsia="Calibri" w:hAnsi="Arial" w:cs="Arial"/>
        </w:rPr>
        <w:t>single</w:t>
      </w:r>
      <w:r w:rsidR="00EE0CCC">
        <w:rPr>
          <w:rFonts w:ascii="Arial" w:eastAsia="Calibri" w:hAnsi="Arial" w:cs="Arial"/>
        </w:rPr>
        <w:t xml:space="preserve"> </w:t>
      </w:r>
      <w:r w:rsidR="009B092F">
        <w:rPr>
          <w:rFonts w:ascii="Arial" w:eastAsia="Calibri" w:hAnsi="Arial" w:cs="Arial"/>
        </w:rPr>
        <w:t>use</w:t>
      </w:r>
      <w:r w:rsidR="00EE0CCC">
        <w:rPr>
          <w:rFonts w:ascii="Arial" w:eastAsia="Calibri" w:hAnsi="Arial" w:cs="Arial"/>
        </w:rPr>
        <w:t xml:space="preserve"> </w:t>
      </w:r>
      <w:r w:rsidRPr="007D322B">
        <w:rPr>
          <w:rFonts w:ascii="Arial" w:eastAsia="Calibri" w:hAnsi="Arial" w:cs="Arial"/>
        </w:rPr>
        <w:t>vial</w:t>
      </w:r>
      <w:r w:rsidR="009B7BB6" w:rsidRPr="007D322B">
        <w:rPr>
          <w:rFonts w:ascii="Arial" w:eastAsia="Calibri" w:hAnsi="Arial" w:cs="Arial"/>
        </w:rPr>
        <w:t>.</w:t>
      </w:r>
      <w:r w:rsidR="00EE0CCC">
        <w:rPr>
          <w:rFonts w:ascii="Arial" w:hAnsi="Arial" w:cs="Arial"/>
          <w:noProof/>
        </w:rPr>
        <w:t xml:space="preserve"> </w:t>
      </w:r>
    </w:p>
    <w:p w:rsidR="0042073F" w:rsidRPr="007D322B" w:rsidRDefault="00E75CC8" w:rsidP="0084108E">
      <w:pPr>
        <w:pStyle w:val="Heading2"/>
        <w:rPr>
          <w:rFonts w:ascii="Arial" w:eastAsia="Calibri" w:hAnsi="Arial" w:cs="Arial"/>
          <w:b w:val="0"/>
          <w:sz w:val="24"/>
          <w:szCs w:val="24"/>
        </w:rPr>
      </w:pPr>
      <w:bookmarkStart w:id="11" w:name="_SPECIAL_PRECAUTIONS_FOR"/>
      <w:bookmarkEnd w:id="11"/>
      <w:r w:rsidRPr="007D322B">
        <w:rPr>
          <w:rFonts w:ascii="Arial" w:eastAsia="Calibri" w:hAnsi="Arial" w:cs="Arial"/>
          <w:i w:val="0"/>
          <w:sz w:val="24"/>
          <w:szCs w:val="24"/>
        </w:rPr>
        <w:t>SPECIAL</w:t>
      </w:r>
      <w:r w:rsidR="00EE0CCC">
        <w:rPr>
          <w:rFonts w:ascii="Arial" w:eastAsia="Calibri" w:hAnsi="Arial" w:cs="Arial"/>
          <w:i w:val="0"/>
          <w:sz w:val="24"/>
          <w:szCs w:val="24"/>
        </w:rPr>
        <w:t xml:space="preserve"> </w:t>
      </w:r>
      <w:r w:rsidRPr="007D322B">
        <w:rPr>
          <w:rFonts w:ascii="Arial" w:eastAsia="Calibri" w:hAnsi="Arial" w:cs="Arial"/>
          <w:i w:val="0"/>
          <w:sz w:val="24"/>
          <w:szCs w:val="24"/>
        </w:rPr>
        <w:t>PRECAUTIONS</w:t>
      </w:r>
      <w:r w:rsidR="00EE0CCC">
        <w:rPr>
          <w:rFonts w:ascii="Arial" w:eastAsia="Calibri" w:hAnsi="Arial" w:cs="Arial"/>
          <w:i w:val="0"/>
          <w:sz w:val="24"/>
          <w:szCs w:val="24"/>
        </w:rPr>
        <w:t xml:space="preserve"> </w:t>
      </w:r>
      <w:r w:rsidRPr="007D322B">
        <w:rPr>
          <w:rFonts w:ascii="Arial" w:eastAsia="Calibri" w:hAnsi="Arial" w:cs="Arial"/>
          <w:i w:val="0"/>
          <w:sz w:val="24"/>
          <w:szCs w:val="24"/>
        </w:rPr>
        <w:t>FOR</w:t>
      </w:r>
      <w:r w:rsidR="00EE0CCC">
        <w:rPr>
          <w:rFonts w:ascii="Arial" w:eastAsia="Calibri" w:hAnsi="Arial" w:cs="Arial"/>
          <w:i w:val="0"/>
          <w:sz w:val="24"/>
          <w:szCs w:val="24"/>
        </w:rPr>
        <w:t xml:space="preserve"> </w:t>
      </w:r>
      <w:r w:rsidRPr="007D322B">
        <w:rPr>
          <w:rFonts w:ascii="Arial" w:eastAsia="Calibri" w:hAnsi="Arial" w:cs="Arial"/>
          <w:i w:val="0"/>
          <w:sz w:val="24"/>
          <w:szCs w:val="24"/>
        </w:rPr>
        <w:t>DISPOSAL</w:t>
      </w:r>
    </w:p>
    <w:p w:rsidR="009B7BB6" w:rsidRPr="007D322B" w:rsidRDefault="0042073F" w:rsidP="0084108E">
      <w:pPr>
        <w:pStyle w:val="NoSpacing"/>
        <w:rPr>
          <w:rFonts w:ascii="Arial" w:eastAsia="Calibri" w:hAnsi="Arial" w:cs="Arial"/>
          <w:bCs/>
        </w:rPr>
      </w:pP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Australia,</w:t>
      </w:r>
      <w:r w:rsidR="00EE0CCC">
        <w:rPr>
          <w:rFonts w:ascii="Arial" w:eastAsia="Calibri" w:hAnsi="Arial" w:cs="Arial"/>
          <w:bCs/>
        </w:rPr>
        <w:t xml:space="preserve"> </w:t>
      </w:r>
      <w:r w:rsidRPr="007D322B">
        <w:rPr>
          <w:rFonts w:ascii="Arial" w:eastAsia="Calibri" w:hAnsi="Arial" w:cs="Arial"/>
          <w:bCs/>
        </w:rPr>
        <w:t>any</w:t>
      </w:r>
      <w:r w:rsidR="00EE0CCC">
        <w:rPr>
          <w:rFonts w:ascii="Arial" w:eastAsia="Calibri" w:hAnsi="Arial" w:cs="Arial"/>
          <w:bCs/>
        </w:rPr>
        <w:t xml:space="preserve"> </w:t>
      </w:r>
      <w:r w:rsidRPr="007D322B">
        <w:rPr>
          <w:rFonts w:ascii="Arial" w:eastAsia="Calibri" w:hAnsi="Arial" w:cs="Arial"/>
          <w:bCs/>
        </w:rPr>
        <w:t>unused</w:t>
      </w:r>
      <w:r w:rsidR="00EE0CCC">
        <w:rPr>
          <w:rFonts w:ascii="Arial" w:eastAsia="Calibri" w:hAnsi="Arial" w:cs="Arial"/>
          <w:bCs/>
        </w:rPr>
        <w:t xml:space="preserve"> </w:t>
      </w:r>
      <w:r w:rsidRPr="007D322B">
        <w:rPr>
          <w:rFonts w:ascii="Arial" w:eastAsia="Calibri" w:hAnsi="Arial" w:cs="Arial"/>
          <w:bCs/>
        </w:rPr>
        <w:t>medicine</w:t>
      </w:r>
      <w:r w:rsidR="00EE0CCC">
        <w:rPr>
          <w:rFonts w:ascii="Arial" w:eastAsia="Calibri" w:hAnsi="Arial" w:cs="Arial"/>
          <w:bCs/>
        </w:rPr>
        <w:t xml:space="preserve"> </w:t>
      </w:r>
      <w:r w:rsidRPr="007D322B">
        <w:rPr>
          <w:rFonts w:ascii="Arial" w:eastAsia="Calibri" w:hAnsi="Arial" w:cs="Arial"/>
          <w:bCs/>
        </w:rPr>
        <w:t>or</w:t>
      </w:r>
      <w:r w:rsidR="00EE0CCC">
        <w:rPr>
          <w:rFonts w:ascii="Arial" w:eastAsia="Calibri" w:hAnsi="Arial" w:cs="Arial"/>
          <w:bCs/>
        </w:rPr>
        <w:t xml:space="preserve"> </w:t>
      </w:r>
      <w:r w:rsidRPr="007D322B">
        <w:rPr>
          <w:rFonts w:ascii="Arial" w:eastAsia="Calibri" w:hAnsi="Arial" w:cs="Arial"/>
          <w:bCs/>
        </w:rPr>
        <w:t>waste</w:t>
      </w:r>
      <w:r w:rsidR="00EE0CCC">
        <w:rPr>
          <w:rFonts w:ascii="Arial" w:eastAsia="Calibri" w:hAnsi="Arial" w:cs="Arial"/>
          <w:bCs/>
        </w:rPr>
        <w:t xml:space="preserve"> </w:t>
      </w:r>
      <w:r w:rsidRPr="007D322B">
        <w:rPr>
          <w:rFonts w:ascii="Arial" w:eastAsia="Calibri" w:hAnsi="Arial" w:cs="Arial"/>
          <w:bCs/>
        </w:rPr>
        <w:t>material</w:t>
      </w:r>
      <w:r w:rsidR="00EE0CCC">
        <w:rPr>
          <w:rFonts w:ascii="Arial" w:eastAsia="Calibri" w:hAnsi="Arial" w:cs="Arial"/>
          <w:bCs/>
        </w:rPr>
        <w:t xml:space="preserve"> </w:t>
      </w:r>
      <w:r w:rsidRPr="007D322B">
        <w:rPr>
          <w:rFonts w:ascii="Arial" w:eastAsia="Calibri" w:hAnsi="Arial" w:cs="Arial"/>
          <w:bCs/>
        </w:rPr>
        <w:t>should</w:t>
      </w:r>
      <w:r w:rsidR="00EE0CCC">
        <w:rPr>
          <w:rFonts w:ascii="Arial" w:eastAsia="Calibri" w:hAnsi="Arial" w:cs="Arial"/>
          <w:bCs/>
        </w:rPr>
        <w:t xml:space="preserve"> </w:t>
      </w:r>
      <w:r w:rsidRPr="007D322B">
        <w:rPr>
          <w:rFonts w:ascii="Arial" w:eastAsia="Calibri" w:hAnsi="Arial" w:cs="Arial"/>
          <w:bCs/>
        </w:rPr>
        <w:t>be</w:t>
      </w:r>
      <w:r w:rsidR="00EE0CCC">
        <w:rPr>
          <w:rFonts w:ascii="Arial" w:eastAsia="Calibri" w:hAnsi="Arial" w:cs="Arial"/>
          <w:bCs/>
        </w:rPr>
        <w:t xml:space="preserve"> </w:t>
      </w:r>
      <w:r w:rsidRPr="007D322B">
        <w:rPr>
          <w:rFonts w:ascii="Arial" w:eastAsia="Calibri" w:hAnsi="Arial" w:cs="Arial"/>
          <w:bCs/>
        </w:rPr>
        <w:t>disposed</w:t>
      </w:r>
      <w:r w:rsidR="00EE0CCC">
        <w:rPr>
          <w:rFonts w:ascii="Arial" w:eastAsia="Calibri" w:hAnsi="Arial" w:cs="Arial"/>
          <w:bCs/>
        </w:rPr>
        <w:t xml:space="preserve"> </w:t>
      </w:r>
      <w:r w:rsidRPr="007D322B">
        <w:rPr>
          <w:rFonts w:ascii="Arial" w:eastAsia="Calibri" w:hAnsi="Arial" w:cs="Arial"/>
          <w:bCs/>
        </w:rPr>
        <w:t>of</w:t>
      </w:r>
      <w:r w:rsidR="00EE0CCC">
        <w:rPr>
          <w:rFonts w:ascii="Arial" w:eastAsia="Calibri" w:hAnsi="Arial" w:cs="Arial"/>
          <w:bCs/>
        </w:rPr>
        <w:t xml:space="preserve"> </w:t>
      </w:r>
      <w:r w:rsidRPr="007D322B">
        <w:rPr>
          <w:rFonts w:ascii="Arial" w:eastAsia="Calibri" w:hAnsi="Arial" w:cs="Arial"/>
          <w:bCs/>
        </w:rPr>
        <w:t>in</w:t>
      </w:r>
      <w:r w:rsidR="00EE0CCC">
        <w:rPr>
          <w:rFonts w:ascii="Arial" w:eastAsia="Calibri" w:hAnsi="Arial" w:cs="Arial"/>
          <w:bCs/>
        </w:rPr>
        <w:t xml:space="preserve"> </w:t>
      </w:r>
      <w:r w:rsidRPr="007D322B">
        <w:rPr>
          <w:rFonts w:ascii="Arial" w:eastAsia="Calibri" w:hAnsi="Arial" w:cs="Arial"/>
          <w:bCs/>
        </w:rPr>
        <w:t>accordance</w:t>
      </w:r>
      <w:r w:rsidR="00EE0CCC">
        <w:rPr>
          <w:rFonts w:ascii="Arial" w:eastAsia="Calibri" w:hAnsi="Arial" w:cs="Arial"/>
          <w:bCs/>
        </w:rPr>
        <w:t xml:space="preserve"> </w:t>
      </w:r>
      <w:r w:rsidRPr="007D322B">
        <w:rPr>
          <w:rFonts w:ascii="Arial" w:eastAsia="Calibri" w:hAnsi="Arial" w:cs="Arial"/>
          <w:bCs/>
        </w:rPr>
        <w:t>with</w:t>
      </w:r>
      <w:r w:rsidR="00EE0CCC">
        <w:rPr>
          <w:rFonts w:ascii="Arial" w:eastAsia="Calibri" w:hAnsi="Arial" w:cs="Arial"/>
          <w:bCs/>
        </w:rPr>
        <w:t xml:space="preserve"> </w:t>
      </w:r>
      <w:r w:rsidRPr="007D322B">
        <w:rPr>
          <w:rFonts w:ascii="Arial" w:eastAsia="Calibri" w:hAnsi="Arial" w:cs="Arial"/>
          <w:bCs/>
        </w:rPr>
        <w:t>local</w:t>
      </w:r>
      <w:r w:rsidR="00EE0CCC">
        <w:rPr>
          <w:rFonts w:ascii="Arial" w:eastAsia="Calibri" w:hAnsi="Arial" w:cs="Arial"/>
          <w:bCs/>
        </w:rPr>
        <w:t xml:space="preserve"> </w:t>
      </w:r>
      <w:r w:rsidRPr="007D322B">
        <w:rPr>
          <w:rFonts w:ascii="Arial" w:eastAsia="Calibri" w:hAnsi="Arial" w:cs="Arial"/>
          <w:bCs/>
        </w:rPr>
        <w:t>requirements.</w:t>
      </w:r>
    </w:p>
    <w:p w:rsidR="009B7BB6" w:rsidRPr="007D322B" w:rsidRDefault="00E75CC8" w:rsidP="0084108E">
      <w:pPr>
        <w:pStyle w:val="Heading2"/>
        <w:rPr>
          <w:rFonts w:ascii="Arial" w:eastAsia="Calibri" w:hAnsi="Arial" w:cs="Arial"/>
          <w:bCs w:val="0"/>
          <w:sz w:val="24"/>
          <w:szCs w:val="24"/>
        </w:rPr>
      </w:pPr>
      <w:r w:rsidRPr="007D322B">
        <w:rPr>
          <w:rFonts w:ascii="Arial" w:eastAsia="Calibri" w:hAnsi="Arial" w:cs="Arial"/>
          <w:i w:val="0"/>
          <w:sz w:val="24"/>
          <w:szCs w:val="24"/>
        </w:rPr>
        <w:t>PHYSICOCHEMICAL</w:t>
      </w:r>
      <w:r w:rsidR="00EE0CCC">
        <w:rPr>
          <w:rFonts w:ascii="Arial" w:eastAsia="Calibri" w:hAnsi="Arial" w:cs="Arial"/>
          <w:i w:val="0"/>
          <w:sz w:val="24"/>
          <w:szCs w:val="24"/>
        </w:rPr>
        <w:t xml:space="preserve"> </w:t>
      </w:r>
      <w:r w:rsidRPr="007D322B">
        <w:rPr>
          <w:rFonts w:ascii="Arial" w:eastAsia="Calibri" w:hAnsi="Arial" w:cs="Arial"/>
          <w:i w:val="0"/>
          <w:sz w:val="24"/>
          <w:szCs w:val="24"/>
        </w:rPr>
        <w:t>PROPERTIES</w:t>
      </w:r>
    </w:p>
    <w:p w:rsidR="00085E0D" w:rsidRPr="007D322B" w:rsidRDefault="00E534F7" w:rsidP="00A34C43">
      <w:pPr>
        <w:rPr>
          <w:rFonts w:eastAsia="Calibri"/>
        </w:rPr>
      </w:pPr>
      <w:r>
        <w:rPr>
          <w:noProof/>
          <w:lang w:eastAsia="en-AU"/>
        </w:rPr>
        <w:drawing>
          <wp:anchor distT="0" distB="0" distL="114300" distR="114300" simplePos="0" relativeHeight="251659264" behindDoc="0" locked="0" layoutInCell="1" allowOverlap="1">
            <wp:simplePos x="0" y="0"/>
            <wp:positionH relativeFrom="column">
              <wp:posOffset>13970</wp:posOffset>
            </wp:positionH>
            <wp:positionV relativeFrom="paragraph">
              <wp:posOffset>276860</wp:posOffset>
            </wp:positionV>
            <wp:extent cx="2216150" cy="1927860"/>
            <wp:effectExtent l="0" t="0" r="0" b="0"/>
            <wp:wrapTopAndBottom/>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9454" t="26955" r="58974" b="24216"/>
                    <a:stretch>
                      <a:fillRect/>
                    </a:stretch>
                  </pic:blipFill>
                  <pic:spPr bwMode="auto">
                    <a:xfrm>
                      <a:off x="0" y="0"/>
                      <a:ext cx="2216150" cy="1927860"/>
                    </a:xfrm>
                    <a:prstGeom prst="rect">
                      <a:avLst/>
                    </a:prstGeom>
                    <a:noFill/>
                  </pic:spPr>
                </pic:pic>
              </a:graphicData>
            </a:graphic>
          </wp:anchor>
        </w:drawing>
      </w:r>
      <w:r w:rsidR="00085E0D" w:rsidRPr="007D322B">
        <w:rPr>
          <w:rFonts w:eastAsia="Calibri"/>
        </w:rPr>
        <w:t>Chemical</w:t>
      </w:r>
      <w:r w:rsidR="00EE0CCC">
        <w:rPr>
          <w:rFonts w:eastAsia="Calibri"/>
        </w:rPr>
        <w:t xml:space="preserve"> </w:t>
      </w:r>
      <w:r w:rsidR="00085E0D" w:rsidRPr="007D322B">
        <w:rPr>
          <w:rFonts w:eastAsia="Calibri"/>
        </w:rPr>
        <w:t>structure</w:t>
      </w:r>
    </w:p>
    <w:p w:rsidR="00080F08" w:rsidRPr="007D322B" w:rsidRDefault="00E01067" w:rsidP="004671F2">
      <w:pPr>
        <w:pStyle w:val="NoSpacing"/>
        <w:ind w:firstLine="720"/>
        <w:rPr>
          <w:rFonts w:ascii="Arial" w:eastAsia="Calibri" w:hAnsi="Arial" w:cs="Arial"/>
          <w:bCs/>
        </w:rPr>
      </w:pPr>
      <w:r w:rsidRPr="007D322B">
        <w:rPr>
          <w:rFonts w:ascii="Arial" w:eastAsia="Calibri" w:hAnsi="Arial" w:cs="Arial"/>
          <w:bCs/>
        </w:rPr>
        <w:t>Dinutuximab</w:t>
      </w:r>
      <w:r w:rsidR="00EE0CCC">
        <w:rPr>
          <w:rFonts w:ascii="Arial" w:eastAsia="Calibri" w:hAnsi="Arial" w:cs="Arial"/>
          <w:bCs/>
        </w:rPr>
        <w:t xml:space="preserve"> </w:t>
      </w:r>
      <w:r w:rsidRPr="007D322B">
        <w:rPr>
          <w:rFonts w:ascii="Arial" w:eastAsia="Calibri" w:hAnsi="Arial" w:cs="Arial"/>
          <w:bCs/>
        </w:rPr>
        <w:t>beta</w:t>
      </w:r>
    </w:p>
    <w:p w:rsidR="00080F08" w:rsidRPr="007D322B" w:rsidRDefault="00080F08" w:rsidP="0084108E">
      <w:pPr>
        <w:pStyle w:val="NoSpacing"/>
        <w:rPr>
          <w:rFonts w:ascii="Arial" w:eastAsia="Calibri" w:hAnsi="Arial" w:cs="Arial"/>
          <w:bCs/>
        </w:rPr>
      </w:pPr>
    </w:p>
    <w:p w:rsidR="00085E0D" w:rsidRPr="007D322B" w:rsidRDefault="00085E0D" w:rsidP="0084108E">
      <w:pPr>
        <w:pStyle w:val="NoSpacing"/>
        <w:rPr>
          <w:rFonts w:ascii="Arial" w:eastAsia="Calibri" w:hAnsi="Arial" w:cs="Arial"/>
          <w:b/>
          <w:bCs/>
          <w:i/>
        </w:rPr>
      </w:pPr>
      <w:r w:rsidRPr="007D322B">
        <w:rPr>
          <w:rFonts w:ascii="Arial" w:eastAsia="Calibri" w:hAnsi="Arial" w:cs="Arial"/>
          <w:b/>
          <w:bCs/>
          <w:i/>
        </w:rPr>
        <w:t>CAS</w:t>
      </w:r>
      <w:r w:rsidR="00EE0CCC">
        <w:rPr>
          <w:rFonts w:ascii="Arial" w:eastAsia="Calibri" w:hAnsi="Arial" w:cs="Arial"/>
          <w:b/>
          <w:bCs/>
          <w:i/>
        </w:rPr>
        <w:t xml:space="preserve"> </w:t>
      </w:r>
      <w:r w:rsidRPr="007D322B">
        <w:rPr>
          <w:rFonts w:ascii="Arial" w:eastAsia="Calibri" w:hAnsi="Arial" w:cs="Arial"/>
          <w:b/>
          <w:bCs/>
          <w:i/>
        </w:rPr>
        <w:t>number</w:t>
      </w:r>
    </w:p>
    <w:p w:rsidR="007D322B" w:rsidRPr="007D322B" w:rsidRDefault="007D322B" w:rsidP="0084108E">
      <w:pPr>
        <w:pStyle w:val="NoSpacing"/>
        <w:rPr>
          <w:rFonts w:ascii="Arial" w:eastAsia="Calibri" w:hAnsi="Arial" w:cs="Arial"/>
          <w:bCs/>
        </w:rPr>
      </w:pPr>
      <w:r w:rsidRPr="007D322B">
        <w:rPr>
          <w:rFonts w:ascii="Arial" w:eastAsia="Calibri" w:hAnsi="Arial" w:cs="Arial"/>
          <w:bCs/>
        </w:rPr>
        <w:t>1363687-32-4</w:t>
      </w:r>
    </w:p>
    <w:p w:rsidR="007D322B" w:rsidRPr="007D322B" w:rsidRDefault="007D322B" w:rsidP="0084108E">
      <w:pPr>
        <w:pStyle w:val="NoSpacing"/>
        <w:rPr>
          <w:rFonts w:ascii="Arial" w:eastAsia="Calibri" w:hAnsi="Arial" w:cs="Arial"/>
          <w:bCs/>
        </w:rPr>
      </w:pPr>
    </w:p>
    <w:p w:rsidR="007D322B" w:rsidRPr="007D322B" w:rsidRDefault="00085E0D" w:rsidP="007D322B">
      <w:pPr>
        <w:pStyle w:val="NoSpacing"/>
        <w:rPr>
          <w:rFonts w:ascii="Arial" w:eastAsia="Calibri" w:hAnsi="Arial" w:cs="Arial"/>
          <w:b/>
        </w:rPr>
      </w:pPr>
      <w:r w:rsidRPr="007D322B">
        <w:rPr>
          <w:rFonts w:ascii="Arial" w:eastAsia="Calibri" w:hAnsi="Arial" w:cs="Arial"/>
          <w:b/>
        </w:rPr>
        <w:t>Molecular</w:t>
      </w:r>
      <w:r w:rsidR="00EE0CCC">
        <w:rPr>
          <w:rFonts w:ascii="Arial" w:eastAsia="Calibri" w:hAnsi="Arial" w:cs="Arial"/>
          <w:b/>
        </w:rPr>
        <w:t xml:space="preserve"> </w:t>
      </w:r>
      <w:r w:rsidRPr="007D322B">
        <w:rPr>
          <w:rFonts w:ascii="Arial" w:eastAsia="Calibri" w:hAnsi="Arial" w:cs="Arial"/>
          <w:b/>
        </w:rPr>
        <w:t>formula</w:t>
      </w:r>
    </w:p>
    <w:p w:rsidR="007D322B" w:rsidRPr="007D322B" w:rsidRDefault="007D322B" w:rsidP="007D322B">
      <w:pPr>
        <w:pStyle w:val="NoSpacing"/>
        <w:rPr>
          <w:rFonts w:ascii="Arial" w:eastAsia="Calibri" w:hAnsi="Arial" w:cs="Arial"/>
          <w:bCs/>
        </w:rPr>
      </w:pPr>
      <w:r w:rsidRPr="007D322B">
        <w:rPr>
          <w:rFonts w:ascii="Arial" w:eastAsia="Calibri" w:hAnsi="Arial" w:cs="Arial"/>
          <w:bCs/>
        </w:rPr>
        <w:t>C6422H9978N1722O2006S48</w:t>
      </w:r>
      <w:r w:rsidR="00EE0CCC">
        <w:rPr>
          <w:rFonts w:ascii="Arial" w:eastAsia="Calibri" w:hAnsi="Arial" w:cs="Arial"/>
          <w:bCs/>
        </w:rPr>
        <w:t xml:space="preserve"> </w:t>
      </w:r>
      <w:r w:rsidRPr="007D322B">
        <w:rPr>
          <w:rFonts w:ascii="Arial" w:eastAsia="Calibri" w:hAnsi="Arial" w:cs="Arial"/>
          <w:bCs/>
        </w:rPr>
        <w:t>(without</w:t>
      </w:r>
      <w:r w:rsidR="00EE0CCC">
        <w:rPr>
          <w:rFonts w:ascii="Arial" w:eastAsia="Calibri" w:hAnsi="Arial" w:cs="Arial"/>
          <w:bCs/>
        </w:rPr>
        <w:t xml:space="preserve"> </w:t>
      </w:r>
      <w:r w:rsidRPr="007D322B">
        <w:rPr>
          <w:rFonts w:ascii="Arial" w:eastAsia="Calibri" w:hAnsi="Arial" w:cs="Arial"/>
          <w:bCs/>
        </w:rPr>
        <w:t>glycosylation)</w:t>
      </w:r>
    </w:p>
    <w:p w:rsidR="00085E0D" w:rsidRPr="007D322B" w:rsidRDefault="007D322B" w:rsidP="007D322B">
      <w:pPr>
        <w:pStyle w:val="NoSpacing"/>
        <w:rPr>
          <w:rFonts w:ascii="Arial" w:eastAsia="Calibri" w:hAnsi="Arial" w:cs="Arial"/>
          <w:bCs/>
        </w:rPr>
      </w:pPr>
      <w:r w:rsidRPr="007D322B">
        <w:rPr>
          <w:rFonts w:ascii="Arial" w:eastAsia="Calibri" w:hAnsi="Arial" w:cs="Arial"/>
          <w:bCs/>
        </w:rPr>
        <w:t>C6546H10182N1730O2094S48</w:t>
      </w:r>
      <w:r w:rsidR="00EE0CCC">
        <w:rPr>
          <w:rFonts w:ascii="Arial" w:eastAsia="Calibri" w:hAnsi="Arial" w:cs="Arial"/>
          <w:bCs/>
        </w:rPr>
        <w:t xml:space="preserve"> </w:t>
      </w:r>
      <w:r w:rsidRPr="007D322B">
        <w:rPr>
          <w:rFonts w:ascii="Arial" w:eastAsia="Calibri" w:hAnsi="Arial" w:cs="Arial"/>
          <w:bCs/>
        </w:rPr>
        <w:t>(including</w:t>
      </w:r>
      <w:r w:rsidR="00EE0CCC">
        <w:rPr>
          <w:rFonts w:ascii="Arial" w:eastAsia="Calibri" w:hAnsi="Arial" w:cs="Arial"/>
          <w:bCs/>
        </w:rPr>
        <w:t xml:space="preserve"> </w:t>
      </w:r>
      <w:r w:rsidRPr="007D322B">
        <w:rPr>
          <w:rFonts w:ascii="Arial" w:eastAsia="Calibri" w:hAnsi="Arial" w:cs="Arial"/>
          <w:bCs/>
        </w:rPr>
        <w:t>glycosylation)</w:t>
      </w:r>
    </w:p>
    <w:p w:rsidR="00085E0D" w:rsidRPr="007D322B" w:rsidRDefault="00085E0D" w:rsidP="00B11EAE">
      <w:pPr>
        <w:pStyle w:val="Heading1"/>
      </w:pPr>
      <w:r w:rsidRPr="007D322B">
        <w:t>MEDICINE</w:t>
      </w:r>
      <w:r w:rsidR="00EE0CCC">
        <w:t xml:space="preserve"> </w:t>
      </w:r>
      <w:r w:rsidRPr="007D322B">
        <w:t>schedule</w:t>
      </w:r>
      <w:r w:rsidR="00EE0CCC">
        <w:t xml:space="preserve"> </w:t>
      </w:r>
      <w:r w:rsidRPr="007D322B">
        <w:t>(POISONS</w:t>
      </w:r>
      <w:r w:rsidR="00EE0CCC">
        <w:t xml:space="preserve"> </w:t>
      </w:r>
      <w:r w:rsidRPr="007D322B">
        <w:t>STANDARD)</w:t>
      </w:r>
      <w:r w:rsidR="00EE0CCC">
        <w:t xml:space="preserve"> </w:t>
      </w:r>
    </w:p>
    <w:p w:rsidR="00085E0D" w:rsidRPr="007D322B" w:rsidRDefault="008C1D88" w:rsidP="00F87811">
      <w:pPr>
        <w:pStyle w:val="NoSpacing"/>
        <w:rPr>
          <w:rFonts w:ascii="Arial" w:hAnsi="Arial" w:cs="Arial"/>
        </w:rPr>
      </w:pPr>
      <w:r w:rsidRPr="007D322B">
        <w:rPr>
          <w:rFonts w:ascii="Arial" w:hAnsi="Arial" w:cs="Arial"/>
        </w:rPr>
        <w:t>Schedule</w:t>
      </w:r>
      <w:r w:rsidR="00EE0CCC">
        <w:rPr>
          <w:rFonts w:ascii="Arial" w:hAnsi="Arial" w:cs="Arial"/>
        </w:rPr>
        <w:t xml:space="preserve"> </w:t>
      </w:r>
      <w:r w:rsidRPr="007D322B">
        <w:rPr>
          <w:rFonts w:ascii="Arial" w:hAnsi="Arial" w:cs="Arial"/>
        </w:rPr>
        <w:t>4</w:t>
      </w:r>
      <w:r w:rsidR="00EE0CCC">
        <w:rPr>
          <w:rFonts w:ascii="Arial" w:hAnsi="Arial" w:cs="Arial"/>
        </w:rPr>
        <w:t xml:space="preserve"> </w:t>
      </w:r>
      <w:r w:rsidRPr="007D322B">
        <w:rPr>
          <w:rFonts w:ascii="Arial" w:hAnsi="Arial" w:cs="Arial"/>
        </w:rPr>
        <w:t>–</w:t>
      </w:r>
      <w:r w:rsidR="00EE0CCC">
        <w:rPr>
          <w:rFonts w:ascii="Arial" w:hAnsi="Arial" w:cs="Arial"/>
        </w:rPr>
        <w:t xml:space="preserve"> </w:t>
      </w:r>
      <w:r w:rsidRPr="007D322B">
        <w:rPr>
          <w:rFonts w:ascii="Arial" w:hAnsi="Arial" w:cs="Arial"/>
        </w:rPr>
        <w:t>Prescription</w:t>
      </w:r>
      <w:r w:rsidR="00EE0CCC">
        <w:rPr>
          <w:rFonts w:ascii="Arial" w:hAnsi="Arial" w:cs="Arial"/>
        </w:rPr>
        <w:t xml:space="preserve"> </w:t>
      </w:r>
      <w:r w:rsidRPr="007D322B">
        <w:rPr>
          <w:rFonts w:ascii="Arial" w:hAnsi="Arial" w:cs="Arial"/>
        </w:rPr>
        <w:t>Only</w:t>
      </w:r>
      <w:r w:rsidR="00EE0CCC">
        <w:rPr>
          <w:rFonts w:ascii="Arial" w:hAnsi="Arial" w:cs="Arial"/>
        </w:rPr>
        <w:t xml:space="preserve"> </w:t>
      </w:r>
      <w:r w:rsidRPr="007D322B">
        <w:rPr>
          <w:rFonts w:ascii="Arial" w:hAnsi="Arial" w:cs="Arial"/>
        </w:rPr>
        <w:t>Medicine</w:t>
      </w:r>
    </w:p>
    <w:p w:rsidR="00F914FD" w:rsidRPr="007D322B" w:rsidRDefault="002054F1" w:rsidP="00B11EAE">
      <w:pPr>
        <w:pStyle w:val="Heading1"/>
      </w:pPr>
      <w:r w:rsidRPr="007D322B">
        <w:t>sponsor</w:t>
      </w:r>
    </w:p>
    <w:p w:rsidR="00C8654D" w:rsidRPr="007D322B" w:rsidRDefault="00687889" w:rsidP="0084108E">
      <w:pPr>
        <w:pStyle w:val="NoSpacing"/>
        <w:rPr>
          <w:rFonts w:ascii="Arial" w:hAnsi="Arial" w:cs="Arial"/>
        </w:rPr>
      </w:pPr>
      <w:r w:rsidRPr="007D322B">
        <w:rPr>
          <w:rFonts w:ascii="Arial" w:hAnsi="Arial" w:cs="Arial"/>
        </w:rPr>
        <w:t>Emerge</w:t>
      </w:r>
      <w:r w:rsidR="00EE0CCC">
        <w:rPr>
          <w:rFonts w:ascii="Arial" w:hAnsi="Arial" w:cs="Arial"/>
        </w:rPr>
        <w:t xml:space="preserve"> </w:t>
      </w:r>
      <w:r w:rsidRPr="007D322B">
        <w:rPr>
          <w:rFonts w:ascii="Arial" w:hAnsi="Arial" w:cs="Arial"/>
        </w:rPr>
        <w:t>Health</w:t>
      </w:r>
      <w:r w:rsidR="00EE0CCC">
        <w:rPr>
          <w:rFonts w:ascii="Arial" w:hAnsi="Arial" w:cs="Arial"/>
        </w:rPr>
        <w:t xml:space="preserve"> </w:t>
      </w:r>
      <w:r w:rsidRPr="007D322B">
        <w:rPr>
          <w:rFonts w:ascii="Arial" w:hAnsi="Arial" w:cs="Arial"/>
        </w:rPr>
        <w:t>Pty</w:t>
      </w:r>
      <w:r w:rsidR="00EE0CCC">
        <w:rPr>
          <w:rFonts w:ascii="Arial" w:hAnsi="Arial" w:cs="Arial"/>
        </w:rPr>
        <w:t xml:space="preserve"> </w:t>
      </w:r>
      <w:r w:rsidRPr="007D322B">
        <w:rPr>
          <w:rFonts w:ascii="Arial" w:hAnsi="Arial" w:cs="Arial"/>
        </w:rPr>
        <w:t>Ltd</w:t>
      </w:r>
    </w:p>
    <w:p w:rsidR="00C8654D" w:rsidRPr="007D322B" w:rsidRDefault="00687889" w:rsidP="0084108E">
      <w:pPr>
        <w:pStyle w:val="NoSpacing"/>
        <w:rPr>
          <w:rFonts w:ascii="Arial" w:hAnsi="Arial" w:cs="Arial"/>
        </w:rPr>
      </w:pPr>
      <w:r w:rsidRPr="007D322B">
        <w:rPr>
          <w:rFonts w:ascii="Arial" w:hAnsi="Arial" w:cs="Arial"/>
        </w:rPr>
        <w:t>Suite</w:t>
      </w:r>
      <w:r w:rsidR="00EE0CCC">
        <w:rPr>
          <w:rFonts w:ascii="Arial" w:hAnsi="Arial" w:cs="Arial"/>
        </w:rPr>
        <w:t xml:space="preserve"> </w:t>
      </w:r>
      <w:r w:rsidRPr="007D322B">
        <w:rPr>
          <w:rFonts w:ascii="Arial" w:hAnsi="Arial" w:cs="Arial"/>
        </w:rPr>
        <w:t>3,</w:t>
      </w:r>
      <w:r w:rsidR="00EE0CCC">
        <w:rPr>
          <w:rFonts w:ascii="Arial" w:hAnsi="Arial" w:cs="Arial"/>
        </w:rPr>
        <w:t xml:space="preserve"> </w:t>
      </w:r>
      <w:r w:rsidRPr="007D322B">
        <w:rPr>
          <w:rFonts w:ascii="Arial" w:hAnsi="Arial" w:cs="Arial"/>
        </w:rPr>
        <w:t>22</w:t>
      </w:r>
      <w:r w:rsidR="00EE0CCC">
        <w:rPr>
          <w:rFonts w:ascii="Arial" w:hAnsi="Arial" w:cs="Arial"/>
        </w:rPr>
        <w:t xml:space="preserve"> </w:t>
      </w:r>
      <w:r w:rsidRPr="007D322B">
        <w:rPr>
          <w:rFonts w:ascii="Arial" w:hAnsi="Arial" w:cs="Arial"/>
        </w:rPr>
        <w:t>Gillman</w:t>
      </w:r>
      <w:r w:rsidR="00EE0CCC">
        <w:rPr>
          <w:rFonts w:ascii="Arial" w:hAnsi="Arial" w:cs="Arial"/>
        </w:rPr>
        <w:t xml:space="preserve"> </w:t>
      </w:r>
      <w:r w:rsidRPr="007D322B">
        <w:rPr>
          <w:rFonts w:ascii="Arial" w:hAnsi="Arial" w:cs="Arial"/>
        </w:rPr>
        <w:t>Street</w:t>
      </w:r>
    </w:p>
    <w:p w:rsidR="00C8654D" w:rsidRPr="007D322B" w:rsidRDefault="00687889" w:rsidP="0084108E">
      <w:pPr>
        <w:pStyle w:val="NoSpacing"/>
        <w:rPr>
          <w:rFonts w:ascii="Arial" w:hAnsi="Arial" w:cs="Arial"/>
        </w:rPr>
      </w:pPr>
      <w:r w:rsidRPr="007D322B">
        <w:rPr>
          <w:rFonts w:ascii="Arial" w:hAnsi="Arial" w:cs="Arial"/>
        </w:rPr>
        <w:t>Hawthorn</w:t>
      </w:r>
      <w:r w:rsidR="00EE0CCC">
        <w:rPr>
          <w:rFonts w:ascii="Arial" w:hAnsi="Arial" w:cs="Arial"/>
        </w:rPr>
        <w:t xml:space="preserve"> </w:t>
      </w:r>
      <w:r w:rsidRPr="007D322B">
        <w:rPr>
          <w:rFonts w:ascii="Arial" w:hAnsi="Arial" w:cs="Arial"/>
        </w:rPr>
        <w:t>East</w:t>
      </w:r>
      <w:r w:rsidR="00EE0CCC">
        <w:rPr>
          <w:rFonts w:ascii="Arial" w:hAnsi="Arial" w:cs="Arial"/>
        </w:rPr>
        <w:t xml:space="preserve"> </w:t>
      </w:r>
      <w:r w:rsidRPr="007D322B">
        <w:rPr>
          <w:rFonts w:ascii="Arial" w:hAnsi="Arial" w:cs="Arial"/>
        </w:rPr>
        <w:t>VIC</w:t>
      </w:r>
      <w:r w:rsidR="00EE0CCC">
        <w:rPr>
          <w:rFonts w:ascii="Arial" w:hAnsi="Arial" w:cs="Arial"/>
        </w:rPr>
        <w:t xml:space="preserve"> </w:t>
      </w:r>
      <w:r w:rsidRPr="007D322B">
        <w:rPr>
          <w:rFonts w:ascii="Arial" w:hAnsi="Arial" w:cs="Arial"/>
        </w:rPr>
        <w:t>3123</w:t>
      </w:r>
    </w:p>
    <w:p w:rsidR="00C8654D" w:rsidRPr="007D322B" w:rsidRDefault="00C8654D" w:rsidP="0084108E">
      <w:pPr>
        <w:pStyle w:val="NoSpacing"/>
        <w:rPr>
          <w:rFonts w:ascii="Arial" w:hAnsi="Arial" w:cs="Arial"/>
        </w:rPr>
      </w:pPr>
      <w:r w:rsidRPr="007D322B">
        <w:rPr>
          <w:rFonts w:ascii="Arial" w:hAnsi="Arial" w:cs="Arial"/>
        </w:rPr>
        <w:t>Australia</w:t>
      </w:r>
    </w:p>
    <w:p w:rsidR="002A6E54" w:rsidRPr="007D322B" w:rsidRDefault="002A6E54" w:rsidP="002A6E54">
      <w:pPr>
        <w:pStyle w:val="NoSpacing"/>
        <w:rPr>
          <w:rFonts w:ascii="Arial" w:hAnsi="Arial" w:cs="Arial"/>
        </w:rPr>
      </w:pPr>
      <w:r w:rsidRPr="007D322B">
        <w:rPr>
          <w:rFonts w:ascii="Arial" w:hAnsi="Arial" w:cs="Arial"/>
        </w:rPr>
        <w:t>T:</w:t>
      </w:r>
      <w:r w:rsidR="00EE0CCC">
        <w:rPr>
          <w:rFonts w:ascii="Arial" w:hAnsi="Arial" w:cs="Arial"/>
        </w:rPr>
        <w:t xml:space="preserve"> </w:t>
      </w:r>
      <w:r w:rsidRPr="007D322B">
        <w:rPr>
          <w:rFonts w:ascii="Arial" w:hAnsi="Arial" w:cs="Arial"/>
        </w:rPr>
        <w:t>+61</w:t>
      </w:r>
      <w:r w:rsidR="00EE0CCC">
        <w:rPr>
          <w:rFonts w:ascii="Arial" w:hAnsi="Arial" w:cs="Arial"/>
        </w:rPr>
        <w:t xml:space="preserve"> </w:t>
      </w:r>
      <w:r w:rsidRPr="007D322B">
        <w:rPr>
          <w:rFonts w:ascii="Arial" w:hAnsi="Arial" w:cs="Arial"/>
        </w:rPr>
        <w:t>3</w:t>
      </w:r>
      <w:r w:rsidR="00EE0CCC">
        <w:rPr>
          <w:rFonts w:ascii="Arial" w:hAnsi="Arial" w:cs="Arial"/>
        </w:rPr>
        <w:t xml:space="preserve"> </w:t>
      </w:r>
      <w:r w:rsidRPr="007D322B">
        <w:rPr>
          <w:rFonts w:ascii="Arial" w:hAnsi="Arial" w:cs="Arial"/>
        </w:rPr>
        <w:t>9077</w:t>
      </w:r>
      <w:r w:rsidR="00EE0CCC">
        <w:rPr>
          <w:rFonts w:ascii="Arial" w:hAnsi="Arial" w:cs="Arial"/>
        </w:rPr>
        <w:t xml:space="preserve"> </w:t>
      </w:r>
      <w:r w:rsidRPr="007D322B">
        <w:rPr>
          <w:rFonts w:ascii="Arial" w:hAnsi="Arial" w:cs="Arial"/>
        </w:rPr>
        <w:t>4468</w:t>
      </w:r>
    </w:p>
    <w:p w:rsidR="00687889" w:rsidRPr="007D322B" w:rsidRDefault="002A6E54" w:rsidP="002A6E54">
      <w:pPr>
        <w:pStyle w:val="NoSpacing"/>
        <w:rPr>
          <w:rFonts w:ascii="Arial" w:hAnsi="Arial" w:cs="Arial"/>
        </w:rPr>
      </w:pPr>
      <w:r w:rsidRPr="007D322B">
        <w:rPr>
          <w:rFonts w:ascii="Arial" w:hAnsi="Arial" w:cs="Arial"/>
        </w:rPr>
        <w:t>E:</w:t>
      </w:r>
      <w:r w:rsidR="00EE0CCC">
        <w:rPr>
          <w:rFonts w:ascii="Arial" w:hAnsi="Arial" w:cs="Arial"/>
        </w:rPr>
        <w:t xml:space="preserve"> </w:t>
      </w:r>
      <w:hyperlink r:id="rId15" w:history="1">
        <w:r w:rsidRPr="007D322B">
          <w:rPr>
            <w:rStyle w:val="Hyperlink"/>
            <w:rFonts w:ascii="Arial" w:hAnsi="Arial" w:cs="Arial"/>
          </w:rPr>
          <w:t>customerservice@emergehealth.com.au</w:t>
        </w:r>
      </w:hyperlink>
    </w:p>
    <w:p w:rsidR="00C8654D" w:rsidRPr="007D322B" w:rsidRDefault="00C8654D" w:rsidP="00B11EAE">
      <w:pPr>
        <w:pStyle w:val="Heading1"/>
      </w:pPr>
      <w:r w:rsidRPr="007D322B">
        <w:t>DATE</w:t>
      </w:r>
      <w:r w:rsidR="00EE0CCC">
        <w:t xml:space="preserve"> </w:t>
      </w:r>
      <w:r w:rsidRPr="007D322B">
        <w:t>OF</w:t>
      </w:r>
      <w:r w:rsidR="00EE0CCC">
        <w:t xml:space="preserve"> </w:t>
      </w:r>
      <w:r w:rsidRPr="007D322B">
        <w:t>FIRST</w:t>
      </w:r>
      <w:r w:rsidR="00EE0CCC">
        <w:t xml:space="preserve"> </w:t>
      </w:r>
      <w:r w:rsidR="00085E0D" w:rsidRPr="007D322B">
        <w:t>APPROVAL</w:t>
      </w:r>
    </w:p>
    <w:p w:rsidR="006A6212" w:rsidRPr="007D322B" w:rsidRDefault="00EE7D29" w:rsidP="0084108E">
      <w:pPr>
        <w:pStyle w:val="NoSpacing"/>
        <w:rPr>
          <w:rFonts w:ascii="Arial" w:hAnsi="Arial" w:cs="Arial"/>
        </w:rPr>
      </w:pPr>
      <w:r>
        <w:rPr>
          <w:rFonts w:ascii="Arial" w:hAnsi="Arial" w:cs="Arial"/>
        </w:rPr>
        <w:t>2</w:t>
      </w:r>
      <w:r w:rsidR="00EE0CCC">
        <w:rPr>
          <w:rFonts w:ascii="Arial" w:hAnsi="Arial" w:cs="Arial"/>
        </w:rPr>
        <w:t xml:space="preserve"> </w:t>
      </w:r>
      <w:r>
        <w:rPr>
          <w:rFonts w:ascii="Arial" w:hAnsi="Arial" w:cs="Arial"/>
        </w:rPr>
        <w:t>April</w:t>
      </w:r>
      <w:r w:rsidR="00EE0CCC">
        <w:rPr>
          <w:rFonts w:ascii="Arial" w:hAnsi="Arial" w:cs="Arial"/>
        </w:rPr>
        <w:t xml:space="preserve"> </w:t>
      </w:r>
      <w:r>
        <w:rPr>
          <w:rFonts w:ascii="Arial" w:hAnsi="Arial" w:cs="Arial"/>
        </w:rPr>
        <w:t>2020</w:t>
      </w:r>
    </w:p>
    <w:sectPr w:rsidR="006A6212" w:rsidRPr="007D322B" w:rsidSect="007050E7">
      <w:headerReference w:type="even" r:id="rId16"/>
      <w:headerReference w:type="default" r:id="rId17"/>
      <w:footerReference w:type="even" r:id="rId18"/>
      <w:footerReference w:type="default" r:id="rId19"/>
      <w:headerReference w:type="first" r:id="rId20"/>
      <w:footerReference w:type="first" r:id="rId21"/>
      <w:pgSz w:w="12240" w:h="15840"/>
      <w:pgMar w:top="851" w:right="1134" w:bottom="851" w:left="1134" w:header="709" w:footer="454" w:gutter="0"/>
      <w:cols w:space="1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CC" w:rsidRDefault="00EE0CCC">
      <w:r>
        <w:separator/>
      </w:r>
    </w:p>
  </w:endnote>
  <w:endnote w:type="continuationSeparator" w:id="0">
    <w:p w:rsidR="00EE0CCC" w:rsidRDefault="00EE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CCC" w:rsidRDefault="00EE0CCC" w:rsidP="003C46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E0CCC" w:rsidRDefault="00EE0CCC" w:rsidP="002054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CCC" w:rsidRPr="007D1AA9" w:rsidRDefault="00EE0CCC" w:rsidP="00E67525">
    <w:pPr>
      <w:pStyle w:val="Footer"/>
      <w:pBdr>
        <w:top w:val="single" w:sz="4" w:space="1" w:color="auto"/>
      </w:pBdr>
      <w:ind w:right="360"/>
      <w:rPr>
        <w:rStyle w:val="PageNumber"/>
        <w:rFonts w:ascii="Arial" w:hAnsi="Arial" w:cs="Arial"/>
        <w:sz w:val="20"/>
        <w:szCs w:val="20"/>
      </w:rPr>
    </w:pPr>
    <w:bookmarkStart w:id="12" w:name="_Hlk12532884"/>
    <w:r>
      <w:rPr>
        <w:rFonts w:ascii="Arial" w:hAnsi="Arial" w:cs="Arial"/>
        <w:sz w:val="20"/>
        <w:szCs w:val="20"/>
      </w:rPr>
      <w:t xml:space="preserve">QARZIBA </w:t>
    </w:r>
    <w:bookmarkEnd w:id="12"/>
    <w:r>
      <w:rPr>
        <w:rFonts w:ascii="Arial" w:hAnsi="Arial" w:cs="Arial"/>
        <w:sz w:val="20"/>
        <w:szCs w:val="20"/>
      </w:rPr>
      <w:t>PI v 1.0</w:t>
    </w:r>
    <w:r>
      <w:rPr>
        <w:rFonts w:ascii="Arial" w:hAnsi="Arial" w:cs="Arial"/>
        <w:sz w:val="20"/>
        <w:szCs w:val="20"/>
      </w:rPr>
      <w:tab/>
    </w:r>
    <w:r>
      <w:rPr>
        <w:rFonts w:ascii="Arial" w:hAnsi="Arial" w:cs="Arial"/>
        <w:sz w:val="20"/>
        <w:szCs w:val="20"/>
      </w:rPr>
      <w:tab/>
    </w:r>
    <w:r w:rsidRPr="007D1AA9">
      <w:rPr>
        <w:rStyle w:val="PageNumber"/>
        <w:rFonts w:ascii="Arial" w:hAnsi="Arial" w:cs="Arial"/>
        <w:sz w:val="20"/>
        <w:szCs w:val="20"/>
      </w:rPr>
      <w:t xml:space="preserve">Page </w:t>
    </w:r>
    <w:r w:rsidRPr="007D1AA9">
      <w:rPr>
        <w:rStyle w:val="PageNumber"/>
        <w:rFonts w:ascii="Arial" w:hAnsi="Arial" w:cs="Arial"/>
        <w:sz w:val="20"/>
        <w:szCs w:val="20"/>
      </w:rPr>
      <w:fldChar w:fldCharType="begin"/>
    </w:r>
    <w:r w:rsidRPr="007D1AA9">
      <w:rPr>
        <w:rStyle w:val="PageNumber"/>
        <w:rFonts w:ascii="Arial" w:hAnsi="Arial" w:cs="Arial"/>
        <w:sz w:val="20"/>
        <w:szCs w:val="20"/>
      </w:rPr>
      <w:instrText xml:space="preserve"> PAGE </w:instrText>
    </w:r>
    <w:r w:rsidRPr="007D1AA9">
      <w:rPr>
        <w:rStyle w:val="PageNumber"/>
        <w:rFonts w:ascii="Arial" w:hAnsi="Arial" w:cs="Arial"/>
        <w:sz w:val="20"/>
        <w:szCs w:val="20"/>
      </w:rPr>
      <w:fldChar w:fldCharType="separate"/>
    </w:r>
    <w:r w:rsidR="00010034">
      <w:rPr>
        <w:rStyle w:val="PageNumber"/>
        <w:rFonts w:ascii="Arial" w:hAnsi="Arial" w:cs="Arial"/>
        <w:noProof/>
        <w:sz w:val="20"/>
        <w:szCs w:val="20"/>
      </w:rPr>
      <w:t>16</w:t>
    </w:r>
    <w:r w:rsidRPr="007D1AA9">
      <w:rPr>
        <w:rStyle w:val="PageNumber"/>
        <w:rFonts w:ascii="Arial" w:hAnsi="Arial" w:cs="Arial"/>
        <w:sz w:val="20"/>
        <w:szCs w:val="20"/>
      </w:rPr>
      <w:fldChar w:fldCharType="end"/>
    </w:r>
    <w:r w:rsidRPr="007D1AA9">
      <w:rPr>
        <w:rStyle w:val="PageNumber"/>
        <w:rFonts w:ascii="Arial" w:hAnsi="Arial" w:cs="Arial"/>
        <w:sz w:val="20"/>
        <w:szCs w:val="20"/>
      </w:rPr>
      <w:t xml:space="preserve"> of </w:t>
    </w:r>
    <w:r w:rsidRPr="007D1AA9">
      <w:rPr>
        <w:rStyle w:val="PageNumber"/>
        <w:rFonts w:ascii="Arial" w:hAnsi="Arial" w:cs="Arial"/>
        <w:sz w:val="20"/>
        <w:szCs w:val="20"/>
      </w:rPr>
      <w:fldChar w:fldCharType="begin"/>
    </w:r>
    <w:r w:rsidRPr="007D1AA9">
      <w:rPr>
        <w:rStyle w:val="PageNumber"/>
        <w:rFonts w:ascii="Arial" w:hAnsi="Arial" w:cs="Arial"/>
        <w:sz w:val="20"/>
        <w:szCs w:val="20"/>
      </w:rPr>
      <w:instrText xml:space="preserve"> NUMPAGES </w:instrText>
    </w:r>
    <w:r w:rsidRPr="007D1AA9">
      <w:rPr>
        <w:rStyle w:val="PageNumber"/>
        <w:rFonts w:ascii="Arial" w:hAnsi="Arial" w:cs="Arial"/>
        <w:sz w:val="20"/>
        <w:szCs w:val="20"/>
      </w:rPr>
      <w:fldChar w:fldCharType="separate"/>
    </w:r>
    <w:r w:rsidR="00010034">
      <w:rPr>
        <w:rStyle w:val="PageNumber"/>
        <w:rFonts w:ascii="Arial" w:hAnsi="Arial" w:cs="Arial"/>
        <w:noProof/>
        <w:sz w:val="20"/>
        <w:szCs w:val="20"/>
      </w:rPr>
      <w:t>16</w:t>
    </w:r>
    <w:r w:rsidRPr="007D1AA9">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CCC" w:rsidRDefault="00EE0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CC" w:rsidRDefault="00EE0CCC">
      <w:r>
        <w:separator/>
      </w:r>
    </w:p>
  </w:footnote>
  <w:footnote w:type="continuationSeparator" w:id="0">
    <w:p w:rsidR="00EE0CCC" w:rsidRDefault="00EE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CCC" w:rsidRDefault="00EE0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EE0CCC" w:rsidRPr="000B2145" w:rsidTr="00EE0CCC">
      <w:trPr>
        <w:trHeight w:val="590"/>
      </w:trPr>
      <w:tc>
        <w:tcPr>
          <w:tcW w:w="8720" w:type="dxa"/>
          <w:shd w:val="clear" w:color="auto" w:fill="E4F2E0"/>
        </w:tcPr>
        <w:p w:rsidR="00EE0CCC" w:rsidRPr="000B2145" w:rsidRDefault="00EE0CCC" w:rsidP="00A34C43">
          <w:pPr>
            <w:pStyle w:val="Footer"/>
            <w:rPr>
              <w:b/>
              <w:sz w:val="18"/>
              <w:szCs w:val="18"/>
            </w:rPr>
          </w:pPr>
          <w:r w:rsidRPr="00C43F90">
            <w:rPr>
              <w:b/>
              <w:sz w:val="18"/>
              <w:szCs w:val="18"/>
            </w:rPr>
            <w:t>AusPAR - QARZIBA - dinutuximab beta - Emerge Health Pty Ltd - PM-2019-03174-1-4</w:t>
          </w:r>
          <w:r>
            <w:rPr>
              <w:b/>
              <w:sz w:val="18"/>
              <w:szCs w:val="18"/>
            </w:rPr>
            <w:t xml:space="preserve"> </w:t>
          </w:r>
          <w:r w:rsidRPr="00C43F90">
            <w:rPr>
              <w:b/>
              <w:sz w:val="18"/>
              <w:szCs w:val="18"/>
            </w:rPr>
            <w:t>FINAL 30 June 2020</w:t>
          </w:r>
          <w:r w:rsidRPr="000B2145">
            <w:rPr>
              <w:b/>
              <w:sz w:val="18"/>
              <w:szCs w:val="18"/>
            </w:rPr>
            <w:t>. 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rsidR="00EE0CCC" w:rsidRDefault="00EE0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CCC" w:rsidRDefault="00EE0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BT_1000x858px" style="width:16.15pt;height:13.25pt;visibility:visible" o:bullet="t">
        <v:imagedata r:id="rId1" o:title="BT_1000x858px"/>
      </v:shape>
    </w:pict>
  </w:numPicBullet>
  <w:abstractNum w:abstractNumId="0" w15:restartNumberingAfterBreak="0">
    <w:nsid w:val="033D63E4"/>
    <w:multiLevelType w:val="hybridMultilevel"/>
    <w:tmpl w:val="E0965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BD6EB2"/>
    <w:multiLevelType w:val="hybridMultilevel"/>
    <w:tmpl w:val="E8A20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43B53"/>
    <w:multiLevelType w:val="hybridMultilevel"/>
    <w:tmpl w:val="2AD6C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BE724B0"/>
    <w:multiLevelType w:val="hybridMultilevel"/>
    <w:tmpl w:val="66809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2C7CD8"/>
    <w:multiLevelType w:val="multilevel"/>
    <w:tmpl w:val="2B387F46"/>
    <w:lvl w:ilvl="0">
      <w:start w:val="1"/>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06A4032"/>
    <w:multiLevelType w:val="hybridMultilevel"/>
    <w:tmpl w:val="F52C2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A077BF"/>
    <w:multiLevelType w:val="hybridMultilevel"/>
    <w:tmpl w:val="6318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15BA8"/>
    <w:multiLevelType w:val="hybridMultilevel"/>
    <w:tmpl w:val="3B8CF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014F4F"/>
    <w:multiLevelType w:val="hybridMultilevel"/>
    <w:tmpl w:val="B14AD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9B3D1F"/>
    <w:multiLevelType w:val="hybridMultilevel"/>
    <w:tmpl w:val="28687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5910E8"/>
    <w:multiLevelType w:val="multilevel"/>
    <w:tmpl w:val="F21CD8A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88007F8"/>
    <w:multiLevelType w:val="hybridMultilevel"/>
    <w:tmpl w:val="46326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B13C8F"/>
    <w:multiLevelType w:val="hybridMultilevel"/>
    <w:tmpl w:val="10584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2B3875"/>
    <w:multiLevelType w:val="hybridMultilevel"/>
    <w:tmpl w:val="498CF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867CDE"/>
    <w:multiLevelType w:val="hybridMultilevel"/>
    <w:tmpl w:val="22F6B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866ED8"/>
    <w:multiLevelType w:val="hybridMultilevel"/>
    <w:tmpl w:val="40C42C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ED45433"/>
    <w:multiLevelType w:val="hybridMultilevel"/>
    <w:tmpl w:val="27DC6DEC"/>
    <w:lvl w:ilvl="0" w:tplc="7AE2C0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
  </w:num>
  <w:num w:numId="4">
    <w:abstractNumId w:val="13"/>
  </w:num>
  <w:num w:numId="5">
    <w:abstractNumId w:val="4"/>
  </w:num>
  <w:num w:numId="6">
    <w:abstractNumId w:val="17"/>
  </w:num>
  <w:num w:numId="7">
    <w:abstractNumId w:val="7"/>
  </w:num>
  <w:num w:numId="8">
    <w:abstractNumId w:val="12"/>
  </w:num>
  <w:num w:numId="9">
    <w:abstractNumId w:val="2"/>
  </w:num>
  <w:num w:numId="10">
    <w:abstractNumId w:val="10"/>
  </w:num>
  <w:num w:numId="11">
    <w:abstractNumId w:val="6"/>
  </w:num>
  <w:num w:numId="12">
    <w:abstractNumId w:val="8"/>
  </w:num>
  <w:num w:numId="13">
    <w:abstractNumId w:val="16"/>
  </w:num>
  <w:num w:numId="14">
    <w:abstractNumId w:val="0"/>
  </w:num>
  <w:num w:numId="15">
    <w:abstractNumId w:val="14"/>
  </w:num>
  <w:num w:numId="16">
    <w:abstractNumId w:val="1"/>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60AD"/>
    <w:rsid w:val="00010034"/>
    <w:rsid w:val="00011F2E"/>
    <w:rsid w:val="000168D9"/>
    <w:rsid w:val="000174F9"/>
    <w:rsid w:val="00021B0F"/>
    <w:rsid w:val="00022DD3"/>
    <w:rsid w:val="00022ED0"/>
    <w:rsid w:val="000441BE"/>
    <w:rsid w:val="00046837"/>
    <w:rsid w:val="00052685"/>
    <w:rsid w:val="000627AF"/>
    <w:rsid w:val="00080F08"/>
    <w:rsid w:val="00085299"/>
    <w:rsid w:val="00085E0D"/>
    <w:rsid w:val="00085FD4"/>
    <w:rsid w:val="000867AB"/>
    <w:rsid w:val="0009119A"/>
    <w:rsid w:val="0009160B"/>
    <w:rsid w:val="000A5A81"/>
    <w:rsid w:val="000B0942"/>
    <w:rsid w:val="000B486B"/>
    <w:rsid w:val="000C2BBB"/>
    <w:rsid w:val="000C4737"/>
    <w:rsid w:val="000E2D8A"/>
    <w:rsid w:val="000E6DF4"/>
    <w:rsid w:val="00104749"/>
    <w:rsid w:val="001145A2"/>
    <w:rsid w:val="00130438"/>
    <w:rsid w:val="00142C04"/>
    <w:rsid w:val="001517F4"/>
    <w:rsid w:val="001652C1"/>
    <w:rsid w:val="00170B24"/>
    <w:rsid w:val="001748B9"/>
    <w:rsid w:val="00184056"/>
    <w:rsid w:val="00190308"/>
    <w:rsid w:val="001919C7"/>
    <w:rsid w:val="00194921"/>
    <w:rsid w:val="00196BE5"/>
    <w:rsid w:val="001A6442"/>
    <w:rsid w:val="001B2A7D"/>
    <w:rsid w:val="001B3E6D"/>
    <w:rsid w:val="001F1B2B"/>
    <w:rsid w:val="002054F1"/>
    <w:rsid w:val="002119CF"/>
    <w:rsid w:val="00217647"/>
    <w:rsid w:val="00224739"/>
    <w:rsid w:val="00236AB8"/>
    <w:rsid w:val="00245B1F"/>
    <w:rsid w:val="0024647F"/>
    <w:rsid w:val="00254D7D"/>
    <w:rsid w:val="00266C4D"/>
    <w:rsid w:val="002A6E54"/>
    <w:rsid w:val="002B03EE"/>
    <w:rsid w:val="002B04B1"/>
    <w:rsid w:val="002B1EA4"/>
    <w:rsid w:val="002B30EA"/>
    <w:rsid w:val="002B7D9C"/>
    <w:rsid w:val="002C68BB"/>
    <w:rsid w:val="002D1021"/>
    <w:rsid w:val="002D2ECE"/>
    <w:rsid w:val="002D53B2"/>
    <w:rsid w:val="00301013"/>
    <w:rsid w:val="003132C1"/>
    <w:rsid w:val="003152F1"/>
    <w:rsid w:val="00316251"/>
    <w:rsid w:val="0031700C"/>
    <w:rsid w:val="0032192E"/>
    <w:rsid w:val="003319DC"/>
    <w:rsid w:val="0034162D"/>
    <w:rsid w:val="0035128F"/>
    <w:rsid w:val="00366938"/>
    <w:rsid w:val="003670F5"/>
    <w:rsid w:val="00375B5D"/>
    <w:rsid w:val="00376C94"/>
    <w:rsid w:val="003851D4"/>
    <w:rsid w:val="0039000B"/>
    <w:rsid w:val="00396399"/>
    <w:rsid w:val="003A4F09"/>
    <w:rsid w:val="003B09AC"/>
    <w:rsid w:val="003B2C63"/>
    <w:rsid w:val="003B6921"/>
    <w:rsid w:val="003C3B3F"/>
    <w:rsid w:val="003C465B"/>
    <w:rsid w:val="003F70D9"/>
    <w:rsid w:val="00401231"/>
    <w:rsid w:val="00411818"/>
    <w:rsid w:val="00412305"/>
    <w:rsid w:val="00414B9B"/>
    <w:rsid w:val="0042073F"/>
    <w:rsid w:val="004217FB"/>
    <w:rsid w:val="00421A31"/>
    <w:rsid w:val="00423482"/>
    <w:rsid w:val="004336A9"/>
    <w:rsid w:val="00443EE6"/>
    <w:rsid w:val="00447AF8"/>
    <w:rsid w:val="00453B2F"/>
    <w:rsid w:val="00460227"/>
    <w:rsid w:val="00462D9C"/>
    <w:rsid w:val="004671F2"/>
    <w:rsid w:val="00470BE2"/>
    <w:rsid w:val="0047404D"/>
    <w:rsid w:val="0047567A"/>
    <w:rsid w:val="004C678D"/>
    <w:rsid w:val="004D3982"/>
    <w:rsid w:val="004E1401"/>
    <w:rsid w:val="004E15C8"/>
    <w:rsid w:val="004F0A8F"/>
    <w:rsid w:val="004F5C48"/>
    <w:rsid w:val="00507F50"/>
    <w:rsid w:val="00513716"/>
    <w:rsid w:val="00515E41"/>
    <w:rsid w:val="005211F4"/>
    <w:rsid w:val="00522D75"/>
    <w:rsid w:val="00523B05"/>
    <w:rsid w:val="005324DF"/>
    <w:rsid w:val="00546190"/>
    <w:rsid w:val="00563F4B"/>
    <w:rsid w:val="005806C8"/>
    <w:rsid w:val="00583DBA"/>
    <w:rsid w:val="00587AB1"/>
    <w:rsid w:val="00587FFD"/>
    <w:rsid w:val="00593D97"/>
    <w:rsid w:val="0059751B"/>
    <w:rsid w:val="005A12D3"/>
    <w:rsid w:val="005A2434"/>
    <w:rsid w:val="005A2517"/>
    <w:rsid w:val="005A5298"/>
    <w:rsid w:val="005B174D"/>
    <w:rsid w:val="005E36A2"/>
    <w:rsid w:val="00610F44"/>
    <w:rsid w:val="00611EE2"/>
    <w:rsid w:val="00614FE8"/>
    <w:rsid w:val="006237D8"/>
    <w:rsid w:val="00630215"/>
    <w:rsid w:val="0064683C"/>
    <w:rsid w:val="00660765"/>
    <w:rsid w:val="00674357"/>
    <w:rsid w:val="00674947"/>
    <w:rsid w:val="00687204"/>
    <w:rsid w:val="00687889"/>
    <w:rsid w:val="006A0B02"/>
    <w:rsid w:val="006A6212"/>
    <w:rsid w:val="006A7928"/>
    <w:rsid w:val="006C7E08"/>
    <w:rsid w:val="006D4CFE"/>
    <w:rsid w:val="006D690E"/>
    <w:rsid w:val="006E28BB"/>
    <w:rsid w:val="006E4359"/>
    <w:rsid w:val="006F408A"/>
    <w:rsid w:val="006F79B2"/>
    <w:rsid w:val="007009B2"/>
    <w:rsid w:val="00702F34"/>
    <w:rsid w:val="007042AE"/>
    <w:rsid w:val="007050E7"/>
    <w:rsid w:val="007269B0"/>
    <w:rsid w:val="00730328"/>
    <w:rsid w:val="00736C3F"/>
    <w:rsid w:val="00743044"/>
    <w:rsid w:val="00750E8C"/>
    <w:rsid w:val="00753B31"/>
    <w:rsid w:val="00761231"/>
    <w:rsid w:val="00762C2D"/>
    <w:rsid w:val="00765FAF"/>
    <w:rsid w:val="00771614"/>
    <w:rsid w:val="00775119"/>
    <w:rsid w:val="00775ED4"/>
    <w:rsid w:val="0077694B"/>
    <w:rsid w:val="007853C8"/>
    <w:rsid w:val="00787F91"/>
    <w:rsid w:val="007D1AA9"/>
    <w:rsid w:val="007D322B"/>
    <w:rsid w:val="007D796B"/>
    <w:rsid w:val="007E1E60"/>
    <w:rsid w:val="007E791E"/>
    <w:rsid w:val="00812D82"/>
    <w:rsid w:val="00826388"/>
    <w:rsid w:val="008270DE"/>
    <w:rsid w:val="008328AB"/>
    <w:rsid w:val="0084108E"/>
    <w:rsid w:val="00844BBE"/>
    <w:rsid w:val="00847887"/>
    <w:rsid w:val="00850A4D"/>
    <w:rsid w:val="0086565F"/>
    <w:rsid w:val="008722C8"/>
    <w:rsid w:val="008748BD"/>
    <w:rsid w:val="00880868"/>
    <w:rsid w:val="008877DB"/>
    <w:rsid w:val="00891D9A"/>
    <w:rsid w:val="00891F86"/>
    <w:rsid w:val="00897656"/>
    <w:rsid w:val="008A7480"/>
    <w:rsid w:val="008A7F8A"/>
    <w:rsid w:val="008C1D88"/>
    <w:rsid w:val="008D0F4C"/>
    <w:rsid w:val="008D4AD8"/>
    <w:rsid w:val="008E5046"/>
    <w:rsid w:val="009055DF"/>
    <w:rsid w:val="00910B5F"/>
    <w:rsid w:val="00910CD0"/>
    <w:rsid w:val="009129A1"/>
    <w:rsid w:val="0092046B"/>
    <w:rsid w:val="00933FEA"/>
    <w:rsid w:val="00946995"/>
    <w:rsid w:val="00950190"/>
    <w:rsid w:val="009537CA"/>
    <w:rsid w:val="009749EE"/>
    <w:rsid w:val="009849B4"/>
    <w:rsid w:val="00990CBC"/>
    <w:rsid w:val="009A454C"/>
    <w:rsid w:val="009A7D16"/>
    <w:rsid w:val="009B092F"/>
    <w:rsid w:val="009B71E0"/>
    <w:rsid w:val="009B75E7"/>
    <w:rsid w:val="009B7BB6"/>
    <w:rsid w:val="009C3663"/>
    <w:rsid w:val="009C6828"/>
    <w:rsid w:val="00A1146F"/>
    <w:rsid w:val="00A13FEE"/>
    <w:rsid w:val="00A147AF"/>
    <w:rsid w:val="00A24B7F"/>
    <w:rsid w:val="00A27CBD"/>
    <w:rsid w:val="00A324D1"/>
    <w:rsid w:val="00A34C43"/>
    <w:rsid w:val="00A40335"/>
    <w:rsid w:val="00A536F0"/>
    <w:rsid w:val="00A6190A"/>
    <w:rsid w:val="00A71C1B"/>
    <w:rsid w:val="00A75E2D"/>
    <w:rsid w:val="00A80AEC"/>
    <w:rsid w:val="00A80F17"/>
    <w:rsid w:val="00A85B01"/>
    <w:rsid w:val="00A925FF"/>
    <w:rsid w:val="00A933EA"/>
    <w:rsid w:val="00A97734"/>
    <w:rsid w:val="00AA5668"/>
    <w:rsid w:val="00AD7E6B"/>
    <w:rsid w:val="00AE39FE"/>
    <w:rsid w:val="00AF428E"/>
    <w:rsid w:val="00AF51E8"/>
    <w:rsid w:val="00B04260"/>
    <w:rsid w:val="00B07BA9"/>
    <w:rsid w:val="00B11484"/>
    <w:rsid w:val="00B11736"/>
    <w:rsid w:val="00B11B5A"/>
    <w:rsid w:val="00B11EAE"/>
    <w:rsid w:val="00B17C13"/>
    <w:rsid w:val="00B221E2"/>
    <w:rsid w:val="00B23EEA"/>
    <w:rsid w:val="00B24B04"/>
    <w:rsid w:val="00B41BE9"/>
    <w:rsid w:val="00B44DFF"/>
    <w:rsid w:val="00B505CA"/>
    <w:rsid w:val="00B51D16"/>
    <w:rsid w:val="00B51E3A"/>
    <w:rsid w:val="00B53CA3"/>
    <w:rsid w:val="00B557A8"/>
    <w:rsid w:val="00B615F9"/>
    <w:rsid w:val="00B73A58"/>
    <w:rsid w:val="00B93583"/>
    <w:rsid w:val="00B9531A"/>
    <w:rsid w:val="00BB1C12"/>
    <w:rsid w:val="00BB7A8B"/>
    <w:rsid w:val="00BC05C6"/>
    <w:rsid w:val="00BC4F3D"/>
    <w:rsid w:val="00BD01E0"/>
    <w:rsid w:val="00BD766F"/>
    <w:rsid w:val="00BE0F97"/>
    <w:rsid w:val="00BF55AC"/>
    <w:rsid w:val="00C03BFB"/>
    <w:rsid w:val="00C07B4B"/>
    <w:rsid w:val="00C110F1"/>
    <w:rsid w:val="00C15D29"/>
    <w:rsid w:val="00C36A58"/>
    <w:rsid w:val="00C37114"/>
    <w:rsid w:val="00C37196"/>
    <w:rsid w:val="00C620FB"/>
    <w:rsid w:val="00C8654D"/>
    <w:rsid w:val="00C92649"/>
    <w:rsid w:val="00C9637F"/>
    <w:rsid w:val="00C963BB"/>
    <w:rsid w:val="00CA38AE"/>
    <w:rsid w:val="00CA4017"/>
    <w:rsid w:val="00CB6D38"/>
    <w:rsid w:val="00CC1E3B"/>
    <w:rsid w:val="00CC7595"/>
    <w:rsid w:val="00CF4E27"/>
    <w:rsid w:val="00CF52A3"/>
    <w:rsid w:val="00D054C5"/>
    <w:rsid w:val="00D05AE2"/>
    <w:rsid w:val="00D0781D"/>
    <w:rsid w:val="00D220E9"/>
    <w:rsid w:val="00D2229A"/>
    <w:rsid w:val="00D27FEA"/>
    <w:rsid w:val="00D36E7F"/>
    <w:rsid w:val="00D41564"/>
    <w:rsid w:val="00D5539F"/>
    <w:rsid w:val="00D562B3"/>
    <w:rsid w:val="00D606E4"/>
    <w:rsid w:val="00D61A17"/>
    <w:rsid w:val="00D75C67"/>
    <w:rsid w:val="00D75ED0"/>
    <w:rsid w:val="00D960AD"/>
    <w:rsid w:val="00D973C6"/>
    <w:rsid w:val="00DA04E4"/>
    <w:rsid w:val="00DB02A6"/>
    <w:rsid w:val="00DC0E67"/>
    <w:rsid w:val="00DD1C06"/>
    <w:rsid w:val="00DD55B5"/>
    <w:rsid w:val="00DD56CE"/>
    <w:rsid w:val="00DE2AA7"/>
    <w:rsid w:val="00DE32E5"/>
    <w:rsid w:val="00DE7CAE"/>
    <w:rsid w:val="00DF086C"/>
    <w:rsid w:val="00DF6310"/>
    <w:rsid w:val="00E01067"/>
    <w:rsid w:val="00E02D7D"/>
    <w:rsid w:val="00E075D7"/>
    <w:rsid w:val="00E076DA"/>
    <w:rsid w:val="00E10B4D"/>
    <w:rsid w:val="00E36A88"/>
    <w:rsid w:val="00E4167D"/>
    <w:rsid w:val="00E419CF"/>
    <w:rsid w:val="00E534F7"/>
    <w:rsid w:val="00E65CC5"/>
    <w:rsid w:val="00E67525"/>
    <w:rsid w:val="00E731F5"/>
    <w:rsid w:val="00E73D0E"/>
    <w:rsid w:val="00E75CC8"/>
    <w:rsid w:val="00E768C8"/>
    <w:rsid w:val="00E84185"/>
    <w:rsid w:val="00E857FE"/>
    <w:rsid w:val="00EA0021"/>
    <w:rsid w:val="00EA7D22"/>
    <w:rsid w:val="00EC503A"/>
    <w:rsid w:val="00ED5A39"/>
    <w:rsid w:val="00ED5E83"/>
    <w:rsid w:val="00EE076A"/>
    <w:rsid w:val="00EE0CCC"/>
    <w:rsid w:val="00EE3E13"/>
    <w:rsid w:val="00EE774E"/>
    <w:rsid w:val="00EE7D29"/>
    <w:rsid w:val="00EF6209"/>
    <w:rsid w:val="00EF7385"/>
    <w:rsid w:val="00EF73C6"/>
    <w:rsid w:val="00EF75AD"/>
    <w:rsid w:val="00F02BC3"/>
    <w:rsid w:val="00F05C1F"/>
    <w:rsid w:val="00F26AEC"/>
    <w:rsid w:val="00F30268"/>
    <w:rsid w:val="00F4041A"/>
    <w:rsid w:val="00F4595D"/>
    <w:rsid w:val="00F47D71"/>
    <w:rsid w:val="00F737E4"/>
    <w:rsid w:val="00F76C3C"/>
    <w:rsid w:val="00F84044"/>
    <w:rsid w:val="00F87811"/>
    <w:rsid w:val="00F914FD"/>
    <w:rsid w:val="00FA6CB3"/>
    <w:rsid w:val="00FC7D88"/>
    <w:rsid w:val="00FD2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8CB211-96D1-4613-A884-B9DC9CDD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A8B"/>
    <w:rPr>
      <w:sz w:val="24"/>
      <w:szCs w:val="24"/>
      <w:lang w:eastAsia="en-US"/>
    </w:rPr>
  </w:style>
  <w:style w:type="paragraph" w:styleId="Heading1">
    <w:name w:val="heading 1"/>
    <w:basedOn w:val="Normal"/>
    <w:next w:val="Normal"/>
    <w:link w:val="Heading1Char"/>
    <w:autoRedefine/>
    <w:qFormat/>
    <w:rsid w:val="00B11EAE"/>
    <w:pPr>
      <w:widowControl w:val="0"/>
      <w:numPr>
        <w:numId w:val="10"/>
      </w:numPr>
      <w:spacing w:before="120"/>
      <w:ind w:right="-46"/>
      <w:jc w:val="both"/>
      <w:outlineLvl w:val="0"/>
    </w:pPr>
    <w:rPr>
      <w:rFonts w:ascii="Arial" w:eastAsia="Calibri" w:hAnsi="Arial" w:cs="Arial"/>
      <w:b/>
      <w:caps/>
      <w:kern w:val="28"/>
      <w:szCs w:val="20"/>
      <w:u w:val="single"/>
    </w:rPr>
  </w:style>
  <w:style w:type="paragraph" w:styleId="Heading2">
    <w:name w:val="heading 2"/>
    <w:basedOn w:val="Normal"/>
    <w:next w:val="Normal"/>
    <w:link w:val="Heading2Char"/>
    <w:unhideWhenUsed/>
    <w:qFormat/>
    <w:rsid w:val="00C8654D"/>
    <w:pPr>
      <w:keepNext/>
      <w:numPr>
        <w:ilvl w:val="1"/>
        <w:numId w:val="10"/>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75CC8"/>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E75CC8"/>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E75CC8"/>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E75CC8"/>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E75CC8"/>
    <w:pPr>
      <w:numPr>
        <w:ilvl w:val="6"/>
        <w:numId w:val="10"/>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E75CC8"/>
    <w:pPr>
      <w:numPr>
        <w:ilvl w:val="7"/>
        <w:numId w:val="10"/>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E75CC8"/>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54F1"/>
    <w:pPr>
      <w:tabs>
        <w:tab w:val="center" w:pos="4320"/>
        <w:tab w:val="right" w:pos="8640"/>
      </w:tabs>
    </w:pPr>
  </w:style>
  <w:style w:type="paragraph" w:styleId="Footer">
    <w:name w:val="footer"/>
    <w:basedOn w:val="Normal"/>
    <w:link w:val="FooterChar"/>
    <w:rsid w:val="002054F1"/>
    <w:pPr>
      <w:tabs>
        <w:tab w:val="center" w:pos="4320"/>
        <w:tab w:val="right" w:pos="8640"/>
      </w:tabs>
    </w:pPr>
  </w:style>
  <w:style w:type="character" w:styleId="PageNumber">
    <w:name w:val="page number"/>
    <w:basedOn w:val="DefaultParagraphFont"/>
    <w:rsid w:val="002054F1"/>
  </w:style>
  <w:style w:type="paragraph" w:styleId="BalloonText">
    <w:name w:val="Balloon Text"/>
    <w:basedOn w:val="Normal"/>
    <w:semiHidden/>
    <w:rsid w:val="00AE39FE"/>
    <w:rPr>
      <w:rFonts w:ascii="Tahoma" w:hAnsi="Tahoma" w:cs="Tahoma"/>
      <w:sz w:val="16"/>
      <w:szCs w:val="16"/>
    </w:rPr>
  </w:style>
  <w:style w:type="character" w:styleId="CommentReference">
    <w:name w:val="annotation reference"/>
    <w:semiHidden/>
    <w:rsid w:val="004E15C8"/>
    <w:rPr>
      <w:sz w:val="16"/>
      <w:szCs w:val="16"/>
    </w:rPr>
  </w:style>
  <w:style w:type="paragraph" w:styleId="CommentText">
    <w:name w:val="annotation text"/>
    <w:basedOn w:val="Normal"/>
    <w:link w:val="CommentTextChar"/>
    <w:uiPriority w:val="99"/>
    <w:rsid w:val="004E15C8"/>
    <w:rPr>
      <w:sz w:val="20"/>
      <w:szCs w:val="20"/>
    </w:rPr>
  </w:style>
  <w:style w:type="paragraph" w:styleId="CommentSubject">
    <w:name w:val="annotation subject"/>
    <w:basedOn w:val="CommentText"/>
    <w:next w:val="CommentText"/>
    <w:semiHidden/>
    <w:rsid w:val="004E15C8"/>
    <w:rPr>
      <w:b/>
      <w:bCs/>
    </w:rPr>
  </w:style>
  <w:style w:type="table" w:styleId="TableGrid">
    <w:name w:val="Table Grid"/>
    <w:basedOn w:val="TableNormal"/>
    <w:uiPriority w:val="59"/>
    <w:rsid w:val="00F47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055DF"/>
    <w:rPr>
      <w:b/>
      <w:bCs/>
    </w:rPr>
  </w:style>
  <w:style w:type="paragraph" w:customStyle="1" w:styleId="Text">
    <w:name w:val="Text"/>
    <w:link w:val="TextChar"/>
    <w:rsid w:val="001F1B2B"/>
    <w:pPr>
      <w:spacing w:before="120"/>
    </w:pPr>
    <w:rPr>
      <w:sz w:val="24"/>
      <w:szCs w:val="24"/>
      <w:lang w:val="en-US" w:eastAsia="en-US"/>
    </w:rPr>
  </w:style>
  <w:style w:type="character" w:customStyle="1" w:styleId="TextChar">
    <w:name w:val="Text Char"/>
    <w:link w:val="Text"/>
    <w:rsid w:val="001F1B2B"/>
    <w:rPr>
      <w:sz w:val="24"/>
      <w:szCs w:val="24"/>
      <w:lang w:val="en-US" w:eastAsia="en-US" w:bidi="ar-SA"/>
    </w:rPr>
  </w:style>
  <w:style w:type="character" w:customStyle="1" w:styleId="HeaderChar">
    <w:name w:val="Header Char"/>
    <w:link w:val="Header"/>
    <w:uiPriority w:val="99"/>
    <w:locked/>
    <w:rsid w:val="003B09AC"/>
    <w:rPr>
      <w:sz w:val="24"/>
      <w:szCs w:val="24"/>
      <w:lang w:eastAsia="en-US"/>
    </w:rPr>
  </w:style>
  <w:style w:type="paragraph" w:styleId="BodyTextIndent3">
    <w:name w:val="Body Text Indent 3"/>
    <w:basedOn w:val="Normal"/>
    <w:link w:val="BodyTextIndent3Char"/>
    <w:uiPriority w:val="99"/>
    <w:rsid w:val="003B09AC"/>
    <w:pPr>
      <w:tabs>
        <w:tab w:val="left" w:pos="0"/>
        <w:tab w:val="left" w:pos="851"/>
      </w:tabs>
      <w:ind w:left="855"/>
      <w:jc w:val="both"/>
    </w:pPr>
    <w:rPr>
      <w:rFonts w:ascii="Arial" w:hAnsi="Arial"/>
      <w:spacing w:val="-3"/>
      <w:szCs w:val="20"/>
      <w:lang w:val="en-GB" w:eastAsia="en-GB"/>
    </w:rPr>
  </w:style>
  <w:style w:type="character" w:customStyle="1" w:styleId="BodyTextIndent3Char">
    <w:name w:val="Body Text Indent 3 Char"/>
    <w:link w:val="BodyTextIndent3"/>
    <w:uiPriority w:val="99"/>
    <w:rsid w:val="003B09AC"/>
    <w:rPr>
      <w:rFonts w:ascii="Arial" w:hAnsi="Arial"/>
      <w:spacing w:val="-3"/>
      <w:sz w:val="24"/>
      <w:lang w:val="en-GB" w:eastAsia="en-GB"/>
    </w:rPr>
  </w:style>
  <w:style w:type="paragraph" w:customStyle="1" w:styleId="Default">
    <w:name w:val="Default"/>
    <w:rsid w:val="003B2C63"/>
    <w:pPr>
      <w:autoSpaceDE w:val="0"/>
      <w:autoSpaceDN w:val="0"/>
      <w:adjustRightInd w:val="0"/>
    </w:pPr>
    <w:rPr>
      <w:rFonts w:ascii="Cambria" w:hAnsi="Cambria" w:cs="Cambria"/>
      <w:color w:val="000000"/>
      <w:sz w:val="24"/>
      <w:szCs w:val="24"/>
    </w:rPr>
  </w:style>
  <w:style w:type="character" w:customStyle="1" w:styleId="Heading1Char">
    <w:name w:val="Heading 1 Char"/>
    <w:link w:val="Heading1"/>
    <w:rsid w:val="00B11EAE"/>
    <w:rPr>
      <w:rFonts w:ascii="Arial" w:eastAsia="Calibri" w:hAnsi="Arial" w:cs="Arial"/>
      <w:b/>
      <w:caps/>
      <w:kern w:val="28"/>
      <w:sz w:val="24"/>
      <w:u w:val="single"/>
      <w:lang w:eastAsia="en-US"/>
    </w:rPr>
  </w:style>
  <w:style w:type="character" w:customStyle="1" w:styleId="Heading2Char">
    <w:name w:val="Heading 2 Char"/>
    <w:link w:val="Heading2"/>
    <w:rsid w:val="00C8654D"/>
    <w:rPr>
      <w:rFonts w:ascii="Cambria" w:eastAsia="Times New Roman" w:hAnsi="Cambria" w:cs="Times New Roman"/>
      <w:b/>
      <w:bCs/>
      <w:i/>
      <w:iCs/>
      <w:sz w:val="28"/>
      <w:szCs w:val="28"/>
      <w:lang w:eastAsia="en-US"/>
    </w:rPr>
  </w:style>
  <w:style w:type="paragraph" w:styleId="Revision">
    <w:name w:val="Revision"/>
    <w:hidden/>
    <w:uiPriority w:val="99"/>
    <w:semiHidden/>
    <w:rsid w:val="00423482"/>
    <w:rPr>
      <w:sz w:val="24"/>
      <w:szCs w:val="24"/>
      <w:lang w:eastAsia="en-US"/>
    </w:rPr>
  </w:style>
  <w:style w:type="character" w:customStyle="1" w:styleId="apple-converted-space">
    <w:name w:val="apple-converted-space"/>
    <w:rsid w:val="00E076DA"/>
  </w:style>
  <w:style w:type="character" w:customStyle="1" w:styleId="s1">
    <w:name w:val="s1"/>
    <w:rsid w:val="00D41564"/>
    <w:rPr>
      <w:rFonts w:ascii="Arial" w:hAnsi="Arial" w:cs="Arial" w:hint="default"/>
    </w:rPr>
  </w:style>
  <w:style w:type="paragraph" w:customStyle="1" w:styleId="Tableheading">
    <w:name w:val="Table heading"/>
    <w:basedOn w:val="Normal"/>
    <w:next w:val="Normal"/>
    <w:autoRedefine/>
    <w:qFormat/>
    <w:rsid w:val="007D1AA9"/>
    <w:rPr>
      <w:rFonts w:ascii="Arial" w:eastAsia="Calibri" w:hAnsi="Arial" w:cs="Arial"/>
      <w:b/>
      <w:sz w:val="20"/>
      <w:szCs w:val="20"/>
    </w:rPr>
  </w:style>
  <w:style w:type="paragraph" w:customStyle="1" w:styleId="Tablebody">
    <w:name w:val="Table body"/>
    <w:basedOn w:val="Normal"/>
    <w:next w:val="Normal"/>
    <w:autoRedefine/>
    <w:qFormat/>
    <w:rsid w:val="007D1AA9"/>
    <w:rPr>
      <w:rFonts w:ascii="Arial" w:eastAsia="Calibri" w:hAnsi="Arial" w:cs="Arial"/>
      <w:sz w:val="20"/>
      <w:szCs w:val="20"/>
    </w:rPr>
  </w:style>
  <w:style w:type="paragraph" w:customStyle="1" w:styleId="Tablefootnotes">
    <w:name w:val="Table footnotes"/>
    <w:basedOn w:val="Normal"/>
    <w:next w:val="Normal"/>
    <w:autoRedefine/>
    <w:qFormat/>
    <w:rsid w:val="007D1AA9"/>
    <w:pPr>
      <w:contextualSpacing/>
      <w:jc w:val="both"/>
    </w:pPr>
    <w:rPr>
      <w:rFonts w:ascii="Arial" w:hAnsi="Arial"/>
      <w:spacing w:val="5"/>
      <w:kern w:val="28"/>
      <w:sz w:val="18"/>
      <w:szCs w:val="52"/>
    </w:rPr>
  </w:style>
  <w:style w:type="paragraph" w:styleId="BodyText">
    <w:name w:val="Body Text"/>
    <w:basedOn w:val="Normal"/>
    <w:link w:val="BodyTextChar"/>
    <w:rsid w:val="004F5C48"/>
    <w:pPr>
      <w:spacing w:after="120"/>
    </w:pPr>
  </w:style>
  <w:style w:type="character" w:customStyle="1" w:styleId="BodyTextChar">
    <w:name w:val="Body Text Char"/>
    <w:link w:val="BodyText"/>
    <w:rsid w:val="004F5C48"/>
    <w:rPr>
      <w:sz w:val="24"/>
      <w:szCs w:val="24"/>
      <w:lang w:eastAsia="en-US"/>
    </w:rPr>
  </w:style>
  <w:style w:type="character" w:styleId="Hyperlink">
    <w:name w:val="Hyperlink"/>
    <w:basedOn w:val="DefaultParagraphFont"/>
    <w:rsid w:val="00B17C13"/>
    <w:rPr>
      <w:color w:val="0563C1" w:themeColor="hyperlink"/>
      <w:u w:val="single"/>
    </w:rPr>
  </w:style>
  <w:style w:type="character" w:customStyle="1" w:styleId="UnresolvedMention">
    <w:name w:val="Unresolved Mention"/>
    <w:basedOn w:val="DefaultParagraphFont"/>
    <w:uiPriority w:val="99"/>
    <w:semiHidden/>
    <w:unhideWhenUsed/>
    <w:rsid w:val="00B17C13"/>
    <w:rPr>
      <w:color w:val="605E5C"/>
      <w:shd w:val="clear" w:color="auto" w:fill="E1DFDD"/>
    </w:rPr>
  </w:style>
  <w:style w:type="paragraph" w:styleId="NoSpacing">
    <w:name w:val="No Spacing"/>
    <w:uiPriority w:val="1"/>
    <w:qFormat/>
    <w:rsid w:val="00F87811"/>
    <w:rPr>
      <w:sz w:val="24"/>
      <w:szCs w:val="24"/>
      <w:lang w:eastAsia="en-US"/>
    </w:rPr>
  </w:style>
  <w:style w:type="character" w:customStyle="1" w:styleId="Heading3Char">
    <w:name w:val="Heading 3 Char"/>
    <w:basedOn w:val="DefaultParagraphFont"/>
    <w:link w:val="Heading3"/>
    <w:semiHidden/>
    <w:rsid w:val="00E75CC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semiHidden/>
    <w:rsid w:val="00E75CC8"/>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semiHidden/>
    <w:rsid w:val="00E75CC8"/>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semiHidden/>
    <w:rsid w:val="00E75CC8"/>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semiHidden/>
    <w:rsid w:val="00E75CC8"/>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semiHidden/>
    <w:rsid w:val="00E75CC8"/>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semiHidden/>
    <w:rsid w:val="00E75CC8"/>
    <w:rPr>
      <w:rFonts w:asciiTheme="majorHAnsi" w:eastAsiaTheme="majorEastAsia" w:hAnsiTheme="majorHAnsi" w:cstheme="majorBidi"/>
      <w:sz w:val="22"/>
      <w:szCs w:val="22"/>
      <w:lang w:eastAsia="en-US"/>
    </w:rPr>
  </w:style>
  <w:style w:type="character" w:styleId="FollowedHyperlink">
    <w:name w:val="FollowedHyperlink"/>
    <w:basedOn w:val="DefaultParagraphFont"/>
    <w:rsid w:val="001652C1"/>
    <w:rPr>
      <w:color w:val="954F72" w:themeColor="followedHyperlink"/>
      <w:u w:val="single"/>
    </w:rPr>
  </w:style>
  <w:style w:type="paragraph" w:customStyle="1" w:styleId="NormalAgency">
    <w:name w:val="Normal (Agency)"/>
    <w:link w:val="NormalAgencyChar"/>
    <w:rsid w:val="001652C1"/>
    <w:rPr>
      <w:rFonts w:ascii="Verdana" w:eastAsia="SimSun" w:hAnsi="Verdana"/>
      <w:sz w:val="22"/>
      <w:szCs w:val="22"/>
      <w:lang w:val="en-GB" w:eastAsia="en-GB"/>
    </w:rPr>
  </w:style>
  <w:style w:type="character" w:customStyle="1" w:styleId="NormalAgencyChar">
    <w:name w:val="Normal (Agency) Char"/>
    <w:link w:val="NormalAgency"/>
    <w:locked/>
    <w:rsid w:val="001652C1"/>
    <w:rPr>
      <w:rFonts w:ascii="Verdana" w:eastAsia="SimSun" w:hAnsi="Verdana"/>
      <w:sz w:val="22"/>
      <w:szCs w:val="22"/>
      <w:lang w:val="en-GB" w:eastAsia="en-GB"/>
    </w:rPr>
  </w:style>
  <w:style w:type="paragraph" w:styleId="ListParagraph">
    <w:name w:val="List Paragraph"/>
    <w:basedOn w:val="Normal"/>
    <w:uiPriority w:val="99"/>
    <w:qFormat/>
    <w:rsid w:val="001652C1"/>
    <w:pPr>
      <w:tabs>
        <w:tab w:val="left" w:pos="567"/>
      </w:tabs>
      <w:spacing w:line="260" w:lineRule="exact"/>
      <w:ind w:left="720"/>
      <w:contextualSpacing/>
    </w:pPr>
    <w:rPr>
      <w:rFonts w:eastAsia="SimSun"/>
      <w:sz w:val="22"/>
      <w:szCs w:val="20"/>
      <w:lang w:val="en-GB"/>
    </w:rPr>
  </w:style>
  <w:style w:type="paragraph" w:customStyle="1" w:styleId="BodytextAgency">
    <w:name w:val="Body text (Agency)"/>
    <w:basedOn w:val="Normal"/>
    <w:link w:val="BodytextAgencyChar"/>
    <w:qFormat/>
    <w:rsid w:val="00316251"/>
    <w:pPr>
      <w:spacing w:after="140" w:line="280" w:lineRule="atLeast"/>
    </w:pPr>
    <w:rPr>
      <w:rFonts w:ascii="Verdana" w:eastAsia="SimSun" w:hAnsi="Verdana"/>
      <w:sz w:val="18"/>
      <w:szCs w:val="20"/>
      <w:lang w:val="en-GB" w:eastAsia="en-GB"/>
    </w:rPr>
  </w:style>
  <w:style w:type="character" w:customStyle="1" w:styleId="BodytextAgencyChar">
    <w:name w:val="Body text (Agency) Char"/>
    <w:link w:val="BodytextAgency"/>
    <w:locked/>
    <w:rsid w:val="00316251"/>
    <w:rPr>
      <w:rFonts w:ascii="Verdana" w:eastAsia="SimSun" w:hAnsi="Verdana"/>
      <w:sz w:val="18"/>
      <w:lang w:val="en-GB" w:eastAsia="en-GB"/>
    </w:rPr>
  </w:style>
  <w:style w:type="paragraph" w:customStyle="1" w:styleId="ParagraphStyle">
    <w:name w:val="Paragraph Style"/>
    <w:basedOn w:val="Normal"/>
    <w:uiPriority w:val="99"/>
    <w:rsid w:val="00316251"/>
    <w:pPr>
      <w:spacing w:before="120" w:after="120"/>
    </w:pPr>
    <w:rPr>
      <w:rFonts w:eastAsia="SimSun"/>
      <w:color w:val="000000"/>
      <w:szCs w:val="22"/>
      <w:lang w:val="en-CA"/>
    </w:rPr>
  </w:style>
  <w:style w:type="paragraph" w:customStyle="1" w:styleId="BMSTableHeader">
    <w:name w:val="BMS Table Header"/>
    <w:basedOn w:val="BMSTableText"/>
    <w:link w:val="BMSTableHeaderChar"/>
    <w:rsid w:val="00316251"/>
    <w:rPr>
      <w:b/>
    </w:rPr>
  </w:style>
  <w:style w:type="paragraph" w:customStyle="1" w:styleId="BMSTableText">
    <w:name w:val="BMS Table Text"/>
    <w:link w:val="BMSTableTextChar"/>
    <w:rsid w:val="00316251"/>
    <w:pPr>
      <w:tabs>
        <w:tab w:val="left" w:pos="360"/>
      </w:tabs>
      <w:spacing w:before="60" w:after="60"/>
      <w:jc w:val="center"/>
    </w:pPr>
    <w:rPr>
      <w:lang w:val="en-US" w:eastAsia="en-US"/>
    </w:rPr>
  </w:style>
  <w:style w:type="character" w:customStyle="1" w:styleId="BMSTableTextChar">
    <w:name w:val="BMS Table Text Char"/>
    <w:link w:val="BMSTableText"/>
    <w:rsid w:val="00316251"/>
    <w:rPr>
      <w:lang w:val="en-US" w:eastAsia="en-US"/>
    </w:rPr>
  </w:style>
  <w:style w:type="character" w:customStyle="1" w:styleId="BMSTableHeaderChar">
    <w:name w:val="BMS Table Header Char"/>
    <w:link w:val="BMSTableHeader"/>
    <w:rsid w:val="00316251"/>
    <w:rPr>
      <w:b/>
      <w:lang w:val="en-US" w:eastAsia="en-US"/>
    </w:rPr>
  </w:style>
  <w:style w:type="paragraph" w:customStyle="1" w:styleId="TableHeader">
    <w:name w:val="Table Header"/>
    <w:basedOn w:val="Normal"/>
    <w:rsid w:val="00DE2AA7"/>
    <w:pPr>
      <w:keepNext/>
    </w:pPr>
    <w:rPr>
      <w:b/>
      <w:sz w:val="20"/>
      <w:szCs w:val="20"/>
      <w:lang w:val="en-US"/>
    </w:rPr>
  </w:style>
  <w:style w:type="paragraph" w:customStyle="1" w:styleId="Tabletext">
    <w:name w:val="Tabletext"/>
    <w:basedOn w:val="Normal"/>
    <w:rsid w:val="00DE2AA7"/>
    <w:pPr>
      <w:widowControl w:val="0"/>
      <w:spacing w:before="40" w:after="40"/>
    </w:pPr>
    <w:rPr>
      <w:snapToGrid w:val="0"/>
      <w:sz w:val="20"/>
      <w:szCs w:val="20"/>
      <w:lang w:val="en-US"/>
    </w:rPr>
  </w:style>
  <w:style w:type="character" w:customStyle="1" w:styleId="CommentTextChar">
    <w:name w:val="Comment Text Char"/>
    <w:link w:val="CommentText"/>
    <w:uiPriority w:val="99"/>
    <w:locked/>
    <w:rsid w:val="0035128F"/>
    <w:rPr>
      <w:lang w:eastAsia="en-US"/>
    </w:rPr>
  </w:style>
  <w:style w:type="character" w:customStyle="1" w:styleId="FooterChar">
    <w:name w:val="Footer Char"/>
    <w:basedOn w:val="DefaultParagraphFont"/>
    <w:link w:val="Footer"/>
    <w:rsid w:val="00A34C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33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customerservice@emergehealth.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7BEE88661804C9F09235AF1EABD70" ma:contentTypeVersion="10" ma:contentTypeDescription="Create a new document." ma:contentTypeScope="" ma:versionID="58a4abff9df5f81da7a5f7a9a784bb09">
  <xsd:schema xmlns:xsd="http://www.w3.org/2001/XMLSchema" xmlns:xs="http://www.w3.org/2001/XMLSchema" xmlns:p="http://schemas.microsoft.com/office/2006/metadata/properties" xmlns:ns3="1b43253b-8846-428a-9478-f7b1d98be00b" xmlns:ns4="342a89ea-0996-47ca-a9ef-7a3c2fd1c53c" targetNamespace="http://schemas.microsoft.com/office/2006/metadata/properties" ma:root="true" ma:fieldsID="4b85aea709fbf0d60731935b13746991" ns3:_="" ns4:_="">
    <xsd:import namespace="1b43253b-8846-428a-9478-f7b1d98be00b"/>
    <xsd:import namespace="342a89ea-0996-47ca-a9ef-7a3c2fd1c5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253b-8846-428a-9478-f7b1d98b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89ea-0996-47ca-a9ef-7a3c2fd1c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1DB80-3767-4938-82E4-32C1AFDDD418}">
  <ds:schemaRefs>
    <ds:schemaRef ds:uri="http://schemas.microsoft.com/sharepoint/v3/contenttype/forms"/>
  </ds:schemaRefs>
</ds:datastoreItem>
</file>

<file path=customXml/itemProps2.xml><?xml version="1.0" encoding="utf-8"?>
<ds:datastoreItem xmlns:ds="http://schemas.openxmlformats.org/officeDocument/2006/customXml" ds:itemID="{5A0B269D-AB4E-49C2-BE55-8C1AD43AE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3253b-8846-428a-9478-f7b1d98be00b"/>
    <ds:schemaRef ds:uri="342a89ea-0996-47ca-a9ef-7a3c2fd1c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6AA3D-98AD-4402-9287-82A70D86A3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A96238-7733-4373-8210-89B34BA8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4734</Words>
  <Characters>27886</Characters>
  <Application>Microsoft Office Word</Application>
  <DocSecurity>0</DocSecurity>
  <Lines>871</Lines>
  <Paragraphs>465</Paragraphs>
  <ScaleCrop>false</ScaleCrop>
  <HeadingPairs>
    <vt:vector size="2" baseType="variant">
      <vt:variant>
        <vt:lpstr>Title</vt:lpstr>
      </vt:variant>
      <vt:variant>
        <vt:i4>1</vt:i4>
      </vt:variant>
    </vt:vector>
  </HeadingPairs>
  <TitlesOfParts>
    <vt:vector size="1" baseType="lpstr">
      <vt:lpstr>PRODUCT INFORMATION</vt:lpstr>
    </vt:vector>
  </TitlesOfParts>
  <Company>Ferring Group</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Dinutuximab beta</dc:title>
  <dc:subject>prescription medicines</dc:subject>
  <dc:creator/>
  <cp:lastPrinted>2020-04-07T06:05:00Z</cp:lastPrinted>
  <dcterms:created xsi:type="dcterms:W3CDTF">2020-03-02T02:26:00Z</dcterms:created>
  <dcterms:modified xsi:type="dcterms:W3CDTF">2020-07-01T06:05:00Z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Num">
    <vt:lpwstr>#43252-v3</vt:lpwstr>
  </property>
  <property fmtid="{D5CDD505-2E9C-101B-9397-08002B2CF9AE}" pid="3" name="ContentTypeId">
    <vt:lpwstr>0x01010081B7BEE88661804C9F09235AF1EABD70</vt:lpwstr>
  </property>
</Properties>
</file>