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9E" w:rsidRPr="007B7547" w:rsidRDefault="000A0F9E" w:rsidP="00474F08">
      <w:pPr>
        <w:spacing w:before="240" w:after="60" w:line="276" w:lineRule="auto"/>
        <w:rPr>
          <w:rFonts w:ascii="Arial" w:hAnsi="Arial" w:cs="Arial"/>
          <w:b/>
          <w:bCs/>
          <w:kern w:val="32"/>
          <w:sz w:val="36"/>
          <w:szCs w:val="22"/>
          <w:lang w:val="en-US"/>
        </w:rPr>
      </w:pPr>
      <w:r w:rsidRPr="007B7547">
        <w:rPr>
          <w:rFonts w:ascii="Arial" w:hAnsi="Arial" w:cs="Arial"/>
          <w:b/>
          <w:bCs/>
          <w:kern w:val="32"/>
          <w:sz w:val="36"/>
          <w:szCs w:val="22"/>
          <w:lang w:val="en-US"/>
        </w:rPr>
        <w:t>PRODUCT INFORMATION</w:t>
      </w:r>
    </w:p>
    <w:p w:rsidR="000209BF" w:rsidRPr="007B7547" w:rsidRDefault="005956CF" w:rsidP="00D25AEA">
      <w:pPr>
        <w:spacing w:line="276" w:lineRule="auto"/>
        <w:rPr>
          <w:rFonts w:ascii="Arial" w:hAnsi="Arial" w:cs="Arial"/>
          <w:sz w:val="22"/>
          <w:szCs w:val="22"/>
          <w:lang w:val="en-US"/>
        </w:rPr>
      </w:pPr>
      <w:r w:rsidRPr="007B7547">
        <w:rPr>
          <w:rFonts w:ascii="Arial" w:hAnsi="Arial" w:cs="Arial"/>
          <w:sz w:val="22"/>
          <w:szCs w:val="22"/>
          <w:lang w:val="en-US"/>
        </w:rPr>
        <w:t>TECFIDERA</w:t>
      </w:r>
      <w:r w:rsidR="00A44354">
        <w:rPr>
          <w:rFonts w:ascii="Arial" w:hAnsi="Arial" w:cs="Arial"/>
          <w:sz w:val="22"/>
          <w:szCs w:val="22"/>
          <w:vertAlign w:val="superscript"/>
          <w:lang w:val="en-US"/>
        </w:rPr>
        <w:t>®</w:t>
      </w:r>
      <w:r w:rsidR="000209BF" w:rsidRPr="007B7547">
        <w:rPr>
          <w:rFonts w:ascii="Arial" w:hAnsi="Arial" w:cs="Arial"/>
          <w:sz w:val="22"/>
          <w:szCs w:val="22"/>
          <w:lang w:val="en-US"/>
        </w:rPr>
        <w:t xml:space="preserve"> (dimethyl fumarate</w:t>
      </w:r>
      <w:r w:rsidR="00EB6B4E" w:rsidRPr="007B7547">
        <w:rPr>
          <w:rFonts w:ascii="Arial" w:hAnsi="Arial" w:cs="Arial"/>
          <w:sz w:val="22"/>
          <w:szCs w:val="22"/>
          <w:lang w:val="en-US"/>
        </w:rPr>
        <w:t xml:space="preserve"> [DMF]</w:t>
      </w:r>
      <w:r w:rsidR="000209BF" w:rsidRPr="007B7547">
        <w:rPr>
          <w:rFonts w:ascii="Arial" w:hAnsi="Arial" w:cs="Arial"/>
          <w:sz w:val="22"/>
          <w:szCs w:val="22"/>
          <w:lang w:val="en-US"/>
        </w:rPr>
        <w:t xml:space="preserve">) </w:t>
      </w:r>
    </w:p>
    <w:p w:rsidR="009211E8" w:rsidRPr="007B7547" w:rsidRDefault="009211E8" w:rsidP="00D25AEA">
      <w:pPr>
        <w:spacing w:line="276" w:lineRule="auto"/>
        <w:rPr>
          <w:rFonts w:ascii="Arial" w:hAnsi="Arial" w:cs="Arial"/>
          <w:sz w:val="22"/>
          <w:szCs w:val="22"/>
          <w:lang w:val="en-US"/>
        </w:rPr>
      </w:pPr>
    </w:p>
    <w:p w:rsidR="00E33E7B" w:rsidRPr="007B7547" w:rsidRDefault="000A0F9E" w:rsidP="00474F08">
      <w:pPr>
        <w:pStyle w:val="Heading1"/>
        <w:spacing w:line="276" w:lineRule="auto"/>
        <w:rPr>
          <w:sz w:val="28"/>
          <w:szCs w:val="22"/>
          <w:lang w:val="en-US"/>
        </w:rPr>
      </w:pPr>
      <w:r w:rsidRPr="007B7547">
        <w:rPr>
          <w:sz w:val="28"/>
          <w:szCs w:val="22"/>
          <w:lang w:val="en-US"/>
        </w:rPr>
        <w:t>NAME OF THE MEDICINE</w:t>
      </w:r>
    </w:p>
    <w:p w:rsidR="00200C54" w:rsidRDefault="005956CF" w:rsidP="00D25AEA">
      <w:pPr>
        <w:pStyle w:val="GTCBodyText"/>
        <w:spacing w:before="0" w:after="0" w:line="276" w:lineRule="auto"/>
        <w:jc w:val="left"/>
        <w:rPr>
          <w:rFonts w:ascii="Arial" w:hAnsi="Arial" w:cs="Arial"/>
          <w:sz w:val="22"/>
          <w:szCs w:val="22"/>
        </w:rPr>
      </w:pPr>
      <w:r w:rsidRPr="007B7547">
        <w:rPr>
          <w:rFonts w:ascii="Arial" w:hAnsi="Arial" w:cs="Arial"/>
          <w:sz w:val="22"/>
          <w:szCs w:val="22"/>
        </w:rPr>
        <w:t>TECFIDERA</w:t>
      </w:r>
      <w:r w:rsidR="00A05BBD" w:rsidRPr="007B7547">
        <w:rPr>
          <w:rFonts w:ascii="Arial" w:hAnsi="Arial" w:cs="Arial"/>
          <w:sz w:val="22"/>
          <w:szCs w:val="22"/>
        </w:rPr>
        <w:t xml:space="preserve"> </w:t>
      </w:r>
      <w:r w:rsidR="00200C54" w:rsidRPr="007B7547">
        <w:rPr>
          <w:rFonts w:ascii="Arial" w:hAnsi="Arial" w:cs="Arial"/>
          <w:sz w:val="22"/>
          <w:szCs w:val="22"/>
        </w:rPr>
        <w:t>(dimethyl fumarate</w:t>
      </w:r>
      <w:r w:rsidR="00EB6B4E" w:rsidRPr="007B7547">
        <w:rPr>
          <w:rFonts w:ascii="Arial" w:hAnsi="Arial" w:cs="Arial"/>
          <w:sz w:val="22"/>
          <w:szCs w:val="22"/>
        </w:rPr>
        <w:t xml:space="preserve"> [DMF]</w:t>
      </w:r>
      <w:r w:rsidR="00200C54" w:rsidRPr="007B7547">
        <w:rPr>
          <w:rFonts w:ascii="Arial" w:hAnsi="Arial" w:cs="Arial"/>
          <w:sz w:val="22"/>
          <w:szCs w:val="22"/>
        </w:rPr>
        <w:t xml:space="preserve">) is </w:t>
      </w:r>
      <w:r w:rsidR="00920D3D" w:rsidRPr="007B7547">
        <w:rPr>
          <w:rFonts w:ascii="Arial" w:hAnsi="Arial" w:cs="Arial"/>
          <w:sz w:val="22"/>
          <w:szCs w:val="22"/>
        </w:rPr>
        <w:t>formulated as enteric coated microtablets enclosed within hard gelatin capsules, containing the acti</w:t>
      </w:r>
      <w:r w:rsidR="0021703D" w:rsidRPr="007B7547">
        <w:rPr>
          <w:rFonts w:ascii="Arial" w:hAnsi="Arial" w:cs="Arial"/>
          <w:sz w:val="22"/>
          <w:szCs w:val="22"/>
        </w:rPr>
        <w:t>ve ingredient dimethyl fumarate</w:t>
      </w:r>
      <w:r w:rsidR="00200C54" w:rsidRPr="007B7547">
        <w:rPr>
          <w:rFonts w:ascii="Arial" w:hAnsi="Arial" w:cs="Arial"/>
          <w:sz w:val="22"/>
          <w:szCs w:val="22"/>
        </w:rPr>
        <w:t>.</w:t>
      </w:r>
    </w:p>
    <w:p w:rsidR="007A3DC9" w:rsidRPr="007B7547" w:rsidRDefault="007A3DC9" w:rsidP="00D25AEA">
      <w:pPr>
        <w:pStyle w:val="GTCBodyText"/>
        <w:spacing w:before="0" w:after="0" w:line="276" w:lineRule="auto"/>
        <w:jc w:val="left"/>
        <w:rPr>
          <w:rFonts w:ascii="Arial" w:hAnsi="Arial" w:cs="Arial"/>
          <w:sz w:val="22"/>
          <w:szCs w:val="22"/>
        </w:rPr>
      </w:pPr>
    </w:p>
    <w:p w:rsidR="00920D3D" w:rsidRPr="007B7547" w:rsidRDefault="00920D3D" w:rsidP="00D25AEA">
      <w:pPr>
        <w:pStyle w:val="GTCBodyText"/>
        <w:spacing w:before="0" w:after="0" w:line="276" w:lineRule="auto"/>
        <w:jc w:val="left"/>
        <w:rPr>
          <w:rFonts w:ascii="Arial" w:hAnsi="Arial" w:cs="Arial"/>
          <w:sz w:val="22"/>
          <w:szCs w:val="22"/>
        </w:rPr>
      </w:pPr>
      <w:r w:rsidRPr="007B7547">
        <w:rPr>
          <w:rFonts w:ascii="Arial" w:hAnsi="Arial" w:cs="Arial"/>
          <w:sz w:val="22"/>
          <w:szCs w:val="22"/>
        </w:rPr>
        <w:t xml:space="preserve">The structural formula of </w:t>
      </w:r>
      <w:r w:rsidR="00EB6B4E" w:rsidRPr="007B7547">
        <w:rPr>
          <w:rFonts w:ascii="Arial" w:hAnsi="Arial" w:cs="Arial"/>
          <w:sz w:val="22"/>
          <w:szCs w:val="22"/>
        </w:rPr>
        <w:t>DMF</w:t>
      </w:r>
      <w:r w:rsidRPr="007B7547">
        <w:rPr>
          <w:rFonts w:ascii="Arial" w:hAnsi="Arial" w:cs="Arial"/>
          <w:sz w:val="22"/>
          <w:szCs w:val="22"/>
        </w:rPr>
        <w:t xml:space="preserve"> is shown below.</w:t>
      </w:r>
    </w:p>
    <w:p w:rsidR="00331C35" w:rsidRPr="007B7547" w:rsidRDefault="00E570BF" w:rsidP="00D25AEA">
      <w:pPr>
        <w:spacing w:line="276" w:lineRule="auto"/>
        <w:rPr>
          <w:rFonts w:ascii="Arial" w:hAnsi="Arial" w:cs="Arial"/>
          <w:noProof/>
          <w:sz w:val="22"/>
          <w:szCs w:val="22"/>
          <w:lang w:val="en-US"/>
        </w:rPr>
      </w:pPr>
      <w:r w:rsidRPr="00E570BF">
        <w:rPr>
          <w:rFonts w:ascii="Arial" w:hAnsi="Arial" w:cs="Arial"/>
          <w:noProof/>
          <w:sz w:val="22"/>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BG12 Structure.jpg" style="width:121.8pt;height:92.45pt;visibility:visible">
            <v:imagedata r:id="rId18" o:title="BG12 Structure"/>
          </v:shape>
        </w:pict>
      </w:r>
    </w:p>
    <w:p w:rsidR="006A6BAF" w:rsidRPr="007B7547" w:rsidRDefault="001D3C35" w:rsidP="00D25AEA">
      <w:pPr>
        <w:spacing w:line="276" w:lineRule="auto"/>
        <w:rPr>
          <w:rFonts w:ascii="Arial" w:hAnsi="Arial" w:cs="Arial"/>
          <w:sz w:val="22"/>
          <w:szCs w:val="22"/>
        </w:rPr>
      </w:pPr>
      <w:r w:rsidRPr="007B7547">
        <w:rPr>
          <w:rFonts w:ascii="Arial" w:hAnsi="Arial" w:cs="Arial"/>
          <w:sz w:val="22"/>
          <w:szCs w:val="22"/>
        </w:rPr>
        <w:t>CAS</w:t>
      </w:r>
      <w:r w:rsidR="008926EF" w:rsidRPr="007B7547">
        <w:rPr>
          <w:rFonts w:ascii="Arial" w:hAnsi="Arial" w:cs="Arial"/>
          <w:sz w:val="22"/>
          <w:szCs w:val="22"/>
        </w:rPr>
        <w:t xml:space="preserve"> registry number</w:t>
      </w:r>
      <w:r w:rsidRPr="007B7547">
        <w:rPr>
          <w:rFonts w:ascii="Arial" w:hAnsi="Arial" w:cs="Arial"/>
          <w:sz w:val="22"/>
          <w:szCs w:val="22"/>
        </w:rPr>
        <w:t>: 624-49-7</w:t>
      </w:r>
      <w:r w:rsidR="006405B1" w:rsidRPr="007B7547">
        <w:rPr>
          <w:rFonts w:ascii="Arial" w:hAnsi="Arial" w:cs="Arial"/>
          <w:sz w:val="22"/>
          <w:szCs w:val="22"/>
        </w:rPr>
        <w:t xml:space="preserve"> </w:t>
      </w:r>
    </w:p>
    <w:p w:rsidR="00E33E7B" w:rsidRPr="007B7547" w:rsidRDefault="000A0F9E" w:rsidP="00474F08">
      <w:pPr>
        <w:pStyle w:val="Heading1"/>
        <w:spacing w:line="276" w:lineRule="auto"/>
        <w:rPr>
          <w:sz w:val="28"/>
          <w:szCs w:val="22"/>
          <w:lang w:val="en-US"/>
        </w:rPr>
      </w:pPr>
      <w:r w:rsidRPr="007B7547">
        <w:rPr>
          <w:sz w:val="28"/>
          <w:szCs w:val="22"/>
          <w:lang w:val="en-US"/>
        </w:rPr>
        <w:t>DESCRIPTION</w:t>
      </w:r>
    </w:p>
    <w:p w:rsidR="006C493D" w:rsidRPr="007B7547" w:rsidRDefault="006C493D" w:rsidP="00D25AEA">
      <w:pPr>
        <w:pStyle w:val="Default"/>
        <w:spacing w:line="276" w:lineRule="auto"/>
        <w:rPr>
          <w:rFonts w:ascii="Arial" w:hAnsi="Arial" w:cs="Arial"/>
          <w:sz w:val="22"/>
          <w:szCs w:val="22"/>
        </w:rPr>
      </w:pPr>
      <w:r w:rsidRPr="007B7547">
        <w:rPr>
          <w:rFonts w:ascii="Arial" w:hAnsi="Arial" w:cs="Arial"/>
          <w:sz w:val="22"/>
          <w:szCs w:val="22"/>
        </w:rPr>
        <w:t xml:space="preserve">DMF is a white to off-white powder that is slightly soluble in water. It has a molecular formula of C6H8O4 and a molecular weight of 144.13. The chemical name for DMF is dimethyl (2E)but-2-enedioate. </w:t>
      </w:r>
    </w:p>
    <w:p w:rsidR="00920D3D" w:rsidRPr="007B7547" w:rsidRDefault="00920D3D" w:rsidP="00D25AEA">
      <w:pPr>
        <w:spacing w:line="276" w:lineRule="auto"/>
        <w:rPr>
          <w:rFonts w:ascii="Arial" w:hAnsi="Arial" w:cs="Arial"/>
          <w:bCs/>
          <w:sz w:val="22"/>
          <w:szCs w:val="22"/>
          <w:highlight w:val="yellow"/>
          <w:lang w:val="en-GB"/>
        </w:rPr>
      </w:pPr>
    </w:p>
    <w:p w:rsidR="00FB4750" w:rsidRPr="007B7547" w:rsidRDefault="006C493D" w:rsidP="00D25AEA">
      <w:pPr>
        <w:pStyle w:val="Default"/>
        <w:spacing w:line="276" w:lineRule="auto"/>
        <w:rPr>
          <w:rFonts w:ascii="Arial" w:hAnsi="Arial" w:cs="Arial"/>
          <w:sz w:val="22"/>
          <w:szCs w:val="22"/>
        </w:rPr>
      </w:pPr>
      <w:r w:rsidRPr="007B7547">
        <w:rPr>
          <w:rFonts w:ascii="Arial" w:hAnsi="Arial" w:cs="Arial"/>
          <w:sz w:val="22"/>
          <w:szCs w:val="22"/>
        </w:rPr>
        <w:t xml:space="preserve">Each TECFIDERA capsule contains 120 mg or 240 mg DMF. The inactive ingredients of TECFIDERA are: microcrystalline cellulose, croscarmellose sodium, purified talc, colloidal anhydrous silica, magnesium stearate, triethyl citrate, methylacrylate-methyl methacrylate copolymer, methacrylic acid – ethyl acrylate  copolymer (1:1), simethicone, sodium lauryl sulfate, polysorbate 80, gelatin, titanium dioxide, brilliant blue FCF (CI42090), iron oxide yellow (CI77492), iron oxide black (CI77499). </w:t>
      </w:r>
    </w:p>
    <w:p w:rsidR="00E33E7B" w:rsidRPr="007B7547" w:rsidRDefault="000A0F9E" w:rsidP="00474F08">
      <w:pPr>
        <w:pStyle w:val="Heading1"/>
        <w:spacing w:line="276" w:lineRule="auto"/>
        <w:rPr>
          <w:sz w:val="28"/>
          <w:szCs w:val="22"/>
          <w:lang w:val="en-US"/>
        </w:rPr>
      </w:pPr>
      <w:bookmarkStart w:id="0" w:name="gbae32f1b-1c74-4ce5-b264-b10a56dd4f79"/>
      <w:bookmarkStart w:id="1" w:name="Gad3bb974-d5e0-4e20-b2bd-866bb7853665"/>
      <w:bookmarkStart w:id="2" w:name="ga49ed935-4b12-485d-9d04-9419f0c40d82"/>
      <w:bookmarkStart w:id="3" w:name="gf09198bd-e71c-43a3-bda4-30794d0e35a5"/>
      <w:bookmarkStart w:id="4" w:name="g094fc15f-b0c9-4d28-a8fa-864a5e659708"/>
      <w:bookmarkStart w:id="5" w:name="ga28bb17b-9ad5-43c4-b9a8-561d0359be64"/>
      <w:bookmarkStart w:id="6" w:name="gec691f1a-e309-4f2f-aed6-ffe0f407f9d7"/>
      <w:bookmarkStart w:id="7" w:name="gd8316db9-969e-439e-9e10-5cdcb898c6ff"/>
      <w:bookmarkStart w:id="8" w:name="gb16e5a99-532d-4096-87eb-6320931fb5d8"/>
      <w:bookmarkStart w:id="9" w:name="gb6079575-9e8a-4d01-91a9-bb9301dd5928"/>
      <w:bookmarkEnd w:id="0"/>
      <w:bookmarkEnd w:id="1"/>
      <w:bookmarkEnd w:id="2"/>
      <w:bookmarkEnd w:id="3"/>
      <w:bookmarkEnd w:id="4"/>
      <w:bookmarkEnd w:id="5"/>
      <w:bookmarkEnd w:id="6"/>
      <w:bookmarkEnd w:id="7"/>
      <w:bookmarkEnd w:id="8"/>
      <w:bookmarkEnd w:id="9"/>
      <w:r w:rsidRPr="007B7547">
        <w:rPr>
          <w:sz w:val="28"/>
          <w:szCs w:val="22"/>
          <w:lang w:val="en-US"/>
        </w:rPr>
        <w:t>PHARMACOLOGY</w:t>
      </w:r>
      <w:r w:rsidR="00767446" w:rsidRPr="007B7547">
        <w:rPr>
          <w:sz w:val="28"/>
          <w:szCs w:val="22"/>
          <w:lang w:val="en-US"/>
        </w:rPr>
        <w:t xml:space="preserve"> </w:t>
      </w:r>
    </w:p>
    <w:p w:rsidR="006C493D" w:rsidRPr="007B7547" w:rsidRDefault="006C493D" w:rsidP="00D25AEA">
      <w:pPr>
        <w:pStyle w:val="Default"/>
        <w:spacing w:line="276" w:lineRule="auto"/>
        <w:rPr>
          <w:rFonts w:ascii="Arial" w:hAnsi="Arial" w:cs="Arial"/>
          <w:sz w:val="22"/>
          <w:szCs w:val="22"/>
        </w:rPr>
      </w:pPr>
      <w:r w:rsidRPr="007B7547">
        <w:rPr>
          <w:rFonts w:ascii="Arial" w:hAnsi="Arial" w:cs="Arial"/>
          <w:sz w:val="22"/>
          <w:szCs w:val="22"/>
        </w:rPr>
        <w:t xml:space="preserve">The mechanism by which DMF exerts therapeutic effects in multiple sclerosis is not fully understood. Nonclinical studies indicate that pharmacodynamic responses to DMF appear to be mediated, at least in part, through activation of the Nuclear factor (erythroid-derived 2)-like 2 (Nrf2) transcriptional pathway, which is a critical cellular </w:t>
      </w:r>
      <w:proofErr w:type="spellStart"/>
      <w:r w:rsidRPr="007B7547">
        <w:rPr>
          <w:rFonts w:ascii="Arial" w:hAnsi="Arial" w:cs="Arial"/>
          <w:sz w:val="22"/>
          <w:szCs w:val="22"/>
        </w:rPr>
        <w:t>defence</w:t>
      </w:r>
      <w:proofErr w:type="spellEnd"/>
      <w:r w:rsidRPr="007B7547">
        <w:rPr>
          <w:rFonts w:ascii="Arial" w:hAnsi="Arial" w:cs="Arial"/>
          <w:sz w:val="22"/>
          <w:szCs w:val="22"/>
        </w:rPr>
        <w:t xml:space="preserve"> system for responding to a variety of potentially toxic stimuli through up-regulation of antioxidant response genes.   </w:t>
      </w:r>
    </w:p>
    <w:p w:rsidR="006C493D" w:rsidRPr="007B7547" w:rsidRDefault="006C493D" w:rsidP="00D25AEA">
      <w:pPr>
        <w:autoSpaceDE w:val="0"/>
        <w:autoSpaceDN w:val="0"/>
        <w:adjustRightInd w:val="0"/>
        <w:spacing w:line="276" w:lineRule="auto"/>
        <w:rPr>
          <w:rFonts w:ascii="Arial" w:hAnsi="Arial" w:cs="Arial"/>
          <w:b/>
          <w:bCs/>
          <w:sz w:val="22"/>
          <w:szCs w:val="22"/>
          <w:lang w:val="en-US"/>
        </w:rPr>
      </w:pPr>
    </w:p>
    <w:p w:rsidR="006C493D" w:rsidRPr="007B7547" w:rsidRDefault="006A6BAF" w:rsidP="00D25AEA">
      <w:pPr>
        <w:autoSpaceDE w:val="0"/>
        <w:autoSpaceDN w:val="0"/>
        <w:adjustRightInd w:val="0"/>
        <w:spacing w:line="276" w:lineRule="auto"/>
        <w:rPr>
          <w:rFonts w:ascii="Arial" w:hAnsi="Arial" w:cs="Arial"/>
          <w:sz w:val="22"/>
          <w:szCs w:val="22"/>
        </w:rPr>
      </w:pPr>
      <w:r w:rsidRPr="007B7547">
        <w:rPr>
          <w:rFonts w:ascii="Arial" w:hAnsi="Arial" w:cs="Arial"/>
          <w:b/>
          <w:bCs/>
          <w:sz w:val="22"/>
          <w:szCs w:val="22"/>
          <w:lang w:val="en-US"/>
        </w:rPr>
        <w:t xml:space="preserve">Pharmacodynamics </w:t>
      </w:r>
      <w:bookmarkStart w:id="10" w:name="gafd7d268-423c-4656-980b-c3d2b87325dc"/>
      <w:bookmarkEnd w:id="10"/>
    </w:p>
    <w:p w:rsidR="006A6BAF" w:rsidRPr="00805265" w:rsidRDefault="00805265" w:rsidP="00D25AEA">
      <w:pPr>
        <w:pStyle w:val="GTCBodyText"/>
        <w:spacing w:before="0" w:after="0" w:line="276" w:lineRule="auto"/>
        <w:jc w:val="left"/>
        <w:rPr>
          <w:rFonts w:ascii="Arial" w:hAnsi="Arial" w:cs="Arial"/>
          <w:sz w:val="22"/>
          <w:szCs w:val="22"/>
        </w:rPr>
      </w:pPr>
      <w:r w:rsidRPr="00805265">
        <w:rPr>
          <w:rFonts w:ascii="Arial" w:hAnsi="Arial" w:cs="Arial"/>
          <w:color w:val="000000"/>
          <w:sz w:val="22"/>
          <w:szCs w:val="22"/>
        </w:rPr>
        <w:t>B</w:t>
      </w:r>
      <w:r w:rsidR="006A6BAF" w:rsidRPr="00805265">
        <w:rPr>
          <w:rFonts w:ascii="Arial" w:hAnsi="Arial" w:cs="Arial"/>
          <w:sz w:val="22"/>
          <w:szCs w:val="22"/>
        </w:rPr>
        <w:t xml:space="preserve">iological response markers of Nrf2 activation (e.g. NAD(P)H dehydrogenase, quinone 1 [NQO1]) are detected at elevated levels in blood from patients with multiple sclerosis following 12 or 48 weeks of oral dosing with </w:t>
      </w:r>
      <w:r w:rsidR="00EB6B4E" w:rsidRPr="00805265">
        <w:rPr>
          <w:rFonts w:ascii="Arial" w:hAnsi="Arial" w:cs="Arial"/>
          <w:sz w:val="22"/>
          <w:szCs w:val="22"/>
        </w:rPr>
        <w:t>DMF</w:t>
      </w:r>
      <w:r w:rsidR="006A6BAF" w:rsidRPr="00805265">
        <w:rPr>
          <w:rFonts w:ascii="Arial" w:hAnsi="Arial" w:cs="Arial"/>
          <w:sz w:val="22"/>
          <w:szCs w:val="22"/>
        </w:rPr>
        <w:t xml:space="preserve">. These clinical data appear to be consistent with </w:t>
      </w:r>
      <w:r w:rsidR="007C3A3B" w:rsidRPr="00805265">
        <w:rPr>
          <w:rFonts w:ascii="Arial" w:hAnsi="Arial" w:cs="Arial"/>
          <w:sz w:val="22"/>
          <w:szCs w:val="22"/>
        </w:rPr>
        <w:t xml:space="preserve">nonclinical </w:t>
      </w:r>
      <w:r w:rsidR="006A6BAF" w:rsidRPr="00805265">
        <w:rPr>
          <w:rFonts w:ascii="Arial" w:hAnsi="Arial" w:cs="Arial"/>
          <w:sz w:val="22"/>
          <w:szCs w:val="22"/>
        </w:rPr>
        <w:t xml:space="preserve">studies demonstrating </w:t>
      </w:r>
      <w:r w:rsidR="00EB6B4E" w:rsidRPr="00805265">
        <w:rPr>
          <w:rFonts w:ascii="Arial" w:hAnsi="Arial" w:cs="Arial"/>
          <w:sz w:val="22"/>
          <w:szCs w:val="22"/>
        </w:rPr>
        <w:t>DMF</w:t>
      </w:r>
      <w:r w:rsidR="006A6BAF" w:rsidRPr="00805265">
        <w:rPr>
          <w:rFonts w:ascii="Arial" w:hAnsi="Arial" w:cs="Arial"/>
          <w:sz w:val="22"/>
          <w:szCs w:val="22"/>
        </w:rPr>
        <w:t>-dependent up-regulation of Nrf2 antioxidant response genes in multiple tissue types</w:t>
      </w:r>
      <w:r w:rsidR="007C3A3B" w:rsidRPr="00805265">
        <w:rPr>
          <w:rFonts w:ascii="Arial" w:hAnsi="Arial" w:cs="Arial"/>
          <w:sz w:val="22"/>
          <w:szCs w:val="22"/>
        </w:rPr>
        <w:t xml:space="preserve">, although the magnitude of up-regulation observed in tissues of the central nervous system was small.  </w:t>
      </w:r>
      <w:r w:rsidR="006A6BAF" w:rsidRPr="00805265">
        <w:rPr>
          <w:rFonts w:ascii="Arial" w:hAnsi="Arial" w:cs="Arial"/>
          <w:sz w:val="22"/>
          <w:szCs w:val="22"/>
        </w:rPr>
        <w:t xml:space="preserve">The relationships between blood NQO1 levels and the mechanism(s) by which </w:t>
      </w:r>
      <w:r w:rsidR="00EB6B4E" w:rsidRPr="00805265">
        <w:rPr>
          <w:rFonts w:ascii="Arial" w:hAnsi="Arial" w:cs="Arial"/>
          <w:sz w:val="22"/>
          <w:szCs w:val="22"/>
        </w:rPr>
        <w:t>DMF</w:t>
      </w:r>
      <w:r w:rsidR="001761A4" w:rsidRPr="00805265">
        <w:rPr>
          <w:rFonts w:ascii="Arial" w:hAnsi="Arial" w:cs="Arial"/>
          <w:sz w:val="22"/>
          <w:szCs w:val="22"/>
        </w:rPr>
        <w:t xml:space="preserve"> </w:t>
      </w:r>
      <w:r w:rsidR="006A6BAF" w:rsidRPr="00805265">
        <w:rPr>
          <w:rFonts w:ascii="Arial" w:hAnsi="Arial" w:cs="Arial"/>
          <w:sz w:val="22"/>
          <w:szCs w:val="22"/>
        </w:rPr>
        <w:t>exerts its effects in multiple sclerosis are unknown.</w:t>
      </w:r>
    </w:p>
    <w:p w:rsidR="00805265" w:rsidRPr="00805265" w:rsidRDefault="00805265" w:rsidP="00D25AEA">
      <w:pPr>
        <w:pStyle w:val="GTCBodyText"/>
        <w:spacing w:before="0" w:after="0" w:line="276" w:lineRule="auto"/>
        <w:jc w:val="left"/>
        <w:rPr>
          <w:rFonts w:ascii="Arial" w:hAnsi="Arial" w:cs="Arial"/>
          <w:sz w:val="22"/>
          <w:szCs w:val="22"/>
        </w:rPr>
      </w:pPr>
      <w:bookmarkStart w:id="11" w:name="g292fc4e6-d658-4326-8953-e19ea8c32836"/>
      <w:bookmarkStart w:id="12" w:name="gf2a5670c-24a3-4527-a8b4-2228315a0d13"/>
      <w:bookmarkEnd w:id="11"/>
      <w:bookmarkEnd w:id="12"/>
    </w:p>
    <w:p w:rsidR="006A6BAF" w:rsidRPr="00805265" w:rsidRDefault="006A6BAF" w:rsidP="00D25AEA">
      <w:pPr>
        <w:pStyle w:val="GTCBodyText"/>
        <w:spacing w:before="0" w:after="0" w:line="276" w:lineRule="auto"/>
        <w:jc w:val="left"/>
        <w:rPr>
          <w:rFonts w:ascii="Arial" w:hAnsi="Arial" w:cs="Arial"/>
          <w:sz w:val="22"/>
          <w:szCs w:val="22"/>
        </w:rPr>
      </w:pPr>
      <w:r w:rsidRPr="00805265">
        <w:rPr>
          <w:rFonts w:ascii="Arial" w:hAnsi="Arial" w:cs="Arial"/>
          <w:sz w:val="22"/>
          <w:szCs w:val="22"/>
        </w:rPr>
        <w:t xml:space="preserve">In </w:t>
      </w:r>
      <w:r w:rsidR="007C3A3B" w:rsidRPr="00805265">
        <w:rPr>
          <w:rFonts w:ascii="Arial" w:hAnsi="Arial" w:cs="Arial"/>
          <w:sz w:val="22"/>
          <w:szCs w:val="22"/>
        </w:rPr>
        <w:t xml:space="preserve">nonclinical </w:t>
      </w:r>
      <w:r w:rsidRPr="00805265">
        <w:rPr>
          <w:rFonts w:ascii="Arial" w:hAnsi="Arial" w:cs="Arial"/>
          <w:sz w:val="22"/>
          <w:szCs w:val="22"/>
        </w:rPr>
        <w:t xml:space="preserve">and clinical studies, </w:t>
      </w:r>
      <w:r w:rsidR="00EB6B4E" w:rsidRPr="00805265">
        <w:rPr>
          <w:rFonts w:ascii="Arial" w:hAnsi="Arial" w:cs="Arial"/>
          <w:sz w:val="22"/>
          <w:szCs w:val="22"/>
        </w:rPr>
        <w:t>DMF</w:t>
      </w:r>
      <w:r w:rsidR="001761A4" w:rsidRPr="00805265">
        <w:rPr>
          <w:rFonts w:ascii="Arial" w:hAnsi="Arial" w:cs="Arial"/>
          <w:sz w:val="22"/>
          <w:szCs w:val="22"/>
        </w:rPr>
        <w:t xml:space="preserve"> </w:t>
      </w:r>
      <w:r w:rsidRPr="00805265">
        <w:rPr>
          <w:rFonts w:ascii="Arial" w:hAnsi="Arial" w:cs="Arial"/>
          <w:sz w:val="22"/>
          <w:szCs w:val="22"/>
        </w:rPr>
        <w:t xml:space="preserve">demonstrates anti-inflammatory and immunomodulatory properties. DMF and </w:t>
      </w:r>
      <w:r w:rsidR="00C574E0" w:rsidRPr="00805265">
        <w:rPr>
          <w:rFonts w:ascii="Arial" w:hAnsi="Arial" w:cs="Arial"/>
          <w:sz w:val="22"/>
          <w:szCs w:val="22"/>
        </w:rPr>
        <w:t>monomethyl fumarate (</w:t>
      </w:r>
      <w:r w:rsidRPr="00805265">
        <w:rPr>
          <w:rFonts w:ascii="Arial" w:hAnsi="Arial" w:cs="Arial"/>
          <w:sz w:val="22"/>
          <w:szCs w:val="22"/>
        </w:rPr>
        <w:t>MMF</w:t>
      </w:r>
      <w:r w:rsidR="00C574E0" w:rsidRPr="00805265">
        <w:rPr>
          <w:rFonts w:ascii="Arial" w:hAnsi="Arial" w:cs="Arial"/>
          <w:sz w:val="22"/>
          <w:szCs w:val="22"/>
        </w:rPr>
        <w:t>)</w:t>
      </w:r>
      <w:r w:rsidRPr="00805265">
        <w:rPr>
          <w:rFonts w:ascii="Arial" w:hAnsi="Arial" w:cs="Arial"/>
          <w:sz w:val="22"/>
          <w:szCs w:val="22"/>
        </w:rPr>
        <w:t xml:space="preserve">, the primary metabolite of DMF, significantly reduce immune cell activation and subsequent release of pro-inflammatory cytokines in </w:t>
      </w:r>
      <w:r w:rsidR="00F47592" w:rsidRPr="00805265">
        <w:rPr>
          <w:rFonts w:ascii="Arial" w:hAnsi="Arial" w:cs="Arial"/>
          <w:sz w:val="22"/>
          <w:szCs w:val="22"/>
        </w:rPr>
        <w:t>r</w:t>
      </w:r>
      <w:r w:rsidRPr="00805265">
        <w:rPr>
          <w:rFonts w:ascii="Arial" w:hAnsi="Arial" w:cs="Arial"/>
          <w:sz w:val="22"/>
          <w:szCs w:val="22"/>
        </w:rPr>
        <w:t>esponse to inflammatory stimuli, and moreover affects lymphocyte phenotypes through a down-regulation of pro-inflammatory cytokine profiles (T</w:t>
      </w:r>
      <w:r w:rsidRPr="00805265">
        <w:rPr>
          <w:rFonts w:ascii="Arial" w:hAnsi="Arial" w:cs="Arial"/>
          <w:sz w:val="22"/>
          <w:szCs w:val="22"/>
          <w:vertAlign w:val="subscript"/>
        </w:rPr>
        <w:t>H</w:t>
      </w:r>
      <w:r w:rsidRPr="00805265">
        <w:rPr>
          <w:rFonts w:ascii="Arial" w:hAnsi="Arial" w:cs="Arial"/>
          <w:sz w:val="22"/>
          <w:szCs w:val="22"/>
        </w:rPr>
        <w:t>1, T</w:t>
      </w:r>
      <w:r w:rsidRPr="00805265">
        <w:rPr>
          <w:rFonts w:ascii="Arial" w:hAnsi="Arial" w:cs="Arial"/>
          <w:sz w:val="22"/>
          <w:szCs w:val="22"/>
          <w:vertAlign w:val="subscript"/>
        </w:rPr>
        <w:t>H</w:t>
      </w:r>
      <w:r w:rsidRPr="00805265">
        <w:rPr>
          <w:rFonts w:ascii="Arial" w:hAnsi="Arial" w:cs="Arial"/>
          <w:sz w:val="22"/>
          <w:szCs w:val="22"/>
        </w:rPr>
        <w:t>17), and biases towards anti-inflammatory production (T</w:t>
      </w:r>
      <w:r w:rsidRPr="00805265">
        <w:rPr>
          <w:rFonts w:ascii="Arial" w:hAnsi="Arial" w:cs="Arial"/>
          <w:sz w:val="22"/>
          <w:szCs w:val="22"/>
          <w:vertAlign w:val="subscript"/>
        </w:rPr>
        <w:t>H</w:t>
      </w:r>
      <w:r w:rsidRPr="00805265">
        <w:rPr>
          <w:rFonts w:ascii="Arial" w:hAnsi="Arial" w:cs="Arial"/>
          <w:sz w:val="22"/>
          <w:szCs w:val="22"/>
        </w:rPr>
        <w:t>2).</w:t>
      </w:r>
      <w:r w:rsidRPr="00805265">
        <w:rPr>
          <w:rFonts w:ascii="Arial" w:hAnsi="Arial" w:cs="Arial"/>
          <w:b/>
          <w:sz w:val="22"/>
          <w:szCs w:val="22"/>
        </w:rPr>
        <w:t xml:space="preserve"> </w:t>
      </w:r>
      <w:r w:rsidRPr="00805265">
        <w:rPr>
          <w:rFonts w:ascii="Arial" w:hAnsi="Arial" w:cs="Arial"/>
          <w:sz w:val="22"/>
          <w:szCs w:val="22"/>
        </w:rPr>
        <w:t xml:space="preserve">DMF demonstrates therapeutic activity in models of inflammatory and neuroinflammatory injury, and also appears to promote improvement in blood brain barrier integrity. All of these anti-inflammatory effects appear consistent with the significant clinical activity of </w:t>
      </w:r>
      <w:r w:rsidR="00EB6B4E" w:rsidRPr="00805265">
        <w:rPr>
          <w:rFonts w:ascii="Arial" w:hAnsi="Arial" w:cs="Arial"/>
          <w:sz w:val="22"/>
          <w:szCs w:val="22"/>
        </w:rPr>
        <w:t>DMF</w:t>
      </w:r>
      <w:r w:rsidR="001761A4" w:rsidRPr="00805265">
        <w:rPr>
          <w:rFonts w:ascii="Arial" w:hAnsi="Arial" w:cs="Arial"/>
          <w:sz w:val="22"/>
          <w:szCs w:val="22"/>
        </w:rPr>
        <w:t xml:space="preserve"> </w:t>
      </w:r>
      <w:r w:rsidRPr="00805265">
        <w:rPr>
          <w:rFonts w:ascii="Arial" w:hAnsi="Arial" w:cs="Arial"/>
          <w:sz w:val="22"/>
          <w:szCs w:val="22"/>
        </w:rPr>
        <w:t xml:space="preserve">in reducing brain lesions and relapses in multiple sclerosis patients. </w:t>
      </w:r>
    </w:p>
    <w:p w:rsidR="00805265" w:rsidRPr="00805265" w:rsidRDefault="00805265" w:rsidP="00D25AEA">
      <w:pPr>
        <w:pStyle w:val="GTCBodyText"/>
        <w:spacing w:before="0" w:after="0" w:line="276" w:lineRule="auto"/>
        <w:jc w:val="left"/>
        <w:rPr>
          <w:rFonts w:ascii="Arial" w:hAnsi="Arial" w:cs="Arial"/>
          <w:sz w:val="22"/>
          <w:szCs w:val="22"/>
        </w:rPr>
      </w:pPr>
      <w:bookmarkStart w:id="13" w:name="gc5166ec4-97f0-49c1-8b1e-453958f67431"/>
      <w:bookmarkStart w:id="14" w:name="g20864cda-d3a0-4d8e-9821-17aa198091cf"/>
      <w:bookmarkEnd w:id="13"/>
      <w:bookmarkEnd w:id="14"/>
    </w:p>
    <w:p w:rsidR="006A6BAF" w:rsidRPr="00805265" w:rsidRDefault="006A6BAF" w:rsidP="00D25AEA">
      <w:pPr>
        <w:pStyle w:val="GTCBodyText"/>
        <w:spacing w:before="0" w:after="0" w:line="276" w:lineRule="auto"/>
        <w:jc w:val="left"/>
        <w:rPr>
          <w:rFonts w:ascii="Arial" w:hAnsi="Arial" w:cs="Arial"/>
          <w:sz w:val="22"/>
          <w:szCs w:val="22"/>
        </w:rPr>
      </w:pPr>
      <w:r w:rsidRPr="00805265">
        <w:rPr>
          <w:rFonts w:ascii="Arial" w:hAnsi="Arial" w:cs="Arial"/>
          <w:sz w:val="22"/>
          <w:szCs w:val="22"/>
        </w:rPr>
        <w:t xml:space="preserve">In </w:t>
      </w:r>
      <w:r w:rsidR="00335324" w:rsidRPr="00805265">
        <w:rPr>
          <w:rFonts w:ascii="Arial" w:hAnsi="Arial" w:cs="Arial"/>
          <w:sz w:val="22"/>
          <w:szCs w:val="22"/>
        </w:rPr>
        <w:t xml:space="preserve">nonclinical </w:t>
      </w:r>
      <w:r w:rsidRPr="00805265">
        <w:rPr>
          <w:rFonts w:ascii="Arial" w:hAnsi="Arial" w:cs="Arial"/>
          <w:sz w:val="22"/>
          <w:szCs w:val="22"/>
        </w:rPr>
        <w:t xml:space="preserve">studies MMF </w:t>
      </w:r>
      <w:r w:rsidR="00335324" w:rsidRPr="00805265">
        <w:rPr>
          <w:rFonts w:ascii="Arial" w:hAnsi="Arial" w:cs="Arial"/>
          <w:sz w:val="22"/>
          <w:szCs w:val="22"/>
        </w:rPr>
        <w:t>was shown</w:t>
      </w:r>
      <w:r w:rsidRPr="00805265">
        <w:rPr>
          <w:rFonts w:ascii="Arial" w:hAnsi="Arial" w:cs="Arial"/>
          <w:sz w:val="22"/>
          <w:szCs w:val="22"/>
        </w:rPr>
        <w:t xml:space="preserve"> to penetrate into the central nervous system where it promotes cyto- and neuro-protective responses. DMF and</w:t>
      </w:r>
      <w:r w:rsidR="00335324" w:rsidRPr="00805265">
        <w:rPr>
          <w:rFonts w:ascii="Arial" w:hAnsi="Arial" w:cs="Arial"/>
          <w:sz w:val="22"/>
          <w:szCs w:val="22"/>
        </w:rPr>
        <w:t>/or</w:t>
      </w:r>
      <w:r w:rsidRPr="00805265">
        <w:rPr>
          <w:rFonts w:ascii="Arial" w:hAnsi="Arial" w:cs="Arial"/>
          <w:sz w:val="22"/>
          <w:szCs w:val="22"/>
        </w:rPr>
        <w:t xml:space="preserve"> MMF significantly improve cell viability after oxidative challenge in primary cultures of astrocytes and neurons, suggesting</w:t>
      </w:r>
      <w:r w:rsidR="00335324" w:rsidRPr="00805265">
        <w:rPr>
          <w:rFonts w:ascii="Arial" w:hAnsi="Arial" w:cs="Arial"/>
          <w:sz w:val="22"/>
          <w:szCs w:val="22"/>
        </w:rPr>
        <w:t xml:space="preserve"> that</w:t>
      </w:r>
      <w:r w:rsidRPr="00805265">
        <w:rPr>
          <w:rFonts w:ascii="Arial" w:hAnsi="Arial" w:cs="Arial"/>
          <w:sz w:val="22"/>
          <w:szCs w:val="22"/>
        </w:rPr>
        <w:t xml:space="preserve"> </w:t>
      </w:r>
      <w:r w:rsidR="00335324" w:rsidRPr="00805265">
        <w:rPr>
          <w:rFonts w:ascii="Arial" w:hAnsi="Arial" w:cs="Arial"/>
          <w:sz w:val="22"/>
          <w:szCs w:val="22"/>
        </w:rPr>
        <w:t xml:space="preserve">DMF </w:t>
      </w:r>
      <w:r w:rsidRPr="00805265">
        <w:rPr>
          <w:rFonts w:ascii="Arial" w:hAnsi="Arial" w:cs="Arial"/>
          <w:sz w:val="22"/>
          <w:szCs w:val="22"/>
        </w:rPr>
        <w:t xml:space="preserve">and </w:t>
      </w:r>
      <w:r w:rsidR="00335324" w:rsidRPr="00805265">
        <w:rPr>
          <w:rFonts w:ascii="Arial" w:hAnsi="Arial" w:cs="Arial"/>
          <w:sz w:val="22"/>
          <w:szCs w:val="22"/>
        </w:rPr>
        <w:t xml:space="preserve">MMF </w:t>
      </w:r>
      <w:r w:rsidRPr="00805265">
        <w:rPr>
          <w:rFonts w:ascii="Arial" w:hAnsi="Arial" w:cs="Arial"/>
          <w:sz w:val="22"/>
          <w:szCs w:val="22"/>
        </w:rPr>
        <w:t xml:space="preserve">prevent neurodegeneration in response to toxic stress. </w:t>
      </w:r>
      <w:r w:rsidR="00335324" w:rsidRPr="00805265">
        <w:rPr>
          <w:rFonts w:ascii="Arial" w:hAnsi="Arial" w:cs="Arial"/>
          <w:sz w:val="22"/>
          <w:szCs w:val="22"/>
        </w:rPr>
        <w:t>DMF showed therapeutic benefit in a</w:t>
      </w:r>
      <w:r w:rsidRPr="00805265">
        <w:rPr>
          <w:rFonts w:ascii="Arial" w:hAnsi="Arial" w:cs="Arial"/>
          <w:sz w:val="22"/>
          <w:szCs w:val="22"/>
        </w:rPr>
        <w:t xml:space="preserve">cute neurotoxic injury models and models of neurodegenerative disease. These </w:t>
      </w:r>
      <w:r w:rsidR="00335324" w:rsidRPr="00805265">
        <w:rPr>
          <w:rFonts w:ascii="Arial" w:hAnsi="Arial" w:cs="Arial"/>
          <w:sz w:val="22"/>
          <w:szCs w:val="22"/>
        </w:rPr>
        <w:t xml:space="preserve">nonclinical </w:t>
      </w:r>
      <w:r w:rsidRPr="00805265">
        <w:rPr>
          <w:rFonts w:ascii="Arial" w:hAnsi="Arial" w:cs="Arial"/>
          <w:sz w:val="22"/>
          <w:szCs w:val="22"/>
        </w:rPr>
        <w:t xml:space="preserve">data combined with imaging and functional endpoints from clinical studies suggest </w:t>
      </w:r>
      <w:r w:rsidR="00EB6B4E" w:rsidRPr="00805265">
        <w:rPr>
          <w:rFonts w:ascii="Arial" w:hAnsi="Arial" w:cs="Arial"/>
          <w:sz w:val="22"/>
          <w:szCs w:val="22"/>
        </w:rPr>
        <w:t>DMF</w:t>
      </w:r>
      <w:r w:rsidR="001761A4" w:rsidRPr="00805265">
        <w:rPr>
          <w:rFonts w:ascii="Arial" w:hAnsi="Arial" w:cs="Arial"/>
          <w:sz w:val="22"/>
          <w:szCs w:val="22"/>
        </w:rPr>
        <w:t xml:space="preserve"> </w:t>
      </w:r>
      <w:r w:rsidRPr="00805265">
        <w:rPr>
          <w:rFonts w:ascii="Arial" w:hAnsi="Arial" w:cs="Arial"/>
          <w:sz w:val="22"/>
          <w:szCs w:val="22"/>
        </w:rPr>
        <w:t>may promote a neuroprotective benefit in the central nervous system.</w:t>
      </w:r>
    </w:p>
    <w:p w:rsidR="002D012F" w:rsidRPr="00E94ACD" w:rsidRDefault="002D012F" w:rsidP="00D25AEA">
      <w:pPr>
        <w:pStyle w:val="GTCBodyText"/>
        <w:spacing w:before="0" w:after="0" w:line="276" w:lineRule="auto"/>
        <w:jc w:val="left"/>
        <w:rPr>
          <w:rFonts w:ascii="Arial" w:hAnsi="Arial" w:cs="Arial"/>
          <w:i/>
          <w:iCs/>
          <w:sz w:val="22"/>
          <w:szCs w:val="22"/>
        </w:rPr>
      </w:pPr>
      <w:bookmarkStart w:id="15" w:name="g666ef321-545d-4ef1-993b-7d214eea51e2"/>
      <w:bookmarkStart w:id="16" w:name="g280fe6da-6eac-48ff-a718-e86608878667"/>
      <w:bookmarkEnd w:id="15"/>
      <w:bookmarkEnd w:id="16"/>
    </w:p>
    <w:p w:rsidR="007A3DC9" w:rsidRDefault="007A3DC9" w:rsidP="00D25AEA">
      <w:pPr>
        <w:pStyle w:val="GTCBodyText"/>
        <w:spacing w:before="0" w:after="0" w:line="276" w:lineRule="auto"/>
        <w:jc w:val="left"/>
        <w:rPr>
          <w:rFonts w:ascii="Arial" w:hAnsi="Arial" w:cs="Arial"/>
          <w:i/>
          <w:iCs/>
          <w:sz w:val="22"/>
          <w:szCs w:val="22"/>
        </w:rPr>
      </w:pPr>
    </w:p>
    <w:p w:rsidR="007A3DC9" w:rsidRDefault="007A3DC9" w:rsidP="00D25AEA">
      <w:pPr>
        <w:pStyle w:val="GTCBodyText"/>
        <w:spacing w:before="0" w:after="0" w:line="276" w:lineRule="auto"/>
        <w:jc w:val="left"/>
        <w:rPr>
          <w:rFonts w:ascii="Arial" w:hAnsi="Arial" w:cs="Arial"/>
          <w:i/>
          <w:iCs/>
          <w:sz w:val="22"/>
          <w:szCs w:val="22"/>
        </w:rPr>
      </w:pPr>
    </w:p>
    <w:p w:rsidR="00A340A1" w:rsidRPr="00E94ACD" w:rsidRDefault="006C493D" w:rsidP="00D25AEA">
      <w:pPr>
        <w:pStyle w:val="GTCBodyText"/>
        <w:spacing w:before="0" w:after="0" w:line="276" w:lineRule="auto"/>
        <w:jc w:val="left"/>
        <w:rPr>
          <w:rFonts w:ascii="Arial" w:hAnsi="Arial" w:cs="Arial"/>
          <w:sz w:val="22"/>
          <w:szCs w:val="22"/>
        </w:rPr>
      </w:pPr>
      <w:r w:rsidRPr="00E94ACD">
        <w:rPr>
          <w:rFonts w:ascii="Arial" w:hAnsi="Arial" w:cs="Arial"/>
          <w:i/>
          <w:iCs/>
          <w:sz w:val="22"/>
          <w:szCs w:val="22"/>
        </w:rPr>
        <w:t>Potential to prolong the QTc interval</w:t>
      </w:r>
    </w:p>
    <w:p w:rsidR="006A6BAF" w:rsidRPr="00E94ACD" w:rsidRDefault="006A6BAF" w:rsidP="00D25AEA">
      <w:pPr>
        <w:pStyle w:val="GTCBodyText"/>
        <w:spacing w:before="0" w:after="0" w:line="276" w:lineRule="auto"/>
        <w:jc w:val="left"/>
        <w:rPr>
          <w:rFonts w:ascii="Arial" w:hAnsi="Arial" w:cs="Arial"/>
          <w:sz w:val="22"/>
          <w:szCs w:val="22"/>
        </w:rPr>
      </w:pPr>
      <w:r w:rsidRPr="00E94ACD">
        <w:rPr>
          <w:rFonts w:ascii="Arial" w:hAnsi="Arial" w:cs="Arial"/>
          <w:sz w:val="22"/>
          <w:szCs w:val="22"/>
        </w:rPr>
        <w:t xml:space="preserve">Single doses of 240 mg or 360 mg </w:t>
      </w:r>
      <w:r w:rsidR="00EB6B4E" w:rsidRPr="00E94ACD">
        <w:rPr>
          <w:rFonts w:ascii="Arial" w:hAnsi="Arial" w:cs="Arial"/>
          <w:sz w:val="22"/>
          <w:szCs w:val="22"/>
        </w:rPr>
        <w:t>DMF</w:t>
      </w:r>
      <w:r w:rsidR="001761A4" w:rsidRPr="00E94ACD">
        <w:rPr>
          <w:rFonts w:ascii="Arial" w:hAnsi="Arial" w:cs="Arial"/>
          <w:sz w:val="22"/>
          <w:szCs w:val="22"/>
        </w:rPr>
        <w:t xml:space="preserve"> </w:t>
      </w:r>
      <w:r w:rsidRPr="00E94ACD">
        <w:rPr>
          <w:rFonts w:ascii="Arial" w:hAnsi="Arial" w:cs="Arial"/>
          <w:sz w:val="22"/>
          <w:szCs w:val="22"/>
        </w:rPr>
        <w:t xml:space="preserve">did not have any effect on the QTc interval when compared to placebo in a thorough QTc study. </w:t>
      </w:r>
    </w:p>
    <w:p w:rsidR="00805265" w:rsidRPr="00E94ACD" w:rsidRDefault="00805265" w:rsidP="00D25AEA">
      <w:pPr>
        <w:autoSpaceDE w:val="0"/>
        <w:autoSpaceDN w:val="0"/>
        <w:adjustRightInd w:val="0"/>
        <w:spacing w:line="276" w:lineRule="auto"/>
        <w:rPr>
          <w:rFonts w:ascii="Arial" w:hAnsi="Arial" w:cs="Arial"/>
          <w:b/>
          <w:bCs/>
          <w:sz w:val="22"/>
          <w:szCs w:val="22"/>
          <w:highlight w:val="yellow"/>
          <w:lang w:val="en-US"/>
        </w:rPr>
      </w:pPr>
    </w:p>
    <w:p w:rsidR="008B02FB" w:rsidRPr="00E94ACD" w:rsidRDefault="008B02FB" w:rsidP="00D25AEA">
      <w:pPr>
        <w:autoSpaceDE w:val="0"/>
        <w:autoSpaceDN w:val="0"/>
        <w:adjustRightInd w:val="0"/>
        <w:spacing w:line="276" w:lineRule="auto"/>
        <w:rPr>
          <w:rFonts w:ascii="Arial" w:hAnsi="Arial" w:cs="Arial"/>
          <w:b/>
          <w:bCs/>
          <w:sz w:val="22"/>
          <w:szCs w:val="22"/>
          <w:lang w:val="en-US"/>
        </w:rPr>
      </w:pPr>
      <w:r w:rsidRPr="00E94ACD">
        <w:rPr>
          <w:rFonts w:ascii="Arial" w:hAnsi="Arial" w:cs="Arial"/>
          <w:b/>
          <w:bCs/>
          <w:sz w:val="22"/>
          <w:szCs w:val="22"/>
          <w:lang w:val="en-US"/>
        </w:rPr>
        <w:t>Pharmacokinetic</w:t>
      </w:r>
      <w:r w:rsidR="00E92B06" w:rsidRPr="00E94ACD">
        <w:rPr>
          <w:rFonts w:ascii="Arial" w:hAnsi="Arial" w:cs="Arial"/>
          <w:b/>
          <w:bCs/>
          <w:sz w:val="22"/>
          <w:szCs w:val="22"/>
          <w:lang w:val="en-US"/>
        </w:rPr>
        <w:t>s</w:t>
      </w:r>
    </w:p>
    <w:p w:rsidR="00370AA3" w:rsidRPr="00E94ACD" w:rsidRDefault="00370AA3" w:rsidP="00D25AEA">
      <w:pPr>
        <w:pStyle w:val="Default"/>
        <w:spacing w:line="276" w:lineRule="auto"/>
        <w:rPr>
          <w:rFonts w:ascii="Arial" w:hAnsi="Arial" w:cs="Arial"/>
          <w:sz w:val="22"/>
          <w:szCs w:val="22"/>
        </w:rPr>
      </w:pPr>
      <w:bookmarkStart w:id="17" w:name="Emphasis_31_Italic"/>
      <w:r w:rsidRPr="00E94ACD">
        <w:rPr>
          <w:rFonts w:ascii="Arial" w:hAnsi="Arial" w:cs="Arial"/>
          <w:sz w:val="22"/>
          <w:szCs w:val="22"/>
        </w:rPr>
        <w:t xml:space="preserve">Orally administered TECFIDERA undergoes rapid presystemic hydrolysis by esterases and is converted to its primary metabolite, MMF, which is also active. DMF is not quantifiable in plasma following oral administration of TECFIDERA. Therefore all pharmacokinetic analyses related to TECFIDERA were performed with plasma MMF concentrations. Pharmacokinetic data were obtained in subjects with multiple sclerosis and healthy volunteers.  </w:t>
      </w:r>
    </w:p>
    <w:p w:rsidR="00370AA3" w:rsidRPr="00E94ACD" w:rsidRDefault="00370AA3" w:rsidP="00D25AEA">
      <w:pPr>
        <w:pStyle w:val="Default"/>
        <w:spacing w:line="276" w:lineRule="auto"/>
        <w:rPr>
          <w:rFonts w:ascii="Arial" w:hAnsi="Arial" w:cs="Arial"/>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i/>
          <w:iCs/>
          <w:sz w:val="22"/>
          <w:szCs w:val="22"/>
        </w:rPr>
        <w:t xml:space="preserve">Absorption </w:t>
      </w: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 xml:space="preserve">The Tmax of TECFIDERA is 2-2.5 hours. As TECFIDERA microtablets are protected by an enteric coating, absorption does not commence until the microtablets leave the stomach (generally less than 1 hour). Following 240 mg administered twice a day with food , the median peak (Cmax) was 1.72 mg/L and overall (AUC) exposure was 8.02 h.mg/L in subjects with MS. Cmax and AUC increased approximately dose proportionally in the dose range studied (120 mg to 360 mg). </w:t>
      </w:r>
    </w:p>
    <w:p w:rsidR="00370AA3" w:rsidRPr="00E94ACD" w:rsidRDefault="00370AA3" w:rsidP="00D25AEA">
      <w:pPr>
        <w:pStyle w:val="Default"/>
        <w:spacing w:line="276" w:lineRule="auto"/>
        <w:rPr>
          <w:rFonts w:ascii="Arial" w:hAnsi="Arial" w:cs="Arial"/>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 xml:space="preserve">Food does not have a clinically significant effect on exposure of TECFIDERA. Therefore, TECFIDERA may be taken with or without food. </w:t>
      </w:r>
    </w:p>
    <w:p w:rsidR="00370AA3" w:rsidRPr="00E94ACD" w:rsidRDefault="00370AA3" w:rsidP="00D25AEA">
      <w:pPr>
        <w:pStyle w:val="Default"/>
        <w:spacing w:line="276" w:lineRule="auto"/>
        <w:rPr>
          <w:rFonts w:ascii="Arial" w:hAnsi="Arial" w:cs="Arial"/>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i/>
          <w:iCs/>
          <w:sz w:val="22"/>
          <w:szCs w:val="22"/>
        </w:rPr>
        <w:t xml:space="preserve">Distribution </w:t>
      </w: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lastRenderedPageBreak/>
        <w:t xml:space="preserve">The apparent volume of distribution following oral administration of 240 mg TECFIDERA varies between 60 and 90 L.  Human plasma protein binding of MMF generally ranges between 27%-40%. </w:t>
      </w:r>
    </w:p>
    <w:p w:rsidR="00370AA3" w:rsidRPr="00E94ACD" w:rsidRDefault="00370AA3" w:rsidP="00D25AEA">
      <w:pPr>
        <w:pStyle w:val="Default"/>
        <w:spacing w:line="276" w:lineRule="auto"/>
        <w:rPr>
          <w:rFonts w:ascii="Arial" w:hAnsi="Arial" w:cs="Arial"/>
          <w:i/>
          <w:iCs/>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i/>
          <w:iCs/>
          <w:sz w:val="22"/>
          <w:szCs w:val="22"/>
        </w:rPr>
        <w:t xml:space="preserve">Metabolism </w:t>
      </w: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In humans, TECFIDERA is extensively metabolised by esterases, which are ubiquitous in the gastrointestinal tract, blood and tissues, before it reaches the systemic circulation. Further metabolism occurs through the tricarboxylic acid (TCA) cycle, with no involvement of the cytochrome P450 (CYP) system</w:t>
      </w:r>
      <w:r w:rsidRPr="00E94ACD">
        <w:rPr>
          <w:rFonts w:ascii="Arial" w:hAnsi="Arial" w:cs="Arial"/>
          <w:color w:val="FF0000"/>
          <w:sz w:val="22"/>
          <w:szCs w:val="22"/>
        </w:rPr>
        <w:t xml:space="preserve">.  </w:t>
      </w:r>
      <w:r w:rsidRPr="00E94ACD">
        <w:rPr>
          <w:rFonts w:ascii="Arial" w:hAnsi="Arial" w:cs="Arial"/>
          <w:sz w:val="22"/>
          <w:szCs w:val="22"/>
        </w:rPr>
        <w:t xml:space="preserve">A single 240 mg 14C-DMF dose study identified monomethyl fumarate, fumaric and citric acid, and glucose as the major metabolites in plasma.  The downstream metabolism of fumaric and citric acid occurs through the TCA cycle, with exhalation of CO2 serving as a primary route of elimination.  </w:t>
      </w:r>
    </w:p>
    <w:p w:rsidR="00370AA3" w:rsidRPr="00E94ACD" w:rsidRDefault="00370AA3" w:rsidP="00D25AEA">
      <w:pPr>
        <w:pStyle w:val="Default"/>
        <w:spacing w:line="276" w:lineRule="auto"/>
        <w:rPr>
          <w:rFonts w:ascii="Arial" w:hAnsi="Arial" w:cs="Arial"/>
          <w:i/>
          <w:iCs/>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i/>
          <w:iCs/>
          <w:sz w:val="22"/>
          <w:szCs w:val="22"/>
        </w:rPr>
        <w:t xml:space="preserve">Excretion </w:t>
      </w: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 xml:space="preserve">Exhalation of CO2 is the primary route of TECFIDERA elimination accounting for approximately 60% of the dose.  Renal and fecal elimination are secondary routes of elimination, accounting for 15.5% and 0.9% of the dose respectively. </w:t>
      </w:r>
    </w:p>
    <w:p w:rsidR="00370AA3" w:rsidRPr="00E94ACD" w:rsidRDefault="00370AA3" w:rsidP="00D25AEA">
      <w:pPr>
        <w:pStyle w:val="Default"/>
        <w:spacing w:line="276" w:lineRule="auto"/>
        <w:rPr>
          <w:rFonts w:ascii="Arial" w:hAnsi="Arial" w:cs="Arial"/>
          <w:sz w:val="22"/>
          <w:szCs w:val="22"/>
        </w:rPr>
      </w:pPr>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 xml:space="preserve">The terminal half-life of MMF is short (approximately 1 hour) and no circulating MMF is present at 24 hours in the majority of individuals.  Accumulation of parent drug or MMF does not occur with multiple doses of TECFIDERA at the therapeutic regimen. </w:t>
      </w:r>
    </w:p>
    <w:p w:rsidR="00370AA3" w:rsidRPr="00E94ACD" w:rsidRDefault="00370AA3" w:rsidP="00D25AEA">
      <w:pPr>
        <w:pStyle w:val="Default"/>
        <w:spacing w:line="276" w:lineRule="auto"/>
        <w:rPr>
          <w:rFonts w:ascii="Arial" w:hAnsi="Arial" w:cs="Arial"/>
          <w:sz w:val="22"/>
          <w:szCs w:val="22"/>
        </w:rPr>
      </w:pPr>
      <w:bookmarkStart w:id="18" w:name="Xpress_Internal_277"/>
      <w:bookmarkStart w:id="19" w:name="Emphasis_42_Italic"/>
      <w:bookmarkEnd w:id="17"/>
      <w:bookmarkEnd w:id="18"/>
    </w:p>
    <w:p w:rsidR="00370AA3" w:rsidRPr="00E94ACD" w:rsidRDefault="00370AA3" w:rsidP="00D25AEA">
      <w:pPr>
        <w:pStyle w:val="Default"/>
        <w:spacing w:line="276" w:lineRule="auto"/>
        <w:rPr>
          <w:rFonts w:ascii="Arial" w:hAnsi="Arial" w:cs="Arial"/>
          <w:sz w:val="22"/>
          <w:szCs w:val="22"/>
        </w:rPr>
      </w:pPr>
      <w:r w:rsidRPr="00E94ACD">
        <w:rPr>
          <w:rFonts w:ascii="Arial" w:hAnsi="Arial" w:cs="Arial"/>
          <w:sz w:val="22"/>
          <w:szCs w:val="22"/>
        </w:rPr>
        <w:t xml:space="preserve">TECFIDERA exposure increases in an approximately dose proportional manner with single and multiple doses in the 120 to 360 mg dose range studied. </w:t>
      </w:r>
    </w:p>
    <w:p w:rsidR="00370AA3" w:rsidRPr="002D012F"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Based on the results of ANOVA, body weight is the main covariate of exposure (by Cmax and AUC) in relapsing remitting multiple sclerosis (RRMS) subjects, but did not affect safety and efficacy measures evaluated in the clinical studies.  Gender and age did not have a statistically significant impact on Cmax and AUC. </w:t>
      </w:r>
    </w:p>
    <w:p w:rsidR="00370AA3" w:rsidRPr="002D012F" w:rsidRDefault="00370AA3" w:rsidP="00D25AEA">
      <w:pPr>
        <w:pStyle w:val="Default"/>
        <w:spacing w:line="276" w:lineRule="auto"/>
        <w:rPr>
          <w:rFonts w:ascii="Arial" w:hAnsi="Arial" w:cs="Arial"/>
          <w:sz w:val="22"/>
          <w:szCs w:val="22"/>
        </w:rPr>
      </w:pPr>
    </w:p>
    <w:p w:rsidR="00370AA3"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Race and ethnicity have no effect on the pharmacokinetics of TECFIDERA. </w:t>
      </w:r>
    </w:p>
    <w:p w:rsidR="007A3DC9" w:rsidRPr="002D012F" w:rsidRDefault="007A3DC9" w:rsidP="00D25AEA">
      <w:pPr>
        <w:pStyle w:val="Default"/>
        <w:spacing w:line="276" w:lineRule="auto"/>
        <w:rPr>
          <w:rFonts w:ascii="Arial" w:hAnsi="Arial" w:cs="Arial"/>
          <w:sz w:val="22"/>
          <w:szCs w:val="22"/>
        </w:rPr>
      </w:pPr>
    </w:p>
    <w:p w:rsidR="00370AA3" w:rsidRPr="002D012F"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Since the renal pathway is a secondary route of elimination for TECFIDERA, accounting for less than 16% of the dose administered, evaluation of pharmacokinetics in individuals with renal impairment was not conducted. </w:t>
      </w:r>
    </w:p>
    <w:p w:rsidR="00370AA3" w:rsidRPr="002D012F" w:rsidRDefault="00370AA3" w:rsidP="00D25AEA">
      <w:pPr>
        <w:pStyle w:val="Default"/>
        <w:spacing w:line="276" w:lineRule="auto"/>
        <w:rPr>
          <w:rFonts w:ascii="Arial" w:hAnsi="Arial" w:cs="Arial"/>
          <w:sz w:val="22"/>
          <w:szCs w:val="22"/>
        </w:rPr>
      </w:pPr>
    </w:p>
    <w:p w:rsidR="00370AA3"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As DMF and MMF are metabolised by esterases, without the involvement of the CYP450 system, evaluation of pharmacokinetics in individuals with hepatic impairment was not conducted. </w:t>
      </w:r>
    </w:p>
    <w:bookmarkEnd w:id="19"/>
    <w:p w:rsidR="00E33E7B" w:rsidRPr="00281F0D" w:rsidRDefault="000A0F9E" w:rsidP="00BC3AE7">
      <w:pPr>
        <w:pStyle w:val="Heading1"/>
        <w:spacing w:line="276" w:lineRule="auto"/>
        <w:rPr>
          <w:sz w:val="28"/>
          <w:szCs w:val="22"/>
          <w:lang w:val="en-US"/>
        </w:rPr>
      </w:pPr>
      <w:r w:rsidRPr="00281F0D">
        <w:rPr>
          <w:sz w:val="28"/>
          <w:szCs w:val="22"/>
          <w:lang w:val="en-US"/>
        </w:rPr>
        <w:t>CLINICAL TRIALS</w:t>
      </w:r>
    </w:p>
    <w:p w:rsidR="00370AA3" w:rsidRPr="002D012F"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The efficacy and safety of TECFIDERA was demonstrated in two studies that evaluated TECFIDERA taken either twice or three times a day in patients with relapsing-remitting multiple sclerosis (RRMS). </w:t>
      </w:r>
    </w:p>
    <w:p w:rsidR="00370AA3" w:rsidRPr="002D012F" w:rsidRDefault="00370AA3" w:rsidP="00D25AEA">
      <w:pPr>
        <w:pStyle w:val="Default"/>
        <w:spacing w:line="276" w:lineRule="auto"/>
        <w:rPr>
          <w:rFonts w:ascii="Arial" w:hAnsi="Arial" w:cs="Arial"/>
          <w:sz w:val="22"/>
          <w:szCs w:val="22"/>
        </w:rPr>
      </w:pPr>
    </w:p>
    <w:p w:rsidR="00370AA3" w:rsidRPr="002D012F"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The starting dose for TECFIDERA was 120 mg twice or three times a day for the first 7 days, followed by an increase to either 240 mg twice or three times a day. Both studies included </w:t>
      </w:r>
      <w:r w:rsidRPr="002D012F">
        <w:rPr>
          <w:rFonts w:ascii="Arial" w:hAnsi="Arial" w:cs="Arial"/>
          <w:sz w:val="22"/>
          <w:szCs w:val="22"/>
        </w:rPr>
        <w:lastRenderedPageBreak/>
        <w:t xml:space="preserve">patients with Expanded Disability Status Scale (EDSS) scores ranging from 0 to 5, who had experienced at least 1 relapse during the year prior to randomisation, or, within 6 weeks of randomisation had a brain Magnetic Resonance Imaging (MRI) demonstrating at least one gadolinium-enhancing (Gd+) lesion.  </w:t>
      </w:r>
    </w:p>
    <w:p w:rsidR="00370AA3" w:rsidRPr="002D012F" w:rsidRDefault="00370AA3" w:rsidP="00D25AEA">
      <w:pPr>
        <w:pStyle w:val="Default"/>
        <w:spacing w:line="276" w:lineRule="auto"/>
        <w:rPr>
          <w:rFonts w:ascii="Arial" w:hAnsi="Arial" w:cs="Arial"/>
          <w:sz w:val="22"/>
          <w:szCs w:val="22"/>
        </w:rPr>
      </w:pPr>
    </w:p>
    <w:p w:rsidR="00370AA3" w:rsidRPr="002D012F"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Study 1 (DEFINE) was a 2-year randomised, double-blind, placebo-controlled study in 1234 patients with RRMS who had not received interferon-beta or glatiramer acetate (GA) for at least the previous 3 months or natalizumab for at least the previous 6 months. Neurological evaluations were performed at baseline, every 3 months and at time of suspected relapse. MRI evaluations were performed at baseline, month 6, and year 1 and  2. The primary endpoint in Study 1 was the reduction in the proportion of patients relapsed at 2 years. Patients were randomised to receive TECFIDERA 240 mg twice a day (n=410), TECFIDERA 240 mg three times a day (n=416), or placebo (n=408) for up to 2 years. Median age: 39 years, median years since diagnosis: 4.0 years and median EDSS score at baseline: 2.0.  Median time on study was 96 weeks for all three treatment groups.  </w:t>
      </w:r>
    </w:p>
    <w:p w:rsidR="00370AA3" w:rsidRPr="002D012F" w:rsidRDefault="00370AA3" w:rsidP="00D25AEA">
      <w:pPr>
        <w:pStyle w:val="Default"/>
        <w:spacing w:line="276" w:lineRule="auto"/>
        <w:rPr>
          <w:rFonts w:ascii="Arial" w:hAnsi="Arial" w:cs="Arial"/>
          <w:sz w:val="22"/>
          <w:szCs w:val="22"/>
        </w:rPr>
      </w:pPr>
    </w:p>
    <w:p w:rsidR="00370AA3" w:rsidRDefault="00370AA3" w:rsidP="00D25AEA">
      <w:pPr>
        <w:pStyle w:val="Default"/>
        <w:spacing w:line="276" w:lineRule="auto"/>
        <w:rPr>
          <w:rFonts w:ascii="Arial" w:hAnsi="Arial" w:cs="Arial"/>
          <w:sz w:val="22"/>
          <w:szCs w:val="22"/>
        </w:rPr>
      </w:pPr>
      <w:r w:rsidRPr="002D012F">
        <w:rPr>
          <w:rFonts w:ascii="Arial" w:hAnsi="Arial" w:cs="Arial"/>
          <w:sz w:val="22"/>
          <w:szCs w:val="22"/>
        </w:rPr>
        <w:t xml:space="preserve">The proportion of patients relapsed was significantly lower in the group treated with TECFIDERA than in the group treated with placebo at 2 years. Secondary endpoints at 2 years included the number of new or newly enlarging T2 hyperintense lesions, number of Gd-enhancing lesions, annualised relapse rate (ARR), and time to confirmed disability progression. Confirmed disability progression was defined as at least a 1 point increase from baseline EDSS (1.5 point increase for patients with baseline EDSS of 0) sustained for 12 weeks. TECFIDERA had a clinically meaningful and statistically significant effect on all primary and secondary study endpoints. The 240 mg three times daily dose resulted in no additional benefit over the TECFIDERA 240 mg twice daily dose.  </w:t>
      </w:r>
    </w:p>
    <w:p w:rsidR="004106BD" w:rsidRPr="002D012F" w:rsidRDefault="004106BD" w:rsidP="00D25AEA">
      <w:pPr>
        <w:pStyle w:val="Default"/>
        <w:spacing w:line="276" w:lineRule="auto"/>
        <w:rPr>
          <w:rFonts w:ascii="Arial" w:hAnsi="Arial" w:cs="Arial"/>
          <w:sz w:val="22"/>
          <w:szCs w:val="22"/>
        </w:rPr>
      </w:pPr>
    </w:p>
    <w:p w:rsidR="00607F4E" w:rsidRDefault="00370AA3" w:rsidP="00D25AEA">
      <w:pPr>
        <w:pStyle w:val="GTCBodyText"/>
        <w:spacing w:before="0" w:after="0" w:line="276" w:lineRule="auto"/>
        <w:jc w:val="left"/>
        <w:rPr>
          <w:rFonts w:ascii="Arial" w:hAnsi="Arial" w:cs="Arial"/>
          <w:sz w:val="22"/>
          <w:szCs w:val="22"/>
        </w:rPr>
      </w:pPr>
      <w:bookmarkStart w:id="20" w:name="g5a3c70f1-9eb2-48c3-ae01-1e988cf79f7a"/>
      <w:bookmarkEnd w:id="20"/>
      <w:r w:rsidRPr="002D012F">
        <w:rPr>
          <w:rFonts w:ascii="Arial" w:hAnsi="Arial" w:cs="Arial"/>
          <w:sz w:val="22"/>
          <w:szCs w:val="22"/>
        </w:rPr>
        <w:t>Th</w:t>
      </w:r>
      <w:r w:rsidR="00607F4E" w:rsidRPr="002D012F">
        <w:rPr>
          <w:rFonts w:ascii="Arial" w:hAnsi="Arial" w:cs="Arial"/>
          <w:sz w:val="22"/>
          <w:szCs w:val="22"/>
        </w:rPr>
        <w:t xml:space="preserve">e results for this study are shown in Table </w:t>
      </w:r>
      <w:r w:rsidR="00376621" w:rsidRPr="002D012F">
        <w:rPr>
          <w:rFonts w:ascii="Arial" w:hAnsi="Arial" w:cs="Arial"/>
          <w:sz w:val="22"/>
          <w:szCs w:val="22"/>
        </w:rPr>
        <w:t>1</w:t>
      </w:r>
      <w:r w:rsidR="00607F4E" w:rsidRPr="002D012F">
        <w:rPr>
          <w:rFonts w:ascii="Arial" w:hAnsi="Arial" w:cs="Arial"/>
          <w:sz w:val="22"/>
          <w:szCs w:val="22"/>
        </w:rPr>
        <w:t>.</w:t>
      </w:r>
    </w:p>
    <w:p w:rsidR="004106BD" w:rsidRPr="002D012F" w:rsidRDefault="004106BD" w:rsidP="00D25AEA">
      <w:pPr>
        <w:pStyle w:val="GTCBodyText"/>
        <w:spacing w:before="0" w:after="0" w:line="276" w:lineRule="auto"/>
        <w:jc w:val="left"/>
        <w:rPr>
          <w:rFonts w:ascii="Arial" w:hAnsi="Arial" w:cs="Arial"/>
          <w:sz w:val="22"/>
          <w:szCs w:val="22"/>
        </w:rPr>
      </w:pPr>
    </w:p>
    <w:p w:rsidR="00607F4E" w:rsidRPr="00853BEF" w:rsidRDefault="00607F4E" w:rsidP="00D25AEA">
      <w:pPr>
        <w:spacing w:line="276" w:lineRule="auto"/>
        <w:rPr>
          <w:rFonts w:ascii="Arial" w:hAnsi="Arial" w:cs="Arial"/>
          <w:b/>
          <w:sz w:val="22"/>
          <w:szCs w:val="22"/>
        </w:rPr>
      </w:pPr>
      <w:bookmarkStart w:id="21" w:name="OLE_LINK1"/>
      <w:r w:rsidRPr="00853BEF">
        <w:rPr>
          <w:rFonts w:ascii="Arial" w:hAnsi="Arial" w:cs="Arial"/>
          <w:b/>
          <w:sz w:val="22"/>
          <w:szCs w:val="22"/>
        </w:rPr>
        <w:t xml:space="preserve">Table </w:t>
      </w:r>
      <w:r w:rsidR="00376621" w:rsidRPr="00853BEF">
        <w:rPr>
          <w:rFonts w:ascii="Arial" w:hAnsi="Arial" w:cs="Arial"/>
          <w:b/>
          <w:sz w:val="22"/>
          <w:szCs w:val="22"/>
        </w:rPr>
        <w:t>1</w:t>
      </w:r>
      <w:r w:rsidRPr="00853BEF">
        <w:rPr>
          <w:rFonts w:ascii="Arial" w:hAnsi="Arial" w:cs="Arial"/>
          <w:b/>
          <w:sz w:val="22"/>
          <w:szCs w:val="22"/>
        </w:rPr>
        <w:t>:  Clinical and MRI Results of Study 1</w:t>
      </w:r>
    </w:p>
    <w:p w:rsidR="004106BD" w:rsidRPr="00853BEF" w:rsidRDefault="004106BD" w:rsidP="00D25AEA">
      <w:pPr>
        <w:spacing w:line="276" w:lineRule="auto"/>
        <w:rPr>
          <w:rFonts w:ascii="Arial" w:hAnsi="Arial" w:cs="Arial"/>
          <w:b/>
          <w:sz w:val="22"/>
          <w:szCs w:val="22"/>
        </w:rPr>
      </w:pP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8"/>
        <w:gridCol w:w="1980"/>
        <w:gridCol w:w="1454"/>
        <w:gridCol w:w="1548"/>
      </w:tblGrid>
      <w:tr w:rsidR="00607F4E" w:rsidRPr="00853BEF" w:rsidTr="00256207">
        <w:trPr>
          <w:tblHeader/>
        </w:trPr>
        <w:tc>
          <w:tcPr>
            <w:tcW w:w="4068" w:type="dxa"/>
            <w:shd w:val="clear" w:color="auto" w:fill="auto"/>
          </w:tcPr>
          <w:p w:rsidR="00607F4E" w:rsidRPr="00853BEF" w:rsidRDefault="00607F4E" w:rsidP="00D25AEA">
            <w:pPr>
              <w:spacing w:line="276" w:lineRule="auto"/>
              <w:rPr>
                <w:rFonts w:ascii="Arial" w:hAnsi="Arial" w:cs="Arial"/>
                <w:b/>
                <w:sz w:val="20"/>
                <w:szCs w:val="20"/>
              </w:rPr>
            </w:pPr>
          </w:p>
        </w:tc>
        <w:tc>
          <w:tcPr>
            <w:tcW w:w="1980" w:type="dxa"/>
            <w:shd w:val="clear" w:color="auto" w:fill="auto"/>
          </w:tcPr>
          <w:p w:rsidR="004207C1" w:rsidRPr="00853BEF" w:rsidRDefault="005956CF" w:rsidP="00D25AEA">
            <w:pPr>
              <w:spacing w:line="276" w:lineRule="auto"/>
              <w:jc w:val="center"/>
              <w:rPr>
                <w:rFonts w:ascii="Arial" w:hAnsi="Arial" w:cs="Arial"/>
                <w:b/>
                <w:sz w:val="20"/>
                <w:szCs w:val="20"/>
                <w:lang w:val="en-US"/>
              </w:rPr>
            </w:pPr>
            <w:r w:rsidRPr="00853BEF">
              <w:rPr>
                <w:rFonts w:ascii="Arial" w:hAnsi="Arial" w:cs="Arial"/>
                <w:b/>
                <w:sz w:val="20"/>
                <w:szCs w:val="20"/>
                <w:lang w:val="en-US"/>
              </w:rPr>
              <w:t>TECFIDERA</w:t>
            </w:r>
            <w:r w:rsidR="004207C1" w:rsidRPr="00853BEF">
              <w:rPr>
                <w:rFonts w:ascii="Arial" w:hAnsi="Arial" w:cs="Arial"/>
                <w:b/>
                <w:sz w:val="20"/>
                <w:szCs w:val="20"/>
                <w:lang w:val="en-US"/>
              </w:rPr>
              <w:t xml:space="preserve"> </w:t>
            </w:r>
          </w:p>
          <w:p w:rsidR="00607F4E" w:rsidRPr="00853BEF" w:rsidRDefault="00607F4E" w:rsidP="00D25AEA">
            <w:pPr>
              <w:spacing w:line="276" w:lineRule="auto"/>
              <w:jc w:val="center"/>
              <w:rPr>
                <w:rFonts w:ascii="Arial" w:hAnsi="Arial" w:cs="Arial"/>
                <w:b/>
                <w:sz w:val="20"/>
                <w:szCs w:val="20"/>
              </w:rPr>
            </w:pPr>
            <w:r w:rsidRPr="00853BEF">
              <w:rPr>
                <w:rFonts w:ascii="Arial" w:hAnsi="Arial" w:cs="Arial"/>
                <w:b/>
                <w:sz w:val="20"/>
                <w:szCs w:val="20"/>
              </w:rPr>
              <w:t>240 mg BID</w:t>
            </w:r>
          </w:p>
          <w:p w:rsidR="00607F4E" w:rsidRPr="00853BEF" w:rsidRDefault="00607F4E" w:rsidP="00D25AEA">
            <w:pPr>
              <w:spacing w:line="276" w:lineRule="auto"/>
              <w:jc w:val="center"/>
              <w:rPr>
                <w:rFonts w:ascii="Arial" w:hAnsi="Arial" w:cs="Arial"/>
                <w:b/>
                <w:sz w:val="20"/>
                <w:szCs w:val="20"/>
              </w:rPr>
            </w:pPr>
            <w:r w:rsidRPr="00853BEF">
              <w:rPr>
                <w:rFonts w:ascii="Arial" w:hAnsi="Arial" w:cs="Arial"/>
                <w:b/>
                <w:sz w:val="20"/>
                <w:szCs w:val="20"/>
              </w:rPr>
              <w:t>(</w:t>
            </w:r>
            <w:r w:rsidR="00920D3D" w:rsidRPr="00853BEF">
              <w:rPr>
                <w:rFonts w:ascii="Arial" w:hAnsi="Arial" w:cs="Arial"/>
                <w:b/>
                <w:sz w:val="20"/>
                <w:szCs w:val="20"/>
              </w:rPr>
              <w:t>n</w:t>
            </w:r>
            <w:r w:rsidRPr="00853BEF">
              <w:rPr>
                <w:rFonts w:ascii="Arial" w:hAnsi="Arial" w:cs="Arial"/>
                <w:b/>
                <w:sz w:val="20"/>
                <w:szCs w:val="20"/>
              </w:rPr>
              <w:t>=410)</w:t>
            </w:r>
          </w:p>
        </w:tc>
        <w:tc>
          <w:tcPr>
            <w:tcW w:w="1454" w:type="dxa"/>
            <w:shd w:val="clear" w:color="auto" w:fill="auto"/>
          </w:tcPr>
          <w:p w:rsidR="00607F4E" w:rsidRPr="00853BEF" w:rsidRDefault="00607F4E" w:rsidP="00D25AEA">
            <w:pPr>
              <w:spacing w:line="276" w:lineRule="auto"/>
              <w:jc w:val="center"/>
              <w:rPr>
                <w:rFonts w:ascii="Arial" w:hAnsi="Arial" w:cs="Arial"/>
                <w:b/>
                <w:sz w:val="20"/>
                <w:szCs w:val="20"/>
              </w:rPr>
            </w:pPr>
          </w:p>
          <w:p w:rsidR="00607F4E" w:rsidRPr="00853BEF" w:rsidRDefault="00607F4E" w:rsidP="00D25AEA">
            <w:pPr>
              <w:spacing w:line="276" w:lineRule="auto"/>
              <w:jc w:val="center"/>
              <w:rPr>
                <w:rFonts w:ascii="Arial" w:hAnsi="Arial" w:cs="Arial"/>
                <w:b/>
                <w:sz w:val="20"/>
                <w:szCs w:val="20"/>
              </w:rPr>
            </w:pPr>
            <w:r w:rsidRPr="00853BEF">
              <w:rPr>
                <w:rFonts w:ascii="Arial" w:hAnsi="Arial" w:cs="Arial"/>
                <w:b/>
                <w:sz w:val="20"/>
                <w:szCs w:val="20"/>
              </w:rPr>
              <w:t>Placebo</w:t>
            </w:r>
          </w:p>
          <w:p w:rsidR="00607F4E" w:rsidRPr="00853BEF" w:rsidRDefault="00607F4E" w:rsidP="00D25AEA">
            <w:pPr>
              <w:spacing w:line="276" w:lineRule="auto"/>
              <w:jc w:val="center"/>
              <w:rPr>
                <w:rFonts w:ascii="Arial" w:hAnsi="Arial" w:cs="Arial"/>
                <w:b/>
                <w:sz w:val="20"/>
                <w:szCs w:val="20"/>
              </w:rPr>
            </w:pPr>
            <w:r w:rsidRPr="00853BEF">
              <w:rPr>
                <w:rFonts w:ascii="Arial" w:hAnsi="Arial" w:cs="Arial"/>
                <w:b/>
                <w:sz w:val="20"/>
                <w:szCs w:val="20"/>
              </w:rPr>
              <w:t>(</w:t>
            </w:r>
            <w:r w:rsidR="00920D3D" w:rsidRPr="00853BEF">
              <w:rPr>
                <w:rFonts w:ascii="Arial" w:hAnsi="Arial" w:cs="Arial"/>
                <w:b/>
                <w:sz w:val="20"/>
                <w:szCs w:val="20"/>
              </w:rPr>
              <w:t>n</w:t>
            </w:r>
            <w:r w:rsidRPr="00853BEF">
              <w:rPr>
                <w:rFonts w:ascii="Arial" w:hAnsi="Arial" w:cs="Arial"/>
                <w:b/>
                <w:sz w:val="20"/>
                <w:szCs w:val="20"/>
              </w:rPr>
              <w:t>=408)</w:t>
            </w:r>
          </w:p>
        </w:tc>
        <w:tc>
          <w:tcPr>
            <w:tcW w:w="1548" w:type="dxa"/>
            <w:shd w:val="clear" w:color="auto" w:fill="auto"/>
          </w:tcPr>
          <w:p w:rsidR="00607F4E" w:rsidRPr="00853BEF" w:rsidRDefault="00607F4E" w:rsidP="00D25AEA">
            <w:pPr>
              <w:spacing w:line="276" w:lineRule="auto"/>
              <w:rPr>
                <w:rFonts w:ascii="Arial" w:hAnsi="Arial" w:cs="Arial"/>
                <w:b/>
                <w:sz w:val="20"/>
                <w:szCs w:val="20"/>
              </w:rPr>
            </w:pPr>
          </w:p>
          <w:p w:rsidR="00607F4E" w:rsidRPr="00853BEF" w:rsidRDefault="00607F4E" w:rsidP="00D25AEA">
            <w:pPr>
              <w:spacing w:line="276" w:lineRule="auto"/>
              <w:rPr>
                <w:rFonts w:ascii="Arial" w:hAnsi="Arial" w:cs="Arial"/>
                <w:b/>
                <w:sz w:val="20"/>
                <w:szCs w:val="20"/>
              </w:rPr>
            </w:pPr>
          </w:p>
          <w:p w:rsidR="00607F4E" w:rsidRPr="00853BEF" w:rsidRDefault="00607F4E" w:rsidP="00D25AEA">
            <w:pPr>
              <w:spacing w:line="276" w:lineRule="auto"/>
              <w:jc w:val="center"/>
              <w:rPr>
                <w:rFonts w:ascii="Arial" w:hAnsi="Arial" w:cs="Arial"/>
                <w:b/>
                <w:sz w:val="20"/>
                <w:szCs w:val="20"/>
              </w:rPr>
            </w:pPr>
            <w:r w:rsidRPr="00853BEF">
              <w:rPr>
                <w:rFonts w:ascii="Arial" w:hAnsi="Arial" w:cs="Arial"/>
                <w:b/>
                <w:sz w:val="20"/>
                <w:szCs w:val="20"/>
              </w:rPr>
              <w:t>P-value</w:t>
            </w:r>
          </w:p>
        </w:tc>
      </w:tr>
      <w:tr w:rsidR="00607F4E" w:rsidRPr="00853BEF" w:rsidTr="00256207">
        <w:tc>
          <w:tcPr>
            <w:tcW w:w="4068" w:type="dxa"/>
            <w:shd w:val="clear" w:color="auto" w:fill="auto"/>
          </w:tcPr>
          <w:p w:rsidR="00607F4E" w:rsidRPr="00853BEF" w:rsidRDefault="00607F4E" w:rsidP="00D25AEA">
            <w:pPr>
              <w:spacing w:line="276" w:lineRule="auto"/>
              <w:rPr>
                <w:rFonts w:ascii="Arial" w:hAnsi="Arial" w:cs="Arial"/>
                <w:b/>
                <w:sz w:val="20"/>
                <w:szCs w:val="20"/>
              </w:rPr>
            </w:pPr>
            <w:r w:rsidRPr="00853BEF">
              <w:rPr>
                <w:rFonts w:ascii="Arial" w:hAnsi="Arial" w:cs="Arial"/>
                <w:b/>
                <w:sz w:val="20"/>
                <w:szCs w:val="20"/>
              </w:rPr>
              <w:t>Clinical Endpoints</w:t>
            </w:r>
          </w:p>
        </w:tc>
        <w:tc>
          <w:tcPr>
            <w:tcW w:w="1980" w:type="dxa"/>
            <w:shd w:val="clear" w:color="auto" w:fill="auto"/>
          </w:tcPr>
          <w:p w:rsidR="00607F4E" w:rsidRPr="00853BEF" w:rsidRDefault="00607F4E" w:rsidP="00D25AEA">
            <w:pPr>
              <w:spacing w:line="276" w:lineRule="auto"/>
              <w:rPr>
                <w:rFonts w:ascii="Arial" w:hAnsi="Arial" w:cs="Arial"/>
                <w:sz w:val="20"/>
                <w:szCs w:val="20"/>
              </w:rPr>
            </w:pPr>
          </w:p>
        </w:tc>
        <w:tc>
          <w:tcPr>
            <w:tcW w:w="1454" w:type="dxa"/>
            <w:shd w:val="clear" w:color="auto" w:fill="auto"/>
          </w:tcPr>
          <w:p w:rsidR="00607F4E" w:rsidRPr="00853BEF" w:rsidRDefault="00607F4E" w:rsidP="00D25AEA">
            <w:pPr>
              <w:spacing w:line="276" w:lineRule="auto"/>
              <w:rPr>
                <w:rFonts w:ascii="Arial" w:hAnsi="Arial" w:cs="Arial"/>
                <w:sz w:val="20"/>
                <w:szCs w:val="20"/>
              </w:rPr>
            </w:pPr>
          </w:p>
        </w:tc>
        <w:tc>
          <w:tcPr>
            <w:tcW w:w="1548" w:type="dxa"/>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16B25">
        <w:tc>
          <w:tcPr>
            <w:tcW w:w="4068" w:type="dxa"/>
            <w:tcBorders>
              <w:bottom w:val="nil"/>
            </w:tcBorders>
            <w:shd w:val="clear" w:color="auto" w:fill="auto"/>
          </w:tcPr>
          <w:p w:rsidR="00607F4E" w:rsidRPr="00853BEF" w:rsidRDefault="000524FE" w:rsidP="00D25AEA">
            <w:pPr>
              <w:spacing w:line="276" w:lineRule="auto"/>
              <w:rPr>
                <w:rFonts w:ascii="Arial" w:hAnsi="Arial" w:cs="Arial"/>
                <w:sz w:val="20"/>
                <w:szCs w:val="20"/>
              </w:rPr>
            </w:pPr>
            <w:r w:rsidRPr="00853BEF">
              <w:rPr>
                <w:rFonts w:ascii="Arial" w:hAnsi="Arial" w:cs="Arial"/>
                <w:sz w:val="20"/>
                <w:szCs w:val="20"/>
              </w:rPr>
              <w:t xml:space="preserve">Annualised </w:t>
            </w:r>
            <w:r w:rsidR="00607F4E" w:rsidRPr="00853BEF">
              <w:rPr>
                <w:rFonts w:ascii="Arial" w:hAnsi="Arial" w:cs="Arial"/>
                <w:sz w:val="20"/>
                <w:szCs w:val="20"/>
              </w:rPr>
              <w:t>relapse rate</w:t>
            </w:r>
          </w:p>
        </w:tc>
        <w:tc>
          <w:tcPr>
            <w:tcW w:w="1980" w:type="dxa"/>
            <w:tcBorders>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0.172</w:t>
            </w:r>
          </w:p>
        </w:tc>
        <w:tc>
          <w:tcPr>
            <w:tcW w:w="1454" w:type="dxa"/>
            <w:tcBorders>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0.364</w:t>
            </w:r>
          </w:p>
        </w:tc>
        <w:tc>
          <w:tcPr>
            <w:tcW w:w="1548" w:type="dxa"/>
            <w:tcBorders>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&lt;0.0001</w:t>
            </w: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Relative reduction (percentage)</w:t>
            </w: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53%</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(95% CI)</w:t>
            </w: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(39%, 64%)</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Proportion relapsing</w:t>
            </w:r>
            <w:r w:rsidR="008F1D9D" w:rsidRPr="00853BEF">
              <w:rPr>
                <w:rFonts w:ascii="Arial" w:hAnsi="Arial" w:cs="Arial"/>
                <w:sz w:val="20"/>
                <w:szCs w:val="20"/>
              </w:rPr>
              <w:t>(a)</w:t>
            </w: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0.270</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0.461</w:t>
            </w:r>
          </w:p>
        </w:tc>
        <w:tc>
          <w:tcPr>
            <w:tcW w:w="1548"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&lt;0.0001</w:t>
            </w: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w:t>
            </w:r>
            <w:r w:rsidR="00BB531B" w:rsidRPr="00853BEF">
              <w:rPr>
                <w:rFonts w:ascii="Arial" w:hAnsi="Arial" w:cs="Arial"/>
                <w:sz w:val="20"/>
                <w:szCs w:val="20"/>
              </w:rPr>
              <w:t>Hazard ratio</w:t>
            </w:r>
            <w:r w:rsidR="00DE60F0" w:rsidRPr="00853BEF">
              <w:rPr>
                <w:rFonts w:ascii="Arial" w:hAnsi="Arial" w:cs="Arial"/>
                <w:sz w:val="20"/>
                <w:szCs w:val="20"/>
              </w:rPr>
              <w:t xml:space="preserve"> for first relapse</w:t>
            </w:r>
          </w:p>
        </w:tc>
        <w:tc>
          <w:tcPr>
            <w:tcW w:w="1980" w:type="dxa"/>
            <w:tcBorders>
              <w:top w:val="nil"/>
              <w:bottom w:val="nil"/>
            </w:tcBorders>
            <w:shd w:val="clear" w:color="auto" w:fill="auto"/>
          </w:tcPr>
          <w:p w:rsidR="00607F4E" w:rsidRPr="00853BEF" w:rsidRDefault="00BB531B" w:rsidP="00D25AEA">
            <w:pPr>
              <w:spacing w:line="276" w:lineRule="auto"/>
              <w:jc w:val="center"/>
              <w:rPr>
                <w:rFonts w:ascii="Arial" w:hAnsi="Arial" w:cs="Arial"/>
                <w:sz w:val="20"/>
                <w:szCs w:val="20"/>
              </w:rPr>
            </w:pPr>
            <w:r w:rsidRPr="00853BEF">
              <w:rPr>
                <w:rFonts w:ascii="Arial" w:hAnsi="Arial" w:cs="Arial"/>
                <w:sz w:val="20"/>
                <w:szCs w:val="20"/>
              </w:rPr>
              <w:t>0.51</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(95% CI)</w:t>
            </w: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w:t>
            </w:r>
            <w:r w:rsidR="00BB531B" w:rsidRPr="00853BEF">
              <w:rPr>
                <w:rFonts w:ascii="Arial" w:hAnsi="Arial" w:cs="Arial"/>
                <w:sz w:val="20"/>
                <w:szCs w:val="20"/>
              </w:rPr>
              <w:t>0.40</w:t>
            </w:r>
            <w:r w:rsidRPr="00853BEF">
              <w:rPr>
                <w:rFonts w:ascii="Arial" w:hAnsi="Arial" w:cs="Arial"/>
                <w:sz w:val="20"/>
                <w:szCs w:val="20"/>
              </w:rPr>
              <w:t xml:space="preserve">, </w:t>
            </w:r>
            <w:r w:rsidR="00853BEF" w:rsidRPr="00853BEF">
              <w:rPr>
                <w:rFonts w:ascii="Arial" w:hAnsi="Arial" w:cs="Arial"/>
                <w:sz w:val="20"/>
                <w:szCs w:val="20"/>
              </w:rPr>
              <w:t>0.6</w:t>
            </w:r>
            <w:r w:rsidR="00BB531B" w:rsidRPr="00853BEF">
              <w:rPr>
                <w:rFonts w:ascii="Arial" w:hAnsi="Arial" w:cs="Arial"/>
                <w:sz w:val="20"/>
                <w:szCs w:val="20"/>
              </w:rPr>
              <w:t>6</w:t>
            </w:r>
            <w:r w:rsidRPr="00853BEF">
              <w:rPr>
                <w:rFonts w:ascii="Arial" w:hAnsi="Arial" w:cs="Arial"/>
                <w:sz w:val="20"/>
                <w:szCs w:val="20"/>
              </w:rPr>
              <w:t>)</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c>
          <w:tcPr>
            <w:tcW w:w="1980"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c>
          <w:tcPr>
            <w:tcW w:w="1454"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0524FE" w:rsidP="00D25AEA">
            <w:pPr>
              <w:spacing w:line="276" w:lineRule="auto"/>
              <w:rPr>
                <w:rFonts w:ascii="Arial" w:hAnsi="Arial" w:cs="Arial"/>
                <w:sz w:val="20"/>
                <w:szCs w:val="20"/>
              </w:rPr>
            </w:pPr>
            <w:r w:rsidRPr="00853BEF">
              <w:rPr>
                <w:rFonts w:ascii="Arial" w:hAnsi="Arial" w:cs="Arial"/>
                <w:sz w:val="20"/>
                <w:szCs w:val="20"/>
              </w:rPr>
              <w:t>Proportion with disability</w:t>
            </w:r>
            <w:r w:rsidR="00607F4E" w:rsidRPr="00853BEF">
              <w:rPr>
                <w:rFonts w:ascii="Arial" w:hAnsi="Arial" w:cs="Arial"/>
                <w:sz w:val="20"/>
                <w:szCs w:val="20"/>
              </w:rPr>
              <w:t xml:space="preserve"> progression</w:t>
            </w:r>
            <w:r w:rsidR="008F1D9D" w:rsidRPr="00853BEF">
              <w:rPr>
                <w:rFonts w:ascii="Arial" w:hAnsi="Arial" w:cs="Arial"/>
                <w:sz w:val="20"/>
                <w:szCs w:val="20"/>
              </w:rPr>
              <w:t>(a)</w:t>
            </w:r>
          </w:p>
        </w:tc>
        <w:tc>
          <w:tcPr>
            <w:tcW w:w="1980"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0.164</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0.271</w:t>
            </w:r>
          </w:p>
        </w:tc>
        <w:tc>
          <w:tcPr>
            <w:tcW w:w="1548"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0.0050</w:t>
            </w:r>
          </w:p>
        </w:tc>
      </w:tr>
      <w:tr w:rsidR="00607F4E" w:rsidRPr="00853BEF" w:rsidTr="00216B25">
        <w:tc>
          <w:tcPr>
            <w:tcW w:w="406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w:t>
            </w:r>
            <w:r w:rsidR="00BB531B" w:rsidRPr="00853BEF">
              <w:rPr>
                <w:rFonts w:ascii="Arial" w:hAnsi="Arial" w:cs="Arial"/>
                <w:sz w:val="20"/>
                <w:szCs w:val="20"/>
              </w:rPr>
              <w:t>Hazard ratio</w:t>
            </w:r>
            <w:r w:rsidR="00DE60F0" w:rsidRPr="00853BEF">
              <w:rPr>
                <w:rFonts w:ascii="Arial" w:hAnsi="Arial" w:cs="Arial"/>
                <w:sz w:val="20"/>
                <w:szCs w:val="20"/>
              </w:rPr>
              <w:t xml:space="preserve"> for progression</w:t>
            </w:r>
          </w:p>
        </w:tc>
        <w:tc>
          <w:tcPr>
            <w:tcW w:w="1980" w:type="dxa"/>
            <w:tcBorders>
              <w:top w:val="nil"/>
              <w:bottom w:val="nil"/>
            </w:tcBorders>
            <w:shd w:val="clear" w:color="auto" w:fill="auto"/>
          </w:tcPr>
          <w:p w:rsidR="00607F4E" w:rsidRPr="00853BEF" w:rsidRDefault="00BB531B" w:rsidP="00D25AEA">
            <w:pPr>
              <w:spacing w:line="276" w:lineRule="auto"/>
              <w:jc w:val="center"/>
              <w:rPr>
                <w:rFonts w:ascii="Arial" w:hAnsi="Arial" w:cs="Arial"/>
                <w:sz w:val="20"/>
                <w:szCs w:val="20"/>
              </w:rPr>
            </w:pPr>
            <w:r w:rsidRPr="00853BEF">
              <w:rPr>
                <w:rFonts w:ascii="Arial" w:hAnsi="Arial" w:cs="Arial"/>
                <w:sz w:val="20"/>
                <w:szCs w:val="20"/>
              </w:rPr>
              <w:t>0.62</w:t>
            </w:r>
          </w:p>
        </w:tc>
        <w:tc>
          <w:tcPr>
            <w:tcW w:w="1454" w:type="dxa"/>
            <w:tcBorders>
              <w:top w:val="nil"/>
              <w:bottom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16B25">
        <w:tc>
          <w:tcPr>
            <w:tcW w:w="4068" w:type="dxa"/>
            <w:tcBorders>
              <w:top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(95% CI)</w:t>
            </w:r>
          </w:p>
          <w:p w:rsidR="00F639AD" w:rsidRPr="00853BEF" w:rsidRDefault="00F639AD" w:rsidP="00D25AEA">
            <w:pPr>
              <w:spacing w:line="276" w:lineRule="auto"/>
              <w:rPr>
                <w:rFonts w:ascii="Arial" w:hAnsi="Arial" w:cs="Arial"/>
                <w:sz w:val="20"/>
                <w:szCs w:val="20"/>
              </w:rPr>
            </w:pPr>
          </w:p>
        </w:tc>
        <w:tc>
          <w:tcPr>
            <w:tcW w:w="1980" w:type="dxa"/>
            <w:tcBorders>
              <w:top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w:t>
            </w:r>
            <w:r w:rsidR="00BB531B" w:rsidRPr="00853BEF">
              <w:rPr>
                <w:rFonts w:ascii="Arial" w:hAnsi="Arial" w:cs="Arial"/>
                <w:sz w:val="20"/>
                <w:szCs w:val="20"/>
              </w:rPr>
              <w:t>0.44</w:t>
            </w:r>
            <w:r w:rsidRPr="00853BEF">
              <w:rPr>
                <w:rFonts w:ascii="Arial" w:hAnsi="Arial" w:cs="Arial"/>
                <w:sz w:val="20"/>
                <w:szCs w:val="20"/>
              </w:rPr>
              <w:t>,</w:t>
            </w:r>
            <w:r w:rsidR="00B72DE3">
              <w:rPr>
                <w:rFonts w:ascii="Arial" w:hAnsi="Arial" w:cs="Arial"/>
                <w:sz w:val="20"/>
                <w:szCs w:val="20"/>
              </w:rPr>
              <w:t xml:space="preserve"> </w:t>
            </w:r>
            <w:r w:rsidR="00BB531B" w:rsidRPr="00853BEF">
              <w:rPr>
                <w:rFonts w:ascii="Arial" w:hAnsi="Arial" w:cs="Arial"/>
                <w:sz w:val="20"/>
                <w:szCs w:val="20"/>
              </w:rPr>
              <w:t>0.87</w:t>
            </w:r>
            <w:r w:rsidRPr="00853BEF">
              <w:rPr>
                <w:rFonts w:ascii="Arial" w:hAnsi="Arial" w:cs="Arial"/>
                <w:sz w:val="20"/>
                <w:szCs w:val="20"/>
              </w:rPr>
              <w:t>)</w:t>
            </w:r>
          </w:p>
        </w:tc>
        <w:tc>
          <w:tcPr>
            <w:tcW w:w="1454" w:type="dxa"/>
            <w:tcBorders>
              <w:top w:val="nil"/>
            </w:tcBorders>
            <w:shd w:val="clear" w:color="auto" w:fill="auto"/>
          </w:tcPr>
          <w:p w:rsidR="00607F4E" w:rsidRPr="00853BEF" w:rsidRDefault="00607F4E" w:rsidP="00D25AEA">
            <w:pPr>
              <w:spacing w:line="276" w:lineRule="auto"/>
              <w:jc w:val="center"/>
              <w:rPr>
                <w:rFonts w:ascii="Arial" w:hAnsi="Arial" w:cs="Arial"/>
                <w:sz w:val="20"/>
                <w:szCs w:val="20"/>
              </w:rPr>
            </w:pPr>
          </w:p>
        </w:tc>
        <w:tc>
          <w:tcPr>
            <w:tcW w:w="1548" w:type="dxa"/>
            <w:tcBorders>
              <w:top w:val="nil"/>
            </w:tcBorders>
            <w:shd w:val="clear" w:color="auto" w:fill="auto"/>
          </w:tcPr>
          <w:p w:rsidR="00607F4E" w:rsidRPr="00853BEF" w:rsidRDefault="00607F4E" w:rsidP="00D25AEA">
            <w:pPr>
              <w:spacing w:line="276" w:lineRule="auto"/>
              <w:rPr>
                <w:rFonts w:ascii="Arial" w:hAnsi="Arial" w:cs="Arial"/>
                <w:sz w:val="20"/>
                <w:szCs w:val="20"/>
              </w:rPr>
            </w:pPr>
          </w:p>
        </w:tc>
      </w:tr>
      <w:tr w:rsidR="00607F4E" w:rsidRPr="00853BEF" w:rsidTr="00256207">
        <w:tc>
          <w:tcPr>
            <w:tcW w:w="4068" w:type="dxa"/>
            <w:shd w:val="clear" w:color="auto" w:fill="auto"/>
          </w:tcPr>
          <w:p w:rsidR="00607F4E" w:rsidRPr="00853BEF" w:rsidRDefault="00607F4E" w:rsidP="00D25AEA">
            <w:pPr>
              <w:spacing w:line="276" w:lineRule="auto"/>
              <w:rPr>
                <w:rFonts w:ascii="Arial" w:hAnsi="Arial" w:cs="Arial"/>
                <w:b/>
                <w:sz w:val="20"/>
                <w:szCs w:val="20"/>
              </w:rPr>
            </w:pPr>
            <w:r w:rsidRPr="00853BEF">
              <w:rPr>
                <w:rFonts w:ascii="Arial" w:hAnsi="Arial" w:cs="Arial"/>
                <w:b/>
                <w:sz w:val="20"/>
                <w:szCs w:val="20"/>
              </w:rPr>
              <w:t>MRI Endpoint</w:t>
            </w:r>
          </w:p>
        </w:tc>
        <w:tc>
          <w:tcPr>
            <w:tcW w:w="1980" w:type="dxa"/>
            <w:shd w:val="clear" w:color="auto" w:fill="auto"/>
          </w:tcPr>
          <w:p w:rsidR="00607F4E"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n</w:t>
            </w:r>
            <w:r w:rsidR="00607F4E" w:rsidRPr="00853BEF">
              <w:rPr>
                <w:rFonts w:ascii="Arial" w:hAnsi="Arial" w:cs="Arial"/>
                <w:sz w:val="20"/>
                <w:szCs w:val="20"/>
              </w:rPr>
              <w:t>=152</w:t>
            </w:r>
          </w:p>
        </w:tc>
        <w:tc>
          <w:tcPr>
            <w:tcW w:w="1454" w:type="dxa"/>
            <w:shd w:val="clear" w:color="auto" w:fill="auto"/>
          </w:tcPr>
          <w:p w:rsidR="00607F4E"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n</w:t>
            </w:r>
            <w:r w:rsidR="00607F4E" w:rsidRPr="00853BEF">
              <w:rPr>
                <w:rFonts w:ascii="Arial" w:hAnsi="Arial" w:cs="Arial"/>
                <w:sz w:val="20"/>
                <w:szCs w:val="20"/>
              </w:rPr>
              <w:t>=165</w:t>
            </w:r>
          </w:p>
        </w:tc>
        <w:tc>
          <w:tcPr>
            <w:tcW w:w="1548" w:type="dxa"/>
            <w:shd w:val="clear" w:color="auto" w:fill="auto"/>
          </w:tcPr>
          <w:p w:rsidR="00607F4E" w:rsidRPr="00853BEF" w:rsidRDefault="00607F4E" w:rsidP="00D25AEA">
            <w:pPr>
              <w:spacing w:line="276" w:lineRule="auto"/>
              <w:rPr>
                <w:rFonts w:ascii="Arial" w:hAnsi="Arial" w:cs="Arial"/>
                <w:sz w:val="20"/>
                <w:szCs w:val="20"/>
              </w:rPr>
            </w:pPr>
          </w:p>
        </w:tc>
      </w:tr>
      <w:tr w:rsidR="00482C55" w:rsidRPr="00853BEF" w:rsidTr="00216B25">
        <w:tc>
          <w:tcPr>
            <w:tcW w:w="4068" w:type="dxa"/>
            <w:tcBorders>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 xml:space="preserve">Number of new or newly enlarging </w:t>
            </w:r>
          </w:p>
          <w:p w:rsidR="00482C55" w:rsidRPr="00853BEF" w:rsidRDefault="002929E6" w:rsidP="00D25AEA">
            <w:pPr>
              <w:spacing w:line="276" w:lineRule="auto"/>
              <w:rPr>
                <w:rFonts w:ascii="Arial" w:hAnsi="Arial" w:cs="Arial"/>
                <w:sz w:val="20"/>
                <w:szCs w:val="20"/>
              </w:rPr>
            </w:pPr>
            <w:r w:rsidRPr="00853BEF">
              <w:rPr>
                <w:rFonts w:ascii="Arial" w:hAnsi="Arial" w:cs="Arial"/>
                <w:sz w:val="20"/>
                <w:szCs w:val="20"/>
              </w:rPr>
              <w:lastRenderedPageBreak/>
              <w:t xml:space="preserve">  T2 lesions over 2 years   </w:t>
            </w:r>
          </w:p>
        </w:tc>
        <w:tc>
          <w:tcPr>
            <w:tcW w:w="1980" w:type="dxa"/>
            <w:tcBorders>
              <w:bottom w:val="nil"/>
            </w:tcBorders>
            <w:shd w:val="clear" w:color="auto" w:fill="auto"/>
          </w:tcPr>
          <w:p w:rsidR="00482C55" w:rsidRPr="00853BEF" w:rsidRDefault="00482C55" w:rsidP="00D25AEA">
            <w:pPr>
              <w:spacing w:line="276" w:lineRule="auto"/>
              <w:jc w:val="center"/>
              <w:rPr>
                <w:rFonts w:ascii="Arial" w:hAnsi="Arial" w:cs="Arial"/>
                <w:sz w:val="20"/>
                <w:szCs w:val="20"/>
              </w:rPr>
            </w:pPr>
          </w:p>
        </w:tc>
        <w:tc>
          <w:tcPr>
            <w:tcW w:w="1454" w:type="dxa"/>
            <w:tcBorders>
              <w:bottom w:val="nil"/>
            </w:tcBorders>
            <w:shd w:val="clear" w:color="auto" w:fill="auto"/>
          </w:tcPr>
          <w:p w:rsidR="00482C55" w:rsidRPr="00853BEF" w:rsidRDefault="00482C55" w:rsidP="00D25AEA">
            <w:pPr>
              <w:spacing w:line="276" w:lineRule="auto"/>
              <w:rPr>
                <w:rFonts w:ascii="Arial" w:hAnsi="Arial" w:cs="Arial"/>
                <w:sz w:val="20"/>
                <w:szCs w:val="20"/>
              </w:rPr>
            </w:pPr>
          </w:p>
        </w:tc>
        <w:tc>
          <w:tcPr>
            <w:tcW w:w="1548" w:type="dxa"/>
            <w:tcBorders>
              <w:bottom w:val="nil"/>
            </w:tcBorders>
            <w:shd w:val="clear" w:color="auto" w:fill="auto"/>
          </w:tcPr>
          <w:p w:rsidR="00482C55" w:rsidRPr="00853BEF" w:rsidRDefault="00482C55" w:rsidP="00D25AEA">
            <w:pPr>
              <w:spacing w:line="276" w:lineRule="auto"/>
              <w:rPr>
                <w:rFonts w:ascii="Arial" w:hAnsi="Arial" w:cs="Arial"/>
                <w:sz w:val="20"/>
                <w:szCs w:val="20"/>
              </w:rPr>
            </w:pPr>
          </w:p>
        </w:tc>
      </w:tr>
      <w:tr w:rsidR="00482C55" w:rsidRPr="00853BEF" w:rsidTr="00216B25">
        <w:tc>
          <w:tcPr>
            <w:tcW w:w="4068" w:type="dxa"/>
            <w:tcBorders>
              <w:top w:val="nil"/>
              <w:bottom w:val="nil"/>
            </w:tcBorders>
            <w:shd w:val="clear" w:color="auto" w:fill="auto"/>
          </w:tcPr>
          <w:p w:rsidR="00482C55" w:rsidRPr="00853BEF" w:rsidRDefault="002929E6" w:rsidP="00D25AEA">
            <w:pPr>
              <w:spacing w:line="276" w:lineRule="auto"/>
              <w:rPr>
                <w:rFonts w:ascii="Arial" w:hAnsi="Arial" w:cs="Arial"/>
                <w:b/>
                <w:sz w:val="20"/>
                <w:szCs w:val="20"/>
              </w:rPr>
            </w:pPr>
            <w:r w:rsidRPr="00853BEF">
              <w:rPr>
                <w:rFonts w:ascii="Arial" w:hAnsi="Arial" w:cs="Arial"/>
                <w:sz w:val="20"/>
                <w:szCs w:val="20"/>
              </w:rPr>
              <w:lastRenderedPageBreak/>
              <w:t xml:space="preserve">       Mean (median)</w:t>
            </w:r>
          </w:p>
        </w:tc>
        <w:tc>
          <w:tcPr>
            <w:tcW w:w="1980" w:type="dxa"/>
            <w:tcBorders>
              <w:top w:val="nil"/>
              <w:bottom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3.2 (1.0)</w:t>
            </w:r>
          </w:p>
        </w:tc>
        <w:tc>
          <w:tcPr>
            <w:tcW w:w="1454" w:type="dxa"/>
            <w:tcBorders>
              <w:top w:val="nil"/>
              <w:bottom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16.5 (7.0)</w:t>
            </w:r>
          </w:p>
        </w:tc>
        <w:tc>
          <w:tcPr>
            <w:tcW w:w="1548" w:type="dxa"/>
            <w:tcBorders>
              <w:top w:val="nil"/>
              <w:bottom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&lt;0.0001</w:t>
            </w:r>
          </w:p>
        </w:tc>
      </w:tr>
      <w:tr w:rsidR="00482C55" w:rsidRPr="00853BEF" w:rsidTr="00216B25">
        <w:tc>
          <w:tcPr>
            <w:tcW w:w="4068" w:type="dxa"/>
            <w:tcBorders>
              <w:top w:val="nil"/>
              <w:bottom w:val="nil"/>
            </w:tcBorders>
            <w:shd w:val="clear" w:color="auto" w:fill="auto"/>
          </w:tcPr>
          <w:p w:rsidR="00482C55" w:rsidRPr="00853BEF" w:rsidRDefault="002929E6" w:rsidP="00D25AEA">
            <w:pPr>
              <w:spacing w:line="276" w:lineRule="auto"/>
              <w:rPr>
                <w:rFonts w:ascii="Arial" w:hAnsi="Arial" w:cs="Arial"/>
                <w:sz w:val="20"/>
                <w:szCs w:val="20"/>
              </w:rPr>
            </w:pPr>
            <w:r w:rsidRPr="00853BEF">
              <w:rPr>
                <w:rFonts w:ascii="Arial" w:hAnsi="Arial" w:cs="Arial"/>
                <w:sz w:val="20"/>
                <w:szCs w:val="20"/>
              </w:rPr>
              <w:t xml:space="preserve">       Relative reduction (percentage)</w:t>
            </w:r>
          </w:p>
        </w:tc>
        <w:tc>
          <w:tcPr>
            <w:tcW w:w="1980" w:type="dxa"/>
            <w:tcBorders>
              <w:top w:val="nil"/>
              <w:bottom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85%</w:t>
            </w:r>
          </w:p>
        </w:tc>
        <w:tc>
          <w:tcPr>
            <w:tcW w:w="1454"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c>
          <w:tcPr>
            <w:tcW w:w="1548"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r>
      <w:tr w:rsidR="00482C55" w:rsidRPr="00853BEF" w:rsidTr="00216B25">
        <w:tc>
          <w:tcPr>
            <w:tcW w:w="4068" w:type="dxa"/>
            <w:tcBorders>
              <w:top w:val="nil"/>
              <w:bottom w:val="nil"/>
            </w:tcBorders>
            <w:shd w:val="clear" w:color="auto" w:fill="auto"/>
          </w:tcPr>
          <w:p w:rsidR="00482C55" w:rsidRPr="00853BEF" w:rsidRDefault="002929E6" w:rsidP="00D25AEA">
            <w:pPr>
              <w:spacing w:line="276" w:lineRule="auto"/>
              <w:rPr>
                <w:rFonts w:ascii="Arial" w:hAnsi="Arial" w:cs="Arial"/>
                <w:sz w:val="20"/>
                <w:szCs w:val="20"/>
              </w:rPr>
            </w:pPr>
            <w:r w:rsidRPr="00853BEF">
              <w:rPr>
                <w:rFonts w:ascii="Arial" w:hAnsi="Arial" w:cs="Arial"/>
                <w:sz w:val="20"/>
                <w:szCs w:val="20"/>
              </w:rPr>
              <w:t xml:space="preserve">       (95% CI)</w:t>
            </w:r>
          </w:p>
        </w:tc>
        <w:tc>
          <w:tcPr>
            <w:tcW w:w="1980" w:type="dxa"/>
            <w:tcBorders>
              <w:top w:val="nil"/>
              <w:bottom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(77%, 90%)</w:t>
            </w:r>
          </w:p>
        </w:tc>
        <w:tc>
          <w:tcPr>
            <w:tcW w:w="1454"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c>
          <w:tcPr>
            <w:tcW w:w="1548"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980"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482C55" w:rsidRPr="00853BEF" w:rsidTr="00216B25">
        <w:tc>
          <w:tcPr>
            <w:tcW w:w="4068" w:type="dxa"/>
            <w:tcBorders>
              <w:top w:val="nil"/>
              <w:bottom w:val="nil"/>
            </w:tcBorders>
            <w:shd w:val="clear" w:color="auto" w:fill="auto"/>
          </w:tcPr>
          <w:p w:rsidR="00482C55" w:rsidRPr="00853BEF" w:rsidRDefault="002929E6" w:rsidP="00D25AEA">
            <w:pPr>
              <w:spacing w:line="276" w:lineRule="auto"/>
              <w:rPr>
                <w:rFonts w:ascii="Arial" w:hAnsi="Arial" w:cs="Arial"/>
                <w:sz w:val="20"/>
                <w:szCs w:val="20"/>
              </w:rPr>
            </w:pPr>
            <w:r w:rsidRPr="00853BEF">
              <w:rPr>
                <w:rFonts w:ascii="Arial" w:hAnsi="Arial" w:cs="Arial"/>
                <w:sz w:val="20"/>
                <w:szCs w:val="20"/>
              </w:rPr>
              <w:t>Percentage of subjects with</w:t>
            </w:r>
          </w:p>
        </w:tc>
        <w:tc>
          <w:tcPr>
            <w:tcW w:w="1980"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c>
          <w:tcPr>
            <w:tcW w:w="1454"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c>
          <w:tcPr>
            <w:tcW w:w="1548" w:type="dxa"/>
            <w:tcBorders>
              <w:top w:val="nil"/>
              <w:bottom w:val="nil"/>
            </w:tcBorders>
            <w:shd w:val="clear" w:color="auto" w:fill="auto"/>
          </w:tcPr>
          <w:p w:rsidR="00482C55" w:rsidRPr="00853BEF" w:rsidRDefault="00482C55"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0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45%</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27%</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1 lesion</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17%</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 xml:space="preserve"> 5%</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2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9%</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 xml:space="preserve"> 2%</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3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7%</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 xml:space="preserve"> 5%</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482C55" w:rsidRPr="00853BEF" w:rsidTr="00216B25">
        <w:tc>
          <w:tcPr>
            <w:tcW w:w="4068" w:type="dxa"/>
            <w:tcBorders>
              <w:top w:val="nil"/>
            </w:tcBorders>
            <w:shd w:val="clear" w:color="auto" w:fill="auto"/>
          </w:tcPr>
          <w:p w:rsidR="00482C55" w:rsidRPr="00853BEF" w:rsidRDefault="002929E6" w:rsidP="00D25AEA">
            <w:pPr>
              <w:spacing w:line="276" w:lineRule="auto"/>
              <w:rPr>
                <w:rFonts w:ascii="Arial" w:hAnsi="Arial" w:cs="Arial"/>
                <w:sz w:val="20"/>
                <w:szCs w:val="20"/>
              </w:rPr>
            </w:pPr>
            <w:r w:rsidRPr="00853BEF">
              <w:rPr>
                <w:rFonts w:ascii="Arial" w:hAnsi="Arial" w:cs="Arial"/>
                <w:sz w:val="20"/>
                <w:szCs w:val="20"/>
              </w:rPr>
              <w:tab/>
              <w:t>4 or more lesions</w:t>
            </w:r>
          </w:p>
          <w:p w:rsidR="00F639AD" w:rsidRPr="00853BEF" w:rsidRDefault="00F639AD" w:rsidP="00D25AEA">
            <w:pPr>
              <w:spacing w:line="276" w:lineRule="auto"/>
              <w:rPr>
                <w:rFonts w:ascii="Arial" w:hAnsi="Arial" w:cs="Arial"/>
                <w:b/>
                <w:sz w:val="20"/>
                <w:szCs w:val="20"/>
              </w:rPr>
            </w:pPr>
          </w:p>
        </w:tc>
        <w:tc>
          <w:tcPr>
            <w:tcW w:w="1980" w:type="dxa"/>
            <w:tcBorders>
              <w:top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22%</w:t>
            </w:r>
          </w:p>
        </w:tc>
        <w:tc>
          <w:tcPr>
            <w:tcW w:w="1454" w:type="dxa"/>
            <w:tcBorders>
              <w:top w:val="nil"/>
            </w:tcBorders>
            <w:shd w:val="clear" w:color="auto" w:fill="auto"/>
          </w:tcPr>
          <w:p w:rsidR="00482C55"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61%</w:t>
            </w:r>
          </w:p>
        </w:tc>
        <w:tc>
          <w:tcPr>
            <w:tcW w:w="1548" w:type="dxa"/>
            <w:tcBorders>
              <w:top w:val="nil"/>
            </w:tcBorders>
            <w:shd w:val="clear" w:color="auto" w:fill="auto"/>
          </w:tcPr>
          <w:p w:rsidR="00482C55" w:rsidRPr="00853BEF" w:rsidRDefault="00482C55" w:rsidP="00D25AEA">
            <w:pPr>
              <w:spacing w:line="276" w:lineRule="auto"/>
              <w:rPr>
                <w:rFonts w:ascii="Arial" w:hAnsi="Arial" w:cs="Arial"/>
                <w:sz w:val="20"/>
                <w:szCs w:val="20"/>
              </w:rPr>
            </w:pPr>
          </w:p>
        </w:tc>
      </w:tr>
      <w:tr w:rsidR="002929E6" w:rsidRPr="00853BEF" w:rsidTr="00216B25">
        <w:tc>
          <w:tcPr>
            <w:tcW w:w="4068" w:type="dxa"/>
            <w:tcBorders>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 xml:space="preserve">Number of Gd lesions at 2 years   </w:t>
            </w:r>
          </w:p>
        </w:tc>
        <w:tc>
          <w:tcPr>
            <w:tcW w:w="1980" w:type="dxa"/>
            <w:tcBorders>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454" w:type="dxa"/>
            <w:tcBorders>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548" w:type="dxa"/>
            <w:tcBorders>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 xml:space="preserve">       Mean (median) </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0.1 (0)</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1.8 (0)</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980"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Percentage of subjects with</w:t>
            </w:r>
          </w:p>
        </w:tc>
        <w:tc>
          <w:tcPr>
            <w:tcW w:w="1980"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454"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0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93%</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62%</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1 lesion</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5%</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10%</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b/>
                <w:sz w:val="20"/>
                <w:szCs w:val="20"/>
              </w:rPr>
            </w:pPr>
            <w:r w:rsidRPr="00853BEF">
              <w:rPr>
                <w:rFonts w:ascii="Arial" w:hAnsi="Arial" w:cs="Arial"/>
                <w:sz w:val="20"/>
                <w:szCs w:val="20"/>
              </w:rPr>
              <w:tab/>
              <w:t>2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&lt;1%</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8%</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b/>
                <w:sz w:val="20"/>
                <w:szCs w:val="20"/>
              </w:rPr>
            </w:pPr>
            <w:r w:rsidRPr="00853BEF">
              <w:rPr>
                <w:rFonts w:ascii="Arial" w:hAnsi="Arial" w:cs="Arial"/>
                <w:sz w:val="20"/>
                <w:szCs w:val="20"/>
              </w:rPr>
              <w:tab/>
              <w:t>3 to 4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0</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9%</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r w:rsidRPr="00853BEF">
              <w:rPr>
                <w:rFonts w:ascii="Arial" w:hAnsi="Arial" w:cs="Arial"/>
                <w:sz w:val="20"/>
                <w:szCs w:val="20"/>
              </w:rPr>
              <w:tab/>
              <w:t>5 or more lesions</w:t>
            </w:r>
          </w:p>
        </w:tc>
        <w:tc>
          <w:tcPr>
            <w:tcW w:w="1980"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&lt;1%</w:t>
            </w:r>
          </w:p>
        </w:tc>
        <w:tc>
          <w:tcPr>
            <w:tcW w:w="1454" w:type="dxa"/>
            <w:tcBorders>
              <w:top w:val="nil"/>
              <w:bottom w:val="nil"/>
            </w:tcBorders>
            <w:shd w:val="clear" w:color="auto" w:fill="auto"/>
          </w:tcPr>
          <w:p w:rsidR="002929E6" w:rsidRPr="00853BEF" w:rsidRDefault="002929E6" w:rsidP="00D25AEA">
            <w:pPr>
              <w:spacing w:line="276" w:lineRule="auto"/>
              <w:jc w:val="center"/>
              <w:rPr>
                <w:rFonts w:ascii="Arial" w:hAnsi="Arial" w:cs="Arial"/>
                <w:sz w:val="20"/>
                <w:szCs w:val="20"/>
              </w:rPr>
            </w:pPr>
            <w:r w:rsidRPr="00853BEF">
              <w:rPr>
                <w:rFonts w:ascii="Arial" w:hAnsi="Arial" w:cs="Arial"/>
                <w:sz w:val="20"/>
                <w:szCs w:val="20"/>
              </w:rPr>
              <w:t>11%</w:t>
            </w: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980"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929E6" w:rsidRPr="00853BEF" w:rsidTr="00216B25">
        <w:tc>
          <w:tcPr>
            <w:tcW w:w="4068" w:type="dxa"/>
            <w:tcBorders>
              <w:top w:val="nil"/>
              <w:bottom w:val="nil"/>
            </w:tcBorders>
            <w:shd w:val="clear" w:color="auto" w:fill="auto"/>
          </w:tcPr>
          <w:p w:rsidR="002929E6" w:rsidRPr="00853BEF" w:rsidRDefault="00256207" w:rsidP="00D25AEA">
            <w:pPr>
              <w:spacing w:line="276" w:lineRule="auto"/>
              <w:rPr>
                <w:rFonts w:ascii="Arial" w:hAnsi="Arial" w:cs="Arial"/>
                <w:sz w:val="20"/>
                <w:szCs w:val="20"/>
              </w:rPr>
            </w:pPr>
            <w:r w:rsidRPr="00853BEF">
              <w:rPr>
                <w:rFonts w:ascii="Arial" w:hAnsi="Arial" w:cs="Arial"/>
                <w:sz w:val="20"/>
                <w:szCs w:val="20"/>
              </w:rPr>
              <w:t xml:space="preserve"> Relative odds reduction   </w:t>
            </w:r>
          </w:p>
        </w:tc>
        <w:tc>
          <w:tcPr>
            <w:tcW w:w="1980"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454"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c>
          <w:tcPr>
            <w:tcW w:w="1548" w:type="dxa"/>
            <w:tcBorders>
              <w:top w:val="nil"/>
              <w:bottom w:val="nil"/>
            </w:tcBorders>
            <w:shd w:val="clear" w:color="auto" w:fill="auto"/>
          </w:tcPr>
          <w:p w:rsidR="002929E6" w:rsidRPr="00853BEF" w:rsidRDefault="002929E6" w:rsidP="00D25AEA">
            <w:pPr>
              <w:spacing w:line="276" w:lineRule="auto"/>
              <w:rPr>
                <w:rFonts w:ascii="Arial" w:hAnsi="Arial" w:cs="Arial"/>
                <w:sz w:val="20"/>
                <w:szCs w:val="20"/>
              </w:rPr>
            </w:pPr>
          </w:p>
        </w:tc>
      </w:tr>
      <w:tr w:rsidR="00607F4E" w:rsidRPr="00853BEF" w:rsidTr="00216B25">
        <w:tc>
          <w:tcPr>
            <w:tcW w:w="4068" w:type="dxa"/>
            <w:tcBorders>
              <w:top w:val="nil"/>
              <w:bottom w:val="nil"/>
            </w:tcBorders>
            <w:shd w:val="clear" w:color="auto" w:fill="auto"/>
          </w:tcPr>
          <w:p w:rsidR="00607F4E" w:rsidRPr="00853BEF" w:rsidRDefault="00256207" w:rsidP="00D25AEA">
            <w:pPr>
              <w:spacing w:line="276" w:lineRule="auto"/>
              <w:rPr>
                <w:rFonts w:ascii="Arial" w:hAnsi="Arial" w:cs="Arial"/>
                <w:b/>
                <w:sz w:val="20"/>
                <w:szCs w:val="20"/>
              </w:rPr>
            </w:pPr>
            <w:r w:rsidRPr="00853BEF">
              <w:rPr>
                <w:rFonts w:ascii="Arial" w:hAnsi="Arial" w:cs="Arial"/>
                <w:sz w:val="20"/>
                <w:szCs w:val="20"/>
              </w:rPr>
              <w:t xml:space="preserve">           (percentage)</w:t>
            </w:r>
          </w:p>
        </w:tc>
        <w:tc>
          <w:tcPr>
            <w:tcW w:w="1980" w:type="dxa"/>
            <w:tcBorders>
              <w:top w:val="nil"/>
              <w:bottom w:val="nil"/>
            </w:tcBorders>
            <w:shd w:val="clear" w:color="auto" w:fill="auto"/>
          </w:tcPr>
          <w:p w:rsidR="00607F4E"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90%</w:t>
            </w:r>
          </w:p>
        </w:tc>
        <w:tc>
          <w:tcPr>
            <w:tcW w:w="1454" w:type="dxa"/>
            <w:tcBorders>
              <w:top w:val="nil"/>
              <w:bottom w:val="nil"/>
            </w:tcBorders>
            <w:shd w:val="clear" w:color="auto" w:fill="auto"/>
          </w:tcPr>
          <w:p w:rsidR="00607F4E" w:rsidRPr="00853BEF" w:rsidRDefault="00607F4E" w:rsidP="00D25AEA">
            <w:pPr>
              <w:spacing w:line="276" w:lineRule="auto"/>
              <w:rPr>
                <w:rFonts w:ascii="Arial" w:hAnsi="Arial" w:cs="Arial"/>
                <w:sz w:val="20"/>
                <w:szCs w:val="20"/>
              </w:rPr>
            </w:pPr>
          </w:p>
        </w:tc>
        <w:tc>
          <w:tcPr>
            <w:tcW w:w="1548" w:type="dxa"/>
            <w:tcBorders>
              <w:top w:val="nil"/>
              <w:bottom w:val="nil"/>
            </w:tcBorders>
            <w:shd w:val="clear" w:color="auto" w:fill="auto"/>
          </w:tcPr>
          <w:p w:rsidR="00607F4E"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&lt;0.0001</w:t>
            </w:r>
          </w:p>
        </w:tc>
      </w:tr>
      <w:tr w:rsidR="00607F4E" w:rsidRPr="00853BEF" w:rsidTr="00216B25">
        <w:tc>
          <w:tcPr>
            <w:tcW w:w="4068" w:type="dxa"/>
            <w:tcBorders>
              <w:top w:val="nil"/>
            </w:tcBorders>
            <w:shd w:val="clear" w:color="auto" w:fill="auto"/>
          </w:tcPr>
          <w:p w:rsidR="00607F4E" w:rsidRPr="00853BEF" w:rsidRDefault="00607F4E" w:rsidP="00D25AEA">
            <w:pPr>
              <w:spacing w:line="276" w:lineRule="auto"/>
              <w:rPr>
                <w:rFonts w:ascii="Arial" w:hAnsi="Arial" w:cs="Arial"/>
                <w:sz w:val="20"/>
                <w:szCs w:val="20"/>
              </w:rPr>
            </w:pPr>
            <w:r w:rsidRPr="00853BEF">
              <w:rPr>
                <w:rFonts w:ascii="Arial" w:hAnsi="Arial" w:cs="Arial"/>
                <w:sz w:val="20"/>
                <w:szCs w:val="20"/>
              </w:rPr>
              <w:t xml:space="preserve">       </w:t>
            </w:r>
            <w:r w:rsidR="00256207" w:rsidRPr="00853BEF">
              <w:rPr>
                <w:rFonts w:ascii="Arial" w:hAnsi="Arial" w:cs="Arial"/>
                <w:sz w:val="20"/>
                <w:szCs w:val="20"/>
              </w:rPr>
              <w:t xml:space="preserve">  </w:t>
            </w:r>
            <w:r w:rsidR="00D22727" w:rsidRPr="00853BEF">
              <w:rPr>
                <w:rFonts w:ascii="Arial" w:hAnsi="Arial" w:cs="Arial"/>
                <w:sz w:val="20"/>
                <w:szCs w:val="20"/>
              </w:rPr>
              <w:t xml:space="preserve"> </w:t>
            </w:r>
            <w:r w:rsidRPr="00853BEF">
              <w:rPr>
                <w:rFonts w:ascii="Arial" w:hAnsi="Arial" w:cs="Arial"/>
                <w:sz w:val="20"/>
                <w:szCs w:val="20"/>
              </w:rPr>
              <w:t xml:space="preserve"> (95% CI)</w:t>
            </w:r>
          </w:p>
          <w:p w:rsidR="00F639AD" w:rsidRPr="00853BEF" w:rsidRDefault="00F639AD" w:rsidP="00D25AEA">
            <w:pPr>
              <w:spacing w:line="276" w:lineRule="auto"/>
              <w:rPr>
                <w:rFonts w:ascii="Arial" w:hAnsi="Arial" w:cs="Arial"/>
                <w:sz w:val="20"/>
                <w:szCs w:val="20"/>
              </w:rPr>
            </w:pPr>
          </w:p>
        </w:tc>
        <w:tc>
          <w:tcPr>
            <w:tcW w:w="1980" w:type="dxa"/>
            <w:tcBorders>
              <w:top w:val="nil"/>
            </w:tcBorders>
            <w:shd w:val="clear" w:color="auto" w:fill="auto"/>
          </w:tcPr>
          <w:p w:rsidR="00607F4E" w:rsidRPr="00853BEF" w:rsidRDefault="00607F4E" w:rsidP="00D25AEA">
            <w:pPr>
              <w:spacing w:line="276" w:lineRule="auto"/>
              <w:jc w:val="center"/>
              <w:rPr>
                <w:rFonts w:ascii="Arial" w:hAnsi="Arial" w:cs="Arial"/>
                <w:sz w:val="20"/>
                <w:szCs w:val="20"/>
              </w:rPr>
            </w:pPr>
            <w:r w:rsidRPr="00853BEF">
              <w:rPr>
                <w:rFonts w:ascii="Arial" w:hAnsi="Arial" w:cs="Arial"/>
                <w:sz w:val="20"/>
                <w:szCs w:val="20"/>
              </w:rPr>
              <w:t>(78%, 95%)</w:t>
            </w:r>
          </w:p>
          <w:p w:rsidR="00F639AD" w:rsidRPr="00853BEF" w:rsidRDefault="00F639AD" w:rsidP="00D25AEA">
            <w:pPr>
              <w:spacing w:line="276" w:lineRule="auto"/>
              <w:jc w:val="center"/>
              <w:rPr>
                <w:rFonts w:ascii="Arial" w:hAnsi="Arial" w:cs="Arial"/>
                <w:sz w:val="20"/>
                <w:szCs w:val="20"/>
              </w:rPr>
            </w:pPr>
          </w:p>
        </w:tc>
        <w:tc>
          <w:tcPr>
            <w:tcW w:w="1454" w:type="dxa"/>
            <w:tcBorders>
              <w:top w:val="nil"/>
            </w:tcBorders>
            <w:shd w:val="clear" w:color="auto" w:fill="auto"/>
          </w:tcPr>
          <w:p w:rsidR="00607F4E" w:rsidRPr="00853BEF" w:rsidRDefault="00607F4E" w:rsidP="00D25AEA">
            <w:pPr>
              <w:spacing w:line="276" w:lineRule="auto"/>
              <w:rPr>
                <w:rFonts w:ascii="Arial" w:hAnsi="Arial" w:cs="Arial"/>
                <w:sz w:val="20"/>
                <w:szCs w:val="20"/>
              </w:rPr>
            </w:pPr>
          </w:p>
        </w:tc>
        <w:tc>
          <w:tcPr>
            <w:tcW w:w="1548" w:type="dxa"/>
            <w:tcBorders>
              <w:top w:val="nil"/>
            </w:tcBorders>
            <w:shd w:val="clear" w:color="auto" w:fill="auto"/>
          </w:tcPr>
          <w:p w:rsidR="00607F4E" w:rsidRPr="00853BEF" w:rsidRDefault="00607F4E" w:rsidP="00D25AEA">
            <w:pPr>
              <w:spacing w:line="276" w:lineRule="auto"/>
              <w:rPr>
                <w:rFonts w:ascii="Arial" w:hAnsi="Arial" w:cs="Arial"/>
                <w:sz w:val="20"/>
                <w:szCs w:val="20"/>
              </w:rPr>
            </w:pPr>
          </w:p>
        </w:tc>
      </w:tr>
      <w:tr w:rsidR="00256207" w:rsidRPr="00853BEF" w:rsidTr="00216B25">
        <w:tc>
          <w:tcPr>
            <w:tcW w:w="4068" w:type="dxa"/>
            <w:tcBorders>
              <w:bottom w:val="nil"/>
            </w:tcBorders>
            <w:shd w:val="clear" w:color="auto" w:fill="auto"/>
          </w:tcPr>
          <w:p w:rsidR="00256207" w:rsidRPr="00853BEF" w:rsidRDefault="00256207" w:rsidP="00D25AEA">
            <w:pPr>
              <w:spacing w:line="276" w:lineRule="auto"/>
              <w:rPr>
                <w:rFonts w:ascii="Arial" w:hAnsi="Arial" w:cs="Arial"/>
                <w:sz w:val="20"/>
                <w:szCs w:val="20"/>
              </w:rPr>
            </w:pPr>
            <w:r w:rsidRPr="00853BEF">
              <w:rPr>
                <w:rFonts w:ascii="Arial" w:hAnsi="Arial" w:cs="Arial"/>
                <w:sz w:val="20"/>
                <w:szCs w:val="20"/>
              </w:rPr>
              <w:t xml:space="preserve">Number of new T1 hypointense lesions over 2 years </w:t>
            </w:r>
          </w:p>
        </w:tc>
        <w:tc>
          <w:tcPr>
            <w:tcW w:w="1980" w:type="dxa"/>
            <w:tcBorders>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r w:rsidRPr="00853BEF">
              <w:rPr>
                <w:rFonts w:ascii="Arial" w:hAnsi="Arial" w:cs="Arial"/>
                <w:sz w:val="20"/>
                <w:szCs w:val="20"/>
              </w:rPr>
              <w:t xml:space="preserve">     </w:t>
            </w:r>
            <w:r w:rsidR="002B5EB2" w:rsidRPr="00853BEF">
              <w:rPr>
                <w:rFonts w:ascii="Arial" w:hAnsi="Arial" w:cs="Arial"/>
                <w:sz w:val="20"/>
                <w:szCs w:val="20"/>
              </w:rPr>
              <w:t xml:space="preserve">   </w:t>
            </w:r>
            <w:r w:rsidR="00D22727" w:rsidRPr="00853BEF">
              <w:rPr>
                <w:rFonts w:ascii="Arial" w:hAnsi="Arial" w:cs="Arial"/>
                <w:sz w:val="20"/>
                <w:szCs w:val="20"/>
              </w:rPr>
              <w:t xml:space="preserve"> </w:t>
            </w:r>
            <w:r w:rsidRPr="00853BEF">
              <w:rPr>
                <w:rFonts w:ascii="Arial" w:hAnsi="Arial" w:cs="Arial"/>
                <w:sz w:val="20"/>
                <w:szCs w:val="20"/>
              </w:rPr>
              <w:t xml:space="preserve"> Mean (median) </w:t>
            </w:r>
          </w:p>
        </w:tc>
        <w:tc>
          <w:tcPr>
            <w:tcW w:w="1980" w:type="dxa"/>
            <w:tcBorders>
              <w:top w:val="nil"/>
              <w:bottom w:val="nil"/>
            </w:tcBorders>
            <w:shd w:val="clear" w:color="auto" w:fill="auto"/>
          </w:tcPr>
          <w:p w:rsidR="00256207"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2.0 (1.0)</w:t>
            </w:r>
          </w:p>
        </w:tc>
        <w:tc>
          <w:tcPr>
            <w:tcW w:w="1454" w:type="dxa"/>
            <w:tcBorders>
              <w:top w:val="nil"/>
              <w:bottom w:val="nil"/>
            </w:tcBorders>
            <w:shd w:val="clear" w:color="auto" w:fill="auto"/>
          </w:tcPr>
          <w:p w:rsidR="00256207"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5.7 (2.0)</w:t>
            </w:r>
          </w:p>
        </w:tc>
        <w:tc>
          <w:tcPr>
            <w:tcW w:w="1548" w:type="dxa"/>
            <w:tcBorders>
              <w:top w:val="nil"/>
              <w:bottom w:val="nil"/>
            </w:tcBorders>
            <w:shd w:val="clear" w:color="auto" w:fill="auto"/>
          </w:tcPr>
          <w:p w:rsidR="00256207"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&lt; 0.0001</w:t>
            </w: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r w:rsidRPr="00853BEF">
              <w:rPr>
                <w:rFonts w:ascii="Arial" w:hAnsi="Arial" w:cs="Arial"/>
                <w:sz w:val="20"/>
                <w:szCs w:val="20"/>
              </w:rPr>
              <w:t xml:space="preserve">     </w:t>
            </w:r>
            <w:r w:rsidR="002B5EB2" w:rsidRPr="00853BEF">
              <w:rPr>
                <w:rFonts w:ascii="Arial" w:hAnsi="Arial" w:cs="Arial"/>
                <w:sz w:val="20"/>
                <w:szCs w:val="20"/>
              </w:rPr>
              <w:t xml:space="preserve">   </w:t>
            </w:r>
            <w:r w:rsidR="00D22727" w:rsidRPr="00853BEF">
              <w:rPr>
                <w:rFonts w:ascii="Arial" w:hAnsi="Arial" w:cs="Arial"/>
                <w:sz w:val="20"/>
                <w:szCs w:val="20"/>
              </w:rPr>
              <w:t xml:space="preserve"> </w:t>
            </w:r>
            <w:r w:rsidRPr="00853BEF">
              <w:rPr>
                <w:rFonts w:ascii="Arial" w:hAnsi="Arial" w:cs="Arial"/>
                <w:sz w:val="20"/>
                <w:szCs w:val="20"/>
              </w:rPr>
              <w:t xml:space="preserve"> Relative reduction (percentage)</w:t>
            </w:r>
          </w:p>
        </w:tc>
        <w:tc>
          <w:tcPr>
            <w:tcW w:w="1980" w:type="dxa"/>
            <w:tcBorders>
              <w:top w:val="nil"/>
              <w:bottom w:val="nil"/>
            </w:tcBorders>
            <w:shd w:val="clear" w:color="auto" w:fill="auto"/>
          </w:tcPr>
          <w:p w:rsidR="00256207"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72%</w:t>
            </w: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r w:rsidRPr="00853BEF">
              <w:rPr>
                <w:rFonts w:ascii="Arial" w:hAnsi="Arial" w:cs="Arial"/>
                <w:sz w:val="20"/>
                <w:szCs w:val="20"/>
              </w:rPr>
              <w:t xml:space="preserve">      </w:t>
            </w:r>
            <w:r w:rsidR="002B5EB2" w:rsidRPr="00853BEF">
              <w:rPr>
                <w:rFonts w:ascii="Arial" w:hAnsi="Arial" w:cs="Arial"/>
                <w:sz w:val="20"/>
                <w:szCs w:val="20"/>
              </w:rPr>
              <w:t xml:space="preserve">   </w:t>
            </w:r>
            <w:r w:rsidR="00D22727" w:rsidRPr="00853BEF">
              <w:rPr>
                <w:rFonts w:ascii="Arial" w:hAnsi="Arial" w:cs="Arial"/>
                <w:sz w:val="20"/>
                <w:szCs w:val="20"/>
              </w:rPr>
              <w:t xml:space="preserve"> </w:t>
            </w:r>
            <w:r w:rsidRPr="00853BEF">
              <w:rPr>
                <w:rFonts w:ascii="Arial" w:hAnsi="Arial" w:cs="Arial"/>
                <w:sz w:val="20"/>
                <w:szCs w:val="20"/>
              </w:rPr>
              <w:t>(95% CI)</w:t>
            </w:r>
          </w:p>
        </w:tc>
        <w:tc>
          <w:tcPr>
            <w:tcW w:w="1980" w:type="dxa"/>
            <w:tcBorders>
              <w:top w:val="nil"/>
              <w:bottom w:val="nil"/>
            </w:tcBorders>
            <w:shd w:val="clear" w:color="auto" w:fill="auto"/>
          </w:tcPr>
          <w:p w:rsidR="00256207" w:rsidRPr="00853BEF" w:rsidRDefault="00256207" w:rsidP="00D25AEA">
            <w:pPr>
              <w:spacing w:line="276" w:lineRule="auto"/>
              <w:jc w:val="center"/>
              <w:rPr>
                <w:rFonts w:ascii="Arial" w:hAnsi="Arial" w:cs="Arial"/>
                <w:sz w:val="20"/>
                <w:szCs w:val="20"/>
              </w:rPr>
            </w:pPr>
            <w:r w:rsidRPr="00853BEF">
              <w:rPr>
                <w:rFonts w:ascii="Arial" w:hAnsi="Arial" w:cs="Arial"/>
                <w:sz w:val="20"/>
                <w:szCs w:val="20"/>
              </w:rPr>
              <w:t>(61%, 80%)</w:t>
            </w: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980"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B5EB2" w:rsidP="00D25AEA">
            <w:pPr>
              <w:spacing w:line="276" w:lineRule="auto"/>
              <w:rPr>
                <w:rFonts w:ascii="Arial" w:hAnsi="Arial" w:cs="Arial"/>
                <w:sz w:val="20"/>
                <w:szCs w:val="20"/>
              </w:rPr>
            </w:pPr>
            <w:r w:rsidRPr="00853BEF">
              <w:rPr>
                <w:rFonts w:ascii="Arial" w:hAnsi="Arial" w:cs="Arial"/>
                <w:sz w:val="20"/>
                <w:szCs w:val="20"/>
              </w:rPr>
              <w:t>Percentage of subjects with</w:t>
            </w:r>
          </w:p>
        </w:tc>
        <w:tc>
          <w:tcPr>
            <w:tcW w:w="1980"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454"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B5EB2" w:rsidP="00D25AEA">
            <w:pPr>
              <w:spacing w:line="276" w:lineRule="auto"/>
              <w:rPr>
                <w:rFonts w:ascii="Arial" w:hAnsi="Arial" w:cs="Arial"/>
                <w:sz w:val="20"/>
                <w:szCs w:val="20"/>
              </w:rPr>
            </w:pPr>
            <w:r w:rsidRPr="00853BEF">
              <w:rPr>
                <w:rFonts w:ascii="Arial" w:hAnsi="Arial" w:cs="Arial"/>
                <w:sz w:val="20"/>
                <w:szCs w:val="20"/>
              </w:rPr>
              <w:t xml:space="preserve">            0 lesions</w:t>
            </w:r>
          </w:p>
        </w:tc>
        <w:tc>
          <w:tcPr>
            <w:tcW w:w="1980" w:type="dxa"/>
            <w:tcBorders>
              <w:top w:val="nil"/>
              <w:bottom w:val="nil"/>
            </w:tcBorders>
            <w:shd w:val="clear" w:color="auto" w:fill="auto"/>
          </w:tcPr>
          <w:p w:rsidR="00256207"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40%</w:t>
            </w:r>
          </w:p>
        </w:tc>
        <w:tc>
          <w:tcPr>
            <w:tcW w:w="1454" w:type="dxa"/>
            <w:tcBorders>
              <w:top w:val="nil"/>
              <w:bottom w:val="nil"/>
            </w:tcBorders>
            <w:shd w:val="clear" w:color="auto" w:fill="auto"/>
          </w:tcPr>
          <w:p w:rsidR="00256207"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36%</w:t>
            </w: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56207" w:rsidRPr="00853BEF" w:rsidTr="00216B25">
        <w:tc>
          <w:tcPr>
            <w:tcW w:w="4068" w:type="dxa"/>
            <w:tcBorders>
              <w:top w:val="nil"/>
              <w:bottom w:val="nil"/>
            </w:tcBorders>
            <w:shd w:val="clear" w:color="auto" w:fill="auto"/>
          </w:tcPr>
          <w:p w:rsidR="00256207" w:rsidRPr="00853BEF" w:rsidRDefault="002B5EB2" w:rsidP="00D25AEA">
            <w:pPr>
              <w:spacing w:line="276" w:lineRule="auto"/>
              <w:rPr>
                <w:rFonts w:ascii="Arial" w:hAnsi="Arial" w:cs="Arial"/>
                <w:sz w:val="20"/>
                <w:szCs w:val="20"/>
              </w:rPr>
            </w:pPr>
            <w:r w:rsidRPr="00853BEF">
              <w:rPr>
                <w:rFonts w:ascii="Arial" w:hAnsi="Arial" w:cs="Arial"/>
                <w:sz w:val="20"/>
                <w:szCs w:val="20"/>
              </w:rPr>
              <w:t xml:space="preserve">            1 lesion</w:t>
            </w:r>
          </w:p>
        </w:tc>
        <w:tc>
          <w:tcPr>
            <w:tcW w:w="1980" w:type="dxa"/>
            <w:tcBorders>
              <w:top w:val="nil"/>
              <w:bottom w:val="nil"/>
            </w:tcBorders>
            <w:shd w:val="clear" w:color="auto" w:fill="auto"/>
          </w:tcPr>
          <w:p w:rsidR="00256207"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23%</w:t>
            </w:r>
          </w:p>
        </w:tc>
        <w:tc>
          <w:tcPr>
            <w:tcW w:w="1454" w:type="dxa"/>
            <w:tcBorders>
              <w:top w:val="nil"/>
              <w:bottom w:val="nil"/>
            </w:tcBorders>
            <w:shd w:val="clear" w:color="auto" w:fill="auto"/>
          </w:tcPr>
          <w:p w:rsidR="00256207"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10%</w:t>
            </w:r>
          </w:p>
        </w:tc>
        <w:tc>
          <w:tcPr>
            <w:tcW w:w="1548" w:type="dxa"/>
            <w:tcBorders>
              <w:top w:val="nil"/>
              <w:bottom w:val="nil"/>
            </w:tcBorders>
            <w:shd w:val="clear" w:color="auto" w:fill="auto"/>
          </w:tcPr>
          <w:p w:rsidR="00256207" w:rsidRPr="00853BEF" w:rsidRDefault="00256207" w:rsidP="00D25AEA">
            <w:pPr>
              <w:spacing w:line="276" w:lineRule="auto"/>
              <w:rPr>
                <w:rFonts w:ascii="Arial" w:hAnsi="Arial" w:cs="Arial"/>
                <w:sz w:val="20"/>
                <w:szCs w:val="20"/>
              </w:rPr>
            </w:pPr>
          </w:p>
        </w:tc>
      </w:tr>
      <w:tr w:rsidR="002B5EB2" w:rsidRPr="00853BEF" w:rsidTr="00216B25">
        <w:tc>
          <w:tcPr>
            <w:tcW w:w="4068" w:type="dxa"/>
            <w:tcBorders>
              <w:top w:val="nil"/>
              <w:bottom w:val="nil"/>
            </w:tcBorders>
            <w:shd w:val="clear" w:color="auto" w:fill="auto"/>
          </w:tcPr>
          <w:p w:rsidR="002B5EB2" w:rsidRPr="00853BEF" w:rsidRDefault="002B5EB2" w:rsidP="00D25AEA">
            <w:pPr>
              <w:spacing w:line="276" w:lineRule="auto"/>
              <w:rPr>
                <w:rFonts w:ascii="Arial" w:hAnsi="Arial" w:cs="Arial"/>
                <w:sz w:val="20"/>
                <w:szCs w:val="20"/>
              </w:rPr>
            </w:pPr>
            <w:r w:rsidRPr="00853BEF">
              <w:rPr>
                <w:rFonts w:ascii="Arial" w:hAnsi="Arial" w:cs="Arial"/>
                <w:sz w:val="20"/>
                <w:szCs w:val="20"/>
              </w:rPr>
              <w:t xml:space="preserve">            2 lesions</w:t>
            </w:r>
          </w:p>
        </w:tc>
        <w:tc>
          <w:tcPr>
            <w:tcW w:w="1980" w:type="dxa"/>
            <w:tcBorders>
              <w:top w:val="nil"/>
              <w:bottom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10%</w:t>
            </w:r>
          </w:p>
        </w:tc>
        <w:tc>
          <w:tcPr>
            <w:tcW w:w="1454" w:type="dxa"/>
            <w:tcBorders>
              <w:top w:val="nil"/>
              <w:bottom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 xml:space="preserve">  6%</w:t>
            </w:r>
          </w:p>
        </w:tc>
        <w:tc>
          <w:tcPr>
            <w:tcW w:w="1548" w:type="dxa"/>
            <w:tcBorders>
              <w:top w:val="nil"/>
              <w:bottom w:val="nil"/>
            </w:tcBorders>
            <w:shd w:val="clear" w:color="auto" w:fill="auto"/>
          </w:tcPr>
          <w:p w:rsidR="002B5EB2" w:rsidRPr="00853BEF" w:rsidRDefault="002B5EB2" w:rsidP="00D25AEA">
            <w:pPr>
              <w:spacing w:line="276" w:lineRule="auto"/>
              <w:rPr>
                <w:rFonts w:ascii="Arial" w:hAnsi="Arial" w:cs="Arial"/>
                <w:sz w:val="20"/>
                <w:szCs w:val="20"/>
              </w:rPr>
            </w:pPr>
          </w:p>
        </w:tc>
      </w:tr>
      <w:tr w:rsidR="002B5EB2" w:rsidRPr="00853BEF" w:rsidTr="00216B25">
        <w:tc>
          <w:tcPr>
            <w:tcW w:w="4068" w:type="dxa"/>
            <w:tcBorders>
              <w:top w:val="nil"/>
              <w:bottom w:val="nil"/>
            </w:tcBorders>
            <w:shd w:val="clear" w:color="auto" w:fill="auto"/>
          </w:tcPr>
          <w:p w:rsidR="002B5EB2" w:rsidRPr="00853BEF" w:rsidRDefault="002B5EB2" w:rsidP="00D25AEA">
            <w:pPr>
              <w:spacing w:line="276" w:lineRule="auto"/>
              <w:rPr>
                <w:rFonts w:ascii="Arial" w:hAnsi="Arial" w:cs="Arial"/>
                <w:sz w:val="20"/>
                <w:szCs w:val="20"/>
              </w:rPr>
            </w:pPr>
            <w:r w:rsidRPr="00853BEF">
              <w:rPr>
                <w:rFonts w:ascii="Arial" w:hAnsi="Arial" w:cs="Arial"/>
                <w:sz w:val="20"/>
                <w:szCs w:val="20"/>
              </w:rPr>
              <w:t xml:space="preserve">            3 to 4 lesions</w:t>
            </w:r>
          </w:p>
        </w:tc>
        <w:tc>
          <w:tcPr>
            <w:tcW w:w="1980" w:type="dxa"/>
            <w:tcBorders>
              <w:top w:val="nil"/>
              <w:bottom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17%</w:t>
            </w:r>
          </w:p>
        </w:tc>
        <w:tc>
          <w:tcPr>
            <w:tcW w:w="1454" w:type="dxa"/>
            <w:tcBorders>
              <w:top w:val="nil"/>
              <w:bottom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12%</w:t>
            </w:r>
          </w:p>
        </w:tc>
        <w:tc>
          <w:tcPr>
            <w:tcW w:w="1548" w:type="dxa"/>
            <w:tcBorders>
              <w:top w:val="nil"/>
              <w:bottom w:val="nil"/>
            </w:tcBorders>
            <w:shd w:val="clear" w:color="auto" w:fill="auto"/>
          </w:tcPr>
          <w:p w:rsidR="002B5EB2" w:rsidRPr="00853BEF" w:rsidRDefault="002B5EB2" w:rsidP="00D25AEA">
            <w:pPr>
              <w:spacing w:line="276" w:lineRule="auto"/>
              <w:rPr>
                <w:rFonts w:ascii="Arial" w:hAnsi="Arial" w:cs="Arial"/>
                <w:sz w:val="20"/>
                <w:szCs w:val="20"/>
              </w:rPr>
            </w:pPr>
          </w:p>
        </w:tc>
      </w:tr>
      <w:tr w:rsidR="002B5EB2" w:rsidRPr="00853BEF" w:rsidTr="00216B25">
        <w:tc>
          <w:tcPr>
            <w:tcW w:w="4068" w:type="dxa"/>
            <w:tcBorders>
              <w:top w:val="nil"/>
            </w:tcBorders>
            <w:shd w:val="clear" w:color="auto" w:fill="auto"/>
          </w:tcPr>
          <w:p w:rsidR="002B5EB2" w:rsidRPr="00853BEF" w:rsidRDefault="002B5EB2" w:rsidP="00D25AEA">
            <w:pPr>
              <w:spacing w:line="276" w:lineRule="auto"/>
              <w:rPr>
                <w:rFonts w:ascii="Arial" w:hAnsi="Arial" w:cs="Arial"/>
                <w:sz w:val="20"/>
                <w:szCs w:val="20"/>
              </w:rPr>
            </w:pPr>
            <w:r w:rsidRPr="00853BEF">
              <w:rPr>
                <w:rFonts w:ascii="Arial" w:hAnsi="Arial" w:cs="Arial"/>
                <w:sz w:val="20"/>
                <w:szCs w:val="20"/>
              </w:rPr>
              <w:t xml:space="preserve">            5 or more lesions</w:t>
            </w:r>
          </w:p>
        </w:tc>
        <w:tc>
          <w:tcPr>
            <w:tcW w:w="1980" w:type="dxa"/>
            <w:tcBorders>
              <w:top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9%</w:t>
            </w:r>
          </w:p>
        </w:tc>
        <w:tc>
          <w:tcPr>
            <w:tcW w:w="1454" w:type="dxa"/>
            <w:tcBorders>
              <w:top w:val="nil"/>
            </w:tcBorders>
            <w:shd w:val="clear" w:color="auto" w:fill="auto"/>
          </w:tcPr>
          <w:p w:rsidR="002B5EB2" w:rsidRPr="00853BEF" w:rsidRDefault="002B5EB2" w:rsidP="00D25AEA">
            <w:pPr>
              <w:spacing w:line="276" w:lineRule="auto"/>
              <w:jc w:val="center"/>
              <w:rPr>
                <w:rFonts w:ascii="Arial" w:hAnsi="Arial" w:cs="Arial"/>
                <w:sz w:val="20"/>
                <w:szCs w:val="20"/>
              </w:rPr>
            </w:pPr>
            <w:r w:rsidRPr="00853BEF">
              <w:rPr>
                <w:rFonts w:ascii="Arial" w:hAnsi="Arial" w:cs="Arial"/>
                <w:sz w:val="20"/>
                <w:szCs w:val="20"/>
              </w:rPr>
              <w:t>37%</w:t>
            </w:r>
          </w:p>
        </w:tc>
        <w:tc>
          <w:tcPr>
            <w:tcW w:w="1548" w:type="dxa"/>
            <w:tcBorders>
              <w:top w:val="nil"/>
            </w:tcBorders>
            <w:shd w:val="clear" w:color="auto" w:fill="auto"/>
          </w:tcPr>
          <w:p w:rsidR="002B5EB2" w:rsidRPr="00853BEF" w:rsidRDefault="002B5EB2" w:rsidP="00D25AEA">
            <w:pPr>
              <w:spacing w:line="276" w:lineRule="auto"/>
              <w:rPr>
                <w:rFonts w:ascii="Arial" w:hAnsi="Arial" w:cs="Arial"/>
                <w:sz w:val="20"/>
                <w:szCs w:val="20"/>
              </w:rPr>
            </w:pPr>
          </w:p>
        </w:tc>
      </w:tr>
    </w:tbl>
    <w:p w:rsidR="002B5EB2" w:rsidRPr="00853BEF" w:rsidRDefault="008F1D9D" w:rsidP="00D25AEA">
      <w:pPr>
        <w:spacing w:line="276" w:lineRule="auto"/>
        <w:rPr>
          <w:rFonts w:ascii="Arial" w:hAnsi="Arial" w:cs="Arial"/>
          <w:i/>
          <w:sz w:val="16"/>
          <w:szCs w:val="16"/>
        </w:rPr>
      </w:pPr>
      <w:r w:rsidRPr="00853BEF">
        <w:rPr>
          <w:rFonts w:ascii="Arial" w:hAnsi="Arial" w:cs="Arial"/>
          <w:i/>
          <w:sz w:val="16"/>
          <w:szCs w:val="16"/>
        </w:rPr>
        <w:t xml:space="preserve">(a): Based on Kaplan-Meier estimate. </w:t>
      </w:r>
    </w:p>
    <w:p w:rsidR="00607F4E" w:rsidRPr="00853BEF" w:rsidRDefault="00E15686" w:rsidP="00D25AEA">
      <w:pPr>
        <w:spacing w:line="276" w:lineRule="auto"/>
        <w:rPr>
          <w:rFonts w:ascii="Arial" w:hAnsi="Arial" w:cs="Arial"/>
          <w:i/>
          <w:sz w:val="16"/>
          <w:szCs w:val="16"/>
        </w:rPr>
      </w:pPr>
      <w:r w:rsidRPr="00853BEF">
        <w:rPr>
          <w:rFonts w:ascii="Arial" w:hAnsi="Arial" w:cs="Arial"/>
          <w:i/>
          <w:sz w:val="16"/>
          <w:szCs w:val="16"/>
        </w:rPr>
        <w:t xml:space="preserve">Note: </w:t>
      </w:r>
      <w:r w:rsidR="00607F4E" w:rsidRPr="00853BEF">
        <w:rPr>
          <w:rFonts w:ascii="Arial" w:hAnsi="Arial" w:cs="Arial"/>
          <w:i/>
          <w:sz w:val="16"/>
          <w:szCs w:val="16"/>
        </w:rPr>
        <w:t>All analyses of clinical endpoints were intent-to-treat.  MRI analysis used MRI cohort.</w:t>
      </w:r>
    </w:p>
    <w:p w:rsidR="00F44DEA" w:rsidRPr="00E94ACD" w:rsidRDefault="00F44DEA" w:rsidP="00D25AEA">
      <w:pPr>
        <w:pStyle w:val="Default"/>
        <w:spacing w:line="276" w:lineRule="auto"/>
        <w:rPr>
          <w:rFonts w:ascii="Arial" w:hAnsi="Arial" w:cs="Arial"/>
          <w:color w:val="auto"/>
          <w:sz w:val="22"/>
          <w:szCs w:val="22"/>
        </w:rPr>
      </w:pPr>
      <w:bookmarkStart w:id="22" w:name="g227f46f1-b450-4f66-94ed-46846e4cfe8d"/>
      <w:bookmarkStart w:id="23" w:name="g9ca27236-71e0-47d9-8d46-00532f147419"/>
      <w:bookmarkStart w:id="24" w:name="g527a5879-7cee-4db8-905a-7fd4fb9b721f"/>
      <w:bookmarkEnd w:id="21"/>
      <w:bookmarkEnd w:id="22"/>
      <w:bookmarkEnd w:id="23"/>
      <w:bookmarkEnd w:id="24"/>
    </w:p>
    <w:p w:rsidR="00F44DEA" w:rsidRPr="00E94ACD" w:rsidRDefault="00F44DEA" w:rsidP="00D25AEA">
      <w:pPr>
        <w:pStyle w:val="Default"/>
        <w:spacing w:line="276" w:lineRule="auto"/>
        <w:rPr>
          <w:rFonts w:ascii="Arial" w:hAnsi="Arial" w:cs="Arial"/>
          <w:color w:val="auto"/>
          <w:sz w:val="22"/>
          <w:szCs w:val="22"/>
        </w:rPr>
      </w:pPr>
      <w:r w:rsidRPr="00E94ACD">
        <w:rPr>
          <w:rFonts w:ascii="Arial" w:hAnsi="Arial" w:cs="Arial"/>
          <w:color w:val="auto"/>
          <w:sz w:val="22"/>
          <w:szCs w:val="22"/>
        </w:rPr>
        <w:t xml:space="preserve">Study 2 (CONFIRM) was a 2-year multicenter, randomised, double-blind, placebo-controlled study which contained a rater-blinded (i.e. study physician/investigator assessing the response to study treatment is blinded) reference comparator of glatiramer acetate (GA) in 1417 patients with RRMS. </w:t>
      </w:r>
    </w:p>
    <w:p w:rsidR="00F44DEA" w:rsidRPr="00E94ACD" w:rsidRDefault="00F44DEA" w:rsidP="00D25AEA">
      <w:pPr>
        <w:pStyle w:val="Default"/>
        <w:spacing w:line="276" w:lineRule="auto"/>
        <w:rPr>
          <w:rFonts w:ascii="Arial" w:hAnsi="Arial" w:cs="Arial"/>
          <w:color w:val="auto"/>
          <w:sz w:val="22"/>
          <w:szCs w:val="22"/>
        </w:rPr>
      </w:pPr>
    </w:p>
    <w:p w:rsidR="00F44DEA" w:rsidRPr="00E94ACD" w:rsidRDefault="00F44DEA" w:rsidP="00D25AEA">
      <w:pPr>
        <w:pStyle w:val="Default"/>
        <w:spacing w:line="276" w:lineRule="auto"/>
        <w:rPr>
          <w:rFonts w:ascii="Arial" w:hAnsi="Arial" w:cs="Arial"/>
          <w:color w:val="auto"/>
          <w:sz w:val="22"/>
          <w:szCs w:val="22"/>
        </w:rPr>
      </w:pPr>
      <w:r w:rsidRPr="00E94ACD">
        <w:rPr>
          <w:rFonts w:ascii="Arial" w:hAnsi="Arial" w:cs="Arial"/>
          <w:color w:val="auto"/>
          <w:sz w:val="22"/>
          <w:szCs w:val="22"/>
        </w:rPr>
        <w:t xml:space="preserve">Patients had not received interferon-beta for at least the previous 3 months, natalizumab for at least the previous 6 months and had not previously received GA. The efficacy and safety </w:t>
      </w:r>
      <w:r w:rsidRPr="00E94ACD">
        <w:rPr>
          <w:rFonts w:ascii="Arial" w:hAnsi="Arial" w:cs="Arial"/>
          <w:color w:val="auto"/>
          <w:sz w:val="22"/>
          <w:szCs w:val="22"/>
        </w:rPr>
        <w:lastRenderedPageBreak/>
        <w:t>evaluations were similar to Study 1 and the endpoints were broadly consistent, but the primary endpoint of Study 2 was the annualized relapse rate at 2 years, whereas the primary endpoint of Study 1 was the proportion of subjects relapsed at 2 years.  Median age: 37 years, median years since diagnosis: 3.0 years and median EDSS score at baseline: 2.5. Patients were randomised to receive TECFIDERA 240 mg twice a day (n=359), TECFIDERA 240 mg three times a day (n=344), placebo (n=363) or glatiramer acetate (n=351) for up to 2 years. Median time on study was 96 w</w:t>
      </w:r>
      <w:r w:rsidR="0013200E">
        <w:rPr>
          <w:rFonts w:ascii="Arial" w:hAnsi="Arial" w:cs="Arial"/>
          <w:color w:val="auto"/>
          <w:sz w:val="22"/>
          <w:szCs w:val="22"/>
        </w:rPr>
        <w:t xml:space="preserve">eeks for all treatment groups. </w:t>
      </w:r>
      <w:r w:rsidRPr="00E94ACD">
        <w:rPr>
          <w:rFonts w:ascii="Arial" w:hAnsi="Arial" w:cs="Arial"/>
          <w:color w:val="auto"/>
          <w:sz w:val="22"/>
          <w:szCs w:val="22"/>
        </w:rPr>
        <w:t xml:space="preserve">  </w:t>
      </w:r>
    </w:p>
    <w:p w:rsidR="00F44DEA" w:rsidRPr="00E94ACD" w:rsidRDefault="00F44DEA" w:rsidP="00D25AEA">
      <w:pPr>
        <w:pStyle w:val="Default"/>
        <w:spacing w:line="276" w:lineRule="auto"/>
        <w:rPr>
          <w:rFonts w:ascii="Arial" w:hAnsi="Arial" w:cs="Arial"/>
          <w:color w:val="auto"/>
          <w:sz w:val="22"/>
          <w:szCs w:val="22"/>
        </w:rPr>
      </w:pPr>
    </w:p>
    <w:p w:rsidR="008F5AF8" w:rsidRDefault="00F44DEA" w:rsidP="00D25AEA">
      <w:pPr>
        <w:pStyle w:val="Default"/>
        <w:spacing w:line="276" w:lineRule="auto"/>
        <w:rPr>
          <w:rFonts w:ascii="Arial" w:hAnsi="Arial" w:cs="Arial"/>
          <w:color w:val="auto"/>
          <w:sz w:val="22"/>
          <w:szCs w:val="22"/>
        </w:rPr>
      </w:pPr>
      <w:r w:rsidRPr="00E94ACD">
        <w:rPr>
          <w:rFonts w:ascii="Arial" w:hAnsi="Arial" w:cs="Arial"/>
          <w:color w:val="auto"/>
          <w:sz w:val="22"/>
          <w:szCs w:val="22"/>
        </w:rPr>
        <w:t xml:space="preserve">The annualised relapse rate was significantly lower in patients treated with TECFIDERA than in patients treated with placebo at 2 years. Secondary endpoints at 2 years included the number of new or newly enlarging T2 hyperintense lesions, number of T1 hypointense lesions, proportion of patients relapsed and time to confirmed disability progression defined as in Study 1. </w:t>
      </w:r>
    </w:p>
    <w:p w:rsidR="008F5AF8" w:rsidRDefault="008F5AF8" w:rsidP="00D25AEA">
      <w:pPr>
        <w:pStyle w:val="Default"/>
        <w:spacing w:line="276" w:lineRule="auto"/>
        <w:rPr>
          <w:rFonts w:ascii="Arial" w:hAnsi="Arial" w:cs="Arial"/>
          <w:color w:val="auto"/>
          <w:sz w:val="22"/>
          <w:szCs w:val="22"/>
        </w:rPr>
      </w:pPr>
    </w:p>
    <w:p w:rsidR="00F44DEA" w:rsidRPr="00E94ACD" w:rsidRDefault="00F44DEA" w:rsidP="00D25AEA">
      <w:pPr>
        <w:pStyle w:val="Default"/>
        <w:spacing w:line="276" w:lineRule="auto"/>
        <w:rPr>
          <w:rFonts w:ascii="Arial" w:hAnsi="Arial" w:cs="Arial"/>
          <w:sz w:val="22"/>
          <w:szCs w:val="22"/>
        </w:rPr>
      </w:pPr>
      <w:r w:rsidRPr="00E94ACD">
        <w:rPr>
          <w:rFonts w:ascii="Arial" w:hAnsi="Arial" w:cs="Arial"/>
          <w:color w:val="auto"/>
          <w:sz w:val="22"/>
          <w:szCs w:val="22"/>
        </w:rPr>
        <w:t>TECFIDERA</w:t>
      </w:r>
      <w:r w:rsidRPr="00E94ACD">
        <w:rPr>
          <w:rFonts w:ascii="Arial" w:hAnsi="Arial" w:cs="Arial"/>
          <w:color w:val="C0504D"/>
          <w:sz w:val="22"/>
          <w:szCs w:val="22"/>
        </w:rPr>
        <w:t xml:space="preserve"> </w:t>
      </w:r>
      <w:r w:rsidRPr="00E94ACD">
        <w:rPr>
          <w:rFonts w:ascii="Arial" w:hAnsi="Arial" w:cs="Arial"/>
          <w:sz w:val="22"/>
          <w:szCs w:val="22"/>
        </w:rPr>
        <w:t xml:space="preserve">had a clinically meaningful and statistically significant effect on the primary endpoint and secondary relapse and MRI endpoints. In Study 2, the annualised relapse rate for glatiramer acetate versus placebo was 0.286 and 0.401, corresponding to a reduction of 29% (p=0.013) which is consistent with approved product labeling. The results for this study are shown in Table 2. </w:t>
      </w:r>
    </w:p>
    <w:p w:rsidR="007E1CD3" w:rsidRPr="003124B9" w:rsidRDefault="007E1CD3" w:rsidP="00D25AEA">
      <w:pPr>
        <w:spacing w:line="276" w:lineRule="auto"/>
        <w:rPr>
          <w:rFonts w:ascii="Arial" w:hAnsi="Arial" w:cs="Arial"/>
          <w:b/>
          <w:sz w:val="22"/>
          <w:szCs w:val="22"/>
        </w:rPr>
      </w:pPr>
    </w:p>
    <w:p w:rsidR="00607F4E" w:rsidRPr="003124B9" w:rsidRDefault="00607F4E" w:rsidP="00D25AEA">
      <w:pPr>
        <w:spacing w:line="276" w:lineRule="auto"/>
        <w:rPr>
          <w:rFonts w:ascii="Arial" w:hAnsi="Arial" w:cs="Arial"/>
          <w:b/>
          <w:sz w:val="22"/>
          <w:szCs w:val="22"/>
        </w:rPr>
      </w:pPr>
      <w:r w:rsidRPr="003124B9">
        <w:rPr>
          <w:rFonts w:ascii="Arial" w:hAnsi="Arial" w:cs="Arial"/>
          <w:b/>
          <w:sz w:val="22"/>
          <w:szCs w:val="22"/>
        </w:rPr>
        <w:t xml:space="preserve">Table </w:t>
      </w:r>
      <w:r w:rsidR="00376621" w:rsidRPr="003124B9">
        <w:rPr>
          <w:rFonts w:ascii="Arial" w:hAnsi="Arial" w:cs="Arial"/>
          <w:b/>
          <w:sz w:val="22"/>
          <w:szCs w:val="22"/>
        </w:rPr>
        <w:t>2</w:t>
      </w:r>
      <w:r w:rsidRPr="003124B9">
        <w:rPr>
          <w:rFonts w:ascii="Arial" w:hAnsi="Arial" w:cs="Arial"/>
          <w:b/>
          <w:sz w:val="22"/>
          <w:szCs w:val="22"/>
        </w:rPr>
        <w:t>:  Clinical and MRI Results of Study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8"/>
        <w:gridCol w:w="1530"/>
        <w:gridCol w:w="1508"/>
        <w:gridCol w:w="1587"/>
      </w:tblGrid>
      <w:tr w:rsidR="00607F4E" w:rsidRPr="003124B9" w:rsidTr="000524FE">
        <w:trPr>
          <w:tblHeader/>
        </w:trPr>
        <w:tc>
          <w:tcPr>
            <w:tcW w:w="4158" w:type="dxa"/>
            <w:shd w:val="clear" w:color="auto" w:fill="auto"/>
          </w:tcPr>
          <w:p w:rsidR="00607F4E" w:rsidRPr="003124B9" w:rsidRDefault="00607F4E" w:rsidP="00D25AEA">
            <w:pPr>
              <w:spacing w:line="276" w:lineRule="auto"/>
              <w:rPr>
                <w:rFonts w:ascii="Arial" w:hAnsi="Arial" w:cs="Arial"/>
                <w:b/>
                <w:sz w:val="20"/>
                <w:szCs w:val="20"/>
              </w:rPr>
            </w:pPr>
            <w:bookmarkStart w:id="25" w:name="g3b0b863e-8480-4b53-a919-b68afb9aefe4"/>
            <w:bookmarkStart w:id="26" w:name="gacfd10cc-a410-400e-9182-8ece02d09c1a"/>
            <w:bookmarkEnd w:id="25"/>
            <w:bookmarkEnd w:id="26"/>
          </w:p>
        </w:tc>
        <w:tc>
          <w:tcPr>
            <w:tcW w:w="1530" w:type="dxa"/>
            <w:shd w:val="clear" w:color="auto" w:fill="auto"/>
          </w:tcPr>
          <w:p w:rsidR="00607F4E" w:rsidRPr="003124B9" w:rsidRDefault="005956CF" w:rsidP="00D25AEA">
            <w:pPr>
              <w:spacing w:line="276" w:lineRule="auto"/>
              <w:jc w:val="center"/>
              <w:rPr>
                <w:rFonts w:ascii="Arial" w:hAnsi="Arial" w:cs="Arial"/>
                <w:b/>
                <w:sz w:val="20"/>
                <w:szCs w:val="20"/>
              </w:rPr>
            </w:pPr>
            <w:r w:rsidRPr="003124B9">
              <w:rPr>
                <w:rFonts w:ascii="Arial" w:hAnsi="Arial" w:cs="Arial"/>
                <w:b/>
                <w:sz w:val="20"/>
                <w:szCs w:val="20"/>
                <w:lang w:val="en-US"/>
              </w:rPr>
              <w:t>TECFIDERA</w:t>
            </w:r>
            <w:r w:rsidR="004207C1" w:rsidRPr="003124B9">
              <w:rPr>
                <w:rFonts w:ascii="Arial" w:hAnsi="Arial" w:cs="Arial"/>
                <w:b/>
                <w:sz w:val="20"/>
                <w:szCs w:val="20"/>
                <w:lang w:val="en-US"/>
              </w:rPr>
              <w:t xml:space="preserve"> </w:t>
            </w:r>
            <w:r w:rsidR="00607F4E" w:rsidRPr="003124B9">
              <w:rPr>
                <w:rFonts w:ascii="Arial" w:hAnsi="Arial" w:cs="Arial"/>
                <w:b/>
                <w:sz w:val="20"/>
                <w:szCs w:val="20"/>
              </w:rPr>
              <w:t>240 mg BID</w:t>
            </w:r>
          </w:p>
          <w:p w:rsidR="00607F4E" w:rsidRPr="003124B9" w:rsidRDefault="00607F4E" w:rsidP="00D25AEA">
            <w:pPr>
              <w:spacing w:line="276" w:lineRule="auto"/>
              <w:jc w:val="center"/>
              <w:rPr>
                <w:rFonts w:ascii="Arial" w:hAnsi="Arial" w:cs="Arial"/>
                <w:b/>
                <w:sz w:val="20"/>
                <w:szCs w:val="20"/>
              </w:rPr>
            </w:pPr>
            <w:r w:rsidRPr="003124B9">
              <w:rPr>
                <w:rFonts w:ascii="Arial" w:hAnsi="Arial" w:cs="Arial"/>
                <w:b/>
                <w:sz w:val="20"/>
                <w:szCs w:val="20"/>
              </w:rPr>
              <w:t>(</w:t>
            </w:r>
            <w:r w:rsidR="00920D3D" w:rsidRPr="003124B9">
              <w:rPr>
                <w:rFonts w:ascii="Arial" w:hAnsi="Arial" w:cs="Arial"/>
                <w:b/>
                <w:sz w:val="20"/>
                <w:szCs w:val="20"/>
              </w:rPr>
              <w:t>n</w:t>
            </w:r>
            <w:r w:rsidRPr="003124B9">
              <w:rPr>
                <w:rFonts w:ascii="Arial" w:hAnsi="Arial" w:cs="Arial"/>
                <w:b/>
                <w:sz w:val="20"/>
                <w:szCs w:val="20"/>
              </w:rPr>
              <w:t>=359)</w:t>
            </w:r>
          </w:p>
        </w:tc>
        <w:tc>
          <w:tcPr>
            <w:tcW w:w="1508" w:type="dxa"/>
            <w:shd w:val="clear" w:color="auto" w:fill="auto"/>
          </w:tcPr>
          <w:p w:rsidR="00607F4E" w:rsidRPr="003124B9" w:rsidRDefault="00607F4E" w:rsidP="00D25AEA">
            <w:pPr>
              <w:spacing w:line="276" w:lineRule="auto"/>
              <w:jc w:val="center"/>
              <w:rPr>
                <w:rFonts w:ascii="Arial" w:hAnsi="Arial" w:cs="Arial"/>
                <w:b/>
                <w:sz w:val="20"/>
                <w:szCs w:val="20"/>
              </w:rPr>
            </w:pPr>
          </w:p>
          <w:p w:rsidR="00607F4E" w:rsidRPr="003124B9" w:rsidRDefault="00607F4E" w:rsidP="00D25AEA">
            <w:pPr>
              <w:spacing w:line="276" w:lineRule="auto"/>
              <w:jc w:val="center"/>
              <w:rPr>
                <w:rFonts w:ascii="Arial" w:hAnsi="Arial" w:cs="Arial"/>
                <w:b/>
                <w:sz w:val="20"/>
                <w:szCs w:val="20"/>
              </w:rPr>
            </w:pPr>
            <w:r w:rsidRPr="003124B9">
              <w:rPr>
                <w:rFonts w:ascii="Arial" w:hAnsi="Arial" w:cs="Arial"/>
                <w:b/>
                <w:sz w:val="20"/>
                <w:szCs w:val="20"/>
              </w:rPr>
              <w:t>Placebo</w:t>
            </w:r>
          </w:p>
          <w:p w:rsidR="00607F4E" w:rsidRPr="003124B9" w:rsidRDefault="00607F4E" w:rsidP="00D25AEA">
            <w:pPr>
              <w:spacing w:line="276" w:lineRule="auto"/>
              <w:jc w:val="center"/>
              <w:rPr>
                <w:rFonts w:ascii="Arial" w:hAnsi="Arial" w:cs="Arial"/>
                <w:b/>
                <w:sz w:val="20"/>
                <w:szCs w:val="20"/>
              </w:rPr>
            </w:pPr>
            <w:r w:rsidRPr="003124B9">
              <w:rPr>
                <w:rFonts w:ascii="Arial" w:hAnsi="Arial" w:cs="Arial"/>
                <w:b/>
                <w:sz w:val="20"/>
                <w:szCs w:val="20"/>
              </w:rPr>
              <w:t>(</w:t>
            </w:r>
            <w:r w:rsidR="00920D3D" w:rsidRPr="003124B9">
              <w:rPr>
                <w:rFonts w:ascii="Arial" w:hAnsi="Arial" w:cs="Arial"/>
                <w:b/>
                <w:sz w:val="20"/>
                <w:szCs w:val="20"/>
              </w:rPr>
              <w:t>n</w:t>
            </w:r>
            <w:r w:rsidRPr="003124B9">
              <w:rPr>
                <w:rFonts w:ascii="Arial" w:hAnsi="Arial" w:cs="Arial"/>
                <w:b/>
                <w:sz w:val="20"/>
                <w:szCs w:val="20"/>
              </w:rPr>
              <w:t>=363)</w:t>
            </w:r>
          </w:p>
        </w:tc>
        <w:tc>
          <w:tcPr>
            <w:tcW w:w="1587" w:type="dxa"/>
            <w:shd w:val="clear" w:color="auto" w:fill="auto"/>
          </w:tcPr>
          <w:p w:rsidR="00607F4E" w:rsidRPr="003124B9" w:rsidRDefault="00607F4E" w:rsidP="00D25AEA">
            <w:pPr>
              <w:spacing w:line="276" w:lineRule="auto"/>
              <w:jc w:val="center"/>
              <w:rPr>
                <w:rFonts w:ascii="Arial" w:hAnsi="Arial" w:cs="Arial"/>
                <w:b/>
                <w:sz w:val="20"/>
                <w:szCs w:val="20"/>
              </w:rPr>
            </w:pPr>
          </w:p>
          <w:p w:rsidR="00607F4E" w:rsidRPr="003124B9" w:rsidRDefault="00607F4E" w:rsidP="00D25AEA">
            <w:pPr>
              <w:spacing w:line="276" w:lineRule="auto"/>
              <w:jc w:val="center"/>
              <w:rPr>
                <w:rFonts w:ascii="Arial" w:hAnsi="Arial" w:cs="Arial"/>
                <w:b/>
                <w:sz w:val="20"/>
                <w:szCs w:val="20"/>
              </w:rPr>
            </w:pPr>
            <w:r w:rsidRPr="003124B9">
              <w:rPr>
                <w:rFonts w:ascii="Arial" w:hAnsi="Arial" w:cs="Arial"/>
                <w:b/>
                <w:sz w:val="20"/>
                <w:szCs w:val="20"/>
              </w:rPr>
              <w:t>GA</w:t>
            </w:r>
          </w:p>
          <w:p w:rsidR="00607F4E" w:rsidRPr="003124B9" w:rsidRDefault="00607F4E" w:rsidP="00D25AEA">
            <w:pPr>
              <w:spacing w:line="276" w:lineRule="auto"/>
              <w:jc w:val="center"/>
              <w:rPr>
                <w:rFonts w:ascii="Arial" w:hAnsi="Arial" w:cs="Arial"/>
                <w:b/>
                <w:sz w:val="20"/>
                <w:szCs w:val="20"/>
              </w:rPr>
            </w:pPr>
            <w:r w:rsidRPr="003124B9">
              <w:rPr>
                <w:rFonts w:ascii="Arial" w:hAnsi="Arial" w:cs="Arial"/>
                <w:b/>
                <w:sz w:val="20"/>
                <w:szCs w:val="20"/>
              </w:rPr>
              <w:t>(</w:t>
            </w:r>
            <w:r w:rsidR="00920D3D" w:rsidRPr="003124B9">
              <w:rPr>
                <w:rFonts w:ascii="Arial" w:hAnsi="Arial" w:cs="Arial"/>
                <w:b/>
                <w:sz w:val="20"/>
                <w:szCs w:val="20"/>
              </w:rPr>
              <w:t>n</w:t>
            </w:r>
            <w:r w:rsidRPr="003124B9">
              <w:rPr>
                <w:rFonts w:ascii="Arial" w:hAnsi="Arial" w:cs="Arial"/>
                <w:b/>
                <w:sz w:val="20"/>
                <w:szCs w:val="20"/>
              </w:rPr>
              <w:t>=350)</w:t>
            </w:r>
          </w:p>
        </w:tc>
      </w:tr>
      <w:tr w:rsidR="00607F4E" w:rsidRPr="003124B9" w:rsidTr="000524FE">
        <w:tc>
          <w:tcPr>
            <w:tcW w:w="4158" w:type="dxa"/>
            <w:shd w:val="clear" w:color="auto" w:fill="auto"/>
          </w:tcPr>
          <w:p w:rsidR="00607F4E" w:rsidRPr="003124B9" w:rsidRDefault="00607F4E" w:rsidP="00D25AEA">
            <w:pPr>
              <w:spacing w:line="276" w:lineRule="auto"/>
              <w:rPr>
                <w:rFonts w:ascii="Arial" w:hAnsi="Arial" w:cs="Arial"/>
                <w:b/>
                <w:sz w:val="20"/>
                <w:szCs w:val="20"/>
              </w:rPr>
            </w:pPr>
            <w:r w:rsidRPr="003124B9">
              <w:rPr>
                <w:rFonts w:ascii="Arial" w:hAnsi="Arial" w:cs="Arial"/>
                <w:b/>
                <w:sz w:val="20"/>
                <w:szCs w:val="20"/>
              </w:rPr>
              <w:t>Clinical Endpoints</w:t>
            </w:r>
          </w:p>
        </w:tc>
        <w:tc>
          <w:tcPr>
            <w:tcW w:w="1530" w:type="dxa"/>
            <w:shd w:val="clear" w:color="auto" w:fill="auto"/>
          </w:tcPr>
          <w:p w:rsidR="00607F4E" w:rsidRPr="003124B9" w:rsidRDefault="00607F4E" w:rsidP="00D25AEA">
            <w:pPr>
              <w:spacing w:line="276" w:lineRule="auto"/>
              <w:rPr>
                <w:rFonts w:ascii="Arial" w:hAnsi="Arial" w:cs="Arial"/>
                <w:sz w:val="20"/>
                <w:szCs w:val="20"/>
              </w:rPr>
            </w:pPr>
          </w:p>
        </w:tc>
        <w:tc>
          <w:tcPr>
            <w:tcW w:w="1508" w:type="dxa"/>
            <w:shd w:val="clear" w:color="auto" w:fill="auto"/>
          </w:tcPr>
          <w:p w:rsidR="00607F4E" w:rsidRPr="003124B9" w:rsidRDefault="00607F4E" w:rsidP="00D25AEA">
            <w:pPr>
              <w:spacing w:line="276" w:lineRule="auto"/>
              <w:rPr>
                <w:rFonts w:ascii="Arial" w:hAnsi="Arial" w:cs="Arial"/>
                <w:sz w:val="20"/>
                <w:szCs w:val="20"/>
              </w:rPr>
            </w:pPr>
          </w:p>
        </w:tc>
        <w:tc>
          <w:tcPr>
            <w:tcW w:w="1587" w:type="dxa"/>
            <w:shd w:val="clear" w:color="auto" w:fill="auto"/>
          </w:tcPr>
          <w:p w:rsidR="00607F4E" w:rsidRPr="003124B9" w:rsidRDefault="00607F4E" w:rsidP="00D25AEA">
            <w:pPr>
              <w:spacing w:line="276" w:lineRule="auto"/>
              <w:rPr>
                <w:rFonts w:ascii="Arial" w:hAnsi="Arial" w:cs="Arial"/>
                <w:sz w:val="20"/>
                <w:szCs w:val="20"/>
              </w:rPr>
            </w:pPr>
          </w:p>
        </w:tc>
      </w:tr>
      <w:tr w:rsidR="00607F4E" w:rsidRPr="003124B9" w:rsidTr="00216B25">
        <w:tc>
          <w:tcPr>
            <w:tcW w:w="4158" w:type="dxa"/>
            <w:tcBorders>
              <w:bottom w:val="nil"/>
            </w:tcBorders>
            <w:shd w:val="clear" w:color="auto" w:fill="auto"/>
          </w:tcPr>
          <w:p w:rsidR="00607F4E" w:rsidRPr="003124B9" w:rsidRDefault="000524FE" w:rsidP="00D25AEA">
            <w:pPr>
              <w:spacing w:line="276" w:lineRule="auto"/>
              <w:rPr>
                <w:rFonts w:ascii="Arial" w:hAnsi="Arial" w:cs="Arial"/>
                <w:sz w:val="20"/>
                <w:szCs w:val="20"/>
              </w:rPr>
            </w:pPr>
            <w:r w:rsidRPr="003124B9">
              <w:rPr>
                <w:rFonts w:ascii="Arial" w:hAnsi="Arial" w:cs="Arial"/>
                <w:sz w:val="20"/>
                <w:szCs w:val="20"/>
              </w:rPr>
              <w:t xml:space="preserve">Annualised </w:t>
            </w:r>
            <w:r w:rsidR="00607F4E" w:rsidRPr="003124B9">
              <w:rPr>
                <w:rFonts w:ascii="Arial" w:hAnsi="Arial" w:cs="Arial"/>
                <w:sz w:val="20"/>
                <w:szCs w:val="20"/>
              </w:rPr>
              <w:t>relapse rate</w:t>
            </w:r>
          </w:p>
        </w:tc>
        <w:tc>
          <w:tcPr>
            <w:tcW w:w="1530" w:type="dxa"/>
            <w:tcBorders>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0.224</w:t>
            </w:r>
          </w:p>
        </w:tc>
        <w:tc>
          <w:tcPr>
            <w:tcW w:w="1508" w:type="dxa"/>
            <w:tcBorders>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0.401</w:t>
            </w:r>
          </w:p>
        </w:tc>
        <w:tc>
          <w:tcPr>
            <w:tcW w:w="1587" w:type="dxa"/>
            <w:tcBorders>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0.286</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Relative reduction (percentage)</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44%</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29%</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(26%, 58%)</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(7%, 45%)</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P-value versus placebo</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&lt;0.0001</w:t>
            </w:r>
          </w:p>
        </w:tc>
        <w:tc>
          <w:tcPr>
            <w:tcW w:w="150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0.0128</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Proportion relapsing</w:t>
            </w:r>
            <w:r w:rsidR="008F1D9D" w:rsidRPr="003124B9">
              <w:rPr>
                <w:rFonts w:ascii="Arial" w:hAnsi="Arial" w:cs="Arial"/>
                <w:sz w:val="20"/>
                <w:szCs w:val="20"/>
              </w:rPr>
              <w:t xml:space="preserve"> (a)</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0.291</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0.410</w:t>
            </w: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0.321</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w:t>
            </w:r>
            <w:r w:rsidR="006F7E43" w:rsidRPr="003124B9">
              <w:rPr>
                <w:rFonts w:ascii="Arial" w:hAnsi="Arial" w:cs="Arial"/>
                <w:sz w:val="20"/>
                <w:szCs w:val="20"/>
              </w:rPr>
              <w:t>H</w:t>
            </w:r>
            <w:r w:rsidR="00702C4B" w:rsidRPr="003124B9">
              <w:rPr>
                <w:rFonts w:ascii="Arial" w:hAnsi="Arial" w:cs="Arial"/>
                <w:sz w:val="20"/>
                <w:szCs w:val="20"/>
              </w:rPr>
              <w:t>azard ratio</w:t>
            </w:r>
            <w:r w:rsidR="008F1D9D" w:rsidRPr="003124B9">
              <w:rPr>
                <w:rFonts w:ascii="Arial" w:hAnsi="Arial" w:cs="Arial"/>
                <w:sz w:val="20"/>
                <w:szCs w:val="20"/>
              </w:rPr>
              <w:t xml:space="preserve"> for first relapse</w:t>
            </w:r>
          </w:p>
        </w:tc>
        <w:tc>
          <w:tcPr>
            <w:tcW w:w="1530" w:type="dxa"/>
            <w:tcBorders>
              <w:top w:val="nil"/>
              <w:bottom w:val="nil"/>
            </w:tcBorders>
            <w:shd w:val="clear" w:color="auto" w:fill="auto"/>
          </w:tcPr>
          <w:p w:rsidR="00607F4E" w:rsidRPr="003124B9" w:rsidRDefault="00702C4B" w:rsidP="00D25AEA">
            <w:pPr>
              <w:spacing w:line="276" w:lineRule="auto"/>
              <w:jc w:val="center"/>
              <w:rPr>
                <w:rFonts w:ascii="Arial" w:hAnsi="Arial" w:cs="Arial"/>
                <w:sz w:val="20"/>
                <w:szCs w:val="20"/>
              </w:rPr>
            </w:pPr>
            <w:r w:rsidRPr="003124B9">
              <w:rPr>
                <w:rFonts w:ascii="Arial" w:hAnsi="Arial" w:cs="Arial"/>
                <w:sz w:val="20"/>
                <w:szCs w:val="20"/>
              </w:rPr>
              <w:t>0.66</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702C4B" w:rsidP="00D25AEA">
            <w:pPr>
              <w:spacing w:line="276" w:lineRule="auto"/>
              <w:jc w:val="center"/>
              <w:rPr>
                <w:rFonts w:ascii="Arial" w:hAnsi="Arial" w:cs="Arial"/>
                <w:sz w:val="20"/>
                <w:szCs w:val="20"/>
              </w:rPr>
            </w:pPr>
            <w:r w:rsidRPr="003124B9">
              <w:rPr>
                <w:rFonts w:ascii="Arial" w:hAnsi="Arial" w:cs="Arial"/>
                <w:sz w:val="20"/>
                <w:szCs w:val="20"/>
              </w:rPr>
              <w:t>0.71</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w:t>
            </w:r>
            <w:r w:rsidR="00702C4B" w:rsidRPr="003124B9">
              <w:rPr>
                <w:rFonts w:ascii="Arial" w:hAnsi="Arial" w:cs="Arial"/>
                <w:sz w:val="20"/>
                <w:szCs w:val="20"/>
              </w:rPr>
              <w:t>0.51</w:t>
            </w:r>
            <w:r w:rsidRPr="003124B9">
              <w:rPr>
                <w:rFonts w:ascii="Arial" w:hAnsi="Arial" w:cs="Arial"/>
                <w:sz w:val="20"/>
                <w:szCs w:val="20"/>
              </w:rPr>
              <w:t xml:space="preserve">, </w:t>
            </w:r>
            <w:r w:rsidR="00702C4B" w:rsidRPr="003124B9">
              <w:rPr>
                <w:rFonts w:ascii="Arial" w:hAnsi="Arial" w:cs="Arial"/>
                <w:sz w:val="20"/>
                <w:szCs w:val="20"/>
              </w:rPr>
              <w:t>0.86</w:t>
            </w:r>
            <w:r w:rsidRPr="003124B9">
              <w:rPr>
                <w:rFonts w:ascii="Arial" w:hAnsi="Arial" w:cs="Arial"/>
                <w:sz w:val="20"/>
                <w:szCs w:val="20"/>
              </w:rPr>
              <w:t>)</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607F4E" w:rsidRPr="003124B9">
              <w:rPr>
                <w:rFonts w:ascii="Arial" w:hAnsi="Arial" w:cs="Arial"/>
                <w:sz w:val="20"/>
                <w:szCs w:val="20"/>
              </w:rPr>
              <w:t>(</w:t>
            </w:r>
            <w:r w:rsidR="00702C4B" w:rsidRPr="003124B9">
              <w:rPr>
                <w:rFonts w:ascii="Arial" w:hAnsi="Arial" w:cs="Arial"/>
                <w:sz w:val="20"/>
                <w:szCs w:val="20"/>
              </w:rPr>
              <w:t>0.55</w:t>
            </w:r>
            <w:r w:rsidR="00607F4E" w:rsidRPr="003124B9">
              <w:rPr>
                <w:rFonts w:ascii="Arial" w:hAnsi="Arial" w:cs="Arial"/>
                <w:sz w:val="20"/>
                <w:szCs w:val="20"/>
              </w:rPr>
              <w:t xml:space="preserve">, </w:t>
            </w:r>
            <w:r w:rsidR="00702C4B" w:rsidRPr="003124B9">
              <w:rPr>
                <w:rFonts w:ascii="Arial" w:hAnsi="Arial" w:cs="Arial"/>
                <w:sz w:val="20"/>
                <w:szCs w:val="20"/>
              </w:rPr>
              <w:t>0.92</w:t>
            </w:r>
            <w:r w:rsidR="00607F4E" w:rsidRPr="003124B9">
              <w:rPr>
                <w:rFonts w:ascii="Arial" w:hAnsi="Arial" w:cs="Arial"/>
                <w:sz w:val="20"/>
                <w:szCs w:val="20"/>
              </w:rPr>
              <w:t>)</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P-value versus placebo</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0.0020</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0.0097</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Proportion with disability</w:t>
            </w:r>
            <w:r w:rsidR="000524FE" w:rsidRPr="003124B9">
              <w:rPr>
                <w:rFonts w:ascii="Arial" w:hAnsi="Arial" w:cs="Arial"/>
                <w:sz w:val="20"/>
                <w:szCs w:val="20"/>
              </w:rPr>
              <w:t xml:space="preserve"> </w:t>
            </w:r>
            <w:r w:rsidRPr="003124B9">
              <w:rPr>
                <w:rFonts w:ascii="Arial" w:hAnsi="Arial" w:cs="Arial"/>
                <w:sz w:val="20"/>
                <w:szCs w:val="20"/>
              </w:rPr>
              <w:t>progression</w:t>
            </w:r>
            <w:r w:rsidR="008F1D9D" w:rsidRPr="003124B9">
              <w:rPr>
                <w:rFonts w:ascii="Arial" w:hAnsi="Arial" w:cs="Arial"/>
                <w:sz w:val="20"/>
                <w:szCs w:val="20"/>
              </w:rPr>
              <w:t xml:space="preserve"> (a)</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0.128</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0.169</w:t>
            </w: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0.156</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w:t>
            </w:r>
            <w:r w:rsidR="00702C4B" w:rsidRPr="003124B9">
              <w:rPr>
                <w:rFonts w:ascii="Arial" w:hAnsi="Arial" w:cs="Arial"/>
                <w:sz w:val="20"/>
                <w:szCs w:val="20"/>
              </w:rPr>
              <w:t>Hazard ratio</w:t>
            </w:r>
          </w:p>
        </w:tc>
        <w:tc>
          <w:tcPr>
            <w:tcW w:w="1530" w:type="dxa"/>
            <w:tcBorders>
              <w:top w:val="nil"/>
              <w:bottom w:val="nil"/>
            </w:tcBorders>
            <w:shd w:val="clear" w:color="auto" w:fill="auto"/>
          </w:tcPr>
          <w:p w:rsidR="00607F4E" w:rsidRPr="003124B9" w:rsidRDefault="00702C4B" w:rsidP="00D25AEA">
            <w:pPr>
              <w:spacing w:line="276" w:lineRule="auto"/>
              <w:jc w:val="center"/>
              <w:rPr>
                <w:rFonts w:ascii="Arial" w:hAnsi="Arial" w:cs="Arial"/>
                <w:sz w:val="20"/>
                <w:szCs w:val="20"/>
              </w:rPr>
            </w:pPr>
            <w:r w:rsidRPr="003124B9">
              <w:rPr>
                <w:rFonts w:ascii="Arial" w:hAnsi="Arial" w:cs="Arial"/>
                <w:sz w:val="20"/>
                <w:szCs w:val="20"/>
              </w:rPr>
              <w:t>0.79</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702C4B" w:rsidP="00D25AEA">
            <w:pPr>
              <w:spacing w:line="276" w:lineRule="auto"/>
              <w:jc w:val="center"/>
              <w:rPr>
                <w:rFonts w:ascii="Arial" w:hAnsi="Arial" w:cs="Arial"/>
                <w:sz w:val="20"/>
                <w:szCs w:val="20"/>
              </w:rPr>
            </w:pPr>
            <w:r w:rsidRPr="003124B9">
              <w:rPr>
                <w:rFonts w:ascii="Arial" w:hAnsi="Arial" w:cs="Arial"/>
                <w:sz w:val="20"/>
                <w:szCs w:val="20"/>
              </w:rPr>
              <w:t>0.93</w:t>
            </w:r>
          </w:p>
        </w:tc>
      </w:tr>
      <w:tr w:rsidR="00607F4E" w:rsidRPr="003124B9" w:rsidTr="00216B25">
        <w:tc>
          <w:tcPr>
            <w:tcW w:w="4158" w:type="dxa"/>
            <w:tcBorders>
              <w:top w:val="nil"/>
              <w:bottom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w:t>
            </w:r>
            <w:r w:rsidR="00702C4B" w:rsidRPr="003124B9">
              <w:rPr>
                <w:rFonts w:ascii="Arial" w:hAnsi="Arial" w:cs="Arial"/>
                <w:sz w:val="20"/>
                <w:szCs w:val="20"/>
              </w:rPr>
              <w:t>0.52</w:t>
            </w:r>
            <w:r w:rsidRPr="003124B9">
              <w:rPr>
                <w:rFonts w:ascii="Arial" w:hAnsi="Arial" w:cs="Arial"/>
                <w:sz w:val="20"/>
                <w:szCs w:val="20"/>
              </w:rPr>
              <w:t xml:space="preserve">, </w:t>
            </w:r>
            <w:r w:rsidR="00702C4B" w:rsidRPr="003124B9">
              <w:rPr>
                <w:rFonts w:ascii="Arial" w:hAnsi="Arial" w:cs="Arial"/>
                <w:sz w:val="20"/>
                <w:szCs w:val="20"/>
              </w:rPr>
              <w:t>1.19</w:t>
            </w:r>
            <w:r w:rsidRPr="003124B9">
              <w:rPr>
                <w:rFonts w:ascii="Arial" w:hAnsi="Arial" w:cs="Arial"/>
                <w:sz w:val="20"/>
                <w:szCs w:val="20"/>
              </w:rPr>
              <w:t>)</w:t>
            </w:r>
          </w:p>
        </w:tc>
        <w:tc>
          <w:tcPr>
            <w:tcW w:w="1508"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w:t>
            </w:r>
            <w:r w:rsidR="00702C4B" w:rsidRPr="003124B9">
              <w:rPr>
                <w:rFonts w:ascii="Arial" w:hAnsi="Arial" w:cs="Arial"/>
                <w:sz w:val="20"/>
                <w:szCs w:val="20"/>
              </w:rPr>
              <w:t>0.63</w:t>
            </w:r>
            <w:r w:rsidRPr="003124B9">
              <w:rPr>
                <w:rFonts w:ascii="Arial" w:hAnsi="Arial" w:cs="Arial"/>
                <w:sz w:val="20"/>
                <w:szCs w:val="20"/>
              </w:rPr>
              <w:t xml:space="preserve">, </w:t>
            </w:r>
            <w:r w:rsidR="00702C4B" w:rsidRPr="003124B9">
              <w:rPr>
                <w:rFonts w:ascii="Arial" w:hAnsi="Arial" w:cs="Arial"/>
                <w:sz w:val="20"/>
                <w:szCs w:val="20"/>
              </w:rPr>
              <w:t>1.37</w:t>
            </w:r>
            <w:r w:rsidRPr="003124B9">
              <w:rPr>
                <w:rFonts w:ascii="Arial" w:hAnsi="Arial" w:cs="Arial"/>
                <w:sz w:val="20"/>
                <w:szCs w:val="20"/>
              </w:rPr>
              <w:t>)</w:t>
            </w:r>
          </w:p>
        </w:tc>
      </w:tr>
      <w:tr w:rsidR="00607F4E" w:rsidRPr="003124B9" w:rsidTr="00216B25">
        <w:tc>
          <w:tcPr>
            <w:tcW w:w="4158" w:type="dxa"/>
            <w:tcBorders>
              <w:top w:val="nil"/>
            </w:tcBorders>
            <w:shd w:val="clear" w:color="auto" w:fill="auto"/>
          </w:tcPr>
          <w:p w:rsidR="00607F4E" w:rsidRPr="003124B9" w:rsidRDefault="00607F4E" w:rsidP="00D25AEA">
            <w:pPr>
              <w:spacing w:line="276" w:lineRule="auto"/>
              <w:rPr>
                <w:rFonts w:ascii="Arial" w:hAnsi="Arial" w:cs="Arial"/>
                <w:sz w:val="20"/>
                <w:szCs w:val="20"/>
              </w:rPr>
            </w:pPr>
            <w:r w:rsidRPr="003124B9">
              <w:rPr>
                <w:rFonts w:ascii="Arial" w:hAnsi="Arial" w:cs="Arial"/>
                <w:sz w:val="20"/>
                <w:szCs w:val="20"/>
              </w:rPr>
              <w:t xml:space="preserve">       P-value versus placebo</w:t>
            </w:r>
          </w:p>
          <w:p w:rsidR="009F7B38" w:rsidRPr="003124B9" w:rsidRDefault="009F7B38" w:rsidP="00D25AEA">
            <w:pPr>
              <w:spacing w:line="276" w:lineRule="auto"/>
              <w:rPr>
                <w:rFonts w:ascii="Arial" w:hAnsi="Arial" w:cs="Arial"/>
                <w:sz w:val="20"/>
                <w:szCs w:val="20"/>
              </w:rPr>
            </w:pPr>
          </w:p>
        </w:tc>
        <w:tc>
          <w:tcPr>
            <w:tcW w:w="1530" w:type="dxa"/>
            <w:tcBorders>
              <w:top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0.2536</w:t>
            </w:r>
          </w:p>
        </w:tc>
        <w:tc>
          <w:tcPr>
            <w:tcW w:w="1508" w:type="dxa"/>
            <w:tcBorders>
              <w:top w:val="nil"/>
            </w:tcBorders>
            <w:shd w:val="clear" w:color="auto" w:fill="auto"/>
          </w:tcPr>
          <w:p w:rsidR="00607F4E" w:rsidRPr="003124B9" w:rsidRDefault="00607F4E" w:rsidP="00D25AEA">
            <w:pPr>
              <w:spacing w:line="276" w:lineRule="auto"/>
              <w:jc w:val="center"/>
              <w:rPr>
                <w:rFonts w:ascii="Arial" w:hAnsi="Arial" w:cs="Arial"/>
                <w:sz w:val="20"/>
                <w:szCs w:val="20"/>
              </w:rPr>
            </w:pPr>
          </w:p>
        </w:tc>
        <w:tc>
          <w:tcPr>
            <w:tcW w:w="1587" w:type="dxa"/>
            <w:tcBorders>
              <w:top w:val="nil"/>
            </w:tcBorders>
            <w:shd w:val="clear" w:color="auto" w:fill="auto"/>
          </w:tcPr>
          <w:p w:rsidR="00607F4E" w:rsidRPr="003124B9" w:rsidRDefault="00607F4E" w:rsidP="00D25AEA">
            <w:pPr>
              <w:spacing w:line="276" w:lineRule="auto"/>
              <w:jc w:val="center"/>
              <w:rPr>
                <w:rFonts w:ascii="Arial" w:hAnsi="Arial" w:cs="Arial"/>
                <w:sz w:val="20"/>
                <w:szCs w:val="20"/>
              </w:rPr>
            </w:pPr>
            <w:r w:rsidRPr="003124B9">
              <w:rPr>
                <w:rFonts w:ascii="Arial" w:hAnsi="Arial" w:cs="Arial"/>
                <w:sz w:val="20"/>
                <w:szCs w:val="20"/>
              </w:rPr>
              <w:t>0.7036</w:t>
            </w:r>
          </w:p>
        </w:tc>
      </w:tr>
      <w:tr w:rsidR="00607F4E" w:rsidRPr="003124B9" w:rsidTr="000524FE">
        <w:tc>
          <w:tcPr>
            <w:tcW w:w="4158" w:type="dxa"/>
            <w:shd w:val="clear" w:color="auto" w:fill="auto"/>
          </w:tcPr>
          <w:p w:rsidR="00607F4E" w:rsidRPr="003124B9" w:rsidRDefault="00607F4E" w:rsidP="00D25AEA">
            <w:pPr>
              <w:spacing w:line="276" w:lineRule="auto"/>
              <w:rPr>
                <w:rFonts w:ascii="Arial" w:hAnsi="Arial" w:cs="Arial"/>
                <w:b/>
                <w:sz w:val="20"/>
                <w:szCs w:val="20"/>
              </w:rPr>
            </w:pPr>
            <w:r w:rsidRPr="003124B9">
              <w:rPr>
                <w:rFonts w:ascii="Arial" w:hAnsi="Arial" w:cs="Arial"/>
                <w:b/>
                <w:sz w:val="20"/>
                <w:szCs w:val="20"/>
              </w:rPr>
              <w:t>MRI Endpoint</w:t>
            </w:r>
          </w:p>
        </w:tc>
        <w:tc>
          <w:tcPr>
            <w:tcW w:w="1530" w:type="dxa"/>
            <w:shd w:val="clear" w:color="auto" w:fill="auto"/>
          </w:tcPr>
          <w:p w:rsidR="00607F4E" w:rsidRPr="003124B9" w:rsidRDefault="00920D3D" w:rsidP="00D25AEA">
            <w:pPr>
              <w:spacing w:line="276" w:lineRule="auto"/>
              <w:jc w:val="center"/>
              <w:rPr>
                <w:rFonts w:ascii="Arial" w:hAnsi="Arial" w:cs="Arial"/>
                <w:sz w:val="20"/>
                <w:szCs w:val="20"/>
              </w:rPr>
            </w:pPr>
            <w:r w:rsidRPr="003124B9">
              <w:rPr>
                <w:rFonts w:ascii="Arial" w:hAnsi="Arial" w:cs="Arial"/>
                <w:sz w:val="20"/>
                <w:szCs w:val="20"/>
              </w:rPr>
              <w:t>n</w:t>
            </w:r>
            <w:r w:rsidR="00607F4E" w:rsidRPr="003124B9">
              <w:rPr>
                <w:rFonts w:ascii="Arial" w:hAnsi="Arial" w:cs="Arial"/>
                <w:sz w:val="20"/>
                <w:szCs w:val="20"/>
              </w:rPr>
              <w:t>=147</w:t>
            </w:r>
          </w:p>
        </w:tc>
        <w:tc>
          <w:tcPr>
            <w:tcW w:w="1508" w:type="dxa"/>
            <w:shd w:val="clear" w:color="auto" w:fill="auto"/>
          </w:tcPr>
          <w:p w:rsidR="00607F4E" w:rsidRPr="003124B9" w:rsidRDefault="00920D3D" w:rsidP="00D25AEA">
            <w:pPr>
              <w:spacing w:line="276" w:lineRule="auto"/>
              <w:jc w:val="center"/>
              <w:rPr>
                <w:rFonts w:ascii="Arial" w:hAnsi="Arial" w:cs="Arial"/>
                <w:sz w:val="20"/>
                <w:szCs w:val="20"/>
              </w:rPr>
            </w:pPr>
            <w:r w:rsidRPr="003124B9">
              <w:rPr>
                <w:rFonts w:ascii="Arial" w:hAnsi="Arial" w:cs="Arial"/>
                <w:sz w:val="20"/>
                <w:szCs w:val="20"/>
              </w:rPr>
              <w:t>n</w:t>
            </w:r>
            <w:r w:rsidR="00607F4E" w:rsidRPr="003124B9">
              <w:rPr>
                <w:rFonts w:ascii="Arial" w:hAnsi="Arial" w:cs="Arial"/>
                <w:sz w:val="20"/>
                <w:szCs w:val="20"/>
              </w:rPr>
              <w:t>=144</w:t>
            </w:r>
          </w:p>
        </w:tc>
        <w:tc>
          <w:tcPr>
            <w:tcW w:w="1587" w:type="dxa"/>
            <w:shd w:val="clear" w:color="auto" w:fill="auto"/>
          </w:tcPr>
          <w:p w:rsidR="00607F4E" w:rsidRPr="003124B9" w:rsidRDefault="00920D3D" w:rsidP="00D25AEA">
            <w:pPr>
              <w:spacing w:line="276" w:lineRule="auto"/>
              <w:jc w:val="center"/>
              <w:rPr>
                <w:rFonts w:ascii="Arial" w:hAnsi="Arial" w:cs="Arial"/>
                <w:sz w:val="20"/>
                <w:szCs w:val="20"/>
              </w:rPr>
            </w:pPr>
            <w:r w:rsidRPr="003124B9">
              <w:rPr>
                <w:rFonts w:ascii="Arial" w:hAnsi="Arial" w:cs="Arial"/>
                <w:sz w:val="20"/>
                <w:szCs w:val="20"/>
              </w:rPr>
              <w:t>n</w:t>
            </w:r>
            <w:r w:rsidR="00607F4E" w:rsidRPr="003124B9">
              <w:rPr>
                <w:rFonts w:ascii="Arial" w:hAnsi="Arial" w:cs="Arial"/>
                <w:sz w:val="20"/>
                <w:szCs w:val="20"/>
              </w:rPr>
              <w:t>=161</w:t>
            </w:r>
          </w:p>
        </w:tc>
      </w:tr>
      <w:tr w:rsidR="001F1086" w:rsidRPr="003124B9" w:rsidTr="00216B25">
        <w:tc>
          <w:tcPr>
            <w:tcW w:w="4158" w:type="dxa"/>
            <w:tcBorders>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Number of new or newly enlarging </w:t>
            </w:r>
          </w:p>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T2 lesions over 2 years   </w:t>
            </w:r>
          </w:p>
        </w:tc>
        <w:tc>
          <w:tcPr>
            <w:tcW w:w="1530"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Mean (median) </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5.7 (2.0)</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19.9 (11.0)</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9.6 (3.0)</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Relative reduction (percentage)</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71%</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54%</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(59%, 79%)</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(37%, 67%)</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P-value versus placebo</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&lt;0.0001</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&lt;0.0001</w:t>
            </w:r>
          </w:p>
        </w:tc>
      </w:tr>
      <w:tr w:rsidR="00C93AED" w:rsidRPr="003124B9" w:rsidTr="00216B25">
        <w:tc>
          <w:tcPr>
            <w:tcW w:w="4158" w:type="dxa"/>
            <w:tcBorders>
              <w:top w:val="nil"/>
              <w:bottom w:val="nil"/>
            </w:tcBorders>
            <w:shd w:val="clear" w:color="auto" w:fill="auto"/>
          </w:tcPr>
          <w:p w:rsidR="00C93AED" w:rsidRPr="003124B9" w:rsidRDefault="00C93AED" w:rsidP="00D25AEA">
            <w:pPr>
              <w:spacing w:line="276" w:lineRule="auto"/>
              <w:rPr>
                <w:rFonts w:ascii="Arial" w:hAnsi="Arial" w:cs="Arial"/>
                <w:sz w:val="20"/>
                <w:szCs w:val="20"/>
              </w:rPr>
            </w:pPr>
          </w:p>
        </w:tc>
        <w:tc>
          <w:tcPr>
            <w:tcW w:w="1530" w:type="dxa"/>
            <w:tcBorders>
              <w:top w:val="nil"/>
              <w:bottom w:val="nil"/>
            </w:tcBorders>
            <w:shd w:val="clear" w:color="auto" w:fill="auto"/>
          </w:tcPr>
          <w:p w:rsidR="00C93AED" w:rsidRPr="003124B9" w:rsidRDefault="00C93AED"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C93AED" w:rsidRPr="003124B9" w:rsidRDefault="00C93AED"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C93AED" w:rsidRPr="003124B9" w:rsidRDefault="00C93AED"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Percentage of subjects with</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lastRenderedPageBreak/>
              <w:t xml:space="preserve">       0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27%</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12%</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24%</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1 lesion</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17%</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5%</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14%</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2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11%</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3%</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8%</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3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8%</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4%</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6%</w:t>
            </w:r>
          </w:p>
        </w:tc>
      </w:tr>
      <w:tr w:rsidR="001F1086" w:rsidRPr="003124B9" w:rsidTr="00216B25">
        <w:tc>
          <w:tcPr>
            <w:tcW w:w="4158" w:type="dxa"/>
            <w:tcBorders>
              <w:top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4 or more lesions</w:t>
            </w:r>
          </w:p>
          <w:p w:rsidR="009F7B38" w:rsidRPr="003124B9" w:rsidRDefault="009F7B38" w:rsidP="00D25AEA">
            <w:pPr>
              <w:spacing w:line="276" w:lineRule="auto"/>
              <w:rPr>
                <w:rFonts w:ascii="Arial" w:hAnsi="Arial" w:cs="Arial"/>
                <w:sz w:val="20"/>
                <w:szCs w:val="20"/>
              </w:rPr>
            </w:pPr>
          </w:p>
        </w:tc>
        <w:tc>
          <w:tcPr>
            <w:tcW w:w="1530"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36%</w:t>
            </w:r>
          </w:p>
        </w:tc>
        <w:tc>
          <w:tcPr>
            <w:tcW w:w="1508"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76%</w:t>
            </w:r>
          </w:p>
        </w:tc>
        <w:tc>
          <w:tcPr>
            <w:tcW w:w="1587"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48%</w:t>
            </w:r>
          </w:p>
        </w:tc>
      </w:tr>
      <w:tr w:rsidR="001F1086" w:rsidRPr="003124B9" w:rsidTr="00216B25">
        <w:tc>
          <w:tcPr>
            <w:tcW w:w="4158" w:type="dxa"/>
            <w:tcBorders>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Number of Gd lesions at 2 years   </w:t>
            </w:r>
          </w:p>
        </w:tc>
        <w:tc>
          <w:tcPr>
            <w:tcW w:w="1530"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bottom w:val="nil"/>
            </w:tcBorders>
            <w:shd w:val="clear" w:color="auto" w:fill="auto"/>
          </w:tcPr>
          <w:p w:rsidR="001F1086" w:rsidRPr="003124B9" w:rsidRDefault="001F1086" w:rsidP="00D25AEA">
            <w:pPr>
              <w:tabs>
                <w:tab w:val="center" w:pos="833"/>
                <w:tab w:val="left" w:pos="1657"/>
              </w:tabs>
              <w:spacing w:line="276" w:lineRule="auto"/>
              <w:jc w:val="center"/>
              <w:rPr>
                <w:rFonts w:ascii="Arial" w:hAnsi="Arial" w:cs="Arial"/>
                <w:sz w:val="20"/>
                <w:szCs w:val="20"/>
              </w:rPr>
            </w:pPr>
          </w:p>
        </w:tc>
        <w:tc>
          <w:tcPr>
            <w:tcW w:w="1587"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Mean (median)</w:t>
            </w:r>
          </w:p>
        </w:tc>
        <w:tc>
          <w:tcPr>
            <w:tcW w:w="1530"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0.5 (0.0)</w:t>
            </w:r>
          </w:p>
        </w:tc>
        <w:tc>
          <w:tcPr>
            <w:tcW w:w="1508" w:type="dxa"/>
            <w:tcBorders>
              <w:top w:val="nil"/>
              <w:bottom w:val="nil"/>
            </w:tcBorders>
            <w:shd w:val="clear" w:color="auto" w:fill="auto"/>
          </w:tcPr>
          <w:p w:rsidR="001F1086" w:rsidRPr="003124B9" w:rsidRDefault="00C93AED" w:rsidP="00D25AEA">
            <w:pPr>
              <w:tabs>
                <w:tab w:val="center" w:pos="833"/>
                <w:tab w:val="left" w:pos="1657"/>
              </w:tabs>
              <w:spacing w:line="276" w:lineRule="auto"/>
              <w:jc w:val="center"/>
              <w:rPr>
                <w:rFonts w:ascii="Arial" w:hAnsi="Arial" w:cs="Arial"/>
                <w:sz w:val="20"/>
                <w:szCs w:val="20"/>
              </w:rPr>
            </w:pPr>
            <w:r w:rsidRPr="003124B9">
              <w:rPr>
                <w:rFonts w:ascii="Arial" w:hAnsi="Arial" w:cs="Arial"/>
                <w:sz w:val="20"/>
                <w:szCs w:val="20"/>
              </w:rPr>
              <w:t>2.0 (0.0)</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0.7 (0.0)</w:t>
            </w:r>
          </w:p>
        </w:tc>
      </w:tr>
      <w:tr w:rsidR="00216B25" w:rsidRPr="003124B9" w:rsidTr="00216B25">
        <w:tc>
          <w:tcPr>
            <w:tcW w:w="4158" w:type="dxa"/>
            <w:tcBorders>
              <w:top w:val="nil"/>
              <w:bottom w:val="nil"/>
            </w:tcBorders>
            <w:shd w:val="clear" w:color="auto" w:fill="auto"/>
          </w:tcPr>
          <w:p w:rsidR="00216B25" w:rsidRPr="003124B9" w:rsidRDefault="00216B25" w:rsidP="00D25AEA">
            <w:pPr>
              <w:spacing w:line="276" w:lineRule="auto"/>
              <w:rPr>
                <w:rFonts w:ascii="Arial" w:hAnsi="Arial" w:cs="Arial"/>
                <w:sz w:val="20"/>
                <w:szCs w:val="20"/>
              </w:rPr>
            </w:pPr>
          </w:p>
        </w:tc>
        <w:tc>
          <w:tcPr>
            <w:tcW w:w="1530"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Percentage of subjects with</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0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80%</w:t>
            </w:r>
          </w:p>
        </w:tc>
        <w:tc>
          <w:tcPr>
            <w:tcW w:w="1508" w:type="dxa"/>
            <w:tcBorders>
              <w:top w:val="nil"/>
              <w:bottom w:val="nil"/>
            </w:tcBorders>
            <w:shd w:val="clear" w:color="auto" w:fill="auto"/>
          </w:tcPr>
          <w:p w:rsidR="001F1086" w:rsidRPr="003124B9" w:rsidRDefault="001F1086" w:rsidP="00D25AEA">
            <w:pPr>
              <w:tabs>
                <w:tab w:val="center" w:pos="833"/>
                <w:tab w:val="left" w:pos="1657"/>
              </w:tabs>
              <w:spacing w:line="276" w:lineRule="auto"/>
              <w:jc w:val="center"/>
              <w:rPr>
                <w:rFonts w:ascii="Arial" w:hAnsi="Arial" w:cs="Arial"/>
                <w:sz w:val="20"/>
                <w:szCs w:val="20"/>
              </w:rPr>
            </w:pPr>
            <w:r w:rsidRPr="003124B9">
              <w:rPr>
                <w:rFonts w:ascii="Arial" w:hAnsi="Arial" w:cs="Arial"/>
                <w:sz w:val="20"/>
                <w:szCs w:val="20"/>
              </w:rPr>
              <w:t>61%</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77%</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1 lesion</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11%</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17%</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12%</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2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6%</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4%</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3 to 4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2%</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 xml:space="preserve">   2%</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5 or more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14%</w:t>
            </w: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6%</w:t>
            </w:r>
          </w:p>
        </w:tc>
      </w:tr>
      <w:tr w:rsidR="00216B25" w:rsidRPr="003124B9" w:rsidTr="00216B25">
        <w:tc>
          <w:tcPr>
            <w:tcW w:w="4158" w:type="dxa"/>
            <w:tcBorders>
              <w:top w:val="nil"/>
              <w:bottom w:val="nil"/>
            </w:tcBorders>
            <w:shd w:val="clear" w:color="auto" w:fill="auto"/>
          </w:tcPr>
          <w:p w:rsidR="00216B25" w:rsidRPr="003124B9" w:rsidRDefault="00216B25" w:rsidP="00D25AEA">
            <w:pPr>
              <w:spacing w:line="276" w:lineRule="auto"/>
              <w:rPr>
                <w:rFonts w:ascii="Arial" w:hAnsi="Arial" w:cs="Arial"/>
                <w:sz w:val="20"/>
                <w:szCs w:val="20"/>
              </w:rPr>
            </w:pPr>
          </w:p>
        </w:tc>
        <w:tc>
          <w:tcPr>
            <w:tcW w:w="1530"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Relative odds reduction</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(percentage)</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74%</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61%</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(54%, 85%)</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(35%, 76%)</w:t>
            </w:r>
          </w:p>
        </w:tc>
      </w:tr>
      <w:tr w:rsidR="001F1086" w:rsidRPr="003124B9" w:rsidTr="00216B25">
        <w:tc>
          <w:tcPr>
            <w:tcW w:w="4158" w:type="dxa"/>
            <w:tcBorders>
              <w:top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P-value versus placebo</w:t>
            </w:r>
          </w:p>
          <w:p w:rsidR="009F7B38" w:rsidRPr="003124B9" w:rsidRDefault="009F7B38" w:rsidP="00D25AEA">
            <w:pPr>
              <w:spacing w:line="276" w:lineRule="auto"/>
              <w:rPr>
                <w:rFonts w:ascii="Arial" w:hAnsi="Arial" w:cs="Arial"/>
                <w:sz w:val="20"/>
                <w:szCs w:val="20"/>
              </w:rPr>
            </w:pPr>
          </w:p>
        </w:tc>
        <w:tc>
          <w:tcPr>
            <w:tcW w:w="1530"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&lt;0.0001</w:t>
            </w:r>
          </w:p>
        </w:tc>
        <w:tc>
          <w:tcPr>
            <w:tcW w:w="1508" w:type="dxa"/>
            <w:tcBorders>
              <w:top w:val="nil"/>
            </w:tcBorders>
            <w:shd w:val="clear" w:color="auto" w:fill="auto"/>
          </w:tcPr>
          <w:p w:rsidR="001F1086" w:rsidRPr="003124B9" w:rsidRDefault="001F1086" w:rsidP="00D25AEA">
            <w:pPr>
              <w:tabs>
                <w:tab w:val="center" w:pos="833"/>
                <w:tab w:val="left" w:pos="1657"/>
              </w:tabs>
              <w:spacing w:line="276" w:lineRule="auto"/>
              <w:jc w:val="center"/>
              <w:rPr>
                <w:rFonts w:ascii="Arial" w:hAnsi="Arial" w:cs="Arial"/>
                <w:sz w:val="20"/>
                <w:szCs w:val="20"/>
              </w:rPr>
            </w:pPr>
          </w:p>
        </w:tc>
        <w:tc>
          <w:tcPr>
            <w:tcW w:w="1587"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0.0003</w:t>
            </w:r>
          </w:p>
        </w:tc>
      </w:tr>
      <w:tr w:rsidR="001F1086" w:rsidRPr="003124B9" w:rsidTr="00216B25">
        <w:tc>
          <w:tcPr>
            <w:tcW w:w="4158" w:type="dxa"/>
            <w:tcBorders>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Number of new T1 hypointense lesions over 2 years   </w:t>
            </w:r>
          </w:p>
        </w:tc>
        <w:tc>
          <w:tcPr>
            <w:tcW w:w="1530"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1F1086" w:rsidRPr="003124B9">
              <w:rPr>
                <w:rFonts w:ascii="Arial" w:hAnsi="Arial" w:cs="Arial"/>
                <w:sz w:val="20"/>
                <w:szCs w:val="20"/>
              </w:rPr>
              <w:t xml:space="preserve">      Mean (median)</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3.8 (1.0)</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8.1 (4.0)</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4.5 (2.0)</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Relative reduction (percentage)</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57%</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41%</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(95% CI)</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(39%, 70%)</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(18%, 58%)</w:t>
            </w: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 xml:space="preserve">       P-value versus placebo</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&lt;0.0001</w:t>
            </w: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0.0021</w:t>
            </w:r>
          </w:p>
        </w:tc>
      </w:tr>
      <w:tr w:rsidR="00216B25" w:rsidRPr="003124B9" w:rsidTr="00216B25">
        <w:tc>
          <w:tcPr>
            <w:tcW w:w="4158" w:type="dxa"/>
            <w:tcBorders>
              <w:top w:val="nil"/>
              <w:bottom w:val="nil"/>
            </w:tcBorders>
            <w:shd w:val="clear" w:color="auto" w:fill="auto"/>
          </w:tcPr>
          <w:p w:rsidR="00216B25" w:rsidRPr="003124B9" w:rsidRDefault="00216B25" w:rsidP="00D25AEA">
            <w:pPr>
              <w:spacing w:line="276" w:lineRule="auto"/>
              <w:rPr>
                <w:rFonts w:ascii="Arial" w:hAnsi="Arial" w:cs="Arial"/>
                <w:sz w:val="20"/>
                <w:szCs w:val="20"/>
              </w:rPr>
            </w:pPr>
          </w:p>
        </w:tc>
        <w:tc>
          <w:tcPr>
            <w:tcW w:w="1530"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216B25" w:rsidRPr="003124B9" w:rsidRDefault="00216B25"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1F1086" w:rsidP="00D25AEA">
            <w:pPr>
              <w:spacing w:line="276" w:lineRule="auto"/>
              <w:rPr>
                <w:rFonts w:ascii="Arial" w:hAnsi="Arial" w:cs="Arial"/>
                <w:sz w:val="20"/>
                <w:szCs w:val="20"/>
              </w:rPr>
            </w:pPr>
            <w:r w:rsidRPr="003124B9">
              <w:rPr>
                <w:rFonts w:ascii="Arial" w:hAnsi="Arial" w:cs="Arial"/>
                <w:sz w:val="20"/>
                <w:szCs w:val="20"/>
              </w:rPr>
              <w:t>Percentage of subjects with</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08"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c>
          <w:tcPr>
            <w:tcW w:w="1587"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0</w:t>
            </w:r>
            <w:r w:rsidR="001F1086" w:rsidRPr="003124B9">
              <w:rPr>
                <w:rFonts w:ascii="Arial" w:hAnsi="Arial" w:cs="Arial"/>
                <w:sz w:val="20"/>
                <w:szCs w:val="20"/>
              </w:rPr>
              <w:t xml:space="preserve">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39%</w:t>
            </w:r>
          </w:p>
        </w:tc>
        <w:tc>
          <w:tcPr>
            <w:tcW w:w="1508"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21%</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34%</w:t>
            </w: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1F1086" w:rsidRPr="003124B9">
              <w:rPr>
                <w:rFonts w:ascii="Arial" w:hAnsi="Arial" w:cs="Arial"/>
                <w:sz w:val="20"/>
                <w:szCs w:val="20"/>
              </w:rPr>
              <w:t>1 lesion</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15%</w:t>
            </w:r>
          </w:p>
        </w:tc>
        <w:tc>
          <w:tcPr>
            <w:tcW w:w="1508"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6%</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12%</w:t>
            </w: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1F1086" w:rsidRPr="003124B9">
              <w:rPr>
                <w:rFonts w:ascii="Arial" w:hAnsi="Arial" w:cs="Arial"/>
                <w:sz w:val="20"/>
                <w:szCs w:val="20"/>
              </w:rPr>
              <w:t>2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11%</w:t>
            </w:r>
          </w:p>
        </w:tc>
        <w:tc>
          <w:tcPr>
            <w:tcW w:w="1508"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7%</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14%</w:t>
            </w:r>
          </w:p>
        </w:tc>
      </w:tr>
      <w:tr w:rsidR="001F1086" w:rsidRPr="003124B9" w:rsidTr="00216B25">
        <w:tc>
          <w:tcPr>
            <w:tcW w:w="4158" w:type="dxa"/>
            <w:tcBorders>
              <w:top w:val="nil"/>
              <w:bottom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1F1086" w:rsidRPr="003124B9">
              <w:rPr>
                <w:rFonts w:ascii="Arial" w:hAnsi="Arial" w:cs="Arial"/>
                <w:sz w:val="20"/>
                <w:szCs w:val="20"/>
              </w:rPr>
              <w:t>3 to 4 lesions</w:t>
            </w:r>
          </w:p>
        </w:tc>
        <w:tc>
          <w:tcPr>
            <w:tcW w:w="1530" w:type="dxa"/>
            <w:tcBorders>
              <w:top w:val="nil"/>
              <w:bottom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9%</w:t>
            </w:r>
          </w:p>
        </w:tc>
        <w:tc>
          <w:tcPr>
            <w:tcW w:w="1508"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21%</w:t>
            </w:r>
          </w:p>
        </w:tc>
        <w:tc>
          <w:tcPr>
            <w:tcW w:w="1587" w:type="dxa"/>
            <w:tcBorders>
              <w:top w:val="nil"/>
              <w:bottom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12%</w:t>
            </w:r>
          </w:p>
        </w:tc>
      </w:tr>
      <w:tr w:rsidR="001F1086" w:rsidRPr="003124B9" w:rsidTr="00216B25">
        <w:tc>
          <w:tcPr>
            <w:tcW w:w="4158" w:type="dxa"/>
            <w:tcBorders>
              <w:top w:val="nil"/>
            </w:tcBorders>
            <w:shd w:val="clear" w:color="auto" w:fill="auto"/>
          </w:tcPr>
          <w:p w:rsidR="001F1086" w:rsidRPr="003124B9" w:rsidRDefault="00C93AED" w:rsidP="00D25AEA">
            <w:pPr>
              <w:spacing w:line="276" w:lineRule="auto"/>
              <w:rPr>
                <w:rFonts w:ascii="Arial" w:hAnsi="Arial" w:cs="Arial"/>
                <w:sz w:val="20"/>
                <w:szCs w:val="20"/>
              </w:rPr>
            </w:pPr>
            <w:r w:rsidRPr="003124B9">
              <w:rPr>
                <w:rFonts w:ascii="Arial" w:hAnsi="Arial" w:cs="Arial"/>
                <w:sz w:val="20"/>
                <w:szCs w:val="20"/>
              </w:rPr>
              <w:t xml:space="preserve">       </w:t>
            </w:r>
            <w:r w:rsidR="001F1086" w:rsidRPr="003124B9">
              <w:rPr>
                <w:rFonts w:ascii="Arial" w:hAnsi="Arial" w:cs="Arial"/>
                <w:sz w:val="20"/>
                <w:szCs w:val="20"/>
              </w:rPr>
              <w:t>5 or more lesions</w:t>
            </w:r>
          </w:p>
        </w:tc>
        <w:tc>
          <w:tcPr>
            <w:tcW w:w="1530" w:type="dxa"/>
            <w:tcBorders>
              <w:top w:val="nil"/>
            </w:tcBorders>
            <w:shd w:val="clear" w:color="auto" w:fill="auto"/>
          </w:tcPr>
          <w:p w:rsidR="001F1086" w:rsidRPr="003124B9" w:rsidRDefault="001F1086" w:rsidP="00D25AEA">
            <w:pPr>
              <w:spacing w:line="276" w:lineRule="auto"/>
              <w:jc w:val="center"/>
              <w:rPr>
                <w:rFonts w:ascii="Arial" w:hAnsi="Arial" w:cs="Arial"/>
                <w:sz w:val="20"/>
                <w:szCs w:val="20"/>
              </w:rPr>
            </w:pPr>
            <w:r w:rsidRPr="003124B9">
              <w:rPr>
                <w:rFonts w:ascii="Arial" w:hAnsi="Arial" w:cs="Arial"/>
                <w:sz w:val="20"/>
                <w:szCs w:val="20"/>
              </w:rPr>
              <w:t>26%</w:t>
            </w:r>
          </w:p>
        </w:tc>
        <w:tc>
          <w:tcPr>
            <w:tcW w:w="1508" w:type="dxa"/>
            <w:tcBorders>
              <w:top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45%</w:t>
            </w:r>
          </w:p>
        </w:tc>
        <w:tc>
          <w:tcPr>
            <w:tcW w:w="1587" w:type="dxa"/>
            <w:tcBorders>
              <w:top w:val="nil"/>
            </w:tcBorders>
            <w:shd w:val="clear" w:color="auto" w:fill="auto"/>
          </w:tcPr>
          <w:p w:rsidR="001F1086" w:rsidRPr="003124B9" w:rsidRDefault="00C93AED" w:rsidP="00D25AEA">
            <w:pPr>
              <w:spacing w:line="276" w:lineRule="auto"/>
              <w:jc w:val="center"/>
              <w:rPr>
                <w:rFonts w:ascii="Arial" w:hAnsi="Arial" w:cs="Arial"/>
                <w:sz w:val="20"/>
                <w:szCs w:val="20"/>
              </w:rPr>
            </w:pPr>
            <w:r w:rsidRPr="003124B9">
              <w:rPr>
                <w:rFonts w:ascii="Arial" w:hAnsi="Arial" w:cs="Arial"/>
                <w:sz w:val="20"/>
                <w:szCs w:val="20"/>
              </w:rPr>
              <w:t>27%</w:t>
            </w:r>
          </w:p>
        </w:tc>
      </w:tr>
    </w:tbl>
    <w:p w:rsidR="00607F4E" w:rsidRPr="003124B9" w:rsidRDefault="008F1D9D" w:rsidP="00D25AEA">
      <w:pPr>
        <w:spacing w:line="276" w:lineRule="auto"/>
        <w:rPr>
          <w:rFonts w:ascii="Arial" w:hAnsi="Arial" w:cs="Arial"/>
          <w:sz w:val="22"/>
          <w:szCs w:val="22"/>
        </w:rPr>
      </w:pPr>
      <w:r w:rsidRPr="003124B9">
        <w:rPr>
          <w:rFonts w:ascii="Arial" w:hAnsi="Arial" w:cs="Arial"/>
          <w:i/>
          <w:sz w:val="16"/>
          <w:szCs w:val="16"/>
        </w:rPr>
        <w:t xml:space="preserve">(a): Based on Kaplan-Meier estimate. </w:t>
      </w:r>
    </w:p>
    <w:p w:rsidR="00376621" w:rsidRPr="003124B9" w:rsidRDefault="00E15686" w:rsidP="00D25AEA">
      <w:pPr>
        <w:spacing w:line="276" w:lineRule="auto"/>
        <w:rPr>
          <w:rFonts w:ascii="Arial" w:hAnsi="Arial" w:cs="Arial"/>
          <w:i/>
          <w:sz w:val="16"/>
          <w:szCs w:val="16"/>
        </w:rPr>
      </w:pPr>
      <w:r w:rsidRPr="003124B9">
        <w:rPr>
          <w:rFonts w:ascii="Arial" w:hAnsi="Arial" w:cs="Arial"/>
          <w:i/>
          <w:sz w:val="16"/>
          <w:szCs w:val="16"/>
        </w:rPr>
        <w:t xml:space="preserve">Note: </w:t>
      </w:r>
      <w:r w:rsidR="00376621" w:rsidRPr="003124B9">
        <w:rPr>
          <w:rFonts w:ascii="Arial" w:hAnsi="Arial" w:cs="Arial"/>
          <w:i/>
          <w:sz w:val="16"/>
          <w:szCs w:val="16"/>
        </w:rPr>
        <w:t>All analyses of clinical endpoints were intent-to-treat.  MRI analysis used MRI cohort.</w:t>
      </w:r>
    </w:p>
    <w:p w:rsidR="00F44DEA" w:rsidRDefault="00F44DEA" w:rsidP="00D25AEA">
      <w:pPr>
        <w:pStyle w:val="Default"/>
        <w:spacing w:line="276" w:lineRule="auto"/>
        <w:rPr>
          <w:color w:val="auto"/>
          <w:sz w:val="22"/>
          <w:szCs w:val="22"/>
        </w:rPr>
      </w:pPr>
    </w:p>
    <w:p w:rsidR="00281F0D" w:rsidRPr="00BC3AE7" w:rsidRDefault="00F44DEA" w:rsidP="00BC3AE7">
      <w:pPr>
        <w:pStyle w:val="Default"/>
        <w:spacing w:line="276" w:lineRule="auto"/>
        <w:rPr>
          <w:rFonts w:ascii="Arial" w:hAnsi="Arial" w:cs="Arial"/>
          <w:color w:val="auto"/>
          <w:sz w:val="22"/>
          <w:szCs w:val="22"/>
        </w:rPr>
      </w:pPr>
      <w:r w:rsidRPr="00E94ACD">
        <w:rPr>
          <w:rFonts w:ascii="Arial" w:hAnsi="Arial" w:cs="Arial"/>
          <w:color w:val="auto"/>
          <w:sz w:val="22"/>
          <w:szCs w:val="22"/>
        </w:rPr>
        <w:t xml:space="preserve">Pooled results at 2 years for Study 1 and Study 2 showed consistent and statistically significant results for TECFIDERA versus placebo in all primary and secondary endpoints, including time to confirmed disability progression (32% relative reduction compared to placebo). </w:t>
      </w:r>
    </w:p>
    <w:p w:rsidR="00E33E7B" w:rsidRPr="00281F0D" w:rsidRDefault="000A0F9E" w:rsidP="00281F0D">
      <w:pPr>
        <w:pStyle w:val="Heading1"/>
        <w:spacing w:line="276" w:lineRule="auto"/>
        <w:rPr>
          <w:sz w:val="28"/>
          <w:szCs w:val="22"/>
          <w:lang w:val="en-US"/>
        </w:rPr>
      </w:pPr>
      <w:r w:rsidRPr="00281F0D">
        <w:rPr>
          <w:sz w:val="28"/>
          <w:szCs w:val="22"/>
          <w:lang w:val="en-US"/>
        </w:rPr>
        <w:t>INDICATIONS</w:t>
      </w:r>
    </w:p>
    <w:p w:rsidR="00281F0D" w:rsidRPr="00BC3AE7" w:rsidRDefault="005956CF" w:rsidP="00BC3AE7">
      <w:pPr>
        <w:widowControl w:val="0"/>
        <w:suppressLineNumbers/>
        <w:spacing w:line="276" w:lineRule="auto"/>
        <w:rPr>
          <w:rFonts w:ascii="Arial" w:hAnsi="Arial" w:cs="Arial"/>
          <w:noProof/>
          <w:sz w:val="22"/>
          <w:szCs w:val="22"/>
        </w:rPr>
      </w:pPr>
      <w:r w:rsidRPr="00E94ACD">
        <w:rPr>
          <w:rFonts w:ascii="Arial" w:hAnsi="Arial" w:cs="Arial"/>
          <w:sz w:val="22"/>
          <w:szCs w:val="22"/>
          <w:lang w:val="en-US"/>
        </w:rPr>
        <w:t>TECFIDERA</w:t>
      </w:r>
      <w:r w:rsidR="004207C1" w:rsidRPr="00E94ACD">
        <w:rPr>
          <w:rFonts w:ascii="Arial" w:hAnsi="Arial" w:cs="Arial"/>
          <w:sz w:val="22"/>
          <w:szCs w:val="22"/>
          <w:lang w:val="en-US"/>
        </w:rPr>
        <w:t xml:space="preserve"> </w:t>
      </w:r>
      <w:r w:rsidR="00EC38E9" w:rsidRPr="00E94ACD">
        <w:rPr>
          <w:rFonts w:ascii="Arial" w:hAnsi="Arial" w:cs="Arial"/>
          <w:noProof/>
          <w:sz w:val="22"/>
          <w:szCs w:val="22"/>
        </w:rPr>
        <w:t xml:space="preserve">is indicated in patients with relapsing multiple sclerosis to reduce the frequency of relapses and to delay the progression of disability. </w:t>
      </w:r>
    </w:p>
    <w:p w:rsidR="00E33E7B" w:rsidRPr="00281F0D" w:rsidRDefault="000A0F9E" w:rsidP="00281F0D">
      <w:pPr>
        <w:pStyle w:val="Heading1"/>
        <w:spacing w:line="276" w:lineRule="auto"/>
        <w:rPr>
          <w:sz w:val="28"/>
          <w:szCs w:val="22"/>
          <w:lang w:val="en-US"/>
        </w:rPr>
      </w:pPr>
      <w:r w:rsidRPr="00281F0D">
        <w:rPr>
          <w:sz w:val="28"/>
          <w:szCs w:val="22"/>
          <w:lang w:val="en-US"/>
        </w:rPr>
        <w:lastRenderedPageBreak/>
        <w:t>CONTRAINDICATIONS</w:t>
      </w:r>
    </w:p>
    <w:p w:rsidR="00281F0D" w:rsidRPr="00BC3AE7" w:rsidRDefault="005956CF" w:rsidP="00BC3AE7">
      <w:pPr>
        <w:pStyle w:val="Default"/>
        <w:spacing w:line="276" w:lineRule="auto"/>
        <w:rPr>
          <w:rFonts w:ascii="Arial" w:hAnsi="Arial" w:cs="Arial"/>
          <w:color w:val="auto"/>
          <w:sz w:val="22"/>
          <w:szCs w:val="22"/>
          <w:lang w:val="en-AU"/>
        </w:rPr>
      </w:pPr>
      <w:r w:rsidRPr="00E94ACD">
        <w:rPr>
          <w:rFonts w:ascii="Arial" w:hAnsi="Arial" w:cs="Arial"/>
          <w:color w:val="auto"/>
          <w:sz w:val="22"/>
          <w:szCs w:val="22"/>
        </w:rPr>
        <w:t>TECFIDERA</w:t>
      </w:r>
      <w:r w:rsidR="004207C1" w:rsidRPr="00E94ACD">
        <w:rPr>
          <w:rFonts w:ascii="Arial" w:hAnsi="Arial" w:cs="Arial"/>
          <w:color w:val="auto"/>
          <w:sz w:val="22"/>
          <w:szCs w:val="22"/>
        </w:rPr>
        <w:t xml:space="preserve"> </w:t>
      </w:r>
      <w:r w:rsidR="001B78B0" w:rsidRPr="00E94ACD">
        <w:rPr>
          <w:rFonts w:ascii="Arial" w:hAnsi="Arial" w:cs="Arial"/>
          <w:color w:val="auto"/>
          <w:sz w:val="22"/>
          <w:szCs w:val="22"/>
          <w:lang w:val="en-AU"/>
        </w:rPr>
        <w:t>is contraindicated in patients wi</w:t>
      </w:r>
      <w:r w:rsidR="00F6326B" w:rsidRPr="00E94ACD">
        <w:rPr>
          <w:rFonts w:ascii="Arial" w:hAnsi="Arial" w:cs="Arial"/>
          <w:color w:val="auto"/>
          <w:sz w:val="22"/>
          <w:szCs w:val="22"/>
          <w:lang w:val="en-AU"/>
        </w:rPr>
        <w:t xml:space="preserve">th known hypersensitivity to </w:t>
      </w:r>
      <w:r w:rsidR="00EB6B4E" w:rsidRPr="00E94ACD">
        <w:rPr>
          <w:rFonts w:ascii="Arial" w:hAnsi="Arial" w:cs="Arial"/>
          <w:color w:val="auto"/>
          <w:sz w:val="22"/>
          <w:szCs w:val="22"/>
          <w:lang w:val="en-AU"/>
        </w:rPr>
        <w:t>DMF</w:t>
      </w:r>
      <w:r w:rsidR="001B78B0" w:rsidRPr="00E94ACD">
        <w:rPr>
          <w:rFonts w:ascii="Arial" w:hAnsi="Arial" w:cs="Arial"/>
          <w:color w:val="auto"/>
          <w:sz w:val="22"/>
          <w:szCs w:val="22"/>
          <w:lang w:val="en-AU"/>
        </w:rPr>
        <w:t xml:space="preserve"> or any excipients </w:t>
      </w:r>
      <w:r w:rsidR="001B78B0" w:rsidRPr="00D21C46">
        <w:rPr>
          <w:rFonts w:ascii="Arial" w:hAnsi="Arial" w:cs="Arial"/>
          <w:color w:val="auto"/>
          <w:sz w:val="22"/>
          <w:szCs w:val="22"/>
          <w:lang w:val="en-AU"/>
        </w:rPr>
        <w:t>in this product.</w:t>
      </w:r>
      <w:r w:rsidR="004824F8" w:rsidRPr="00D21C46">
        <w:rPr>
          <w:rFonts w:ascii="Arial" w:hAnsi="Arial" w:cs="Arial"/>
          <w:color w:val="auto"/>
          <w:sz w:val="22"/>
          <w:szCs w:val="22"/>
          <w:lang w:val="en-AU"/>
        </w:rPr>
        <w:t xml:space="preserve"> </w:t>
      </w:r>
    </w:p>
    <w:p w:rsidR="00E33E7B" w:rsidRPr="008D180C" w:rsidRDefault="000A0F9E" w:rsidP="00281F0D">
      <w:pPr>
        <w:pStyle w:val="Heading1"/>
        <w:spacing w:line="276" w:lineRule="auto"/>
        <w:rPr>
          <w:sz w:val="28"/>
          <w:szCs w:val="22"/>
          <w:lang w:val="en-US"/>
        </w:rPr>
      </w:pPr>
      <w:r w:rsidRPr="008D180C">
        <w:rPr>
          <w:sz w:val="28"/>
          <w:szCs w:val="22"/>
          <w:lang w:val="en-US"/>
        </w:rPr>
        <w:t>PRECAUTIONS</w:t>
      </w:r>
    </w:p>
    <w:p w:rsidR="008F6292" w:rsidRDefault="008F6292" w:rsidP="008F6292">
      <w:pPr>
        <w:autoSpaceDE w:val="0"/>
        <w:autoSpaceDN w:val="0"/>
        <w:adjustRightInd w:val="0"/>
        <w:spacing w:line="276" w:lineRule="auto"/>
        <w:rPr>
          <w:rFonts w:ascii="Arial" w:hAnsi="Arial" w:cs="Arial"/>
          <w:color w:val="000000"/>
          <w:sz w:val="22"/>
          <w:szCs w:val="22"/>
        </w:rPr>
      </w:pPr>
      <w:bookmarkStart w:id="27" w:name="g44d15ea4-eaed-44a5-9ec7-731431ab0307"/>
      <w:bookmarkEnd w:id="27"/>
      <w:r w:rsidRPr="008D180C">
        <w:rPr>
          <w:rFonts w:ascii="Arial" w:hAnsi="Arial" w:cs="Arial"/>
          <w:b/>
          <w:bCs/>
          <w:i/>
          <w:iCs/>
          <w:color w:val="000000"/>
          <w:sz w:val="22"/>
          <w:szCs w:val="22"/>
        </w:rPr>
        <w:t xml:space="preserve">Infection </w:t>
      </w:r>
    </w:p>
    <w:p w:rsidR="008F6292" w:rsidRPr="00DE35AA" w:rsidRDefault="008F6292" w:rsidP="008F6292">
      <w:pPr>
        <w:autoSpaceDE w:val="0"/>
        <w:autoSpaceDN w:val="0"/>
        <w:adjustRightInd w:val="0"/>
        <w:spacing w:line="276" w:lineRule="auto"/>
        <w:rPr>
          <w:rFonts w:ascii="Arial" w:hAnsi="Arial" w:cs="Arial"/>
          <w:iCs/>
          <w:color w:val="000000"/>
          <w:sz w:val="22"/>
          <w:szCs w:val="22"/>
        </w:rPr>
      </w:pPr>
      <w:r w:rsidRPr="00DE35AA">
        <w:rPr>
          <w:rFonts w:ascii="Arial" w:hAnsi="Arial" w:cs="Arial"/>
          <w:iCs/>
          <w:color w:val="000000"/>
          <w:sz w:val="22"/>
          <w:szCs w:val="22"/>
        </w:rPr>
        <w:t>Decreases in lymphocyte counts observed in patients treated with TECFIDERA in clinical trials were not associated with increased frequencies of infections. However, due to the</w:t>
      </w:r>
      <w:r w:rsidR="001C03D6" w:rsidRPr="00DE35AA">
        <w:rPr>
          <w:rFonts w:ascii="Arial" w:hAnsi="Arial" w:cs="Arial"/>
          <w:iCs/>
          <w:color w:val="000000"/>
          <w:sz w:val="22"/>
          <w:szCs w:val="22"/>
        </w:rPr>
        <w:t xml:space="preserve"> risk of </w:t>
      </w:r>
      <w:r w:rsidR="00650776" w:rsidRPr="00DE35AA">
        <w:rPr>
          <w:rFonts w:ascii="Arial" w:hAnsi="Arial" w:cs="Arial"/>
          <w:iCs/>
          <w:color w:val="000000"/>
          <w:sz w:val="22"/>
          <w:szCs w:val="22"/>
        </w:rPr>
        <w:t xml:space="preserve">serious, possibly fatal infection, patients who develop lymphopenia as a result of treatment with TECFIDERA require close monitoring. Patients </w:t>
      </w:r>
      <w:r w:rsidRPr="00DE35AA">
        <w:rPr>
          <w:rFonts w:ascii="Arial" w:hAnsi="Arial" w:cs="Arial"/>
          <w:iCs/>
          <w:color w:val="000000"/>
          <w:sz w:val="22"/>
          <w:szCs w:val="22"/>
        </w:rPr>
        <w:t>should be instructed to report symptoms of infection to their physician. For patients with signs and symptoms of serious infections, interrupting treatment with TECFIDERA should be considered until the infection(s) resolves.</w:t>
      </w:r>
    </w:p>
    <w:p w:rsidR="00657D5B" w:rsidRDefault="00657D5B" w:rsidP="00D25AEA">
      <w:pPr>
        <w:pStyle w:val="GTCBodyText"/>
        <w:spacing w:before="0" w:after="0" w:line="276" w:lineRule="auto"/>
        <w:jc w:val="left"/>
        <w:rPr>
          <w:rStyle w:val="gtcitalic1"/>
          <w:rFonts w:ascii="Arial" w:hAnsi="Arial" w:cs="Arial"/>
          <w:b/>
          <w:bCs/>
          <w:sz w:val="22"/>
          <w:szCs w:val="22"/>
        </w:rPr>
      </w:pPr>
    </w:p>
    <w:p w:rsidR="002A03F7" w:rsidRPr="00D21C46" w:rsidRDefault="00647A47" w:rsidP="00D25AEA">
      <w:pPr>
        <w:pStyle w:val="GTCBodyText"/>
        <w:spacing w:before="0" w:after="0" w:line="276" w:lineRule="auto"/>
        <w:jc w:val="left"/>
        <w:rPr>
          <w:rStyle w:val="gtcitalic1"/>
          <w:rFonts w:ascii="Arial" w:hAnsi="Arial" w:cs="Arial"/>
          <w:b/>
          <w:bCs/>
          <w:sz w:val="22"/>
          <w:szCs w:val="22"/>
        </w:rPr>
      </w:pPr>
      <w:r w:rsidRPr="00D21C46">
        <w:rPr>
          <w:rStyle w:val="gtcitalic1"/>
          <w:rFonts w:ascii="Arial" w:hAnsi="Arial" w:cs="Arial"/>
          <w:b/>
          <w:bCs/>
          <w:sz w:val="22"/>
          <w:szCs w:val="22"/>
        </w:rPr>
        <w:t>Lymphopenia</w:t>
      </w:r>
    </w:p>
    <w:p w:rsidR="00023793" w:rsidRPr="00D21C46" w:rsidRDefault="00023793"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TECFIDERA may decrease lymphocyte counts </w:t>
      </w:r>
      <w:r w:rsidRPr="00D21C46">
        <w:rPr>
          <w:rFonts w:ascii="Arial" w:hAnsi="Arial" w:cs="Arial"/>
          <w:i/>
          <w:iCs/>
          <w:color w:val="auto"/>
          <w:sz w:val="22"/>
          <w:szCs w:val="22"/>
        </w:rPr>
        <w:t xml:space="preserve">(see ADVERSE EFFECTS). </w:t>
      </w:r>
      <w:r w:rsidRPr="00D21C46">
        <w:rPr>
          <w:rFonts w:ascii="Arial" w:hAnsi="Arial" w:cs="Arial"/>
          <w:color w:val="auto"/>
          <w:sz w:val="22"/>
          <w:szCs w:val="22"/>
        </w:rPr>
        <w:t>In the MS placebo controlled trials, mean lymphocyte counts decreased by approximately 30% during the first year of treatment with TECFIDERA and then remained stable. WBC counts &lt;3.0 x 10</w:t>
      </w:r>
      <w:r w:rsidRPr="002C2A38">
        <w:rPr>
          <w:rFonts w:ascii="Arial" w:hAnsi="Arial" w:cs="Arial"/>
          <w:color w:val="auto"/>
          <w:sz w:val="22"/>
          <w:szCs w:val="22"/>
          <w:vertAlign w:val="superscript"/>
        </w:rPr>
        <w:t>9</w:t>
      </w:r>
      <w:r w:rsidRPr="00D21C46">
        <w:rPr>
          <w:rFonts w:ascii="Arial" w:hAnsi="Arial" w:cs="Arial"/>
          <w:color w:val="auto"/>
          <w:sz w:val="22"/>
          <w:szCs w:val="22"/>
        </w:rPr>
        <w:t>/L and lymphocyte counts &lt;0.5 x 10</w:t>
      </w:r>
      <w:r w:rsidRPr="002C2A38">
        <w:rPr>
          <w:rFonts w:ascii="Arial" w:hAnsi="Arial" w:cs="Arial"/>
          <w:color w:val="auto"/>
          <w:sz w:val="22"/>
          <w:szCs w:val="22"/>
          <w:vertAlign w:val="superscript"/>
        </w:rPr>
        <w:t>9</w:t>
      </w:r>
      <w:r w:rsidRPr="00D21C46">
        <w:rPr>
          <w:rFonts w:ascii="Arial" w:hAnsi="Arial" w:cs="Arial"/>
          <w:color w:val="auto"/>
          <w:sz w:val="22"/>
          <w:szCs w:val="22"/>
        </w:rPr>
        <w:t>/L were reported in 6 to 7% of subjects given TECFIDERA.</w:t>
      </w:r>
      <w:r w:rsidRPr="00D21C46">
        <w:rPr>
          <w:rFonts w:ascii="Arial" w:hAnsi="Arial" w:cs="Arial"/>
          <w:i/>
          <w:iCs/>
          <w:color w:val="auto"/>
          <w:sz w:val="22"/>
          <w:szCs w:val="22"/>
        </w:rPr>
        <w:t xml:space="preserve">  </w:t>
      </w:r>
      <w:r w:rsidRPr="00D21C46">
        <w:rPr>
          <w:rFonts w:ascii="Arial" w:hAnsi="Arial" w:cs="Arial"/>
          <w:color w:val="auto"/>
          <w:sz w:val="22"/>
          <w:szCs w:val="22"/>
        </w:rPr>
        <w:t xml:space="preserve">Prior to initiating treatment with TECFIDERA, a recent complete blood count (CBC) (i.e. within 6 months) is recommended.  A CBC is recommended annually, and as clinically indicated. </w:t>
      </w:r>
      <w:r w:rsidR="00742F75">
        <w:rPr>
          <w:rFonts w:ascii="Arial" w:hAnsi="Arial" w:cs="Arial"/>
          <w:color w:val="auto"/>
          <w:sz w:val="22"/>
          <w:szCs w:val="22"/>
        </w:rPr>
        <w:t>Interrupting</w:t>
      </w:r>
      <w:r w:rsidR="00742F75" w:rsidRPr="00D21C46">
        <w:rPr>
          <w:rFonts w:ascii="Arial" w:hAnsi="Arial" w:cs="Arial"/>
          <w:color w:val="auto"/>
          <w:sz w:val="22"/>
          <w:szCs w:val="22"/>
        </w:rPr>
        <w:t xml:space="preserve"> </w:t>
      </w:r>
      <w:r w:rsidRPr="00D21C46">
        <w:rPr>
          <w:rFonts w:ascii="Arial" w:hAnsi="Arial" w:cs="Arial"/>
          <w:color w:val="auto"/>
          <w:sz w:val="22"/>
          <w:szCs w:val="22"/>
        </w:rPr>
        <w:t xml:space="preserve">treatment should be considered in patients with serious infections until the infection(s) </w:t>
      </w:r>
      <w:r w:rsidR="00742F75" w:rsidRPr="00D21C46">
        <w:rPr>
          <w:rFonts w:ascii="Arial" w:hAnsi="Arial" w:cs="Arial"/>
          <w:color w:val="auto"/>
          <w:sz w:val="22"/>
          <w:szCs w:val="22"/>
        </w:rPr>
        <w:t>resolve</w:t>
      </w:r>
      <w:r w:rsidR="00742F75">
        <w:rPr>
          <w:rFonts w:ascii="Arial" w:hAnsi="Arial" w:cs="Arial"/>
          <w:color w:val="auto"/>
          <w:sz w:val="22"/>
          <w:szCs w:val="22"/>
        </w:rPr>
        <w:t>s</w:t>
      </w:r>
      <w:r w:rsidRPr="00D21C46">
        <w:rPr>
          <w:rFonts w:ascii="Arial" w:hAnsi="Arial" w:cs="Arial"/>
          <w:color w:val="auto"/>
          <w:sz w:val="22"/>
          <w:szCs w:val="22"/>
        </w:rPr>
        <w:t xml:space="preserve">. TECFIDERA has not been studied in patients with pre-existing low lymphocyte counts and caution should be exercised when treating these patients.   </w:t>
      </w:r>
    </w:p>
    <w:p w:rsidR="00FC6FEE" w:rsidRDefault="00FC6FEE" w:rsidP="00FC6FEE">
      <w:pPr>
        <w:autoSpaceDE w:val="0"/>
        <w:autoSpaceDN w:val="0"/>
        <w:adjustRightInd w:val="0"/>
        <w:spacing w:line="276" w:lineRule="auto"/>
        <w:rPr>
          <w:rFonts w:ascii="Arial" w:hAnsi="Arial" w:cs="Arial"/>
          <w:b/>
          <w:bCs/>
          <w:i/>
          <w:iCs/>
          <w:color w:val="000000"/>
          <w:sz w:val="22"/>
          <w:szCs w:val="22"/>
          <w:highlight w:val="yellow"/>
        </w:rPr>
      </w:pPr>
    </w:p>
    <w:p w:rsidR="00FC6FEE" w:rsidRPr="00DE35AA" w:rsidRDefault="00FC6FEE" w:rsidP="00DE35AA">
      <w:pPr>
        <w:autoSpaceDE w:val="0"/>
        <w:autoSpaceDN w:val="0"/>
        <w:adjustRightInd w:val="0"/>
        <w:spacing w:line="276" w:lineRule="auto"/>
        <w:rPr>
          <w:rFonts w:ascii="Arial" w:hAnsi="Arial" w:cs="Arial"/>
          <w:iCs/>
          <w:color w:val="000000"/>
          <w:sz w:val="22"/>
          <w:szCs w:val="22"/>
        </w:rPr>
      </w:pPr>
      <w:r w:rsidRPr="00DE35AA">
        <w:rPr>
          <w:rFonts w:ascii="Arial" w:hAnsi="Arial" w:cs="Arial"/>
          <w:b/>
          <w:bCs/>
          <w:i/>
          <w:iCs/>
          <w:color w:val="000000"/>
          <w:sz w:val="22"/>
          <w:szCs w:val="22"/>
        </w:rPr>
        <w:t>Vaccination:</w:t>
      </w:r>
      <w:r w:rsidRPr="00DE35AA">
        <w:rPr>
          <w:rFonts w:ascii="Arial" w:hAnsi="Arial" w:cs="Arial"/>
          <w:b/>
          <w:bCs/>
          <w:iCs/>
          <w:color w:val="000000"/>
          <w:sz w:val="22"/>
          <w:szCs w:val="22"/>
        </w:rPr>
        <w:t xml:space="preserve"> </w:t>
      </w:r>
      <w:r w:rsidRPr="00DE35AA">
        <w:rPr>
          <w:rFonts w:ascii="Arial" w:hAnsi="Arial" w:cs="Arial"/>
          <w:iCs/>
          <w:color w:val="000000"/>
          <w:sz w:val="22"/>
          <w:szCs w:val="22"/>
        </w:rPr>
        <w:t>The safety of administration of live attenuated vaccines during treatment with TECFIDERA has not been evaluated in clinical trials. Live vaccines have a potential risk of clinical infection and are not recommended during treatment with TECFIDERA. The efficacy of vaccines administered during treatment with TECFIDERA has not been evaluated in clinical trials.</w:t>
      </w:r>
    </w:p>
    <w:p w:rsidR="00023793" w:rsidRPr="00DE35AA" w:rsidRDefault="00023793" w:rsidP="00D25AEA">
      <w:pPr>
        <w:pStyle w:val="Default"/>
        <w:spacing w:line="276" w:lineRule="auto"/>
        <w:rPr>
          <w:rFonts w:ascii="Arial" w:hAnsi="Arial" w:cs="Arial"/>
          <w:color w:val="auto"/>
          <w:sz w:val="22"/>
          <w:szCs w:val="22"/>
        </w:rPr>
      </w:pPr>
    </w:p>
    <w:p w:rsidR="006D5461" w:rsidRPr="00DE35AA" w:rsidRDefault="006D5461" w:rsidP="00D25AEA">
      <w:pPr>
        <w:autoSpaceDE w:val="0"/>
        <w:autoSpaceDN w:val="0"/>
        <w:adjustRightInd w:val="0"/>
        <w:spacing w:line="276" w:lineRule="auto"/>
        <w:rPr>
          <w:rFonts w:ascii="Arial" w:hAnsi="Arial" w:cs="Arial"/>
          <w:i/>
          <w:color w:val="000000"/>
          <w:sz w:val="22"/>
          <w:szCs w:val="22"/>
        </w:rPr>
      </w:pPr>
      <w:r w:rsidRPr="00DE35AA">
        <w:rPr>
          <w:rFonts w:ascii="Arial" w:hAnsi="Arial" w:cs="Arial"/>
          <w:b/>
          <w:bCs/>
          <w:i/>
          <w:iCs/>
          <w:color w:val="000000"/>
          <w:sz w:val="22"/>
          <w:szCs w:val="22"/>
        </w:rPr>
        <w:t xml:space="preserve">Renal function </w:t>
      </w:r>
    </w:p>
    <w:p w:rsidR="006D5461" w:rsidRPr="00DE35AA" w:rsidRDefault="006D5461" w:rsidP="00D25AEA">
      <w:pPr>
        <w:autoSpaceDE w:val="0"/>
        <w:autoSpaceDN w:val="0"/>
        <w:adjustRightInd w:val="0"/>
        <w:spacing w:line="276" w:lineRule="auto"/>
        <w:rPr>
          <w:rFonts w:ascii="Arial" w:hAnsi="Arial" w:cs="Arial"/>
          <w:iCs/>
          <w:color w:val="000000"/>
          <w:sz w:val="22"/>
          <w:szCs w:val="22"/>
        </w:rPr>
      </w:pPr>
      <w:r w:rsidRPr="00DE35AA">
        <w:rPr>
          <w:rFonts w:ascii="Arial" w:hAnsi="Arial" w:cs="Arial"/>
          <w:iCs/>
          <w:color w:val="000000"/>
          <w:sz w:val="22"/>
          <w:szCs w:val="22"/>
        </w:rPr>
        <w:t xml:space="preserve">In clinical trials with patients with multiple sclerosis, adverse events of </w:t>
      </w:r>
      <w:proofErr w:type="spellStart"/>
      <w:r w:rsidRPr="00DE35AA">
        <w:rPr>
          <w:rFonts w:ascii="Arial" w:hAnsi="Arial" w:cs="Arial"/>
          <w:iCs/>
          <w:color w:val="000000"/>
          <w:sz w:val="22"/>
          <w:szCs w:val="22"/>
        </w:rPr>
        <w:t>proteinuria</w:t>
      </w:r>
      <w:proofErr w:type="spellEnd"/>
      <w:r w:rsidRPr="00DE35AA">
        <w:rPr>
          <w:rFonts w:ascii="Arial" w:hAnsi="Arial" w:cs="Arial"/>
          <w:iCs/>
          <w:color w:val="000000"/>
          <w:sz w:val="22"/>
          <w:szCs w:val="22"/>
        </w:rPr>
        <w:t xml:space="preserve"> (</w:t>
      </w:r>
      <w:proofErr w:type="spellStart"/>
      <w:r w:rsidRPr="00DE35AA">
        <w:rPr>
          <w:rFonts w:ascii="Arial" w:hAnsi="Arial" w:cs="Arial"/>
          <w:iCs/>
          <w:color w:val="000000"/>
          <w:sz w:val="22"/>
          <w:szCs w:val="22"/>
        </w:rPr>
        <w:t>proteinuria</w:t>
      </w:r>
      <w:proofErr w:type="spellEnd"/>
      <w:r w:rsidRPr="00DE35AA">
        <w:rPr>
          <w:rFonts w:ascii="Arial" w:hAnsi="Arial" w:cs="Arial"/>
          <w:iCs/>
          <w:color w:val="000000"/>
          <w:sz w:val="22"/>
          <w:szCs w:val="22"/>
        </w:rPr>
        <w:t xml:space="preserve">, </w:t>
      </w:r>
      <w:proofErr w:type="spellStart"/>
      <w:r w:rsidRPr="00DE35AA">
        <w:rPr>
          <w:rFonts w:ascii="Arial" w:hAnsi="Arial" w:cs="Arial"/>
          <w:iCs/>
          <w:color w:val="000000"/>
          <w:sz w:val="22"/>
          <w:szCs w:val="22"/>
        </w:rPr>
        <w:t>microalbuminuria</w:t>
      </w:r>
      <w:proofErr w:type="spellEnd"/>
      <w:r w:rsidRPr="00DE35AA">
        <w:rPr>
          <w:rFonts w:ascii="Arial" w:hAnsi="Arial" w:cs="Arial"/>
          <w:iCs/>
          <w:color w:val="000000"/>
          <w:sz w:val="22"/>
          <w:szCs w:val="22"/>
        </w:rPr>
        <w:t xml:space="preserve"> and urine albumin present) were reported at slightly higher frequencies in patients treated with TECFIDERA compared to patients that received placebo. The significance of these clinical observations is not known at this time. </w:t>
      </w:r>
    </w:p>
    <w:p w:rsidR="006D5461" w:rsidRPr="00DE35AA" w:rsidRDefault="006D5461" w:rsidP="00D25AEA">
      <w:pPr>
        <w:autoSpaceDE w:val="0"/>
        <w:autoSpaceDN w:val="0"/>
        <w:adjustRightInd w:val="0"/>
        <w:spacing w:line="276" w:lineRule="auto"/>
        <w:rPr>
          <w:rFonts w:ascii="Arial" w:hAnsi="Arial" w:cs="Arial"/>
          <w:color w:val="000000"/>
          <w:sz w:val="22"/>
          <w:szCs w:val="22"/>
        </w:rPr>
      </w:pPr>
    </w:p>
    <w:p w:rsidR="006D5461" w:rsidRPr="00DE35AA" w:rsidRDefault="006D5461" w:rsidP="00D25AEA">
      <w:pPr>
        <w:autoSpaceDE w:val="0"/>
        <w:autoSpaceDN w:val="0"/>
        <w:adjustRightInd w:val="0"/>
        <w:spacing w:line="276" w:lineRule="auto"/>
        <w:rPr>
          <w:rFonts w:ascii="Arial" w:hAnsi="Arial" w:cs="Arial"/>
          <w:iCs/>
          <w:color w:val="000000"/>
          <w:sz w:val="22"/>
          <w:szCs w:val="22"/>
        </w:rPr>
      </w:pPr>
      <w:r w:rsidRPr="00DE35AA">
        <w:rPr>
          <w:rFonts w:ascii="Arial" w:hAnsi="Arial" w:cs="Arial"/>
          <w:iCs/>
          <w:color w:val="000000"/>
          <w:sz w:val="22"/>
          <w:szCs w:val="22"/>
        </w:rPr>
        <w:t>Prior to initiating treatment with TECFIDERA, urinalysis should be available (within 6 months</w:t>
      </w:r>
      <w:r w:rsidR="000E1BF1" w:rsidRPr="00DE35AA">
        <w:rPr>
          <w:rFonts w:ascii="Arial" w:hAnsi="Arial" w:cs="Arial"/>
          <w:iCs/>
          <w:color w:val="000000"/>
          <w:sz w:val="22"/>
          <w:szCs w:val="22"/>
        </w:rPr>
        <w:t xml:space="preserve"> </w:t>
      </w:r>
      <w:r w:rsidR="000E1BF1" w:rsidRPr="00DE35AA">
        <w:rPr>
          <w:rFonts w:ascii="Arial" w:hAnsi="Arial" w:cs="Arial"/>
          <w:iCs/>
          <w:sz w:val="22"/>
          <w:szCs w:val="22"/>
        </w:rPr>
        <w:t>prior to starting therapy</w:t>
      </w:r>
      <w:r w:rsidRPr="00DE35AA">
        <w:rPr>
          <w:rFonts w:ascii="Arial" w:hAnsi="Arial" w:cs="Arial"/>
          <w:iCs/>
          <w:sz w:val="22"/>
          <w:szCs w:val="22"/>
        </w:rPr>
        <w:t>). During treatment, urinalysis is recommended</w:t>
      </w:r>
      <w:r w:rsidR="003D19E3" w:rsidRPr="00DE35AA">
        <w:rPr>
          <w:rFonts w:ascii="Arial" w:hAnsi="Arial" w:cs="Arial"/>
          <w:iCs/>
          <w:sz w:val="22"/>
          <w:szCs w:val="22"/>
        </w:rPr>
        <w:t xml:space="preserve"> annually</w:t>
      </w:r>
      <w:r w:rsidR="00DE35AA" w:rsidRPr="00DE35AA">
        <w:rPr>
          <w:rFonts w:ascii="Arial" w:hAnsi="Arial" w:cs="Arial"/>
          <w:iCs/>
          <w:sz w:val="22"/>
          <w:szCs w:val="22"/>
        </w:rPr>
        <w:t xml:space="preserve"> </w:t>
      </w:r>
      <w:r w:rsidR="00F17C1B" w:rsidRPr="00DE35AA">
        <w:rPr>
          <w:rFonts w:ascii="Arial" w:hAnsi="Arial" w:cs="Arial"/>
          <w:iCs/>
          <w:sz w:val="22"/>
          <w:szCs w:val="22"/>
        </w:rPr>
        <w:t>a</w:t>
      </w:r>
      <w:r w:rsidRPr="00DE35AA">
        <w:rPr>
          <w:rFonts w:ascii="Arial" w:hAnsi="Arial" w:cs="Arial"/>
          <w:iCs/>
          <w:sz w:val="22"/>
          <w:szCs w:val="22"/>
        </w:rPr>
        <w:t xml:space="preserve">nd </w:t>
      </w:r>
      <w:r w:rsidRPr="00DE35AA">
        <w:rPr>
          <w:rFonts w:ascii="Arial" w:hAnsi="Arial" w:cs="Arial"/>
          <w:iCs/>
          <w:color w:val="000000"/>
          <w:sz w:val="22"/>
          <w:szCs w:val="22"/>
        </w:rPr>
        <w:t xml:space="preserve">as clinically indicated. </w:t>
      </w:r>
    </w:p>
    <w:p w:rsidR="00FC6FEE" w:rsidRPr="00DE35AA" w:rsidRDefault="00FC6FEE" w:rsidP="00FC6FEE">
      <w:pPr>
        <w:autoSpaceDE w:val="0"/>
        <w:autoSpaceDN w:val="0"/>
        <w:adjustRightInd w:val="0"/>
        <w:spacing w:line="276" w:lineRule="auto"/>
        <w:rPr>
          <w:rFonts w:ascii="Arial" w:hAnsi="Arial" w:cs="Arial"/>
          <w:strike/>
          <w:color w:val="000000"/>
          <w:sz w:val="22"/>
          <w:szCs w:val="22"/>
        </w:rPr>
      </w:pPr>
    </w:p>
    <w:p w:rsidR="00FC6FEE" w:rsidRPr="00DE35AA" w:rsidRDefault="00FC6FEE" w:rsidP="00FC6FEE">
      <w:pPr>
        <w:pStyle w:val="GTCParagraph"/>
        <w:spacing w:line="276" w:lineRule="auto"/>
        <w:rPr>
          <w:rFonts w:ascii="Arial" w:hAnsi="Arial" w:cs="Arial"/>
          <w:iCs/>
          <w:color w:val="000000"/>
          <w:sz w:val="22"/>
          <w:szCs w:val="22"/>
          <w:lang w:val="en-AU"/>
        </w:rPr>
      </w:pPr>
      <w:r w:rsidRPr="00DE35AA">
        <w:rPr>
          <w:rFonts w:ascii="Arial" w:hAnsi="Arial" w:cs="Arial"/>
          <w:iCs/>
          <w:color w:val="000000"/>
          <w:sz w:val="22"/>
          <w:szCs w:val="22"/>
          <w:lang w:val="en-AU"/>
        </w:rPr>
        <w:t>The use of TECFIDERA in patients who receive chronic treatment with medications that are associated with potential nephrotoxic risk (e.g., aminoglycosides, diuretics, NSAIDs, lithium) has not been evaluated. Therefore, caution should be exercised if TECFIDERA is used in patients receiving chronic treatment with such medications.</w:t>
      </w:r>
    </w:p>
    <w:p w:rsidR="00D21C46" w:rsidRPr="00DE35AA" w:rsidRDefault="00D21C46" w:rsidP="00D25AEA">
      <w:pPr>
        <w:autoSpaceDE w:val="0"/>
        <w:autoSpaceDN w:val="0"/>
        <w:adjustRightInd w:val="0"/>
        <w:spacing w:line="276" w:lineRule="auto"/>
        <w:rPr>
          <w:rFonts w:ascii="Arial" w:hAnsi="Arial" w:cs="Arial"/>
          <w:b/>
          <w:sz w:val="22"/>
          <w:szCs w:val="22"/>
          <w:lang w:val="en-US"/>
        </w:rPr>
      </w:pPr>
    </w:p>
    <w:p w:rsidR="00E33E7B" w:rsidRPr="00D21C46" w:rsidRDefault="000A0F9E" w:rsidP="00D25AEA">
      <w:pPr>
        <w:autoSpaceDE w:val="0"/>
        <w:autoSpaceDN w:val="0"/>
        <w:adjustRightInd w:val="0"/>
        <w:spacing w:line="276" w:lineRule="auto"/>
        <w:rPr>
          <w:rFonts w:ascii="Arial" w:hAnsi="Arial" w:cs="Arial"/>
          <w:b/>
          <w:i/>
          <w:sz w:val="22"/>
          <w:szCs w:val="22"/>
          <w:lang w:val="en-US"/>
        </w:rPr>
      </w:pPr>
      <w:r w:rsidRPr="00D21C46">
        <w:rPr>
          <w:rFonts w:ascii="Arial" w:hAnsi="Arial" w:cs="Arial"/>
          <w:b/>
          <w:i/>
          <w:sz w:val="22"/>
          <w:szCs w:val="22"/>
          <w:lang w:val="en-US"/>
        </w:rPr>
        <w:t>Effects on fertility</w:t>
      </w:r>
    </w:p>
    <w:p w:rsidR="00023793" w:rsidRPr="00D21C46" w:rsidRDefault="00023793"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lastRenderedPageBreak/>
        <w:t xml:space="preserve">Data from nonclinical studies do not suggest that TECFIDERA would be associated with an increased risk of reduced fertility. </w:t>
      </w:r>
    </w:p>
    <w:p w:rsidR="00023793" w:rsidRPr="00023793" w:rsidRDefault="00023793" w:rsidP="00D25AEA">
      <w:pPr>
        <w:pStyle w:val="Default"/>
        <w:spacing w:line="276" w:lineRule="auto"/>
        <w:rPr>
          <w:rFonts w:ascii="Arial" w:hAnsi="Arial" w:cs="Arial"/>
          <w:color w:val="auto"/>
          <w:sz w:val="22"/>
          <w:szCs w:val="22"/>
        </w:rPr>
      </w:pPr>
    </w:p>
    <w:p w:rsidR="00023793" w:rsidRPr="00023793" w:rsidRDefault="00023793" w:rsidP="00D25AEA">
      <w:pPr>
        <w:pStyle w:val="Default"/>
        <w:spacing w:line="276" w:lineRule="auto"/>
        <w:rPr>
          <w:rFonts w:ascii="Arial" w:hAnsi="Arial" w:cs="Arial"/>
          <w:color w:val="auto"/>
          <w:sz w:val="22"/>
          <w:szCs w:val="22"/>
        </w:rPr>
      </w:pPr>
      <w:r w:rsidRPr="00023793">
        <w:rPr>
          <w:rFonts w:ascii="Arial" w:hAnsi="Arial" w:cs="Arial"/>
          <w:color w:val="auto"/>
          <w:sz w:val="22"/>
          <w:szCs w:val="22"/>
        </w:rPr>
        <w:t>Administration of DMF to male rats at daily oral doses of up to 7-9 times the maximum recommended human dose (MRHD) based on mg/m</w:t>
      </w:r>
      <w:r w:rsidRPr="00FE506F">
        <w:rPr>
          <w:rFonts w:ascii="Arial" w:hAnsi="Arial" w:cs="Arial"/>
          <w:color w:val="auto"/>
          <w:sz w:val="22"/>
          <w:szCs w:val="22"/>
          <w:vertAlign w:val="superscript"/>
        </w:rPr>
        <w:t>2</w:t>
      </w:r>
      <w:r w:rsidRPr="00023793">
        <w:rPr>
          <w:rFonts w:ascii="Arial" w:hAnsi="Arial" w:cs="Arial"/>
          <w:color w:val="auto"/>
          <w:sz w:val="22"/>
          <w:szCs w:val="22"/>
        </w:rPr>
        <w:t xml:space="preserve"> prior to and during mating had no effects on fertility. Administration of DMF to female rats at daily oral doses of up to 5-6 times the MRHD based on mg/m</w:t>
      </w:r>
      <w:r w:rsidRPr="00FE506F">
        <w:rPr>
          <w:rFonts w:ascii="Arial" w:hAnsi="Arial" w:cs="Arial"/>
          <w:color w:val="auto"/>
          <w:sz w:val="22"/>
          <w:szCs w:val="22"/>
          <w:vertAlign w:val="superscript"/>
        </w:rPr>
        <w:t>2</w:t>
      </w:r>
      <w:r w:rsidRPr="00023793">
        <w:rPr>
          <w:rFonts w:ascii="Arial" w:hAnsi="Arial" w:cs="Arial"/>
          <w:color w:val="auto"/>
          <w:sz w:val="22"/>
          <w:szCs w:val="22"/>
        </w:rPr>
        <w:t xml:space="preserve"> prior to and during mating, and continuing to Day 7 of gestation, delayed </w:t>
      </w:r>
      <w:proofErr w:type="spellStart"/>
      <w:r w:rsidRPr="00023793">
        <w:rPr>
          <w:rFonts w:ascii="Arial" w:hAnsi="Arial" w:cs="Arial"/>
          <w:color w:val="auto"/>
          <w:sz w:val="22"/>
          <w:szCs w:val="22"/>
        </w:rPr>
        <w:t>oestrus</w:t>
      </w:r>
      <w:proofErr w:type="spellEnd"/>
      <w:r w:rsidRPr="00023793">
        <w:rPr>
          <w:rFonts w:ascii="Arial" w:hAnsi="Arial" w:cs="Arial"/>
          <w:color w:val="auto"/>
          <w:sz w:val="22"/>
          <w:szCs w:val="22"/>
        </w:rPr>
        <w:t xml:space="preserve"> cycling at the highest dose but had no effects on fertility. </w:t>
      </w:r>
    </w:p>
    <w:p w:rsidR="00023793" w:rsidRPr="00023793" w:rsidRDefault="00023793" w:rsidP="00D25AEA">
      <w:pPr>
        <w:pStyle w:val="Default"/>
        <w:spacing w:line="276" w:lineRule="auto"/>
        <w:rPr>
          <w:rFonts w:ascii="Arial" w:hAnsi="Arial" w:cs="Arial"/>
          <w:b/>
          <w:bCs/>
          <w:i/>
          <w:iCs/>
          <w:color w:val="auto"/>
          <w:sz w:val="22"/>
          <w:szCs w:val="22"/>
        </w:rPr>
      </w:pPr>
    </w:p>
    <w:p w:rsidR="00023793" w:rsidRPr="00023793" w:rsidRDefault="00023793" w:rsidP="00D25AEA">
      <w:pPr>
        <w:pStyle w:val="Default"/>
        <w:spacing w:line="276" w:lineRule="auto"/>
        <w:rPr>
          <w:rFonts w:ascii="Arial" w:hAnsi="Arial" w:cs="Arial"/>
          <w:color w:val="auto"/>
          <w:sz w:val="22"/>
          <w:szCs w:val="22"/>
        </w:rPr>
      </w:pPr>
      <w:r w:rsidRPr="00023793">
        <w:rPr>
          <w:rFonts w:ascii="Arial" w:hAnsi="Arial" w:cs="Arial"/>
          <w:b/>
          <w:bCs/>
          <w:i/>
          <w:iCs/>
          <w:color w:val="auto"/>
          <w:sz w:val="22"/>
          <w:szCs w:val="22"/>
        </w:rPr>
        <w:t xml:space="preserve">Use in Pregnancy (Category B1) </w:t>
      </w:r>
    </w:p>
    <w:p w:rsidR="00023793" w:rsidRDefault="00023793" w:rsidP="00D25AEA">
      <w:pPr>
        <w:pStyle w:val="Default"/>
        <w:spacing w:line="276" w:lineRule="auto"/>
        <w:rPr>
          <w:rFonts w:ascii="Arial" w:hAnsi="Arial" w:cs="Arial"/>
          <w:color w:val="auto"/>
          <w:sz w:val="22"/>
          <w:szCs w:val="22"/>
        </w:rPr>
      </w:pPr>
      <w:r w:rsidRPr="00023793">
        <w:rPr>
          <w:rFonts w:ascii="Arial" w:hAnsi="Arial" w:cs="Arial"/>
          <w:color w:val="auto"/>
          <w:sz w:val="22"/>
          <w:szCs w:val="22"/>
        </w:rPr>
        <w:t xml:space="preserve">Oral treatment of pregnant rats and rabbits during the period of organogenesis with dimethyl fumarate showed no evidence of teratogenicity. In rats, the high dose of 250 mg/kg/day (9 times the MRHD based on AUC) reduced fetal weight and caused minor impairment of ossification in fetuses, concomitant with maternal toxicity; the no-effect dose for fetal effects was 100 mg/kg/day (4 times the MRHD based on AUC). In rabbits, the high dose of 150 mg/kg/day (14 times the MRHD based on AUC) elicited toxicity and abortions in does, but did not affect embryofetal development. </w:t>
      </w:r>
    </w:p>
    <w:p w:rsidR="00023793" w:rsidRPr="00023793" w:rsidRDefault="00023793" w:rsidP="00D25AEA">
      <w:pPr>
        <w:pStyle w:val="Default"/>
        <w:spacing w:line="276" w:lineRule="auto"/>
        <w:rPr>
          <w:rFonts w:ascii="Arial" w:hAnsi="Arial" w:cs="Arial"/>
          <w:color w:val="auto"/>
          <w:sz w:val="22"/>
          <w:szCs w:val="22"/>
        </w:rPr>
      </w:pPr>
    </w:p>
    <w:p w:rsidR="00023793" w:rsidRPr="00023793" w:rsidRDefault="00023793" w:rsidP="00D25AEA">
      <w:pPr>
        <w:pStyle w:val="Default"/>
        <w:spacing w:line="276" w:lineRule="auto"/>
        <w:rPr>
          <w:rFonts w:ascii="Arial" w:hAnsi="Arial" w:cs="Arial"/>
          <w:color w:val="auto"/>
          <w:sz w:val="22"/>
          <w:szCs w:val="22"/>
        </w:rPr>
      </w:pPr>
      <w:r w:rsidRPr="00023793">
        <w:rPr>
          <w:rFonts w:ascii="Arial" w:hAnsi="Arial" w:cs="Arial"/>
          <w:color w:val="auto"/>
          <w:sz w:val="22"/>
          <w:szCs w:val="22"/>
        </w:rPr>
        <w:t xml:space="preserve">The effects of TECFIDERA on </w:t>
      </w:r>
      <w:proofErr w:type="spellStart"/>
      <w:r w:rsidRPr="00023793">
        <w:rPr>
          <w:rFonts w:ascii="Arial" w:hAnsi="Arial" w:cs="Arial"/>
          <w:color w:val="auto"/>
          <w:sz w:val="22"/>
          <w:szCs w:val="22"/>
        </w:rPr>
        <w:t>labour</w:t>
      </w:r>
      <w:proofErr w:type="spellEnd"/>
      <w:r w:rsidRPr="00023793">
        <w:rPr>
          <w:rFonts w:ascii="Arial" w:hAnsi="Arial" w:cs="Arial"/>
          <w:color w:val="auto"/>
          <w:sz w:val="22"/>
          <w:szCs w:val="22"/>
        </w:rPr>
        <w:t xml:space="preserve"> and delivery are unknown. In rats given oral dimethyl fumarate from early gestation to the end of lactation, there were no effects on delivery at doses up to 250 mg/kg/day (9 times the MRHD based on AUC). </w:t>
      </w:r>
    </w:p>
    <w:p w:rsidR="00023793" w:rsidRDefault="00023793" w:rsidP="00D25AEA">
      <w:pPr>
        <w:pStyle w:val="Default"/>
        <w:spacing w:line="276" w:lineRule="auto"/>
        <w:rPr>
          <w:rFonts w:ascii="Arial" w:hAnsi="Arial" w:cs="Arial"/>
          <w:color w:val="auto"/>
          <w:sz w:val="22"/>
          <w:szCs w:val="22"/>
        </w:rPr>
      </w:pPr>
    </w:p>
    <w:p w:rsidR="00643A7C" w:rsidRDefault="00023793" w:rsidP="00D25AEA">
      <w:pPr>
        <w:pStyle w:val="Default"/>
        <w:spacing w:line="276" w:lineRule="auto"/>
        <w:rPr>
          <w:rFonts w:ascii="Arial" w:hAnsi="Arial" w:cs="Arial"/>
          <w:color w:val="auto"/>
          <w:sz w:val="22"/>
          <w:szCs w:val="22"/>
        </w:rPr>
      </w:pPr>
      <w:r w:rsidRPr="00023793">
        <w:rPr>
          <w:rFonts w:ascii="Arial" w:hAnsi="Arial" w:cs="Arial"/>
          <w:color w:val="auto"/>
          <w:sz w:val="22"/>
          <w:szCs w:val="22"/>
        </w:rPr>
        <w:t xml:space="preserve">TECFIDERA should be used during pregnancy only if clearly needed and if the potential benefit justifies the potential risk to the fetus. </w:t>
      </w:r>
    </w:p>
    <w:p w:rsidR="00643A7C" w:rsidRPr="00D21C46" w:rsidRDefault="00643A7C" w:rsidP="00D25AEA">
      <w:pPr>
        <w:pStyle w:val="Default"/>
        <w:spacing w:line="276" w:lineRule="auto"/>
        <w:rPr>
          <w:rFonts w:ascii="Arial" w:hAnsi="Arial" w:cs="Arial"/>
          <w:color w:val="auto"/>
          <w:sz w:val="22"/>
          <w:szCs w:val="22"/>
        </w:rPr>
      </w:pP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Use in lactation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It is not known whether this drug is excreted in milk.  A risk to the newborn/infant cannot be excluded.  A decision must be made whether to discontinue breastfeeding or to discontinue TECFIDERA treatment.  The benefit of breast-feeding for the child and the benefit of treatment for the woman should be taken into account.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Paediatric use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The safety and effectiveness of TECFIDERA in paediatric patients with multiple sclerosis below the age of 18 have not been established.  </w:t>
      </w:r>
    </w:p>
    <w:p w:rsidR="00643A7C" w:rsidRPr="00D21C46" w:rsidRDefault="00643A7C" w:rsidP="00D25AEA">
      <w:pPr>
        <w:pStyle w:val="Default"/>
        <w:spacing w:line="276" w:lineRule="auto"/>
        <w:rPr>
          <w:rFonts w:ascii="Arial" w:hAnsi="Arial" w:cs="Arial"/>
          <w:b/>
          <w:bCs/>
          <w:i/>
          <w:iCs/>
          <w:color w:val="auto"/>
          <w:sz w:val="22"/>
          <w:szCs w:val="22"/>
        </w:rPr>
      </w:pP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Use in the elderly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There are limited data available for the use of TECFIDERA in patients aged 65 years and over, therefore it is unknown whether elderly patients respond differently to younger patients.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Genotoxicity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DMF and MMF were negative in the following </w:t>
      </w:r>
      <w:r w:rsidRPr="00D21C46">
        <w:rPr>
          <w:rFonts w:ascii="Arial" w:hAnsi="Arial" w:cs="Arial"/>
          <w:i/>
          <w:iCs/>
          <w:color w:val="auto"/>
          <w:sz w:val="22"/>
          <w:szCs w:val="22"/>
        </w:rPr>
        <w:t>in vitro</w:t>
      </w:r>
      <w:r w:rsidRPr="00D21C46">
        <w:rPr>
          <w:rFonts w:ascii="Arial" w:hAnsi="Arial" w:cs="Arial"/>
          <w:color w:val="auto"/>
          <w:sz w:val="22"/>
          <w:szCs w:val="22"/>
        </w:rPr>
        <w:t xml:space="preserve"> assays (bacterial reverse mutation test, chromosomal aberration assay in human lymphocytes, and [DMF only] a forward mutation assay in Chinese hamster ovary cells) and in vivo assays (rat micronucleus assay with DMF, bone marrow cytogenetic test with MMF).  Results did not suggest a risk</w:t>
      </w:r>
      <w:r w:rsidR="00FC6FEE">
        <w:rPr>
          <w:rFonts w:ascii="Arial" w:hAnsi="Arial" w:cs="Arial"/>
          <w:color w:val="auto"/>
          <w:sz w:val="22"/>
          <w:szCs w:val="22"/>
        </w:rPr>
        <w:t xml:space="preserve"> of genotoxicity in patients. </w:t>
      </w:r>
    </w:p>
    <w:p w:rsidR="00643A7C" w:rsidRPr="00D21C46" w:rsidRDefault="00643A7C" w:rsidP="00D25AEA">
      <w:pPr>
        <w:pStyle w:val="Default"/>
        <w:spacing w:line="276" w:lineRule="auto"/>
        <w:rPr>
          <w:rFonts w:ascii="Arial" w:hAnsi="Arial" w:cs="Arial"/>
          <w:b/>
          <w:bCs/>
          <w:i/>
          <w:iCs/>
          <w:color w:val="auto"/>
          <w:sz w:val="22"/>
          <w:szCs w:val="22"/>
        </w:rPr>
      </w:pP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Carcinogenicity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lastRenderedPageBreak/>
        <w:t xml:space="preserve">Carcinogenicity studies were conducted in mice and rats with oral dosing with DMF for up to 2 years. Doses in mice were 25, 75, 200 and 400 mg/kg/day and in rats were 25, 50, 100 and 150 mg/kg/day.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Incidences of </w:t>
      </w:r>
      <w:proofErr w:type="spellStart"/>
      <w:r w:rsidRPr="00D21C46">
        <w:rPr>
          <w:rFonts w:ascii="Arial" w:hAnsi="Arial" w:cs="Arial"/>
          <w:color w:val="auto"/>
          <w:sz w:val="22"/>
          <w:szCs w:val="22"/>
        </w:rPr>
        <w:t>tumours</w:t>
      </w:r>
      <w:proofErr w:type="spellEnd"/>
      <w:r w:rsidRPr="00D21C46">
        <w:rPr>
          <w:rFonts w:ascii="Arial" w:hAnsi="Arial" w:cs="Arial"/>
          <w:color w:val="auto"/>
          <w:sz w:val="22"/>
          <w:szCs w:val="22"/>
        </w:rPr>
        <w:t xml:space="preserve"> in the </w:t>
      </w:r>
      <w:proofErr w:type="spellStart"/>
      <w:r w:rsidRPr="00D21C46">
        <w:rPr>
          <w:rFonts w:ascii="Arial" w:hAnsi="Arial" w:cs="Arial"/>
          <w:color w:val="auto"/>
          <w:sz w:val="22"/>
          <w:szCs w:val="22"/>
        </w:rPr>
        <w:t>nonglandular</w:t>
      </w:r>
      <w:proofErr w:type="spellEnd"/>
      <w:r w:rsidRPr="00D21C46">
        <w:rPr>
          <w:rFonts w:ascii="Arial" w:hAnsi="Arial" w:cs="Arial"/>
          <w:color w:val="auto"/>
          <w:sz w:val="22"/>
          <w:szCs w:val="22"/>
        </w:rPr>
        <w:t xml:space="preserve"> stomach were increased in mice and rats (squamous cell papillomas and carcinomas in mice and rats; </w:t>
      </w:r>
      <w:proofErr w:type="spellStart"/>
      <w:r w:rsidRPr="00D21C46">
        <w:rPr>
          <w:rFonts w:ascii="Arial" w:hAnsi="Arial" w:cs="Arial"/>
          <w:color w:val="auto"/>
          <w:sz w:val="22"/>
          <w:szCs w:val="22"/>
        </w:rPr>
        <w:t>leiomyosarcomas</w:t>
      </w:r>
      <w:proofErr w:type="spellEnd"/>
      <w:r w:rsidRPr="00D21C46">
        <w:rPr>
          <w:rFonts w:ascii="Arial" w:hAnsi="Arial" w:cs="Arial"/>
          <w:color w:val="auto"/>
          <w:sz w:val="22"/>
          <w:szCs w:val="22"/>
        </w:rPr>
        <w:t xml:space="preserve"> and </w:t>
      </w:r>
      <w:proofErr w:type="spellStart"/>
      <w:r w:rsidRPr="00D21C46">
        <w:rPr>
          <w:rFonts w:ascii="Arial" w:hAnsi="Arial" w:cs="Arial"/>
          <w:color w:val="auto"/>
          <w:sz w:val="22"/>
          <w:szCs w:val="22"/>
        </w:rPr>
        <w:t>fibrosarcomas</w:t>
      </w:r>
      <w:proofErr w:type="spellEnd"/>
      <w:r w:rsidRPr="00D21C46">
        <w:rPr>
          <w:rFonts w:ascii="Arial" w:hAnsi="Arial" w:cs="Arial"/>
          <w:color w:val="auto"/>
          <w:sz w:val="22"/>
          <w:szCs w:val="22"/>
        </w:rPr>
        <w:t xml:space="preserve"> in mice). As the nonglandular stomach of mice and rats does not have a human counterpart, these tumours are not considered to be a risk in patients.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 </w:t>
      </w:r>
    </w:p>
    <w:p w:rsidR="00643A7C" w:rsidRPr="00D21C46" w:rsidRDefault="00643A7C" w:rsidP="00D25AEA">
      <w:pPr>
        <w:pStyle w:val="Default"/>
        <w:spacing w:line="276" w:lineRule="auto"/>
        <w:rPr>
          <w:rFonts w:ascii="Arial" w:hAnsi="Arial" w:cs="Arial"/>
          <w:color w:val="auto"/>
          <w:sz w:val="22"/>
          <w:szCs w:val="22"/>
        </w:rPr>
      </w:pPr>
      <w:r w:rsidRPr="008B0FF6">
        <w:rPr>
          <w:rFonts w:ascii="Arial" w:hAnsi="Arial" w:cs="Arial"/>
          <w:color w:val="auto"/>
          <w:sz w:val="22"/>
          <w:szCs w:val="22"/>
        </w:rPr>
        <w:t>Incidences of renal tubular adenomas (benign) and carcinomas were increased in both mice and rats. Higher incidences of at least one of these tumours were observed at doses of 75 mg/kg/day in mice (1.3 times the MRHD based on AUC</w:t>
      </w:r>
      <w:r w:rsidRPr="008B0FF6">
        <w:rPr>
          <w:rFonts w:ascii="Arial" w:hAnsi="Arial" w:cs="Arial"/>
          <w:i/>
          <w:iCs/>
          <w:color w:val="auto"/>
          <w:sz w:val="22"/>
          <w:szCs w:val="22"/>
        </w:rPr>
        <w:t xml:space="preserve">) </w:t>
      </w:r>
      <w:r w:rsidRPr="008B0FF6">
        <w:rPr>
          <w:rFonts w:ascii="Arial" w:hAnsi="Arial" w:cs="Arial"/>
          <w:color w:val="auto"/>
          <w:sz w:val="22"/>
          <w:szCs w:val="22"/>
        </w:rPr>
        <w:t>and 100 mg/kg/day in rats (2 times the MRHD based on AUC</w:t>
      </w:r>
      <w:r w:rsidRPr="008B0FF6">
        <w:rPr>
          <w:rFonts w:ascii="Arial" w:hAnsi="Arial" w:cs="Arial"/>
          <w:i/>
          <w:iCs/>
          <w:color w:val="auto"/>
          <w:sz w:val="22"/>
          <w:szCs w:val="22"/>
        </w:rPr>
        <w:t xml:space="preserve">), </w:t>
      </w:r>
      <w:r w:rsidRPr="008B0FF6">
        <w:rPr>
          <w:rFonts w:ascii="Arial" w:hAnsi="Arial" w:cs="Arial"/>
          <w:color w:val="auto"/>
          <w:sz w:val="22"/>
          <w:szCs w:val="22"/>
        </w:rPr>
        <w:t>with significantly higher incidences at 200 mg/kg/day in mice and 150 mg/kg/day in rats (4 times the MRHD in both species). The clinical relevance of these findings is unclear but they might pose a human risk.</w:t>
      </w:r>
      <w:r w:rsidRPr="00D21C46">
        <w:rPr>
          <w:rFonts w:ascii="Arial" w:hAnsi="Arial" w:cs="Arial"/>
          <w:color w:val="auto"/>
          <w:sz w:val="22"/>
          <w:szCs w:val="22"/>
        </w:rPr>
        <w:t xml:space="preserve"> </w:t>
      </w:r>
    </w:p>
    <w:p w:rsidR="00643A7C" w:rsidRPr="00D21C46" w:rsidRDefault="00643A7C" w:rsidP="00D25AEA">
      <w:pPr>
        <w:pStyle w:val="Default"/>
        <w:spacing w:line="276" w:lineRule="auto"/>
        <w:rPr>
          <w:rFonts w:ascii="Arial" w:hAnsi="Arial" w:cs="Arial"/>
          <w:color w:val="auto"/>
          <w:sz w:val="23"/>
          <w:szCs w:val="23"/>
        </w:rPr>
      </w:pP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In male rats, an increase in the incidence of benign interstitial cell (Leydig cell) adenoma of the testes was observed at ≥100 mg/kg/day (2 times the MRHD based on AUC). The rat is particularly sensitive to developing this tumour type and the relevance of these findings to human risk is considered low. </w:t>
      </w:r>
    </w:p>
    <w:p w:rsidR="00643A7C" w:rsidRPr="00D21C46" w:rsidRDefault="00643A7C" w:rsidP="00D25AEA">
      <w:pPr>
        <w:pStyle w:val="Default"/>
        <w:spacing w:line="276" w:lineRule="auto"/>
        <w:rPr>
          <w:rFonts w:ascii="Arial" w:hAnsi="Arial" w:cs="Arial"/>
          <w:color w:val="auto"/>
          <w:sz w:val="23"/>
          <w:szCs w:val="23"/>
        </w:rPr>
      </w:pP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b/>
          <w:bCs/>
          <w:i/>
          <w:iCs/>
          <w:color w:val="auto"/>
          <w:sz w:val="22"/>
          <w:szCs w:val="22"/>
        </w:rPr>
        <w:t xml:space="preserve">Effect on Laboratory Tests </w:t>
      </w:r>
    </w:p>
    <w:p w:rsidR="00643A7C" w:rsidRPr="00D21C46" w:rsidRDefault="00643A7C" w:rsidP="00D25AEA">
      <w:pPr>
        <w:pStyle w:val="Default"/>
        <w:spacing w:line="276" w:lineRule="auto"/>
        <w:rPr>
          <w:rFonts w:ascii="Arial" w:hAnsi="Arial" w:cs="Arial"/>
          <w:color w:val="auto"/>
          <w:sz w:val="22"/>
          <w:szCs w:val="22"/>
        </w:rPr>
      </w:pPr>
      <w:r w:rsidRPr="00D21C46">
        <w:rPr>
          <w:rFonts w:ascii="Arial" w:hAnsi="Arial" w:cs="Arial"/>
          <w:color w:val="auto"/>
          <w:sz w:val="22"/>
          <w:szCs w:val="22"/>
        </w:rPr>
        <w:t xml:space="preserve">There are no data available on whether TECFIDERA interferes with laboratory tests. </w:t>
      </w:r>
    </w:p>
    <w:p w:rsidR="00643A7C" w:rsidRPr="00BC3AE7" w:rsidRDefault="00643A7C" w:rsidP="00BC3AE7">
      <w:pPr>
        <w:pStyle w:val="Default"/>
        <w:spacing w:before="240" w:after="60" w:line="276" w:lineRule="auto"/>
        <w:rPr>
          <w:rFonts w:ascii="Arial" w:hAnsi="Arial" w:cs="Arial"/>
          <w:color w:val="auto"/>
          <w:sz w:val="28"/>
          <w:szCs w:val="22"/>
        </w:rPr>
      </w:pPr>
      <w:r w:rsidRPr="00BC3AE7">
        <w:rPr>
          <w:rFonts w:ascii="Arial" w:hAnsi="Arial" w:cs="Arial"/>
          <w:b/>
          <w:bCs/>
          <w:color w:val="auto"/>
          <w:sz w:val="28"/>
          <w:szCs w:val="22"/>
        </w:rPr>
        <w:t xml:space="preserve">INTERACTIONS WITH OTHER MEDICINES </w:t>
      </w:r>
    </w:p>
    <w:p w:rsidR="00643A7C" w:rsidRPr="00281F0D" w:rsidRDefault="00643A7C"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In humans, TECFIDERA is extensively metabolised by esterases before it reaches the systemic circulation and further metabolism occurs through the tricarboxylic acid (TCA) cycle, with no involvement of the cytochrome P450 (CYP) system.  Potential drug interaction risks were not identified from </w:t>
      </w:r>
      <w:r w:rsidRPr="00281F0D">
        <w:rPr>
          <w:rFonts w:ascii="Arial" w:hAnsi="Arial" w:cs="Arial"/>
          <w:i/>
          <w:iCs/>
          <w:color w:val="auto"/>
          <w:sz w:val="22"/>
          <w:szCs w:val="22"/>
        </w:rPr>
        <w:t>in vitro</w:t>
      </w:r>
      <w:r w:rsidRPr="00281F0D">
        <w:rPr>
          <w:rFonts w:ascii="Arial" w:hAnsi="Arial" w:cs="Arial"/>
          <w:color w:val="auto"/>
          <w:sz w:val="22"/>
          <w:szCs w:val="22"/>
        </w:rPr>
        <w:t xml:space="preserve"> CYP-inhibition and induction studies, a p-glycoprotein study, or studies of the</w:t>
      </w:r>
      <w:r w:rsidR="008B0FF6">
        <w:rPr>
          <w:rFonts w:ascii="Arial" w:hAnsi="Arial" w:cs="Arial"/>
          <w:color w:val="auto"/>
          <w:sz w:val="22"/>
          <w:szCs w:val="22"/>
        </w:rPr>
        <w:t xml:space="preserve"> protein binding of DMF and MMF. </w:t>
      </w:r>
    </w:p>
    <w:p w:rsidR="00643A7C" w:rsidRPr="00281F0D" w:rsidRDefault="00643A7C" w:rsidP="00D25AEA">
      <w:pPr>
        <w:pStyle w:val="Default"/>
        <w:spacing w:line="276" w:lineRule="auto"/>
        <w:rPr>
          <w:rFonts w:ascii="Arial" w:hAnsi="Arial" w:cs="Arial"/>
          <w:color w:val="auto"/>
          <w:sz w:val="22"/>
          <w:szCs w:val="22"/>
        </w:rPr>
      </w:pPr>
    </w:p>
    <w:p w:rsidR="00643A7C" w:rsidRPr="00281F0D" w:rsidRDefault="00643A7C"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Commonly used drugs in patients with multiple sclerosis, intramuscular (IM) interferon beta-a and GA, were clinically tested for potential drug-interactions with TECFIDERA and did not alter the pharmacokinetic profile of TECFIDERA.  Aspirin (non-enteric coated), 325 mg, when administered approximately 30 minutes before TECFIDERA, did not alter the pharmacokinetic profile of TECFIDERA.  </w:t>
      </w:r>
    </w:p>
    <w:p w:rsidR="00643A7C" w:rsidRPr="00281F0D" w:rsidRDefault="00643A7C" w:rsidP="00D25AEA">
      <w:pPr>
        <w:pStyle w:val="Default"/>
        <w:spacing w:line="276" w:lineRule="auto"/>
        <w:rPr>
          <w:rFonts w:ascii="Arial" w:hAnsi="Arial" w:cs="Arial"/>
          <w:color w:val="auto"/>
          <w:sz w:val="22"/>
          <w:szCs w:val="22"/>
        </w:rPr>
      </w:pPr>
    </w:p>
    <w:p w:rsidR="00643A7C" w:rsidRPr="00281F0D" w:rsidRDefault="00643A7C"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During treatment with TECFIDERA, simultaneous use of other fumaric acid derivatives (topical or systemic) should be avoided as such clinical scenarios have not been studied. </w:t>
      </w:r>
    </w:p>
    <w:p w:rsidR="00E33E7B" w:rsidRPr="00BC3AE7" w:rsidRDefault="000A0F9E" w:rsidP="00BC3AE7">
      <w:pPr>
        <w:autoSpaceDE w:val="0"/>
        <w:autoSpaceDN w:val="0"/>
        <w:adjustRightInd w:val="0"/>
        <w:spacing w:before="240" w:after="60" w:line="276" w:lineRule="auto"/>
        <w:rPr>
          <w:rStyle w:val="Heading1Char"/>
          <w:sz w:val="28"/>
          <w:szCs w:val="22"/>
        </w:rPr>
      </w:pPr>
      <w:r w:rsidRPr="00BC3AE7">
        <w:rPr>
          <w:rStyle w:val="Heading1Char"/>
          <w:sz w:val="28"/>
          <w:szCs w:val="22"/>
        </w:rPr>
        <w:t>ADVERSE EFFECTS</w:t>
      </w:r>
    </w:p>
    <w:p w:rsidR="00D25AEA"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The most common adverse reactions (incidence ≥10% and &gt;2% than placebo) for TECFIDERA were flushing and gastrointestinal (GI) events (i.e. diarrhoea, nausea, abdominal pain, upper abdominal pain. </w:t>
      </w:r>
    </w:p>
    <w:p w:rsidR="00BC3AE7" w:rsidRPr="00281F0D" w:rsidRDefault="00BC3AE7"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lastRenderedPageBreak/>
        <w:t xml:space="preserve">The most commonly reported adverse events leading to discontinuation (incidence &gt;1%) in patients treated with TECFIDERA were flushing (3%) and gastrointestinal events (4%). </w:t>
      </w:r>
    </w:p>
    <w:p w:rsidR="00D25AEA" w:rsidRPr="00281F0D" w:rsidRDefault="00D25AEA"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In placebo-controlled and uncontrolled clinical studies, a total of 2468 patients have received TECFIDERA and been followed for periods up to 4 years with an overall exposure equivalent to 3588 person-years.  Approximately 1056 patients have received more than 2 years of treatment with TECFIDERA. The experience in uncontrolled clinical trials is consistent with the experience in the placebo-controlled clinical trials. </w:t>
      </w:r>
    </w:p>
    <w:p w:rsidR="00D25AEA" w:rsidRPr="00281F0D" w:rsidRDefault="00D25AEA"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In the two Phase 3 placebo-controlled trials, 1529 patients received TECFIDERA with an overall exposure of 2371 person-years </w:t>
      </w:r>
      <w:r w:rsidRPr="00281F0D">
        <w:rPr>
          <w:rFonts w:ascii="Arial" w:hAnsi="Arial" w:cs="Arial"/>
          <w:i/>
          <w:iCs/>
          <w:color w:val="auto"/>
          <w:sz w:val="22"/>
          <w:szCs w:val="22"/>
        </w:rPr>
        <w:t>(see CLINICAL TRIALS)</w:t>
      </w:r>
      <w:r w:rsidRPr="00281F0D">
        <w:rPr>
          <w:rFonts w:ascii="Arial" w:hAnsi="Arial" w:cs="Arial"/>
          <w:color w:val="auto"/>
          <w:sz w:val="22"/>
          <w:szCs w:val="22"/>
        </w:rPr>
        <w:t xml:space="preserve">. The adverse reactions presented in the table below are based on safety information from 769 patients treated with TECFIDERA 240 mg twice a day and 771 patients treated with placebo. </w:t>
      </w:r>
    </w:p>
    <w:p w:rsidR="00BC3AE7" w:rsidRDefault="00BC3AE7" w:rsidP="00D25AEA">
      <w:pPr>
        <w:pStyle w:val="GTCParagraph"/>
        <w:spacing w:line="276" w:lineRule="auto"/>
        <w:rPr>
          <w:rFonts w:ascii="Arial" w:hAnsi="Arial" w:cs="Arial"/>
          <w:sz w:val="22"/>
          <w:szCs w:val="22"/>
          <w:highlight w:val="yellow"/>
        </w:rPr>
      </w:pPr>
      <w:bookmarkStart w:id="28" w:name="Xpress_Internal_Empty205"/>
      <w:bookmarkStart w:id="29" w:name="Xpress_Internal_206"/>
      <w:bookmarkEnd w:id="28"/>
      <w:bookmarkEnd w:id="29"/>
    </w:p>
    <w:p w:rsidR="00070F7B" w:rsidRDefault="00070F7B" w:rsidP="00D25AEA">
      <w:pPr>
        <w:pStyle w:val="GTCParagraph"/>
        <w:spacing w:line="276" w:lineRule="auto"/>
        <w:rPr>
          <w:rFonts w:ascii="Arial" w:hAnsi="Arial" w:cs="Arial"/>
          <w:sz w:val="22"/>
          <w:szCs w:val="22"/>
        </w:rPr>
      </w:pPr>
      <w:r w:rsidRPr="00BC3AE7">
        <w:rPr>
          <w:rFonts w:ascii="Arial" w:hAnsi="Arial" w:cs="Arial"/>
          <w:sz w:val="22"/>
          <w:szCs w:val="22"/>
        </w:rPr>
        <w:t>The adverse reactions are presented as MedDRA preferred terms unde</w:t>
      </w:r>
      <w:r w:rsidR="00185FF9" w:rsidRPr="00BC3AE7">
        <w:rPr>
          <w:rFonts w:ascii="Arial" w:hAnsi="Arial" w:cs="Arial"/>
          <w:sz w:val="22"/>
          <w:szCs w:val="22"/>
        </w:rPr>
        <w:t>r the MedDRA system organ class</w:t>
      </w:r>
      <w:r w:rsidRPr="00BC3AE7">
        <w:rPr>
          <w:rFonts w:ascii="Arial" w:hAnsi="Arial" w:cs="Arial"/>
          <w:sz w:val="22"/>
          <w:szCs w:val="22"/>
        </w:rPr>
        <w:t>.</w:t>
      </w:r>
      <w:r w:rsidR="00D25AEA" w:rsidRPr="00BC3AE7">
        <w:rPr>
          <w:rFonts w:ascii="Arial" w:hAnsi="Arial" w:cs="Arial"/>
          <w:sz w:val="22"/>
          <w:szCs w:val="22"/>
        </w:rPr>
        <w:t xml:space="preserve"> </w:t>
      </w:r>
      <w:bookmarkStart w:id="30" w:name="Xpress_Internal_Empty206"/>
      <w:bookmarkStart w:id="31" w:name="Xpress_Internal_207"/>
      <w:bookmarkEnd w:id="30"/>
      <w:bookmarkEnd w:id="31"/>
      <w:r w:rsidRPr="00BC3AE7">
        <w:rPr>
          <w:rFonts w:ascii="Arial" w:hAnsi="Arial" w:cs="Arial"/>
          <w:sz w:val="22"/>
          <w:szCs w:val="22"/>
        </w:rPr>
        <w:t xml:space="preserve">The incidence of the adverse reactions below </w:t>
      </w:r>
      <w:r w:rsidR="001D592C" w:rsidRPr="00BC3AE7">
        <w:rPr>
          <w:rFonts w:ascii="Arial" w:hAnsi="Arial" w:cs="Arial"/>
          <w:sz w:val="22"/>
          <w:szCs w:val="22"/>
        </w:rPr>
        <w:t xml:space="preserve">is </w:t>
      </w:r>
      <w:r w:rsidRPr="00BC3AE7">
        <w:rPr>
          <w:rFonts w:ascii="Arial" w:hAnsi="Arial" w:cs="Arial"/>
          <w:sz w:val="22"/>
          <w:szCs w:val="22"/>
        </w:rPr>
        <w:t>expressed according to the following categories:</w:t>
      </w:r>
    </w:p>
    <w:p w:rsidR="008B0FF6" w:rsidRPr="00BC3AE7" w:rsidRDefault="008B0FF6" w:rsidP="00D25AEA">
      <w:pPr>
        <w:pStyle w:val="GTCParagraph"/>
        <w:spacing w:line="276" w:lineRule="auto"/>
        <w:rPr>
          <w:rFonts w:ascii="Arial" w:hAnsi="Arial" w:cs="Arial"/>
          <w:sz w:val="22"/>
          <w:szCs w:val="22"/>
        </w:rPr>
      </w:pPr>
    </w:p>
    <w:p w:rsidR="00070F7B" w:rsidRPr="00BC3AE7" w:rsidRDefault="00070F7B" w:rsidP="00D25AEA">
      <w:pPr>
        <w:numPr>
          <w:ilvl w:val="0"/>
          <w:numId w:val="6"/>
        </w:numPr>
        <w:spacing w:line="276" w:lineRule="auto"/>
        <w:rPr>
          <w:rFonts w:ascii="Arial" w:hAnsi="Arial" w:cs="Arial"/>
          <w:sz w:val="22"/>
          <w:szCs w:val="22"/>
        </w:rPr>
      </w:pPr>
      <w:r w:rsidRPr="00BC3AE7">
        <w:rPr>
          <w:rFonts w:ascii="Arial" w:hAnsi="Arial" w:cs="Arial"/>
          <w:sz w:val="22"/>
          <w:szCs w:val="22"/>
        </w:rPr>
        <w:t>Very common (≥1/10)</w:t>
      </w:r>
    </w:p>
    <w:p w:rsidR="00070F7B" w:rsidRPr="00BC3AE7" w:rsidRDefault="00070F7B" w:rsidP="00D25AEA">
      <w:pPr>
        <w:numPr>
          <w:ilvl w:val="0"/>
          <w:numId w:val="6"/>
        </w:numPr>
        <w:spacing w:line="276" w:lineRule="auto"/>
        <w:rPr>
          <w:rFonts w:ascii="Arial" w:hAnsi="Arial" w:cs="Arial"/>
          <w:sz w:val="22"/>
          <w:szCs w:val="22"/>
        </w:rPr>
      </w:pPr>
      <w:r w:rsidRPr="00BC3AE7">
        <w:rPr>
          <w:rFonts w:ascii="Arial" w:hAnsi="Arial" w:cs="Arial"/>
          <w:sz w:val="22"/>
          <w:szCs w:val="22"/>
        </w:rPr>
        <w:t>Common (≥1/100 to &lt;1/10)</w:t>
      </w:r>
    </w:p>
    <w:p w:rsidR="00070F7B" w:rsidRPr="00BC3AE7" w:rsidRDefault="00070F7B" w:rsidP="00D25AEA">
      <w:pPr>
        <w:numPr>
          <w:ilvl w:val="0"/>
          <w:numId w:val="6"/>
        </w:numPr>
        <w:spacing w:line="276" w:lineRule="auto"/>
        <w:rPr>
          <w:rFonts w:ascii="Arial" w:hAnsi="Arial" w:cs="Arial"/>
          <w:sz w:val="22"/>
          <w:szCs w:val="22"/>
        </w:rPr>
      </w:pPr>
      <w:r w:rsidRPr="00BC3AE7">
        <w:rPr>
          <w:rFonts w:ascii="Arial" w:hAnsi="Arial" w:cs="Arial"/>
          <w:sz w:val="22"/>
          <w:szCs w:val="22"/>
        </w:rPr>
        <w:t>Uncommon (≥1/1, 000 to &lt;1/100)</w:t>
      </w:r>
    </w:p>
    <w:p w:rsidR="00070F7B" w:rsidRPr="00BC3AE7" w:rsidRDefault="00070F7B" w:rsidP="00D25AEA">
      <w:pPr>
        <w:numPr>
          <w:ilvl w:val="0"/>
          <w:numId w:val="6"/>
        </w:numPr>
        <w:spacing w:line="276" w:lineRule="auto"/>
        <w:rPr>
          <w:rFonts w:ascii="Arial" w:hAnsi="Arial" w:cs="Arial"/>
          <w:sz w:val="22"/>
          <w:szCs w:val="22"/>
        </w:rPr>
      </w:pPr>
      <w:r w:rsidRPr="00BC3AE7">
        <w:rPr>
          <w:rFonts w:ascii="Arial" w:hAnsi="Arial" w:cs="Arial"/>
          <w:sz w:val="22"/>
          <w:szCs w:val="22"/>
        </w:rPr>
        <w:t>Rare (≥1/10, 000 to &lt;1/1,000)</w:t>
      </w:r>
    </w:p>
    <w:p w:rsidR="00070F7B" w:rsidRPr="00BC3AE7" w:rsidRDefault="00070F7B" w:rsidP="00D25AEA">
      <w:pPr>
        <w:numPr>
          <w:ilvl w:val="0"/>
          <w:numId w:val="6"/>
        </w:numPr>
        <w:spacing w:line="276" w:lineRule="auto"/>
        <w:rPr>
          <w:rFonts w:ascii="Arial" w:hAnsi="Arial" w:cs="Arial"/>
          <w:sz w:val="22"/>
          <w:szCs w:val="22"/>
        </w:rPr>
      </w:pPr>
      <w:r w:rsidRPr="00BC3AE7">
        <w:rPr>
          <w:rFonts w:ascii="Arial" w:hAnsi="Arial" w:cs="Arial"/>
          <w:sz w:val="22"/>
          <w:szCs w:val="22"/>
        </w:rPr>
        <w:t>Very rare (&lt;1/10,000)</w:t>
      </w:r>
    </w:p>
    <w:p w:rsidR="00070F7B" w:rsidRPr="00281F0D" w:rsidRDefault="00070F7B" w:rsidP="00D25AEA">
      <w:pPr>
        <w:spacing w:line="276" w:lineRule="auto"/>
        <w:rPr>
          <w:rFonts w:ascii="Arial" w:hAnsi="Arial" w:cs="Arial"/>
          <w:b/>
          <w:sz w:val="22"/>
          <w:szCs w:val="22"/>
          <w:highlight w:val="yellow"/>
        </w:rPr>
      </w:pPr>
    </w:p>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 xml:space="preserve">Table </w:t>
      </w:r>
      <w:r w:rsidR="00C50CDC" w:rsidRPr="008B0FF6">
        <w:rPr>
          <w:rFonts w:ascii="Arial" w:hAnsi="Arial" w:cs="Arial"/>
          <w:b/>
          <w:sz w:val="22"/>
          <w:szCs w:val="22"/>
        </w:rPr>
        <w:t>3</w:t>
      </w:r>
      <w:r w:rsidRPr="008B0FF6">
        <w:rPr>
          <w:rFonts w:ascii="Arial" w:hAnsi="Arial" w:cs="Arial"/>
          <w:b/>
          <w:sz w:val="22"/>
          <w:szCs w:val="22"/>
        </w:rPr>
        <w:t xml:space="preserve">: Adverse Reactions in Study 1 and 2 reported for </w:t>
      </w:r>
      <w:r w:rsidR="005956CF" w:rsidRPr="008B0FF6">
        <w:rPr>
          <w:rFonts w:ascii="Arial" w:hAnsi="Arial" w:cs="Arial"/>
          <w:b/>
          <w:sz w:val="22"/>
          <w:szCs w:val="22"/>
          <w:lang w:val="en-US"/>
        </w:rPr>
        <w:t>TECFIDERA</w:t>
      </w:r>
    </w:p>
    <w:p w:rsidR="00070F7B" w:rsidRPr="008B0FF6" w:rsidRDefault="00070F7B" w:rsidP="00D25AEA">
      <w:pPr>
        <w:spacing w:line="276" w:lineRule="auto"/>
        <w:rPr>
          <w:rFonts w:ascii="Arial" w:hAnsi="Arial" w:cs="Arial"/>
          <w:b/>
          <w:sz w:val="22"/>
          <w:szCs w:val="22"/>
        </w:rPr>
      </w:pPr>
    </w:p>
    <w:tbl>
      <w:tblPr>
        <w:tblW w:w="9005" w:type="dxa"/>
        <w:tblInd w:w="103" w:type="dxa"/>
        <w:tblLook w:val="04A0"/>
      </w:tblPr>
      <w:tblGrid>
        <w:gridCol w:w="3065"/>
        <w:gridCol w:w="2790"/>
        <w:gridCol w:w="3150"/>
      </w:tblGrid>
      <w:tr w:rsidR="00070F7B" w:rsidRPr="008B0FF6" w:rsidTr="00005267">
        <w:trPr>
          <w:trHeight w:val="300"/>
        </w:trPr>
        <w:tc>
          <w:tcPr>
            <w:tcW w:w="3065" w:type="dxa"/>
            <w:vMerge w:val="restart"/>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bookmarkStart w:id="32" w:name="gf4035c16-c977-48cc-b332-06f77bb44a65"/>
            <w:bookmarkEnd w:id="32"/>
            <w:r w:rsidRPr="008B0FF6">
              <w:rPr>
                <w:rFonts w:ascii="Arial" w:hAnsi="Arial" w:cs="Arial"/>
                <w:b/>
                <w:sz w:val="22"/>
                <w:szCs w:val="22"/>
              </w:rPr>
              <w:t>MedDRA</w:t>
            </w:r>
          </w:p>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System Organ Class</w:t>
            </w:r>
          </w:p>
        </w:tc>
        <w:tc>
          <w:tcPr>
            <w:tcW w:w="59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jc w:val="center"/>
              <w:rPr>
                <w:rFonts w:ascii="Arial" w:hAnsi="Arial" w:cs="Arial"/>
                <w:b/>
                <w:sz w:val="22"/>
                <w:szCs w:val="22"/>
              </w:rPr>
            </w:pPr>
            <w:r w:rsidRPr="008B0FF6">
              <w:rPr>
                <w:rFonts w:ascii="Arial" w:hAnsi="Arial" w:cs="Arial"/>
                <w:b/>
                <w:sz w:val="22"/>
                <w:szCs w:val="22"/>
              </w:rPr>
              <w:t>Frequency</w:t>
            </w:r>
          </w:p>
        </w:tc>
      </w:tr>
      <w:tr w:rsidR="00070F7B" w:rsidRPr="008B0FF6" w:rsidTr="00F765E6">
        <w:trPr>
          <w:trHeight w:val="300"/>
        </w:trPr>
        <w:tc>
          <w:tcPr>
            <w:tcW w:w="3065" w:type="dxa"/>
            <w:vMerge/>
            <w:tcBorders>
              <w:left w:val="single" w:sz="4" w:space="0" w:color="auto"/>
              <w:bottom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jc w:val="both"/>
              <w:rPr>
                <w:rFonts w:ascii="Arial" w:hAnsi="Arial" w:cs="Arial"/>
                <w:b/>
                <w:sz w:val="22"/>
                <w:szCs w:val="22"/>
              </w:rPr>
            </w:pPr>
            <w:r w:rsidRPr="008B0FF6">
              <w:rPr>
                <w:rFonts w:ascii="Arial" w:hAnsi="Arial" w:cs="Arial"/>
                <w:b/>
                <w:sz w:val="22"/>
                <w:szCs w:val="22"/>
              </w:rPr>
              <w:t>Very Common</w:t>
            </w:r>
          </w:p>
          <w:p w:rsidR="00070F7B" w:rsidRPr="008B0FF6" w:rsidRDefault="00070F7B" w:rsidP="00D25AEA">
            <w:pPr>
              <w:autoSpaceDE w:val="0"/>
              <w:autoSpaceDN w:val="0"/>
              <w:adjustRightInd w:val="0"/>
              <w:spacing w:line="276" w:lineRule="auto"/>
              <w:jc w:val="both"/>
              <w:rPr>
                <w:rFonts w:ascii="Arial" w:hAnsi="Arial" w:cs="Arial"/>
                <w:b/>
                <w:sz w:val="22"/>
                <w:szCs w:val="22"/>
              </w:rPr>
            </w:pPr>
            <w:r w:rsidRPr="008B0FF6">
              <w:rPr>
                <w:rFonts w:ascii="Arial" w:hAnsi="Arial" w:cs="Arial"/>
                <w:b/>
                <w:sz w:val="22"/>
                <w:szCs w:val="22"/>
              </w:rPr>
              <w:t>(≥1/10)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jc w:val="both"/>
              <w:rPr>
                <w:rFonts w:ascii="Arial" w:hAnsi="Arial" w:cs="Arial"/>
                <w:b/>
                <w:sz w:val="22"/>
                <w:szCs w:val="22"/>
              </w:rPr>
            </w:pPr>
            <w:r w:rsidRPr="008B0FF6">
              <w:rPr>
                <w:rFonts w:ascii="Arial" w:hAnsi="Arial" w:cs="Arial"/>
                <w:b/>
                <w:sz w:val="22"/>
                <w:szCs w:val="22"/>
              </w:rPr>
              <w:t>Common</w:t>
            </w:r>
          </w:p>
          <w:p w:rsidR="00070F7B" w:rsidRPr="008B0FF6" w:rsidRDefault="00070F7B" w:rsidP="00D25AEA">
            <w:pPr>
              <w:autoSpaceDE w:val="0"/>
              <w:autoSpaceDN w:val="0"/>
              <w:adjustRightInd w:val="0"/>
              <w:spacing w:line="276" w:lineRule="auto"/>
              <w:jc w:val="both"/>
              <w:rPr>
                <w:rFonts w:ascii="Arial" w:hAnsi="Arial" w:cs="Arial"/>
                <w:b/>
                <w:sz w:val="22"/>
                <w:szCs w:val="22"/>
              </w:rPr>
            </w:pPr>
            <w:r w:rsidRPr="008B0FF6">
              <w:rPr>
                <w:rFonts w:ascii="Arial" w:hAnsi="Arial" w:cs="Arial"/>
                <w:b/>
                <w:sz w:val="22"/>
                <w:szCs w:val="22"/>
              </w:rPr>
              <w:t>(≥1/100 to &lt;1/10)</w:t>
            </w:r>
          </w:p>
        </w:tc>
      </w:tr>
      <w:tr w:rsidR="00070F7B" w:rsidRPr="008B0FF6" w:rsidTr="00F765E6">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Infections and Infestations</w:t>
            </w: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Gastroenteritis</w:t>
            </w:r>
          </w:p>
        </w:tc>
      </w:tr>
      <w:tr w:rsidR="00070F7B" w:rsidRPr="008B0FF6" w:rsidTr="00F765E6">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Blood and Lymphatic System Disorders</w:t>
            </w:r>
          </w:p>
        </w:tc>
        <w:tc>
          <w:tcPr>
            <w:tcW w:w="2790" w:type="dxa"/>
            <w:tcBorders>
              <w:top w:val="single" w:sz="4" w:space="0" w:color="auto"/>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sz w:val="22"/>
                <w:szCs w:val="22"/>
                <w:lang w:val="en-GB"/>
              </w:rPr>
            </w:pPr>
            <w:r w:rsidRPr="008B0FF6">
              <w:rPr>
                <w:rFonts w:ascii="Arial" w:hAnsi="Arial" w:cs="Arial"/>
                <w:sz w:val="22"/>
                <w:szCs w:val="22"/>
                <w:lang w:val="en-GB"/>
              </w:rPr>
              <w:t>Lymphopenia</w:t>
            </w:r>
          </w:p>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lang w:val="en-GB"/>
              </w:rPr>
              <w:t>Leucopenia</w:t>
            </w:r>
          </w:p>
        </w:tc>
      </w:tr>
      <w:tr w:rsidR="00070F7B" w:rsidRPr="008B0FF6" w:rsidTr="00F765E6">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Nervous System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Burning sensation</w:t>
            </w:r>
          </w:p>
        </w:tc>
      </w:tr>
      <w:tr w:rsidR="00070F7B" w:rsidRPr="008B0FF6" w:rsidTr="00F765E6">
        <w:trPr>
          <w:trHeight w:val="300"/>
        </w:trPr>
        <w:tc>
          <w:tcPr>
            <w:tcW w:w="3065" w:type="dxa"/>
            <w:tcBorders>
              <w:top w:val="single" w:sz="4" w:space="0" w:color="auto"/>
              <w:left w:val="single" w:sz="4" w:space="0" w:color="auto"/>
              <w:bottom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Vascular Disorders</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 xml:space="preserve">Flushing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Hot Flush</w:t>
            </w:r>
          </w:p>
        </w:tc>
      </w:tr>
      <w:tr w:rsidR="00070F7B" w:rsidRPr="008B0FF6" w:rsidTr="00F765E6">
        <w:trPr>
          <w:trHeight w:val="300"/>
        </w:trPr>
        <w:tc>
          <w:tcPr>
            <w:tcW w:w="3065" w:type="dxa"/>
            <w:vMerge w:val="restart"/>
            <w:tcBorders>
              <w:top w:val="single" w:sz="4" w:space="0" w:color="auto"/>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Gastrointestinal Disorders</w:t>
            </w:r>
          </w:p>
        </w:tc>
        <w:tc>
          <w:tcPr>
            <w:tcW w:w="279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lang w:val="en-GB"/>
              </w:rPr>
              <w:t>Diarrhoea</w:t>
            </w:r>
            <w:r w:rsidRPr="008B0FF6">
              <w:rPr>
                <w:rFonts w:ascii="Arial" w:hAnsi="Arial" w:cs="Arial"/>
                <w:sz w:val="22"/>
                <w:szCs w:val="22"/>
              </w:rPr>
              <w:t xml:space="preserve"> </w:t>
            </w:r>
          </w:p>
        </w:tc>
        <w:tc>
          <w:tcPr>
            <w:tcW w:w="315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Vomiting</w:t>
            </w:r>
          </w:p>
        </w:tc>
      </w:tr>
      <w:tr w:rsidR="00070F7B" w:rsidRPr="008B0FF6" w:rsidTr="00F765E6">
        <w:trPr>
          <w:trHeight w:val="300"/>
        </w:trPr>
        <w:tc>
          <w:tcPr>
            <w:tcW w:w="3065" w:type="dxa"/>
            <w:vMerge/>
            <w:tcBorders>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 xml:space="preserve">Nausea </w:t>
            </w:r>
          </w:p>
        </w:tc>
        <w:tc>
          <w:tcPr>
            <w:tcW w:w="315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Dyspepsia</w:t>
            </w:r>
          </w:p>
        </w:tc>
      </w:tr>
      <w:tr w:rsidR="00070F7B" w:rsidRPr="008B0FF6" w:rsidTr="00F765E6">
        <w:trPr>
          <w:trHeight w:val="260"/>
        </w:trPr>
        <w:tc>
          <w:tcPr>
            <w:tcW w:w="3065" w:type="dxa"/>
            <w:vMerge/>
            <w:tcBorders>
              <w:left w:val="single" w:sz="4" w:space="0" w:color="auto"/>
              <w:bottom w:val="nil"/>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 xml:space="preserve">Abdominal Pain Upper </w:t>
            </w:r>
          </w:p>
        </w:tc>
        <w:tc>
          <w:tcPr>
            <w:tcW w:w="315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Gastritis</w:t>
            </w:r>
          </w:p>
        </w:tc>
      </w:tr>
      <w:tr w:rsidR="00070F7B" w:rsidRPr="008B0FF6" w:rsidTr="00F765E6">
        <w:trPr>
          <w:trHeight w:val="260"/>
        </w:trPr>
        <w:tc>
          <w:tcPr>
            <w:tcW w:w="3065" w:type="dxa"/>
            <w:tcBorders>
              <w:left w:val="single" w:sz="4" w:space="0" w:color="auto"/>
              <w:bottom w:val="nil"/>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Abdominal Pain</w:t>
            </w:r>
          </w:p>
        </w:tc>
        <w:tc>
          <w:tcPr>
            <w:tcW w:w="3150" w:type="dxa"/>
            <w:tcBorders>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Gastrointestinal Disorder</w:t>
            </w:r>
          </w:p>
        </w:tc>
      </w:tr>
      <w:tr w:rsidR="00070F7B" w:rsidRPr="008B0FF6" w:rsidTr="00F765E6">
        <w:trPr>
          <w:trHeight w:val="300"/>
        </w:trPr>
        <w:tc>
          <w:tcPr>
            <w:tcW w:w="3065" w:type="dxa"/>
            <w:vMerge w:val="restart"/>
            <w:tcBorders>
              <w:top w:val="single" w:sz="4" w:space="0" w:color="auto"/>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Skin and Subcutaneous Tissue Disorders</w:t>
            </w:r>
          </w:p>
        </w:tc>
        <w:tc>
          <w:tcPr>
            <w:tcW w:w="279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Pruritus</w:t>
            </w:r>
          </w:p>
        </w:tc>
      </w:tr>
      <w:tr w:rsidR="00070F7B" w:rsidRPr="008B0FF6" w:rsidTr="00F765E6">
        <w:trPr>
          <w:trHeight w:val="300"/>
        </w:trPr>
        <w:tc>
          <w:tcPr>
            <w:tcW w:w="3065" w:type="dxa"/>
            <w:vMerge/>
            <w:tcBorders>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Rash</w:t>
            </w:r>
          </w:p>
        </w:tc>
      </w:tr>
      <w:tr w:rsidR="00070F7B" w:rsidRPr="008B0FF6" w:rsidTr="00F765E6">
        <w:trPr>
          <w:trHeight w:val="300"/>
        </w:trPr>
        <w:tc>
          <w:tcPr>
            <w:tcW w:w="3065" w:type="dxa"/>
            <w:vMerge/>
            <w:tcBorders>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Erythema</w:t>
            </w:r>
          </w:p>
        </w:tc>
      </w:tr>
      <w:tr w:rsidR="00070F7B" w:rsidRPr="008B0FF6" w:rsidTr="00F765E6">
        <w:trPr>
          <w:trHeight w:val="242"/>
        </w:trPr>
        <w:tc>
          <w:tcPr>
            <w:tcW w:w="3065"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Renal and Urinary Disorders</w:t>
            </w:r>
          </w:p>
        </w:tc>
        <w:tc>
          <w:tcPr>
            <w:tcW w:w="2790"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Proteinuria</w:t>
            </w:r>
          </w:p>
        </w:tc>
      </w:tr>
      <w:tr w:rsidR="00070F7B" w:rsidRPr="008B0FF6" w:rsidTr="00F765E6">
        <w:trPr>
          <w:trHeight w:val="242"/>
        </w:trPr>
        <w:tc>
          <w:tcPr>
            <w:tcW w:w="3065"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t>General Disorders and Administration Site Conditions</w:t>
            </w:r>
          </w:p>
        </w:tc>
        <w:tc>
          <w:tcPr>
            <w:tcW w:w="2790"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Feeling hot</w:t>
            </w:r>
          </w:p>
        </w:tc>
      </w:tr>
      <w:tr w:rsidR="00070F7B" w:rsidRPr="008B0FF6" w:rsidTr="00F765E6">
        <w:trPr>
          <w:trHeight w:val="242"/>
        </w:trPr>
        <w:tc>
          <w:tcPr>
            <w:tcW w:w="3065" w:type="dxa"/>
            <w:vMerge w:val="restart"/>
            <w:tcBorders>
              <w:top w:val="single" w:sz="4" w:space="0" w:color="auto"/>
              <w:left w:val="single" w:sz="4" w:space="0" w:color="auto"/>
              <w:right w:val="single" w:sz="4" w:space="0" w:color="auto"/>
            </w:tcBorders>
            <w:shd w:val="clear" w:color="auto" w:fill="auto"/>
            <w:hideMark/>
          </w:tcPr>
          <w:p w:rsidR="00070F7B" w:rsidRPr="008B0FF6" w:rsidRDefault="00070F7B" w:rsidP="00D25AEA">
            <w:pPr>
              <w:autoSpaceDE w:val="0"/>
              <w:autoSpaceDN w:val="0"/>
              <w:adjustRightInd w:val="0"/>
              <w:spacing w:line="276" w:lineRule="auto"/>
              <w:rPr>
                <w:rFonts w:ascii="Arial" w:hAnsi="Arial" w:cs="Arial"/>
                <w:b/>
                <w:sz w:val="22"/>
                <w:szCs w:val="22"/>
              </w:rPr>
            </w:pPr>
            <w:r w:rsidRPr="008B0FF6">
              <w:rPr>
                <w:rFonts w:ascii="Arial" w:hAnsi="Arial" w:cs="Arial"/>
                <w:b/>
                <w:sz w:val="22"/>
                <w:szCs w:val="22"/>
              </w:rPr>
              <w:lastRenderedPageBreak/>
              <w:t>Investigations</w:t>
            </w:r>
          </w:p>
        </w:tc>
        <w:tc>
          <w:tcPr>
            <w:tcW w:w="279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top w:val="single" w:sz="4" w:space="0" w:color="auto"/>
              <w:left w:val="single" w:sz="4" w:space="0" w:color="auto"/>
              <w:right w:val="single" w:sz="4" w:space="0" w:color="auto"/>
            </w:tcBorders>
            <w:shd w:val="clear" w:color="auto" w:fill="auto"/>
            <w:vAlign w:val="bottom"/>
            <w:hideMark/>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 xml:space="preserve">Albumin Urine Present </w:t>
            </w:r>
          </w:p>
        </w:tc>
      </w:tr>
      <w:tr w:rsidR="00070F7B" w:rsidRPr="008B0FF6" w:rsidTr="00F765E6">
        <w:trPr>
          <w:trHeight w:val="242"/>
        </w:trPr>
        <w:tc>
          <w:tcPr>
            <w:tcW w:w="3065" w:type="dxa"/>
            <w:vMerge/>
            <w:tcBorders>
              <w:top w:val="single" w:sz="4" w:space="0" w:color="auto"/>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left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Aspartate aminotransferase increased</w:t>
            </w:r>
          </w:p>
        </w:tc>
      </w:tr>
      <w:tr w:rsidR="00070F7B" w:rsidRPr="008B0FF6" w:rsidTr="00F765E6">
        <w:trPr>
          <w:trHeight w:val="242"/>
        </w:trPr>
        <w:tc>
          <w:tcPr>
            <w:tcW w:w="3065" w:type="dxa"/>
            <w:vMerge/>
            <w:tcBorders>
              <w:left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left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Alanine aminotransferase increased</w:t>
            </w:r>
          </w:p>
        </w:tc>
      </w:tr>
      <w:tr w:rsidR="00070F7B" w:rsidRPr="008B0FF6" w:rsidTr="00F765E6">
        <w:trPr>
          <w:trHeight w:val="242"/>
        </w:trPr>
        <w:tc>
          <w:tcPr>
            <w:tcW w:w="3065" w:type="dxa"/>
            <w:tcBorders>
              <w:left w:val="single" w:sz="4" w:space="0" w:color="auto"/>
              <w:bottom w:val="single" w:sz="4" w:space="0" w:color="auto"/>
              <w:right w:val="single" w:sz="4" w:space="0" w:color="auto"/>
            </w:tcBorders>
            <w:shd w:val="clear" w:color="auto" w:fill="auto"/>
          </w:tcPr>
          <w:p w:rsidR="00070F7B" w:rsidRPr="008B0FF6" w:rsidRDefault="00070F7B" w:rsidP="00D25AEA">
            <w:pPr>
              <w:autoSpaceDE w:val="0"/>
              <w:autoSpaceDN w:val="0"/>
              <w:adjustRightInd w:val="0"/>
              <w:spacing w:line="276" w:lineRule="auto"/>
              <w:rPr>
                <w:rFonts w:ascii="Arial" w:hAnsi="Arial" w:cs="Arial"/>
                <w:b/>
                <w:sz w:val="22"/>
                <w:szCs w:val="22"/>
              </w:rPr>
            </w:pPr>
          </w:p>
        </w:tc>
        <w:tc>
          <w:tcPr>
            <w:tcW w:w="2790" w:type="dxa"/>
            <w:tcBorders>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p>
        </w:tc>
        <w:tc>
          <w:tcPr>
            <w:tcW w:w="3150" w:type="dxa"/>
            <w:tcBorders>
              <w:left w:val="single" w:sz="4" w:space="0" w:color="auto"/>
              <w:bottom w:val="single" w:sz="4" w:space="0" w:color="auto"/>
              <w:right w:val="single" w:sz="4" w:space="0" w:color="auto"/>
            </w:tcBorders>
            <w:shd w:val="clear" w:color="auto" w:fill="auto"/>
            <w:vAlign w:val="bottom"/>
          </w:tcPr>
          <w:p w:rsidR="00070F7B" w:rsidRPr="008B0FF6" w:rsidRDefault="00070F7B" w:rsidP="00D25AEA">
            <w:pPr>
              <w:autoSpaceDE w:val="0"/>
              <w:autoSpaceDN w:val="0"/>
              <w:adjustRightInd w:val="0"/>
              <w:spacing w:line="276" w:lineRule="auto"/>
              <w:rPr>
                <w:rFonts w:ascii="Arial" w:hAnsi="Arial" w:cs="Arial"/>
                <w:sz w:val="22"/>
                <w:szCs w:val="22"/>
              </w:rPr>
            </w:pPr>
            <w:r w:rsidRPr="008B0FF6">
              <w:rPr>
                <w:rFonts w:ascii="Arial" w:hAnsi="Arial" w:cs="Arial"/>
                <w:sz w:val="22"/>
                <w:szCs w:val="22"/>
              </w:rPr>
              <w:t>White Blood Cell Count decreased</w:t>
            </w:r>
          </w:p>
        </w:tc>
      </w:tr>
    </w:tbl>
    <w:p w:rsidR="000209BF" w:rsidRPr="008B0FF6" w:rsidRDefault="000209BF" w:rsidP="00D25AEA">
      <w:pPr>
        <w:spacing w:line="276" w:lineRule="auto"/>
        <w:rPr>
          <w:rFonts w:ascii="Arial" w:hAnsi="Arial" w:cs="Arial"/>
          <w:b/>
          <w:sz w:val="22"/>
          <w:szCs w:val="22"/>
        </w:rPr>
      </w:pPr>
    </w:p>
    <w:p w:rsidR="00214F48" w:rsidRPr="008B0FF6" w:rsidRDefault="00214F48" w:rsidP="00D25AEA">
      <w:pPr>
        <w:spacing w:line="276" w:lineRule="auto"/>
        <w:rPr>
          <w:rFonts w:ascii="Arial" w:hAnsi="Arial" w:cs="Arial"/>
          <w:b/>
          <w:sz w:val="22"/>
          <w:szCs w:val="22"/>
        </w:rPr>
      </w:pPr>
    </w:p>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 xml:space="preserve">Table </w:t>
      </w:r>
      <w:r w:rsidR="00C50CDC" w:rsidRPr="008B0FF6">
        <w:rPr>
          <w:rFonts w:ascii="Arial" w:hAnsi="Arial" w:cs="Arial"/>
          <w:b/>
          <w:sz w:val="22"/>
          <w:szCs w:val="22"/>
        </w:rPr>
        <w:t>4</w:t>
      </w:r>
      <w:r w:rsidRPr="008B0FF6">
        <w:rPr>
          <w:rFonts w:ascii="Arial" w:hAnsi="Arial" w:cs="Arial"/>
          <w:b/>
          <w:sz w:val="22"/>
          <w:szCs w:val="22"/>
        </w:rPr>
        <w:t>:</w:t>
      </w:r>
      <w:r w:rsidRPr="008B0FF6">
        <w:rPr>
          <w:rFonts w:ascii="Arial" w:hAnsi="Arial" w:cs="Arial"/>
          <w:b/>
          <w:sz w:val="22"/>
          <w:szCs w:val="22"/>
        </w:rPr>
        <w:tab/>
        <w:t xml:space="preserve">Adverse Reactions in Study 1 and 2 reported for </w:t>
      </w:r>
      <w:r w:rsidR="005956CF" w:rsidRPr="008B0FF6">
        <w:rPr>
          <w:rFonts w:ascii="Arial" w:hAnsi="Arial" w:cs="Arial"/>
          <w:b/>
          <w:sz w:val="22"/>
          <w:szCs w:val="22"/>
          <w:lang w:val="en-US"/>
        </w:rPr>
        <w:t>TECFIDERA</w:t>
      </w:r>
      <w:r w:rsidR="004207C1" w:rsidRPr="008B0FF6">
        <w:rPr>
          <w:rFonts w:ascii="Arial" w:hAnsi="Arial" w:cs="Arial"/>
          <w:b/>
          <w:sz w:val="22"/>
          <w:szCs w:val="22"/>
          <w:lang w:val="en-US"/>
        </w:rPr>
        <w:t xml:space="preserve"> </w:t>
      </w:r>
      <w:r w:rsidRPr="008B0FF6">
        <w:rPr>
          <w:rFonts w:ascii="Arial" w:hAnsi="Arial" w:cs="Arial"/>
          <w:b/>
          <w:sz w:val="22"/>
          <w:szCs w:val="22"/>
        </w:rPr>
        <w:t>240 mg BID</w:t>
      </w:r>
    </w:p>
    <w:p w:rsidR="00070F7B" w:rsidRPr="008B0FF6" w:rsidRDefault="00070F7B" w:rsidP="00D25AEA">
      <w:pPr>
        <w:spacing w:line="276" w:lineRule="auto"/>
        <w:ind w:left="720" w:firstLine="720"/>
        <w:rPr>
          <w:rFonts w:ascii="Arial" w:hAnsi="Arial" w:cs="Arial"/>
          <w:b/>
          <w:sz w:val="22"/>
          <w:szCs w:val="22"/>
        </w:rPr>
      </w:pPr>
      <w:r w:rsidRPr="008B0FF6">
        <w:rPr>
          <w:rFonts w:ascii="Arial" w:hAnsi="Arial" w:cs="Arial"/>
          <w:b/>
          <w:sz w:val="22"/>
          <w:szCs w:val="22"/>
        </w:rPr>
        <w:t>at ≥ 2% higher incidence than placebo</w:t>
      </w:r>
    </w:p>
    <w:p w:rsidR="004207C1" w:rsidRPr="008B0FF6" w:rsidRDefault="004207C1" w:rsidP="00D25AEA">
      <w:pPr>
        <w:spacing w:line="276" w:lineRule="auto"/>
        <w:ind w:left="720" w:firstLine="720"/>
        <w:rPr>
          <w:rFonts w:ascii="Arial" w:hAnsi="Arial" w:cs="Arial"/>
          <w:b/>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6"/>
        <w:gridCol w:w="2070"/>
        <w:gridCol w:w="2160"/>
      </w:tblGrid>
      <w:tr w:rsidR="00070F7B" w:rsidRPr="008B0FF6" w:rsidTr="004207C1">
        <w:tc>
          <w:tcPr>
            <w:tcW w:w="4756" w:type="dxa"/>
            <w:tcBorders>
              <w:bottom w:val="double" w:sz="4" w:space="0" w:color="auto"/>
            </w:tcBorders>
            <w:shd w:val="clear" w:color="auto" w:fill="auto"/>
          </w:tcPr>
          <w:p w:rsidR="004207C1" w:rsidRPr="008B0FF6" w:rsidRDefault="004207C1" w:rsidP="00D25AEA">
            <w:pPr>
              <w:spacing w:line="276" w:lineRule="auto"/>
              <w:rPr>
                <w:rFonts w:ascii="Arial" w:hAnsi="Arial" w:cs="Arial"/>
                <w:b/>
                <w:sz w:val="22"/>
                <w:szCs w:val="22"/>
              </w:rPr>
            </w:pPr>
          </w:p>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Primary System Organ Class</w:t>
            </w:r>
          </w:p>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 xml:space="preserve">   Preferred Term</w:t>
            </w:r>
          </w:p>
        </w:tc>
        <w:tc>
          <w:tcPr>
            <w:tcW w:w="2070" w:type="dxa"/>
            <w:tcBorders>
              <w:bottom w:val="double" w:sz="4" w:space="0" w:color="auto"/>
            </w:tcBorders>
            <w:shd w:val="clear" w:color="auto" w:fill="auto"/>
          </w:tcPr>
          <w:p w:rsidR="004207C1" w:rsidRPr="008B0FF6" w:rsidRDefault="005956CF" w:rsidP="00D25AEA">
            <w:pPr>
              <w:spacing w:line="276" w:lineRule="auto"/>
              <w:jc w:val="center"/>
              <w:rPr>
                <w:rFonts w:ascii="Arial" w:hAnsi="Arial" w:cs="Arial"/>
                <w:b/>
                <w:sz w:val="22"/>
                <w:szCs w:val="22"/>
                <w:lang w:val="en-US"/>
              </w:rPr>
            </w:pPr>
            <w:r w:rsidRPr="008B0FF6">
              <w:rPr>
                <w:rFonts w:ascii="Arial" w:hAnsi="Arial" w:cs="Arial"/>
                <w:b/>
                <w:sz w:val="22"/>
                <w:szCs w:val="22"/>
                <w:lang w:val="en-US"/>
              </w:rPr>
              <w:t>TECFIDERA</w:t>
            </w:r>
            <w:r w:rsidR="004207C1" w:rsidRPr="008B0FF6">
              <w:rPr>
                <w:rFonts w:ascii="Arial" w:hAnsi="Arial" w:cs="Arial"/>
                <w:b/>
                <w:sz w:val="22"/>
                <w:szCs w:val="22"/>
                <w:lang w:val="en-US"/>
              </w:rPr>
              <w:t xml:space="preserve"> </w:t>
            </w:r>
          </w:p>
          <w:p w:rsidR="00070F7B" w:rsidRPr="008B0FF6" w:rsidRDefault="00070F7B" w:rsidP="00D25AEA">
            <w:pPr>
              <w:spacing w:line="276" w:lineRule="auto"/>
              <w:jc w:val="center"/>
              <w:rPr>
                <w:rFonts w:ascii="Arial" w:hAnsi="Arial" w:cs="Arial"/>
                <w:b/>
                <w:sz w:val="22"/>
                <w:szCs w:val="22"/>
              </w:rPr>
            </w:pPr>
            <w:r w:rsidRPr="008B0FF6">
              <w:rPr>
                <w:rFonts w:ascii="Arial" w:hAnsi="Arial" w:cs="Arial"/>
                <w:b/>
                <w:sz w:val="22"/>
                <w:szCs w:val="22"/>
              </w:rPr>
              <w:t>240 mg BID</w:t>
            </w:r>
          </w:p>
          <w:p w:rsidR="00070F7B" w:rsidRPr="008B0FF6" w:rsidRDefault="00527098" w:rsidP="00D25AEA">
            <w:pPr>
              <w:spacing w:line="276" w:lineRule="auto"/>
              <w:jc w:val="center"/>
              <w:rPr>
                <w:rFonts w:ascii="Arial" w:hAnsi="Arial" w:cs="Arial"/>
                <w:b/>
                <w:sz w:val="22"/>
                <w:szCs w:val="22"/>
              </w:rPr>
            </w:pPr>
            <w:r w:rsidRPr="008B0FF6">
              <w:rPr>
                <w:rFonts w:ascii="Arial" w:hAnsi="Arial" w:cs="Arial"/>
                <w:b/>
                <w:sz w:val="22"/>
                <w:szCs w:val="22"/>
              </w:rPr>
              <w:t>n</w:t>
            </w:r>
            <w:r w:rsidR="00070F7B" w:rsidRPr="008B0FF6">
              <w:rPr>
                <w:rFonts w:ascii="Arial" w:hAnsi="Arial" w:cs="Arial"/>
                <w:b/>
                <w:sz w:val="22"/>
                <w:szCs w:val="22"/>
              </w:rPr>
              <w:t>=769</w:t>
            </w:r>
          </w:p>
          <w:p w:rsidR="00070F7B" w:rsidRPr="008B0FF6" w:rsidRDefault="00070F7B" w:rsidP="00D25AEA">
            <w:pPr>
              <w:spacing w:line="276" w:lineRule="auto"/>
              <w:jc w:val="center"/>
              <w:rPr>
                <w:rFonts w:ascii="Arial" w:hAnsi="Arial" w:cs="Arial"/>
                <w:b/>
                <w:sz w:val="22"/>
                <w:szCs w:val="22"/>
              </w:rPr>
            </w:pPr>
            <w:r w:rsidRPr="008B0FF6">
              <w:rPr>
                <w:rFonts w:ascii="Arial" w:hAnsi="Arial" w:cs="Arial"/>
                <w:b/>
                <w:sz w:val="22"/>
                <w:szCs w:val="22"/>
              </w:rPr>
              <w:t>%</w:t>
            </w:r>
          </w:p>
        </w:tc>
        <w:tc>
          <w:tcPr>
            <w:tcW w:w="2160" w:type="dxa"/>
            <w:tcBorders>
              <w:bottom w:val="double" w:sz="4" w:space="0" w:color="auto"/>
            </w:tcBorders>
            <w:shd w:val="clear" w:color="auto" w:fill="auto"/>
          </w:tcPr>
          <w:p w:rsidR="004207C1" w:rsidRPr="008B0FF6" w:rsidRDefault="004207C1" w:rsidP="00D25AEA">
            <w:pPr>
              <w:spacing w:line="276" w:lineRule="auto"/>
              <w:jc w:val="center"/>
              <w:rPr>
                <w:rFonts w:ascii="Arial" w:hAnsi="Arial" w:cs="Arial"/>
                <w:b/>
                <w:sz w:val="22"/>
                <w:szCs w:val="22"/>
              </w:rPr>
            </w:pPr>
          </w:p>
          <w:p w:rsidR="00070F7B" w:rsidRPr="008B0FF6" w:rsidRDefault="00070F7B" w:rsidP="00D25AEA">
            <w:pPr>
              <w:spacing w:line="276" w:lineRule="auto"/>
              <w:jc w:val="center"/>
              <w:rPr>
                <w:rFonts w:ascii="Arial" w:hAnsi="Arial" w:cs="Arial"/>
                <w:b/>
                <w:sz w:val="22"/>
                <w:szCs w:val="22"/>
              </w:rPr>
            </w:pPr>
            <w:r w:rsidRPr="008B0FF6">
              <w:rPr>
                <w:rFonts w:ascii="Arial" w:hAnsi="Arial" w:cs="Arial"/>
                <w:b/>
                <w:sz w:val="22"/>
                <w:szCs w:val="22"/>
              </w:rPr>
              <w:t>Placebo</w:t>
            </w:r>
          </w:p>
          <w:p w:rsidR="00070F7B" w:rsidRPr="008B0FF6" w:rsidRDefault="00527098" w:rsidP="00D25AEA">
            <w:pPr>
              <w:spacing w:line="276" w:lineRule="auto"/>
              <w:jc w:val="center"/>
              <w:rPr>
                <w:rFonts w:ascii="Arial" w:hAnsi="Arial" w:cs="Arial"/>
                <w:b/>
                <w:sz w:val="22"/>
                <w:szCs w:val="22"/>
              </w:rPr>
            </w:pPr>
            <w:r w:rsidRPr="008B0FF6">
              <w:rPr>
                <w:rFonts w:ascii="Arial" w:hAnsi="Arial" w:cs="Arial"/>
                <w:b/>
                <w:sz w:val="22"/>
                <w:szCs w:val="22"/>
              </w:rPr>
              <w:t>n</w:t>
            </w:r>
            <w:r w:rsidR="00070F7B" w:rsidRPr="008B0FF6">
              <w:rPr>
                <w:rFonts w:ascii="Arial" w:hAnsi="Arial" w:cs="Arial"/>
                <w:b/>
                <w:sz w:val="22"/>
                <w:szCs w:val="22"/>
              </w:rPr>
              <w:t>=771</w:t>
            </w:r>
          </w:p>
          <w:p w:rsidR="00070F7B" w:rsidRPr="008B0FF6" w:rsidRDefault="00070F7B" w:rsidP="00D25AEA">
            <w:pPr>
              <w:spacing w:line="276" w:lineRule="auto"/>
              <w:jc w:val="center"/>
              <w:rPr>
                <w:rFonts w:ascii="Arial" w:hAnsi="Arial" w:cs="Arial"/>
                <w:b/>
                <w:sz w:val="22"/>
                <w:szCs w:val="22"/>
              </w:rPr>
            </w:pPr>
            <w:r w:rsidRPr="008B0FF6">
              <w:rPr>
                <w:rFonts w:ascii="Arial" w:hAnsi="Arial" w:cs="Arial"/>
                <w:b/>
                <w:sz w:val="22"/>
                <w:szCs w:val="22"/>
              </w:rPr>
              <w:t>%</w:t>
            </w:r>
          </w:p>
        </w:tc>
      </w:tr>
      <w:tr w:rsidR="00070F7B" w:rsidRPr="008B0FF6" w:rsidTr="004207C1">
        <w:tc>
          <w:tcPr>
            <w:tcW w:w="4756" w:type="dxa"/>
            <w:tcBorders>
              <w:top w:val="double" w:sz="4" w:space="0" w:color="auto"/>
              <w:bottom w:val="nil"/>
            </w:tcBorders>
            <w:shd w:val="clear" w:color="auto" w:fill="auto"/>
          </w:tcPr>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Blood and Lymphatic System Disorders</w:t>
            </w:r>
          </w:p>
        </w:tc>
        <w:tc>
          <w:tcPr>
            <w:tcW w:w="2070" w:type="dxa"/>
            <w:tcBorders>
              <w:top w:val="double" w:sz="4" w:space="0" w:color="auto"/>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c>
          <w:tcPr>
            <w:tcW w:w="2160" w:type="dxa"/>
            <w:tcBorders>
              <w:top w:val="double" w:sz="4" w:space="0" w:color="auto"/>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r>
      <w:tr w:rsidR="00070F7B" w:rsidRPr="008B0FF6" w:rsidTr="004207C1">
        <w:tc>
          <w:tcPr>
            <w:tcW w:w="4756" w:type="dxa"/>
            <w:tcBorders>
              <w:top w:val="nil"/>
              <w:bottom w:val="single" w:sz="4" w:space="0" w:color="auto"/>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Lymphopenia</w:t>
            </w:r>
          </w:p>
        </w:tc>
        <w:tc>
          <w:tcPr>
            <w:tcW w:w="207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2</w:t>
            </w:r>
          </w:p>
        </w:tc>
        <w:tc>
          <w:tcPr>
            <w:tcW w:w="216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&lt;1</w:t>
            </w:r>
          </w:p>
        </w:tc>
      </w:tr>
      <w:tr w:rsidR="00070F7B" w:rsidRPr="008B0FF6" w:rsidTr="004207C1">
        <w:tc>
          <w:tcPr>
            <w:tcW w:w="4756" w:type="dxa"/>
            <w:tcBorders>
              <w:bottom w:val="nil"/>
            </w:tcBorders>
            <w:shd w:val="clear" w:color="auto" w:fill="auto"/>
          </w:tcPr>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Gastrointestinal Disorders</w:t>
            </w:r>
          </w:p>
        </w:tc>
        <w:tc>
          <w:tcPr>
            <w:tcW w:w="207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c>
          <w:tcPr>
            <w:tcW w:w="216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w:t>
            </w:r>
            <w:r w:rsidR="009F7B38" w:rsidRPr="008B0FF6">
              <w:rPr>
                <w:rFonts w:ascii="Arial" w:hAnsi="Arial" w:cs="Arial"/>
                <w:sz w:val="22"/>
                <w:szCs w:val="22"/>
              </w:rPr>
              <w:t>Diarrhoea</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14</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11</w:t>
            </w: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Nausea</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12</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9</w:t>
            </w: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Abdominal pain upper</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10</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6</w:t>
            </w: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Abdominal pain</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10</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5</w:t>
            </w: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Vomiting</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9</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5</w:t>
            </w:r>
          </w:p>
        </w:tc>
      </w:tr>
      <w:tr w:rsidR="00070F7B" w:rsidRPr="008B0FF6" w:rsidTr="004207C1">
        <w:tc>
          <w:tcPr>
            <w:tcW w:w="4756" w:type="dxa"/>
            <w:tcBorders>
              <w:top w:val="nil"/>
              <w:bottom w:val="single" w:sz="4" w:space="0" w:color="auto"/>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Dyspepsia</w:t>
            </w:r>
          </w:p>
        </w:tc>
        <w:tc>
          <w:tcPr>
            <w:tcW w:w="207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5</w:t>
            </w:r>
          </w:p>
        </w:tc>
        <w:tc>
          <w:tcPr>
            <w:tcW w:w="216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3</w:t>
            </w:r>
          </w:p>
        </w:tc>
      </w:tr>
      <w:tr w:rsidR="00070F7B" w:rsidRPr="008B0FF6" w:rsidTr="004207C1">
        <w:tc>
          <w:tcPr>
            <w:tcW w:w="4756" w:type="dxa"/>
            <w:tcBorders>
              <w:bottom w:val="nil"/>
            </w:tcBorders>
            <w:shd w:val="clear" w:color="auto" w:fill="auto"/>
          </w:tcPr>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Vascular Disorders</w:t>
            </w:r>
          </w:p>
        </w:tc>
        <w:tc>
          <w:tcPr>
            <w:tcW w:w="207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c>
          <w:tcPr>
            <w:tcW w:w="216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Flushing</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35</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4</w:t>
            </w:r>
          </w:p>
        </w:tc>
      </w:tr>
      <w:tr w:rsidR="00070F7B" w:rsidRPr="008B0FF6" w:rsidTr="004207C1">
        <w:tc>
          <w:tcPr>
            <w:tcW w:w="4756" w:type="dxa"/>
            <w:tcBorders>
              <w:top w:val="nil"/>
              <w:bottom w:val="single" w:sz="4" w:space="0" w:color="auto"/>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Hot Flush</w:t>
            </w:r>
          </w:p>
        </w:tc>
        <w:tc>
          <w:tcPr>
            <w:tcW w:w="207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7</w:t>
            </w:r>
          </w:p>
        </w:tc>
        <w:tc>
          <w:tcPr>
            <w:tcW w:w="216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2</w:t>
            </w:r>
          </w:p>
        </w:tc>
      </w:tr>
      <w:tr w:rsidR="00070F7B" w:rsidRPr="008B0FF6" w:rsidTr="004207C1">
        <w:tc>
          <w:tcPr>
            <w:tcW w:w="4756" w:type="dxa"/>
            <w:tcBorders>
              <w:bottom w:val="nil"/>
            </w:tcBorders>
            <w:shd w:val="clear" w:color="auto" w:fill="auto"/>
          </w:tcPr>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Skin and Subcutaneous Tissue Disorders</w:t>
            </w:r>
          </w:p>
        </w:tc>
        <w:tc>
          <w:tcPr>
            <w:tcW w:w="207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c>
          <w:tcPr>
            <w:tcW w:w="216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Pruritus</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8</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4</w:t>
            </w: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Rash</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8</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3</w:t>
            </w:r>
          </w:p>
        </w:tc>
      </w:tr>
      <w:tr w:rsidR="00070F7B" w:rsidRPr="008B0FF6" w:rsidTr="004207C1">
        <w:tc>
          <w:tcPr>
            <w:tcW w:w="4756" w:type="dxa"/>
            <w:tcBorders>
              <w:top w:val="nil"/>
              <w:bottom w:val="single" w:sz="4" w:space="0" w:color="auto"/>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Erythema</w:t>
            </w:r>
          </w:p>
        </w:tc>
        <w:tc>
          <w:tcPr>
            <w:tcW w:w="207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5</w:t>
            </w:r>
          </w:p>
        </w:tc>
        <w:tc>
          <w:tcPr>
            <w:tcW w:w="2160" w:type="dxa"/>
            <w:tcBorders>
              <w:top w:val="nil"/>
              <w:bottom w:val="single" w:sz="4" w:space="0" w:color="auto"/>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1</w:t>
            </w:r>
          </w:p>
        </w:tc>
      </w:tr>
      <w:tr w:rsidR="00070F7B" w:rsidRPr="008B0FF6" w:rsidTr="004207C1">
        <w:tc>
          <w:tcPr>
            <w:tcW w:w="4756" w:type="dxa"/>
            <w:tcBorders>
              <w:bottom w:val="nil"/>
            </w:tcBorders>
            <w:shd w:val="clear" w:color="auto" w:fill="auto"/>
          </w:tcPr>
          <w:p w:rsidR="00070F7B" w:rsidRPr="008B0FF6" w:rsidRDefault="00070F7B" w:rsidP="00D25AEA">
            <w:pPr>
              <w:spacing w:line="276" w:lineRule="auto"/>
              <w:rPr>
                <w:rFonts w:ascii="Arial" w:hAnsi="Arial" w:cs="Arial"/>
                <w:b/>
                <w:sz w:val="22"/>
                <w:szCs w:val="22"/>
              </w:rPr>
            </w:pPr>
            <w:r w:rsidRPr="008B0FF6">
              <w:rPr>
                <w:rFonts w:ascii="Arial" w:hAnsi="Arial" w:cs="Arial"/>
                <w:b/>
                <w:sz w:val="22"/>
                <w:szCs w:val="22"/>
              </w:rPr>
              <w:t>Investigations</w:t>
            </w:r>
          </w:p>
        </w:tc>
        <w:tc>
          <w:tcPr>
            <w:tcW w:w="207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c>
          <w:tcPr>
            <w:tcW w:w="2160" w:type="dxa"/>
            <w:tcBorders>
              <w:bottom w:val="nil"/>
            </w:tcBorders>
            <w:shd w:val="clear" w:color="auto" w:fill="auto"/>
          </w:tcPr>
          <w:p w:rsidR="00070F7B" w:rsidRPr="008B0FF6" w:rsidRDefault="00070F7B" w:rsidP="00D25AEA">
            <w:pPr>
              <w:spacing w:line="276" w:lineRule="auto"/>
              <w:jc w:val="center"/>
              <w:rPr>
                <w:rFonts w:ascii="Arial" w:hAnsi="Arial" w:cs="Arial"/>
                <w:sz w:val="22"/>
                <w:szCs w:val="22"/>
              </w:rPr>
            </w:pPr>
          </w:p>
        </w:tc>
      </w:tr>
      <w:tr w:rsidR="00070F7B" w:rsidRPr="008B0FF6" w:rsidTr="004207C1">
        <w:tc>
          <w:tcPr>
            <w:tcW w:w="4756" w:type="dxa"/>
            <w:tcBorders>
              <w:top w:val="nil"/>
              <w:bottom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Albumin urine present</w:t>
            </w:r>
          </w:p>
        </w:tc>
        <w:tc>
          <w:tcPr>
            <w:tcW w:w="207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6</w:t>
            </w:r>
          </w:p>
        </w:tc>
        <w:tc>
          <w:tcPr>
            <w:tcW w:w="2160" w:type="dxa"/>
            <w:tcBorders>
              <w:top w:val="nil"/>
              <w:bottom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4</w:t>
            </w:r>
          </w:p>
        </w:tc>
      </w:tr>
      <w:tr w:rsidR="00070F7B" w:rsidRPr="008B0FF6" w:rsidTr="004207C1">
        <w:tc>
          <w:tcPr>
            <w:tcW w:w="4756" w:type="dxa"/>
            <w:tcBorders>
              <w:top w:val="nil"/>
            </w:tcBorders>
            <w:shd w:val="clear" w:color="auto" w:fill="auto"/>
          </w:tcPr>
          <w:p w:rsidR="00070F7B" w:rsidRPr="008B0FF6" w:rsidRDefault="00070F7B" w:rsidP="00D25AEA">
            <w:pPr>
              <w:spacing w:line="276" w:lineRule="auto"/>
              <w:rPr>
                <w:rFonts w:ascii="Arial" w:hAnsi="Arial" w:cs="Arial"/>
                <w:sz w:val="22"/>
                <w:szCs w:val="22"/>
              </w:rPr>
            </w:pPr>
            <w:r w:rsidRPr="008B0FF6">
              <w:rPr>
                <w:rFonts w:ascii="Arial" w:hAnsi="Arial" w:cs="Arial"/>
                <w:sz w:val="22"/>
                <w:szCs w:val="22"/>
              </w:rPr>
              <w:t xml:space="preserve">   Aspartate aminotransferase increased</w:t>
            </w:r>
          </w:p>
        </w:tc>
        <w:tc>
          <w:tcPr>
            <w:tcW w:w="2070" w:type="dxa"/>
            <w:tcBorders>
              <w:top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4</w:t>
            </w:r>
          </w:p>
        </w:tc>
        <w:tc>
          <w:tcPr>
            <w:tcW w:w="2160" w:type="dxa"/>
            <w:tcBorders>
              <w:top w:val="nil"/>
            </w:tcBorders>
            <w:shd w:val="clear" w:color="auto" w:fill="auto"/>
          </w:tcPr>
          <w:p w:rsidR="00070F7B" w:rsidRPr="008B0FF6" w:rsidRDefault="00070F7B" w:rsidP="00D25AEA">
            <w:pPr>
              <w:spacing w:line="276" w:lineRule="auto"/>
              <w:jc w:val="center"/>
              <w:rPr>
                <w:rFonts w:ascii="Arial" w:hAnsi="Arial" w:cs="Arial"/>
                <w:sz w:val="22"/>
                <w:szCs w:val="22"/>
              </w:rPr>
            </w:pPr>
            <w:r w:rsidRPr="008B0FF6">
              <w:rPr>
                <w:rFonts w:ascii="Arial" w:hAnsi="Arial" w:cs="Arial"/>
                <w:sz w:val="22"/>
                <w:szCs w:val="22"/>
              </w:rPr>
              <w:t>2</w:t>
            </w:r>
          </w:p>
        </w:tc>
      </w:tr>
    </w:tbl>
    <w:p w:rsidR="00D25AEA" w:rsidRPr="008B0FF6" w:rsidRDefault="00D25AEA" w:rsidP="00D25AEA">
      <w:pPr>
        <w:pStyle w:val="Default"/>
        <w:spacing w:line="276" w:lineRule="auto"/>
        <w:rPr>
          <w:rFonts w:ascii="Arial" w:hAnsi="Arial" w:cs="Arial"/>
          <w:color w:val="auto"/>
          <w:sz w:val="22"/>
          <w:szCs w:val="22"/>
        </w:rPr>
      </w:pPr>
      <w:bookmarkStart w:id="33" w:name="gd414b445-7fe1-45ba-9899-223d4c95d88d"/>
      <w:bookmarkStart w:id="34" w:name="g2ad3ea06-9a18-4f2b-b5de-356dba86c3d5"/>
      <w:bookmarkEnd w:id="33"/>
      <w:bookmarkEnd w:id="34"/>
    </w:p>
    <w:p w:rsidR="00D25AEA" w:rsidRPr="00281F0D" w:rsidRDefault="00D25AEA" w:rsidP="00D25AEA">
      <w:pPr>
        <w:pStyle w:val="Default"/>
        <w:spacing w:line="276" w:lineRule="auto"/>
        <w:rPr>
          <w:rFonts w:ascii="Arial" w:hAnsi="Arial" w:cs="Arial"/>
          <w:color w:val="auto"/>
          <w:sz w:val="22"/>
          <w:szCs w:val="22"/>
        </w:rPr>
      </w:pPr>
      <w:r w:rsidRPr="008B0FF6">
        <w:rPr>
          <w:rFonts w:ascii="Arial" w:hAnsi="Arial" w:cs="Arial"/>
          <w:color w:val="auto"/>
          <w:sz w:val="22"/>
          <w:szCs w:val="22"/>
        </w:rPr>
        <w:t>Other relevant ADRs (&lt;2% difference) include: gastroenteritis, gastritis, gastrointestinal disorder, burning sensation, feeling hot, alanine aminotransferase increased, proteinuria, white blood cell count decreased and leucopenia.</w:t>
      </w:r>
      <w:r w:rsidRPr="00281F0D">
        <w:rPr>
          <w:rFonts w:ascii="Arial" w:hAnsi="Arial" w:cs="Arial"/>
          <w:color w:val="auto"/>
          <w:sz w:val="22"/>
          <w:szCs w:val="22"/>
        </w:rPr>
        <w:t xml:space="preserve"> </w:t>
      </w:r>
    </w:p>
    <w:p w:rsidR="00D25AEA" w:rsidRPr="00281F0D" w:rsidRDefault="00D25AEA" w:rsidP="00D25AEA">
      <w:pPr>
        <w:pStyle w:val="Default"/>
        <w:spacing w:line="276" w:lineRule="auto"/>
        <w:rPr>
          <w:rFonts w:ascii="Arial" w:hAnsi="Arial" w:cs="Arial"/>
          <w:i/>
          <w:iCs/>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i/>
          <w:iCs/>
          <w:color w:val="auto"/>
          <w:sz w:val="22"/>
          <w:szCs w:val="22"/>
        </w:rPr>
        <w:t>Flushing</w:t>
      </w:r>
      <w:r w:rsidRPr="00281F0D">
        <w:rPr>
          <w:rFonts w:ascii="Arial" w:hAnsi="Arial" w:cs="Arial"/>
          <w:color w:val="auto"/>
          <w:sz w:val="22"/>
          <w:szCs w:val="22"/>
        </w:rPr>
        <w:t xml:space="preserve">  </w:t>
      </w: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The incidence of patients with flushing events (e.g. warmth, redness, itching, burning sensation) was higher early in the course of treatment (primarily in month 1) and decreased over time, which might indicate that this symptom became less prevalent with continued use</w:t>
      </w:r>
      <w:r w:rsidRPr="00281F0D">
        <w:rPr>
          <w:rFonts w:ascii="Arial" w:hAnsi="Arial" w:cs="Arial"/>
          <w:i/>
          <w:iCs/>
          <w:color w:val="auto"/>
          <w:sz w:val="22"/>
          <w:szCs w:val="22"/>
        </w:rPr>
        <w:t>.</w:t>
      </w:r>
      <w:r w:rsidRPr="00281F0D">
        <w:rPr>
          <w:rFonts w:ascii="Arial" w:hAnsi="Arial" w:cs="Arial"/>
          <w:color w:val="auto"/>
          <w:sz w:val="22"/>
          <w:szCs w:val="22"/>
        </w:rPr>
        <w:t xml:space="preserve">  In patients with flushing, the majority had flushing events that were mild or moderate in severity.  Overall, 3% of patients treated with TECFIDERA discontinued due to flushing. The incidence of serious </w:t>
      </w:r>
      <w:r w:rsidRPr="00281F0D">
        <w:rPr>
          <w:rFonts w:ascii="Arial" w:hAnsi="Arial" w:cs="Arial"/>
          <w:color w:val="auto"/>
          <w:sz w:val="22"/>
          <w:szCs w:val="22"/>
        </w:rPr>
        <w:lastRenderedPageBreak/>
        <w:t xml:space="preserve">flushing which may be characterised by generalised erythema, rash and/or pruritus was seen in less than 1% of patients treated with TECFIDERA </w:t>
      </w:r>
      <w:r w:rsidRPr="00281F0D">
        <w:rPr>
          <w:rFonts w:ascii="Arial" w:hAnsi="Arial" w:cs="Arial"/>
          <w:i/>
          <w:iCs/>
          <w:color w:val="auto"/>
          <w:sz w:val="22"/>
          <w:szCs w:val="22"/>
        </w:rPr>
        <w:t xml:space="preserve">(see DOSAGE AND ADMINISTRATION). </w:t>
      </w:r>
    </w:p>
    <w:p w:rsidR="00D25AEA" w:rsidRPr="00281F0D" w:rsidRDefault="00D25AEA" w:rsidP="00D25AEA">
      <w:pPr>
        <w:pStyle w:val="Default"/>
        <w:spacing w:line="276" w:lineRule="auto"/>
        <w:rPr>
          <w:rFonts w:ascii="Arial" w:hAnsi="Arial" w:cs="Arial"/>
          <w:i/>
          <w:iCs/>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i/>
          <w:iCs/>
          <w:color w:val="auto"/>
          <w:sz w:val="22"/>
          <w:szCs w:val="22"/>
        </w:rPr>
        <w:t xml:space="preserve">Gastrointestinal </w:t>
      </w: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The incidence of patients with GI events (e.g. nausea, vomiting, diarrhea, abdominal pain, upper abdominal pain &amp; dyspepsia) was higher early in the course of treatment (primarily in month 1) and decreased over time in patients treated with TECFIDERA compared with placebo.  Four percent (4%) of patients treated with TECFIDERA discontinued due to gastrointestinal events. The incidence of serious GI events, including gastroenteritis and gastritis, was seen in less than 1% of patients treated with TECFIDERA. </w:t>
      </w:r>
    </w:p>
    <w:p w:rsidR="00D25AEA" w:rsidRPr="00281F0D" w:rsidRDefault="00D25AEA" w:rsidP="00D25AEA">
      <w:pPr>
        <w:pStyle w:val="Default"/>
        <w:spacing w:line="276" w:lineRule="auto"/>
        <w:rPr>
          <w:rFonts w:ascii="Arial" w:hAnsi="Arial" w:cs="Arial"/>
          <w:i/>
          <w:iCs/>
          <w:color w:val="auto"/>
          <w:sz w:val="22"/>
          <w:szCs w:val="22"/>
        </w:rPr>
      </w:pPr>
      <w:bookmarkStart w:id="35" w:name="Xpress_Internal_Empty220"/>
      <w:bookmarkStart w:id="36" w:name="Xpress_Internal_221"/>
      <w:bookmarkStart w:id="37" w:name="Emphasis_25_Italic"/>
      <w:bookmarkEnd w:id="35"/>
      <w:bookmarkEnd w:id="36"/>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i/>
          <w:iCs/>
          <w:color w:val="auto"/>
          <w:sz w:val="22"/>
          <w:szCs w:val="22"/>
        </w:rPr>
        <w:t>Hepatic Transaminases</w:t>
      </w:r>
      <w:r w:rsidRPr="00281F0D">
        <w:rPr>
          <w:rFonts w:ascii="Arial" w:hAnsi="Arial" w:cs="Arial"/>
          <w:color w:val="auto"/>
          <w:sz w:val="22"/>
          <w:szCs w:val="22"/>
        </w:rPr>
        <w:t xml:space="preserve">  </w:t>
      </w: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In placebo-controlled studies, elevations of hepatic transaminases were observed. The majority of patients with elevations had hepatic transaminases that were &lt; 3 times the upper limit of normal (ULN). The increased incidence of elevations of hepatic transaminases in patients treated with TECFIDERA relative to placebo was primarily seen during the first 6 months of treatment. Elevations of alanine aminotransferase and aspartate aminotransferase ≥ 3 times ULN, respectively, were seen in 5% and 2% of patients treated with placebo and 6% and 2%  of patients treated with TECFIDERA. There were no elevations in transaminases ≥ 3 times ULN with concomitant elevations in total bilirubin &gt; 2 times ULN. Discontinuations due to elevated hepatic transaminases were &lt;1% and similar in patients treated with TECFIDERA or placebo. </w:t>
      </w:r>
    </w:p>
    <w:p w:rsidR="00D25AEA" w:rsidRPr="00281F0D" w:rsidRDefault="00D25AEA"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i/>
          <w:iCs/>
          <w:color w:val="auto"/>
          <w:sz w:val="22"/>
          <w:szCs w:val="22"/>
        </w:rPr>
        <w:t xml:space="preserve">Haematological </w:t>
      </w:r>
    </w:p>
    <w:p w:rsidR="00BC3AE7"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In the placebo-controlled studies, most patients (&gt;98%) had normal lymphocyte values prior to initiating treatment. Upon treatment with TECFIDERA, lymphocytes counts decreased over the first year with a subsequent plateau. On average, lymphocyte counts decreased by approximately 30% of baseline value. Mean and median lymphocyte counts remained within normal limits. Patients with lymphocyte counts &lt;0.5x10</w:t>
      </w:r>
      <w:r w:rsidRPr="00BC3AE7">
        <w:rPr>
          <w:rFonts w:ascii="Arial" w:hAnsi="Arial" w:cs="Arial"/>
          <w:color w:val="auto"/>
          <w:sz w:val="22"/>
          <w:szCs w:val="22"/>
          <w:vertAlign w:val="superscript"/>
        </w:rPr>
        <w:t>9</w:t>
      </w:r>
      <w:r w:rsidRPr="00281F0D">
        <w:rPr>
          <w:rFonts w:ascii="Arial" w:hAnsi="Arial" w:cs="Arial"/>
          <w:color w:val="auto"/>
          <w:sz w:val="22"/>
          <w:szCs w:val="22"/>
        </w:rPr>
        <w:t>/L were observed in &lt;1% of patients treated with placebo and 6% of patients treated with TECFIDERA. The incidence of infections (58% vs 60%) and serious infections (2% vs 2%) was similar in patients treated with placebo or TECFIDERA, respectively. An increased incidence of infections and serious infections was not observed in patients with lymphocyte counts &lt;0.8x10</w:t>
      </w:r>
      <w:r w:rsidRPr="00BC3AE7">
        <w:rPr>
          <w:rFonts w:ascii="Arial" w:hAnsi="Arial" w:cs="Arial"/>
          <w:color w:val="auto"/>
          <w:sz w:val="22"/>
          <w:szCs w:val="22"/>
          <w:vertAlign w:val="superscript"/>
        </w:rPr>
        <w:t>9</w:t>
      </w:r>
      <w:r w:rsidRPr="00281F0D">
        <w:rPr>
          <w:rFonts w:ascii="Arial" w:hAnsi="Arial" w:cs="Arial"/>
          <w:color w:val="auto"/>
          <w:sz w:val="22"/>
          <w:szCs w:val="22"/>
        </w:rPr>
        <w:t>/L or 0.5x10</w:t>
      </w:r>
      <w:r w:rsidRPr="00BC3AE7">
        <w:rPr>
          <w:rFonts w:ascii="Arial" w:hAnsi="Arial" w:cs="Arial"/>
          <w:color w:val="auto"/>
          <w:sz w:val="22"/>
          <w:szCs w:val="22"/>
          <w:vertAlign w:val="superscript"/>
        </w:rPr>
        <w:t>9</w:t>
      </w:r>
      <w:r w:rsidRPr="00281F0D">
        <w:rPr>
          <w:rFonts w:ascii="Arial" w:hAnsi="Arial" w:cs="Arial"/>
          <w:color w:val="auto"/>
          <w:sz w:val="22"/>
          <w:szCs w:val="22"/>
        </w:rPr>
        <w:t>/L. A transient increase in mean eosinophil counts was seen during the first 2 months of therapy.</w:t>
      </w:r>
    </w:p>
    <w:bookmarkEnd w:id="37"/>
    <w:p w:rsidR="00E33E7B" w:rsidRPr="00BC3AE7" w:rsidRDefault="000A0F9E" w:rsidP="00BC3AE7">
      <w:pPr>
        <w:shd w:val="clear" w:color="auto" w:fill="FFFFFF" w:themeFill="background1"/>
        <w:autoSpaceDE w:val="0"/>
        <w:autoSpaceDN w:val="0"/>
        <w:adjustRightInd w:val="0"/>
        <w:spacing w:before="240" w:after="60" w:line="276" w:lineRule="auto"/>
        <w:rPr>
          <w:rFonts w:ascii="Arial" w:hAnsi="Arial" w:cs="Arial"/>
          <w:b/>
          <w:sz w:val="28"/>
          <w:szCs w:val="22"/>
          <w:lang w:val="en-US"/>
        </w:rPr>
      </w:pPr>
      <w:r w:rsidRPr="00BC3AE7">
        <w:rPr>
          <w:rStyle w:val="Heading1Char"/>
          <w:sz w:val="28"/>
          <w:szCs w:val="22"/>
        </w:rPr>
        <w:t>DOSAGE AND ADMINISTRATION</w:t>
      </w:r>
    </w:p>
    <w:p w:rsidR="00D25AEA"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The starting dose for TECFIDERA is 120 mg twice a day orally. After 7 days, increase to the recommended dose of 240 mg twice a day orally. </w:t>
      </w:r>
    </w:p>
    <w:p w:rsidR="00BC3AE7" w:rsidRPr="00281F0D" w:rsidRDefault="00BC3AE7"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The capsule or its contents should not be crushed, divided or dissolved as the enteric coating of the microtablets prevents irritant effects on the gut.  </w:t>
      </w:r>
    </w:p>
    <w:p w:rsidR="00BC3AE7" w:rsidRDefault="00BC3AE7" w:rsidP="00D25AEA">
      <w:pPr>
        <w:pStyle w:val="Default"/>
        <w:spacing w:line="276" w:lineRule="auto"/>
        <w:rPr>
          <w:rFonts w:ascii="Arial" w:hAnsi="Arial" w:cs="Arial"/>
          <w:color w:val="auto"/>
          <w:sz w:val="22"/>
          <w:szCs w:val="22"/>
        </w:rPr>
      </w:pP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Temporary dose reduction to 120 mg twice a day may reduce the occurrence of flushing and gastrointestinal (GI) side effects. Within 1 month, the recommended dose of 240 mg twice a day orally should be resumed.  </w:t>
      </w:r>
    </w:p>
    <w:p w:rsidR="00BC3AE7" w:rsidRDefault="00BC3AE7" w:rsidP="00D25AEA">
      <w:pPr>
        <w:pStyle w:val="Default"/>
        <w:spacing w:line="276" w:lineRule="auto"/>
        <w:rPr>
          <w:rFonts w:ascii="Arial" w:hAnsi="Arial" w:cs="Arial"/>
          <w:color w:val="auto"/>
          <w:sz w:val="22"/>
          <w:szCs w:val="22"/>
        </w:rPr>
      </w:pPr>
    </w:p>
    <w:p w:rsidR="00BC3AE7"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lastRenderedPageBreak/>
        <w:t xml:space="preserve">TECFIDERA can be taken with or without food. For those patients who may experience gastrointestinal or flushing side effects, taking TECFIDERA with food may improve tolerability. </w:t>
      </w:r>
    </w:p>
    <w:p w:rsidR="00D25AEA" w:rsidRPr="00281F0D" w:rsidRDefault="00D25AEA" w:rsidP="00D25AEA">
      <w:pPr>
        <w:pStyle w:val="Default"/>
        <w:spacing w:line="276" w:lineRule="auto"/>
        <w:rPr>
          <w:rFonts w:ascii="Arial" w:hAnsi="Arial" w:cs="Arial"/>
          <w:color w:val="auto"/>
          <w:sz w:val="22"/>
          <w:szCs w:val="22"/>
        </w:rPr>
      </w:pPr>
      <w:r w:rsidRPr="00281F0D">
        <w:rPr>
          <w:rFonts w:ascii="Arial" w:hAnsi="Arial" w:cs="Arial"/>
          <w:color w:val="auto"/>
          <w:sz w:val="22"/>
          <w:szCs w:val="22"/>
        </w:rPr>
        <w:t xml:space="preserve">Administration of 325 mg non-enteric coated aspirin prior to TECFIDERA dosing reduced the occurrence and severity of flushing in a healthy volunteer study </w:t>
      </w:r>
      <w:r w:rsidRPr="00281F0D">
        <w:rPr>
          <w:rFonts w:ascii="Arial" w:hAnsi="Arial" w:cs="Arial"/>
          <w:i/>
          <w:iCs/>
          <w:color w:val="auto"/>
          <w:sz w:val="22"/>
          <w:szCs w:val="22"/>
        </w:rPr>
        <w:t xml:space="preserve">(see INTERACTIONS WITH OTHER MEDICINES). </w:t>
      </w:r>
    </w:p>
    <w:p w:rsidR="00BC3AE7" w:rsidRDefault="00BC3AE7" w:rsidP="00D25AEA">
      <w:pPr>
        <w:pStyle w:val="Default"/>
        <w:spacing w:line="276" w:lineRule="auto"/>
        <w:rPr>
          <w:rFonts w:ascii="Arial" w:hAnsi="Arial" w:cs="Arial"/>
          <w:color w:val="auto"/>
          <w:sz w:val="22"/>
          <w:szCs w:val="22"/>
        </w:rPr>
      </w:pPr>
    </w:p>
    <w:p w:rsidR="00D25AEA" w:rsidRPr="002C2A38" w:rsidRDefault="00D25AEA" w:rsidP="002C2A38">
      <w:pPr>
        <w:pStyle w:val="Default"/>
        <w:spacing w:line="276" w:lineRule="auto"/>
        <w:rPr>
          <w:rStyle w:val="Heading1Char"/>
          <w:b w:val="0"/>
          <w:bCs w:val="0"/>
          <w:color w:val="auto"/>
          <w:kern w:val="0"/>
          <w:sz w:val="22"/>
          <w:szCs w:val="22"/>
          <w:lang w:val="en-US"/>
        </w:rPr>
      </w:pPr>
      <w:r w:rsidRPr="00281F0D">
        <w:rPr>
          <w:rFonts w:ascii="Arial" w:hAnsi="Arial" w:cs="Arial"/>
          <w:color w:val="auto"/>
          <w:sz w:val="22"/>
          <w:szCs w:val="22"/>
        </w:rPr>
        <w:t xml:space="preserve">TECFIDERA has not been studied in patients with renal or hepatic impairment. Based on clinical pharmacology studies, no dose adjustments are needed. </w:t>
      </w:r>
    </w:p>
    <w:p w:rsidR="00E33E7B" w:rsidRPr="00281F0D" w:rsidRDefault="000A0F9E" w:rsidP="00BC3AE7">
      <w:pPr>
        <w:autoSpaceDE w:val="0"/>
        <w:autoSpaceDN w:val="0"/>
        <w:adjustRightInd w:val="0"/>
        <w:spacing w:before="240" w:after="60" w:line="276" w:lineRule="auto"/>
        <w:rPr>
          <w:rFonts w:ascii="Arial" w:hAnsi="Arial" w:cs="Arial"/>
          <w:b/>
          <w:sz w:val="28"/>
          <w:szCs w:val="22"/>
          <w:lang w:val="en-US"/>
        </w:rPr>
      </w:pPr>
      <w:r w:rsidRPr="00281F0D">
        <w:rPr>
          <w:rStyle w:val="Heading1Char"/>
          <w:sz w:val="28"/>
          <w:szCs w:val="22"/>
        </w:rPr>
        <w:t>OVERDOSAGE</w:t>
      </w:r>
    </w:p>
    <w:p w:rsidR="00D25AEA" w:rsidRPr="00281F0D" w:rsidRDefault="003B2199" w:rsidP="002C2A38">
      <w:pPr>
        <w:pStyle w:val="GTCBodyText"/>
        <w:spacing w:before="0" w:after="0" w:line="276" w:lineRule="auto"/>
        <w:jc w:val="left"/>
        <w:rPr>
          <w:rStyle w:val="Heading1Char"/>
          <w:sz w:val="22"/>
          <w:szCs w:val="22"/>
        </w:rPr>
      </w:pPr>
      <w:r w:rsidRPr="00281F0D">
        <w:rPr>
          <w:rFonts w:ascii="Arial" w:hAnsi="Arial" w:cs="Arial"/>
          <w:sz w:val="22"/>
          <w:szCs w:val="22"/>
        </w:rPr>
        <w:t>No cases of overdose have been reported</w:t>
      </w:r>
      <w:r w:rsidR="00AA7F2F" w:rsidRPr="00281F0D">
        <w:rPr>
          <w:rFonts w:ascii="Arial" w:hAnsi="Arial" w:cs="Arial"/>
          <w:sz w:val="22"/>
          <w:szCs w:val="22"/>
        </w:rPr>
        <w:t xml:space="preserve"> to date. </w:t>
      </w:r>
      <w:r w:rsidR="003B4822" w:rsidRPr="00281F0D">
        <w:rPr>
          <w:rFonts w:ascii="Arial" w:hAnsi="Arial" w:cs="Arial"/>
          <w:sz w:val="22"/>
          <w:szCs w:val="22"/>
        </w:rPr>
        <w:t>For information on the management of overdose, c</w:t>
      </w:r>
      <w:r w:rsidR="000F4FA3" w:rsidRPr="00281F0D">
        <w:rPr>
          <w:rFonts w:ascii="Arial" w:hAnsi="Arial" w:cs="Arial"/>
          <w:sz w:val="22"/>
          <w:szCs w:val="22"/>
        </w:rPr>
        <w:t xml:space="preserve">ontact the Poisons Information Centre on 13 11 26 </w:t>
      </w:r>
      <w:r w:rsidR="003B4822" w:rsidRPr="00281F0D">
        <w:rPr>
          <w:rFonts w:ascii="Arial" w:hAnsi="Arial" w:cs="Arial"/>
          <w:sz w:val="22"/>
          <w:szCs w:val="22"/>
        </w:rPr>
        <w:t>(Australia)</w:t>
      </w:r>
      <w:r w:rsidR="003B4822" w:rsidRPr="00281F0D">
        <w:rPr>
          <w:rFonts w:ascii="Arial" w:hAnsi="Arial" w:cs="Arial"/>
          <w:color w:val="00B050"/>
          <w:sz w:val="22"/>
          <w:szCs w:val="22"/>
        </w:rPr>
        <w:t>.</w:t>
      </w:r>
    </w:p>
    <w:p w:rsidR="00E33E7B" w:rsidRPr="00281F0D" w:rsidRDefault="000A0F9E" w:rsidP="00BC3AE7">
      <w:pPr>
        <w:autoSpaceDE w:val="0"/>
        <w:autoSpaceDN w:val="0"/>
        <w:adjustRightInd w:val="0"/>
        <w:spacing w:before="240" w:after="60" w:line="276" w:lineRule="auto"/>
        <w:rPr>
          <w:rFonts w:ascii="Arial" w:hAnsi="Arial" w:cs="Arial"/>
          <w:b/>
          <w:sz w:val="28"/>
          <w:szCs w:val="22"/>
          <w:lang w:val="en-US"/>
        </w:rPr>
      </w:pPr>
      <w:r w:rsidRPr="00281F0D">
        <w:rPr>
          <w:rStyle w:val="Heading1Char"/>
          <w:sz w:val="28"/>
          <w:szCs w:val="22"/>
        </w:rPr>
        <w:t>PRESENTATION AND STORAGE CONDITIONS</w:t>
      </w:r>
    </w:p>
    <w:p w:rsidR="00D25AEA" w:rsidRPr="00BC3AE7" w:rsidRDefault="00D25AEA" w:rsidP="00D25AEA">
      <w:pPr>
        <w:pStyle w:val="Default"/>
        <w:spacing w:line="276" w:lineRule="auto"/>
        <w:rPr>
          <w:rFonts w:ascii="Arial" w:hAnsi="Arial" w:cs="Arial"/>
          <w:sz w:val="22"/>
          <w:szCs w:val="22"/>
          <w:u w:val="single"/>
        </w:rPr>
      </w:pPr>
      <w:bookmarkStart w:id="38" w:name="ga2f05ca7-0c75-46dd-abf9-84d8f9713679"/>
      <w:bookmarkEnd w:id="38"/>
      <w:r w:rsidRPr="00BC3AE7">
        <w:rPr>
          <w:rFonts w:ascii="Arial" w:hAnsi="Arial" w:cs="Arial"/>
          <w:sz w:val="22"/>
          <w:szCs w:val="22"/>
          <w:u w:val="single"/>
        </w:rPr>
        <w:t xml:space="preserve">120 mg capsule: </w:t>
      </w:r>
    </w:p>
    <w:p w:rsidR="00D25AEA" w:rsidRPr="00281F0D" w:rsidRDefault="00D25AEA" w:rsidP="00D25AEA">
      <w:pPr>
        <w:pStyle w:val="Default"/>
        <w:spacing w:line="276" w:lineRule="auto"/>
        <w:rPr>
          <w:rFonts w:ascii="Arial" w:hAnsi="Arial" w:cs="Arial"/>
          <w:sz w:val="22"/>
          <w:szCs w:val="22"/>
        </w:rPr>
      </w:pPr>
      <w:r w:rsidRPr="00281F0D">
        <w:rPr>
          <w:rFonts w:ascii="Arial" w:hAnsi="Arial" w:cs="Arial"/>
          <w:sz w:val="22"/>
          <w:szCs w:val="22"/>
        </w:rPr>
        <w:t xml:space="preserve">TECFIDERA is supplied as green and white capsules printed with “BG-12 120 mg” in black ink on the capsule body. Each capsule contains 120 mg DMF.  </w:t>
      </w:r>
    </w:p>
    <w:p w:rsidR="00BC3AE7" w:rsidRDefault="00BC3AE7" w:rsidP="00D25AEA">
      <w:pPr>
        <w:pStyle w:val="Default"/>
        <w:spacing w:line="276" w:lineRule="auto"/>
        <w:rPr>
          <w:rFonts w:ascii="Arial" w:hAnsi="Arial" w:cs="Arial"/>
          <w:sz w:val="22"/>
          <w:szCs w:val="22"/>
        </w:rPr>
      </w:pPr>
    </w:p>
    <w:p w:rsidR="00D25AEA" w:rsidRPr="00281F0D" w:rsidRDefault="00D25AEA" w:rsidP="00D25AEA">
      <w:pPr>
        <w:pStyle w:val="Default"/>
        <w:spacing w:line="276" w:lineRule="auto"/>
        <w:rPr>
          <w:rFonts w:ascii="Arial" w:hAnsi="Arial" w:cs="Arial"/>
          <w:sz w:val="22"/>
          <w:szCs w:val="22"/>
        </w:rPr>
      </w:pPr>
      <w:r w:rsidRPr="00281F0D">
        <w:rPr>
          <w:rFonts w:ascii="Arial" w:hAnsi="Arial" w:cs="Arial"/>
          <w:sz w:val="22"/>
          <w:szCs w:val="22"/>
        </w:rPr>
        <w:t xml:space="preserve">Capsules are supplied in PVC/PE/PVDC aluminium blister packs, in pack sizes of 14 &amp; 112.  </w:t>
      </w:r>
    </w:p>
    <w:p w:rsidR="00281F0D" w:rsidRDefault="00281F0D" w:rsidP="00D25AEA">
      <w:pPr>
        <w:pStyle w:val="Default"/>
        <w:spacing w:line="276" w:lineRule="auto"/>
        <w:rPr>
          <w:rFonts w:ascii="Arial" w:hAnsi="Arial" w:cs="Arial"/>
          <w:sz w:val="22"/>
          <w:szCs w:val="22"/>
        </w:rPr>
      </w:pPr>
    </w:p>
    <w:p w:rsidR="00D25AEA" w:rsidRPr="00BC3AE7" w:rsidRDefault="00D25AEA" w:rsidP="00D25AEA">
      <w:pPr>
        <w:pStyle w:val="Default"/>
        <w:spacing w:line="276" w:lineRule="auto"/>
        <w:rPr>
          <w:rFonts w:ascii="Arial" w:hAnsi="Arial" w:cs="Arial"/>
          <w:sz w:val="22"/>
          <w:szCs w:val="22"/>
          <w:u w:val="single"/>
        </w:rPr>
      </w:pPr>
      <w:r w:rsidRPr="00BC3AE7">
        <w:rPr>
          <w:rFonts w:ascii="Arial" w:hAnsi="Arial" w:cs="Arial"/>
          <w:sz w:val="22"/>
          <w:szCs w:val="22"/>
          <w:u w:val="single"/>
        </w:rPr>
        <w:t xml:space="preserve">240 mg capsule: </w:t>
      </w:r>
    </w:p>
    <w:p w:rsidR="00D25AEA" w:rsidRDefault="00D25AEA" w:rsidP="00D25AEA">
      <w:pPr>
        <w:pStyle w:val="Default"/>
        <w:spacing w:line="276" w:lineRule="auto"/>
        <w:rPr>
          <w:rFonts w:ascii="Arial" w:hAnsi="Arial" w:cs="Arial"/>
          <w:sz w:val="22"/>
          <w:szCs w:val="22"/>
        </w:rPr>
      </w:pPr>
      <w:r w:rsidRPr="00281F0D">
        <w:rPr>
          <w:rFonts w:ascii="Arial" w:hAnsi="Arial" w:cs="Arial"/>
          <w:sz w:val="22"/>
          <w:szCs w:val="22"/>
        </w:rPr>
        <w:t xml:space="preserve">TECFIDERA is supplied as green capsules printed with “BG-12 240 mg” in black ink on the capsule body. Each capsule contains 240 mg DMF.  </w:t>
      </w:r>
    </w:p>
    <w:p w:rsidR="00BC3AE7" w:rsidRPr="00281F0D" w:rsidRDefault="00BC3AE7" w:rsidP="00D25AEA">
      <w:pPr>
        <w:pStyle w:val="Default"/>
        <w:spacing w:line="276" w:lineRule="auto"/>
        <w:rPr>
          <w:rFonts w:ascii="Arial" w:hAnsi="Arial" w:cs="Arial"/>
          <w:sz w:val="22"/>
          <w:szCs w:val="22"/>
        </w:rPr>
      </w:pPr>
    </w:p>
    <w:p w:rsidR="00D25AEA" w:rsidRPr="00281F0D" w:rsidRDefault="00D25AEA" w:rsidP="00D25AEA">
      <w:pPr>
        <w:pStyle w:val="Default"/>
        <w:spacing w:line="276" w:lineRule="auto"/>
        <w:rPr>
          <w:rFonts w:ascii="Arial" w:hAnsi="Arial" w:cs="Arial"/>
          <w:sz w:val="22"/>
          <w:szCs w:val="22"/>
        </w:rPr>
      </w:pPr>
      <w:r w:rsidRPr="00281F0D">
        <w:rPr>
          <w:rFonts w:ascii="Arial" w:hAnsi="Arial" w:cs="Arial"/>
          <w:sz w:val="22"/>
          <w:szCs w:val="22"/>
        </w:rPr>
        <w:t>Capsules are supplied in PVC/PE/PVDC aluminium blister packs, in pack size</w:t>
      </w:r>
      <w:r w:rsidR="00E132C7">
        <w:rPr>
          <w:rFonts w:ascii="Arial" w:hAnsi="Arial" w:cs="Arial"/>
          <w:sz w:val="22"/>
          <w:szCs w:val="22"/>
        </w:rPr>
        <w:t>s</w:t>
      </w:r>
      <w:r w:rsidRPr="00281F0D">
        <w:rPr>
          <w:rFonts w:ascii="Arial" w:hAnsi="Arial" w:cs="Arial"/>
          <w:sz w:val="22"/>
          <w:szCs w:val="22"/>
        </w:rPr>
        <w:t xml:space="preserve"> of </w:t>
      </w:r>
      <w:r w:rsidR="00E132C7">
        <w:rPr>
          <w:rFonts w:ascii="Arial" w:hAnsi="Arial" w:cs="Arial"/>
          <w:sz w:val="22"/>
          <w:szCs w:val="22"/>
        </w:rPr>
        <w:t xml:space="preserve">12 &amp; </w:t>
      </w:r>
      <w:r w:rsidRPr="00281F0D">
        <w:rPr>
          <w:rFonts w:ascii="Arial" w:hAnsi="Arial" w:cs="Arial"/>
          <w:sz w:val="22"/>
          <w:szCs w:val="22"/>
        </w:rPr>
        <w:t xml:space="preserve">56.  </w:t>
      </w:r>
    </w:p>
    <w:p w:rsidR="00281F0D" w:rsidRDefault="00281F0D" w:rsidP="00D25AEA">
      <w:pPr>
        <w:pStyle w:val="Default"/>
        <w:spacing w:line="276" w:lineRule="auto"/>
        <w:rPr>
          <w:rFonts w:ascii="Arial" w:hAnsi="Arial" w:cs="Arial"/>
          <w:sz w:val="22"/>
          <w:szCs w:val="22"/>
        </w:rPr>
      </w:pPr>
    </w:p>
    <w:p w:rsidR="00D25AEA" w:rsidRPr="002C2A38" w:rsidRDefault="00D25AEA" w:rsidP="002C2A38">
      <w:pPr>
        <w:pStyle w:val="Default"/>
        <w:spacing w:line="276" w:lineRule="auto"/>
        <w:rPr>
          <w:rStyle w:val="Heading1Char"/>
          <w:b w:val="0"/>
          <w:bCs w:val="0"/>
          <w:kern w:val="0"/>
          <w:sz w:val="22"/>
          <w:szCs w:val="22"/>
          <w:lang w:val="en-US"/>
        </w:rPr>
      </w:pPr>
      <w:r w:rsidRPr="00281F0D">
        <w:rPr>
          <w:rFonts w:ascii="Arial" w:hAnsi="Arial" w:cs="Arial"/>
          <w:sz w:val="22"/>
          <w:szCs w:val="22"/>
        </w:rPr>
        <w:t>Store below 30</w:t>
      </w:r>
      <w:r w:rsidRPr="00336FFD">
        <w:rPr>
          <w:rFonts w:ascii="Arial" w:hAnsi="Arial" w:cs="Arial"/>
          <w:sz w:val="22"/>
          <w:szCs w:val="22"/>
          <w:vertAlign w:val="superscript"/>
        </w:rPr>
        <w:t>o</w:t>
      </w:r>
      <w:r w:rsidRPr="00281F0D">
        <w:rPr>
          <w:rFonts w:ascii="Arial" w:hAnsi="Arial" w:cs="Arial"/>
          <w:sz w:val="22"/>
          <w:szCs w:val="22"/>
        </w:rPr>
        <w:t xml:space="preserve">C. Store in original packaging in order to protect from light.  </w:t>
      </w:r>
    </w:p>
    <w:p w:rsidR="00E33E7B" w:rsidRPr="00281F0D" w:rsidRDefault="000A0F9E" w:rsidP="00D1084D">
      <w:pPr>
        <w:autoSpaceDE w:val="0"/>
        <w:autoSpaceDN w:val="0"/>
        <w:adjustRightInd w:val="0"/>
        <w:spacing w:before="240" w:after="60" w:line="276" w:lineRule="auto"/>
        <w:rPr>
          <w:rFonts w:ascii="Arial" w:hAnsi="Arial" w:cs="Arial"/>
          <w:b/>
          <w:sz w:val="28"/>
          <w:szCs w:val="22"/>
          <w:lang w:val="en-US"/>
        </w:rPr>
      </w:pPr>
      <w:r w:rsidRPr="00281F0D">
        <w:rPr>
          <w:rStyle w:val="Heading1Char"/>
          <w:sz w:val="28"/>
          <w:szCs w:val="22"/>
        </w:rPr>
        <w:t>NAME AND ADDRESS OF THE SPONSOR</w:t>
      </w:r>
    </w:p>
    <w:p w:rsidR="0055695B" w:rsidRPr="00281F0D" w:rsidRDefault="0055695B" w:rsidP="00D25AEA">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lang w:val="en-US"/>
        </w:rPr>
      </w:pPr>
      <w:r w:rsidRPr="00281F0D">
        <w:rPr>
          <w:lang w:val="en-US"/>
        </w:rPr>
        <w:t>Biogen Idec Australia Pty Ltd</w:t>
      </w:r>
    </w:p>
    <w:p w:rsidR="0055695B" w:rsidRPr="00281F0D" w:rsidRDefault="0055695B" w:rsidP="00D25AEA">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lang w:val="en-US"/>
        </w:rPr>
      </w:pPr>
      <w:r w:rsidRPr="00281F0D">
        <w:rPr>
          <w:lang w:val="en-US"/>
        </w:rPr>
        <w:t>ABN 30 095 760 115</w:t>
      </w:r>
    </w:p>
    <w:p w:rsidR="0055695B" w:rsidRPr="00281F0D" w:rsidRDefault="0055695B" w:rsidP="00D25AEA">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lang w:val="en-GB"/>
        </w:rPr>
      </w:pPr>
      <w:r w:rsidRPr="00281F0D">
        <w:rPr>
          <w:lang w:val="en-GB"/>
        </w:rPr>
        <w:t xml:space="preserve">Suite </w:t>
      </w:r>
      <w:r w:rsidR="005525F2" w:rsidRPr="00281F0D">
        <w:rPr>
          <w:lang w:val="en-GB"/>
        </w:rPr>
        <w:t>1</w:t>
      </w:r>
      <w:r w:rsidRPr="00281F0D">
        <w:rPr>
          <w:lang w:val="en-GB"/>
        </w:rPr>
        <w:t xml:space="preserve">, Level </w:t>
      </w:r>
      <w:r w:rsidR="005525F2" w:rsidRPr="00281F0D">
        <w:rPr>
          <w:lang w:val="en-GB"/>
        </w:rPr>
        <w:t>5</w:t>
      </w:r>
      <w:r w:rsidRPr="00281F0D">
        <w:rPr>
          <w:lang w:val="en-GB"/>
        </w:rPr>
        <w:t>, 123 Epping Road</w:t>
      </w:r>
    </w:p>
    <w:p w:rsidR="00D25AEA" w:rsidRPr="00281F0D" w:rsidRDefault="0055695B" w:rsidP="002C2A38">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spacing w:line="276" w:lineRule="auto"/>
        <w:jc w:val="left"/>
        <w:rPr>
          <w:rStyle w:val="Heading1Char"/>
          <w:sz w:val="22"/>
          <w:szCs w:val="22"/>
        </w:rPr>
      </w:pPr>
      <w:r w:rsidRPr="00281F0D">
        <w:rPr>
          <w:lang w:val="en-GB"/>
        </w:rPr>
        <w:t>North Ryde NSW 2113</w:t>
      </w:r>
    </w:p>
    <w:p w:rsidR="00E33E7B" w:rsidRPr="00281F0D" w:rsidRDefault="000A0F9E" w:rsidP="00D1084D">
      <w:pPr>
        <w:autoSpaceDE w:val="0"/>
        <w:autoSpaceDN w:val="0"/>
        <w:adjustRightInd w:val="0"/>
        <w:spacing w:before="240" w:after="60" w:line="276" w:lineRule="auto"/>
        <w:rPr>
          <w:rFonts w:ascii="Arial" w:hAnsi="Arial" w:cs="Arial"/>
          <w:b/>
          <w:sz w:val="28"/>
          <w:szCs w:val="22"/>
          <w:lang w:val="en-US"/>
        </w:rPr>
      </w:pPr>
      <w:r w:rsidRPr="00281F0D">
        <w:rPr>
          <w:rStyle w:val="Heading1Char"/>
          <w:sz w:val="28"/>
          <w:szCs w:val="22"/>
        </w:rPr>
        <w:t>POISON SCHEDULE OF THE MEDICINE</w:t>
      </w:r>
    </w:p>
    <w:p w:rsidR="00E33E7B" w:rsidRPr="00281F0D" w:rsidRDefault="00545737" w:rsidP="00D25AEA">
      <w:pPr>
        <w:spacing w:line="276" w:lineRule="auto"/>
        <w:rPr>
          <w:rFonts w:ascii="Arial" w:hAnsi="Arial" w:cs="Arial"/>
          <w:sz w:val="22"/>
          <w:szCs w:val="22"/>
          <w:lang w:val="en-US"/>
        </w:rPr>
      </w:pPr>
      <w:r w:rsidRPr="00281F0D">
        <w:rPr>
          <w:rFonts w:ascii="Arial" w:hAnsi="Arial" w:cs="Arial"/>
          <w:sz w:val="22"/>
          <w:szCs w:val="22"/>
          <w:lang w:val="en-US"/>
        </w:rPr>
        <w:t>Prescription Only Medicine</w:t>
      </w:r>
    </w:p>
    <w:p w:rsidR="00E33E7B" w:rsidRPr="002C2A38" w:rsidRDefault="00C474BB" w:rsidP="00D1084D">
      <w:pPr>
        <w:autoSpaceDE w:val="0"/>
        <w:autoSpaceDN w:val="0"/>
        <w:adjustRightInd w:val="0"/>
        <w:spacing w:before="240" w:after="60" w:line="276" w:lineRule="auto"/>
        <w:rPr>
          <w:rStyle w:val="Heading1Char"/>
          <w:sz w:val="28"/>
          <w:szCs w:val="22"/>
        </w:rPr>
      </w:pPr>
      <w:r w:rsidRPr="002C2A38">
        <w:rPr>
          <w:rStyle w:val="Heading1Char"/>
          <w:sz w:val="28"/>
          <w:szCs w:val="22"/>
        </w:rPr>
        <w:t>DATE OF FIRST INCLUSION ON THE ARTG</w:t>
      </w:r>
    </w:p>
    <w:p w:rsidR="00E33E7B" w:rsidRPr="00281F0D" w:rsidRDefault="00A9128F" w:rsidP="00D25AEA">
      <w:pPr>
        <w:spacing w:line="276" w:lineRule="auto"/>
        <w:rPr>
          <w:rFonts w:ascii="Arial" w:hAnsi="Arial" w:cs="Arial"/>
          <w:sz w:val="22"/>
          <w:szCs w:val="22"/>
          <w:lang w:val="en-US"/>
        </w:rPr>
      </w:pPr>
      <w:r>
        <w:rPr>
          <w:rFonts w:ascii="Arial" w:hAnsi="Arial" w:cs="Arial"/>
          <w:sz w:val="22"/>
          <w:szCs w:val="22"/>
          <w:lang w:val="en-US"/>
        </w:rPr>
        <w:t>11 July 2013</w:t>
      </w:r>
    </w:p>
    <w:p w:rsidR="00732E64" w:rsidRPr="00281F0D" w:rsidRDefault="00732E64" w:rsidP="00D25AEA">
      <w:pPr>
        <w:spacing w:line="276" w:lineRule="auto"/>
        <w:rPr>
          <w:rFonts w:ascii="Arial" w:hAnsi="Arial" w:cs="Arial"/>
          <w:sz w:val="22"/>
          <w:szCs w:val="22"/>
          <w:lang w:val="en-US"/>
        </w:rPr>
      </w:pPr>
    </w:p>
    <w:p w:rsidR="00E132C7" w:rsidRPr="002C2A38" w:rsidRDefault="00E132C7" w:rsidP="00E132C7">
      <w:pPr>
        <w:autoSpaceDE w:val="0"/>
        <w:autoSpaceDN w:val="0"/>
        <w:adjustRightInd w:val="0"/>
        <w:spacing w:before="240" w:after="60" w:line="276" w:lineRule="auto"/>
        <w:rPr>
          <w:rStyle w:val="Heading1Char"/>
          <w:sz w:val="28"/>
          <w:szCs w:val="22"/>
        </w:rPr>
      </w:pPr>
      <w:r w:rsidRPr="002C2A38">
        <w:rPr>
          <w:rStyle w:val="Heading1Char"/>
          <w:sz w:val="28"/>
          <w:szCs w:val="22"/>
        </w:rPr>
        <w:t xml:space="preserve">DATE OF </w:t>
      </w:r>
      <w:r>
        <w:rPr>
          <w:rStyle w:val="Heading1Char"/>
          <w:sz w:val="28"/>
          <w:szCs w:val="22"/>
        </w:rPr>
        <w:t>MOST RECENT AMENDMENT</w:t>
      </w:r>
    </w:p>
    <w:p w:rsidR="00E132C7" w:rsidRPr="00281F0D" w:rsidRDefault="00FC1E9A" w:rsidP="00E132C7">
      <w:pPr>
        <w:spacing w:line="276" w:lineRule="auto"/>
        <w:rPr>
          <w:rFonts w:ascii="Arial" w:hAnsi="Arial" w:cs="Arial"/>
          <w:sz w:val="22"/>
          <w:szCs w:val="22"/>
          <w:lang w:val="en-US"/>
        </w:rPr>
      </w:pPr>
      <w:r>
        <w:rPr>
          <w:rFonts w:ascii="Arial" w:hAnsi="Arial" w:cs="Arial"/>
          <w:sz w:val="22"/>
          <w:szCs w:val="22"/>
          <w:lang w:val="en-US"/>
        </w:rPr>
        <w:t>21 August 2013</w:t>
      </w:r>
      <w:bookmarkStart w:id="39" w:name="_GoBack"/>
      <w:bookmarkEnd w:id="39"/>
    </w:p>
    <w:p w:rsidR="00207C36" w:rsidRPr="00281F0D" w:rsidRDefault="00207C36" w:rsidP="00D25AEA">
      <w:pPr>
        <w:pStyle w:val="Default"/>
        <w:spacing w:line="276" w:lineRule="auto"/>
        <w:rPr>
          <w:rFonts w:ascii="Arial" w:hAnsi="Arial" w:cs="Arial"/>
          <w:color w:val="auto"/>
          <w:sz w:val="22"/>
          <w:szCs w:val="22"/>
        </w:rPr>
      </w:pPr>
    </w:p>
    <w:p w:rsidR="00311E48" w:rsidRPr="009527B9" w:rsidRDefault="00207C36" w:rsidP="00D25AEA">
      <w:pPr>
        <w:spacing w:line="276" w:lineRule="auto"/>
        <w:rPr>
          <w:rFonts w:ascii="Arial" w:hAnsi="Arial" w:cs="Arial"/>
          <w:sz w:val="22"/>
          <w:szCs w:val="22"/>
        </w:rPr>
      </w:pPr>
      <w:r w:rsidRPr="00281F0D">
        <w:rPr>
          <w:rFonts w:ascii="Arial" w:hAnsi="Arial" w:cs="Arial"/>
          <w:sz w:val="22"/>
          <w:szCs w:val="22"/>
        </w:rPr>
        <w:t>Biogen Idec</w:t>
      </w:r>
      <w:r w:rsidRPr="00281F0D">
        <w:rPr>
          <w:rFonts w:ascii="Arial" w:hAnsi="Arial" w:cs="Arial"/>
          <w:sz w:val="22"/>
          <w:szCs w:val="22"/>
          <w:vertAlign w:val="superscript"/>
        </w:rPr>
        <w:t>®</w:t>
      </w:r>
      <w:r w:rsidRPr="00281F0D">
        <w:rPr>
          <w:rFonts w:ascii="Arial" w:hAnsi="Arial" w:cs="Arial"/>
          <w:sz w:val="22"/>
          <w:szCs w:val="22"/>
        </w:rPr>
        <w:t xml:space="preserve"> </w:t>
      </w:r>
      <w:r w:rsidR="00A44354">
        <w:rPr>
          <w:rFonts w:ascii="Arial" w:hAnsi="Arial" w:cs="Arial"/>
          <w:sz w:val="22"/>
          <w:szCs w:val="22"/>
        </w:rPr>
        <w:t>and Tecfidera</w:t>
      </w:r>
      <w:r w:rsidR="00A44354" w:rsidRPr="00A44354">
        <w:rPr>
          <w:rFonts w:ascii="Arial" w:hAnsi="Arial" w:cs="Arial"/>
          <w:sz w:val="22"/>
          <w:szCs w:val="22"/>
          <w:vertAlign w:val="superscript"/>
        </w:rPr>
        <w:t>®</w:t>
      </w:r>
      <w:r w:rsidR="00A44354">
        <w:rPr>
          <w:rFonts w:ascii="Arial" w:hAnsi="Arial" w:cs="Arial"/>
          <w:sz w:val="22"/>
          <w:szCs w:val="22"/>
        </w:rPr>
        <w:t xml:space="preserve"> are</w:t>
      </w:r>
      <w:r w:rsidRPr="00281F0D">
        <w:rPr>
          <w:rFonts w:ascii="Arial" w:hAnsi="Arial" w:cs="Arial"/>
          <w:sz w:val="22"/>
          <w:szCs w:val="22"/>
        </w:rPr>
        <w:t xml:space="preserve"> registered trademark</w:t>
      </w:r>
      <w:r w:rsidR="00A44354">
        <w:rPr>
          <w:rFonts w:ascii="Arial" w:hAnsi="Arial" w:cs="Arial"/>
          <w:sz w:val="22"/>
          <w:szCs w:val="22"/>
        </w:rPr>
        <w:t>s</w:t>
      </w:r>
      <w:r w:rsidRPr="00281F0D">
        <w:rPr>
          <w:rFonts w:ascii="Arial" w:hAnsi="Arial" w:cs="Arial"/>
          <w:sz w:val="22"/>
          <w:szCs w:val="22"/>
        </w:rPr>
        <w:t xml:space="preserve"> of </w:t>
      </w:r>
      <w:proofErr w:type="spellStart"/>
      <w:r w:rsidRPr="00281F0D">
        <w:rPr>
          <w:rFonts w:ascii="Arial" w:hAnsi="Arial" w:cs="Arial"/>
          <w:sz w:val="22"/>
          <w:szCs w:val="22"/>
        </w:rPr>
        <w:t>Biogen</w:t>
      </w:r>
      <w:proofErr w:type="spellEnd"/>
      <w:r w:rsidRPr="00281F0D">
        <w:rPr>
          <w:rFonts w:ascii="Arial" w:hAnsi="Arial" w:cs="Arial"/>
          <w:sz w:val="22"/>
          <w:szCs w:val="22"/>
        </w:rPr>
        <w:t xml:space="preserve"> Idec MA Inc.</w:t>
      </w:r>
    </w:p>
    <w:sectPr w:rsidR="00311E48" w:rsidRPr="009527B9" w:rsidSect="006C493D">
      <w:headerReference w:type="default" r:id="rId19"/>
      <w:footerReference w:type="default" r:id="rId20"/>
      <w:pgSz w:w="11907" w:h="16840" w:code="9"/>
      <w:pgMar w:top="1440" w:right="1151"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19" w:rsidRDefault="00A20219">
      <w:r>
        <w:separator/>
      </w:r>
    </w:p>
  </w:endnote>
  <w:endnote w:type="continuationSeparator" w:id="0">
    <w:p w:rsidR="00A20219" w:rsidRDefault="00A20219">
      <w:r>
        <w:continuationSeparator/>
      </w:r>
    </w:p>
  </w:endnote>
  <w:endnote w:type="continuationNotice" w:id="1">
    <w:p w:rsidR="00A20219" w:rsidRDefault="00A2021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3D6" w:rsidRPr="005664FB" w:rsidRDefault="001C03D6" w:rsidP="001E0DF4">
    <w:pPr>
      <w:pStyle w:val="Default"/>
      <w:rPr>
        <w:rFonts w:ascii="Arial" w:hAnsi="Arial" w:cs="Arial"/>
        <w:sz w:val="22"/>
        <w:szCs w:val="22"/>
      </w:rPr>
    </w:pPr>
    <w:r>
      <w:rPr>
        <w:rFonts w:ascii="Arial" w:hAnsi="Arial" w:cs="Arial"/>
        <w:sz w:val="20"/>
        <w:szCs w:val="20"/>
      </w:rPr>
      <w:t>TECFIDERA</w:t>
    </w:r>
    <w:r w:rsidRPr="00482C55">
      <w:rPr>
        <w:rFonts w:ascii="Arial" w:hAnsi="Arial" w:cs="Arial"/>
        <w:sz w:val="20"/>
        <w:szCs w:val="20"/>
      </w:rPr>
      <w:t xml:space="preserve"> PI (</w:t>
    </w:r>
    <w:r w:rsidRPr="00DE35AA">
      <w:rPr>
        <w:rFonts w:ascii="Arial" w:hAnsi="Arial" w:cs="Arial"/>
        <w:color w:val="auto"/>
        <w:sz w:val="20"/>
        <w:szCs w:val="20"/>
      </w:rPr>
      <w:t xml:space="preserve">version </w:t>
    </w:r>
    <w:r w:rsidR="00E60D63">
      <w:rPr>
        <w:rFonts w:ascii="Arial" w:hAnsi="Arial" w:cs="Arial"/>
        <w:color w:val="auto"/>
        <w:sz w:val="20"/>
        <w:szCs w:val="20"/>
      </w:rPr>
      <w:t>10813</w:t>
    </w:r>
    <w:r w:rsidRPr="00DE35AA">
      <w:rPr>
        <w:rFonts w:ascii="Arial" w:hAnsi="Arial" w:cs="Arial"/>
        <w:color w:val="auto"/>
        <w:sz w:val="20"/>
        <w:szCs w:val="20"/>
      </w:rPr>
      <w:t>)</w:t>
    </w:r>
    <w:r>
      <w:rPr>
        <w:rFonts w:ascii="Arial" w:hAnsi="Arial" w:cs="Arial"/>
        <w:sz w:val="20"/>
        <w:szCs w:val="20"/>
      </w:rPr>
      <w:t xml:space="preserve">                            </w:t>
    </w:r>
    <w:r w:rsidR="00F662B6">
      <w:rPr>
        <w:rFonts w:ascii="Arial" w:hAnsi="Arial" w:cs="Arial"/>
        <w:sz w:val="20"/>
        <w:szCs w:val="20"/>
      </w:rPr>
      <w:tab/>
    </w:r>
    <w:r w:rsidR="00F662B6">
      <w:rPr>
        <w:rFonts w:ascii="Arial" w:hAnsi="Arial" w:cs="Arial"/>
        <w:sz w:val="20"/>
        <w:szCs w:val="20"/>
      </w:rPr>
      <w:tab/>
    </w:r>
    <w:r w:rsidR="00F662B6">
      <w:rPr>
        <w:rFonts w:ascii="Arial" w:hAnsi="Arial" w:cs="Arial"/>
        <w:sz w:val="20"/>
        <w:szCs w:val="20"/>
      </w:rPr>
      <w:tab/>
    </w:r>
    <w:r>
      <w:rPr>
        <w:rFonts w:ascii="Arial" w:hAnsi="Arial" w:cs="Arial"/>
        <w:sz w:val="20"/>
        <w:szCs w:val="20"/>
      </w:rPr>
      <w:t xml:space="preserve"> </w:t>
    </w:r>
    <w:r w:rsidRPr="00E51E01">
      <w:rPr>
        <w:rFonts w:asciiTheme="minorHAnsi" w:hAnsiTheme="minorHAnsi" w:cstheme="minorHAnsi"/>
        <w:sz w:val="22"/>
        <w:szCs w:val="22"/>
      </w:rPr>
      <w:t xml:space="preserve">page: </w:t>
    </w:r>
    <w:r w:rsidR="00E570BF" w:rsidRPr="00E51E01">
      <w:rPr>
        <w:rStyle w:val="PageNumber"/>
        <w:rFonts w:asciiTheme="minorHAnsi" w:hAnsiTheme="minorHAnsi" w:cstheme="minorHAnsi"/>
        <w:sz w:val="22"/>
        <w:szCs w:val="22"/>
      </w:rPr>
      <w:fldChar w:fldCharType="begin"/>
    </w:r>
    <w:r w:rsidRPr="00E51E01">
      <w:rPr>
        <w:rStyle w:val="PageNumber"/>
        <w:rFonts w:asciiTheme="minorHAnsi" w:hAnsiTheme="minorHAnsi" w:cstheme="minorHAnsi"/>
        <w:sz w:val="22"/>
        <w:szCs w:val="22"/>
      </w:rPr>
      <w:instrText xml:space="preserve"> PAGE </w:instrText>
    </w:r>
    <w:r w:rsidR="00E570BF" w:rsidRPr="00E51E01">
      <w:rPr>
        <w:rStyle w:val="PageNumber"/>
        <w:rFonts w:asciiTheme="minorHAnsi" w:hAnsiTheme="minorHAnsi" w:cstheme="minorHAnsi"/>
        <w:sz w:val="22"/>
        <w:szCs w:val="22"/>
      </w:rPr>
      <w:fldChar w:fldCharType="separate"/>
    </w:r>
    <w:r w:rsidR="009527B9">
      <w:rPr>
        <w:rStyle w:val="PageNumber"/>
        <w:rFonts w:asciiTheme="minorHAnsi" w:hAnsiTheme="minorHAnsi" w:cstheme="minorHAnsi"/>
        <w:noProof/>
        <w:sz w:val="22"/>
        <w:szCs w:val="22"/>
      </w:rPr>
      <w:t>14</w:t>
    </w:r>
    <w:r w:rsidR="00E570BF" w:rsidRPr="00E51E01">
      <w:rPr>
        <w:rStyle w:val="PageNumber"/>
        <w:rFonts w:asciiTheme="minorHAnsi" w:hAnsiTheme="minorHAnsi" w:cstheme="minorHAnsi"/>
        <w:sz w:val="22"/>
        <w:szCs w:val="22"/>
      </w:rPr>
      <w:fldChar w:fldCharType="end"/>
    </w:r>
    <w:r w:rsidRPr="00E51E01">
      <w:rPr>
        <w:rStyle w:val="PageNumber"/>
        <w:rFonts w:asciiTheme="minorHAnsi" w:hAnsiTheme="minorHAnsi" w:cstheme="minorHAnsi"/>
        <w:sz w:val="22"/>
        <w:szCs w:val="22"/>
      </w:rPr>
      <w:t xml:space="preserve"> of </w:t>
    </w:r>
    <w:r w:rsidR="002A3043">
      <w:rPr>
        <w:rStyle w:val="PageNumber"/>
        <w:rFonts w:asciiTheme="minorHAnsi" w:hAnsiTheme="minorHAnsi" w:cstheme="minorHAnsi"/>
        <w:sz w:val="22"/>
        <w:szCs w:val="22"/>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19" w:rsidRDefault="00A20219">
      <w:r>
        <w:separator/>
      </w:r>
    </w:p>
  </w:footnote>
  <w:footnote w:type="continuationSeparator" w:id="0">
    <w:p w:rsidR="00A20219" w:rsidRDefault="00A20219">
      <w:r>
        <w:continuationSeparator/>
      </w:r>
    </w:p>
  </w:footnote>
  <w:footnote w:type="continuationNotice" w:id="1">
    <w:p w:rsidR="00A20219" w:rsidRDefault="00A202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shd w:val="clear" w:color="auto" w:fill="E4F2E0"/>
      <w:tblLook w:val="04A0"/>
    </w:tblPr>
    <w:tblGrid>
      <w:gridCol w:w="8720"/>
    </w:tblGrid>
    <w:tr w:rsidR="00552BA1" w:rsidTr="00B60632">
      <w:tc>
        <w:tcPr>
          <w:tcW w:w="8720" w:type="dxa"/>
          <w:shd w:val="clear" w:color="auto" w:fill="E4F2E0"/>
        </w:tcPr>
        <w:p w:rsidR="00552BA1" w:rsidRPr="00552BA1" w:rsidRDefault="00552BA1" w:rsidP="00B60632">
          <w:pPr>
            <w:pStyle w:val="Footer"/>
            <w:rPr>
              <w:rFonts w:asciiTheme="majorHAnsi" w:hAnsiTheme="majorHAnsi"/>
              <w:b/>
              <w:sz w:val="20"/>
              <w:szCs w:val="20"/>
            </w:rPr>
          </w:pPr>
          <w:r w:rsidRPr="00552BA1">
            <w:rPr>
              <w:rFonts w:asciiTheme="majorHAnsi" w:hAnsiTheme="majorHAnsi"/>
              <w:b/>
              <w:sz w:val="20"/>
              <w:szCs w:val="20"/>
            </w:rPr>
            <w:t xml:space="preserve">Attachment 1: Product information for </w:t>
          </w:r>
          <w:proofErr w:type="spellStart"/>
          <w:r w:rsidRPr="00552BA1">
            <w:rPr>
              <w:rFonts w:asciiTheme="majorHAnsi" w:hAnsiTheme="majorHAnsi"/>
              <w:b/>
              <w:sz w:val="20"/>
              <w:szCs w:val="20"/>
            </w:rPr>
            <w:t>AusPAR</w:t>
          </w:r>
          <w:proofErr w:type="spellEnd"/>
          <w:r w:rsidRPr="00552BA1">
            <w:rPr>
              <w:rFonts w:asciiTheme="majorHAnsi" w:hAnsiTheme="majorHAnsi"/>
              <w:b/>
              <w:sz w:val="20"/>
              <w:szCs w:val="20"/>
            </w:rPr>
            <w:t xml:space="preserve"> </w:t>
          </w:r>
          <w:proofErr w:type="spellStart"/>
          <w:r w:rsidRPr="00552BA1">
            <w:rPr>
              <w:rFonts w:asciiTheme="majorHAnsi" w:hAnsiTheme="majorHAnsi"/>
              <w:b/>
              <w:sz w:val="20"/>
              <w:szCs w:val="20"/>
            </w:rPr>
            <w:t>Tecfidera</w:t>
          </w:r>
          <w:proofErr w:type="spellEnd"/>
          <w:r w:rsidRPr="00552BA1">
            <w:rPr>
              <w:rFonts w:asciiTheme="majorHAnsi" w:hAnsiTheme="majorHAnsi"/>
              <w:b/>
              <w:sz w:val="20"/>
              <w:szCs w:val="20"/>
            </w:rPr>
            <w:t xml:space="preserve"> </w:t>
          </w:r>
          <w:proofErr w:type="spellStart"/>
          <w:r w:rsidRPr="00552BA1">
            <w:rPr>
              <w:rFonts w:asciiTheme="majorHAnsi" w:hAnsiTheme="majorHAnsi"/>
              <w:b/>
              <w:sz w:val="20"/>
              <w:szCs w:val="20"/>
            </w:rPr>
            <w:t>Dimethyl</w:t>
          </w:r>
          <w:proofErr w:type="spellEnd"/>
          <w:r w:rsidRPr="00552BA1">
            <w:rPr>
              <w:rFonts w:asciiTheme="majorHAnsi" w:hAnsiTheme="majorHAnsi"/>
              <w:b/>
              <w:sz w:val="20"/>
              <w:szCs w:val="20"/>
            </w:rPr>
            <w:t xml:space="preserve"> </w:t>
          </w:r>
          <w:proofErr w:type="spellStart"/>
          <w:r w:rsidRPr="00552BA1">
            <w:rPr>
              <w:rFonts w:asciiTheme="majorHAnsi" w:hAnsiTheme="majorHAnsi"/>
              <w:b/>
              <w:sz w:val="20"/>
              <w:szCs w:val="20"/>
            </w:rPr>
            <w:t>Fumarate</w:t>
          </w:r>
          <w:proofErr w:type="spellEnd"/>
          <w:r w:rsidRPr="00552BA1">
            <w:rPr>
              <w:rFonts w:asciiTheme="majorHAnsi" w:hAnsiTheme="majorHAnsi"/>
              <w:b/>
              <w:sz w:val="20"/>
              <w:szCs w:val="20"/>
            </w:rPr>
            <w:t xml:space="preserve"> </w:t>
          </w:r>
          <w:proofErr w:type="spellStart"/>
          <w:r w:rsidRPr="00552BA1">
            <w:rPr>
              <w:rFonts w:asciiTheme="majorHAnsi" w:hAnsiTheme="majorHAnsi"/>
              <w:b/>
              <w:sz w:val="20"/>
              <w:szCs w:val="20"/>
            </w:rPr>
            <w:t>Biogen</w:t>
          </w:r>
          <w:proofErr w:type="spellEnd"/>
          <w:r w:rsidRPr="00552BA1">
            <w:rPr>
              <w:rFonts w:asciiTheme="majorHAnsi" w:hAnsiTheme="majorHAnsi"/>
              <w:b/>
              <w:sz w:val="20"/>
              <w:szCs w:val="20"/>
            </w:rPr>
            <w:t xml:space="preserve"> Idec Australia Pty LtdPM-2012-00808-3-1 Final 22 October 2013. This Product Information was approved at the time this </w:t>
          </w:r>
          <w:proofErr w:type="spellStart"/>
          <w:r w:rsidRPr="00552BA1">
            <w:rPr>
              <w:rFonts w:asciiTheme="majorHAnsi" w:hAnsiTheme="majorHAnsi"/>
              <w:b/>
              <w:sz w:val="20"/>
              <w:szCs w:val="20"/>
            </w:rPr>
            <w:t>AusPAR</w:t>
          </w:r>
          <w:proofErr w:type="spellEnd"/>
          <w:r w:rsidRPr="00552BA1">
            <w:rPr>
              <w:rFonts w:asciiTheme="majorHAnsi" w:hAnsiTheme="majorHAnsi"/>
              <w:b/>
              <w:sz w:val="20"/>
              <w:szCs w:val="20"/>
            </w:rPr>
            <w:t xml:space="preserve"> was published.</w:t>
          </w:r>
        </w:p>
      </w:tc>
    </w:tr>
  </w:tbl>
  <w:p w:rsidR="002A3043" w:rsidRDefault="002A3043" w:rsidP="00552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21E86CC0"/>
    <w:multiLevelType w:val="multilevel"/>
    <w:tmpl w:val="A490C5DA"/>
    <w:lvl w:ilvl="0">
      <w:start w:val="3"/>
      <w:numFmt w:val="decimal"/>
      <w:lvlText w:val="%1"/>
      <w:lvlJc w:val="left"/>
      <w:pPr>
        <w:tabs>
          <w:tab w:val="num" w:pos="720"/>
        </w:tabs>
        <w:ind w:left="720" w:hanging="720"/>
      </w:pPr>
      <w:rPr>
        <w:rFonts w:hint="default"/>
        <w:color w:val="000000"/>
      </w:rPr>
    </w:lvl>
    <w:lvl w:ilvl="1">
      <w:start w:val="6"/>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
    <w:nsid w:val="33481533"/>
    <w:multiLevelType w:val="hybridMultilevel"/>
    <w:tmpl w:val="E2BCD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167F7C"/>
    <w:multiLevelType w:val="multilevel"/>
    <w:tmpl w:val="308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F15C96"/>
    <w:multiLevelType w:val="multilevel"/>
    <w:tmpl w:val="78D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0580FDB"/>
    <w:multiLevelType w:val="hybridMultilevel"/>
    <w:tmpl w:val="F088360A"/>
    <w:lvl w:ilvl="0" w:tplc="A1E6754C">
      <w:start w:val="1"/>
      <w:numFmt w:val="bullet"/>
      <w:lvlText w:val="•"/>
      <w:lvlJc w:val="left"/>
      <w:pPr>
        <w:tabs>
          <w:tab w:val="num" w:pos="720"/>
        </w:tabs>
        <w:ind w:left="720" w:hanging="360"/>
      </w:pPr>
      <w:rPr>
        <w:rFonts w:ascii="Times New Roman" w:hAnsi="Times New Roman" w:hint="default"/>
      </w:rPr>
    </w:lvl>
    <w:lvl w:ilvl="1" w:tplc="8252F340">
      <w:start w:val="1"/>
      <w:numFmt w:val="bullet"/>
      <w:lvlText w:val="•"/>
      <w:lvlJc w:val="left"/>
      <w:pPr>
        <w:tabs>
          <w:tab w:val="num" w:pos="1440"/>
        </w:tabs>
        <w:ind w:left="1440" w:hanging="360"/>
      </w:pPr>
      <w:rPr>
        <w:rFonts w:ascii="Times New Roman" w:hAnsi="Times New Roman" w:hint="default"/>
      </w:rPr>
    </w:lvl>
    <w:lvl w:ilvl="2" w:tplc="A7D65F32" w:tentative="1">
      <w:start w:val="1"/>
      <w:numFmt w:val="bullet"/>
      <w:lvlText w:val="•"/>
      <w:lvlJc w:val="left"/>
      <w:pPr>
        <w:tabs>
          <w:tab w:val="num" w:pos="2160"/>
        </w:tabs>
        <w:ind w:left="2160" w:hanging="360"/>
      </w:pPr>
      <w:rPr>
        <w:rFonts w:ascii="Times New Roman" w:hAnsi="Times New Roman" w:hint="default"/>
      </w:rPr>
    </w:lvl>
    <w:lvl w:ilvl="3" w:tplc="9DC2C2F8" w:tentative="1">
      <w:start w:val="1"/>
      <w:numFmt w:val="bullet"/>
      <w:lvlText w:val="•"/>
      <w:lvlJc w:val="left"/>
      <w:pPr>
        <w:tabs>
          <w:tab w:val="num" w:pos="2880"/>
        </w:tabs>
        <w:ind w:left="2880" w:hanging="360"/>
      </w:pPr>
      <w:rPr>
        <w:rFonts w:ascii="Times New Roman" w:hAnsi="Times New Roman" w:hint="default"/>
      </w:rPr>
    </w:lvl>
    <w:lvl w:ilvl="4" w:tplc="421A5CD8" w:tentative="1">
      <w:start w:val="1"/>
      <w:numFmt w:val="bullet"/>
      <w:lvlText w:val="•"/>
      <w:lvlJc w:val="left"/>
      <w:pPr>
        <w:tabs>
          <w:tab w:val="num" w:pos="3600"/>
        </w:tabs>
        <w:ind w:left="3600" w:hanging="360"/>
      </w:pPr>
      <w:rPr>
        <w:rFonts w:ascii="Times New Roman" w:hAnsi="Times New Roman" w:hint="default"/>
      </w:rPr>
    </w:lvl>
    <w:lvl w:ilvl="5" w:tplc="32263D32" w:tentative="1">
      <w:start w:val="1"/>
      <w:numFmt w:val="bullet"/>
      <w:lvlText w:val="•"/>
      <w:lvlJc w:val="left"/>
      <w:pPr>
        <w:tabs>
          <w:tab w:val="num" w:pos="4320"/>
        </w:tabs>
        <w:ind w:left="4320" w:hanging="360"/>
      </w:pPr>
      <w:rPr>
        <w:rFonts w:ascii="Times New Roman" w:hAnsi="Times New Roman" w:hint="default"/>
      </w:rPr>
    </w:lvl>
    <w:lvl w:ilvl="6" w:tplc="0B2007B8" w:tentative="1">
      <w:start w:val="1"/>
      <w:numFmt w:val="bullet"/>
      <w:lvlText w:val="•"/>
      <w:lvlJc w:val="left"/>
      <w:pPr>
        <w:tabs>
          <w:tab w:val="num" w:pos="5040"/>
        </w:tabs>
        <w:ind w:left="5040" w:hanging="360"/>
      </w:pPr>
      <w:rPr>
        <w:rFonts w:ascii="Times New Roman" w:hAnsi="Times New Roman" w:hint="default"/>
      </w:rPr>
    </w:lvl>
    <w:lvl w:ilvl="7" w:tplc="8C90D266" w:tentative="1">
      <w:start w:val="1"/>
      <w:numFmt w:val="bullet"/>
      <w:lvlText w:val="•"/>
      <w:lvlJc w:val="left"/>
      <w:pPr>
        <w:tabs>
          <w:tab w:val="num" w:pos="5760"/>
        </w:tabs>
        <w:ind w:left="5760" w:hanging="360"/>
      </w:pPr>
      <w:rPr>
        <w:rFonts w:ascii="Times New Roman" w:hAnsi="Times New Roman" w:hint="default"/>
      </w:rPr>
    </w:lvl>
    <w:lvl w:ilvl="8" w:tplc="12D4A01C"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233B85"/>
    <w:multiLevelType w:val="multilevel"/>
    <w:tmpl w:val="D09211B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6D035F78"/>
    <w:multiLevelType w:val="hybridMultilevel"/>
    <w:tmpl w:val="4F4A2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762D33"/>
    <w:multiLevelType w:val="hybridMultilevel"/>
    <w:tmpl w:val="07465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2"/>
  </w:num>
  <w:num w:numId="6">
    <w:abstractNumId w:val="4"/>
  </w:num>
  <w:num w:numId="7">
    <w:abstractNumId w:val="5"/>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hideSpellingErrors/>
  <w:hideGrammaticalErrors/>
  <w:proofState w:spelling="clean"/>
  <w:stylePaneFormatFilter w:val="3F01"/>
  <w:doNotTrackMoves/>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3E7B"/>
    <w:rsid w:val="0000414E"/>
    <w:rsid w:val="00005267"/>
    <w:rsid w:val="00005678"/>
    <w:rsid w:val="000166ED"/>
    <w:rsid w:val="000209BF"/>
    <w:rsid w:val="00021002"/>
    <w:rsid w:val="00023793"/>
    <w:rsid w:val="000248BC"/>
    <w:rsid w:val="00037173"/>
    <w:rsid w:val="00043D8D"/>
    <w:rsid w:val="00047578"/>
    <w:rsid w:val="000479A8"/>
    <w:rsid w:val="00052496"/>
    <w:rsid w:val="000524FE"/>
    <w:rsid w:val="00052B29"/>
    <w:rsid w:val="000579E1"/>
    <w:rsid w:val="00063AAE"/>
    <w:rsid w:val="000658D8"/>
    <w:rsid w:val="00067E1E"/>
    <w:rsid w:val="00070F7B"/>
    <w:rsid w:val="0007103B"/>
    <w:rsid w:val="0007369D"/>
    <w:rsid w:val="000766FE"/>
    <w:rsid w:val="00083276"/>
    <w:rsid w:val="00083333"/>
    <w:rsid w:val="000872FE"/>
    <w:rsid w:val="00087960"/>
    <w:rsid w:val="00090AF7"/>
    <w:rsid w:val="000916A5"/>
    <w:rsid w:val="000954E7"/>
    <w:rsid w:val="00097433"/>
    <w:rsid w:val="000A0F9E"/>
    <w:rsid w:val="000A2EA8"/>
    <w:rsid w:val="000A58D1"/>
    <w:rsid w:val="000A6D37"/>
    <w:rsid w:val="000A7E3D"/>
    <w:rsid w:val="000B1244"/>
    <w:rsid w:val="000B5D4A"/>
    <w:rsid w:val="000C45C1"/>
    <w:rsid w:val="000C55E4"/>
    <w:rsid w:val="000C6B28"/>
    <w:rsid w:val="000C6C17"/>
    <w:rsid w:val="000C7462"/>
    <w:rsid w:val="000D19FF"/>
    <w:rsid w:val="000E1BF1"/>
    <w:rsid w:val="000E2DAA"/>
    <w:rsid w:val="000F02D3"/>
    <w:rsid w:val="000F0688"/>
    <w:rsid w:val="000F2909"/>
    <w:rsid w:val="000F3D76"/>
    <w:rsid w:val="000F4FA3"/>
    <w:rsid w:val="000F5F12"/>
    <w:rsid w:val="001009C1"/>
    <w:rsid w:val="0010181C"/>
    <w:rsid w:val="00103F41"/>
    <w:rsid w:val="00107055"/>
    <w:rsid w:val="001167A2"/>
    <w:rsid w:val="00124809"/>
    <w:rsid w:val="001258EB"/>
    <w:rsid w:val="0013200E"/>
    <w:rsid w:val="001320B3"/>
    <w:rsid w:val="0013535E"/>
    <w:rsid w:val="001414B7"/>
    <w:rsid w:val="00142767"/>
    <w:rsid w:val="00144CC3"/>
    <w:rsid w:val="001550F4"/>
    <w:rsid w:val="00155771"/>
    <w:rsid w:val="00164380"/>
    <w:rsid w:val="00166ADC"/>
    <w:rsid w:val="001673C1"/>
    <w:rsid w:val="001707DE"/>
    <w:rsid w:val="001761A4"/>
    <w:rsid w:val="001761D8"/>
    <w:rsid w:val="0017769D"/>
    <w:rsid w:val="0018151C"/>
    <w:rsid w:val="00185FF9"/>
    <w:rsid w:val="0018699B"/>
    <w:rsid w:val="001933B8"/>
    <w:rsid w:val="0019366F"/>
    <w:rsid w:val="0019438F"/>
    <w:rsid w:val="00196CE3"/>
    <w:rsid w:val="001A04DE"/>
    <w:rsid w:val="001A08A8"/>
    <w:rsid w:val="001A28CC"/>
    <w:rsid w:val="001A51EC"/>
    <w:rsid w:val="001A5F12"/>
    <w:rsid w:val="001A67ED"/>
    <w:rsid w:val="001A7B67"/>
    <w:rsid w:val="001B084B"/>
    <w:rsid w:val="001B77D0"/>
    <w:rsid w:val="001B78B0"/>
    <w:rsid w:val="001C03D6"/>
    <w:rsid w:val="001C4BDE"/>
    <w:rsid w:val="001D2142"/>
    <w:rsid w:val="001D3C35"/>
    <w:rsid w:val="001D592C"/>
    <w:rsid w:val="001D5BC6"/>
    <w:rsid w:val="001D6064"/>
    <w:rsid w:val="001D7E99"/>
    <w:rsid w:val="001E0DF4"/>
    <w:rsid w:val="001E10EE"/>
    <w:rsid w:val="001E7284"/>
    <w:rsid w:val="001F0197"/>
    <w:rsid w:val="001F1086"/>
    <w:rsid w:val="00200C54"/>
    <w:rsid w:val="00202D00"/>
    <w:rsid w:val="00204432"/>
    <w:rsid w:val="00204EBA"/>
    <w:rsid w:val="00205DB3"/>
    <w:rsid w:val="00207C36"/>
    <w:rsid w:val="00214A26"/>
    <w:rsid w:val="00214F48"/>
    <w:rsid w:val="00216B25"/>
    <w:rsid w:val="0021703D"/>
    <w:rsid w:val="00220D5F"/>
    <w:rsid w:val="002333C8"/>
    <w:rsid w:val="00233B26"/>
    <w:rsid w:val="00237A5B"/>
    <w:rsid w:val="00240503"/>
    <w:rsid w:val="00245563"/>
    <w:rsid w:val="002464FD"/>
    <w:rsid w:val="00250F0B"/>
    <w:rsid w:val="00251B98"/>
    <w:rsid w:val="0025208D"/>
    <w:rsid w:val="002561ED"/>
    <w:rsid w:val="00256207"/>
    <w:rsid w:val="0026167E"/>
    <w:rsid w:val="00264F83"/>
    <w:rsid w:val="00270A1C"/>
    <w:rsid w:val="0027188B"/>
    <w:rsid w:val="00277106"/>
    <w:rsid w:val="00281F0D"/>
    <w:rsid w:val="0028231F"/>
    <w:rsid w:val="002823C0"/>
    <w:rsid w:val="00286359"/>
    <w:rsid w:val="00290B01"/>
    <w:rsid w:val="002929E6"/>
    <w:rsid w:val="002958F7"/>
    <w:rsid w:val="002A03F7"/>
    <w:rsid w:val="002A222B"/>
    <w:rsid w:val="002A3043"/>
    <w:rsid w:val="002A3672"/>
    <w:rsid w:val="002A4796"/>
    <w:rsid w:val="002B191B"/>
    <w:rsid w:val="002B1C91"/>
    <w:rsid w:val="002B2B7F"/>
    <w:rsid w:val="002B3799"/>
    <w:rsid w:val="002B51DC"/>
    <w:rsid w:val="002B5256"/>
    <w:rsid w:val="002B5EB2"/>
    <w:rsid w:val="002B664D"/>
    <w:rsid w:val="002C2A38"/>
    <w:rsid w:val="002C2F21"/>
    <w:rsid w:val="002C4BD3"/>
    <w:rsid w:val="002C517D"/>
    <w:rsid w:val="002C641D"/>
    <w:rsid w:val="002D012F"/>
    <w:rsid w:val="002D41C6"/>
    <w:rsid w:val="002D556F"/>
    <w:rsid w:val="002D580E"/>
    <w:rsid w:val="002D5B32"/>
    <w:rsid w:val="002E1906"/>
    <w:rsid w:val="002E3673"/>
    <w:rsid w:val="002E5CD9"/>
    <w:rsid w:val="002E5F87"/>
    <w:rsid w:val="002E61C4"/>
    <w:rsid w:val="002E61EE"/>
    <w:rsid w:val="002F2100"/>
    <w:rsid w:val="002F366F"/>
    <w:rsid w:val="00305D3C"/>
    <w:rsid w:val="00307321"/>
    <w:rsid w:val="00311517"/>
    <w:rsid w:val="003116B7"/>
    <w:rsid w:val="00311E48"/>
    <w:rsid w:val="003124B9"/>
    <w:rsid w:val="00312677"/>
    <w:rsid w:val="003135F7"/>
    <w:rsid w:val="00313D0A"/>
    <w:rsid w:val="00315A61"/>
    <w:rsid w:val="00316CC3"/>
    <w:rsid w:val="003172C7"/>
    <w:rsid w:val="003217A6"/>
    <w:rsid w:val="00322C01"/>
    <w:rsid w:val="00324C76"/>
    <w:rsid w:val="003270D5"/>
    <w:rsid w:val="00331C35"/>
    <w:rsid w:val="00333FFB"/>
    <w:rsid w:val="00334150"/>
    <w:rsid w:val="00335324"/>
    <w:rsid w:val="00336FFD"/>
    <w:rsid w:val="00337AC3"/>
    <w:rsid w:val="00340F7F"/>
    <w:rsid w:val="003446DD"/>
    <w:rsid w:val="00344E3F"/>
    <w:rsid w:val="0034652C"/>
    <w:rsid w:val="00350037"/>
    <w:rsid w:val="003508EA"/>
    <w:rsid w:val="00357F8E"/>
    <w:rsid w:val="00364A2E"/>
    <w:rsid w:val="00366E50"/>
    <w:rsid w:val="00370AA3"/>
    <w:rsid w:val="00374F23"/>
    <w:rsid w:val="00375F07"/>
    <w:rsid w:val="00376621"/>
    <w:rsid w:val="003818B9"/>
    <w:rsid w:val="0038403C"/>
    <w:rsid w:val="00385E63"/>
    <w:rsid w:val="003955A1"/>
    <w:rsid w:val="003979D6"/>
    <w:rsid w:val="003A093C"/>
    <w:rsid w:val="003A3A72"/>
    <w:rsid w:val="003A6485"/>
    <w:rsid w:val="003B10D9"/>
    <w:rsid w:val="003B17B9"/>
    <w:rsid w:val="003B2199"/>
    <w:rsid w:val="003B4822"/>
    <w:rsid w:val="003C22FC"/>
    <w:rsid w:val="003C41FD"/>
    <w:rsid w:val="003C692F"/>
    <w:rsid w:val="003D19E3"/>
    <w:rsid w:val="003D7B0E"/>
    <w:rsid w:val="003D7D40"/>
    <w:rsid w:val="003E3B46"/>
    <w:rsid w:val="003F532F"/>
    <w:rsid w:val="004061EE"/>
    <w:rsid w:val="0040654A"/>
    <w:rsid w:val="00407C1A"/>
    <w:rsid w:val="004106BD"/>
    <w:rsid w:val="004153D2"/>
    <w:rsid w:val="004207C1"/>
    <w:rsid w:val="004223D2"/>
    <w:rsid w:val="0042242B"/>
    <w:rsid w:val="004239A0"/>
    <w:rsid w:val="00424D3D"/>
    <w:rsid w:val="004265BF"/>
    <w:rsid w:val="00426C74"/>
    <w:rsid w:val="0043333E"/>
    <w:rsid w:val="004354BD"/>
    <w:rsid w:val="00442CDC"/>
    <w:rsid w:val="00445787"/>
    <w:rsid w:val="004509E5"/>
    <w:rsid w:val="0045200B"/>
    <w:rsid w:val="00454FA4"/>
    <w:rsid w:val="00457C04"/>
    <w:rsid w:val="00461CAA"/>
    <w:rsid w:val="00465CFF"/>
    <w:rsid w:val="00466E68"/>
    <w:rsid w:val="00467EE6"/>
    <w:rsid w:val="00470B8C"/>
    <w:rsid w:val="0047170C"/>
    <w:rsid w:val="0047227D"/>
    <w:rsid w:val="00474F08"/>
    <w:rsid w:val="00477CB7"/>
    <w:rsid w:val="0048150F"/>
    <w:rsid w:val="004824F8"/>
    <w:rsid w:val="00482C55"/>
    <w:rsid w:val="0048328A"/>
    <w:rsid w:val="004848B4"/>
    <w:rsid w:val="004875F1"/>
    <w:rsid w:val="00490444"/>
    <w:rsid w:val="00493B8A"/>
    <w:rsid w:val="00494A85"/>
    <w:rsid w:val="00494BC0"/>
    <w:rsid w:val="00495CFF"/>
    <w:rsid w:val="00496ED3"/>
    <w:rsid w:val="004978D8"/>
    <w:rsid w:val="004A0301"/>
    <w:rsid w:val="004A1017"/>
    <w:rsid w:val="004A73F2"/>
    <w:rsid w:val="004A7BCC"/>
    <w:rsid w:val="004B0C5D"/>
    <w:rsid w:val="004B3B10"/>
    <w:rsid w:val="004B61D4"/>
    <w:rsid w:val="004B6A9D"/>
    <w:rsid w:val="004C24D4"/>
    <w:rsid w:val="004C4D85"/>
    <w:rsid w:val="004C62A9"/>
    <w:rsid w:val="004C66DE"/>
    <w:rsid w:val="004D2332"/>
    <w:rsid w:val="004D421A"/>
    <w:rsid w:val="004E0AFD"/>
    <w:rsid w:val="004E6070"/>
    <w:rsid w:val="004E6DD8"/>
    <w:rsid w:val="004F3AE3"/>
    <w:rsid w:val="00502FA7"/>
    <w:rsid w:val="00504E02"/>
    <w:rsid w:val="005063E0"/>
    <w:rsid w:val="005066F2"/>
    <w:rsid w:val="0051128D"/>
    <w:rsid w:val="00512040"/>
    <w:rsid w:val="00512B95"/>
    <w:rsid w:val="005130DA"/>
    <w:rsid w:val="005134D3"/>
    <w:rsid w:val="00513B94"/>
    <w:rsid w:val="00517875"/>
    <w:rsid w:val="00527098"/>
    <w:rsid w:val="00527848"/>
    <w:rsid w:val="005325AB"/>
    <w:rsid w:val="00533D0B"/>
    <w:rsid w:val="00536FE1"/>
    <w:rsid w:val="0054305E"/>
    <w:rsid w:val="00544E43"/>
    <w:rsid w:val="00545737"/>
    <w:rsid w:val="00545FF3"/>
    <w:rsid w:val="00546571"/>
    <w:rsid w:val="0055107C"/>
    <w:rsid w:val="00551D0E"/>
    <w:rsid w:val="005525F2"/>
    <w:rsid w:val="00552BA1"/>
    <w:rsid w:val="00552BC6"/>
    <w:rsid w:val="00553665"/>
    <w:rsid w:val="00555DC6"/>
    <w:rsid w:val="005565E3"/>
    <w:rsid w:val="0055695B"/>
    <w:rsid w:val="0056118F"/>
    <w:rsid w:val="00564D8A"/>
    <w:rsid w:val="00565248"/>
    <w:rsid w:val="0056553A"/>
    <w:rsid w:val="005664FB"/>
    <w:rsid w:val="00566C6E"/>
    <w:rsid w:val="00572885"/>
    <w:rsid w:val="005754F4"/>
    <w:rsid w:val="0057574C"/>
    <w:rsid w:val="00583A57"/>
    <w:rsid w:val="00584BB4"/>
    <w:rsid w:val="00586274"/>
    <w:rsid w:val="00586AAF"/>
    <w:rsid w:val="00590747"/>
    <w:rsid w:val="00592354"/>
    <w:rsid w:val="00592761"/>
    <w:rsid w:val="0059418F"/>
    <w:rsid w:val="00594C55"/>
    <w:rsid w:val="005956CF"/>
    <w:rsid w:val="005A2093"/>
    <w:rsid w:val="005A275E"/>
    <w:rsid w:val="005A6484"/>
    <w:rsid w:val="005B0544"/>
    <w:rsid w:val="005B40EE"/>
    <w:rsid w:val="005B4B55"/>
    <w:rsid w:val="005C2ACB"/>
    <w:rsid w:val="005D5172"/>
    <w:rsid w:val="005E26E8"/>
    <w:rsid w:val="005E534F"/>
    <w:rsid w:val="005E6848"/>
    <w:rsid w:val="005F4B93"/>
    <w:rsid w:val="005F61F1"/>
    <w:rsid w:val="00600419"/>
    <w:rsid w:val="00607F4E"/>
    <w:rsid w:val="00611B0A"/>
    <w:rsid w:val="00611DE2"/>
    <w:rsid w:val="00614244"/>
    <w:rsid w:val="00615E83"/>
    <w:rsid w:val="00622F9E"/>
    <w:rsid w:val="00623D5C"/>
    <w:rsid w:val="00625AD2"/>
    <w:rsid w:val="00635203"/>
    <w:rsid w:val="00636337"/>
    <w:rsid w:val="006405B1"/>
    <w:rsid w:val="006434BB"/>
    <w:rsid w:val="00643A7C"/>
    <w:rsid w:val="00647A47"/>
    <w:rsid w:val="00650776"/>
    <w:rsid w:val="00650CFB"/>
    <w:rsid w:val="00651EC8"/>
    <w:rsid w:val="00654223"/>
    <w:rsid w:val="00654353"/>
    <w:rsid w:val="006549E1"/>
    <w:rsid w:val="00657D5B"/>
    <w:rsid w:val="00660C35"/>
    <w:rsid w:val="00663274"/>
    <w:rsid w:val="006647A8"/>
    <w:rsid w:val="0067786A"/>
    <w:rsid w:val="00677E27"/>
    <w:rsid w:val="00690C10"/>
    <w:rsid w:val="00691218"/>
    <w:rsid w:val="0069289A"/>
    <w:rsid w:val="00694716"/>
    <w:rsid w:val="006A5B8B"/>
    <w:rsid w:val="006A6395"/>
    <w:rsid w:val="006A6695"/>
    <w:rsid w:val="006A6BAF"/>
    <w:rsid w:val="006A6ECF"/>
    <w:rsid w:val="006B6849"/>
    <w:rsid w:val="006B798B"/>
    <w:rsid w:val="006C3188"/>
    <w:rsid w:val="006C493D"/>
    <w:rsid w:val="006D5401"/>
    <w:rsid w:val="006D5461"/>
    <w:rsid w:val="006D54AB"/>
    <w:rsid w:val="006E289F"/>
    <w:rsid w:val="006E49DA"/>
    <w:rsid w:val="006E549D"/>
    <w:rsid w:val="006E7D7B"/>
    <w:rsid w:val="006F12C7"/>
    <w:rsid w:val="006F4B6B"/>
    <w:rsid w:val="006F526B"/>
    <w:rsid w:val="006F7CF2"/>
    <w:rsid w:val="006F7E43"/>
    <w:rsid w:val="00702059"/>
    <w:rsid w:val="00702C4B"/>
    <w:rsid w:val="007034E2"/>
    <w:rsid w:val="007079C9"/>
    <w:rsid w:val="00711008"/>
    <w:rsid w:val="00711645"/>
    <w:rsid w:val="007118CC"/>
    <w:rsid w:val="00714D01"/>
    <w:rsid w:val="007159A8"/>
    <w:rsid w:val="00716689"/>
    <w:rsid w:val="00720D40"/>
    <w:rsid w:val="00722775"/>
    <w:rsid w:val="00723AF0"/>
    <w:rsid w:val="00723DB0"/>
    <w:rsid w:val="00724C7A"/>
    <w:rsid w:val="00725460"/>
    <w:rsid w:val="00730E46"/>
    <w:rsid w:val="0073169F"/>
    <w:rsid w:val="00732E64"/>
    <w:rsid w:val="007358DA"/>
    <w:rsid w:val="00737D7D"/>
    <w:rsid w:val="0074139D"/>
    <w:rsid w:val="00741573"/>
    <w:rsid w:val="007426E6"/>
    <w:rsid w:val="00742F75"/>
    <w:rsid w:val="00744D6C"/>
    <w:rsid w:val="0074581A"/>
    <w:rsid w:val="00747121"/>
    <w:rsid w:val="00751EE6"/>
    <w:rsid w:val="00753A6A"/>
    <w:rsid w:val="00756B5B"/>
    <w:rsid w:val="0076239F"/>
    <w:rsid w:val="00763A6B"/>
    <w:rsid w:val="00764727"/>
    <w:rsid w:val="00765F92"/>
    <w:rsid w:val="00767446"/>
    <w:rsid w:val="00767936"/>
    <w:rsid w:val="00772CA4"/>
    <w:rsid w:val="00780548"/>
    <w:rsid w:val="00785A4B"/>
    <w:rsid w:val="00790978"/>
    <w:rsid w:val="00795196"/>
    <w:rsid w:val="0079765B"/>
    <w:rsid w:val="007A18B9"/>
    <w:rsid w:val="007A19ED"/>
    <w:rsid w:val="007A29F3"/>
    <w:rsid w:val="007A3D7A"/>
    <w:rsid w:val="007A3DC9"/>
    <w:rsid w:val="007A6CAE"/>
    <w:rsid w:val="007B175D"/>
    <w:rsid w:val="007B7547"/>
    <w:rsid w:val="007C1279"/>
    <w:rsid w:val="007C21D4"/>
    <w:rsid w:val="007C3A3B"/>
    <w:rsid w:val="007D0EA9"/>
    <w:rsid w:val="007D1A92"/>
    <w:rsid w:val="007D1C3B"/>
    <w:rsid w:val="007D2DC0"/>
    <w:rsid w:val="007D6D57"/>
    <w:rsid w:val="007D7F61"/>
    <w:rsid w:val="007E1CD3"/>
    <w:rsid w:val="007E43BE"/>
    <w:rsid w:val="007E5DAA"/>
    <w:rsid w:val="007F021E"/>
    <w:rsid w:val="007F114B"/>
    <w:rsid w:val="007F4FB1"/>
    <w:rsid w:val="007F55D1"/>
    <w:rsid w:val="007F720B"/>
    <w:rsid w:val="008042E1"/>
    <w:rsid w:val="0080447B"/>
    <w:rsid w:val="00805265"/>
    <w:rsid w:val="008061A6"/>
    <w:rsid w:val="00810463"/>
    <w:rsid w:val="00813674"/>
    <w:rsid w:val="0081582F"/>
    <w:rsid w:val="00817E12"/>
    <w:rsid w:val="0082114F"/>
    <w:rsid w:val="0082156C"/>
    <w:rsid w:val="008229C9"/>
    <w:rsid w:val="00823079"/>
    <w:rsid w:val="008234FE"/>
    <w:rsid w:val="00825FB1"/>
    <w:rsid w:val="008275E2"/>
    <w:rsid w:val="00830EDF"/>
    <w:rsid w:val="00833E66"/>
    <w:rsid w:val="00843E8C"/>
    <w:rsid w:val="0084702B"/>
    <w:rsid w:val="00850148"/>
    <w:rsid w:val="008531CE"/>
    <w:rsid w:val="00853BEF"/>
    <w:rsid w:val="008655BC"/>
    <w:rsid w:val="0086691E"/>
    <w:rsid w:val="00867AFF"/>
    <w:rsid w:val="00890432"/>
    <w:rsid w:val="00890985"/>
    <w:rsid w:val="008926EF"/>
    <w:rsid w:val="00894112"/>
    <w:rsid w:val="00895E5E"/>
    <w:rsid w:val="0089762A"/>
    <w:rsid w:val="008A0196"/>
    <w:rsid w:val="008A2207"/>
    <w:rsid w:val="008A2889"/>
    <w:rsid w:val="008A4C94"/>
    <w:rsid w:val="008A6EBC"/>
    <w:rsid w:val="008B02FB"/>
    <w:rsid w:val="008B0FF6"/>
    <w:rsid w:val="008B2760"/>
    <w:rsid w:val="008B3533"/>
    <w:rsid w:val="008B5247"/>
    <w:rsid w:val="008C32BB"/>
    <w:rsid w:val="008C54A0"/>
    <w:rsid w:val="008D09FA"/>
    <w:rsid w:val="008D180C"/>
    <w:rsid w:val="008D25E2"/>
    <w:rsid w:val="008D6541"/>
    <w:rsid w:val="008E1B27"/>
    <w:rsid w:val="008E1E99"/>
    <w:rsid w:val="008E2EB5"/>
    <w:rsid w:val="008E3AE9"/>
    <w:rsid w:val="008E3E51"/>
    <w:rsid w:val="008E7F2E"/>
    <w:rsid w:val="008F094F"/>
    <w:rsid w:val="008F0E86"/>
    <w:rsid w:val="008F1D9D"/>
    <w:rsid w:val="008F5AF8"/>
    <w:rsid w:val="008F6292"/>
    <w:rsid w:val="008F632E"/>
    <w:rsid w:val="008F6A97"/>
    <w:rsid w:val="00901701"/>
    <w:rsid w:val="00907519"/>
    <w:rsid w:val="00911CDE"/>
    <w:rsid w:val="00912A0B"/>
    <w:rsid w:val="00916184"/>
    <w:rsid w:val="009170B2"/>
    <w:rsid w:val="00920D3D"/>
    <w:rsid w:val="009211E8"/>
    <w:rsid w:val="00923D38"/>
    <w:rsid w:val="00924C3A"/>
    <w:rsid w:val="009275A7"/>
    <w:rsid w:val="00927720"/>
    <w:rsid w:val="00931A7B"/>
    <w:rsid w:val="0093294B"/>
    <w:rsid w:val="009369A4"/>
    <w:rsid w:val="00936F35"/>
    <w:rsid w:val="00943163"/>
    <w:rsid w:val="00947835"/>
    <w:rsid w:val="0095019A"/>
    <w:rsid w:val="0095212D"/>
    <w:rsid w:val="009527B9"/>
    <w:rsid w:val="00955CD4"/>
    <w:rsid w:val="00956F0C"/>
    <w:rsid w:val="0095746D"/>
    <w:rsid w:val="00975A02"/>
    <w:rsid w:val="00980D28"/>
    <w:rsid w:val="00981FF4"/>
    <w:rsid w:val="009827D7"/>
    <w:rsid w:val="00993290"/>
    <w:rsid w:val="009A19FA"/>
    <w:rsid w:val="009A393A"/>
    <w:rsid w:val="009A4E2D"/>
    <w:rsid w:val="009A665E"/>
    <w:rsid w:val="009B179A"/>
    <w:rsid w:val="009C1F60"/>
    <w:rsid w:val="009C2D80"/>
    <w:rsid w:val="009C59ED"/>
    <w:rsid w:val="009C63B6"/>
    <w:rsid w:val="009C68FD"/>
    <w:rsid w:val="009C6F7C"/>
    <w:rsid w:val="009C7F2E"/>
    <w:rsid w:val="009D14C7"/>
    <w:rsid w:val="009E1C15"/>
    <w:rsid w:val="009E347A"/>
    <w:rsid w:val="009E3D47"/>
    <w:rsid w:val="009E5150"/>
    <w:rsid w:val="009E6C57"/>
    <w:rsid w:val="009F21C8"/>
    <w:rsid w:val="009F7B38"/>
    <w:rsid w:val="00A027C9"/>
    <w:rsid w:val="00A05A40"/>
    <w:rsid w:val="00A05BBD"/>
    <w:rsid w:val="00A06DCF"/>
    <w:rsid w:val="00A104F9"/>
    <w:rsid w:val="00A154E0"/>
    <w:rsid w:val="00A15675"/>
    <w:rsid w:val="00A20219"/>
    <w:rsid w:val="00A22382"/>
    <w:rsid w:val="00A22CC7"/>
    <w:rsid w:val="00A3059F"/>
    <w:rsid w:val="00A32AC3"/>
    <w:rsid w:val="00A33ED6"/>
    <w:rsid w:val="00A340A1"/>
    <w:rsid w:val="00A353F3"/>
    <w:rsid w:val="00A37177"/>
    <w:rsid w:val="00A37AEE"/>
    <w:rsid w:val="00A44354"/>
    <w:rsid w:val="00A505C3"/>
    <w:rsid w:val="00A51FD7"/>
    <w:rsid w:val="00A52D3F"/>
    <w:rsid w:val="00A62D3C"/>
    <w:rsid w:val="00A62DF9"/>
    <w:rsid w:val="00A631D3"/>
    <w:rsid w:val="00A73F18"/>
    <w:rsid w:val="00A7500E"/>
    <w:rsid w:val="00A7613F"/>
    <w:rsid w:val="00A76B99"/>
    <w:rsid w:val="00A770D1"/>
    <w:rsid w:val="00A77EA4"/>
    <w:rsid w:val="00A811D2"/>
    <w:rsid w:val="00A84317"/>
    <w:rsid w:val="00A867C6"/>
    <w:rsid w:val="00A87E13"/>
    <w:rsid w:val="00A9128F"/>
    <w:rsid w:val="00A91823"/>
    <w:rsid w:val="00A95366"/>
    <w:rsid w:val="00A9629E"/>
    <w:rsid w:val="00AA7F2F"/>
    <w:rsid w:val="00AB1390"/>
    <w:rsid w:val="00AB159C"/>
    <w:rsid w:val="00AB1977"/>
    <w:rsid w:val="00AB1D7E"/>
    <w:rsid w:val="00AB2673"/>
    <w:rsid w:val="00AB4B1F"/>
    <w:rsid w:val="00AB7177"/>
    <w:rsid w:val="00AC29E0"/>
    <w:rsid w:val="00AC4331"/>
    <w:rsid w:val="00AC45E9"/>
    <w:rsid w:val="00AC7733"/>
    <w:rsid w:val="00AD2450"/>
    <w:rsid w:val="00AD4223"/>
    <w:rsid w:val="00AD5869"/>
    <w:rsid w:val="00AD67C4"/>
    <w:rsid w:val="00AF2D99"/>
    <w:rsid w:val="00B01CAA"/>
    <w:rsid w:val="00B02A6A"/>
    <w:rsid w:val="00B02F33"/>
    <w:rsid w:val="00B03725"/>
    <w:rsid w:val="00B129D7"/>
    <w:rsid w:val="00B131A4"/>
    <w:rsid w:val="00B20A6A"/>
    <w:rsid w:val="00B239C1"/>
    <w:rsid w:val="00B253C8"/>
    <w:rsid w:val="00B27524"/>
    <w:rsid w:val="00B306B1"/>
    <w:rsid w:val="00B3139B"/>
    <w:rsid w:val="00B32D40"/>
    <w:rsid w:val="00B35347"/>
    <w:rsid w:val="00B37974"/>
    <w:rsid w:val="00B4258A"/>
    <w:rsid w:val="00B509B4"/>
    <w:rsid w:val="00B52066"/>
    <w:rsid w:val="00B610AE"/>
    <w:rsid w:val="00B6454A"/>
    <w:rsid w:val="00B66844"/>
    <w:rsid w:val="00B72DE3"/>
    <w:rsid w:val="00B74E7D"/>
    <w:rsid w:val="00B75E26"/>
    <w:rsid w:val="00B75E50"/>
    <w:rsid w:val="00B773D0"/>
    <w:rsid w:val="00B82DDF"/>
    <w:rsid w:val="00B83F4D"/>
    <w:rsid w:val="00B87378"/>
    <w:rsid w:val="00B91180"/>
    <w:rsid w:val="00B9309C"/>
    <w:rsid w:val="00B93F96"/>
    <w:rsid w:val="00B942C4"/>
    <w:rsid w:val="00B958E3"/>
    <w:rsid w:val="00BA5DE6"/>
    <w:rsid w:val="00BA76BF"/>
    <w:rsid w:val="00BB2233"/>
    <w:rsid w:val="00BB5054"/>
    <w:rsid w:val="00BB531B"/>
    <w:rsid w:val="00BB72D6"/>
    <w:rsid w:val="00BC3AE7"/>
    <w:rsid w:val="00BD097E"/>
    <w:rsid w:val="00BD763D"/>
    <w:rsid w:val="00BE1016"/>
    <w:rsid w:val="00BE1D4A"/>
    <w:rsid w:val="00BE7321"/>
    <w:rsid w:val="00BE7674"/>
    <w:rsid w:val="00BF41D9"/>
    <w:rsid w:val="00BF52D3"/>
    <w:rsid w:val="00BF608A"/>
    <w:rsid w:val="00C05B81"/>
    <w:rsid w:val="00C05F05"/>
    <w:rsid w:val="00C10228"/>
    <w:rsid w:val="00C14999"/>
    <w:rsid w:val="00C15724"/>
    <w:rsid w:val="00C20E11"/>
    <w:rsid w:val="00C219F1"/>
    <w:rsid w:val="00C25D91"/>
    <w:rsid w:val="00C26B9C"/>
    <w:rsid w:val="00C279F8"/>
    <w:rsid w:val="00C303FD"/>
    <w:rsid w:val="00C31EB5"/>
    <w:rsid w:val="00C33397"/>
    <w:rsid w:val="00C357F5"/>
    <w:rsid w:val="00C35F42"/>
    <w:rsid w:val="00C36916"/>
    <w:rsid w:val="00C378AF"/>
    <w:rsid w:val="00C415E4"/>
    <w:rsid w:val="00C421BE"/>
    <w:rsid w:val="00C474BB"/>
    <w:rsid w:val="00C50CDC"/>
    <w:rsid w:val="00C516DD"/>
    <w:rsid w:val="00C52888"/>
    <w:rsid w:val="00C547B8"/>
    <w:rsid w:val="00C574E0"/>
    <w:rsid w:val="00C605C9"/>
    <w:rsid w:val="00C630A1"/>
    <w:rsid w:val="00C63208"/>
    <w:rsid w:val="00C63791"/>
    <w:rsid w:val="00C854F5"/>
    <w:rsid w:val="00C93AED"/>
    <w:rsid w:val="00C97B94"/>
    <w:rsid w:val="00CB0CB1"/>
    <w:rsid w:val="00CB3854"/>
    <w:rsid w:val="00CB4A08"/>
    <w:rsid w:val="00CB595D"/>
    <w:rsid w:val="00CB5CB1"/>
    <w:rsid w:val="00CD09A2"/>
    <w:rsid w:val="00CD122B"/>
    <w:rsid w:val="00CD2C81"/>
    <w:rsid w:val="00CD2E3A"/>
    <w:rsid w:val="00CD6344"/>
    <w:rsid w:val="00CD6616"/>
    <w:rsid w:val="00CD77C9"/>
    <w:rsid w:val="00CE2BDE"/>
    <w:rsid w:val="00CE2E56"/>
    <w:rsid w:val="00CE5030"/>
    <w:rsid w:val="00CF18AE"/>
    <w:rsid w:val="00CF385B"/>
    <w:rsid w:val="00CF7334"/>
    <w:rsid w:val="00CF7B84"/>
    <w:rsid w:val="00D05A9A"/>
    <w:rsid w:val="00D07B49"/>
    <w:rsid w:val="00D1084D"/>
    <w:rsid w:val="00D129BA"/>
    <w:rsid w:val="00D16E6F"/>
    <w:rsid w:val="00D21C46"/>
    <w:rsid w:val="00D22727"/>
    <w:rsid w:val="00D2514C"/>
    <w:rsid w:val="00D25AEA"/>
    <w:rsid w:val="00D26D5A"/>
    <w:rsid w:val="00D27479"/>
    <w:rsid w:val="00D323AA"/>
    <w:rsid w:val="00D35632"/>
    <w:rsid w:val="00D433C9"/>
    <w:rsid w:val="00D44E37"/>
    <w:rsid w:val="00D47090"/>
    <w:rsid w:val="00D50071"/>
    <w:rsid w:val="00D50FA8"/>
    <w:rsid w:val="00D51F7E"/>
    <w:rsid w:val="00D521A9"/>
    <w:rsid w:val="00D53BDA"/>
    <w:rsid w:val="00D60C5C"/>
    <w:rsid w:val="00D62257"/>
    <w:rsid w:val="00D63DA2"/>
    <w:rsid w:val="00D66ABC"/>
    <w:rsid w:val="00D71ADF"/>
    <w:rsid w:val="00D7296E"/>
    <w:rsid w:val="00D740DE"/>
    <w:rsid w:val="00D82B92"/>
    <w:rsid w:val="00D83F0A"/>
    <w:rsid w:val="00D8504E"/>
    <w:rsid w:val="00D85F03"/>
    <w:rsid w:val="00D918AC"/>
    <w:rsid w:val="00D9504D"/>
    <w:rsid w:val="00DA13CA"/>
    <w:rsid w:val="00DA299A"/>
    <w:rsid w:val="00DA5A9F"/>
    <w:rsid w:val="00DB47F6"/>
    <w:rsid w:val="00DC247D"/>
    <w:rsid w:val="00DC469A"/>
    <w:rsid w:val="00DC776F"/>
    <w:rsid w:val="00DD4FA6"/>
    <w:rsid w:val="00DD6339"/>
    <w:rsid w:val="00DE35AA"/>
    <w:rsid w:val="00DE4158"/>
    <w:rsid w:val="00DE4A82"/>
    <w:rsid w:val="00DE60F0"/>
    <w:rsid w:val="00DE7DAB"/>
    <w:rsid w:val="00DF05DB"/>
    <w:rsid w:val="00DF2002"/>
    <w:rsid w:val="00DF2623"/>
    <w:rsid w:val="00E030ED"/>
    <w:rsid w:val="00E04BAF"/>
    <w:rsid w:val="00E0723E"/>
    <w:rsid w:val="00E132C7"/>
    <w:rsid w:val="00E15686"/>
    <w:rsid w:val="00E21AE4"/>
    <w:rsid w:val="00E22843"/>
    <w:rsid w:val="00E23349"/>
    <w:rsid w:val="00E30369"/>
    <w:rsid w:val="00E31ACC"/>
    <w:rsid w:val="00E33E7B"/>
    <w:rsid w:val="00E35805"/>
    <w:rsid w:val="00E41DF4"/>
    <w:rsid w:val="00E458D6"/>
    <w:rsid w:val="00E51E01"/>
    <w:rsid w:val="00E5331A"/>
    <w:rsid w:val="00E5455B"/>
    <w:rsid w:val="00E545EE"/>
    <w:rsid w:val="00E570BF"/>
    <w:rsid w:val="00E57CF8"/>
    <w:rsid w:val="00E60D63"/>
    <w:rsid w:val="00E60F3B"/>
    <w:rsid w:val="00E6149C"/>
    <w:rsid w:val="00E623FD"/>
    <w:rsid w:val="00E64DBA"/>
    <w:rsid w:val="00E65747"/>
    <w:rsid w:val="00E6613A"/>
    <w:rsid w:val="00E72A21"/>
    <w:rsid w:val="00E74CE7"/>
    <w:rsid w:val="00E775B7"/>
    <w:rsid w:val="00E834E3"/>
    <w:rsid w:val="00E8497E"/>
    <w:rsid w:val="00E92B06"/>
    <w:rsid w:val="00E94ACD"/>
    <w:rsid w:val="00E97E1A"/>
    <w:rsid w:val="00EA2449"/>
    <w:rsid w:val="00EA260F"/>
    <w:rsid w:val="00EA3024"/>
    <w:rsid w:val="00EB027F"/>
    <w:rsid w:val="00EB0562"/>
    <w:rsid w:val="00EB34ED"/>
    <w:rsid w:val="00EB435A"/>
    <w:rsid w:val="00EB4FE6"/>
    <w:rsid w:val="00EB6B4E"/>
    <w:rsid w:val="00EC38E9"/>
    <w:rsid w:val="00EC6DE7"/>
    <w:rsid w:val="00ED12BA"/>
    <w:rsid w:val="00ED2283"/>
    <w:rsid w:val="00ED4DA1"/>
    <w:rsid w:val="00ED6A85"/>
    <w:rsid w:val="00EE4894"/>
    <w:rsid w:val="00EE7694"/>
    <w:rsid w:val="00EF1985"/>
    <w:rsid w:val="00EF249E"/>
    <w:rsid w:val="00EF2B08"/>
    <w:rsid w:val="00EF5A9C"/>
    <w:rsid w:val="00F01385"/>
    <w:rsid w:val="00F024CE"/>
    <w:rsid w:val="00F13143"/>
    <w:rsid w:val="00F13B47"/>
    <w:rsid w:val="00F17C1B"/>
    <w:rsid w:val="00F21940"/>
    <w:rsid w:val="00F242D5"/>
    <w:rsid w:val="00F25314"/>
    <w:rsid w:val="00F27718"/>
    <w:rsid w:val="00F4143E"/>
    <w:rsid w:val="00F422F2"/>
    <w:rsid w:val="00F44DEA"/>
    <w:rsid w:val="00F47592"/>
    <w:rsid w:val="00F52EBF"/>
    <w:rsid w:val="00F54206"/>
    <w:rsid w:val="00F56066"/>
    <w:rsid w:val="00F6166C"/>
    <w:rsid w:val="00F625E0"/>
    <w:rsid w:val="00F6326B"/>
    <w:rsid w:val="00F639AD"/>
    <w:rsid w:val="00F6407C"/>
    <w:rsid w:val="00F64FA6"/>
    <w:rsid w:val="00F662B6"/>
    <w:rsid w:val="00F67A28"/>
    <w:rsid w:val="00F67C11"/>
    <w:rsid w:val="00F70C81"/>
    <w:rsid w:val="00F70DB4"/>
    <w:rsid w:val="00F70E24"/>
    <w:rsid w:val="00F73147"/>
    <w:rsid w:val="00F765E6"/>
    <w:rsid w:val="00F84B4E"/>
    <w:rsid w:val="00F90410"/>
    <w:rsid w:val="00F9259B"/>
    <w:rsid w:val="00F92C32"/>
    <w:rsid w:val="00F95C67"/>
    <w:rsid w:val="00F9605C"/>
    <w:rsid w:val="00F970B3"/>
    <w:rsid w:val="00FA026F"/>
    <w:rsid w:val="00FA6E84"/>
    <w:rsid w:val="00FB4750"/>
    <w:rsid w:val="00FB7B7F"/>
    <w:rsid w:val="00FC1E9A"/>
    <w:rsid w:val="00FC433C"/>
    <w:rsid w:val="00FC6FEE"/>
    <w:rsid w:val="00FD4EF5"/>
    <w:rsid w:val="00FE07BF"/>
    <w:rsid w:val="00FE0FF0"/>
    <w:rsid w:val="00FE2444"/>
    <w:rsid w:val="00FE3ED8"/>
    <w:rsid w:val="00FE506F"/>
    <w:rsid w:val="00FF16D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Bullet" w:uiPriority="99" w:qFormat="1"/>
    <w:lsdException w:name="List Bullet 2" w:uiPriority="99" w:qFormat="1"/>
    <w:lsdException w:name="List Bullet 3"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F23"/>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uiPriority w:val="99"/>
    <w:semiHidden/>
    <w:rsid w:val="00E834E3"/>
    <w:rPr>
      <w:sz w:val="16"/>
      <w:szCs w:val="16"/>
    </w:rPr>
  </w:style>
  <w:style w:type="paragraph" w:styleId="CommentText">
    <w:name w:val="annotation text"/>
    <w:basedOn w:val="Normal"/>
    <w:link w:val="CommentTextChar"/>
    <w:uiPriority w:val="99"/>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link w:val="FooterChar"/>
    <w:uiPriority w:val="99"/>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semiHidden/>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690C10"/>
    <w:pPr>
      <w:ind w:left="720"/>
      <w:contextualSpacing/>
    </w:pPr>
    <w:rPr>
      <w:lang w:val="en-US"/>
    </w:rPr>
  </w:style>
  <w:style w:type="character" w:customStyle="1" w:styleId="CommentTextChar">
    <w:name w:val="Comment Text Char"/>
    <w:basedOn w:val="DefaultParagraphFont"/>
    <w:link w:val="CommentText"/>
    <w:uiPriority w:val="99"/>
    <w:semiHidden/>
    <w:rsid w:val="00647A47"/>
    <w:rPr>
      <w:lang w:val="en-AU"/>
    </w:rPr>
  </w:style>
  <w:style w:type="character" w:customStyle="1" w:styleId="FooterChar">
    <w:name w:val="Footer Char"/>
    <w:basedOn w:val="DefaultParagraphFont"/>
    <w:link w:val="Footer"/>
    <w:uiPriority w:val="99"/>
    <w:rsid w:val="00552BA1"/>
    <w:rPr>
      <w:sz w:val="24"/>
      <w:szCs w:val="24"/>
      <w:lang w:val="en-AU"/>
    </w:rPr>
  </w:style>
  <w:style w:type="paragraph" w:styleId="ListBullet">
    <w:name w:val="List Bullet"/>
    <w:basedOn w:val="Normal"/>
    <w:uiPriority w:val="99"/>
    <w:qFormat/>
    <w:rsid w:val="00552BA1"/>
    <w:pPr>
      <w:numPr>
        <w:numId w:val="9"/>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552BA1"/>
    <w:pPr>
      <w:numPr>
        <w:ilvl w:val="1"/>
        <w:numId w:val="9"/>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552BA1"/>
    <w:pPr>
      <w:numPr>
        <w:ilvl w:val="2"/>
        <w:numId w:val="9"/>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552BA1"/>
    <w:pPr>
      <w:numPr>
        <w:numId w:val="9"/>
      </w:numPr>
    </w:pPr>
  </w:style>
  <w:style w:type="table" w:styleId="TableGrid">
    <w:name w:val="Table Grid"/>
    <w:basedOn w:val="TableNormal"/>
    <w:uiPriority w:val="59"/>
    <w:rsid w:val="00552BA1"/>
    <w:rPr>
      <w:rFonts w:asciiTheme="minorHAnsi" w:eastAsia="Cambria" w:hAnsiTheme="minorHAnsi" w:cstheme="minorBidi"/>
      <w:sz w:val="22"/>
      <w:szCs w:val="22"/>
      <w:lang w:val="en-A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rsid w:val="000A0F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07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D556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A0F9E"/>
    <w:rPr>
      <w:rFonts w:ascii="Arial" w:hAnsi="Arial" w:cs="Arial"/>
      <w:b/>
      <w:bCs/>
      <w:kern w:val="32"/>
      <w:sz w:val="32"/>
      <w:szCs w:val="32"/>
      <w:lang w:val="en-AU" w:eastAsia="en-US" w:bidi="ar-SA"/>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uiPriority w:val="99"/>
    <w:semiHidden/>
    <w:rsid w:val="00E834E3"/>
    <w:rPr>
      <w:sz w:val="16"/>
      <w:szCs w:val="16"/>
    </w:rPr>
  </w:style>
  <w:style w:type="paragraph" w:styleId="CommentText">
    <w:name w:val="annotation text"/>
    <w:basedOn w:val="Normal"/>
    <w:link w:val="CommentTextChar"/>
    <w:uiPriority w:val="99"/>
    <w:semiHidden/>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jc w:val="both"/>
    </w:pPr>
    <w:rPr>
      <w:rFonts w:ascii="Arial" w:hAnsi="Arial"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rsid w:val="005664FB"/>
    <w:pPr>
      <w:tabs>
        <w:tab w:val="center" w:pos="4320"/>
        <w:tab w:val="right" w:pos="8640"/>
      </w:tabs>
    </w:pPr>
  </w:style>
  <w:style w:type="paragraph" w:styleId="Footer">
    <w:name w:val="footer"/>
    <w:basedOn w:val="Normal"/>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jc w:val="both"/>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semiHidden/>
    <w:rsid w:val="002D556F"/>
    <w:rPr>
      <w:rFonts w:ascii="Cambria" w:eastAsia="Times New Roman" w:hAnsi="Cambria" w:cs="Times New Roman"/>
      <w:b/>
      <w:bCs/>
      <w:sz w:val="26"/>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690C10"/>
    <w:pPr>
      <w:ind w:left="720"/>
      <w:contextualSpacing/>
    </w:pPr>
    <w:rPr>
      <w:lang w:val="en-US"/>
    </w:rPr>
  </w:style>
  <w:style w:type="character" w:customStyle="1" w:styleId="CommentTextChar">
    <w:name w:val="Comment Text Char"/>
    <w:basedOn w:val="DefaultParagraphFont"/>
    <w:link w:val="CommentText"/>
    <w:uiPriority w:val="99"/>
    <w:semiHidden/>
    <w:rsid w:val="00647A47"/>
    <w:rPr>
      <w:lang w:val="en-AU"/>
    </w:rPr>
  </w:style>
</w:styles>
</file>

<file path=word/webSettings.xml><?xml version="1.0" encoding="utf-8"?>
<w:webSettings xmlns:r="http://schemas.openxmlformats.org/officeDocument/2006/relationships" xmlns:w="http://schemas.openxmlformats.org/wordprocessingml/2006/main">
  <w:divs>
    <w:div w:id="86006219">
      <w:bodyDiv w:val="1"/>
      <w:marLeft w:val="0"/>
      <w:marRight w:val="0"/>
      <w:marTop w:val="0"/>
      <w:marBottom w:val="0"/>
      <w:divBdr>
        <w:top w:val="none" w:sz="0" w:space="0" w:color="auto"/>
        <w:left w:val="none" w:sz="0" w:space="0" w:color="auto"/>
        <w:bottom w:val="none" w:sz="0" w:space="0" w:color="auto"/>
        <w:right w:val="none" w:sz="0" w:space="0" w:color="auto"/>
      </w:divBdr>
    </w:div>
    <w:div w:id="184902007">
      <w:bodyDiv w:val="1"/>
      <w:marLeft w:val="0"/>
      <w:marRight w:val="0"/>
      <w:marTop w:val="0"/>
      <w:marBottom w:val="0"/>
      <w:divBdr>
        <w:top w:val="none" w:sz="0" w:space="0" w:color="auto"/>
        <w:left w:val="none" w:sz="0" w:space="0" w:color="auto"/>
        <w:bottom w:val="none" w:sz="0" w:space="0" w:color="auto"/>
        <w:right w:val="none" w:sz="0" w:space="0" w:color="auto"/>
      </w:divBdr>
    </w:div>
    <w:div w:id="338778486">
      <w:bodyDiv w:val="1"/>
      <w:marLeft w:val="0"/>
      <w:marRight w:val="0"/>
      <w:marTop w:val="0"/>
      <w:marBottom w:val="0"/>
      <w:divBdr>
        <w:top w:val="none" w:sz="0" w:space="0" w:color="auto"/>
        <w:left w:val="none" w:sz="0" w:space="0" w:color="auto"/>
        <w:bottom w:val="none" w:sz="0" w:space="0" w:color="auto"/>
        <w:right w:val="none" w:sz="0" w:space="0" w:color="auto"/>
      </w:divBdr>
    </w:div>
    <w:div w:id="345904691">
      <w:bodyDiv w:val="1"/>
      <w:marLeft w:val="0"/>
      <w:marRight w:val="0"/>
      <w:marTop w:val="0"/>
      <w:marBottom w:val="0"/>
      <w:divBdr>
        <w:top w:val="none" w:sz="0" w:space="0" w:color="auto"/>
        <w:left w:val="none" w:sz="0" w:space="0" w:color="auto"/>
        <w:bottom w:val="none" w:sz="0" w:space="0" w:color="auto"/>
        <w:right w:val="none" w:sz="0" w:space="0" w:color="auto"/>
      </w:divBdr>
    </w:div>
    <w:div w:id="659893511">
      <w:bodyDiv w:val="1"/>
      <w:marLeft w:val="0"/>
      <w:marRight w:val="0"/>
      <w:marTop w:val="0"/>
      <w:marBottom w:val="0"/>
      <w:divBdr>
        <w:top w:val="none" w:sz="0" w:space="0" w:color="auto"/>
        <w:left w:val="none" w:sz="0" w:space="0" w:color="auto"/>
        <w:bottom w:val="none" w:sz="0" w:space="0" w:color="auto"/>
        <w:right w:val="none" w:sz="0" w:space="0" w:color="auto"/>
      </w:divBdr>
    </w:div>
    <w:div w:id="783117429">
      <w:bodyDiv w:val="1"/>
      <w:marLeft w:val="0"/>
      <w:marRight w:val="0"/>
      <w:marTop w:val="0"/>
      <w:marBottom w:val="0"/>
      <w:divBdr>
        <w:top w:val="none" w:sz="0" w:space="0" w:color="auto"/>
        <w:left w:val="none" w:sz="0" w:space="0" w:color="auto"/>
        <w:bottom w:val="none" w:sz="0" w:space="0" w:color="auto"/>
        <w:right w:val="none" w:sz="0" w:space="0" w:color="auto"/>
      </w:divBdr>
    </w:div>
    <w:div w:id="1076777995">
      <w:bodyDiv w:val="1"/>
      <w:marLeft w:val="0"/>
      <w:marRight w:val="0"/>
      <w:marTop w:val="0"/>
      <w:marBottom w:val="0"/>
      <w:divBdr>
        <w:top w:val="none" w:sz="0" w:space="0" w:color="auto"/>
        <w:left w:val="none" w:sz="0" w:space="0" w:color="auto"/>
        <w:bottom w:val="none" w:sz="0" w:space="0" w:color="auto"/>
        <w:right w:val="none" w:sz="0" w:space="0" w:color="auto"/>
      </w:divBdr>
    </w:div>
    <w:div w:id="1111631888">
      <w:bodyDiv w:val="1"/>
      <w:marLeft w:val="0"/>
      <w:marRight w:val="0"/>
      <w:marTop w:val="0"/>
      <w:marBottom w:val="0"/>
      <w:divBdr>
        <w:top w:val="none" w:sz="0" w:space="0" w:color="auto"/>
        <w:left w:val="none" w:sz="0" w:space="0" w:color="auto"/>
        <w:bottom w:val="none" w:sz="0" w:space="0" w:color="auto"/>
        <w:right w:val="none" w:sz="0" w:space="0" w:color="auto"/>
      </w:divBdr>
    </w:div>
    <w:div w:id="1438331411">
      <w:bodyDiv w:val="1"/>
      <w:marLeft w:val="0"/>
      <w:marRight w:val="0"/>
      <w:marTop w:val="0"/>
      <w:marBottom w:val="0"/>
      <w:divBdr>
        <w:top w:val="none" w:sz="0" w:space="0" w:color="auto"/>
        <w:left w:val="none" w:sz="0" w:space="0" w:color="auto"/>
        <w:bottom w:val="none" w:sz="0" w:space="0" w:color="auto"/>
        <w:right w:val="none" w:sz="0" w:space="0" w:color="auto"/>
      </w:divBdr>
    </w:div>
    <w:div w:id="1441102799">
      <w:bodyDiv w:val="1"/>
      <w:marLeft w:val="0"/>
      <w:marRight w:val="0"/>
      <w:marTop w:val="0"/>
      <w:marBottom w:val="0"/>
      <w:divBdr>
        <w:top w:val="none" w:sz="0" w:space="0" w:color="auto"/>
        <w:left w:val="none" w:sz="0" w:space="0" w:color="auto"/>
        <w:bottom w:val="none" w:sz="0" w:space="0" w:color="auto"/>
        <w:right w:val="none" w:sz="0" w:space="0" w:color="auto"/>
      </w:divBdr>
      <w:divsChild>
        <w:div w:id="464785615">
          <w:marLeft w:val="1166"/>
          <w:marRight w:val="0"/>
          <w:marTop w:val="106"/>
          <w:marBottom w:val="0"/>
          <w:divBdr>
            <w:top w:val="none" w:sz="0" w:space="0" w:color="auto"/>
            <w:left w:val="none" w:sz="0" w:space="0" w:color="auto"/>
            <w:bottom w:val="none" w:sz="0" w:space="0" w:color="auto"/>
            <w:right w:val="none" w:sz="0" w:space="0" w:color="auto"/>
          </w:divBdr>
        </w:div>
      </w:divsChild>
    </w:div>
    <w:div w:id="1717388768">
      <w:bodyDiv w:val="1"/>
      <w:marLeft w:val="0"/>
      <w:marRight w:val="0"/>
      <w:marTop w:val="0"/>
      <w:marBottom w:val="0"/>
      <w:divBdr>
        <w:top w:val="none" w:sz="0" w:space="0" w:color="auto"/>
        <w:left w:val="none" w:sz="0" w:space="0" w:color="auto"/>
        <w:bottom w:val="none" w:sz="0" w:space="0" w:color="auto"/>
        <w:right w:val="none" w:sz="0" w:space="0" w:color="auto"/>
      </w:divBdr>
    </w:div>
    <w:div w:id="1849783024">
      <w:bodyDiv w:val="1"/>
      <w:marLeft w:val="0"/>
      <w:marRight w:val="0"/>
      <w:marTop w:val="0"/>
      <w:marBottom w:val="0"/>
      <w:divBdr>
        <w:top w:val="none" w:sz="0" w:space="0" w:color="auto"/>
        <w:left w:val="none" w:sz="0" w:space="0" w:color="auto"/>
        <w:bottom w:val="none" w:sz="0" w:space="0" w:color="auto"/>
        <w:right w:val="none" w:sz="0" w:space="0" w:color="auto"/>
      </w:divBdr>
    </w:div>
    <w:div w:id="206105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40C65BA5474D2E4D89086BF0EDE23477" ma:contentTypeVersion="3" ma:contentTypeDescription="Create a new document." ma:contentTypeScope="" ma:versionID="aa0136d9096c13ccf1354b3fe452c753">
  <xsd:schema xmlns:xsd="http://www.w3.org/2001/XMLSchema" xmlns:xs="http://www.w3.org/2001/XMLSchema" xmlns:p="http://schemas.microsoft.com/office/2006/metadata/properties" xmlns:ns2="624c47c0-a99f-4869-a2d9-bdf2cdeb6ef2" targetNamespace="http://schemas.microsoft.com/office/2006/metadata/properties" ma:root="true" ma:fieldsID="cc015c6b08e81db679dd2a548e9542bf" ns2:_="">
    <xsd:import namespace="624c47c0-a99f-4869-a2d9-bdf2cdeb6ef2"/>
    <xsd:element name="properties">
      <xsd:complexType>
        <xsd:sequence>
          <xsd:element name="documentManagement">
            <xsd:complexType>
              <xsd:all>
                <xsd:element ref="ns2:Multiline" minOccurs="0"/>
                <xsd:element ref="ns2:Lead_x0020_Author"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c47c0-a99f-4869-a2d9-bdf2cdeb6ef2" elementFormDefault="qualified">
    <xsd:import namespace="http://schemas.microsoft.com/office/2006/documentManagement/types"/>
    <xsd:import namespace="http://schemas.microsoft.com/office/infopath/2007/PartnerControls"/>
    <xsd:element name="Multiline" ma:index="8" nillable="true" ma:displayName="Notes" ma:internalName="Notes0">
      <xsd:simpleType>
        <xsd:restriction base="dms:Note">
          <xsd:maxLength value="255"/>
        </xsd:restriction>
      </xsd:simpleType>
    </xsd:element>
    <xsd:element name="Lead_x0020_Author" ma:index="9" nillable="true" ma:displayName="Lead Author" ma:internalName="Lead_x0020_Author">
      <xsd:simpleType>
        <xsd:restriction base="dms:Text">
          <xsd:maxLength value="255"/>
        </xsd:restriction>
      </xsd:simpleType>
    </xsd:element>
    <xsd:element name="Priority" ma:index="10" nillable="true" ma:displayName="Priority" ma:default="Medium" ma:format="Dropdown" ma:internalName="Priority">
      <xsd:simpleType>
        <xsd:restriction base="dms:Choice">
          <xsd:enumeration value="High"/>
          <xsd:enumeration value="Medium"/>
          <xsd:enumeration value="Lo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riority xmlns="624c47c0-a99f-4869-a2d9-bdf2cdeb6ef2">Medium</Priority>
    <Lead_x0020_Author xmlns="624c47c0-a99f-4869-a2d9-bdf2cdeb6ef2" xsi:nil="true"/>
    <Multiline xmlns="624c47c0-a99f-4869-a2d9-bdf2cdeb6ef2">&lt;div&gt;&lt;/div&gt;</Multilin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B6836-537B-4F85-A189-52EB01D640CC}">
  <ds:schemaRefs>
    <ds:schemaRef ds:uri="http://schemas.openxmlformats.org/officeDocument/2006/bibliography"/>
  </ds:schemaRefs>
</ds:datastoreItem>
</file>

<file path=customXml/itemProps10.xml><?xml version="1.0" encoding="utf-8"?>
<ds:datastoreItem xmlns:ds="http://schemas.openxmlformats.org/officeDocument/2006/customXml" ds:itemID="{EDD71422-8CB9-46D5-B9F1-C5E3059C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c47c0-a99f-4869-a2d9-bdf2cdeb6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E07E1A4-6194-4304-B41C-196C67EADC5E}">
  <ds:schemaRefs>
    <ds:schemaRef ds:uri="http://schemas.openxmlformats.org/officeDocument/2006/bibliography"/>
  </ds:schemaRefs>
</ds:datastoreItem>
</file>

<file path=customXml/itemProps2.xml><?xml version="1.0" encoding="utf-8"?>
<ds:datastoreItem xmlns:ds="http://schemas.openxmlformats.org/officeDocument/2006/customXml" ds:itemID="{46CEFBDF-8BE1-4FA4-9D42-D62A7A4C8AC1}">
  <ds:schemaRefs>
    <ds:schemaRef ds:uri="http://schemas.openxmlformats.org/officeDocument/2006/bibliography"/>
  </ds:schemaRefs>
</ds:datastoreItem>
</file>

<file path=customXml/itemProps3.xml><?xml version="1.0" encoding="utf-8"?>
<ds:datastoreItem xmlns:ds="http://schemas.openxmlformats.org/officeDocument/2006/customXml" ds:itemID="{FBE639F9-25B8-4657-B2A5-9E76C6028362}">
  <ds:schemaRefs>
    <ds:schemaRef ds:uri="http://schemas.openxmlformats.org/officeDocument/2006/bibliography"/>
  </ds:schemaRefs>
</ds:datastoreItem>
</file>

<file path=customXml/itemProps4.xml><?xml version="1.0" encoding="utf-8"?>
<ds:datastoreItem xmlns:ds="http://schemas.openxmlformats.org/officeDocument/2006/customXml" ds:itemID="{B226B6AA-C34F-41A3-8293-E7594F79B99F}">
  <ds:schemaRefs>
    <ds:schemaRef ds:uri="http://purl.org/dc/dcmitype/"/>
    <ds:schemaRef ds:uri="http://schemas.microsoft.com/office/2006/metadata/properties"/>
    <ds:schemaRef ds:uri="624c47c0-a99f-4869-a2d9-bdf2cdeb6ef2"/>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5.xml><?xml version="1.0" encoding="utf-8"?>
<ds:datastoreItem xmlns:ds="http://schemas.openxmlformats.org/officeDocument/2006/customXml" ds:itemID="{06616573-542D-41F8-A2DC-F1DC91BE6AAA}">
  <ds:schemaRefs>
    <ds:schemaRef ds:uri="http://schemas.openxmlformats.org/officeDocument/2006/bibliography"/>
  </ds:schemaRefs>
</ds:datastoreItem>
</file>

<file path=customXml/itemProps6.xml><?xml version="1.0" encoding="utf-8"?>
<ds:datastoreItem xmlns:ds="http://schemas.openxmlformats.org/officeDocument/2006/customXml" ds:itemID="{70C88AFA-AF5E-4B8A-A0FB-B672ECA5684F}">
  <ds:schemaRefs>
    <ds:schemaRef ds:uri="http://schemas.openxmlformats.org/officeDocument/2006/bibliography"/>
  </ds:schemaRefs>
</ds:datastoreItem>
</file>

<file path=customXml/itemProps7.xml><?xml version="1.0" encoding="utf-8"?>
<ds:datastoreItem xmlns:ds="http://schemas.openxmlformats.org/officeDocument/2006/customXml" ds:itemID="{5233F0AC-8FAF-4EA3-85C6-D4FE4B1CB99A}">
  <ds:schemaRefs>
    <ds:schemaRef ds:uri="http://schemas.openxmlformats.org/officeDocument/2006/bibliography"/>
  </ds:schemaRefs>
</ds:datastoreItem>
</file>

<file path=customXml/itemProps8.xml><?xml version="1.0" encoding="utf-8"?>
<ds:datastoreItem xmlns:ds="http://schemas.openxmlformats.org/officeDocument/2006/customXml" ds:itemID="{BBD24B97-A590-4FC4-BE09-51B2ADE91812}">
  <ds:schemaRefs>
    <ds:schemaRef ds:uri="http://schemas.openxmlformats.org/officeDocument/2006/bibliography"/>
  </ds:schemaRefs>
</ds:datastoreItem>
</file>

<file path=customXml/itemProps9.xml><?xml version="1.0" encoding="utf-8"?>
<ds:datastoreItem xmlns:ds="http://schemas.openxmlformats.org/officeDocument/2006/customXml" ds:itemID="{ECD1B8AE-A3F4-4A72-B421-92A0F4FE6C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4739</Words>
  <Characters>27287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PRODUCT INFORMATION</vt:lpstr>
    </vt:vector>
  </TitlesOfParts>
  <Company>Biogen Idec Australia Pty Ltd</Company>
  <LinksUpToDate>false</LinksUpToDate>
  <CharactersWithSpaces>31963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Dimethyl Fumarate</dc:title>
  <dc:subject>prescription medicine regulation</dc:subject>
  <dc:creator>Biogen Idec Australia Pty Ltd</dc:creator>
  <cp:keywords>product, information, prescription, medicine, regulation, dimethyl, fumarate, tecfidera, biogen, idec</cp:keywords>
  <cp:lastModifiedBy>dixonj</cp:lastModifiedBy>
  <cp:revision>4</cp:revision>
  <cp:lastPrinted>2013-07-12T05:06:00Z</cp:lastPrinted>
  <dcterms:created xsi:type="dcterms:W3CDTF">2013-10-01T04:06:00Z</dcterms:created>
  <dcterms:modified xsi:type="dcterms:W3CDTF">2013-11-12T03:36:00Z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0x01010040C65BA5474D2E4D89086BF0EDE23477</vt:lpwstr>
  </property>
</Properties>
</file>