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tblpY="3316"/>
        <w:tblW w:w="9180" w:type="dxa"/>
        <w:tblLayout w:type="fixed"/>
        <w:tblLook w:val="04A0" w:firstRow="1" w:lastRow="0" w:firstColumn="1" w:lastColumn="0" w:noHBand="0" w:noVBand="1"/>
      </w:tblPr>
      <w:tblGrid>
        <w:gridCol w:w="9180"/>
      </w:tblGrid>
      <w:tr w:rsidR="0032583B" w:rsidRPr="00B469FC" w:rsidTr="004B3C07">
        <w:trPr>
          <w:trHeight w:val="1548"/>
        </w:trPr>
        <w:tc>
          <w:tcPr>
            <w:tcW w:w="9180" w:type="dxa"/>
          </w:tcPr>
          <w:p w:rsidR="0032583B" w:rsidRPr="00A964D1" w:rsidRDefault="00A07729" w:rsidP="003E1911">
            <w:pPr>
              <w:pStyle w:val="Title"/>
              <w:rPr>
                <w:color w:val="FFFFFF" w:themeColor="background1"/>
              </w:rPr>
            </w:pPr>
            <w:r>
              <w:rPr>
                <w:color w:val="FFFFFF" w:themeColor="background1"/>
              </w:rPr>
              <w:t>AusPAR A</w:t>
            </w:r>
            <w:r w:rsidR="00440827">
              <w:rPr>
                <w:color w:val="FFFFFF" w:themeColor="background1"/>
              </w:rPr>
              <w:t>tt</w:t>
            </w:r>
            <w:r w:rsidR="00E07F15">
              <w:rPr>
                <w:color w:val="FFFFFF" w:themeColor="background1"/>
              </w:rPr>
              <w:t xml:space="preserve">achment </w:t>
            </w:r>
            <w:r w:rsidR="003E1911">
              <w:rPr>
                <w:color w:val="FFFFFF" w:themeColor="background1"/>
              </w:rPr>
              <w:t>1</w:t>
            </w:r>
          </w:p>
        </w:tc>
      </w:tr>
      <w:tr w:rsidR="00E07F15" w:rsidRPr="00B469FC" w:rsidTr="004B3C07">
        <w:trPr>
          <w:trHeight w:val="1154"/>
        </w:trPr>
        <w:tc>
          <w:tcPr>
            <w:tcW w:w="9180" w:type="dxa"/>
          </w:tcPr>
          <w:p w:rsidR="00E07F15" w:rsidRPr="00A964D1" w:rsidRDefault="00E07F15" w:rsidP="00124EDF">
            <w:pPr>
              <w:pStyle w:val="Title"/>
              <w:rPr>
                <w:color w:val="FFFFFF" w:themeColor="background1"/>
              </w:rPr>
            </w:pPr>
            <w:r>
              <w:rPr>
                <w:color w:val="FFFFFF" w:themeColor="background1"/>
              </w:rPr>
              <w:t>Extract from the Clinical Evaluation Report</w:t>
            </w:r>
            <w:r w:rsidR="004D00E8">
              <w:rPr>
                <w:color w:val="FFFFFF" w:themeColor="background1"/>
              </w:rPr>
              <w:t xml:space="preserve"> for</w:t>
            </w:r>
            <w:sdt>
              <w:sdtPr>
                <w:rPr>
                  <w:color w:val="FFFFFF" w:themeColor="background1"/>
                </w:rPr>
                <w:id w:val="-1842157739"/>
                <w:placeholder>
                  <w:docPart w:val="DefaultPlaceholder_1082065158"/>
                </w:placeholder>
              </w:sdtPr>
              <w:sdtEndPr/>
              <w:sdtContent>
                <w:r w:rsidR="00B469FC" w:rsidRPr="00B469FC">
                  <w:rPr>
                    <w:rFonts w:cs="Arial"/>
                    <w:color w:val="FFFFFF"/>
                    <w:kern w:val="0"/>
                    <w:szCs w:val="28"/>
                  </w:rPr>
                  <w:t xml:space="preserve"> </w:t>
                </w:r>
                <w:proofErr w:type="spellStart"/>
                <w:r w:rsidR="003D7ED0">
                  <w:rPr>
                    <w:rFonts w:cs="Arial"/>
                    <w:color w:val="FFFFFF"/>
                    <w:kern w:val="0"/>
                    <w:szCs w:val="28"/>
                  </w:rPr>
                  <w:t>D</w:t>
                </w:r>
                <w:r w:rsidR="00B469FC" w:rsidRPr="00B469FC">
                  <w:rPr>
                    <w:rFonts w:cs="Arial"/>
                    <w:color w:val="FFFFFF"/>
                    <w:kern w:val="0"/>
                    <w:szCs w:val="28"/>
                  </w:rPr>
                  <w:t>iltiazem</w:t>
                </w:r>
                <w:proofErr w:type="spellEnd"/>
                <w:r w:rsidR="00B469FC" w:rsidRPr="00B469FC">
                  <w:rPr>
                    <w:rFonts w:cs="Arial"/>
                    <w:color w:val="FFFFFF"/>
                    <w:kern w:val="0"/>
                    <w:szCs w:val="28"/>
                  </w:rPr>
                  <w:t xml:space="preserve"> hydrochloride</w:t>
                </w:r>
              </w:sdtContent>
            </w:sdt>
          </w:p>
        </w:tc>
      </w:tr>
      <w:tr w:rsidR="00E07F15" w:rsidRPr="00B469FC" w:rsidTr="004B3C07">
        <w:tc>
          <w:tcPr>
            <w:tcW w:w="9180" w:type="dxa"/>
          </w:tcPr>
          <w:p w:rsidR="00E07F15" w:rsidRPr="008E7846" w:rsidRDefault="00E07F15" w:rsidP="0085068D">
            <w:pPr>
              <w:pStyle w:val="Subtitle"/>
              <w:rPr>
                <w:color w:val="FFFFFF" w:themeColor="background1"/>
              </w:rPr>
            </w:pPr>
            <w:r w:rsidRPr="008E7846">
              <w:rPr>
                <w:color w:val="FFFFFF" w:themeColor="background1"/>
              </w:rPr>
              <w:t>Proprietary Product Name:</w:t>
            </w:r>
            <w:sdt>
              <w:sdtPr>
                <w:rPr>
                  <w:rFonts w:cs="Arial"/>
                  <w:color w:val="FFFFFF"/>
                  <w:szCs w:val="28"/>
                </w:rPr>
                <w:id w:val="-861195393"/>
                <w:placeholder>
                  <w:docPart w:val="DefaultPlaceholder_1082065158"/>
                </w:placeholder>
              </w:sdtPr>
              <w:sdtEndPr/>
              <w:sdtContent>
                <w:r w:rsidR="00124EDF">
                  <w:rPr>
                    <w:rFonts w:cs="Arial"/>
                    <w:color w:val="FFFFFF"/>
                    <w:szCs w:val="28"/>
                  </w:rPr>
                  <w:t xml:space="preserve"> </w:t>
                </w:r>
                <w:proofErr w:type="spellStart"/>
                <w:r w:rsidR="00124EDF">
                  <w:rPr>
                    <w:rFonts w:cs="Arial"/>
                    <w:color w:val="FFFFFF"/>
                    <w:szCs w:val="28"/>
                  </w:rPr>
                  <w:t>Ano</w:t>
                </w:r>
                <w:proofErr w:type="spellEnd"/>
                <w:r w:rsidR="00124EDF">
                  <w:rPr>
                    <w:rFonts w:cs="Arial"/>
                    <w:color w:val="FFFFFF"/>
                    <w:szCs w:val="28"/>
                  </w:rPr>
                  <w:t>-Cream</w:t>
                </w:r>
                <w:bookmarkStart w:id="0" w:name="_GoBack"/>
                <w:bookmarkEnd w:id="0"/>
              </w:sdtContent>
            </w:sdt>
          </w:p>
        </w:tc>
      </w:tr>
      <w:tr w:rsidR="00E07F15" w:rsidRPr="00B469FC" w:rsidTr="004B3C07">
        <w:trPr>
          <w:trHeight w:val="486"/>
        </w:trPr>
        <w:tc>
          <w:tcPr>
            <w:tcW w:w="9180" w:type="dxa"/>
          </w:tcPr>
          <w:p w:rsidR="0041712E" w:rsidRPr="008E7846" w:rsidRDefault="00E07F15" w:rsidP="00AB5983">
            <w:pPr>
              <w:pStyle w:val="Subtitle"/>
              <w:rPr>
                <w:color w:val="FFFFFF" w:themeColor="background1"/>
              </w:rPr>
            </w:pPr>
            <w:r w:rsidRPr="008E7846">
              <w:rPr>
                <w:color w:val="FFFFFF" w:themeColor="background1"/>
              </w:rPr>
              <w:t>Sponsor:</w:t>
            </w:r>
            <w:sdt>
              <w:sdtPr>
                <w:rPr>
                  <w:color w:val="FFFFFF" w:themeColor="background1"/>
                </w:rPr>
                <w:id w:val="-237475071"/>
                <w:placeholder>
                  <w:docPart w:val="DefaultPlaceholder_1082065158"/>
                </w:placeholder>
              </w:sdtPr>
              <w:sdtEndPr/>
              <w:sdtContent>
                <w:r w:rsidR="00124EDF">
                  <w:rPr>
                    <w:rFonts w:cs="Arial"/>
                    <w:color w:val="FFFFFF"/>
                    <w:szCs w:val="28"/>
                  </w:rPr>
                  <w:t xml:space="preserve"> </w:t>
                </w:r>
                <w:r w:rsidR="00B469FC" w:rsidRPr="00B469FC">
                  <w:rPr>
                    <w:rFonts w:cs="Arial"/>
                    <w:color w:val="FFFFFF"/>
                    <w:szCs w:val="28"/>
                  </w:rPr>
                  <w:t>AFT Pharmaceuticals Pty Ltd</w:t>
                </w:r>
              </w:sdtContent>
            </w:sdt>
          </w:p>
          <w:p w:rsidR="00E07F15" w:rsidRPr="008E7846" w:rsidRDefault="00E07F15" w:rsidP="00AB5983">
            <w:pPr>
              <w:pStyle w:val="Subtitle"/>
              <w:rPr>
                <w:color w:val="FFFFFF" w:themeColor="background1"/>
              </w:rPr>
            </w:pPr>
          </w:p>
        </w:tc>
      </w:tr>
    </w:tbl>
    <w:tbl>
      <w:tblPr>
        <w:tblpPr w:leftFromText="180" w:rightFromText="180" w:vertAnchor="text" w:horzAnchor="margin" w:tblpXSpec="center" w:tblpY="9907"/>
        <w:tblOverlap w:val="neve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0B3AB3" w:rsidRPr="00B469FC" w:rsidTr="0041712E">
        <w:trPr>
          <w:trHeight w:val="1620"/>
        </w:trPr>
        <w:tc>
          <w:tcPr>
            <w:tcW w:w="9497" w:type="dxa"/>
            <w:tcBorders>
              <w:top w:val="nil"/>
              <w:left w:val="nil"/>
              <w:bottom w:val="nil"/>
              <w:right w:val="nil"/>
            </w:tcBorders>
          </w:tcPr>
          <w:p w:rsidR="000B3AB3" w:rsidRPr="00124EDF" w:rsidRDefault="00124EDF" w:rsidP="001C0996">
            <w:pPr>
              <w:pStyle w:val="Style1"/>
              <w:numPr>
                <w:ilvl w:val="0"/>
                <w:numId w:val="0"/>
              </w:numPr>
              <w:ind w:left="360" w:hanging="360"/>
              <w:rPr>
                <w:rFonts w:asciiTheme="majorHAnsi" w:hAnsiTheme="majorHAnsi" w:cstheme="majorHAnsi"/>
                <w:b/>
                <w:color w:val="002C47"/>
                <w:sz w:val="36"/>
                <w:highlight w:val="yellow"/>
              </w:rPr>
            </w:pPr>
            <w:r w:rsidRPr="00124EDF">
              <w:rPr>
                <w:rFonts w:asciiTheme="majorHAnsi" w:hAnsiTheme="majorHAnsi" w:cstheme="majorHAnsi"/>
                <w:b/>
                <w:color w:val="002C47"/>
                <w:sz w:val="36"/>
              </w:rPr>
              <w:t>First round CER</w:t>
            </w:r>
            <w:r w:rsidR="000B3AB3" w:rsidRPr="00124EDF">
              <w:rPr>
                <w:rFonts w:asciiTheme="majorHAnsi" w:hAnsiTheme="majorHAnsi" w:cstheme="majorHAnsi"/>
                <w:b/>
                <w:color w:val="002C47"/>
                <w:sz w:val="36"/>
              </w:rPr>
              <w:t>:</w:t>
            </w:r>
            <w:r w:rsidRPr="00124EDF">
              <w:rPr>
                <w:rFonts w:asciiTheme="majorHAnsi" w:hAnsiTheme="majorHAnsi" w:cstheme="majorHAnsi"/>
                <w:b/>
                <w:color w:val="002C47"/>
                <w:sz w:val="36"/>
              </w:rPr>
              <w:t xml:space="preserve"> </w:t>
            </w:r>
            <w:r w:rsidR="00B469FC" w:rsidRPr="00124EDF">
              <w:rPr>
                <w:rFonts w:asciiTheme="majorHAnsi" w:hAnsiTheme="majorHAnsi" w:cstheme="majorHAnsi"/>
                <w:b/>
                <w:color w:val="002C47"/>
                <w:kern w:val="0"/>
                <w:sz w:val="36"/>
                <w:szCs w:val="28"/>
              </w:rPr>
              <w:t>September 2015</w:t>
            </w:r>
          </w:p>
          <w:p w:rsidR="000B3AB3" w:rsidRPr="00124EDF" w:rsidRDefault="00124EDF" w:rsidP="001C0996">
            <w:pPr>
              <w:pStyle w:val="Style1"/>
              <w:numPr>
                <w:ilvl w:val="0"/>
                <w:numId w:val="0"/>
              </w:numPr>
              <w:ind w:left="360" w:hanging="360"/>
              <w:rPr>
                <w:rFonts w:asciiTheme="majorHAnsi" w:hAnsiTheme="majorHAnsi" w:cstheme="majorHAnsi"/>
                <w:b/>
                <w:color w:val="002C47"/>
                <w:sz w:val="36"/>
              </w:rPr>
            </w:pPr>
            <w:bookmarkStart w:id="1" w:name="_Toc460584701"/>
            <w:r w:rsidRPr="00124EDF">
              <w:rPr>
                <w:rFonts w:asciiTheme="majorHAnsi" w:hAnsiTheme="majorHAnsi" w:cstheme="majorHAnsi"/>
                <w:b/>
                <w:color w:val="002C47"/>
                <w:sz w:val="36"/>
              </w:rPr>
              <w:t>Second round CER</w:t>
            </w:r>
            <w:r w:rsidR="000B3AB3" w:rsidRPr="00124EDF">
              <w:rPr>
                <w:rFonts w:asciiTheme="majorHAnsi" w:hAnsiTheme="majorHAnsi" w:cstheme="majorHAnsi"/>
                <w:b/>
                <w:color w:val="002C47"/>
                <w:sz w:val="36"/>
              </w:rPr>
              <w:t>:</w:t>
            </w:r>
            <w:r w:rsidR="0085068D" w:rsidRPr="00124EDF">
              <w:rPr>
                <w:rFonts w:asciiTheme="majorHAnsi" w:hAnsiTheme="majorHAnsi" w:cstheme="majorHAnsi"/>
                <w:b/>
                <w:color w:val="002C47"/>
                <w:sz w:val="36"/>
              </w:rPr>
              <w:t xml:space="preserve"> </w:t>
            </w:r>
            <w:r w:rsidRPr="00124EDF">
              <w:rPr>
                <w:rFonts w:asciiTheme="majorHAnsi" w:hAnsiTheme="majorHAnsi" w:cstheme="majorHAnsi"/>
                <w:b/>
                <w:color w:val="002C47"/>
                <w:kern w:val="0"/>
                <w:sz w:val="36"/>
                <w:szCs w:val="28"/>
              </w:rPr>
              <w:tab/>
            </w:r>
            <w:r w:rsidR="00B469FC" w:rsidRPr="00124EDF">
              <w:rPr>
                <w:rFonts w:asciiTheme="majorHAnsi" w:hAnsiTheme="majorHAnsi" w:cstheme="majorHAnsi"/>
                <w:b/>
                <w:color w:val="002C47"/>
                <w:kern w:val="0"/>
                <w:sz w:val="36"/>
                <w:szCs w:val="28"/>
              </w:rPr>
              <w:t>February 2016</w:t>
            </w:r>
            <w:bookmarkEnd w:id="1"/>
          </w:p>
        </w:tc>
      </w:tr>
      <w:tr w:rsidR="000B3AB3" w:rsidRPr="00B469FC" w:rsidTr="0041712E">
        <w:trPr>
          <w:trHeight w:val="1620"/>
        </w:trPr>
        <w:tc>
          <w:tcPr>
            <w:tcW w:w="9497" w:type="dxa"/>
            <w:tcBorders>
              <w:top w:val="nil"/>
              <w:left w:val="nil"/>
              <w:bottom w:val="nil"/>
              <w:right w:val="nil"/>
            </w:tcBorders>
          </w:tcPr>
          <w:p w:rsidR="000B3AB3" w:rsidRPr="00B469FC" w:rsidRDefault="000B3AB3" w:rsidP="000B3AB3">
            <w:pPr>
              <w:rPr>
                <w:rFonts w:cs="Arial"/>
                <w:b/>
                <w:color w:val="002C47"/>
                <w:szCs w:val="36"/>
              </w:rPr>
            </w:pP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BF39D2">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11C0" w:rsidP="00B469FC">
      <w:pPr>
        <w:pStyle w:val="ListBullet"/>
        <w:numPr>
          <w:ilvl w:val="0"/>
          <w:numId w:val="1"/>
        </w:numPr>
        <w:spacing w:before="20"/>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B469FC">
      <w:pPr>
        <w:pStyle w:val="ListBullet"/>
        <w:numPr>
          <w:ilvl w:val="0"/>
          <w:numId w:val="1"/>
        </w:numPr>
        <w:spacing w:before="20"/>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B469FC">
      <w:pPr>
        <w:pStyle w:val="ListBullet"/>
        <w:numPr>
          <w:ilvl w:val="0"/>
          <w:numId w:val="1"/>
        </w:numPr>
        <w:spacing w:before="20"/>
        <w:ind w:left="357" w:hanging="357"/>
      </w:pPr>
      <w:r>
        <w:t>The TGA relies on the public, healthcare professionals and industry to report problems with medicines or medical devices. TGA investigates reports received by it to determine any necessary regulatory action.</w:t>
      </w:r>
    </w:p>
    <w:p w:rsidR="008E7846" w:rsidRPr="00537ACE" w:rsidRDefault="008E7846" w:rsidP="00B469FC">
      <w:pPr>
        <w:pStyle w:val="ListBullet"/>
        <w:numPr>
          <w:ilvl w:val="0"/>
          <w:numId w:val="1"/>
        </w:numPr>
        <w:spacing w:before="20"/>
        <w:ind w:left="357" w:hanging="357"/>
      </w:pPr>
      <w:r w:rsidRPr="00537ACE">
        <w:t>To report a problem with a medicine or medical device, please see the information on the TGA website</w:t>
      </w:r>
      <w:r w:rsidR="00112F56" w:rsidRPr="00537ACE">
        <w:t xml:space="preserve"> &lt;</w:t>
      </w:r>
      <w:hyperlink r:id="rId9" w:history="1">
        <w:r w:rsidR="00E979F4" w:rsidRPr="00537ACE">
          <w:rPr>
            <w:rStyle w:val="Hyperlink"/>
          </w:rPr>
          <w:t>https://www.tga.gov.au</w:t>
        </w:r>
      </w:hyperlink>
      <w:r w:rsidR="00112F56" w:rsidRPr="00537ACE">
        <w:t>&gt;</w:t>
      </w:r>
      <w:r w:rsidRPr="00537ACE">
        <w:t>.</w:t>
      </w:r>
    </w:p>
    <w:p w:rsidR="0017078F" w:rsidRPr="00537ACE" w:rsidRDefault="0017078F" w:rsidP="00B469FC">
      <w:pPr>
        <w:pStyle w:val="NonTOCHeading2"/>
        <w:spacing w:before="20"/>
      </w:pPr>
      <w:r w:rsidRPr="00537ACE">
        <w:t>About the Extract from the Clinical Evaluation Report</w:t>
      </w:r>
    </w:p>
    <w:p w:rsidR="0017078F" w:rsidRPr="00537ACE" w:rsidRDefault="003D0A3B" w:rsidP="00B469FC">
      <w:pPr>
        <w:pStyle w:val="ListBullet"/>
        <w:spacing w:before="20"/>
      </w:pPr>
      <w:r w:rsidRPr="00537ACE">
        <w:t>This document provides a more detailed evaluation of the clinical findings, extracted from the Clinical Evaluation Report (CER) prepared by the TGA. This extract does not include sections from the CER regarding product documentation or post market activities.</w:t>
      </w:r>
    </w:p>
    <w:p w:rsidR="003D0A3B" w:rsidRPr="00537ACE" w:rsidRDefault="003D0A3B" w:rsidP="00B469FC">
      <w:pPr>
        <w:pStyle w:val="ListBullet"/>
        <w:spacing w:before="20"/>
      </w:pPr>
      <w:r w:rsidRPr="00537ACE">
        <w:t>The words [Information redacted], where they appear in this document, indicate that confidential information has been deleted.</w:t>
      </w:r>
    </w:p>
    <w:p w:rsidR="0017078F" w:rsidRPr="00537ACE" w:rsidRDefault="003D0A3B" w:rsidP="00B469FC">
      <w:pPr>
        <w:pStyle w:val="ListBullet"/>
        <w:spacing w:before="20"/>
      </w:pPr>
      <w:r w:rsidRPr="00537ACE">
        <w:t>For the most</w:t>
      </w:r>
      <w:r w:rsidR="000771AD" w:rsidRPr="00537ACE">
        <w:t xml:space="preserve"> </w:t>
      </w:r>
      <w:r w:rsidRPr="00537ACE">
        <w:t xml:space="preserve">recent Product Information (PI), please refer to the TGA website </w:t>
      </w:r>
      <w:r w:rsidR="00B1425E" w:rsidRPr="00537ACE">
        <w:t>&lt;</w:t>
      </w:r>
      <w:hyperlink r:id="rId10" w:history="1">
        <w:r w:rsidR="0010193C" w:rsidRPr="00537ACE">
          <w:rPr>
            <w:rStyle w:val="Hyperlink"/>
          </w:rPr>
          <w:t>https://www.tga.gov.au/product-information-pi</w:t>
        </w:r>
      </w:hyperlink>
      <w:r w:rsidR="0017078F" w:rsidRPr="00537ACE">
        <w:t>&gt;.</w:t>
      </w:r>
    </w:p>
    <w:p w:rsidR="00924482" w:rsidRPr="00DF1D7F" w:rsidRDefault="00924482" w:rsidP="003D7ED0">
      <w:pPr>
        <w:pStyle w:val="LegalSubheading"/>
        <w:spacing w:before="3840"/>
      </w:pPr>
      <w:r w:rsidRPr="00DF1D7F">
        <w:t>Copyright</w:t>
      </w:r>
    </w:p>
    <w:p w:rsidR="00924482" w:rsidRDefault="00924482" w:rsidP="00B469FC">
      <w:pPr>
        <w:pStyle w:val="LegalCopy"/>
        <w:spacing w:before="20"/>
      </w:pPr>
      <w:r w:rsidRPr="00191B3B">
        <w:rPr>
          <w:lang w:val="en-GB"/>
        </w:rPr>
        <w:t>© Comm</w:t>
      </w:r>
      <w:r>
        <w:rPr>
          <w:lang w:val="en-GB"/>
        </w:rPr>
        <w:t>onwealth of Australia 201</w:t>
      </w:r>
      <w:r w:rsidR="00537ACE">
        <w:rPr>
          <w:lang w:val="en-GB"/>
        </w:rPr>
        <w:t>7</w:t>
      </w:r>
      <w:r w:rsidRPr="00191B3B">
        <w:rPr>
          <w:lang w:val="en-GB"/>
        </w:rPr>
        <w:br/>
      </w:r>
      <w:proofErr w:type="gramStart"/>
      <w:r w:rsidRPr="00191B3B">
        <w:rPr>
          <w:lang w:val="en-GB"/>
        </w:rPr>
        <w:t>This</w:t>
      </w:r>
      <w:proofErr w:type="gramEnd"/>
      <w:r w:rsidRPr="00191B3B">
        <w:rPr>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w:t>
      </w:r>
      <w:r w:rsidRPr="00537ACE">
        <w:rPr>
          <w:lang w:val="en-GB"/>
        </w:rPr>
        <w:t xml:space="preserve">disclaimer notices as part of that reproduction. Apart from rights to use as permitted by the </w:t>
      </w:r>
      <w:r w:rsidRPr="00537ACE">
        <w:rPr>
          <w:i/>
          <w:lang w:val="en-GB"/>
        </w:rPr>
        <w:t>Copyright Act 1968</w:t>
      </w:r>
      <w:r w:rsidRPr="00537ACE">
        <w:rPr>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537ACE">
        <w:rPr>
          <w:lang w:val="en-GB"/>
        </w:rPr>
        <w:t>Woden</w:t>
      </w:r>
      <w:proofErr w:type="spellEnd"/>
      <w:r w:rsidRPr="00537ACE">
        <w:rPr>
          <w:lang w:val="en-GB"/>
        </w:rPr>
        <w:t xml:space="preserve"> ACT 2606 or emailed to &lt;</w:t>
      </w:r>
      <w:hyperlink r:id="rId11" w:history="1">
        <w:r w:rsidRPr="00537ACE">
          <w:rPr>
            <w:rStyle w:val="Hyperlink"/>
            <w:lang w:val="en-GB"/>
          </w:rPr>
          <w:t>tga.copyright@tga.gov.au</w:t>
        </w:r>
      </w:hyperlink>
      <w:r w:rsidRPr="00537ACE">
        <w:t>&gt;.</w:t>
      </w:r>
    </w:p>
    <w:p w:rsidR="00924482" w:rsidRDefault="00924482" w:rsidP="00B469FC">
      <w:pPr>
        <w:pStyle w:val="LegalCopy"/>
        <w:spacing w:before="20"/>
        <w:sectPr w:rsidR="00924482" w:rsidSect="00537ACE">
          <w:headerReference w:type="default" r:id="rId12"/>
          <w:footerReference w:type="even" r:id="rId13"/>
          <w:footerReference w:type="default" r:id="rId14"/>
          <w:headerReference w:type="first" r:id="rId15"/>
          <w:pgSz w:w="11906" w:h="16838" w:code="9"/>
          <w:pgMar w:top="426" w:right="1701" w:bottom="0" w:left="1701" w:header="907" w:footer="618" w:gutter="0"/>
          <w:pgNumType w:start="1"/>
          <w:cols w:space="708"/>
          <w:titlePg/>
          <w:docGrid w:linePitch="360"/>
        </w:sectPr>
      </w:pPr>
    </w:p>
    <w:bookmarkStart w:id="2" w:name="_Toc196046425" w:displacedByCustomXml="next"/>
    <w:bookmarkStart w:id="3" w:name="_Toc247691501"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2D5471" w:rsidRDefault="0089635C" w:rsidP="00B469FC">
          <w:pPr>
            <w:pStyle w:val="Contents"/>
            <w:spacing w:before="20"/>
            <w:rPr>
              <w:noProof/>
            </w:rPr>
          </w:pPr>
          <w:r w:rsidRPr="0010788A">
            <w:t>Contents</w:t>
          </w:r>
          <w:r w:rsidR="004F4AF5">
            <w:rPr>
              <w:b w:val="0"/>
              <w:sz w:val="22"/>
            </w:rPr>
            <w:fldChar w:fldCharType="begin"/>
          </w:r>
          <w:r>
            <w:instrText xml:space="preserve"> TOC \o "1-3" \h \z \u </w:instrText>
          </w:r>
          <w:r w:rsidR="004F4AF5">
            <w:rPr>
              <w:b w:val="0"/>
              <w:sz w:val="22"/>
            </w:rPr>
            <w:fldChar w:fldCharType="separate"/>
          </w:r>
        </w:p>
        <w:p w:rsidR="002D5471" w:rsidRDefault="0097075D">
          <w:pPr>
            <w:pStyle w:val="TOC2"/>
            <w:rPr>
              <w:rFonts w:asciiTheme="minorHAnsi" w:eastAsiaTheme="minorEastAsia" w:hAnsiTheme="minorHAnsi" w:cstheme="minorBidi"/>
              <w:b w:val="0"/>
              <w:noProof/>
              <w:sz w:val="22"/>
              <w:lang w:eastAsia="en-AU"/>
            </w:rPr>
          </w:pPr>
          <w:hyperlink w:anchor="_Toc485825968" w:history="1">
            <w:r w:rsidR="002D5471" w:rsidRPr="0073469B">
              <w:rPr>
                <w:rStyle w:val="Hyperlink"/>
                <w:noProof/>
              </w:rPr>
              <w:t>List of abbreviations</w:t>
            </w:r>
            <w:r w:rsidR="002D5471">
              <w:rPr>
                <w:noProof/>
                <w:webHidden/>
              </w:rPr>
              <w:tab/>
            </w:r>
            <w:r w:rsidR="002D5471">
              <w:rPr>
                <w:noProof/>
                <w:webHidden/>
              </w:rPr>
              <w:fldChar w:fldCharType="begin"/>
            </w:r>
            <w:r w:rsidR="002D5471">
              <w:rPr>
                <w:noProof/>
                <w:webHidden/>
              </w:rPr>
              <w:instrText xml:space="preserve"> PAGEREF _Toc485825968 \h </w:instrText>
            </w:r>
            <w:r w:rsidR="002D5471">
              <w:rPr>
                <w:noProof/>
                <w:webHidden/>
              </w:rPr>
            </w:r>
            <w:r w:rsidR="002D5471">
              <w:rPr>
                <w:noProof/>
                <w:webHidden/>
              </w:rPr>
              <w:fldChar w:fldCharType="separate"/>
            </w:r>
            <w:r w:rsidR="002D5471">
              <w:rPr>
                <w:noProof/>
                <w:webHidden/>
              </w:rPr>
              <w:t>5</w:t>
            </w:r>
            <w:r w:rsidR="002D5471">
              <w:rPr>
                <w:noProof/>
                <w:webHidden/>
              </w:rPr>
              <w:fldChar w:fldCharType="end"/>
            </w:r>
          </w:hyperlink>
        </w:p>
        <w:p w:rsidR="002D5471" w:rsidRDefault="0097075D">
          <w:pPr>
            <w:pStyle w:val="TOC2"/>
            <w:tabs>
              <w:tab w:val="left" w:pos="1247"/>
            </w:tabs>
            <w:rPr>
              <w:rFonts w:asciiTheme="minorHAnsi" w:eastAsiaTheme="minorEastAsia" w:hAnsiTheme="minorHAnsi" w:cstheme="minorBidi"/>
              <w:b w:val="0"/>
              <w:noProof/>
              <w:sz w:val="22"/>
              <w:lang w:eastAsia="en-AU"/>
            </w:rPr>
          </w:pPr>
          <w:hyperlink w:anchor="_Toc485825969" w:history="1">
            <w:r w:rsidR="002D5471" w:rsidRPr="0073469B">
              <w:rPr>
                <w:rStyle w:val="Hyperlink"/>
                <w:noProof/>
                <w:lang w:eastAsia="en-AU"/>
              </w:rPr>
              <w:t>1.</w:t>
            </w:r>
            <w:r w:rsidR="002D5471">
              <w:rPr>
                <w:rFonts w:asciiTheme="minorHAnsi" w:eastAsiaTheme="minorEastAsia" w:hAnsiTheme="minorHAnsi" w:cstheme="minorBidi"/>
                <w:b w:val="0"/>
                <w:noProof/>
                <w:sz w:val="22"/>
                <w:lang w:eastAsia="en-AU"/>
              </w:rPr>
              <w:tab/>
            </w:r>
            <w:r w:rsidR="002D5471" w:rsidRPr="0073469B">
              <w:rPr>
                <w:rStyle w:val="Hyperlink"/>
                <w:noProof/>
                <w:lang w:eastAsia="en-AU"/>
              </w:rPr>
              <w:t>Introduction</w:t>
            </w:r>
            <w:r w:rsidR="002D5471">
              <w:rPr>
                <w:noProof/>
                <w:webHidden/>
              </w:rPr>
              <w:tab/>
            </w:r>
            <w:r w:rsidR="002D5471">
              <w:rPr>
                <w:noProof/>
                <w:webHidden/>
              </w:rPr>
              <w:fldChar w:fldCharType="begin"/>
            </w:r>
            <w:r w:rsidR="002D5471">
              <w:rPr>
                <w:noProof/>
                <w:webHidden/>
              </w:rPr>
              <w:instrText xml:space="preserve"> PAGEREF _Toc485825969 \h </w:instrText>
            </w:r>
            <w:r w:rsidR="002D5471">
              <w:rPr>
                <w:noProof/>
                <w:webHidden/>
              </w:rPr>
            </w:r>
            <w:r w:rsidR="002D5471">
              <w:rPr>
                <w:noProof/>
                <w:webHidden/>
              </w:rPr>
              <w:fldChar w:fldCharType="separate"/>
            </w:r>
            <w:r w:rsidR="002D5471">
              <w:rPr>
                <w:noProof/>
                <w:webHidden/>
              </w:rPr>
              <w:t>8</w:t>
            </w:r>
            <w:r w:rsidR="002D5471">
              <w:rPr>
                <w:noProof/>
                <w:webHidden/>
              </w:rPr>
              <w:fldChar w:fldCharType="end"/>
            </w:r>
          </w:hyperlink>
        </w:p>
        <w:p w:rsidR="002D5471" w:rsidRDefault="0097075D">
          <w:pPr>
            <w:pStyle w:val="TOC3"/>
            <w:tabs>
              <w:tab w:val="left" w:pos="1575"/>
            </w:tabs>
            <w:rPr>
              <w:rFonts w:asciiTheme="minorHAnsi" w:eastAsiaTheme="minorEastAsia" w:hAnsiTheme="minorHAnsi" w:cstheme="minorBidi"/>
              <w:noProof/>
              <w:lang w:eastAsia="en-AU"/>
            </w:rPr>
          </w:pPr>
          <w:hyperlink w:anchor="_Toc485825970" w:history="1">
            <w:r w:rsidR="002D5471" w:rsidRPr="0073469B">
              <w:rPr>
                <w:rStyle w:val="Hyperlink"/>
                <w:noProof/>
              </w:rPr>
              <w:t>1.1.</w:t>
            </w:r>
            <w:r w:rsidR="002D5471">
              <w:rPr>
                <w:rFonts w:asciiTheme="minorHAnsi" w:eastAsiaTheme="minorEastAsia" w:hAnsiTheme="minorHAnsi" w:cstheme="minorBidi"/>
                <w:noProof/>
                <w:lang w:eastAsia="en-AU"/>
              </w:rPr>
              <w:tab/>
            </w:r>
            <w:r w:rsidR="002D5471" w:rsidRPr="0073469B">
              <w:rPr>
                <w:rStyle w:val="Hyperlink"/>
                <w:noProof/>
              </w:rPr>
              <w:t>Drug class and therapeutic indication</w:t>
            </w:r>
            <w:r w:rsidR="002D5471">
              <w:rPr>
                <w:noProof/>
                <w:webHidden/>
              </w:rPr>
              <w:tab/>
            </w:r>
            <w:r w:rsidR="002D5471">
              <w:rPr>
                <w:noProof/>
                <w:webHidden/>
              </w:rPr>
              <w:fldChar w:fldCharType="begin"/>
            </w:r>
            <w:r w:rsidR="002D5471">
              <w:rPr>
                <w:noProof/>
                <w:webHidden/>
              </w:rPr>
              <w:instrText xml:space="preserve"> PAGEREF _Toc485825970 \h </w:instrText>
            </w:r>
            <w:r w:rsidR="002D5471">
              <w:rPr>
                <w:noProof/>
                <w:webHidden/>
              </w:rPr>
            </w:r>
            <w:r w:rsidR="002D5471">
              <w:rPr>
                <w:noProof/>
                <w:webHidden/>
              </w:rPr>
              <w:fldChar w:fldCharType="separate"/>
            </w:r>
            <w:r w:rsidR="002D5471">
              <w:rPr>
                <w:noProof/>
                <w:webHidden/>
              </w:rPr>
              <w:t>8</w:t>
            </w:r>
            <w:r w:rsidR="002D5471">
              <w:rPr>
                <w:noProof/>
                <w:webHidden/>
              </w:rPr>
              <w:fldChar w:fldCharType="end"/>
            </w:r>
          </w:hyperlink>
        </w:p>
        <w:p w:rsidR="002D5471" w:rsidRDefault="0097075D">
          <w:pPr>
            <w:pStyle w:val="TOC3"/>
            <w:tabs>
              <w:tab w:val="left" w:pos="1575"/>
            </w:tabs>
            <w:rPr>
              <w:rFonts w:asciiTheme="minorHAnsi" w:eastAsiaTheme="minorEastAsia" w:hAnsiTheme="minorHAnsi" w:cstheme="minorBidi"/>
              <w:noProof/>
              <w:lang w:eastAsia="en-AU"/>
            </w:rPr>
          </w:pPr>
          <w:hyperlink w:anchor="_Toc485825971" w:history="1">
            <w:r w:rsidR="002D5471" w:rsidRPr="0073469B">
              <w:rPr>
                <w:rStyle w:val="Hyperlink"/>
                <w:noProof/>
              </w:rPr>
              <w:t>1.2.</w:t>
            </w:r>
            <w:r w:rsidR="002D5471">
              <w:rPr>
                <w:rFonts w:asciiTheme="minorHAnsi" w:eastAsiaTheme="minorEastAsia" w:hAnsiTheme="minorHAnsi" w:cstheme="minorBidi"/>
                <w:noProof/>
                <w:lang w:eastAsia="en-AU"/>
              </w:rPr>
              <w:tab/>
            </w:r>
            <w:r w:rsidR="002D5471" w:rsidRPr="0073469B">
              <w:rPr>
                <w:rStyle w:val="Hyperlink"/>
                <w:noProof/>
              </w:rPr>
              <w:t>Dosage forms and strengths</w:t>
            </w:r>
            <w:r w:rsidR="002D5471">
              <w:rPr>
                <w:noProof/>
                <w:webHidden/>
              </w:rPr>
              <w:tab/>
            </w:r>
            <w:r w:rsidR="002D5471">
              <w:rPr>
                <w:noProof/>
                <w:webHidden/>
              </w:rPr>
              <w:fldChar w:fldCharType="begin"/>
            </w:r>
            <w:r w:rsidR="002D5471">
              <w:rPr>
                <w:noProof/>
                <w:webHidden/>
              </w:rPr>
              <w:instrText xml:space="preserve"> PAGEREF _Toc485825971 \h </w:instrText>
            </w:r>
            <w:r w:rsidR="002D5471">
              <w:rPr>
                <w:noProof/>
                <w:webHidden/>
              </w:rPr>
            </w:r>
            <w:r w:rsidR="002D5471">
              <w:rPr>
                <w:noProof/>
                <w:webHidden/>
              </w:rPr>
              <w:fldChar w:fldCharType="separate"/>
            </w:r>
            <w:r w:rsidR="002D5471">
              <w:rPr>
                <w:noProof/>
                <w:webHidden/>
              </w:rPr>
              <w:t>8</w:t>
            </w:r>
            <w:r w:rsidR="002D5471">
              <w:rPr>
                <w:noProof/>
                <w:webHidden/>
              </w:rPr>
              <w:fldChar w:fldCharType="end"/>
            </w:r>
          </w:hyperlink>
        </w:p>
        <w:p w:rsidR="002D5471" w:rsidRDefault="0097075D">
          <w:pPr>
            <w:pStyle w:val="TOC3"/>
            <w:tabs>
              <w:tab w:val="left" w:pos="1575"/>
            </w:tabs>
            <w:rPr>
              <w:rFonts w:asciiTheme="minorHAnsi" w:eastAsiaTheme="minorEastAsia" w:hAnsiTheme="minorHAnsi" w:cstheme="minorBidi"/>
              <w:noProof/>
              <w:lang w:eastAsia="en-AU"/>
            </w:rPr>
          </w:pPr>
          <w:hyperlink w:anchor="_Toc485825972" w:history="1">
            <w:r w:rsidR="002D5471" w:rsidRPr="0073469B">
              <w:rPr>
                <w:rStyle w:val="Hyperlink"/>
                <w:noProof/>
              </w:rPr>
              <w:t>1.3.</w:t>
            </w:r>
            <w:r w:rsidR="002D5471">
              <w:rPr>
                <w:rFonts w:asciiTheme="minorHAnsi" w:eastAsiaTheme="minorEastAsia" w:hAnsiTheme="minorHAnsi" w:cstheme="minorBidi"/>
                <w:noProof/>
                <w:lang w:eastAsia="en-AU"/>
              </w:rPr>
              <w:tab/>
            </w:r>
            <w:r w:rsidR="002D5471" w:rsidRPr="0073469B">
              <w:rPr>
                <w:rStyle w:val="Hyperlink"/>
                <w:noProof/>
              </w:rPr>
              <w:t>Dosage and administration</w:t>
            </w:r>
            <w:r w:rsidR="002D5471">
              <w:rPr>
                <w:noProof/>
                <w:webHidden/>
              </w:rPr>
              <w:tab/>
            </w:r>
            <w:r w:rsidR="002D5471">
              <w:rPr>
                <w:noProof/>
                <w:webHidden/>
              </w:rPr>
              <w:fldChar w:fldCharType="begin"/>
            </w:r>
            <w:r w:rsidR="002D5471">
              <w:rPr>
                <w:noProof/>
                <w:webHidden/>
              </w:rPr>
              <w:instrText xml:space="preserve"> PAGEREF _Toc485825972 \h </w:instrText>
            </w:r>
            <w:r w:rsidR="002D5471">
              <w:rPr>
                <w:noProof/>
                <w:webHidden/>
              </w:rPr>
            </w:r>
            <w:r w:rsidR="002D5471">
              <w:rPr>
                <w:noProof/>
                <w:webHidden/>
              </w:rPr>
              <w:fldChar w:fldCharType="separate"/>
            </w:r>
            <w:r w:rsidR="002D5471">
              <w:rPr>
                <w:noProof/>
                <w:webHidden/>
              </w:rPr>
              <w:t>8</w:t>
            </w:r>
            <w:r w:rsidR="002D5471">
              <w:rPr>
                <w:noProof/>
                <w:webHidden/>
              </w:rPr>
              <w:fldChar w:fldCharType="end"/>
            </w:r>
          </w:hyperlink>
        </w:p>
        <w:p w:rsidR="002D5471" w:rsidRDefault="0097075D">
          <w:pPr>
            <w:pStyle w:val="TOC3"/>
            <w:tabs>
              <w:tab w:val="left" w:pos="1575"/>
            </w:tabs>
            <w:rPr>
              <w:rFonts w:asciiTheme="minorHAnsi" w:eastAsiaTheme="minorEastAsia" w:hAnsiTheme="minorHAnsi" w:cstheme="minorBidi"/>
              <w:noProof/>
              <w:lang w:eastAsia="en-AU"/>
            </w:rPr>
          </w:pPr>
          <w:hyperlink w:anchor="_Toc485825973" w:history="1">
            <w:r w:rsidR="002D5471" w:rsidRPr="0073469B">
              <w:rPr>
                <w:rStyle w:val="Hyperlink"/>
                <w:noProof/>
              </w:rPr>
              <w:t>1.4.</w:t>
            </w:r>
            <w:r w:rsidR="002D5471">
              <w:rPr>
                <w:rFonts w:asciiTheme="minorHAnsi" w:eastAsiaTheme="minorEastAsia" w:hAnsiTheme="minorHAnsi" w:cstheme="minorBidi"/>
                <w:noProof/>
                <w:lang w:eastAsia="en-AU"/>
              </w:rPr>
              <w:tab/>
            </w:r>
            <w:r w:rsidR="002D5471" w:rsidRPr="0073469B">
              <w:rPr>
                <w:rStyle w:val="Hyperlink"/>
                <w:noProof/>
              </w:rPr>
              <w:t>Other proposed changes to the PI</w:t>
            </w:r>
            <w:r w:rsidR="002D5471">
              <w:rPr>
                <w:noProof/>
                <w:webHidden/>
              </w:rPr>
              <w:tab/>
            </w:r>
            <w:r w:rsidR="002D5471">
              <w:rPr>
                <w:noProof/>
                <w:webHidden/>
              </w:rPr>
              <w:fldChar w:fldCharType="begin"/>
            </w:r>
            <w:r w:rsidR="002D5471">
              <w:rPr>
                <w:noProof/>
                <w:webHidden/>
              </w:rPr>
              <w:instrText xml:space="preserve"> PAGEREF _Toc485825973 \h </w:instrText>
            </w:r>
            <w:r w:rsidR="002D5471">
              <w:rPr>
                <w:noProof/>
                <w:webHidden/>
              </w:rPr>
            </w:r>
            <w:r w:rsidR="002D5471">
              <w:rPr>
                <w:noProof/>
                <w:webHidden/>
              </w:rPr>
              <w:fldChar w:fldCharType="separate"/>
            </w:r>
            <w:r w:rsidR="002D5471">
              <w:rPr>
                <w:noProof/>
                <w:webHidden/>
              </w:rPr>
              <w:t>8</w:t>
            </w:r>
            <w:r w:rsidR="002D5471">
              <w:rPr>
                <w:noProof/>
                <w:webHidden/>
              </w:rPr>
              <w:fldChar w:fldCharType="end"/>
            </w:r>
          </w:hyperlink>
        </w:p>
        <w:p w:rsidR="002D5471" w:rsidRDefault="0097075D">
          <w:pPr>
            <w:pStyle w:val="TOC2"/>
            <w:tabs>
              <w:tab w:val="left" w:pos="1247"/>
            </w:tabs>
            <w:rPr>
              <w:rFonts w:asciiTheme="minorHAnsi" w:eastAsiaTheme="minorEastAsia" w:hAnsiTheme="minorHAnsi" w:cstheme="minorBidi"/>
              <w:b w:val="0"/>
              <w:noProof/>
              <w:sz w:val="22"/>
              <w:lang w:eastAsia="en-AU"/>
            </w:rPr>
          </w:pPr>
          <w:hyperlink w:anchor="_Toc485825974" w:history="1">
            <w:r w:rsidR="002D5471" w:rsidRPr="0073469B">
              <w:rPr>
                <w:rStyle w:val="Hyperlink"/>
                <w:noProof/>
              </w:rPr>
              <w:t>2.</w:t>
            </w:r>
            <w:r w:rsidR="002D5471">
              <w:rPr>
                <w:rFonts w:asciiTheme="minorHAnsi" w:eastAsiaTheme="minorEastAsia" w:hAnsiTheme="minorHAnsi" w:cstheme="minorBidi"/>
                <w:b w:val="0"/>
                <w:noProof/>
                <w:sz w:val="22"/>
                <w:lang w:eastAsia="en-AU"/>
              </w:rPr>
              <w:tab/>
            </w:r>
            <w:r w:rsidR="002D5471" w:rsidRPr="0073469B">
              <w:rPr>
                <w:rStyle w:val="Hyperlink"/>
                <w:noProof/>
              </w:rPr>
              <w:t>Clinical rationale</w:t>
            </w:r>
            <w:r w:rsidR="002D5471">
              <w:rPr>
                <w:noProof/>
                <w:webHidden/>
              </w:rPr>
              <w:tab/>
            </w:r>
            <w:r w:rsidR="002D5471">
              <w:rPr>
                <w:noProof/>
                <w:webHidden/>
              </w:rPr>
              <w:fldChar w:fldCharType="begin"/>
            </w:r>
            <w:r w:rsidR="002D5471">
              <w:rPr>
                <w:noProof/>
                <w:webHidden/>
              </w:rPr>
              <w:instrText xml:space="preserve"> PAGEREF _Toc485825974 \h </w:instrText>
            </w:r>
            <w:r w:rsidR="002D5471">
              <w:rPr>
                <w:noProof/>
                <w:webHidden/>
              </w:rPr>
            </w:r>
            <w:r w:rsidR="002D5471">
              <w:rPr>
                <w:noProof/>
                <w:webHidden/>
              </w:rPr>
              <w:fldChar w:fldCharType="separate"/>
            </w:r>
            <w:r w:rsidR="002D5471">
              <w:rPr>
                <w:noProof/>
                <w:webHidden/>
              </w:rPr>
              <w:t>8</w:t>
            </w:r>
            <w:r w:rsidR="002D5471">
              <w:rPr>
                <w:noProof/>
                <w:webHidden/>
              </w:rPr>
              <w:fldChar w:fldCharType="end"/>
            </w:r>
          </w:hyperlink>
        </w:p>
        <w:p w:rsidR="002D5471" w:rsidRDefault="0097075D">
          <w:pPr>
            <w:pStyle w:val="TOC2"/>
            <w:tabs>
              <w:tab w:val="left" w:pos="1247"/>
            </w:tabs>
            <w:rPr>
              <w:rFonts w:asciiTheme="minorHAnsi" w:eastAsiaTheme="minorEastAsia" w:hAnsiTheme="minorHAnsi" w:cstheme="minorBidi"/>
              <w:b w:val="0"/>
              <w:noProof/>
              <w:sz w:val="22"/>
              <w:lang w:eastAsia="en-AU"/>
            </w:rPr>
          </w:pPr>
          <w:hyperlink w:anchor="_Toc485825975" w:history="1">
            <w:r w:rsidR="002D5471" w:rsidRPr="0073469B">
              <w:rPr>
                <w:rStyle w:val="Hyperlink"/>
                <w:noProof/>
              </w:rPr>
              <w:t>3.</w:t>
            </w:r>
            <w:r w:rsidR="002D5471">
              <w:rPr>
                <w:rFonts w:asciiTheme="minorHAnsi" w:eastAsiaTheme="minorEastAsia" w:hAnsiTheme="minorHAnsi" w:cstheme="minorBidi"/>
                <w:b w:val="0"/>
                <w:noProof/>
                <w:sz w:val="22"/>
                <w:lang w:eastAsia="en-AU"/>
              </w:rPr>
              <w:tab/>
            </w:r>
            <w:r w:rsidR="002D5471" w:rsidRPr="0073469B">
              <w:rPr>
                <w:rStyle w:val="Hyperlink"/>
                <w:noProof/>
              </w:rPr>
              <w:t>Contents of the clinical dossier</w:t>
            </w:r>
            <w:r w:rsidR="002D5471">
              <w:rPr>
                <w:noProof/>
                <w:webHidden/>
              </w:rPr>
              <w:tab/>
            </w:r>
            <w:r w:rsidR="002D5471">
              <w:rPr>
                <w:noProof/>
                <w:webHidden/>
              </w:rPr>
              <w:fldChar w:fldCharType="begin"/>
            </w:r>
            <w:r w:rsidR="002D5471">
              <w:rPr>
                <w:noProof/>
                <w:webHidden/>
              </w:rPr>
              <w:instrText xml:space="preserve"> PAGEREF _Toc485825975 \h </w:instrText>
            </w:r>
            <w:r w:rsidR="002D5471">
              <w:rPr>
                <w:noProof/>
                <w:webHidden/>
              </w:rPr>
            </w:r>
            <w:r w:rsidR="002D5471">
              <w:rPr>
                <w:noProof/>
                <w:webHidden/>
              </w:rPr>
              <w:fldChar w:fldCharType="separate"/>
            </w:r>
            <w:r w:rsidR="002D5471">
              <w:rPr>
                <w:noProof/>
                <w:webHidden/>
              </w:rPr>
              <w:t>9</w:t>
            </w:r>
            <w:r w:rsidR="002D5471">
              <w:rPr>
                <w:noProof/>
                <w:webHidden/>
              </w:rPr>
              <w:fldChar w:fldCharType="end"/>
            </w:r>
          </w:hyperlink>
        </w:p>
        <w:p w:rsidR="002D5471" w:rsidRDefault="0097075D">
          <w:pPr>
            <w:pStyle w:val="TOC3"/>
            <w:tabs>
              <w:tab w:val="left" w:pos="1575"/>
            </w:tabs>
            <w:rPr>
              <w:rFonts w:asciiTheme="minorHAnsi" w:eastAsiaTheme="minorEastAsia" w:hAnsiTheme="minorHAnsi" w:cstheme="minorBidi"/>
              <w:noProof/>
              <w:lang w:eastAsia="en-AU"/>
            </w:rPr>
          </w:pPr>
          <w:hyperlink w:anchor="_Toc485825976" w:history="1">
            <w:r w:rsidR="002D5471" w:rsidRPr="0073469B">
              <w:rPr>
                <w:rStyle w:val="Hyperlink"/>
                <w:noProof/>
              </w:rPr>
              <w:t>3.1.</w:t>
            </w:r>
            <w:r w:rsidR="002D5471">
              <w:rPr>
                <w:rFonts w:asciiTheme="minorHAnsi" w:eastAsiaTheme="minorEastAsia" w:hAnsiTheme="minorHAnsi" w:cstheme="minorBidi"/>
                <w:noProof/>
                <w:lang w:eastAsia="en-AU"/>
              </w:rPr>
              <w:tab/>
            </w:r>
            <w:r w:rsidR="002D5471" w:rsidRPr="0073469B">
              <w:rPr>
                <w:rStyle w:val="Hyperlink"/>
                <w:noProof/>
              </w:rPr>
              <w:t>Scope of the clinical dossier</w:t>
            </w:r>
            <w:r w:rsidR="002D5471">
              <w:rPr>
                <w:noProof/>
                <w:webHidden/>
              </w:rPr>
              <w:tab/>
            </w:r>
            <w:r w:rsidR="002D5471">
              <w:rPr>
                <w:noProof/>
                <w:webHidden/>
              </w:rPr>
              <w:fldChar w:fldCharType="begin"/>
            </w:r>
            <w:r w:rsidR="002D5471">
              <w:rPr>
                <w:noProof/>
                <w:webHidden/>
              </w:rPr>
              <w:instrText xml:space="preserve"> PAGEREF _Toc485825976 \h </w:instrText>
            </w:r>
            <w:r w:rsidR="002D5471">
              <w:rPr>
                <w:noProof/>
                <w:webHidden/>
              </w:rPr>
            </w:r>
            <w:r w:rsidR="002D5471">
              <w:rPr>
                <w:noProof/>
                <w:webHidden/>
              </w:rPr>
              <w:fldChar w:fldCharType="separate"/>
            </w:r>
            <w:r w:rsidR="002D5471">
              <w:rPr>
                <w:noProof/>
                <w:webHidden/>
              </w:rPr>
              <w:t>9</w:t>
            </w:r>
            <w:r w:rsidR="002D5471">
              <w:rPr>
                <w:noProof/>
                <w:webHidden/>
              </w:rPr>
              <w:fldChar w:fldCharType="end"/>
            </w:r>
          </w:hyperlink>
        </w:p>
        <w:p w:rsidR="002D5471" w:rsidRDefault="0097075D">
          <w:pPr>
            <w:pStyle w:val="TOC3"/>
            <w:tabs>
              <w:tab w:val="left" w:pos="1575"/>
            </w:tabs>
            <w:rPr>
              <w:rFonts w:asciiTheme="minorHAnsi" w:eastAsiaTheme="minorEastAsia" w:hAnsiTheme="minorHAnsi" w:cstheme="minorBidi"/>
              <w:noProof/>
              <w:lang w:eastAsia="en-AU"/>
            </w:rPr>
          </w:pPr>
          <w:hyperlink w:anchor="_Toc485825977" w:history="1">
            <w:r w:rsidR="002D5471" w:rsidRPr="0073469B">
              <w:rPr>
                <w:rStyle w:val="Hyperlink"/>
                <w:noProof/>
              </w:rPr>
              <w:t>3.2.</w:t>
            </w:r>
            <w:r w:rsidR="002D5471">
              <w:rPr>
                <w:rFonts w:asciiTheme="minorHAnsi" w:eastAsiaTheme="minorEastAsia" w:hAnsiTheme="minorHAnsi" w:cstheme="minorBidi"/>
                <w:noProof/>
                <w:lang w:eastAsia="en-AU"/>
              </w:rPr>
              <w:tab/>
            </w:r>
            <w:r w:rsidR="002D5471" w:rsidRPr="0073469B">
              <w:rPr>
                <w:rStyle w:val="Hyperlink"/>
                <w:noProof/>
              </w:rPr>
              <w:t>Paediatric data</w:t>
            </w:r>
            <w:r w:rsidR="002D5471">
              <w:rPr>
                <w:noProof/>
                <w:webHidden/>
              </w:rPr>
              <w:tab/>
            </w:r>
            <w:r w:rsidR="002D5471">
              <w:rPr>
                <w:noProof/>
                <w:webHidden/>
              </w:rPr>
              <w:fldChar w:fldCharType="begin"/>
            </w:r>
            <w:r w:rsidR="002D5471">
              <w:rPr>
                <w:noProof/>
                <w:webHidden/>
              </w:rPr>
              <w:instrText xml:space="preserve"> PAGEREF _Toc485825977 \h </w:instrText>
            </w:r>
            <w:r w:rsidR="002D5471">
              <w:rPr>
                <w:noProof/>
                <w:webHidden/>
              </w:rPr>
            </w:r>
            <w:r w:rsidR="002D5471">
              <w:rPr>
                <w:noProof/>
                <w:webHidden/>
              </w:rPr>
              <w:fldChar w:fldCharType="separate"/>
            </w:r>
            <w:r w:rsidR="002D5471">
              <w:rPr>
                <w:noProof/>
                <w:webHidden/>
              </w:rPr>
              <w:t>9</w:t>
            </w:r>
            <w:r w:rsidR="002D5471">
              <w:rPr>
                <w:noProof/>
                <w:webHidden/>
              </w:rPr>
              <w:fldChar w:fldCharType="end"/>
            </w:r>
          </w:hyperlink>
        </w:p>
        <w:p w:rsidR="002D5471" w:rsidRDefault="0097075D">
          <w:pPr>
            <w:pStyle w:val="TOC3"/>
            <w:tabs>
              <w:tab w:val="left" w:pos="1575"/>
            </w:tabs>
            <w:rPr>
              <w:rFonts w:asciiTheme="minorHAnsi" w:eastAsiaTheme="minorEastAsia" w:hAnsiTheme="minorHAnsi" w:cstheme="minorBidi"/>
              <w:noProof/>
              <w:lang w:eastAsia="en-AU"/>
            </w:rPr>
          </w:pPr>
          <w:hyperlink w:anchor="_Toc485825978" w:history="1">
            <w:r w:rsidR="002D5471" w:rsidRPr="0073469B">
              <w:rPr>
                <w:rStyle w:val="Hyperlink"/>
                <w:noProof/>
              </w:rPr>
              <w:t>3.3.</w:t>
            </w:r>
            <w:r w:rsidR="002D5471">
              <w:rPr>
                <w:rFonts w:asciiTheme="minorHAnsi" w:eastAsiaTheme="minorEastAsia" w:hAnsiTheme="minorHAnsi" w:cstheme="minorBidi"/>
                <w:noProof/>
                <w:lang w:eastAsia="en-AU"/>
              </w:rPr>
              <w:tab/>
            </w:r>
            <w:r w:rsidR="002D5471" w:rsidRPr="0073469B">
              <w:rPr>
                <w:rStyle w:val="Hyperlink"/>
                <w:noProof/>
              </w:rPr>
              <w:t>Good clinical practice</w:t>
            </w:r>
            <w:r w:rsidR="002D5471">
              <w:rPr>
                <w:noProof/>
                <w:webHidden/>
              </w:rPr>
              <w:tab/>
            </w:r>
            <w:r w:rsidR="002D5471">
              <w:rPr>
                <w:noProof/>
                <w:webHidden/>
              </w:rPr>
              <w:fldChar w:fldCharType="begin"/>
            </w:r>
            <w:r w:rsidR="002D5471">
              <w:rPr>
                <w:noProof/>
                <w:webHidden/>
              </w:rPr>
              <w:instrText xml:space="preserve"> PAGEREF _Toc485825978 \h </w:instrText>
            </w:r>
            <w:r w:rsidR="002D5471">
              <w:rPr>
                <w:noProof/>
                <w:webHidden/>
              </w:rPr>
            </w:r>
            <w:r w:rsidR="002D5471">
              <w:rPr>
                <w:noProof/>
                <w:webHidden/>
              </w:rPr>
              <w:fldChar w:fldCharType="separate"/>
            </w:r>
            <w:r w:rsidR="002D5471">
              <w:rPr>
                <w:noProof/>
                <w:webHidden/>
              </w:rPr>
              <w:t>9</w:t>
            </w:r>
            <w:r w:rsidR="002D5471">
              <w:rPr>
                <w:noProof/>
                <w:webHidden/>
              </w:rPr>
              <w:fldChar w:fldCharType="end"/>
            </w:r>
          </w:hyperlink>
        </w:p>
        <w:p w:rsidR="002D5471" w:rsidRDefault="0097075D">
          <w:pPr>
            <w:pStyle w:val="TOC2"/>
            <w:tabs>
              <w:tab w:val="left" w:pos="1247"/>
            </w:tabs>
            <w:rPr>
              <w:rFonts w:asciiTheme="minorHAnsi" w:eastAsiaTheme="minorEastAsia" w:hAnsiTheme="minorHAnsi" w:cstheme="minorBidi"/>
              <w:b w:val="0"/>
              <w:noProof/>
              <w:sz w:val="22"/>
              <w:lang w:eastAsia="en-AU"/>
            </w:rPr>
          </w:pPr>
          <w:hyperlink w:anchor="_Toc485825979" w:history="1">
            <w:r w:rsidR="002D5471" w:rsidRPr="0073469B">
              <w:rPr>
                <w:rStyle w:val="Hyperlink"/>
                <w:noProof/>
              </w:rPr>
              <w:t>4.</w:t>
            </w:r>
            <w:r w:rsidR="002D5471">
              <w:rPr>
                <w:rFonts w:asciiTheme="minorHAnsi" w:eastAsiaTheme="minorEastAsia" w:hAnsiTheme="minorHAnsi" w:cstheme="minorBidi"/>
                <w:b w:val="0"/>
                <w:noProof/>
                <w:sz w:val="22"/>
                <w:lang w:eastAsia="en-AU"/>
              </w:rPr>
              <w:tab/>
            </w:r>
            <w:r w:rsidR="002D5471" w:rsidRPr="0073469B">
              <w:rPr>
                <w:rStyle w:val="Hyperlink"/>
                <w:noProof/>
              </w:rPr>
              <w:t>Pharmacokinetics</w:t>
            </w:r>
            <w:r w:rsidR="002D5471">
              <w:rPr>
                <w:noProof/>
                <w:webHidden/>
              </w:rPr>
              <w:tab/>
            </w:r>
            <w:r w:rsidR="002D5471">
              <w:rPr>
                <w:noProof/>
                <w:webHidden/>
              </w:rPr>
              <w:fldChar w:fldCharType="begin"/>
            </w:r>
            <w:r w:rsidR="002D5471">
              <w:rPr>
                <w:noProof/>
                <w:webHidden/>
              </w:rPr>
              <w:instrText xml:space="preserve"> PAGEREF _Toc485825979 \h </w:instrText>
            </w:r>
            <w:r w:rsidR="002D5471">
              <w:rPr>
                <w:noProof/>
                <w:webHidden/>
              </w:rPr>
            </w:r>
            <w:r w:rsidR="002D5471">
              <w:rPr>
                <w:noProof/>
                <w:webHidden/>
              </w:rPr>
              <w:fldChar w:fldCharType="separate"/>
            </w:r>
            <w:r w:rsidR="002D5471">
              <w:rPr>
                <w:noProof/>
                <w:webHidden/>
              </w:rPr>
              <w:t>9</w:t>
            </w:r>
            <w:r w:rsidR="002D5471">
              <w:rPr>
                <w:noProof/>
                <w:webHidden/>
              </w:rPr>
              <w:fldChar w:fldCharType="end"/>
            </w:r>
          </w:hyperlink>
        </w:p>
        <w:p w:rsidR="002D5471" w:rsidRDefault="0097075D">
          <w:pPr>
            <w:pStyle w:val="TOC3"/>
            <w:tabs>
              <w:tab w:val="left" w:pos="1575"/>
            </w:tabs>
            <w:rPr>
              <w:rFonts w:asciiTheme="minorHAnsi" w:eastAsiaTheme="minorEastAsia" w:hAnsiTheme="minorHAnsi" w:cstheme="minorBidi"/>
              <w:noProof/>
              <w:lang w:eastAsia="en-AU"/>
            </w:rPr>
          </w:pPr>
          <w:hyperlink w:anchor="_Toc485825980" w:history="1">
            <w:r w:rsidR="002D5471" w:rsidRPr="0073469B">
              <w:rPr>
                <w:rStyle w:val="Hyperlink"/>
                <w:noProof/>
              </w:rPr>
              <w:t>4.1.</w:t>
            </w:r>
            <w:r w:rsidR="002D5471">
              <w:rPr>
                <w:rFonts w:asciiTheme="minorHAnsi" w:eastAsiaTheme="minorEastAsia" w:hAnsiTheme="minorHAnsi" w:cstheme="minorBidi"/>
                <w:noProof/>
                <w:lang w:eastAsia="en-AU"/>
              </w:rPr>
              <w:tab/>
            </w:r>
            <w:r w:rsidR="002D5471" w:rsidRPr="0073469B">
              <w:rPr>
                <w:rStyle w:val="Hyperlink"/>
                <w:noProof/>
              </w:rPr>
              <w:t>Summary of pharmacokinetics</w:t>
            </w:r>
            <w:r w:rsidR="002D5471">
              <w:rPr>
                <w:noProof/>
                <w:webHidden/>
              </w:rPr>
              <w:tab/>
            </w:r>
            <w:r w:rsidR="002D5471">
              <w:rPr>
                <w:noProof/>
                <w:webHidden/>
              </w:rPr>
              <w:fldChar w:fldCharType="begin"/>
            </w:r>
            <w:r w:rsidR="002D5471">
              <w:rPr>
                <w:noProof/>
                <w:webHidden/>
              </w:rPr>
              <w:instrText xml:space="preserve"> PAGEREF _Toc485825980 \h </w:instrText>
            </w:r>
            <w:r w:rsidR="002D5471">
              <w:rPr>
                <w:noProof/>
                <w:webHidden/>
              </w:rPr>
            </w:r>
            <w:r w:rsidR="002D5471">
              <w:rPr>
                <w:noProof/>
                <w:webHidden/>
              </w:rPr>
              <w:fldChar w:fldCharType="separate"/>
            </w:r>
            <w:r w:rsidR="002D5471">
              <w:rPr>
                <w:noProof/>
                <w:webHidden/>
              </w:rPr>
              <w:t>10</w:t>
            </w:r>
            <w:r w:rsidR="002D5471">
              <w:rPr>
                <w:noProof/>
                <w:webHidden/>
              </w:rPr>
              <w:fldChar w:fldCharType="end"/>
            </w:r>
          </w:hyperlink>
        </w:p>
        <w:p w:rsidR="002D5471" w:rsidRDefault="0097075D">
          <w:pPr>
            <w:pStyle w:val="TOC3"/>
            <w:tabs>
              <w:tab w:val="left" w:pos="1575"/>
            </w:tabs>
            <w:rPr>
              <w:rFonts w:asciiTheme="minorHAnsi" w:eastAsiaTheme="minorEastAsia" w:hAnsiTheme="minorHAnsi" w:cstheme="minorBidi"/>
              <w:noProof/>
              <w:lang w:eastAsia="en-AU"/>
            </w:rPr>
          </w:pPr>
          <w:hyperlink w:anchor="_Toc485825981" w:history="1">
            <w:r w:rsidR="002D5471" w:rsidRPr="0073469B">
              <w:rPr>
                <w:rStyle w:val="Hyperlink"/>
                <w:noProof/>
              </w:rPr>
              <w:t>4.2.</w:t>
            </w:r>
            <w:r w:rsidR="002D5471">
              <w:rPr>
                <w:rFonts w:asciiTheme="minorHAnsi" w:eastAsiaTheme="minorEastAsia" w:hAnsiTheme="minorHAnsi" w:cstheme="minorBidi"/>
                <w:noProof/>
                <w:lang w:eastAsia="en-AU"/>
              </w:rPr>
              <w:tab/>
            </w:r>
            <w:r w:rsidR="002D5471" w:rsidRPr="0073469B">
              <w:rPr>
                <w:rStyle w:val="Hyperlink"/>
                <w:noProof/>
              </w:rPr>
              <w:t>Evaluator’s overall conclusions on pharmacokinetics</w:t>
            </w:r>
            <w:r w:rsidR="002D5471">
              <w:rPr>
                <w:noProof/>
                <w:webHidden/>
              </w:rPr>
              <w:tab/>
            </w:r>
            <w:r w:rsidR="002D5471">
              <w:rPr>
                <w:noProof/>
                <w:webHidden/>
              </w:rPr>
              <w:fldChar w:fldCharType="begin"/>
            </w:r>
            <w:r w:rsidR="002D5471">
              <w:rPr>
                <w:noProof/>
                <w:webHidden/>
              </w:rPr>
              <w:instrText xml:space="preserve"> PAGEREF _Toc485825981 \h </w:instrText>
            </w:r>
            <w:r w:rsidR="002D5471">
              <w:rPr>
                <w:noProof/>
                <w:webHidden/>
              </w:rPr>
            </w:r>
            <w:r w:rsidR="002D5471">
              <w:rPr>
                <w:noProof/>
                <w:webHidden/>
              </w:rPr>
              <w:fldChar w:fldCharType="separate"/>
            </w:r>
            <w:r w:rsidR="002D5471">
              <w:rPr>
                <w:noProof/>
                <w:webHidden/>
              </w:rPr>
              <w:t>14</w:t>
            </w:r>
            <w:r w:rsidR="002D5471">
              <w:rPr>
                <w:noProof/>
                <w:webHidden/>
              </w:rPr>
              <w:fldChar w:fldCharType="end"/>
            </w:r>
          </w:hyperlink>
        </w:p>
        <w:p w:rsidR="002D5471" w:rsidRDefault="0097075D">
          <w:pPr>
            <w:pStyle w:val="TOC2"/>
            <w:tabs>
              <w:tab w:val="left" w:pos="1247"/>
            </w:tabs>
            <w:rPr>
              <w:rFonts w:asciiTheme="minorHAnsi" w:eastAsiaTheme="minorEastAsia" w:hAnsiTheme="minorHAnsi" w:cstheme="minorBidi"/>
              <w:b w:val="0"/>
              <w:noProof/>
              <w:sz w:val="22"/>
              <w:lang w:eastAsia="en-AU"/>
            </w:rPr>
          </w:pPr>
          <w:hyperlink w:anchor="_Toc485825982" w:history="1">
            <w:r w:rsidR="002D5471" w:rsidRPr="0073469B">
              <w:rPr>
                <w:rStyle w:val="Hyperlink"/>
                <w:noProof/>
              </w:rPr>
              <w:t>5.</w:t>
            </w:r>
            <w:r w:rsidR="002D5471">
              <w:rPr>
                <w:rFonts w:asciiTheme="minorHAnsi" w:eastAsiaTheme="minorEastAsia" w:hAnsiTheme="minorHAnsi" w:cstheme="minorBidi"/>
                <w:b w:val="0"/>
                <w:noProof/>
                <w:sz w:val="22"/>
                <w:lang w:eastAsia="en-AU"/>
              </w:rPr>
              <w:tab/>
            </w:r>
            <w:r w:rsidR="002D5471" w:rsidRPr="0073469B">
              <w:rPr>
                <w:rStyle w:val="Hyperlink"/>
                <w:noProof/>
              </w:rPr>
              <w:t>Pharmacodynamics</w:t>
            </w:r>
            <w:r w:rsidR="002D5471">
              <w:rPr>
                <w:noProof/>
                <w:webHidden/>
              </w:rPr>
              <w:tab/>
            </w:r>
            <w:r w:rsidR="002D5471">
              <w:rPr>
                <w:noProof/>
                <w:webHidden/>
              </w:rPr>
              <w:fldChar w:fldCharType="begin"/>
            </w:r>
            <w:r w:rsidR="002D5471">
              <w:rPr>
                <w:noProof/>
                <w:webHidden/>
              </w:rPr>
              <w:instrText xml:space="preserve"> PAGEREF _Toc485825982 \h </w:instrText>
            </w:r>
            <w:r w:rsidR="002D5471">
              <w:rPr>
                <w:noProof/>
                <w:webHidden/>
              </w:rPr>
            </w:r>
            <w:r w:rsidR="002D5471">
              <w:rPr>
                <w:noProof/>
                <w:webHidden/>
              </w:rPr>
              <w:fldChar w:fldCharType="separate"/>
            </w:r>
            <w:r w:rsidR="002D5471">
              <w:rPr>
                <w:noProof/>
                <w:webHidden/>
              </w:rPr>
              <w:t>15</w:t>
            </w:r>
            <w:r w:rsidR="002D5471">
              <w:rPr>
                <w:noProof/>
                <w:webHidden/>
              </w:rPr>
              <w:fldChar w:fldCharType="end"/>
            </w:r>
          </w:hyperlink>
        </w:p>
        <w:p w:rsidR="002D5471" w:rsidRDefault="0097075D">
          <w:pPr>
            <w:pStyle w:val="TOC3"/>
            <w:tabs>
              <w:tab w:val="left" w:pos="1575"/>
            </w:tabs>
            <w:rPr>
              <w:rFonts w:asciiTheme="minorHAnsi" w:eastAsiaTheme="minorEastAsia" w:hAnsiTheme="minorHAnsi" w:cstheme="minorBidi"/>
              <w:noProof/>
              <w:lang w:eastAsia="en-AU"/>
            </w:rPr>
          </w:pPr>
          <w:hyperlink w:anchor="_Toc485825983" w:history="1">
            <w:r w:rsidR="002D5471" w:rsidRPr="0073469B">
              <w:rPr>
                <w:rStyle w:val="Hyperlink"/>
                <w:noProof/>
              </w:rPr>
              <w:t>5.1.</w:t>
            </w:r>
            <w:r w:rsidR="002D5471">
              <w:rPr>
                <w:rFonts w:asciiTheme="minorHAnsi" w:eastAsiaTheme="minorEastAsia" w:hAnsiTheme="minorHAnsi" w:cstheme="minorBidi"/>
                <w:noProof/>
                <w:lang w:eastAsia="en-AU"/>
              </w:rPr>
              <w:tab/>
            </w:r>
            <w:r w:rsidR="002D5471" w:rsidRPr="0073469B">
              <w:rPr>
                <w:rStyle w:val="Hyperlink"/>
                <w:noProof/>
              </w:rPr>
              <w:t>Studies providing pharmacodynamic data</w:t>
            </w:r>
            <w:r w:rsidR="002D5471">
              <w:rPr>
                <w:noProof/>
                <w:webHidden/>
              </w:rPr>
              <w:tab/>
            </w:r>
            <w:r w:rsidR="002D5471">
              <w:rPr>
                <w:noProof/>
                <w:webHidden/>
              </w:rPr>
              <w:fldChar w:fldCharType="begin"/>
            </w:r>
            <w:r w:rsidR="002D5471">
              <w:rPr>
                <w:noProof/>
                <w:webHidden/>
              </w:rPr>
              <w:instrText xml:space="preserve"> PAGEREF _Toc485825983 \h </w:instrText>
            </w:r>
            <w:r w:rsidR="002D5471">
              <w:rPr>
                <w:noProof/>
                <w:webHidden/>
              </w:rPr>
            </w:r>
            <w:r w:rsidR="002D5471">
              <w:rPr>
                <w:noProof/>
                <w:webHidden/>
              </w:rPr>
              <w:fldChar w:fldCharType="separate"/>
            </w:r>
            <w:r w:rsidR="002D5471">
              <w:rPr>
                <w:noProof/>
                <w:webHidden/>
              </w:rPr>
              <w:t>15</w:t>
            </w:r>
            <w:r w:rsidR="002D5471">
              <w:rPr>
                <w:noProof/>
                <w:webHidden/>
              </w:rPr>
              <w:fldChar w:fldCharType="end"/>
            </w:r>
          </w:hyperlink>
        </w:p>
        <w:p w:rsidR="002D5471" w:rsidRDefault="0097075D">
          <w:pPr>
            <w:pStyle w:val="TOC3"/>
            <w:tabs>
              <w:tab w:val="left" w:pos="1575"/>
            </w:tabs>
            <w:rPr>
              <w:rFonts w:asciiTheme="minorHAnsi" w:eastAsiaTheme="minorEastAsia" w:hAnsiTheme="minorHAnsi" w:cstheme="minorBidi"/>
              <w:noProof/>
              <w:lang w:eastAsia="en-AU"/>
            </w:rPr>
          </w:pPr>
          <w:hyperlink w:anchor="_Toc485825984" w:history="1">
            <w:r w:rsidR="002D5471" w:rsidRPr="0073469B">
              <w:rPr>
                <w:rStyle w:val="Hyperlink"/>
                <w:noProof/>
              </w:rPr>
              <w:t>5.2.</w:t>
            </w:r>
            <w:r w:rsidR="002D5471">
              <w:rPr>
                <w:rFonts w:asciiTheme="minorHAnsi" w:eastAsiaTheme="minorEastAsia" w:hAnsiTheme="minorHAnsi" w:cstheme="minorBidi"/>
                <w:noProof/>
                <w:lang w:eastAsia="en-AU"/>
              </w:rPr>
              <w:tab/>
            </w:r>
            <w:r w:rsidR="002D5471" w:rsidRPr="0073469B">
              <w:rPr>
                <w:rStyle w:val="Hyperlink"/>
                <w:noProof/>
              </w:rPr>
              <w:t>Summary of pharmacodynamics</w:t>
            </w:r>
            <w:r w:rsidR="002D5471">
              <w:rPr>
                <w:noProof/>
                <w:webHidden/>
              </w:rPr>
              <w:tab/>
            </w:r>
            <w:r w:rsidR="002D5471">
              <w:rPr>
                <w:noProof/>
                <w:webHidden/>
              </w:rPr>
              <w:fldChar w:fldCharType="begin"/>
            </w:r>
            <w:r w:rsidR="002D5471">
              <w:rPr>
                <w:noProof/>
                <w:webHidden/>
              </w:rPr>
              <w:instrText xml:space="preserve"> PAGEREF _Toc485825984 \h </w:instrText>
            </w:r>
            <w:r w:rsidR="002D5471">
              <w:rPr>
                <w:noProof/>
                <w:webHidden/>
              </w:rPr>
            </w:r>
            <w:r w:rsidR="002D5471">
              <w:rPr>
                <w:noProof/>
                <w:webHidden/>
              </w:rPr>
              <w:fldChar w:fldCharType="separate"/>
            </w:r>
            <w:r w:rsidR="002D5471">
              <w:rPr>
                <w:noProof/>
                <w:webHidden/>
              </w:rPr>
              <w:t>15</w:t>
            </w:r>
            <w:r w:rsidR="002D5471">
              <w:rPr>
                <w:noProof/>
                <w:webHidden/>
              </w:rPr>
              <w:fldChar w:fldCharType="end"/>
            </w:r>
          </w:hyperlink>
        </w:p>
        <w:p w:rsidR="002D5471" w:rsidRDefault="0097075D">
          <w:pPr>
            <w:pStyle w:val="TOC3"/>
            <w:tabs>
              <w:tab w:val="left" w:pos="1575"/>
            </w:tabs>
            <w:rPr>
              <w:rFonts w:asciiTheme="minorHAnsi" w:eastAsiaTheme="minorEastAsia" w:hAnsiTheme="minorHAnsi" w:cstheme="minorBidi"/>
              <w:noProof/>
              <w:lang w:eastAsia="en-AU"/>
            </w:rPr>
          </w:pPr>
          <w:hyperlink w:anchor="_Toc485825985" w:history="1">
            <w:r w:rsidR="002D5471" w:rsidRPr="0073469B">
              <w:rPr>
                <w:rStyle w:val="Hyperlink"/>
                <w:noProof/>
              </w:rPr>
              <w:t>5.3.</w:t>
            </w:r>
            <w:r w:rsidR="002D5471">
              <w:rPr>
                <w:rFonts w:asciiTheme="minorHAnsi" w:eastAsiaTheme="minorEastAsia" w:hAnsiTheme="minorHAnsi" w:cstheme="minorBidi"/>
                <w:noProof/>
                <w:lang w:eastAsia="en-AU"/>
              </w:rPr>
              <w:tab/>
            </w:r>
            <w:r w:rsidR="002D5471" w:rsidRPr="0073469B">
              <w:rPr>
                <w:rStyle w:val="Hyperlink"/>
                <w:noProof/>
              </w:rPr>
              <w:t>Evaluator’s overall conclusions on pharmacodynamics</w:t>
            </w:r>
            <w:r w:rsidR="002D5471">
              <w:rPr>
                <w:noProof/>
                <w:webHidden/>
              </w:rPr>
              <w:tab/>
            </w:r>
            <w:r w:rsidR="002D5471">
              <w:rPr>
                <w:noProof/>
                <w:webHidden/>
              </w:rPr>
              <w:fldChar w:fldCharType="begin"/>
            </w:r>
            <w:r w:rsidR="002D5471">
              <w:rPr>
                <w:noProof/>
                <w:webHidden/>
              </w:rPr>
              <w:instrText xml:space="preserve"> PAGEREF _Toc485825985 \h </w:instrText>
            </w:r>
            <w:r w:rsidR="002D5471">
              <w:rPr>
                <w:noProof/>
                <w:webHidden/>
              </w:rPr>
            </w:r>
            <w:r w:rsidR="002D5471">
              <w:rPr>
                <w:noProof/>
                <w:webHidden/>
              </w:rPr>
              <w:fldChar w:fldCharType="separate"/>
            </w:r>
            <w:r w:rsidR="002D5471">
              <w:rPr>
                <w:noProof/>
                <w:webHidden/>
              </w:rPr>
              <w:t>17</w:t>
            </w:r>
            <w:r w:rsidR="002D5471">
              <w:rPr>
                <w:noProof/>
                <w:webHidden/>
              </w:rPr>
              <w:fldChar w:fldCharType="end"/>
            </w:r>
          </w:hyperlink>
        </w:p>
        <w:p w:rsidR="002D5471" w:rsidRDefault="0097075D">
          <w:pPr>
            <w:pStyle w:val="TOC2"/>
            <w:tabs>
              <w:tab w:val="left" w:pos="1247"/>
            </w:tabs>
            <w:rPr>
              <w:rFonts w:asciiTheme="minorHAnsi" w:eastAsiaTheme="minorEastAsia" w:hAnsiTheme="minorHAnsi" w:cstheme="minorBidi"/>
              <w:b w:val="0"/>
              <w:noProof/>
              <w:sz w:val="22"/>
              <w:lang w:eastAsia="en-AU"/>
            </w:rPr>
          </w:pPr>
          <w:hyperlink w:anchor="_Toc485825986" w:history="1">
            <w:r w:rsidR="002D5471" w:rsidRPr="0073469B">
              <w:rPr>
                <w:rStyle w:val="Hyperlink"/>
                <w:noProof/>
              </w:rPr>
              <w:t>6.</w:t>
            </w:r>
            <w:r w:rsidR="002D5471">
              <w:rPr>
                <w:rFonts w:asciiTheme="minorHAnsi" w:eastAsiaTheme="minorEastAsia" w:hAnsiTheme="minorHAnsi" w:cstheme="minorBidi"/>
                <w:b w:val="0"/>
                <w:noProof/>
                <w:sz w:val="22"/>
                <w:lang w:eastAsia="en-AU"/>
              </w:rPr>
              <w:tab/>
            </w:r>
            <w:r w:rsidR="002D5471" w:rsidRPr="0073469B">
              <w:rPr>
                <w:rStyle w:val="Hyperlink"/>
                <w:noProof/>
              </w:rPr>
              <w:t>Dosage selection for the pivotal studies</w:t>
            </w:r>
            <w:r w:rsidR="002D5471">
              <w:rPr>
                <w:noProof/>
                <w:webHidden/>
              </w:rPr>
              <w:tab/>
            </w:r>
            <w:r w:rsidR="002D5471">
              <w:rPr>
                <w:noProof/>
                <w:webHidden/>
              </w:rPr>
              <w:fldChar w:fldCharType="begin"/>
            </w:r>
            <w:r w:rsidR="002D5471">
              <w:rPr>
                <w:noProof/>
                <w:webHidden/>
              </w:rPr>
              <w:instrText xml:space="preserve"> PAGEREF _Toc485825986 \h </w:instrText>
            </w:r>
            <w:r w:rsidR="002D5471">
              <w:rPr>
                <w:noProof/>
                <w:webHidden/>
              </w:rPr>
            </w:r>
            <w:r w:rsidR="002D5471">
              <w:rPr>
                <w:noProof/>
                <w:webHidden/>
              </w:rPr>
              <w:fldChar w:fldCharType="separate"/>
            </w:r>
            <w:r w:rsidR="002D5471">
              <w:rPr>
                <w:noProof/>
                <w:webHidden/>
              </w:rPr>
              <w:t>17</w:t>
            </w:r>
            <w:r w:rsidR="002D5471">
              <w:rPr>
                <w:noProof/>
                <w:webHidden/>
              </w:rPr>
              <w:fldChar w:fldCharType="end"/>
            </w:r>
          </w:hyperlink>
        </w:p>
        <w:p w:rsidR="002D5471" w:rsidRDefault="0097075D">
          <w:pPr>
            <w:pStyle w:val="TOC2"/>
            <w:tabs>
              <w:tab w:val="left" w:pos="1247"/>
            </w:tabs>
            <w:rPr>
              <w:rFonts w:asciiTheme="minorHAnsi" w:eastAsiaTheme="minorEastAsia" w:hAnsiTheme="minorHAnsi" w:cstheme="minorBidi"/>
              <w:b w:val="0"/>
              <w:noProof/>
              <w:sz w:val="22"/>
              <w:lang w:eastAsia="en-AU"/>
            </w:rPr>
          </w:pPr>
          <w:hyperlink w:anchor="_Toc485825987" w:history="1">
            <w:r w:rsidR="002D5471" w:rsidRPr="0073469B">
              <w:rPr>
                <w:rStyle w:val="Hyperlink"/>
                <w:noProof/>
              </w:rPr>
              <w:t>7.</w:t>
            </w:r>
            <w:r w:rsidR="002D5471">
              <w:rPr>
                <w:rFonts w:asciiTheme="minorHAnsi" w:eastAsiaTheme="minorEastAsia" w:hAnsiTheme="minorHAnsi" w:cstheme="minorBidi"/>
                <w:b w:val="0"/>
                <w:noProof/>
                <w:sz w:val="22"/>
                <w:lang w:eastAsia="en-AU"/>
              </w:rPr>
              <w:tab/>
            </w:r>
            <w:r w:rsidR="002D5471" w:rsidRPr="0073469B">
              <w:rPr>
                <w:rStyle w:val="Hyperlink"/>
                <w:noProof/>
              </w:rPr>
              <w:t>Clinical efficacy</w:t>
            </w:r>
            <w:r w:rsidR="002D5471">
              <w:rPr>
                <w:noProof/>
                <w:webHidden/>
              </w:rPr>
              <w:tab/>
            </w:r>
            <w:r w:rsidR="002D5471">
              <w:rPr>
                <w:noProof/>
                <w:webHidden/>
              </w:rPr>
              <w:fldChar w:fldCharType="begin"/>
            </w:r>
            <w:r w:rsidR="002D5471">
              <w:rPr>
                <w:noProof/>
                <w:webHidden/>
              </w:rPr>
              <w:instrText xml:space="preserve"> PAGEREF _Toc485825987 \h </w:instrText>
            </w:r>
            <w:r w:rsidR="002D5471">
              <w:rPr>
                <w:noProof/>
                <w:webHidden/>
              </w:rPr>
            </w:r>
            <w:r w:rsidR="002D5471">
              <w:rPr>
                <w:noProof/>
                <w:webHidden/>
              </w:rPr>
              <w:fldChar w:fldCharType="separate"/>
            </w:r>
            <w:r w:rsidR="002D5471">
              <w:rPr>
                <w:noProof/>
                <w:webHidden/>
              </w:rPr>
              <w:t>17</w:t>
            </w:r>
            <w:r w:rsidR="002D5471">
              <w:rPr>
                <w:noProof/>
                <w:webHidden/>
              </w:rPr>
              <w:fldChar w:fldCharType="end"/>
            </w:r>
          </w:hyperlink>
        </w:p>
        <w:p w:rsidR="002D5471" w:rsidRDefault="0097075D">
          <w:pPr>
            <w:pStyle w:val="TOC3"/>
            <w:tabs>
              <w:tab w:val="left" w:pos="1575"/>
            </w:tabs>
            <w:rPr>
              <w:rFonts w:asciiTheme="minorHAnsi" w:eastAsiaTheme="minorEastAsia" w:hAnsiTheme="minorHAnsi" w:cstheme="minorBidi"/>
              <w:noProof/>
              <w:lang w:eastAsia="en-AU"/>
            </w:rPr>
          </w:pPr>
          <w:hyperlink w:anchor="_Toc485825988" w:history="1">
            <w:r w:rsidR="002D5471" w:rsidRPr="0073469B">
              <w:rPr>
                <w:rStyle w:val="Hyperlink"/>
                <w:noProof/>
              </w:rPr>
              <w:t>7.1.</w:t>
            </w:r>
            <w:r w:rsidR="002D5471">
              <w:rPr>
                <w:rFonts w:asciiTheme="minorHAnsi" w:eastAsiaTheme="minorEastAsia" w:hAnsiTheme="minorHAnsi" w:cstheme="minorBidi"/>
                <w:noProof/>
                <w:lang w:eastAsia="en-AU"/>
              </w:rPr>
              <w:tab/>
            </w:r>
            <w:r w:rsidR="002D5471" w:rsidRPr="0073469B">
              <w:rPr>
                <w:rStyle w:val="Hyperlink"/>
                <w:noProof/>
              </w:rPr>
              <w:t>Pivotal efficacy study DAF09</w:t>
            </w:r>
            <w:r w:rsidR="002D5471">
              <w:rPr>
                <w:noProof/>
                <w:webHidden/>
              </w:rPr>
              <w:tab/>
            </w:r>
            <w:r w:rsidR="002D5471">
              <w:rPr>
                <w:noProof/>
                <w:webHidden/>
              </w:rPr>
              <w:fldChar w:fldCharType="begin"/>
            </w:r>
            <w:r w:rsidR="002D5471">
              <w:rPr>
                <w:noProof/>
                <w:webHidden/>
              </w:rPr>
              <w:instrText xml:space="preserve"> PAGEREF _Toc485825988 \h </w:instrText>
            </w:r>
            <w:r w:rsidR="002D5471">
              <w:rPr>
                <w:noProof/>
                <w:webHidden/>
              </w:rPr>
            </w:r>
            <w:r w:rsidR="002D5471">
              <w:rPr>
                <w:noProof/>
                <w:webHidden/>
              </w:rPr>
              <w:fldChar w:fldCharType="separate"/>
            </w:r>
            <w:r w:rsidR="002D5471">
              <w:rPr>
                <w:noProof/>
                <w:webHidden/>
              </w:rPr>
              <w:t>17</w:t>
            </w:r>
            <w:r w:rsidR="002D5471">
              <w:rPr>
                <w:noProof/>
                <w:webHidden/>
              </w:rPr>
              <w:fldChar w:fldCharType="end"/>
            </w:r>
          </w:hyperlink>
        </w:p>
        <w:p w:rsidR="002D5471" w:rsidRDefault="0097075D">
          <w:pPr>
            <w:pStyle w:val="TOC3"/>
            <w:tabs>
              <w:tab w:val="left" w:pos="1575"/>
            </w:tabs>
            <w:rPr>
              <w:rFonts w:asciiTheme="minorHAnsi" w:eastAsiaTheme="minorEastAsia" w:hAnsiTheme="minorHAnsi" w:cstheme="minorBidi"/>
              <w:noProof/>
              <w:lang w:eastAsia="en-AU"/>
            </w:rPr>
          </w:pPr>
          <w:hyperlink w:anchor="_Toc485825989" w:history="1">
            <w:r w:rsidR="002D5471" w:rsidRPr="0073469B">
              <w:rPr>
                <w:rStyle w:val="Hyperlink"/>
                <w:noProof/>
              </w:rPr>
              <w:t>7.2.</w:t>
            </w:r>
            <w:r w:rsidR="002D5471">
              <w:rPr>
                <w:rFonts w:asciiTheme="minorHAnsi" w:eastAsiaTheme="minorEastAsia" w:hAnsiTheme="minorHAnsi" w:cstheme="minorBidi"/>
                <w:noProof/>
                <w:lang w:eastAsia="en-AU"/>
              </w:rPr>
              <w:tab/>
            </w:r>
            <w:r w:rsidR="002D5471" w:rsidRPr="0073469B">
              <w:rPr>
                <w:rStyle w:val="Hyperlink"/>
                <w:noProof/>
              </w:rPr>
              <w:t>Other Studies</w:t>
            </w:r>
            <w:r w:rsidR="002D5471">
              <w:rPr>
                <w:noProof/>
                <w:webHidden/>
              </w:rPr>
              <w:tab/>
            </w:r>
            <w:r w:rsidR="002D5471">
              <w:rPr>
                <w:noProof/>
                <w:webHidden/>
              </w:rPr>
              <w:fldChar w:fldCharType="begin"/>
            </w:r>
            <w:r w:rsidR="002D5471">
              <w:rPr>
                <w:noProof/>
                <w:webHidden/>
              </w:rPr>
              <w:instrText xml:space="preserve"> PAGEREF _Toc485825989 \h </w:instrText>
            </w:r>
            <w:r w:rsidR="002D5471">
              <w:rPr>
                <w:noProof/>
                <w:webHidden/>
              </w:rPr>
            </w:r>
            <w:r w:rsidR="002D5471">
              <w:rPr>
                <w:noProof/>
                <w:webHidden/>
              </w:rPr>
              <w:fldChar w:fldCharType="separate"/>
            </w:r>
            <w:r w:rsidR="002D5471">
              <w:rPr>
                <w:noProof/>
                <w:webHidden/>
              </w:rPr>
              <w:t>22</w:t>
            </w:r>
            <w:r w:rsidR="002D5471">
              <w:rPr>
                <w:noProof/>
                <w:webHidden/>
              </w:rPr>
              <w:fldChar w:fldCharType="end"/>
            </w:r>
          </w:hyperlink>
        </w:p>
        <w:p w:rsidR="002D5471" w:rsidRDefault="0097075D">
          <w:pPr>
            <w:pStyle w:val="TOC3"/>
            <w:tabs>
              <w:tab w:val="left" w:pos="1575"/>
            </w:tabs>
            <w:rPr>
              <w:rFonts w:asciiTheme="minorHAnsi" w:eastAsiaTheme="minorEastAsia" w:hAnsiTheme="minorHAnsi" w:cstheme="minorBidi"/>
              <w:noProof/>
              <w:lang w:eastAsia="en-AU"/>
            </w:rPr>
          </w:pPr>
          <w:hyperlink w:anchor="_Toc485825990" w:history="1">
            <w:r w:rsidR="002D5471" w:rsidRPr="0073469B">
              <w:rPr>
                <w:rStyle w:val="Hyperlink"/>
                <w:noProof/>
              </w:rPr>
              <w:t>7.3.</w:t>
            </w:r>
            <w:r w:rsidR="002D5471">
              <w:rPr>
                <w:rFonts w:asciiTheme="minorHAnsi" w:eastAsiaTheme="minorEastAsia" w:hAnsiTheme="minorHAnsi" w:cstheme="minorBidi"/>
                <w:noProof/>
                <w:lang w:eastAsia="en-AU"/>
              </w:rPr>
              <w:tab/>
            </w:r>
            <w:r w:rsidR="002D5471" w:rsidRPr="0073469B">
              <w:rPr>
                <w:rStyle w:val="Hyperlink"/>
                <w:noProof/>
              </w:rPr>
              <w:t>Analyses performed across trials (pooled &amp; meta analyses)</w:t>
            </w:r>
            <w:r w:rsidR="002D5471">
              <w:rPr>
                <w:noProof/>
                <w:webHidden/>
              </w:rPr>
              <w:tab/>
            </w:r>
            <w:r w:rsidR="002D5471">
              <w:rPr>
                <w:noProof/>
                <w:webHidden/>
              </w:rPr>
              <w:fldChar w:fldCharType="begin"/>
            </w:r>
            <w:r w:rsidR="002D5471">
              <w:rPr>
                <w:noProof/>
                <w:webHidden/>
              </w:rPr>
              <w:instrText xml:space="preserve"> PAGEREF _Toc485825990 \h </w:instrText>
            </w:r>
            <w:r w:rsidR="002D5471">
              <w:rPr>
                <w:noProof/>
                <w:webHidden/>
              </w:rPr>
            </w:r>
            <w:r w:rsidR="002D5471">
              <w:rPr>
                <w:noProof/>
                <w:webHidden/>
              </w:rPr>
              <w:fldChar w:fldCharType="separate"/>
            </w:r>
            <w:r w:rsidR="002D5471">
              <w:rPr>
                <w:noProof/>
                <w:webHidden/>
              </w:rPr>
              <w:t>23</w:t>
            </w:r>
            <w:r w:rsidR="002D5471">
              <w:rPr>
                <w:noProof/>
                <w:webHidden/>
              </w:rPr>
              <w:fldChar w:fldCharType="end"/>
            </w:r>
          </w:hyperlink>
        </w:p>
        <w:p w:rsidR="002D5471" w:rsidRDefault="0097075D">
          <w:pPr>
            <w:pStyle w:val="TOC3"/>
            <w:tabs>
              <w:tab w:val="left" w:pos="1575"/>
            </w:tabs>
            <w:rPr>
              <w:rFonts w:asciiTheme="minorHAnsi" w:eastAsiaTheme="minorEastAsia" w:hAnsiTheme="minorHAnsi" w:cstheme="minorBidi"/>
              <w:noProof/>
              <w:lang w:eastAsia="en-AU"/>
            </w:rPr>
          </w:pPr>
          <w:hyperlink w:anchor="_Toc485825991" w:history="1">
            <w:r w:rsidR="002D5471" w:rsidRPr="0073469B">
              <w:rPr>
                <w:rStyle w:val="Hyperlink"/>
                <w:noProof/>
              </w:rPr>
              <w:t>7.4.</w:t>
            </w:r>
            <w:r w:rsidR="002D5471">
              <w:rPr>
                <w:rFonts w:asciiTheme="minorHAnsi" w:eastAsiaTheme="minorEastAsia" w:hAnsiTheme="minorHAnsi" w:cstheme="minorBidi"/>
                <w:noProof/>
                <w:lang w:eastAsia="en-AU"/>
              </w:rPr>
              <w:tab/>
            </w:r>
            <w:r w:rsidR="002D5471" w:rsidRPr="0073469B">
              <w:rPr>
                <w:rStyle w:val="Hyperlink"/>
                <w:noProof/>
              </w:rPr>
              <w:t>Evaluator’s conclusions on clinical efficacy</w:t>
            </w:r>
            <w:r w:rsidR="002D5471">
              <w:rPr>
                <w:noProof/>
                <w:webHidden/>
              </w:rPr>
              <w:tab/>
            </w:r>
            <w:r w:rsidR="002D5471">
              <w:rPr>
                <w:noProof/>
                <w:webHidden/>
              </w:rPr>
              <w:fldChar w:fldCharType="begin"/>
            </w:r>
            <w:r w:rsidR="002D5471">
              <w:rPr>
                <w:noProof/>
                <w:webHidden/>
              </w:rPr>
              <w:instrText xml:space="preserve"> PAGEREF _Toc485825991 \h </w:instrText>
            </w:r>
            <w:r w:rsidR="002D5471">
              <w:rPr>
                <w:noProof/>
                <w:webHidden/>
              </w:rPr>
            </w:r>
            <w:r w:rsidR="002D5471">
              <w:rPr>
                <w:noProof/>
                <w:webHidden/>
              </w:rPr>
              <w:fldChar w:fldCharType="separate"/>
            </w:r>
            <w:r w:rsidR="002D5471">
              <w:rPr>
                <w:noProof/>
                <w:webHidden/>
              </w:rPr>
              <w:t>24</w:t>
            </w:r>
            <w:r w:rsidR="002D5471">
              <w:rPr>
                <w:noProof/>
                <w:webHidden/>
              </w:rPr>
              <w:fldChar w:fldCharType="end"/>
            </w:r>
          </w:hyperlink>
        </w:p>
        <w:p w:rsidR="002D5471" w:rsidRDefault="0097075D">
          <w:pPr>
            <w:pStyle w:val="TOC2"/>
            <w:tabs>
              <w:tab w:val="left" w:pos="1247"/>
            </w:tabs>
            <w:rPr>
              <w:rFonts w:asciiTheme="minorHAnsi" w:eastAsiaTheme="minorEastAsia" w:hAnsiTheme="minorHAnsi" w:cstheme="minorBidi"/>
              <w:b w:val="0"/>
              <w:noProof/>
              <w:sz w:val="22"/>
              <w:lang w:eastAsia="en-AU"/>
            </w:rPr>
          </w:pPr>
          <w:hyperlink w:anchor="_Toc485825992" w:history="1">
            <w:r w:rsidR="002D5471" w:rsidRPr="0073469B">
              <w:rPr>
                <w:rStyle w:val="Hyperlink"/>
                <w:noProof/>
              </w:rPr>
              <w:t>8.</w:t>
            </w:r>
            <w:r w:rsidR="002D5471">
              <w:rPr>
                <w:rFonts w:asciiTheme="minorHAnsi" w:eastAsiaTheme="minorEastAsia" w:hAnsiTheme="minorHAnsi" w:cstheme="minorBidi"/>
                <w:b w:val="0"/>
                <w:noProof/>
                <w:sz w:val="22"/>
                <w:lang w:eastAsia="en-AU"/>
              </w:rPr>
              <w:tab/>
            </w:r>
            <w:r w:rsidR="002D5471" w:rsidRPr="0073469B">
              <w:rPr>
                <w:rStyle w:val="Hyperlink"/>
                <w:noProof/>
              </w:rPr>
              <w:t>Clinical safety</w:t>
            </w:r>
            <w:r w:rsidR="002D5471">
              <w:rPr>
                <w:noProof/>
                <w:webHidden/>
              </w:rPr>
              <w:tab/>
            </w:r>
            <w:r w:rsidR="002D5471">
              <w:rPr>
                <w:noProof/>
                <w:webHidden/>
              </w:rPr>
              <w:fldChar w:fldCharType="begin"/>
            </w:r>
            <w:r w:rsidR="002D5471">
              <w:rPr>
                <w:noProof/>
                <w:webHidden/>
              </w:rPr>
              <w:instrText xml:space="preserve"> PAGEREF _Toc485825992 \h </w:instrText>
            </w:r>
            <w:r w:rsidR="002D5471">
              <w:rPr>
                <w:noProof/>
                <w:webHidden/>
              </w:rPr>
            </w:r>
            <w:r w:rsidR="002D5471">
              <w:rPr>
                <w:noProof/>
                <w:webHidden/>
              </w:rPr>
              <w:fldChar w:fldCharType="separate"/>
            </w:r>
            <w:r w:rsidR="002D5471">
              <w:rPr>
                <w:noProof/>
                <w:webHidden/>
              </w:rPr>
              <w:t>24</w:t>
            </w:r>
            <w:r w:rsidR="002D5471">
              <w:rPr>
                <w:noProof/>
                <w:webHidden/>
              </w:rPr>
              <w:fldChar w:fldCharType="end"/>
            </w:r>
          </w:hyperlink>
        </w:p>
        <w:p w:rsidR="002D5471" w:rsidRDefault="0097075D">
          <w:pPr>
            <w:pStyle w:val="TOC3"/>
            <w:tabs>
              <w:tab w:val="left" w:pos="1575"/>
            </w:tabs>
            <w:rPr>
              <w:rFonts w:asciiTheme="minorHAnsi" w:eastAsiaTheme="minorEastAsia" w:hAnsiTheme="minorHAnsi" w:cstheme="minorBidi"/>
              <w:noProof/>
              <w:lang w:eastAsia="en-AU"/>
            </w:rPr>
          </w:pPr>
          <w:hyperlink w:anchor="_Toc485825993" w:history="1">
            <w:r w:rsidR="002D5471" w:rsidRPr="0073469B">
              <w:rPr>
                <w:rStyle w:val="Hyperlink"/>
                <w:noProof/>
              </w:rPr>
              <w:t>8.1.</w:t>
            </w:r>
            <w:r w:rsidR="002D5471">
              <w:rPr>
                <w:rFonts w:asciiTheme="minorHAnsi" w:eastAsiaTheme="minorEastAsia" w:hAnsiTheme="minorHAnsi" w:cstheme="minorBidi"/>
                <w:noProof/>
                <w:lang w:eastAsia="en-AU"/>
              </w:rPr>
              <w:tab/>
            </w:r>
            <w:r w:rsidR="002D5471" w:rsidRPr="0073469B">
              <w:rPr>
                <w:rStyle w:val="Hyperlink"/>
                <w:noProof/>
              </w:rPr>
              <w:t>Studies providing evaluable safety data</w:t>
            </w:r>
            <w:r w:rsidR="002D5471">
              <w:rPr>
                <w:noProof/>
                <w:webHidden/>
              </w:rPr>
              <w:tab/>
            </w:r>
            <w:r w:rsidR="002D5471">
              <w:rPr>
                <w:noProof/>
                <w:webHidden/>
              </w:rPr>
              <w:fldChar w:fldCharType="begin"/>
            </w:r>
            <w:r w:rsidR="002D5471">
              <w:rPr>
                <w:noProof/>
                <w:webHidden/>
              </w:rPr>
              <w:instrText xml:space="preserve"> PAGEREF _Toc485825993 \h </w:instrText>
            </w:r>
            <w:r w:rsidR="002D5471">
              <w:rPr>
                <w:noProof/>
                <w:webHidden/>
              </w:rPr>
            </w:r>
            <w:r w:rsidR="002D5471">
              <w:rPr>
                <w:noProof/>
                <w:webHidden/>
              </w:rPr>
              <w:fldChar w:fldCharType="separate"/>
            </w:r>
            <w:r w:rsidR="002D5471">
              <w:rPr>
                <w:noProof/>
                <w:webHidden/>
              </w:rPr>
              <w:t>24</w:t>
            </w:r>
            <w:r w:rsidR="002D5471">
              <w:rPr>
                <w:noProof/>
                <w:webHidden/>
              </w:rPr>
              <w:fldChar w:fldCharType="end"/>
            </w:r>
          </w:hyperlink>
        </w:p>
        <w:p w:rsidR="002D5471" w:rsidRDefault="0097075D">
          <w:pPr>
            <w:pStyle w:val="TOC3"/>
            <w:tabs>
              <w:tab w:val="left" w:pos="1575"/>
            </w:tabs>
            <w:rPr>
              <w:rFonts w:asciiTheme="minorHAnsi" w:eastAsiaTheme="minorEastAsia" w:hAnsiTheme="minorHAnsi" w:cstheme="minorBidi"/>
              <w:noProof/>
              <w:lang w:eastAsia="en-AU"/>
            </w:rPr>
          </w:pPr>
          <w:hyperlink w:anchor="_Toc485825994" w:history="1">
            <w:r w:rsidR="002D5471" w:rsidRPr="0073469B">
              <w:rPr>
                <w:rStyle w:val="Hyperlink"/>
                <w:noProof/>
              </w:rPr>
              <w:t>8.2.</w:t>
            </w:r>
            <w:r w:rsidR="002D5471">
              <w:rPr>
                <w:rFonts w:asciiTheme="minorHAnsi" w:eastAsiaTheme="minorEastAsia" w:hAnsiTheme="minorHAnsi" w:cstheme="minorBidi"/>
                <w:noProof/>
                <w:lang w:eastAsia="en-AU"/>
              </w:rPr>
              <w:tab/>
            </w:r>
            <w:r w:rsidR="002D5471" w:rsidRPr="0073469B">
              <w:rPr>
                <w:rStyle w:val="Hyperlink"/>
                <w:noProof/>
              </w:rPr>
              <w:t>Pivotal studies that assessed safety as a primary outcome</w:t>
            </w:r>
            <w:r w:rsidR="002D5471">
              <w:rPr>
                <w:noProof/>
                <w:webHidden/>
              </w:rPr>
              <w:tab/>
            </w:r>
            <w:r w:rsidR="002D5471">
              <w:rPr>
                <w:noProof/>
                <w:webHidden/>
              </w:rPr>
              <w:fldChar w:fldCharType="begin"/>
            </w:r>
            <w:r w:rsidR="002D5471">
              <w:rPr>
                <w:noProof/>
                <w:webHidden/>
              </w:rPr>
              <w:instrText xml:space="preserve"> PAGEREF _Toc485825994 \h </w:instrText>
            </w:r>
            <w:r w:rsidR="002D5471">
              <w:rPr>
                <w:noProof/>
                <w:webHidden/>
              </w:rPr>
            </w:r>
            <w:r w:rsidR="002D5471">
              <w:rPr>
                <w:noProof/>
                <w:webHidden/>
              </w:rPr>
              <w:fldChar w:fldCharType="separate"/>
            </w:r>
            <w:r w:rsidR="002D5471">
              <w:rPr>
                <w:noProof/>
                <w:webHidden/>
              </w:rPr>
              <w:t>25</w:t>
            </w:r>
            <w:r w:rsidR="002D5471">
              <w:rPr>
                <w:noProof/>
                <w:webHidden/>
              </w:rPr>
              <w:fldChar w:fldCharType="end"/>
            </w:r>
          </w:hyperlink>
        </w:p>
        <w:p w:rsidR="002D5471" w:rsidRDefault="0097075D">
          <w:pPr>
            <w:pStyle w:val="TOC3"/>
            <w:tabs>
              <w:tab w:val="left" w:pos="1575"/>
            </w:tabs>
            <w:rPr>
              <w:rFonts w:asciiTheme="minorHAnsi" w:eastAsiaTheme="minorEastAsia" w:hAnsiTheme="minorHAnsi" w:cstheme="minorBidi"/>
              <w:noProof/>
              <w:lang w:eastAsia="en-AU"/>
            </w:rPr>
          </w:pPr>
          <w:hyperlink w:anchor="_Toc485825995" w:history="1">
            <w:r w:rsidR="002D5471" w:rsidRPr="0073469B">
              <w:rPr>
                <w:rStyle w:val="Hyperlink"/>
                <w:noProof/>
              </w:rPr>
              <w:t>8.3.</w:t>
            </w:r>
            <w:r w:rsidR="002D5471">
              <w:rPr>
                <w:rFonts w:asciiTheme="minorHAnsi" w:eastAsiaTheme="minorEastAsia" w:hAnsiTheme="minorHAnsi" w:cstheme="minorBidi"/>
                <w:noProof/>
                <w:lang w:eastAsia="en-AU"/>
              </w:rPr>
              <w:tab/>
            </w:r>
            <w:r w:rsidR="002D5471" w:rsidRPr="0073469B">
              <w:rPr>
                <w:rStyle w:val="Hyperlink"/>
                <w:noProof/>
              </w:rPr>
              <w:t>Other studies that assessed safety as a primary outcome</w:t>
            </w:r>
            <w:r w:rsidR="002D5471">
              <w:rPr>
                <w:noProof/>
                <w:webHidden/>
              </w:rPr>
              <w:tab/>
            </w:r>
            <w:r w:rsidR="002D5471">
              <w:rPr>
                <w:noProof/>
                <w:webHidden/>
              </w:rPr>
              <w:fldChar w:fldCharType="begin"/>
            </w:r>
            <w:r w:rsidR="002D5471">
              <w:rPr>
                <w:noProof/>
                <w:webHidden/>
              </w:rPr>
              <w:instrText xml:space="preserve"> PAGEREF _Toc485825995 \h </w:instrText>
            </w:r>
            <w:r w:rsidR="002D5471">
              <w:rPr>
                <w:noProof/>
                <w:webHidden/>
              </w:rPr>
            </w:r>
            <w:r w:rsidR="002D5471">
              <w:rPr>
                <w:noProof/>
                <w:webHidden/>
              </w:rPr>
              <w:fldChar w:fldCharType="separate"/>
            </w:r>
            <w:r w:rsidR="002D5471">
              <w:rPr>
                <w:noProof/>
                <w:webHidden/>
              </w:rPr>
              <w:t>25</w:t>
            </w:r>
            <w:r w:rsidR="002D5471">
              <w:rPr>
                <w:noProof/>
                <w:webHidden/>
              </w:rPr>
              <w:fldChar w:fldCharType="end"/>
            </w:r>
          </w:hyperlink>
        </w:p>
        <w:p w:rsidR="002D5471" w:rsidRDefault="0097075D">
          <w:pPr>
            <w:pStyle w:val="TOC3"/>
            <w:tabs>
              <w:tab w:val="left" w:pos="1575"/>
            </w:tabs>
            <w:rPr>
              <w:rFonts w:asciiTheme="minorHAnsi" w:eastAsiaTheme="minorEastAsia" w:hAnsiTheme="minorHAnsi" w:cstheme="minorBidi"/>
              <w:noProof/>
              <w:lang w:eastAsia="en-AU"/>
            </w:rPr>
          </w:pPr>
          <w:hyperlink w:anchor="_Toc485825996" w:history="1">
            <w:r w:rsidR="002D5471" w:rsidRPr="0073469B">
              <w:rPr>
                <w:rStyle w:val="Hyperlink"/>
                <w:noProof/>
              </w:rPr>
              <w:t>8.4.</w:t>
            </w:r>
            <w:r w:rsidR="002D5471">
              <w:rPr>
                <w:rFonts w:asciiTheme="minorHAnsi" w:eastAsiaTheme="minorEastAsia" w:hAnsiTheme="minorHAnsi" w:cstheme="minorBidi"/>
                <w:noProof/>
                <w:lang w:eastAsia="en-AU"/>
              </w:rPr>
              <w:tab/>
            </w:r>
            <w:r w:rsidR="002D5471" w:rsidRPr="0073469B">
              <w:rPr>
                <w:rStyle w:val="Hyperlink"/>
                <w:noProof/>
              </w:rPr>
              <w:t>Patient exposure</w:t>
            </w:r>
            <w:r w:rsidR="002D5471">
              <w:rPr>
                <w:noProof/>
                <w:webHidden/>
              </w:rPr>
              <w:tab/>
            </w:r>
            <w:r w:rsidR="002D5471">
              <w:rPr>
                <w:noProof/>
                <w:webHidden/>
              </w:rPr>
              <w:fldChar w:fldCharType="begin"/>
            </w:r>
            <w:r w:rsidR="002D5471">
              <w:rPr>
                <w:noProof/>
                <w:webHidden/>
              </w:rPr>
              <w:instrText xml:space="preserve"> PAGEREF _Toc485825996 \h </w:instrText>
            </w:r>
            <w:r w:rsidR="002D5471">
              <w:rPr>
                <w:noProof/>
                <w:webHidden/>
              </w:rPr>
            </w:r>
            <w:r w:rsidR="002D5471">
              <w:rPr>
                <w:noProof/>
                <w:webHidden/>
              </w:rPr>
              <w:fldChar w:fldCharType="separate"/>
            </w:r>
            <w:r w:rsidR="002D5471">
              <w:rPr>
                <w:noProof/>
                <w:webHidden/>
              </w:rPr>
              <w:t>26</w:t>
            </w:r>
            <w:r w:rsidR="002D5471">
              <w:rPr>
                <w:noProof/>
                <w:webHidden/>
              </w:rPr>
              <w:fldChar w:fldCharType="end"/>
            </w:r>
          </w:hyperlink>
        </w:p>
        <w:p w:rsidR="002D5471" w:rsidRDefault="0097075D">
          <w:pPr>
            <w:pStyle w:val="TOC3"/>
            <w:tabs>
              <w:tab w:val="left" w:pos="1575"/>
            </w:tabs>
            <w:rPr>
              <w:rFonts w:asciiTheme="minorHAnsi" w:eastAsiaTheme="minorEastAsia" w:hAnsiTheme="minorHAnsi" w:cstheme="minorBidi"/>
              <w:noProof/>
              <w:lang w:eastAsia="en-AU"/>
            </w:rPr>
          </w:pPr>
          <w:hyperlink w:anchor="_Toc485825997" w:history="1">
            <w:r w:rsidR="002D5471" w:rsidRPr="0073469B">
              <w:rPr>
                <w:rStyle w:val="Hyperlink"/>
                <w:noProof/>
              </w:rPr>
              <w:t>8.5.</w:t>
            </w:r>
            <w:r w:rsidR="002D5471">
              <w:rPr>
                <w:rFonts w:asciiTheme="minorHAnsi" w:eastAsiaTheme="minorEastAsia" w:hAnsiTheme="minorHAnsi" w:cstheme="minorBidi"/>
                <w:noProof/>
                <w:lang w:eastAsia="en-AU"/>
              </w:rPr>
              <w:tab/>
            </w:r>
            <w:r w:rsidR="002D5471" w:rsidRPr="0073469B">
              <w:rPr>
                <w:rStyle w:val="Hyperlink"/>
                <w:noProof/>
              </w:rPr>
              <w:t>Adverse events</w:t>
            </w:r>
            <w:r w:rsidR="002D5471">
              <w:rPr>
                <w:noProof/>
                <w:webHidden/>
              </w:rPr>
              <w:tab/>
            </w:r>
            <w:r w:rsidR="002D5471">
              <w:rPr>
                <w:noProof/>
                <w:webHidden/>
              </w:rPr>
              <w:fldChar w:fldCharType="begin"/>
            </w:r>
            <w:r w:rsidR="002D5471">
              <w:rPr>
                <w:noProof/>
                <w:webHidden/>
              </w:rPr>
              <w:instrText xml:space="preserve"> PAGEREF _Toc485825997 \h </w:instrText>
            </w:r>
            <w:r w:rsidR="002D5471">
              <w:rPr>
                <w:noProof/>
                <w:webHidden/>
              </w:rPr>
            </w:r>
            <w:r w:rsidR="002D5471">
              <w:rPr>
                <w:noProof/>
                <w:webHidden/>
              </w:rPr>
              <w:fldChar w:fldCharType="separate"/>
            </w:r>
            <w:r w:rsidR="002D5471">
              <w:rPr>
                <w:noProof/>
                <w:webHidden/>
              </w:rPr>
              <w:t>27</w:t>
            </w:r>
            <w:r w:rsidR="002D5471">
              <w:rPr>
                <w:noProof/>
                <w:webHidden/>
              </w:rPr>
              <w:fldChar w:fldCharType="end"/>
            </w:r>
          </w:hyperlink>
        </w:p>
        <w:p w:rsidR="002D5471" w:rsidRDefault="0097075D">
          <w:pPr>
            <w:pStyle w:val="TOC3"/>
            <w:tabs>
              <w:tab w:val="left" w:pos="1575"/>
            </w:tabs>
            <w:rPr>
              <w:rFonts w:asciiTheme="minorHAnsi" w:eastAsiaTheme="minorEastAsia" w:hAnsiTheme="minorHAnsi" w:cstheme="minorBidi"/>
              <w:noProof/>
              <w:lang w:eastAsia="en-AU"/>
            </w:rPr>
          </w:pPr>
          <w:hyperlink w:anchor="_Toc485825998" w:history="1">
            <w:r w:rsidR="002D5471" w:rsidRPr="0073469B">
              <w:rPr>
                <w:rStyle w:val="Hyperlink"/>
                <w:noProof/>
              </w:rPr>
              <w:t>8.6.</w:t>
            </w:r>
            <w:r w:rsidR="002D5471">
              <w:rPr>
                <w:rFonts w:asciiTheme="minorHAnsi" w:eastAsiaTheme="minorEastAsia" w:hAnsiTheme="minorHAnsi" w:cstheme="minorBidi"/>
                <w:noProof/>
                <w:lang w:eastAsia="en-AU"/>
              </w:rPr>
              <w:tab/>
            </w:r>
            <w:r w:rsidR="002D5471" w:rsidRPr="0073469B">
              <w:rPr>
                <w:rStyle w:val="Hyperlink"/>
                <w:noProof/>
              </w:rPr>
              <w:t>Laboratory tests</w:t>
            </w:r>
            <w:r w:rsidR="002D5471">
              <w:rPr>
                <w:noProof/>
                <w:webHidden/>
              </w:rPr>
              <w:tab/>
            </w:r>
            <w:r w:rsidR="002D5471">
              <w:rPr>
                <w:noProof/>
                <w:webHidden/>
              </w:rPr>
              <w:fldChar w:fldCharType="begin"/>
            </w:r>
            <w:r w:rsidR="002D5471">
              <w:rPr>
                <w:noProof/>
                <w:webHidden/>
              </w:rPr>
              <w:instrText xml:space="preserve"> PAGEREF _Toc485825998 \h </w:instrText>
            </w:r>
            <w:r w:rsidR="002D5471">
              <w:rPr>
                <w:noProof/>
                <w:webHidden/>
              </w:rPr>
            </w:r>
            <w:r w:rsidR="002D5471">
              <w:rPr>
                <w:noProof/>
                <w:webHidden/>
              </w:rPr>
              <w:fldChar w:fldCharType="separate"/>
            </w:r>
            <w:r w:rsidR="002D5471">
              <w:rPr>
                <w:noProof/>
                <w:webHidden/>
              </w:rPr>
              <w:t>28</w:t>
            </w:r>
            <w:r w:rsidR="002D5471">
              <w:rPr>
                <w:noProof/>
                <w:webHidden/>
              </w:rPr>
              <w:fldChar w:fldCharType="end"/>
            </w:r>
          </w:hyperlink>
        </w:p>
        <w:p w:rsidR="002D5471" w:rsidRDefault="0097075D">
          <w:pPr>
            <w:pStyle w:val="TOC3"/>
            <w:tabs>
              <w:tab w:val="left" w:pos="1575"/>
            </w:tabs>
            <w:rPr>
              <w:rFonts w:asciiTheme="minorHAnsi" w:eastAsiaTheme="minorEastAsia" w:hAnsiTheme="minorHAnsi" w:cstheme="minorBidi"/>
              <w:noProof/>
              <w:lang w:eastAsia="en-AU"/>
            </w:rPr>
          </w:pPr>
          <w:hyperlink w:anchor="_Toc485825999" w:history="1">
            <w:r w:rsidR="002D5471" w:rsidRPr="0073469B">
              <w:rPr>
                <w:rStyle w:val="Hyperlink"/>
                <w:noProof/>
              </w:rPr>
              <w:t>8.7.</w:t>
            </w:r>
            <w:r w:rsidR="002D5471">
              <w:rPr>
                <w:rFonts w:asciiTheme="minorHAnsi" w:eastAsiaTheme="minorEastAsia" w:hAnsiTheme="minorHAnsi" w:cstheme="minorBidi"/>
                <w:noProof/>
                <w:lang w:eastAsia="en-AU"/>
              </w:rPr>
              <w:tab/>
            </w:r>
            <w:r w:rsidR="002D5471" w:rsidRPr="0073469B">
              <w:rPr>
                <w:rStyle w:val="Hyperlink"/>
                <w:noProof/>
              </w:rPr>
              <w:t>Post-marketing experience</w:t>
            </w:r>
            <w:r w:rsidR="002D5471">
              <w:rPr>
                <w:noProof/>
                <w:webHidden/>
              </w:rPr>
              <w:tab/>
            </w:r>
            <w:r w:rsidR="002D5471">
              <w:rPr>
                <w:noProof/>
                <w:webHidden/>
              </w:rPr>
              <w:fldChar w:fldCharType="begin"/>
            </w:r>
            <w:r w:rsidR="002D5471">
              <w:rPr>
                <w:noProof/>
                <w:webHidden/>
              </w:rPr>
              <w:instrText xml:space="preserve"> PAGEREF _Toc485825999 \h </w:instrText>
            </w:r>
            <w:r w:rsidR="002D5471">
              <w:rPr>
                <w:noProof/>
                <w:webHidden/>
              </w:rPr>
            </w:r>
            <w:r w:rsidR="002D5471">
              <w:rPr>
                <w:noProof/>
                <w:webHidden/>
              </w:rPr>
              <w:fldChar w:fldCharType="separate"/>
            </w:r>
            <w:r w:rsidR="002D5471">
              <w:rPr>
                <w:noProof/>
                <w:webHidden/>
              </w:rPr>
              <w:t>28</w:t>
            </w:r>
            <w:r w:rsidR="002D5471">
              <w:rPr>
                <w:noProof/>
                <w:webHidden/>
              </w:rPr>
              <w:fldChar w:fldCharType="end"/>
            </w:r>
          </w:hyperlink>
        </w:p>
        <w:p w:rsidR="002D5471" w:rsidRDefault="0097075D">
          <w:pPr>
            <w:pStyle w:val="TOC3"/>
            <w:tabs>
              <w:tab w:val="left" w:pos="1575"/>
            </w:tabs>
            <w:rPr>
              <w:rFonts w:asciiTheme="minorHAnsi" w:eastAsiaTheme="minorEastAsia" w:hAnsiTheme="minorHAnsi" w:cstheme="minorBidi"/>
              <w:noProof/>
              <w:lang w:eastAsia="en-AU"/>
            </w:rPr>
          </w:pPr>
          <w:hyperlink w:anchor="_Toc485826000" w:history="1">
            <w:r w:rsidR="002D5471" w:rsidRPr="0073469B">
              <w:rPr>
                <w:rStyle w:val="Hyperlink"/>
                <w:noProof/>
              </w:rPr>
              <w:t>8.8.</w:t>
            </w:r>
            <w:r w:rsidR="002D5471">
              <w:rPr>
                <w:rFonts w:asciiTheme="minorHAnsi" w:eastAsiaTheme="minorEastAsia" w:hAnsiTheme="minorHAnsi" w:cstheme="minorBidi"/>
                <w:noProof/>
                <w:lang w:eastAsia="en-AU"/>
              </w:rPr>
              <w:tab/>
            </w:r>
            <w:r w:rsidR="002D5471" w:rsidRPr="0073469B">
              <w:rPr>
                <w:rStyle w:val="Hyperlink"/>
                <w:noProof/>
              </w:rPr>
              <w:t>Safety issues with the potential for major regulatory impact</w:t>
            </w:r>
            <w:r w:rsidR="002D5471">
              <w:rPr>
                <w:noProof/>
                <w:webHidden/>
              </w:rPr>
              <w:tab/>
            </w:r>
            <w:r w:rsidR="002D5471">
              <w:rPr>
                <w:noProof/>
                <w:webHidden/>
              </w:rPr>
              <w:fldChar w:fldCharType="begin"/>
            </w:r>
            <w:r w:rsidR="002D5471">
              <w:rPr>
                <w:noProof/>
                <w:webHidden/>
              </w:rPr>
              <w:instrText xml:space="preserve"> PAGEREF _Toc485826000 \h </w:instrText>
            </w:r>
            <w:r w:rsidR="002D5471">
              <w:rPr>
                <w:noProof/>
                <w:webHidden/>
              </w:rPr>
            </w:r>
            <w:r w:rsidR="002D5471">
              <w:rPr>
                <w:noProof/>
                <w:webHidden/>
              </w:rPr>
              <w:fldChar w:fldCharType="separate"/>
            </w:r>
            <w:r w:rsidR="002D5471">
              <w:rPr>
                <w:noProof/>
                <w:webHidden/>
              </w:rPr>
              <w:t>28</w:t>
            </w:r>
            <w:r w:rsidR="002D5471">
              <w:rPr>
                <w:noProof/>
                <w:webHidden/>
              </w:rPr>
              <w:fldChar w:fldCharType="end"/>
            </w:r>
          </w:hyperlink>
        </w:p>
        <w:p w:rsidR="002D5471" w:rsidRDefault="0097075D">
          <w:pPr>
            <w:pStyle w:val="TOC3"/>
            <w:tabs>
              <w:tab w:val="left" w:pos="1575"/>
            </w:tabs>
            <w:rPr>
              <w:rFonts w:asciiTheme="minorHAnsi" w:eastAsiaTheme="minorEastAsia" w:hAnsiTheme="minorHAnsi" w:cstheme="minorBidi"/>
              <w:noProof/>
              <w:lang w:eastAsia="en-AU"/>
            </w:rPr>
          </w:pPr>
          <w:hyperlink w:anchor="_Toc485826001" w:history="1">
            <w:r w:rsidR="002D5471" w:rsidRPr="0073469B">
              <w:rPr>
                <w:rStyle w:val="Hyperlink"/>
                <w:noProof/>
              </w:rPr>
              <w:t>8.9.</w:t>
            </w:r>
            <w:r w:rsidR="002D5471">
              <w:rPr>
                <w:rFonts w:asciiTheme="minorHAnsi" w:eastAsiaTheme="minorEastAsia" w:hAnsiTheme="minorHAnsi" w:cstheme="minorBidi"/>
                <w:noProof/>
                <w:lang w:eastAsia="en-AU"/>
              </w:rPr>
              <w:tab/>
            </w:r>
            <w:r w:rsidR="002D5471" w:rsidRPr="0073469B">
              <w:rPr>
                <w:rStyle w:val="Hyperlink"/>
                <w:noProof/>
              </w:rPr>
              <w:t>Other safety issues</w:t>
            </w:r>
            <w:r w:rsidR="002D5471">
              <w:rPr>
                <w:noProof/>
                <w:webHidden/>
              </w:rPr>
              <w:tab/>
            </w:r>
            <w:r w:rsidR="002D5471">
              <w:rPr>
                <w:noProof/>
                <w:webHidden/>
              </w:rPr>
              <w:fldChar w:fldCharType="begin"/>
            </w:r>
            <w:r w:rsidR="002D5471">
              <w:rPr>
                <w:noProof/>
                <w:webHidden/>
              </w:rPr>
              <w:instrText xml:space="preserve"> PAGEREF _Toc485826001 \h </w:instrText>
            </w:r>
            <w:r w:rsidR="002D5471">
              <w:rPr>
                <w:noProof/>
                <w:webHidden/>
              </w:rPr>
            </w:r>
            <w:r w:rsidR="002D5471">
              <w:rPr>
                <w:noProof/>
                <w:webHidden/>
              </w:rPr>
              <w:fldChar w:fldCharType="separate"/>
            </w:r>
            <w:r w:rsidR="002D5471">
              <w:rPr>
                <w:noProof/>
                <w:webHidden/>
              </w:rPr>
              <w:t>29</w:t>
            </w:r>
            <w:r w:rsidR="002D5471">
              <w:rPr>
                <w:noProof/>
                <w:webHidden/>
              </w:rPr>
              <w:fldChar w:fldCharType="end"/>
            </w:r>
          </w:hyperlink>
        </w:p>
        <w:p w:rsidR="002D5471" w:rsidRDefault="0097075D">
          <w:pPr>
            <w:pStyle w:val="TOC2"/>
            <w:tabs>
              <w:tab w:val="left" w:pos="1247"/>
            </w:tabs>
            <w:rPr>
              <w:rFonts w:asciiTheme="minorHAnsi" w:eastAsiaTheme="minorEastAsia" w:hAnsiTheme="minorHAnsi" w:cstheme="minorBidi"/>
              <w:b w:val="0"/>
              <w:noProof/>
              <w:sz w:val="22"/>
              <w:lang w:eastAsia="en-AU"/>
            </w:rPr>
          </w:pPr>
          <w:hyperlink w:anchor="_Toc485826002" w:history="1">
            <w:r w:rsidR="002D5471" w:rsidRPr="0073469B">
              <w:rPr>
                <w:rStyle w:val="Hyperlink"/>
                <w:noProof/>
              </w:rPr>
              <w:t>9.</w:t>
            </w:r>
            <w:r w:rsidR="002D5471">
              <w:rPr>
                <w:rFonts w:asciiTheme="minorHAnsi" w:eastAsiaTheme="minorEastAsia" w:hAnsiTheme="minorHAnsi" w:cstheme="minorBidi"/>
                <w:b w:val="0"/>
                <w:noProof/>
                <w:sz w:val="22"/>
                <w:lang w:eastAsia="en-AU"/>
              </w:rPr>
              <w:tab/>
            </w:r>
            <w:r w:rsidR="002D5471" w:rsidRPr="0073469B">
              <w:rPr>
                <w:rStyle w:val="Hyperlink"/>
                <w:noProof/>
              </w:rPr>
              <w:t>First round benefit-risk assessment</w:t>
            </w:r>
            <w:r w:rsidR="002D5471">
              <w:rPr>
                <w:noProof/>
                <w:webHidden/>
              </w:rPr>
              <w:tab/>
            </w:r>
            <w:r w:rsidR="002D5471">
              <w:rPr>
                <w:noProof/>
                <w:webHidden/>
              </w:rPr>
              <w:fldChar w:fldCharType="begin"/>
            </w:r>
            <w:r w:rsidR="002D5471">
              <w:rPr>
                <w:noProof/>
                <w:webHidden/>
              </w:rPr>
              <w:instrText xml:space="preserve"> PAGEREF _Toc485826002 \h </w:instrText>
            </w:r>
            <w:r w:rsidR="002D5471">
              <w:rPr>
                <w:noProof/>
                <w:webHidden/>
              </w:rPr>
            </w:r>
            <w:r w:rsidR="002D5471">
              <w:rPr>
                <w:noProof/>
                <w:webHidden/>
              </w:rPr>
              <w:fldChar w:fldCharType="separate"/>
            </w:r>
            <w:r w:rsidR="002D5471">
              <w:rPr>
                <w:noProof/>
                <w:webHidden/>
              </w:rPr>
              <w:t>30</w:t>
            </w:r>
            <w:r w:rsidR="002D5471">
              <w:rPr>
                <w:noProof/>
                <w:webHidden/>
              </w:rPr>
              <w:fldChar w:fldCharType="end"/>
            </w:r>
          </w:hyperlink>
        </w:p>
        <w:p w:rsidR="002D5471" w:rsidRDefault="0097075D">
          <w:pPr>
            <w:pStyle w:val="TOC3"/>
            <w:tabs>
              <w:tab w:val="left" w:pos="1575"/>
            </w:tabs>
            <w:rPr>
              <w:rFonts w:asciiTheme="minorHAnsi" w:eastAsiaTheme="minorEastAsia" w:hAnsiTheme="minorHAnsi" w:cstheme="minorBidi"/>
              <w:noProof/>
              <w:lang w:eastAsia="en-AU"/>
            </w:rPr>
          </w:pPr>
          <w:hyperlink w:anchor="_Toc485826003" w:history="1">
            <w:r w:rsidR="002D5471" w:rsidRPr="0073469B">
              <w:rPr>
                <w:rStyle w:val="Hyperlink"/>
                <w:noProof/>
              </w:rPr>
              <w:t>9.1.</w:t>
            </w:r>
            <w:r w:rsidR="002D5471">
              <w:rPr>
                <w:rFonts w:asciiTheme="minorHAnsi" w:eastAsiaTheme="minorEastAsia" w:hAnsiTheme="minorHAnsi" w:cstheme="minorBidi"/>
                <w:noProof/>
                <w:lang w:eastAsia="en-AU"/>
              </w:rPr>
              <w:tab/>
            </w:r>
            <w:r w:rsidR="002D5471" w:rsidRPr="0073469B">
              <w:rPr>
                <w:rStyle w:val="Hyperlink"/>
                <w:noProof/>
              </w:rPr>
              <w:t>First round assessment of benefits</w:t>
            </w:r>
            <w:r w:rsidR="002D5471">
              <w:rPr>
                <w:noProof/>
                <w:webHidden/>
              </w:rPr>
              <w:tab/>
            </w:r>
            <w:r w:rsidR="002D5471">
              <w:rPr>
                <w:noProof/>
                <w:webHidden/>
              </w:rPr>
              <w:fldChar w:fldCharType="begin"/>
            </w:r>
            <w:r w:rsidR="002D5471">
              <w:rPr>
                <w:noProof/>
                <w:webHidden/>
              </w:rPr>
              <w:instrText xml:space="preserve"> PAGEREF _Toc485826003 \h </w:instrText>
            </w:r>
            <w:r w:rsidR="002D5471">
              <w:rPr>
                <w:noProof/>
                <w:webHidden/>
              </w:rPr>
            </w:r>
            <w:r w:rsidR="002D5471">
              <w:rPr>
                <w:noProof/>
                <w:webHidden/>
              </w:rPr>
              <w:fldChar w:fldCharType="separate"/>
            </w:r>
            <w:r w:rsidR="002D5471">
              <w:rPr>
                <w:noProof/>
                <w:webHidden/>
              </w:rPr>
              <w:t>30</w:t>
            </w:r>
            <w:r w:rsidR="002D5471">
              <w:rPr>
                <w:noProof/>
                <w:webHidden/>
              </w:rPr>
              <w:fldChar w:fldCharType="end"/>
            </w:r>
          </w:hyperlink>
        </w:p>
        <w:p w:rsidR="002D5471" w:rsidRDefault="0097075D">
          <w:pPr>
            <w:pStyle w:val="TOC3"/>
            <w:tabs>
              <w:tab w:val="left" w:pos="1575"/>
            </w:tabs>
            <w:rPr>
              <w:rFonts w:asciiTheme="minorHAnsi" w:eastAsiaTheme="minorEastAsia" w:hAnsiTheme="minorHAnsi" w:cstheme="minorBidi"/>
              <w:noProof/>
              <w:lang w:eastAsia="en-AU"/>
            </w:rPr>
          </w:pPr>
          <w:hyperlink w:anchor="_Toc485826004" w:history="1">
            <w:r w:rsidR="002D5471" w:rsidRPr="0073469B">
              <w:rPr>
                <w:rStyle w:val="Hyperlink"/>
                <w:noProof/>
              </w:rPr>
              <w:t>9.2.</w:t>
            </w:r>
            <w:r w:rsidR="002D5471">
              <w:rPr>
                <w:rFonts w:asciiTheme="minorHAnsi" w:eastAsiaTheme="minorEastAsia" w:hAnsiTheme="minorHAnsi" w:cstheme="minorBidi"/>
                <w:noProof/>
                <w:lang w:eastAsia="en-AU"/>
              </w:rPr>
              <w:tab/>
            </w:r>
            <w:r w:rsidR="002D5471" w:rsidRPr="0073469B">
              <w:rPr>
                <w:rStyle w:val="Hyperlink"/>
                <w:noProof/>
              </w:rPr>
              <w:t>First round assessment of risks</w:t>
            </w:r>
            <w:r w:rsidR="002D5471">
              <w:rPr>
                <w:noProof/>
                <w:webHidden/>
              </w:rPr>
              <w:tab/>
            </w:r>
            <w:r w:rsidR="002D5471">
              <w:rPr>
                <w:noProof/>
                <w:webHidden/>
              </w:rPr>
              <w:fldChar w:fldCharType="begin"/>
            </w:r>
            <w:r w:rsidR="002D5471">
              <w:rPr>
                <w:noProof/>
                <w:webHidden/>
              </w:rPr>
              <w:instrText xml:space="preserve"> PAGEREF _Toc485826004 \h </w:instrText>
            </w:r>
            <w:r w:rsidR="002D5471">
              <w:rPr>
                <w:noProof/>
                <w:webHidden/>
              </w:rPr>
            </w:r>
            <w:r w:rsidR="002D5471">
              <w:rPr>
                <w:noProof/>
                <w:webHidden/>
              </w:rPr>
              <w:fldChar w:fldCharType="separate"/>
            </w:r>
            <w:r w:rsidR="002D5471">
              <w:rPr>
                <w:noProof/>
                <w:webHidden/>
              </w:rPr>
              <w:t>30</w:t>
            </w:r>
            <w:r w:rsidR="002D5471">
              <w:rPr>
                <w:noProof/>
                <w:webHidden/>
              </w:rPr>
              <w:fldChar w:fldCharType="end"/>
            </w:r>
          </w:hyperlink>
        </w:p>
        <w:p w:rsidR="002D5471" w:rsidRDefault="0097075D">
          <w:pPr>
            <w:pStyle w:val="TOC3"/>
            <w:tabs>
              <w:tab w:val="left" w:pos="1575"/>
            </w:tabs>
            <w:rPr>
              <w:rFonts w:asciiTheme="minorHAnsi" w:eastAsiaTheme="minorEastAsia" w:hAnsiTheme="minorHAnsi" w:cstheme="minorBidi"/>
              <w:noProof/>
              <w:lang w:eastAsia="en-AU"/>
            </w:rPr>
          </w:pPr>
          <w:hyperlink w:anchor="_Toc485826005" w:history="1">
            <w:r w:rsidR="002D5471" w:rsidRPr="0073469B">
              <w:rPr>
                <w:rStyle w:val="Hyperlink"/>
                <w:noProof/>
              </w:rPr>
              <w:t>9.3.</w:t>
            </w:r>
            <w:r w:rsidR="002D5471">
              <w:rPr>
                <w:rFonts w:asciiTheme="minorHAnsi" w:eastAsiaTheme="minorEastAsia" w:hAnsiTheme="minorHAnsi" w:cstheme="minorBidi"/>
                <w:noProof/>
                <w:lang w:eastAsia="en-AU"/>
              </w:rPr>
              <w:tab/>
            </w:r>
            <w:r w:rsidR="002D5471" w:rsidRPr="0073469B">
              <w:rPr>
                <w:rStyle w:val="Hyperlink"/>
                <w:noProof/>
              </w:rPr>
              <w:t>First round assessment of benefit-risk balance</w:t>
            </w:r>
            <w:r w:rsidR="002D5471">
              <w:rPr>
                <w:noProof/>
                <w:webHidden/>
              </w:rPr>
              <w:tab/>
            </w:r>
            <w:r w:rsidR="002D5471">
              <w:rPr>
                <w:noProof/>
                <w:webHidden/>
              </w:rPr>
              <w:fldChar w:fldCharType="begin"/>
            </w:r>
            <w:r w:rsidR="002D5471">
              <w:rPr>
                <w:noProof/>
                <w:webHidden/>
              </w:rPr>
              <w:instrText xml:space="preserve"> PAGEREF _Toc485826005 \h </w:instrText>
            </w:r>
            <w:r w:rsidR="002D5471">
              <w:rPr>
                <w:noProof/>
                <w:webHidden/>
              </w:rPr>
            </w:r>
            <w:r w:rsidR="002D5471">
              <w:rPr>
                <w:noProof/>
                <w:webHidden/>
              </w:rPr>
              <w:fldChar w:fldCharType="separate"/>
            </w:r>
            <w:r w:rsidR="002D5471">
              <w:rPr>
                <w:noProof/>
                <w:webHidden/>
              </w:rPr>
              <w:t>30</w:t>
            </w:r>
            <w:r w:rsidR="002D5471">
              <w:rPr>
                <w:noProof/>
                <w:webHidden/>
              </w:rPr>
              <w:fldChar w:fldCharType="end"/>
            </w:r>
          </w:hyperlink>
        </w:p>
        <w:p w:rsidR="002D5471" w:rsidRDefault="0097075D">
          <w:pPr>
            <w:pStyle w:val="TOC2"/>
            <w:tabs>
              <w:tab w:val="left" w:pos="1247"/>
            </w:tabs>
            <w:rPr>
              <w:rFonts w:asciiTheme="minorHAnsi" w:eastAsiaTheme="minorEastAsia" w:hAnsiTheme="minorHAnsi" w:cstheme="minorBidi"/>
              <w:b w:val="0"/>
              <w:noProof/>
              <w:sz w:val="22"/>
              <w:lang w:eastAsia="en-AU"/>
            </w:rPr>
          </w:pPr>
          <w:hyperlink w:anchor="_Toc485826006" w:history="1">
            <w:r w:rsidR="002D5471" w:rsidRPr="0073469B">
              <w:rPr>
                <w:rStyle w:val="Hyperlink"/>
                <w:noProof/>
              </w:rPr>
              <w:t>10.</w:t>
            </w:r>
            <w:r w:rsidR="002D5471">
              <w:rPr>
                <w:rFonts w:asciiTheme="minorHAnsi" w:eastAsiaTheme="minorEastAsia" w:hAnsiTheme="minorHAnsi" w:cstheme="minorBidi"/>
                <w:b w:val="0"/>
                <w:noProof/>
                <w:sz w:val="22"/>
                <w:lang w:eastAsia="en-AU"/>
              </w:rPr>
              <w:tab/>
            </w:r>
            <w:r w:rsidR="002D5471" w:rsidRPr="0073469B">
              <w:rPr>
                <w:rStyle w:val="Hyperlink"/>
                <w:noProof/>
              </w:rPr>
              <w:t>First round recommendation regarding authorisation</w:t>
            </w:r>
            <w:r w:rsidR="002D5471">
              <w:rPr>
                <w:noProof/>
                <w:webHidden/>
              </w:rPr>
              <w:tab/>
            </w:r>
            <w:r w:rsidR="002D5471">
              <w:rPr>
                <w:noProof/>
                <w:webHidden/>
              </w:rPr>
              <w:fldChar w:fldCharType="begin"/>
            </w:r>
            <w:r w:rsidR="002D5471">
              <w:rPr>
                <w:noProof/>
                <w:webHidden/>
              </w:rPr>
              <w:instrText xml:space="preserve"> PAGEREF _Toc485826006 \h </w:instrText>
            </w:r>
            <w:r w:rsidR="002D5471">
              <w:rPr>
                <w:noProof/>
                <w:webHidden/>
              </w:rPr>
            </w:r>
            <w:r w:rsidR="002D5471">
              <w:rPr>
                <w:noProof/>
                <w:webHidden/>
              </w:rPr>
              <w:fldChar w:fldCharType="separate"/>
            </w:r>
            <w:r w:rsidR="002D5471">
              <w:rPr>
                <w:noProof/>
                <w:webHidden/>
              </w:rPr>
              <w:t>31</w:t>
            </w:r>
            <w:r w:rsidR="002D5471">
              <w:rPr>
                <w:noProof/>
                <w:webHidden/>
              </w:rPr>
              <w:fldChar w:fldCharType="end"/>
            </w:r>
          </w:hyperlink>
        </w:p>
        <w:p w:rsidR="002D5471" w:rsidRDefault="0097075D">
          <w:pPr>
            <w:pStyle w:val="TOC2"/>
            <w:tabs>
              <w:tab w:val="left" w:pos="1247"/>
            </w:tabs>
            <w:rPr>
              <w:rFonts w:asciiTheme="minorHAnsi" w:eastAsiaTheme="minorEastAsia" w:hAnsiTheme="minorHAnsi" w:cstheme="minorBidi"/>
              <w:b w:val="0"/>
              <w:noProof/>
              <w:sz w:val="22"/>
              <w:lang w:eastAsia="en-AU"/>
            </w:rPr>
          </w:pPr>
          <w:hyperlink w:anchor="_Toc485826007" w:history="1">
            <w:r w:rsidR="002D5471" w:rsidRPr="0073469B">
              <w:rPr>
                <w:rStyle w:val="Hyperlink"/>
                <w:noProof/>
              </w:rPr>
              <w:t>11.</w:t>
            </w:r>
            <w:r w:rsidR="002D5471">
              <w:rPr>
                <w:rFonts w:asciiTheme="minorHAnsi" w:eastAsiaTheme="minorEastAsia" w:hAnsiTheme="minorHAnsi" w:cstheme="minorBidi"/>
                <w:b w:val="0"/>
                <w:noProof/>
                <w:sz w:val="22"/>
                <w:lang w:eastAsia="en-AU"/>
              </w:rPr>
              <w:tab/>
            </w:r>
            <w:r w:rsidR="002D5471" w:rsidRPr="0073469B">
              <w:rPr>
                <w:rStyle w:val="Hyperlink"/>
                <w:noProof/>
              </w:rPr>
              <w:t>Clinical questions</w:t>
            </w:r>
            <w:r w:rsidR="002D5471">
              <w:rPr>
                <w:noProof/>
                <w:webHidden/>
              </w:rPr>
              <w:tab/>
            </w:r>
            <w:r w:rsidR="002D5471">
              <w:rPr>
                <w:noProof/>
                <w:webHidden/>
              </w:rPr>
              <w:fldChar w:fldCharType="begin"/>
            </w:r>
            <w:r w:rsidR="002D5471">
              <w:rPr>
                <w:noProof/>
                <w:webHidden/>
              </w:rPr>
              <w:instrText xml:space="preserve"> PAGEREF _Toc485826007 \h </w:instrText>
            </w:r>
            <w:r w:rsidR="002D5471">
              <w:rPr>
                <w:noProof/>
                <w:webHidden/>
              </w:rPr>
            </w:r>
            <w:r w:rsidR="002D5471">
              <w:rPr>
                <w:noProof/>
                <w:webHidden/>
              </w:rPr>
              <w:fldChar w:fldCharType="separate"/>
            </w:r>
            <w:r w:rsidR="002D5471">
              <w:rPr>
                <w:noProof/>
                <w:webHidden/>
              </w:rPr>
              <w:t>31</w:t>
            </w:r>
            <w:r w:rsidR="002D5471">
              <w:rPr>
                <w:noProof/>
                <w:webHidden/>
              </w:rPr>
              <w:fldChar w:fldCharType="end"/>
            </w:r>
          </w:hyperlink>
        </w:p>
        <w:p w:rsidR="002D5471" w:rsidRDefault="0097075D">
          <w:pPr>
            <w:pStyle w:val="TOC3"/>
            <w:tabs>
              <w:tab w:val="left" w:pos="1697"/>
            </w:tabs>
            <w:rPr>
              <w:rFonts w:asciiTheme="minorHAnsi" w:eastAsiaTheme="minorEastAsia" w:hAnsiTheme="minorHAnsi" w:cstheme="minorBidi"/>
              <w:noProof/>
              <w:lang w:eastAsia="en-AU"/>
            </w:rPr>
          </w:pPr>
          <w:hyperlink w:anchor="_Toc485826008" w:history="1">
            <w:r w:rsidR="002D5471" w:rsidRPr="0073469B">
              <w:rPr>
                <w:rStyle w:val="Hyperlink"/>
                <w:noProof/>
              </w:rPr>
              <w:t>11.1.</w:t>
            </w:r>
            <w:r w:rsidR="002D5471">
              <w:rPr>
                <w:rFonts w:asciiTheme="minorHAnsi" w:eastAsiaTheme="minorEastAsia" w:hAnsiTheme="minorHAnsi" w:cstheme="minorBidi"/>
                <w:noProof/>
                <w:lang w:eastAsia="en-AU"/>
              </w:rPr>
              <w:tab/>
            </w:r>
            <w:r w:rsidR="002D5471" w:rsidRPr="0073469B">
              <w:rPr>
                <w:rStyle w:val="Hyperlink"/>
                <w:noProof/>
              </w:rPr>
              <w:t>Additional expert input</w:t>
            </w:r>
            <w:r w:rsidR="002D5471">
              <w:rPr>
                <w:noProof/>
                <w:webHidden/>
              </w:rPr>
              <w:tab/>
            </w:r>
            <w:r w:rsidR="002D5471">
              <w:rPr>
                <w:noProof/>
                <w:webHidden/>
              </w:rPr>
              <w:fldChar w:fldCharType="begin"/>
            </w:r>
            <w:r w:rsidR="002D5471">
              <w:rPr>
                <w:noProof/>
                <w:webHidden/>
              </w:rPr>
              <w:instrText xml:space="preserve"> PAGEREF _Toc485826008 \h </w:instrText>
            </w:r>
            <w:r w:rsidR="002D5471">
              <w:rPr>
                <w:noProof/>
                <w:webHidden/>
              </w:rPr>
            </w:r>
            <w:r w:rsidR="002D5471">
              <w:rPr>
                <w:noProof/>
                <w:webHidden/>
              </w:rPr>
              <w:fldChar w:fldCharType="separate"/>
            </w:r>
            <w:r w:rsidR="002D5471">
              <w:rPr>
                <w:noProof/>
                <w:webHidden/>
              </w:rPr>
              <w:t>31</w:t>
            </w:r>
            <w:r w:rsidR="002D5471">
              <w:rPr>
                <w:noProof/>
                <w:webHidden/>
              </w:rPr>
              <w:fldChar w:fldCharType="end"/>
            </w:r>
          </w:hyperlink>
        </w:p>
        <w:p w:rsidR="002D5471" w:rsidRDefault="0097075D">
          <w:pPr>
            <w:pStyle w:val="TOC3"/>
            <w:tabs>
              <w:tab w:val="left" w:pos="1697"/>
            </w:tabs>
            <w:rPr>
              <w:rFonts w:asciiTheme="minorHAnsi" w:eastAsiaTheme="minorEastAsia" w:hAnsiTheme="minorHAnsi" w:cstheme="minorBidi"/>
              <w:noProof/>
              <w:lang w:eastAsia="en-AU"/>
            </w:rPr>
          </w:pPr>
          <w:hyperlink w:anchor="_Toc485826009" w:history="1">
            <w:r w:rsidR="002D5471" w:rsidRPr="0073469B">
              <w:rPr>
                <w:rStyle w:val="Hyperlink"/>
                <w:noProof/>
              </w:rPr>
              <w:t>11.2.</w:t>
            </w:r>
            <w:r w:rsidR="002D5471">
              <w:rPr>
                <w:rFonts w:asciiTheme="minorHAnsi" w:eastAsiaTheme="minorEastAsia" w:hAnsiTheme="minorHAnsi" w:cstheme="minorBidi"/>
                <w:noProof/>
                <w:lang w:eastAsia="en-AU"/>
              </w:rPr>
              <w:tab/>
            </w:r>
            <w:r w:rsidR="002D5471" w:rsidRPr="0073469B">
              <w:rPr>
                <w:rStyle w:val="Hyperlink"/>
                <w:noProof/>
              </w:rPr>
              <w:t>Clinical questions</w:t>
            </w:r>
            <w:r w:rsidR="002D5471">
              <w:rPr>
                <w:noProof/>
                <w:webHidden/>
              </w:rPr>
              <w:tab/>
            </w:r>
            <w:r w:rsidR="002D5471">
              <w:rPr>
                <w:noProof/>
                <w:webHidden/>
              </w:rPr>
              <w:fldChar w:fldCharType="begin"/>
            </w:r>
            <w:r w:rsidR="002D5471">
              <w:rPr>
                <w:noProof/>
                <w:webHidden/>
              </w:rPr>
              <w:instrText xml:space="preserve"> PAGEREF _Toc485826009 \h </w:instrText>
            </w:r>
            <w:r w:rsidR="002D5471">
              <w:rPr>
                <w:noProof/>
                <w:webHidden/>
              </w:rPr>
            </w:r>
            <w:r w:rsidR="002D5471">
              <w:rPr>
                <w:noProof/>
                <w:webHidden/>
              </w:rPr>
              <w:fldChar w:fldCharType="separate"/>
            </w:r>
            <w:r w:rsidR="002D5471">
              <w:rPr>
                <w:noProof/>
                <w:webHidden/>
              </w:rPr>
              <w:t>31</w:t>
            </w:r>
            <w:r w:rsidR="002D5471">
              <w:rPr>
                <w:noProof/>
                <w:webHidden/>
              </w:rPr>
              <w:fldChar w:fldCharType="end"/>
            </w:r>
          </w:hyperlink>
        </w:p>
        <w:p w:rsidR="002D5471" w:rsidRDefault="0097075D">
          <w:pPr>
            <w:pStyle w:val="TOC2"/>
            <w:tabs>
              <w:tab w:val="left" w:pos="1247"/>
            </w:tabs>
            <w:rPr>
              <w:rFonts w:asciiTheme="minorHAnsi" w:eastAsiaTheme="minorEastAsia" w:hAnsiTheme="minorHAnsi" w:cstheme="minorBidi"/>
              <w:b w:val="0"/>
              <w:noProof/>
              <w:sz w:val="22"/>
              <w:lang w:eastAsia="en-AU"/>
            </w:rPr>
          </w:pPr>
          <w:hyperlink w:anchor="_Toc485826010" w:history="1">
            <w:r w:rsidR="002D5471" w:rsidRPr="0073469B">
              <w:rPr>
                <w:rStyle w:val="Hyperlink"/>
                <w:noProof/>
              </w:rPr>
              <w:t>12.</w:t>
            </w:r>
            <w:r w:rsidR="002D5471">
              <w:rPr>
                <w:rFonts w:asciiTheme="minorHAnsi" w:eastAsiaTheme="minorEastAsia" w:hAnsiTheme="minorHAnsi" w:cstheme="minorBidi"/>
                <w:b w:val="0"/>
                <w:noProof/>
                <w:sz w:val="22"/>
                <w:lang w:eastAsia="en-AU"/>
              </w:rPr>
              <w:tab/>
            </w:r>
            <w:r w:rsidR="002D5471" w:rsidRPr="0073469B">
              <w:rPr>
                <w:rStyle w:val="Hyperlink"/>
                <w:noProof/>
              </w:rPr>
              <w:t>Second round evaluation of clinical data submitted</w:t>
            </w:r>
            <w:r w:rsidR="002D5471">
              <w:rPr>
                <w:noProof/>
                <w:webHidden/>
              </w:rPr>
              <w:tab/>
            </w:r>
            <w:r w:rsidR="002D5471">
              <w:rPr>
                <w:noProof/>
                <w:webHidden/>
              </w:rPr>
              <w:fldChar w:fldCharType="begin"/>
            </w:r>
            <w:r w:rsidR="002D5471">
              <w:rPr>
                <w:noProof/>
                <w:webHidden/>
              </w:rPr>
              <w:instrText xml:space="preserve"> PAGEREF _Toc485826010 \h </w:instrText>
            </w:r>
            <w:r w:rsidR="002D5471">
              <w:rPr>
                <w:noProof/>
                <w:webHidden/>
              </w:rPr>
            </w:r>
            <w:r w:rsidR="002D5471">
              <w:rPr>
                <w:noProof/>
                <w:webHidden/>
              </w:rPr>
              <w:fldChar w:fldCharType="separate"/>
            </w:r>
            <w:r w:rsidR="002D5471">
              <w:rPr>
                <w:noProof/>
                <w:webHidden/>
              </w:rPr>
              <w:t>32</w:t>
            </w:r>
            <w:r w:rsidR="002D5471">
              <w:rPr>
                <w:noProof/>
                <w:webHidden/>
              </w:rPr>
              <w:fldChar w:fldCharType="end"/>
            </w:r>
          </w:hyperlink>
        </w:p>
        <w:p w:rsidR="002D5471" w:rsidRDefault="0097075D">
          <w:pPr>
            <w:pStyle w:val="TOC3"/>
            <w:tabs>
              <w:tab w:val="left" w:pos="1697"/>
            </w:tabs>
            <w:rPr>
              <w:rFonts w:asciiTheme="minorHAnsi" w:eastAsiaTheme="minorEastAsia" w:hAnsiTheme="minorHAnsi" w:cstheme="minorBidi"/>
              <w:noProof/>
              <w:lang w:eastAsia="en-AU"/>
            </w:rPr>
          </w:pPr>
          <w:hyperlink w:anchor="_Toc485826011" w:history="1">
            <w:r w:rsidR="002D5471" w:rsidRPr="0073469B">
              <w:rPr>
                <w:rStyle w:val="Hyperlink"/>
                <w:noProof/>
              </w:rPr>
              <w:t>12.1.</w:t>
            </w:r>
            <w:r w:rsidR="002D5471">
              <w:rPr>
                <w:rFonts w:asciiTheme="minorHAnsi" w:eastAsiaTheme="minorEastAsia" w:hAnsiTheme="minorHAnsi" w:cstheme="minorBidi"/>
                <w:noProof/>
                <w:lang w:eastAsia="en-AU"/>
              </w:rPr>
              <w:tab/>
            </w:r>
            <w:r w:rsidR="002D5471" w:rsidRPr="0073469B">
              <w:rPr>
                <w:rStyle w:val="Hyperlink"/>
                <w:noProof/>
              </w:rPr>
              <w:t>Efficacy</w:t>
            </w:r>
            <w:r w:rsidR="002D5471">
              <w:rPr>
                <w:noProof/>
                <w:webHidden/>
              </w:rPr>
              <w:tab/>
            </w:r>
            <w:r w:rsidR="002D5471">
              <w:rPr>
                <w:noProof/>
                <w:webHidden/>
              </w:rPr>
              <w:fldChar w:fldCharType="begin"/>
            </w:r>
            <w:r w:rsidR="002D5471">
              <w:rPr>
                <w:noProof/>
                <w:webHidden/>
              </w:rPr>
              <w:instrText xml:space="preserve"> PAGEREF _Toc485826011 \h </w:instrText>
            </w:r>
            <w:r w:rsidR="002D5471">
              <w:rPr>
                <w:noProof/>
                <w:webHidden/>
              </w:rPr>
            </w:r>
            <w:r w:rsidR="002D5471">
              <w:rPr>
                <w:noProof/>
                <w:webHidden/>
              </w:rPr>
              <w:fldChar w:fldCharType="separate"/>
            </w:r>
            <w:r w:rsidR="002D5471">
              <w:rPr>
                <w:noProof/>
                <w:webHidden/>
              </w:rPr>
              <w:t>32</w:t>
            </w:r>
            <w:r w:rsidR="002D5471">
              <w:rPr>
                <w:noProof/>
                <w:webHidden/>
              </w:rPr>
              <w:fldChar w:fldCharType="end"/>
            </w:r>
          </w:hyperlink>
        </w:p>
        <w:p w:rsidR="002D5471" w:rsidRDefault="0097075D">
          <w:pPr>
            <w:pStyle w:val="TOC3"/>
            <w:tabs>
              <w:tab w:val="left" w:pos="1697"/>
            </w:tabs>
            <w:rPr>
              <w:rFonts w:asciiTheme="minorHAnsi" w:eastAsiaTheme="minorEastAsia" w:hAnsiTheme="minorHAnsi" w:cstheme="minorBidi"/>
              <w:noProof/>
              <w:lang w:eastAsia="en-AU"/>
            </w:rPr>
          </w:pPr>
          <w:hyperlink w:anchor="_Toc485826012" w:history="1">
            <w:r w:rsidR="002D5471" w:rsidRPr="0073469B">
              <w:rPr>
                <w:rStyle w:val="Hyperlink"/>
                <w:noProof/>
              </w:rPr>
              <w:t>12.2.</w:t>
            </w:r>
            <w:r w:rsidR="002D5471">
              <w:rPr>
                <w:rFonts w:asciiTheme="minorHAnsi" w:eastAsiaTheme="minorEastAsia" w:hAnsiTheme="minorHAnsi" w:cstheme="minorBidi"/>
                <w:noProof/>
                <w:lang w:eastAsia="en-AU"/>
              </w:rPr>
              <w:tab/>
            </w:r>
            <w:r w:rsidR="002D5471" w:rsidRPr="0073469B">
              <w:rPr>
                <w:rStyle w:val="Hyperlink"/>
                <w:noProof/>
              </w:rPr>
              <w:t>Safety</w:t>
            </w:r>
            <w:r w:rsidR="002D5471">
              <w:rPr>
                <w:noProof/>
                <w:webHidden/>
              </w:rPr>
              <w:tab/>
            </w:r>
            <w:r w:rsidR="002D5471">
              <w:rPr>
                <w:noProof/>
                <w:webHidden/>
              </w:rPr>
              <w:fldChar w:fldCharType="begin"/>
            </w:r>
            <w:r w:rsidR="002D5471">
              <w:rPr>
                <w:noProof/>
                <w:webHidden/>
              </w:rPr>
              <w:instrText xml:space="preserve"> PAGEREF _Toc485826012 \h </w:instrText>
            </w:r>
            <w:r w:rsidR="002D5471">
              <w:rPr>
                <w:noProof/>
                <w:webHidden/>
              </w:rPr>
            </w:r>
            <w:r w:rsidR="002D5471">
              <w:rPr>
                <w:noProof/>
                <w:webHidden/>
              </w:rPr>
              <w:fldChar w:fldCharType="separate"/>
            </w:r>
            <w:r w:rsidR="002D5471">
              <w:rPr>
                <w:noProof/>
                <w:webHidden/>
              </w:rPr>
              <w:t>35</w:t>
            </w:r>
            <w:r w:rsidR="002D5471">
              <w:rPr>
                <w:noProof/>
                <w:webHidden/>
              </w:rPr>
              <w:fldChar w:fldCharType="end"/>
            </w:r>
          </w:hyperlink>
        </w:p>
        <w:p w:rsidR="002D5471" w:rsidRDefault="0097075D">
          <w:pPr>
            <w:pStyle w:val="TOC2"/>
            <w:tabs>
              <w:tab w:val="left" w:pos="1247"/>
            </w:tabs>
            <w:rPr>
              <w:rFonts w:asciiTheme="minorHAnsi" w:eastAsiaTheme="minorEastAsia" w:hAnsiTheme="minorHAnsi" w:cstheme="minorBidi"/>
              <w:b w:val="0"/>
              <w:noProof/>
              <w:sz w:val="22"/>
              <w:lang w:eastAsia="en-AU"/>
            </w:rPr>
          </w:pPr>
          <w:hyperlink w:anchor="_Toc485826013" w:history="1">
            <w:r w:rsidR="002D5471" w:rsidRPr="0073469B">
              <w:rPr>
                <w:rStyle w:val="Hyperlink"/>
                <w:noProof/>
              </w:rPr>
              <w:t>13.</w:t>
            </w:r>
            <w:r w:rsidR="002D5471">
              <w:rPr>
                <w:rFonts w:asciiTheme="minorHAnsi" w:eastAsiaTheme="minorEastAsia" w:hAnsiTheme="minorHAnsi" w:cstheme="minorBidi"/>
                <w:b w:val="0"/>
                <w:noProof/>
                <w:sz w:val="22"/>
                <w:lang w:eastAsia="en-AU"/>
              </w:rPr>
              <w:tab/>
            </w:r>
            <w:r w:rsidR="002D5471" w:rsidRPr="0073469B">
              <w:rPr>
                <w:rStyle w:val="Hyperlink"/>
                <w:noProof/>
              </w:rPr>
              <w:t>Second round benefit-risk assessment</w:t>
            </w:r>
            <w:r w:rsidR="002D5471">
              <w:rPr>
                <w:noProof/>
                <w:webHidden/>
              </w:rPr>
              <w:tab/>
            </w:r>
            <w:r w:rsidR="002D5471">
              <w:rPr>
                <w:noProof/>
                <w:webHidden/>
              </w:rPr>
              <w:fldChar w:fldCharType="begin"/>
            </w:r>
            <w:r w:rsidR="002D5471">
              <w:rPr>
                <w:noProof/>
                <w:webHidden/>
              </w:rPr>
              <w:instrText xml:space="preserve"> PAGEREF _Toc485826013 \h </w:instrText>
            </w:r>
            <w:r w:rsidR="002D5471">
              <w:rPr>
                <w:noProof/>
                <w:webHidden/>
              </w:rPr>
            </w:r>
            <w:r w:rsidR="002D5471">
              <w:rPr>
                <w:noProof/>
                <w:webHidden/>
              </w:rPr>
              <w:fldChar w:fldCharType="separate"/>
            </w:r>
            <w:r w:rsidR="002D5471">
              <w:rPr>
                <w:noProof/>
                <w:webHidden/>
              </w:rPr>
              <w:t>36</w:t>
            </w:r>
            <w:r w:rsidR="002D5471">
              <w:rPr>
                <w:noProof/>
                <w:webHidden/>
              </w:rPr>
              <w:fldChar w:fldCharType="end"/>
            </w:r>
          </w:hyperlink>
        </w:p>
        <w:p w:rsidR="002D5471" w:rsidRDefault="0097075D">
          <w:pPr>
            <w:pStyle w:val="TOC3"/>
            <w:tabs>
              <w:tab w:val="left" w:pos="1697"/>
            </w:tabs>
            <w:rPr>
              <w:rFonts w:asciiTheme="minorHAnsi" w:eastAsiaTheme="minorEastAsia" w:hAnsiTheme="minorHAnsi" w:cstheme="minorBidi"/>
              <w:noProof/>
              <w:lang w:eastAsia="en-AU"/>
            </w:rPr>
          </w:pPr>
          <w:hyperlink w:anchor="_Toc485826014" w:history="1">
            <w:r w:rsidR="002D5471" w:rsidRPr="0073469B">
              <w:rPr>
                <w:rStyle w:val="Hyperlink"/>
                <w:noProof/>
              </w:rPr>
              <w:t>13.1.</w:t>
            </w:r>
            <w:r w:rsidR="002D5471">
              <w:rPr>
                <w:rFonts w:asciiTheme="minorHAnsi" w:eastAsiaTheme="minorEastAsia" w:hAnsiTheme="minorHAnsi" w:cstheme="minorBidi"/>
                <w:noProof/>
                <w:lang w:eastAsia="en-AU"/>
              </w:rPr>
              <w:tab/>
            </w:r>
            <w:r w:rsidR="002D5471" w:rsidRPr="0073469B">
              <w:rPr>
                <w:rStyle w:val="Hyperlink"/>
                <w:noProof/>
              </w:rPr>
              <w:t>Second round assessment of benefits</w:t>
            </w:r>
            <w:r w:rsidR="002D5471">
              <w:rPr>
                <w:noProof/>
                <w:webHidden/>
              </w:rPr>
              <w:tab/>
            </w:r>
            <w:r w:rsidR="002D5471">
              <w:rPr>
                <w:noProof/>
                <w:webHidden/>
              </w:rPr>
              <w:fldChar w:fldCharType="begin"/>
            </w:r>
            <w:r w:rsidR="002D5471">
              <w:rPr>
                <w:noProof/>
                <w:webHidden/>
              </w:rPr>
              <w:instrText xml:space="preserve"> PAGEREF _Toc485826014 \h </w:instrText>
            </w:r>
            <w:r w:rsidR="002D5471">
              <w:rPr>
                <w:noProof/>
                <w:webHidden/>
              </w:rPr>
            </w:r>
            <w:r w:rsidR="002D5471">
              <w:rPr>
                <w:noProof/>
                <w:webHidden/>
              </w:rPr>
              <w:fldChar w:fldCharType="separate"/>
            </w:r>
            <w:r w:rsidR="002D5471">
              <w:rPr>
                <w:noProof/>
                <w:webHidden/>
              </w:rPr>
              <w:t>36</w:t>
            </w:r>
            <w:r w:rsidR="002D5471">
              <w:rPr>
                <w:noProof/>
                <w:webHidden/>
              </w:rPr>
              <w:fldChar w:fldCharType="end"/>
            </w:r>
          </w:hyperlink>
        </w:p>
        <w:p w:rsidR="002D5471" w:rsidRDefault="0097075D">
          <w:pPr>
            <w:pStyle w:val="TOC3"/>
            <w:tabs>
              <w:tab w:val="left" w:pos="1697"/>
            </w:tabs>
            <w:rPr>
              <w:rFonts w:asciiTheme="minorHAnsi" w:eastAsiaTheme="minorEastAsia" w:hAnsiTheme="minorHAnsi" w:cstheme="minorBidi"/>
              <w:noProof/>
              <w:lang w:eastAsia="en-AU"/>
            </w:rPr>
          </w:pPr>
          <w:hyperlink w:anchor="_Toc485826015" w:history="1">
            <w:r w:rsidR="002D5471" w:rsidRPr="0073469B">
              <w:rPr>
                <w:rStyle w:val="Hyperlink"/>
                <w:noProof/>
              </w:rPr>
              <w:t>13.2.</w:t>
            </w:r>
            <w:r w:rsidR="002D5471">
              <w:rPr>
                <w:rFonts w:asciiTheme="minorHAnsi" w:eastAsiaTheme="minorEastAsia" w:hAnsiTheme="minorHAnsi" w:cstheme="minorBidi"/>
                <w:noProof/>
                <w:lang w:eastAsia="en-AU"/>
              </w:rPr>
              <w:tab/>
            </w:r>
            <w:r w:rsidR="002D5471" w:rsidRPr="0073469B">
              <w:rPr>
                <w:rStyle w:val="Hyperlink"/>
                <w:noProof/>
              </w:rPr>
              <w:t>Second round assessment of risks</w:t>
            </w:r>
            <w:r w:rsidR="002D5471">
              <w:rPr>
                <w:noProof/>
                <w:webHidden/>
              </w:rPr>
              <w:tab/>
            </w:r>
            <w:r w:rsidR="002D5471">
              <w:rPr>
                <w:noProof/>
                <w:webHidden/>
              </w:rPr>
              <w:fldChar w:fldCharType="begin"/>
            </w:r>
            <w:r w:rsidR="002D5471">
              <w:rPr>
                <w:noProof/>
                <w:webHidden/>
              </w:rPr>
              <w:instrText xml:space="preserve"> PAGEREF _Toc485826015 \h </w:instrText>
            </w:r>
            <w:r w:rsidR="002D5471">
              <w:rPr>
                <w:noProof/>
                <w:webHidden/>
              </w:rPr>
            </w:r>
            <w:r w:rsidR="002D5471">
              <w:rPr>
                <w:noProof/>
                <w:webHidden/>
              </w:rPr>
              <w:fldChar w:fldCharType="separate"/>
            </w:r>
            <w:r w:rsidR="002D5471">
              <w:rPr>
                <w:noProof/>
                <w:webHidden/>
              </w:rPr>
              <w:t>36</w:t>
            </w:r>
            <w:r w:rsidR="002D5471">
              <w:rPr>
                <w:noProof/>
                <w:webHidden/>
              </w:rPr>
              <w:fldChar w:fldCharType="end"/>
            </w:r>
          </w:hyperlink>
        </w:p>
        <w:p w:rsidR="002D5471" w:rsidRDefault="0097075D">
          <w:pPr>
            <w:pStyle w:val="TOC3"/>
            <w:tabs>
              <w:tab w:val="left" w:pos="1697"/>
            </w:tabs>
            <w:rPr>
              <w:rFonts w:asciiTheme="minorHAnsi" w:eastAsiaTheme="minorEastAsia" w:hAnsiTheme="minorHAnsi" w:cstheme="minorBidi"/>
              <w:noProof/>
              <w:lang w:eastAsia="en-AU"/>
            </w:rPr>
          </w:pPr>
          <w:hyperlink w:anchor="_Toc485826016" w:history="1">
            <w:r w:rsidR="002D5471" w:rsidRPr="0073469B">
              <w:rPr>
                <w:rStyle w:val="Hyperlink"/>
                <w:noProof/>
              </w:rPr>
              <w:t>13.3.</w:t>
            </w:r>
            <w:r w:rsidR="002D5471">
              <w:rPr>
                <w:rFonts w:asciiTheme="minorHAnsi" w:eastAsiaTheme="minorEastAsia" w:hAnsiTheme="minorHAnsi" w:cstheme="minorBidi"/>
                <w:noProof/>
                <w:lang w:eastAsia="en-AU"/>
              </w:rPr>
              <w:tab/>
            </w:r>
            <w:r w:rsidR="002D5471" w:rsidRPr="0073469B">
              <w:rPr>
                <w:rStyle w:val="Hyperlink"/>
                <w:noProof/>
              </w:rPr>
              <w:t>Second round assessment of benefit-risk balance</w:t>
            </w:r>
            <w:r w:rsidR="002D5471">
              <w:rPr>
                <w:noProof/>
                <w:webHidden/>
              </w:rPr>
              <w:tab/>
            </w:r>
            <w:r w:rsidR="002D5471">
              <w:rPr>
                <w:noProof/>
                <w:webHidden/>
              </w:rPr>
              <w:fldChar w:fldCharType="begin"/>
            </w:r>
            <w:r w:rsidR="002D5471">
              <w:rPr>
                <w:noProof/>
                <w:webHidden/>
              </w:rPr>
              <w:instrText xml:space="preserve"> PAGEREF _Toc485826016 \h </w:instrText>
            </w:r>
            <w:r w:rsidR="002D5471">
              <w:rPr>
                <w:noProof/>
                <w:webHidden/>
              </w:rPr>
            </w:r>
            <w:r w:rsidR="002D5471">
              <w:rPr>
                <w:noProof/>
                <w:webHidden/>
              </w:rPr>
              <w:fldChar w:fldCharType="separate"/>
            </w:r>
            <w:r w:rsidR="002D5471">
              <w:rPr>
                <w:noProof/>
                <w:webHidden/>
              </w:rPr>
              <w:t>36</w:t>
            </w:r>
            <w:r w:rsidR="002D5471">
              <w:rPr>
                <w:noProof/>
                <w:webHidden/>
              </w:rPr>
              <w:fldChar w:fldCharType="end"/>
            </w:r>
          </w:hyperlink>
        </w:p>
        <w:p w:rsidR="002D5471" w:rsidRDefault="0097075D">
          <w:pPr>
            <w:pStyle w:val="TOC2"/>
            <w:tabs>
              <w:tab w:val="left" w:pos="1247"/>
            </w:tabs>
            <w:rPr>
              <w:rFonts w:asciiTheme="minorHAnsi" w:eastAsiaTheme="minorEastAsia" w:hAnsiTheme="minorHAnsi" w:cstheme="minorBidi"/>
              <w:b w:val="0"/>
              <w:noProof/>
              <w:sz w:val="22"/>
              <w:lang w:eastAsia="en-AU"/>
            </w:rPr>
          </w:pPr>
          <w:hyperlink w:anchor="_Toc485826017" w:history="1">
            <w:r w:rsidR="002D5471" w:rsidRPr="0073469B">
              <w:rPr>
                <w:rStyle w:val="Hyperlink"/>
                <w:noProof/>
              </w:rPr>
              <w:t>14.</w:t>
            </w:r>
            <w:r w:rsidR="002D5471">
              <w:rPr>
                <w:rFonts w:asciiTheme="minorHAnsi" w:eastAsiaTheme="minorEastAsia" w:hAnsiTheme="minorHAnsi" w:cstheme="minorBidi"/>
                <w:b w:val="0"/>
                <w:noProof/>
                <w:sz w:val="22"/>
                <w:lang w:eastAsia="en-AU"/>
              </w:rPr>
              <w:tab/>
            </w:r>
            <w:r w:rsidR="002D5471" w:rsidRPr="0073469B">
              <w:rPr>
                <w:rStyle w:val="Hyperlink"/>
                <w:noProof/>
              </w:rPr>
              <w:t>Second round recommendation regarding authorisation</w:t>
            </w:r>
            <w:r w:rsidR="002D5471">
              <w:rPr>
                <w:noProof/>
                <w:webHidden/>
              </w:rPr>
              <w:tab/>
            </w:r>
            <w:r w:rsidR="002D5471">
              <w:rPr>
                <w:noProof/>
                <w:webHidden/>
              </w:rPr>
              <w:fldChar w:fldCharType="begin"/>
            </w:r>
            <w:r w:rsidR="002D5471">
              <w:rPr>
                <w:noProof/>
                <w:webHidden/>
              </w:rPr>
              <w:instrText xml:space="preserve"> PAGEREF _Toc485826017 \h </w:instrText>
            </w:r>
            <w:r w:rsidR="002D5471">
              <w:rPr>
                <w:noProof/>
                <w:webHidden/>
              </w:rPr>
            </w:r>
            <w:r w:rsidR="002D5471">
              <w:rPr>
                <w:noProof/>
                <w:webHidden/>
              </w:rPr>
              <w:fldChar w:fldCharType="separate"/>
            </w:r>
            <w:r w:rsidR="002D5471">
              <w:rPr>
                <w:noProof/>
                <w:webHidden/>
              </w:rPr>
              <w:t>36</w:t>
            </w:r>
            <w:r w:rsidR="002D5471">
              <w:rPr>
                <w:noProof/>
                <w:webHidden/>
              </w:rPr>
              <w:fldChar w:fldCharType="end"/>
            </w:r>
          </w:hyperlink>
        </w:p>
        <w:p w:rsidR="002D5471" w:rsidRDefault="0097075D">
          <w:pPr>
            <w:pStyle w:val="TOC2"/>
            <w:tabs>
              <w:tab w:val="left" w:pos="1247"/>
            </w:tabs>
            <w:rPr>
              <w:rFonts w:asciiTheme="minorHAnsi" w:eastAsiaTheme="minorEastAsia" w:hAnsiTheme="minorHAnsi" w:cstheme="minorBidi"/>
              <w:b w:val="0"/>
              <w:noProof/>
              <w:sz w:val="22"/>
              <w:lang w:eastAsia="en-AU"/>
            </w:rPr>
          </w:pPr>
          <w:hyperlink w:anchor="_Toc485826018" w:history="1">
            <w:r w:rsidR="002D5471" w:rsidRPr="0073469B">
              <w:rPr>
                <w:rStyle w:val="Hyperlink"/>
                <w:noProof/>
              </w:rPr>
              <w:t>15.</w:t>
            </w:r>
            <w:r w:rsidR="002D5471">
              <w:rPr>
                <w:rFonts w:asciiTheme="minorHAnsi" w:eastAsiaTheme="minorEastAsia" w:hAnsiTheme="minorHAnsi" w:cstheme="minorBidi"/>
                <w:b w:val="0"/>
                <w:noProof/>
                <w:sz w:val="22"/>
                <w:lang w:eastAsia="en-AU"/>
              </w:rPr>
              <w:tab/>
            </w:r>
            <w:r w:rsidR="002D5471" w:rsidRPr="0073469B">
              <w:rPr>
                <w:rStyle w:val="Hyperlink"/>
                <w:noProof/>
              </w:rPr>
              <w:t>References</w:t>
            </w:r>
            <w:r w:rsidR="002D5471">
              <w:rPr>
                <w:noProof/>
                <w:webHidden/>
              </w:rPr>
              <w:tab/>
            </w:r>
            <w:r w:rsidR="002D5471">
              <w:rPr>
                <w:noProof/>
                <w:webHidden/>
              </w:rPr>
              <w:fldChar w:fldCharType="begin"/>
            </w:r>
            <w:r w:rsidR="002D5471">
              <w:rPr>
                <w:noProof/>
                <w:webHidden/>
              </w:rPr>
              <w:instrText xml:space="preserve"> PAGEREF _Toc485826018 \h </w:instrText>
            </w:r>
            <w:r w:rsidR="002D5471">
              <w:rPr>
                <w:noProof/>
                <w:webHidden/>
              </w:rPr>
            </w:r>
            <w:r w:rsidR="002D5471">
              <w:rPr>
                <w:noProof/>
                <w:webHidden/>
              </w:rPr>
              <w:fldChar w:fldCharType="separate"/>
            </w:r>
            <w:r w:rsidR="002D5471">
              <w:rPr>
                <w:noProof/>
                <w:webHidden/>
              </w:rPr>
              <w:t>36</w:t>
            </w:r>
            <w:r w:rsidR="002D5471">
              <w:rPr>
                <w:noProof/>
                <w:webHidden/>
              </w:rPr>
              <w:fldChar w:fldCharType="end"/>
            </w:r>
          </w:hyperlink>
        </w:p>
        <w:p w:rsidR="003A7F6C" w:rsidRPr="00B811C6" w:rsidRDefault="004F4AF5" w:rsidP="00B469FC">
          <w:pPr>
            <w:pStyle w:val="TOC2"/>
            <w:spacing w:before="20"/>
            <w:ind w:left="0"/>
          </w:pPr>
          <w:r>
            <w:fldChar w:fldCharType="end"/>
          </w:r>
        </w:p>
      </w:sdtContent>
    </w:sdt>
    <w:bookmarkStart w:id="4" w:name="_Toc314842482" w:displacedByCustomXml="prev"/>
    <w:p w:rsidR="00586F98" w:rsidRDefault="00586F98" w:rsidP="0039382D">
      <w:pPr>
        <w:pStyle w:val="Heading2"/>
        <w:pageBreakBefore/>
        <w:numPr>
          <w:ilvl w:val="0"/>
          <w:numId w:val="0"/>
        </w:numPr>
        <w:spacing w:before="20"/>
      </w:pPr>
      <w:bookmarkStart w:id="5" w:name="_Toc351716269"/>
      <w:bookmarkStart w:id="6" w:name="_Toc351718881"/>
      <w:bookmarkStart w:id="7" w:name="_Toc355338616"/>
      <w:bookmarkStart w:id="8" w:name="_Toc485825968"/>
      <w:r>
        <w:lastRenderedPageBreak/>
        <w:t>List of abbreviations</w:t>
      </w:r>
      <w:bookmarkEnd w:id="5"/>
      <w:bookmarkEnd w:id="6"/>
      <w:bookmarkEnd w:id="7"/>
      <w:bookmarkEnd w:id="8"/>
    </w:p>
    <w:tbl>
      <w:tblPr>
        <w:tblStyle w:val="TableTGAblue"/>
        <w:tblW w:w="0" w:type="auto"/>
        <w:tblLayout w:type="fixed"/>
        <w:tblLook w:val="04A0" w:firstRow="1" w:lastRow="0" w:firstColumn="1" w:lastColumn="0" w:noHBand="0" w:noVBand="1"/>
      </w:tblPr>
      <w:tblGrid>
        <w:gridCol w:w="2093"/>
        <w:gridCol w:w="6804"/>
      </w:tblGrid>
      <w:tr w:rsidR="00B469FC" w:rsidRPr="0067634D" w:rsidTr="00D81C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B469FC" w:rsidP="0067634D">
            <w:pPr>
              <w:rPr>
                <w:szCs w:val="22"/>
              </w:rPr>
            </w:pPr>
            <w:r w:rsidRPr="0067634D">
              <w:rPr>
                <w:szCs w:val="22"/>
              </w:rPr>
              <w:t>Abbreviations</w:t>
            </w:r>
          </w:p>
        </w:tc>
        <w:tc>
          <w:tcPr>
            <w:tcW w:w="6804" w:type="dxa"/>
          </w:tcPr>
          <w:p w:rsidR="00B469FC" w:rsidRPr="0067634D" w:rsidRDefault="00B469FC" w:rsidP="0067634D">
            <w:pPr>
              <w:cnfStyle w:val="100000000000" w:firstRow="1" w:lastRow="0" w:firstColumn="0" w:lastColumn="0" w:oddVBand="0" w:evenVBand="0" w:oddHBand="0" w:evenHBand="0" w:firstRowFirstColumn="0" w:firstRowLastColumn="0" w:lastRowFirstColumn="0" w:lastRowLastColumn="0"/>
              <w:rPr>
                <w:szCs w:val="22"/>
              </w:rPr>
            </w:pPr>
            <w:r w:rsidRPr="0067634D">
              <w:rPr>
                <w:szCs w:val="22"/>
              </w:rPr>
              <w:t>Meaning</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B469FC" w:rsidP="0067634D">
            <w:pPr>
              <w:rPr>
                <w:szCs w:val="22"/>
              </w:rPr>
            </w:pPr>
            <w:r w:rsidRPr="0067634D">
              <w:rPr>
                <w:szCs w:val="22"/>
              </w:rPr>
              <w:t>AE</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adverse event</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B469FC" w:rsidP="0067634D">
            <w:pPr>
              <w:rPr>
                <w:szCs w:val="22"/>
              </w:rPr>
            </w:pPr>
            <w:r w:rsidRPr="0067634D">
              <w:rPr>
                <w:szCs w:val="22"/>
              </w:rPr>
              <w:t>AF</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anal fissure</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B469FC" w:rsidP="0067634D">
            <w:pPr>
              <w:rPr>
                <w:szCs w:val="22"/>
              </w:rPr>
            </w:pPr>
            <w:r w:rsidRPr="0067634D">
              <w:rPr>
                <w:szCs w:val="22"/>
              </w:rPr>
              <w:t>ALT</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alanine aminotransferase</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B469FC" w:rsidP="0067634D">
            <w:pPr>
              <w:rPr>
                <w:szCs w:val="22"/>
              </w:rPr>
            </w:pPr>
            <w:r w:rsidRPr="0067634D">
              <w:rPr>
                <w:szCs w:val="22"/>
              </w:rPr>
              <w:t>ANCOVA</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analysis of covariance</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B469FC" w:rsidP="0067634D">
            <w:pPr>
              <w:rPr>
                <w:szCs w:val="22"/>
              </w:rPr>
            </w:pPr>
            <w:r w:rsidRPr="0067634D">
              <w:rPr>
                <w:szCs w:val="22"/>
              </w:rPr>
              <w:t>AST</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aspartate aminotransferase</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B469FC" w:rsidP="0067634D">
            <w:pPr>
              <w:rPr>
                <w:szCs w:val="22"/>
              </w:rPr>
            </w:pPr>
            <w:r w:rsidRPr="0067634D">
              <w:rPr>
                <w:szCs w:val="22"/>
              </w:rPr>
              <w:t>AUC</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area under the curve</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B469FC" w:rsidP="0067634D">
            <w:pPr>
              <w:rPr>
                <w:szCs w:val="22"/>
              </w:rPr>
            </w:pPr>
            <w:r w:rsidRPr="0067634D">
              <w:rPr>
                <w:szCs w:val="22"/>
              </w:rPr>
              <w:t>AV</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proofErr w:type="spellStart"/>
            <w:r w:rsidRPr="0067634D">
              <w:rPr>
                <w:szCs w:val="22"/>
              </w:rPr>
              <w:t>atrio</w:t>
            </w:r>
            <w:proofErr w:type="spellEnd"/>
            <w:r w:rsidRPr="0067634D">
              <w:rPr>
                <w:szCs w:val="22"/>
              </w:rPr>
              <w:t>-ventricular</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39382D" w:rsidP="0067634D">
            <w:pPr>
              <w:rPr>
                <w:szCs w:val="22"/>
              </w:rPr>
            </w:pPr>
            <w:r w:rsidRPr="0067634D">
              <w:rPr>
                <w:szCs w:val="22"/>
              </w:rPr>
              <w:t>BP</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blood pressure</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B469FC" w:rsidP="0067634D">
            <w:pPr>
              <w:rPr>
                <w:szCs w:val="22"/>
              </w:rPr>
            </w:pPr>
            <w:r w:rsidRPr="0067634D">
              <w:rPr>
                <w:szCs w:val="22"/>
              </w:rPr>
              <w:t>BUN</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blood urea nitrogen</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39382D" w:rsidP="0067634D">
            <w:pPr>
              <w:rPr>
                <w:szCs w:val="22"/>
              </w:rPr>
            </w:pPr>
            <w:r w:rsidRPr="0067634D">
              <w:rPr>
                <w:szCs w:val="22"/>
              </w:rPr>
              <w:t>cf.</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compared with</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B469FC" w:rsidP="0067634D">
            <w:pPr>
              <w:rPr>
                <w:szCs w:val="22"/>
              </w:rPr>
            </w:pPr>
            <w:r w:rsidRPr="0067634D">
              <w:rPr>
                <w:szCs w:val="22"/>
              </w:rPr>
              <w:t>CI</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confidence interval</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39382D" w:rsidP="0067634D">
            <w:pPr>
              <w:rPr>
                <w:szCs w:val="22"/>
              </w:rPr>
            </w:pPr>
            <w:r w:rsidRPr="0067634D">
              <w:rPr>
                <w:szCs w:val="22"/>
              </w:rPr>
              <w:t>CL/F</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apparent plasma clearance</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39382D" w:rsidP="0067634D">
            <w:pPr>
              <w:rPr>
                <w:szCs w:val="22"/>
              </w:rPr>
            </w:pPr>
            <w:proofErr w:type="spellStart"/>
            <w:r w:rsidRPr="0067634D">
              <w:rPr>
                <w:szCs w:val="22"/>
              </w:rPr>
              <w:t>Cmax</w:t>
            </w:r>
            <w:proofErr w:type="spellEnd"/>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maximum drug concentration</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39382D" w:rsidP="0067634D">
            <w:pPr>
              <w:rPr>
                <w:szCs w:val="22"/>
              </w:rPr>
            </w:pPr>
            <w:proofErr w:type="spellStart"/>
            <w:r w:rsidRPr="0067634D">
              <w:rPr>
                <w:szCs w:val="22"/>
              </w:rPr>
              <w:t>Cmin</w:t>
            </w:r>
            <w:proofErr w:type="spellEnd"/>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minimum drug concentration</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39382D" w:rsidP="0067634D">
            <w:pPr>
              <w:rPr>
                <w:szCs w:val="22"/>
              </w:rPr>
            </w:pPr>
            <w:r w:rsidRPr="0067634D">
              <w:rPr>
                <w:szCs w:val="22"/>
              </w:rPr>
              <w:t>DTZ</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proofErr w:type="spellStart"/>
            <w:r w:rsidRPr="0067634D">
              <w:rPr>
                <w:szCs w:val="22"/>
              </w:rPr>
              <w:t>diltiazem</w:t>
            </w:r>
            <w:proofErr w:type="spellEnd"/>
            <w:r w:rsidRPr="0067634D">
              <w:rPr>
                <w:szCs w:val="22"/>
              </w:rPr>
              <w:t xml:space="preserve"> hydrochloride</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B469FC" w:rsidP="0067634D">
            <w:pPr>
              <w:rPr>
                <w:szCs w:val="22"/>
              </w:rPr>
            </w:pPr>
            <w:r w:rsidRPr="0067634D">
              <w:rPr>
                <w:szCs w:val="22"/>
              </w:rPr>
              <w:t>DTZ 2%</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proofErr w:type="spellStart"/>
            <w:r w:rsidRPr="0067634D">
              <w:rPr>
                <w:szCs w:val="22"/>
              </w:rPr>
              <w:t>diltiazem</w:t>
            </w:r>
            <w:proofErr w:type="spellEnd"/>
            <w:r w:rsidRPr="0067634D">
              <w:rPr>
                <w:szCs w:val="22"/>
              </w:rPr>
              <w:t xml:space="preserve"> hydrochloride 2% w/w cream</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B469FC" w:rsidP="0067634D">
            <w:pPr>
              <w:rPr>
                <w:szCs w:val="22"/>
              </w:rPr>
            </w:pPr>
            <w:r w:rsidRPr="0067634D">
              <w:rPr>
                <w:szCs w:val="22"/>
              </w:rPr>
              <w:t>DTZ 4%</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proofErr w:type="spellStart"/>
            <w:r w:rsidRPr="0067634D">
              <w:rPr>
                <w:szCs w:val="22"/>
              </w:rPr>
              <w:t>diltiazem</w:t>
            </w:r>
            <w:proofErr w:type="spellEnd"/>
            <w:r w:rsidRPr="0067634D">
              <w:rPr>
                <w:szCs w:val="22"/>
              </w:rPr>
              <w:t xml:space="preserve"> hydrochloride 4% w/w cream</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39382D" w:rsidP="0067634D">
            <w:pPr>
              <w:rPr>
                <w:szCs w:val="22"/>
              </w:rPr>
            </w:pPr>
            <w:r w:rsidRPr="0067634D">
              <w:rPr>
                <w:szCs w:val="22"/>
              </w:rPr>
              <w:t>ECG</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electrocardiogram</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B469FC" w:rsidP="0067634D">
            <w:pPr>
              <w:rPr>
                <w:szCs w:val="22"/>
              </w:rPr>
            </w:pPr>
            <w:r w:rsidRPr="0067634D">
              <w:rPr>
                <w:szCs w:val="22"/>
              </w:rPr>
              <w:t>FDA</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US Food and Drug Administration</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39382D" w:rsidP="0067634D">
            <w:pPr>
              <w:rPr>
                <w:szCs w:val="22"/>
              </w:rPr>
            </w:pPr>
            <w:proofErr w:type="spellStart"/>
            <w:r w:rsidRPr="0067634D">
              <w:rPr>
                <w:szCs w:val="22"/>
              </w:rPr>
              <w:t>Ftop</w:t>
            </w:r>
            <w:proofErr w:type="spellEnd"/>
            <w:r w:rsidRPr="0067634D">
              <w:rPr>
                <w:szCs w:val="22"/>
              </w:rPr>
              <w:t>/</w:t>
            </w:r>
            <w:proofErr w:type="spellStart"/>
            <w:r w:rsidRPr="0067634D">
              <w:rPr>
                <w:szCs w:val="22"/>
              </w:rPr>
              <w:t>Foral</w:t>
            </w:r>
            <w:proofErr w:type="spellEnd"/>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relative bioavailability based on the ratio of the dose-adjusted AUC for topical administration to the AUC for oral administration</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B469FC" w:rsidP="0067634D">
            <w:pPr>
              <w:rPr>
                <w:szCs w:val="22"/>
              </w:rPr>
            </w:pPr>
            <w:r w:rsidRPr="0067634D">
              <w:rPr>
                <w:szCs w:val="22"/>
              </w:rPr>
              <w:t>GCP</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good clinical practice</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B469FC" w:rsidP="0067634D">
            <w:pPr>
              <w:rPr>
                <w:szCs w:val="22"/>
              </w:rPr>
            </w:pPr>
            <w:r w:rsidRPr="0067634D">
              <w:rPr>
                <w:szCs w:val="22"/>
              </w:rPr>
              <w:t>GTN</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glyceryl trinitrate</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39382D" w:rsidP="0067634D">
            <w:pPr>
              <w:rPr>
                <w:szCs w:val="22"/>
              </w:rPr>
            </w:pPr>
            <w:r w:rsidRPr="0067634D">
              <w:rPr>
                <w:szCs w:val="22"/>
              </w:rPr>
              <w:t>h</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hour/s</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39382D" w:rsidP="0067634D">
            <w:pPr>
              <w:rPr>
                <w:szCs w:val="22"/>
              </w:rPr>
            </w:pPr>
            <w:proofErr w:type="spellStart"/>
            <w:r w:rsidRPr="0067634D">
              <w:rPr>
                <w:szCs w:val="22"/>
              </w:rPr>
              <w:t>HCl</w:t>
            </w:r>
            <w:proofErr w:type="spellEnd"/>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hydrochloride</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B469FC" w:rsidP="0067634D">
            <w:pPr>
              <w:rPr>
                <w:szCs w:val="22"/>
              </w:rPr>
            </w:pPr>
            <w:r w:rsidRPr="0067634D">
              <w:rPr>
                <w:szCs w:val="22"/>
              </w:rPr>
              <w:lastRenderedPageBreak/>
              <w:t>HIV</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human immunodeficiency virus</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B469FC" w:rsidP="0067634D">
            <w:pPr>
              <w:rPr>
                <w:szCs w:val="22"/>
              </w:rPr>
            </w:pPr>
            <w:r w:rsidRPr="0067634D">
              <w:rPr>
                <w:szCs w:val="22"/>
              </w:rPr>
              <w:t>ICH</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International Conference on Harmonisation</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39382D" w:rsidP="0067634D">
            <w:pPr>
              <w:rPr>
                <w:szCs w:val="22"/>
              </w:rPr>
            </w:pPr>
            <w:r w:rsidRPr="0067634D">
              <w:rPr>
                <w:szCs w:val="22"/>
              </w:rPr>
              <w:t>IMP</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investigational medicinal product</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B469FC" w:rsidP="0067634D">
            <w:pPr>
              <w:rPr>
                <w:szCs w:val="22"/>
              </w:rPr>
            </w:pPr>
            <w:r w:rsidRPr="0067634D">
              <w:rPr>
                <w:szCs w:val="22"/>
              </w:rPr>
              <w:t>IRB</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Institutional Review Board</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B469FC" w:rsidP="0067634D">
            <w:pPr>
              <w:rPr>
                <w:szCs w:val="22"/>
              </w:rPr>
            </w:pPr>
            <w:r w:rsidRPr="0067634D">
              <w:rPr>
                <w:szCs w:val="22"/>
              </w:rPr>
              <w:t>IVRS</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interactive voice response system</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39382D" w:rsidP="0067634D">
            <w:pPr>
              <w:rPr>
                <w:szCs w:val="22"/>
              </w:rPr>
            </w:pPr>
            <w:proofErr w:type="spellStart"/>
            <w:r w:rsidRPr="0067634D">
              <w:rPr>
                <w:szCs w:val="22"/>
              </w:rPr>
              <w:t>kel</w:t>
            </w:r>
            <w:proofErr w:type="spellEnd"/>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elimination rate constant</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39382D" w:rsidP="0067634D">
            <w:pPr>
              <w:rPr>
                <w:szCs w:val="22"/>
              </w:rPr>
            </w:pPr>
            <w:r w:rsidRPr="0067634D">
              <w:rPr>
                <w:szCs w:val="22"/>
              </w:rPr>
              <w:t>LLOQ</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lower limit of quantitation</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B469FC" w:rsidP="0067634D">
            <w:pPr>
              <w:rPr>
                <w:szCs w:val="22"/>
              </w:rPr>
            </w:pPr>
            <w:r w:rsidRPr="0067634D">
              <w:rPr>
                <w:szCs w:val="22"/>
              </w:rPr>
              <w:t>LLQ</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lower limit of quantification</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B469FC" w:rsidP="0067634D">
            <w:pPr>
              <w:rPr>
                <w:szCs w:val="22"/>
              </w:rPr>
            </w:pPr>
            <w:r w:rsidRPr="0067634D">
              <w:rPr>
                <w:szCs w:val="22"/>
              </w:rPr>
              <w:t>LOCF</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last observation carried forward</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B469FC" w:rsidP="0067634D">
            <w:pPr>
              <w:rPr>
                <w:szCs w:val="22"/>
              </w:rPr>
            </w:pPr>
            <w:proofErr w:type="spellStart"/>
            <w:r w:rsidRPr="0067634D">
              <w:rPr>
                <w:szCs w:val="22"/>
              </w:rPr>
              <w:t>MedDRA</w:t>
            </w:r>
            <w:proofErr w:type="spellEnd"/>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Medical Dictionary for Regulatory Activities</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B469FC" w:rsidP="0067634D">
            <w:pPr>
              <w:rPr>
                <w:szCs w:val="22"/>
              </w:rPr>
            </w:pPr>
            <w:r w:rsidRPr="0067634D">
              <w:rPr>
                <w:szCs w:val="22"/>
              </w:rPr>
              <w:t>MRP</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maximum resting pressure</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B469FC" w:rsidP="0067634D">
            <w:pPr>
              <w:rPr>
                <w:szCs w:val="22"/>
              </w:rPr>
            </w:pPr>
            <w:r w:rsidRPr="0067634D">
              <w:rPr>
                <w:szCs w:val="22"/>
              </w:rPr>
              <w:t>n</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number</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B469FC" w:rsidP="0067634D">
            <w:pPr>
              <w:rPr>
                <w:szCs w:val="22"/>
              </w:rPr>
            </w:pPr>
            <w:r w:rsidRPr="0067634D">
              <w:rPr>
                <w:szCs w:val="22"/>
              </w:rPr>
              <w:t>N/A</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not applicable</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B469FC" w:rsidP="0067634D">
            <w:pPr>
              <w:rPr>
                <w:szCs w:val="22"/>
              </w:rPr>
            </w:pPr>
            <w:r w:rsidRPr="0067634D">
              <w:rPr>
                <w:szCs w:val="22"/>
              </w:rPr>
              <w:t>NO</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nitric oxide</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39382D" w:rsidP="0067634D">
            <w:pPr>
              <w:rPr>
                <w:szCs w:val="22"/>
              </w:rPr>
            </w:pPr>
            <w:r w:rsidRPr="0067634D">
              <w:rPr>
                <w:szCs w:val="22"/>
              </w:rPr>
              <w:t>NRS</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numerical rating scale</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B469FC" w:rsidP="0067634D">
            <w:pPr>
              <w:rPr>
                <w:szCs w:val="22"/>
              </w:rPr>
            </w:pPr>
            <w:r w:rsidRPr="0067634D">
              <w:rPr>
                <w:szCs w:val="22"/>
              </w:rPr>
              <w:t>NSAID</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non-steroidal anti-inflammatory drug</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39382D" w:rsidP="0067634D">
            <w:pPr>
              <w:rPr>
                <w:szCs w:val="22"/>
              </w:rPr>
            </w:pPr>
            <w:r w:rsidRPr="0067634D">
              <w:rPr>
                <w:szCs w:val="22"/>
              </w:rPr>
              <w:t>PD</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pharmacodynamics</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B469FC" w:rsidP="0067634D">
            <w:pPr>
              <w:rPr>
                <w:szCs w:val="22"/>
              </w:rPr>
            </w:pPr>
            <w:r w:rsidRPr="0067634D">
              <w:rPr>
                <w:szCs w:val="22"/>
              </w:rPr>
              <w:t>PGI-I</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patient’s global impression of improvement</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39382D" w:rsidP="0067634D">
            <w:pPr>
              <w:rPr>
                <w:szCs w:val="22"/>
              </w:rPr>
            </w:pPr>
            <w:r w:rsidRPr="0067634D">
              <w:rPr>
                <w:szCs w:val="22"/>
              </w:rPr>
              <w:t>PI</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product information</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39382D" w:rsidP="0067634D">
            <w:pPr>
              <w:rPr>
                <w:szCs w:val="22"/>
              </w:rPr>
            </w:pPr>
            <w:r w:rsidRPr="0067634D">
              <w:rPr>
                <w:szCs w:val="22"/>
              </w:rPr>
              <w:t>PK</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pharmacokinetics</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B469FC" w:rsidP="0067634D">
            <w:pPr>
              <w:rPr>
                <w:szCs w:val="22"/>
              </w:rPr>
            </w:pPr>
            <w:r w:rsidRPr="0067634D">
              <w:rPr>
                <w:szCs w:val="22"/>
              </w:rPr>
              <w:t>PLA</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placebo</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39382D" w:rsidP="0067634D">
            <w:pPr>
              <w:rPr>
                <w:szCs w:val="22"/>
              </w:rPr>
            </w:pPr>
            <w:proofErr w:type="spellStart"/>
            <w:r w:rsidRPr="0067634D">
              <w:rPr>
                <w:szCs w:val="22"/>
              </w:rPr>
              <w:t>PopPK</w:t>
            </w:r>
            <w:proofErr w:type="spellEnd"/>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population PK analysis</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39382D" w:rsidP="0067634D">
            <w:pPr>
              <w:rPr>
                <w:szCs w:val="22"/>
              </w:rPr>
            </w:pPr>
            <w:r w:rsidRPr="0067634D">
              <w:rPr>
                <w:szCs w:val="22"/>
              </w:rPr>
              <w:t>PP</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per protocol</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39382D" w:rsidP="0067634D">
            <w:pPr>
              <w:rPr>
                <w:szCs w:val="22"/>
              </w:rPr>
            </w:pPr>
            <w:r w:rsidRPr="0067634D">
              <w:rPr>
                <w:szCs w:val="22"/>
              </w:rPr>
              <w:t>PR</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pulse rate</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B469FC" w:rsidP="0067634D">
            <w:pPr>
              <w:rPr>
                <w:szCs w:val="22"/>
              </w:rPr>
            </w:pPr>
            <w:r w:rsidRPr="0067634D">
              <w:rPr>
                <w:szCs w:val="22"/>
              </w:rPr>
              <w:t>PT</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preferred term</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B469FC" w:rsidP="0067634D">
            <w:pPr>
              <w:rPr>
                <w:szCs w:val="22"/>
              </w:rPr>
            </w:pPr>
            <w:proofErr w:type="spellStart"/>
            <w:r w:rsidRPr="0067634D">
              <w:rPr>
                <w:szCs w:val="22"/>
              </w:rPr>
              <w:t>QoL</w:t>
            </w:r>
            <w:proofErr w:type="spellEnd"/>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quality of life</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B469FC" w:rsidP="0067634D">
            <w:pPr>
              <w:rPr>
                <w:szCs w:val="22"/>
              </w:rPr>
            </w:pPr>
            <w:r w:rsidRPr="0067634D">
              <w:rPr>
                <w:szCs w:val="22"/>
              </w:rPr>
              <w:t>RIPT</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repeated insult patch test</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39382D" w:rsidP="0067634D">
            <w:pPr>
              <w:rPr>
                <w:szCs w:val="22"/>
              </w:rPr>
            </w:pPr>
            <w:r w:rsidRPr="0067634D">
              <w:rPr>
                <w:szCs w:val="22"/>
              </w:rPr>
              <w:lastRenderedPageBreak/>
              <w:t>SAE</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serious adverse event</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B469FC" w:rsidP="0067634D">
            <w:pPr>
              <w:rPr>
                <w:szCs w:val="22"/>
              </w:rPr>
            </w:pPr>
            <w:r w:rsidRPr="0067634D">
              <w:rPr>
                <w:szCs w:val="22"/>
              </w:rPr>
              <w:t>SAP</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statistical analysis plan</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B469FC" w:rsidP="0067634D">
            <w:pPr>
              <w:rPr>
                <w:szCs w:val="22"/>
              </w:rPr>
            </w:pPr>
            <w:r w:rsidRPr="0067634D">
              <w:rPr>
                <w:szCs w:val="22"/>
              </w:rPr>
              <w:t>SF-36</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Short Form 36</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B469FC" w:rsidP="0067634D">
            <w:pPr>
              <w:rPr>
                <w:szCs w:val="22"/>
              </w:rPr>
            </w:pPr>
            <w:r w:rsidRPr="0067634D">
              <w:rPr>
                <w:szCs w:val="22"/>
              </w:rPr>
              <w:t>SIS</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skin irritation score</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B469FC" w:rsidP="0067634D">
            <w:pPr>
              <w:rPr>
                <w:szCs w:val="22"/>
              </w:rPr>
            </w:pPr>
            <w:r w:rsidRPr="0067634D">
              <w:rPr>
                <w:szCs w:val="22"/>
              </w:rPr>
              <w:t>SLS</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sodium lauryl sulphate</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B469FC" w:rsidP="0067634D">
            <w:pPr>
              <w:rPr>
                <w:szCs w:val="22"/>
              </w:rPr>
            </w:pPr>
            <w:r w:rsidRPr="0067634D">
              <w:rPr>
                <w:szCs w:val="22"/>
              </w:rPr>
              <w:t>SOC</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system organ class</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39382D" w:rsidP="0067634D">
            <w:pPr>
              <w:rPr>
                <w:szCs w:val="22"/>
              </w:rPr>
            </w:pPr>
            <w:r w:rsidRPr="0067634D">
              <w:rPr>
                <w:szCs w:val="22"/>
              </w:rPr>
              <w:t>t1/2</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elimination half-life</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39382D" w:rsidP="0067634D">
            <w:pPr>
              <w:rPr>
                <w:szCs w:val="22"/>
              </w:rPr>
            </w:pPr>
            <w:r w:rsidRPr="0067634D">
              <w:rPr>
                <w:szCs w:val="22"/>
              </w:rPr>
              <w:t>TEAE</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treatment emergent adverse events</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39382D" w:rsidP="0067634D">
            <w:pPr>
              <w:rPr>
                <w:szCs w:val="22"/>
              </w:rPr>
            </w:pPr>
            <w:r w:rsidRPr="0067634D">
              <w:rPr>
                <w:szCs w:val="22"/>
              </w:rPr>
              <w:t>TID</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three-times daily</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39382D" w:rsidP="0067634D">
            <w:pPr>
              <w:rPr>
                <w:szCs w:val="22"/>
              </w:rPr>
            </w:pPr>
            <w:proofErr w:type="spellStart"/>
            <w:r w:rsidRPr="0067634D">
              <w:rPr>
                <w:szCs w:val="22"/>
              </w:rPr>
              <w:t>Tmax</w:t>
            </w:r>
            <w:proofErr w:type="spellEnd"/>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time after dosing at which the maximal concentration is achieved</w:t>
            </w:r>
          </w:p>
        </w:tc>
      </w:tr>
      <w:tr w:rsidR="00B469FC" w:rsidRPr="0067634D" w:rsidTr="00D81CC1">
        <w:tc>
          <w:tcPr>
            <w:cnfStyle w:val="001000000000" w:firstRow="0" w:lastRow="0" w:firstColumn="1" w:lastColumn="0" w:oddVBand="0" w:evenVBand="0" w:oddHBand="0" w:evenHBand="0" w:firstRowFirstColumn="0" w:firstRowLastColumn="0" w:lastRowFirstColumn="0" w:lastRowLastColumn="0"/>
            <w:tcW w:w="2093" w:type="dxa"/>
          </w:tcPr>
          <w:p w:rsidR="00B469FC" w:rsidRPr="0067634D" w:rsidRDefault="0039382D" w:rsidP="0067634D">
            <w:pPr>
              <w:rPr>
                <w:szCs w:val="22"/>
              </w:rPr>
            </w:pPr>
            <w:r w:rsidRPr="0067634D">
              <w:rPr>
                <w:szCs w:val="22"/>
              </w:rPr>
              <w:t>VAS</w:t>
            </w:r>
          </w:p>
        </w:tc>
        <w:tc>
          <w:tcPr>
            <w:tcW w:w="6804" w:type="dxa"/>
          </w:tcPr>
          <w:p w:rsidR="00B469FC" w:rsidRPr="0067634D" w:rsidRDefault="00B469FC" w:rsidP="0067634D">
            <w:pPr>
              <w:cnfStyle w:val="000000000000" w:firstRow="0" w:lastRow="0" w:firstColumn="0" w:lastColumn="0" w:oddVBand="0" w:evenVBand="0" w:oddHBand="0" w:evenHBand="0" w:firstRowFirstColumn="0" w:firstRowLastColumn="0" w:lastRowFirstColumn="0" w:lastRowLastColumn="0"/>
              <w:rPr>
                <w:szCs w:val="22"/>
              </w:rPr>
            </w:pPr>
            <w:r w:rsidRPr="0067634D">
              <w:rPr>
                <w:szCs w:val="22"/>
              </w:rPr>
              <w:t>visual analogue scale</w:t>
            </w:r>
          </w:p>
        </w:tc>
      </w:tr>
    </w:tbl>
    <w:p w:rsidR="006E4779" w:rsidRPr="00B469FC" w:rsidRDefault="006E4779" w:rsidP="00B469FC">
      <w:pPr>
        <w:spacing w:before="20"/>
        <w:rPr>
          <w:lang w:eastAsia="ja-JP"/>
        </w:rPr>
      </w:pPr>
    </w:p>
    <w:p w:rsidR="0094614A" w:rsidRDefault="0094614A" w:rsidP="00B469FC">
      <w:pPr>
        <w:pStyle w:val="Heading2"/>
        <w:pageBreakBefore/>
        <w:spacing w:before="20"/>
        <w:rPr>
          <w:lang w:eastAsia="en-AU"/>
        </w:rPr>
      </w:pPr>
      <w:bookmarkStart w:id="9" w:name="_Toc485825969"/>
      <w:bookmarkStart w:id="10" w:name="_Toc351718900"/>
      <w:bookmarkStart w:id="11" w:name="_Toc355338635"/>
      <w:r>
        <w:rPr>
          <w:lang w:eastAsia="en-AU"/>
        </w:rPr>
        <w:lastRenderedPageBreak/>
        <w:t>Introduction</w:t>
      </w:r>
      <w:bookmarkEnd w:id="9"/>
    </w:p>
    <w:p w:rsidR="00B469FC" w:rsidRPr="00B469FC" w:rsidRDefault="00B469FC" w:rsidP="00B469FC">
      <w:pPr>
        <w:spacing w:before="20"/>
        <w:rPr>
          <w:color w:val="000000"/>
        </w:rPr>
      </w:pPr>
      <w:r w:rsidRPr="00B469FC">
        <w:rPr>
          <w:color w:val="000000"/>
        </w:rPr>
        <w:t xml:space="preserve">This is a submission to extend the indication for </w:t>
      </w:r>
      <w:proofErr w:type="spellStart"/>
      <w:r w:rsidRPr="00B469FC">
        <w:rPr>
          <w:color w:val="000000"/>
        </w:rPr>
        <w:t>diltiazem</w:t>
      </w:r>
      <w:proofErr w:type="spellEnd"/>
      <w:r w:rsidRPr="00B469FC">
        <w:rPr>
          <w:color w:val="000000"/>
        </w:rPr>
        <w:t xml:space="preserve"> hydrochloride.</w:t>
      </w:r>
      <w:r w:rsidR="00D81CC1">
        <w:rPr>
          <w:color w:val="000000"/>
        </w:rPr>
        <w:t xml:space="preserve"> The submission was originally for </w:t>
      </w:r>
      <w:r w:rsidR="00C44390">
        <w:rPr>
          <w:color w:val="000000"/>
        </w:rPr>
        <w:t xml:space="preserve">the trade name </w:t>
      </w:r>
      <w:r w:rsidR="00D81CC1">
        <w:rPr>
          <w:color w:val="000000"/>
        </w:rPr>
        <w:t>“</w:t>
      </w:r>
      <w:proofErr w:type="spellStart"/>
      <w:r w:rsidR="00D81CC1">
        <w:rPr>
          <w:color w:val="000000"/>
        </w:rPr>
        <w:t>Anoheal</w:t>
      </w:r>
      <w:proofErr w:type="spellEnd"/>
      <w:r w:rsidR="00D81CC1">
        <w:rPr>
          <w:color w:val="000000"/>
        </w:rPr>
        <w:t>”, later renamed to “</w:t>
      </w:r>
      <w:proofErr w:type="spellStart"/>
      <w:r w:rsidR="00D81CC1">
        <w:rPr>
          <w:color w:val="000000"/>
        </w:rPr>
        <w:t>Ano</w:t>
      </w:r>
      <w:proofErr w:type="spellEnd"/>
      <w:r w:rsidR="00D81CC1">
        <w:rPr>
          <w:color w:val="000000"/>
        </w:rPr>
        <w:t>-Cream”.</w:t>
      </w:r>
    </w:p>
    <w:p w:rsidR="00B469FC" w:rsidRPr="00B469FC" w:rsidRDefault="00B469FC" w:rsidP="0086758A">
      <w:pPr>
        <w:pStyle w:val="Heading3"/>
      </w:pPr>
      <w:bookmarkStart w:id="12" w:name="_Toc272414596"/>
      <w:bookmarkStart w:id="13" w:name="_Toc290888444"/>
      <w:bookmarkStart w:id="14" w:name="_Toc442436415"/>
      <w:bookmarkStart w:id="15" w:name="_Toc485825970"/>
      <w:r w:rsidRPr="00B469FC">
        <w:t>Drug class and therapeutic indication</w:t>
      </w:r>
      <w:bookmarkEnd w:id="12"/>
      <w:bookmarkEnd w:id="13"/>
      <w:bookmarkEnd w:id="14"/>
      <w:bookmarkEnd w:id="15"/>
    </w:p>
    <w:p w:rsidR="00B469FC" w:rsidRPr="00B469FC" w:rsidRDefault="00B469FC" w:rsidP="00B469FC">
      <w:pPr>
        <w:spacing w:before="20"/>
        <w:rPr>
          <w:color w:val="000000"/>
        </w:rPr>
      </w:pPr>
      <w:proofErr w:type="spellStart"/>
      <w:r w:rsidRPr="00B469FC">
        <w:rPr>
          <w:color w:val="000000"/>
        </w:rPr>
        <w:t>Diltiazem</w:t>
      </w:r>
      <w:proofErr w:type="spellEnd"/>
      <w:r w:rsidRPr="00B469FC">
        <w:rPr>
          <w:color w:val="000000"/>
        </w:rPr>
        <w:t xml:space="preserve"> hydrochloride is an inhibitor of L-type calcium channels. It inhibits calcium influx into myocardial cells, vascular smooth muscle and smooth muscle in the GI tract. </w:t>
      </w:r>
      <w:proofErr w:type="spellStart"/>
      <w:r w:rsidRPr="00B469FC">
        <w:rPr>
          <w:color w:val="000000"/>
        </w:rPr>
        <w:t>Diltiazem</w:t>
      </w:r>
      <w:proofErr w:type="spellEnd"/>
      <w:r w:rsidRPr="00B469FC">
        <w:rPr>
          <w:color w:val="000000"/>
        </w:rPr>
        <w:t xml:space="preserve"> is marketed under several brand names for the treatment of hypertension, angina and various cardiac rhythm disorders.</w:t>
      </w:r>
    </w:p>
    <w:p w:rsidR="00B469FC" w:rsidRPr="00B469FC" w:rsidRDefault="00B469FC" w:rsidP="00B469FC">
      <w:pPr>
        <w:spacing w:before="20"/>
        <w:rPr>
          <w:color w:val="000000"/>
        </w:rPr>
      </w:pPr>
      <w:r w:rsidRPr="00B469FC">
        <w:rPr>
          <w:color w:val="000000"/>
        </w:rPr>
        <w:t>The proposed new indication is:</w:t>
      </w:r>
    </w:p>
    <w:p w:rsidR="00B469FC" w:rsidRPr="00FA1E57" w:rsidRDefault="00B469FC" w:rsidP="00FA1E57">
      <w:pPr>
        <w:spacing w:before="20"/>
        <w:ind w:left="720"/>
        <w:rPr>
          <w:i/>
          <w:color w:val="000000"/>
        </w:rPr>
      </w:pPr>
      <w:proofErr w:type="spellStart"/>
      <w:r w:rsidRPr="00FA1E57">
        <w:rPr>
          <w:i/>
          <w:color w:val="000000"/>
        </w:rPr>
        <w:t>Anoheal</w:t>
      </w:r>
      <w:proofErr w:type="spellEnd"/>
      <w:r w:rsidRPr="00FA1E57">
        <w:rPr>
          <w:i/>
          <w:color w:val="000000"/>
        </w:rPr>
        <w:t xml:space="preserve"> 2% w/w cream is indicated in adults for the relief of pain associ</w:t>
      </w:r>
      <w:r w:rsidR="00FA1E57" w:rsidRPr="00FA1E57">
        <w:rPr>
          <w:i/>
          <w:color w:val="000000"/>
        </w:rPr>
        <w:t>ated with chronic anal fissure.</w:t>
      </w:r>
    </w:p>
    <w:p w:rsidR="00B469FC" w:rsidRPr="00B469FC" w:rsidRDefault="00B469FC" w:rsidP="0086758A">
      <w:pPr>
        <w:pStyle w:val="Heading3"/>
      </w:pPr>
      <w:bookmarkStart w:id="16" w:name="_Toc272414597"/>
      <w:bookmarkStart w:id="17" w:name="_Toc290888445"/>
      <w:bookmarkStart w:id="18" w:name="_Toc442436416"/>
      <w:bookmarkStart w:id="19" w:name="_Toc485825971"/>
      <w:r w:rsidRPr="00B469FC">
        <w:t>Dosage forms and strengths</w:t>
      </w:r>
      <w:bookmarkEnd w:id="16"/>
      <w:bookmarkEnd w:id="17"/>
      <w:bookmarkEnd w:id="18"/>
      <w:bookmarkEnd w:id="19"/>
    </w:p>
    <w:p w:rsidR="00B469FC" w:rsidRPr="00B469FC" w:rsidRDefault="00B469FC" w:rsidP="00B469FC">
      <w:pPr>
        <w:spacing w:before="20"/>
        <w:rPr>
          <w:color w:val="000000"/>
        </w:rPr>
      </w:pPr>
      <w:r w:rsidRPr="00B469FC">
        <w:rPr>
          <w:color w:val="000000"/>
        </w:rPr>
        <w:t>The submission proposes registration of the foll</w:t>
      </w:r>
      <w:r w:rsidR="0039382D">
        <w:rPr>
          <w:color w:val="000000"/>
        </w:rPr>
        <w:t>owing dosage form and strength:</w:t>
      </w:r>
    </w:p>
    <w:p w:rsidR="00B469FC" w:rsidRPr="0086758A" w:rsidRDefault="00B469FC" w:rsidP="0086758A">
      <w:pPr>
        <w:spacing w:before="20"/>
        <w:ind w:left="720"/>
        <w:rPr>
          <w:i/>
          <w:color w:val="000000"/>
        </w:rPr>
      </w:pPr>
      <w:proofErr w:type="gramStart"/>
      <w:r w:rsidRPr="0086758A">
        <w:rPr>
          <w:i/>
          <w:color w:val="000000"/>
        </w:rPr>
        <w:t xml:space="preserve">ANOHEAL cream in a 30g aluminium tube containing </w:t>
      </w:r>
      <w:proofErr w:type="spellStart"/>
      <w:r w:rsidRPr="0086758A">
        <w:rPr>
          <w:i/>
          <w:color w:val="000000"/>
        </w:rPr>
        <w:t>diltiazem</w:t>
      </w:r>
      <w:proofErr w:type="spellEnd"/>
      <w:r w:rsidRPr="0086758A">
        <w:rPr>
          <w:i/>
          <w:color w:val="000000"/>
        </w:rPr>
        <w:t xml:space="preserve"> cream 2% w/w.</w:t>
      </w:r>
      <w:proofErr w:type="gramEnd"/>
      <w:r w:rsidRPr="0086758A">
        <w:rPr>
          <w:i/>
          <w:color w:val="000000"/>
        </w:rPr>
        <w:t xml:space="preserve"> A nominal dose of 450 mg cream contains </w:t>
      </w:r>
      <w:proofErr w:type="spellStart"/>
      <w:r w:rsidRPr="0086758A">
        <w:rPr>
          <w:i/>
          <w:color w:val="000000"/>
        </w:rPr>
        <w:t>diltiazem</w:t>
      </w:r>
      <w:proofErr w:type="spellEnd"/>
      <w:r w:rsidRPr="0086758A">
        <w:rPr>
          <w:i/>
          <w:color w:val="000000"/>
        </w:rPr>
        <w:t xml:space="preserve"> hydrochloride 20 mg/g delivering 8.5 mg </w:t>
      </w:r>
      <w:proofErr w:type="spellStart"/>
      <w:r w:rsidRPr="0086758A">
        <w:rPr>
          <w:i/>
          <w:color w:val="000000"/>
        </w:rPr>
        <w:t>diltiazem</w:t>
      </w:r>
      <w:proofErr w:type="spellEnd"/>
      <w:r w:rsidRPr="0086758A">
        <w:rPr>
          <w:i/>
          <w:color w:val="000000"/>
        </w:rPr>
        <w:t xml:space="preserve"> hydrochloride per application.</w:t>
      </w:r>
    </w:p>
    <w:p w:rsidR="00B469FC" w:rsidRPr="00B469FC" w:rsidRDefault="00B469FC" w:rsidP="0086758A">
      <w:pPr>
        <w:pStyle w:val="Heading3"/>
      </w:pPr>
      <w:bookmarkStart w:id="20" w:name="_Toc272414598"/>
      <w:bookmarkStart w:id="21" w:name="_Toc290888446"/>
      <w:bookmarkStart w:id="22" w:name="_Toc442436417"/>
      <w:bookmarkStart w:id="23" w:name="_Toc485825972"/>
      <w:r w:rsidRPr="00B469FC">
        <w:t>Dosage and administration</w:t>
      </w:r>
      <w:bookmarkEnd w:id="20"/>
      <w:bookmarkEnd w:id="21"/>
      <w:bookmarkEnd w:id="22"/>
      <w:bookmarkEnd w:id="23"/>
    </w:p>
    <w:p w:rsidR="00B469FC" w:rsidRPr="00B469FC" w:rsidRDefault="00B469FC" w:rsidP="00B469FC">
      <w:pPr>
        <w:spacing w:before="20"/>
        <w:rPr>
          <w:color w:val="000000"/>
        </w:rPr>
      </w:pPr>
      <w:proofErr w:type="spellStart"/>
      <w:proofErr w:type="gramStart"/>
      <w:r w:rsidRPr="00B469FC">
        <w:rPr>
          <w:color w:val="000000"/>
        </w:rPr>
        <w:t>Diltiazem</w:t>
      </w:r>
      <w:proofErr w:type="spellEnd"/>
      <w:r w:rsidRPr="00B469FC">
        <w:rPr>
          <w:color w:val="000000"/>
        </w:rPr>
        <w:t xml:space="preserve"> hydrochloride 8.5 mg TID given topically to the anal canal via a nominal application of 450 mg </w:t>
      </w:r>
      <w:proofErr w:type="spellStart"/>
      <w:r w:rsidRPr="00B469FC">
        <w:rPr>
          <w:color w:val="000000"/>
        </w:rPr>
        <w:t>diltiazem</w:t>
      </w:r>
      <w:proofErr w:type="spellEnd"/>
      <w:r w:rsidRPr="00B469FC">
        <w:rPr>
          <w:color w:val="000000"/>
        </w:rPr>
        <w:t xml:space="preserve"> 2% cream.</w:t>
      </w:r>
      <w:proofErr w:type="gramEnd"/>
    </w:p>
    <w:p w:rsidR="00B469FC" w:rsidRPr="00B469FC" w:rsidRDefault="00B469FC" w:rsidP="0086758A">
      <w:pPr>
        <w:pStyle w:val="Heading3"/>
      </w:pPr>
      <w:bookmarkStart w:id="24" w:name="_Toc272414599"/>
      <w:bookmarkStart w:id="25" w:name="_Toc290888447"/>
      <w:bookmarkStart w:id="26" w:name="_Toc442436418"/>
      <w:bookmarkStart w:id="27" w:name="_Toc485825973"/>
      <w:r w:rsidRPr="00B469FC">
        <w:t xml:space="preserve">Other proposed changes to the </w:t>
      </w:r>
      <w:bookmarkEnd w:id="24"/>
      <w:r w:rsidRPr="00B469FC">
        <w:t>PI</w:t>
      </w:r>
      <w:bookmarkEnd w:id="25"/>
      <w:bookmarkEnd w:id="26"/>
      <w:bookmarkEnd w:id="27"/>
    </w:p>
    <w:p w:rsidR="00B469FC" w:rsidRPr="0086758A" w:rsidRDefault="00B469FC" w:rsidP="0086758A">
      <w:r w:rsidRPr="0086758A">
        <w:t>Not applicable.</w:t>
      </w:r>
    </w:p>
    <w:p w:rsidR="00295C34" w:rsidRDefault="00586F98" w:rsidP="0086758A">
      <w:pPr>
        <w:pStyle w:val="Heading2"/>
      </w:pPr>
      <w:bookmarkStart w:id="28" w:name="_Toc485825974"/>
      <w:r w:rsidRPr="0094614A">
        <w:t>Clinical rationale</w:t>
      </w:r>
      <w:bookmarkEnd w:id="28"/>
    </w:p>
    <w:p w:rsidR="00B469FC" w:rsidRPr="00B469FC" w:rsidRDefault="00B469FC" w:rsidP="00B469FC">
      <w:pPr>
        <w:spacing w:before="20"/>
        <w:rPr>
          <w:color w:val="000000"/>
        </w:rPr>
      </w:pPr>
      <w:r w:rsidRPr="00B469FC">
        <w:rPr>
          <w:color w:val="000000"/>
        </w:rPr>
        <w:t xml:space="preserve">Anal fissures occur in otherwise healthy subjects irrespective of race, age and gender with a life-time incidence of approximately 11% (Lock, 1977). Acute anal fissures may occur after the passage of an abnormally large or hard stool and a low fibre intake in Western diets is often implicated.  Anal fissures are linear ulcers in the epithelium of the anal canal, occurring most commonly in the posterior midline. The diagnosis is made by direct visualisation and endoscopy is not usually required. Anal fissures typically cause bleeding and pain during defaecation which may last for two hours or more.  Most acute anal fissures heal spontaneously but some become chronic. In patients with chronic anal fissure, pain after defaecation is persistent and associated with resting anal hypertonia and poor spontaneous relaxation as measured by ambulatory </w:t>
      </w:r>
      <w:proofErr w:type="spellStart"/>
      <w:r w:rsidRPr="00B469FC">
        <w:rPr>
          <w:color w:val="000000"/>
        </w:rPr>
        <w:t>manometry</w:t>
      </w:r>
      <w:proofErr w:type="spellEnd"/>
      <w:r w:rsidRPr="00B469FC">
        <w:rPr>
          <w:color w:val="000000"/>
        </w:rPr>
        <w:t xml:space="preserve">. Higher anal sphincter pressures are associated with lower anorectal blood flow, and ischaemic ulceration in the posterior segment is widely assumed to be the cause of persistent fissures. In patients who fail to respond to conservative or medical therapy, surgeries such as </w:t>
      </w:r>
      <w:proofErr w:type="spellStart"/>
      <w:r w:rsidRPr="00B469FC">
        <w:rPr>
          <w:color w:val="000000"/>
        </w:rPr>
        <w:t>sphincterotomy</w:t>
      </w:r>
      <w:proofErr w:type="spellEnd"/>
      <w:r w:rsidRPr="00B469FC">
        <w:rPr>
          <w:color w:val="000000"/>
        </w:rPr>
        <w:t xml:space="preserve"> can restore normal blood flow. Surgery provides healing and symptomatic relief in 90-95% of subjects; however, surgery is commonly associated with mild to moderate faecal incontinence.</w:t>
      </w:r>
    </w:p>
    <w:p w:rsidR="00B469FC" w:rsidRPr="00B469FC" w:rsidRDefault="00B469FC" w:rsidP="00B469FC">
      <w:pPr>
        <w:spacing w:before="20"/>
        <w:rPr>
          <w:color w:val="000000"/>
        </w:rPr>
      </w:pPr>
      <w:r w:rsidRPr="00B469FC">
        <w:rPr>
          <w:color w:val="000000"/>
        </w:rPr>
        <w:t xml:space="preserve">Medical therapies designed to reduce anal sphincter tone and reduce </w:t>
      </w:r>
      <w:proofErr w:type="spellStart"/>
      <w:r w:rsidRPr="00B469FC">
        <w:rPr>
          <w:color w:val="000000"/>
        </w:rPr>
        <w:t>ischaemia</w:t>
      </w:r>
      <w:proofErr w:type="spellEnd"/>
      <w:r w:rsidRPr="00B469FC">
        <w:rPr>
          <w:color w:val="000000"/>
        </w:rPr>
        <w:t xml:space="preserve"> have been widely used in the last 20 years (</w:t>
      </w:r>
      <w:proofErr w:type="spellStart"/>
      <w:r w:rsidRPr="00B469FC">
        <w:rPr>
          <w:color w:val="000000"/>
        </w:rPr>
        <w:t>Carpeti</w:t>
      </w:r>
      <w:proofErr w:type="spellEnd"/>
      <w:r w:rsidRPr="00B469FC">
        <w:rPr>
          <w:color w:val="000000"/>
        </w:rPr>
        <w:t xml:space="preserve">, 1998). However, randomised, controlled trials of numerous therapies have largely failed to demonstrate improved AF healing rates compared with placebo. In a systematic review of nine medical therapies, treatments including GTN, </w:t>
      </w:r>
      <w:proofErr w:type="spellStart"/>
      <w:r w:rsidRPr="00B469FC">
        <w:rPr>
          <w:color w:val="000000"/>
        </w:rPr>
        <w:t>nifedipine</w:t>
      </w:r>
      <w:proofErr w:type="spellEnd"/>
      <w:r w:rsidRPr="00B469FC">
        <w:rPr>
          <w:color w:val="000000"/>
        </w:rPr>
        <w:t xml:space="preserve">, botulinum </w:t>
      </w:r>
      <w:r w:rsidRPr="00B469FC">
        <w:rPr>
          <w:color w:val="000000"/>
        </w:rPr>
        <w:lastRenderedPageBreak/>
        <w:t xml:space="preserve">toxin, hydrocortisone, and </w:t>
      </w:r>
      <w:proofErr w:type="spellStart"/>
      <w:r w:rsidRPr="00B469FC">
        <w:rPr>
          <w:color w:val="000000"/>
        </w:rPr>
        <w:t>diltiazem</w:t>
      </w:r>
      <w:proofErr w:type="spellEnd"/>
      <w:r w:rsidRPr="00B469FC">
        <w:rPr>
          <w:color w:val="000000"/>
        </w:rPr>
        <w:t xml:space="preserve"> were considered only marginally superior to placebo (Nelson, 2004). An updated review conducted on behalf of the Cochrane Collaboration in 2012 reached the same conclusion with no evidence for the value of </w:t>
      </w:r>
      <w:proofErr w:type="spellStart"/>
      <w:r w:rsidRPr="00B469FC">
        <w:rPr>
          <w:color w:val="000000"/>
        </w:rPr>
        <w:t>diltiazem</w:t>
      </w:r>
      <w:proofErr w:type="spellEnd"/>
      <w:r w:rsidRPr="00B469FC">
        <w:rPr>
          <w:color w:val="000000"/>
        </w:rPr>
        <w:t xml:space="preserve"> compared with placebo (Nelson, 2012). GTN was found to be marginally but significantly better than placebo in healing anal fissure (48.9% vs. 35.5%, p&lt;0.0009). Botox and calcium channel blockers had similar efficacy to GTN with fewer adverse events but the studies were mostly small and poorly controlled and the benefits were not statistically significant. A systematic review of seven randomised controlled trials showed comparable efficacy for GTN and topical </w:t>
      </w:r>
      <w:proofErr w:type="spellStart"/>
      <w:r w:rsidRPr="00B469FC">
        <w:rPr>
          <w:color w:val="000000"/>
        </w:rPr>
        <w:t>diltiazem</w:t>
      </w:r>
      <w:proofErr w:type="spellEnd"/>
      <w:r w:rsidRPr="00B469FC">
        <w:rPr>
          <w:color w:val="000000"/>
        </w:rPr>
        <w:t xml:space="preserve"> with a lower incidence of headache in </w:t>
      </w:r>
      <w:proofErr w:type="spellStart"/>
      <w:r w:rsidRPr="00B469FC">
        <w:rPr>
          <w:color w:val="000000"/>
        </w:rPr>
        <w:t>diltiazem</w:t>
      </w:r>
      <w:proofErr w:type="spellEnd"/>
      <w:r w:rsidRPr="00B469FC">
        <w:rPr>
          <w:color w:val="000000"/>
        </w:rPr>
        <w:t xml:space="preserve"> subjects (</w:t>
      </w:r>
      <w:proofErr w:type="spellStart"/>
      <w:r w:rsidRPr="00B469FC">
        <w:rPr>
          <w:color w:val="000000"/>
        </w:rPr>
        <w:t>Sajid</w:t>
      </w:r>
      <w:proofErr w:type="spellEnd"/>
      <w:r w:rsidRPr="00B469FC">
        <w:rPr>
          <w:color w:val="000000"/>
        </w:rPr>
        <w:t xml:space="preserve">, 2013). However, randomised, controlled trials conducted to date have not shown an efficacy benefit for topical </w:t>
      </w:r>
      <w:proofErr w:type="spellStart"/>
      <w:r w:rsidRPr="00B469FC">
        <w:rPr>
          <w:color w:val="000000"/>
        </w:rPr>
        <w:t>diltiazem</w:t>
      </w:r>
      <w:proofErr w:type="spellEnd"/>
      <w:r w:rsidRPr="00B469FC">
        <w:rPr>
          <w:color w:val="000000"/>
        </w:rPr>
        <w:t xml:space="preserve"> compared with placebo for AF healing. Despite this failure to demonstrate AF healing, the sponsors have conducted a clinical trial program to assess the value of topical DTZ 2% cream for relief of pain with or following defaecation in subjects with chronic AF.</w:t>
      </w:r>
    </w:p>
    <w:p w:rsidR="00586F98" w:rsidRDefault="00586F98" w:rsidP="0086758A">
      <w:pPr>
        <w:pStyle w:val="Heading2"/>
      </w:pPr>
      <w:bookmarkStart w:id="29" w:name="_Toc485825975"/>
      <w:r>
        <w:t>Contents of the clinical dossier</w:t>
      </w:r>
      <w:bookmarkEnd w:id="10"/>
      <w:bookmarkEnd w:id="11"/>
      <w:bookmarkEnd w:id="29"/>
    </w:p>
    <w:p w:rsidR="00586F98" w:rsidRDefault="00586F98" w:rsidP="0086758A">
      <w:pPr>
        <w:pStyle w:val="Heading3"/>
      </w:pPr>
      <w:bookmarkStart w:id="30" w:name="_Toc485825976"/>
      <w:r>
        <w:t>Scope of the clinical dossier</w:t>
      </w:r>
      <w:bookmarkEnd w:id="30"/>
    </w:p>
    <w:p w:rsidR="00B469FC" w:rsidRPr="00FA1E57" w:rsidRDefault="00B469FC" w:rsidP="00FA1E57">
      <w:r w:rsidRPr="00FA1E57">
        <w:t>The submission contained the following clinical information:</w:t>
      </w:r>
    </w:p>
    <w:p w:rsidR="00B469FC" w:rsidRPr="00FA1E57" w:rsidRDefault="00B469FC" w:rsidP="00FA1E57">
      <w:pPr>
        <w:pStyle w:val="ListBullet"/>
      </w:pPr>
      <w:r w:rsidRPr="00FA1E57">
        <w:t xml:space="preserve">Two clinical pharmacology studies, both studies provided pharmacokinetic and </w:t>
      </w:r>
      <w:proofErr w:type="spellStart"/>
      <w:r w:rsidRPr="00FA1E57">
        <w:t>pharmacodynamic</w:t>
      </w:r>
      <w:proofErr w:type="spellEnd"/>
      <w:r w:rsidRPr="00FA1E57">
        <w:t xml:space="preserve"> data.</w:t>
      </w:r>
    </w:p>
    <w:p w:rsidR="00B469FC" w:rsidRPr="00FA1E57" w:rsidRDefault="00B469FC" w:rsidP="00FA1E57">
      <w:pPr>
        <w:pStyle w:val="ListBullet"/>
      </w:pPr>
      <w:r w:rsidRPr="00FA1E57">
        <w:t>No population pharmacokinetic analyses.</w:t>
      </w:r>
    </w:p>
    <w:p w:rsidR="00B469FC" w:rsidRPr="00FA1E57" w:rsidRDefault="00B469FC" w:rsidP="00FA1E57">
      <w:pPr>
        <w:pStyle w:val="ListBullet"/>
      </w:pPr>
      <w:r w:rsidRPr="00FA1E57">
        <w:t>One pivotal efficacy/safety study DAF09.</w:t>
      </w:r>
    </w:p>
    <w:p w:rsidR="00B469FC" w:rsidRPr="00FA1E57" w:rsidRDefault="00B469FC" w:rsidP="00FA1E57">
      <w:pPr>
        <w:pStyle w:val="ListBullet"/>
      </w:pPr>
      <w:r w:rsidRPr="00FA1E57">
        <w:t>Four other efficacy/safety studies, DAF-0001, 99-CFAIII, VEN307-DERM-001, VEN307-DERM-002.</w:t>
      </w:r>
    </w:p>
    <w:p w:rsidR="00586F98" w:rsidRDefault="00586F98" w:rsidP="0086758A">
      <w:pPr>
        <w:pStyle w:val="Heading3"/>
      </w:pPr>
      <w:bookmarkStart w:id="31" w:name="_Toc485825977"/>
      <w:r>
        <w:t>Paediatric data</w:t>
      </w:r>
      <w:bookmarkEnd w:id="31"/>
    </w:p>
    <w:p w:rsidR="00B469FC" w:rsidRPr="00B469FC" w:rsidRDefault="00B469FC" w:rsidP="00B469FC">
      <w:pPr>
        <w:spacing w:before="20"/>
        <w:rPr>
          <w:color w:val="000000"/>
        </w:rPr>
      </w:pPr>
      <w:r w:rsidRPr="00B469FC">
        <w:rPr>
          <w:color w:val="000000"/>
        </w:rPr>
        <w:t>The submission d</w:t>
      </w:r>
      <w:r w:rsidR="0039382D">
        <w:rPr>
          <w:color w:val="000000"/>
        </w:rPr>
        <w:t>id not include paediatric data.</w:t>
      </w:r>
    </w:p>
    <w:p w:rsidR="00586F98" w:rsidRDefault="00586F98" w:rsidP="0086758A">
      <w:pPr>
        <w:pStyle w:val="Heading3"/>
      </w:pPr>
      <w:bookmarkStart w:id="32" w:name="_Toc485825978"/>
      <w:r>
        <w:t>Good clinical practice</w:t>
      </w:r>
      <w:bookmarkEnd w:id="32"/>
    </w:p>
    <w:p w:rsidR="00B469FC" w:rsidRPr="00B469FC" w:rsidRDefault="00B469FC" w:rsidP="00B469FC">
      <w:pPr>
        <w:spacing w:before="20"/>
        <w:rPr>
          <w:color w:val="000000"/>
        </w:rPr>
      </w:pPr>
      <w:r w:rsidRPr="00B469FC">
        <w:rPr>
          <w:color w:val="000000"/>
        </w:rPr>
        <w:t>All studies were conducted according to the principles of ICH GCP.</w:t>
      </w:r>
    </w:p>
    <w:p w:rsidR="00166DA5" w:rsidRDefault="00586F98" w:rsidP="0086758A">
      <w:pPr>
        <w:pStyle w:val="Heading2"/>
      </w:pPr>
      <w:bookmarkStart w:id="33" w:name="_Toc355338639"/>
      <w:bookmarkStart w:id="34" w:name="_Toc485825979"/>
      <w:r>
        <w:t>Pharmacokinetics</w:t>
      </w:r>
      <w:bookmarkEnd w:id="33"/>
      <w:bookmarkEnd w:id="34"/>
    </w:p>
    <w:p w:rsidR="00B469FC" w:rsidRPr="00B469FC" w:rsidRDefault="00B469FC" w:rsidP="00B469FC">
      <w:pPr>
        <w:spacing w:before="20"/>
        <w:rPr>
          <w:rFonts w:eastAsia="Times New Roman"/>
          <w:lang w:eastAsia="en-AU"/>
        </w:rPr>
      </w:pPr>
      <w:r w:rsidRPr="00B469FC">
        <w:rPr>
          <w:rFonts w:eastAsia="Times New Roman"/>
          <w:lang w:eastAsia="en-AU"/>
        </w:rPr>
        <w:t xml:space="preserve">Summaries of the pharmacokinetic studies are presented. </w:t>
      </w:r>
      <w:r w:rsidR="0086758A">
        <w:rPr>
          <w:rFonts w:eastAsia="Times New Roman"/>
          <w:lang w:eastAsia="en-AU"/>
        </w:rPr>
        <w:t xml:space="preserve">Table 1 </w:t>
      </w:r>
      <w:r w:rsidRPr="00B469FC">
        <w:rPr>
          <w:rFonts w:eastAsia="Times New Roman"/>
          <w:lang w:eastAsia="en-AU"/>
        </w:rPr>
        <w:t>shows the studies relating to each pharmacokinetic topic and the location of each study summary.</w:t>
      </w:r>
    </w:p>
    <w:p w:rsidR="00B469FC" w:rsidRPr="0086758A" w:rsidRDefault="0086758A" w:rsidP="0039382D">
      <w:pPr>
        <w:pStyle w:val="Tabletitle"/>
        <w:pageBreakBefore/>
      </w:pPr>
      <w:bookmarkStart w:id="35" w:name="_Toc290888740"/>
      <w:bookmarkStart w:id="36" w:name="_Ref429650979"/>
      <w:bookmarkStart w:id="37" w:name="_Toc442436562"/>
      <w:r>
        <w:lastRenderedPageBreak/>
        <w:t xml:space="preserve">Table 1: </w:t>
      </w:r>
      <w:r w:rsidR="00B469FC" w:rsidRPr="0086758A">
        <w:t>Submitted pharmacokinetic studies.</w:t>
      </w:r>
      <w:bookmarkEnd w:id="35"/>
      <w:bookmarkEnd w:id="36"/>
      <w:bookmarkEnd w:id="37"/>
    </w:p>
    <w:tbl>
      <w:tblPr>
        <w:tblStyle w:val="TableTGAblue"/>
        <w:tblW w:w="9039" w:type="dxa"/>
        <w:tblLayout w:type="fixed"/>
        <w:tblLook w:val="04A0" w:firstRow="1" w:lastRow="0" w:firstColumn="1" w:lastColumn="0" w:noHBand="0" w:noVBand="1"/>
      </w:tblPr>
      <w:tblGrid>
        <w:gridCol w:w="1668"/>
        <w:gridCol w:w="1559"/>
        <w:gridCol w:w="1588"/>
        <w:gridCol w:w="4224"/>
      </w:tblGrid>
      <w:tr w:rsidR="00F04584" w:rsidRPr="0039382D" w:rsidTr="003938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F04584" w:rsidRPr="0039382D" w:rsidRDefault="00F04584" w:rsidP="0039382D">
            <w:pPr>
              <w:rPr>
                <w:sz w:val="20"/>
                <w:szCs w:val="20"/>
              </w:rPr>
            </w:pPr>
            <w:r w:rsidRPr="0039382D">
              <w:rPr>
                <w:sz w:val="20"/>
                <w:szCs w:val="20"/>
              </w:rPr>
              <w:t>PK topic</w:t>
            </w:r>
          </w:p>
        </w:tc>
        <w:tc>
          <w:tcPr>
            <w:tcW w:w="1559" w:type="dxa"/>
          </w:tcPr>
          <w:p w:rsidR="00F04584" w:rsidRPr="0039382D" w:rsidRDefault="00F04584" w:rsidP="0039382D">
            <w:pPr>
              <w:cnfStyle w:val="100000000000" w:firstRow="1" w:lastRow="0" w:firstColumn="0" w:lastColumn="0" w:oddVBand="0" w:evenVBand="0" w:oddHBand="0" w:evenHBand="0" w:firstRowFirstColumn="0" w:firstRowLastColumn="0" w:lastRowFirstColumn="0" w:lastRowLastColumn="0"/>
              <w:rPr>
                <w:sz w:val="20"/>
                <w:szCs w:val="20"/>
              </w:rPr>
            </w:pPr>
            <w:r w:rsidRPr="0039382D">
              <w:rPr>
                <w:sz w:val="20"/>
                <w:szCs w:val="20"/>
              </w:rPr>
              <w:t>Subtopic</w:t>
            </w:r>
          </w:p>
        </w:tc>
        <w:tc>
          <w:tcPr>
            <w:tcW w:w="1588" w:type="dxa"/>
          </w:tcPr>
          <w:p w:rsidR="00F04584" w:rsidRPr="0039382D" w:rsidRDefault="00F04584" w:rsidP="0039382D">
            <w:pPr>
              <w:ind w:left="175" w:right="63"/>
              <w:cnfStyle w:val="100000000000" w:firstRow="1" w:lastRow="0" w:firstColumn="0" w:lastColumn="0" w:oddVBand="0" w:evenVBand="0" w:oddHBand="0" w:evenHBand="0" w:firstRowFirstColumn="0" w:firstRowLastColumn="0" w:lastRowFirstColumn="0" w:lastRowLastColumn="0"/>
              <w:rPr>
                <w:sz w:val="20"/>
                <w:szCs w:val="20"/>
              </w:rPr>
            </w:pPr>
            <w:r w:rsidRPr="0039382D">
              <w:rPr>
                <w:sz w:val="20"/>
                <w:szCs w:val="20"/>
              </w:rPr>
              <w:t>Study ID</w:t>
            </w:r>
          </w:p>
        </w:tc>
        <w:tc>
          <w:tcPr>
            <w:tcW w:w="4224" w:type="dxa"/>
          </w:tcPr>
          <w:p w:rsidR="00F04584" w:rsidRPr="0039382D" w:rsidRDefault="00F04584" w:rsidP="0039382D">
            <w:pPr>
              <w:ind w:left="147"/>
              <w:cnfStyle w:val="100000000000" w:firstRow="1" w:lastRow="0" w:firstColumn="0" w:lastColumn="0" w:oddVBand="0" w:evenVBand="0" w:oddHBand="0" w:evenHBand="0" w:firstRowFirstColumn="0" w:firstRowLastColumn="0" w:lastRowFirstColumn="0" w:lastRowLastColumn="0"/>
              <w:rPr>
                <w:sz w:val="20"/>
                <w:szCs w:val="20"/>
              </w:rPr>
            </w:pPr>
            <w:r w:rsidRPr="0039382D">
              <w:rPr>
                <w:sz w:val="20"/>
                <w:szCs w:val="20"/>
              </w:rPr>
              <w:t>*</w:t>
            </w:r>
          </w:p>
        </w:tc>
      </w:tr>
      <w:tr w:rsidR="00F04584" w:rsidRPr="0039382D" w:rsidTr="0039382D">
        <w:tc>
          <w:tcPr>
            <w:cnfStyle w:val="001000000000" w:firstRow="0" w:lastRow="0" w:firstColumn="1" w:lastColumn="0" w:oddVBand="0" w:evenVBand="0" w:oddHBand="0" w:evenHBand="0" w:firstRowFirstColumn="0" w:firstRowLastColumn="0" w:lastRowFirstColumn="0" w:lastRowLastColumn="0"/>
            <w:tcW w:w="1668" w:type="dxa"/>
            <w:vMerge w:val="restart"/>
          </w:tcPr>
          <w:p w:rsidR="00F04584" w:rsidRPr="0039382D" w:rsidRDefault="00F04584" w:rsidP="0039382D">
            <w:pPr>
              <w:rPr>
                <w:sz w:val="20"/>
                <w:szCs w:val="20"/>
              </w:rPr>
            </w:pPr>
            <w:r w:rsidRPr="0039382D">
              <w:rPr>
                <w:sz w:val="20"/>
                <w:szCs w:val="20"/>
              </w:rPr>
              <w:t>PKs in target population – Patients with AF§</w:t>
            </w:r>
          </w:p>
        </w:tc>
        <w:tc>
          <w:tcPr>
            <w:tcW w:w="1559" w:type="dxa"/>
          </w:tcPr>
          <w:p w:rsidR="00F04584" w:rsidRPr="0039382D" w:rsidRDefault="00F04584" w:rsidP="0039382D">
            <w:pPr>
              <w:cnfStyle w:val="000000000000" w:firstRow="0" w:lastRow="0" w:firstColumn="0" w:lastColumn="0" w:oddVBand="0" w:evenVBand="0" w:oddHBand="0" w:evenHBand="0" w:firstRowFirstColumn="0" w:firstRowLastColumn="0" w:lastRowFirstColumn="0" w:lastRowLastColumn="0"/>
              <w:rPr>
                <w:sz w:val="20"/>
                <w:szCs w:val="20"/>
              </w:rPr>
            </w:pPr>
            <w:r w:rsidRPr="0039382D">
              <w:rPr>
                <w:sz w:val="20"/>
                <w:szCs w:val="20"/>
              </w:rPr>
              <w:t>General PK</w:t>
            </w:r>
          </w:p>
        </w:tc>
        <w:tc>
          <w:tcPr>
            <w:tcW w:w="1588" w:type="dxa"/>
          </w:tcPr>
          <w:p w:rsidR="00F04584" w:rsidRPr="0039382D" w:rsidRDefault="00F04584" w:rsidP="0039382D">
            <w:pPr>
              <w:ind w:left="175" w:right="63"/>
              <w:cnfStyle w:val="000000000000" w:firstRow="0" w:lastRow="0" w:firstColumn="0" w:lastColumn="0" w:oddVBand="0" w:evenVBand="0" w:oddHBand="0" w:evenHBand="0" w:firstRowFirstColumn="0" w:firstRowLastColumn="0" w:lastRowFirstColumn="0" w:lastRowLastColumn="0"/>
              <w:rPr>
                <w:sz w:val="20"/>
                <w:szCs w:val="20"/>
              </w:rPr>
            </w:pPr>
            <w:r w:rsidRPr="0039382D">
              <w:rPr>
                <w:sz w:val="20"/>
                <w:szCs w:val="20"/>
              </w:rPr>
              <w:t>VEN307-PK-001</w:t>
            </w:r>
          </w:p>
        </w:tc>
        <w:tc>
          <w:tcPr>
            <w:tcW w:w="4224" w:type="dxa"/>
          </w:tcPr>
          <w:p w:rsidR="00F04584" w:rsidRPr="0039382D" w:rsidRDefault="00F04584" w:rsidP="0039382D">
            <w:pPr>
              <w:ind w:left="147"/>
              <w:cnfStyle w:val="000000000000" w:firstRow="0" w:lastRow="0" w:firstColumn="0" w:lastColumn="0" w:oddVBand="0" w:evenVBand="0" w:oddHBand="0" w:evenHBand="0" w:firstRowFirstColumn="0" w:firstRowLastColumn="0" w:lastRowFirstColumn="0" w:lastRowLastColumn="0"/>
              <w:rPr>
                <w:sz w:val="20"/>
                <w:szCs w:val="20"/>
              </w:rPr>
            </w:pPr>
            <w:r w:rsidRPr="0039382D">
              <w:rPr>
                <w:rFonts w:eastAsia="Calibri" w:cs="Arial"/>
                <w:color w:val="000000"/>
                <w:sz w:val="20"/>
                <w:szCs w:val="20"/>
              </w:rPr>
              <w:t>Single- and multiple-dose PK parameters for topical DTZ and single-dose PK parameters for oral DTZ in subjects with AF. Evaluate pain using NRS</w:t>
            </w:r>
            <w:r w:rsidR="00B62935">
              <w:rPr>
                <w:rFonts w:eastAsia="Calibri" w:cs="Arial"/>
                <w:color w:val="000000"/>
                <w:sz w:val="20"/>
                <w:szCs w:val="20"/>
              </w:rPr>
              <w:t>.</w:t>
            </w:r>
          </w:p>
        </w:tc>
      </w:tr>
      <w:tr w:rsidR="00F04584" w:rsidRPr="0039382D" w:rsidTr="0039382D">
        <w:tc>
          <w:tcPr>
            <w:cnfStyle w:val="001000000000" w:firstRow="0" w:lastRow="0" w:firstColumn="1" w:lastColumn="0" w:oddVBand="0" w:evenVBand="0" w:oddHBand="0" w:evenHBand="0" w:firstRowFirstColumn="0" w:firstRowLastColumn="0" w:lastRowFirstColumn="0" w:lastRowLastColumn="0"/>
            <w:tcW w:w="1668" w:type="dxa"/>
            <w:vMerge/>
          </w:tcPr>
          <w:p w:rsidR="00F04584" w:rsidRPr="0039382D" w:rsidRDefault="00F04584" w:rsidP="0039382D">
            <w:pPr>
              <w:rPr>
                <w:sz w:val="20"/>
                <w:szCs w:val="20"/>
              </w:rPr>
            </w:pPr>
          </w:p>
        </w:tc>
        <w:tc>
          <w:tcPr>
            <w:tcW w:w="1559" w:type="dxa"/>
          </w:tcPr>
          <w:p w:rsidR="00F04584" w:rsidRPr="0039382D" w:rsidRDefault="00F04584" w:rsidP="0039382D">
            <w:pPr>
              <w:cnfStyle w:val="000000000000" w:firstRow="0" w:lastRow="0" w:firstColumn="0" w:lastColumn="0" w:oddVBand="0" w:evenVBand="0" w:oddHBand="0" w:evenHBand="0" w:firstRowFirstColumn="0" w:firstRowLastColumn="0" w:lastRowFirstColumn="0" w:lastRowLastColumn="0"/>
              <w:rPr>
                <w:sz w:val="20"/>
                <w:szCs w:val="20"/>
              </w:rPr>
            </w:pPr>
          </w:p>
        </w:tc>
        <w:tc>
          <w:tcPr>
            <w:tcW w:w="1588" w:type="dxa"/>
          </w:tcPr>
          <w:p w:rsidR="00F04584" w:rsidRPr="0039382D" w:rsidRDefault="00F04584" w:rsidP="0039382D">
            <w:pPr>
              <w:ind w:left="175" w:right="63"/>
              <w:cnfStyle w:val="000000000000" w:firstRow="0" w:lastRow="0" w:firstColumn="0" w:lastColumn="0" w:oddVBand="0" w:evenVBand="0" w:oddHBand="0" w:evenHBand="0" w:firstRowFirstColumn="0" w:firstRowLastColumn="0" w:lastRowFirstColumn="0" w:lastRowLastColumn="0"/>
              <w:rPr>
                <w:sz w:val="20"/>
                <w:szCs w:val="20"/>
              </w:rPr>
            </w:pPr>
            <w:r w:rsidRPr="0039382D">
              <w:rPr>
                <w:rFonts w:cs="Calibri"/>
                <w:sz w:val="20"/>
                <w:szCs w:val="20"/>
              </w:rPr>
              <w:t>SC00802</w:t>
            </w:r>
          </w:p>
        </w:tc>
        <w:tc>
          <w:tcPr>
            <w:tcW w:w="4224" w:type="dxa"/>
          </w:tcPr>
          <w:p w:rsidR="00F04584" w:rsidRPr="0039382D" w:rsidRDefault="00F04584" w:rsidP="0039382D">
            <w:pPr>
              <w:ind w:left="147"/>
              <w:cnfStyle w:val="000000000000" w:firstRow="0" w:lastRow="0" w:firstColumn="0" w:lastColumn="0" w:oddVBand="0" w:evenVBand="0" w:oddHBand="0" w:evenHBand="0" w:firstRowFirstColumn="0" w:firstRowLastColumn="0" w:lastRowFirstColumn="0" w:lastRowLastColumn="0"/>
              <w:rPr>
                <w:sz w:val="20"/>
                <w:szCs w:val="20"/>
              </w:rPr>
            </w:pPr>
            <w:r w:rsidRPr="0039382D">
              <w:rPr>
                <w:rFonts w:eastAsia="Calibri"/>
                <w:sz w:val="20"/>
                <w:szCs w:val="20"/>
              </w:rPr>
              <w:t>Systemic absorption following topically applied DTZ at a range of doses in patients with AF. Effects of topical DTZ on the pulse rate, blood pressure and ECG readings.</w:t>
            </w:r>
          </w:p>
        </w:tc>
      </w:tr>
    </w:tbl>
    <w:p w:rsidR="00B469FC" w:rsidRPr="00B469FC" w:rsidRDefault="00B469FC" w:rsidP="00F04584">
      <w:pPr>
        <w:pStyle w:val="TableDescription"/>
        <w:rPr>
          <w:lang w:eastAsia="en-AU"/>
        </w:rPr>
      </w:pPr>
      <w:r w:rsidRPr="00B469FC">
        <w:rPr>
          <w:lang w:eastAsia="en-AU"/>
        </w:rPr>
        <w:t>* Indicates the primary aim of the study.</w:t>
      </w:r>
      <w:r w:rsidRPr="00B469FC">
        <w:rPr>
          <w:lang w:eastAsia="en-AU"/>
        </w:rPr>
        <w:br/>
        <w:t>§ Subjects who would be eligible to receive the drug if approved for the proposed indication.</w:t>
      </w:r>
    </w:p>
    <w:p w:rsidR="00B469FC" w:rsidRPr="00B469FC" w:rsidRDefault="00B469FC" w:rsidP="00B469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rPr>
          <w:rFonts w:eastAsia="Times New Roman"/>
          <w:lang w:eastAsia="en-AU"/>
        </w:rPr>
      </w:pPr>
      <w:r w:rsidRPr="00B469FC">
        <w:rPr>
          <w:rFonts w:eastAsia="Times New Roman"/>
          <w:lang w:eastAsia="en-AU"/>
        </w:rPr>
        <w:t>None of the pharmacokinetic studies had deficiencies that excluded their results from consideration.</w:t>
      </w:r>
    </w:p>
    <w:p w:rsidR="00B469FC" w:rsidRPr="00B469FC" w:rsidRDefault="00B469FC" w:rsidP="00F04584">
      <w:pPr>
        <w:pStyle w:val="Heading3"/>
      </w:pPr>
      <w:bookmarkStart w:id="38" w:name="_Ref269118175"/>
      <w:bookmarkStart w:id="39" w:name="_Toc272414616"/>
      <w:bookmarkStart w:id="40" w:name="_Toc290888465"/>
      <w:bookmarkStart w:id="41" w:name="_Toc290888616"/>
      <w:bookmarkStart w:id="42" w:name="_Toc442436435"/>
      <w:bookmarkStart w:id="43" w:name="_Toc485825980"/>
      <w:r w:rsidRPr="00B469FC">
        <w:t>Summary of pharmacokinetics</w:t>
      </w:r>
      <w:bookmarkEnd w:id="38"/>
      <w:bookmarkEnd w:id="39"/>
      <w:bookmarkEnd w:id="40"/>
      <w:bookmarkEnd w:id="41"/>
      <w:bookmarkEnd w:id="42"/>
      <w:bookmarkEnd w:id="43"/>
    </w:p>
    <w:p w:rsidR="00B469FC" w:rsidRPr="00B469FC" w:rsidRDefault="00B469FC" w:rsidP="00B469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rPr>
          <w:rFonts w:eastAsia="Times New Roman"/>
          <w:lang w:eastAsia="en-AU"/>
        </w:rPr>
      </w:pPr>
      <w:r w:rsidRPr="00B469FC">
        <w:rPr>
          <w:rFonts w:eastAsia="Times New Roman"/>
          <w:lang w:eastAsia="en-AU"/>
        </w:rPr>
        <w:t>The information in the following summary is derived from conventional pharmacokinetic studies unless otherwise stated.</w:t>
      </w:r>
    </w:p>
    <w:p w:rsidR="00B469FC" w:rsidRPr="003C4050" w:rsidRDefault="00B469FC" w:rsidP="003C4050">
      <w:r w:rsidRPr="003C4050">
        <w:t>Plasma concentration analysis</w:t>
      </w:r>
      <w:r w:rsidR="007F3BA1" w:rsidRPr="003C4050">
        <w:t xml:space="preserve">: </w:t>
      </w:r>
      <w:r w:rsidRPr="003C4050">
        <w:t>DTZ, O-</w:t>
      </w:r>
      <w:proofErr w:type="spellStart"/>
      <w:r w:rsidRPr="003C4050">
        <w:t>desacetyldiltiazem</w:t>
      </w:r>
      <w:proofErr w:type="spellEnd"/>
      <w:r w:rsidRPr="003C4050">
        <w:t>, and N-</w:t>
      </w:r>
      <w:proofErr w:type="spellStart"/>
      <w:r w:rsidRPr="003C4050">
        <w:t>desmethyldiltiazem</w:t>
      </w:r>
      <w:proofErr w:type="spellEnd"/>
      <w:r w:rsidRPr="003C4050">
        <w:t xml:space="preserve"> </w:t>
      </w:r>
      <w:proofErr w:type="gramStart"/>
      <w:r w:rsidRPr="003C4050">
        <w:t>was</w:t>
      </w:r>
      <w:proofErr w:type="gramEnd"/>
      <w:r w:rsidRPr="003C4050">
        <w:t xml:space="preserve"> quantified in lithium heparinised human plasma samples using a validated LC-MS/MS method which had a quantifiable range of 0.100-50.0 ng/</w:t>
      </w:r>
      <w:proofErr w:type="spellStart"/>
      <w:r w:rsidRPr="003C4050">
        <w:t>mL.</w:t>
      </w:r>
      <w:proofErr w:type="spellEnd"/>
    </w:p>
    <w:p w:rsidR="00B469FC" w:rsidRPr="00B469FC" w:rsidRDefault="00B469FC" w:rsidP="003C4050">
      <w:pPr>
        <w:pStyle w:val="Heading4"/>
      </w:pPr>
      <w:bookmarkStart w:id="44" w:name="_Toc272414617"/>
      <w:bookmarkStart w:id="45" w:name="_Toc290888466"/>
      <w:bookmarkStart w:id="46" w:name="_Toc290888617"/>
      <w:bookmarkStart w:id="47" w:name="_Toc442436436"/>
      <w:r w:rsidRPr="00B469FC">
        <w:t>Physicochemical characteristics of the active substance</w:t>
      </w:r>
      <w:bookmarkEnd w:id="44"/>
      <w:bookmarkEnd w:id="45"/>
      <w:bookmarkEnd w:id="46"/>
      <w:bookmarkEnd w:id="47"/>
    </w:p>
    <w:p w:rsidR="00B469FC" w:rsidRPr="003C4050" w:rsidRDefault="00B469FC" w:rsidP="000A4E08">
      <w:pPr>
        <w:pStyle w:val="ListBullet"/>
        <w:rPr>
          <w:lang w:eastAsia="en-AU"/>
        </w:rPr>
      </w:pPr>
      <w:r w:rsidRPr="003C4050">
        <w:rPr>
          <w:lang w:eastAsia="en-AU"/>
        </w:rPr>
        <w:t xml:space="preserve">Chemical name: </w:t>
      </w:r>
      <w:proofErr w:type="spellStart"/>
      <w:r w:rsidRPr="003C4050">
        <w:rPr>
          <w:rFonts w:eastAsia="Times New Roman"/>
          <w:lang w:eastAsia="en-AU"/>
        </w:rPr>
        <w:t>Diltiazem</w:t>
      </w:r>
      <w:proofErr w:type="spellEnd"/>
      <w:r w:rsidRPr="003C4050">
        <w:rPr>
          <w:rFonts w:eastAsia="Times New Roman"/>
          <w:lang w:eastAsia="en-AU"/>
        </w:rPr>
        <w:t xml:space="preserve"> </w:t>
      </w:r>
      <w:proofErr w:type="spellStart"/>
      <w:r w:rsidRPr="003C4050">
        <w:rPr>
          <w:rFonts w:eastAsia="Times New Roman"/>
          <w:lang w:eastAsia="en-AU"/>
        </w:rPr>
        <w:t>HCl</w:t>
      </w:r>
      <w:proofErr w:type="spellEnd"/>
    </w:p>
    <w:p w:rsidR="00B469FC" w:rsidRPr="003C4050" w:rsidRDefault="00B469FC" w:rsidP="000A4E08">
      <w:pPr>
        <w:pStyle w:val="ListBullet"/>
        <w:rPr>
          <w:lang w:eastAsia="en-AU"/>
        </w:rPr>
      </w:pPr>
      <w:r w:rsidRPr="003C4050">
        <w:rPr>
          <w:lang w:eastAsia="en-AU"/>
        </w:rPr>
        <w:t xml:space="preserve">Empirical formula: </w:t>
      </w:r>
      <w:r w:rsidRPr="003C4050">
        <w:rPr>
          <w:rFonts w:eastAsia="Times New Roman"/>
          <w:lang w:eastAsia="en-AU"/>
        </w:rPr>
        <w:t>C</w:t>
      </w:r>
      <w:r w:rsidRPr="003C4050">
        <w:rPr>
          <w:rFonts w:eastAsia="Times New Roman"/>
          <w:vertAlign w:val="subscript"/>
          <w:lang w:eastAsia="en-AU"/>
        </w:rPr>
        <w:t>22</w:t>
      </w:r>
      <w:r w:rsidRPr="003C4050">
        <w:rPr>
          <w:rFonts w:eastAsia="Times New Roman"/>
          <w:lang w:eastAsia="en-AU"/>
        </w:rPr>
        <w:t>H</w:t>
      </w:r>
      <w:r w:rsidRPr="003C4050">
        <w:rPr>
          <w:rFonts w:eastAsia="Times New Roman"/>
          <w:vertAlign w:val="subscript"/>
          <w:lang w:eastAsia="en-AU"/>
        </w:rPr>
        <w:t>26</w:t>
      </w:r>
      <w:r w:rsidRPr="003C4050">
        <w:rPr>
          <w:rFonts w:eastAsia="Times New Roman"/>
          <w:lang w:eastAsia="en-AU"/>
        </w:rPr>
        <w:t>N</w:t>
      </w:r>
      <w:r w:rsidRPr="003C4050">
        <w:rPr>
          <w:rFonts w:eastAsia="Times New Roman"/>
          <w:vertAlign w:val="subscript"/>
          <w:lang w:eastAsia="en-AU"/>
        </w:rPr>
        <w:t>2</w:t>
      </w:r>
      <w:r w:rsidRPr="003C4050">
        <w:rPr>
          <w:rFonts w:eastAsia="Times New Roman"/>
          <w:lang w:eastAsia="en-AU"/>
        </w:rPr>
        <w:t>O</w:t>
      </w:r>
      <w:r w:rsidRPr="003C4050">
        <w:rPr>
          <w:rFonts w:eastAsia="Times New Roman"/>
          <w:vertAlign w:val="subscript"/>
          <w:lang w:eastAsia="en-AU"/>
        </w:rPr>
        <w:t>4</w:t>
      </w:r>
      <w:r w:rsidRPr="003C4050">
        <w:rPr>
          <w:rFonts w:eastAsia="Times New Roman"/>
          <w:lang w:eastAsia="en-AU"/>
        </w:rPr>
        <w:t>S.HCl</w:t>
      </w:r>
    </w:p>
    <w:p w:rsidR="00B469FC" w:rsidRPr="003C4050" w:rsidRDefault="00B469FC" w:rsidP="000A4E08">
      <w:pPr>
        <w:pStyle w:val="ListBullet"/>
        <w:rPr>
          <w:rFonts w:eastAsia="Times New Roman"/>
          <w:lang w:eastAsia="en-AU"/>
        </w:rPr>
      </w:pPr>
      <w:r w:rsidRPr="003C4050">
        <w:rPr>
          <w:lang w:eastAsia="en-AU"/>
        </w:rPr>
        <w:t xml:space="preserve">Molecular weight: </w:t>
      </w:r>
      <w:r w:rsidRPr="003C4050">
        <w:rPr>
          <w:rFonts w:eastAsia="Times New Roman"/>
          <w:lang w:eastAsia="en-AU"/>
        </w:rPr>
        <w:t>450.98</w:t>
      </w:r>
    </w:p>
    <w:p w:rsidR="00B469FC" w:rsidRPr="003C4050" w:rsidRDefault="00B469FC" w:rsidP="000A4E08">
      <w:pPr>
        <w:pStyle w:val="ListBullet"/>
        <w:rPr>
          <w:rFonts w:eastAsia="Times New Roman"/>
          <w:lang w:eastAsia="en-AU"/>
        </w:rPr>
      </w:pPr>
      <w:r w:rsidRPr="003C4050">
        <w:rPr>
          <w:rFonts w:eastAsia="Times New Roman"/>
          <w:lang w:eastAsia="en-AU"/>
        </w:rPr>
        <w:t>CAS Registry Number: 33286-22-5</w:t>
      </w:r>
    </w:p>
    <w:p w:rsidR="00B469FC" w:rsidRDefault="00B469FC" w:rsidP="00B469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rPr>
          <w:rFonts w:eastAsia="TimesNewRoman"/>
          <w:lang w:eastAsia="en-AU"/>
        </w:rPr>
      </w:pPr>
      <w:r w:rsidRPr="003C4050">
        <w:rPr>
          <w:rFonts w:eastAsia="TimesNewRoman"/>
          <w:lang w:eastAsia="en-AU"/>
        </w:rPr>
        <w:t>Structural formula</w:t>
      </w:r>
      <w:r w:rsidR="003C4050">
        <w:rPr>
          <w:rFonts w:eastAsia="TimesNewRoman"/>
          <w:lang w:eastAsia="en-AU"/>
        </w:rPr>
        <w:t xml:space="preserve"> </w:t>
      </w:r>
      <w:r w:rsidR="00350099">
        <w:rPr>
          <w:rFonts w:eastAsia="TimesNewRoman"/>
          <w:lang w:eastAsia="en-AU"/>
        </w:rPr>
        <w:t xml:space="preserve">is </w:t>
      </w:r>
      <w:r w:rsidR="003C4050">
        <w:rPr>
          <w:rFonts w:eastAsia="TimesNewRoman"/>
          <w:lang w:eastAsia="en-AU"/>
        </w:rPr>
        <w:t>shown in Figure 1.</w:t>
      </w:r>
    </w:p>
    <w:p w:rsidR="003C4050" w:rsidRPr="003C4050" w:rsidRDefault="003C4050" w:rsidP="00350099">
      <w:pPr>
        <w:pStyle w:val="FigureTitle"/>
        <w:rPr>
          <w:rFonts w:eastAsia="Times New Roman"/>
          <w:lang w:eastAsia="en-AU"/>
        </w:rPr>
      </w:pPr>
      <w:r>
        <w:rPr>
          <w:lang w:eastAsia="en-AU"/>
        </w:rPr>
        <w:t>Figure 1: Structural formula.</w:t>
      </w:r>
    </w:p>
    <w:p w:rsidR="00B469FC" w:rsidRPr="00B469FC" w:rsidRDefault="00B469FC" w:rsidP="00B469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rPr>
          <w:rFonts w:eastAsia="Times New Roman"/>
          <w:lang w:eastAsia="en-AU"/>
        </w:rPr>
      </w:pPr>
      <w:r w:rsidRPr="00B469FC">
        <w:rPr>
          <w:rFonts w:eastAsia="Times New Roman"/>
          <w:noProof/>
          <w:lang w:eastAsia="en-AU"/>
        </w:rPr>
        <w:drawing>
          <wp:inline distT="0" distB="0" distL="0" distR="0" wp14:anchorId="73B4E38D" wp14:editId="7D8A99D8">
            <wp:extent cx="2038350" cy="1306635"/>
            <wp:effectExtent l="0" t="0" r="0" b="8255"/>
            <wp:docPr id="1" name="Picture 1" descr="Figure 1: Structural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038350" cy="1306635"/>
                    </a:xfrm>
                    <a:prstGeom prst="rect">
                      <a:avLst/>
                    </a:prstGeom>
                  </pic:spPr>
                </pic:pic>
              </a:graphicData>
            </a:graphic>
          </wp:inline>
        </w:drawing>
      </w:r>
    </w:p>
    <w:p w:rsidR="00B469FC" w:rsidRPr="00B469FC" w:rsidRDefault="00B469FC" w:rsidP="00B469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rPr>
          <w:rFonts w:eastAsia="Times New Roman"/>
          <w:lang w:eastAsia="en-AU"/>
        </w:rPr>
      </w:pPr>
      <w:r w:rsidRPr="00B469FC">
        <w:rPr>
          <w:rFonts w:eastAsia="Times New Roman"/>
          <w:lang w:eastAsia="en-AU"/>
        </w:rPr>
        <w:t xml:space="preserve">ANOHEAL cream contains 20 mg/g </w:t>
      </w:r>
      <w:proofErr w:type="spellStart"/>
      <w:r w:rsidRPr="00B469FC">
        <w:rPr>
          <w:rFonts w:eastAsia="Times New Roman"/>
          <w:lang w:eastAsia="en-AU"/>
        </w:rPr>
        <w:t>diltiazem</w:t>
      </w:r>
      <w:proofErr w:type="spellEnd"/>
      <w:r w:rsidRPr="00B469FC">
        <w:rPr>
          <w:rFonts w:eastAsia="Times New Roman"/>
          <w:lang w:eastAsia="en-AU"/>
        </w:rPr>
        <w:t xml:space="preserve"> hydrochloride equivalent to 18.38 mg </w:t>
      </w:r>
      <w:proofErr w:type="spellStart"/>
      <w:r w:rsidRPr="00B469FC">
        <w:rPr>
          <w:rFonts w:eastAsia="Times New Roman"/>
          <w:lang w:eastAsia="en-AU"/>
        </w:rPr>
        <w:t>diltiazem</w:t>
      </w:r>
      <w:proofErr w:type="spellEnd"/>
      <w:r w:rsidRPr="00B469FC">
        <w:rPr>
          <w:rFonts w:eastAsia="Times New Roman"/>
          <w:lang w:eastAsia="en-AU"/>
        </w:rPr>
        <w:t xml:space="preserve"> base. </w:t>
      </w:r>
      <w:proofErr w:type="spellStart"/>
      <w:r w:rsidRPr="00B469FC">
        <w:rPr>
          <w:rFonts w:eastAsia="Times New Roman"/>
          <w:lang w:eastAsia="en-AU"/>
        </w:rPr>
        <w:t>Diltiazem</w:t>
      </w:r>
      <w:proofErr w:type="spellEnd"/>
      <w:r w:rsidRPr="00B469FC">
        <w:rPr>
          <w:rFonts w:eastAsia="Times New Roman"/>
          <w:lang w:eastAsia="en-AU"/>
        </w:rPr>
        <w:t xml:space="preserve"> hydrochloride is a white to off-white crystalline powder with a bitter taste. It is freely soluble in w</w:t>
      </w:r>
      <w:r w:rsidR="0039382D">
        <w:rPr>
          <w:rFonts w:eastAsia="Times New Roman"/>
          <w:lang w:eastAsia="en-AU"/>
        </w:rPr>
        <w:t>ater, methanol, and chloroform.</w:t>
      </w:r>
    </w:p>
    <w:p w:rsidR="00B469FC" w:rsidRPr="00B469FC" w:rsidRDefault="00B469FC" w:rsidP="000A4E08">
      <w:pPr>
        <w:pStyle w:val="Heading4"/>
      </w:pPr>
      <w:bookmarkStart w:id="48" w:name="_Ref271189106"/>
      <w:bookmarkStart w:id="49" w:name="_Ref271189143"/>
      <w:bookmarkStart w:id="50" w:name="_Toc272414618"/>
      <w:bookmarkStart w:id="51" w:name="_Toc290888467"/>
      <w:bookmarkStart w:id="52" w:name="_Toc290888618"/>
      <w:bookmarkStart w:id="53" w:name="_Toc442436437"/>
      <w:r w:rsidRPr="00B469FC">
        <w:t xml:space="preserve">Pharmacokinetics in </w:t>
      </w:r>
      <w:bookmarkEnd w:id="48"/>
      <w:bookmarkEnd w:id="49"/>
      <w:bookmarkEnd w:id="50"/>
      <w:bookmarkEnd w:id="51"/>
      <w:bookmarkEnd w:id="52"/>
      <w:r w:rsidRPr="00B469FC">
        <w:t>the target population</w:t>
      </w:r>
      <w:bookmarkEnd w:id="53"/>
    </w:p>
    <w:p w:rsidR="00B469FC" w:rsidRPr="000A4E08" w:rsidRDefault="00B469FC" w:rsidP="000A4E08">
      <w:r w:rsidRPr="000A4E08">
        <w:t xml:space="preserve">No dedicated PK trials examined the PKs of DTZ cream in healthy subjects; therefore, the following discussion will focus on the two PK/PD studies (VEN307-PK-001 and SC00802) undertaken in the target population (i.e. patients with anal fissure). Of these two studies, only Study VEN307-PK001 </w:t>
      </w:r>
      <w:r w:rsidRPr="000A4E08">
        <w:lastRenderedPageBreak/>
        <w:t>examined the PKs of DTZ following administration of the formulation proposed for commercialisation.</w:t>
      </w:r>
    </w:p>
    <w:p w:rsidR="00B469FC" w:rsidRPr="00B469FC" w:rsidRDefault="00B469FC" w:rsidP="000A4E08">
      <w:pPr>
        <w:pStyle w:val="Heading5"/>
      </w:pPr>
      <w:bookmarkStart w:id="54" w:name="_Toc272414619"/>
      <w:bookmarkStart w:id="55" w:name="_Toc290888468"/>
      <w:bookmarkStart w:id="56" w:name="_Toc290888619"/>
      <w:bookmarkStart w:id="57" w:name="_Toc442436438"/>
      <w:r w:rsidRPr="00B469FC">
        <w:t>Absorption</w:t>
      </w:r>
      <w:bookmarkEnd w:id="54"/>
      <w:bookmarkEnd w:id="55"/>
      <w:bookmarkEnd w:id="56"/>
      <w:bookmarkEnd w:id="57"/>
    </w:p>
    <w:p w:rsidR="00B469FC" w:rsidRPr="00B469FC" w:rsidRDefault="00B469FC" w:rsidP="000A4E08">
      <w:pPr>
        <w:pStyle w:val="Heading6"/>
        <w:rPr>
          <w:lang w:eastAsia="en-AU"/>
        </w:rPr>
      </w:pPr>
      <w:r w:rsidRPr="00B469FC">
        <w:rPr>
          <w:lang w:eastAsia="en-AU"/>
        </w:rPr>
        <w:t>Sites and mechanisms of absorption</w:t>
      </w:r>
    </w:p>
    <w:p w:rsidR="00B469FC" w:rsidRPr="00B469FC" w:rsidRDefault="00B469FC" w:rsidP="00B469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rPr>
          <w:rFonts w:eastAsia="Times New Roman"/>
          <w:lang w:eastAsia="en-AU"/>
        </w:rPr>
      </w:pPr>
      <w:r w:rsidRPr="00B469FC">
        <w:rPr>
          <w:rFonts w:eastAsia="Times New Roman"/>
          <w:lang w:eastAsia="en-AU"/>
        </w:rPr>
        <w:t xml:space="preserve">ANOHEAL 2% w/w cream is topically administered to the perianal area. Following administration of the formulation proposed for marketing, at a dose of </w:t>
      </w:r>
      <w:r w:rsidRPr="00B469FC">
        <w:rPr>
          <w:rFonts w:eastAsia="Calibri" w:cs="Arial"/>
          <w:color w:val="000000"/>
        </w:rPr>
        <w:t xml:space="preserve">approximately 8.5 mg DTZ, the median </w:t>
      </w:r>
      <w:proofErr w:type="spellStart"/>
      <w:r w:rsidRPr="00B469FC">
        <w:rPr>
          <w:rFonts w:eastAsia="Calibri" w:cs="Arial"/>
          <w:color w:val="000000"/>
        </w:rPr>
        <w:t>Tmax</w:t>
      </w:r>
      <w:proofErr w:type="spellEnd"/>
      <w:r w:rsidRPr="00B469FC">
        <w:rPr>
          <w:rFonts w:eastAsia="Calibri" w:cs="Arial"/>
          <w:color w:val="000000"/>
        </w:rPr>
        <w:t xml:space="preserve"> (range) </w:t>
      </w:r>
      <w:r w:rsidRPr="00B469FC">
        <w:rPr>
          <w:rFonts w:eastAsia="Calibri"/>
          <w:lang w:eastAsia="en-AU"/>
        </w:rPr>
        <w:t>oc</w:t>
      </w:r>
      <w:r w:rsidR="000A4E08">
        <w:rPr>
          <w:rFonts w:eastAsia="Calibri"/>
          <w:lang w:eastAsia="en-AU"/>
        </w:rPr>
        <w:t>curred at 4.04 h (1.00-24.0 h).</w:t>
      </w:r>
    </w:p>
    <w:p w:rsidR="00B469FC" w:rsidRPr="00B469FC" w:rsidRDefault="00B469FC" w:rsidP="000A4E08">
      <w:pPr>
        <w:pStyle w:val="Heading5"/>
      </w:pPr>
      <w:bookmarkStart w:id="58" w:name="_Toc241374287"/>
      <w:bookmarkStart w:id="59" w:name="_Toc272414620"/>
      <w:bookmarkStart w:id="60" w:name="_Toc290888469"/>
      <w:bookmarkStart w:id="61" w:name="_Toc290888620"/>
      <w:bookmarkStart w:id="62" w:name="_Toc442436439"/>
      <w:r w:rsidRPr="00B469FC">
        <w:t>Bioavailability</w:t>
      </w:r>
      <w:bookmarkEnd w:id="58"/>
      <w:bookmarkEnd w:id="59"/>
      <w:bookmarkEnd w:id="60"/>
      <w:bookmarkEnd w:id="61"/>
      <w:bookmarkEnd w:id="62"/>
    </w:p>
    <w:p w:rsidR="00B469FC" w:rsidRPr="00B469FC" w:rsidRDefault="00B469FC" w:rsidP="000A4E08">
      <w:pPr>
        <w:pStyle w:val="Heading6"/>
        <w:rPr>
          <w:lang w:eastAsia="en-AU"/>
        </w:rPr>
      </w:pPr>
      <w:r w:rsidRPr="00B469FC">
        <w:rPr>
          <w:lang w:eastAsia="en-AU"/>
        </w:rPr>
        <w:t>Absolute bioavailability</w:t>
      </w:r>
    </w:p>
    <w:p w:rsidR="00B469FC" w:rsidRPr="00B469FC" w:rsidRDefault="00B469FC" w:rsidP="00B469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rPr>
          <w:rFonts w:eastAsia="Times New Roman"/>
          <w:lang w:eastAsia="en-AU"/>
        </w:rPr>
      </w:pPr>
      <w:r w:rsidRPr="00B469FC">
        <w:rPr>
          <w:rFonts w:eastAsia="Times New Roman"/>
          <w:lang w:eastAsia="en-AU"/>
        </w:rPr>
        <w:t xml:space="preserve">No clinical studies contained in this submission examined the absolute bioavailability of ANOHEAL cream. </w:t>
      </w:r>
      <w:r w:rsidRPr="00B448EA">
        <w:rPr>
          <w:rFonts w:eastAsia="Times New Roman"/>
          <w:lang w:eastAsia="en-AU"/>
        </w:rPr>
        <w:t>However, Study VEN307-PK-001 compared</w:t>
      </w:r>
      <w:r w:rsidRPr="00B469FC">
        <w:rPr>
          <w:rFonts w:eastAsia="Times New Roman"/>
          <w:lang w:eastAsia="en-AU"/>
        </w:rPr>
        <w:t xml:space="preserve"> the PKs of DTZ following a single </w:t>
      </w:r>
      <w:r w:rsidRPr="00B469FC">
        <w:rPr>
          <w:rFonts w:eastAsia="Calibri"/>
          <w:lang w:eastAsia="en-AU"/>
        </w:rPr>
        <w:t>perianal</w:t>
      </w:r>
      <w:r w:rsidRPr="00B469FC">
        <w:rPr>
          <w:rFonts w:eastAsia="Times New Roman"/>
          <w:lang w:eastAsia="en-AU"/>
        </w:rPr>
        <w:t xml:space="preserve"> application of ANOHEAL cream (a dose of approximately 8.5 mg) and following a single oral tablet dose of </w:t>
      </w:r>
      <w:r w:rsidRPr="00B469FC">
        <w:rPr>
          <w:rFonts w:eastAsia="Calibri" w:cs="Arial"/>
          <w:color w:val="000000"/>
        </w:rPr>
        <w:t xml:space="preserve">120 mg DTZ. The </w:t>
      </w:r>
      <w:proofErr w:type="spellStart"/>
      <w:r w:rsidRPr="00B469FC">
        <w:rPr>
          <w:rFonts w:eastAsia="Calibri" w:cs="Arial"/>
          <w:color w:val="000000"/>
        </w:rPr>
        <w:t>Cmax</w:t>
      </w:r>
      <w:proofErr w:type="spellEnd"/>
      <w:r w:rsidRPr="00B469FC">
        <w:rPr>
          <w:rFonts w:eastAsia="Calibri" w:cs="Arial"/>
          <w:color w:val="000000"/>
        </w:rPr>
        <w:t xml:space="preserve"> values following administration of the cream and tablet were </w:t>
      </w:r>
      <w:proofErr w:type="gramStart"/>
      <w:r w:rsidRPr="00B469FC">
        <w:rPr>
          <w:rFonts w:eastAsia="Calibri" w:cs="Arial"/>
          <w:color w:val="000000"/>
        </w:rPr>
        <w:t>0.796 ng/mL</w:t>
      </w:r>
      <w:proofErr w:type="gramEnd"/>
      <w:r w:rsidRPr="00B469FC">
        <w:rPr>
          <w:rFonts w:eastAsia="Calibri" w:cs="Arial"/>
          <w:color w:val="000000"/>
        </w:rPr>
        <w:t xml:space="preserve"> and 130 ng/mL, respectively, and the corresponding AUC</w:t>
      </w:r>
      <w:r w:rsidRPr="00B469FC">
        <w:rPr>
          <w:rFonts w:eastAsia="Calibri" w:cs="Arial"/>
          <w:color w:val="000000"/>
          <w:vertAlign w:val="subscript"/>
        </w:rPr>
        <w:t>0-inf</w:t>
      </w:r>
      <w:r w:rsidRPr="00B469FC">
        <w:rPr>
          <w:rFonts w:eastAsia="Calibri" w:cs="Arial"/>
          <w:color w:val="000000"/>
        </w:rPr>
        <w:t xml:space="preserve"> values were 20 </w:t>
      </w:r>
      <w:proofErr w:type="spellStart"/>
      <w:r w:rsidRPr="00B469FC">
        <w:rPr>
          <w:rFonts w:eastAsia="Calibri" w:cs="Arial"/>
          <w:color w:val="000000"/>
        </w:rPr>
        <w:t>ng.h</w:t>
      </w:r>
      <w:proofErr w:type="spellEnd"/>
      <w:r w:rsidRPr="00B469FC">
        <w:rPr>
          <w:rFonts w:eastAsia="Calibri" w:cs="Arial"/>
          <w:color w:val="000000"/>
        </w:rPr>
        <w:t xml:space="preserve">/mL and </w:t>
      </w:r>
      <w:r w:rsidR="00B448EA">
        <w:rPr>
          <w:rFonts w:eastAsia="Calibri" w:cs="Arial"/>
          <w:color w:val="000000"/>
        </w:rPr>
        <w:t xml:space="preserve">943 </w:t>
      </w:r>
      <w:proofErr w:type="spellStart"/>
      <w:r w:rsidR="00B448EA">
        <w:rPr>
          <w:rFonts w:eastAsia="Calibri" w:cs="Arial"/>
          <w:color w:val="000000"/>
        </w:rPr>
        <w:t>ng.h</w:t>
      </w:r>
      <w:proofErr w:type="spellEnd"/>
      <w:r w:rsidR="00B448EA">
        <w:rPr>
          <w:rFonts w:eastAsia="Calibri" w:cs="Arial"/>
          <w:color w:val="000000"/>
        </w:rPr>
        <w:t>/mL, respectively.</w:t>
      </w:r>
      <w:r w:rsidRPr="00B469FC">
        <w:rPr>
          <w:rFonts w:eastAsia="Calibri" w:cs="Arial"/>
          <w:color w:val="000000"/>
        </w:rPr>
        <w:t xml:space="preserve"> The t</w:t>
      </w:r>
      <w:r w:rsidRPr="00B469FC">
        <w:rPr>
          <w:rFonts w:eastAsia="Calibri" w:cs="Arial"/>
          <w:color w:val="000000"/>
          <w:vertAlign w:val="subscript"/>
        </w:rPr>
        <w:t>1/2</w:t>
      </w:r>
      <w:r w:rsidRPr="00B469FC">
        <w:rPr>
          <w:rFonts w:eastAsia="Calibri" w:cs="Arial"/>
          <w:color w:val="000000"/>
        </w:rPr>
        <w:t xml:space="preserve"> and CL/F values for ANOHEAL cream were 21.2 h and 763 L/h, respectively and for the DTZ tablet were 7.75 h and 150 L/h, respectively. Therefore, </w:t>
      </w:r>
      <w:r w:rsidRPr="00B469FC">
        <w:rPr>
          <w:rFonts w:eastAsia="Times New Roman"/>
          <w:lang w:eastAsia="en-AU"/>
        </w:rPr>
        <w:t xml:space="preserve">based on the ratio of the dose-adjusted AUC for a single topical administration to the AUC for single oral administration, </w:t>
      </w:r>
      <w:r w:rsidRPr="00B469FC">
        <w:rPr>
          <w:rFonts w:eastAsia="Calibri" w:cs="Arial"/>
          <w:color w:val="000000"/>
        </w:rPr>
        <w:t>the</w:t>
      </w:r>
      <w:r w:rsidRPr="00B469FC">
        <w:rPr>
          <w:rFonts w:eastAsia="Times New Roman"/>
          <w:lang w:eastAsia="en-AU"/>
        </w:rPr>
        <w:t xml:space="preserve"> relative bioavailability of DTZ following a single topical admini</w:t>
      </w:r>
      <w:r w:rsidR="0039382D">
        <w:rPr>
          <w:rFonts w:eastAsia="Times New Roman"/>
          <w:lang w:eastAsia="en-AU"/>
        </w:rPr>
        <w:t>stration was approximately 30%.</w:t>
      </w:r>
    </w:p>
    <w:p w:rsidR="00B469FC" w:rsidRPr="00B469FC" w:rsidRDefault="00B469FC" w:rsidP="00892075">
      <w:pPr>
        <w:pStyle w:val="Heading6"/>
        <w:rPr>
          <w:lang w:eastAsia="en-AU"/>
        </w:rPr>
      </w:pPr>
      <w:r w:rsidRPr="00B469FC">
        <w:rPr>
          <w:lang w:eastAsia="en-AU"/>
        </w:rPr>
        <w:t xml:space="preserve">Bioavailability relative to an oral solution or </w:t>
      </w:r>
      <w:proofErr w:type="spellStart"/>
      <w:r w:rsidRPr="00B469FC">
        <w:rPr>
          <w:lang w:eastAsia="en-AU"/>
        </w:rPr>
        <w:t>micronised</w:t>
      </w:r>
      <w:proofErr w:type="spellEnd"/>
      <w:r w:rsidRPr="00B469FC">
        <w:rPr>
          <w:lang w:eastAsia="en-AU"/>
        </w:rPr>
        <w:t xml:space="preserve"> suspension</w:t>
      </w:r>
    </w:p>
    <w:p w:rsidR="00B469FC" w:rsidRPr="00B469FC" w:rsidRDefault="00B469FC" w:rsidP="00B469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rPr>
          <w:rFonts w:eastAsia="Times New Roman"/>
          <w:lang w:eastAsia="en-AU"/>
        </w:rPr>
      </w:pPr>
      <w:r w:rsidRPr="00B469FC">
        <w:rPr>
          <w:rFonts w:eastAsia="Times New Roman"/>
          <w:lang w:eastAsia="en-AU"/>
        </w:rPr>
        <w:t>Not applicable.</w:t>
      </w:r>
    </w:p>
    <w:p w:rsidR="00B469FC" w:rsidRPr="00B469FC" w:rsidRDefault="00B469FC" w:rsidP="00892075">
      <w:pPr>
        <w:pStyle w:val="Heading6"/>
        <w:rPr>
          <w:lang w:eastAsia="en-AU"/>
        </w:rPr>
      </w:pPr>
      <w:r w:rsidRPr="00B469FC">
        <w:rPr>
          <w:lang w:eastAsia="en-AU"/>
        </w:rPr>
        <w:t>Bioequivalence of clinical trial and market formulations</w:t>
      </w:r>
    </w:p>
    <w:p w:rsidR="00B469FC" w:rsidRPr="00892075" w:rsidRDefault="00B469FC" w:rsidP="00B469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rPr>
          <w:rFonts w:eastAsia="Times New Roman"/>
          <w:lang w:eastAsia="en-AU"/>
        </w:rPr>
      </w:pPr>
      <w:r w:rsidRPr="00892075">
        <w:rPr>
          <w:rFonts w:eastAsia="Times New Roman"/>
          <w:lang w:eastAsia="en-AU"/>
        </w:rPr>
        <w:t xml:space="preserve">No clinical studies directly compared the PKs of the cream formulation proposed for commercialisation and used in Study VEN307-PK-001 with the formulation used in Study SC00802 or the other formulations described in the </w:t>
      </w:r>
      <w:r w:rsidR="00E80FB0">
        <w:rPr>
          <w:rFonts w:eastAsia="Times New Roman"/>
          <w:lang w:eastAsia="en-AU"/>
        </w:rPr>
        <w:t>“</w:t>
      </w:r>
      <w:r w:rsidRPr="00892075">
        <w:rPr>
          <w:rFonts w:eastAsia="Times New Roman"/>
          <w:lang w:eastAsia="en-AU"/>
        </w:rPr>
        <w:t>Formulation Development</w:t>
      </w:r>
      <w:r w:rsidR="00E80FB0">
        <w:rPr>
          <w:rFonts w:eastAsia="Times New Roman"/>
          <w:lang w:eastAsia="en-AU"/>
        </w:rPr>
        <w:t>”</w:t>
      </w:r>
      <w:r w:rsidRPr="00892075">
        <w:rPr>
          <w:rFonts w:eastAsia="Times New Roman"/>
          <w:lang w:eastAsia="en-AU"/>
        </w:rPr>
        <w:t xml:space="preserve"> section of this report. However, the skin permeability of the proposed commercial formulation (#3/78/4/D3), together with a similar formulation without propylene glycol (BD26/15), and a non-aqueous formulation (3/65) was measured in two</w:t>
      </w:r>
      <w:r w:rsidRPr="00892075">
        <w:rPr>
          <w:rFonts w:eastAsia="Times New Roman"/>
          <w:i/>
          <w:lang w:eastAsia="en-AU"/>
        </w:rPr>
        <w:t xml:space="preserve"> in vitro </w:t>
      </w:r>
      <w:r w:rsidRPr="00892075">
        <w:rPr>
          <w:rFonts w:eastAsia="Times New Roman"/>
          <w:lang w:eastAsia="en-AU"/>
        </w:rPr>
        <w:t xml:space="preserve">studies (AX205 and AX562) using samples of human breast skin obtained following reconstruction/cosmetic surgery. In these studies epidermal preparations were mounted to form a barrier between the two chambers of a diffusion cell. The DTZ test formulation was then applied to the outer surface of the stratum </w:t>
      </w:r>
      <w:proofErr w:type="spellStart"/>
      <w:r w:rsidRPr="00892075">
        <w:rPr>
          <w:rFonts w:eastAsia="Times New Roman"/>
          <w:lang w:eastAsia="en-AU"/>
        </w:rPr>
        <w:t>corneum</w:t>
      </w:r>
      <w:proofErr w:type="spellEnd"/>
      <w:r w:rsidRPr="00892075">
        <w:rPr>
          <w:rFonts w:eastAsia="Times New Roman"/>
          <w:lang w:eastAsia="en-AU"/>
        </w:rPr>
        <w:t xml:space="preserve"> and the concentration of DTZ in the receptor chamber was measured at various time points. The results indicated that the proposed commercial formulation had the best permeability and that the aqueous-based formulation without propylene glycol had better permeability th</w:t>
      </w:r>
      <w:r w:rsidR="00892075" w:rsidRPr="00892075">
        <w:rPr>
          <w:rFonts w:eastAsia="Times New Roman"/>
          <w:lang w:eastAsia="en-AU"/>
        </w:rPr>
        <w:t>an the non-aqueous formulation</w:t>
      </w:r>
      <w:r w:rsidRPr="00892075">
        <w:rPr>
          <w:rFonts w:eastAsia="Times New Roman"/>
          <w:lang w:eastAsia="en-AU"/>
        </w:rPr>
        <w:t xml:space="preserve">. A third </w:t>
      </w:r>
      <w:r w:rsidRPr="00892075">
        <w:rPr>
          <w:rFonts w:eastAsia="Times New Roman"/>
          <w:i/>
          <w:lang w:eastAsia="en-AU"/>
        </w:rPr>
        <w:t>in vitro</w:t>
      </w:r>
      <w:r w:rsidRPr="00892075">
        <w:rPr>
          <w:rFonts w:eastAsia="Times New Roman"/>
          <w:lang w:eastAsia="en-AU"/>
        </w:rPr>
        <w:t xml:space="preserve"> study (S05/01/02), which utilised a similar methodology to that described above, compared the proposed commercial DTZ formulation (3/78/4/D3) to another aqueous formulation (DA16) at the proposed dosage strength of 2% w/w. As in the previous </w:t>
      </w:r>
      <w:r w:rsidRPr="00892075">
        <w:rPr>
          <w:rFonts w:eastAsia="Times New Roman"/>
          <w:i/>
          <w:lang w:eastAsia="en-AU"/>
        </w:rPr>
        <w:t xml:space="preserve">in vitro </w:t>
      </w:r>
      <w:r w:rsidRPr="00892075">
        <w:rPr>
          <w:rFonts w:eastAsia="Times New Roman"/>
          <w:lang w:eastAsia="en-AU"/>
        </w:rPr>
        <w:t>studies</w:t>
      </w:r>
      <w:r w:rsidR="00FE1DF4">
        <w:rPr>
          <w:rFonts w:eastAsia="Times New Roman"/>
          <w:lang w:eastAsia="en-AU"/>
        </w:rPr>
        <w:t>,</w:t>
      </w:r>
      <w:r w:rsidRPr="00892075">
        <w:rPr>
          <w:rFonts w:eastAsia="Times New Roman"/>
          <w:lang w:eastAsia="en-AU"/>
        </w:rPr>
        <w:t xml:space="preserve"> the proposed commercial formulation demonstrated higher skin permeability than the other aqueous formulation at </w:t>
      </w:r>
      <w:r w:rsidR="00892075" w:rsidRPr="00892075">
        <w:rPr>
          <w:rFonts w:eastAsia="Times New Roman"/>
          <w:lang w:eastAsia="en-AU"/>
        </w:rPr>
        <w:t>the three time points measured</w:t>
      </w:r>
      <w:r w:rsidRPr="00892075">
        <w:rPr>
          <w:rFonts w:eastAsia="Times New Roman"/>
          <w:lang w:eastAsia="en-AU"/>
        </w:rPr>
        <w:t>.</w:t>
      </w:r>
    </w:p>
    <w:p w:rsidR="00B469FC" w:rsidRPr="00B469FC" w:rsidRDefault="00B469FC" w:rsidP="009A3E43">
      <w:pPr>
        <w:pStyle w:val="Heading6"/>
        <w:rPr>
          <w:lang w:eastAsia="en-AU"/>
        </w:rPr>
      </w:pPr>
      <w:r w:rsidRPr="00B469FC">
        <w:rPr>
          <w:lang w:eastAsia="en-AU"/>
        </w:rPr>
        <w:t>Bioequivalence of different dosage forms and strengths</w:t>
      </w:r>
    </w:p>
    <w:p w:rsidR="00B469FC" w:rsidRPr="009A3E43" w:rsidRDefault="00B469FC" w:rsidP="009A3E43">
      <w:r w:rsidRPr="009A3E43">
        <w:t xml:space="preserve">Only </w:t>
      </w:r>
      <w:proofErr w:type="gramStart"/>
      <w:r w:rsidRPr="009A3E43">
        <w:t>a single</w:t>
      </w:r>
      <w:proofErr w:type="gramEnd"/>
      <w:r w:rsidRPr="009A3E43">
        <w:t xml:space="preserve"> dosage strength is proposed for marketing (i.e. 2% w/w cream).</w:t>
      </w:r>
    </w:p>
    <w:p w:rsidR="00B469FC" w:rsidRPr="00B469FC" w:rsidRDefault="00B469FC" w:rsidP="009A3E43">
      <w:pPr>
        <w:pStyle w:val="Heading6"/>
        <w:rPr>
          <w:lang w:eastAsia="en-AU"/>
        </w:rPr>
      </w:pPr>
      <w:r w:rsidRPr="00B469FC">
        <w:rPr>
          <w:lang w:eastAsia="en-AU"/>
        </w:rPr>
        <w:t>Bioequivalence to relevant registered products</w:t>
      </w:r>
    </w:p>
    <w:p w:rsidR="00B469FC" w:rsidRPr="00B469FC" w:rsidRDefault="00B469FC" w:rsidP="00B469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rPr>
          <w:rFonts w:eastAsia="Times New Roman"/>
          <w:lang w:eastAsia="en-AU"/>
        </w:rPr>
      </w:pPr>
      <w:r w:rsidRPr="00B469FC">
        <w:rPr>
          <w:rFonts w:eastAsia="Times New Roman"/>
          <w:lang w:eastAsia="en-AU"/>
        </w:rPr>
        <w:t>Not applicable.</w:t>
      </w:r>
    </w:p>
    <w:p w:rsidR="00B469FC" w:rsidRPr="00B469FC" w:rsidRDefault="00B469FC" w:rsidP="009A3E43">
      <w:pPr>
        <w:pStyle w:val="Heading6"/>
        <w:rPr>
          <w:lang w:eastAsia="en-AU"/>
        </w:rPr>
      </w:pPr>
      <w:r w:rsidRPr="00B469FC">
        <w:rPr>
          <w:lang w:eastAsia="en-AU"/>
        </w:rPr>
        <w:t>Influence of food</w:t>
      </w:r>
    </w:p>
    <w:p w:rsidR="00B469FC" w:rsidRPr="00B469FC" w:rsidRDefault="00B469FC" w:rsidP="00B469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rPr>
          <w:rFonts w:eastAsia="Times New Roman"/>
          <w:lang w:eastAsia="en-AU"/>
        </w:rPr>
      </w:pPr>
      <w:r w:rsidRPr="00B469FC">
        <w:rPr>
          <w:rFonts w:eastAsia="Times New Roman"/>
          <w:lang w:eastAsia="en-AU"/>
        </w:rPr>
        <w:t>Not applicable.</w:t>
      </w:r>
    </w:p>
    <w:p w:rsidR="00B469FC" w:rsidRPr="00B469FC" w:rsidRDefault="00B469FC" w:rsidP="009A3E43">
      <w:pPr>
        <w:pStyle w:val="Heading6"/>
        <w:rPr>
          <w:lang w:eastAsia="en-AU"/>
        </w:rPr>
      </w:pPr>
      <w:r w:rsidRPr="00B469FC">
        <w:rPr>
          <w:lang w:eastAsia="en-AU"/>
        </w:rPr>
        <w:lastRenderedPageBreak/>
        <w:t>Dose proportionality</w:t>
      </w:r>
    </w:p>
    <w:p w:rsidR="00B469FC" w:rsidRPr="00B469FC" w:rsidRDefault="00B469FC" w:rsidP="00B469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rPr>
          <w:rFonts w:eastAsia="Times New Roman" w:cs="Calibri"/>
          <w:lang w:eastAsia="en-AU"/>
        </w:rPr>
      </w:pPr>
      <w:r w:rsidRPr="00B469FC">
        <w:rPr>
          <w:rFonts w:eastAsia="Times New Roman"/>
          <w:lang w:eastAsia="en-AU"/>
        </w:rPr>
        <w:t xml:space="preserve">No dedicated PK/PD studies examined dose proportionality following application of the formulation proposed for </w:t>
      </w:r>
      <w:r w:rsidRPr="009A3E43">
        <w:rPr>
          <w:rFonts w:eastAsia="Times New Roman"/>
          <w:lang w:eastAsia="en-AU"/>
        </w:rPr>
        <w:t xml:space="preserve">marketing. However, Study </w:t>
      </w:r>
      <w:r w:rsidR="009A3E43" w:rsidRPr="009A3E43">
        <w:rPr>
          <w:rFonts w:eastAsia="Times New Roman" w:cs="Calibri"/>
          <w:lang w:eastAsia="en-AU"/>
        </w:rPr>
        <w:t>SC00802</w:t>
      </w:r>
      <w:r w:rsidRPr="009A3E43">
        <w:rPr>
          <w:rFonts w:eastAsia="Times New Roman" w:cs="Calibri"/>
          <w:lang w:eastAsia="en-AU"/>
        </w:rPr>
        <w:t>, which utilised</w:t>
      </w:r>
      <w:r w:rsidRPr="00B469FC">
        <w:rPr>
          <w:rFonts w:eastAsia="Times New Roman" w:cs="Calibri"/>
          <w:lang w:eastAsia="en-AU"/>
        </w:rPr>
        <w:t xml:space="preserve"> a formulation that contained </w:t>
      </w:r>
      <w:r w:rsidRPr="00B469FC">
        <w:rPr>
          <w:rFonts w:eastAsia="Times New Roman"/>
          <w:lang w:eastAsia="en-AU"/>
        </w:rPr>
        <w:t xml:space="preserve">minor differences in the amounts of propylene glycol and liquid paraffin and also contained </w:t>
      </w:r>
      <w:proofErr w:type="spellStart"/>
      <w:r w:rsidRPr="00B469FC">
        <w:rPr>
          <w:rFonts w:eastAsia="Times New Roman"/>
          <w:lang w:eastAsia="en-AU"/>
        </w:rPr>
        <w:t>povidone</w:t>
      </w:r>
      <w:proofErr w:type="spellEnd"/>
      <w:r w:rsidRPr="00B469FC">
        <w:rPr>
          <w:rFonts w:eastAsia="Times New Roman"/>
          <w:lang w:eastAsia="en-AU"/>
        </w:rPr>
        <w:t xml:space="preserve">, </w:t>
      </w:r>
      <w:r w:rsidRPr="00B469FC">
        <w:rPr>
          <w:rFonts w:eastAsia="Times New Roman" w:cs="Calibri"/>
          <w:lang w:eastAsia="en-AU"/>
        </w:rPr>
        <w:t xml:space="preserve">examined the PKs of DTZ following a single application of 2%, 4% or 8% w/w cream to patients with AF. Following administration of the 2%, 4% and 8% w/w cream, the mean </w:t>
      </w:r>
      <w:proofErr w:type="spellStart"/>
      <w:r w:rsidRPr="00B469FC">
        <w:rPr>
          <w:rFonts w:eastAsia="Times New Roman" w:cs="Calibri"/>
          <w:lang w:eastAsia="en-AU"/>
        </w:rPr>
        <w:t>Cmax</w:t>
      </w:r>
      <w:proofErr w:type="spellEnd"/>
      <w:r w:rsidRPr="00B469FC">
        <w:rPr>
          <w:rFonts w:eastAsia="Times New Roman" w:cs="Calibri"/>
          <w:lang w:eastAsia="en-AU"/>
        </w:rPr>
        <w:t xml:space="preserve"> values for DTZ were 1.8, 2.68 and </w:t>
      </w:r>
      <w:proofErr w:type="gramStart"/>
      <w:r w:rsidRPr="00B469FC">
        <w:rPr>
          <w:rFonts w:eastAsia="Times New Roman" w:cs="Calibri"/>
          <w:lang w:eastAsia="en-AU"/>
        </w:rPr>
        <w:t>4.68 ng/mL, respectively,</w:t>
      </w:r>
      <w:proofErr w:type="gramEnd"/>
      <w:r w:rsidRPr="00B469FC">
        <w:rPr>
          <w:rFonts w:eastAsia="Times New Roman" w:cs="Calibri"/>
          <w:lang w:eastAsia="en-AU"/>
        </w:rPr>
        <w:t xml:space="preserve"> and the mean AUC</w:t>
      </w:r>
      <w:r w:rsidRPr="00B469FC">
        <w:rPr>
          <w:rFonts w:eastAsia="Times New Roman" w:cs="Calibri"/>
          <w:vertAlign w:val="subscript"/>
          <w:lang w:eastAsia="en-AU"/>
        </w:rPr>
        <w:t>0-inf</w:t>
      </w:r>
      <w:r w:rsidRPr="00B469FC">
        <w:rPr>
          <w:rFonts w:eastAsia="Times New Roman" w:cs="Calibri"/>
          <w:lang w:eastAsia="en-AU"/>
        </w:rPr>
        <w:t xml:space="preserve"> values were 41.7, 48.9 a</w:t>
      </w:r>
      <w:r w:rsidR="009A3E43">
        <w:rPr>
          <w:rFonts w:eastAsia="Times New Roman" w:cs="Calibri"/>
          <w:lang w:eastAsia="en-AU"/>
        </w:rPr>
        <w:t xml:space="preserve">nd 227.1 </w:t>
      </w:r>
      <w:proofErr w:type="spellStart"/>
      <w:r w:rsidR="009A3E43">
        <w:rPr>
          <w:rFonts w:eastAsia="Times New Roman" w:cs="Calibri"/>
          <w:lang w:eastAsia="en-AU"/>
        </w:rPr>
        <w:t>ng.h</w:t>
      </w:r>
      <w:proofErr w:type="spellEnd"/>
      <w:r w:rsidR="009A3E43">
        <w:rPr>
          <w:rFonts w:eastAsia="Times New Roman" w:cs="Calibri"/>
          <w:lang w:eastAsia="en-AU"/>
        </w:rPr>
        <w:t>/mL, respectively</w:t>
      </w:r>
      <w:r w:rsidRPr="00B469FC">
        <w:rPr>
          <w:rFonts w:eastAsia="Times New Roman" w:cs="Calibri"/>
          <w:lang w:eastAsia="en-AU"/>
        </w:rPr>
        <w:t xml:space="preserve">. Median </w:t>
      </w:r>
      <w:proofErr w:type="spellStart"/>
      <w:r w:rsidRPr="00B469FC">
        <w:rPr>
          <w:rFonts w:eastAsia="Times New Roman" w:cs="Calibri"/>
          <w:lang w:eastAsia="en-AU"/>
        </w:rPr>
        <w:t>Tmax</w:t>
      </w:r>
      <w:proofErr w:type="spellEnd"/>
      <w:r w:rsidRPr="00B469FC">
        <w:rPr>
          <w:rFonts w:eastAsia="Times New Roman" w:cs="Calibri"/>
          <w:lang w:eastAsia="en-AU"/>
        </w:rPr>
        <w:t xml:space="preserve"> ranged from 5.00 to 6.50 h. Therefore, following the administration of the 3 dosage strengths of DTZ cream used in this study, DTZ exposure increased dose dependently; however, the increase was not dose proportional.</w:t>
      </w:r>
    </w:p>
    <w:p w:rsidR="00B469FC" w:rsidRPr="00B469FC" w:rsidRDefault="00B469FC" w:rsidP="009A3E43">
      <w:pPr>
        <w:pStyle w:val="Heading6"/>
        <w:rPr>
          <w:lang w:eastAsia="en-AU"/>
        </w:rPr>
      </w:pPr>
      <w:r w:rsidRPr="00B469FC">
        <w:rPr>
          <w:lang w:eastAsia="en-AU"/>
        </w:rPr>
        <w:t>Bioavailability during multiple-dosing</w:t>
      </w:r>
    </w:p>
    <w:p w:rsidR="00B469FC" w:rsidRPr="009A3E43" w:rsidRDefault="00B469FC" w:rsidP="00B469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rPr>
          <w:rFonts w:eastAsia="Times New Roman"/>
          <w:lang w:eastAsia="en-AU"/>
        </w:rPr>
      </w:pPr>
      <w:r w:rsidRPr="009A3E43">
        <w:rPr>
          <w:rFonts w:eastAsia="Times New Roman"/>
          <w:lang w:eastAsia="en-AU"/>
        </w:rPr>
        <w:t>Study</w:t>
      </w:r>
      <w:r w:rsidR="009A3E43" w:rsidRPr="009A3E43">
        <w:rPr>
          <w:rFonts w:eastAsia="Times New Roman"/>
          <w:lang w:eastAsia="en-AU"/>
        </w:rPr>
        <w:t xml:space="preserve"> VEN307-PK-001</w:t>
      </w:r>
      <w:r w:rsidRPr="009A3E43">
        <w:rPr>
          <w:rFonts w:eastAsia="Times New Roman"/>
          <w:lang w:eastAsia="en-AU"/>
        </w:rPr>
        <w:t xml:space="preserve">, also compared the PKs of DTZ following a single application of ANOHEAL 2% w/w cream and following application of ANOHEAL cream three times daily (TID) for three days and a single morning application on the 4th day in patients with AF. Following </w:t>
      </w:r>
      <w:r w:rsidRPr="009A3E43">
        <w:rPr>
          <w:rFonts w:eastAsia="Times New Roman"/>
          <w:iCs/>
          <w:lang w:eastAsia="en-AU"/>
        </w:rPr>
        <w:t>TID</w:t>
      </w:r>
      <w:r w:rsidRPr="009A3E43">
        <w:rPr>
          <w:rFonts w:eastAsia="Times New Roman"/>
          <w:i/>
          <w:iCs/>
          <w:lang w:eastAsia="en-AU"/>
        </w:rPr>
        <w:t xml:space="preserve"> </w:t>
      </w:r>
      <w:r w:rsidRPr="009A3E43">
        <w:rPr>
          <w:rFonts w:eastAsia="Times New Roman"/>
          <w:lang w:eastAsia="en-AU"/>
        </w:rPr>
        <w:t>doses steady-state was approached by the 4</w:t>
      </w:r>
      <w:r w:rsidRPr="009A3E43">
        <w:rPr>
          <w:rFonts w:eastAsia="Times New Roman"/>
          <w:vertAlign w:val="superscript"/>
          <w:lang w:eastAsia="en-AU"/>
        </w:rPr>
        <w:t>th</w:t>
      </w:r>
      <w:r w:rsidRPr="009A3E43">
        <w:rPr>
          <w:rFonts w:eastAsia="Times New Roman"/>
          <w:lang w:eastAsia="en-AU"/>
        </w:rPr>
        <w:t xml:space="preserve"> day</w:t>
      </w:r>
      <w:r w:rsidR="009A3E43" w:rsidRPr="009A3E43">
        <w:rPr>
          <w:rFonts w:eastAsia="Times New Roman"/>
          <w:lang w:eastAsia="en-AU"/>
        </w:rPr>
        <w:t xml:space="preserve"> of dosing (</w:t>
      </w:r>
      <w:proofErr w:type="spellStart"/>
      <w:r w:rsidR="009A3E43" w:rsidRPr="009A3E43">
        <w:rPr>
          <w:rFonts w:eastAsia="Times New Roman"/>
          <w:lang w:eastAsia="en-AU"/>
        </w:rPr>
        <w:t>Cmin</w:t>
      </w:r>
      <w:proofErr w:type="spellEnd"/>
      <w:r w:rsidR="009A3E43" w:rsidRPr="009A3E43">
        <w:rPr>
          <w:rFonts w:eastAsia="Times New Roman"/>
          <w:lang w:eastAsia="en-AU"/>
        </w:rPr>
        <w:t xml:space="preserve"> = 1.02 ng/mL)</w:t>
      </w:r>
      <w:r w:rsidRPr="009A3E43">
        <w:rPr>
          <w:rFonts w:eastAsia="Times New Roman"/>
          <w:lang w:eastAsia="en-AU"/>
        </w:rPr>
        <w:t xml:space="preserve">. Steady-state mean </w:t>
      </w:r>
      <w:proofErr w:type="spellStart"/>
      <w:r w:rsidRPr="009A3E43">
        <w:rPr>
          <w:rFonts w:eastAsia="Times New Roman"/>
          <w:lang w:eastAsia="en-AU"/>
        </w:rPr>
        <w:t>Cmax</w:t>
      </w:r>
      <w:proofErr w:type="spellEnd"/>
      <w:r w:rsidRPr="009A3E43">
        <w:rPr>
          <w:rFonts w:eastAsia="Times New Roman"/>
          <w:lang w:eastAsia="en-AU"/>
        </w:rPr>
        <w:t xml:space="preserve"> and AUC</w:t>
      </w:r>
      <w:r w:rsidRPr="009A3E43">
        <w:rPr>
          <w:rFonts w:eastAsia="Times New Roman"/>
          <w:vertAlign w:val="subscript"/>
          <w:lang w:eastAsia="en-AU"/>
        </w:rPr>
        <w:t>0-8h</w:t>
      </w:r>
      <w:r w:rsidRPr="009A3E43">
        <w:rPr>
          <w:rFonts w:eastAsia="Times New Roman"/>
          <w:lang w:eastAsia="en-AU"/>
        </w:rPr>
        <w:t xml:space="preserve"> values for DTZ were 1.49 ng/mL (cf. </w:t>
      </w:r>
      <w:proofErr w:type="gramStart"/>
      <w:r w:rsidRPr="009A3E43">
        <w:rPr>
          <w:rFonts w:eastAsia="Times New Roman"/>
          <w:lang w:eastAsia="en-AU"/>
        </w:rPr>
        <w:t>0.80 ng/mL following a single application</w:t>
      </w:r>
      <w:proofErr w:type="gramEnd"/>
      <w:r w:rsidRPr="009A3E43">
        <w:rPr>
          <w:rFonts w:eastAsia="Times New Roman"/>
          <w:lang w:eastAsia="en-AU"/>
        </w:rPr>
        <w:t xml:space="preserve">) and 10.0 </w:t>
      </w:r>
      <w:proofErr w:type="spellStart"/>
      <w:r w:rsidRPr="009A3E43">
        <w:rPr>
          <w:rFonts w:eastAsia="Times New Roman"/>
          <w:lang w:eastAsia="en-AU"/>
        </w:rPr>
        <w:t>ng.h</w:t>
      </w:r>
      <w:proofErr w:type="spellEnd"/>
      <w:r w:rsidRPr="009A3E43">
        <w:rPr>
          <w:rFonts w:eastAsia="Times New Roman"/>
          <w:lang w:eastAsia="en-AU"/>
        </w:rPr>
        <w:t xml:space="preserve">/mL (cf. 20.0 </w:t>
      </w:r>
      <w:proofErr w:type="spellStart"/>
      <w:r w:rsidRPr="009A3E43">
        <w:rPr>
          <w:rFonts w:eastAsia="Times New Roman"/>
          <w:lang w:eastAsia="en-AU"/>
        </w:rPr>
        <w:t>ng.h</w:t>
      </w:r>
      <w:proofErr w:type="spellEnd"/>
      <w:r w:rsidRPr="009A3E43">
        <w:rPr>
          <w:rFonts w:eastAsia="Times New Roman"/>
          <w:lang w:eastAsia="en-AU"/>
        </w:rPr>
        <w:t xml:space="preserve">/mL), respectively; median </w:t>
      </w:r>
      <w:proofErr w:type="spellStart"/>
      <w:r w:rsidRPr="009A3E43">
        <w:rPr>
          <w:rFonts w:eastAsia="Times New Roman"/>
          <w:lang w:eastAsia="en-AU"/>
        </w:rPr>
        <w:t>Tmax</w:t>
      </w:r>
      <w:proofErr w:type="spellEnd"/>
      <w:r w:rsidRPr="009A3E43">
        <w:rPr>
          <w:rFonts w:eastAsia="Times New Roman"/>
          <w:lang w:eastAsia="en-AU"/>
        </w:rPr>
        <w:t xml:space="preserve"> occurred at 4.79 h (cf. 6.00 h) and mean t</w:t>
      </w:r>
      <w:r w:rsidRPr="009A3E43">
        <w:rPr>
          <w:rFonts w:eastAsia="Times New Roman"/>
          <w:vertAlign w:val="subscript"/>
          <w:lang w:eastAsia="en-AU"/>
        </w:rPr>
        <w:t>1/2</w:t>
      </w:r>
      <w:r w:rsidR="009A3E43" w:rsidRPr="009A3E43">
        <w:rPr>
          <w:rFonts w:eastAsia="Times New Roman"/>
          <w:lang w:eastAsia="en-AU"/>
        </w:rPr>
        <w:t xml:space="preserve"> was 25.0 h (cf. 31.2 h)</w:t>
      </w:r>
      <w:r w:rsidRPr="009A3E43">
        <w:rPr>
          <w:rFonts w:eastAsia="Times New Roman"/>
          <w:lang w:eastAsia="en-AU"/>
        </w:rPr>
        <w:t xml:space="preserve">. DTZ clearance (CL/F) was also higher following multiple doses of cream (CL/F: 1339 L/h; SD: 1080) than following a single application (763 L/h; 767). </w:t>
      </w:r>
      <w:r w:rsidRPr="009A3E43">
        <w:rPr>
          <w:rFonts w:eastAsia="Calibri" w:cs="Arial"/>
          <w:color w:val="000000"/>
        </w:rPr>
        <w:t xml:space="preserve">In addition, this study </w:t>
      </w:r>
      <w:r w:rsidRPr="009A3E43">
        <w:rPr>
          <w:rFonts w:eastAsia="Times New Roman"/>
          <w:lang w:eastAsia="en-AU"/>
        </w:rPr>
        <w:t>calculated the relative bioavailability (</w:t>
      </w:r>
      <w:proofErr w:type="spellStart"/>
      <w:r w:rsidRPr="009A3E43">
        <w:rPr>
          <w:rFonts w:eastAsia="Times New Roman"/>
          <w:lang w:eastAsia="en-AU"/>
        </w:rPr>
        <w:t>F</w:t>
      </w:r>
      <w:r w:rsidRPr="009A3E43">
        <w:rPr>
          <w:rFonts w:eastAsia="Times New Roman"/>
          <w:vertAlign w:val="subscript"/>
          <w:lang w:eastAsia="en-AU"/>
        </w:rPr>
        <w:t>top</w:t>
      </w:r>
      <w:proofErr w:type="spellEnd"/>
      <w:r w:rsidRPr="009A3E43">
        <w:rPr>
          <w:rFonts w:eastAsia="Times New Roman"/>
          <w:lang w:eastAsia="en-AU"/>
        </w:rPr>
        <w:t>/</w:t>
      </w:r>
      <w:proofErr w:type="spellStart"/>
      <w:r w:rsidRPr="009A3E43">
        <w:rPr>
          <w:rFonts w:eastAsia="Times New Roman"/>
          <w:lang w:eastAsia="en-AU"/>
        </w:rPr>
        <w:t>F</w:t>
      </w:r>
      <w:r w:rsidRPr="009A3E43">
        <w:rPr>
          <w:rFonts w:eastAsia="Times New Roman"/>
          <w:vertAlign w:val="subscript"/>
          <w:lang w:eastAsia="en-AU"/>
        </w:rPr>
        <w:t>oral</w:t>
      </w:r>
      <w:proofErr w:type="spellEnd"/>
      <w:r w:rsidRPr="009A3E43">
        <w:rPr>
          <w:rFonts w:eastAsia="Times New Roman"/>
          <w:lang w:eastAsia="en-AU"/>
        </w:rPr>
        <w:t>) of DTZ following TID topical dosing based on the ratio of the dose-adjusted AUC for topical administration (AUC</w:t>
      </w:r>
      <w:r w:rsidRPr="009A3E43">
        <w:rPr>
          <w:rFonts w:eastAsia="Times New Roman"/>
          <w:vertAlign w:val="subscript"/>
          <w:lang w:eastAsia="en-AU"/>
        </w:rPr>
        <w:t>0-8h</w:t>
      </w:r>
      <w:r w:rsidRPr="009A3E43">
        <w:rPr>
          <w:rFonts w:eastAsia="Times New Roman"/>
          <w:lang w:eastAsia="en-AU"/>
        </w:rPr>
        <w:t>) to the AUC for oral administration (AUC</w:t>
      </w:r>
      <w:r w:rsidRPr="009A3E43">
        <w:rPr>
          <w:rFonts w:eastAsia="Times New Roman"/>
          <w:vertAlign w:val="subscript"/>
          <w:lang w:eastAsia="en-AU"/>
        </w:rPr>
        <w:t>0-inf</w:t>
      </w:r>
      <w:r w:rsidRPr="009A3E43">
        <w:rPr>
          <w:rFonts w:eastAsia="Times New Roman"/>
          <w:lang w:eastAsia="en-AU"/>
        </w:rPr>
        <w:t xml:space="preserve">). The mean of the resultant </w:t>
      </w:r>
      <w:proofErr w:type="spellStart"/>
      <w:r w:rsidRPr="009A3E43">
        <w:rPr>
          <w:rFonts w:eastAsia="Times New Roman"/>
          <w:lang w:eastAsia="en-AU"/>
        </w:rPr>
        <w:t>F</w:t>
      </w:r>
      <w:r w:rsidRPr="009A3E43">
        <w:rPr>
          <w:rFonts w:eastAsia="Times New Roman"/>
          <w:vertAlign w:val="subscript"/>
          <w:lang w:eastAsia="en-AU"/>
        </w:rPr>
        <w:t>top</w:t>
      </w:r>
      <w:proofErr w:type="spellEnd"/>
      <w:r w:rsidRPr="009A3E43">
        <w:rPr>
          <w:rFonts w:eastAsia="Times New Roman"/>
          <w:lang w:eastAsia="en-AU"/>
        </w:rPr>
        <w:t>/</w:t>
      </w:r>
      <w:proofErr w:type="spellStart"/>
      <w:r w:rsidRPr="009A3E43">
        <w:rPr>
          <w:rFonts w:eastAsia="Times New Roman"/>
          <w:lang w:eastAsia="en-AU"/>
        </w:rPr>
        <w:t>F</w:t>
      </w:r>
      <w:r w:rsidRPr="009A3E43">
        <w:rPr>
          <w:rFonts w:eastAsia="Times New Roman"/>
          <w:vertAlign w:val="subscript"/>
          <w:lang w:eastAsia="en-AU"/>
        </w:rPr>
        <w:t>oral</w:t>
      </w:r>
      <w:proofErr w:type="spellEnd"/>
      <w:r w:rsidRPr="009A3E43">
        <w:rPr>
          <w:rFonts w:eastAsia="Times New Roman"/>
          <w:lang w:eastAsia="en-AU"/>
        </w:rPr>
        <w:t xml:space="preserve"> values was 0.148 ± 0.071, and the median value was 0.152 (range 0.036-0.286) indicating that the systemic bioavailability of DTZ following topical administration of 2% DTZ cream was approximately 15% of that for oral DTZ.</w:t>
      </w:r>
    </w:p>
    <w:p w:rsidR="00B469FC" w:rsidRPr="009A3E43" w:rsidRDefault="009A3E43" w:rsidP="009A3E43">
      <w:pPr>
        <w:ind w:left="720"/>
        <w:rPr>
          <w:i/>
        </w:rPr>
      </w:pPr>
      <w:r w:rsidRPr="009A3E43">
        <w:rPr>
          <w:i/>
        </w:rPr>
        <w:t xml:space="preserve">Comment: </w:t>
      </w:r>
      <w:r w:rsidR="00B469FC" w:rsidRPr="009A3E43">
        <w:rPr>
          <w:i/>
        </w:rPr>
        <w:t>No explanation is provided for the increase in CL/F following multiple topical administrations of DTZ compared to a single topical application in Study VEN307-PK-001. One can only assume that it relates to the high variability associated with these values, which is to be expected given the difficulty in providing uniform doses via topical application.</w:t>
      </w:r>
    </w:p>
    <w:p w:rsidR="00B469FC" w:rsidRPr="00B469FC" w:rsidRDefault="00B469FC" w:rsidP="009A3E43">
      <w:pPr>
        <w:pStyle w:val="Heading6"/>
        <w:rPr>
          <w:lang w:eastAsia="en-AU"/>
        </w:rPr>
      </w:pPr>
      <w:r w:rsidRPr="00B469FC">
        <w:rPr>
          <w:lang w:eastAsia="en-AU"/>
        </w:rPr>
        <w:t>Effect of administration timing</w:t>
      </w:r>
    </w:p>
    <w:p w:rsidR="00B469FC" w:rsidRPr="00B469FC" w:rsidRDefault="00B469FC" w:rsidP="00B469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rPr>
          <w:rFonts w:eastAsia="Times New Roman"/>
          <w:lang w:eastAsia="en-AU"/>
        </w:rPr>
      </w:pPr>
      <w:r w:rsidRPr="00B469FC">
        <w:rPr>
          <w:rFonts w:eastAsia="Times New Roman"/>
          <w:lang w:eastAsia="en-AU"/>
        </w:rPr>
        <w:t>No studies examined the effect of administration timing.</w:t>
      </w:r>
    </w:p>
    <w:p w:rsidR="00B469FC" w:rsidRPr="00B469FC" w:rsidRDefault="00B469FC" w:rsidP="009A3E43">
      <w:pPr>
        <w:pStyle w:val="Heading5"/>
      </w:pPr>
      <w:bookmarkStart w:id="63" w:name="_Toc241374288"/>
      <w:bookmarkStart w:id="64" w:name="_Toc272414621"/>
      <w:bookmarkStart w:id="65" w:name="_Toc290888470"/>
      <w:bookmarkStart w:id="66" w:name="_Toc290888621"/>
      <w:bookmarkStart w:id="67" w:name="_Toc442436440"/>
      <w:r w:rsidRPr="00B469FC">
        <w:t>Distribution</w:t>
      </w:r>
      <w:bookmarkEnd w:id="63"/>
      <w:bookmarkEnd w:id="64"/>
      <w:bookmarkEnd w:id="65"/>
      <w:bookmarkEnd w:id="66"/>
      <w:bookmarkEnd w:id="67"/>
    </w:p>
    <w:p w:rsidR="00B469FC" w:rsidRPr="00B469FC" w:rsidRDefault="00B469FC" w:rsidP="00B469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rPr>
          <w:rFonts w:eastAsia="Times New Roman"/>
          <w:lang w:eastAsia="en-AU"/>
        </w:rPr>
      </w:pPr>
      <w:r w:rsidRPr="00B469FC">
        <w:rPr>
          <w:rFonts w:eastAsia="Times New Roman"/>
          <w:lang w:eastAsia="en-AU"/>
        </w:rPr>
        <w:t>No clinical studies examined the distribution of DTZ following perianal application and the following informatio</w:t>
      </w:r>
      <w:r w:rsidR="009856D0">
        <w:rPr>
          <w:rFonts w:eastAsia="Times New Roman"/>
          <w:lang w:eastAsia="en-AU"/>
        </w:rPr>
        <w:t>n is taken from the proposed PI:</w:t>
      </w:r>
    </w:p>
    <w:p w:rsidR="00B469FC" w:rsidRPr="009856D0" w:rsidRDefault="00B469FC" w:rsidP="009856D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ind w:left="567"/>
        <w:rPr>
          <w:rFonts w:eastAsia="Times New Roman"/>
          <w:i/>
          <w:lang w:eastAsia="en-AU"/>
        </w:rPr>
      </w:pPr>
      <w:r w:rsidRPr="009856D0">
        <w:rPr>
          <w:rFonts w:eastAsia="Times New Roman"/>
          <w:i/>
          <w:lang w:eastAsia="en-AU"/>
        </w:rPr>
        <w:t xml:space="preserve">The pharmacokinetic properties of orally administered </w:t>
      </w:r>
      <w:proofErr w:type="spellStart"/>
      <w:r w:rsidRPr="009856D0">
        <w:rPr>
          <w:rFonts w:eastAsia="Times New Roman"/>
          <w:i/>
          <w:lang w:eastAsia="en-AU"/>
        </w:rPr>
        <w:t>diltiazem</w:t>
      </w:r>
      <w:proofErr w:type="spellEnd"/>
      <w:r w:rsidRPr="009856D0">
        <w:rPr>
          <w:rFonts w:eastAsia="Times New Roman"/>
          <w:i/>
          <w:lang w:eastAsia="en-AU"/>
        </w:rPr>
        <w:t xml:space="preserve"> hydrochloride are well-established. </w:t>
      </w:r>
      <w:proofErr w:type="spellStart"/>
      <w:r w:rsidRPr="009856D0">
        <w:rPr>
          <w:rFonts w:eastAsia="Times New Roman"/>
          <w:i/>
          <w:lang w:eastAsia="en-AU"/>
        </w:rPr>
        <w:t>Diltiazem</w:t>
      </w:r>
      <w:proofErr w:type="spellEnd"/>
      <w:r w:rsidRPr="009856D0">
        <w:rPr>
          <w:rFonts w:eastAsia="Times New Roman"/>
          <w:i/>
          <w:lang w:eastAsia="en-AU"/>
        </w:rPr>
        <w:t xml:space="preserve"> is lipophilic and has a large volume of distribution. </w:t>
      </w:r>
      <w:proofErr w:type="spellStart"/>
      <w:r w:rsidRPr="009856D0">
        <w:rPr>
          <w:rFonts w:eastAsia="Times New Roman"/>
          <w:i/>
          <w:lang w:eastAsia="en-AU"/>
        </w:rPr>
        <w:t>Diltiazem</w:t>
      </w:r>
      <w:proofErr w:type="spellEnd"/>
      <w:r w:rsidRPr="009856D0">
        <w:rPr>
          <w:rFonts w:eastAsia="Times New Roman"/>
          <w:i/>
          <w:lang w:eastAsia="en-AU"/>
        </w:rPr>
        <w:t xml:space="preserve"> is plasma protein</w:t>
      </w:r>
      <w:r w:rsidR="009856D0" w:rsidRPr="009856D0">
        <w:rPr>
          <w:rFonts w:eastAsia="Times New Roman"/>
          <w:i/>
          <w:lang w:eastAsia="en-AU"/>
        </w:rPr>
        <w:t xml:space="preserve"> bound to the extent of 70-80%.</w:t>
      </w:r>
    </w:p>
    <w:p w:rsidR="00B469FC" w:rsidRPr="00B469FC" w:rsidRDefault="00B469FC" w:rsidP="009A3E43">
      <w:pPr>
        <w:pStyle w:val="Heading5"/>
      </w:pPr>
      <w:bookmarkStart w:id="68" w:name="_Toc272414622"/>
      <w:bookmarkStart w:id="69" w:name="_Toc290888471"/>
      <w:bookmarkStart w:id="70" w:name="_Toc290888622"/>
      <w:bookmarkStart w:id="71" w:name="_Toc442436441"/>
      <w:r w:rsidRPr="00B469FC">
        <w:t>Metabolism</w:t>
      </w:r>
      <w:bookmarkEnd w:id="68"/>
      <w:bookmarkEnd w:id="69"/>
      <w:bookmarkEnd w:id="70"/>
      <w:bookmarkEnd w:id="71"/>
    </w:p>
    <w:p w:rsidR="00B469FC" w:rsidRPr="00B469FC" w:rsidRDefault="00B469FC" w:rsidP="009A3E43">
      <w:pPr>
        <w:pStyle w:val="Heading6"/>
        <w:rPr>
          <w:lang w:eastAsia="en-AU"/>
        </w:rPr>
      </w:pPr>
      <w:proofErr w:type="spellStart"/>
      <w:r w:rsidRPr="00B469FC">
        <w:rPr>
          <w:lang w:eastAsia="en-AU"/>
        </w:rPr>
        <w:t>Interconversion</w:t>
      </w:r>
      <w:proofErr w:type="spellEnd"/>
      <w:r w:rsidRPr="00B469FC">
        <w:rPr>
          <w:lang w:eastAsia="en-AU"/>
        </w:rPr>
        <w:t xml:space="preserve"> between enantiomers</w:t>
      </w:r>
    </w:p>
    <w:p w:rsidR="00B469FC" w:rsidRPr="00B469FC" w:rsidRDefault="00B469FC" w:rsidP="00B469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rPr>
          <w:rFonts w:eastAsia="Times New Roman"/>
          <w:lang w:eastAsia="en-AU"/>
        </w:rPr>
      </w:pPr>
      <w:r w:rsidRPr="00B469FC">
        <w:rPr>
          <w:rFonts w:eastAsia="Times New Roman"/>
          <w:lang w:eastAsia="en-AU"/>
        </w:rPr>
        <w:t>Not applicable.</w:t>
      </w:r>
    </w:p>
    <w:p w:rsidR="00B469FC" w:rsidRPr="00B469FC" w:rsidRDefault="00B469FC" w:rsidP="009A3E43">
      <w:pPr>
        <w:pStyle w:val="Heading6"/>
        <w:rPr>
          <w:lang w:eastAsia="en-AU"/>
        </w:rPr>
      </w:pPr>
      <w:r w:rsidRPr="00B469FC">
        <w:rPr>
          <w:lang w:eastAsia="en-AU"/>
        </w:rPr>
        <w:t>Sites of metabolism and mechanisms / enzyme systems involved</w:t>
      </w:r>
    </w:p>
    <w:p w:rsidR="00B469FC" w:rsidRPr="00B469FC" w:rsidRDefault="00B469FC" w:rsidP="00B469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rPr>
          <w:rFonts w:eastAsia="Times New Roman"/>
          <w:lang w:eastAsia="en-AU"/>
        </w:rPr>
      </w:pPr>
      <w:r w:rsidRPr="00B469FC">
        <w:rPr>
          <w:rFonts w:eastAsia="Times New Roman"/>
          <w:lang w:eastAsia="en-AU"/>
        </w:rPr>
        <w:t>No clinical studies examined the sites of DTZ metabolism and mechanisms involved following perianal application. The proposed PI states the following regardi</w:t>
      </w:r>
      <w:r w:rsidR="0039382D">
        <w:rPr>
          <w:rFonts w:eastAsia="Times New Roman"/>
          <w:lang w:eastAsia="en-AU"/>
        </w:rPr>
        <w:t>ng the metabolism of DTZ:</w:t>
      </w:r>
    </w:p>
    <w:p w:rsidR="00B469FC" w:rsidRPr="00F04584" w:rsidRDefault="00B469FC" w:rsidP="00F0458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ind w:left="567"/>
        <w:rPr>
          <w:rFonts w:eastAsia="Times New Roman"/>
          <w:i/>
          <w:lang w:eastAsia="en-AU"/>
        </w:rPr>
      </w:pPr>
      <w:proofErr w:type="spellStart"/>
      <w:r w:rsidRPr="00F04584">
        <w:rPr>
          <w:rFonts w:eastAsia="Times New Roman"/>
          <w:i/>
          <w:lang w:eastAsia="en-AU"/>
        </w:rPr>
        <w:t>Diltiazem</w:t>
      </w:r>
      <w:proofErr w:type="spellEnd"/>
      <w:r w:rsidRPr="00F04584">
        <w:rPr>
          <w:rFonts w:eastAsia="Times New Roman"/>
          <w:i/>
          <w:lang w:eastAsia="en-AU"/>
        </w:rPr>
        <w:t xml:space="preserve"> is metabolised extensively in the liver. The principal metabolites are N-</w:t>
      </w:r>
      <w:proofErr w:type="spellStart"/>
      <w:r w:rsidRPr="00F04584">
        <w:rPr>
          <w:rFonts w:eastAsia="Times New Roman"/>
          <w:i/>
          <w:lang w:eastAsia="en-AU"/>
        </w:rPr>
        <w:t>desmethyldil</w:t>
      </w:r>
      <w:r w:rsidR="00F04584" w:rsidRPr="00F04584">
        <w:rPr>
          <w:rFonts w:eastAsia="Times New Roman"/>
          <w:i/>
          <w:lang w:eastAsia="en-AU"/>
        </w:rPr>
        <w:t>tiazem</w:t>
      </w:r>
      <w:proofErr w:type="spellEnd"/>
      <w:r w:rsidR="00F04584" w:rsidRPr="00F04584">
        <w:rPr>
          <w:rFonts w:eastAsia="Times New Roman"/>
          <w:i/>
          <w:lang w:eastAsia="en-AU"/>
        </w:rPr>
        <w:t xml:space="preserve"> and O-</w:t>
      </w:r>
      <w:proofErr w:type="spellStart"/>
      <w:r w:rsidR="00F04584" w:rsidRPr="00F04584">
        <w:rPr>
          <w:rFonts w:eastAsia="Times New Roman"/>
          <w:i/>
          <w:lang w:eastAsia="en-AU"/>
        </w:rPr>
        <w:t>desacetyldiltiazem</w:t>
      </w:r>
      <w:proofErr w:type="spellEnd"/>
    </w:p>
    <w:p w:rsidR="00B469FC" w:rsidRPr="00B469FC" w:rsidRDefault="00B469FC" w:rsidP="009A3E43">
      <w:pPr>
        <w:pStyle w:val="Heading6"/>
        <w:rPr>
          <w:lang w:eastAsia="en-AU"/>
        </w:rPr>
      </w:pPr>
      <w:r w:rsidRPr="00B469FC">
        <w:rPr>
          <w:lang w:eastAsia="en-AU"/>
        </w:rPr>
        <w:t>Non-renal clearance</w:t>
      </w:r>
    </w:p>
    <w:p w:rsidR="00B469FC" w:rsidRPr="00B469FC" w:rsidRDefault="00B469FC" w:rsidP="00B469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rPr>
          <w:rFonts w:eastAsia="Times New Roman"/>
          <w:lang w:eastAsia="en-AU"/>
        </w:rPr>
      </w:pPr>
      <w:r w:rsidRPr="00B469FC">
        <w:rPr>
          <w:rFonts w:eastAsia="Times New Roman"/>
          <w:lang w:eastAsia="en-AU"/>
        </w:rPr>
        <w:t>See above.</w:t>
      </w:r>
    </w:p>
    <w:p w:rsidR="00B469FC" w:rsidRPr="00B469FC" w:rsidRDefault="00B469FC" w:rsidP="009A3E43">
      <w:pPr>
        <w:pStyle w:val="Heading6"/>
        <w:rPr>
          <w:lang w:eastAsia="en-AU"/>
        </w:rPr>
      </w:pPr>
      <w:r w:rsidRPr="00B469FC">
        <w:rPr>
          <w:lang w:eastAsia="en-AU"/>
        </w:rPr>
        <w:lastRenderedPageBreak/>
        <w:t>Metabolites identified in humans</w:t>
      </w:r>
    </w:p>
    <w:p w:rsidR="00B469FC" w:rsidRPr="00B469FC" w:rsidRDefault="00B469FC" w:rsidP="00B469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rPr>
          <w:rFonts w:eastAsia="Times New Roman"/>
          <w:lang w:eastAsia="en-AU"/>
        </w:rPr>
      </w:pPr>
      <w:r w:rsidRPr="00B469FC">
        <w:rPr>
          <w:rFonts w:eastAsia="Times New Roman"/>
          <w:lang w:eastAsia="en-AU"/>
        </w:rPr>
        <w:t>The following information is taken from the proposed PI:</w:t>
      </w:r>
    </w:p>
    <w:p w:rsidR="00B469FC" w:rsidRPr="009A3E43" w:rsidRDefault="00B469FC" w:rsidP="009A3E4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ind w:left="720"/>
        <w:rPr>
          <w:rFonts w:eastAsia="Times New Roman"/>
          <w:i/>
          <w:lang w:eastAsia="en-AU"/>
        </w:rPr>
      </w:pPr>
      <w:r w:rsidRPr="009A3E43">
        <w:rPr>
          <w:rFonts w:eastAsia="Times New Roman"/>
          <w:i/>
          <w:lang w:eastAsia="en-AU"/>
        </w:rPr>
        <w:t>The principal metabolites of DTZ, N-</w:t>
      </w:r>
      <w:proofErr w:type="spellStart"/>
      <w:r w:rsidRPr="009A3E43">
        <w:rPr>
          <w:rFonts w:eastAsia="Times New Roman"/>
          <w:i/>
          <w:lang w:eastAsia="en-AU"/>
        </w:rPr>
        <w:t>desmethyldiltiazem</w:t>
      </w:r>
      <w:proofErr w:type="spellEnd"/>
      <w:r w:rsidRPr="009A3E43">
        <w:rPr>
          <w:rFonts w:eastAsia="Times New Roman"/>
          <w:i/>
          <w:lang w:eastAsia="en-AU"/>
        </w:rPr>
        <w:t xml:space="preserve"> and O-</w:t>
      </w:r>
      <w:proofErr w:type="spellStart"/>
      <w:r w:rsidRPr="009A3E43">
        <w:rPr>
          <w:rFonts w:eastAsia="Times New Roman"/>
          <w:i/>
          <w:lang w:eastAsia="en-AU"/>
        </w:rPr>
        <w:t>desacetyldiltiazem</w:t>
      </w:r>
      <w:proofErr w:type="spellEnd"/>
      <w:r w:rsidRPr="009A3E43">
        <w:rPr>
          <w:rFonts w:eastAsia="Times New Roman"/>
          <w:i/>
          <w:lang w:eastAsia="en-AU"/>
        </w:rPr>
        <w:t>, are estimated to have 20% and 25-50%, respectively, of the vasodilator a</w:t>
      </w:r>
      <w:r w:rsidR="009A3E43" w:rsidRPr="009A3E43">
        <w:rPr>
          <w:rFonts w:eastAsia="Times New Roman"/>
          <w:i/>
          <w:lang w:eastAsia="en-AU"/>
        </w:rPr>
        <w:t>ctivity of the parent compound.</w:t>
      </w:r>
    </w:p>
    <w:p w:rsidR="00B469FC" w:rsidRPr="00B469FC" w:rsidRDefault="00B469FC" w:rsidP="009A3E43">
      <w:pPr>
        <w:pStyle w:val="Heading6"/>
        <w:rPr>
          <w:lang w:eastAsia="en-AU"/>
        </w:rPr>
      </w:pPr>
      <w:r w:rsidRPr="00B469FC">
        <w:rPr>
          <w:lang w:eastAsia="en-AU"/>
        </w:rPr>
        <w:t>Pharmacokinetics of metabolites</w:t>
      </w:r>
    </w:p>
    <w:p w:rsidR="00B469FC" w:rsidRPr="00B469FC" w:rsidRDefault="00B469FC" w:rsidP="00B469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rPr>
          <w:rFonts w:eastAsia="Times New Roman"/>
          <w:lang w:eastAsia="en-AU"/>
        </w:rPr>
      </w:pPr>
      <w:r w:rsidRPr="009A3E43">
        <w:rPr>
          <w:rFonts w:eastAsia="Times New Roman"/>
          <w:lang w:eastAsia="en-AU"/>
        </w:rPr>
        <w:t>Study</w:t>
      </w:r>
      <w:r w:rsidR="009A3E43" w:rsidRPr="009A3E43">
        <w:rPr>
          <w:rFonts w:eastAsia="Times New Roman"/>
          <w:lang w:eastAsia="en-AU"/>
        </w:rPr>
        <w:t xml:space="preserve"> VEN307-PK-001</w:t>
      </w:r>
      <w:r w:rsidRPr="009A3E43">
        <w:rPr>
          <w:rFonts w:eastAsia="Times New Roman"/>
          <w:lang w:eastAsia="en-AU"/>
        </w:rPr>
        <w:t xml:space="preserve"> examined</w:t>
      </w:r>
      <w:r w:rsidRPr="00B469FC">
        <w:rPr>
          <w:rFonts w:eastAsia="Times New Roman"/>
          <w:lang w:eastAsia="en-AU"/>
        </w:rPr>
        <w:t xml:space="preserve"> the PKs of the principle metabolites of DTZ following a single perianal application of ANOHEAL or 3 days TID dosing with the cream in patients with AF.</w:t>
      </w:r>
    </w:p>
    <w:p w:rsidR="009A3E43" w:rsidRDefault="00B469FC" w:rsidP="00DF3C44">
      <w:pPr>
        <w:pStyle w:val="Heading6"/>
        <w:rPr>
          <w:rStyle w:val="Heading7Char"/>
          <w:rFonts w:eastAsia="Calibri"/>
        </w:rPr>
      </w:pPr>
      <w:r w:rsidRPr="009A3E43">
        <w:rPr>
          <w:rStyle w:val="Heading7Char"/>
          <w:rFonts w:eastAsia="Calibri"/>
        </w:rPr>
        <w:t>N</w:t>
      </w:r>
      <w:r w:rsidR="009A3E43">
        <w:rPr>
          <w:rStyle w:val="Heading7Char"/>
          <w:rFonts w:eastAsia="Calibri"/>
        </w:rPr>
        <w:t>-</w:t>
      </w:r>
      <w:proofErr w:type="spellStart"/>
      <w:r w:rsidR="009A3E43">
        <w:rPr>
          <w:rStyle w:val="Heading7Char"/>
          <w:rFonts w:eastAsia="Calibri"/>
        </w:rPr>
        <w:t>desmethyldiltiazem</w:t>
      </w:r>
      <w:proofErr w:type="spellEnd"/>
    </w:p>
    <w:p w:rsidR="00B469FC" w:rsidRPr="00B469FC" w:rsidRDefault="00B469FC" w:rsidP="00B469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rPr>
          <w:rFonts w:eastAsia="Calibri"/>
          <w:lang w:eastAsia="en-AU"/>
        </w:rPr>
      </w:pPr>
      <w:r w:rsidRPr="00B469FC">
        <w:rPr>
          <w:rFonts w:eastAsia="Calibri"/>
          <w:lang w:eastAsia="en-AU"/>
        </w:rPr>
        <w:t xml:space="preserve">The mean </w:t>
      </w:r>
      <w:proofErr w:type="spellStart"/>
      <w:r w:rsidRPr="00B469FC">
        <w:rPr>
          <w:rFonts w:eastAsia="Calibri"/>
          <w:lang w:eastAsia="en-AU"/>
        </w:rPr>
        <w:t>Cmax</w:t>
      </w:r>
      <w:proofErr w:type="spellEnd"/>
      <w:r w:rsidRPr="00B469FC">
        <w:rPr>
          <w:rFonts w:eastAsia="Calibri"/>
          <w:lang w:eastAsia="en-AU"/>
        </w:rPr>
        <w:t xml:space="preserve"> and AUC</w:t>
      </w:r>
      <w:r w:rsidRPr="00B469FC">
        <w:rPr>
          <w:rFonts w:eastAsia="Calibri"/>
          <w:vertAlign w:val="subscript"/>
          <w:lang w:eastAsia="en-AU"/>
        </w:rPr>
        <w:t>0-inf</w:t>
      </w:r>
      <w:r w:rsidRPr="00B469FC">
        <w:rPr>
          <w:rFonts w:eastAsia="Calibri"/>
          <w:lang w:eastAsia="en-AU"/>
        </w:rPr>
        <w:t xml:space="preserve"> values for </w:t>
      </w:r>
      <w:r w:rsidRPr="00B469FC">
        <w:rPr>
          <w:rFonts w:eastAsia="Calibri"/>
          <w:iCs/>
          <w:lang w:eastAsia="en-AU"/>
        </w:rPr>
        <w:t>N</w:t>
      </w:r>
      <w:r w:rsidRPr="00B469FC">
        <w:rPr>
          <w:rFonts w:eastAsia="Calibri"/>
          <w:lang w:eastAsia="en-AU"/>
        </w:rPr>
        <w:t>-</w:t>
      </w:r>
      <w:proofErr w:type="spellStart"/>
      <w:r w:rsidRPr="00B469FC">
        <w:rPr>
          <w:rFonts w:eastAsia="Calibri"/>
          <w:lang w:eastAsia="en-AU"/>
        </w:rPr>
        <w:t>desmethyldiltiazem</w:t>
      </w:r>
      <w:proofErr w:type="spellEnd"/>
      <w:r w:rsidRPr="00B469FC">
        <w:rPr>
          <w:rFonts w:eastAsia="Calibri"/>
          <w:lang w:eastAsia="en-AU"/>
        </w:rPr>
        <w:t xml:space="preserve"> following a single dose of DTZ 2% w/w cream were 0.0520 ng/mL and 6.83 </w:t>
      </w:r>
      <w:proofErr w:type="spellStart"/>
      <w:r w:rsidRPr="00B469FC">
        <w:rPr>
          <w:rFonts w:eastAsia="Calibri"/>
          <w:lang w:eastAsia="en-AU"/>
        </w:rPr>
        <w:t>ng.h</w:t>
      </w:r>
      <w:proofErr w:type="spellEnd"/>
      <w:r w:rsidRPr="00B469FC">
        <w:rPr>
          <w:rFonts w:eastAsia="Calibri"/>
          <w:lang w:eastAsia="en-AU"/>
        </w:rPr>
        <w:t xml:space="preserve">/mL, respectively, and the median </w:t>
      </w:r>
      <w:proofErr w:type="spellStart"/>
      <w:r w:rsidRPr="00B469FC">
        <w:rPr>
          <w:rFonts w:eastAsia="Calibri"/>
          <w:lang w:eastAsia="en-AU"/>
        </w:rPr>
        <w:t>Tmax</w:t>
      </w:r>
      <w:proofErr w:type="spellEnd"/>
      <w:r w:rsidRPr="00B469FC">
        <w:rPr>
          <w:rFonts w:eastAsia="Calibri"/>
          <w:lang w:eastAsia="en-AU"/>
        </w:rPr>
        <w:t xml:space="preserve"> and mean t</w:t>
      </w:r>
      <w:r w:rsidRPr="00B469FC">
        <w:rPr>
          <w:rFonts w:eastAsia="Calibri"/>
          <w:vertAlign w:val="subscript"/>
          <w:lang w:eastAsia="en-AU"/>
        </w:rPr>
        <w:t>1/2</w:t>
      </w:r>
      <w:r w:rsidRPr="00B469FC">
        <w:rPr>
          <w:rFonts w:eastAsia="Calibri"/>
          <w:lang w:eastAsia="en-AU"/>
        </w:rPr>
        <w:t xml:space="preserve"> values were 5</w:t>
      </w:r>
      <w:r w:rsidR="009A3E43">
        <w:rPr>
          <w:rFonts w:eastAsia="Calibri"/>
          <w:lang w:eastAsia="en-AU"/>
        </w:rPr>
        <w:t>.98 h and 21.1 h, respectively</w:t>
      </w:r>
      <w:r w:rsidRPr="00B469FC">
        <w:rPr>
          <w:rFonts w:eastAsia="Calibri"/>
          <w:lang w:eastAsia="en-AU"/>
        </w:rPr>
        <w:t>. Following TID doses of DTZ cream, steady state was approached by the 4</w:t>
      </w:r>
      <w:r w:rsidR="009A3E43">
        <w:rPr>
          <w:rFonts w:eastAsia="Calibri"/>
          <w:lang w:eastAsia="en-AU"/>
        </w:rPr>
        <w:t>th day (</w:t>
      </w:r>
      <w:proofErr w:type="spellStart"/>
      <w:r w:rsidR="009A3E43">
        <w:rPr>
          <w:rFonts w:eastAsia="Calibri"/>
          <w:lang w:eastAsia="en-AU"/>
        </w:rPr>
        <w:t>Cmin</w:t>
      </w:r>
      <w:proofErr w:type="spellEnd"/>
      <w:r w:rsidR="009A3E43">
        <w:rPr>
          <w:rFonts w:eastAsia="Calibri"/>
          <w:lang w:eastAsia="en-AU"/>
        </w:rPr>
        <w:t xml:space="preserve"> = 0.147 ng/mL)</w:t>
      </w:r>
      <w:r w:rsidRPr="00B469FC">
        <w:rPr>
          <w:rFonts w:eastAsia="Calibri"/>
          <w:lang w:eastAsia="en-AU"/>
        </w:rPr>
        <w:t xml:space="preserve">. Mean DTZ </w:t>
      </w:r>
      <w:proofErr w:type="spellStart"/>
      <w:r w:rsidRPr="00B469FC">
        <w:rPr>
          <w:rFonts w:eastAsia="Calibri"/>
          <w:lang w:eastAsia="en-AU"/>
        </w:rPr>
        <w:t>Cmax</w:t>
      </w:r>
      <w:proofErr w:type="spellEnd"/>
      <w:r w:rsidRPr="00B469FC">
        <w:rPr>
          <w:rFonts w:eastAsia="Calibri"/>
          <w:lang w:eastAsia="en-AU"/>
        </w:rPr>
        <w:t xml:space="preserve"> and AUC</w:t>
      </w:r>
      <w:r w:rsidRPr="00B469FC">
        <w:rPr>
          <w:rFonts w:eastAsia="Calibri"/>
          <w:vertAlign w:val="subscript"/>
          <w:lang w:eastAsia="en-AU"/>
        </w:rPr>
        <w:t>0-8h</w:t>
      </w:r>
      <w:r w:rsidRPr="00B469FC">
        <w:rPr>
          <w:rFonts w:eastAsia="Calibri"/>
          <w:lang w:eastAsia="en-AU"/>
        </w:rPr>
        <w:t xml:space="preserve"> values were 0.254 ng/mL and 1.64 </w:t>
      </w:r>
      <w:proofErr w:type="spellStart"/>
      <w:r w:rsidRPr="00B469FC">
        <w:rPr>
          <w:rFonts w:eastAsia="Calibri"/>
          <w:lang w:eastAsia="en-AU"/>
        </w:rPr>
        <w:t>ng.h</w:t>
      </w:r>
      <w:proofErr w:type="spellEnd"/>
      <w:r w:rsidRPr="00B469FC">
        <w:rPr>
          <w:rFonts w:eastAsia="Calibri"/>
          <w:lang w:eastAsia="en-AU"/>
        </w:rPr>
        <w:t xml:space="preserve">/mL, respectively, and median </w:t>
      </w:r>
      <w:proofErr w:type="spellStart"/>
      <w:r w:rsidRPr="00B469FC">
        <w:rPr>
          <w:rFonts w:eastAsia="Calibri"/>
          <w:lang w:eastAsia="en-AU"/>
        </w:rPr>
        <w:t>Tmax</w:t>
      </w:r>
      <w:proofErr w:type="spellEnd"/>
      <w:r w:rsidRPr="00B469FC">
        <w:rPr>
          <w:rFonts w:eastAsia="Calibri"/>
          <w:lang w:eastAsia="en-AU"/>
        </w:rPr>
        <w:t xml:space="preserve"> and mean t</w:t>
      </w:r>
      <w:r w:rsidRPr="00B469FC">
        <w:rPr>
          <w:rFonts w:eastAsia="Calibri"/>
          <w:vertAlign w:val="subscript"/>
          <w:lang w:eastAsia="en-AU"/>
        </w:rPr>
        <w:t>1/2</w:t>
      </w:r>
      <w:r w:rsidRPr="00B469FC">
        <w:rPr>
          <w:rFonts w:eastAsia="Calibri"/>
          <w:lang w:eastAsia="en-AU"/>
        </w:rPr>
        <w:t xml:space="preserve"> values were 5.98 h and 31.3 h, respectively. Based on the AUC values for </w:t>
      </w:r>
      <w:r w:rsidRPr="00B469FC">
        <w:rPr>
          <w:rFonts w:eastAsia="Times New Roman"/>
          <w:iCs/>
          <w:lang w:eastAsia="en-AU"/>
        </w:rPr>
        <w:t>N</w:t>
      </w:r>
      <w:r w:rsidRPr="00B469FC">
        <w:rPr>
          <w:rFonts w:eastAsia="Times New Roman"/>
          <w:lang w:eastAsia="en-AU"/>
        </w:rPr>
        <w:t>-</w:t>
      </w:r>
      <w:proofErr w:type="spellStart"/>
      <w:r w:rsidRPr="00B469FC">
        <w:rPr>
          <w:rFonts w:eastAsia="Times New Roman"/>
          <w:lang w:eastAsia="en-AU"/>
        </w:rPr>
        <w:t>desmethyldiltiazem</w:t>
      </w:r>
      <w:proofErr w:type="spellEnd"/>
      <w:r w:rsidRPr="00B469FC">
        <w:rPr>
          <w:rFonts w:eastAsia="Times New Roman"/>
          <w:lang w:eastAsia="en-AU"/>
        </w:rPr>
        <w:t xml:space="preserve"> following topical dosing of DTZ TID or a single oral dose of DTZ, the systemic bioavailability of </w:t>
      </w:r>
      <w:r w:rsidRPr="00B469FC">
        <w:rPr>
          <w:rFonts w:eastAsia="Times New Roman"/>
          <w:iCs/>
          <w:lang w:eastAsia="en-AU"/>
        </w:rPr>
        <w:t>N</w:t>
      </w:r>
      <w:r w:rsidRPr="00B469FC">
        <w:rPr>
          <w:rFonts w:eastAsia="Times New Roman"/>
          <w:lang w:eastAsia="en-AU"/>
        </w:rPr>
        <w:t>-</w:t>
      </w:r>
      <w:proofErr w:type="spellStart"/>
      <w:r w:rsidRPr="00B469FC">
        <w:rPr>
          <w:rFonts w:eastAsia="Times New Roman"/>
          <w:lang w:eastAsia="en-AU"/>
        </w:rPr>
        <w:t>desmethyldiltiazem</w:t>
      </w:r>
      <w:proofErr w:type="spellEnd"/>
      <w:r w:rsidRPr="00B469FC">
        <w:rPr>
          <w:rFonts w:eastAsia="Times New Roman"/>
          <w:lang w:eastAsia="en-AU"/>
        </w:rPr>
        <w:t xml:space="preserve"> following topical administration was approximately 5% of that resulting from oral DTZ. </w:t>
      </w:r>
    </w:p>
    <w:p w:rsidR="009A3E43" w:rsidRDefault="00B469FC" w:rsidP="00DF3C44">
      <w:pPr>
        <w:pStyle w:val="Heading6"/>
        <w:rPr>
          <w:rStyle w:val="Heading7Char"/>
          <w:rFonts w:eastAsia="Calibri"/>
        </w:rPr>
      </w:pPr>
      <w:r w:rsidRPr="009A3E43">
        <w:rPr>
          <w:rStyle w:val="Heading7Char"/>
          <w:rFonts w:eastAsia="Calibri"/>
        </w:rPr>
        <w:t>O</w:t>
      </w:r>
      <w:r w:rsidR="009A3E43">
        <w:rPr>
          <w:rStyle w:val="Heading7Char"/>
          <w:rFonts w:eastAsia="Calibri"/>
        </w:rPr>
        <w:t>-</w:t>
      </w:r>
      <w:proofErr w:type="spellStart"/>
      <w:r w:rsidR="009A3E43">
        <w:rPr>
          <w:rStyle w:val="Heading7Char"/>
          <w:rFonts w:eastAsia="Calibri"/>
        </w:rPr>
        <w:t>desacetyldiltiazem</w:t>
      </w:r>
      <w:proofErr w:type="spellEnd"/>
    </w:p>
    <w:p w:rsidR="00B469FC" w:rsidRPr="00B469FC" w:rsidRDefault="00B469FC" w:rsidP="00B469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rPr>
          <w:rFonts w:eastAsia="Calibri"/>
          <w:lang w:eastAsia="en-AU"/>
        </w:rPr>
      </w:pPr>
      <w:r w:rsidRPr="00B469FC">
        <w:rPr>
          <w:rFonts w:eastAsia="Calibri"/>
          <w:lang w:eastAsia="en-AU"/>
        </w:rPr>
        <w:t xml:space="preserve">The mean </w:t>
      </w:r>
      <w:proofErr w:type="spellStart"/>
      <w:r w:rsidRPr="00B469FC">
        <w:rPr>
          <w:rFonts w:eastAsia="Calibri"/>
          <w:lang w:eastAsia="en-AU"/>
        </w:rPr>
        <w:t>Cmax</w:t>
      </w:r>
      <w:proofErr w:type="spellEnd"/>
      <w:r w:rsidRPr="00B469FC">
        <w:rPr>
          <w:rFonts w:eastAsia="Calibri"/>
          <w:lang w:eastAsia="en-AU"/>
        </w:rPr>
        <w:t xml:space="preserve"> and AUC</w:t>
      </w:r>
      <w:r w:rsidRPr="00B469FC">
        <w:rPr>
          <w:rFonts w:eastAsia="Calibri"/>
          <w:vertAlign w:val="subscript"/>
          <w:lang w:eastAsia="en-AU"/>
        </w:rPr>
        <w:t>0-inf</w:t>
      </w:r>
      <w:r w:rsidRPr="00B469FC">
        <w:rPr>
          <w:rFonts w:eastAsia="Calibri"/>
          <w:lang w:eastAsia="en-AU"/>
        </w:rPr>
        <w:t xml:space="preserve"> values for </w:t>
      </w:r>
      <w:r w:rsidRPr="00B469FC">
        <w:rPr>
          <w:rFonts w:eastAsia="Calibri"/>
          <w:iCs/>
          <w:lang w:eastAsia="en-AU"/>
        </w:rPr>
        <w:t>O</w:t>
      </w:r>
      <w:r w:rsidRPr="00B469FC">
        <w:rPr>
          <w:rFonts w:eastAsia="Calibri"/>
          <w:lang w:eastAsia="en-AU"/>
        </w:rPr>
        <w:t>-</w:t>
      </w:r>
      <w:proofErr w:type="spellStart"/>
      <w:r w:rsidRPr="00B469FC">
        <w:rPr>
          <w:rFonts w:eastAsia="Calibri"/>
          <w:lang w:eastAsia="en-AU"/>
        </w:rPr>
        <w:t>desacetyldiltiazem</w:t>
      </w:r>
      <w:proofErr w:type="spellEnd"/>
      <w:r w:rsidRPr="00B469FC">
        <w:rPr>
          <w:rFonts w:eastAsia="Calibri"/>
          <w:lang w:eastAsia="en-AU"/>
        </w:rPr>
        <w:t xml:space="preserve"> following a single dose of DTZ 2% w/w cream were </w:t>
      </w:r>
      <w:proofErr w:type="gramStart"/>
      <w:r w:rsidRPr="00B469FC">
        <w:rPr>
          <w:rFonts w:eastAsia="Calibri"/>
          <w:lang w:eastAsia="en-AU"/>
        </w:rPr>
        <w:t>0.0125 ng/mL</w:t>
      </w:r>
      <w:proofErr w:type="gramEnd"/>
      <w:r w:rsidRPr="00B469FC">
        <w:rPr>
          <w:rFonts w:eastAsia="Calibri"/>
          <w:lang w:eastAsia="en-AU"/>
        </w:rPr>
        <w:t xml:space="preserve"> and 0.064 </w:t>
      </w:r>
      <w:proofErr w:type="spellStart"/>
      <w:r w:rsidRPr="00B469FC">
        <w:rPr>
          <w:rFonts w:eastAsia="Calibri"/>
          <w:lang w:eastAsia="en-AU"/>
        </w:rPr>
        <w:t>ng.h</w:t>
      </w:r>
      <w:proofErr w:type="spellEnd"/>
      <w:r w:rsidRPr="00B469FC">
        <w:rPr>
          <w:rFonts w:eastAsia="Calibri"/>
          <w:lang w:eastAsia="en-AU"/>
        </w:rPr>
        <w:t xml:space="preserve">/mL, respectively, </w:t>
      </w:r>
      <w:r w:rsidR="009A3E43">
        <w:rPr>
          <w:rFonts w:eastAsia="Calibri"/>
          <w:lang w:eastAsia="en-AU"/>
        </w:rPr>
        <w:t xml:space="preserve">and the median </w:t>
      </w:r>
      <w:proofErr w:type="spellStart"/>
      <w:r w:rsidR="009A3E43">
        <w:rPr>
          <w:rFonts w:eastAsia="Calibri"/>
          <w:lang w:eastAsia="en-AU"/>
        </w:rPr>
        <w:t>Tmax</w:t>
      </w:r>
      <w:proofErr w:type="spellEnd"/>
      <w:r w:rsidR="009A3E43">
        <w:rPr>
          <w:rFonts w:eastAsia="Calibri"/>
          <w:lang w:eastAsia="en-AU"/>
        </w:rPr>
        <w:t xml:space="preserve"> was 3.98 h</w:t>
      </w:r>
      <w:r w:rsidRPr="00B469FC">
        <w:rPr>
          <w:rFonts w:eastAsia="Calibri"/>
          <w:lang w:eastAsia="en-AU"/>
        </w:rPr>
        <w:t>. Following TID doses of DTZ cream, steady state was approached by th</w:t>
      </w:r>
      <w:r w:rsidR="009A3E43">
        <w:rPr>
          <w:rFonts w:eastAsia="Calibri"/>
          <w:lang w:eastAsia="en-AU"/>
        </w:rPr>
        <w:t>e 4th day (</w:t>
      </w:r>
      <w:proofErr w:type="spellStart"/>
      <w:r w:rsidR="009A3E43">
        <w:rPr>
          <w:rFonts w:eastAsia="Calibri"/>
          <w:lang w:eastAsia="en-AU"/>
        </w:rPr>
        <w:t>Cmin</w:t>
      </w:r>
      <w:proofErr w:type="spellEnd"/>
      <w:r w:rsidR="009A3E43">
        <w:rPr>
          <w:rFonts w:eastAsia="Calibri"/>
          <w:lang w:eastAsia="en-AU"/>
        </w:rPr>
        <w:t xml:space="preserve"> = 0.133 ng/mL)</w:t>
      </w:r>
      <w:r w:rsidRPr="00B469FC">
        <w:rPr>
          <w:rFonts w:eastAsia="Calibri"/>
          <w:lang w:eastAsia="en-AU"/>
        </w:rPr>
        <w:t xml:space="preserve">. Mean DTZ </w:t>
      </w:r>
      <w:proofErr w:type="spellStart"/>
      <w:r w:rsidRPr="00B469FC">
        <w:rPr>
          <w:rFonts w:eastAsia="Calibri"/>
          <w:lang w:eastAsia="en-AU"/>
        </w:rPr>
        <w:t>Cmax</w:t>
      </w:r>
      <w:proofErr w:type="spellEnd"/>
      <w:r w:rsidRPr="00B469FC">
        <w:rPr>
          <w:rFonts w:eastAsia="Calibri"/>
          <w:lang w:eastAsia="en-AU"/>
        </w:rPr>
        <w:t xml:space="preserve"> and AUC</w:t>
      </w:r>
      <w:r w:rsidRPr="00B469FC">
        <w:rPr>
          <w:rFonts w:eastAsia="Calibri"/>
          <w:vertAlign w:val="subscript"/>
          <w:lang w:eastAsia="en-AU"/>
        </w:rPr>
        <w:t>0-8h</w:t>
      </w:r>
      <w:r w:rsidRPr="00B469FC">
        <w:rPr>
          <w:rFonts w:eastAsia="Calibri"/>
          <w:lang w:eastAsia="en-AU"/>
        </w:rPr>
        <w:t xml:space="preserve"> values were 0.195 ng/mL and 1.35 </w:t>
      </w:r>
      <w:proofErr w:type="spellStart"/>
      <w:r w:rsidRPr="00B469FC">
        <w:rPr>
          <w:rFonts w:eastAsia="Calibri"/>
          <w:lang w:eastAsia="en-AU"/>
        </w:rPr>
        <w:t>ng.h</w:t>
      </w:r>
      <w:proofErr w:type="spellEnd"/>
      <w:r w:rsidRPr="00B469FC">
        <w:rPr>
          <w:rFonts w:eastAsia="Calibri"/>
          <w:lang w:eastAsia="en-AU"/>
        </w:rPr>
        <w:t xml:space="preserve">/mL, respectively, and median </w:t>
      </w:r>
      <w:proofErr w:type="spellStart"/>
      <w:r w:rsidRPr="00B469FC">
        <w:rPr>
          <w:rFonts w:eastAsia="Calibri"/>
          <w:lang w:eastAsia="en-AU"/>
        </w:rPr>
        <w:t>Tmax</w:t>
      </w:r>
      <w:proofErr w:type="spellEnd"/>
      <w:r w:rsidRPr="00B469FC">
        <w:rPr>
          <w:rFonts w:eastAsia="Calibri"/>
          <w:lang w:eastAsia="en-AU"/>
        </w:rPr>
        <w:t xml:space="preserve"> and mean t</w:t>
      </w:r>
      <w:r w:rsidRPr="00B469FC">
        <w:rPr>
          <w:rFonts w:eastAsia="Calibri"/>
          <w:vertAlign w:val="subscript"/>
          <w:lang w:eastAsia="en-AU"/>
        </w:rPr>
        <w:t>1/2</w:t>
      </w:r>
      <w:r w:rsidRPr="00B469FC">
        <w:rPr>
          <w:rFonts w:eastAsia="Calibri"/>
          <w:lang w:eastAsia="en-AU"/>
        </w:rPr>
        <w:t xml:space="preserve"> values were 4.06 h and 32.0 h, respectively. Based on the AUC values for </w:t>
      </w:r>
      <w:r w:rsidRPr="00B469FC">
        <w:rPr>
          <w:rFonts w:eastAsia="Calibri"/>
          <w:iCs/>
          <w:lang w:eastAsia="en-AU"/>
        </w:rPr>
        <w:t>O</w:t>
      </w:r>
      <w:r w:rsidRPr="00B469FC">
        <w:rPr>
          <w:rFonts w:eastAsia="Calibri"/>
          <w:lang w:eastAsia="en-AU"/>
        </w:rPr>
        <w:t>-</w:t>
      </w:r>
      <w:proofErr w:type="spellStart"/>
      <w:r w:rsidRPr="00B469FC">
        <w:rPr>
          <w:rFonts w:eastAsia="Calibri"/>
          <w:lang w:eastAsia="en-AU"/>
        </w:rPr>
        <w:t>desacetyldiltiazem</w:t>
      </w:r>
      <w:proofErr w:type="spellEnd"/>
      <w:r w:rsidRPr="00B469FC">
        <w:rPr>
          <w:rFonts w:eastAsia="Times New Roman"/>
          <w:lang w:eastAsia="en-AU"/>
        </w:rPr>
        <w:t xml:space="preserve"> following topical dosing of DTZ TID or a single oral dose of DTZ, the systemic bioavailability of </w:t>
      </w:r>
      <w:r w:rsidRPr="00B469FC">
        <w:rPr>
          <w:rFonts w:eastAsia="Calibri"/>
          <w:iCs/>
          <w:lang w:eastAsia="en-AU"/>
        </w:rPr>
        <w:t>O</w:t>
      </w:r>
      <w:r w:rsidRPr="00B469FC">
        <w:rPr>
          <w:rFonts w:eastAsia="Calibri"/>
          <w:lang w:eastAsia="en-AU"/>
        </w:rPr>
        <w:t>-</w:t>
      </w:r>
      <w:proofErr w:type="spellStart"/>
      <w:r w:rsidRPr="00B469FC">
        <w:rPr>
          <w:rFonts w:eastAsia="Calibri"/>
          <w:lang w:eastAsia="en-AU"/>
        </w:rPr>
        <w:t>desacetyldiltiazem</w:t>
      </w:r>
      <w:proofErr w:type="spellEnd"/>
      <w:r w:rsidRPr="00B469FC">
        <w:rPr>
          <w:rFonts w:eastAsia="Times New Roman"/>
          <w:lang w:eastAsia="en-AU"/>
        </w:rPr>
        <w:t xml:space="preserve"> following topical administration was approximately 23% of that resulting from oral DTZ. </w:t>
      </w:r>
    </w:p>
    <w:p w:rsidR="00B469FC" w:rsidRPr="00B469FC" w:rsidRDefault="00B469FC" w:rsidP="009A3E43">
      <w:pPr>
        <w:pStyle w:val="Heading6"/>
        <w:rPr>
          <w:lang w:eastAsia="en-AU"/>
        </w:rPr>
      </w:pPr>
      <w:r w:rsidRPr="00B469FC">
        <w:rPr>
          <w:lang w:eastAsia="en-AU"/>
        </w:rPr>
        <w:t>Consequences of genetic polymorphism</w:t>
      </w:r>
    </w:p>
    <w:p w:rsidR="00B469FC" w:rsidRPr="009A3E43" w:rsidRDefault="00B469FC" w:rsidP="009A3E43">
      <w:r w:rsidRPr="009A3E43">
        <w:t>Not examined.</w:t>
      </w:r>
    </w:p>
    <w:p w:rsidR="00B469FC" w:rsidRPr="00B469FC" w:rsidRDefault="00B469FC" w:rsidP="009A3E43">
      <w:pPr>
        <w:pStyle w:val="Heading5"/>
        <w:rPr>
          <w:lang w:eastAsia="en-AU"/>
        </w:rPr>
      </w:pPr>
      <w:bookmarkStart w:id="72" w:name="_Toc241374289"/>
      <w:bookmarkStart w:id="73" w:name="_Toc272414623"/>
      <w:bookmarkStart w:id="74" w:name="_Toc290888472"/>
      <w:bookmarkStart w:id="75" w:name="_Toc290888623"/>
      <w:bookmarkStart w:id="76" w:name="_Toc442436442"/>
      <w:r w:rsidRPr="00B469FC">
        <w:rPr>
          <w:lang w:eastAsia="en-AU"/>
        </w:rPr>
        <w:t>E</w:t>
      </w:r>
      <w:bookmarkEnd w:id="72"/>
      <w:r w:rsidRPr="00B469FC">
        <w:rPr>
          <w:lang w:eastAsia="en-AU"/>
        </w:rPr>
        <w:t>xcretion</w:t>
      </w:r>
      <w:bookmarkEnd w:id="73"/>
      <w:bookmarkEnd w:id="74"/>
      <w:bookmarkEnd w:id="75"/>
      <w:bookmarkEnd w:id="76"/>
    </w:p>
    <w:p w:rsidR="00B469FC" w:rsidRPr="00B469FC" w:rsidRDefault="00B469FC" w:rsidP="00B469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rPr>
          <w:rFonts w:eastAsia="Times New Roman"/>
          <w:lang w:eastAsia="en-AU"/>
        </w:rPr>
      </w:pPr>
      <w:r w:rsidRPr="00B469FC">
        <w:rPr>
          <w:rFonts w:eastAsia="Times New Roman"/>
          <w:lang w:eastAsia="en-AU"/>
        </w:rPr>
        <w:t>The excretion of DTZ following perianal administration has not been studied. The following statement regarding eliminatio</w:t>
      </w:r>
      <w:r w:rsidR="009A3E43">
        <w:rPr>
          <w:rFonts w:eastAsia="Times New Roman"/>
          <w:lang w:eastAsia="en-AU"/>
        </w:rPr>
        <w:t>n is taken from the proposed PI:</w:t>
      </w:r>
    </w:p>
    <w:p w:rsidR="00B469FC" w:rsidRPr="009A3E43" w:rsidRDefault="00B469FC" w:rsidP="009A3E4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ind w:left="720"/>
        <w:rPr>
          <w:rFonts w:eastAsia="Times New Roman"/>
          <w:i/>
          <w:lang w:eastAsia="en-AU"/>
        </w:rPr>
      </w:pPr>
      <w:r w:rsidRPr="009A3E43">
        <w:rPr>
          <w:rFonts w:eastAsia="Times New Roman"/>
          <w:i/>
          <w:lang w:eastAsia="en-AU"/>
        </w:rPr>
        <w:t xml:space="preserve">Following oral administration, it is eliminated principally as metabolites via the kidneys with an average elimination half-life of 6-8 hours. The apparent elimination half-life for topically applied </w:t>
      </w:r>
      <w:proofErr w:type="spellStart"/>
      <w:r w:rsidRPr="009A3E43">
        <w:rPr>
          <w:rFonts w:eastAsia="Times New Roman"/>
          <w:i/>
          <w:lang w:eastAsia="en-AU"/>
        </w:rPr>
        <w:t>diltiazem</w:t>
      </w:r>
      <w:proofErr w:type="spellEnd"/>
      <w:r w:rsidRPr="009A3E43">
        <w:rPr>
          <w:rFonts w:eastAsia="Times New Roman"/>
          <w:i/>
          <w:lang w:eastAsia="en-AU"/>
        </w:rPr>
        <w:t xml:space="preserve"> hydrochloride may be considerably longer since plasma levels are influenced by continuing transcutaneous flu</w:t>
      </w:r>
      <w:r w:rsidR="009A3E43" w:rsidRPr="009A3E43">
        <w:rPr>
          <w:rFonts w:eastAsia="Times New Roman"/>
          <w:i/>
          <w:lang w:eastAsia="en-AU"/>
        </w:rPr>
        <w:t>x from the site of application.</w:t>
      </w:r>
    </w:p>
    <w:p w:rsidR="00B469FC" w:rsidRPr="00B469FC" w:rsidRDefault="00B469FC" w:rsidP="00B469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rPr>
          <w:rFonts w:eastAsia="Times New Roman"/>
          <w:lang w:eastAsia="en-AU"/>
        </w:rPr>
      </w:pPr>
      <w:r w:rsidRPr="00B469FC">
        <w:rPr>
          <w:rFonts w:eastAsia="Times New Roman"/>
          <w:lang w:eastAsia="en-AU"/>
        </w:rPr>
        <w:t xml:space="preserve">In addition, </w:t>
      </w:r>
      <w:r w:rsidRPr="009A3E43">
        <w:rPr>
          <w:rFonts w:eastAsia="Times New Roman"/>
          <w:lang w:eastAsia="en-AU"/>
        </w:rPr>
        <w:t>Study VEN307-PK-001 provided estimates of the mean elimination constants for DTZ and its two</w:t>
      </w:r>
      <w:r w:rsidRPr="00B469FC">
        <w:rPr>
          <w:rFonts w:eastAsia="Times New Roman"/>
          <w:lang w:eastAsia="en-AU"/>
        </w:rPr>
        <w:t xml:space="preserve"> principal metabolites (</w:t>
      </w:r>
      <w:r w:rsidRPr="00B469FC">
        <w:rPr>
          <w:rFonts w:eastAsia="Calibri"/>
          <w:iCs/>
          <w:lang w:eastAsia="en-AU"/>
        </w:rPr>
        <w:t>N</w:t>
      </w:r>
      <w:r w:rsidRPr="00B469FC">
        <w:rPr>
          <w:rFonts w:eastAsia="Calibri"/>
          <w:lang w:eastAsia="en-AU"/>
        </w:rPr>
        <w:t>-</w:t>
      </w:r>
      <w:proofErr w:type="spellStart"/>
      <w:r w:rsidRPr="00B469FC">
        <w:rPr>
          <w:rFonts w:eastAsia="Calibri"/>
          <w:lang w:eastAsia="en-AU"/>
        </w:rPr>
        <w:t>desmethyldiltiazem</w:t>
      </w:r>
      <w:proofErr w:type="spellEnd"/>
      <w:r w:rsidRPr="00B469FC">
        <w:rPr>
          <w:rFonts w:eastAsia="Calibri"/>
          <w:lang w:eastAsia="en-AU"/>
        </w:rPr>
        <w:t xml:space="preserve"> and </w:t>
      </w:r>
      <w:r w:rsidRPr="00B469FC">
        <w:rPr>
          <w:rFonts w:eastAsia="Calibri"/>
          <w:iCs/>
          <w:lang w:eastAsia="en-AU"/>
        </w:rPr>
        <w:t>O</w:t>
      </w:r>
      <w:r w:rsidRPr="00B469FC">
        <w:rPr>
          <w:rFonts w:eastAsia="Calibri"/>
          <w:lang w:eastAsia="en-AU"/>
        </w:rPr>
        <w:t>-</w:t>
      </w:r>
      <w:proofErr w:type="spellStart"/>
      <w:r w:rsidRPr="00B469FC">
        <w:rPr>
          <w:rFonts w:eastAsia="Calibri"/>
          <w:lang w:eastAsia="en-AU"/>
        </w:rPr>
        <w:t>desacetyldiltiazem</w:t>
      </w:r>
      <w:proofErr w:type="spellEnd"/>
      <w:r w:rsidRPr="00B469FC">
        <w:rPr>
          <w:rFonts w:eastAsia="Calibri"/>
          <w:lang w:eastAsia="en-AU"/>
        </w:rPr>
        <w:t>), following TID application with ANOHEAL cream, of 0.0315/h, 0.025</w:t>
      </w:r>
      <w:r w:rsidR="009A3E43">
        <w:rPr>
          <w:rFonts w:eastAsia="Calibri"/>
          <w:lang w:eastAsia="en-AU"/>
        </w:rPr>
        <w:t>2/h and 0.0239/h, respectively.</w:t>
      </w:r>
    </w:p>
    <w:p w:rsidR="00B469FC" w:rsidRPr="00B469FC" w:rsidRDefault="00B469FC" w:rsidP="009A3E43">
      <w:pPr>
        <w:pStyle w:val="Heading5"/>
        <w:rPr>
          <w:lang w:eastAsia="en-AU"/>
        </w:rPr>
      </w:pPr>
      <w:bookmarkStart w:id="77" w:name="_Toc241374291"/>
      <w:bookmarkStart w:id="78" w:name="_Toc272414624"/>
      <w:bookmarkStart w:id="79" w:name="_Toc290888473"/>
      <w:bookmarkStart w:id="80" w:name="_Toc290888624"/>
      <w:bookmarkStart w:id="81" w:name="_Toc442436443"/>
      <w:r w:rsidRPr="00B469FC">
        <w:rPr>
          <w:lang w:eastAsia="en-AU"/>
        </w:rPr>
        <w:t>Intra- and inter-individual variability</w:t>
      </w:r>
      <w:bookmarkEnd w:id="77"/>
      <w:r w:rsidRPr="00B469FC">
        <w:rPr>
          <w:lang w:eastAsia="en-AU"/>
        </w:rPr>
        <w:t xml:space="preserve"> of pharmacokinetics</w:t>
      </w:r>
      <w:bookmarkEnd w:id="78"/>
      <w:bookmarkEnd w:id="79"/>
      <w:bookmarkEnd w:id="80"/>
      <w:bookmarkEnd w:id="81"/>
    </w:p>
    <w:p w:rsidR="00B469FC" w:rsidRPr="00B469FC" w:rsidRDefault="00B469FC" w:rsidP="00B469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rPr>
          <w:rFonts w:eastAsia="Times New Roman"/>
          <w:lang w:eastAsia="en-AU"/>
        </w:rPr>
      </w:pPr>
      <w:r w:rsidRPr="00B469FC">
        <w:rPr>
          <w:rFonts w:eastAsia="Times New Roman"/>
          <w:lang w:eastAsia="en-AU"/>
        </w:rPr>
        <w:t xml:space="preserve">No </w:t>
      </w:r>
      <w:proofErr w:type="spellStart"/>
      <w:r w:rsidRPr="00B469FC">
        <w:rPr>
          <w:rFonts w:eastAsia="Times New Roman"/>
          <w:lang w:eastAsia="en-AU"/>
        </w:rPr>
        <w:t>PopPK</w:t>
      </w:r>
      <w:proofErr w:type="spellEnd"/>
      <w:r w:rsidRPr="00B469FC">
        <w:rPr>
          <w:rFonts w:eastAsia="Times New Roman"/>
          <w:lang w:eastAsia="en-AU"/>
        </w:rPr>
        <w:t xml:space="preserve"> studies examined the intra- or inter-subject variability associated with the PKs of DTZ following perianal application. However the standard deviations associated with the DTZ PKs parameters </w:t>
      </w:r>
      <w:r w:rsidRPr="009A3E43">
        <w:rPr>
          <w:rFonts w:eastAsia="Times New Roman"/>
          <w:lang w:eastAsia="en-AU"/>
        </w:rPr>
        <w:t>derived in Study VEN307-PK-001 were high.</w:t>
      </w:r>
      <w:r w:rsidRPr="00B469FC">
        <w:rPr>
          <w:rFonts w:eastAsia="Times New Roman"/>
          <w:lang w:eastAsia="en-AU"/>
        </w:rPr>
        <w:t xml:space="preserve"> For instance, following a single topical application of 2% w/w cream the </w:t>
      </w:r>
      <w:proofErr w:type="spellStart"/>
      <w:r w:rsidRPr="00B469FC">
        <w:rPr>
          <w:rFonts w:eastAsia="Times New Roman"/>
          <w:lang w:eastAsia="en-AU"/>
        </w:rPr>
        <w:t>Cmax</w:t>
      </w:r>
      <w:proofErr w:type="spellEnd"/>
      <w:r w:rsidRPr="00B469FC">
        <w:rPr>
          <w:rFonts w:eastAsia="Times New Roman"/>
          <w:lang w:eastAsia="en-AU"/>
        </w:rPr>
        <w:t xml:space="preserve"> and AUC values were 0.80 ng/mL and 20.0 ng/mL, respectively, whereas, the associated %SD values were </w:t>
      </w:r>
      <w:r w:rsidR="009A3E43">
        <w:rPr>
          <w:rFonts w:eastAsia="Times New Roman"/>
          <w:lang w:eastAsia="en-AU"/>
        </w:rPr>
        <w:t xml:space="preserve">± 106% and ± 58%, respectively. </w:t>
      </w:r>
      <w:r w:rsidRPr="00B469FC">
        <w:rPr>
          <w:rFonts w:eastAsia="Times New Roman"/>
          <w:lang w:eastAsia="en-AU"/>
        </w:rPr>
        <w:t xml:space="preserve">By contrast, the %SD values associated with the </w:t>
      </w:r>
      <w:proofErr w:type="spellStart"/>
      <w:r w:rsidRPr="00B469FC">
        <w:rPr>
          <w:rFonts w:eastAsia="Times New Roman"/>
          <w:lang w:eastAsia="en-AU"/>
        </w:rPr>
        <w:t>Cmax</w:t>
      </w:r>
      <w:proofErr w:type="spellEnd"/>
      <w:r w:rsidRPr="00B469FC">
        <w:rPr>
          <w:rFonts w:eastAsia="Times New Roman"/>
          <w:lang w:eastAsia="en-AU"/>
        </w:rPr>
        <w:t xml:space="preserve"> and AUC of DTZ following a single oral dose </w:t>
      </w:r>
      <w:proofErr w:type="gramStart"/>
      <w:r w:rsidRPr="00B469FC">
        <w:rPr>
          <w:rFonts w:eastAsia="Times New Roman"/>
          <w:lang w:eastAsia="en-AU"/>
        </w:rPr>
        <w:t>were</w:t>
      </w:r>
      <w:proofErr w:type="gramEnd"/>
      <w:r w:rsidRPr="00B469FC">
        <w:rPr>
          <w:rFonts w:eastAsia="Times New Roman"/>
          <w:lang w:eastAsia="en-AU"/>
        </w:rPr>
        <w:t xml:space="preserve"> lower and represented variations of ±51% and ±41%, respectively. This increased variability </w:t>
      </w:r>
      <w:r w:rsidRPr="00B469FC">
        <w:rPr>
          <w:rFonts w:eastAsia="Times New Roman"/>
          <w:lang w:eastAsia="en-AU"/>
        </w:rPr>
        <w:lastRenderedPageBreak/>
        <w:t>seen following doses of ANOHEAL cream may in part result from difficulty in providing uniform doses to all patients following topical application of the cream.</w:t>
      </w:r>
    </w:p>
    <w:p w:rsidR="00B469FC" w:rsidRPr="00B469FC" w:rsidRDefault="00B469FC" w:rsidP="009A3E43">
      <w:pPr>
        <w:pStyle w:val="Heading4"/>
      </w:pPr>
      <w:bookmarkStart w:id="82" w:name="_Toc241374292"/>
      <w:bookmarkStart w:id="83" w:name="_Ref271189131"/>
      <w:bookmarkStart w:id="84" w:name="_Ref271189136"/>
      <w:bookmarkStart w:id="85" w:name="_Toc272414625"/>
      <w:bookmarkStart w:id="86" w:name="_Toc290888474"/>
      <w:bookmarkStart w:id="87" w:name="_Toc290888625"/>
      <w:bookmarkStart w:id="88" w:name="_Toc442436444"/>
      <w:r w:rsidRPr="00B469FC">
        <w:t>Pharmacokinetics in the target population</w:t>
      </w:r>
      <w:bookmarkEnd w:id="82"/>
      <w:bookmarkEnd w:id="83"/>
      <w:bookmarkEnd w:id="84"/>
      <w:bookmarkEnd w:id="85"/>
      <w:bookmarkEnd w:id="86"/>
      <w:bookmarkEnd w:id="87"/>
      <w:bookmarkEnd w:id="88"/>
    </w:p>
    <w:p w:rsidR="00B469FC" w:rsidRPr="00B469FC" w:rsidRDefault="00B469FC" w:rsidP="00B469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rPr>
          <w:rFonts w:eastAsia="Times New Roman"/>
          <w:lang w:eastAsia="en-AU"/>
        </w:rPr>
      </w:pPr>
      <w:r w:rsidRPr="00B469FC">
        <w:rPr>
          <w:rFonts w:eastAsia="Times New Roman"/>
          <w:lang w:eastAsia="en-AU"/>
        </w:rPr>
        <w:t>Please see preceding sections.</w:t>
      </w:r>
    </w:p>
    <w:p w:rsidR="00B469FC" w:rsidRPr="00B469FC" w:rsidRDefault="00B469FC" w:rsidP="009A3E43">
      <w:pPr>
        <w:pStyle w:val="Heading4"/>
      </w:pPr>
      <w:bookmarkStart w:id="89" w:name="_Toc241374293"/>
      <w:bookmarkStart w:id="90" w:name="_Toc272414626"/>
      <w:bookmarkStart w:id="91" w:name="_Toc290888475"/>
      <w:bookmarkStart w:id="92" w:name="_Toc290888626"/>
      <w:bookmarkStart w:id="93" w:name="_Toc442436445"/>
      <w:r w:rsidRPr="00B469FC">
        <w:t>Pharmacokinetics in other special populations</w:t>
      </w:r>
      <w:bookmarkEnd w:id="89"/>
      <w:bookmarkEnd w:id="90"/>
      <w:bookmarkEnd w:id="91"/>
      <w:bookmarkEnd w:id="92"/>
      <w:bookmarkEnd w:id="93"/>
    </w:p>
    <w:p w:rsidR="00B469FC" w:rsidRPr="00B469FC" w:rsidRDefault="00B469FC" w:rsidP="00B469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rPr>
          <w:rFonts w:eastAsia="Times New Roman"/>
          <w:lang w:eastAsia="en-AU"/>
        </w:rPr>
      </w:pPr>
      <w:r w:rsidRPr="00B469FC">
        <w:rPr>
          <w:rFonts w:eastAsia="Times New Roman"/>
          <w:lang w:eastAsia="en-AU"/>
        </w:rPr>
        <w:t>No studies examined the PKs of DTZ in special populations following perianal administration of ANOHEAL cream. The proposed PI states the following regarding orally administered DTZ:</w:t>
      </w:r>
    </w:p>
    <w:p w:rsidR="00B469FC" w:rsidRPr="009A3E43" w:rsidRDefault="00B469FC" w:rsidP="009A3E43">
      <w:pPr>
        <w:autoSpaceDE w:val="0"/>
        <w:autoSpaceDN w:val="0"/>
        <w:adjustRightInd w:val="0"/>
        <w:spacing w:before="20" w:line="240" w:lineRule="auto"/>
        <w:ind w:left="720"/>
        <w:rPr>
          <w:rFonts w:eastAsia="Times New Roman"/>
          <w:i/>
          <w:color w:val="000000"/>
          <w:lang w:eastAsia="en-AU"/>
        </w:rPr>
      </w:pPr>
      <w:r w:rsidRPr="009A3E43">
        <w:rPr>
          <w:rFonts w:eastAsia="Times New Roman"/>
          <w:i/>
          <w:color w:val="000000"/>
          <w:lang w:eastAsia="en-AU"/>
        </w:rPr>
        <w:t>Renal impairment is reported to have no significant impact on the pharmacokinetics of</w:t>
      </w:r>
      <w:r w:rsidR="00DF3C44">
        <w:rPr>
          <w:rFonts w:eastAsia="Times New Roman"/>
          <w:i/>
          <w:color w:val="000000"/>
          <w:lang w:eastAsia="en-AU"/>
        </w:rPr>
        <w:t xml:space="preserve"> orally administered </w:t>
      </w:r>
      <w:proofErr w:type="spellStart"/>
      <w:r w:rsidR="00DF3C44">
        <w:rPr>
          <w:rFonts w:eastAsia="Times New Roman"/>
          <w:i/>
          <w:color w:val="000000"/>
          <w:lang w:eastAsia="en-AU"/>
        </w:rPr>
        <w:t>diltiazem</w:t>
      </w:r>
      <w:proofErr w:type="spellEnd"/>
      <w:r w:rsidR="00DF3C44">
        <w:rPr>
          <w:rFonts w:eastAsia="Times New Roman"/>
          <w:i/>
          <w:color w:val="000000"/>
          <w:lang w:eastAsia="en-AU"/>
        </w:rPr>
        <w:t>.</w:t>
      </w:r>
    </w:p>
    <w:p w:rsidR="00B469FC" w:rsidRPr="009A3E43" w:rsidRDefault="00B469FC" w:rsidP="009A3E43">
      <w:pPr>
        <w:autoSpaceDE w:val="0"/>
        <w:autoSpaceDN w:val="0"/>
        <w:adjustRightInd w:val="0"/>
        <w:spacing w:before="20" w:line="240" w:lineRule="auto"/>
        <w:ind w:left="720"/>
        <w:rPr>
          <w:rFonts w:eastAsia="Times New Roman"/>
          <w:i/>
          <w:color w:val="000000"/>
          <w:lang w:eastAsia="en-AU"/>
        </w:rPr>
      </w:pPr>
      <w:r w:rsidRPr="009A3E43">
        <w:rPr>
          <w:rFonts w:eastAsia="Times New Roman"/>
          <w:i/>
          <w:color w:val="000000"/>
          <w:lang w:eastAsia="en-AU"/>
        </w:rPr>
        <w:t>Hepatic impairment may result in reduced oxidative metabolism and, hence, rai</w:t>
      </w:r>
      <w:r w:rsidR="00DF3C44">
        <w:rPr>
          <w:rFonts w:eastAsia="Times New Roman"/>
          <w:i/>
          <w:color w:val="000000"/>
          <w:lang w:eastAsia="en-AU"/>
        </w:rPr>
        <w:t xml:space="preserve">sed plasma levels of </w:t>
      </w:r>
      <w:proofErr w:type="spellStart"/>
      <w:r w:rsidR="00DF3C44">
        <w:rPr>
          <w:rFonts w:eastAsia="Times New Roman"/>
          <w:i/>
          <w:color w:val="000000"/>
          <w:lang w:eastAsia="en-AU"/>
        </w:rPr>
        <w:t>diltiazem</w:t>
      </w:r>
      <w:proofErr w:type="spellEnd"/>
      <w:r w:rsidR="00DF3C44">
        <w:rPr>
          <w:rFonts w:eastAsia="Times New Roman"/>
          <w:i/>
          <w:color w:val="000000"/>
          <w:lang w:eastAsia="en-AU"/>
        </w:rPr>
        <w:t>.</w:t>
      </w:r>
    </w:p>
    <w:p w:rsidR="00B469FC" w:rsidRPr="00B469FC" w:rsidRDefault="00B469FC" w:rsidP="009A3E4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ind w:left="720"/>
        <w:rPr>
          <w:rFonts w:eastAsia="Times New Roman"/>
          <w:lang w:eastAsia="en-AU"/>
        </w:rPr>
      </w:pPr>
      <w:proofErr w:type="spellStart"/>
      <w:r w:rsidRPr="009A3E43">
        <w:rPr>
          <w:rFonts w:eastAsia="Times New Roman"/>
          <w:i/>
          <w:lang w:eastAsia="en-AU"/>
        </w:rPr>
        <w:t>Diltiazem</w:t>
      </w:r>
      <w:proofErr w:type="spellEnd"/>
      <w:r w:rsidRPr="009A3E43">
        <w:rPr>
          <w:rFonts w:eastAsia="Times New Roman"/>
          <w:i/>
          <w:lang w:eastAsia="en-AU"/>
        </w:rPr>
        <w:t xml:space="preserve"> is present in breast milk following oral administration. For this reason, use of ANOHEAL is co</w:t>
      </w:r>
      <w:r w:rsidR="009A3E43" w:rsidRPr="009A3E43">
        <w:rPr>
          <w:rFonts w:eastAsia="Times New Roman"/>
          <w:i/>
          <w:lang w:eastAsia="en-AU"/>
        </w:rPr>
        <w:t>ntraindicated during lactation.</w:t>
      </w:r>
    </w:p>
    <w:p w:rsidR="00B469FC" w:rsidRPr="00B469FC" w:rsidRDefault="00B469FC" w:rsidP="009A3E43">
      <w:pPr>
        <w:pStyle w:val="Heading4"/>
      </w:pPr>
      <w:bookmarkStart w:id="94" w:name="_Toc241374294"/>
      <w:bookmarkStart w:id="95" w:name="_Toc272414632"/>
      <w:bookmarkStart w:id="96" w:name="_Toc290888481"/>
      <w:bookmarkStart w:id="97" w:name="_Toc290888632"/>
      <w:bookmarkStart w:id="98" w:name="_Toc442436446"/>
      <w:r w:rsidRPr="00B469FC">
        <w:t>Pharmacokinetic interactions</w:t>
      </w:r>
      <w:bookmarkEnd w:id="94"/>
      <w:bookmarkEnd w:id="95"/>
      <w:bookmarkEnd w:id="96"/>
      <w:bookmarkEnd w:id="97"/>
      <w:bookmarkEnd w:id="98"/>
    </w:p>
    <w:p w:rsidR="00B469FC" w:rsidRPr="00B469FC" w:rsidRDefault="00B469FC" w:rsidP="009A3E43">
      <w:pPr>
        <w:pStyle w:val="Heading5"/>
        <w:rPr>
          <w:lang w:eastAsia="en-AU"/>
        </w:rPr>
      </w:pPr>
      <w:bookmarkStart w:id="99" w:name="_Toc272414633"/>
      <w:bookmarkStart w:id="100" w:name="_Toc290888482"/>
      <w:bookmarkStart w:id="101" w:name="_Toc290888633"/>
      <w:bookmarkStart w:id="102" w:name="_Toc442436447"/>
      <w:r w:rsidRPr="00B469FC">
        <w:rPr>
          <w:lang w:eastAsia="en-AU"/>
        </w:rPr>
        <w:t>Pharmacokinetic interactions demonstrated in human studies</w:t>
      </w:r>
      <w:bookmarkEnd w:id="99"/>
      <w:bookmarkEnd w:id="100"/>
      <w:bookmarkEnd w:id="101"/>
      <w:bookmarkEnd w:id="102"/>
    </w:p>
    <w:p w:rsidR="00B469FC" w:rsidRPr="00B469FC" w:rsidRDefault="00B469FC" w:rsidP="00B469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rPr>
          <w:rFonts w:eastAsia="Times New Roman"/>
          <w:lang w:eastAsia="en-AU"/>
        </w:rPr>
      </w:pPr>
      <w:r w:rsidRPr="00B469FC">
        <w:rPr>
          <w:rFonts w:eastAsia="Times New Roman"/>
          <w:lang w:eastAsia="en-AU"/>
        </w:rPr>
        <w:t>No studies examined DDIs following perianal administration of ANOHEAL cream. The proposed PI states the following regarding orally administered DTZ:</w:t>
      </w:r>
    </w:p>
    <w:p w:rsidR="00B469FC" w:rsidRPr="009A3E43" w:rsidRDefault="00B469FC" w:rsidP="009A3E4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ind w:left="864"/>
        <w:rPr>
          <w:rFonts w:eastAsia="Times New Roman"/>
          <w:i/>
          <w:lang w:eastAsia="en-AU"/>
        </w:rPr>
      </w:pPr>
      <w:r w:rsidRPr="009A3E43">
        <w:rPr>
          <w:rFonts w:eastAsia="Times New Roman"/>
          <w:i/>
          <w:lang w:eastAsia="en-AU"/>
        </w:rPr>
        <w:t xml:space="preserve">It [sic: DTZ] does not appear to be altered by digoxin, hydrochlorothiazide, propranolol, salicylic acid, or warfarin. However, </w:t>
      </w:r>
      <w:proofErr w:type="spellStart"/>
      <w:r w:rsidRPr="009A3E43">
        <w:rPr>
          <w:rFonts w:eastAsia="Times New Roman"/>
          <w:i/>
          <w:lang w:eastAsia="en-AU"/>
        </w:rPr>
        <w:t>diltiazem</w:t>
      </w:r>
      <w:proofErr w:type="spellEnd"/>
      <w:r w:rsidRPr="009A3E43">
        <w:rPr>
          <w:rFonts w:eastAsia="Times New Roman"/>
          <w:i/>
          <w:lang w:eastAsia="en-AU"/>
        </w:rPr>
        <w:t xml:space="preserve"> may affect blood levels of carbamazepine, </w:t>
      </w:r>
      <w:proofErr w:type="spellStart"/>
      <w:r w:rsidRPr="009A3E43">
        <w:rPr>
          <w:rFonts w:eastAsia="Times New Roman"/>
          <w:i/>
          <w:lang w:eastAsia="en-AU"/>
        </w:rPr>
        <w:t>ciclospori</w:t>
      </w:r>
      <w:r w:rsidR="009A3E43" w:rsidRPr="009A3E43">
        <w:rPr>
          <w:rFonts w:eastAsia="Times New Roman"/>
          <w:i/>
          <w:lang w:eastAsia="en-AU"/>
        </w:rPr>
        <w:t>n</w:t>
      </w:r>
      <w:proofErr w:type="spellEnd"/>
      <w:r w:rsidR="009A3E43" w:rsidRPr="009A3E43">
        <w:rPr>
          <w:rFonts w:eastAsia="Times New Roman"/>
          <w:i/>
          <w:lang w:eastAsia="en-AU"/>
        </w:rPr>
        <w:t>, theophylline, and phenytoin.</w:t>
      </w:r>
    </w:p>
    <w:p w:rsidR="00B469FC" w:rsidRPr="00B469FC" w:rsidRDefault="00B469FC" w:rsidP="009A3E43">
      <w:pPr>
        <w:pStyle w:val="Heading5"/>
        <w:rPr>
          <w:lang w:eastAsia="en-AU"/>
        </w:rPr>
      </w:pPr>
      <w:bookmarkStart w:id="103" w:name="_Toc272414634"/>
      <w:bookmarkStart w:id="104" w:name="_Toc290888483"/>
      <w:bookmarkStart w:id="105" w:name="_Toc290888634"/>
      <w:bookmarkStart w:id="106" w:name="_Toc442436448"/>
      <w:r w:rsidRPr="00B469FC">
        <w:rPr>
          <w:lang w:eastAsia="en-AU"/>
        </w:rPr>
        <w:t>Clinical implications of in vitro findings</w:t>
      </w:r>
      <w:bookmarkEnd w:id="103"/>
      <w:bookmarkEnd w:id="104"/>
      <w:bookmarkEnd w:id="105"/>
      <w:bookmarkEnd w:id="106"/>
    </w:p>
    <w:p w:rsidR="00B469FC" w:rsidRPr="009A3E43" w:rsidRDefault="00B469FC" w:rsidP="009A3E43">
      <w:r w:rsidRPr="009A3E43">
        <w:t>No studies.</w:t>
      </w:r>
    </w:p>
    <w:p w:rsidR="00B469FC" w:rsidRPr="00B469FC" w:rsidRDefault="00B469FC" w:rsidP="009A3E43">
      <w:pPr>
        <w:pStyle w:val="Heading3"/>
      </w:pPr>
      <w:bookmarkStart w:id="107" w:name="_Toc241374296"/>
      <w:bookmarkStart w:id="108" w:name="_Ref269982040"/>
      <w:bookmarkStart w:id="109" w:name="_Ref271018704"/>
      <w:bookmarkStart w:id="110" w:name="_Ref271018755"/>
      <w:bookmarkStart w:id="111" w:name="_Toc272414635"/>
      <w:bookmarkStart w:id="112" w:name="_Toc290888484"/>
      <w:bookmarkStart w:id="113" w:name="_Toc290888635"/>
      <w:bookmarkStart w:id="114" w:name="_Toc442436449"/>
      <w:bookmarkStart w:id="115" w:name="_Toc485825981"/>
      <w:r w:rsidRPr="00B469FC">
        <w:t>Evaluator’s overall conclusions on pharmacokinetics</w:t>
      </w:r>
      <w:bookmarkEnd w:id="107"/>
      <w:bookmarkEnd w:id="108"/>
      <w:bookmarkEnd w:id="109"/>
      <w:bookmarkEnd w:id="110"/>
      <w:bookmarkEnd w:id="111"/>
      <w:bookmarkEnd w:id="112"/>
      <w:bookmarkEnd w:id="113"/>
      <w:bookmarkEnd w:id="114"/>
      <w:bookmarkEnd w:id="115"/>
    </w:p>
    <w:p w:rsidR="00B469FC" w:rsidRPr="00B469FC" w:rsidRDefault="00B469FC" w:rsidP="009A3E43">
      <w:pPr>
        <w:pStyle w:val="ListBullet"/>
        <w:rPr>
          <w:rFonts w:eastAsia="Calibri"/>
          <w:lang w:eastAsia="en-AU"/>
        </w:rPr>
      </w:pPr>
      <w:r w:rsidRPr="00B469FC">
        <w:rPr>
          <w:lang w:eastAsia="en-AU"/>
        </w:rPr>
        <w:t xml:space="preserve">ANOHEAL 2% w/w cream is topically administered to the perianal area. Following administration of the formulation proposed for marketing, at a dose of </w:t>
      </w:r>
      <w:r w:rsidRPr="00B469FC">
        <w:rPr>
          <w:rFonts w:eastAsia="Calibri" w:cs="Arial"/>
          <w:color w:val="000000"/>
        </w:rPr>
        <w:t xml:space="preserve">approximately 8.5 mg DTZ, the median </w:t>
      </w:r>
      <w:proofErr w:type="spellStart"/>
      <w:r w:rsidRPr="00B469FC">
        <w:rPr>
          <w:rFonts w:eastAsia="Calibri" w:cs="Arial"/>
          <w:color w:val="000000"/>
        </w:rPr>
        <w:t>Tmax</w:t>
      </w:r>
      <w:proofErr w:type="spellEnd"/>
      <w:r w:rsidRPr="00B469FC">
        <w:rPr>
          <w:rFonts w:eastAsia="Calibri" w:cs="Arial"/>
          <w:color w:val="000000"/>
        </w:rPr>
        <w:t xml:space="preserve"> (range) </w:t>
      </w:r>
      <w:r w:rsidRPr="00B469FC">
        <w:rPr>
          <w:rFonts w:eastAsia="Calibri"/>
          <w:lang w:eastAsia="en-AU"/>
        </w:rPr>
        <w:t>occurred at 4.04 h (1.00-24.0 h).</w:t>
      </w:r>
    </w:p>
    <w:p w:rsidR="00B469FC" w:rsidRPr="00B469FC" w:rsidRDefault="00B469FC" w:rsidP="009A3E43">
      <w:pPr>
        <w:pStyle w:val="ListBullet"/>
        <w:rPr>
          <w:lang w:eastAsia="en-AU"/>
        </w:rPr>
      </w:pPr>
      <w:r w:rsidRPr="00B469FC">
        <w:rPr>
          <w:rFonts w:eastAsia="Calibri" w:cs="Arial"/>
          <w:color w:val="000000"/>
        </w:rPr>
        <w:t>The</w:t>
      </w:r>
      <w:r w:rsidRPr="00B469FC">
        <w:rPr>
          <w:lang w:eastAsia="en-AU"/>
        </w:rPr>
        <w:t xml:space="preserve"> relative bioavailability of a single, topical, perianal administration of ANOHEAL cream compared to a single oral dose of DTZ was 30%.</w:t>
      </w:r>
    </w:p>
    <w:p w:rsidR="00B469FC" w:rsidRPr="00B469FC" w:rsidRDefault="00B469FC" w:rsidP="009A3E43">
      <w:pPr>
        <w:pStyle w:val="ListBullet"/>
        <w:rPr>
          <w:szCs w:val="24"/>
          <w:lang w:eastAsia="en-AU"/>
        </w:rPr>
      </w:pPr>
      <w:r w:rsidRPr="00B469FC">
        <w:rPr>
          <w:i/>
          <w:szCs w:val="24"/>
          <w:lang w:eastAsia="en-AU"/>
        </w:rPr>
        <w:t>In vitro</w:t>
      </w:r>
      <w:r w:rsidRPr="00B469FC">
        <w:rPr>
          <w:szCs w:val="24"/>
          <w:lang w:eastAsia="en-AU"/>
        </w:rPr>
        <w:t xml:space="preserve"> studies indicated that the proposed commercial formulation of DTZ cream demonstrated higher skin permeability than the other aqueous formulations and a non-aqueous formulation tested.</w:t>
      </w:r>
    </w:p>
    <w:p w:rsidR="00B469FC" w:rsidRPr="00B469FC" w:rsidRDefault="00B469FC" w:rsidP="009A3E43">
      <w:pPr>
        <w:pStyle w:val="ListBullet"/>
        <w:rPr>
          <w:rFonts w:cs="Calibri"/>
          <w:lang w:eastAsia="en-AU"/>
        </w:rPr>
      </w:pPr>
      <w:r w:rsidRPr="00B469FC">
        <w:rPr>
          <w:szCs w:val="24"/>
          <w:lang w:eastAsia="en-AU"/>
        </w:rPr>
        <w:t xml:space="preserve">A study, which utilised a slightly different formulation of DTZ cream to the one proposed for marketing, indicated that </w:t>
      </w:r>
      <w:r w:rsidRPr="00B469FC">
        <w:rPr>
          <w:rFonts w:cs="Calibri"/>
          <w:lang w:eastAsia="en-AU"/>
        </w:rPr>
        <w:t>DTZ exposure increased dose dependently; however, the increase in exposure was not dose proportional. T</w:t>
      </w:r>
      <w:r w:rsidRPr="00B469FC">
        <w:rPr>
          <w:lang w:eastAsia="en-AU"/>
        </w:rPr>
        <w:t>he systemic bioavailability of DTZ following topical administration was approximately 15% of that for a single oral dose of DTZ.</w:t>
      </w:r>
    </w:p>
    <w:p w:rsidR="00B469FC" w:rsidRPr="00B469FC" w:rsidRDefault="00B469FC" w:rsidP="009A3E43">
      <w:pPr>
        <w:pStyle w:val="ListBullet"/>
        <w:rPr>
          <w:lang w:eastAsia="en-AU"/>
        </w:rPr>
      </w:pPr>
      <w:r w:rsidRPr="00B469FC">
        <w:rPr>
          <w:lang w:eastAsia="en-AU"/>
        </w:rPr>
        <w:t>Steady-state DTZ exposure was approached following 4 days of topical dosing TID with ANOHEAL cream.</w:t>
      </w:r>
    </w:p>
    <w:p w:rsidR="00B469FC" w:rsidRPr="00B469FC" w:rsidRDefault="00B469FC" w:rsidP="009A3E43">
      <w:pPr>
        <w:pStyle w:val="ListBullet"/>
        <w:rPr>
          <w:lang w:eastAsia="en-AU"/>
        </w:rPr>
      </w:pPr>
      <w:proofErr w:type="spellStart"/>
      <w:r w:rsidRPr="00B469FC">
        <w:rPr>
          <w:lang w:eastAsia="en-AU"/>
        </w:rPr>
        <w:t>Diltiazem</w:t>
      </w:r>
      <w:proofErr w:type="spellEnd"/>
      <w:r w:rsidRPr="00B469FC">
        <w:rPr>
          <w:lang w:eastAsia="en-AU"/>
        </w:rPr>
        <w:t xml:space="preserve"> is metabolised extensively in the liver. The principal metabolites are N-</w:t>
      </w:r>
      <w:proofErr w:type="spellStart"/>
      <w:r w:rsidRPr="00B469FC">
        <w:rPr>
          <w:lang w:eastAsia="en-AU"/>
        </w:rPr>
        <w:t>desmethyldiltiazem</w:t>
      </w:r>
      <w:proofErr w:type="spellEnd"/>
      <w:r w:rsidRPr="00B469FC">
        <w:rPr>
          <w:lang w:eastAsia="en-AU"/>
        </w:rPr>
        <w:t xml:space="preserve"> and O-</w:t>
      </w:r>
      <w:proofErr w:type="spellStart"/>
      <w:r w:rsidRPr="00B469FC">
        <w:rPr>
          <w:lang w:eastAsia="en-AU"/>
        </w:rPr>
        <w:t>desacetyldiltiazem</w:t>
      </w:r>
      <w:proofErr w:type="spellEnd"/>
      <w:r w:rsidRPr="00B469FC">
        <w:rPr>
          <w:lang w:eastAsia="en-AU"/>
        </w:rPr>
        <w:t>.</w:t>
      </w:r>
    </w:p>
    <w:p w:rsidR="00B469FC" w:rsidRPr="00B469FC" w:rsidRDefault="00B469FC" w:rsidP="009A3E43">
      <w:pPr>
        <w:pStyle w:val="ListBullet"/>
        <w:rPr>
          <w:lang w:eastAsia="en-AU"/>
        </w:rPr>
      </w:pPr>
      <w:r w:rsidRPr="00B469FC">
        <w:rPr>
          <w:lang w:eastAsia="en-AU"/>
        </w:rPr>
        <w:t xml:space="preserve">The systemic bioavailability of </w:t>
      </w:r>
      <w:r w:rsidRPr="00B469FC">
        <w:rPr>
          <w:iCs/>
          <w:lang w:eastAsia="en-AU"/>
        </w:rPr>
        <w:t>N</w:t>
      </w:r>
      <w:r w:rsidRPr="00B469FC">
        <w:rPr>
          <w:lang w:eastAsia="en-AU"/>
        </w:rPr>
        <w:t>-</w:t>
      </w:r>
      <w:proofErr w:type="spellStart"/>
      <w:r w:rsidRPr="00B469FC">
        <w:rPr>
          <w:lang w:eastAsia="en-AU"/>
        </w:rPr>
        <w:t>desmethyldiltiazem</w:t>
      </w:r>
      <w:proofErr w:type="spellEnd"/>
      <w:r w:rsidRPr="00B469FC">
        <w:rPr>
          <w:lang w:eastAsia="en-AU"/>
        </w:rPr>
        <w:t xml:space="preserve"> following topical administration was approximately 5% of that resulting from oral DTZ, whereas the systemic bioavailability of </w:t>
      </w:r>
      <w:r w:rsidRPr="00B469FC">
        <w:rPr>
          <w:rFonts w:eastAsia="Calibri"/>
          <w:iCs/>
          <w:lang w:eastAsia="en-AU"/>
        </w:rPr>
        <w:t>O</w:t>
      </w:r>
      <w:r w:rsidRPr="00B469FC">
        <w:rPr>
          <w:rFonts w:eastAsia="Calibri"/>
          <w:lang w:eastAsia="en-AU"/>
        </w:rPr>
        <w:t>-</w:t>
      </w:r>
      <w:proofErr w:type="spellStart"/>
      <w:r w:rsidRPr="00B469FC">
        <w:rPr>
          <w:rFonts w:eastAsia="Calibri"/>
          <w:lang w:eastAsia="en-AU"/>
        </w:rPr>
        <w:t>desacetyldiltiazem</w:t>
      </w:r>
      <w:proofErr w:type="spellEnd"/>
      <w:r w:rsidRPr="00B469FC">
        <w:rPr>
          <w:lang w:eastAsia="en-AU"/>
        </w:rPr>
        <w:t xml:space="preserve"> following topical administration was approximately 23% of that resulting from oral DTZ.</w:t>
      </w:r>
    </w:p>
    <w:p w:rsidR="00B469FC" w:rsidRPr="00B469FC" w:rsidRDefault="00B469FC" w:rsidP="009A3E43">
      <w:pPr>
        <w:pStyle w:val="ListBullet"/>
        <w:rPr>
          <w:rFonts w:eastAsia="Calibri"/>
          <w:lang w:eastAsia="en-AU"/>
        </w:rPr>
      </w:pPr>
      <w:r w:rsidRPr="00B469FC">
        <w:rPr>
          <w:rFonts w:eastAsia="Calibri"/>
          <w:lang w:eastAsia="en-AU"/>
        </w:rPr>
        <w:lastRenderedPageBreak/>
        <w:t>Following TID application with ANOHEAL cream, t</w:t>
      </w:r>
      <w:r w:rsidRPr="00B469FC">
        <w:rPr>
          <w:lang w:eastAsia="en-AU"/>
        </w:rPr>
        <w:t>he mean elimination constants for DTZ and its two principal metabolites (</w:t>
      </w:r>
      <w:r w:rsidRPr="00B469FC">
        <w:rPr>
          <w:rFonts w:eastAsia="Calibri"/>
          <w:iCs/>
          <w:lang w:eastAsia="en-AU"/>
        </w:rPr>
        <w:t>N</w:t>
      </w:r>
      <w:r w:rsidRPr="00B469FC">
        <w:rPr>
          <w:rFonts w:eastAsia="Calibri"/>
          <w:lang w:eastAsia="en-AU"/>
        </w:rPr>
        <w:t>-</w:t>
      </w:r>
      <w:proofErr w:type="spellStart"/>
      <w:r w:rsidRPr="00B469FC">
        <w:rPr>
          <w:rFonts w:eastAsia="Calibri"/>
          <w:lang w:eastAsia="en-AU"/>
        </w:rPr>
        <w:t>desmethyldiltiazem</w:t>
      </w:r>
      <w:proofErr w:type="spellEnd"/>
      <w:r w:rsidRPr="00B469FC">
        <w:rPr>
          <w:rFonts w:eastAsia="Calibri"/>
          <w:lang w:eastAsia="en-AU"/>
        </w:rPr>
        <w:t xml:space="preserve"> and </w:t>
      </w:r>
      <w:r w:rsidRPr="00B469FC">
        <w:rPr>
          <w:rFonts w:eastAsia="Calibri"/>
          <w:iCs/>
          <w:lang w:eastAsia="en-AU"/>
        </w:rPr>
        <w:t>O</w:t>
      </w:r>
      <w:r w:rsidRPr="00B469FC">
        <w:rPr>
          <w:rFonts w:eastAsia="Calibri"/>
          <w:lang w:eastAsia="en-AU"/>
        </w:rPr>
        <w:t>-</w:t>
      </w:r>
      <w:proofErr w:type="spellStart"/>
      <w:r w:rsidRPr="00B469FC">
        <w:rPr>
          <w:rFonts w:eastAsia="Calibri"/>
          <w:lang w:eastAsia="en-AU"/>
        </w:rPr>
        <w:t>desacetyldiltiazem</w:t>
      </w:r>
      <w:proofErr w:type="spellEnd"/>
      <w:r w:rsidRPr="00B469FC">
        <w:rPr>
          <w:rFonts w:eastAsia="Calibri"/>
          <w:lang w:eastAsia="en-AU"/>
        </w:rPr>
        <w:t>), was 0.0315/h, 0.0252/h and 0.0239/h, respectively.</w:t>
      </w:r>
    </w:p>
    <w:p w:rsidR="00B469FC" w:rsidRPr="00B469FC" w:rsidRDefault="00B469FC" w:rsidP="009A3E43">
      <w:pPr>
        <w:pStyle w:val="ListBullet"/>
        <w:rPr>
          <w:lang w:eastAsia="en-AU"/>
        </w:rPr>
      </w:pPr>
      <w:r w:rsidRPr="00B469FC">
        <w:rPr>
          <w:rFonts w:eastAsia="Calibri"/>
          <w:lang w:eastAsia="en-AU"/>
        </w:rPr>
        <w:t>As expected t</w:t>
      </w:r>
      <w:r w:rsidRPr="00B469FC">
        <w:rPr>
          <w:lang w:eastAsia="en-AU"/>
        </w:rPr>
        <w:t>he SD values associated with the DTZ PKs parameters following topical administration were relatively higher than those associated with DTZ PKs following a single oral dose.</w:t>
      </w:r>
    </w:p>
    <w:p w:rsidR="00B469FC" w:rsidRPr="00B469FC" w:rsidRDefault="00B469FC" w:rsidP="004B57BD">
      <w:pPr>
        <w:pStyle w:val="Heading4"/>
      </w:pPr>
      <w:r w:rsidRPr="00B469FC">
        <w:t>Limitations of PK studies</w:t>
      </w:r>
    </w:p>
    <w:p w:rsidR="00B469FC" w:rsidRPr="00B469FC" w:rsidRDefault="00B469FC" w:rsidP="004B57BD">
      <w:pPr>
        <w:pStyle w:val="ListBullet"/>
        <w:rPr>
          <w:b/>
          <w:szCs w:val="24"/>
          <w:lang w:eastAsia="en-AU"/>
        </w:rPr>
      </w:pPr>
      <w:r w:rsidRPr="00B469FC">
        <w:rPr>
          <w:lang w:eastAsia="en-AU"/>
        </w:rPr>
        <w:t>No dedicated PK trials examined the PKs of DTZ cream in healthy subjects.</w:t>
      </w:r>
    </w:p>
    <w:p w:rsidR="00B469FC" w:rsidRPr="00B469FC" w:rsidRDefault="00B469FC" w:rsidP="004B57BD">
      <w:pPr>
        <w:pStyle w:val="ListBullet"/>
        <w:rPr>
          <w:lang w:eastAsia="en-AU"/>
        </w:rPr>
      </w:pPr>
      <w:r w:rsidRPr="00B469FC">
        <w:rPr>
          <w:lang w:eastAsia="en-AU"/>
        </w:rPr>
        <w:t>No clinical studies contained in this submission examined the absolute bi</w:t>
      </w:r>
      <w:r w:rsidR="00DF3C44">
        <w:rPr>
          <w:lang w:eastAsia="en-AU"/>
        </w:rPr>
        <w:t>oavailability of ANOHEAL cream.</w:t>
      </w:r>
    </w:p>
    <w:p w:rsidR="00B469FC" w:rsidRPr="00B469FC" w:rsidRDefault="00B469FC" w:rsidP="004B57BD">
      <w:pPr>
        <w:pStyle w:val="ListBullet"/>
        <w:rPr>
          <w:lang w:eastAsia="en-AU"/>
        </w:rPr>
      </w:pPr>
      <w:r w:rsidRPr="00B469FC">
        <w:rPr>
          <w:lang w:eastAsia="en-AU"/>
        </w:rPr>
        <w:t>No clinical studies directly compared the PKs of the cream formulation proposed for commercialisation and the other formulations described in the Formulation Deve</w:t>
      </w:r>
      <w:r w:rsidR="00DF3C44">
        <w:rPr>
          <w:lang w:eastAsia="en-AU"/>
        </w:rPr>
        <w:t>lopment section of this report.</w:t>
      </w:r>
    </w:p>
    <w:p w:rsidR="00B469FC" w:rsidRPr="00B469FC" w:rsidRDefault="00B469FC" w:rsidP="004B57BD">
      <w:pPr>
        <w:pStyle w:val="ListBullet"/>
        <w:rPr>
          <w:lang w:eastAsia="en-AU"/>
        </w:rPr>
      </w:pPr>
      <w:r w:rsidRPr="00B469FC">
        <w:rPr>
          <w:lang w:eastAsia="en-AU"/>
        </w:rPr>
        <w:t>No dedicated PK/PD studies examined dose proportionality following application of the form</w:t>
      </w:r>
      <w:r w:rsidR="00DF3C44">
        <w:rPr>
          <w:lang w:eastAsia="en-AU"/>
        </w:rPr>
        <w:t>ulation proposed for marketing.</w:t>
      </w:r>
    </w:p>
    <w:p w:rsidR="00B469FC" w:rsidRPr="00B469FC" w:rsidRDefault="00B469FC" w:rsidP="004B57BD">
      <w:pPr>
        <w:pStyle w:val="ListBullet"/>
        <w:rPr>
          <w:lang w:eastAsia="en-AU"/>
        </w:rPr>
      </w:pPr>
      <w:r w:rsidRPr="00B469FC">
        <w:rPr>
          <w:lang w:eastAsia="en-AU"/>
        </w:rPr>
        <w:t>No clinical studies examined the distribution of DTZ following perianal application.</w:t>
      </w:r>
    </w:p>
    <w:p w:rsidR="00B469FC" w:rsidRPr="00B469FC" w:rsidRDefault="00B469FC" w:rsidP="004B57BD">
      <w:pPr>
        <w:pStyle w:val="ListBullet"/>
        <w:rPr>
          <w:lang w:eastAsia="en-AU"/>
        </w:rPr>
      </w:pPr>
      <w:r w:rsidRPr="00B469FC">
        <w:rPr>
          <w:lang w:eastAsia="en-AU"/>
        </w:rPr>
        <w:t>No clinical studies examined the sites of DTZ metabolism and mechanisms involved following perianal application.</w:t>
      </w:r>
    </w:p>
    <w:p w:rsidR="00B469FC" w:rsidRPr="00B469FC" w:rsidRDefault="00B469FC" w:rsidP="004B57BD">
      <w:pPr>
        <w:pStyle w:val="ListBullet"/>
        <w:rPr>
          <w:lang w:eastAsia="en-AU"/>
        </w:rPr>
      </w:pPr>
      <w:r w:rsidRPr="00B469FC">
        <w:rPr>
          <w:lang w:eastAsia="en-AU"/>
        </w:rPr>
        <w:t xml:space="preserve">No </w:t>
      </w:r>
      <w:proofErr w:type="spellStart"/>
      <w:r w:rsidRPr="00B469FC">
        <w:rPr>
          <w:lang w:eastAsia="en-AU"/>
        </w:rPr>
        <w:t>PopPK</w:t>
      </w:r>
      <w:proofErr w:type="spellEnd"/>
      <w:r w:rsidRPr="00B469FC">
        <w:rPr>
          <w:lang w:eastAsia="en-AU"/>
        </w:rPr>
        <w:t xml:space="preserve"> studies examined the intra- or inter-subject variability associated with the PKs of DTZ </w:t>
      </w:r>
      <w:r w:rsidR="00DF3C44">
        <w:rPr>
          <w:lang w:eastAsia="en-AU"/>
        </w:rPr>
        <w:t>following perianal application.</w:t>
      </w:r>
    </w:p>
    <w:p w:rsidR="00B469FC" w:rsidRPr="00B469FC" w:rsidRDefault="00B469FC" w:rsidP="004B57BD">
      <w:pPr>
        <w:pStyle w:val="ListBullet"/>
        <w:rPr>
          <w:lang w:eastAsia="en-AU"/>
        </w:rPr>
      </w:pPr>
      <w:r w:rsidRPr="00B469FC">
        <w:rPr>
          <w:lang w:eastAsia="en-AU"/>
        </w:rPr>
        <w:t>No studies examined the PKs of DTZ in special populations following perianal a</w:t>
      </w:r>
      <w:r w:rsidR="00DF3C44">
        <w:rPr>
          <w:lang w:eastAsia="en-AU"/>
        </w:rPr>
        <w:t>dministration of ANOHEAL cream.</w:t>
      </w:r>
    </w:p>
    <w:p w:rsidR="00B469FC" w:rsidRPr="00B469FC" w:rsidRDefault="00B469FC" w:rsidP="004B57BD">
      <w:pPr>
        <w:pStyle w:val="ListBullet"/>
        <w:rPr>
          <w:lang w:eastAsia="en-AU"/>
        </w:rPr>
      </w:pPr>
      <w:r w:rsidRPr="00B469FC">
        <w:rPr>
          <w:lang w:eastAsia="en-AU"/>
        </w:rPr>
        <w:t>No studies examined DDIs following perianal a</w:t>
      </w:r>
      <w:r w:rsidR="00DF3C44">
        <w:rPr>
          <w:lang w:eastAsia="en-AU"/>
        </w:rPr>
        <w:t>dministration of ANOHEAL cream.</w:t>
      </w:r>
    </w:p>
    <w:p w:rsidR="00B469FC" w:rsidRPr="00B469FC" w:rsidRDefault="00B469FC" w:rsidP="004B57BD">
      <w:pPr>
        <w:pStyle w:val="ListBullet"/>
        <w:rPr>
          <w:lang w:eastAsia="en-AU"/>
        </w:rPr>
      </w:pPr>
      <w:r w:rsidRPr="00B469FC">
        <w:rPr>
          <w:lang w:eastAsia="en-AU"/>
        </w:rPr>
        <w:t>The proposed PI section regarding Pharmacokinetics does not specifically state that no clinical trials have examined the absolute bioavailability, distribution, metabolism and the PKs of ANOHEAL cream in special populations (such as patients with hepatic or renal impairment) following perianal application of DTZ cream.</w:t>
      </w:r>
    </w:p>
    <w:p w:rsidR="00586F98" w:rsidRDefault="00586F98" w:rsidP="003171FA">
      <w:pPr>
        <w:pStyle w:val="Heading2"/>
      </w:pPr>
      <w:bookmarkStart w:id="116" w:name="_Toc485825982"/>
      <w:r>
        <w:t>Pharmacodynamics</w:t>
      </w:r>
      <w:bookmarkEnd w:id="116"/>
    </w:p>
    <w:p w:rsidR="00B469FC" w:rsidRPr="00B469FC" w:rsidRDefault="00B469FC" w:rsidP="003171FA">
      <w:pPr>
        <w:pStyle w:val="Heading3"/>
      </w:pPr>
      <w:bookmarkStart w:id="117" w:name="_Toc272414637"/>
      <w:bookmarkStart w:id="118" w:name="_Toc290888486"/>
      <w:bookmarkStart w:id="119" w:name="_Toc290888637"/>
      <w:bookmarkStart w:id="120" w:name="_Toc442436451"/>
      <w:bookmarkStart w:id="121" w:name="_Toc485825983"/>
      <w:r w:rsidRPr="00B469FC">
        <w:t xml:space="preserve">Studies providing </w:t>
      </w:r>
      <w:proofErr w:type="spellStart"/>
      <w:r w:rsidRPr="00B469FC">
        <w:t>pharmacodynamic</w:t>
      </w:r>
      <w:proofErr w:type="spellEnd"/>
      <w:r w:rsidRPr="00B469FC">
        <w:t xml:space="preserve"> data</w:t>
      </w:r>
      <w:bookmarkEnd w:id="117"/>
      <w:bookmarkEnd w:id="118"/>
      <w:bookmarkEnd w:id="119"/>
      <w:bookmarkEnd w:id="120"/>
      <w:bookmarkEnd w:id="121"/>
    </w:p>
    <w:p w:rsidR="00B469FC" w:rsidRPr="00B469FC" w:rsidRDefault="00B469FC" w:rsidP="00B469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rPr>
          <w:rFonts w:eastAsia="Times New Roman"/>
          <w:lang w:eastAsia="en-AU"/>
        </w:rPr>
      </w:pPr>
      <w:r w:rsidRPr="00B469FC">
        <w:rPr>
          <w:rFonts w:eastAsia="Times New Roman"/>
          <w:szCs w:val="24"/>
          <w:lang w:eastAsia="en-AU"/>
        </w:rPr>
        <w:t>All of the PK/PD studies that contain a PD component have been pre</w:t>
      </w:r>
      <w:r w:rsidR="004B57BD">
        <w:rPr>
          <w:rFonts w:eastAsia="Times New Roman"/>
          <w:szCs w:val="24"/>
          <w:lang w:eastAsia="en-AU"/>
        </w:rPr>
        <w:t>viously summarised above</w:t>
      </w:r>
      <w:r w:rsidRPr="00B469FC">
        <w:rPr>
          <w:rFonts w:eastAsia="Times New Roman"/>
          <w:szCs w:val="24"/>
          <w:lang w:eastAsia="en-AU"/>
        </w:rPr>
        <w:t>.</w:t>
      </w:r>
    </w:p>
    <w:p w:rsidR="00B469FC" w:rsidRPr="00B469FC" w:rsidRDefault="00B469FC" w:rsidP="0053215A">
      <w:pPr>
        <w:pStyle w:val="Heading3"/>
      </w:pPr>
      <w:bookmarkStart w:id="122" w:name="_Ref269119989"/>
      <w:bookmarkStart w:id="123" w:name="_Toc272414639"/>
      <w:bookmarkStart w:id="124" w:name="_Toc290888487"/>
      <w:bookmarkStart w:id="125" w:name="_Toc290888638"/>
      <w:bookmarkStart w:id="126" w:name="_Toc442436452"/>
      <w:bookmarkStart w:id="127" w:name="_Toc485825984"/>
      <w:r w:rsidRPr="00B469FC">
        <w:t>Summary of pharmacodynamics</w:t>
      </w:r>
      <w:bookmarkEnd w:id="122"/>
      <w:bookmarkEnd w:id="123"/>
      <w:bookmarkEnd w:id="124"/>
      <w:bookmarkEnd w:id="125"/>
      <w:bookmarkEnd w:id="126"/>
      <w:bookmarkEnd w:id="127"/>
    </w:p>
    <w:p w:rsidR="00B469FC" w:rsidRPr="00B469FC" w:rsidRDefault="00B469FC" w:rsidP="00B469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rPr>
          <w:rFonts w:eastAsia="Times New Roman"/>
          <w:lang w:eastAsia="en-AU"/>
        </w:rPr>
      </w:pPr>
      <w:r w:rsidRPr="00B469FC">
        <w:rPr>
          <w:rFonts w:eastAsia="Times New Roman"/>
          <w:lang w:eastAsia="en-AU"/>
        </w:rPr>
        <w:t xml:space="preserve">The information in the following summary is derived from conventional </w:t>
      </w:r>
      <w:proofErr w:type="spellStart"/>
      <w:r w:rsidRPr="00B469FC">
        <w:rPr>
          <w:rFonts w:eastAsia="Times New Roman"/>
          <w:lang w:eastAsia="en-AU"/>
        </w:rPr>
        <w:t>pharmacodynamic</w:t>
      </w:r>
      <w:proofErr w:type="spellEnd"/>
      <w:r w:rsidRPr="00B469FC">
        <w:rPr>
          <w:rFonts w:eastAsia="Times New Roman"/>
          <w:lang w:eastAsia="en-AU"/>
        </w:rPr>
        <w:t xml:space="preserve"> studies in humans unless otherwise stated.</w:t>
      </w:r>
    </w:p>
    <w:p w:rsidR="00B469FC" w:rsidRPr="00B469FC" w:rsidRDefault="00B469FC" w:rsidP="004B57BD">
      <w:pPr>
        <w:pStyle w:val="Heading4"/>
      </w:pPr>
      <w:bookmarkStart w:id="128" w:name="_Toc241374299"/>
      <w:bookmarkStart w:id="129" w:name="_Toc272414640"/>
      <w:bookmarkStart w:id="130" w:name="_Toc290888488"/>
      <w:bookmarkStart w:id="131" w:name="_Toc290888639"/>
      <w:bookmarkStart w:id="132" w:name="_Toc442436453"/>
      <w:r w:rsidRPr="00B469FC">
        <w:t>Mechanism of action</w:t>
      </w:r>
      <w:bookmarkEnd w:id="128"/>
      <w:bookmarkEnd w:id="129"/>
      <w:bookmarkEnd w:id="130"/>
      <w:bookmarkEnd w:id="131"/>
      <w:bookmarkEnd w:id="132"/>
    </w:p>
    <w:p w:rsidR="00B469FC" w:rsidRPr="00B469FC" w:rsidRDefault="00B469FC" w:rsidP="00B469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rPr>
          <w:rFonts w:eastAsia="Times New Roman"/>
          <w:lang w:eastAsia="en-AU"/>
        </w:rPr>
      </w:pPr>
      <w:proofErr w:type="spellStart"/>
      <w:r w:rsidRPr="00B469FC">
        <w:rPr>
          <w:rFonts w:eastAsia="Times New Roman"/>
          <w:lang w:eastAsia="en-AU"/>
        </w:rPr>
        <w:t>Diltiazem</w:t>
      </w:r>
      <w:proofErr w:type="spellEnd"/>
      <w:r w:rsidRPr="00B469FC">
        <w:rPr>
          <w:rFonts w:eastAsia="Times New Roman"/>
          <w:lang w:eastAsia="en-AU"/>
        </w:rPr>
        <w:t xml:space="preserve"> is an inhibitor of L-type calcium channels. It inhibits the inward movement of calcium into myocardial cells and smooth muscle cells of the vasculature and gastrointestinal tract. It causes relaxation of smooth muscle, including that of the internal anal sphincter.</w:t>
      </w:r>
    </w:p>
    <w:p w:rsidR="00B469FC" w:rsidRPr="00B469FC" w:rsidRDefault="00B469FC" w:rsidP="004B57BD">
      <w:pPr>
        <w:pStyle w:val="Heading4"/>
      </w:pPr>
      <w:bookmarkStart w:id="133" w:name="_Toc241374300"/>
      <w:bookmarkStart w:id="134" w:name="_Toc272414641"/>
      <w:bookmarkStart w:id="135" w:name="_Toc290888489"/>
      <w:bookmarkStart w:id="136" w:name="_Toc290888640"/>
      <w:bookmarkStart w:id="137" w:name="_Toc442436454"/>
      <w:proofErr w:type="spellStart"/>
      <w:r w:rsidRPr="00B469FC">
        <w:lastRenderedPageBreak/>
        <w:t>Pharmacodynamic</w:t>
      </w:r>
      <w:proofErr w:type="spellEnd"/>
      <w:r w:rsidRPr="00B469FC">
        <w:t xml:space="preserve"> effects</w:t>
      </w:r>
      <w:bookmarkEnd w:id="133"/>
      <w:bookmarkEnd w:id="134"/>
      <w:bookmarkEnd w:id="135"/>
      <w:bookmarkEnd w:id="136"/>
      <w:bookmarkEnd w:id="137"/>
    </w:p>
    <w:p w:rsidR="00B469FC" w:rsidRPr="00B469FC" w:rsidRDefault="00B469FC" w:rsidP="004B57BD">
      <w:pPr>
        <w:pStyle w:val="Heading5"/>
      </w:pPr>
      <w:bookmarkStart w:id="138" w:name="_Toc272414642"/>
      <w:bookmarkStart w:id="139" w:name="_Toc290888490"/>
      <w:bookmarkStart w:id="140" w:name="_Toc290888641"/>
      <w:bookmarkStart w:id="141" w:name="_Toc442436455"/>
      <w:r w:rsidRPr="00B469FC">
        <w:t xml:space="preserve">Primary </w:t>
      </w:r>
      <w:proofErr w:type="spellStart"/>
      <w:r w:rsidRPr="00B469FC">
        <w:t>pharmacodynamic</w:t>
      </w:r>
      <w:proofErr w:type="spellEnd"/>
      <w:r w:rsidRPr="00B469FC">
        <w:t xml:space="preserve"> effects</w:t>
      </w:r>
      <w:bookmarkEnd w:id="138"/>
      <w:bookmarkEnd w:id="139"/>
      <w:bookmarkEnd w:id="140"/>
      <w:bookmarkEnd w:id="141"/>
    </w:p>
    <w:p w:rsidR="00B469FC" w:rsidRPr="004B57BD" w:rsidRDefault="00B469FC" w:rsidP="00B469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rPr>
          <w:rFonts w:eastAsia="Calibri"/>
          <w:szCs w:val="24"/>
          <w:lang w:eastAsia="en-AU"/>
        </w:rPr>
      </w:pPr>
      <w:r w:rsidRPr="004B57BD">
        <w:rPr>
          <w:rFonts w:eastAsia="Times New Roman"/>
          <w:lang w:eastAsia="en-AU"/>
        </w:rPr>
        <w:t>Study</w:t>
      </w:r>
      <w:r w:rsidR="004B57BD" w:rsidRPr="004B57BD">
        <w:rPr>
          <w:rFonts w:eastAsia="Times New Roman"/>
          <w:lang w:eastAsia="en-AU"/>
        </w:rPr>
        <w:t xml:space="preserve"> VEN307-PK-001 </w:t>
      </w:r>
      <w:r w:rsidRPr="004B57BD">
        <w:rPr>
          <w:rFonts w:eastAsia="Times New Roman"/>
          <w:lang w:eastAsia="en-AU"/>
        </w:rPr>
        <w:t>evaluated</w:t>
      </w:r>
      <w:r w:rsidRPr="004B57BD">
        <w:rPr>
          <w:rFonts w:eastAsia="Calibri"/>
          <w:szCs w:val="24"/>
          <w:lang w:eastAsia="en-AU"/>
        </w:rPr>
        <w:t xml:space="preserve"> </w:t>
      </w:r>
      <w:r w:rsidRPr="004B57BD">
        <w:rPr>
          <w:rFonts w:eastAsia="Calibri" w:cs="Arial"/>
          <w:color w:val="000000"/>
          <w:szCs w:val="24"/>
        </w:rPr>
        <w:t xml:space="preserve">the worst anal pain associated with or following defecation and overall daily AF-related pain using an 11-point numerical rating scale (NRS), in which a score of 0 corresponded to </w:t>
      </w:r>
      <w:r w:rsidRPr="004B57BD">
        <w:rPr>
          <w:rFonts w:eastAsia="Calibri" w:cs="Arial"/>
          <w:iCs/>
          <w:color w:val="000000"/>
          <w:szCs w:val="24"/>
        </w:rPr>
        <w:t xml:space="preserve">no pain </w:t>
      </w:r>
      <w:r w:rsidRPr="004B57BD">
        <w:rPr>
          <w:rFonts w:eastAsia="Calibri" w:cs="Arial"/>
          <w:color w:val="000000"/>
          <w:szCs w:val="24"/>
        </w:rPr>
        <w:t xml:space="preserve">and a score of 10 corresponded to the </w:t>
      </w:r>
      <w:r w:rsidRPr="004B57BD">
        <w:rPr>
          <w:rFonts w:eastAsia="Calibri" w:cs="Arial"/>
          <w:iCs/>
          <w:color w:val="000000"/>
          <w:szCs w:val="24"/>
        </w:rPr>
        <w:t>worst pain imaginable</w:t>
      </w:r>
      <w:r w:rsidRPr="004B57BD">
        <w:rPr>
          <w:rFonts w:eastAsia="Calibri" w:cs="Arial"/>
          <w:color w:val="000000"/>
          <w:szCs w:val="24"/>
        </w:rPr>
        <w:t xml:space="preserve">, following topical administration of single or multiple doses (TID) of the DTZ formulation proposed for marketing (2% w/w cream) or a single oral dose of 120 mg DTZ. </w:t>
      </w:r>
      <w:r w:rsidRPr="004B57BD">
        <w:rPr>
          <w:rFonts w:eastAsia="Calibri"/>
          <w:szCs w:val="24"/>
          <w:lang w:eastAsia="en-AU"/>
        </w:rPr>
        <w:t>Anal pain associated with or following defaecation and overall daily anal fissure-related pain decreased during the course of the study. Relative to baseline, the mean NRS score for worst defaecation-related pain decreased by 0.7±1.86 on Day 3 (following the single</w:t>
      </w:r>
      <w:r w:rsidR="004B57BD" w:rsidRPr="004B57BD">
        <w:rPr>
          <w:rFonts w:eastAsia="Calibri"/>
          <w:szCs w:val="24"/>
          <w:lang w:eastAsia="en-AU"/>
        </w:rPr>
        <w:t xml:space="preserve"> topical dose of DTZ on Day 1)</w:t>
      </w:r>
      <w:r w:rsidRPr="004B57BD">
        <w:rPr>
          <w:rFonts w:eastAsia="Calibri"/>
          <w:szCs w:val="24"/>
          <w:lang w:eastAsia="en-AU"/>
        </w:rPr>
        <w:t>, by 2.2±3.70 on Day 8 (following the administration of multiple topical doses of DTZ on Days 4, 5, 6, and 7), and by 4.0±3.22 on Day 17 (at the end of the study, after the sing</w:t>
      </w:r>
      <w:r w:rsidR="004B57BD" w:rsidRPr="004B57BD">
        <w:rPr>
          <w:rFonts w:eastAsia="Calibri"/>
          <w:szCs w:val="24"/>
          <w:lang w:eastAsia="en-AU"/>
        </w:rPr>
        <w:t>le oral dose of DTZ on Day 14)</w:t>
      </w:r>
      <w:r w:rsidRPr="004B57BD">
        <w:rPr>
          <w:rFonts w:eastAsia="Calibri"/>
          <w:szCs w:val="24"/>
          <w:lang w:eastAsia="en-AU"/>
        </w:rPr>
        <w:t>. Relative to baseline, the mean NRS score for overall daily anal fissure-related pain was decreased by 0.0±2.41 on Day 3 (following the single topical dose of DTZ on Day 1), by 1.4±3.32 on Day 8 (following the administration of multiple topical doses of DTZ on Days 4, 5, 6, and 7) and by 1.7±2.71 on Day 17 (at the end of the study, after the sing</w:t>
      </w:r>
      <w:r w:rsidR="004B57BD" w:rsidRPr="004B57BD">
        <w:rPr>
          <w:rFonts w:eastAsia="Calibri"/>
          <w:szCs w:val="24"/>
          <w:lang w:eastAsia="en-AU"/>
        </w:rPr>
        <w:t>le oral dose of DTZ on Day 14)</w:t>
      </w:r>
      <w:r w:rsidRPr="004B57BD">
        <w:rPr>
          <w:rFonts w:eastAsia="Calibri"/>
          <w:szCs w:val="24"/>
          <w:lang w:eastAsia="en-AU"/>
        </w:rPr>
        <w:t>.</w:t>
      </w:r>
    </w:p>
    <w:p w:rsidR="00B469FC" w:rsidRPr="004B57BD" w:rsidRDefault="004B57BD" w:rsidP="004B57BD">
      <w:pPr>
        <w:ind w:left="720"/>
        <w:rPr>
          <w:i/>
        </w:rPr>
      </w:pPr>
      <w:r w:rsidRPr="004B57BD">
        <w:rPr>
          <w:i/>
        </w:rPr>
        <w:t xml:space="preserve">Comment: </w:t>
      </w:r>
      <w:r w:rsidR="00B469FC" w:rsidRPr="004B57BD">
        <w:rPr>
          <w:i/>
        </w:rPr>
        <w:t>As Study VEN307-PK-001 did not examine the effect on worst anal pain associated with or following defecation and overall daily AF-related pain following perianal application of a placebo control cream, the true effect of ANOHEAL cream on NRS in this study is difficult to determine.</w:t>
      </w:r>
    </w:p>
    <w:p w:rsidR="00B469FC" w:rsidRPr="00B469FC" w:rsidRDefault="00B469FC" w:rsidP="004B57BD">
      <w:pPr>
        <w:pStyle w:val="Heading5"/>
        <w:rPr>
          <w:lang w:eastAsia="en-AU"/>
        </w:rPr>
      </w:pPr>
      <w:bookmarkStart w:id="142" w:name="_Toc272414643"/>
      <w:bookmarkStart w:id="143" w:name="_Toc290888491"/>
      <w:bookmarkStart w:id="144" w:name="_Toc290888642"/>
      <w:bookmarkStart w:id="145" w:name="_Toc442436456"/>
      <w:r w:rsidRPr="00B469FC">
        <w:rPr>
          <w:lang w:eastAsia="en-AU"/>
        </w:rPr>
        <w:t xml:space="preserve">Secondary </w:t>
      </w:r>
      <w:proofErr w:type="spellStart"/>
      <w:r w:rsidRPr="00B469FC">
        <w:rPr>
          <w:lang w:eastAsia="en-AU"/>
        </w:rPr>
        <w:t>pharmacodynamic</w:t>
      </w:r>
      <w:proofErr w:type="spellEnd"/>
      <w:r w:rsidRPr="00B469FC">
        <w:rPr>
          <w:lang w:eastAsia="en-AU"/>
        </w:rPr>
        <w:t xml:space="preserve"> effects</w:t>
      </w:r>
      <w:bookmarkEnd w:id="142"/>
      <w:bookmarkEnd w:id="143"/>
      <w:bookmarkEnd w:id="144"/>
      <w:bookmarkEnd w:id="145"/>
    </w:p>
    <w:p w:rsidR="00B469FC" w:rsidRPr="004B57BD" w:rsidRDefault="00B469FC" w:rsidP="00B469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rPr>
          <w:rFonts w:eastAsia="Times New Roman"/>
          <w:szCs w:val="24"/>
          <w:lang w:eastAsia="en-AU"/>
        </w:rPr>
      </w:pPr>
      <w:r w:rsidRPr="004B57BD">
        <w:rPr>
          <w:rFonts w:eastAsia="Times New Roman"/>
          <w:szCs w:val="24"/>
          <w:lang w:eastAsia="en-AU"/>
        </w:rPr>
        <w:t xml:space="preserve">Study </w:t>
      </w:r>
      <w:r w:rsidRPr="004B57BD">
        <w:rPr>
          <w:rFonts w:eastAsia="Times New Roman" w:cs="Calibri"/>
          <w:szCs w:val="24"/>
          <w:lang w:eastAsia="en-AU"/>
        </w:rPr>
        <w:t>SC00802</w:t>
      </w:r>
      <w:r w:rsidR="004B57BD" w:rsidRPr="004B57BD">
        <w:rPr>
          <w:rFonts w:eastAsia="Times New Roman" w:cs="Calibri"/>
          <w:szCs w:val="24"/>
          <w:lang w:eastAsia="en-AU"/>
        </w:rPr>
        <w:t xml:space="preserve"> </w:t>
      </w:r>
      <w:r w:rsidRPr="004B57BD">
        <w:rPr>
          <w:rFonts w:eastAsia="Times New Roman" w:cs="Calibri"/>
          <w:szCs w:val="24"/>
          <w:lang w:eastAsia="en-AU"/>
        </w:rPr>
        <w:t xml:space="preserve">examined the </w:t>
      </w:r>
      <w:r w:rsidRPr="004B57BD">
        <w:rPr>
          <w:rFonts w:eastAsia="Calibri"/>
          <w:szCs w:val="24"/>
        </w:rPr>
        <w:t>effects of topical DTZ at doses of 2% to 8% w/w on the pulse rate (PR), blood pressure (BP) and ECG readings using a modified form of the DTZ formulation proposed for marketing in patients with AF. Although the</w:t>
      </w:r>
      <w:r w:rsidRPr="004B57BD">
        <w:rPr>
          <w:rFonts w:eastAsia="Times New Roman"/>
          <w:szCs w:val="24"/>
          <w:lang w:eastAsia="en-AU"/>
        </w:rPr>
        <w:t xml:space="preserve"> patients’ BP and PR results following treatment with DTZ were not subjected to formal statistical analyses, the sponsor states that the BP and PR taken around the time of the </w:t>
      </w:r>
      <w:proofErr w:type="spellStart"/>
      <w:r w:rsidRPr="004B57BD">
        <w:rPr>
          <w:rFonts w:eastAsia="Times New Roman"/>
          <w:szCs w:val="24"/>
          <w:lang w:eastAsia="en-AU"/>
        </w:rPr>
        <w:t>Cmax</w:t>
      </w:r>
      <w:proofErr w:type="spellEnd"/>
      <w:r w:rsidRPr="004B57BD">
        <w:rPr>
          <w:rFonts w:eastAsia="Times New Roman"/>
          <w:szCs w:val="24"/>
          <w:lang w:eastAsia="en-AU"/>
        </w:rPr>
        <w:t xml:space="preserve"> of DTZ and its two metabolites (2 h, 4 h and 8 h, respectively) were no diff</w:t>
      </w:r>
      <w:r w:rsidR="004B57BD" w:rsidRPr="004B57BD">
        <w:rPr>
          <w:rFonts w:eastAsia="Times New Roman"/>
          <w:szCs w:val="24"/>
          <w:lang w:eastAsia="en-AU"/>
        </w:rPr>
        <w:t>erent than those seen pre-dose</w:t>
      </w:r>
      <w:r w:rsidRPr="004B57BD">
        <w:rPr>
          <w:rFonts w:eastAsia="Times New Roman"/>
          <w:szCs w:val="24"/>
          <w:lang w:eastAsia="en-AU"/>
        </w:rPr>
        <w:t xml:space="preserve">. However, the data indicates that the average BP at these time points were lower than those seen pre-dose following all 3 doses on Day 1 and after treatment </w:t>
      </w:r>
      <w:r w:rsidR="004B57BD" w:rsidRPr="004B57BD">
        <w:rPr>
          <w:rFonts w:eastAsia="Times New Roman"/>
          <w:szCs w:val="24"/>
          <w:lang w:eastAsia="en-AU"/>
        </w:rPr>
        <w:t>with the 8% DTZ cream on Day 4</w:t>
      </w:r>
      <w:r w:rsidRPr="004B57BD">
        <w:rPr>
          <w:rFonts w:eastAsia="Times New Roman"/>
          <w:szCs w:val="24"/>
          <w:lang w:eastAsia="en-AU"/>
        </w:rPr>
        <w:t>. For instance, following a single topical application of 8% w/w DTZ cream, the average BP values at 2 h, 4 h and 8 h post dosing were 123/75, 116/74 and 119/69 mmHg, respectively, compared t</w:t>
      </w:r>
      <w:r w:rsidR="004B57BD" w:rsidRPr="004B57BD">
        <w:rPr>
          <w:rFonts w:eastAsia="Times New Roman"/>
          <w:szCs w:val="24"/>
          <w:lang w:eastAsia="en-AU"/>
        </w:rPr>
        <w:t>o a pre-dose BP of 132/80 mmHg</w:t>
      </w:r>
      <w:r w:rsidRPr="004B57BD">
        <w:rPr>
          <w:rFonts w:eastAsia="Times New Roman"/>
          <w:szCs w:val="24"/>
          <w:lang w:eastAsia="en-AU"/>
        </w:rPr>
        <w:t>. Following TID dosing with 2% w/w cream, the average BP values at 2 h, 4 h and 8 h post dosing were 114/71, 117/67 and 117/71 mmHg, respectively, compared t</w:t>
      </w:r>
      <w:r w:rsidR="004B57BD" w:rsidRPr="004B57BD">
        <w:rPr>
          <w:rFonts w:eastAsia="Times New Roman"/>
          <w:szCs w:val="24"/>
          <w:lang w:eastAsia="en-AU"/>
        </w:rPr>
        <w:t>o a pre-dose BP of 122/73 mmHg</w:t>
      </w:r>
      <w:r w:rsidRPr="004B57BD">
        <w:rPr>
          <w:rFonts w:eastAsia="Times New Roman"/>
          <w:szCs w:val="24"/>
          <w:lang w:eastAsia="en-AU"/>
        </w:rPr>
        <w:t>.</w:t>
      </w:r>
    </w:p>
    <w:p w:rsidR="00B469FC" w:rsidRPr="00B469FC" w:rsidRDefault="00B469FC" w:rsidP="004B57BD">
      <w:pPr>
        <w:pStyle w:val="Heading4"/>
      </w:pPr>
      <w:bookmarkStart w:id="146" w:name="_Toc272414644"/>
      <w:bookmarkStart w:id="147" w:name="_Toc290888492"/>
      <w:bookmarkStart w:id="148" w:name="_Toc290888643"/>
      <w:bookmarkStart w:id="149" w:name="_Toc442436457"/>
      <w:r w:rsidRPr="00B469FC">
        <w:t xml:space="preserve">Time course of </w:t>
      </w:r>
      <w:proofErr w:type="spellStart"/>
      <w:r w:rsidRPr="00B469FC">
        <w:t>pharmacodynamic</w:t>
      </w:r>
      <w:proofErr w:type="spellEnd"/>
      <w:r w:rsidRPr="00B469FC">
        <w:t xml:space="preserve"> effects</w:t>
      </w:r>
      <w:bookmarkEnd w:id="146"/>
      <w:bookmarkEnd w:id="147"/>
      <w:bookmarkEnd w:id="148"/>
      <w:bookmarkEnd w:id="149"/>
    </w:p>
    <w:p w:rsidR="00B469FC" w:rsidRPr="00B469FC" w:rsidRDefault="00B469FC" w:rsidP="00B469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rPr>
          <w:rFonts w:eastAsia="Times New Roman"/>
          <w:szCs w:val="24"/>
          <w:lang w:eastAsia="en-AU"/>
        </w:rPr>
      </w:pPr>
      <w:r w:rsidRPr="00B469FC">
        <w:rPr>
          <w:rFonts w:eastAsia="Times New Roman"/>
          <w:szCs w:val="24"/>
          <w:lang w:eastAsia="en-AU"/>
        </w:rPr>
        <w:t xml:space="preserve">The reduction in </w:t>
      </w:r>
      <w:r w:rsidRPr="00B469FC">
        <w:rPr>
          <w:rFonts w:eastAsia="Calibri"/>
          <w:szCs w:val="24"/>
          <w:lang w:eastAsia="en-AU"/>
        </w:rPr>
        <w:t>worst defaecation-related pain and overall daily anal fissure-related pain following topical application of DTZ 2% w/w cream increased following multiple doses compared to a single dose (see section on Primary PD effects above).</w:t>
      </w:r>
    </w:p>
    <w:p w:rsidR="00B469FC" w:rsidRPr="00B469FC" w:rsidRDefault="00B469FC" w:rsidP="004B57BD">
      <w:pPr>
        <w:pStyle w:val="Heading4"/>
      </w:pPr>
      <w:bookmarkStart w:id="150" w:name="_Toc272414645"/>
      <w:bookmarkStart w:id="151" w:name="_Toc290888493"/>
      <w:bookmarkStart w:id="152" w:name="_Toc290888644"/>
      <w:bookmarkStart w:id="153" w:name="_Toc442436458"/>
      <w:r w:rsidRPr="00B469FC">
        <w:t xml:space="preserve">Relationship between drug concentration and </w:t>
      </w:r>
      <w:proofErr w:type="spellStart"/>
      <w:r w:rsidRPr="00B469FC">
        <w:t>pharmacodynamic</w:t>
      </w:r>
      <w:proofErr w:type="spellEnd"/>
      <w:r w:rsidRPr="00B469FC">
        <w:t xml:space="preserve"> effects</w:t>
      </w:r>
      <w:bookmarkEnd w:id="150"/>
      <w:bookmarkEnd w:id="151"/>
      <w:bookmarkEnd w:id="152"/>
      <w:bookmarkEnd w:id="153"/>
    </w:p>
    <w:p w:rsidR="00B469FC" w:rsidRPr="00B469FC" w:rsidRDefault="00B469FC" w:rsidP="00B469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rPr>
          <w:rFonts w:eastAsia="Times New Roman"/>
          <w:lang w:eastAsia="en-AU"/>
        </w:rPr>
      </w:pPr>
      <w:r w:rsidRPr="00B469FC">
        <w:rPr>
          <w:rFonts w:eastAsia="Times New Roman"/>
          <w:lang w:eastAsia="en-AU"/>
        </w:rPr>
        <w:t>Given the high variability associated with the PK parameters derived in Study</w:t>
      </w:r>
      <w:r w:rsidRPr="00B469FC">
        <w:rPr>
          <w:rFonts w:eastAsia="Times New Roman"/>
          <w:b/>
          <w:lang w:eastAsia="en-AU"/>
        </w:rPr>
        <w:t xml:space="preserve"> VEN307-PK-001, </w:t>
      </w:r>
      <w:r w:rsidRPr="00B469FC">
        <w:rPr>
          <w:rFonts w:eastAsia="Times New Roman"/>
          <w:lang w:eastAsia="en-AU"/>
        </w:rPr>
        <w:t>it is difficult to determine whether a relationship exist between the pain relieving effects of DTZ 2% w/w cream and drug concentration.</w:t>
      </w:r>
    </w:p>
    <w:p w:rsidR="00B469FC" w:rsidRPr="00B469FC" w:rsidRDefault="00B469FC" w:rsidP="004B57BD">
      <w:pPr>
        <w:pStyle w:val="Heading4"/>
      </w:pPr>
      <w:bookmarkStart w:id="154" w:name="_Toc241374304"/>
      <w:bookmarkStart w:id="155" w:name="_Toc272414646"/>
      <w:bookmarkStart w:id="156" w:name="_Toc290888494"/>
      <w:bookmarkStart w:id="157" w:name="_Toc290888645"/>
      <w:bookmarkStart w:id="158" w:name="_Toc442436459"/>
      <w:r w:rsidRPr="00B469FC">
        <w:t xml:space="preserve">Genetic-, gender- and age-related differences in </w:t>
      </w:r>
      <w:proofErr w:type="spellStart"/>
      <w:r w:rsidRPr="00B469FC">
        <w:t>pharmacodynamic</w:t>
      </w:r>
      <w:proofErr w:type="spellEnd"/>
      <w:r w:rsidRPr="00B469FC">
        <w:t xml:space="preserve"> response</w:t>
      </w:r>
      <w:bookmarkEnd w:id="154"/>
      <w:bookmarkEnd w:id="155"/>
      <w:bookmarkEnd w:id="156"/>
      <w:bookmarkEnd w:id="157"/>
      <w:bookmarkEnd w:id="158"/>
    </w:p>
    <w:p w:rsidR="00B469FC" w:rsidRPr="00B469FC" w:rsidRDefault="00B469FC" w:rsidP="00B469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rPr>
          <w:rFonts w:eastAsia="Times New Roman"/>
          <w:lang w:eastAsia="en-AU"/>
        </w:rPr>
      </w:pPr>
      <w:r w:rsidRPr="00B469FC">
        <w:rPr>
          <w:rFonts w:eastAsia="Times New Roman"/>
          <w:lang w:eastAsia="en-AU"/>
        </w:rPr>
        <w:t>Not examined.</w:t>
      </w:r>
    </w:p>
    <w:p w:rsidR="00B469FC" w:rsidRPr="00B469FC" w:rsidRDefault="00B469FC" w:rsidP="004B57BD">
      <w:pPr>
        <w:pStyle w:val="Heading4"/>
      </w:pPr>
      <w:bookmarkStart w:id="159" w:name="_Toc241374303"/>
      <w:bookmarkStart w:id="160" w:name="_Toc272414647"/>
      <w:bookmarkStart w:id="161" w:name="_Toc290888495"/>
      <w:bookmarkStart w:id="162" w:name="_Toc290888646"/>
      <w:bookmarkStart w:id="163" w:name="_Toc442436460"/>
      <w:proofErr w:type="spellStart"/>
      <w:r w:rsidRPr="00B469FC">
        <w:t>Pharmacodynamic</w:t>
      </w:r>
      <w:proofErr w:type="spellEnd"/>
      <w:r w:rsidRPr="00B469FC">
        <w:t xml:space="preserve"> interactions</w:t>
      </w:r>
      <w:bookmarkEnd w:id="159"/>
      <w:bookmarkEnd w:id="160"/>
      <w:bookmarkEnd w:id="161"/>
      <w:bookmarkEnd w:id="162"/>
      <w:bookmarkEnd w:id="163"/>
    </w:p>
    <w:p w:rsidR="00B469FC" w:rsidRPr="00B469FC" w:rsidRDefault="00B469FC" w:rsidP="00B469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 w:line="240" w:lineRule="auto"/>
        <w:rPr>
          <w:rFonts w:eastAsia="Times New Roman"/>
          <w:lang w:eastAsia="en-AU"/>
        </w:rPr>
      </w:pPr>
      <w:r w:rsidRPr="00B469FC">
        <w:rPr>
          <w:rFonts w:eastAsia="Times New Roman"/>
          <w:lang w:eastAsia="en-AU"/>
        </w:rPr>
        <w:t>Not examined.</w:t>
      </w:r>
    </w:p>
    <w:p w:rsidR="00B469FC" w:rsidRPr="00B469FC" w:rsidRDefault="00B469FC" w:rsidP="004B57BD">
      <w:pPr>
        <w:pStyle w:val="Heading3"/>
      </w:pPr>
      <w:bookmarkStart w:id="164" w:name="_Ref269983272"/>
      <w:bookmarkStart w:id="165" w:name="_Toc272414648"/>
      <w:bookmarkStart w:id="166" w:name="_Toc290888496"/>
      <w:bookmarkStart w:id="167" w:name="_Toc290888647"/>
      <w:bookmarkStart w:id="168" w:name="_Toc442436461"/>
      <w:bookmarkStart w:id="169" w:name="_Toc485825985"/>
      <w:r w:rsidRPr="00B469FC">
        <w:lastRenderedPageBreak/>
        <w:t>Evaluator’s overall conclusions on pharmacodynamics</w:t>
      </w:r>
      <w:bookmarkEnd w:id="164"/>
      <w:bookmarkEnd w:id="165"/>
      <w:bookmarkEnd w:id="166"/>
      <w:bookmarkEnd w:id="167"/>
      <w:bookmarkEnd w:id="168"/>
      <w:bookmarkEnd w:id="169"/>
    </w:p>
    <w:p w:rsidR="00B469FC" w:rsidRPr="00B469FC" w:rsidRDefault="00B469FC" w:rsidP="004B57BD">
      <w:pPr>
        <w:pStyle w:val="ListBullet"/>
        <w:rPr>
          <w:lang w:eastAsia="en-AU"/>
        </w:rPr>
      </w:pPr>
      <w:proofErr w:type="spellStart"/>
      <w:r w:rsidRPr="00B469FC">
        <w:rPr>
          <w:lang w:eastAsia="en-AU"/>
        </w:rPr>
        <w:t>Diltiazem</w:t>
      </w:r>
      <w:proofErr w:type="spellEnd"/>
      <w:r w:rsidRPr="00B469FC">
        <w:rPr>
          <w:lang w:eastAsia="en-AU"/>
        </w:rPr>
        <w:t xml:space="preserve"> is an inhibitor of L-type calcium channels, which induces smooth muscle relaxation, including that of the internal anal sphincter.</w:t>
      </w:r>
    </w:p>
    <w:p w:rsidR="00B469FC" w:rsidRPr="00B469FC" w:rsidRDefault="00B469FC" w:rsidP="004B57BD">
      <w:pPr>
        <w:pStyle w:val="ListBullet"/>
        <w:rPr>
          <w:rFonts w:eastAsia="Calibri"/>
          <w:szCs w:val="24"/>
          <w:lang w:eastAsia="en-AU"/>
        </w:rPr>
      </w:pPr>
      <w:r w:rsidRPr="00B469FC">
        <w:rPr>
          <w:rFonts w:eastAsia="Calibri"/>
          <w:szCs w:val="24"/>
          <w:lang w:eastAsia="en-AU"/>
        </w:rPr>
        <w:t>Relative to baseline, the mean NRS score for worst defaecation-related pain decreased by 0.7±1.86 on Day 3 following the single topical dose of DTZ 2% w/w cream, by 2.2±3.70 following the administration of multiple topical doses of DTZ cream and by 4.0±3.22 a</w:t>
      </w:r>
      <w:r w:rsidR="00DF3C44">
        <w:rPr>
          <w:rFonts w:eastAsia="Calibri"/>
          <w:szCs w:val="24"/>
          <w:lang w:eastAsia="en-AU"/>
        </w:rPr>
        <w:t>fter a single oral dose of DTZ.</w:t>
      </w:r>
    </w:p>
    <w:p w:rsidR="00B469FC" w:rsidRPr="00B469FC" w:rsidRDefault="00B469FC" w:rsidP="004B57BD">
      <w:pPr>
        <w:pStyle w:val="ListBullet"/>
        <w:rPr>
          <w:rFonts w:eastAsia="Calibri"/>
          <w:szCs w:val="24"/>
          <w:lang w:eastAsia="en-AU"/>
        </w:rPr>
      </w:pPr>
      <w:r w:rsidRPr="00B469FC">
        <w:rPr>
          <w:rFonts w:eastAsia="Calibri"/>
          <w:szCs w:val="24"/>
          <w:lang w:eastAsia="en-AU"/>
        </w:rPr>
        <w:t xml:space="preserve">Relative to baseline, the mean NRS score for overall daily anal fissure-related pain was decreased by 0.0±2.41 following the single topical dose of DTZ, by 1.4±3.32 following the administration of multiple topical doses of DTZ, and by 1.7±2.71 after a single oral dose of DTZ. </w:t>
      </w:r>
    </w:p>
    <w:p w:rsidR="00B469FC" w:rsidRPr="00B469FC" w:rsidRDefault="00B469FC" w:rsidP="004B57BD">
      <w:pPr>
        <w:pStyle w:val="ListBullet"/>
        <w:rPr>
          <w:rFonts w:eastAsia="Calibri"/>
          <w:lang w:eastAsia="en-AU"/>
        </w:rPr>
      </w:pPr>
      <w:r w:rsidRPr="00B469FC">
        <w:rPr>
          <w:rFonts w:eastAsia="Calibri"/>
          <w:szCs w:val="24"/>
          <w:lang w:eastAsia="en-AU"/>
        </w:rPr>
        <w:t>Worst defaecation-related pain and overall daily anal fissure-related pain was lowest following a single oral dose of DTZ.</w:t>
      </w:r>
    </w:p>
    <w:p w:rsidR="00B469FC" w:rsidRPr="00B469FC" w:rsidRDefault="00B469FC" w:rsidP="004B57BD">
      <w:pPr>
        <w:pStyle w:val="ListBullet"/>
        <w:rPr>
          <w:szCs w:val="24"/>
          <w:lang w:eastAsia="en-AU"/>
        </w:rPr>
      </w:pPr>
      <w:r w:rsidRPr="00B469FC">
        <w:rPr>
          <w:szCs w:val="24"/>
          <w:lang w:eastAsia="en-AU"/>
        </w:rPr>
        <w:t>Topical application of both single and multiple doses of DTZ cream appeared to have no effect on PR.</w:t>
      </w:r>
    </w:p>
    <w:p w:rsidR="00B469FC" w:rsidRPr="00B469FC" w:rsidRDefault="00B469FC" w:rsidP="004B57BD">
      <w:pPr>
        <w:pStyle w:val="ListBullet"/>
        <w:rPr>
          <w:szCs w:val="24"/>
          <w:lang w:eastAsia="en-AU"/>
        </w:rPr>
      </w:pPr>
      <w:r w:rsidRPr="00B469FC">
        <w:rPr>
          <w:szCs w:val="24"/>
          <w:lang w:eastAsia="en-AU"/>
        </w:rPr>
        <w:t>The average BP values at 2 h, 4 h and 8 h post-dosing were reduced following either a single dose or multiple TID doses of 8% w/w DTZ cream</w:t>
      </w:r>
    </w:p>
    <w:p w:rsidR="00B469FC" w:rsidRPr="00B469FC" w:rsidRDefault="00B469FC" w:rsidP="004B57BD">
      <w:pPr>
        <w:pStyle w:val="ListBullet"/>
        <w:rPr>
          <w:szCs w:val="24"/>
          <w:lang w:eastAsia="en-AU"/>
        </w:rPr>
      </w:pPr>
      <w:r w:rsidRPr="00B469FC">
        <w:rPr>
          <w:szCs w:val="24"/>
          <w:lang w:eastAsia="en-AU"/>
        </w:rPr>
        <w:t xml:space="preserve">The reduction in </w:t>
      </w:r>
      <w:r w:rsidRPr="00B469FC">
        <w:rPr>
          <w:rFonts w:eastAsia="Calibri"/>
          <w:szCs w:val="24"/>
          <w:lang w:eastAsia="en-AU"/>
        </w:rPr>
        <w:t>worst defaecation-related pain and overall daily anal fissure-related pain following topical application of DTZ 2% w/w cream increased following multiple doses compared to a single dose.</w:t>
      </w:r>
    </w:p>
    <w:p w:rsidR="004B57BD" w:rsidRDefault="004B57BD" w:rsidP="004B57BD">
      <w:pPr>
        <w:rPr>
          <w:rStyle w:val="Heading4Char"/>
        </w:rPr>
      </w:pPr>
      <w:r>
        <w:rPr>
          <w:rStyle w:val="Heading4Char"/>
        </w:rPr>
        <w:t>Limitations of the PD studies</w:t>
      </w:r>
    </w:p>
    <w:p w:rsidR="00B469FC" w:rsidRPr="004B57BD" w:rsidRDefault="00B469FC" w:rsidP="004B57BD">
      <w:pPr>
        <w:pStyle w:val="ListBullet"/>
      </w:pPr>
      <w:r w:rsidRPr="004B57BD">
        <w:t>Due to the nature of the data provided no relationship between drug concentration and PD effects could be determined.</w:t>
      </w:r>
    </w:p>
    <w:p w:rsidR="00B469FC" w:rsidRPr="004B57BD" w:rsidRDefault="00B469FC" w:rsidP="004B57BD">
      <w:pPr>
        <w:pStyle w:val="ListBullet"/>
      </w:pPr>
      <w:r w:rsidRPr="004B57BD">
        <w:t>No studies examined genetic, gender or age related differences in PD response following perianal application of DTZ cream.</w:t>
      </w:r>
    </w:p>
    <w:p w:rsidR="00B469FC" w:rsidRPr="004B57BD" w:rsidRDefault="00B469FC" w:rsidP="004B57BD">
      <w:pPr>
        <w:pStyle w:val="ListBullet"/>
      </w:pPr>
      <w:r w:rsidRPr="004B57BD">
        <w:t>No studies examined PD interactions following perianal application of DTZ cream.</w:t>
      </w:r>
    </w:p>
    <w:p w:rsidR="00586F98" w:rsidRDefault="00C22678" w:rsidP="003171FA">
      <w:pPr>
        <w:pStyle w:val="Heading2"/>
      </w:pPr>
      <w:bookmarkStart w:id="170" w:name="_Toc485825986"/>
      <w:r>
        <w:t>Dosage selection for the pivotal studies</w:t>
      </w:r>
      <w:bookmarkEnd w:id="170"/>
    </w:p>
    <w:p w:rsidR="00B469FC" w:rsidRPr="00B469FC" w:rsidRDefault="00B469FC" w:rsidP="00B469FC">
      <w:pPr>
        <w:spacing w:before="20"/>
        <w:rPr>
          <w:rFonts w:eastAsia="Times New Roman"/>
          <w:szCs w:val="24"/>
          <w:lang w:eastAsia="en-AU"/>
        </w:rPr>
      </w:pPr>
      <w:r w:rsidRPr="00B469FC">
        <w:rPr>
          <w:rFonts w:eastAsia="Times New Roman"/>
          <w:szCs w:val="24"/>
          <w:lang w:eastAsia="en-AU"/>
        </w:rPr>
        <w:t>No formal dose ranging studies were submitted. However, two doses of DTZ cream (DTZ 2% and 4%) were included in the treatment arms of the pivotal study DAF09.</w:t>
      </w:r>
    </w:p>
    <w:p w:rsidR="00C22678" w:rsidRDefault="00C22678" w:rsidP="009856D0">
      <w:pPr>
        <w:pStyle w:val="Heading2"/>
      </w:pPr>
      <w:bookmarkStart w:id="171" w:name="_Toc485825987"/>
      <w:r>
        <w:t>Clinical efficacy</w:t>
      </w:r>
      <w:bookmarkEnd w:id="171"/>
    </w:p>
    <w:p w:rsidR="00B469FC" w:rsidRPr="00611CCF" w:rsidRDefault="00B469FC" w:rsidP="009856D0">
      <w:pPr>
        <w:pStyle w:val="Heading3"/>
      </w:pPr>
      <w:bookmarkStart w:id="172" w:name="_Ref271037274"/>
      <w:bookmarkStart w:id="173" w:name="_Toc272414652"/>
      <w:bookmarkStart w:id="174" w:name="_Toc290888500"/>
      <w:bookmarkStart w:id="175" w:name="_Toc442436465"/>
      <w:bookmarkStart w:id="176" w:name="_Toc485825988"/>
      <w:r w:rsidRPr="00611CCF">
        <w:t>Pivotal efficacy stud</w:t>
      </w:r>
      <w:r>
        <w:t>y</w:t>
      </w:r>
      <w:bookmarkEnd w:id="172"/>
      <w:bookmarkEnd w:id="173"/>
      <w:bookmarkEnd w:id="174"/>
      <w:r>
        <w:t xml:space="preserve"> DAF09</w:t>
      </w:r>
      <w:bookmarkEnd w:id="175"/>
      <w:bookmarkEnd w:id="176"/>
    </w:p>
    <w:p w:rsidR="00B469FC" w:rsidRPr="0055733A" w:rsidRDefault="00B469FC" w:rsidP="009856D0">
      <w:pPr>
        <w:pStyle w:val="Heading4"/>
      </w:pPr>
      <w:bookmarkStart w:id="177" w:name="_Toc442436466"/>
      <w:r w:rsidRPr="0055733A">
        <w:t>Study design</w:t>
      </w:r>
      <w:r>
        <w:t>, objectives</w:t>
      </w:r>
      <w:bookmarkEnd w:id="177"/>
    </w:p>
    <w:p w:rsidR="00B469FC" w:rsidRPr="00B469FC" w:rsidRDefault="00B469FC" w:rsidP="00B469FC">
      <w:pPr>
        <w:autoSpaceDE w:val="0"/>
        <w:autoSpaceDN w:val="0"/>
        <w:adjustRightInd w:val="0"/>
        <w:spacing w:before="20"/>
      </w:pPr>
      <w:r w:rsidRPr="00B469FC">
        <w:t>This was a randomised, double-blind, placebo-controlled, Phase 3 study of the safety and efficacy of two doses of DTZ cream in subjects with anal fissure (AF) and AF-related pain. It was sponsored by S.L.A. Pharma (UK) and conducted in six European countries (Bulgaria, Germany, Lithuania, Romania, Spain, and the UK) between October 2010 and March 2012. The primary endpoint was the efficacy of DTZ 2% cream in reducing worst pain associated with AF. The most important secondary endpoint was the percentage of subjects achieving AF healing. Th</w:t>
      </w:r>
      <w:r w:rsidR="009856D0">
        <w:t>e study design is summarised in Figure 2</w:t>
      </w:r>
      <w:r w:rsidRPr="00B469FC">
        <w:t xml:space="preserve">, below. A total of 465 subjects were planned with 155 subjects in each treatment arm. After a one week screening period, eligible subjects were randomised 1:1:1 to receive DTZ 4% w/w cream, DTZ 2% w/w cream or placebo cream containing vehicle only. The subjects were further stratified according to failure on previous topical GTN therapy. Topical study </w:t>
      </w:r>
      <w:r w:rsidRPr="00B469FC">
        <w:lastRenderedPageBreak/>
        <w:t xml:space="preserve">treatment was applied TID for up to 8 weeks and clinic visits were scheduled at Weeks 2, 4, and 8 weeks. A final telephone assessment of AEs was performed at Week 12, four weeks after the </w:t>
      </w:r>
      <w:r w:rsidR="00DF3C44">
        <w:t>treatment period was completed.</w:t>
      </w:r>
    </w:p>
    <w:p w:rsidR="00B469FC" w:rsidRPr="009856D0" w:rsidRDefault="00B469FC" w:rsidP="00DF3C44">
      <w:pPr>
        <w:pStyle w:val="FigureTitle"/>
        <w:keepNext/>
      </w:pPr>
      <w:bookmarkStart w:id="178" w:name="_Toc442436563"/>
      <w:r w:rsidRPr="009856D0">
        <w:t>Figu</w:t>
      </w:r>
      <w:r w:rsidR="009856D0">
        <w:t xml:space="preserve">re 2: </w:t>
      </w:r>
      <w:r w:rsidRPr="009856D0">
        <w:t>DAF09 study design</w:t>
      </w:r>
      <w:bookmarkEnd w:id="178"/>
      <w:r w:rsidR="009856D0">
        <w:t>.</w:t>
      </w:r>
    </w:p>
    <w:p w:rsidR="00B469FC" w:rsidRPr="00B469FC" w:rsidRDefault="00B469FC" w:rsidP="00DF3C44">
      <w:r w:rsidRPr="00B469FC">
        <w:rPr>
          <w:noProof/>
          <w:lang w:eastAsia="en-AU"/>
        </w:rPr>
        <w:drawing>
          <wp:inline distT="0" distB="0" distL="0" distR="0" wp14:anchorId="493CFCD0" wp14:editId="43BB8F74">
            <wp:extent cx="5637865" cy="2419348"/>
            <wp:effectExtent l="0" t="0" r="1270" b="635"/>
            <wp:docPr id="2" name="Picture 2" descr="Figure 2: DAF09 study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46924" cy="2423236"/>
                    </a:xfrm>
                    <a:prstGeom prst="rect">
                      <a:avLst/>
                    </a:prstGeom>
                    <a:noFill/>
                    <a:ln>
                      <a:noFill/>
                    </a:ln>
                  </pic:spPr>
                </pic:pic>
              </a:graphicData>
            </a:graphic>
          </wp:inline>
        </w:drawing>
      </w:r>
    </w:p>
    <w:p w:rsidR="00B469FC" w:rsidRPr="00B469FC" w:rsidRDefault="00B469FC" w:rsidP="00B469FC">
      <w:pPr>
        <w:autoSpaceDE w:val="0"/>
        <w:autoSpaceDN w:val="0"/>
        <w:adjustRightInd w:val="0"/>
        <w:spacing w:before="20"/>
      </w:pPr>
      <w:r w:rsidRPr="00B469FC">
        <w:t xml:space="preserve">Laxatives and stool softeners were permitted during the screening and treatment periods, and fibre supplements were permitted at levels used at the baseline visit. Subjects used IVRS and paper daily diaries to report the number of bowel movements, anal pain and bowel symptoms, worst anal pain associated with or following defaecation, and to report overall AF-related pain. The use of laxatives and analgesics, and the number of study cream applications were also recorded.  At each visit, subjects underwent visual examination of their AF to assess healing and Skin Irritation Scores (SIS). Pain was recorded using a numerical rating scale (NRS) and the Patient’s Global Impression of Improvement scale (PGI-I). Quality of life was assessed using a Short Form 36 (SF-36). Subjects with complete healing at Weeks 2 and 4 were asked to continue treatment until the Week 8 visit. Subjects who withdrew from the study underwent an early withdrawal visit and a final safety evaluation four weeks later. A subject could be withdrawn following a major protocol deviation, at subject request, or at the discretion of the investigator. PK samples for plasma </w:t>
      </w:r>
      <w:proofErr w:type="spellStart"/>
      <w:r w:rsidRPr="00B469FC">
        <w:t>diltiazem</w:t>
      </w:r>
      <w:proofErr w:type="spellEnd"/>
      <w:r w:rsidRPr="00B469FC">
        <w:t xml:space="preserve"> and its metabolites were taken from 25% of subjects at Weeks 2, 4, and 8 for analysis at a central laboratory (Quest Diagnostics, UK). No protocol amendments were made after commencement of study recruitment.</w:t>
      </w:r>
    </w:p>
    <w:p w:rsidR="00B469FC" w:rsidRPr="0055733A" w:rsidRDefault="00B469FC" w:rsidP="004B57BD">
      <w:pPr>
        <w:pStyle w:val="Heading4"/>
      </w:pPr>
      <w:bookmarkStart w:id="179" w:name="_Toc442436467"/>
      <w:r w:rsidRPr="0055733A">
        <w:t>Inclusion and exclusion criteria</w:t>
      </w:r>
      <w:bookmarkEnd w:id="179"/>
    </w:p>
    <w:p w:rsidR="00B469FC" w:rsidRPr="00B469FC" w:rsidRDefault="00B469FC" w:rsidP="00B469FC">
      <w:pPr>
        <w:spacing w:before="20"/>
      </w:pPr>
      <w:r w:rsidRPr="00B469FC">
        <w:t>The main inclusion criteria were: male or female subjects aged ≥18 years; subjects with an AF history of at least four weeks prior to screening; AF pain experienced at least twice weekly with an average of ≥3 on an 11-point NRS; an average of ≥4 on NRS for worst AF pain during the most recent three days; clinical evidence of a circumscribed AF with indurated edges; willingness to stop all other topical anal preparations during the course of the study; willingness and ability to use the IVRS diary.</w:t>
      </w:r>
    </w:p>
    <w:p w:rsidR="00B469FC" w:rsidRPr="00B469FC" w:rsidRDefault="00B469FC" w:rsidP="00B469FC">
      <w:pPr>
        <w:spacing w:before="20"/>
      </w:pPr>
      <w:r w:rsidRPr="00B469FC">
        <w:t xml:space="preserve">The main exclusion criteria were: subjects with acute AF defined as present for less than four weeks prior to screening; more than one AF; subjects with any prior surgical intervention for AF; botulinum injection in the previous 3 months; use of topical GTN for &gt;1 week in the previous four weeks; AF associated with traumatic or other medical conditions; subjects with cardiovascular conditions including bradycardia, reduced LV function or heart block; known hypersensitivity to </w:t>
      </w:r>
      <w:proofErr w:type="spellStart"/>
      <w:r w:rsidRPr="00B469FC">
        <w:t>diltiazem</w:t>
      </w:r>
      <w:proofErr w:type="spellEnd"/>
      <w:r w:rsidRPr="00B469FC">
        <w:t xml:space="preserve">; subjects who had previously used topical DTZ or other calcium channel blockers; subjects taking protocol defined prohibited medications; history of GI disorders and procedures, including inflammatory bowel disease, chronic faecal incompetence, chronic constipation with straining at stool, anal abscess, previous pelvic radiotherapy, and fixed anal stenosis/fibrosis; malignancy within the previous 5 years; a history of clinically significant medical or psychiatric disorders, including HIV infection; clinically significant laboratory or ECG abnormalities at </w:t>
      </w:r>
      <w:r w:rsidRPr="00B469FC">
        <w:lastRenderedPageBreak/>
        <w:t>screening; subjects with planned elective treatments for other conditions; women of childbearing potential unless using adequate contraception; pregnancy and lactation.</w:t>
      </w:r>
    </w:p>
    <w:p w:rsidR="00B469FC" w:rsidRPr="0055733A" w:rsidRDefault="00B469FC" w:rsidP="004B57BD">
      <w:pPr>
        <w:pStyle w:val="Heading4"/>
      </w:pPr>
      <w:bookmarkStart w:id="180" w:name="_Toc442436468"/>
      <w:r w:rsidRPr="0055733A">
        <w:t>Study treatments</w:t>
      </w:r>
      <w:bookmarkEnd w:id="180"/>
    </w:p>
    <w:p w:rsidR="00B469FC" w:rsidRPr="00B469FC" w:rsidRDefault="00B469FC" w:rsidP="00B469FC">
      <w:pPr>
        <w:spacing w:before="20"/>
      </w:pPr>
      <w:r w:rsidRPr="00B469FC">
        <w:t>The study treatments were either:</w:t>
      </w:r>
    </w:p>
    <w:p w:rsidR="00B469FC" w:rsidRPr="004B57BD" w:rsidRDefault="00B469FC" w:rsidP="004B57BD">
      <w:pPr>
        <w:pStyle w:val="ListBullet"/>
      </w:pPr>
      <w:r w:rsidRPr="004B57BD">
        <w:t>DTZ 4% w/w cream applied TID for 8 weeks (a nominal DTZ 51 mg daily dose)</w:t>
      </w:r>
      <w:r w:rsidR="00843192">
        <w:t>.</w:t>
      </w:r>
    </w:p>
    <w:p w:rsidR="00B469FC" w:rsidRPr="004B57BD" w:rsidRDefault="00B469FC" w:rsidP="004B57BD">
      <w:pPr>
        <w:pStyle w:val="ListBullet"/>
      </w:pPr>
      <w:r w:rsidRPr="004B57BD">
        <w:t>DTZ 2% w/w cream applied TID for 8 weeks (a nominal DTZ 25.5 mg daily dose)</w:t>
      </w:r>
      <w:r w:rsidR="00843192">
        <w:t>.</w:t>
      </w:r>
    </w:p>
    <w:p w:rsidR="00B469FC" w:rsidRPr="004B57BD" w:rsidRDefault="00B469FC" w:rsidP="004B57BD">
      <w:pPr>
        <w:pStyle w:val="ListBullet"/>
      </w:pPr>
      <w:r w:rsidRPr="004B57BD">
        <w:t>Matching placebo cream for 8 weeks</w:t>
      </w:r>
      <w:r w:rsidR="00843192">
        <w:t>.</w:t>
      </w:r>
    </w:p>
    <w:p w:rsidR="00B469FC" w:rsidRPr="00B469FC" w:rsidRDefault="00B469FC" w:rsidP="00B469FC">
      <w:pPr>
        <w:spacing w:before="20"/>
      </w:pPr>
      <w:r w:rsidRPr="00B469FC">
        <w:t xml:space="preserve">Two 30g tubes of study medication were provided to each subject at baseline. Subjects were requested to apply 2.5cm of cream (measured by a guide) at 8-hourly intervals, at least one hour before defaecation if possible. The cream was digitally massaged in and around the anus. Subjects were advised not to </w:t>
      </w:r>
      <w:proofErr w:type="spellStart"/>
      <w:r w:rsidRPr="00B469FC">
        <w:t>defaecate</w:t>
      </w:r>
      <w:proofErr w:type="spellEnd"/>
      <w:r w:rsidRPr="00B469FC">
        <w:t>, shower or bathe within an hour of application; however, the cream was not to be re-ap</w:t>
      </w:r>
      <w:r w:rsidR="00DF3C44">
        <w:t>plied if this was not possible.</w:t>
      </w:r>
    </w:p>
    <w:p w:rsidR="00B469FC" w:rsidRPr="00B469FC" w:rsidRDefault="00B469FC" w:rsidP="00B469FC">
      <w:pPr>
        <w:spacing w:before="20"/>
      </w:pPr>
      <w:r w:rsidRPr="00B469FC">
        <w:t>At Week 4, the two tubes of study cream were returned and weighed to assess compliance. A further t</w:t>
      </w:r>
      <w:r w:rsidR="00DF3C44">
        <w:t xml:space="preserve">wo tubes of medication were </w:t>
      </w:r>
      <w:r w:rsidRPr="00B469FC">
        <w:t>supplied for the remainder of the study. Compliance was considered adequate if 60-100% by weight of the study medication was used, and if dosing was recorded on ≥80% of days by IVRS.</w:t>
      </w:r>
    </w:p>
    <w:p w:rsidR="00B469FC" w:rsidRPr="0055733A" w:rsidRDefault="00B469FC" w:rsidP="004B57BD">
      <w:pPr>
        <w:pStyle w:val="Heading4"/>
      </w:pPr>
      <w:bookmarkStart w:id="181" w:name="_Toc442436469"/>
      <w:r w:rsidRPr="0055733A">
        <w:t>Efficacy variables and outcomes</w:t>
      </w:r>
      <w:bookmarkEnd w:id="181"/>
    </w:p>
    <w:p w:rsidR="00B469FC" w:rsidRDefault="00B469FC" w:rsidP="00B469FC">
      <w:pPr>
        <w:pStyle w:val="Bullet1"/>
        <w:numPr>
          <w:ilvl w:val="0"/>
          <w:numId w:val="0"/>
        </w:numPr>
        <w:spacing w:before="20"/>
      </w:pPr>
      <w:r w:rsidRPr="0055733A">
        <w:t xml:space="preserve">The primary efficacy outcome was </w:t>
      </w:r>
      <w:r>
        <w:t>the efficacy of DTZ 2% cream in reducing worst pain associated with AF</w:t>
      </w:r>
      <w:r w:rsidRPr="0055733A">
        <w:t>.</w:t>
      </w:r>
    </w:p>
    <w:p w:rsidR="00B469FC" w:rsidRPr="00B469FC" w:rsidRDefault="00B469FC" w:rsidP="00B469FC">
      <w:pPr>
        <w:spacing w:before="20"/>
      </w:pPr>
      <w:r w:rsidRPr="00B469FC">
        <w:t>The main efficacy variables and outcomes were:</w:t>
      </w:r>
    </w:p>
    <w:p w:rsidR="00B469FC" w:rsidRPr="004B57BD" w:rsidRDefault="00B469FC" w:rsidP="004B57BD">
      <w:pPr>
        <w:pStyle w:val="ListBullet"/>
      </w:pPr>
      <w:r w:rsidRPr="004B57BD">
        <w:t>Changes in AF pain measured by NRS, a widely accepted, validated 11-point rating scale for chronic pain with 0</w:t>
      </w:r>
      <w:r w:rsidR="004B57BD">
        <w:t xml:space="preserve"> </w:t>
      </w:r>
      <w:r w:rsidRPr="004B57BD">
        <w:t>= no pain and 10</w:t>
      </w:r>
      <w:r w:rsidR="004B57BD">
        <w:t xml:space="preserve"> </w:t>
      </w:r>
      <w:r w:rsidRPr="004B57BD">
        <w:t>= worst imaginable pain.</w:t>
      </w:r>
    </w:p>
    <w:p w:rsidR="00B469FC" w:rsidRPr="004B57BD" w:rsidRDefault="00B469FC" w:rsidP="004B57BD">
      <w:pPr>
        <w:pStyle w:val="ListBullet"/>
      </w:pPr>
      <w:r w:rsidRPr="004B57BD">
        <w:t>Time course of AF pain reduction over an eight week treatment period</w:t>
      </w:r>
      <w:r w:rsidR="00843192">
        <w:t>.</w:t>
      </w:r>
    </w:p>
    <w:p w:rsidR="00B469FC" w:rsidRPr="004B57BD" w:rsidRDefault="00B469FC" w:rsidP="004B57BD">
      <w:pPr>
        <w:pStyle w:val="ListBullet"/>
      </w:pPr>
      <w:r w:rsidRPr="004B57BD">
        <w:t>AF healing rates</w:t>
      </w:r>
      <w:r w:rsidR="00843192">
        <w:t>.</w:t>
      </w:r>
    </w:p>
    <w:p w:rsidR="00B469FC" w:rsidRPr="004B57BD" w:rsidRDefault="00B469FC" w:rsidP="004B57BD">
      <w:pPr>
        <w:pStyle w:val="ListBullet"/>
      </w:pPr>
      <w:r w:rsidRPr="004B57BD">
        <w:t>Global changes in the AF condition measured by PGI-I</w:t>
      </w:r>
      <w:r w:rsidR="00843192">
        <w:t>.</w:t>
      </w:r>
    </w:p>
    <w:p w:rsidR="00B469FC" w:rsidRPr="004B57BD" w:rsidRDefault="00B469FC" w:rsidP="004B57BD">
      <w:pPr>
        <w:pStyle w:val="ListBullet"/>
      </w:pPr>
      <w:r w:rsidRPr="004B57BD">
        <w:t xml:space="preserve">Changes in </w:t>
      </w:r>
      <w:proofErr w:type="spellStart"/>
      <w:r w:rsidRPr="004B57BD">
        <w:t>QoL</w:t>
      </w:r>
      <w:proofErr w:type="spellEnd"/>
      <w:r w:rsidRPr="004B57BD">
        <w:t xml:space="preserve"> measured by SF-36</w:t>
      </w:r>
      <w:r w:rsidR="00843192">
        <w:t>.</w:t>
      </w:r>
    </w:p>
    <w:p w:rsidR="00B469FC" w:rsidRPr="004B57BD" w:rsidRDefault="00B469FC" w:rsidP="004B57BD">
      <w:pPr>
        <w:pStyle w:val="ListBullet"/>
      </w:pPr>
      <w:r w:rsidRPr="004B57BD">
        <w:t>Determination of optimum DTZ dose</w:t>
      </w:r>
      <w:r w:rsidR="00843192">
        <w:t>.</w:t>
      </w:r>
    </w:p>
    <w:p w:rsidR="00B469FC" w:rsidRPr="00B469FC" w:rsidRDefault="00B469FC" w:rsidP="00B469FC">
      <w:pPr>
        <w:spacing w:before="20"/>
      </w:pPr>
      <w:r w:rsidRPr="00B469FC">
        <w:t>Other efficacy outcomes included:</w:t>
      </w:r>
    </w:p>
    <w:p w:rsidR="00B469FC" w:rsidRPr="004B57BD" w:rsidRDefault="00B469FC" w:rsidP="004B57BD">
      <w:pPr>
        <w:pStyle w:val="ListBullet"/>
      </w:pPr>
      <w:r w:rsidRPr="004B57BD">
        <w:t>The level of analgesic use</w:t>
      </w:r>
      <w:r w:rsidR="00843192">
        <w:t>.</w:t>
      </w:r>
    </w:p>
    <w:p w:rsidR="00B469FC" w:rsidRPr="004B57BD" w:rsidRDefault="00B469FC" w:rsidP="004B57BD">
      <w:pPr>
        <w:pStyle w:val="ListBullet"/>
      </w:pPr>
      <w:r w:rsidRPr="004B57BD">
        <w:t>The effect of DTZ on medical and surgical rescue interventions</w:t>
      </w:r>
      <w:r w:rsidR="00843192">
        <w:t>.</w:t>
      </w:r>
    </w:p>
    <w:p w:rsidR="00B469FC" w:rsidRPr="0055733A" w:rsidRDefault="00B469FC" w:rsidP="004B57BD">
      <w:pPr>
        <w:pStyle w:val="Heading4"/>
      </w:pPr>
      <w:bookmarkStart w:id="182" w:name="_Toc442436470"/>
      <w:r w:rsidRPr="0055733A">
        <w:t>Randomisation and blinding methods</w:t>
      </w:r>
      <w:bookmarkEnd w:id="182"/>
    </w:p>
    <w:p w:rsidR="00B469FC" w:rsidRPr="00B469FC" w:rsidRDefault="00B469FC" w:rsidP="00B469FC">
      <w:pPr>
        <w:spacing w:before="20"/>
      </w:pPr>
      <w:r w:rsidRPr="00B469FC">
        <w:t>Randomisation was conducted by IVRS and identical study medication tubes were provided according to the randomisation schedule. The investigators and subjects remained blind to the study treatment and PK data were not released until database lock.</w:t>
      </w:r>
    </w:p>
    <w:p w:rsidR="00B469FC" w:rsidRPr="004B57BD" w:rsidRDefault="00B469FC" w:rsidP="004B57BD">
      <w:pPr>
        <w:pStyle w:val="Heading4"/>
      </w:pPr>
      <w:bookmarkStart w:id="183" w:name="_Toc442436471"/>
      <w:r w:rsidRPr="004B57BD">
        <w:t>Analysis populations</w:t>
      </w:r>
      <w:bookmarkEnd w:id="183"/>
    </w:p>
    <w:p w:rsidR="00B469FC" w:rsidRPr="00B469FC" w:rsidRDefault="00B469FC" w:rsidP="00B469FC">
      <w:pPr>
        <w:autoSpaceDE w:val="0"/>
        <w:autoSpaceDN w:val="0"/>
        <w:adjustRightInd w:val="0"/>
        <w:spacing w:before="20"/>
        <w:jc w:val="both"/>
      </w:pPr>
      <w:r w:rsidRPr="00B469FC">
        <w:t>The primary analysis was performed on the ITT population which included all randomised subjects who received at least one dose of study medication.  The PP analysis was performed on all subjects in the ITT population who did not meet of entry criteria or have other major protocol deviations.</w:t>
      </w:r>
    </w:p>
    <w:p w:rsidR="00B469FC" w:rsidRPr="004B57BD" w:rsidDel="0081373E" w:rsidRDefault="00B469FC" w:rsidP="00843192">
      <w:pPr>
        <w:pStyle w:val="Heading4"/>
        <w:pageBreakBefore/>
      </w:pPr>
      <w:bookmarkStart w:id="184" w:name="_Toc442436472"/>
      <w:r w:rsidRPr="004B57BD" w:rsidDel="0081373E">
        <w:lastRenderedPageBreak/>
        <w:t>Sample size</w:t>
      </w:r>
      <w:bookmarkEnd w:id="184"/>
    </w:p>
    <w:p w:rsidR="00B469FC" w:rsidRPr="00B469FC" w:rsidRDefault="00B469FC" w:rsidP="00B469FC">
      <w:pPr>
        <w:spacing w:before="20"/>
      </w:pPr>
      <w:r w:rsidRPr="00B469FC">
        <w:t>The sample size was based on estimates of variability derived from previous studies. A sample size of 155 subjects in each group was estimated to have 90% power to detect a treatment difference of 1 NRS unit with SD of 2.7 using a 5% 2-sided significance level.</w:t>
      </w:r>
    </w:p>
    <w:p w:rsidR="00B469FC" w:rsidRPr="004B57BD" w:rsidRDefault="004B57BD" w:rsidP="004B57BD">
      <w:pPr>
        <w:ind w:left="720"/>
        <w:rPr>
          <w:i/>
        </w:rPr>
      </w:pPr>
      <w:r w:rsidRPr="004B57BD">
        <w:rPr>
          <w:i/>
        </w:rPr>
        <w:t xml:space="preserve">Comment: </w:t>
      </w:r>
      <w:r w:rsidR="00B469FC" w:rsidRPr="004B57BD">
        <w:rPr>
          <w:i/>
        </w:rPr>
        <w:t>It is unclear on what basis the sample size assumptions for NRS were made, in particular the selection of a treatment difference of I NRS unit. It is not stated if this was or was not considered a minimum clinically meaningful treatment difference compared with placebo.</w:t>
      </w:r>
    </w:p>
    <w:p w:rsidR="00B469FC" w:rsidRPr="0055733A" w:rsidRDefault="00B469FC" w:rsidP="00B469FC">
      <w:pPr>
        <w:pStyle w:val="Heading4"/>
        <w:numPr>
          <w:ilvl w:val="3"/>
          <w:numId w:val="19"/>
        </w:numPr>
        <w:tabs>
          <w:tab w:val="left" w:pos="567"/>
        </w:tabs>
        <w:adjustRightInd/>
        <w:snapToGrid/>
        <w:spacing w:before="20" w:line="240" w:lineRule="auto"/>
      </w:pPr>
      <w:bookmarkStart w:id="185" w:name="_Toc442436473"/>
      <w:r w:rsidRPr="0055733A">
        <w:t>Statistical methods</w:t>
      </w:r>
      <w:bookmarkEnd w:id="185"/>
    </w:p>
    <w:p w:rsidR="00B469FC" w:rsidRPr="00B469FC" w:rsidRDefault="00B469FC" w:rsidP="00B469FC">
      <w:pPr>
        <w:spacing w:before="20"/>
      </w:pPr>
      <w:r w:rsidRPr="00B469FC">
        <w:t>The primary efficacy analysis was performed on the ITT population with the PP population used as a sensitivity analysis. No interim analyses were performed. Statistical analyses were perfo</w:t>
      </w:r>
      <w:r w:rsidR="00BC1E71">
        <w:t>rmed using SAS</w:t>
      </w:r>
      <w:r w:rsidRPr="00B469FC">
        <w:t xml:space="preserve"> Version 9.3. Comparisons of demographic and baseline characteristics were performed using t-tests, Fisher’s Exact test, or Cochran-Mantel-</w:t>
      </w:r>
      <w:proofErr w:type="spellStart"/>
      <w:r w:rsidRPr="00B469FC">
        <w:t>Haenszel</w:t>
      </w:r>
      <w:proofErr w:type="spellEnd"/>
      <w:r w:rsidRPr="00B469FC">
        <w:t xml:space="preserve"> tests, as appropriate. Only 11 subjects had previously failed GTN therapy so history of GTN failure was not included in the final analysis. The primary analysis was based on average changes from baseline for worst anal pain experienced with or following defaecation using ANCOVA. The analyses determined the effects of DTZ on AF-related pain. The null hypothesis was tested with the type 1 error protected by a hierarchical structure testing the superiority of DTZ 4% cream vs placebo, followed by testing the superiority of DTZ 2% cream vs placebo. Treatment differences were estimated</w:t>
      </w:r>
      <w:r w:rsidR="00F72EA6">
        <w:t xml:space="preserve">, </w:t>
      </w:r>
      <w:r w:rsidR="00F72EA6" w:rsidRPr="00B469FC">
        <w:t>as appropriate</w:t>
      </w:r>
      <w:r w:rsidR="00F72EA6">
        <w:t>,</w:t>
      </w:r>
      <w:r w:rsidRPr="00B469FC">
        <w:t xml:space="preserve"> using 1-sided (97.5%) or 2-sided (95%) </w:t>
      </w:r>
      <w:proofErr w:type="gramStart"/>
      <w:r w:rsidRPr="00B469FC">
        <w:t>CIs.</w:t>
      </w:r>
      <w:proofErr w:type="gramEnd"/>
      <w:r w:rsidRPr="00B469FC">
        <w:t xml:space="preserve"> Responder analysis curves for average daily overall AF-related pain were analysed using the log-rank test with time to response displayed using Kaplan-Meier plots. Multiplicity was controlled by the hierarchical testing structure. Subjects with missing data had their baseline observation carried forward, and subjects with a missing assessment at Week 4 were considered to be non-responders. Subjects with other missing data had their worst previous AF-related pain scores carried forward. Missing values for healing of AF were assigned as not healed. The proportion of subjects with complete healing of AF were analysed using a logistic regression model.</w:t>
      </w:r>
    </w:p>
    <w:p w:rsidR="00B469FC" w:rsidRPr="004B57BD" w:rsidRDefault="004B57BD" w:rsidP="004B57BD">
      <w:pPr>
        <w:ind w:left="720"/>
        <w:rPr>
          <w:i/>
        </w:rPr>
      </w:pPr>
      <w:r w:rsidRPr="004B57BD">
        <w:rPr>
          <w:i/>
        </w:rPr>
        <w:t xml:space="preserve">Comment: </w:t>
      </w:r>
      <w:r w:rsidR="00B469FC" w:rsidRPr="004B57BD">
        <w:rPr>
          <w:i/>
        </w:rPr>
        <w:t>It is not clear why 97.5% CIs rather than conventional methodologies were used to correct for multiplicity (see Clinical Questions).</w:t>
      </w:r>
    </w:p>
    <w:p w:rsidR="00B469FC" w:rsidRPr="0055733A" w:rsidRDefault="00B469FC" w:rsidP="008F7B10">
      <w:pPr>
        <w:pStyle w:val="Heading4"/>
      </w:pPr>
      <w:bookmarkStart w:id="186" w:name="_Toc442436474"/>
      <w:r w:rsidRPr="0055733A">
        <w:t>Participant flow</w:t>
      </w:r>
      <w:bookmarkEnd w:id="186"/>
    </w:p>
    <w:p w:rsidR="00B469FC" w:rsidRPr="00B469FC" w:rsidRDefault="00B469FC" w:rsidP="00B469FC">
      <w:pPr>
        <w:spacing w:before="20"/>
      </w:pPr>
      <w:r w:rsidRPr="00B469FC">
        <w:t>A total of 520 subjects were screened, 465 subjects were randomised, and 440 subjects completed the study. A total of 148, 147, and 145 subjects completed the study in the DTZ 4%, DTZ 2%, and placebo groups, respectively. A total of 8, 7, and 10 subjects withdrew from the respective groups, most commonl</w:t>
      </w:r>
      <w:r w:rsidR="008F7B10">
        <w:t>y due to withdrawal of consent.</w:t>
      </w:r>
    </w:p>
    <w:p w:rsidR="00B469FC" w:rsidRPr="00611CCF" w:rsidRDefault="00B469FC" w:rsidP="008F7B10">
      <w:pPr>
        <w:pStyle w:val="Heading4"/>
      </w:pPr>
      <w:bookmarkStart w:id="187" w:name="_Toc442436475"/>
      <w:r w:rsidRPr="00611CCF">
        <w:t>Major protocol violations/deviations</w:t>
      </w:r>
      <w:bookmarkEnd w:id="187"/>
    </w:p>
    <w:p w:rsidR="00B469FC" w:rsidRPr="00B469FC" w:rsidRDefault="00B469FC" w:rsidP="00B469FC">
      <w:pPr>
        <w:autoSpaceDE w:val="0"/>
        <w:autoSpaceDN w:val="0"/>
        <w:adjustRightInd w:val="0"/>
        <w:spacing w:before="20"/>
      </w:pPr>
      <w:r w:rsidRPr="00B469FC">
        <w:t xml:space="preserve">Major protocol deviations occurred in 2, 1, and 1 subjects in the DTZ 4%, DTZ 2%, and placebo groups, respectively. Most major deviations resulted from failure to meet the inclusion criterion NRS ≥4 </w:t>
      </w:r>
      <w:r w:rsidR="00843192">
        <w:t>for worst AF pain at screening.</w:t>
      </w:r>
    </w:p>
    <w:p w:rsidR="00B469FC" w:rsidRPr="008F7B10" w:rsidRDefault="00B469FC" w:rsidP="00843192">
      <w:pPr>
        <w:pStyle w:val="Heading4"/>
        <w:pageBreakBefore/>
      </w:pPr>
      <w:bookmarkStart w:id="188" w:name="_Toc442436476"/>
      <w:r w:rsidRPr="008F7B10">
        <w:lastRenderedPageBreak/>
        <w:t>Baseline data</w:t>
      </w:r>
      <w:bookmarkEnd w:id="188"/>
    </w:p>
    <w:p w:rsidR="00B469FC" w:rsidRPr="00B469FC" w:rsidRDefault="00B469FC" w:rsidP="00B469FC">
      <w:pPr>
        <w:autoSpaceDE w:val="0"/>
        <w:autoSpaceDN w:val="0"/>
        <w:adjustRightInd w:val="0"/>
        <w:spacing w:before="20"/>
      </w:pPr>
      <w:r w:rsidRPr="00B469FC">
        <w:t xml:space="preserve">The majority of subjects were female (56.6%) and White (99.8%) with a mean age of 41.7 years and a mean body weight of 75.8 kg. Most AFs were posterior (76.6%) and all had indurated edges. The mean baseline NRS scores for AF pain in the ITT population were comparable in each treatment group (6.40 DTZ 4%, </w:t>
      </w:r>
      <w:r w:rsidR="008F7B10">
        <w:t xml:space="preserve">6.21 DTZ 2%, and 6.38 </w:t>
      </w:r>
      <w:proofErr w:type="gramStart"/>
      <w:r w:rsidR="008F7B10">
        <w:t>placebo</w:t>
      </w:r>
      <w:proofErr w:type="gramEnd"/>
      <w:r w:rsidR="008F7B10">
        <w:t>)</w:t>
      </w:r>
      <w:r w:rsidRPr="00B469FC">
        <w:t>. At screening, approximately 15% of subjects had concurrent haemorrhoids and 12.5% of subjects were using topical treatments. Overall, 56.3% of subjects were taking at least one non-ana</w:t>
      </w:r>
      <w:r w:rsidR="00F50040">
        <w:t>lgesic concomitant medication</w:t>
      </w:r>
      <w:r w:rsidRPr="00B469FC">
        <w:t>, mainly oral contraceptives (25.8%). During the study treatment period, laxatives and stool softeners were used by 15.4%, 21.4%, and 25.2% of the DTZ 4%, DTZ 2%, and placebo groups, respectively. During the study treatment period, analgesics were taken by 51.9%, 49.4%, and 53.5% of the respective groups. Compliance with study medication ranged from 88.7% to 89.8% during Weeks 1-4, and from</w:t>
      </w:r>
      <w:r w:rsidR="008F7B10">
        <w:t xml:space="preserve"> 83% to 85.1% during Weeks 5-8.</w:t>
      </w:r>
    </w:p>
    <w:p w:rsidR="00B469FC" w:rsidRPr="008F7B10" w:rsidRDefault="008F7B10" w:rsidP="008F7B10">
      <w:pPr>
        <w:ind w:left="720"/>
        <w:rPr>
          <w:i/>
        </w:rPr>
      </w:pPr>
      <w:r w:rsidRPr="008F7B10">
        <w:rPr>
          <w:i/>
        </w:rPr>
        <w:t xml:space="preserve">Comment: </w:t>
      </w:r>
      <w:r w:rsidR="00B469FC" w:rsidRPr="008F7B10">
        <w:rPr>
          <w:i/>
        </w:rPr>
        <w:t xml:space="preserve">Compared with the placebo group, somewhat fewer subjects in the DTZ 2% group used laxatives, stool softeners and analgesics throughout the study. This minor imbalance may have occurred by chance or represent treatment cause and effect. This cannot be determined as these concurrent interventions were not </w:t>
      </w:r>
      <w:r w:rsidR="00843192">
        <w:rPr>
          <w:i/>
        </w:rPr>
        <w:t>controlled in the study design.</w:t>
      </w:r>
    </w:p>
    <w:p w:rsidR="00B469FC" w:rsidRPr="008F7B10" w:rsidRDefault="00B469FC" w:rsidP="008F7B10">
      <w:pPr>
        <w:pStyle w:val="Heading4"/>
      </w:pPr>
      <w:bookmarkStart w:id="189" w:name="_Toc442436477"/>
      <w:r w:rsidRPr="008F7B10">
        <w:t>Results for the primary efficacy outcome</w:t>
      </w:r>
      <w:bookmarkEnd w:id="189"/>
    </w:p>
    <w:p w:rsidR="00B469FC" w:rsidRPr="00B469FC" w:rsidRDefault="00B469FC" w:rsidP="00B469FC">
      <w:pPr>
        <w:spacing w:before="20"/>
      </w:pPr>
      <w:r w:rsidRPr="00B469FC">
        <w:t>In the ITT population, the average NRS score for worst anal pain with or following defaecation at Week 4 decreased over the treatment period in each treatment group. At Week 4, the adjusted mean changes (+/- SD) from baseline were -2.64 (0.15), -2.63 (0.15), and -2.20 (0.15) in the DTZ 4%, DTZ 2%, and placebo groups, respectively. The adjusted differences from placebo were -0.44 (97.5% CI: &lt;-0.06, p=0.011) in the DTZ 4% group, and -0.43 (97.5% CI: &lt;-0.06</w:t>
      </w:r>
      <w:r w:rsidR="008F7B10">
        <w:t>, p=0.012) in the DTZ 2% group. A</w:t>
      </w:r>
      <w:r w:rsidRPr="00B469FC">
        <w:t xml:space="preserve"> range of sensitivity analyses allowing for missing data confirmed the conclusions of the primary analysis. At Week 8, there were further reductions in NRS scores in each treatment group. The adjusted mean changes (+/- SE) from baseline were -3.69 (0.16), -3.65 (0.16), and -3.03 (0.15) in the DTZ 4%, DTZ 2%, and placebo groups, respectively. The adjusted differences from placebo were -0.65 (97.5% CI: &lt;-0.25, p=0.0008) in the DTZ 4% group, and -0.62 (97.5% CI: &lt;-0.2</w:t>
      </w:r>
      <w:r w:rsidR="008F7B10">
        <w:t>1, p=0.002) in the DTZ 2% group.</w:t>
      </w:r>
    </w:p>
    <w:p w:rsidR="00B469FC" w:rsidRPr="00611CCF" w:rsidRDefault="00B469FC" w:rsidP="008F7B10">
      <w:pPr>
        <w:pStyle w:val="Heading4"/>
      </w:pPr>
      <w:bookmarkStart w:id="190" w:name="_Toc442436478"/>
      <w:r w:rsidRPr="00611CCF">
        <w:t>Results for other efficacy outcomes</w:t>
      </w:r>
      <w:bookmarkEnd w:id="190"/>
    </w:p>
    <w:p w:rsidR="00B469FC" w:rsidRPr="00B469FC" w:rsidRDefault="00B469FC" w:rsidP="00B469FC">
      <w:pPr>
        <w:spacing w:before="20"/>
      </w:pPr>
      <w:r w:rsidRPr="00B469FC">
        <w:t>There were no meaningful differences between treatment groups in the time cou</w:t>
      </w:r>
      <w:r w:rsidR="008F7B10">
        <w:t>rse of AF pain response</w:t>
      </w:r>
      <w:r w:rsidRPr="00B469FC">
        <w:t>. At Week 8, complete AF healing in the ITT population was recorded in 32.7%, 31.2%, and 23.9% of the DTZ 4%, DTZ 2%, an</w:t>
      </w:r>
      <w:r w:rsidR="008F7B10">
        <w:t>d placebo groups, respectively</w:t>
      </w:r>
      <w:r w:rsidRPr="00B469FC">
        <w:t>. The difference from placebo was statistically significant for the DTZ 4% group (p=0.018) but not for the DTZ 2% group (based on 97.5% CIs with a significance limit of p&lt;0.025). At Week 4 and Week 8 in the ITT population, there were modest improvements in PGI-I scores in each treatment group (data not shown). Compared with placebo, a small but statistically significant benefit (p=0.008) was observed in the DTZ 2% group but not in the DTZ 4% group. With the exception of small benefits in the pain and physical functioning domains, there were no meaningful improvements in SF-36 scores in either DTZ group compared with placebo (data not shown). No meaningful differences between groups were observed in the number of days per week on which analgesics were required. During the treatment period, no rescue medication or surgical intervention was required in any subject.</w:t>
      </w:r>
    </w:p>
    <w:p w:rsidR="00B469FC" w:rsidRPr="00B469FC" w:rsidRDefault="00B469FC" w:rsidP="00B469FC">
      <w:pPr>
        <w:spacing w:before="20"/>
      </w:pPr>
      <w:r w:rsidRPr="00B469FC">
        <w:t xml:space="preserve">Overall, plasma concentrations were low without evidence of accumulation of </w:t>
      </w:r>
      <w:proofErr w:type="spellStart"/>
      <w:r w:rsidRPr="00B469FC">
        <w:t>diltiazem</w:t>
      </w:r>
      <w:proofErr w:type="spellEnd"/>
      <w:r w:rsidRPr="00B469FC">
        <w:t xml:space="preserve"> or its metabolites in both DTZ groups. Plasma concentrations ranged from undetectable to 15.2 ng/mL in the DTZ 4% group, and from undetectable to 12.6 ng/mL in the DTZ 2% group. Higher mean concentrations were observed in the DTZ 4% group compared with the DTZ 2% group. </w:t>
      </w:r>
    </w:p>
    <w:p w:rsidR="00B469FC" w:rsidRPr="008F7B10" w:rsidRDefault="008F7B10" w:rsidP="008F7B10">
      <w:pPr>
        <w:ind w:left="720"/>
        <w:rPr>
          <w:i/>
        </w:rPr>
      </w:pPr>
      <w:r w:rsidRPr="008F7B10">
        <w:rPr>
          <w:i/>
        </w:rPr>
        <w:t xml:space="preserve">Comment: </w:t>
      </w:r>
      <w:r w:rsidR="00B469FC" w:rsidRPr="008F7B10">
        <w:rPr>
          <w:i/>
        </w:rPr>
        <w:t xml:space="preserve">This randomised, placebo-controlled, double-blind study was appropriately designed and conducted. The study subjects were representative of the general population with uncomplicated chronic AF. Compliance with study drug and procedures was generally good and daily IVRS diary entry ensured accurate recording of symptoms. </w:t>
      </w:r>
    </w:p>
    <w:p w:rsidR="00B469FC" w:rsidRPr="008F7B10" w:rsidRDefault="00B469FC" w:rsidP="008F7B10">
      <w:pPr>
        <w:ind w:left="720"/>
        <w:rPr>
          <w:i/>
        </w:rPr>
      </w:pPr>
      <w:r w:rsidRPr="008F7B10">
        <w:rPr>
          <w:i/>
        </w:rPr>
        <w:lastRenderedPageBreak/>
        <w:t>VAS is a validated and widely used pain rating scale used over 4- 8 week observation periods in most previous AF studies. NRS is also a validated and widely used alternative measure of pain relief: it was adopted in this study to allow IVRS diary reporting. However, pain is subjective with significant inter- and intra-subject variability confounded by a high placebo response. Healing is a more objective endpoint and pain relief without healing is a therapeutic failure which usually results in the need for surgery. As such, it is difficult to accept the sponsor’s view that pain relief is as important as healing in the management of AF (see Clinical Questions).</w:t>
      </w:r>
    </w:p>
    <w:p w:rsidR="00B469FC" w:rsidRPr="008F7B10" w:rsidRDefault="00B469FC" w:rsidP="008F7B10">
      <w:pPr>
        <w:ind w:left="720"/>
        <w:rPr>
          <w:i/>
        </w:rPr>
      </w:pPr>
      <w:r w:rsidRPr="008F7B10">
        <w:rPr>
          <w:i/>
        </w:rPr>
        <w:t>The primary endpoint of the study was met with DTZ 4% and DTZ 2% proving superior to placebo for changes in AF pain associated with or following defaecation. In the DTZ 2% group, the adjusted differences from placebo in NRS scores were -0.43 at Week 4, and -0.62 at Week 8. Both differences were statistically significant but not clinically meaningful. The sponsor has offered no opinion on what treatment differences measured by NRS are accepted as clinically significant. This should be provided with support from the literature or expert bodies (see Clinical Questions). It would also be useful to have a responder analysis of the percentage of subjects achieving the accepted clinically meaningful NRS treatment difference.</w:t>
      </w:r>
    </w:p>
    <w:p w:rsidR="00B469FC" w:rsidRPr="008F7B10" w:rsidRDefault="00B469FC" w:rsidP="008F7B10">
      <w:pPr>
        <w:ind w:left="720"/>
        <w:rPr>
          <w:i/>
        </w:rPr>
      </w:pPr>
      <w:r w:rsidRPr="008F7B10">
        <w:rPr>
          <w:i/>
        </w:rPr>
        <w:t xml:space="preserve">Although </w:t>
      </w:r>
      <w:proofErr w:type="spellStart"/>
      <w:r w:rsidRPr="008F7B10">
        <w:rPr>
          <w:i/>
        </w:rPr>
        <w:t>diltiazem</w:t>
      </w:r>
      <w:proofErr w:type="spellEnd"/>
      <w:r w:rsidRPr="008F7B10">
        <w:rPr>
          <w:i/>
        </w:rPr>
        <w:t xml:space="preserve"> causes immediate relaxation of increased anal sphincter tone, increasing pain relief was observed only gradually and progressively over the eight week treatment period in the DTZ and placebo groups. During the same period, AF healing was observed in 32.7% of the DTZ 4% group and 31.2% of the DTZ 2% group compared with 23.9% in the placebo group. The treatment benefit was not statistically significant for the DTZ 2% group. However, based on these data, it is plausible that the small benefit for pain relief was associated not with decreased anal sphincter tone but with improved healing rates (see Clinical Questions). This may have occurred by chance or represent a marginal but true increase in healing rates for DTZ 4% and 2% compared with placebo.</w:t>
      </w:r>
    </w:p>
    <w:p w:rsidR="00B469FC" w:rsidRPr="008F7B10" w:rsidRDefault="00B469FC" w:rsidP="008F7B10">
      <w:pPr>
        <w:ind w:left="720"/>
      </w:pPr>
      <w:r w:rsidRPr="008F7B10">
        <w:rPr>
          <w:i/>
        </w:rPr>
        <w:t xml:space="preserve">Compared with placebo, previous studies have failed to demonstrate a benefit in terms of AF healing with topical DTZ 2% cream.  Presumably, this was the reason for selecting pain relief as the primary outcome for this study. Systematic literature reviews of treatments for AF have demonstrated little or no benefit for any medical treatment with the possible exception of GTN. In DAF09, the difference in pain relief in favour of DTZ 2% was statistically significant compared with placebo but it was of minimal clinical significance and possibly related to healing. Dose response relationships were not formally tested but pain relief was no better with the DTZ 4% formulation. In the absence of literature or supporting studies assessing pain as a primary endpoint, a second pivotal study is required to more accurately assess and confirm the possibly chance findings reported in DAF09. </w:t>
      </w:r>
    </w:p>
    <w:p w:rsidR="00B469FC" w:rsidRDefault="00B469FC" w:rsidP="0059017D">
      <w:pPr>
        <w:pStyle w:val="Heading3"/>
      </w:pPr>
      <w:bookmarkStart w:id="191" w:name="_Toc442436479"/>
      <w:bookmarkStart w:id="192" w:name="_Toc485825989"/>
      <w:r>
        <w:t>Other Studies</w:t>
      </w:r>
      <w:bookmarkEnd w:id="191"/>
      <w:bookmarkEnd w:id="192"/>
    </w:p>
    <w:p w:rsidR="00B469FC" w:rsidRPr="0059017D" w:rsidRDefault="00B469FC" w:rsidP="0059017D">
      <w:pPr>
        <w:pStyle w:val="Heading4"/>
      </w:pPr>
      <w:bookmarkStart w:id="193" w:name="_Toc442436480"/>
      <w:r w:rsidRPr="0059017D">
        <w:t>Study DAF001</w:t>
      </w:r>
      <w:bookmarkStart w:id="194" w:name="_Toc241374311"/>
      <w:bookmarkStart w:id="195" w:name="_Ref243294291"/>
      <w:bookmarkEnd w:id="193"/>
    </w:p>
    <w:p w:rsidR="0059017D" w:rsidRDefault="0059017D" w:rsidP="0059017D">
      <w:pPr>
        <w:pStyle w:val="Heading5"/>
      </w:pPr>
      <w:r>
        <w:t>Methodology</w:t>
      </w:r>
    </w:p>
    <w:p w:rsidR="00B469FC" w:rsidRPr="00B469FC" w:rsidRDefault="00B469FC" w:rsidP="00B469FC">
      <w:pPr>
        <w:autoSpaceDE w:val="0"/>
        <w:autoSpaceDN w:val="0"/>
        <w:adjustRightInd w:val="0"/>
        <w:spacing w:before="20"/>
      </w:pPr>
      <w:r w:rsidRPr="00B469FC">
        <w:t xml:space="preserve">This was a Phase 2, randomised, double-blind, placebo controlled study comparing topical </w:t>
      </w:r>
      <w:proofErr w:type="spellStart"/>
      <w:r w:rsidRPr="00B469FC">
        <w:t>diltiazem</w:t>
      </w:r>
      <w:proofErr w:type="spellEnd"/>
      <w:r w:rsidRPr="00B469FC">
        <w:t xml:space="preserve"> and placebo in the management of chronic anal fissure. It was conducted at two sites in the UK between May 2000 and February 2002. The primary objectives were to compare AF healing rates, and </w:t>
      </w:r>
      <w:proofErr w:type="gramStart"/>
      <w:r w:rsidRPr="00B469FC">
        <w:t>relapse</w:t>
      </w:r>
      <w:proofErr w:type="gramEnd"/>
      <w:r w:rsidRPr="00B469FC">
        <w:t xml:space="preserve"> rates after healing. Secondary objectives were AF pain measured by VAS, resting anorectal pressure measured by </w:t>
      </w:r>
      <w:proofErr w:type="spellStart"/>
      <w:r w:rsidRPr="00B469FC">
        <w:t>manometry</w:t>
      </w:r>
      <w:proofErr w:type="spellEnd"/>
      <w:r w:rsidRPr="00B469FC">
        <w:t xml:space="preserve">, and recurrence rates during the follow-up period. Eligible subjects had posterior AF with indurated edges present for more than 2 months. Subjects were excluded if they had previous medical or surgical treatment for AF in the previous year. The study was powered to detect a 30% treatment difference in the primary endpoint and a total of 104 subjects were planned. Subjects were randomised to receive either DTZ 2% cream (2.5 cm, </w:t>
      </w:r>
      <w:proofErr w:type="spellStart"/>
      <w:r w:rsidRPr="00B469FC">
        <w:t>diltiazem</w:t>
      </w:r>
      <w:proofErr w:type="spellEnd"/>
      <w:r w:rsidRPr="00B469FC">
        <w:t xml:space="preserve"> 20 mg nominal daily dose) or matching placebo applied 12 hourly for 8 weeks. Open label DTZ 2% cream was offered for a further 8 week period in subjects who did have AF healing during the double-blind treatment period. AF healing rates in the ITT population were analysed using </w:t>
      </w:r>
      <w:r w:rsidRPr="00B469FC">
        <w:lastRenderedPageBreak/>
        <w:t xml:space="preserve">Fisher’s Exact </w:t>
      </w:r>
      <w:proofErr w:type="gramStart"/>
      <w:r w:rsidRPr="00B469FC">
        <w:t>Test,</w:t>
      </w:r>
      <w:proofErr w:type="gramEnd"/>
      <w:r w:rsidRPr="00B469FC">
        <w:t xml:space="preserve"> and VAS and rectal pressures were measured by ANCOVA. A post-treatment follow-up visit was scheduled at 4 months with telephone follow-up at 6 and 12 months.</w:t>
      </w:r>
    </w:p>
    <w:p w:rsidR="0059017D" w:rsidRDefault="0059017D" w:rsidP="0059017D">
      <w:pPr>
        <w:pStyle w:val="Heading5"/>
      </w:pPr>
      <w:r>
        <w:t>Results</w:t>
      </w:r>
    </w:p>
    <w:p w:rsidR="00B469FC" w:rsidRPr="00B469FC" w:rsidRDefault="00B469FC" w:rsidP="00B469FC">
      <w:pPr>
        <w:autoSpaceDE w:val="0"/>
        <w:autoSpaceDN w:val="0"/>
        <w:adjustRightInd w:val="0"/>
        <w:spacing w:before="20"/>
      </w:pPr>
      <w:r w:rsidRPr="00B469FC">
        <w:t>The study was stopped after 62 subjects (31 in each group) had been recruited due to unspecified stability problems with the study formulation. One patient in each treatment group had AF healing by Week 4. At Week 8, AF healing had occurred in 10% of the DTZ 2% group compared with 19% in the placebo group. The adjusted treatment difference was -9.7% (95% CI: -27.2, 7.9, p=0.47). A further 22% of subjects had AF healing during the eight week open-label treatment period. In the DTZ 2% group, mean VAS scores fell from 55.4 mm at baseline to 34.7 mm at Week 4, and 31.9 mm at Week 8. In the placebo group, mean VAS scores fell from 57.2 mm at baseline to 36.7 mm at Week 4, and 40.5 mm at Week 8. The adjusted treatment difference -1.32 mm at Week 4 (95% CI: -17.6, 15.0, p=0.87), and -5.44 mm at Week 8 (95% CI: -22.2, 11.3, p=0.52). Reductions in mean resting sphincter pressure from baseline were seen in both treatment groups. However, the adjusted treatment difference was small (0.52 mm Hg at week 8.)</w:t>
      </w:r>
      <w:r w:rsidR="00843192">
        <w:t>.</w:t>
      </w:r>
    </w:p>
    <w:p w:rsidR="00B469FC" w:rsidRPr="0059017D" w:rsidRDefault="0059017D" w:rsidP="0059017D">
      <w:pPr>
        <w:ind w:left="720"/>
        <w:rPr>
          <w:i/>
        </w:rPr>
      </w:pPr>
      <w:r w:rsidRPr="0059017D">
        <w:rPr>
          <w:i/>
        </w:rPr>
        <w:t xml:space="preserve">Comment: </w:t>
      </w:r>
      <w:r w:rsidR="00B469FC" w:rsidRPr="0059017D">
        <w:rPr>
          <w:i/>
        </w:rPr>
        <w:t xml:space="preserve">This study was terminated prematurely due to unspecified stability issues with the study drug formulation. As the integrity of the study formulation was uncertain, the study results have no value and should be discounted in the overall evaluation of both safety and efficacy.  </w:t>
      </w:r>
    </w:p>
    <w:p w:rsidR="00B469FC" w:rsidRPr="00AD6059" w:rsidRDefault="00B469FC" w:rsidP="0059017D">
      <w:pPr>
        <w:pStyle w:val="Heading4"/>
      </w:pPr>
      <w:bookmarkStart w:id="196" w:name="_Toc442436481"/>
      <w:r>
        <w:t>Study 99CFAIII</w:t>
      </w:r>
      <w:bookmarkEnd w:id="196"/>
    </w:p>
    <w:bookmarkEnd w:id="194"/>
    <w:bookmarkEnd w:id="195"/>
    <w:p w:rsidR="0059017D" w:rsidRDefault="0059017D" w:rsidP="0059017D">
      <w:pPr>
        <w:pStyle w:val="Heading5"/>
      </w:pPr>
      <w:r>
        <w:t>Methodology</w:t>
      </w:r>
    </w:p>
    <w:p w:rsidR="00B469FC" w:rsidRPr="00B469FC" w:rsidRDefault="00B469FC" w:rsidP="00B469FC">
      <w:pPr>
        <w:autoSpaceDE w:val="0"/>
        <w:autoSpaceDN w:val="0"/>
        <w:adjustRightInd w:val="0"/>
        <w:spacing w:before="20"/>
      </w:pPr>
      <w:r w:rsidRPr="00B469FC">
        <w:t xml:space="preserve">This was a Phase 2, randomised, double-blind, active comparator study of 0.2% GTN and DTZ 2% in subjects with chronic AF. It was conducted at two centres in the UK between January 2000 and January 2001. The primary objective was to compare AF healing rates, and the main secondary objective was AF pain relief measured by VAS. Eligible subjects had chronic AF with sentinel tags and visible muscle at the base of the fissure with pain present for at least three months. Subjects were excluded if they had previous medical or surgical treatment for AF in the previous year. The study was powered to detect a 40% treatment difference in the incidence of side effects and a total of 62 subjects were planned. Subjects were randomised to receive either DTZ 2% cream (2.5 cm, </w:t>
      </w:r>
      <w:proofErr w:type="spellStart"/>
      <w:r w:rsidRPr="00B469FC">
        <w:t>diltiazem</w:t>
      </w:r>
      <w:proofErr w:type="spellEnd"/>
      <w:r w:rsidRPr="00B469FC">
        <w:t xml:space="preserve"> 20 mg nominal daily dose), or GTN 0.2% cream (2.5 cm, GTN 2 mg nominal daily dose) matching placebo applied in and around the anus 12 hourly for 6 weeks. Subjects were screened and randomised with further visits at Weeks 3, 6, and 8. If a subject’s fissure was not healed at Week 6, a further two weeks treatment was offered. AF healing rates in the ITT population were analysed using the Cochran-Mantel-</w:t>
      </w:r>
      <w:proofErr w:type="spellStart"/>
      <w:r w:rsidRPr="00B469FC">
        <w:t>Haenszel</w:t>
      </w:r>
      <w:proofErr w:type="spellEnd"/>
      <w:r w:rsidRPr="00B469FC">
        <w:t xml:space="preserve"> test. A total of 60 subjects were randomised (31 DTZ, 29 GTN) and 43 subjects completed the study (71% DTZ, 72% GTN). Withdrawals were due most commonly to AEs or withdrawal of consent. In the DTZ and GTN groups, most patients were female (65% vs 52%) with mean ages of 45.6 and 40.7 years, respectively. Chronic AF had been present for a median duration of approx</w:t>
      </w:r>
      <w:r w:rsidR="00843192">
        <w:t>imately one year in each group.</w:t>
      </w:r>
    </w:p>
    <w:p w:rsidR="0059017D" w:rsidRDefault="0059017D" w:rsidP="0059017D">
      <w:pPr>
        <w:pStyle w:val="Heading5"/>
      </w:pPr>
      <w:r>
        <w:t>Results</w:t>
      </w:r>
    </w:p>
    <w:p w:rsidR="00B469FC" w:rsidRPr="00B469FC" w:rsidRDefault="00B469FC" w:rsidP="00B469FC">
      <w:pPr>
        <w:spacing w:before="20"/>
      </w:pPr>
      <w:r w:rsidRPr="00B469FC">
        <w:t>At Week 8, healing occurred in 26% and 41% of the DTZ and GTN groups, respectively (p=0.21 for the treatment differenc</w:t>
      </w:r>
      <w:r w:rsidR="0059017D">
        <w:t xml:space="preserve">e). </w:t>
      </w:r>
      <w:r w:rsidRPr="00B469FC">
        <w:t>In the DTZ group, pain measured by VAS fell from 62.8 mm at screening to 26.7 mm at Week 8. In the GTN group, VAS scores fell from 56.3 mm at screening to 10.6 mm Week 8 (p=0.36</w:t>
      </w:r>
      <w:r w:rsidR="00843192">
        <w:t xml:space="preserve"> for the treatment difference).</w:t>
      </w:r>
    </w:p>
    <w:p w:rsidR="00B469FC" w:rsidRPr="0059017D" w:rsidRDefault="0059017D" w:rsidP="0059017D">
      <w:pPr>
        <w:ind w:left="720"/>
        <w:rPr>
          <w:i/>
        </w:rPr>
      </w:pPr>
      <w:r w:rsidRPr="0059017D">
        <w:rPr>
          <w:i/>
        </w:rPr>
        <w:t xml:space="preserve">Comment: </w:t>
      </w:r>
      <w:r w:rsidR="00B469FC" w:rsidRPr="0059017D">
        <w:rPr>
          <w:i/>
        </w:rPr>
        <w:t>This randomised, double-blind study compared the efficacy and safety of DTZ and GTN creams over an eight week treatment period. The study was small and not powered to detect differences in efficacy between the two treatments. Although the differences were not statistically significant, there were clear trends in favour of GTN for AF healing and pain relief.</w:t>
      </w:r>
    </w:p>
    <w:p w:rsidR="00B469FC" w:rsidRPr="0059017D" w:rsidRDefault="00B469FC" w:rsidP="0059017D">
      <w:pPr>
        <w:pStyle w:val="Heading3"/>
      </w:pPr>
      <w:bookmarkStart w:id="197" w:name="_Toc442436482"/>
      <w:bookmarkStart w:id="198" w:name="_Toc485825990"/>
      <w:r w:rsidRPr="0059017D">
        <w:t>Analyses performed across trials (</w:t>
      </w:r>
      <w:r w:rsidR="0059017D" w:rsidRPr="0059017D">
        <w:t>pooled &amp;</w:t>
      </w:r>
      <w:r w:rsidRPr="0059017D">
        <w:t xml:space="preserve"> </w:t>
      </w:r>
      <w:proofErr w:type="gramStart"/>
      <w:r w:rsidRPr="0059017D">
        <w:t>meta</w:t>
      </w:r>
      <w:proofErr w:type="gramEnd"/>
      <w:r w:rsidR="00FE1DF4">
        <w:t xml:space="preserve"> </w:t>
      </w:r>
      <w:r w:rsidRPr="0059017D">
        <w:t>analyses)</w:t>
      </w:r>
      <w:bookmarkEnd w:id="197"/>
      <w:bookmarkEnd w:id="198"/>
    </w:p>
    <w:p w:rsidR="00B469FC" w:rsidRPr="0059017D" w:rsidRDefault="00B469FC" w:rsidP="0059017D">
      <w:r w:rsidRPr="0059017D">
        <w:t>None submitted.</w:t>
      </w:r>
    </w:p>
    <w:p w:rsidR="00B469FC" w:rsidRPr="00AD6059" w:rsidRDefault="00B469FC" w:rsidP="0059017D">
      <w:pPr>
        <w:pStyle w:val="Heading3"/>
      </w:pPr>
      <w:bookmarkStart w:id="199" w:name="_Ref271126605"/>
      <w:bookmarkStart w:id="200" w:name="_Toc272414657"/>
      <w:bookmarkStart w:id="201" w:name="_Toc290888508"/>
      <w:bookmarkStart w:id="202" w:name="_Toc442436483"/>
      <w:bookmarkStart w:id="203" w:name="_Toc485825991"/>
      <w:r w:rsidRPr="00AD6059">
        <w:lastRenderedPageBreak/>
        <w:t>Evaluator’s conclusions on clinical efficacy</w:t>
      </w:r>
      <w:bookmarkEnd w:id="199"/>
      <w:bookmarkEnd w:id="200"/>
      <w:bookmarkEnd w:id="201"/>
      <w:bookmarkEnd w:id="202"/>
      <w:bookmarkEnd w:id="203"/>
    </w:p>
    <w:p w:rsidR="00B469FC" w:rsidRPr="0059017D" w:rsidRDefault="00B469FC" w:rsidP="0059017D">
      <w:r w:rsidRPr="0059017D">
        <w:t>Clinical efficacy was assessed in the single pivotal DAF09. The supportive Phase 2 study DAF001 has no value for reas</w:t>
      </w:r>
      <w:r w:rsidR="0059017D">
        <w:t>ons discussed</w:t>
      </w:r>
      <w:r w:rsidRPr="0059017D">
        <w:t>. The supportive Phase 2 study 99CFAIII was not placebo controlled, and better healing rates and pain relief were reported in the GTN active comparator arm. Due to the lack of a placebo arm, these data can also be discounted for evaluation purposes.</w:t>
      </w:r>
    </w:p>
    <w:p w:rsidR="00B469FC" w:rsidRPr="0059017D" w:rsidRDefault="00B469FC" w:rsidP="0059017D">
      <w:r w:rsidRPr="0059017D">
        <w:t>The primary objective was achieved in the only pivotal Phase 3, randomised, double-blind, placebo-controlled study (DAF09) involving 440 subjects, with a statistically significant benefit for DTZ 2% in terms of AF pain relief assessed by NRS. However, the benefit for DTZ 2% in NRS scores was marginal (less than 0.43 NRS units on an eleven point scale) and not clinically meaningful. The sponsor argues that the treatment difference in favour of DTZ 2% cream was clinically meaningful, citing the internal consistency of secondary outcomes, supporting studies, and literature studies. These arguments are tenuous but, even if they are accepted, they would support statistical robustness and not clinical significance.  A responder analysis based on an accepted clinically significant treatment difference would have been useful but this was not done.</w:t>
      </w:r>
    </w:p>
    <w:p w:rsidR="00B469FC" w:rsidRPr="0059017D" w:rsidRDefault="00B469FC" w:rsidP="0059017D">
      <w:r w:rsidRPr="0059017D">
        <w:t xml:space="preserve">There was a trend towards increased AF healing with topical DTZ 2% compared with placebo. However, as in previous studies, the treatment difference was modest and not statistically significant. Improved pain scores with DTZ 2% might have resulted from a chance occurrence of increased AF healing rather than pharmacological reductions in anal sphincter tone. Overall, the marginal outcomes of the single pivotal study could have occurred by chance despite comparable outcomes in the DTZ 4% group. Even if the observations reflect a true therapeutic effect, they should be confirmed with a second, adequately powered study, preferably with AF healing as the primary endpoint. </w:t>
      </w:r>
    </w:p>
    <w:p w:rsidR="0085068D" w:rsidRPr="00B469FC" w:rsidRDefault="0085068D" w:rsidP="00B469FC">
      <w:pPr>
        <w:spacing w:before="20"/>
        <w:rPr>
          <w:lang w:eastAsia="ja-JP"/>
        </w:rPr>
      </w:pPr>
    </w:p>
    <w:p w:rsidR="00C22678" w:rsidRDefault="00C22678" w:rsidP="00B469FC">
      <w:pPr>
        <w:pStyle w:val="Heading2"/>
        <w:spacing w:before="20"/>
      </w:pPr>
      <w:bookmarkStart w:id="204" w:name="_Toc485825992"/>
      <w:r>
        <w:t>Clinical safety</w:t>
      </w:r>
      <w:bookmarkEnd w:id="204"/>
    </w:p>
    <w:p w:rsidR="00B469FC" w:rsidRPr="00611CCF" w:rsidRDefault="00B469FC" w:rsidP="0059017D">
      <w:pPr>
        <w:pStyle w:val="Heading3"/>
      </w:pPr>
      <w:bookmarkStart w:id="205" w:name="_Toc272414659"/>
      <w:bookmarkStart w:id="206" w:name="_Toc290888510"/>
      <w:bookmarkStart w:id="207" w:name="_Toc442436485"/>
      <w:bookmarkStart w:id="208" w:name="_Toc485825993"/>
      <w:r w:rsidRPr="00611CCF">
        <w:t>Studies providing evaluable safety data</w:t>
      </w:r>
      <w:bookmarkEnd w:id="205"/>
      <w:bookmarkEnd w:id="206"/>
      <w:bookmarkEnd w:id="207"/>
      <w:bookmarkEnd w:id="208"/>
    </w:p>
    <w:p w:rsidR="00B469FC" w:rsidRPr="00B469FC" w:rsidRDefault="00B469FC" w:rsidP="00B469FC">
      <w:pPr>
        <w:spacing w:before="20"/>
      </w:pPr>
      <w:bookmarkStart w:id="209" w:name="_Ref268776745"/>
      <w:r w:rsidRPr="00B469FC">
        <w:t>The following studies provided evaluable safety data:</w:t>
      </w:r>
    </w:p>
    <w:p w:rsidR="00B469FC" w:rsidRPr="0040472A" w:rsidRDefault="00B469FC" w:rsidP="0059017D">
      <w:pPr>
        <w:pStyle w:val="Heading4"/>
      </w:pPr>
      <w:bookmarkStart w:id="210" w:name="_Toc395776135"/>
      <w:bookmarkStart w:id="211" w:name="_Toc442436486"/>
      <w:r w:rsidRPr="0040472A">
        <w:t>Pivotal efficacy studies</w:t>
      </w:r>
      <w:bookmarkEnd w:id="209"/>
      <w:bookmarkEnd w:id="210"/>
      <w:bookmarkEnd w:id="211"/>
    </w:p>
    <w:p w:rsidR="00B469FC" w:rsidRPr="00B469FC" w:rsidRDefault="00B469FC" w:rsidP="00B469FC">
      <w:pPr>
        <w:spacing w:before="20"/>
      </w:pPr>
      <w:r w:rsidRPr="00B469FC">
        <w:t>In the pivotal efficacy study DAF09, the following safety data were collected:</w:t>
      </w:r>
    </w:p>
    <w:p w:rsidR="00B469FC" w:rsidRPr="0059017D" w:rsidRDefault="00B469FC" w:rsidP="0059017D">
      <w:pPr>
        <w:pStyle w:val="ListBullet"/>
      </w:pPr>
      <w:r w:rsidRPr="0059017D">
        <w:t xml:space="preserve">General adverse events (AEs) were elicited by asking a standard non-leading question. AEs were recorded via the daily IVRS and paper diaries. AEs were coded and reported using the </w:t>
      </w:r>
      <w:proofErr w:type="spellStart"/>
      <w:r w:rsidRPr="0059017D">
        <w:t>MedDRA</w:t>
      </w:r>
      <w:proofErr w:type="spellEnd"/>
      <w:r w:rsidRPr="0059017D">
        <w:t xml:space="preserve"> classification.</w:t>
      </w:r>
    </w:p>
    <w:p w:rsidR="00B469FC" w:rsidRPr="0059017D" w:rsidRDefault="00B469FC" w:rsidP="0059017D">
      <w:pPr>
        <w:pStyle w:val="ListBullet"/>
      </w:pPr>
      <w:r w:rsidRPr="0059017D">
        <w:t>With the exception of local AEs related to AF, no AEs of particular interest were identified.</w:t>
      </w:r>
    </w:p>
    <w:p w:rsidR="00B469FC" w:rsidRPr="0059017D" w:rsidRDefault="00B469FC" w:rsidP="0059017D">
      <w:pPr>
        <w:pStyle w:val="ListBullet"/>
      </w:pPr>
      <w:r w:rsidRPr="0059017D">
        <w:t>Standard laboratory tests were performed at local laboratories. Haematology and biochemistry testing was performed cent</w:t>
      </w:r>
      <w:r w:rsidR="00843192">
        <w:t>rally by Quest Diagnostics, UK.</w:t>
      </w:r>
    </w:p>
    <w:p w:rsidR="0059017D" w:rsidRPr="0059017D" w:rsidRDefault="00B469FC" w:rsidP="0059017D">
      <w:pPr>
        <w:pStyle w:val="Heading5"/>
        <w:rPr>
          <w:rStyle w:val="Heading5Char"/>
          <w:rFonts w:eastAsia="Cambria"/>
          <w:b/>
          <w:bCs/>
          <w:i/>
        </w:rPr>
      </w:pPr>
      <w:r w:rsidRPr="0059017D">
        <w:rPr>
          <w:rStyle w:val="Heading5Char"/>
          <w:b/>
          <w:bCs/>
          <w:i/>
        </w:rPr>
        <w:t>Pivotal studies that asses</w:t>
      </w:r>
      <w:r w:rsidR="0059017D" w:rsidRPr="0059017D">
        <w:rPr>
          <w:rStyle w:val="Heading5Char"/>
          <w:rFonts w:eastAsia="Cambria"/>
          <w:b/>
          <w:bCs/>
          <w:i/>
        </w:rPr>
        <w:t>sed safety as a primary outcome</w:t>
      </w:r>
    </w:p>
    <w:p w:rsidR="0059017D" w:rsidRDefault="00B469FC" w:rsidP="0059017D">
      <w:r w:rsidRPr="0059017D">
        <w:t>None submitted.</w:t>
      </w:r>
    </w:p>
    <w:p w:rsidR="0059017D" w:rsidRDefault="00B469FC" w:rsidP="0059017D">
      <w:pPr>
        <w:pStyle w:val="Heading5"/>
      </w:pPr>
      <w:r w:rsidRPr="0059017D">
        <w:t>Dose-response a</w:t>
      </w:r>
      <w:r w:rsidR="0059017D">
        <w:t>nd non-pivotal efficacy studies</w:t>
      </w:r>
    </w:p>
    <w:p w:rsidR="0059017D" w:rsidRDefault="00B469FC" w:rsidP="0059017D">
      <w:r w:rsidRPr="0059017D">
        <w:t>The non-pivotal efficacy study 99CFAIII provided additional safety data in subjects with AF. Data from DAF001 are reported for completeness but they are not evaluable for reason</w:t>
      </w:r>
      <w:r w:rsidR="0059017D" w:rsidRPr="0059017D">
        <w:t>s discussed.</w:t>
      </w:r>
    </w:p>
    <w:p w:rsidR="0059017D" w:rsidRDefault="00B469FC" w:rsidP="0059017D">
      <w:pPr>
        <w:pStyle w:val="Heading5"/>
      </w:pPr>
      <w:r w:rsidRPr="0059017D">
        <w:t>Other st</w:t>
      </w:r>
      <w:r w:rsidR="0059017D">
        <w:t>udies evaluable for safety only</w:t>
      </w:r>
    </w:p>
    <w:p w:rsidR="00B469FC" w:rsidRPr="0059017D" w:rsidRDefault="00B469FC" w:rsidP="0059017D">
      <w:r w:rsidRPr="0059017D">
        <w:t>Studies VEN307-DERM-001 and VEN307-DERM-002 provided assessments of local tolerability in healthy subjects.</w:t>
      </w:r>
    </w:p>
    <w:p w:rsidR="00B469FC" w:rsidRDefault="00B469FC" w:rsidP="00A36A86">
      <w:pPr>
        <w:pStyle w:val="Heading3"/>
      </w:pPr>
      <w:bookmarkStart w:id="212" w:name="_Ref269204367"/>
      <w:bookmarkStart w:id="213" w:name="_Ref271195835"/>
      <w:bookmarkStart w:id="214" w:name="_Ref271195841"/>
      <w:bookmarkStart w:id="215" w:name="_Toc272414660"/>
      <w:bookmarkStart w:id="216" w:name="_Toc290888511"/>
      <w:bookmarkStart w:id="217" w:name="_Toc442436487"/>
      <w:bookmarkStart w:id="218" w:name="_Toc485825994"/>
      <w:r w:rsidRPr="00136810">
        <w:lastRenderedPageBreak/>
        <w:t>Pivotal studies that assessed safety as a primary outcome</w:t>
      </w:r>
      <w:bookmarkEnd w:id="212"/>
      <w:bookmarkEnd w:id="213"/>
      <w:bookmarkEnd w:id="214"/>
      <w:bookmarkEnd w:id="215"/>
      <w:bookmarkEnd w:id="216"/>
      <w:bookmarkEnd w:id="217"/>
      <w:bookmarkEnd w:id="218"/>
    </w:p>
    <w:p w:rsidR="00B469FC" w:rsidRPr="00B469FC" w:rsidRDefault="00B469FC" w:rsidP="00B469FC">
      <w:pPr>
        <w:spacing w:before="20"/>
      </w:pPr>
      <w:r w:rsidRPr="00B469FC">
        <w:t>None submitted.</w:t>
      </w:r>
    </w:p>
    <w:p w:rsidR="00B469FC" w:rsidRDefault="00B469FC" w:rsidP="00A36A86">
      <w:pPr>
        <w:pStyle w:val="Heading3"/>
      </w:pPr>
      <w:bookmarkStart w:id="219" w:name="_Ref290844188"/>
      <w:bookmarkStart w:id="220" w:name="_Toc290888512"/>
      <w:bookmarkStart w:id="221" w:name="_Toc442436488"/>
      <w:bookmarkStart w:id="222" w:name="_Toc485825995"/>
      <w:r>
        <w:t>Other studies that assessed safety as a primary outcome</w:t>
      </w:r>
      <w:bookmarkEnd w:id="219"/>
      <w:bookmarkEnd w:id="220"/>
      <w:bookmarkEnd w:id="221"/>
      <w:bookmarkEnd w:id="222"/>
    </w:p>
    <w:p w:rsidR="00B469FC" w:rsidRPr="00136810" w:rsidRDefault="00B469FC" w:rsidP="00A36A86">
      <w:pPr>
        <w:pStyle w:val="Heading4"/>
      </w:pPr>
      <w:bookmarkStart w:id="223" w:name="_Toc290888513"/>
      <w:bookmarkStart w:id="224" w:name="_Toc442436489"/>
      <w:r w:rsidRPr="00136810">
        <w:t xml:space="preserve">Study </w:t>
      </w:r>
      <w:r>
        <w:t>VEN307-DERM-001</w:t>
      </w:r>
      <w:bookmarkEnd w:id="223"/>
      <w:bookmarkEnd w:id="224"/>
    </w:p>
    <w:p w:rsidR="00A36A86" w:rsidRDefault="00A36A86" w:rsidP="00A36A86">
      <w:pPr>
        <w:pStyle w:val="Heading5"/>
      </w:pPr>
      <w:r>
        <w:t>Methodology</w:t>
      </w:r>
    </w:p>
    <w:p w:rsidR="00B469FC" w:rsidRPr="00B469FC" w:rsidRDefault="00B469FC" w:rsidP="00B469FC">
      <w:pPr>
        <w:autoSpaceDE w:val="0"/>
        <w:autoSpaceDN w:val="0"/>
        <w:adjustRightInd w:val="0"/>
        <w:spacing w:before="20"/>
      </w:pPr>
      <w:r w:rsidRPr="00B469FC">
        <w:t xml:space="preserve">This was a Phase 1, randomised, controlled study to evaluate the sensitizing potential of </w:t>
      </w:r>
      <w:proofErr w:type="spellStart"/>
      <w:r w:rsidRPr="00B469FC">
        <w:t>diltiazem</w:t>
      </w:r>
      <w:proofErr w:type="spellEnd"/>
      <w:r w:rsidRPr="00B469FC">
        <w:t xml:space="preserve"> 2% cream in healthy subjects. It was conducted by TKL Research, New Jersey, between March 2013 and May 2013. The primary objective was to compare DTZ 2% cream and its vehicle for their potential to sensitize the skin by repeated topical applications. The repeated insult patch test (RIPT) is a standard methodology for assessment of cell-mediated dermal immune responses. A total of 10 patch (2 cm x 2 cm) applications were made over a period of approximately 6-8 weeks. All subjects had positive and negative control patches applied under occlusion to the left </w:t>
      </w:r>
      <w:proofErr w:type="spellStart"/>
      <w:r w:rsidRPr="00B469FC">
        <w:t>infrascapular</w:t>
      </w:r>
      <w:proofErr w:type="spellEnd"/>
      <w:r w:rsidRPr="00B469FC">
        <w:t xml:space="preserve"> area at randomly assigned, adjacent sites. DTX 2% cream and its vehicle were applied with 0.1% SLS</w:t>
      </w:r>
      <w:r w:rsidR="00A36A86">
        <w:rPr>
          <w:rStyle w:val="FootnoteReference"/>
        </w:rPr>
        <w:footnoteReference w:id="1"/>
      </w:r>
      <w:r w:rsidRPr="00B469FC">
        <w:t xml:space="preserve"> patches as the positive control, and 0.9% saline solution as the negative control. During a three week induction phase, DTZ 2% cream, vehicle, and control patches were applied three times weekly. Dermal reactions at the application sites were assessed using a visual scale for erythema, oedema, and other signs of skin irritation. The patches were removed and subjects had a 10-14 day rest period. They were then rechallenged with a 48 hour patch application at a naïve site on the right </w:t>
      </w:r>
      <w:proofErr w:type="spellStart"/>
      <w:r w:rsidRPr="00B469FC">
        <w:t>infrascapular</w:t>
      </w:r>
      <w:proofErr w:type="spellEnd"/>
      <w:r w:rsidRPr="00B469FC">
        <w:t xml:space="preserve"> area. After removal of the challenge patch, dermal sensitization was assessed at 30 minutes, 24, 48, and 72 hours. If a cutaneous reaction was observed, a repeat challenge was permitted at the </w:t>
      </w:r>
      <w:r w:rsidR="00843192">
        <w:t>discretion of the investigator.</w:t>
      </w:r>
    </w:p>
    <w:p w:rsidR="00B469FC" w:rsidRPr="00B469FC" w:rsidRDefault="00B469FC" w:rsidP="00B469FC">
      <w:pPr>
        <w:autoSpaceDE w:val="0"/>
        <w:autoSpaceDN w:val="0"/>
        <w:adjustRightInd w:val="0"/>
        <w:spacing w:before="20"/>
      </w:pPr>
      <w:r w:rsidRPr="00B469FC">
        <w:t xml:space="preserve">A total of 230 healthy male and female subjects were enrolled and 201 subjects completed the study. The subjects were </w:t>
      </w:r>
      <w:proofErr w:type="gramStart"/>
      <w:r w:rsidRPr="00B469FC">
        <w:t>either White</w:t>
      </w:r>
      <w:proofErr w:type="gramEnd"/>
      <w:r w:rsidRPr="00B469FC">
        <w:t xml:space="preserve"> (80.9%), Black (18.3%), or Asian (0.9%). Most were female (70.9%) with a mean age of 43.7 years.</w:t>
      </w:r>
    </w:p>
    <w:p w:rsidR="00B469FC" w:rsidRPr="00B469FC" w:rsidRDefault="00B469FC" w:rsidP="00B469FC">
      <w:pPr>
        <w:autoSpaceDE w:val="0"/>
        <w:autoSpaceDN w:val="0"/>
        <w:adjustRightInd w:val="0"/>
        <w:spacing w:before="20"/>
      </w:pPr>
      <w:r w:rsidRPr="00B469FC">
        <w:t xml:space="preserve">Withdrawal of consent was the most common reason for study discontinuation. No efficacy indices were measured. Sensitizing potential was reported as the number and percentage of subjects with a sensitization response. Local tolerability was assessed using a visual Skin </w:t>
      </w:r>
      <w:r w:rsidR="00A36A86">
        <w:t xml:space="preserve">Irritation Score (SIS). </w:t>
      </w:r>
      <w:r w:rsidRPr="00B469FC">
        <w:t xml:space="preserve">All AEs were listed by subject and coded according to </w:t>
      </w:r>
      <w:proofErr w:type="spellStart"/>
      <w:r w:rsidRPr="00B469FC">
        <w:t>MedDRA</w:t>
      </w:r>
      <w:proofErr w:type="spellEnd"/>
      <w:r w:rsidRPr="00B469FC">
        <w:t>.</w:t>
      </w:r>
    </w:p>
    <w:p w:rsidR="00A36A86" w:rsidRDefault="00A36A86" w:rsidP="00A36A86">
      <w:pPr>
        <w:pStyle w:val="Heading5"/>
      </w:pPr>
      <w:r>
        <w:t>Results</w:t>
      </w:r>
    </w:p>
    <w:p w:rsidR="00B469FC" w:rsidRPr="00B469FC" w:rsidRDefault="00B469FC" w:rsidP="00B469FC">
      <w:pPr>
        <w:autoSpaceDE w:val="0"/>
        <w:autoSpaceDN w:val="0"/>
        <w:adjustRightInd w:val="0"/>
        <w:spacing w:before="20"/>
      </w:pPr>
      <w:r w:rsidRPr="00B469FC">
        <w:t>During the challenge phase, no subjects had a dermal reaction graded ≥3 and none underwent rechallenge. Cumulative irritation scores were highest at the SLS positive control sites. Compared with SLS, irritation scores were significantly less in the DTZ 2% cream and vehicle cream groups (p&lt;0.0001 for both comparisons). Irritation scores in the DTZ 2% cream, vehicle cream, and saline control groups were comparable with no statistically significant differences between groups. Five AEs leading to study withdrawal were reported in 4 (1.7%) subjects, most commonly headache in 3 (1.3%) subjects. None of the AEs were severe and ther</w:t>
      </w:r>
      <w:r w:rsidR="00843192">
        <w:t>e were no deaths or other SAEs.</w:t>
      </w:r>
    </w:p>
    <w:p w:rsidR="00B469FC" w:rsidRPr="00A36A86" w:rsidRDefault="00A36A86" w:rsidP="00A36A86">
      <w:pPr>
        <w:ind w:left="720"/>
        <w:rPr>
          <w:i/>
        </w:rPr>
      </w:pPr>
      <w:r w:rsidRPr="00A36A86">
        <w:rPr>
          <w:i/>
        </w:rPr>
        <w:t xml:space="preserve">Comment: </w:t>
      </w:r>
      <w:r w:rsidR="00B469FC" w:rsidRPr="00A36A86">
        <w:rPr>
          <w:i/>
        </w:rPr>
        <w:t xml:space="preserve">This was a well conducted study of potential skin irritation using standard occlusive patch methodology in 230 healthy subjects. The validity of the methodology was confirmed with significant reactions to the SLS positive control patches. DTZ 2% cream and vehicle cream were well tolerated with irritation scores comparable to inert 0.9% saline solution. The study demonstrated a lack of skin irritancy and sensitizing potential with the DTZ 2% cream formulation. However, while the results are reassuring, </w:t>
      </w:r>
      <w:proofErr w:type="spellStart"/>
      <w:r w:rsidR="00B469FC" w:rsidRPr="00A36A86">
        <w:rPr>
          <w:i/>
        </w:rPr>
        <w:t>infrascapular</w:t>
      </w:r>
      <w:proofErr w:type="spellEnd"/>
      <w:r w:rsidR="00B469FC" w:rsidRPr="00A36A86">
        <w:rPr>
          <w:i/>
        </w:rPr>
        <w:t xml:space="preserve"> skin is not representative of breached anal mucosal surfaces. The CSR does not state if the active and vehicle cream formulations were identical to that proposed for marketing. This should be clarified (see Clinical Questions). The frequency of reported AEs was extremely low.  Further explanation was not provided on how AE reports were elicited because AEs are typically </w:t>
      </w:r>
      <w:r w:rsidR="00B469FC" w:rsidRPr="00A36A86">
        <w:rPr>
          <w:i/>
        </w:rPr>
        <w:lastRenderedPageBreak/>
        <w:t>reported in the great majority of healthy subjects in extended placebo controlled st</w:t>
      </w:r>
      <w:r w:rsidR="00843192">
        <w:rPr>
          <w:i/>
        </w:rPr>
        <w:t>udies (see Clinical Questions).</w:t>
      </w:r>
    </w:p>
    <w:p w:rsidR="00B469FC" w:rsidRDefault="00B469FC" w:rsidP="00A36A86">
      <w:pPr>
        <w:pStyle w:val="Heading4"/>
      </w:pPr>
      <w:bookmarkStart w:id="225" w:name="_Toc442436490"/>
      <w:r>
        <w:t>Study VEN307-DERM-002</w:t>
      </w:r>
      <w:bookmarkEnd w:id="225"/>
    </w:p>
    <w:p w:rsidR="00A36A86" w:rsidRDefault="00A36A86" w:rsidP="00A36A86">
      <w:pPr>
        <w:pStyle w:val="Heading5"/>
      </w:pPr>
      <w:r>
        <w:t>Methodology</w:t>
      </w:r>
    </w:p>
    <w:p w:rsidR="00B469FC" w:rsidRPr="00B469FC" w:rsidRDefault="00B469FC" w:rsidP="00B469FC">
      <w:pPr>
        <w:autoSpaceDE w:val="0"/>
        <w:autoSpaceDN w:val="0"/>
        <w:adjustRightInd w:val="0"/>
        <w:spacing w:before="20"/>
      </w:pPr>
      <w:r w:rsidRPr="00B469FC">
        <w:t xml:space="preserve">This was a Phase 1, randomised, controlled study to evaluate the potential for skin irritation with </w:t>
      </w:r>
      <w:proofErr w:type="spellStart"/>
      <w:r w:rsidRPr="00B469FC">
        <w:t>diltiazem</w:t>
      </w:r>
      <w:proofErr w:type="spellEnd"/>
      <w:r w:rsidRPr="00B469FC">
        <w:t xml:space="preserve"> 2% cream in healthy subjects. It was conducted by TKL Research, New Jersey, in April 2013. The primary objective was to compare DTZ 2% cream and its vehicle for their potential to sensitize the skin by repeated topical applications. The repeated insult patch test (RIPT) is a standard methodology for assessment of cell-mediated dermal immune responses as employed in study VEN307-DERM-001. A total of 21 patch (2 cm x 2 cm) applications were made over a period of 22 days. All subjects had positive and negative control patches applied under occlusion to the left </w:t>
      </w:r>
      <w:proofErr w:type="spellStart"/>
      <w:r w:rsidRPr="00B469FC">
        <w:t>infrascapular</w:t>
      </w:r>
      <w:proofErr w:type="spellEnd"/>
      <w:r w:rsidRPr="00B469FC">
        <w:t xml:space="preserve"> area at randomly assigned, adjacent sites. DTX 2% cream and its vehicle were applied with 0.1% SLS</w:t>
      </w:r>
      <w:r w:rsidRPr="00B469FC">
        <w:rPr>
          <w:rStyle w:val="FootnoteReference"/>
        </w:rPr>
        <w:footnoteReference w:id="2"/>
      </w:r>
      <w:r w:rsidRPr="00B469FC">
        <w:t xml:space="preserve"> patches as the positive control, and 0.9% saline solution as the negative control. During the study period, patches were removed 24 hours (+/- 1.5 hours) after application and assessments were made immediately after removal of each patch. Dermal reactions at the application sites were assessed using a visual scale for erythema, oedema, and </w:t>
      </w:r>
      <w:r w:rsidR="00843192">
        <w:t>other signs of skin irritation.</w:t>
      </w:r>
    </w:p>
    <w:p w:rsidR="00B469FC" w:rsidRPr="00B469FC" w:rsidRDefault="00B469FC" w:rsidP="00B469FC">
      <w:pPr>
        <w:autoSpaceDE w:val="0"/>
        <w:autoSpaceDN w:val="0"/>
        <w:adjustRightInd w:val="0"/>
        <w:spacing w:before="20"/>
      </w:pPr>
      <w:r w:rsidRPr="00B469FC">
        <w:t xml:space="preserve">A total of 40 healthy male and female subjects were enrolled and 37 subjects completed the study. The subjects were either White (87.5%) or Black (12.5%). Most were female (80.0%) with a mean age of 45.5 years. Three subjects withdrew consent and discontinued the study. No efficacy indices were measured. Local tolerability was assessed using the visual Skin Irritation Score (SIS) as described for study VEN370-DERM-001. All AEs were listed by subject and coded according to </w:t>
      </w:r>
      <w:proofErr w:type="spellStart"/>
      <w:r w:rsidRPr="00B469FC">
        <w:t>MedDRA</w:t>
      </w:r>
      <w:proofErr w:type="spellEnd"/>
      <w:r w:rsidRPr="00B469FC">
        <w:t>.</w:t>
      </w:r>
    </w:p>
    <w:p w:rsidR="00A36A86" w:rsidRDefault="00A36A86" w:rsidP="00A36A86">
      <w:pPr>
        <w:pStyle w:val="Heading5"/>
      </w:pPr>
      <w:r>
        <w:t>Results</w:t>
      </w:r>
    </w:p>
    <w:p w:rsidR="00B469FC" w:rsidRPr="00B469FC" w:rsidRDefault="00B469FC" w:rsidP="00B469FC">
      <w:pPr>
        <w:autoSpaceDE w:val="0"/>
        <w:autoSpaceDN w:val="0"/>
        <w:adjustRightInd w:val="0"/>
        <w:spacing w:before="20"/>
      </w:pPr>
      <w:r w:rsidRPr="00B469FC">
        <w:t>No subjects had significant skin reactions at the DTZ 2% and vehicle cream sites. One subject had minor irritation at the saline site. As expected, cumulative irritation scores were highest at the SLS positive control sites. Compared with SLS, irritation scores were significantly less in the DTZ 2% cream and vehicle cream groups (p&lt;0.0001 for both comparisons). No AEs or SAEs were reporte</w:t>
      </w:r>
      <w:r w:rsidR="00843192">
        <w:t>d.</w:t>
      </w:r>
    </w:p>
    <w:p w:rsidR="00B469FC" w:rsidRPr="00A36A86" w:rsidRDefault="00A36A86" w:rsidP="00A36A86">
      <w:pPr>
        <w:ind w:left="576"/>
        <w:rPr>
          <w:i/>
        </w:rPr>
      </w:pPr>
      <w:r w:rsidRPr="00A36A86">
        <w:rPr>
          <w:i/>
        </w:rPr>
        <w:t xml:space="preserve">Comment: </w:t>
      </w:r>
      <w:r w:rsidR="00B469FC" w:rsidRPr="00A36A86">
        <w:rPr>
          <w:i/>
        </w:rPr>
        <w:t xml:space="preserve">This was a well conducted study of potential skin irritation using standard occlusive patch methodology in 40 healthy subjects. The validity of the methodology was confirmed with significant reactions to the SLS positive control patches, and minimal irritation at the negative control sites. DTZ 2% cream and vehicle cream were well tolerated and no irritation was reported. The study demonstrated a lack of skin irritancy with the DTZ 2% cream formulation. However, as noted in VEN307-DERM-001, </w:t>
      </w:r>
      <w:proofErr w:type="spellStart"/>
      <w:r w:rsidR="00B469FC" w:rsidRPr="00A36A86">
        <w:rPr>
          <w:i/>
        </w:rPr>
        <w:t>infrascapular</w:t>
      </w:r>
      <w:proofErr w:type="spellEnd"/>
      <w:r w:rsidR="00B469FC" w:rsidRPr="00A36A86">
        <w:rPr>
          <w:i/>
        </w:rPr>
        <w:t xml:space="preserve"> skin is not representative of breached anal mucosal surfaces. As in VEN307-DERM-001, the CSR does not state if the active and vehicle cream formulations were identical to that proposed for marketing. This should be clarified (see Clinical Questions). Remarkably, no AEs were reported. Further explanation was not provided on how AE reports were elicited because AEs are typically reported in the great majority of subjects in healthy subject st</w:t>
      </w:r>
      <w:r w:rsidR="00843192">
        <w:rPr>
          <w:i/>
        </w:rPr>
        <w:t>udies (see Clinical Questions).</w:t>
      </w:r>
    </w:p>
    <w:p w:rsidR="00B469FC" w:rsidRPr="00136810" w:rsidRDefault="00B469FC" w:rsidP="00A36A86">
      <w:pPr>
        <w:pStyle w:val="Heading3"/>
      </w:pPr>
      <w:bookmarkStart w:id="226" w:name="_Toc241374318"/>
      <w:bookmarkStart w:id="227" w:name="_Ref271196630"/>
      <w:bookmarkStart w:id="228" w:name="_Toc272414662"/>
      <w:bookmarkStart w:id="229" w:name="_Toc290888526"/>
      <w:bookmarkStart w:id="230" w:name="_Toc442436491"/>
      <w:bookmarkStart w:id="231" w:name="_Toc485825996"/>
      <w:r w:rsidRPr="00136810">
        <w:t>Patient exposure</w:t>
      </w:r>
      <w:bookmarkEnd w:id="226"/>
      <w:bookmarkEnd w:id="227"/>
      <w:bookmarkEnd w:id="228"/>
      <w:bookmarkEnd w:id="229"/>
      <w:bookmarkEnd w:id="230"/>
      <w:bookmarkEnd w:id="231"/>
    </w:p>
    <w:p w:rsidR="00B469FC" w:rsidRPr="00A36A86" w:rsidRDefault="00B469FC" w:rsidP="00A36A86">
      <w:r w:rsidRPr="00A36A86">
        <w:t>In the pivotal study DAF09, mean exposure to DTZ 4% was 54.7 days in 156 subjects. Mean exposure to DTZ 2% was 55.3 days in 154 subjects.</w:t>
      </w:r>
    </w:p>
    <w:p w:rsidR="00B469FC" w:rsidRPr="00611CCF" w:rsidRDefault="00B469FC" w:rsidP="00A36A86">
      <w:pPr>
        <w:pStyle w:val="Heading3"/>
      </w:pPr>
      <w:bookmarkStart w:id="232" w:name="_Toc241374319"/>
      <w:bookmarkStart w:id="233" w:name="_Ref271044764"/>
      <w:bookmarkStart w:id="234" w:name="_Toc272414663"/>
      <w:bookmarkStart w:id="235" w:name="_Toc290888527"/>
      <w:bookmarkStart w:id="236" w:name="_Toc442436492"/>
      <w:bookmarkStart w:id="237" w:name="_Toc485825997"/>
      <w:r w:rsidRPr="00611CCF">
        <w:lastRenderedPageBreak/>
        <w:t>Adverse events</w:t>
      </w:r>
      <w:bookmarkEnd w:id="232"/>
      <w:bookmarkEnd w:id="233"/>
      <w:bookmarkEnd w:id="234"/>
      <w:bookmarkEnd w:id="235"/>
      <w:bookmarkEnd w:id="236"/>
      <w:bookmarkEnd w:id="237"/>
    </w:p>
    <w:p w:rsidR="00B469FC" w:rsidRPr="00611CCF" w:rsidRDefault="00B469FC" w:rsidP="00A36A86">
      <w:pPr>
        <w:pStyle w:val="Heading4"/>
      </w:pPr>
      <w:bookmarkStart w:id="238" w:name="_Ref272317284"/>
      <w:bookmarkStart w:id="239" w:name="_Ref272333565"/>
      <w:bookmarkStart w:id="240" w:name="_Toc272414664"/>
      <w:bookmarkStart w:id="241" w:name="_Toc290888528"/>
      <w:bookmarkStart w:id="242" w:name="_Toc442436493"/>
      <w:r w:rsidRPr="00611CCF">
        <w:t>All adverse events (irrespective of relationship to study treatment)</w:t>
      </w:r>
      <w:bookmarkEnd w:id="238"/>
      <w:bookmarkEnd w:id="239"/>
      <w:bookmarkEnd w:id="240"/>
      <w:bookmarkEnd w:id="241"/>
      <w:bookmarkEnd w:id="242"/>
    </w:p>
    <w:p w:rsidR="00B469FC" w:rsidRPr="002765CB" w:rsidRDefault="00B469FC" w:rsidP="00A36A86">
      <w:pPr>
        <w:pStyle w:val="Heading5"/>
      </w:pPr>
      <w:bookmarkStart w:id="243" w:name="_Toc442436494"/>
      <w:r w:rsidRPr="002765CB">
        <w:t>Pivotal study DAF09</w:t>
      </w:r>
      <w:bookmarkEnd w:id="243"/>
    </w:p>
    <w:p w:rsidR="00B469FC" w:rsidRPr="00A36A86" w:rsidRDefault="00B469FC" w:rsidP="00B469FC">
      <w:pPr>
        <w:spacing w:before="20"/>
      </w:pPr>
      <w:r w:rsidRPr="00B469FC">
        <w:t xml:space="preserve">AEs were reported in 70.5%, 70.1%, and 60.6% of the DTZ 4%, DTZ 2%, and placebo groups, respectively. The majority </w:t>
      </w:r>
      <w:r w:rsidRPr="00A36A86">
        <w:t xml:space="preserve">of AEs by SOC were gastrointestinal, reported in 65.4%, 59.1%, and 54.2% of the respective groups. Overall, the most common AEs were </w:t>
      </w:r>
      <w:proofErr w:type="spellStart"/>
      <w:r w:rsidRPr="00A36A86">
        <w:t>proctalgia</w:t>
      </w:r>
      <w:proofErr w:type="spellEnd"/>
      <w:r w:rsidRPr="00A36A86">
        <w:t xml:space="preserve"> (43.0%), anal pruritus (12.5%), and anorectal discomfort (11.6%). Compared with the placebo group, anal pruritus and anorectal discomfort were notably more common in the DTZ 2% group. Overall, headache was reported in 13.8% of subjects with no nota</w:t>
      </w:r>
      <w:r w:rsidR="00A36A86" w:rsidRPr="00A36A86">
        <w:t>ble differences between groups</w:t>
      </w:r>
      <w:r w:rsidRPr="00A36A86">
        <w:t>. There were four reports of dizziness, all of mild severity (3 DTZ 4%, 1 DTZ 2%). Application site pain by SOC was reported in by only eight subjects (</w:t>
      </w:r>
      <w:r w:rsidR="00A36A86" w:rsidRPr="00A36A86">
        <w:t>5 DTZ 4%, 2 DTZ 2%, 1 placebo)</w:t>
      </w:r>
      <w:r w:rsidRPr="00A36A86">
        <w:t>. There was no evidence of skin irritation assessed by SIS</w:t>
      </w:r>
      <w:r w:rsidRPr="00A36A86">
        <w:rPr>
          <w:rStyle w:val="FootnoteReference"/>
        </w:rPr>
        <w:footnoteReference w:id="3"/>
      </w:r>
      <w:r w:rsidR="00A36A86" w:rsidRPr="00A36A86">
        <w:t xml:space="preserve"> in any treatment group</w:t>
      </w:r>
      <w:r w:rsidRPr="00A36A86">
        <w:t>. There were no other notable safety signals.</w:t>
      </w:r>
    </w:p>
    <w:p w:rsidR="00B469FC" w:rsidRPr="002765CB" w:rsidRDefault="00B469FC" w:rsidP="00A36A86">
      <w:pPr>
        <w:pStyle w:val="Heading5"/>
      </w:pPr>
      <w:bookmarkStart w:id="244" w:name="_Toc442436495"/>
      <w:r w:rsidRPr="002765CB">
        <w:t>Other studies</w:t>
      </w:r>
      <w:bookmarkEnd w:id="244"/>
      <w:r w:rsidRPr="002765CB">
        <w:t xml:space="preserve"> </w:t>
      </w:r>
    </w:p>
    <w:p w:rsidR="00B469FC" w:rsidRPr="00A36A86" w:rsidRDefault="00B469FC" w:rsidP="00A36A86">
      <w:r w:rsidRPr="00A36A86">
        <w:t>In study 99CFAIII, treatment emergent AEs were reported in 42% of the DTZ 2% group and 72% of the GTN group. AEs were of severe intensity in 28% of the DTZ 2% group and 9% of the GTN group. Headache was reported in 26% and 59% of the respective groups.</w:t>
      </w:r>
    </w:p>
    <w:p w:rsidR="00B469FC" w:rsidRPr="00A36A86" w:rsidRDefault="00A36A86" w:rsidP="00A36A86">
      <w:pPr>
        <w:ind w:left="720"/>
        <w:rPr>
          <w:i/>
        </w:rPr>
      </w:pPr>
      <w:r w:rsidRPr="00A36A86">
        <w:rPr>
          <w:i/>
        </w:rPr>
        <w:t xml:space="preserve">Comment: </w:t>
      </w:r>
      <w:r w:rsidR="00B469FC" w:rsidRPr="00A36A86">
        <w:rPr>
          <w:i/>
        </w:rPr>
        <w:t>Only brief AE summaries were reported in the CSR. In particular, there was no record of local tolerance. While reporting was superficial, no maj</w:t>
      </w:r>
      <w:r w:rsidR="00843192">
        <w:rPr>
          <w:i/>
        </w:rPr>
        <w:t>or safety concerns were raised.</w:t>
      </w:r>
    </w:p>
    <w:p w:rsidR="00B469FC" w:rsidRPr="00B469FC" w:rsidRDefault="00B469FC" w:rsidP="00B469FC">
      <w:pPr>
        <w:spacing w:before="20"/>
      </w:pPr>
      <w:r w:rsidRPr="00B469FC">
        <w:t xml:space="preserve">In study DAF001, 42% of subjects in the DTZ 2% group compared with 29% in the placebo group reported treatment emergent AEs. Four of these events were severe (2 DTZ 2%, 2 </w:t>
      </w:r>
      <w:proofErr w:type="gramStart"/>
      <w:r w:rsidRPr="00B469FC">
        <w:t>placebo</w:t>
      </w:r>
      <w:proofErr w:type="gramEnd"/>
      <w:r w:rsidRPr="00B469FC">
        <w:t xml:space="preserve">). The pattern of AEs in the DTZ 2% and placebo groups was comparable to study DAF09 and no unexpected events were reported. The AEs are presented for completeness but they are non-evaluable and not considered further for </w:t>
      </w:r>
      <w:r w:rsidR="00A36A86">
        <w:t>reasons noted</w:t>
      </w:r>
      <w:r w:rsidRPr="00B469FC">
        <w:t>.</w:t>
      </w:r>
    </w:p>
    <w:p w:rsidR="00B469FC" w:rsidRPr="00611CCF" w:rsidRDefault="00B469FC" w:rsidP="00A36A86">
      <w:pPr>
        <w:pStyle w:val="Heading4"/>
      </w:pPr>
      <w:bookmarkStart w:id="245" w:name="_Ref272333567"/>
      <w:bookmarkStart w:id="246" w:name="_Toc272414665"/>
      <w:bookmarkStart w:id="247" w:name="_Toc290888529"/>
      <w:bookmarkStart w:id="248" w:name="_Toc442436496"/>
      <w:r w:rsidRPr="00611CCF">
        <w:t>Treatment-related adverse events (adverse drug reactions)</w:t>
      </w:r>
      <w:bookmarkEnd w:id="245"/>
      <w:bookmarkEnd w:id="246"/>
      <w:bookmarkEnd w:id="247"/>
      <w:bookmarkEnd w:id="248"/>
    </w:p>
    <w:p w:rsidR="00B469FC" w:rsidRPr="00611CCF" w:rsidRDefault="00B469FC" w:rsidP="00A36A86">
      <w:pPr>
        <w:pStyle w:val="Heading5"/>
      </w:pPr>
      <w:bookmarkStart w:id="249" w:name="_Toc442436497"/>
      <w:r w:rsidRPr="00611CCF">
        <w:t>Pivotal stud</w:t>
      </w:r>
      <w:r>
        <w:t>y DAF09</w:t>
      </w:r>
      <w:bookmarkEnd w:id="249"/>
    </w:p>
    <w:p w:rsidR="00B469FC" w:rsidRPr="00B469FC" w:rsidRDefault="00B469FC" w:rsidP="00B469FC">
      <w:pPr>
        <w:spacing w:before="20"/>
      </w:pPr>
      <w:r w:rsidRPr="00B469FC">
        <w:t xml:space="preserve">With the exception of GI disorders, there were few ADRs. Nearly all cases of </w:t>
      </w:r>
      <w:proofErr w:type="spellStart"/>
      <w:r w:rsidRPr="00B469FC">
        <w:t>proctalgia</w:t>
      </w:r>
      <w:proofErr w:type="spellEnd"/>
      <w:r w:rsidRPr="00B469FC">
        <w:t xml:space="preserve"> by PT were considered unrelated to treatment by the investigator, but nearly all cases of anorectal discomfort and anal pruritus were considered possibly or probably related to active treatment. Nearly all cases of headache were considered unrela</w:t>
      </w:r>
      <w:r w:rsidR="00843192">
        <w:t>ted to treatment in all groups.</w:t>
      </w:r>
    </w:p>
    <w:p w:rsidR="00B469FC" w:rsidRDefault="00B469FC" w:rsidP="00A36A86">
      <w:pPr>
        <w:pStyle w:val="Heading5"/>
      </w:pPr>
      <w:bookmarkStart w:id="250" w:name="_Toc442436498"/>
      <w:r w:rsidRPr="00611CCF">
        <w:t>Other stud</w:t>
      </w:r>
      <w:r>
        <w:t>ies</w:t>
      </w:r>
      <w:bookmarkEnd w:id="250"/>
    </w:p>
    <w:p w:rsidR="00B469FC" w:rsidRPr="00B469FC" w:rsidRDefault="00B469FC" w:rsidP="00B469FC">
      <w:pPr>
        <w:spacing w:before="20"/>
      </w:pPr>
      <w:r w:rsidRPr="00B469FC">
        <w:t>In study 99CFAIII, AEs considered likely or definitely related to treatment were reported in 50% of the DTZ 2% group and 48% of the GTN group. No detailed analysis of ADRs was provided.</w:t>
      </w:r>
    </w:p>
    <w:p w:rsidR="00B469FC" w:rsidRPr="00611CCF" w:rsidRDefault="00B469FC" w:rsidP="00A36A86">
      <w:pPr>
        <w:pStyle w:val="Heading4"/>
      </w:pPr>
      <w:bookmarkStart w:id="251" w:name="_Toc241374320"/>
      <w:bookmarkStart w:id="252" w:name="_Ref272333507"/>
      <w:bookmarkStart w:id="253" w:name="_Toc272414666"/>
      <w:bookmarkStart w:id="254" w:name="_Toc290888530"/>
      <w:bookmarkStart w:id="255" w:name="_Toc442436499"/>
      <w:r w:rsidRPr="00611CCF">
        <w:t>Deaths and other serious adverse events</w:t>
      </w:r>
      <w:bookmarkEnd w:id="251"/>
      <w:bookmarkEnd w:id="252"/>
      <w:bookmarkEnd w:id="253"/>
      <w:bookmarkEnd w:id="254"/>
      <w:bookmarkEnd w:id="255"/>
    </w:p>
    <w:p w:rsidR="00B469FC" w:rsidRPr="00611CCF" w:rsidRDefault="00B469FC" w:rsidP="00A36A86">
      <w:pPr>
        <w:pStyle w:val="Heading5"/>
      </w:pPr>
      <w:bookmarkStart w:id="256" w:name="_Toc442436500"/>
      <w:r w:rsidRPr="00611CCF">
        <w:t>Pivotal stud</w:t>
      </w:r>
      <w:r>
        <w:t>y DAF09</w:t>
      </w:r>
      <w:bookmarkEnd w:id="256"/>
    </w:p>
    <w:p w:rsidR="00B469FC" w:rsidRPr="00B469FC" w:rsidRDefault="00B469FC" w:rsidP="00B469FC">
      <w:pPr>
        <w:spacing w:before="20"/>
      </w:pPr>
      <w:r w:rsidRPr="00B469FC">
        <w:t>No deaths were reported. A single SAE (prolapsed haemorrhoids requiring surgery) occurred in the DTZ 2% group after the end of the treatment period. It was considered unrelated.</w:t>
      </w:r>
    </w:p>
    <w:p w:rsidR="00B469FC" w:rsidRDefault="00B469FC" w:rsidP="00A36A86">
      <w:pPr>
        <w:pStyle w:val="Heading5"/>
      </w:pPr>
      <w:bookmarkStart w:id="257" w:name="_Toc442436501"/>
      <w:r w:rsidRPr="00611CCF">
        <w:t>Other studies</w:t>
      </w:r>
      <w:bookmarkEnd w:id="257"/>
    </w:p>
    <w:p w:rsidR="00B469FC" w:rsidRPr="00B469FC" w:rsidRDefault="00B469FC" w:rsidP="00B469FC">
      <w:pPr>
        <w:spacing w:before="20"/>
      </w:pPr>
      <w:r w:rsidRPr="00B469FC">
        <w:t>No deaths were reported in study 99CFAIII. One SAE was reported, a case of collapse requiring hospitalisation. The event occurred two weeks after the treatment period and it was considered unrelated to study drug.</w:t>
      </w:r>
    </w:p>
    <w:p w:rsidR="00B469FC" w:rsidRPr="00611CCF" w:rsidRDefault="00B469FC" w:rsidP="00A36A86">
      <w:pPr>
        <w:pStyle w:val="Heading4"/>
      </w:pPr>
      <w:bookmarkStart w:id="258" w:name="_Toc241374325"/>
      <w:bookmarkStart w:id="259" w:name="_Ref272333477"/>
      <w:bookmarkStart w:id="260" w:name="_Toc272414667"/>
      <w:bookmarkStart w:id="261" w:name="_Toc290888531"/>
      <w:bookmarkStart w:id="262" w:name="_Toc442436502"/>
      <w:r w:rsidRPr="00611CCF">
        <w:lastRenderedPageBreak/>
        <w:t>Discontinuation due to adverse events</w:t>
      </w:r>
      <w:bookmarkEnd w:id="258"/>
      <w:bookmarkEnd w:id="259"/>
      <w:bookmarkEnd w:id="260"/>
      <w:bookmarkEnd w:id="261"/>
      <w:bookmarkEnd w:id="262"/>
    </w:p>
    <w:p w:rsidR="00B469FC" w:rsidRPr="00611CCF" w:rsidRDefault="00B469FC" w:rsidP="00A36A86">
      <w:pPr>
        <w:pStyle w:val="Heading5"/>
      </w:pPr>
      <w:bookmarkStart w:id="263" w:name="_Toc442436503"/>
      <w:r w:rsidRPr="00611CCF">
        <w:t>Pivotal stud</w:t>
      </w:r>
      <w:r>
        <w:t>y DAF09</w:t>
      </w:r>
      <w:bookmarkEnd w:id="263"/>
    </w:p>
    <w:p w:rsidR="00B469FC" w:rsidRPr="00A36A86" w:rsidRDefault="00B469FC" w:rsidP="00A36A86">
      <w:r w:rsidRPr="00A36A86">
        <w:t>Four AEs led to withdrawal from the study, 2 (1.3%) in the DTZ 4% group, 1 (0.6%) in the DTZ 2% group, and 1 (0.6%) in the placebo group. The single event in the DTZ 2% group was severe anal eczema, considered possibly related to study treatment.</w:t>
      </w:r>
    </w:p>
    <w:p w:rsidR="00B469FC" w:rsidRDefault="00B469FC" w:rsidP="00A36A86">
      <w:pPr>
        <w:pStyle w:val="Heading5"/>
      </w:pPr>
      <w:bookmarkStart w:id="264" w:name="_Toc442436504"/>
      <w:r w:rsidRPr="00611CCF">
        <w:t>Other studies</w:t>
      </w:r>
      <w:bookmarkEnd w:id="264"/>
    </w:p>
    <w:p w:rsidR="00B469FC" w:rsidRPr="00A36A86" w:rsidRDefault="00B469FC" w:rsidP="00A36A86">
      <w:r w:rsidRPr="00A36A86">
        <w:t>In study 99CFAIII, three subjects discontinued due to AEs, all in the DTZ 2% group. Two subjects had perineal skin irritation (one severe), and one withdrew due the SAE of collapse.</w:t>
      </w:r>
    </w:p>
    <w:p w:rsidR="00B469FC" w:rsidRDefault="00B469FC" w:rsidP="00A36A86">
      <w:pPr>
        <w:pStyle w:val="Heading3"/>
      </w:pPr>
      <w:bookmarkStart w:id="265" w:name="_Toc241374321"/>
      <w:bookmarkStart w:id="266" w:name="_Ref271044780"/>
      <w:bookmarkStart w:id="267" w:name="_Ref271196640"/>
      <w:bookmarkStart w:id="268" w:name="_Ref272333085"/>
      <w:bookmarkStart w:id="269" w:name="_Toc272414668"/>
      <w:bookmarkStart w:id="270" w:name="_Toc290888532"/>
      <w:bookmarkStart w:id="271" w:name="_Toc442436505"/>
      <w:bookmarkStart w:id="272" w:name="_Toc485825998"/>
      <w:r w:rsidRPr="00611CCF">
        <w:t>Laboratory tests</w:t>
      </w:r>
      <w:bookmarkEnd w:id="265"/>
      <w:bookmarkEnd w:id="266"/>
      <w:bookmarkEnd w:id="267"/>
      <w:bookmarkEnd w:id="268"/>
      <w:bookmarkEnd w:id="269"/>
      <w:bookmarkEnd w:id="270"/>
      <w:bookmarkEnd w:id="271"/>
      <w:bookmarkEnd w:id="272"/>
    </w:p>
    <w:p w:rsidR="00A36A86" w:rsidRPr="00A36A86" w:rsidRDefault="00A36A86" w:rsidP="00A36A86">
      <w:pPr>
        <w:pStyle w:val="Heading4"/>
      </w:pPr>
      <w:bookmarkStart w:id="273" w:name="_Toc442436506"/>
      <w:r>
        <w:t>Laboratory abnormalities</w:t>
      </w:r>
    </w:p>
    <w:p w:rsidR="00B469FC" w:rsidRPr="002765CB" w:rsidRDefault="00B469FC" w:rsidP="00A36A86">
      <w:pPr>
        <w:pStyle w:val="Heading5"/>
      </w:pPr>
      <w:r w:rsidRPr="002765CB">
        <w:t>Pivotal study DAF09</w:t>
      </w:r>
      <w:bookmarkEnd w:id="273"/>
    </w:p>
    <w:p w:rsidR="00B469FC" w:rsidRPr="00B469FC" w:rsidRDefault="00B469FC" w:rsidP="00B469FC">
      <w:pPr>
        <w:spacing w:before="20"/>
      </w:pPr>
      <w:r w:rsidRPr="00B469FC">
        <w:t>There were no significant trends or clinically significant findings relat</w:t>
      </w:r>
      <w:r w:rsidR="00A36A86">
        <w:t>ed to laboratory abnormalities.</w:t>
      </w:r>
    </w:p>
    <w:p w:rsidR="00B469FC" w:rsidRPr="00A36A86" w:rsidRDefault="00B469FC" w:rsidP="00A36A86">
      <w:pPr>
        <w:pStyle w:val="Heading5"/>
      </w:pPr>
      <w:bookmarkStart w:id="274" w:name="_Toc442436507"/>
      <w:r w:rsidRPr="00A36A86">
        <w:t>Other studies</w:t>
      </w:r>
      <w:bookmarkEnd w:id="274"/>
      <w:r w:rsidRPr="00A36A86">
        <w:t xml:space="preserve"> </w:t>
      </w:r>
    </w:p>
    <w:p w:rsidR="00B469FC" w:rsidRPr="00B469FC" w:rsidRDefault="00B469FC" w:rsidP="00B469FC">
      <w:pPr>
        <w:spacing w:before="20"/>
      </w:pPr>
      <w:r w:rsidRPr="00B469FC">
        <w:t>Laboratory safety evaluations were not performed in study 99CFAIII.</w:t>
      </w:r>
    </w:p>
    <w:p w:rsidR="00B469FC" w:rsidRPr="00A36A86" w:rsidRDefault="00B469FC" w:rsidP="00A36A86">
      <w:pPr>
        <w:pStyle w:val="Heading4"/>
      </w:pPr>
      <w:bookmarkStart w:id="275" w:name="_Toc272414675"/>
      <w:bookmarkStart w:id="276" w:name="_Toc290888539"/>
      <w:bookmarkStart w:id="277" w:name="_Toc442436508"/>
      <w:r w:rsidRPr="00A36A86">
        <w:t>Electrocardiograph</w:t>
      </w:r>
      <w:bookmarkEnd w:id="275"/>
      <w:bookmarkEnd w:id="276"/>
      <w:bookmarkEnd w:id="277"/>
    </w:p>
    <w:p w:rsidR="00B469FC" w:rsidRPr="00611CCF" w:rsidRDefault="00B469FC" w:rsidP="00A36A86">
      <w:pPr>
        <w:pStyle w:val="Heading5"/>
      </w:pPr>
      <w:bookmarkStart w:id="278" w:name="_Toc442436509"/>
      <w:r w:rsidRPr="00611CCF">
        <w:t>Pivotal stud</w:t>
      </w:r>
      <w:r>
        <w:t>y DAF09</w:t>
      </w:r>
      <w:bookmarkEnd w:id="278"/>
    </w:p>
    <w:p w:rsidR="00B469FC" w:rsidRPr="00B469FC" w:rsidRDefault="00B469FC" w:rsidP="00B469FC">
      <w:pPr>
        <w:spacing w:before="20"/>
      </w:pPr>
      <w:r w:rsidRPr="00B469FC">
        <w:t xml:space="preserve">No significant treatment emergent ECG changes were reported. </w:t>
      </w:r>
    </w:p>
    <w:p w:rsidR="00B469FC" w:rsidRPr="00611CCF" w:rsidRDefault="00B469FC" w:rsidP="00C80881">
      <w:pPr>
        <w:pStyle w:val="Heading5"/>
      </w:pPr>
      <w:bookmarkStart w:id="279" w:name="_Toc442436510"/>
      <w:r w:rsidRPr="00611CCF">
        <w:t>Other studies</w:t>
      </w:r>
      <w:bookmarkEnd w:id="279"/>
      <w:r>
        <w:t xml:space="preserve"> </w:t>
      </w:r>
    </w:p>
    <w:p w:rsidR="00B469FC" w:rsidRPr="00B469FC" w:rsidRDefault="00B469FC" w:rsidP="00B469FC">
      <w:pPr>
        <w:spacing w:before="20"/>
      </w:pPr>
      <w:r w:rsidRPr="00B469FC">
        <w:t>ECGs were not recorded in 99CFAIII.</w:t>
      </w:r>
    </w:p>
    <w:p w:rsidR="00B469FC" w:rsidRPr="00611CCF" w:rsidRDefault="00B469FC" w:rsidP="00C80881">
      <w:pPr>
        <w:pStyle w:val="Heading4"/>
      </w:pPr>
      <w:bookmarkStart w:id="280" w:name="_Toc272414676"/>
      <w:bookmarkStart w:id="281" w:name="_Toc290888540"/>
      <w:bookmarkStart w:id="282" w:name="_Toc442436511"/>
      <w:r w:rsidRPr="00611CCF">
        <w:t>Vital signs</w:t>
      </w:r>
      <w:bookmarkEnd w:id="280"/>
      <w:bookmarkEnd w:id="281"/>
      <w:bookmarkEnd w:id="282"/>
    </w:p>
    <w:p w:rsidR="00B469FC" w:rsidRPr="00611CCF" w:rsidRDefault="00B469FC" w:rsidP="00C80881">
      <w:pPr>
        <w:pStyle w:val="Heading5"/>
      </w:pPr>
      <w:bookmarkStart w:id="283" w:name="_Toc442436512"/>
      <w:r w:rsidRPr="00611CCF">
        <w:t>Pivotal studies</w:t>
      </w:r>
      <w:bookmarkEnd w:id="283"/>
    </w:p>
    <w:p w:rsidR="00B469FC" w:rsidRPr="00B469FC" w:rsidRDefault="00B469FC" w:rsidP="00B469FC">
      <w:pPr>
        <w:spacing w:before="20"/>
      </w:pPr>
      <w:r w:rsidRPr="00B469FC">
        <w:t>There were no significant changes in blood pressure, heart rate, or ECG findings in the active treatment groups.</w:t>
      </w:r>
    </w:p>
    <w:p w:rsidR="00B469FC" w:rsidRDefault="00B469FC" w:rsidP="00C80881">
      <w:pPr>
        <w:pStyle w:val="Heading5"/>
      </w:pPr>
      <w:bookmarkStart w:id="284" w:name="_Toc442436513"/>
      <w:r w:rsidRPr="00611CCF">
        <w:t>Other studies</w:t>
      </w:r>
      <w:bookmarkEnd w:id="284"/>
      <w:r>
        <w:t xml:space="preserve"> </w:t>
      </w:r>
    </w:p>
    <w:p w:rsidR="00B469FC" w:rsidRPr="00B469FC" w:rsidRDefault="00B469FC" w:rsidP="00B469FC">
      <w:pPr>
        <w:spacing w:before="20"/>
      </w:pPr>
      <w:r w:rsidRPr="00B469FC">
        <w:t>In study 99CFAIII, there was a median decrease of 5 mm Hg for systolic blood pressure in the DTZ 2% group compared with no change in the GTN group. No other meaningful changes in vital signs were noted.</w:t>
      </w:r>
    </w:p>
    <w:p w:rsidR="00B469FC" w:rsidRPr="00611CCF" w:rsidRDefault="00B469FC" w:rsidP="00C80881">
      <w:pPr>
        <w:pStyle w:val="Heading3"/>
      </w:pPr>
      <w:bookmarkStart w:id="285" w:name="_Toc241374326"/>
      <w:bookmarkStart w:id="286" w:name="_Ref272333048"/>
      <w:bookmarkStart w:id="287" w:name="_Toc272414679"/>
      <w:bookmarkStart w:id="288" w:name="_Toc290888543"/>
      <w:bookmarkStart w:id="289" w:name="_Toc442436514"/>
      <w:bookmarkStart w:id="290" w:name="_Toc485825999"/>
      <w:r w:rsidRPr="00611CCF">
        <w:t>Post-marketing experience</w:t>
      </w:r>
      <w:bookmarkEnd w:id="285"/>
      <w:bookmarkEnd w:id="286"/>
      <w:bookmarkEnd w:id="287"/>
      <w:bookmarkEnd w:id="288"/>
      <w:bookmarkEnd w:id="289"/>
      <w:bookmarkEnd w:id="290"/>
    </w:p>
    <w:p w:rsidR="00B469FC" w:rsidRPr="00B469FC" w:rsidRDefault="00B469FC" w:rsidP="00B469FC">
      <w:pPr>
        <w:autoSpaceDE w:val="0"/>
        <w:autoSpaceDN w:val="0"/>
        <w:adjustRightInd w:val="0"/>
        <w:spacing w:before="20"/>
      </w:pPr>
      <w:r w:rsidRPr="00B469FC">
        <w:t>Not applicable.</w:t>
      </w:r>
    </w:p>
    <w:p w:rsidR="00B469FC" w:rsidRPr="00611CCF" w:rsidRDefault="00B469FC" w:rsidP="00C80881">
      <w:pPr>
        <w:pStyle w:val="Heading3"/>
      </w:pPr>
      <w:bookmarkStart w:id="291" w:name="_Ref272333005"/>
      <w:bookmarkStart w:id="292" w:name="_Toc272414680"/>
      <w:bookmarkStart w:id="293" w:name="_Toc290888544"/>
      <w:bookmarkStart w:id="294" w:name="_Toc442436515"/>
      <w:bookmarkStart w:id="295" w:name="_Toc485826000"/>
      <w:r w:rsidRPr="00611CCF">
        <w:t>Safety issues with the potential for major regulatory imp</w:t>
      </w:r>
      <w:bookmarkEnd w:id="291"/>
      <w:bookmarkEnd w:id="292"/>
      <w:r w:rsidRPr="00611CCF">
        <w:t>act</w:t>
      </w:r>
      <w:bookmarkEnd w:id="293"/>
      <w:bookmarkEnd w:id="294"/>
      <w:bookmarkEnd w:id="295"/>
    </w:p>
    <w:p w:rsidR="00B469FC" w:rsidRPr="00611CCF" w:rsidRDefault="00B469FC" w:rsidP="00C80881">
      <w:pPr>
        <w:pStyle w:val="Heading4"/>
      </w:pPr>
      <w:bookmarkStart w:id="296" w:name="_Toc272414681"/>
      <w:bookmarkStart w:id="297" w:name="_Toc290888545"/>
      <w:bookmarkStart w:id="298" w:name="_Toc442436516"/>
      <w:r w:rsidRPr="00611CCF">
        <w:t>Liver toxicity</w:t>
      </w:r>
      <w:bookmarkEnd w:id="296"/>
      <w:bookmarkEnd w:id="297"/>
      <w:bookmarkEnd w:id="298"/>
    </w:p>
    <w:p w:rsidR="00B469FC" w:rsidRPr="00B469FC" w:rsidRDefault="00B469FC" w:rsidP="00B469FC">
      <w:pPr>
        <w:autoSpaceDE w:val="0"/>
        <w:autoSpaceDN w:val="0"/>
        <w:adjustRightInd w:val="0"/>
        <w:spacing w:before="20"/>
      </w:pPr>
      <w:r w:rsidRPr="00B469FC">
        <w:t>No issues identified.</w:t>
      </w:r>
    </w:p>
    <w:p w:rsidR="00B469FC" w:rsidRPr="00611CCF" w:rsidRDefault="00B469FC" w:rsidP="00C80881">
      <w:pPr>
        <w:pStyle w:val="Heading4"/>
      </w:pPr>
      <w:bookmarkStart w:id="299" w:name="_Toc272414682"/>
      <w:bookmarkStart w:id="300" w:name="_Toc290888546"/>
      <w:bookmarkStart w:id="301" w:name="_Toc442436517"/>
      <w:r w:rsidRPr="00611CCF">
        <w:t>Haematological toxicity</w:t>
      </w:r>
      <w:bookmarkEnd w:id="299"/>
      <w:bookmarkEnd w:id="300"/>
      <w:bookmarkEnd w:id="301"/>
    </w:p>
    <w:p w:rsidR="00B469FC" w:rsidRPr="00B469FC" w:rsidRDefault="00B469FC" w:rsidP="00B469FC">
      <w:pPr>
        <w:autoSpaceDE w:val="0"/>
        <w:autoSpaceDN w:val="0"/>
        <w:adjustRightInd w:val="0"/>
        <w:spacing w:before="20"/>
      </w:pPr>
      <w:r w:rsidRPr="00B469FC">
        <w:t>No issues identified.</w:t>
      </w:r>
    </w:p>
    <w:p w:rsidR="00B469FC" w:rsidRPr="00611CCF" w:rsidRDefault="00B469FC" w:rsidP="00C80881">
      <w:pPr>
        <w:pStyle w:val="Heading4"/>
      </w:pPr>
      <w:bookmarkStart w:id="302" w:name="_Toc272414683"/>
      <w:bookmarkStart w:id="303" w:name="_Toc290888547"/>
      <w:bookmarkStart w:id="304" w:name="_Toc442436518"/>
      <w:r w:rsidRPr="00611CCF">
        <w:lastRenderedPageBreak/>
        <w:t>Serious skin reactions</w:t>
      </w:r>
      <w:bookmarkEnd w:id="302"/>
      <w:bookmarkEnd w:id="303"/>
      <w:bookmarkEnd w:id="304"/>
    </w:p>
    <w:p w:rsidR="00B469FC" w:rsidRPr="00B469FC" w:rsidRDefault="00B469FC" w:rsidP="00B469FC">
      <w:pPr>
        <w:autoSpaceDE w:val="0"/>
        <w:autoSpaceDN w:val="0"/>
        <w:adjustRightInd w:val="0"/>
        <w:spacing w:before="20"/>
      </w:pPr>
      <w:r w:rsidRPr="00B469FC">
        <w:t xml:space="preserve">No issues identified. Rare cases of allergic skin reactions such as </w:t>
      </w:r>
      <w:proofErr w:type="spellStart"/>
      <w:r w:rsidRPr="00B469FC">
        <w:t>exanthematous</w:t>
      </w:r>
      <w:proofErr w:type="spellEnd"/>
      <w:r w:rsidRPr="00B469FC">
        <w:t xml:space="preserve"> </w:t>
      </w:r>
      <w:proofErr w:type="spellStart"/>
      <w:r w:rsidRPr="00B469FC">
        <w:t>pustulosis</w:t>
      </w:r>
      <w:proofErr w:type="spellEnd"/>
      <w:r w:rsidRPr="00B469FC">
        <w:t xml:space="preserve"> have been identified in the literature.</w:t>
      </w:r>
    </w:p>
    <w:p w:rsidR="00B469FC" w:rsidRPr="00611CCF" w:rsidRDefault="00B469FC" w:rsidP="00C80881">
      <w:pPr>
        <w:pStyle w:val="Heading4"/>
      </w:pPr>
      <w:bookmarkStart w:id="305" w:name="_Toc272414684"/>
      <w:bookmarkStart w:id="306" w:name="_Toc290888548"/>
      <w:bookmarkStart w:id="307" w:name="_Toc442436519"/>
      <w:r w:rsidRPr="00611CCF">
        <w:t>Cardiovascular safety</w:t>
      </w:r>
      <w:bookmarkEnd w:id="305"/>
      <w:bookmarkEnd w:id="306"/>
      <w:bookmarkEnd w:id="307"/>
    </w:p>
    <w:p w:rsidR="00B469FC" w:rsidRPr="00B469FC" w:rsidRDefault="00B469FC" w:rsidP="00B469FC">
      <w:pPr>
        <w:autoSpaceDE w:val="0"/>
        <w:autoSpaceDN w:val="0"/>
        <w:adjustRightInd w:val="0"/>
        <w:spacing w:before="20"/>
      </w:pPr>
      <w:r w:rsidRPr="00B469FC">
        <w:t>No issues identified.</w:t>
      </w:r>
    </w:p>
    <w:p w:rsidR="00B469FC" w:rsidRPr="00611CCF" w:rsidRDefault="00B469FC" w:rsidP="00C80881">
      <w:pPr>
        <w:pStyle w:val="Heading4"/>
      </w:pPr>
      <w:bookmarkStart w:id="308" w:name="_Toc241374323"/>
      <w:bookmarkStart w:id="309" w:name="_Toc272414685"/>
      <w:bookmarkStart w:id="310" w:name="_Toc290888549"/>
      <w:bookmarkStart w:id="311" w:name="_Toc442436520"/>
      <w:r w:rsidRPr="00611CCF">
        <w:t>Unwanted immunological events</w:t>
      </w:r>
      <w:bookmarkEnd w:id="308"/>
      <w:bookmarkEnd w:id="309"/>
      <w:bookmarkEnd w:id="310"/>
      <w:bookmarkEnd w:id="311"/>
    </w:p>
    <w:p w:rsidR="00B469FC" w:rsidRPr="00B469FC" w:rsidRDefault="00B469FC" w:rsidP="00B469FC">
      <w:pPr>
        <w:autoSpaceDE w:val="0"/>
        <w:autoSpaceDN w:val="0"/>
        <w:adjustRightInd w:val="0"/>
        <w:spacing w:before="20"/>
      </w:pPr>
      <w:r w:rsidRPr="00B469FC">
        <w:t xml:space="preserve">No issues identified. Rare cases of hypersensitivity to </w:t>
      </w:r>
      <w:proofErr w:type="spellStart"/>
      <w:r w:rsidRPr="00B469FC">
        <w:t>diltiazem</w:t>
      </w:r>
      <w:proofErr w:type="spellEnd"/>
      <w:r w:rsidRPr="00B469FC">
        <w:t xml:space="preserve"> hydrochloride have been identified in the literature.</w:t>
      </w:r>
    </w:p>
    <w:p w:rsidR="00B469FC" w:rsidRPr="00611CCF" w:rsidRDefault="00B469FC" w:rsidP="00C80881">
      <w:pPr>
        <w:pStyle w:val="Heading3"/>
      </w:pPr>
      <w:bookmarkStart w:id="312" w:name="_Toc272414686"/>
      <w:bookmarkStart w:id="313" w:name="_Ref273005527"/>
      <w:bookmarkStart w:id="314" w:name="_Toc290888550"/>
      <w:bookmarkStart w:id="315" w:name="_Toc442436521"/>
      <w:bookmarkStart w:id="316" w:name="_Toc485826001"/>
      <w:r w:rsidRPr="00611CCF">
        <w:t>Other safety issues</w:t>
      </w:r>
      <w:bookmarkEnd w:id="312"/>
      <w:bookmarkEnd w:id="313"/>
      <w:bookmarkEnd w:id="314"/>
      <w:bookmarkEnd w:id="315"/>
      <w:bookmarkEnd w:id="316"/>
    </w:p>
    <w:p w:rsidR="00B469FC" w:rsidRPr="00611CCF" w:rsidRDefault="00B469FC" w:rsidP="00C80881">
      <w:pPr>
        <w:pStyle w:val="Heading4"/>
      </w:pPr>
      <w:bookmarkStart w:id="317" w:name="_Toc241374322"/>
      <w:bookmarkStart w:id="318" w:name="_Ref272331212"/>
      <w:bookmarkStart w:id="319" w:name="_Toc272414687"/>
      <w:bookmarkStart w:id="320" w:name="_Toc290888551"/>
      <w:bookmarkStart w:id="321" w:name="_Toc442436522"/>
      <w:r w:rsidRPr="00611CCF">
        <w:t>Safety in special populations</w:t>
      </w:r>
      <w:bookmarkEnd w:id="317"/>
      <w:bookmarkEnd w:id="318"/>
      <w:bookmarkEnd w:id="319"/>
      <w:bookmarkEnd w:id="320"/>
      <w:bookmarkEnd w:id="321"/>
    </w:p>
    <w:p w:rsidR="00B469FC" w:rsidRPr="00B469FC" w:rsidRDefault="00B469FC" w:rsidP="00B469FC">
      <w:pPr>
        <w:autoSpaceDE w:val="0"/>
        <w:autoSpaceDN w:val="0"/>
        <w:adjustRightInd w:val="0"/>
        <w:spacing w:before="20"/>
      </w:pPr>
      <w:r w:rsidRPr="00B469FC">
        <w:t>Not addressed in the clinical trial program.</w:t>
      </w:r>
    </w:p>
    <w:p w:rsidR="00B469FC" w:rsidRPr="00611CCF" w:rsidRDefault="00B469FC" w:rsidP="00C80881">
      <w:pPr>
        <w:pStyle w:val="Heading4"/>
      </w:pPr>
      <w:bookmarkStart w:id="322" w:name="_Toc241374324"/>
      <w:bookmarkStart w:id="323" w:name="_Ref272331214"/>
      <w:bookmarkStart w:id="324" w:name="_Toc272414688"/>
      <w:bookmarkStart w:id="325" w:name="_Toc290888552"/>
      <w:bookmarkStart w:id="326" w:name="_Toc442436523"/>
      <w:r w:rsidRPr="00611CCF">
        <w:t>Safety related to drug-drug interactions and other interactions</w:t>
      </w:r>
      <w:bookmarkEnd w:id="322"/>
      <w:bookmarkEnd w:id="323"/>
      <w:bookmarkEnd w:id="324"/>
      <w:bookmarkEnd w:id="325"/>
      <w:bookmarkEnd w:id="326"/>
    </w:p>
    <w:p w:rsidR="00B469FC" w:rsidRPr="00B469FC" w:rsidRDefault="00B469FC" w:rsidP="00B469FC">
      <w:pPr>
        <w:spacing w:before="20"/>
      </w:pPr>
      <w:r w:rsidRPr="00B469FC">
        <w:t xml:space="preserve">No clinical studies examined the potential DDIs following perianal application of ANOHEAL 2% w/w cream. Previous clinical trials have identified the potential for orally administered DTZ to interact with the following drugs: </w:t>
      </w:r>
      <w:proofErr w:type="spellStart"/>
      <w:r w:rsidRPr="00B469FC">
        <w:t>dantrolene</w:t>
      </w:r>
      <w:proofErr w:type="spellEnd"/>
      <w:r w:rsidRPr="00B469FC">
        <w:t>, lithium, nitrate derivatives, theophylline, alpha-</w:t>
      </w:r>
      <w:proofErr w:type="spellStart"/>
      <w:r w:rsidRPr="00B469FC">
        <w:t>adrenoceptor</w:t>
      </w:r>
      <w:proofErr w:type="spellEnd"/>
      <w:r w:rsidRPr="00B469FC">
        <w:t xml:space="preserve"> antagonists, </w:t>
      </w:r>
      <w:proofErr w:type="spellStart"/>
      <w:r w:rsidRPr="00B469FC">
        <w:t>amiodarone</w:t>
      </w:r>
      <w:proofErr w:type="spellEnd"/>
      <w:r w:rsidRPr="00B469FC">
        <w:t>, digoxin, beta-blockers and other anti-</w:t>
      </w:r>
      <w:proofErr w:type="spellStart"/>
      <w:r w:rsidRPr="00B469FC">
        <w:t>hypertensives</w:t>
      </w:r>
      <w:proofErr w:type="spellEnd"/>
      <w:r w:rsidRPr="00B469FC">
        <w:t>, anti-</w:t>
      </w:r>
      <w:proofErr w:type="spellStart"/>
      <w:r w:rsidRPr="00B469FC">
        <w:t>arrythmic</w:t>
      </w:r>
      <w:proofErr w:type="spellEnd"/>
      <w:r w:rsidRPr="00B469FC">
        <w:t xml:space="preserve"> agents, carbamazepine and </w:t>
      </w:r>
      <w:proofErr w:type="spellStart"/>
      <w:r w:rsidRPr="00B469FC">
        <w:t>ciclosporin</w:t>
      </w:r>
      <w:proofErr w:type="spellEnd"/>
      <w:r w:rsidRPr="00B469FC">
        <w:t>. However, given that the maximum plasma concentrations of DTZ following perianal administration of ANOHEAL cream are far lower than those achieved following oral dosing with DTZ, the likelihood of these interactions occurring would be expected to be considerably lower following administration of ANOHEAL cream than fol</w:t>
      </w:r>
      <w:r w:rsidR="00843192">
        <w:t>lowing oral DTZ administration.</w:t>
      </w:r>
    </w:p>
    <w:p w:rsidR="00B469FC" w:rsidRPr="00611CCF" w:rsidRDefault="00B469FC" w:rsidP="00C80881">
      <w:pPr>
        <w:pStyle w:val="Heading4"/>
      </w:pPr>
      <w:bookmarkStart w:id="327" w:name="_Toc241374328"/>
      <w:bookmarkStart w:id="328" w:name="_Toc272414691"/>
      <w:bookmarkStart w:id="329" w:name="_Toc290888555"/>
      <w:bookmarkStart w:id="330" w:name="_Toc442436524"/>
      <w:r w:rsidRPr="00611CCF">
        <w:t>Evaluator’s overall conclusions on clinical safety</w:t>
      </w:r>
      <w:bookmarkEnd w:id="327"/>
      <w:bookmarkEnd w:id="328"/>
      <w:bookmarkEnd w:id="329"/>
      <w:bookmarkEnd w:id="330"/>
    </w:p>
    <w:p w:rsidR="00B469FC" w:rsidRPr="00B469FC" w:rsidRDefault="00B469FC" w:rsidP="00B469FC">
      <w:pPr>
        <w:autoSpaceDE w:val="0"/>
        <w:autoSpaceDN w:val="0"/>
        <w:adjustRightInd w:val="0"/>
        <w:spacing w:before="20"/>
      </w:pPr>
      <w:r w:rsidRPr="00B469FC">
        <w:t xml:space="preserve">The recommended total daily dose of </w:t>
      </w:r>
      <w:proofErr w:type="spellStart"/>
      <w:r w:rsidRPr="00B469FC">
        <w:t>diltiazem</w:t>
      </w:r>
      <w:proofErr w:type="spellEnd"/>
      <w:r w:rsidRPr="00B469FC">
        <w:t xml:space="preserve"> hydrochloride delivered in DTZ 2% cream is approximately 25 mg, compared with the recommended oral dose range of 180-480 mg with 120 mg in elderly. Oral administration typically provides a therapeutic range of 50-200 ng/</w:t>
      </w:r>
      <w:proofErr w:type="spellStart"/>
      <w:r w:rsidRPr="00B469FC">
        <w:t>mL.</w:t>
      </w:r>
      <w:proofErr w:type="spellEnd"/>
      <w:r w:rsidRPr="00B469FC">
        <w:t xml:space="preserve"> This contrasts with a median plasma concentration of 1 ng/mL, and a maximum concentration </w:t>
      </w:r>
      <w:proofErr w:type="gramStart"/>
      <w:r w:rsidRPr="00B469FC">
        <w:t>of 12.6 ng/mL</w:t>
      </w:r>
      <w:proofErr w:type="gramEnd"/>
      <w:r w:rsidRPr="00B469FC">
        <w:t xml:space="preserve"> reported in the DTZ 2% arm of the pivotal study DAF09. The potential for systemic effects is very low but it can’t be completely discounted in vulnerable groups such as the elderly, subjects with hepatic or renal impairment, and subjects with unsuspected cardiac conduction abnormalities. DTZ 2% is contraindicated for bradycardia, 2</w:t>
      </w:r>
      <w:r w:rsidRPr="00B469FC">
        <w:rPr>
          <w:vertAlign w:val="superscript"/>
        </w:rPr>
        <w:t>nd</w:t>
      </w:r>
      <w:r w:rsidRPr="00B469FC">
        <w:t xml:space="preserve"> or 3</w:t>
      </w:r>
      <w:r w:rsidRPr="00B469FC">
        <w:rPr>
          <w:vertAlign w:val="superscript"/>
        </w:rPr>
        <w:t>rd</w:t>
      </w:r>
      <w:r w:rsidRPr="00B469FC">
        <w:t xml:space="preserve"> degree HB, sick sinus and LVF. No significant vital sign or ECG changes were detected in study DAF09; however, abnormalities such as 2</w:t>
      </w:r>
      <w:r w:rsidRPr="00B469FC">
        <w:rPr>
          <w:vertAlign w:val="superscript"/>
        </w:rPr>
        <w:t>nd</w:t>
      </w:r>
      <w:r w:rsidRPr="00B469FC">
        <w:t xml:space="preserve"> degree heart block may be silent and unsuspected. There is also a potential risk of drug interactions with a range of medications listed, notably with </w:t>
      </w:r>
      <w:proofErr w:type="spellStart"/>
      <w:r w:rsidRPr="00B469FC">
        <w:t>dantrolene</w:t>
      </w:r>
      <w:proofErr w:type="spellEnd"/>
      <w:r w:rsidRPr="00B469FC">
        <w:t xml:space="preserve">. The frequency of headache was similar in the active and placebo treatment groups in keeping with low systemic exposure to </w:t>
      </w:r>
      <w:proofErr w:type="spellStart"/>
      <w:r w:rsidRPr="00B469FC">
        <w:t>diltiazem</w:t>
      </w:r>
      <w:proofErr w:type="spellEnd"/>
      <w:r w:rsidRPr="00B469FC">
        <w:t xml:space="preserve"> with DTZ 2% cream.</w:t>
      </w:r>
    </w:p>
    <w:p w:rsidR="00B469FC" w:rsidRPr="00B469FC" w:rsidRDefault="00B469FC" w:rsidP="00B469FC">
      <w:pPr>
        <w:autoSpaceDE w:val="0"/>
        <w:autoSpaceDN w:val="0"/>
        <w:adjustRightInd w:val="0"/>
        <w:spacing w:before="20"/>
      </w:pPr>
      <w:r w:rsidRPr="00B469FC">
        <w:t xml:space="preserve">Pre-clinical studies of </w:t>
      </w:r>
      <w:proofErr w:type="spellStart"/>
      <w:r w:rsidRPr="00B469FC">
        <w:t>diltiazem</w:t>
      </w:r>
      <w:proofErr w:type="spellEnd"/>
      <w:r w:rsidRPr="00B469FC">
        <w:t xml:space="preserve"> hydrochloride have demonstrated a potential for embryo-lethality and teratogenicity. This is a significant concern as AF is more common in females, many of childbearing potential. All single contraceptive methods have a failure rate of at least 1% so this is a serious potential risk in subjects with an otherwise </w:t>
      </w:r>
      <w:r w:rsidR="00843192">
        <w:t>non-life threatening condition.</w:t>
      </w:r>
    </w:p>
    <w:p w:rsidR="00B469FC" w:rsidRPr="00B469FC" w:rsidRDefault="00B469FC" w:rsidP="00B469FC">
      <w:pPr>
        <w:autoSpaceDE w:val="0"/>
        <w:autoSpaceDN w:val="0"/>
        <w:adjustRightInd w:val="0"/>
        <w:spacing w:before="20"/>
      </w:pPr>
      <w:r w:rsidRPr="00B469FC">
        <w:t xml:space="preserve">The most common adverse reactions to DTZ 2% cream are related to local tolerability at the application site. In study DAF09, </w:t>
      </w:r>
      <w:proofErr w:type="spellStart"/>
      <w:r w:rsidRPr="00B469FC">
        <w:t>proctalgia</w:t>
      </w:r>
      <w:proofErr w:type="spellEnd"/>
      <w:r w:rsidRPr="00B469FC">
        <w:t xml:space="preserve"> with an overall incidence of 43% was reported equally commonly in the active and placebo groups, suggesting a relationship to the underlying condition. The other events occurring more commonly in the active treatment groups compared with placebo were anal pruritus and anorectal discomfort. Anal pruritus was reported in 14.9% and 7.7% of the DTZ 2% and placebo groups, respectively, while anorectal discomfort was reported in 13.6% and 5.8% of each group, respectively. While symptomatic discomfort was more common in the active </w:t>
      </w:r>
      <w:r w:rsidRPr="00B469FC">
        <w:lastRenderedPageBreak/>
        <w:t xml:space="preserve">groups in DAF09 compared with placebo, no significant skin irritation was reported in studies VEN307-DERM-001 and VEN307-DERM-002 in healthy subjects. No AEs related to local tolerance were reported in the healthy subjects although at least some would be expected (see Clinical Questions). Severe skin sensitivity reactions described with oral </w:t>
      </w:r>
      <w:proofErr w:type="spellStart"/>
      <w:r w:rsidRPr="00B469FC">
        <w:t>diltiazem</w:t>
      </w:r>
      <w:proofErr w:type="spellEnd"/>
      <w:r w:rsidRPr="00B469FC">
        <w:t xml:space="preserve"> have been reported in the literature but none were reported in the DTZ 2% cream studies presented.</w:t>
      </w:r>
    </w:p>
    <w:p w:rsidR="00B469FC" w:rsidRPr="00B469FC" w:rsidRDefault="00B469FC" w:rsidP="00B469FC">
      <w:pPr>
        <w:autoSpaceDE w:val="0"/>
        <w:autoSpaceDN w:val="0"/>
        <w:adjustRightInd w:val="0"/>
        <w:spacing w:before="20"/>
      </w:pPr>
      <w:r w:rsidRPr="00B469FC">
        <w:t xml:space="preserve">In the pivotal study, the majority of subjects were White females with a mean age of 43 years. However, males were well represented and subjects up to the age of 84 years were studied. No formal subgroup analyses were performed and numbers would be low in each group. However, numerous literature studies have been conducted in all geographic areas and races without evidence of differences in the disorder or in </w:t>
      </w:r>
      <w:proofErr w:type="spellStart"/>
      <w:r w:rsidRPr="00B469FC">
        <w:t>diltiazem</w:t>
      </w:r>
      <w:proofErr w:type="spellEnd"/>
      <w:r w:rsidRPr="00B469FC">
        <w:t xml:space="preserve"> metabolism or to</w:t>
      </w:r>
      <w:r w:rsidR="00843192">
        <w:t>lerability.</w:t>
      </w:r>
    </w:p>
    <w:p w:rsidR="00B469FC" w:rsidRPr="00B469FC" w:rsidRDefault="00B469FC" w:rsidP="00B469FC">
      <w:pPr>
        <w:autoSpaceDE w:val="0"/>
        <w:autoSpaceDN w:val="0"/>
        <w:adjustRightInd w:val="0"/>
        <w:spacing w:before="20"/>
      </w:pPr>
      <w:r w:rsidRPr="00B469FC">
        <w:t>Overall, DTZ 2% is well tolerated. Compared with placebo, only anal pruritus and anorectal discomfort have been identified as common adverse reactions. With isolated exceptions, such events are mild to moderate in severity and resolve once treatment is stopped.</w:t>
      </w:r>
    </w:p>
    <w:p w:rsidR="00C22678" w:rsidRDefault="00C22678" w:rsidP="00C80881">
      <w:pPr>
        <w:pStyle w:val="Heading2"/>
      </w:pPr>
      <w:bookmarkStart w:id="331" w:name="_Toc485826002"/>
      <w:r>
        <w:t>First round benefit-risk assessment</w:t>
      </w:r>
      <w:bookmarkEnd w:id="331"/>
    </w:p>
    <w:p w:rsidR="00B469FC" w:rsidRPr="00611CCF" w:rsidRDefault="00B469FC" w:rsidP="00C80881">
      <w:pPr>
        <w:pStyle w:val="Heading3"/>
      </w:pPr>
      <w:bookmarkStart w:id="332" w:name="_Toc236802592"/>
      <w:bookmarkStart w:id="333" w:name="_Toc241374331"/>
      <w:bookmarkStart w:id="334" w:name="_Ref272160836"/>
      <w:bookmarkStart w:id="335" w:name="_Toc272414693"/>
      <w:bookmarkStart w:id="336" w:name="_Toc290888557"/>
      <w:bookmarkStart w:id="337" w:name="_Toc442436526"/>
      <w:bookmarkStart w:id="338" w:name="_Toc485826003"/>
      <w:r w:rsidRPr="00611CCF">
        <w:t>First round assessment of benefits</w:t>
      </w:r>
      <w:bookmarkEnd w:id="332"/>
      <w:bookmarkEnd w:id="333"/>
      <w:bookmarkEnd w:id="334"/>
      <w:bookmarkEnd w:id="335"/>
      <w:bookmarkEnd w:id="336"/>
      <w:bookmarkEnd w:id="337"/>
      <w:bookmarkEnd w:id="338"/>
    </w:p>
    <w:p w:rsidR="00B469FC" w:rsidRPr="00B469FC" w:rsidRDefault="00B469FC" w:rsidP="00B469FC">
      <w:pPr>
        <w:spacing w:before="20"/>
      </w:pPr>
      <w:r w:rsidRPr="00B469FC">
        <w:t>The benefit of ANOHEAL in the proposed usage is:</w:t>
      </w:r>
    </w:p>
    <w:p w:rsidR="00B469FC" w:rsidRPr="00C80881" w:rsidRDefault="00B469FC" w:rsidP="00C80881">
      <w:pPr>
        <w:pStyle w:val="ListBullet"/>
      </w:pPr>
      <w:r w:rsidRPr="00C80881">
        <w:t>Statistically significant but marginal reduction in AF related pain. However, a treatment difference of &lt;1 NRS unit on an eleven point scale cannot be considered clinically meaningful.</w:t>
      </w:r>
    </w:p>
    <w:p w:rsidR="00B469FC" w:rsidRPr="00611CCF" w:rsidRDefault="00B469FC" w:rsidP="00C80881">
      <w:pPr>
        <w:pStyle w:val="Heading3"/>
      </w:pPr>
      <w:bookmarkStart w:id="339" w:name="_Toc236802596"/>
      <w:bookmarkStart w:id="340" w:name="_Toc241374334"/>
      <w:bookmarkStart w:id="341" w:name="_Ref272160964"/>
      <w:bookmarkStart w:id="342" w:name="_Toc272414694"/>
      <w:bookmarkStart w:id="343" w:name="_Toc290888558"/>
      <w:bookmarkStart w:id="344" w:name="_Toc442436527"/>
      <w:bookmarkStart w:id="345" w:name="_Toc485826004"/>
      <w:r w:rsidRPr="00611CCF">
        <w:t>First round assessment of risks</w:t>
      </w:r>
      <w:bookmarkEnd w:id="339"/>
      <w:bookmarkEnd w:id="340"/>
      <w:bookmarkEnd w:id="341"/>
      <w:bookmarkEnd w:id="342"/>
      <w:bookmarkEnd w:id="343"/>
      <w:bookmarkEnd w:id="344"/>
      <w:bookmarkEnd w:id="345"/>
    </w:p>
    <w:p w:rsidR="00B469FC" w:rsidRPr="00B469FC" w:rsidRDefault="00B469FC" w:rsidP="00B469FC">
      <w:pPr>
        <w:spacing w:before="20"/>
      </w:pPr>
      <w:r w:rsidRPr="00B469FC">
        <w:t>The risks of ANOHEAL in the proposed usage are:</w:t>
      </w:r>
    </w:p>
    <w:p w:rsidR="00B469FC" w:rsidRPr="00C80881" w:rsidRDefault="00B469FC" w:rsidP="00C80881">
      <w:pPr>
        <w:pStyle w:val="ListBullet"/>
      </w:pPr>
      <w:r w:rsidRPr="00C80881">
        <w:t xml:space="preserve">Potential cardiac risks in subjects with undetected ECG abnormalities or borderline left ventricular function. Abnormalities such as second degree AV block may exist in otherwise asymptomatic subjects. The cardiac risk is low because systemic </w:t>
      </w:r>
      <w:proofErr w:type="spellStart"/>
      <w:r w:rsidRPr="00C80881">
        <w:t>diltiazem</w:t>
      </w:r>
      <w:proofErr w:type="spellEnd"/>
      <w:r w:rsidRPr="00C80881">
        <w:t xml:space="preserve"> exposure is markedly lower than that associated with oral administration. However, risk cannot be discounted in isolated elderly subjects, or those with unidentified significant hepatic or renal impairment.</w:t>
      </w:r>
    </w:p>
    <w:p w:rsidR="00B469FC" w:rsidRPr="00C80881" w:rsidRDefault="00B469FC" w:rsidP="00C80881">
      <w:pPr>
        <w:pStyle w:val="ListBullet"/>
      </w:pPr>
      <w:r w:rsidRPr="00C80881">
        <w:t xml:space="preserve">Drug interactions with medications outlined in the proposed PI. The risk is low as systemic exposure to </w:t>
      </w:r>
      <w:proofErr w:type="spellStart"/>
      <w:r w:rsidRPr="00C80881">
        <w:t>diltiazem</w:t>
      </w:r>
      <w:proofErr w:type="spellEnd"/>
      <w:r w:rsidRPr="00C80881">
        <w:t xml:space="preserve"> hydrochloride is low.</w:t>
      </w:r>
    </w:p>
    <w:p w:rsidR="00B469FC" w:rsidRPr="00C80881" w:rsidRDefault="00B469FC" w:rsidP="00C80881">
      <w:pPr>
        <w:pStyle w:val="ListBullet"/>
      </w:pPr>
      <w:r w:rsidRPr="00C80881">
        <w:t>Hypersensitivity to the active substance, its metabolites, or any of the excipients.</w:t>
      </w:r>
    </w:p>
    <w:p w:rsidR="00B469FC" w:rsidRPr="00C80881" w:rsidRDefault="00B469FC" w:rsidP="00C80881">
      <w:pPr>
        <w:pStyle w:val="ListBullet"/>
      </w:pPr>
      <w:r w:rsidRPr="00C80881">
        <w:t>Potential teratogenicity in the event of unplanned or unsuspected pregnancy. Women of childbearing potential, unless using adequate contraception, were excluded from study DAF0001. However, a pregnancy did occur during the study and some contraceptive failures must be expecte</w:t>
      </w:r>
      <w:r w:rsidR="00843192">
        <w:t>d in routine clinical practice.</w:t>
      </w:r>
    </w:p>
    <w:p w:rsidR="00B469FC" w:rsidRPr="00C80881" w:rsidRDefault="00B469FC" w:rsidP="00C80881">
      <w:pPr>
        <w:pStyle w:val="ListBullet"/>
      </w:pPr>
      <w:r w:rsidRPr="00C80881">
        <w:t xml:space="preserve">Anorectal discomfort, </w:t>
      </w:r>
      <w:proofErr w:type="spellStart"/>
      <w:r w:rsidRPr="00C80881">
        <w:t>proctalgia</w:t>
      </w:r>
      <w:proofErr w:type="spellEnd"/>
      <w:r w:rsidRPr="00C80881">
        <w:t xml:space="preserve">, and anal pruritus are commonly observed. The symptoms are usually mild to moderate but significant local skin reactions may occur. Serious systemic skin sensitivity reactions including </w:t>
      </w:r>
      <w:proofErr w:type="spellStart"/>
      <w:r w:rsidRPr="00C80881">
        <w:t>exanthematous</w:t>
      </w:r>
      <w:proofErr w:type="spellEnd"/>
      <w:r w:rsidRPr="00C80881">
        <w:t xml:space="preserve"> </w:t>
      </w:r>
      <w:proofErr w:type="spellStart"/>
      <w:r w:rsidRPr="00C80881">
        <w:t>pustulosis</w:t>
      </w:r>
      <w:proofErr w:type="spellEnd"/>
      <w:r w:rsidRPr="00C80881">
        <w:t xml:space="preserve"> have also been reported in the literature.</w:t>
      </w:r>
    </w:p>
    <w:p w:rsidR="00B469FC" w:rsidRPr="00C80881" w:rsidRDefault="00B469FC" w:rsidP="00C80881">
      <w:pPr>
        <w:pStyle w:val="ListBullet"/>
      </w:pPr>
      <w:r w:rsidRPr="00C80881">
        <w:t>Administration site pain is reported in a small percentage of subjects.</w:t>
      </w:r>
    </w:p>
    <w:p w:rsidR="00B469FC" w:rsidRPr="00611CCF" w:rsidRDefault="00B469FC" w:rsidP="00C80881">
      <w:pPr>
        <w:pStyle w:val="Heading3"/>
      </w:pPr>
      <w:bookmarkStart w:id="346" w:name="_Toc236802597"/>
      <w:bookmarkStart w:id="347" w:name="_Toc241374335"/>
      <w:bookmarkStart w:id="348" w:name="_Toc272414695"/>
      <w:bookmarkStart w:id="349" w:name="_Toc290888559"/>
      <w:bookmarkStart w:id="350" w:name="_Toc442436528"/>
      <w:bookmarkStart w:id="351" w:name="_Toc485826005"/>
      <w:r w:rsidRPr="00611CCF">
        <w:t>First round assessment of benefit-risk balance</w:t>
      </w:r>
      <w:bookmarkEnd w:id="346"/>
      <w:bookmarkEnd w:id="347"/>
      <w:bookmarkEnd w:id="348"/>
      <w:bookmarkEnd w:id="349"/>
      <w:bookmarkEnd w:id="350"/>
      <w:bookmarkEnd w:id="351"/>
    </w:p>
    <w:p w:rsidR="00B469FC" w:rsidRPr="00C80881" w:rsidRDefault="00B469FC" w:rsidP="00C80881">
      <w:r w:rsidRPr="00C80881">
        <w:t>The benefit-risk balance of ANOHEAL, given the p</w:t>
      </w:r>
      <w:r w:rsidR="00843192">
        <w:t>roposed usage, is unfavourable.</w:t>
      </w:r>
    </w:p>
    <w:p w:rsidR="00B469FC" w:rsidRDefault="00B469FC" w:rsidP="00C80881">
      <w:r w:rsidRPr="00C80881">
        <w:lastRenderedPageBreak/>
        <w:t>Compared with placebo, no clinically meaningful benefit in terms of pain relief has been demonstrated.  The potential risks of ANOHEAL are generally mild to moderate, mostly related to local application site intolerance. However, severe or serious outcomes related to hypersensitivity reaction, allergic reactions or cardiac events may rarely occur.</w:t>
      </w:r>
    </w:p>
    <w:p w:rsidR="00D52D07" w:rsidRDefault="00D52D07" w:rsidP="00D52D07">
      <w:pPr>
        <w:pStyle w:val="Heading2"/>
      </w:pPr>
      <w:bookmarkStart w:id="352" w:name="_Toc485826006"/>
      <w:r>
        <w:t>First round recommendation regarding authorisation</w:t>
      </w:r>
      <w:bookmarkEnd w:id="352"/>
    </w:p>
    <w:p w:rsidR="0087597C" w:rsidRPr="0087597C" w:rsidRDefault="0087597C" w:rsidP="0087597C">
      <w:r w:rsidRPr="0087597C">
        <w:t>Authorisation for ANOHEAL for the proposed usage is not recommended. Insufficient clinical efficacy has been demonstrated in the single pivotal study presented.</w:t>
      </w:r>
    </w:p>
    <w:p w:rsidR="00C22678" w:rsidRDefault="00C22678" w:rsidP="00C80881">
      <w:pPr>
        <w:pStyle w:val="Heading2"/>
      </w:pPr>
      <w:bookmarkStart w:id="353" w:name="_Toc485826007"/>
      <w:r>
        <w:t>Clinical questions</w:t>
      </w:r>
      <w:bookmarkEnd w:id="353"/>
    </w:p>
    <w:p w:rsidR="00B469FC" w:rsidRPr="00611CCF" w:rsidRDefault="00B469FC" w:rsidP="00C80881">
      <w:pPr>
        <w:pStyle w:val="Heading3"/>
      </w:pPr>
      <w:bookmarkStart w:id="354" w:name="_Ref272312341"/>
      <w:bookmarkStart w:id="355" w:name="_Toc272414700"/>
      <w:bookmarkStart w:id="356" w:name="_Toc290888566"/>
      <w:bookmarkStart w:id="357" w:name="_Toc442436535"/>
      <w:bookmarkStart w:id="358" w:name="_Toc485826008"/>
      <w:r w:rsidRPr="00611CCF">
        <w:t>Additional expert input</w:t>
      </w:r>
      <w:bookmarkEnd w:id="354"/>
      <w:bookmarkEnd w:id="355"/>
      <w:bookmarkEnd w:id="356"/>
      <w:bookmarkEnd w:id="357"/>
      <w:bookmarkEnd w:id="358"/>
    </w:p>
    <w:p w:rsidR="00B469FC" w:rsidRPr="00B469FC" w:rsidRDefault="00B469FC" w:rsidP="00B469FC">
      <w:pPr>
        <w:spacing w:before="20"/>
      </w:pPr>
      <w:r w:rsidRPr="00B469FC">
        <w:t>Not required.</w:t>
      </w:r>
    </w:p>
    <w:p w:rsidR="00B469FC" w:rsidRPr="00611CCF" w:rsidRDefault="00B469FC" w:rsidP="00C80881">
      <w:pPr>
        <w:pStyle w:val="Heading3"/>
      </w:pPr>
      <w:bookmarkStart w:id="359" w:name="_Ref269908779"/>
      <w:bookmarkStart w:id="360" w:name="_Toc272414701"/>
      <w:bookmarkStart w:id="361" w:name="_Toc290888567"/>
      <w:bookmarkStart w:id="362" w:name="_Toc442436536"/>
      <w:bookmarkStart w:id="363" w:name="_Toc485826009"/>
      <w:r w:rsidRPr="00611CCF">
        <w:t>Clinical questions</w:t>
      </w:r>
      <w:bookmarkEnd w:id="359"/>
      <w:bookmarkEnd w:id="360"/>
      <w:bookmarkEnd w:id="361"/>
      <w:bookmarkEnd w:id="362"/>
      <w:bookmarkEnd w:id="363"/>
    </w:p>
    <w:p w:rsidR="00B469FC" w:rsidRPr="00611CCF" w:rsidRDefault="00B469FC" w:rsidP="00C80881">
      <w:pPr>
        <w:pStyle w:val="Heading4"/>
      </w:pPr>
      <w:bookmarkStart w:id="364" w:name="_Toc272414702"/>
      <w:bookmarkStart w:id="365" w:name="_Toc290888568"/>
      <w:bookmarkStart w:id="366" w:name="_Toc442436537"/>
      <w:r w:rsidRPr="00611CCF">
        <w:t>Pharmacokinetics</w:t>
      </w:r>
      <w:bookmarkEnd w:id="364"/>
      <w:bookmarkEnd w:id="365"/>
      <w:bookmarkEnd w:id="366"/>
    </w:p>
    <w:p w:rsidR="00B469FC" w:rsidRPr="00B469FC" w:rsidRDefault="00B469FC" w:rsidP="00B469FC">
      <w:pPr>
        <w:spacing w:before="20"/>
      </w:pPr>
      <w:r w:rsidRPr="00B469FC">
        <w:t>No questions at this time.</w:t>
      </w:r>
    </w:p>
    <w:p w:rsidR="00B469FC" w:rsidRPr="00611CCF" w:rsidRDefault="00B469FC" w:rsidP="00C80881">
      <w:pPr>
        <w:pStyle w:val="Heading4"/>
      </w:pPr>
      <w:bookmarkStart w:id="367" w:name="_Toc272414703"/>
      <w:bookmarkStart w:id="368" w:name="_Toc290888569"/>
      <w:bookmarkStart w:id="369" w:name="_Toc442436538"/>
      <w:r w:rsidRPr="00611CCF">
        <w:t>Pharmacodynamics</w:t>
      </w:r>
      <w:bookmarkEnd w:id="367"/>
      <w:bookmarkEnd w:id="368"/>
      <w:bookmarkEnd w:id="369"/>
    </w:p>
    <w:p w:rsidR="00B469FC" w:rsidRPr="00B469FC" w:rsidRDefault="00B469FC" w:rsidP="00B469FC">
      <w:pPr>
        <w:spacing w:before="20"/>
      </w:pPr>
      <w:r w:rsidRPr="00B469FC">
        <w:t>No questions at this time.</w:t>
      </w:r>
    </w:p>
    <w:p w:rsidR="00B469FC" w:rsidRPr="00611CCF" w:rsidRDefault="00B469FC" w:rsidP="00C80881">
      <w:pPr>
        <w:pStyle w:val="Heading4"/>
      </w:pPr>
      <w:bookmarkStart w:id="370" w:name="_Toc272414704"/>
      <w:bookmarkStart w:id="371" w:name="_Toc290888570"/>
      <w:bookmarkStart w:id="372" w:name="_Toc442436539"/>
      <w:r w:rsidRPr="00611CCF">
        <w:t>Efficacy</w:t>
      </w:r>
      <w:bookmarkEnd w:id="370"/>
      <w:bookmarkEnd w:id="371"/>
      <w:bookmarkEnd w:id="372"/>
    </w:p>
    <w:p w:rsidR="00B469FC" w:rsidRPr="00C80881" w:rsidRDefault="00C80881" w:rsidP="00C80881">
      <w:pPr>
        <w:pStyle w:val="ListBullet"/>
      </w:pPr>
      <w:r w:rsidRPr="00C80881">
        <w:t xml:space="preserve">Question 1: </w:t>
      </w:r>
      <w:r w:rsidR="00B469FC" w:rsidRPr="00C80881">
        <w:t>In the pivotal study DAF09, the NRS treatment difference for DTZ 2% compared with placebo at Week 4 was -0.43, notably less than the 1 unit difference adopted in the sample size calculation. Please state if the 1 unit NRS difference was or was not identified a priori as a clinically meaningfu</w:t>
      </w:r>
      <w:r w:rsidR="00843192">
        <w:t>l treatment difference for NRS.</w:t>
      </w:r>
    </w:p>
    <w:p w:rsidR="00B469FC" w:rsidRPr="00C80881" w:rsidRDefault="00B469FC" w:rsidP="00C80881">
      <w:pPr>
        <w:pStyle w:val="ListBullet"/>
      </w:pPr>
      <w:r w:rsidRPr="00C80881">
        <w:t>Question 2</w:t>
      </w:r>
      <w:r w:rsidR="00C80881" w:rsidRPr="00C80881">
        <w:t xml:space="preserve">: </w:t>
      </w:r>
      <w:r w:rsidRPr="00C80881">
        <w:t>Please give a justification for adopting 97.5% CIs rather than conventional testing methods to control for</w:t>
      </w:r>
      <w:r w:rsidR="00843192">
        <w:t xml:space="preserve"> multiplicity in study DAF09.</w:t>
      </w:r>
    </w:p>
    <w:p w:rsidR="00B469FC" w:rsidRPr="00C80881" w:rsidRDefault="00B469FC" w:rsidP="00C80881">
      <w:pPr>
        <w:pStyle w:val="ListBullet"/>
      </w:pPr>
      <w:r w:rsidRPr="00C80881">
        <w:t>Question 3</w:t>
      </w:r>
      <w:r w:rsidR="00C80881" w:rsidRPr="00C80881">
        <w:t xml:space="preserve">: </w:t>
      </w:r>
      <w:r w:rsidRPr="00C80881">
        <w:t>In the DAF09 protocol introduction, it is stated that pain relief is as important as healing. Pain relief without healing provides temporary palliation but healing must be considered superior as it is by definition curative. Please outline the arguments provided by the MHRA and the Swedish authority in support of pain relief rather than healing as a primary efficacy outc</w:t>
      </w:r>
      <w:r w:rsidR="00843192">
        <w:t>ome in the pivotal study DAF09.</w:t>
      </w:r>
    </w:p>
    <w:p w:rsidR="00B469FC" w:rsidRPr="00C80881" w:rsidRDefault="00B469FC" w:rsidP="00C80881">
      <w:pPr>
        <w:pStyle w:val="ListBullet"/>
      </w:pPr>
      <w:r w:rsidRPr="00C80881">
        <w:t>Question 4</w:t>
      </w:r>
      <w:r w:rsidR="00C80881" w:rsidRPr="00C80881">
        <w:t xml:space="preserve">: </w:t>
      </w:r>
      <w:r w:rsidRPr="00C80881">
        <w:t>In the Clinical Overview, the sponsor proposes that the statistically significant reductions in NRS scores in favour of DTZ 2% cream in study DAF09 are also clinically significant. However, the arguments rely largely on the internal consistency of secondary outcomes other than pain relief, and on studies in the literature, themselves nearly all marginal, inconsistent and unconvincing. The sponsor has provided a reference supporting the use of NRS for measuring treatment responses to AF pain (Dworkin, 2005).  However, this reference is largely a general statement of value and there is no description of the validity, reliability and sensitivity of this method. Nor is an accepted definition of the clinically significance of changes in NRS scores provided. Please provide a primary reference for the NRS method and use it to justify the clinical significance of the marginal (but statistically significant) treatment benefit in favour of DTZ 2% cream. It would also be useful to provide a responder analysis based on the nominated clinically significant treatment diffe</w:t>
      </w:r>
      <w:r w:rsidR="00843192">
        <w:t>rence in NRS score.</w:t>
      </w:r>
    </w:p>
    <w:p w:rsidR="00B469FC" w:rsidRPr="00C80881" w:rsidRDefault="00B469FC" w:rsidP="00C80881">
      <w:pPr>
        <w:pStyle w:val="ListBullet"/>
      </w:pPr>
      <w:r w:rsidRPr="00C80881">
        <w:lastRenderedPageBreak/>
        <w:t>Question 5</w:t>
      </w:r>
      <w:r w:rsidR="00C80881" w:rsidRPr="00C80881">
        <w:t xml:space="preserve">: </w:t>
      </w:r>
      <w:r w:rsidRPr="00C80881">
        <w:t>In DAF09, there were marginal benefits in terms of pain relief and healing (ignoring levels of statistical significance). Was pain relief associated with healing? What were the treatment emergent changes in pain scores in subjects who did/did not heal?</w:t>
      </w:r>
    </w:p>
    <w:p w:rsidR="00B469FC" w:rsidRPr="00C80881" w:rsidDel="0081373E" w:rsidRDefault="00B469FC" w:rsidP="00C80881">
      <w:pPr>
        <w:pStyle w:val="ListBullet"/>
      </w:pPr>
      <w:r w:rsidRPr="00C80881">
        <w:t>Question 6</w:t>
      </w:r>
      <w:r w:rsidR="00C80881" w:rsidRPr="00C80881">
        <w:t xml:space="preserve">: </w:t>
      </w:r>
      <w:r w:rsidRPr="00C80881">
        <w:t xml:space="preserve">Have </w:t>
      </w:r>
      <w:proofErr w:type="spellStart"/>
      <w:r w:rsidRPr="00C80881">
        <w:t>manometry</w:t>
      </w:r>
      <w:proofErr w:type="spellEnd"/>
      <w:r w:rsidRPr="00C80881">
        <w:t xml:space="preserve"> studies of anal sphincter tone been conducted using the DTZ 2% cream formulation proposed for marketing? If so, what percentage reductions in pressure were achieved?</w:t>
      </w:r>
    </w:p>
    <w:p w:rsidR="00B469FC" w:rsidRPr="00611CCF" w:rsidRDefault="00B469FC" w:rsidP="00C80881">
      <w:pPr>
        <w:pStyle w:val="Heading4"/>
      </w:pPr>
      <w:bookmarkStart w:id="373" w:name="_Toc272414705"/>
      <w:bookmarkStart w:id="374" w:name="_Toc290888571"/>
      <w:bookmarkStart w:id="375" w:name="_Toc442436540"/>
      <w:r w:rsidRPr="00611CCF">
        <w:t>Safety</w:t>
      </w:r>
      <w:bookmarkEnd w:id="373"/>
      <w:bookmarkEnd w:id="374"/>
      <w:bookmarkEnd w:id="375"/>
    </w:p>
    <w:p w:rsidR="00B469FC" w:rsidRPr="00C80881" w:rsidRDefault="00B469FC" w:rsidP="00C80881">
      <w:pPr>
        <w:pStyle w:val="ListBullet"/>
      </w:pPr>
      <w:r w:rsidRPr="00C80881">
        <w:t>Question 7</w:t>
      </w:r>
      <w:r w:rsidR="00C80881" w:rsidRPr="00C80881">
        <w:t xml:space="preserve">: </w:t>
      </w:r>
      <w:r w:rsidRPr="00C80881">
        <w:t>Please confirm that the cream formulations applied in studies DAF09, VEN307-DERM-001 and VEN307-DERM-002 are identical to the formulation proposed for marketing. Was propylene glycol a component in each study?</w:t>
      </w:r>
    </w:p>
    <w:p w:rsidR="00B469FC" w:rsidRPr="00C80881" w:rsidRDefault="00B469FC" w:rsidP="00C80881">
      <w:pPr>
        <w:pStyle w:val="ListBullet"/>
      </w:pPr>
      <w:r w:rsidRPr="00C80881">
        <w:t>Question 8</w:t>
      </w:r>
      <w:r w:rsidR="00C80881" w:rsidRPr="00C80881">
        <w:t xml:space="preserve">: </w:t>
      </w:r>
      <w:r w:rsidRPr="00C80881">
        <w:t>In the DTZ 2% group of DAF09, anal pruritus and anal discomfort were in 14.9% and 13.6% of subjects, respectively, compared with 7.7% and 5.8% in the placebo group, respectively.  However, in study VEN307-DERM-001, only five AEs (arthralgia, dizziness, and headache) were reported in 202 healthy subjects, and no AEs were reported in VEN307-DERM-002. While ADRs are obviously less common, typically the majority of healthy subjects in any Phase 1 study report at least one AE in response to a standard non-leading question. Please explain how AEs were elicited, documented and assessed i</w:t>
      </w:r>
      <w:r w:rsidR="00843192">
        <w:t>n the healthy subject studies.</w:t>
      </w:r>
    </w:p>
    <w:p w:rsidR="00C618F7" w:rsidRDefault="00C618F7" w:rsidP="00C80881">
      <w:pPr>
        <w:pStyle w:val="Heading2"/>
      </w:pPr>
      <w:bookmarkStart w:id="376" w:name="_Toc485826010"/>
      <w:r>
        <w:t>Second round evaluation of clinical data submitted</w:t>
      </w:r>
      <w:bookmarkEnd w:id="376"/>
    </w:p>
    <w:p w:rsidR="00B469FC" w:rsidRDefault="00B469FC" w:rsidP="00C80881">
      <w:pPr>
        <w:pStyle w:val="Heading3"/>
      </w:pPr>
      <w:bookmarkStart w:id="377" w:name="_Toc442436543"/>
      <w:bookmarkStart w:id="378" w:name="_Toc485826011"/>
      <w:r>
        <w:t>Efficacy</w:t>
      </w:r>
      <w:bookmarkEnd w:id="377"/>
      <w:bookmarkEnd w:id="378"/>
    </w:p>
    <w:p w:rsidR="00B469FC" w:rsidRPr="009F559E" w:rsidRDefault="00B469FC" w:rsidP="00F3415E">
      <w:pPr>
        <w:pStyle w:val="ListBullet"/>
        <w:rPr>
          <w:b/>
          <w:i/>
        </w:rPr>
      </w:pPr>
      <w:r w:rsidRPr="009F559E">
        <w:rPr>
          <w:b/>
          <w:i/>
        </w:rPr>
        <w:t>Question 1</w:t>
      </w:r>
      <w:r w:rsidR="00F3415E" w:rsidRPr="009F559E">
        <w:rPr>
          <w:b/>
          <w:i/>
        </w:rPr>
        <w:t xml:space="preserve">: </w:t>
      </w:r>
      <w:r w:rsidRPr="009F559E">
        <w:rPr>
          <w:b/>
          <w:i/>
        </w:rPr>
        <w:t>In the pivotal study DAF09, the NRS treatment difference for DTZ 2% compared with placebo at Week 4 was -0.43, notably less than the 1 unit difference adopted in the sample size calculation. Please state if the 1 unit NRS difference was or was not identified a priori as a clinically meaningfu</w:t>
      </w:r>
      <w:r w:rsidR="00843192">
        <w:rPr>
          <w:b/>
          <w:i/>
        </w:rPr>
        <w:t>l treatment difference for NRS.</w:t>
      </w:r>
    </w:p>
    <w:p w:rsidR="00F3415E" w:rsidRDefault="00B469FC" w:rsidP="00F3415E">
      <w:pPr>
        <w:pStyle w:val="Heading4"/>
      </w:pPr>
      <w:r w:rsidRPr="00B469FC">
        <w:t>Spons</w:t>
      </w:r>
      <w:r w:rsidR="00F3415E">
        <w:t>or’s response</w:t>
      </w:r>
    </w:p>
    <w:p w:rsidR="00B469FC" w:rsidRPr="00F3415E" w:rsidRDefault="00B469FC" w:rsidP="00B469FC">
      <w:pPr>
        <w:spacing w:before="20"/>
        <w:rPr>
          <w:b/>
        </w:rPr>
      </w:pPr>
      <w:r w:rsidRPr="00B469FC">
        <w:t xml:space="preserve">The 1 unit NRS difference was not identified </w:t>
      </w:r>
      <w:r w:rsidRPr="00B469FC">
        <w:rPr>
          <w:i/>
        </w:rPr>
        <w:t>a priori</w:t>
      </w:r>
      <w:r w:rsidRPr="00B469FC">
        <w:t xml:space="preserve"> as being clinically meaningful difference (sic).  The yardstick used to measure a pain benefit, pretty much any benefit above and beyond placebo when dealing with a reasonable, real-world study sample size (as opposed to an infinite sample) was considered to be clinically meaningful. In the context of sample size calculation, the smallest possible measurement of benefit was selected, using the quantised 11 point NRS.</w:t>
      </w:r>
    </w:p>
    <w:p w:rsidR="00F3415E" w:rsidRDefault="00B469FC" w:rsidP="00B469FC">
      <w:pPr>
        <w:spacing w:before="20"/>
      </w:pPr>
      <w:r w:rsidRPr="00B469FC">
        <w:t>This was simply a sample size estimating exercise based on the premise that any statistically significant benefit when dealing with a reasonable and not vast sample of measure that, having no meaning in words, nevertheless would be considered among surgeons to be clinically va</w:t>
      </w:r>
      <w:r w:rsidR="00F3415E">
        <w:t>luable.</w:t>
      </w:r>
    </w:p>
    <w:p w:rsidR="00F3415E" w:rsidRPr="00F3415E" w:rsidRDefault="00F3415E" w:rsidP="00F3415E">
      <w:pPr>
        <w:pStyle w:val="Heading4"/>
        <w:rPr>
          <w:rStyle w:val="Heading4Char"/>
          <w:b/>
          <w:bCs/>
        </w:rPr>
      </w:pPr>
      <w:r w:rsidRPr="00F3415E">
        <w:rPr>
          <w:rStyle w:val="Heading4Char"/>
          <w:b/>
          <w:bCs/>
        </w:rPr>
        <w:t>Evaluators’ response</w:t>
      </w:r>
    </w:p>
    <w:p w:rsidR="00B469FC" w:rsidRPr="00B469FC" w:rsidRDefault="00B469FC" w:rsidP="00B469FC">
      <w:pPr>
        <w:spacing w:before="20"/>
      </w:pPr>
      <w:r w:rsidRPr="00B469FC">
        <w:t xml:space="preserve">The sponsor’s response is not satisfactory.  </w:t>
      </w:r>
    </w:p>
    <w:p w:rsidR="00B469FC" w:rsidRPr="00B469FC" w:rsidRDefault="00B469FC" w:rsidP="00B469FC">
      <w:pPr>
        <w:spacing w:before="20"/>
      </w:pPr>
      <w:r w:rsidRPr="00B469FC">
        <w:t>The 1 unit NRS treatment difference was selected arbitrarily, based on the premise that any statistically significant benefit for pain relief is, by definition, clinically meaningful.  This is at odds with conventional thinking and the claim that this view would be supported among surgeons is un-substantiated.</w:t>
      </w:r>
    </w:p>
    <w:p w:rsidR="00B469FC" w:rsidRPr="00B469FC" w:rsidRDefault="00B469FC" w:rsidP="00B469FC">
      <w:pPr>
        <w:spacing w:before="20"/>
      </w:pPr>
      <w:r w:rsidRPr="00B469FC">
        <w:t>The more conventional method would have been to select a pre-determined minimal clinically important difference (MCID).  This should have been based on previous AF clinical trial data if possible, or failing that, comparable pai</w:t>
      </w:r>
      <w:r w:rsidR="00843192">
        <w:t>n studies in other indications.</w:t>
      </w:r>
    </w:p>
    <w:p w:rsidR="00B469FC" w:rsidRPr="009F559E" w:rsidRDefault="00F3415E" w:rsidP="00F3415E">
      <w:pPr>
        <w:pStyle w:val="ListBullet"/>
        <w:rPr>
          <w:b/>
          <w:i/>
        </w:rPr>
      </w:pPr>
      <w:r w:rsidRPr="009F559E">
        <w:rPr>
          <w:b/>
          <w:i/>
        </w:rPr>
        <w:t xml:space="preserve">Question 2: </w:t>
      </w:r>
      <w:r w:rsidR="00B469FC" w:rsidRPr="009F559E">
        <w:rPr>
          <w:b/>
          <w:i/>
        </w:rPr>
        <w:t>Please give a justification for adopting 97.5% CIs rather than conventional testing methods to control f</w:t>
      </w:r>
      <w:r w:rsidR="00843192">
        <w:rPr>
          <w:b/>
          <w:i/>
        </w:rPr>
        <w:t>or multiplicity in study DAF09.</w:t>
      </w:r>
    </w:p>
    <w:p w:rsidR="00F3415E" w:rsidRDefault="00F3415E" w:rsidP="00C55776">
      <w:pPr>
        <w:pStyle w:val="Heading4"/>
      </w:pPr>
      <w:r>
        <w:lastRenderedPageBreak/>
        <w:t>Sponsor’s response</w:t>
      </w:r>
    </w:p>
    <w:p w:rsidR="00B469FC" w:rsidRPr="00B469FC" w:rsidRDefault="00B469FC" w:rsidP="00B469FC">
      <w:pPr>
        <w:spacing w:before="20"/>
      </w:pPr>
      <w:r w:rsidRPr="00B469FC">
        <w:t>The 97.5% CI approach is an accept</w:t>
      </w:r>
      <w:r w:rsidR="00843192">
        <w:t>ed methodology based on ICH E9.</w:t>
      </w:r>
    </w:p>
    <w:p w:rsidR="00C55776" w:rsidRDefault="00C55776" w:rsidP="006F70BD">
      <w:pPr>
        <w:pStyle w:val="Heading4"/>
      </w:pPr>
      <w:r>
        <w:t>Evaluators’ response</w:t>
      </w:r>
    </w:p>
    <w:p w:rsidR="00B469FC" w:rsidRPr="00B469FC" w:rsidRDefault="00B469FC" w:rsidP="00B469FC">
      <w:pPr>
        <w:spacing w:before="20"/>
      </w:pPr>
      <w:r w:rsidRPr="00B469FC">
        <w:t>The sponsor’s response is satisfactory.</w:t>
      </w:r>
    </w:p>
    <w:p w:rsidR="00B469FC" w:rsidRPr="009F559E" w:rsidRDefault="00B469FC" w:rsidP="006F70BD">
      <w:pPr>
        <w:pStyle w:val="ListBullet"/>
        <w:rPr>
          <w:b/>
          <w:i/>
        </w:rPr>
      </w:pPr>
      <w:r w:rsidRPr="009F559E">
        <w:rPr>
          <w:b/>
          <w:i/>
        </w:rPr>
        <w:t>Question 3</w:t>
      </w:r>
      <w:r w:rsidR="006F70BD" w:rsidRPr="009F559E">
        <w:rPr>
          <w:b/>
          <w:i/>
        </w:rPr>
        <w:t xml:space="preserve">: </w:t>
      </w:r>
      <w:r w:rsidRPr="009F559E">
        <w:rPr>
          <w:b/>
          <w:i/>
        </w:rPr>
        <w:t>In the DAF09 protocol introduction, it is stated that pain relief is as important as healing. Pain relief without healing provides temporary palliation but healing must be considered superior as it is by definition curative. Please outline the arguments provided by the MHRA and the Swedish authority in support of pain relief rather than healing as a primary efficacy outcom</w:t>
      </w:r>
      <w:r w:rsidR="00843192">
        <w:rPr>
          <w:b/>
          <w:i/>
        </w:rPr>
        <w:t>e in the pivotal study DAF09.</w:t>
      </w:r>
    </w:p>
    <w:p w:rsidR="006F70BD" w:rsidRDefault="006F70BD" w:rsidP="006F70BD">
      <w:pPr>
        <w:pStyle w:val="Heading4"/>
      </w:pPr>
      <w:r>
        <w:t>Sponsor’s response</w:t>
      </w:r>
    </w:p>
    <w:p w:rsidR="00B469FC" w:rsidRPr="00B469FC" w:rsidRDefault="00B469FC" w:rsidP="00B469FC">
      <w:pPr>
        <w:spacing w:before="20"/>
      </w:pPr>
      <w:r w:rsidRPr="00B469FC">
        <w:t xml:space="preserve">Pain relief was not proposed as an endpoint by the MPA and MHRA. However, they </w:t>
      </w:r>
      <w:proofErr w:type="gramStart"/>
      <w:r w:rsidRPr="00B469FC">
        <w:t>accepted  pain</w:t>
      </w:r>
      <w:proofErr w:type="gramEnd"/>
      <w:r w:rsidRPr="00B469FC">
        <w:t xml:space="preserve"> relief as a worthwhile alternative if improved healing rates cannot be demonstrated,</w:t>
      </w:r>
    </w:p>
    <w:p w:rsidR="006F70BD" w:rsidRDefault="006F70BD" w:rsidP="006F70BD">
      <w:pPr>
        <w:pStyle w:val="Heading4"/>
      </w:pPr>
      <w:r>
        <w:t>Evaluators’ response</w:t>
      </w:r>
    </w:p>
    <w:p w:rsidR="00B469FC" w:rsidRPr="00B469FC" w:rsidRDefault="00B469FC" w:rsidP="00B469FC">
      <w:pPr>
        <w:spacing w:before="20"/>
      </w:pPr>
      <w:r w:rsidRPr="00B469FC">
        <w:t>The sponsor’s response is satisfactory.</w:t>
      </w:r>
    </w:p>
    <w:p w:rsidR="00B469FC" w:rsidRPr="006F70BD" w:rsidRDefault="00B469FC" w:rsidP="006F70BD">
      <w:pPr>
        <w:pStyle w:val="ListBullet"/>
        <w:rPr>
          <w:b/>
          <w:i/>
        </w:rPr>
      </w:pPr>
      <w:r w:rsidRPr="006F70BD">
        <w:rPr>
          <w:b/>
          <w:i/>
        </w:rPr>
        <w:t>Question 4</w:t>
      </w:r>
      <w:r w:rsidR="006F70BD" w:rsidRPr="006F70BD">
        <w:rPr>
          <w:b/>
          <w:i/>
        </w:rPr>
        <w:t xml:space="preserve">: </w:t>
      </w:r>
      <w:r w:rsidRPr="006F70BD">
        <w:rPr>
          <w:b/>
          <w:i/>
        </w:rPr>
        <w:t>In the Clinical Overview, the sponsor proposes that the statistically significant reductions in NRS scores in favour of DTZ 2% cream in study DAF09 are also clinically significant. However, the arguments rely largely on the internal consistency of secondary outcomes other than pain relief, and on studies in the literature, themselves nearly all marginal, inconsistent and unconvincing. The sponsor has provided a reference supporting the use of NRS for measuring treatment responses to AF pain (Dworkin, 2005).  However, this reference is largely a general statement of value and there is no description of the validity, reliability and sensitivity of this method. Nor is an accepted definition of the clinically significance of changes in NRS scores provided. Please provide a primary reference for the NRS method and use it to justify the clinical significance of the marginal (but statistically significant) treatment benefit in favour of DTZ 2% cream. It would also be useful to provide a responder analysis based on the nominated clinically significant tre</w:t>
      </w:r>
      <w:r w:rsidR="00843192">
        <w:rPr>
          <w:b/>
          <w:i/>
        </w:rPr>
        <w:t>atment difference in NRS score.</w:t>
      </w:r>
    </w:p>
    <w:p w:rsidR="006F70BD" w:rsidRDefault="006F70BD" w:rsidP="006F70BD">
      <w:pPr>
        <w:pStyle w:val="Heading4"/>
      </w:pPr>
      <w:r>
        <w:t>Sponsor’s response</w:t>
      </w:r>
    </w:p>
    <w:p w:rsidR="00B469FC" w:rsidRPr="00B469FC" w:rsidRDefault="00B469FC" w:rsidP="00B469FC">
      <w:pPr>
        <w:spacing w:before="20"/>
      </w:pPr>
      <w:r w:rsidRPr="00B469FC">
        <w:t>The sponsor’</w:t>
      </w:r>
      <w:r w:rsidR="00843192">
        <w:t>s response is not satisfactory.</w:t>
      </w:r>
    </w:p>
    <w:p w:rsidR="00B469FC" w:rsidRPr="00B469FC" w:rsidRDefault="00B469FC" w:rsidP="00B469FC">
      <w:pPr>
        <w:spacing w:before="20"/>
      </w:pPr>
      <w:r w:rsidRPr="00B469FC">
        <w:t>The sponsor has provided a lengthy response. In summary:</w:t>
      </w:r>
    </w:p>
    <w:p w:rsidR="00B469FC" w:rsidRPr="006F70BD" w:rsidRDefault="00B469FC" w:rsidP="006F70BD">
      <w:pPr>
        <w:pStyle w:val="ListBullet"/>
      </w:pPr>
      <w:r w:rsidRPr="006F70BD">
        <w:t>The preferred management of AF has moved from early surgery to surgery used as a last resort when</w:t>
      </w:r>
      <w:r w:rsidR="00843192">
        <w:t xml:space="preserve"> medical management has failed.</w:t>
      </w:r>
    </w:p>
    <w:p w:rsidR="00B469FC" w:rsidRPr="006F70BD" w:rsidRDefault="00B469FC" w:rsidP="006F70BD">
      <w:pPr>
        <w:pStyle w:val="ListBullet"/>
      </w:pPr>
      <w:r w:rsidRPr="006F70BD">
        <w:t>There is really no other clinical avenue than initial medical therapy. The degree of effectiveness for it to be valuable, so long as there is at least some measurable effec</w:t>
      </w:r>
      <w:r w:rsidR="006F70BD">
        <w:t>tiveness, is really by the way.</w:t>
      </w:r>
    </w:p>
    <w:p w:rsidR="00B469FC" w:rsidRPr="006F70BD" w:rsidRDefault="00F50040" w:rsidP="006F70BD">
      <w:pPr>
        <w:pStyle w:val="ListBullet"/>
      </w:pPr>
      <w:r w:rsidRPr="006F70BD">
        <w:t>An extensive literature is provided</w:t>
      </w:r>
      <w:r>
        <w:t>,</w:t>
      </w:r>
      <w:r w:rsidRPr="006F70BD">
        <w:t xml:space="preserve"> </w:t>
      </w:r>
      <w:r>
        <w:t>in compliance with</w:t>
      </w:r>
      <w:r w:rsidRPr="006F70BD">
        <w:t xml:space="preserve"> FDA draft guidance</w:t>
      </w:r>
      <w:r>
        <w:t>,</w:t>
      </w:r>
      <w:r w:rsidRPr="006F70BD">
        <w:t xml:space="preserve"> to support the use of NRS</w:t>
      </w:r>
      <w:r>
        <w:t>.</w:t>
      </w:r>
    </w:p>
    <w:p w:rsidR="00B469FC" w:rsidRPr="006F70BD" w:rsidRDefault="00B469FC" w:rsidP="006F70BD">
      <w:pPr>
        <w:pStyle w:val="ListBullet"/>
      </w:pPr>
      <w:r w:rsidRPr="006F70BD">
        <w:t>A study of changes in chronic pain intensity measured on an 11 point NRS is cited (Farrar, 2001). The authors conclude that on average a reduction of approximately two points or a reduction of approximately 30% from baseline represented a cl</w:t>
      </w:r>
      <w:r w:rsidR="006F70BD">
        <w:t xml:space="preserve">inically important difference. </w:t>
      </w:r>
      <w:r w:rsidRPr="006F70BD">
        <w:t xml:space="preserve">Both of which were achieved in the 2% </w:t>
      </w:r>
      <w:proofErr w:type="spellStart"/>
      <w:r w:rsidRPr="006F70BD">
        <w:t>diltiaz</w:t>
      </w:r>
      <w:r w:rsidR="006F70BD">
        <w:t>em</w:t>
      </w:r>
      <w:proofErr w:type="spellEnd"/>
      <w:r w:rsidR="006F70BD">
        <w:t xml:space="preserve"> group (reduction: 2.63: 42%)</w:t>
      </w:r>
      <w:r w:rsidRPr="006F70BD">
        <w:t>.</w:t>
      </w:r>
    </w:p>
    <w:p w:rsidR="00B469FC" w:rsidRDefault="00B469FC" w:rsidP="006F70BD">
      <w:pPr>
        <w:pStyle w:val="ListBullet"/>
      </w:pPr>
      <w:r w:rsidRPr="006F70BD">
        <w:t xml:space="preserve">A responder analysis of the proportion of subjects achieving ≥1 point reduction in the average NRS for worst anal pain associated with or following defaecation </w:t>
      </w:r>
      <w:r w:rsidR="005F6396">
        <w:t>(mixed imputation) is provided.</w:t>
      </w:r>
    </w:p>
    <w:p w:rsidR="00B469FC" w:rsidRDefault="009F559E" w:rsidP="004765D8">
      <w:pPr>
        <w:pStyle w:val="Tabletitle"/>
      </w:pPr>
      <w:proofErr w:type="gramStart"/>
      <w:r>
        <w:lastRenderedPageBreak/>
        <w:t xml:space="preserve">Table </w:t>
      </w:r>
      <w:r w:rsidR="005C5483">
        <w:t>2</w:t>
      </w:r>
      <w:r>
        <w:t>:</w:t>
      </w:r>
      <w:r w:rsidR="007925AE">
        <w:t xml:space="preserve"> Pain scores.</w:t>
      </w:r>
      <w:proofErr w:type="gramEnd"/>
    </w:p>
    <w:p w:rsidR="005C5483" w:rsidRPr="00B469FC" w:rsidRDefault="005C5483" w:rsidP="005C5483">
      <w:pPr>
        <w:pStyle w:val="ListBullet"/>
        <w:numPr>
          <w:ilvl w:val="0"/>
          <w:numId w:val="0"/>
        </w:numPr>
      </w:pPr>
      <w:r>
        <w:rPr>
          <w:noProof/>
          <w:lang w:eastAsia="en-AU"/>
        </w:rPr>
        <w:drawing>
          <wp:inline distT="0" distB="0" distL="0" distR="0" wp14:anchorId="0D7B3175" wp14:editId="4A250096">
            <wp:extent cx="4269070" cy="2308764"/>
            <wp:effectExtent l="0" t="0" r="0" b="0"/>
            <wp:docPr id="9" name="Picture 9" descr="Table 2: Pain sc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271134" cy="2309880"/>
                    </a:xfrm>
                    <a:prstGeom prst="rect">
                      <a:avLst/>
                    </a:prstGeom>
                  </pic:spPr>
                </pic:pic>
              </a:graphicData>
            </a:graphic>
          </wp:inline>
        </w:drawing>
      </w:r>
    </w:p>
    <w:p w:rsidR="00B469FC" w:rsidRPr="00B469FC" w:rsidRDefault="00B469FC" w:rsidP="00B469FC">
      <w:pPr>
        <w:spacing w:before="20"/>
      </w:pPr>
      <w:r w:rsidRPr="00B469FC">
        <w:t xml:space="preserve">A greater number of subjects in the </w:t>
      </w:r>
      <w:proofErr w:type="spellStart"/>
      <w:r w:rsidRPr="00B469FC">
        <w:t>diltiazem</w:t>
      </w:r>
      <w:proofErr w:type="spellEnd"/>
      <w:r w:rsidRPr="00B469FC">
        <w:t xml:space="preserve"> group compared with placebo at Week 4 and Week 8. The difference at Week 8</w:t>
      </w:r>
      <w:r w:rsidR="006F70BD">
        <w:t xml:space="preserve"> was statistically significant.</w:t>
      </w:r>
    </w:p>
    <w:p w:rsidR="00B469FC" w:rsidRPr="006F70BD" w:rsidRDefault="006F70BD" w:rsidP="006F70BD">
      <w:pPr>
        <w:pStyle w:val="Heading4"/>
      </w:pPr>
      <w:r w:rsidRPr="006F70BD">
        <w:t>Evaluators’ response</w:t>
      </w:r>
    </w:p>
    <w:p w:rsidR="00B469FC" w:rsidRPr="006F70BD" w:rsidRDefault="00B469FC" w:rsidP="006F70BD">
      <w:pPr>
        <w:pStyle w:val="Numberbullet0"/>
      </w:pPr>
      <w:r w:rsidRPr="006F70BD">
        <w:t>The importance of medical therapy as first line therapy for AF is accepted. However, the treatment must be effective.</w:t>
      </w:r>
    </w:p>
    <w:p w:rsidR="00B469FC" w:rsidRPr="006F70BD" w:rsidRDefault="00B469FC" w:rsidP="006F70BD">
      <w:pPr>
        <w:pStyle w:val="Numberbullet0"/>
      </w:pPr>
      <w:r w:rsidRPr="006F70BD">
        <w:t>The sponsor reiterates the view that any statistically significant benefit is clinically meaningful or valuable. However, speci</w:t>
      </w:r>
      <w:r w:rsidR="00B750B2">
        <w:t>alist bodies s</w:t>
      </w:r>
      <w:r w:rsidRPr="006F70BD">
        <w:t>uch as the Initiative on Methods, Measurement, and Pain Assessment in Clinical Trials [IMMPACT (</w:t>
      </w:r>
      <w:hyperlink r:id="rId19" w:history="1">
        <w:r w:rsidRPr="006F70BD">
          <w:rPr>
            <w:rStyle w:val="Hyperlink"/>
          </w:rPr>
          <w:t>www.immpact.org</w:t>
        </w:r>
      </w:hyperlink>
      <w:r w:rsidRPr="006F70BD">
        <w:t>)] are concerned about the relevance of statistically significant but minor changes in clinical pain studies, and stress the importance of a pre-determined MCID (Miller, 2010). Their recommended thresholds for a minimal, moderate, and substantial improvements are 1 unit (or 10-20%), 2 units (or 30-36%), and 4 units (≥50%) NRS, respectively This view is based on observed correlations between NRS scores and verbal rating scales, e.g. patients who report moderate improvement in pain will typically record  changes of 2 units NRS.</w:t>
      </w:r>
    </w:p>
    <w:p w:rsidR="00B469FC" w:rsidRPr="006F70BD" w:rsidRDefault="00B469FC" w:rsidP="006F70BD">
      <w:pPr>
        <w:pStyle w:val="Numberbullet0"/>
      </w:pPr>
      <w:r w:rsidRPr="006F70BD">
        <w:t>The value of NRS as a measurement tool has been justified.</w:t>
      </w:r>
    </w:p>
    <w:p w:rsidR="00B469FC" w:rsidRPr="006F70BD" w:rsidRDefault="00B469FC" w:rsidP="006F70BD">
      <w:pPr>
        <w:pStyle w:val="Numberbullet0"/>
      </w:pPr>
      <w:r w:rsidRPr="006F70BD">
        <w:t xml:space="preserve">The sponsor notes that patients in the </w:t>
      </w:r>
      <w:proofErr w:type="spellStart"/>
      <w:r w:rsidRPr="006F70BD">
        <w:t>diltiazem</w:t>
      </w:r>
      <w:proofErr w:type="spellEnd"/>
      <w:r w:rsidRPr="006F70BD">
        <w:t xml:space="preserve"> 2% group did achieve a mean reduction of at least 2 units (2.63 units or 42%), thus meeting the IMMPACT criteria. This argument is unacceptable as the mean difference compared with placebo was only -0.43 units.</w:t>
      </w:r>
    </w:p>
    <w:p w:rsidR="00B469FC" w:rsidRPr="006F70BD" w:rsidRDefault="00B469FC" w:rsidP="006F70BD">
      <w:pPr>
        <w:pStyle w:val="Numberbullet0"/>
      </w:pPr>
      <w:r w:rsidRPr="006F70BD">
        <w:t>The responder analysis in patients achieving ≥1 unit reduction is not convincing. The primary endpoint was mean NRS scores for worst anal pain at Week 4 in the ITT population. At Week 4 in the responder analysis, the odds ratio compared with placebo was 1.399 but this was not statistically significant (p=0.101).</w:t>
      </w:r>
    </w:p>
    <w:p w:rsidR="00B469FC" w:rsidRPr="009F559E" w:rsidRDefault="00B469FC" w:rsidP="006F70BD">
      <w:pPr>
        <w:pStyle w:val="ListBullet"/>
        <w:rPr>
          <w:b/>
          <w:i/>
        </w:rPr>
      </w:pPr>
      <w:r w:rsidRPr="009F559E">
        <w:rPr>
          <w:b/>
          <w:i/>
        </w:rPr>
        <w:t>Question 5</w:t>
      </w:r>
      <w:r w:rsidR="006F70BD" w:rsidRPr="009F559E">
        <w:rPr>
          <w:b/>
          <w:i/>
        </w:rPr>
        <w:t xml:space="preserve">: </w:t>
      </w:r>
      <w:r w:rsidRPr="009F559E">
        <w:rPr>
          <w:b/>
          <w:i/>
        </w:rPr>
        <w:t>In DAF09, there were marginal benefits in terms of pain relief and healing (ignoring levels of statistical significance). Was pain relief associated with healing? What were the treatment emergent changes in pain scores in subjects who did/did not heal?</w:t>
      </w:r>
    </w:p>
    <w:p w:rsidR="006F70BD" w:rsidRPr="006F70BD" w:rsidRDefault="006F70BD" w:rsidP="006F70BD">
      <w:pPr>
        <w:pStyle w:val="Heading4"/>
      </w:pPr>
      <w:r w:rsidRPr="006F70BD">
        <w:t>Sponsor’s response</w:t>
      </w:r>
    </w:p>
    <w:p w:rsidR="00B469FC" w:rsidRDefault="00B469FC" w:rsidP="00B469FC">
      <w:pPr>
        <w:spacing w:before="20"/>
      </w:pPr>
      <w:r w:rsidRPr="00B469FC">
        <w:t>Pain relief occurred in all subjects regardless of the anal fissure healing or not healing. However</w:t>
      </w:r>
      <w:r w:rsidR="007925AE">
        <w:t>,</w:t>
      </w:r>
      <w:r w:rsidRPr="00B469FC">
        <w:t xml:space="preserve"> there was a greater reduction in pain scores in those subjects that had healed compared to those that had not healed. Again this is consistent with the cla</w:t>
      </w:r>
      <w:r w:rsidR="006F70BD">
        <w:t>imed indication of pain relief.</w:t>
      </w:r>
    </w:p>
    <w:p w:rsidR="00B469FC" w:rsidRDefault="009F559E" w:rsidP="004765D8">
      <w:pPr>
        <w:pStyle w:val="Tabletitle"/>
      </w:pPr>
      <w:proofErr w:type="gramStart"/>
      <w:r>
        <w:lastRenderedPageBreak/>
        <w:t xml:space="preserve">Table </w:t>
      </w:r>
      <w:r w:rsidR="004765D8">
        <w:t>3</w:t>
      </w:r>
      <w:r>
        <w:t>:</w:t>
      </w:r>
      <w:r w:rsidR="007925AE">
        <w:t xml:space="preserve"> Pain scores.</w:t>
      </w:r>
      <w:proofErr w:type="gramEnd"/>
    </w:p>
    <w:p w:rsidR="009F559E" w:rsidRPr="00B469FC" w:rsidRDefault="009F559E" w:rsidP="00B469FC">
      <w:pPr>
        <w:spacing w:before="20"/>
      </w:pPr>
      <w:r>
        <w:rPr>
          <w:noProof/>
          <w:lang w:eastAsia="en-AU"/>
        </w:rPr>
        <w:drawing>
          <wp:inline distT="0" distB="0" distL="0" distR="0" wp14:anchorId="08946558" wp14:editId="40009532">
            <wp:extent cx="4499072" cy="2074091"/>
            <wp:effectExtent l="0" t="0" r="0" b="2540"/>
            <wp:docPr id="8" name="Picture 8" descr="Table 3: Pain sc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500480" cy="2074740"/>
                    </a:xfrm>
                    <a:prstGeom prst="rect">
                      <a:avLst/>
                    </a:prstGeom>
                  </pic:spPr>
                </pic:pic>
              </a:graphicData>
            </a:graphic>
          </wp:inline>
        </w:drawing>
      </w:r>
    </w:p>
    <w:p w:rsidR="006F70BD" w:rsidRPr="006F70BD" w:rsidRDefault="006F70BD" w:rsidP="006F70BD">
      <w:pPr>
        <w:pStyle w:val="Heading4"/>
      </w:pPr>
      <w:r w:rsidRPr="006F70BD">
        <w:t>Evaluators’ response</w:t>
      </w:r>
    </w:p>
    <w:p w:rsidR="00B469FC" w:rsidRPr="00B469FC" w:rsidRDefault="00B469FC" w:rsidP="00B469FC">
      <w:pPr>
        <w:spacing w:before="20"/>
      </w:pPr>
      <w:r w:rsidRPr="00B469FC">
        <w:t>The sponsor’s response is satisfactory.</w:t>
      </w:r>
    </w:p>
    <w:p w:rsidR="00B469FC" w:rsidRPr="006F70BD" w:rsidRDefault="00B469FC" w:rsidP="006F70BD">
      <w:pPr>
        <w:pStyle w:val="ListBullet"/>
        <w:rPr>
          <w:b/>
          <w:i/>
        </w:rPr>
      </w:pPr>
      <w:r w:rsidRPr="006F70BD">
        <w:rPr>
          <w:b/>
          <w:i/>
        </w:rPr>
        <w:t>Question 6</w:t>
      </w:r>
      <w:r w:rsidR="006F70BD" w:rsidRPr="006F70BD">
        <w:rPr>
          <w:b/>
          <w:i/>
        </w:rPr>
        <w:t xml:space="preserve">: </w:t>
      </w:r>
      <w:r w:rsidRPr="006F70BD">
        <w:rPr>
          <w:b/>
          <w:i/>
        </w:rPr>
        <w:t xml:space="preserve">Have </w:t>
      </w:r>
      <w:proofErr w:type="spellStart"/>
      <w:r w:rsidRPr="006F70BD">
        <w:rPr>
          <w:b/>
          <w:i/>
        </w:rPr>
        <w:t>manometry</w:t>
      </w:r>
      <w:proofErr w:type="spellEnd"/>
      <w:r w:rsidRPr="006F70BD">
        <w:rPr>
          <w:b/>
          <w:i/>
        </w:rPr>
        <w:t xml:space="preserve"> studies of anal sphincter tone been conducted using the DTZ 2% cream formulation proposed for marketing? If so, what percentage reductions in pressure were achieved?</w:t>
      </w:r>
    </w:p>
    <w:p w:rsidR="006F70BD" w:rsidRDefault="006F70BD" w:rsidP="006F70BD">
      <w:pPr>
        <w:pStyle w:val="Heading4"/>
      </w:pPr>
      <w:r w:rsidRPr="006F70BD">
        <w:t>Sponsor’s response</w:t>
      </w:r>
    </w:p>
    <w:p w:rsidR="00B469FC" w:rsidRPr="006F70BD" w:rsidRDefault="00B469FC" w:rsidP="006F70BD">
      <w:proofErr w:type="spellStart"/>
      <w:r w:rsidRPr="006F70BD">
        <w:t>Manometry</w:t>
      </w:r>
      <w:proofErr w:type="spellEnd"/>
      <w:r w:rsidRPr="006F70BD">
        <w:t xml:space="preserve"> studies have not been conducted using the proposed </w:t>
      </w:r>
      <w:proofErr w:type="spellStart"/>
      <w:r w:rsidRPr="006F70BD">
        <w:t>diltiazem</w:t>
      </w:r>
      <w:proofErr w:type="spellEnd"/>
      <w:r w:rsidRPr="006F70BD">
        <w:t xml:space="preserve"> 2% cream formulation. Studies of </w:t>
      </w:r>
      <w:proofErr w:type="spellStart"/>
      <w:r w:rsidRPr="006F70BD">
        <w:t>diltiazem</w:t>
      </w:r>
      <w:proofErr w:type="spellEnd"/>
      <w:r w:rsidRPr="006F70BD">
        <w:t xml:space="preserve"> gel in varying concentrations have been conducted i</w:t>
      </w:r>
      <w:r w:rsidR="009F559E">
        <w:t>n healthy volunteers as reported</w:t>
      </w:r>
      <w:r w:rsidRPr="006F70BD">
        <w:t>.</w:t>
      </w:r>
    </w:p>
    <w:p w:rsidR="006F70BD" w:rsidRDefault="006F70BD" w:rsidP="006F70BD">
      <w:pPr>
        <w:pStyle w:val="Heading4"/>
      </w:pPr>
      <w:r w:rsidRPr="006F70BD">
        <w:t>Evaluators’ response</w:t>
      </w:r>
    </w:p>
    <w:p w:rsidR="00B469FC" w:rsidRPr="006F70BD" w:rsidDel="0081373E" w:rsidRDefault="00B469FC" w:rsidP="006F70BD">
      <w:r w:rsidRPr="006F70BD">
        <w:t xml:space="preserve">It is unfortunate that no </w:t>
      </w:r>
      <w:proofErr w:type="spellStart"/>
      <w:r w:rsidRPr="006F70BD">
        <w:t>manometry</w:t>
      </w:r>
      <w:proofErr w:type="spellEnd"/>
      <w:r w:rsidRPr="006F70BD">
        <w:t xml:space="preserve"> studies have been conducted using the cream formulation in either healthy subjects or AF patients.</w:t>
      </w:r>
    </w:p>
    <w:p w:rsidR="00B469FC" w:rsidRDefault="00B469FC" w:rsidP="00C80881">
      <w:pPr>
        <w:pStyle w:val="Heading3"/>
      </w:pPr>
      <w:bookmarkStart w:id="379" w:name="_Toc442436544"/>
      <w:bookmarkStart w:id="380" w:name="_Toc485826012"/>
      <w:r>
        <w:t>Safety</w:t>
      </w:r>
      <w:bookmarkEnd w:id="379"/>
      <w:bookmarkEnd w:id="380"/>
    </w:p>
    <w:p w:rsidR="00B469FC" w:rsidRPr="006F70BD" w:rsidRDefault="006F70BD" w:rsidP="006F70BD">
      <w:pPr>
        <w:pStyle w:val="ListBullet"/>
        <w:rPr>
          <w:b/>
          <w:i/>
        </w:rPr>
      </w:pPr>
      <w:r w:rsidRPr="006F70BD">
        <w:rPr>
          <w:b/>
          <w:i/>
        </w:rPr>
        <w:t xml:space="preserve">Question 7: </w:t>
      </w:r>
      <w:r w:rsidR="00B469FC" w:rsidRPr="006F70BD">
        <w:rPr>
          <w:b/>
          <w:i/>
        </w:rPr>
        <w:t>Please confirm that the cream formulations applied in studies DAF09, VEN307-DERM-001 and VEN307-DERM-002 are identical to the formulation proposed for marketing. Was propylene glycol a component in each study?</w:t>
      </w:r>
    </w:p>
    <w:p w:rsidR="006F70BD" w:rsidRDefault="006F70BD" w:rsidP="006F70BD">
      <w:pPr>
        <w:pStyle w:val="Heading4"/>
      </w:pPr>
      <w:r>
        <w:t>Sponsor’s response</w:t>
      </w:r>
    </w:p>
    <w:p w:rsidR="00B469FC" w:rsidRDefault="00B469FC" w:rsidP="00B469FC">
      <w:pPr>
        <w:spacing w:before="20"/>
      </w:pPr>
      <w:r w:rsidRPr="00B469FC">
        <w:t>The cream formulations applied in studies DAF09, VEN307-DERM-001 and VEN307-DERM-002 are identical to the formulation proposed for marketing. Propylene glycol</w:t>
      </w:r>
      <w:r w:rsidR="006F70BD">
        <w:t xml:space="preserve"> was a component in each study.</w:t>
      </w:r>
    </w:p>
    <w:p w:rsidR="006F70BD" w:rsidRDefault="006F70BD" w:rsidP="006F70BD">
      <w:pPr>
        <w:pStyle w:val="Heading4"/>
      </w:pPr>
      <w:r>
        <w:t>Evaluators’ response</w:t>
      </w:r>
    </w:p>
    <w:p w:rsidR="00B469FC" w:rsidRPr="00B469FC" w:rsidRDefault="00B469FC" w:rsidP="00B469FC">
      <w:pPr>
        <w:spacing w:before="20"/>
      </w:pPr>
      <w:r w:rsidRPr="00B469FC">
        <w:t>The sponsor’s response is satisfactory.</w:t>
      </w:r>
    </w:p>
    <w:p w:rsidR="00B469FC" w:rsidRPr="006F70BD" w:rsidRDefault="00B469FC" w:rsidP="006F70BD">
      <w:pPr>
        <w:pStyle w:val="ListBullet"/>
        <w:rPr>
          <w:b/>
          <w:i/>
        </w:rPr>
      </w:pPr>
      <w:r w:rsidRPr="006F70BD">
        <w:rPr>
          <w:b/>
          <w:i/>
        </w:rPr>
        <w:t xml:space="preserve">Question </w:t>
      </w:r>
      <w:r w:rsidR="006F70BD" w:rsidRPr="006F70BD">
        <w:rPr>
          <w:b/>
          <w:i/>
        </w:rPr>
        <w:t xml:space="preserve">8: </w:t>
      </w:r>
      <w:r w:rsidRPr="006F70BD">
        <w:rPr>
          <w:b/>
          <w:i/>
        </w:rPr>
        <w:t>In the DTZ 2% group of DAF09, anal pruritus and anal discomfort were reported in 14.9% and 13.6% of subjects, respectively, compared with 7.7% and 5.8% in the placebo group, respectively.  However, in study VEN307-DERM-001, only five AEs (arthralgia, dizziness, and headache) were reported in 202 healthy subjects, and no AEs were reported in VEN307-DERM-002. While ADRs are obviously less common, typically the majority of healthy subjects in any Phase 1 study report at least one AE in response to a standard non-leading question. Please explain how AEs were elicited, documented and assessed i</w:t>
      </w:r>
      <w:r w:rsidR="005F6396">
        <w:rPr>
          <w:b/>
          <w:i/>
        </w:rPr>
        <w:t>n the healthy subject studies.</w:t>
      </w:r>
    </w:p>
    <w:p w:rsidR="006F70BD" w:rsidRDefault="006F70BD" w:rsidP="006F70BD">
      <w:pPr>
        <w:pStyle w:val="Heading4"/>
      </w:pPr>
      <w:r w:rsidRPr="006F70BD">
        <w:lastRenderedPageBreak/>
        <w:t>Sponsor’s response</w:t>
      </w:r>
    </w:p>
    <w:p w:rsidR="00B469FC" w:rsidRPr="006F70BD" w:rsidRDefault="00B469FC" w:rsidP="006F70BD">
      <w:r w:rsidRPr="006F70BD">
        <w:t xml:space="preserve">In </w:t>
      </w:r>
      <w:r w:rsidR="009F559E">
        <w:t xml:space="preserve">the healthy volunteer studies, </w:t>
      </w:r>
      <w:r w:rsidRPr="006F70BD">
        <w:t>AEs were elicited by asking a non-leading question and documenting in in the CRF as relevant followed by investigation by the medical monitor.  Exposure was shorter than in study DAF09 so the considerable red</w:t>
      </w:r>
      <w:r w:rsidR="009F559E">
        <w:t>uction in AEs is not unexpected</w:t>
      </w:r>
      <w:r w:rsidRPr="006F70BD">
        <w:t>.</w:t>
      </w:r>
    </w:p>
    <w:p w:rsidR="006F70BD" w:rsidRDefault="006F70BD" w:rsidP="006F70BD">
      <w:pPr>
        <w:pStyle w:val="Heading4"/>
      </w:pPr>
      <w:r w:rsidRPr="006F70BD">
        <w:t>Evaluators’ response</w:t>
      </w:r>
    </w:p>
    <w:p w:rsidR="00B469FC" w:rsidRPr="006F70BD" w:rsidRDefault="00B469FC" w:rsidP="006F70BD">
      <w:r w:rsidRPr="006F70BD">
        <w:t>The sponsor’s response is implausible as the incidence of AEs is typically 40-60% in single dose healthy volunteer studies. Possibly only clinically significant AEs or ADRs were reported in the CSR.</w:t>
      </w:r>
    </w:p>
    <w:p w:rsidR="000142FD" w:rsidRDefault="00C618F7" w:rsidP="00C80881">
      <w:pPr>
        <w:pStyle w:val="Heading2"/>
      </w:pPr>
      <w:bookmarkStart w:id="381" w:name="_Toc485826013"/>
      <w:r>
        <w:t>Second round benefit-risk assessment</w:t>
      </w:r>
      <w:bookmarkEnd w:id="381"/>
    </w:p>
    <w:p w:rsidR="00B469FC" w:rsidRPr="00611CCF" w:rsidRDefault="00B469FC" w:rsidP="00C80881">
      <w:pPr>
        <w:pStyle w:val="Heading3"/>
      </w:pPr>
      <w:bookmarkStart w:id="382" w:name="_Toc272414709"/>
      <w:bookmarkStart w:id="383" w:name="_Toc290888575"/>
      <w:bookmarkStart w:id="384" w:name="_Toc442436546"/>
      <w:bookmarkStart w:id="385" w:name="_Toc485826014"/>
      <w:r w:rsidRPr="00611CCF">
        <w:t>Second round assessment of benefits</w:t>
      </w:r>
      <w:bookmarkEnd w:id="382"/>
      <w:bookmarkEnd w:id="383"/>
      <w:bookmarkEnd w:id="384"/>
      <w:bookmarkEnd w:id="385"/>
    </w:p>
    <w:p w:rsidR="00B469FC" w:rsidRPr="00B469FC" w:rsidRDefault="00B469FC" w:rsidP="00B469FC">
      <w:pPr>
        <w:spacing w:before="20"/>
      </w:pPr>
      <w:r w:rsidRPr="00B469FC">
        <w:t xml:space="preserve">After consideration of the responses to clinical questions, the benefits of ANOHEAL in the proposed usage are unchanged from those identified </w:t>
      </w:r>
      <w:r w:rsidR="00C8645F" w:rsidRPr="00B469FC">
        <w:t xml:space="preserve">in </w:t>
      </w:r>
      <w:r w:rsidR="00C8645F">
        <w:t>the first round</w:t>
      </w:r>
      <w:r w:rsidRPr="00B469FC">
        <w:t>.</w:t>
      </w:r>
    </w:p>
    <w:p w:rsidR="00B469FC" w:rsidRPr="00611CCF" w:rsidRDefault="00B469FC" w:rsidP="00C80881">
      <w:pPr>
        <w:pStyle w:val="Heading3"/>
      </w:pPr>
      <w:bookmarkStart w:id="386" w:name="_Toc272414710"/>
      <w:bookmarkStart w:id="387" w:name="_Toc290888576"/>
      <w:bookmarkStart w:id="388" w:name="_Toc442436547"/>
      <w:bookmarkStart w:id="389" w:name="_Toc485826015"/>
      <w:r w:rsidRPr="00611CCF">
        <w:t>Second</w:t>
      </w:r>
      <w:r>
        <w:t xml:space="preserve"> round</w:t>
      </w:r>
      <w:r w:rsidRPr="00611CCF">
        <w:t xml:space="preserve"> assessment of risks</w:t>
      </w:r>
      <w:bookmarkEnd w:id="386"/>
      <w:bookmarkEnd w:id="387"/>
      <w:bookmarkEnd w:id="388"/>
      <w:bookmarkEnd w:id="389"/>
    </w:p>
    <w:p w:rsidR="00B469FC" w:rsidRPr="00B469FC" w:rsidRDefault="00B469FC" w:rsidP="00B469FC">
      <w:pPr>
        <w:spacing w:before="20"/>
      </w:pPr>
      <w:bookmarkStart w:id="390" w:name="_Toc272414711"/>
      <w:bookmarkStart w:id="391" w:name="_Toc290888577"/>
      <w:r w:rsidRPr="00B469FC">
        <w:t xml:space="preserve">After consideration of the responses to clinical questions, the risks of ANOHEAL in the proposed usage are unchanged from those identified </w:t>
      </w:r>
      <w:r w:rsidR="00C8645F" w:rsidRPr="00B469FC">
        <w:t xml:space="preserve">in </w:t>
      </w:r>
      <w:r w:rsidR="00C8645F">
        <w:t>the first round</w:t>
      </w:r>
      <w:r w:rsidRPr="00B469FC">
        <w:t>.</w:t>
      </w:r>
    </w:p>
    <w:p w:rsidR="00B469FC" w:rsidRPr="00611CCF" w:rsidRDefault="00B469FC" w:rsidP="00C80881">
      <w:pPr>
        <w:pStyle w:val="Heading3"/>
      </w:pPr>
      <w:bookmarkStart w:id="392" w:name="_Toc442436548"/>
      <w:bookmarkStart w:id="393" w:name="_Toc485826016"/>
      <w:r w:rsidRPr="00611CCF">
        <w:t>Second round assessment of benefit-risk balance</w:t>
      </w:r>
      <w:bookmarkEnd w:id="390"/>
      <w:bookmarkEnd w:id="391"/>
      <w:bookmarkEnd w:id="392"/>
      <w:bookmarkEnd w:id="393"/>
    </w:p>
    <w:p w:rsidR="00B469FC" w:rsidRPr="00B469FC" w:rsidRDefault="00B469FC" w:rsidP="00B469FC">
      <w:pPr>
        <w:spacing w:before="20"/>
      </w:pPr>
      <w:r w:rsidRPr="00B469FC">
        <w:t xml:space="preserve">After consideration of the responses to clinical questions, the benefit-risk </w:t>
      </w:r>
      <w:proofErr w:type="gramStart"/>
      <w:r w:rsidRPr="00B469FC">
        <w:t>balance of ANOHEAL in the proposed usage are</w:t>
      </w:r>
      <w:proofErr w:type="gramEnd"/>
      <w:r w:rsidRPr="00B469FC">
        <w:t xml:space="preserve"> unchanged from those identified in </w:t>
      </w:r>
      <w:r w:rsidR="00C80881">
        <w:t>the first round</w:t>
      </w:r>
      <w:r w:rsidRPr="00B469FC">
        <w:t>.</w:t>
      </w:r>
    </w:p>
    <w:p w:rsidR="00C618F7" w:rsidRDefault="00C618F7" w:rsidP="00C8645F">
      <w:pPr>
        <w:pStyle w:val="Heading2"/>
      </w:pPr>
      <w:bookmarkStart w:id="394" w:name="_Toc485826017"/>
      <w:r>
        <w:t>Second round recommendation regarding authorisation</w:t>
      </w:r>
      <w:bookmarkEnd w:id="394"/>
    </w:p>
    <w:p w:rsidR="00F3415E" w:rsidRPr="00F3415E" w:rsidRDefault="00F3415E" w:rsidP="00F3415E">
      <w:r w:rsidRPr="00F3415E">
        <w:t>Authorisation for ANOHEAL (renamed ANO-CREAM) for the pro</w:t>
      </w:r>
      <w:r w:rsidR="005F6396">
        <w:t>posed usage is not recommended.</w:t>
      </w:r>
    </w:p>
    <w:p w:rsidR="00F3415E" w:rsidRPr="00F3415E" w:rsidRDefault="00F3415E" w:rsidP="00F3415E">
      <w:r w:rsidRPr="00F3415E">
        <w:t>Insufficient clinical efficacy has been demonstrated in the single pivotal study presented and the benefit/risk assessment remains negative. The sponsor proposes that any statistically significant improvement in pain control is clinically meaningful, however small it may be. This view is not supported by experts in the field who suggest that treatment differences of at least 1-2 NRS units may be considered clinically important. The mean treatment difference of &lt;1 NRS unit in the pivotal study cannot be considered clinically meaningful and the sponsor has put forward no evidence to support the contrary view.</w:t>
      </w:r>
    </w:p>
    <w:p w:rsidR="009C740E" w:rsidRDefault="00BC00DE" w:rsidP="00C8645F">
      <w:pPr>
        <w:pStyle w:val="Heading2"/>
      </w:pPr>
      <w:bookmarkStart w:id="395" w:name="_Toc485826018"/>
      <w:r>
        <w:t>R</w:t>
      </w:r>
      <w:r w:rsidR="00C618F7">
        <w:t>eferences</w:t>
      </w:r>
      <w:bookmarkEnd w:id="395"/>
    </w:p>
    <w:p w:rsidR="00B469FC" w:rsidRPr="00C8645F" w:rsidRDefault="00B469FC" w:rsidP="00C8645F">
      <w:pPr>
        <w:pStyle w:val="ListBullet"/>
      </w:pPr>
      <w:proofErr w:type="spellStart"/>
      <w:r w:rsidRPr="00C8645F">
        <w:t>Carpeti</w:t>
      </w:r>
      <w:proofErr w:type="spellEnd"/>
      <w:r w:rsidRPr="00C8645F">
        <w:t xml:space="preserve"> EA, et al. Topical and oral </w:t>
      </w:r>
      <w:proofErr w:type="spellStart"/>
      <w:r w:rsidRPr="00C8645F">
        <w:t>diltiazem</w:t>
      </w:r>
      <w:proofErr w:type="spellEnd"/>
      <w:r w:rsidRPr="00C8645F">
        <w:t xml:space="preserve"> lower anal sphincter pressure. Br J </w:t>
      </w:r>
      <w:proofErr w:type="spellStart"/>
      <w:r w:rsidRPr="00C8645F">
        <w:t>Surg</w:t>
      </w:r>
      <w:proofErr w:type="spellEnd"/>
      <w:r w:rsidRPr="00C8645F">
        <w:t xml:space="preserve"> 1998; 85:80-81</w:t>
      </w:r>
    </w:p>
    <w:p w:rsidR="00B469FC" w:rsidRPr="00C8645F" w:rsidRDefault="00B469FC" w:rsidP="00C8645F">
      <w:pPr>
        <w:pStyle w:val="ListBullet"/>
      </w:pPr>
      <w:r w:rsidRPr="00C8645F">
        <w:t>Dworkin RH, et al. Core outcome measures for chronic pain clinical trials: IMPACT recommendations. Pain 2005; 113:9-19.</w:t>
      </w:r>
    </w:p>
    <w:p w:rsidR="00B469FC" w:rsidRPr="00C8645F" w:rsidRDefault="00B469FC" w:rsidP="00C8645F">
      <w:pPr>
        <w:pStyle w:val="ListBullet"/>
      </w:pPr>
      <w:r w:rsidRPr="00C8645F">
        <w:t>Farrar JT, et al. Clinical importance of changes in chronic pain intensity measured on an 11-point rating scale. Pain 2001; 94(2):149-158</w:t>
      </w:r>
    </w:p>
    <w:p w:rsidR="00B469FC" w:rsidRPr="00C8645F" w:rsidRDefault="00B469FC" w:rsidP="00C8645F">
      <w:pPr>
        <w:pStyle w:val="ListBullet"/>
      </w:pPr>
      <w:r w:rsidRPr="00C8645F">
        <w:t>Lock MR and Thompson JPS. Fissure-in-</w:t>
      </w:r>
      <w:proofErr w:type="spellStart"/>
      <w:r w:rsidRPr="00C8645F">
        <w:t>ano</w:t>
      </w:r>
      <w:proofErr w:type="spellEnd"/>
      <w:r w:rsidRPr="00C8645F">
        <w:t>: the initial management and prognosis. Br J Surgery 1977; 64:355-358</w:t>
      </w:r>
    </w:p>
    <w:p w:rsidR="00B469FC" w:rsidRPr="00C8645F" w:rsidRDefault="00B469FC" w:rsidP="00C8645F">
      <w:pPr>
        <w:pStyle w:val="ListBullet"/>
      </w:pPr>
      <w:r w:rsidRPr="00C8645F">
        <w:lastRenderedPageBreak/>
        <w:t>Miller G. Studying the difference between ‘statistical’ and ‘clinically meaningful’. Pain Medicine News 2010; (Sep</w:t>
      </w:r>
      <w:proofErr w:type="gramStart"/>
      <w:r w:rsidRPr="00C8645F">
        <w:t>)8</w:t>
      </w:r>
      <w:proofErr w:type="gramEnd"/>
      <w:r w:rsidRPr="00C8645F">
        <w:t>(9).</w:t>
      </w:r>
    </w:p>
    <w:p w:rsidR="00B469FC" w:rsidRPr="00C8645F" w:rsidRDefault="00B469FC" w:rsidP="00C8645F">
      <w:pPr>
        <w:pStyle w:val="ListBullet"/>
      </w:pPr>
      <w:r w:rsidRPr="00C8645F">
        <w:t>Nelson R. A systematic review of medical therapy for anal fissure. Dis Colon Rectum 2004; 47:422-431</w:t>
      </w:r>
    </w:p>
    <w:p w:rsidR="00B469FC" w:rsidRPr="00C8645F" w:rsidRDefault="00B469FC" w:rsidP="00C8645F">
      <w:pPr>
        <w:pStyle w:val="ListBullet"/>
      </w:pPr>
      <w:r w:rsidRPr="00C8645F">
        <w:t xml:space="preserve">Nelson R. </w:t>
      </w:r>
      <w:proofErr w:type="spellStart"/>
      <w:r w:rsidRPr="00C8645F">
        <w:t>Non surgical</w:t>
      </w:r>
      <w:proofErr w:type="spellEnd"/>
      <w:r w:rsidRPr="00C8645F">
        <w:t xml:space="preserve"> therapy for anal fissure. Cochrane Database of Systemic Reviews 201</w:t>
      </w:r>
      <w:r w:rsidR="005F6396">
        <w:t>2, Issue 2. Art. No.: CD003431</w:t>
      </w:r>
    </w:p>
    <w:p w:rsidR="00B469FC" w:rsidRPr="00C8645F" w:rsidRDefault="00B469FC" w:rsidP="00C8645F">
      <w:pPr>
        <w:pStyle w:val="ListBullet"/>
      </w:pPr>
      <w:proofErr w:type="spellStart"/>
      <w:r w:rsidRPr="00C8645F">
        <w:t>Sajid</w:t>
      </w:r>
      <w:proofErr w:type="spellEnd"/>
      <w:r w:rsidRPr="00C8645F">
        <w:t xml:space="preserve"> MS, et al. Systematic review of the use of topical </w:t>
      </w:r>
      <w:proofErr w:type="spellStart"/>
      <w:r w:rsidRPr="00C8645F">
        <w:t>diltiazem</w:t>
      </w:r>
      <w:proofErr w:type="spellEnd"/>
      <w:r w:rsidRPr="00C8645F">
        <w:t xml:space="preserve"> compared with </w:t>
      </w:r>
      <w:proofErr w:type="spellStart"/>
      <w:r w:rsidRPr="00C8645F">
        <w:t>glyceryltrinitrate</w:t>
      </w:r>
      <w:proofErr w:type="spellEnd"/>
      <w:r w:rsidRPr="00C8645F">
        <w:t xml:space="preserve"> for the </w:t>
      </w:r>
      <w:proofErr w:type="spellStart"/>
      <w:r w:rsidRPr="00C8645F">
        <w:t>nonoperative</w:t>
      </w:r>
      <w:proofErr w:type="spellEnd"/>
      <w:r w:rsidRPr="00C8645F">
        <w:t xml:space="preserve"> management of chronic anal fissure. Colorectal Dis 2013; 15(1):19-26</w:t>
      </w:r>
    </w:p>
    <w:p w:rsidR="00B469FC" w:rsidRDefault="00B469FC" w:rsidP="00B469FC">
      <w:pPr>
        <w:spacing w:before="20"/>
      </w:pPr>
    </w:p>
    <w:p w:rsidR="00E835B9" w:rsidRPr="00B469FC" w:rsidRDefault="00E835B9" w:rsidP="00B469FC">
      <w:pPr>
        <w:spacing w:before="20"/>
        <w:sectPr w:rsidR="00E835B9" w:rsidRPr="00B469FC" w:rsidSect="00B469FC">
          <w:footerReference w:type="default" r:id="rId21"/>
          <w:footnotePr>
            <w:numFmt w:val="lowerLetter"/>
          </w:footnotePr>
          <w:endnotePr>
            <w:numFmt w:val="decimal"/>
          </w:endnotePr>
          <w:pgSz w:w="11906" w:h="16838" w:code="9"/>
          <w:pgMar w:top="851" w:right="1134" w:bottom="1134" w:left="1440" w:header="737" w:footer="737" w:gutter="0"/>
          <w:cols w:space="720"/>
        </w:sectPr>
      </w:pPr>
    </w:p>
    <w:tbl>
      <w:tblPr>
        <w:tblpPr w:leftFromText="180" w:rightFromText="180" w:vertAnchor="text" w:horzAnchor="margin" w:tblpY="493"/>
        <w:tblW w:w="9175" w:type="dxa"/>
        <w:tblLayout w:type="fixed"/>
        <w:tblCellMar>
          <w:left w:w="0" w:type="dxa"/>
          <w:right w:w="0" w:type="dxa"/>
        </w:tblCellMar>
        <w:tblLook w:val="04A0" w:firstRow="1" w:lastRow="0" w:firstColumn="1" w:lastColumn="0" w:noHBand="0" w:noVBand="1"/>
      </w:tblPr>
      <w:tblGrid>
        <w:gridCol w:w="9175"/>
      </w:tblGrid>
      <w:tr w:rsidR="00E835B9" w:rsidRPr="00B469FC" w:rsidTr="00E835B9">
        <w:trPr>
          <w:trHeight w:hRule="exact" w:val="564"/>
        </w:trPr>
        <w:tc>
          <w:tcPr>
            <w:tcW w:w="9175" w:type="dxa"/>
          </w:tcPr>
          <w:p w:rsidR="00E835B9" w:rsidRPr="00487162" w:rsidRDefault="00E835B9" w:rsidP="00E835B9">
            <w:pPr>
              <w:pStyle w:val="TGASignoff"/>
              <w:spacing w:before="20"/>
            </w:pPr>
            <w:r w:rsidRPr="00487162">
              <w:lastRenderedPageBreak/>
              <w:t>Therapeutic Goods Administration</w:t>
            </w:r>
          </w:p>
        </w:tc>
      </w:tr>
      <w:tr w:rsidR="00E835B9" w:rsidRPr="00B469FC" w:rsidTr="00E835B9">
        <w:trPr>
          <w:trHeight w:val="1221"/>
        </w:trPr>
        <w:tc>
          <w:tcPr>
            <w:tcW w:w="9175" w:type="dxa"/>
            <w:tcMar>
              <w:top w:w="28" w:type="dxa"/>
            </w:tcMar>
          </w:tcPr>
          <w:p w:rsidR="00E835B9" w:rsidRPr="00487162" w:rsidRDefault="00E835B9" w:rsidP="00E835B9">
            <w:pPr>
              <w:pStyle w:val="Address"/>
              <w:spacing w:before="20"/>
            </w:pPr>
            <w:r w:rsidRPr="00487162">
              <w:t>PO Box 100 Woden ACT 2606 Australia</w:t>
            </w:r>
          </w:p>
          <w:p w:rsidR="00E835B9" w:rsidRPr="00C8645F" w:rsidRDefault="00E835B9" w:rsidP="00E835B9">
            <w:pPr>
              <w:pStyle w:val="Address"/>
              <w:spacing w:before="20"/>
            </w:pPr>
            <w:r w:rsidRPr="00C8645F">
              <w:t xml:space="preserve">Email: </w:t>
            </w:r>
            <w:hyperlink r:id="rId22" w:history="1">
              <w:r w:rsidRPr="00C8645F">
                <w:rPr>
                  <w:rStyle w:val="Hyperlink"/>
                </w:rPr>
                <w:t>info@tga.gov.au</w:t>
              </w:r>
            </w:hyperlink>
            <w:r w:rsidRPr="00C8645F">
              <w:t xml:space="preserve">  Phone: 1800 020 653  Fax: 02 6232 8605</w:t>
            </w:r>
          </w:p>
          <w:p w:rsidR="00E835B9" w:rsidRPr="00B469FC" w:rsidRDefault="0097075D" w:rsidP="00E835B9">
            <w:pPr>
              <w:pStyle w:val="Address"/>
              <w:spacing w:before="20" w:line="260" w:lineRule="atLeast"/>
              <w:rPr>
                <w:b/>
                <w:color w:val="0000FF"/>
                <w:highlight w:val="yellow"/>
                <w:u w:val="single"/>
              </w:rPr>
            </w:pPr>
            <w:hyperlink r:id="rId23" w:history="1">
              <w:r w:rsidR="00E835B9" w:rsidRPr="00C8645F">
                <w:rPr>
                  <w:rStyle w:val="Hyperlink"/>
                </w:rPr>
                <w:t>https://www.tga.gov.au</w:t>
              </w:r>
            </w:hyperlink>
          </w:p>
        </w:tc>
      </w:tr>
      <w:bookmarkEnd w:id="3"/>
      <w:bookmarkEnd w:id="2"/>
      <w:bookmarkEnd w:id="4"/>
    </w:tbl>
    <w:p w:rsidR="00774E1D" w:rsidRPr="00B469FC" w:rsidRDefault="00774E1D" w:rsidP="00B469FC">
      <w:pPr>
        <w:spacing w:before="20"/>
      </w:pPr>
    </w:p>
    <w:sectPr w:rsidR="00774E1D" w:rsidRPr="00B469FC" w:rsidSect="00B3567E">
      <w:headerReference w:type="even" r:id="rId24"/>
      <w:headerReference w:type="default" r:id="rId25"/>
      <w:footerReference w:type="default" r:id="rId26"/>
      <w:headerReference w:type="first" r:id="rId27"/>
      <w:footerReference w:type="first" r:id="rId28"/>
      <w:pgSz w:w="11906" w:h="16838" w:code="9"/>
      <w:pgMar w:top="13609" w:right="1701" w:bottom="709" w:left="1701" w:header="907" w:footer="5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34D" w:rsidRDefault="0067634D" w:rsidP="00C40A36">
      <w:pPr>
        <w:spacing w:after="0"/>
      </w:pPr>
      <w:r>
        <w:separator/>
      </w:r>
    </w:p>
  </w:endnote>
  <w:endnote w:type="continuationSeparator" w:id="0">
    <w:p w:rsidR="0067634D" w:rsidRDefault="0067634D"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34D" w:rsidRDefault="0067634D" w:rsidP="00B469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7634D" w:rsidRDefault="0067634D" w:rsidP="004A270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34D" w:rsidRDefault="0067634D" w:rsidP="003171FA">
    <w:pPr>
      <w:pStyle w:val="Footer"/>
      <w:framePr w:wrap="around" w:vAnchor="text" w:hAnchor="margin" w:xAlign="right" w:y="1"/>
      <w:rPr>
        <w:rStyle w:val="PageNumber"/>
      </w:rPr>
    </w:pPr>
  </w:p>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655"/>
      <w:gridCol w:w="1206"/>
    </w:tblGrid>
    <w:tr w:rsidR="002D5471" w:rsidRPr="00487162" w:rsidTr="008B0EF6">
      <w:trPr>
        <w:trHeight w:val="269"/>
      </w:trPr>
      <w:tc>
        <w:tcPr>
          <w:tcW w:w="7655" w:type="dxa"/>
          <w:tcMar>
            <w:top w:w="142" w:type="dxa"/>
            <w:bottom w:w="0" w:type="dxa"/>
          </w:tcMar>
        </w:tcPr>
        <w:p w:rsidR="002D5471" w:rsidRPr="00487162" w:rsidRDefault="002D5471" w:rsidP="008B0EF6">
          <w:pPr>
            <w:pStyle w:val="Footer"/>
          </w:pPr>
          <w:r w:rsidRPr="00B469FC">
            <w:rPr>
              <w:rStyle w:val="PageNumber"/>
              <w:color w:val="000000"/>
            </w:rPr>
            <w:t xml:space="preserve">Submission PM-2015-01099-1-1 Extract from the Clinical Evaluation Report for </w:t>
          </w:r>
          <w:proofErr w:type="spellStart"/>
          <w:r>
            <w:rPr>
              <w:rStyle w:val="PageNumber"/>
              <w:color w:val="000000"/>
            </w:rPr>
            <w:t>Ano</w:t>
          </w:r>
          <w:proofErr w:type="spellEnd"/>
          <w:r>
            <w:rPr>
              <w:rStyle w:val="PageNumber"/>
              <w:color w:val="000000"/>
            </w:rPr>
            <w:t>-Cream</w:t>
          </w:r>
        </w:p>
      </w:tc>
      <w:tc>
        <w:tcPr>
          <w:tcW w:w="1206" w:type="dxa"/>
          <w:tcMar>
            <w:top w:w="142" w:type="dxa"/>
            <w:bottom w:w="0" w:type="dxa"/>
          </w:tcMar>
        </w:tcPr>
        <w:p w:rsidR="002D5471" w:rsidRPr="00981D66" w:rsidRDefault="002D5471" w:rsidP="008B0EF6">
          <w:pPr>
            <w:pStyle w:val="Footer"/>
            <w:jc w:val="right"/>
          </w:pPr>
          <w:r w:rsidRPr="00981D66">
            <w:t xml:space="preserve">Page </w:t>
          </w:r>
          <w:r w:rsidRPr="00981D66">
            <w:fldChar w:fldCharType="begin"/>
          </w:r>
          <w:r w:rsidRPr="00981D66">
            <w:instrText xml:space="preserve"> PAGE  \* Arabic  \* MERGEFORMAT </w:instrText>
          </w:r>
          <w:r w:rsidRPr="00981D66">
            <w:fldChar w:fldCharType="separate"/>
          </w:r>
          <w:r w:rsidR="00B544DB">
            <w:rPr>
              <w:noProof/>
            </w:rPr>
            <w:t>2</w:t>
          </w:r>
          <w:r w:rsidRPr="00981D66">
            <w:fldChar w:fldCharType="end"/>
          </w:r>
          <w:r w:rsidRPr="00981D66">
            <w:t xml:space="preserve"> of </w:t>
          </w:r>
          <w:fldSimple w:instr=" NUMPAGES  \* Arabic  \* MERGEFORMAT ">
            <w:r w:rsidR="00B544DB">
              <w:rPr>
                <w:noProof/>
              </w:rPr>
              <w:t>6</w:t>
            </w:r>
          </w:fldSimple>
        </w:p>
      </w:tc>
    </w:tr>
  </w:tbl>
  <w:p w:rsidR="0067634D" w:rsidRPr="00B469FC" w:rsidRDefault="0067634D" w:rsidP="0067634D">
    <w:pPr>
      <w:pStyle w:val="Footer"/>
      <w:ind w:right="360"/>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655"/>
      <w:gridCol w:w="1206"/>
    </w:tblGrid>
    <w:tr w:rsidR="002D5471" w:rsidRPr="002D5471" w:rsidTr="008B0EF6">
      <w:trPr>
        <w:trHeight w:val="269"/>
      </w:trPr>
      <w:tc>
        <w:tcPr>
          <w:tcW w:w="7655" w:type="dxa"/>
          <w:tcMar>
            <w:top w:w="142" w:type="dxa"/>
            <w:bottom w:w="0" w:type="dxa"/>
          </w:tcMar>
        </w:tcPr>
        <w:p w:rsidR="002D5471" w:rsidRPr="002D5471" w:rsidRDefault="002D5471" w:rsidP="002D5471">
          <w:pPr>
            <w:pStyle w:val="Footer"/>
          </w:pPr>
          <w:r w:rsidRPr="002D5471">
            <w:t xml:space="preserve">Submission PM-2015-01099-1-1 Extract from the Clinical Evaluation Report for </w:t>
          </w:r>
          <w:proofErr w:type="spellStart"/>
          <w:r w:rsidRPr="002D5471">
            <w:t>Ano</w:t>
          </w:r>
          <w:proofErr w:type="spellEnd"/>
          <w:r w:rsidRPr="002D5471">
            <w:t>-Cream</w:t>
          </w:r>
        </w:p>
      </w:tc>
      <w:tc>
        <w:tcPr>
          <w:tcW w:w="1206" w:type="dxa"/>
          <w:tcMar>
            <w:top w:w="142" w:type="dxa"/>
            <w:bottom w:w="0" w:type="dxa"/>
          </w:tcMar>
        </w:tcPr>
        <w:p w:rsidR="002D5471" w:rsidRPr="002D5471" w:rsidRDefault="002D5471" w:rsidP="002D5471">
          <w:pPr>
            <w:pStyle w:val="Footer"/>
          </w:pPr>
          <w:r w:rsidRPr="002D5471">
            <w:t xml:space="preserve">Page </w:t>
          </w:r>
          <w:r w:rsidRPr="002D5471">
            <w:fldChar w:fldCharType="begin"/>
          </w:r>
          <w:r w:rsidRPr="002D5471">
            <w:instrText xml:space="preserve"> PAGE  \* Arabic  \* MERGEFORMAT </w:instrText>
          </w:r>
          <w:r w:rsidRPr="002D5471">
            <w:fldChar w:fldCharType="separate"/>
          </w:r>
          <w:r w:rsidR="0097075D">
            <w:rPr>
              <w:noProof/>
            </w:rPr>
            <w:t>37</w:t>
          </w:r>
          <w:r w:rsidRPr="002D5471">
            <w:fldChar w:fldCharType="end"/>
          </w:r>
          <w:r w:rsidRPr="002D5471">
            <w:t xml:space="preserve"> of </w:t>
          </w:r>
          <w:r w:rsidR="0097075D">
            <w:fldChar w:fldCharType="begin"/>
          </w:r>
          <w:r w:rsidR="0097075D">
            <w:instrText xml:space="preserve"> NUMPAGES  </w:instrText>
          </w:r>
          <w:r w:rsidR="0097075D">
            <w:instrText xml:space="preserve">\* Arabic  \* MERGEFORMAT </w:instrText>
          </w:r>
          <w:r w:rsidR="0097075D">
            <w:fldChar w:fldCharType="separate"/>
          </w:r>
          <w:r w:rsidR="0097075D">
            <w:rPr>
              <w:noProof/>
            </w:rPr>
            <w:t>38</w:t>
          </w:r>
          <w:r w:rsidR="0097075D">
            <w:rPr>
              <w:noProof/>
            </w:rPr>
            <w:fldChar w:fldCharType="end"/>
          </w:r>
        </w:p>
      </w:tc>
    </w:tr>
  </w:tbl>
  <w:p w:rsidR="0067634D" w:rsidRPr="0067634D" w:rsidRDefault="0067634D" w:rsidP="0067634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34D" w:rsidRDefault="0067634D" w:rsidP="008E7846">
    <w:pPr>
      <w:pStyle w:val="Note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67634D" w:rsidTr="0010601F">
      <w:trPr>
        <w:trHeight w:val="108"/>
      </w:trPr>
      <w:tc>
        <w:tcPr>
          <w:tcW w:w="8875" w:type="dxa"/>
          <w:gridSpan w:val="2"/>
          <w:tcBorders>
            <w:bottom w:val="single" w:sz="4" w:space="0" w:color="auto"/>
          </w:tcBorders>
          <w:tcMar>
            <w:right w:w="284" w:type="dxa"/>
          </w:tcMar>
        </w:tcPr>
        <w:p w:rsidR="0067634D" w:rsidRDefault="0067634D" w:rsidP="006E08B3">
          <w:pPr>
            <w:pStyle w:val="Heading3"/>
          </w:pPr>
          <w:r>
            <w:t>Copyright</w:t>
          </w:r>
        </w:p>
        <w:p w:rsidR="0067634D" w:rsidRDefault="0067634D" w:rsidP="006E08B3">
          <w:r>
            <w:t>© Commonwealth of Australia [add year]</w:t>
          </w:r>
        </w:p>
        <w:p w:rsidR="0067634D" w:rsidRDefault="0067634D" w:rsidP="006E08B3"/>
        <w:p w:rsidR="0067634D" w:rsidRDefault="0067634D"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67634D" w:rsidRDefault="0067634D" w:rsidP="006E08B3"/>
        <w:p w:rsidR="0067634D" w:rsidRDefault="0067634D" w:rsidP="006E08B3">
          <w:pPr>
            <w:pStyle w:val="Heading3"/>
          </w:pPr>
          <w:r>
            <w:t>Confidentiality</w:t>
          </w:r>
        </w:p>
        <w:p w:rsidR="0067634D" w:rsidRDefault="0067634D"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67634D" w:rsidRDefault="0067634D" w:rsidP="006E08B3"/>
        <w:p w:rsidR="0067634D" w:rsidRDefault="0067634D" w:rsidP="006E08B3">
          <w:r>
            <w:t>For submission made by individuals, all personal details, other than your name, will be removed from your submission before it is published on the TGA’s Internet site.</w:t>
          </w:r>
        </w:p>
        <w:p w:rsidR="0067634D" w:rsidRDefault="0067634D" w:rsidP="006E08B3"/>
        <w:p w:rsidR="0067634D" w:rsidRDefault="0067634D"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67634D" w:rsidTr="0010601F">
      <w:trPr>
        <w:trHeight w:val="417"/>
      </w:trPr>
      <w:tc>
        <w:tcPr>
          <w:tcW w:w="4519" w:type="dxa"/>
          <w:tcBorders>
            <w:top w:val="single" w:sz="4" w:space="0" w:color="auto"/>
          </w:tcBorders>
          <w:tcMar>
            <w:top w:w="142" w:type="dxa"/>
            <w:bottom w:w="0" w:type="dxa"/>
          </w:tcMar>
        </w:tcPr>
        <w:p w:rsidR="0067634D" w:rsidRDefault="0067634D" w:rsidP="006E08B3">
          <w:r>
            <w:t>Document title, Part #, Section # - Section title</w:t>
          </w:r>
        </w:p>
        <w:p w:rsidR="0067634D" w:rsidRDefault="0067634D" w:rsidP="006E08B3">
          <w:r>
            <w:t>V1.0 October 2010</w:t>
          </w:r>
        </w:p>
      </w:tc>
      <w:tc>
        <w:tcPr>
          <w:tcW w:w="4356" w:type="dxa"/>
          <w:tcBorders>
            <w:top w:val="single" w:sz="4" w:space="0" w:color="auto"/>
          </w:tcBorders>
          <w:tcMar>
            <w:top w:w="142" w:type="dxa"/>
            <w:bottom w:w="0" w:type="dxa"/>
          </w:tcMar>
        </w:tcPr>
        <w:p w:rsidR="0067634D" w:rsidRDefault="0067634D"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4</w:t>
            </w:r>
          </w:fldSimple>
          <w:r>
            <w:t xml:space="preserve">  </w:t>
          </w:r>
        </w:p>
      </w:tc>
    </w:tr>
  </w:tbl>
  <w:p w:rsidR="0067634D" w:rsidRDefault="006763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34D" w:rsidRDefault="0067634D" w:rsidP="00C40A36">
      <w:pPr>
        <w:spacing w:after="0"/>
      </w:pPr>
      <w:r>
        <w:separator/>
      </w:r>
    </w:p>
  </w:footnote>
  <w:footnote w:type="continuationSeparator" w:id="0">
    <w:p w:rsidR="0067634D" w:rsidRDefault="0067634D" w:rsidP="00C40A36">
      <w:pPr>
        <w:spacing w:after="0"/>
      </w:pPr>
      <w:r>
        <w:continuationSeparator/>
      </w:r>
    </w:p>
  </w:footnote>
  <w:footnote w:id="1">
    <w:p w:rsidR="0067634D" w:rsidRPr="00A36A86" w:rsidRDefault="0067634D">
      <w:pPr>
        <w:pStyle w:val="FootnoteText"/>
        <w:rPr>
          <w:lang w:val="en-US"/>
        </w:rPr>
      </w:pPr>
      <w:r>
        <w:rPr>
          <w:rStyle w:val="FootnoteReference"/>
        </w:rPr>
        <w:footnoteRef/>
      </w:r>
      <w:r>
        <w:t xml:space="preserve"> </w:t>
      </w:r>
      <w:r w:rsidRPr="00A36A86">
        <w:t>SLS is a known skin irritant commonly used as a positive control in skin irritation studies</w:t>
      </w:r>
      <w:r>
        <w:t>.</w:t>
      </w:r>
    </w:p>
  </w:footnote>
  <w:footnote w:id="2">
    <w:p w:rsidR="0067634D" w:rsidRPr="00A36A86" w:rsidRDefault="0067634D" w:rsidP="00B469FC">
      <w:pPr>
        <w:pStyle w:val="FootnoteText"/>
      </w:pPr>
      <w:r w:rsidRPr="00A36A86">
        <w:rPr>
          <w:rStyle w:val="FootnoteReference"/>
        </w:rPr>
        <w:footnoteRef/>
      </w:r>
      <w:r w:rsidRPr="00A36A86">
        <w:t xml:space="preserve"> SLS is a known skin irritant commonly used as a positive control in skin irritation studies.</w:t>
      </w:r>
    </w:p>
  </w:footnote>
  <w:footnote w:id="3">
    <w:p w:rsidR="0067634D" w:rsidRPr="00A36A86" w:rsidRDefault="0067634D" w:rsidP="0067634D">
      <w:pPr>
        <w:pStyle w:val="FootnoteText"/>
      </w:pPr>
      <w:r w:rsidRPr="00A36A86">
        <w:rPr>
          <w:rStyle w:val="FootnoteReference"/>
        </w:rPr>
        <w:footnoteRef/>
      </w:r>
      <w:r>
        <w:t xml:space="preserve"> </w:t>
      </w:r>
      <w:r w:rsidRPr="00A36A86">
        <w:t>A score of &lt;1 indicates minimal or no evidence of irritation.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34D" w:rsidRDefault="0067634D"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34D" w:rsidRDefault="0067634D">
    <w:pPr>
      <w:rPr>
        <w:noProof/>
        <w:lang w:eastAsia="en-AU"/>
      </w:rPr>
    </w:pPr>
    <w:r w:rsidRPr="002D545C">
      <w:rPr>
        <w:noProof/>
        <w:lang w:eastAsia="en-AU"/>
      </w:rPr>
      <w:drawing>
        <wp:anchor distT="0" distB="0" distL="114300" distR="114300" simplePos="0" relativeHeight="251659264" behindDoc="1" locked="0" layoutInCell="1" allowOverlap="1" wp14:anchorId="4C4C2C01" wp14:editId="2140F1CA">
          <wp:simplePos x="0" y="0"/>
          <wp:positionH relativeFrom="column">
            <wp:posOffset>-1089660</wp:posOffset>
          </wp:positionH>
          <wp:positionV relativeFrom="paragraph">
            <wp:posOffset>-585470</wp:posOffset>
          </wp:positionV>
          <wp:extent cx="7572375" cy="10706100"/>
          <wp:effectExtent l="19050" t="0" r="0" b="0"/>
          <wp:wrapNone/>
          <wp:docPr id="5"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67634D" w:rsidRDefault="0067634D" w:rsidP="00593AD1">
    <w:pPr>
      <w:pStyle w:val="HeaderNoLine"/>
    </w:pPr>
    <w:r>
      <w:rPr>
        <w:noProof/>
        <w:lang w:eastAsia="en-AU"/>
      </w:rPr>
      <w:drawing>
        <wp:inline distT="0" distB="0" distL="0" distR="0" wp14:anchorId="5388A600" wp14:editId="3C55431D">
          <wp:extent cx="5400675" cy="7639050"/>
          <wp:effectExtent l="0" t="0" r="9525" b="0"/>
          <wp:docPr id="6" name="Picture 6"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34D" w:rsidRDefault="0067634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34D" w:rsidRPr="00500003" w:rsidRDefault="0067634D" w:rsidP="0050000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34D" w:rsidRDefault="0067634D" w:rsidP="006E08B3">
    <w:r>
      <w:t>Therapeutic Goods Administration</w:t>
    </w:r>
  </w:p>
  <w:p w:rsidR="0067634D" w:rsidRDefault="0067634D"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1">
    <w:nsid w:val="FFFFFF89"/>
    <w:multiLevelType w:val="singleLevel"/>
    <w:tmpl w:val="F4085A32"/>
    <w:lvl w:ilvl="0">
      <w:start w:val="1"/>
      <w:numFmt w:val="bullet"/>
      <w:pStyle w:val="Style1"/>
      <w:lvlText w:val=""/>
      <w:lvlJc w:val="left"/>
      <w:pPr>
        <w:tabs>
          <w:tab w:val="num" w:pos="360"/>
        </w:tabs>
        <w:ind w:left="360" w:hanging="360"/>
      </w:pPr>
      <w:rPr>
        <w:rFonts w:ascii="Symbol" w:hAnsi="Symbol" w:hint="default"/>
      </w:rPr>
    </w:lvl>
  </w:abstractNum>
  <w:abstractNum w:abstractNumId="2">
    <w:nsid w:val="08794615"/>
    <w:multiLevelType w:val="hybridMultilevel"/>
    <w:tmpl w:val="A7561688"/>
    <w:lvl w:ilvl="0" w:tplc="75BE7E8A">
      <w:start w:val="1"/>
      <w:numFmt w:val="bullet"/>
      <w:pStyle w:val="CommentDot"/>
      <w:lvlText w:val="▪"/>
      <w:lvlJc w:val="left"/>
      <w:pPr>
        <w:ind w:left="1854" w:hanging="360"/>
      </w:pPr>
      <w:rPr>
        <w:rFonts w:ascii="Arial" w:hAnsi="Aria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nsid w:val="10053F11"/>
    <w:multiLevelType w:val="multilevel"/>
    <w:tmpl w:val="0F36DBE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22664D28"/>
    <w:multiLevelType w:val="hybridMultilevel"/>
    <w:tmpl w:val="62D045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46C028F"/>
    <w:multiLevelType w:val="hybridMultilevel"/>
    <w:tmpl w:val="108C06A4"/>
    <w:lvl w:ilvl="0" w:tplc="3EEAF088">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8">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9">
    <w:nsid w:val="3DE24CCF"/>
    <w:multiLevelType w:val="hybridMultilevel"/>
    <w:tmpl w:val="551EF36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3BF0B33"/>
    <w:multiLevelType w:val="hybridMultilevel"/>
    <w:tmpl w:val="D0B40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6DB60F8"/>
    <w:multiLevelType w:val="hybridMultilevel"/>
    <w:tmpl w:val="FD0661FA"/>
    <w:lvl w:ilvl="0" w:tplc="96FE1D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7076D7D"/>
    <w:multiLevelType w:val="multilevel"/>
    <w:tmpl w:val="86EA579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5"/>
        </w:tabs>
        <w:ind w:left="1135" w:hanging="851"/>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985"/>
        </w:tabs>
        <w:ind w:left="1985" w:hanging="1985"/>
      </w:pPr>
      <w:rPr>
        <w:rFonts w:hint="default"/>
      </w:rPr>
    </w:lvl>
    <w:lvl w:ilvl="6">
      <w:start w:val="1"/>
      <w:numFmt w:val="decimal"/>
      <w:lvlText w:val="%1.%2.%3.%4.%5.%6.%7."/>
      <w:lvlJc w:val="left"/>
      <w:pPr>
        <w:tabs>
          <w:tab w:val="num" w:pos="2268"/>
        </w:tabs>
        <w:ind w:left="2268" w:hanging="2268"/>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3">
    <w:nsid w:val="663F595D"/>
    <w:multiLevelType w:val="hybridMultilevel"/>
    <w:tmpl w:val="86B69502"/>
    <w:lvl w:ilvl="0" w:tplc="D3142EF2">
      <w:start w:val="1"/>
      <w:numFmt w:val="bullet"/>
      <w:pStyle w:val="Instructions2"/>
      <w:lvlText w:val="­"/>
      <w:lvlJc w:val="left"/>
      <w:pPr>
        <w:ind w:left="644" w:hanging="360"/>
      </w:pPr>
      <w:rPr>
        <w:rFonts w:ascii="Calibri" w:hAnsi="Calibri"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4">
    <w:nsid w:val="6D0B1B75"/>
    <w:multiLevelType w:val="multilevel"/>
    <w:tmpl w:val="D3FAAFB8"/>
    <w:lvl w:ilvl="0">
      <w:start w:val="1"/>
      <w:numFmt w:val="decimal"/>
      <w:pStyle w:val="Heading2"/>
      <w:lvlText w:val="%1."/>
      <w:lvlJc w:val="left"/>
      <w:pPr>
        <w:tabs>
          <w:tab w:val="num" w:pos="567"/>
        </w:tabs>
        <w:ind w:left="567" w:hanging="567"/>
      </w:pPr>
      <w:rPr>
        <w:rFonts w:hint="default"/>
      </w:rPr>
    </w:lvl>
    <w:lvl w:ilvl="1">
      <w:start w:val="1"/>
      <w:numFmt w:val="decimal"/>
      <w:pStyle w:val="Heading3"/>
      <w:lvlText w:val="%1.%2."/>
      <w:lvlJc w:val="left"/>
      <w:pPr>
        <w:tabs>
          <w:tab w:val="num" w:pos="1135"/>
        </w:tabs>
        <w:ind w:left="1135" w:hanging="1022"/>
      </w:pPr>
      <w:rPr>
        <w:rFonts w:hint="default"/>
      </w:rPr>
    </w:lvl>
    <w:lvl w:ilvl="2">
      <w:start w:val="1"/>
      <w:numFmt w:val="decimal"/>
      <w:pStyle w:val="Heading4"/>
      <w:lvlText w:val="%1.%2.%3."/>
      <w:lvlJc w:val="left"/>
      <w:pPr>
        <w:tabs>
          <w:tab w:val="num" w:pos="1134"/>
        </w:tabs>
        <w:ind w:left="1134" w:hanging="964"/>
      </w:pPr>
      <w:rPr>
        <w:rFonts w:hint="default"/>
      </w:rPr>
    </w:lvl>
    <w:lvl w:ilvl="3">
      <w:start w:val="1"/>
      <w:numFmt w:val="decimal"/>
      <w:pStyle w:val="Heading5"/>
      <w:lvlText w:val="%1.%2.%3.%4."/>
      <w:lvlJc w:val="left"/>
      <w:pPr>
        <w:tabs>
          <w:tab w:val="num" w:pos="1418"/>
        </w:tabs>
        <w:ind w:left="1418" w:hanging="1191"/>
      </w:pPr>
      <w:rPr>
        <w:rFonts w:hint="default"/>
      </w:rPr>
    </w:lvl>
    <w:lvl w:ilvl="4">
      <w:start w:val="1"/>
      <w:numFmt w:val="decimal"/>
      <w:lvlText w:val="%1.%2.%3.%4.%5."/>
      <w:lvlJc w:val="left"/>
      <w:pPr>
        <w:tabs>
          <w:tab w:val="num" w:pos="1701"/>
        </w:tabs>
        <w:ind w:left="1701" w:hanging="1417"/>
      </w:pPr>
      <w:rPr>
        <w:rFonts w:hint="default"/>
      </w:rPr>
    </w:lvl>
    <w:lvl w:ilvl="5">
      <w:start w:val="1"/>
      <w:numFmt w:val="decimal"/>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abstractNum w:abstractNumId="15">
    <w:nsid w:val="6D214E8B"/>
    <w:multiLevelType w:val="hybridMultilevel"/>
    <w:tmpl w:val="4426C4F8"/>
    <w:lvl w:ilvl="0" w:tplc="D910F5CC">
      <w:start w:val="1"/>
      <w:numFmt w:val="bullet"/>
      <w:pStyle w:val="TableBullet"/>
      <w:lvlText w:val="•"/>
      <w:lvlJc w:val="left"/>
      <w:pPr>
        <w:tabs>
          <w:tab w:val="num" w:pos="85"/>
        </w:tabs>
        <w:ind w:left="113" w:hanging="113"/>
      </w:pPr>
      <w:rPr>
        <w:rFonts w:ascii="Times New Roman" w:hAnsi="Times New Roman" w:cs="Times New Roman"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74CB4FCF"/>
    <w:multiLevelType w:val="hybridMultilevel"/>
    <w:tmpl w:val="1346C85E"/>
    <w:lvl w:ilvl="0" w:tplc="14D0AFD6">
      <w:start w:val="1"/>
      <w:numFmt w:val="decimal"/>
      <w:lvlText w:val="%1."/>
      <w:lvlJc w:val="left"/>
      <w:pPr>
        <w:tabs>
          <w:tab w:val="num" w:pos="284"/>
        </w:tabs>
        <w:ind w:left="284" w:hanging="284"/>
      </w:pPr>
      <w:rPr>
        <w:rFonts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7">
    <w:nsid w:val="75AF099E"/>
    <w:multiLevelType w:val="hybridMultilevel"/>
    <w:tmpl w:val="46324B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F3E43B8"/>
    <w:multiLevelType w:val="multilevel"/>
    <w:tmpl w:val="AD70360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4"/>
  </w:num>
  <w:num w:numId="4">
    <w:abstractNumId w:val="4"/>
  </w:num>
  <w:num w:numId="5">
    <w:abstractNumId w:val="3"/>
  </w:num>
  <w:num w:numId="6">
    <w:abstractNumId w:val="4"/>
  </w:num>
  <w:num w:numId="7">
    <w:abstractNumId w:val="3"/>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8">
    <w:abstractNumId w:val="14"/>
  </w:num>
  <w:num w:numId="9">
    <w:abstractNumId w:val="12"/>
  </w:num>
  <w:num w:numId="10">
    <w:abstractNumId w:val="7"/>
  </w:num>
  <w:num w:numId="11">
    <w:abstractNumId w:val="8"/>
  </w:num>
  <w:num w:numId="12">
    <w:abstractNumId w:val="15"/>
  </w:num>
  <w:num w:numId="13">
    <w:abstractNumId w:val="2"/>
  </w:num>
  <w:num w:numId="14">
    <w:abstractNumId w:val="13"/>
  </w:num>
  <w:num w:numId="15">
    <w:abstractNumId w:val="16"/>
  </w:num>
  <w:num w:numId="16">
    <w:abstractNumId w:val="17"/>
  </w:num>
  <w:num w:numId="17">
    <w:abstractNumId w:val="10"/>
  </w:num>
  <w:num w:numId="18">
    <w:abstractNumId w:val="9"/>
  </w:num>
  <w:num w:numId="19">
    <w:abstractNumId w:val="18"/>
  </w:num>
  <w:num w:numId="20">
    <w:abstractNumId w:val="11"/>
  </w:num>
  <w:num w:numId="21">
    <w:abstractNumId w:val="6"/>
  </w:num>
  <w:num w:numId="22">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A4D"/>
    <w:rsid w:val="00002031"/>
    <w:rsid w:val="00004734"/>
    <w:rsid w:val="00004D58"/>
    <w:rsid w:val="00006B22"/>
    <w:rsid w:val="00010694"/>
    <w:rsid w:val="0001276A"/>
    <w:rsid w:val="00012FA4"/>
    <w:rsid w:val="000142FD"/>
    <w:rsid w:val="0001458C"/>
    <w:rsid w:val="00017585"/>
    <w:rsid w:val="00021EC4"/>
    <w:rsid w:val="000246AE"/>
    <w:rsid w:val="00025C67"/>
    <w:rsid w:val="000350B8"/>
    <w:rsid w:val="00040ACB"/>
    <w:rsid w:val="00042D6A"/>
    <w:rsid w:val="00051CF4"/>
    <w:rsid w:val="0005559E"/>
    <w:rsid w:val="00056A91"/>
    <w:rsid w:val="0007174C"/>
    <w:rsid w:val="0007331E"/>
    <w:rsid w:val="0007635C"/>
    <w:rsid w:val="000771AD"/>
    <w:rsid w:val="00077775"/>
    <w:rsid w:val="00090471"/>
    <w:rsid w:val="00097B5E"/>
    <w:rsid w:val="000A35DE"/>
    <w:rsid w:val="000A3AED"/>
    <w:rsid w:val="000A4E08"/>
    <w:rsid w:val="000A63AF"/>
    <w:rsid w:val="000B3532"/>
    <w:rsid w:val="000B3A75"/>
    <w:rsid w:val="000B3AB3"/>
    <w:rsid w:val="000C4D24"/>
    <w:rsid w:val="000C690F"/>
    <w:rsid w:val="000D1295"/>
    <w:rsid w:val="000D382B"/>
    <w:rsid w:val="000D391B"/>
    <w:rsid w:val="000D3D6D"/>
    <w:rsid w:val="000D4FC7"/>
    <w:rsid w:val="000D635A"/>
    <w:rsid w:val="000D69EF"/>
    <w:rsid w:val="000E71F1"/>
    <w:rsid w:val="000F02F9"/>
    <w:rsid w:val="000F4869"/>
    <w:rsid w:val="000F4BF7"/>
    <w:rsid w:val="000F4F8C"/>
    <w:rsid w:val="000F5B42"/>
    <w:rsid w:val="000F6E6F"/>
    <w:rsid w:val="0010193C"/>
    <w:rsid w:val="00104613"/>
    <w:rsid w:val="0010601F"/>
    <w:rsid w:val="0010788A"/>
    <w:rsid w:val="00107A31"/>
    <w:rsid w:val="00110419"/>
    <w:rsid w:val="00110EA5"/>
    <w:rsid w:val="0011104D"/>
    <w:rsid w:val="001111C5"/>
    <w:rsid w:val="00112F56"/>
    <w:rsid w:val="0011710C"/>
    <w:rsid w:val="00117F9E"/>
    <w:rsid w:val="00124EDF"/>
    <w:rsid w:val="00125318"/>
    <w:rsid w:val="001278AC"/>
    <w:rsid w:val="001305A2"/>
    <w:rsid w:val="00133238"/>
    <w:rsid w:val="00136E00"/>
    <w:rsid w:val="0014197B"/>
    <w:rsid w:val="00144770"/>
    <w:rsid w:val="001447CD"/>
    <w:rsid w:val="001516B1"/>
    <w:rsid w:val="001534C9"/>
    <w:rsid w:val="00153F35"/>
    <w:rsid w:val="00154EBB"/>
    <w:rsid w:val="00156316"/>
    <w:rsid w:val="001641DB"/>
    <w:rsid w:val="00164784"/>
    <w:rsid w:val="00165389"/>
    <w:rsid w:val="00166DA5"/>
    <w:rsid w:val="0017078F"/>
    <w:rsid w:val="0017693F"/>
    <w:rsid w:val="00180048"/>
    <w:rsid w:val="0018110E"/>
    <w:rsid w:val="00181684"/>
    <w:rsid w:val="001843C6"/>
    <w:rsid w:val="001850E0"/>
    <w:rsid w:val="00190DFC"/>
    <w:rsid w:val="001A2158"/>
    <w:rsid w:val="001A525F"/>
    <w:rsid w:val="001A6CF1"/>
    <w:rsid w:val="001A7A4D"/>
    <w:rsid w:val="001B02A1"/>
    <w:rsid w:val="001B09F9"/>
    <w:rsid w:val="001B5D98"/>
    <w:rsid w:val="001B6448"/>
    <w:rsid w:val="001C0996"/>
    <w:rsid w:val="001C409D"/>
    <w:rsid w:val="001C657B"/>
    <w:rsid w:val="001C77BD"/>
    <w:rsid w:val="001C7C11"/>
    <w:rsid w:val="001D5B09"/>
    <w:rsid w:val="001D6441"/>
    <w:rsid w:val="001E07CF"/>
    <w:rsid w:val="001E59F1"/>
    <w:rsid w:val="001F497A"/>
    <w:rsid w:val="001F49EB"/>
    <w:rsid w:val="001F6CBA"/>
    <w:rsid w:val="00201D4E"/>
    <w:rsid w:val="0020560E"/>
    <w:rsid w:val="002069C1"/>
    <w:rsid w:val="002076C9"/>
    <w:rsid w:val="00212720"/>
    <w:rsid w:val="00215B0F"/>
    <w:rsid w:val="00220B8A"/>
    <w:rsid w:val="00223595"/>
    <w:rsid w:val="002257F3"/>
    <w:rsid w:val="0023188E"/>
    <w:rsid w:val="00233456"/>
    <w:rsid w:val="002339A5"/>
    <w:rsid w:val="00243A2F"/>
    <w:rsid w:val="002462D3"/>
    <w:rsid w:val="00256D80"/>
    <w:rsid w:val="00257329"/>
    <w:rsid w:val="00257848"/>
    <w:rsid w:val="00261552"/>
    <w:rsid w:val="00264580"/>
    <w:rsid w:val="00264F16"/>
    <w:rsid w:val="002666AC"/>
    <w:rsid w:val="0027084A"/>
    <w:rsid w:val="002832BB"/>
    <w:rsid w:val="00283512"/>
    <w:rsid w:val="002848C8"/>
    <w:rsid w:val="00286434"/>
    <w:rsid w:val="00286C59"/>
    <w:rsid w:val="002901F4"/>
    <w:rsid w:val="00292113"/>
    <w:rsid w:val="002942D1"/>
    <w:rsid w:val="0029501A"/>
    <w:rsid w:val="00295C34"/>
    <w:rsid w:val="002A6A6E"/>
    <w:rsid w:val="002B1638"/>
    <w:rsid w:val="002B5366"/>
    <w:rsid w:val="002C0BE5"/>
    <w:rsid w:val="002C3314"/>
    <w:rsid w:val="002C63ED"/>
    <w:rsid w:val="002D0350"/>
    <w:rsid w:val="002D3FD1"/>
    <w:rsid w:val="002D545C"/>
    <w:rsid w:val="002D5471"/>
    <w:rsid w:val="002D6161"/>
    <w:rsid w:val="002E4C9A"/>
    <w:rsid w:val="002E6BC0"/>
    <w:rsid w:val="002F11F8"/>
    <w:rsid w:val="002F3F56"/>
    <w:rsid w:val="002F44B5"/>
    <w:rsid w:val="00301A4D"/>
    <w:rsid w:val="0030383C"/>
    <w:rsid w:val="00305C83"/>
    <w:rsid w:val="00311AC0"/>
    <w:rsid w:val="00314D2F"/>
    <w:rsid w:val="00315D29"/>
    <w:rsid w:val="003171FA"/>
    <w:rsid w:val="0032583B"/>
    <w:rsid w:val="00326BFE"/>
    <w:rsid w:val="00327883"/>
    <w:rsid w:val="00335504"/>
    <w:rsid w:val="0033645C"/>
    <w:rsid w:val="00341788"/>
    <w:rsid w:val="0034419A"/>
    <w:rsid w:val="00344879"/>
    <w:rsid w:val="00350099"/>
    <w:rsid w:val="003521E8"/>
    <w:rsid w:val="00354BDB"/>
    <w:rsid w:val="00365AFE"/>
    <w:rsid w:val="003728F3"/>
    <w:rsid w:val="0037496E"/>
    <w:rsid w:val="0037623D"/>
    <w:rsid w:val="00376824"/>
    <w:rsid w:val="00380FD6"/>
    <w:rsid w:val="003825E8"/>
    <w:rsid w:val="00386150"/>
    <w:rsid w:val="003874CE"/>
    <w:rsid w:val="00390900"/>
    <w:rsid w:val="0039382D"/>
    <w:rsid w:val="00396C92"/>
    <w:rsid w:val="003A26A8"/>
    <w:rsid w:val="003A7F6C"/>
    <w:rsid w:val="003B1113"/>
    <w:rsid w:val="003B4D60"/>
    <w:rsid w:val="003B634F"/>
    <w:rsid w:val="003B7E39"/>
    <w:rsid w:val="003C4050"/>
    <w:rsid w:val="003C43AE"/>
    <w:rsid w:val="003C58DC"/>
    <w:rsid w:val="003C7180"/>
    <w:rsid w:val="003D0712"/>
    <w:rsid w:val="003D0A18"/>
    <w:rsid w:val="003D0A3B"/>
    <w:rsid w:val="003D1513"/>
    <w:rsid w:val="003D1E62"/>
    <w:rsid w:val="003D7ED0"/>
    <w:rsid w:val="003E1911"/>
    <w:rsid w:val="003E2486"/>
    <w:rsid w:val="003E3208"/>
    <w:rsid w:val="003E5D1C"/>
    <w:rsid w:val="003F0B04"/>
    <w:rsid w:val="0040134E"/>
    <w:rsid w:val="00403E6C"/>
    <w:rsid w:val="00415D59"/>
    <w:rsid w:val="0041712E"/>
    <w:rsid w:val="0042301C"/>
    <w:rsid w:val="0043797D"/>
    <w:rsid w:val="00440827"/>
    <w:rsid w:val="00440A2D"/>
    <w:rsid w:val="004564A7"/>
    <w:rsid w:val="004617BF"/>
    <w:rsid w:val="00463658"/>
    <w:rsid w:val="004642D3"/>
    <w:rsid w:val="00466059"/>
    <w:rsid w:val="004722CC"/>
    <w:rsid w:val="00472608"/>
    <w:rsid w:val="004764BB"/>
    <w:rsid w:val="004765D8"/>
    <w:rsid w:val="004806C6"/>
    <w:rsid w:val="00480A5B"/>
    <w:rsid w:val="00482C2F"/>
    <w:rsid w:val="00487ED8"/>
    <w:rsid w:val="004910B2"/>
    <w:rsid w:val="004936E4"/>
    <w:rsid w:val="00494E60"/>
    <w:rsid w:val="004950D9"/>
    <w:rsid w:val="00497487"/>
    <w:rsid w:val="004A1D4B"/>
    <w:rsid w:val="004A270C"/>
    <w:rsid w:val="004A3C55"/>
    <w:rsid w:val="004A5EBC"/>
    <w:rsid w:val="004A7E13"/>
    <w:rsid w:val="004B0A27"/>
    <w:rsid w:val="004B3C07"/>
    <w:rsid w:val="004B57BD"/>
    <w:rsid w:val="004B7B76"/>
    <w:rsid w:val="004C1D75"/>
    <w:rsid w:val="004C2DCA"/>
    <w:rsid w:val="004C3EC7"/>
    <w:rsid w:val="004D00E8"/>
    <w:rsid w:val="004D44AE"/>
    <w:rsid w:val="004D6564"/>
    <w:rsid w:val="004E4E6F"/>
    <w:rsid w:val="004F0F38"/>
    <w:rsid w:val="004F4AF5"/>
    <w:rsid w:val="004F4F56"/>
    <w:rsid w:val="00500003"/>
    <w:rsid w:val="00501921"/>
    <w:rsid w:val="00507897"/>
    <w:rsid w:val="00522831"/>
    <w:rsid w:val="00530354"/>
    <w:rsid w:val="00530957"/>
    <w:rsid w:val="0053215A"/>
    <w:rsid w:val="0053625B"/>
    <w:rsid w:val="00537ACE"/>
    <w:rsid w:val="0054127A"/>
    <w:rsid w:val="005419D3"/>
    <w:rsid w:val="005434C6"/>
    <w:rsid w:val="00543B39"/>
    <w:rsid w:val="00546F4F"/>
    <w:rsid w:val="00550096"/>
    <w:rsid w:val="00557FF9"/>
    <w:rsid w:val="0056452C"/>
    <w:rsid w:val="0057256B"/>
    <w:rsid w:val="00576378"/>
    <w:rsid w:val="00577945"/>
    <w:rsid w:val="00577E38"/>
    <w:rsid w:val="00581D36"/>
    <w:rsid w:val="00584F1D"/>
    <w:rsid w:val="00585322"/>
    <w:rsid w:val="005857C6"/>
    <w:rsid w:val="00586F98"/>
    <w:rsid w:val="005873F4"/>
    <w:rsid w:val="0059017D"/>
    <w:rsid w:val="00592F6E"/>
    <w:rsid w:val="00593AD1"/>
    <w:rsid w:val="00595BD5"/>
    <w:rsid w:val="005A68B6"/>
    <w:rsid w:val="005B3372"/>
    <w:rsid w:val="005B6120"/>
    <w:rsid w:val="005C5483"/>
    <w:rsid w:val="005C5570"/>
    <w:rsid w:val="005C79A4"/>
    <w:rsid w:val="005D2B97"/>
    <w:rsid w:val="005D3290"/>
    <w:rsid w:val="005D5442"/>
    <w:rsid w:val="005D6F72"/>
    <w:rsid w:val="005E056A"/>
    <w:rsid w:val="005F0849"/>
    <w:rsid w:val="005F3C81"/>
    <w:rsid w:val="005F4483"/>
    <w:rsid w:val="005F6396"/>
    <w:rsid w:val="00601377"/>
    <w:rsid w:val="00603F32"/>
    <w:rsid w:val="0061214C"/>
    <w:rsid w:val="006170F0"/>
    <w:rsid w:val="00620406"/>
    <w:rsid w:val="00632398"/>
    <w:rsid w:val="006336EF"/>
    <w:rsid w:val="006354AD"/>
    <w:rsid w:val="00636E45"/>
    <w:rsid w:val="00640FC3"/>
    <w:rsid w:val="0064112E"/>
    <w:rsid w:val="00642020"/>
    <w:rsid w:val="00646206"/>
    <w:rsid w:val="0065102C"/>
    <w:rsid w:val="0065337B"/>
    <w:rsid w:val="0065419D"/>
    <w:rsid w:val="00656D19"/>
    <w:rsid w:val="006604D8"/>
    <w:rsid w:val="006605C5"/>
    <w:rsid w:val="0066222F"/>
    <w:rsid w:val="00663EC7"/>
    <w:rsid w:val="00664A5B"/>
    <w:rsid w:val="006717EC"/>
    <w:rsid w:val="006718BB"/>
    <w:rsid w:val="0067397A"/>
    <w:rsid w:val="00674D51"/>
    <w:rsid w:val="0067634D"/>
    <w:rsid w:val="006763D2"/>
    <w:rsid w:val="00680C08"/>
    <w:rsid w:val="006931B1"/>
    <w:rsid w:val="006A15C0"/>
    <w:rsid w:val="006A2830"/>
    <w:rsid w:val="006A3B00"/>
    <w:rsid w:val="006B24FD"/>
    <w:rsid w:val="006B4C50"/>
    <w:rsid w:val="006B6288"/>
    <w:rsid w:val="006C130C"/>
    <w:rsid w:val="006C17D1"/>
    <w:rsid w:val="006C3733"/>
    <w:rsid w:val="006C3E2A"/>
    <w:rsid w:val="006C4853"/>
    <w:rsid w:val="006C4B74"/>
    <w:rsid w:val="006C642F"/>
    <w:rsid w:val="006D03E5"/>
    <w:rsid w:val="006D5D3E"/>
    <w:rsid w:val="006E08B3"/>
    <w:rsid w:val="006E4779"/>
    <w:rsid w:val="006F17AC"/>
    <w:rsid w:val="006F1D37"/>
    <w:rsid w:val="006F26D0"/>
    <w:rsid w:val="006F2796"/>
    <w:rsid w:val="006F572E"/>
    <w:rsid w:val="006F70BD"/>
    <w:rsid w:val="006F7CDC"/>
    <w:rsid w:val="007046D6"/>
    <w:rsid w:val="00705DB0"/>
    <w:rsid w:val="0070629B"/>
    <w:rsid w:val="007129EC"/>
    <w:rsid w:val="00720731"/>
    <w:rsid w:val="00721E92"/>
    <w:rsid w:val="00722B57"/>
    <w:rsid w:val="007366B7"/>
    <w:rsid w:val="0074253D"/>
    <w:rsid w:val="0074429B"/>
    <w:rsid w:val="007513B4"/>
    <w:rsid w:val="0075195F"/>
    <w:rsid w:val="007615BC"/>
    <w:rsid w:val="00762DE4"/>
    <w:rsid w:val="00762F05"/>
    <w:rsid w:val="007652FF"/>
    <w:rsid w:val="00770EF1"/>
    <w:rsid w:val="007715BA"/>
    <w:rsid w:val="00773EF7"/>
    <w:rsid w:val="00774E1D"/>
    <w:rsid w:val="0077675A"/>
    <w:rsid w:val="00780355"/>
    <w:rsid w:val="00780A89"/>
    <w:rsid w:val="00785721"/>
    <w:rsid w:val="00787410"/>
    <w:rsid w:val="0079223C"/>
    <w:rsid w:val="00792286"/>
    <w:rsid w:val="007925AE"/>
    <w:rsid w:val="00793A59"/>
    <w:rsid w:val="00793E91"/>
    <w:rsid w:val="007A077C"/>
    <w:rsid w:val="007A1665"/>
    <w:rsid w:val="007A1D7E"/>
    <w:rsid w:val="007A1EF9"/>
    <w:rsid w:val="007A323C"/>
    <w:rsid w:val="007A5DE5"/>
    <w:rsid w:val="007B24DF"/>
    <w:rsid w:val="007B2962"/>
    <w:rsid w:val="007B2B8D"/>
    <w:rsid w:val="007B43DB"/>
    <w:rsid w:val="007B6E9F"/>
    <w:rsid w:val="007C1216"/>
    <w:rsid w:val="007C1AF7"/>
    <w:rsid w:val="007C3E2E"/>
    <w:rsid w:val="007C58DE"/>
    <w:rsid w:val="007D0C25"/>
    <w:rsid w:val="007D1300"/>
    <w:rsid w:val="007E0D2F"/>
    <w:rsid w:val="007E401A"/>
    <w:rsid w:val="007E6E27"/>
    <w:rsid w:val="007E7176"/>
    <w:rsid w:val="007F22AF"/>
    <w:rsid w:val="007F3BA1"/>
    <w:rsid w:val="007F3E00"/>
    <w:rsid w:val="00805D27"/>
    <w:rsid w:val="00810D5B"/>
    <w:rsid w:val="008134C8"/>
    <w:rsid w:val="00821776"/>
    <w:rsid w:val="008321F5"/>
    <w:rsid w:val="00832369"/>
    <w:rsid w:val="00834660"/>
    <w:rsid w:val="00836BC2"/>
    <w:rsid w:val="008414A0"/>
    <w:rsid w:val="00843192"/>
    <w:rsid w:val="00844289"/>
    <w:rsid w:val="008448BF"/>
    <w:rsid w:val="00844BB4"/>
    <w:rsid w:val="008461E7"/>
    <w:rsid w:val="00850113"/>
    <w:rsid w:val="0085068D"/>
    <w:rsid w:val="0085641B"/>
    <w:rsid w:val="0085684A"/>
    <w:rsid w:val="00857136"/>
    <w:rsid w:val="00863ABC"/>
    <w:rsid w:val="0086758A"/>
    <w:rsid w:val="00875618"/>
    <w:rsid w:val="0087597C"/>
    <w:rsid w:val="00880372"/>
    <w:rsid w:val="00886D15"/>
    <w:rsid w:val="00887DD8"/>
    <w:rsid w:val="008911A1"/>
    <w:rsid w:val="00892075"/>
    <w:rsid w:val="00896018"/>
    <w:rsid w:val="008960DD"/>
    <w:rsid w:val="0089635C"/>
    <w:rsid w:val="008A2B9D"/>
    <w:rsid w:val="008A39A8"/>
    <w:rsid w:val="008A5458"/>
    <w:rsid w:val="008A5C7C"/>
    <w:rsid w:val="008A5E0B"/>
    <w:rsid w:val="008A6D59"/>
    <w:rsid w:val="008B2C45"/>
    <w:rsid w:val="008B4B03"/>
    <w:rsid w:val="008B596F"/>
    <w:rsid w:val="008B5A3E"/>
    <w:rsid w:val="008C04E9"/>
    <w:rsid w:val="008C159F"/>
    <w:rsid w:val="008C1623"/>
    <w:rsid w:val="008C1850"/>
    <w:rsid w:val="008C220A"/>
    <w:rsid w:val="008C51A9"/>
    <w:rsid w:val="008D770F"/>
    <w:rsid w:val="008E7846"/>
    <w:rsid w:val="008F1CCC"/>
    <w:rsid w:val="008F2967"/>
    <w:rsid w:val="008F6943"/>
    <w:rsid w:val="008F69AF"/>
    <w:rsid w:val="008F6AA9"/>
    <w:rsid w:val="008F7B10"/>
    <w:rsid w:val="009021F5"/>
    <w:rsid w:val="00902447"/>
    <w:rsid w:val="00902A21"/>
    <w:rsid w:val="00906445"/>
    <w:rsid w:val="00913DB1"/>
    <w:rsid w:val="00913EA1"/>
    <w:rsid w:val="00916B5E"/>
    <w:rsid w:val="00920330"/>
    <w:rsid w:val="009219D7"/>
    <w:rsid w:val="00922D53"/>
    <w:rsid w:val="00923B70"/>
    <w:rsid w:val="00924482"/>
    <w:rsid w:val="00924D13"/>
    <w:rsid w:val="00927D2A"/>
    <w:rsid w:val="00930237"/>
    <w:rsid w:val="0093094F"/>
    <w:rsid w:val="009438E8"/>
    <w:rsid w:val="0094614A"/>
    <w:rsid w:val="00946EA5"/>
    <w:rsid w:val="0095160F"/>
    <w:rsid w:val="00963C08"/>
    <w:rsid w:val="00966BEA"/>
    <w:rsid w:val="00967C91"/>
    <w:rsid w:val="00970403"/>
    <w:rsid w:val="0097075D"/>
    <w:rsid w:val="00973683"/>
    <w:rsid w:val="00977A4F"/>
    <w:rsid w:val="00981D66"/>
    <w:rsid w:val="00982A0E"/>
    <w:rsid w:val="009856D0"/>
    <w:rsid w:val="0098585A"/>
    <w:rsid w:val="0098669D"/>
    <w:rsid w:val="00990250"/>
    <w:rsid w:val="00994C95"/>
    <w:rsid w:val="009961F4"/>
    <w:rsid w:val="009A3E43"/>
    <w:rsid w:val="009A4C16"/>
    <w:rsid w:val="009A4CED"/>
    <w:rsid w:val="009A690D"/>
    <w:rsid w:val="009B1D12"/>
    <w:rsid w:val="009B3100"/>
    <w:rsid w:val="009B416B"/>
    <w:rsid w:val="009B49D4"/>
    <w:rsid w:val="009C4BD5"/>
    <w:rsid w:val="009C5C72"/>
    <w:rsid w:val="009C6216"/>
    <w:rsid w:val="009C740E"/>
    <w:rsid w:val="009D25A2"/>
    <w:rsid w:val="009D2CA4"/>
    <w:rsid w:val="009D4DCD"/>
    <w:rsid w:val="009D54B8"/>
    <w:rsid w:val="009D7B77"/>
    <w:rsid w:val="009E0BB0"/>
    <w:rsid w:val="009E3FBB"/>
    <w:rsid w:val="009F559E"/>
    <w:rsid w:val="009F62A7"/>
    <w:rsid w:val="00A02401"/>
    <w:rsid w:val="00A07729"/>
    <w:rsid w:val="00A102E4"/>
    <w:rsid w:val="00A12018"/>
    <w:rsid w:val="00A12C42"/>
    <w:rsid w:val="00A14DF7"/>
    <w:rsid w:val="00A2006A"/>
    <w:rsid w:val="00A2171E"/>
    <w:rsid w:val="00A235D9"/>
    <w:rsid w:val="00A3246D"/>
    <w:rsid w:val="00A36A86"/>
    <w:rsid w:val="00A36FA7"/>
    <w:rsid w:val="00A428DB"/>
    <w:rsid w:val="00A46801"/>
    <w:rsid w:val="00A475B7"/>
    <w:rsid w:val="00A47AF7"/>
    <w:rsid w:val="00A47C3E"/>
    <w:rsid w:val="00A50226"/>
    <w:rsid w:val="00A562C2"/>
    <w:rsid w:val="00A56AC0"/>
    <w:rsid w:val="00A6065C"/>
    <w:rsid w:val="00A60BAD"/>
    <w:rsid w:val="00A7593F"/>
    <w:rsid w:val="00A80A5B"/>
    <w:rsid w:val="00A827BB"/>
    <w:rsid w:val="00A84BC9"/>
    <w:rsid w:val="00A93B04"/>
    <w:rsid w:val="00A96444"/>
    <w:rsid w:val="00A964D1"/>
    <w:rsid w:val="00A966C6"/>
    <w:rsid w:val="00AA0ED0"/>
    <w:rsid w:val="00AA3499"/>
    <w:rsid w:val="00AA42DD"/>
    <w:rsid w:val="00AA52D5"/>
    <w:rsid w:val="00AB465B"/>
    <w:rsid w:val="00AB5983"/>
    <w:rsid w:val="00AB70CA"/>
    <w:rsid w:val="00AC2B40"/>
    <w:rsid w:val="00AC2BB2"/>
    <w:rsid w:val="00AC2C3C"/>
    <w:rsid w:val="00AC2E8D"/>
    <w:rsid w:val="00AC512D"/>
    <w:rsid w:val="00AD34FE"/>
    <w:rsid w:val="00AD7815"/>
    <w:rsid w:val="00AE01C2"/>
    <w:rsid w:val="00AE52DB"/>
    <w:rsid w:val="00AE65EB"/>
    <w:rsid w:val="00AE67A7"/>
    <w:rsid w:val="00AE716B"/>
    <w:rsid w:val="00AF08B9"/>
    <w:rsid w:val="00AF11CA"/>
    <w:rsid w:val="00AF1D94"/>
    <w:rsid w:val="00AF2299"/>
    <w:rsid w:val="00AF2A3B"/>
    <w:rsid w:val="00AF60C5"/>
    <w:rsid w:val="00B009C6"/>
    <w:rsid w:val="00B01548"/>
    <w:rsid w:val="00B02208"/>
    <w:rsid w:val="00B1228A"/>
    <w:rsid w:val="00B122AD"/>
    <w:rsid w:val="00B12BEC"/>
    <w:rsid w:val="00B1425E"/>
    <w:rsid w:val="00B1523F"/>
    <w:rsid w:val="00B173C2"/>
    <w:rsid w:val="00B21D29"/>
    <w:rsid w:val="00B23CBC"/>
    <w:rsid w:val="00B24F0B"/>
    <w:rsid w:val="00B25034"/>
    <w:rsid w:val="00B27195"/>
    <w:rsid w:val="00B275F4"/>
    <w:rsid w:val="00B27A1A"/>
    <w:rsid w:val="00B30181"/>
    <w:rsid w:val="00B33588"/>
    <w:rsid w:val="00B33863"/>
    <w:rsid w:val="00B3567E"/>
    <w:rsid w:val="00B37D17"/>
    <w:rsid w:val="00B4175E"/>
    <w:rsid w:val="00B448EA"/>
    <w:rsid w:val="00B452CE"/>
    <w:rsid w:val="00B46316"/>
    <w:rsid w:val="00B469FC"/>
    <w:rsid w:val="00B50545"/>
    <w:rsid w:val="00B544DB"/>
    <w:rsid w:val="00B54C25"/>
    <w:rsid w:val="00B62935"/>
    <w:rsid w:val="00B63962"/>
    <w:rsid w:val="00B72334"/>
    <w:rsid w:val="00B74A82"/>
    <w:rsid w:val="00B74CC4"/>
    <w:rsid w:val="00B750B2"/>
    <w:rsid w:val="00B75A7B"/>
    <w:rsid w:val="00B76B91"/>
    <w:rsid w:val="00B77EB1"/>
    <w:rsid w:val="00B811C6"/>
    <w:rsid w:val="00B85A87"/>
    <w:rsid w:val="00B92E08"/>
    <w:rsid w:val="00B93B96"/>
    <w:rsid w:val="00B96EBE"/>
    <w:rsid w:val="00BA2C62"/>
    <w:rsid w:val="00BB2B65"/>
    <w:rsid w:val="00BC00DE"/>
    <w:rsid w:val="00BC1E71"/>
    <w:rsid w:val="00BC4666"/>
    <w:rsid w:val="00BC622A"/>
    <w:rsid w:val="00BD45E3"/>
    <w:rsid w:val="00BE05B2"/>
    <w:rsid w:val="00BE0A78"/>
    <w:rsid w:val="00BE32A6"/>
    <w:rsid w:val="00BE5B4E"/>
    <w:rsid w:val="00BE6252"/>
    <w:rsid w:val="00BE79F0"/>
    <w:rsid w:val="00BF046D"/>
    <w:rsid w:val="00BF1190"/>
    <w:rsid w:val="00BF39D2"/>
    <w:rsid w:val="00BF4FAD"/>
    <w:rsid w:val="00BF54F4"/>
    <w:rsid w:val="00BF5D04"/>
    <w:rsid w:val="00BF6B48"/>
    <w:rsid w:val="00C00746"/>
    <w:rsid w:val="00C1164D"/>
    <w:rsid w:val="00C137CE"/>
    <w:rsid w:val="00C16762"/>
    <w:rsid w:val="00C16861"/>
    <w:rsid w:val="00C1687C"/>
    <w:rsid w:val="00C22678"/>
    <w:rsid w:val="00C23AC2"/>
    <w:rsid w:val="00C24259"/>
    <w:rsid w:val="00C24BF9"/>
    <w:rsid w:val="00C31B4E"/>
    <w:rsid w:val="00C404A6"/>
    <w:rsid w:val="00C40A36"/>
    <w:rsid w:val="00C44390"/>
    <w:rsid w:val="00C44419"/>
    <w:rsid w:val="00C45E7B"/>
    <w:rsid w:val="00C4625F"/>
    <w:rsid w:val="00C471B1"/>
    <w:rsid w:val="00C55776"/>
    <w:rsid w:val="00C61364"/>
    <w:rsid w:val="00C618F7"/>
    <w:rsid w:val="00C6316B"/>
    <w:rsid w:val="00C634A9"/>
    <w:rsid w:val="00C64586"/>
    <w:rsid w:val="00C66B0C"/>
    <w:rsid w:val="00C70D53"/>
    <w:rsid w:val="00C73D0B"/>
    <w:rsid w:val="00C772FF"/>
    <w:rsid w:val="00C801AF"/>
    <w:rsid w:val="00C80256"/>
    <w:rsid w:val="00C80881"/>
    <w:rsid w:val="00C811C0"/>
    <w:rsid w:val="00C81CA2"/>
    <w:rsid w:val="00C83D84"/>
    <w:rsid w:val="00C8645F"/>
    <w:rsid w:val="00C87E20"/>
    <w:rsid w:val="00C94C92"/>
    <w:rsid w:val="00CA0420"/>
    <w:rsid w:val="00CB2D7E"/>
    <w:rsid w:val="00CB6BC0"/>
    <w:rsid w:val="00CC1B7C"/>
    <w:rsid w:val="00CC6492"/>
    <w:rsid w:val="00CC727F"/>
    <w:rsid w:val="00CD5AB6"/>
    <w:rsid w:val="00CD5AC0"/>
    <w:rsid w:val="00CE46EB"/>
    <w:rsid w:val="00CF031C"/>
    <w:rsid w:val="00CF078D"/>
    <w:rsid w:val="00CF095C"/>
    <w:rsid w:val="00CF15C3"/>
    <w:rsid w:val="00CF2B6F"/>
    <w:rsid w:val="00CF58B6"/>
    <w:rsid w:val="00D00520"/>
    <w:rsid w:val="00D017ED"/>
    <w:rsid w:val="00D0231E"/>
    <w:rsid w:val="00D040D3"/>
    <w:rsid w:val="00D04C65"/>
    <w:rsid w:val="00D070DB"/>
    <w:rsid w:val="00D10524"/>
    <w:rsid w:val="00D16DD2"/>
    <w:rsid w:val="00D1733A"/>
    <w:rsid w:val="00D224FE"/>
    <w:rsid w:val="00D22AB5"/>
    <w:rsid w:val="00D256D3"/>
    <w:rsid w:val="00D41EFE"/>
    <w:rsid w:val="00D52D07"/>
    <w:rsid w:val="00D53A31"/>
    <w:rsid w:val="00D60751"/>
    <w:rsid w:val="00D645C7"/>
    <w:rsid w:val="00D6493E"/>
    <w:rsid w:val="00D7301E"/>
    <w:rsid w:val="00D81CC1"/>
    <w:rsid w:val="00D82798"/>
    <w:rsid w:val="00D83AE1"/>
    <w:rsid w:val="00D855D4"/>
    <w:rsid w:val="00D862B3"/>
    <w:rsid w:val="00D87961"/>
    <w:rsid w:val="00D93466"/>
    <w:rsid w:val="00DA1124"/>
    <w:rsid w:val="00DA71CC"/>
    <w:rsid w:val="00DB1790"/>
    <w:rsid w:val="00DB31CD"/>
    <w:rsid w:val="00DB4914"/>
    <w:rsid w:val="00DB75B7"/>
    <w:rsid w:val="00DC156B"/>
    <w:rsid w:val="00DC6E02"/>
    <w:rsid w:val="00DD0AD2"/>
    <w:rsid w:val="00DD553F"/>
    <w:rsid w:val="00DE02AE"/>
    <w:rsid w:val="00DE255F"/>
    <w:rsid w:val="00DE4967"/>
    <w:rsid w:val="00DF1D7F"/>
    <w:rsid w:val="00DF1DD2"/>
    <w:rsid w:val="00DF3C44"/>
    <w:rsid w:val="00DF4BE4"/>
    <w:rsid w:val="00DF5C2C"/>
    <w:rsid w:val="00E02FB4"/>
    <w:rsid w:val="00E07F15"/>
    <w:rsid w:val="00E131C1"/>
    <w:rsid w:val="00E202DE"/>
    <w:rsid w:val="00E20571"/>
    <w:rsid w:val="00E235F7"/>
    <w:rsid w:val="00E23659"/>
    <w:rsid w:val="00E239D4"/>
    <w:rsid w:val="00E243A4"/>
    <w:rsid w:val="00E25C48"/>
    <w:rsid w:val="00E26130"/>
    <w:rsid w:val="00E2741C"/>
    <w:rsid w:val="00E31AFA"/>
    <w:rsid w:val="00E35488"/>
    <w:rsid w:val="00E407A3"/>
    <w:rsid w:val="00E40B22"/>
    <w:rsid w:val="00E45619"/>
    <w:rsid w:val="00E4588F"/>
    <w:rsid w:val="00E46DA3"/>
    <w:rsid w:val="00E51857"/>
    <w:rsid w:val="00E51BB1"/>
    <w:rsid w:val="00E6213A"/>
    <w:rsid w:val="00E624A5"/>
    <w:rsid w:val="00E6492D"/>
    <w:rsid w:val="00E709F7"/>
    <w:rsid w:val="00E7344E"/>
    <w:rsid w:val="00E76E3D"/>
    <w:rsid w:val="00E77B22"/>
    <w:rsid w:val="00E80FB0"/>
    <w:rsid w:val="00E835B9"/>
    <w:rsid w:val="00E912FA"/>
    <w:rsid w:val="00E936E3"/>
    <w:rsid w:val="00E979F4"/>
    <w:rsid w:val="00EB0798"/>
    <w:rsid w:val="00EB23FC"/>
    <w:rsid w:val="00EB2B60"/>
    <w:rsid w:val="00EB30D2"/>
    <w:rsid w:val="00EB40AD"/>
    <w:rsid w:val="00EB4658"/>
    <w:rsid w:val="00EB586E"/>
    <w:rsid w:val="00EB5FC8"/>
    <w:rsid w:val="00EB7086"/>
    <w:rsid w:val="00EC7215"/>
    <w:rsid w:val="00ED35B5"/>
    <w:rsid w:val="00ED3CAD"/>
    <w:rsid w:val="00ED5A41"/>
    <w:rsid w:val="00ED7B07"/>
    <w:rsid w:val="00EE1DE8"/>
    <w:rsid w:val="00EE24C5"/>
    <w:rsid w:val="00EE47DB"/>
    <w:rsid w:val="00EF2434"/>
    <w:rsid w:val="00EF4038"/>
    <w:rsid w:val="00EF7198"/>
    <w:rsid w:val="00F01007"/>
    <w:rsid w:val="00F02A54"/>
    <w:rsid w:val="00F033EC"/>
    <w:rsid w:val="00F04584"/>
    <w:rsid w:val="00F04F68"/>
    <w:rsid w:val="00F12670"/>
    <w:rsid w:val="00F14B27"/>
    <w:rsid w:val="00F207B3"/>
    <w:rsid w:val="00F242EE"/>
    <w:rsid w:val="00F24FBD"/>
    <w:rsid w:val="00F3148D"/>
    <w:rsid w:val="00F325C5"/>
    <w:rsid w:val="00F32FE0"/>
    <w:rsid w:val="00F3415E"/>
    <w:rsid w:val="00F35298"/>
    <w:rsid w:val="00F35B51"/>
    <w:rsid w:val="00F40D0B"/>
    <w:rsid w:val="00F413F7"/>
    <w:rsid w:val="00F4267E"/>
    <w:rsid w:val="00F458EC"/>
    <w:rsid w:val="00F47333"/>
    <w:rsid w:val="00F47E37"/>
    <w:rsid w:val="00F50040"/>
    <w:rsid w:val="00F53C07"/>
    <w:rsid w:val="00F54B65"/>
    <w:rsid w:val="00F555AA"/>
    <w:rsid w:val="00F562B2"/>
    <w:rsid w:val="00F57D39"/>
    <w:rsid w:val="00F63152"/>
    <w:rsid w:val="00F63744"/>
    <w:rsid w:val="00F640B6"/>
    <w:rsid w:val="00F716B9"/>
    <w:rsid w:val="00F7213E"/>
    <w:rsid w:val="00F72EA6"/>
    <w:rsid w:val="00F75B73"/>
    <w:rsid w:val="00F80E40"/>
    <w:rsid w:val="00F8171B"/>
    <w:rsid w:val="00F81E90"/>
    <w:rsid w:val="00F822F2"/>
    <w:rsid w:val="00F848D9"/>
    <w:rsid w:val="00F87E50"/>
    <w:rsid w:val="00F905A6"/>
    <w:rsid w:val="00F93C9C"/>
    <w:rsid w:val="00F948E8"/>
    <w:rsid w:val="00F96131"/>
    <w:rsid w:val="00FA1E57"/>
    <w:rsid w:val="00FA5B82"/>
    <w:rsid w:val="00FA5CFB"/>
    <w:rsid w:val="00FA639E"/>
    <w:rsid w:val="00FC25E4"/>
    <w:rsid w:val="00FC4EF7"/>
    <w:rsid w:val="00FE1DEE"/>
    <w:rsid w:val="00FE1DF4"/>
    <w:rsid w:val="00FE25A7"/>
    <w:rsid w:val="00FF2126"/>
    <w:rsid w:val="00FF403E"/>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iPriority="0" w:unhideWhenUsed="0"/>
    <w:lsdException w:name="footer" w:semiHidden="0" w:unhideWhenUsed="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Body Text Indent" w:uiPriority="0"/>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6F1D37"/>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8"/>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DC156B"/>
    <w:pPr>
      <w:keepNext/>
      <w:keepLines/>
      <w:numPr>
        <w:ilvl w:val="1"/>
        <w:numId w:val="8"/>
      </w:numPr>
      <w:adjustRightInd w:val="0"/>
      <w:snapToGrid w:val="0"/>
      <w:spacing w:before="400" w:line="220" w:lineRule="atLeast"/>
      <w:ind w:left="907" w:hanging="794"/>
      <w:outlineLvl w:val="2"/>
    </w:pPr>
    <w:rPr>
      <w:rFonts w:ascii="Arial" w:eastAsia="Times New Roman" w:hAnsi="Arial"/>
      <w:b/>
      <w:bCs/>
      <w:sz w:val="26"/>
      <w:szCs w:val="21"/>
      <w:lang w:eastAsia="ja-JP"/>
    </w:rPr>
  </w:style>
  <w:style w:type="paragraph" w:styleId="Heading4">
    <w:name w:val="heading 4"/>
    <w:basedOn w:val="Normal"/>
    <w:next w:val="Normal"/>
    <w:link w:val="Heading4Char"/>
    <w:qFormat/>
    <w:rsid w:val="008D770F"/>
    <w:pPr>
      <w:keepNext/>
      <w:numPr>
        <w:ilvl w:val="2"/>
        <w:numId w:val="8"/>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qFormat/>
    <w:rsid w:val="00906445"/>
    <w:pPr>
      <w:keepNext/>
      <w:keepLines/>
      <w:numPr>
        <w:ilvl w:val="3"/>
        <w:numId w:val="8"/>
      </w:numPr>
      <w:spacing w:line="220" w:lineRule="atLeast"/>
      <w:ind w:left="1304" w:hanging="1077"/>
      <w:outlineLvl w:val="4"/>
    </w:pPr>
    <w:rPr>
      <w:rFonts w:eastAsia="Times New Roman"/>
      <w:b/>
      <w:bCs/>
      <w:i/>
      <w:color w:val="001523"/>
      <w:szCs w:val="21"/>
    </w:rPr>
  </w:style>
  <w:style w:type="paragraph" w:styleId="Heading6">
    <w:name w:val="heading 6"/>
    <w:basedOn w:val="Normal"/>
    <w:next w:val="Normal"/>
    <w:link w:val="Heading6Char"/>
    <w:qFormat/>
    <w:rsid w:val="007F3E00"/>
    <w:pPr>
      <w:keepNext/>
      <w:spacing w:line="220" w:lineRule="atLeast"/>
      <w:ind w:left="284"/>
      <w:outlineLvl w:val="5"/>
    </w:pPr>
    <w:rPr>
      <w:rFonts w:eastAsia="Times New Roman"/>
      <w:bCs/>
      <w:i/>
      <w:szCs w:val="21"/>
    </w:rPr>
  </w:style>
  <w:style w:type="paragraph" w:styleId="Heading7">
    <w:name w:val="heading 7"/>
    <w:basedOn w:val="Normal"/>
    <w:next w:val="Normal"/>
    <w:link w:val="Heading7Char"/>
    <w:qFormat/>
    <w:rsid w:val="007F3E00"/>
    <w:pPr>
      <w:keepNext/>
      <w:spacing w:after="60" w:line="180" w:lineRule="atLeast"/>
      <w:ind w:left="397"/>
      <w:outlineLvl w:val="6"/>
    </w:pPr>
    <w:rPr>
      <w:rFonts w:eastAsia="Times New Roman"/>
      <w:bCs/>
      <w:sz w:val="18"/>
      <w:szCs w:val="24"/>
    </w:rPr>
  </w:style>
  <w:style w:type="paragraph" w:styleId="Heading8">
    <w:name w:val="heading 8"/>
    <w:basedOn w:val="Normal"/>
    <w:next w:val="Normal"/>
    <w:link w:val="Heading8Char"/>
    <w:unhideWhenUsed/>
    <w:qFormat/>
    <w:rsid w:val="009B310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9C740E"/>
    <w:pPr>
      <w:keepNext/>
      <w:spacing w:before="0" w:line="240" w:lineRule="auto"/>
      <w:outlineLvl w:val="8"/>
    </w:pPr>
    <w:rPr>
      <w:rFonts w:ascii="Arial" w:eastAsia="Times New Roman" w:hAnsi="Arial" w:cs="Arial"/>
      <w:kern w:val="16"/>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lang w:eastAsia="ja-JP"/>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DC156B"/>
    <w:rPr>
      <w:rFonts w:ascii="Arial" w:eastAsia="Times New Roman" w:hAnsi="Arial" w:cs="Times New Roman"/>
      <w:b/>
      <w:bCs/>
      <w:sz w:val="26"/>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character" w:styleId="FollowedHyperlink">
    <w:name w:val="FollowedHyperlink"/>
    <w:basedOn w:val="DefaultParagraphFont"/>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906445"/>
    <w:rPr>
      <w:rFonts w:ascii="Cambria" w:eastAsia="Times New Roman" w:hAnsi="Cambria" w:cs="Times New Roman"/>
      <w:b/>
      <w:bCs/>
      <w:i/>
      <w:color w:val="001523"/>
      <w:szCs w:val="21"/>
    </w:rPr>
  </w:style>
  <w:style w:type="character" w:customStyle="1" w:styleId="Heading6Char">
    <w:name w:val="Heading 6 Char"/>
    <w:basedOn w:val="DefaultParagraphFont"/>
    <w:link w:val="Heading6"/>
    <w:rsid w:val="007F3E00"/>
    <w:rPr>
      <w:rFonts w:ascii="Cambria" w:eastAsia="Times New Roman" w:hAnsi="Cambria" w:cs="Times New Roman"/>
      <w:bCs/>
      <w:i/>
      <w:szCs w:val="21"/>
    </w:rPr>
  </w:style>
  <w:style w:type="character" w:customStyle="1" w:styleId="Heading7Char">
    <w:name w:val="Heading 7 Char"/>
    <w:basedOn w:val="DefaultParagraphFont"/>
    <w:link w:val="Heading7"/>
    <w:rsid w:val="007F3E00"/>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6"/>
      </w:numPr>
    </w:pPr>
  </w:style>
  <w:style w:type="paragraph" w:styleId="ListBullet2">
    <w:name w:val="List Bullet 2"/>
    <w:basedOn w:val="Normal"/>
    <w:uiPriority w:val="99"/>
    <w:qFormat/>
    <w:rsid w:val="004C2DCA"/>
    <w:pPr>
      <w:numPr>
        <w:ilvl w:val="1"/>
        <w:numId w:val="6"/>
      </w:numPr>
    </w:pPr>
  </w:style>
  <w:style w:type="paragraph" w:styleId="ListBullet3">
    <w:name w:val="List Bullet 3"/>
    <w:basedOn w:val="Normal"/>
    <w:uiPriority w:val="99"/>
    <w:qFormat/>
    <w:rsid w:val="004C2DCA"/>
    <w:pPr>
      <w:numPr>
        <w:ilvl w:val="2"/>
        <w:numId w:val="6"/>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7"/>
      </w:numPr>
    </w:pPr>
  </w:style>
  <w:style w:type="paragraph" w:customStyle="1" w:styleId="Numberbullet2">
    <w:name w:val="Number bullet 2"/>
    <w:basedOn w:val="ListBullet2"/>
    <w:qFormat/>
    <w:rsid w:val="004C2DCA"/>
    <w:pPr>
      <w:numPr>
        <w:numId w:val="7"/>
      </w:numPr>
    </w:pPr>
  </w:style>
  <w:style w:type="paragraph" w:customStyle="1" w:styleId="Numberbullet3">
    <w:name w:val="Number bullet 3"/>
    <w:basedOn w:val="ListBullet3"/>
    <w:qFormat/>
    <w:rsid w:val="004C2DCA"/>
    <w:pPr>
      <w:numPr>
        <w:numId w:val="7"/>
      </w:numPr>
    </w:pPr>
  </w:style>
  <w:style w:type="numbering" w:customStyle="1" w:styleId="NumberBullet">
    <w:name w:val="NumberBullet"/>
    <w:uiPriority w:val="99"/>
    <w:locked/>
    <w:rsid w:val="00F3148D"/>
    <w:pPr>
      <w:numPr>
        <w:numId w:val="5"/>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Quotation">
    <w:name w:val="Quotation"/>
    <w:basedOn w:val="Normal"/>
    <w:next w:val="Normal"/>
    <w:uiPriority w:val="4"/>
    <w:qFormat/>
    <w:rsid w:val="00994C95"/>
    <w:pPr>
      <w:spacing w:after="180"/>
      <w:ind w:left="425"/>
    </w:pPr>
    <w:rPr>
      <w:rFonts w:cstheme="minorBidi"/>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Tabletitle">
    <w:name w:val="Table title"/>
    <w:basedOn w:val="Normal"/>
    <w:next w:val="Normal"/>
    <w:rsid w:val="00994C95"/>
    <w:pPr>
      <w:keepNext/>
      <w:spacing w:after="180"/>
      <w:outlineLvl w:val="4"/>
    </w:pPr>
    <w:rPr>
      <w:rFonts w:cstheme="minorBidi"/>
      <w:b/>
    </w:rPr>
  </w:style>
  <w:style w:type="paragraph" w:customStyle="1" w:styleId="Comment">
    <w:name w:val="Comment"/>
    <w:basedOn w:val="Normal"/>
    <w:next w:val="Normal"/>
    <w:uiPriority w:val="1"/>
    <w:qFormat/>
    <w:rsid w:val="00C137CE"/>
    <w:pPr>
      <w:ind w:left="1134" w:hanging="1134"/>
    </w:pPr>
  </w:style>
  <w:style w:type="character" w:styleId="CommentReference">
    <w:name w:val="annotation reference"/>
    <w:basedOn w:val="DefaultParagraphFont"/>
    <w:unhideWhenUsed/>
    <w:rsid w:val="001C657B"/>
    <w:rPr>
      <w:sz w:val="16"/>
      <w:szCs w:val="16"/>
    </w:rPr>
  </w:style>
  <w:style w:type="paragraph" w:styleId="CommentText">
    <w:name w:val="annotation text"/>
    <w:basedOn w:val="Normal"/>
    <w:link w:val="CommentTextChar"/>
    <w:unhideWhenUsed/>
    <w:rsid w:val="001C657B"/>
    <w:pPr>
      <w:spacing w:line="240" w:lineRule="auto"/>
    </w:pPr>
    <w:rPr>
      <w:sz w:val="20"/>
      <w:szCs w:val="20"/>
    </w:rPr>
  </w:style>
  <w:style w:type="character" w:customStyle="1" w:styleId="CommentTextChar">
    <w:name w:val="Comment Text Char"/>
    <w:basedOn w:val="DefaultParagraphFont"/>
    <w:link w:val="CommentText"/>
    <w:rsid w:val="001C657B"/>
    <w:rPr>
      <w:rFonts w:ascii="Cambria" w:eastAsia="Cambria" w:hAnsi="Cambria" w:cs="Times New Roman"/>
      <w:sz w:val="20"/>
      <w:szCs w:val="20"/>
    </w:rPr>
  </w:style>
  <w:style w:type="paragraph" w:styleId="CommentSubject">
    <w:name w:val="annotation subject"/>
    <w:basedOn w:val="CommentText"/>
    <w:next w:val="CommentText"/>
    <w:link w:val="CommentSubjectChar"/>
    <w:unhideWhenUsed/>
    <w:rsid w:val="001C657B"/>
    <w:rPr>
      <w:b/>
      <w:bCs/>
    </w:rPr>
  </w:style>
  <w:style w:type="character" w:customStyle="1" w:styleId="CommentSubjectChar">
    <w:name w:val="Comment Subject Char"/>
    <w:basedOn w:val="CommentTextChar"/>
    <w:link w:val="CommentSubject"/>
    <w:rsid w:val="001C657B"/>
    <w:rPr>
      <w:rFonts w:ascii="Cambria" w:eastAsia="Cambria" w:hAnsi="Cambria" w:cs="Times New Roman"/>
      <w:b/>
      <w:bCs/>
      <w:sz w:val="20"/>
      <w:szCs w:val="20"/>
    </w:rPr>
  </w:style>
  <w:style w:type="paragraph" w:styleId="Revision">
    <w:name w:val="Revision"/>
    <w:hidden/>
    <w:uiPriority w:val="99"/>
    <w:semiHidden/>
    <w:rsid w:val="006B4C50"/>
    <w:pPr>
      <w:spacing w:after="0" w:line="240" w:lineRule="auto"/>
    </w:pPr>
    <w:rPr>
      <w:rFonts w:ascii="Cambria" w:eastAsia="Cambria" w:hAnsi="Cambria" w:cs="Times New Roman"/>
    </w:rPr>
  </w:style>
  <w:style w:type="paragraph" w:styleId="EndnoteText">
    <w:name w:val="endnote text"/>
    <w:basedOn w:val="Normal"/>
    <w:link w:val="EndnoteTextChar"/>
    <w:semiHidden/>
    <w:unhideWhenUsed/>
    <w:rsid w:val="004910B2"/>
    <w:pPr>
      <w:spacing w:before="0" w:after="0" w:line="240" w:lineRule="auto"/>
    </w:pPr>
    <w:rPr>
      <w:sz w:val="20"/>
      <w:szCs w:val="20"/>
    </w:rPr>
  </w:style>
  <w:style w:type="character" w:customStyle="1" w:styleId="EndnoteTextChar">
    <w:name w:val="Endnote Text Char"/>
    <w:basedOn w:val="DefaultParagraphFont"/>
    <w:link w:val="EndnoteText"/>
    <w:semiHidden/>
    <w:rsid w:val="004910B2"/>
    <w:rPr>
      <w:rFonts w:ascii="Cambria" w:eastAsia="Cambria" w:hAnsi="Cambria" w:cs="Times New Roman"/>
      <w:sz w:val="20"/>
      <w:szCs w:val="20"/>
    </w:rPr>
  </w:style>
  <w:style w:type="character" w:styleId="EndnoteReference">
    <w:name w:val="endnote reference"/>
    <w:basedOn w:val="DefaultParagraphFont"/>
    <w:semiHidden/>
    <w:unhideWhenUsed/>
    <w:rsid w:val="004910B2"/>
    <w:rPr>
      <w:vertAlign w:val="superscript"/>
    </w:rPr>
  </w:style>
  <w:style w:type="character" w:styleId="PageNumber">
    <w:name w:val="page number"/>
    <w:basedOn w:val="DefaultParagraphFont"/>
    <w:unhideWhenUsed/>
    <w:rsid w:val="004A270C"/>
  </w:style>
  <w:style w:type="paragraph" w:styleId="ListParagraph">
    <w:name w:val="List Paragraph"/>
    <w:basedOn w:val="Normal"/>
    <w:uiPriority w:val="34"/>
    <w:qFormat/>
    <w:rsid w:val="00EB30D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eastAsia="Times New Roman"/>
      <w:kern w:val="16"/>
      <w:szCs w:val="24"/>
      <w:lang w:eastAsia="en-AU"/>
    </w:rPr>
  </w:style>
  <w:style w:type="paragraph" w:customStyle="1" w:styleId="Default">
    <w:name w:val="Default"/>
    <w:rsid w:val="00EB30D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Bullet1">
    <w:name w:val="Bullet 1"/>
    <w:basedOn w:val="Normal"/>
    <w:link w:val="Bullet1Char"/>
    <w:rsid w:val="0011710C"/>
    <w:pPr>
      <w:numPr>
        <w:numId w:val="10"/>
      </w:numPr>
      <w:tabs>
        <w:tab w:val="clear" w:pos="284"/>
      </w:tabs>
      <w:spacing w:after="0" w:line="240" w:lineRule="auto"/>
    </w:pPr>
    <w:rPr>
      <w:rFonts w:eastAsia="Times New Roman"/>
      <w:kern w:val="24"/>
      <w:szCs w:val="24"/>
      <w:lang w:eastAsia="en-AU"/>
    </w:rPr>
  </w:style>
  <w:style w:type="paragraph" w:customStyle="1" w:styleId="Bullet2">
    <w:name w:val="Bullet 2"/>
    <w:basedOn w:val="Bullet1"/>
    <w:rsid w:val="0011710C"/>
    <w:pPr>
      <w:numPr>
        <w:numId w:val="11"/>
      </w:numPr>
    </w:pPr>
  </w:style>
  <w:style w:type="table" w:customStyle="1" w:styleId="TableGrid1">
    <w:name w:val="Table Grid1"/>
    <w:basedOn w:val="TableNormal"/>
    <w:next w:val="TableGrid"/>
    <w:rsid w:val="00480A5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26B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B0A2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B0A2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rsid w:val="009B3100"/>
    <w:rPr>
      <w:rFonts w:asciiTheme="majorHAnsi" w:eastAsiaTheme="majorEastAsia" w:hAnsiTheme="majorHAnsi" w:cstheme="majorBidi"/>
      <w:color w:val="404040" w:themeColor="text1" w:themeTint="BF"/>
      <w:sz w:val="20"/>
      <w:szCs w:val="20"/>
    </w:rPr>
  </w:style>
  <w:style w:type="paragraph" w:customStyle="1" w:styleId="Comment2">
    <w:name w:val="Comment 2"/>
    <w:basedOn w:val="Normal"/>
    <w:qFormat/>
    <w:rsid w:val="009C740E"/>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pPr>
    <w:rPr>
      <w:rFonts w:ascii="Calibri" w:eastAsia="Times New Roman" w:hAnsi="Calibri" w:cs="Arial"/>
      <w:kern w:val="16"/>
      <w:lang w:eastAsia="en-AU"/>
    </w:rPr>
  </w:style>
  <w:style w:type="paragraph" w:customStyle="1" w:styleId="Comment1">
    <w:name w:val="Comment 1"/>
    <w:basedOn w:val="Normal"/>
    <w:next w:val="Comment2"/>
    <w:qFormat/>
    <w:rsid w:val="009C740E"/>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character" w:customStyle="1" w:styleId="Heading9Char">
    <w:name w:val="Heading 9 Char"/>
    <w:basedOn w:val="DefaultParagraphFont"/>
    <w:link w:val="Heading9"/>
    <w:rsid w:val="009C740E"/>
    <w:rPr>
      <w:rFonts w:ascii="Arial" w:eastAsia="Times New Roman" w:hAnsi="Arial" w:cs="Arial"/>
      <w:kern w:val="16"/>
      <w:u w:val="single"/>
      <w:lang w:eastAsia="en-AU"/>
    </w:rPr>
  </w:style>
  <w:style w:type="numbering" w:customStyle="1" w:styleId="NoList1">
    <w:name w:val="No List1"/>
    <w:next w:val="NoList"/>
    <w:uiPriority w:val="99"/>
    <w:semiHidden/>
    <w:unhideWhenUsed/>
    <w:rsid w:val="009C740E"/>
  </w:style>
  <w:style w:type="paragraph" w:customStyle="1" w:styleId="Heading0inTOC">
    <w:name w:val="Heading 0 (in TOC)"/>
    <w:basedOn w:val="Heading1"/>
    <w:next w:val="Normal"/>
    <w:rsid w:val="009C740E"/>
    <w:pPr>
      <w:keepLines w:val="0"/>
      <w:numPr>
        <w:numId w:val="0"/>
      </w:numPr>
      <w:adjustRightInd/>
      <w:snapToGrid/>
      <w:spacing w:before="0" w:after="120" w:line="240" w:lineRule="auto"/>
    </w:pPr>
    <w:rPr>
      <w:rFonts w:ascii="Arial" w:hAnsi="Arial" w:cs="Times New Roman"/>
      <w:bCs w:val="0"/>
      <w:kern w:val="16"/>
      <w:sz w:val="28"/>
      <w:szCs w:val="24"/>
      <w:lang w:eastAsia="en-AU"/>
    </w:rPr>
  </w:style>
  <w:style w:type="paragraph" w:customStyle="1" w:styleId="TableBullet">
    <w:name w:val="Table Bullet"/>
    <w:basedOn w:val="Normal"/>
    <w:rsid w:val="009C740E"/>
    <w:pPr>
      <w:numPr>
        <w:numId w:val="1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4"/>
      <w:lang w:eastAsia="en-AU"/>
    </w:rPr>
  </w:style>
  <w:style w:type="table" w:customStyle="1" w:styleId="TableGrid5">
    <w:name w:val="Table Grid5"/>
    <w:basedOn w:val="TableNormal"/>
    <w:next w:val="TableGrid"/>
    <w:rsid w:val="009C74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uiPriority w:val="39"/>
    <w:rsid w:val="009C740E"/>
    <w:pPr>
      <w:tabs>
        <w:tab w:val="left" w:pos="1247"/>
        <w:tab w:val="right" w:leader="dot" w:pos="9356"/>
      </w:tabs>
      <w:spacing w:before="0" w:after="0" w:line="240" w:lineRule="auto"/>
      <w:ind w:left="1247" w:hanging="907"/>
    </w:pPr>
    <w:rPr>
      <w:rFonts w:eastAsia="Times New Roman"/>
      <w:kern w:val="16"/>
      <w:sz w:val="20"/>
      <w:szCs w:val="24"/>
      <w:lang w:eastAsia="en-AU"/>
    </w:rPr>
  </w:style>
  <w:style w:type="paragraph" w:styleId="TOC5">
    <w:name w:val="toc 5"/>
    <w:basedOn w:val="Normal"/>
    <w:next w:val="Normal"/>
    <w:uiPriority w:val="39"/>
    <w:rsid w:val="009C740E"/>
    <w:pPr>
      <w:spacing w:before="0" w:after="0" w:line="240" w:lineRule="auto"/>
      <w:ind w:left="454"/>
    </w:pPr>
    <w:rPr>
      <w:rFonts w:eastAsia="Times New Roman"/>
      <w:kern w:val="16"/>
      <w:sz w:val="20"/>
      <w:szCs w:val="24"/>
      <w:lang w:eastAsia="en-AU"/>
    </w:rPr>
  </w:style>
  <w:style w:type="paragraph" w:styleId="TOC6">
    <w:name w:val="toc 6"/>
    <w:basedOn w:val="Normal"/>
    <w:next w:val="Normal"/>
    <w:uiPriority w:val="39"/>
    <w:rsid w:val="009C740E"/>
    <w:pPr>
      <w:spacing w:before="0" w:after="0" w:line="240" w:lineRule="auto"/>
      <w:ind w:left="567"/>
    </w:pPr>
    <w:rPr>
      <w:rFonts w:eastAsia="Times New Roman"/>
      <w:kern w:val="16"/>
      <w:sz w:val="20"/>
      <w:szCs w:val="24"/>
      <w:lang w:eastAsia="en-AU"/>
    </w:rPr>
  </w:style>
  <w:style w:type="paragraph" w:styleId="TOC7">
    <w:name w:val="toc 7"/>
    <w:basedOn w:val="Normal"/>
    <w:next w:val="Normal"/>
    <w:uiPriority w:val="39"/>
    <w:rsid w:val="009C740E"/>
    <w:pPr>
      <w:spacing w:before="0" w:after="0" w:line="240" w:lineRule="auto"/>
      <w:ind w:left="680"/>
    </w:pPr>
    <w:rPr>
      <w:rFonts w:eastAsia="Times New Roman"/>
      <w:kern w:val="16"/>
      <w:sz w:val="20"/>
      <w:szCs w:val="24"/>
      <w:lang w:eastAsia="en-AU"/>
    </w:rPr>
  </w:style>
  <w:style w:type="paragraph" w:styleId="TOC8">
    <w:name w:val="toc 8"/>
    <w:basedOn w:val="Normal"/>
    <w:next w:val="Normal"/>
    <w:uiPriority w:val="39"/>
    <w:rsid w:val="009C740E"/>
    <w:pPr>
      <w:spacing w:before="0" w:after="0" w:line="240" w:lineRule="auto"/>
      <w:ind w:left="907"/>
    </w:pPr>
    <w:rPr>
      <w:rFonts w:eastAsia="Times New Roman"/>
      <w:kern w:val="16"/>
      <w:sz w:val="20"/>
      <w:szCs w:val="24"/>
      <w:lang w:eastAsia="en-AU"/>
    </w:rPr>
  </w:style>
  <w:style w:type="paragraph" w:styleId="TOC9">
    <w:name w:val="toc 9"/>
    <w:basedOn w:val="Normal"/>
    <w:next w:val="Normal"/>
    <w:uiPriority w:val="39"/>
    <w:rsid w:val="009C740E"/>
    <w:pPr>
      <w:spacing w:before="0" w:after="0" w:line="240" w:lineRule="auto"/>
      <w:ind w:left="1134"/>
    </w:pPr>
    <w:rPr>
      <w:rFonts w:eastAsia="Times New Roman"/>
      <w:kern w:val="16"/>
      <w:sz w:val="20"/>
      <w:szCs w:val="24"/>
      <w:lang w:eastAsia="en-AU"/>
    </w:rPr>
  </w:style>
  <w:style w:type="paragraph" w:styleId="FootnoteText">
    <w:name w:val="footnote text"/>
    <w:basedOn w:val="Normal"/>
    <w:link w:val="FootnoteTextChar"/>
    <w:rsid w:val="009C74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0"/>
      <w:lang w:eastAsia="en-AU"/>
    </w:rPr>
  </w:style>
  <w:style w:type="character" w:customStyle="1" w:styleId="FootnoteTextChar">
    <w:name w:val="Footnote Text Char"/>
    <w:basedOn w:val="DefaultParagraphFont"/>
    <w:link w:val="FootnoteText"/>
    <w:rsid w:val="009C740E"/>
    <w:rPr>
      <w:rFonts w:ascii="Cambria" w:eastAsia="Times New Roman" w:hAnsi="Cambria" w:cs="Times New Roman"/>
      <w:kern w:val="16"/>
      <w:sz w:val="20"/>
      <w:szCs w:val="20"/>
      <w:lang w:eastAsia="en-AU"/>
    </w:rPr>
  </w:style>
  <w:style w:type="character" w:styleId="FootnoteReference">
    <w:name w:val="footnote reference"/>
    <w:rsid w:val="009C740E"/>
    <w:rPr>
      <w:vertAlign w:val="superscript"/>
    </w:rPr>
  </w:style>
  <w:style w:type="paragraph" w:customStyle="1" w:styleId="Abbreviations">
    <w:name w:val="Abbreviations"/>
    <w:basedOn w:val="Normal"/>
    <w:rsid w:val="009C740E"/>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paragraph" w:styleId="TableofFigures">
    <w:name w:val="table of figures"/>
    <w:basedOn w:val="Normal"/>
    <w:next w:val="Normal"/>
    <w:uiPriority w:val="99"/>
    <w:rsid w:val="009C740E"/>
    <w:pPr>
      <w:spacing w:before="0" w:after="0" w:line="240" w:lineRule="auto"/>
      <w:ind w:left="1134" w:hanging="1134"/>
    </w:pPr>
    <w:rPr>
      <w:rFonts w:eastAsia="Times New Roman" w:cs="Calibri"/>
      <w:kern w:val="16"/>
      <w:szCs w:val="20"/>
      <w:lang w:eastAsia="en-AU"/>
    </w:rPr>
  </w:style>
  <w:style w:type="paragraph" w:customStyle="1" w:styleId="CommentDot">
    <w:name w:val="Comment Dot"/>
    <w:basedOn w:val="Comment2"/>
    <w:qFormat/>
    <w:rsid w:val="009C740E"/>
    <w:pPr>
      <w:numPr>
        <w:numId w:val="13"/>
      </w:numPr>
      <w:tabs>
        <w:tab w:val="clear" w:pos="1134"/>
      </w:tabs>
      <w:spacing w:before="120"/>
      <w:ind w:left="1418" w:hanging="284"/>
    </w:pPr>
  </w:style>
  <w:style w:type="paragraph" w:customStyle="1" w:styleId="Instructions1">
    <w:name w:val="Instructions 1"/>
    <w:basedOn w:val="Normal"/>
    <w:qFormat/>
    <w:rsid w:val="009C740E"/>
    <w:pPr>
      <w:pBdr>
        <w:top w:val="single" w:sz="4" w:space="1" w:color="FF0000"/>
        <w:left w:val="single" w:sz="4" w:space="4" w:color="FF0000"/>
        <w:bottom w:val="single" w:sz="4" w:space="1" w:color="FF0000"/>
        <w:right w:val="single" w:sz="4" w:space="4" w:color="FF0000"/>
      </w:pBdr>
      <w:tabs>
        <w:tab w:val="left" w:pos="318"/>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60" w:line="240" w:lineRule="auto"/>
    </w:pPr>
    <w:rPr>
      <w:rFonts w:ascii="Calibri" w:eastAsia="Times New Roman" w:hAnsi="Calibri" w:cs="Calibri"/>
      <w:color w:val="FF0000"/>
      <w:kern w:val="16"/>
      <w:lang w:eastAsia="en-AU"/>
    </w:rPr>
  </w:style>
  <w:style w:type="paragraph" w:customStyle="1" w:styleId="Instructions2">
    <w:name w:val="Instructions 2"/>
    <w:basedOn w:val="Normal"/>
    <w:qFormat/>
    <w:rsid w:val="009C740E"/>
    <w:pPr>
      <w:numPr>
        <w:numId w:val="14"/>
      </w:numPr>
      <w:pBdr>
        <w:top w:val="single" w:sz="4" w:space="1" w:color="FF0000"/>
        <w:left w:val="single" w:sz="4" w:space="4" w:color="FF0000"/>
        <w:bottom w:val="single" w:sz="4" w:space="1" w:color="FF0000"/>
        <w:right w:val="single" w:sz="4" w:space="4" w:color="FF0000"/>
      </w:pBdr>
      <w:tabs>
        <w:tab w:val="left" w:pos="17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60" w:line="240" w:lineRule="auto"/>
      <w:ind w:left="170" w:hanging="170"/>
    </w:pPr>
    <w:rPr>
      <w:rFonts w:ascii="Calibri" w:eastAsia="Times New Roman" w:hAnsi="Calibri" w:cs="Calibri"/>
      <w:color w:val="FF0000"/>
      <w:kern w:val="16"/>
      <w:lang w:eastAsia="en-AU"/>
    </w:rPr>
  </w:style>
  <w:style w:type="paragraph" w:customStyle="1" w:styleId="Contentslist1">
    <w:name w:val="Contents list 1"/>
    <w:basedOn w:val="Normal"/>
    <w:qFormat/>
    <w:rsid w:val="009C740E"/>
    <w:pPr>
      <w:tabs>
        <w:tab w:val="right" w:leader="dot" w:pos="9356"/>
      </w:tabs>
      <w:spacing w:line="240" w:lineRule="auto"/>
    </w:pPr>
    <w:rPr>
      <w:rFonts w:eastAsia="Times New Roman"/>
      <w:b/>
      <w:kern w:val="16"/>
      <w:sz w:val="20"/>
      <w:szCs w:val="24"/>
      <w:lang w:eastAsia="en-AU"/>
    </w:rPr>
  </w:style>
  <w:style w:type="paragraph" w:customStyle="1" w:styleId="Contentslist2">
    <w:name w:val="Contents list 2"/>
    <w:basedOn w:val="Contentslist1"/>
    <w:qFormat/>
    <w:rsid w:val="009C740E"/>
    <w:pPr>
      <w:spacing w:before="0" w:after="0"/>
    </w:pPr>
    <w:rPr>
      <w:b w:val="0"/>
    </w:rPr>
  </w:style>
  <w:style w:type="paragraph" w:styleId="DocumentMap">
    <w:name w:val="Document Map"/>
    <w:basedOn w:val="Normal"/>
    <w:link w:val="DocumentMapChar"/>
    <w:rsid w:val="009C74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ascii="Lucida Grande" w:eastAsia="Times New Roman" w:hAnsi="Lucida Grande"/>
      <w:kern w:val="16"/>
      <w:sz w:val="24"/>
      <w:szCs w:val="24"/>
      <w:lang w:eastAsia="en-AU"/>
    </w:rPr>
  </w:style>
  <w:style w:type="character" w:customStyle="1" w:styleId="DocumentMapChar">
    <w:name w:val="Document Map Char"/>
    <w:basedOn w:val="DefaultParagraphFont"/>
    <w:link w:val="DocumentMap"/>
    <w:rsid w:val="009C740E"/>
    <w:rPr>
      <w:rFonts w:ascii="Lucida Grande" w:eastAsia="Times New Roman" w:hAnsi="Lucida Grande" w:cs="Times New Roman"/>
      <w:kern w:val="16"/>
      <w:sz w:val="24"/>
      <w:szCs w:val="24"/>
      <w:lang w:eastAsia="en-AU"/>
    </w:rPr>
  </w:style>
  <w:style w:type="paragraph" w:styleId="BodyTextIndent">
    <w:name w:val="Body Text Indent"/>
    <w:basedOn w:val="Normal"/>
    <w:link w:val="BodyTextIndentChar"/>
    <w:rsid w:val="009C74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line="240" w:lineRule="auto"/>
      <w:ind w:left="283"/>
    </w:pPr>
    <w:rPr>
      <w:rFonts w:eastAsia="Times New Roman"/>
      <w:kern w:val="16"/>
      <w:szCs w:val="24"/>
      <w:lang w:eastAsia="en-AU"/>
    </w:rPr>
  </w:style>
  <w:style w:type="character" w:customStyle="1" w:styleId="BodyTextIndentChar">
    <w:name w:val="Body Text Indent Char"/>
    <w:basedOn w:val="DefaultParagraphFont"/>
    <w:link w:val="BodyTextIndent"/>
    <w:rsid w:val="009C740E"/>
    <w:rPr>
      <w:rFonts w:ascii="Cambria" w:eastAsia="Times New Roman" w:hAnsi="Cambria" w:cs="Times New Roman"/>
      <w:kern w:val="16"/>
      <w:szCs w:val="24"/>
      <w:lang w:eastAsia="en-AU"/>
    </w:rPr>
  </w:style>
  <w:style w:type="numbering" w:customStyle="1" w:styleId="NoList2">
    <w:name w:val="No List2"/>
    <w:next w:val="NoList"/>
    <w:uiPriority w:val="99"/>
    <w:semiHidden/>
    <w:unhideWhenUsed/>
    <w:rsid w:val="00295C34"/>
  </w:style>
  <w:style w:type="table" w:customStyle="1" w:styleId="TableGrid6">
    <w:name w:val="Table Grid6"/>
    <w:basedOn w:val="TableNormal"/>
    <w:next w:val="TableGrid"/>
    <w:rsid w:val="00295C3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Bullet1"/>
    <w:link w:val="Style1Char"/>
    <w:qFormat/>
    <w:rsid w:val="00341788"/>
    <w:pPr>
      <w:numPr>
        <w:numId w:val="1"/>
      </w:numPr>
    </w:pPr>
  </w:style>
  <w:style w:type="character" w:customStyle="1" w:styleId="Style1Char">
    <w:name w:val="Style1 Char"/>
    <w:basedOn w:val="DefaultParagraphFont"/>
    <w:link w:val="Style1"/>
    <w:rsid w:val="00341788"/>
    <w:rPr>
      <w:rFonts w:ascii="Cambria" w:eastAsia="Times New Roman" w:hAnsi="Cambria" w:cs="Times New Roman"/>
      <w:kern w:val="24"/>
      <w:szCs w:val="24"/>
      <w:lang w:eastAsia="en-AU"/>
    </w:rPr>
  </w:style>
  <w:style w:type="character" w:customStyle="1" w:styleId="Bullet1Char">
    <w:name w:val="Bullet 1 Char"/>
    <w:basedOn w:val="DefaultParagraphFont"/>
    <w:link w:val="Bullet1"/>
    <w:rsid w:val="00341788"/>
    <w:rPr>
      <w:rFonts w:ascii="Cambria" w:eastAsia="Times New Roman" w:hAnsi="Cambria" w:cs="Times New Roman"/>
      <w:kern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iPriority="0" w:unhideWhenUsed="0"/>
    <w:lsdException w:name="footer" w:semiHidden="0" w:unhideWhenUsed="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Body Text Indent" w:uiPriority="0"/>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6F1D37"/>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8"/>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DC156B"/>
    <w:pPr>
      <w:keepNext/>
      <w:keepLines/>
      <w:numPr>
        <w:ilvl w:val="1"/>
        <w:numId w:val="8"/>
      </w:numPr>
      <w:adjustRightInd w:val="0"/>
      <w:snapToGrid w:val="0"/>
      <w:spacing w:before="400" w:line="220" w:lineRule="atLeast"/>
      <w:ind w:left="907" w:hanging="794"/>
      <w:outlineLvl w:val="2"/>
    </w:pPr>
    <w:rPr>
      <w:rFonts w:ascii="Arial" w:eastAsia="Times New Roman" w:hAnsi="Arial"/>
      <w:b/>
      <w:bCs/>
      <w:sz w:val="26"/>
      <w:szCs w:val="21"/>
      <w:lang w:eastAsia="ja-JP"/>
    </w:rPr>
  </w:style>
  <w:style w:type="paragraph" w:styleId="Heading4">
    <w:name w:val="heading 4"/>
    <w:basedOn w:val="Normal"/>
    <w:next w:val="Normal"/>
    <w:link w:val="Heading4Char"/>
    <w:qFormat/>
    <w:rsid w:val="008D770F"/>
    <w:pPr>
      <w:keepNext/>
      <w:numPr>
        <w:ilvl w:val="2"/>
        <w:numId w:val="8"/>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qFormat/>
    <w:rsid w:val="00906445"/>
    <w:pPr>
      <w:keepNext/>
      <w:keepLines/>
      <w:numPr>
        <w:ilvl w:val="3"/>
        <w:numId w:val="8"/>
      </w:numPr>
      <w:spacing w:line="220" w:lineRule="atLeast"/>
      <w:ind w:left="1304" w:hanging="1077"/>
      <w:outlineLvl w:val="4"/>
    </w:pPr>
    <w:rPr>
      <w:rFonts w:eastAsia="Times New Roman"/>
      <w:b/>
      <w:bCs/>
      <w:i/>
      <w:color w:val="001523"/>
      <w:szCs w:val="21"/>
    </w:rPr>
  </w:style>
  <w:style w:type="paragraph" w:styleId="Heading6">
    <w:name w:val="heading 6"/>
    <w:basedOn w:val="Normal"/>
    <w:next w:val="Normal"/>
    <w:link w:val="Heading6Char"/>
    <w:qFormat/>
    <w:rsid w:val="007F3E00"/>
    <w:pPr>
      <w:keepNext/>
      <w:spacing w:line="220" w:lineRule="atLeast"/>
      <w:ind w:left="284"/>
      <w:outlineLvl w:val="5"/>
    </w:pPr>
    <w:rPr>
      <w:rFonts w:eastAsia="Times New Roman"/>
      <w:bCs/>
      <w:i/>
      <w:szCs w:val="21"/>
    </w:rPr>
  </w:style>
  <w:style w:type="paragraph" w:styleId="Heading7">
    <w:name w:val="heading 7"/>
    <w:basedOn w:val="Normal"/>
    <w:next w:val="Normal"/>
    <w:link w:val="Heading7Char"/>
    <w:qFormat/>
    <w:rsid w:val="007F3E00"/>
    <w:pPr>
      <w:keepNext/>
      <w:spacing w:after="60" w:line="180" w:lineRule="atLeast"/>
      <w:ind w:left="397"/>
      <w:outlineLvl w:val="6"/>
    </w:pPr>
    <w:rPr>
      <w:rFonts w:eastAsia="Times New Roman"/>
      <w:bCs/>
      <w:sz w:val="18"/>
      <w:szCs w:val="24"/>
    </w:rPr>
  </w:style>
  <w:style w:type="paragraph" w:styleId="Heading8">
    <w:name w:val="heading 8"/>
    <w:basedOn w:val="Normal"/>
    <w:next w:val="Normal"/>
    <w:link w:val="Heading8Char"/>
    <w:unhideWhenUsed/>
    <w:qFormat/>
    <w:rsid w:val="009B310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9C740E"/>
    <w:pPr>
      <w:keepNext/>
      <w:spacing w:before="0" w:line="240" w:lineRule="auto"/>
      <w:outlineLvl w:val="8"/>
    </w:pPr>
    <w:rPr>
      <w:rFonts w:ascii="Arial" w:eastAsia="Times New Roman" w:hAnsi="Arial" w:cs="Arial"/>
      <w:kern w:val="16"/>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lang w:eastAsia="ja-JP"/>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DC156B"/>
    <w:rPr>
      <w:rFonts w:ascii="Arial" w:eastAsia="Times New Roman" w:hAnsi="Arial" w:cs="Times New Roman"/>
      <w:b/>
      <w:bCs/>
      <w:sz w:val="26"/>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character" w:styleId="FollowedHyperlink">
    <w:name w:val="FollowedHyperlink"/>
    <w:basedOn w:val="DefaultParagraphFont"/>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906445"/>
    <w:rPr>
      <w:rFonts w:ascii="Cambria" w:eastAsia="Times New Roman" w:hAnsi="Cambria" w:cs="Times New Roman"/>
      <w:b/>
      <w:bCs/>
      <w:i/>
      <w:color w:val="001523"/>
      <w:szCs w:val="21"/>
    </w:rPr>
  </w:style>
  <w:style w:type="character" w:customStyle="1" w:styleId="Heading6Char">
    <w:name w:val="Heading 6 Char"/>
    <w:basedOn w:val="DefaultParagraphFont"/>
    <w:link w:val="Heading6"/>
    <w:rsid w:val="007F3E00"/>
    <w:rPr>
      <w:rFonts w:ascii="Cambria" w:eastAsia="Times New Roman" w:hAnsi="Cambria" w:cs="Times New Roman"/>
      <w:bCs/>
      <w:i/>
      <w:szCs w:val="21"/>
    </w:rPr>
  </w:style>
  <w:style w:type="character" w:customStyle="1" w:styleId="Heading7Char">
    <w:name w:val="Heading 7 Char"/>
    <w:basedOn w:val="DefaultParagraphFont"/>
    <w:link w:val="Heading7"/>
    <w:rsid w:val="007F3E00"/>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6"/>
      </w:numPr>
    </w:pPr>
  </w:style>
  <w:style w:type="paragraph" w:styleId="ListBullet2">
    <w:name w:val="List Bullet 2"/>
    <w:basedOn w:val="Normal"/>
    <w:uiPriority w:val="99"/>
    <w:qFormat/>
    <w:rsid w:val="004C2DCA"/>
    <w:pPr>
      <w:numPr>
        <w:ilvl w:val="1"/>
        <w:numId w:val="6"/>
      </w:numPr>
    </w:pPr>
  </w:style>
  <w:style w:type="paragraph" w:styleId="ListBullet3">
    <w:name w:val="List Bullet 3"/>
    <w:basedOn w:val="Normal"/>
    <w:uiPriority w:val="99"/>
    <w:qFormat/>
    <w:rsid w:val="004C2DCA"/>
    <w:pPr>
      <w:numPr>
        <w:ilvl w:val="2"/>
        <w:numId w:val="6"/>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7"/>
      </w:numPr>
    </w:pPr>
  </w:style>
  <w:style w:type="paragraph" w:customStyle="1" w:styleId="Numberbullet2">
    <w:name w:val="Number bullet 2"/>
    <w:basedOn w:val="ListBullet2"/>
    <w:qFormat/>
    <w:rsid w:val="004C2DCA"/>
    <w:pPr>
      <w:numPr>
        <w:numId w:val="7"/>
      </w:numPr>
    </w:pPr>
  </w:style>
  <w:style w:type="paragraph" w:customStyle="1" w:styleId="Numberbullet3">
    <w:name w:val="Number bullet 3"/>
    <w:basedOn w:val="ListBullet3"/>
    <w:qFormat/>
    <w:rsid w:val="004C2DCA"/>
    <w:pPr>
      <w:numPr>
        <w:numId w:val="7"/>
      </w:numPr>
    </w:pPr>
  </w:style>
  <w:style w:type="numbering" w:customStyle="1" w:styleId="NumberBullet">
    <w:name w:val="NumberBullet"/>
    <w:uiPriority w:val="99"/>
    <w:locked/>
    <w:rsid w:val="00F3148D"/>
    <w:pPr>
      <w:numPr>
        <w:numId w:val="5"/>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Quotation">
    <w:name w:val="Quotation"/>
    <w:basedOn w:val="Normal"/>
    <w:next w:val="Normal"/>
    <w:uiPriority w:val="4"/>
    <w:qFormat/>
    <w:rsid w:val="00994C95"/>
    <w:pPr>
      <w:spacing w:after="180"/>
      <w:ind w:left="425"/>
    </w:pPr>
    <w:rPr>
      <w:rFonts w:cstheme="minorBidi"/>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Tabletitle">
    <w:name w:val="Table title"/>
    <w:basedOn w:val="Normal"/>
    <w:next w:val="Normal"/>
    <w:rsid w:val="00994C95"/>
    <w:pPr>
      <w:keepNext/>
      <w:spacing w:after="180"/>
      <w:outlineLvl w:val="4"/>
    </w:pPr>
    <w:rPr>
      <w:rFonts w:cstheme="minorBidi"/>
      <w:b/>
    </w:rPr>
  </w:style>
  <w:style w:type="paragraph" w:customStyle="1" w:styleId="Comment">
    <w:name w:val="Comment"/>
    <w:basedOn w:val="Normal"/>
    <w:next w:val="Normal"/>
    <w:uiPriority w:val="1"/>
    <w:qFormat/>
    <w:rsid w:val="00C137CE"/>
    <w:pPr>
      <w:ind w:left="1134" w:hanging="1134"/>
    </w:pPr>
  </w:style>
  <w:style w:type="character" w:styleId="CommentReference">
    <w:name w:val="annotation reference"/>
    <w:basedOn w:val="DefaultParagraphFont"/>
    <w:unhideWhenUsed/>
    <w:rsid w:val="001C657B"/>
    <w:rPr>
      <w:sz w:val="16"/>
      <w:szCs w:val="16"/>
    </w:rPr>
  </w:style>
  <w:style w:type="paragraph" w:styleId="CommentText">
    <w:name w:val="annotation text"/>
    <w:basedOn w:val="Normal"/>
    <w:link w:val="CommentTextChar"/>
    <w:unhideWhenUsed/>
    <w:rsid w:val="001C657B"/>
    <w:pPr>
      <w:spacing w:line="240" w:lineRule="auto"/>
    </w:pPr>
    <w:rPr>
      <w:sz w:val="20"/>
      <w:szCs w:val="20"/>
    </w:rPr>
  </w:style>
  <w:style w:type="character" w:customStyle="1" w:styleId="CommentTextChar">
    <w:name w:val="Comment Text Char"/>
    <w:basedOn w:val="DefaultParagraphFont"/>
    <w:link w:val="CommentText"/>
    <w:rsid w:val="001C657B"/>
    <w:rPr>
      <w:rFonts w:ascii="Cambria" w:eastAsia="Cambria" w:hAnsi="Cambria" w:cs="Times New Roman"/>
      <w:sz w:val="20"/>
      <w:szCs w:val="20"/>
    </w:rPr>
  </w:style>
  <w:style w:type="paragraph" w:styleId="CommentSubject">
    <w:name w:val="annotation subject"/>
    <w:basedOn w:val="CommentText"/>
    <w:next w:val="CommentText"/>
    <w:link w:val="CommentSubjectChar"/>
    <w:unhideWhenUsed/>
    <w:rsid w:val="001C657B"/>
    <w:rPr>
      <w:b/>
      <w:bCs/>
    </w:rPr>
  </w:style>
  <w:style w:type="character" w:customStyle="1" w:styleId="CommentSubjectChar">
    <w:name w:val="Comment Subject Char"/>
    <w:basedOn w:val="CommentTextChar"/>
    <w:link w:val="CommentSubject"/>
    <w:rsid w:val="001C657B"/>
    <w:rPr>
      <w:rFonts w:ascii="Cambria" w:eastAsia="Cambria" w:hAnsi="Cambria" w:cs="Times New Roman"/>
      <w:b/>
      <w:bCs/>
      <w:sz w:val="20"/>
      <w:szCs w:val="20"/>
    </w:rPr>
  </w:style>
  <w:style w:type="paragraph" w:styleId="Revision">
    <w:name w:val="Revision"/>
    <w:hidden/>
    <w:uiPriority w:val="99"/>
    <w:semiHidden/>
    <w:rsid w:val="006B4C50"/>
    <w:pPr>
      <w:spacing w:after="0" w:line="240" w:lineRule="auto"/>
    </w:pPr>
    <w:rPr>
      <w:rFonts w:ascii="Cambria" w:eastAsia="Cambria" w:hAnsi="Cambria" w:cs="Times New Roman"/>
    </w:rPr>
  </w:style>
  <w:style w:type="paragraph" w:styleId="EndnoteText">
    <w:name w:val="endnote text"/>
    <w:basedOn w:val="Normal"/>
    <w:link w:val="EndnoteTextChar"/>
    <w:semiHidden/>
    <w:unhideWhenUsed/>
    <w:rsid w:val="004910B2"/>
    <w:pPr>
      <w:spacing w:before="0" w:after="0" w:line="240" w:lineRule="auto"/>
    </w:pPr>
    <w:rPr>
      <w:sz w:val="20"/>
      <w:szCs w:val="20"/>
    </w:rPr>
  </w:style>
  <w:style w:type="character" w:customStyle="1" w:styleId="EndnoteTextChar">
    <w:name w:val="Endnote Text Char"/>
    <w:basedOn w:val="DefaultParagraphFont"/>
    <w:link w:val="EndnoteText"/>
    <w:semiHidden/>
    <w:rsid w:val="004910B2"/>
    <w:rPr>
      <w:rFonts w:ascii="Cambria" w:eastAsia="Cambria" w:hAnsi="Cambria" w:cs="Times New Roman"/>
      <w:sz w:val="20"/>
      <w:szCs w:val="20"/>
    </w:rPr>
  </w:style>
  <w:style w:type="character" w:styleId="EndnoteReference">
    <w:name w:val="endnote reference"/>
    <w:basedOn w:val="DefaultParagraphFont"/>
    <w:semiHidden/>
    <w:unhideWhenUsed/>
    <w:rsid w:val="004910B2"/>
    <w:rPr>
      <w:vertAlign w:val="superscript"/>
    </w:rPr>
  </w:style>
  <w:style w:type="character" w:styleId="PageNumber">
    <w:name w:val="page number"/>
    <w:basedOn w:val="DefaultParagraphFont"/>
    <w:unhideWhenUsed/>
    <w:rsid w:val="004A270C"/>
  </w:style>
  <w:style w:type="paragraph" w:styleId="ListParagraph">
    <w:name w:val="List Paragraph"/>
    <w:basedOn w:val="Normal"/>
    <w:uiPriority w:val="34"/>
    <w:qFormat/>
    <w:rsid w:val="00EB30D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eastAsia="Times New Roman"/>
      <w:kern w:val="16"/>
      <w:szCs w:val="24"/>
      <w:lang w:eastAsia="en-AU"/>
    </w:rPr>
  </w:style>
  <w:style w:type="paragraph" w:customStyle="1" w:styleId="Default">
    <w:name w:val="Default"/>
    <w:rsid w:val="00EB30D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Bullet1">
    <w:name w:val="Bullet 1"/>
    <w:basedOn w:val="Normal"/>
    <w:link w:val="Bullet1Char"/>
    <w:rsid w:val="0011710C"/>
    <w:pPr>
      <w:numPr>
        <w:numId w:val="10"/>
      </w:numPr>
      <w:tabs>
        <w:tab w:val="clear" w:pos="284"/>
      </w:tabs>
      <w:spacing w:after="0" w:line="240" w:lineRule="auto"/>
    </w:pPr>
    <w:rPr>
      <w:rFonts w:eastAsia="Times New Roman"/>
      <w:kern w:val="24"/>
      <w:szCs w:val="24"/>
      <w:lang w:eastAsia="en-AU"/>
    </w:rPr>
  </w:style>
  <w:style w:type="paragraph" w:customStyle="1" w:styleId="Bullet2">
    <w:name w:val="Bullet 2"/>
    <w:basedOn w:val="Bullet1"/>
    <w:rsid w:val="0011710C"/>
    <w:pPr>
      <w:numPr>
        <w:numId w:val="11"/>
      </w:numPr>
    </w:pPr>
  </w:style>
  <w:style w:type="table" w:customStyle="1" w:styleId="TableGrid1">
    <w:name w:val="Table Grid1"/>
    <w:basedOn w:val="TableNormal"/>
    <w:next w:val="TableGrid"/>
    <w:rsid w:val="00480A5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26B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B0A2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B0A2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rsid w:val="009B3100"/>
    <w:rPr>
      <w:rFonts w:asciiTheme="majorHAnsi" w:eastAsiaTheme="majorEastAsia" w:hAnsiTheme="majorHAnsi" w:cstheme="majorBidi"/>
      <w:color w:val="404040" w:themeColor="text1" w:themeTint="BF"/>
      <w:sz w:val="20"/>
      <w:szCs w:val="20"/>
    </w:rPr>
  </w:style>
  <w:style w:type="paragraph" w:customStyle="1" w:styleId="Comment2">
    <w:name w:val="Comment 2"/>
    <w:basedOn w:val="Normal"/>
    <w:qFormat/>
    <w:rsid w:val="009C740E"/>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pPr>
    <w:rPr>
      <w:rFonts w:ascii="Calibri" w:eastAsia="Times New Roman" w:hAnsi="Calibri" w:cs="Arial"/>
      <w:kern w:val="16"/>
      <w:lang w:eastAsia="en-AU"/>
    </w:rPr>
  </w:style>
  <w:style w:type="paragraph" w:customStyle="1" w:styleId="Comment1">
    <w:name w:val="Comment 1"/>
    <w:basedOn w:val="Normal"/>
    <w:next w:val="Comment2"/>
    <w:qFormat/>
    <w:rsid w:val="009C740E"/>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character" w:customStyle="1" w:styleId="Heading9Char">
    <w:name w:val="Heading 9 Char"/>
    <w:basedOn w:val="DefaultParagraphFont"/>
    <w:link w:val="Heading9"/>
    <w:rsid w:val="009C740E"/>
    <w:rPr>
      <w:rFonts w:ascii="Arial" w:eastAsia="Times New Roman" w:hAnsi="Arial" w:cs="Arial"/>
      <w:kern w:val="16"/>
      <w:u w:val="single"/>
      <w:lang w:eastAsia="en-AU"/>
    </w:rPr>
  </w:style>
  <w:style w:type="numbering" w:customStyle="1" w:styleId="NoList1">
    <w:name w:val="No List1"/>
    <w:next w:val="NoList"/>
    <w:uiPriority w:val="99"/>
    <w:semiHidden/>
    <w:unhideWhenUsed/>
    <w:rsid w:val="009C740E"/>
  </w:style>
  <w:style w:type="paragraph" w:customStyle="1" w:styleId="Heading0inTOC">
    <w:name w:val="Heading 0 (in TOC)"/>
    <w:basedOn w:val="Heading1"/>
    <w:next w:val="Normal"/>
    <w:rsid w:val="009C740E"/>
    <w:pPr>
      <w:keepLines w:val="0"/>
      <w:numPr>
        <w:numId w:val="0"/>
      </w:numPr>
      <w:adjustRightInd/>
      <w:snapToGrid/>
      <w:spacing w:before="0" w:after="120" w:line="240" w:lineRule="auto"/>
    </w:pPr>
    <w:rPr>
      <w:rFonts w:ascii="Arial" w:hAnsi="Arial" w:cs="Times New Roman"/>
      <w:bCs w:val="0"/>
      <w:kern w:val="16"/>
      <w:sz w:val="28"/>
      <w:szCs w:val="24"/>
      <w:lang w:eastAsia="en-AU"/>
    </w:rPr>
  </w:style>
  <w:style w:type="paragraph" w:customStyle="1" w:styleId="TableBullet">
    <w:name w:val="Table Bullet"/>
    <w:basedOn w:val="Normal"/>
    <w:rsid w:val="009C740E"/>
    <w:pPr>
      <w:numPr>
        <w:numId w:val="1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4"/>
      <w:lang w:eastAsia="en-AU"/>
    </w:rPr>
  </w:style>
  <w:style w:type="table" w:customStyle="1" w:styleId="TableGrid5">
    <w:name w:val="Table Grid5"/>
    <w:basedOn w:val="TableNormal"/>
    <w:next w:val="TableGrid"/>
    <w:rsid w:val="009C74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uiPriority w:val="39"/>
    <w:rsid w:val="009C740E"/>
    <w:pPr>
      <w:tabs>
        <w:tab w:val="left" w:pos="1247"/>
        <w:tab w:val="right" w:leader="dot" w:pos="9356"/>
      </w:tabs>
      <w:spacing w:before="0" w:after="0" w:line="240" w:lineRule="auto"/>
      <w:ind w:left="1247" w:hanging="907"/>
    </w:pPr>
    <w:rPr>
      <w:rFonts w:eastAsia="Times New Roman"/>
      <w:kern w:val="16"/>
      <w:sz w:val="20"/>
      <w:szCs w:val="24"/>
      <w:lang w:eastAsia="en-AU"/>
    </w:rPr>
  </w:style>
  <w:style w:type="paragraph" w:styleId="TOC5">
    <w:name w:val="toc 5"/>
    <w:basedOn w:val="Normal"/>
    <w:next w:val="Normal"/>
    <w:uiPriority w:val="39"/>
    <w:rsid w:val="009C740E"/>
    <w:pPr>
      <w:spacing w:before="0" w:after="0" w:line="240" w:lineRule="auto"/>
      <w:ind w:left="454"/>
    </w:pPr>
    <w:rPr>
      <w:rFonts w:eastAsia="Times New Roman"/>
      <w:kern w:val="16"/>
      <w:sz w:val="20"/>
      <w:szCs w:val="24"/>
      <w:lang w:eastAsia="en-AU"/>
    </w:rPr>
  </w:style>
  <w:style w:type="paragraph" w:styleId="TOC6">
    <w:name w:val="toc 6"/>
    <w:basedOn w:val="Normal"/>
    <w:next w:val="Normal"/>
    <w:uiPriority w:val="39"/>
    <w:rsid w:val="009C740E"/>
    <w:pPr>
      <w:spacing w:before="0" w:after="0" w:line="240" w:lineRule="auto"/>
      <w:ind w:left="567"/>
    </w:pPr>
    <w:rPr>
      <w:rFonts w:eastAsia="Times New Roman"/>
      <w:kern w:val="16"/>
      <w:sz w:val="20"/>
      <w:szCs w:val="24"/>
      <w:lang w:eastAsia="en-AU"/>
    </w:rPr>
  </w:style>
  <w:style w:type="paragraph" w:styleId="TOC7">
    <w:name w:val="toc 7"/>
    <w:basedOn w:val="Normal"/>
    <w:next w:val="Normal"/>
    <w:uiPriority w:val="39"/>
    <w:rsid w:val="009C740E"/>
    <w:pPr>
      <w:spacing w:before="0" w:after="0" w:line="240" w:lineRule="auto"/>
      <w:ind w:left="680"/>
    </w:pPr>
    <w:rPr>
      <w:rFonts w:eastAsia="Times New Roman"/>
      <w:kern w:val="16"/>
      <w:sz w:val="20"/>
      <w:szCs w:val="24"/>
      <w:lang w:eastAsia="en-AU"/>
    </w:rPr>
  </w:style>
  <w:style w:type="paragraph" w:styleId="TOC8">
    <w:name w:val="toc 8"/>
    <w:basedOn w:val="Normal"/>
    <w:next w:val="Normal"/>
    <w:uiPriority w:val="39"/>
    <w:rsid w:val="009C740E"/>
    <w:pPr>
      <w:spacing w:before="0" w:after="0" w:line="240" w:lineRule="auto"/>
      <w:ind w:left="907"/>
    </w:pPr>
    <w:rPr>
      <w:rFonts w:eastAsia="Times New Roman"/>
      <w:kern w:val="16"/>
      <w:sz w:val="20"/>
      <w:szCs w:val="24"/>
      <w:lang w:eastAsia="en-AU"/>
    </w:rPr>
  </w:style>
  <w:style w:type="paragraph" w:styleId="TOC9">
    <w:name w:val="toc 9"/>
    <w:basedOn w:val="Normal"/>
    <w:next w:val="Normal"/>
    <w:uiPriority w:val="39"/>
    <w:rsid w:val="009C740E"/>
    <w:pPr>
      <w:spacing w:before="0" w:after="0" w:line="240" w:lineRule="auto"/>
      <w:ind w:left="1134"/>
    </w:pPr>
    <w:rPr>
      <w:rFonts w:eastAsia="Times New Roman"/>
      <w:kern w:val="16"/>
      <w:sz w:val="20"/>
      <w:szCs w:val="24"/>
      <w:lang w:eastAsia="en-AU"/>
    </w:rPr>
  </w:style>
  <w:style w:type="paragraph" w:styleId="FootnoteText">
    <w:name w:val="footnote text"/>
    <w:basedOn w:val="Normal"/>
    <w:link w:val="FootnoteTextChar"/>
    <w:rsid w:val="009C74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0"/>
      <w:lang w:eastAsia="en-AU"/>
    </w:rPr>
  </w:style>
  <w:style w:type="character" w:customStyle="1" w:styleId="FootnoteTextChar">
    <w:name w:val="Footnote Text Char"/>
    <w:basedOn w:val="DefaultParagraphFont"/>
    <w:link w:val="FootnoteText"/>
    <w:rsid w:val="009C740E"/>
    <w:rPr>
      <w:rFonts w:ascii="Cambria" w:eastAsia="Times New Roman" w:hAnsi="Cambria" w:cs="Times New Roman"/>
      <w:kern w:val="16"/>
      <w:sz w:val="20"/>
      <w:szCs w:val="20"/>
      <w:lang w:eastAsia="en-AU"/>
    </w:rPr>
  </w:style>
  <w:style w:type="character" w:styleId="FootnoteReference">
    <w:name w:val="footnote reference"/>
    <w:rsid w:val="009C740E"/>
    <w:rPr>
      <w:vertAlign w:val="superscript"/>
    </w:rPr>
  </w:style>
  <w:style w:type="paragraph" w:customStyle="1" w:styleId="Abbreviations">
    <w:name w:val="Abbreviations"/>
    <w:basedOn w:val="Normal"/>
    <w:rsid w:val="009C740E"/>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paragraph" w:styleId="TableofFigures">
    <w:name w:val="table of figures"/>
    <w:basedOn w:val="Normal"/>
    <w:next w:val="Normal"/>
    <w:uiPriority w:val="99"/>
    <w:rsid w:val="009C740E"/>
    <w:pPr>
      <w:spacing w:before="0" w:after="0" w:line="240" w:lineRule="auto"/>
      <w:ind w:left="1134" w:hanging="1134"/>
    </w:pPr>
    <w:rPr>
      <w:rFonts w:eastAsia="Times New Roman" w:cs="Calibri"/>
      <w:kern w:val="16"/>
      <w:szCs w:val="20"/>
      <w:lang w:eastAsia="en-AU"/>
    </w:rPr>
  </w:style>
  <w:style w:type="paragraph" w:customStyle="1" w:styleId="CommentDot">
    <w:name w:val="Comment Dot"/>
    <w:basedOn w:val="Comment2"/>
    <w:qFormat/>
    <w:rsid w:val="009C740E"/>
    <w:pPr>
      <w:numPr>
        <w:numId w:val="13"/>
      </w:numPr>
      <w:tabs>
        <w:tab w:val="clear" w:pos="1134"/>
      </w:tabs>
      <w:spacing w:before="120"/>
      <w:ind w:left="1418" w:hanging="284"/>
    </w:pPr>
  </w:style>
  <w:style w:type="paragraph" w:customStyle="1" w:styleId="Instructions1">
    <w:name w:val="Instructions 1"/>
    <w:basedOn w:val="Normal"/>
    <w:qFormat/>
    <w:rsid w:val="009C740E"/>
    <w:pPr>
      <w:pBdr>
        <w:top w:val="single" w:sz="4" w:space="1" w:color="FF0000"/>
        <w:left w:val="single" w:sz="4" w:space="4" w:color="FF0000"/>
        <w:bottom w:val="single" w:sz="4" w:space="1" w:color="FF0000"/>
        <w:right w:val="single" w:sz="4" w:space="4" w:color="FF0000"/>
      </w:pBdr>
      <w:tabs>
        <w:tab w:val="left" w:pos="318"/>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60" w:line="240" w:lineRule="auto"/>
    </w:pPr>
    <w:rPr>
      <w:rFonts w:ascii="Calibri" w:eastAsia="Times New Roman" w:hAnsi="Calibri" w:cs="Calibri"/>
      <w:color w:val="FF0000"/>
      <w:kern w:val="16"/>
      <w:lang w:eastAsia="en-AU"/>
    </w:rPr>
  </w:style>
  <w:style w:type="paragraph" w:customStyle="1" w:styleId="Instructions2">
    <w:name w:val="Instructions 2"/>
    <w:basedOn w:val="Normal"/>
    <w:qFormat/>
    <w:rsid w:val="009C740E"/>
    <w:pPr>
      <w:numPr>
        <w:numId w:val="14"/>
      </w:numPr>
      <w:pBdr>
        <w:top w:val="single" w:sz="4" w:space="1" w:color="FF0000"/>
        <w:left w:val="single" w:sz="4" w:space="4" w:color="FF0000"/>
        <w:bottom w:val="single" w:sz="4" w:space="1" w:color="FF0000"/>
        <w:right w:val="single" w:sz="4" w:space="4" w:color="FF0000"/>
      </w:pBdr>
      <w:tabs>
        <w:tab w:val="left" w:pos="17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60" w:line="240" w:lineRule="auto"/>
      <w:ind w:left="170" w:hanging="170"/>
    </w:pPr>
    <w:rPr>
      <w:rFonts w:ascii="Calibri" w:eastAsia="Times New Roman" w:hAnsi="Calibri" w:cs="Calibri"/>
      <w:color w:val="FF0000"/>
      <w:kern w:val="16"/>
      <w:lang w:eastAsia="en-AU"/>
    </w:rPr>
  </w:style>
  <w:style w:type="paragraph" w:customStyle="1" w:styleId="Contentslist1">
    <w:name w:val="Contents list 1"/>
    <w:basedOn w:val="Normal"/>
    <w:qFormat/>
    <w:rsid w:val="009C740E"/>
    <w:pPr>
      <w:tabs>
        <w:tab w:val="right" w:leader="dot" w:pos="9356"/>
      </w:tabs>
      <w:spacing w:line="240" w:lineRule="auto"/>
    </w:pPr>
    <w:rPr>
      <w:rFonts w:eastAsia="Times New Roman"/>
      <w:b/>
      <w:kern w:val="16"/>
      <w:sz w:val="20"/>
      <w:szCs w:val="24"/>
      <w:lang w:eastAsia="en-AU"/>
    </w:rPr>
  </w:style>
  <w:style w:type="paragraph" w:customStyle="1" w:styleId="Contentslist2">
    <w:name w:val="Contents list 2"/>
    <w:basedOn w:val="Contentslist1"/>
    <w:qFormat/>
    <w:rsid w:val="009C740E"/>
    <w:pPr>
      <w:spacing w:before="0" w:after="0"/>
    </w:pPr>
    <w:rPr>
      <w:b w:val="0"/>
    </w:rPr>
  </w:style>
  <w:style w:type="paragraph" w:styleId="DocumentMap">
    <w:name w:val="Document Map"/>
    <w:basedOn w:val="Normal"/>
    <w:link w:val="DocumentMapChar"/>
    <w:rsid w:val="009C74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ascii="Lucida Grande" w:eastAsia="Times New Roman" w:hAnsi="Lucida Grande"/>
      <w:kern w:val="16"/>
      <w:sz w:val="24"/>
      <w:szCs w:val="24"/>
      <w:lang w:eastAsia="en-AU"/>
    </w:rPr>
  </w:style>
  <w:style w:type="character" w:customStyle="1" w:styleId="DocumentMapChar">
    <w:name w:val="Document Map Char"/>
    <w:basedOn w:val="DefaultParagraphFont"/>
    <w:link w:val="DocumentMap"/>
    <w:rsid w:val="009C740E"/>
    <w:rPr>
      <w:rFonts w:ascii="Lucida Grande" w:eastAsia="Times New Roman" w:hAnsi="Lucida Grande" w:cs="Times New Roman"/>
      <w:kern w:val="16"/>
      <w:sz w:val="24"/>
      <w:szCs w:val="24"/>
      <w:lang w:eastAsia="en-AU"/>
    </w:rPr>
  </w:style>
  <w:style w:type="paragraph" w:styleId="BodyTextIndent">
    <w:name w:val="Body Text Indent"/>
    <w:basedOn w:val="Normal"/>
    <w:link w:val="BodyTextIndentChar"/>
    <w:rsid w:val="009C74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line="240" w:lineRule="auto"/>
      <w:ind w:left="283"/>
    </w:pPr>
    <w:rPr>
      <w:rFonts w:eastAsia="Times New Roman"/>
      <w:kern w:val="16"/>
      <w:szCs w:val="24"/>
      <w:lang w:eastAsia="en-AU"/>
    </w:rPr>
  </w:style>
  <w:style w:type="character" w:customStyle="1" w:styleId="BodyTextIndentChar">
    <w:name w:val="Body Text Indent Char"/>
    <w:basedOn w:val="DefaultParagraphFont"/>
    <w:link w:val="BodyTextIndent"/>
    <w:rsid w:val="009C740E"/>
    <w:rPr>
      <w:rFonts w:ascii="Cambria" w:eastAsia="Times New Roman" w:hAnsi="Cambria" w:cs="Times New Roman"/>
      <w:kern w:val="16"/>
      <w:szCs w:val="24"/>
      <w:lang w:eastAsia="en-AU"/>
    </w:rPr>
  </w:style>
  <w:style w:type="numbering" w:customStyle="1" w:styleId="NoList2">
    <w:name w:val="No List2"/>
    <w:next w:val="NoList"/>
    <w:uiPriority w:val="99"/>
    <w:semiHidden/>
    <w:unhideWhenUsed/>
    <w:rsid w:val="00295C34"/>
  </w:style>
  <w:style w:type="table" w:customStyle="1" w:styleId="TableGrid6">
    <w:name w:val="Table Grid6"/>
    <w:basedOn w:val="TableNormal"/>
    <w:next w:val="TableGrid"/>
    <w:rsid w:val="00295C3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Bullet1"/>
    <w:link w:val="Style1Char"/>
    <w:qFormat/>
    <w:rsid w:val="00341788"/>
    <w:pPr>
      <w:numPr>
        <w:numId w:val="1"/>
      </w:numPr>
    </w:pPr>
  </w:style>
  <w:style w:type="character" w:customStyle="1" w:styleId="Style1Char">
    <w:name w:val="Style1 Char"/>
    <w:basedOn w:val="DefaultParagraphFont"/>
    <w:link w:val="Style1"/>
    <w:rsid w:val="00341788"/>
    <w:rPr>
      <w:rFonts w:ascii="Cambria" w:eastAsia="Times New Roman" w:hAnsi="Cambria" w:cs="Times New Roman"/>
      <w:kern w:val="24"/>
      <w:szCs w:val="24"/>
      <w:lang w:eastAsia="en-AU"/>
    </w:rPr>
  </w:style>
  <w:style w:type="character" w:customStyle="1" w:styleId="Bullet1Char">
    <w:name w:val="Bullet 1 Char"/>
    <w:basedOn w:val="DefaultParagraphFont"/>
    <w:link w:val="Bullet1"/>
    <w:rsid w:val="00341788"/>
    <w:rPr>
      <w:rFonts w:ascii="Cambria" w:eastAsia="Times New Roman" w:hAnsi="Cambria" w:cs="Times New Roman"/>
      <w:kern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ga.copyright@tga.gov.au"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www.tga.gov.au" TargetMode="External"/><Relationship Id="rId28" Type="http://schemas.openxmlformats.org/officeDocument/2006/relationships/footer" Target="footer5.xml"/><Relationship Id="rId10" Type="http://schemas.openxmlformats.org/officeDocument/2006/relationships/hyperlink" Target="https://www.tga.gov.au/product-information-pi" TargetMode="External"/><Relationship Id="rId19" Type="http://schemas.openxmlformats.org/officeDocument/2006/relationships/hyperlink" Target="http://www.immpact.org"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footer" Target="footer2.xml"/><Relationship Id="rId22" Type="http://schemas.openxmlformats.org/officeDocument/2006/relationships/hyperlink" Target="mailto:info@tga.gov.au" TargetMode="External"/><Relationship Id="rId27" Type="http://schemas.openxmlformats.org/officeDocument/2006/relationships/header" Target="header5.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nac\AppData\Local\Hewlett-Packard\HP%20TRIM\TEMP\HPTRIM.5792\R13%20453302%20%20Clinical%20Evaluation%20Report%20Extract%20template(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08E44FD2-3F85-4AFB-A0CD-9CD104742263}"/>
      </w:docPartPr>
      <w:docPartBody>
        <w:p w:rsidR="005C587F" w:rsidRDefault="00A82851">
          <w:r w:rsidRPr="0035404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TimesNewRoman">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39E"/>
    <w:rsid w:val="000E2EED"/>
    <w:rsid w:val="00134DEB"/>
    <w:rsid w:val="00173899"/>
    <w:rsid w:val="001C507B"/>
    <w:rsid w:val="002125CB"/>
    <w:rsid w:val="00227F2E"/>
    <w:rsid w:val="002526A9"/>
    <w:rsid w:val="00263271"/>
    <w:rsid w:val="002F6BD6"/>
    <w:rsid w:val="003C6526"/>
    <w:rsid w:val="003D6723"/>
    <w:rsid w:val="003F6DA8"/>
    <w:rsid w:val="00410FA6"/>
    <w:rsid w:val="0047218C"/>
    <w:rsid w:val="005C139E"/>
    <w:rsid w:val="005C587F"/>
    <w:rsid w:val="00612390"/>
    <w:rsid w:val="006152E9"/>
    <w:rsid w:val="006A0654"/>
    <w:rsid w:val="006D1591"/>
    <w:rsid w:val="00770156"/>
    <w:rsid w:val="007A139B"/>
    <w:rsid w:val="008568B3"/>
    <w:rsid w:val="00924360"/>
    <w:rsid w:val="00963B20"/>
    <w:rsid w:val="00971883"/>
    <w:rsid w:val="0098454C"/>
    <w:rsid w:val="009C7BE8"/>
    <w:rsid w:val="00A41F50"/>
    <w:rsid w:val="00A53898"/>
    <w:rsid w:val="00A82851"/>
    <w:rsid w:val="00AB01C4"/>
    <w:rsid w:val="00B62BC8"/>
    <w:rsid w:val="00B8364D"/>
    <w:rsid w:val="00B94F88"/>
    <w:rsid w:val="00BA2BFA"/>
    <w:rsid w:val="00CA621B"/>
    <w:rsid w:val="00CB31F0"/>
    <w:rsid w:val="00CC1689"/>
    <w:rsid w:val="00CC41C9"/>
    <w:rsid w:val="00D45CF2"/>
    <w:rsid w:val="00E04F34"/>
    <w:rsid w:val="00E460F5"/>
    <w:rsid w:val="00E57D58"/>
    <w:rsid w:val="00EF6A77"/>
    <w:rsid w:val="00FA43F9"/>
    <w:rsid w:val="00FD3B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25CB"/>
    <w:rPr>
      <w:color w:val="808080"/>
    </w:rPr>
  </w:style>
  <w:style w:type="paragraph" w:customStyle="1" w:styleId="14433F89A5C34F348B04C5B5C841CB29">
    <w:name w:val="14433F89A5C34F348B04C5B5C841CB29"/>
    <w:rsid w:val="00CB31F0"/>
  </w:style>
  <w:style w:type="paragraph" w:customStyle="1" w:styleId="0F738DA738034AC0AADCD0321D1DA057">
    <w:name w:val="0F738DA738034AC0AADCD0321D1DA057"/>
    <w:rsid w:val="00CB31F0"/>
  </w:style>
  <w:style w:type="paragraph" w:customStyle="1" w:styleId="804EA0F24ADF4118A04EB660FA7749F7">
    <w:name w:val="804EA0F24ADF4118A04EB660FA7749F7"/>
    <w:rsid w:val="00A41F50"/>
  </w:style>
  <w:style w:type="paragraph" w:customStyle="1" w:styleId="542D6A69274A4B3ABB80CFDEC4BC663C">
    <w:name w:val="542D6A69274A4B3ABB80CFDEC4BC663C"/>
    <w:rsid w:val="00A41F50"/>
  </w:style>
  <w:style w:type="paragraph" w:customStyle="1" w:styleId="21FB7BAA7CE44F2DB3BD4776644AF157">
    <w:name w:val="21FB7BAA7CE44F2DB3BD4776644AF157"/>
    <w:rsid w:val="00A53898"/>
  </w:style>
  <w:style w:type="paragraph" w:customStyle="1" w:styleId="38B1045B8F174FF1AF4DE19A3C05FD8F">
    <w:name w:val="38B1045B8F174FF1AF4DE19A3C05FD8F"/>
    <w:rsid w:val="00A53898"/>
  </w:style>
  <w:style w:type="paragraph" w:customStyle="1" w:styleId="54749CFDAE9B4080BC17EBC7169BDBE7">
    <w:name w:val="54749CFDAE9B4080BC17EBC7169BDBE7"/>
    <w:rsid w:val="00A53898"/>
  </w:style>
  <w:style w:type="paragraph" w:customStyle="1" w:styleId="C5F91D26740D49CD86EF39E36AE0F8CD">
    <w:name w:val="C5F91D26740D49CD86EF39E36AE0F8CD"/>
    <w:rsid w:val="00A53898"/>
  </w:style>
  <w:style w:type="paragraph" w:customStyle="1" w:styleId="A386D8C30AC34F4BB0F488554B123E01">
    <w:name w:val="A386D8C30AC34F4BB0F488554B123E01"/>
    <w:rsid w:val="00A53898"/>
  </w:style>
  <w:style w:type="paragraph" w:customStyle="1" w:styleId="4EDF44F55178403B8F9C6C48F91E43B4">
    <w:name w:val="4EDF44F55178403B8F9C6C48F91E43B4"/>
    <w:rsid w:val="00A53898"/>
  </w:style>
  <w:style w:type="paragraph" w:customStyle="1" w:styleId="E6C8C11CCB2543B78693D43B2B75E186">
    <w:name w:val="E6C8C11CCB2543B78693D43B2B75E186"/>
    <w:rsid w:val="00A53898"/>
    <w:pPr>
      <w:spacing w:after="480" w:line="240" w:lineRule="auto"/>
      <w:contextualSpacing/>
    </w:pPr>
    <w:rPr>
      <w:rFonts w:ascii="Arial" w:eastAsia="Times New Roman" w:hAnsi="Arial" w:cs="Times New Roman"/>
      <w:spacing w:val="5"/>
      <w:kern w:val="28"/>
      <w:sz w:val="52"/>
      <w:szCs w:val="52"/>
      <w:lang w:eastAsia="en-US"/>
    </w:rPr>
  </w:style>
  <w:style w:type="paragraph" w:customStyle="1" w:styleId="5E29D3E92B8945D8A6BB17EAEA05C410">
    <w:name w:val="5E29D3E92B8945D8A6BB17EAEA05C410"/>
    <w:rsid w:val="00A53898"/>
    <w:pPr>
      <w:numPr>
        <w:ilvl w:val="1"/>
      </w:numPr>
      <w:spacing w:before="120" w:after="360" w:line="240" w:lineRule="atLeast"/>
      <w:ind w:left="170"/>
    </w:pPr>
    <w:rPr>
      <w:rFonts w:ascii="Arial" w:eastAsia="Times New Roman" w:hAnsi="Arial" w:cs="Times New Roman"/>
      <w:bCs/>
      <w:iCs/>
      <w:sz w:val="40"/>
      <w:szCs w:val="24"/>
      <w:lang w:eastAsia="en-US"/>
    </w:rPr>
  </w:style>
  <w:style w:type="paragraph" w:customStyle="1" w:styleId="E6C8C11CCB2543B78693D43B2B75E1861">
    <w:name w:val="E6C8C11CCB2543B78693D43B2B75E1861"/>
    <w:rsid w:val="00A53898"/>
    <w:pPr>
      <w:spacing w:after="480" w:line="240" w:lineRule="auto"/>
      <w:contextualSpacing/>
    </w:pPr>
    <w:rPr>
      <w:rFonts w:ascii="Arial" w:eastAsia="Times New Roman" w:hAnsi="Arial" w:cs="Times New Roman"/>
      <w:spacing w:val="5"/>
      <w:kern w:val="28"/>
      <w:sz w:val="52"/>
      <w:szCs w:val="52"/>
      <w:lang w:eastAsia="en-US"/>
    </w:rPr>
  </w:style>
  <w:style w:type="paragraph" w:customStyle="1" w:styleId="5E29D3E92B8945D8A6BB17EAEA05C4101">
    <w:name w:val="5E29D3E92B8945D8A6BB17EAEA05C4101"/>
    <w:rsid w:val="00A53898"/>
    <w:pPr>
      <w:numPr>
        <w:ilvl w:val="1"/>
      </w:numPr>
      <w:spacing w:before="120" w:after="360" w:line="240" w:lineRule="atLeast"/>
      <w:ind w:left="170"/>
    </w:pPr>
    <w:rPr>
      <w:rFonts w:ascii="Arial" w:eastAsia="Times New Roman" w:hAnsi="Arial" w:cs="Times New Roman"/>
      <w:bCs/>
      <w:iCs/>
      <w:sz w:val="40"/>
      <w:szCs w:val="24"/>
      <w:lang w:eastAsia="en-US"/>
    </w:rPr>
  </w:style>
  <w:style w:type="paragraph" w:customStyle="1" w:styleId="E6C8C11CCB2543B78693D43B2B75E1862">
    <w:name w:val="E6C8C11CCB2543B78693D43B2B75E1862"/>
    <w:rsid w:val="00A53898"/>
    <w:pPr>
      <w:spacing w:after="480" w:line="240" w:lineRule="auto"/>
      <w:contextualSpacing/>
    </w:pPr>
    <w:rPr>
      <w:rFonts w:ascii="Arial" w:eastAsia="Times New Roman" w:hAnsi="Arial" w:cs="Times New Roman"/>
      <w:spacing w:val="5"/>
      <w:kern w:val="28"/>
      <w:sz w:val="52"/>
      <w:szCs w:val="52"/>
      <w:lang w:eastAsia="en-US"/>
    </w:rPr>
  </w:style>
  <w:style w:type="paragraph" w:customStyle="1" w:styleId="5E29D3E92B8945D8A6BB17EAEA05C4102">
    <w:name w:val="5E29D3E92B8945D8A6BB17EAEA05C4102"/>
    <w:rsid w:val="00A53898"/>
    <w:pPr>
      <w:numPr>
        <w:ilvl w:val="1"/>
      </w:numPr>
      <w:spacing w:before="120" w:after="360" w:line="240" w:lineRule="atLeast"/>
      <w:ind w:left="170"/>
    </w:pPr>
    <w:rPr>
      <w:rFonts w:ascii="Arial" w:eastAsia="Times New Roman" w:hAnsi="Arial" w:cs="Times New Roman"/>
      <w:bCs/>
      <w:iCs/>
      <w:sz w:val="40"/>
      <w:szCs w:val="24"/>
      <w:lang w:eastAsia="en-US"/>
    </w:rPr>
  </w:style>
  <w:style w:type="paragraph" w:customStyle="1" w:styleId="525D259D87234EEA89442E5A6FD87CBB">
    <w:name w:val="525D259D87234EEA89442E5A6FD87CBB"/>
    <w:rsid w:val="0047218C"/>
  </w:style>
  <w:style w:type="paragraph" w:customStyle="1" w:styleId="E76A2053F41B4BE6A676BFB848F89EAF">
    <w:name w:val="E76A2053F41B4BE6A676BFB848F89EAF"/>
    <w:rsid w:val="0047218C"/>
  </w:style>
  <w:style w:type="paragraph" w:customStyle="1" w:styleId="E6C8C11CCB2543B78693D43B2B75E1863">
    <w:name w:val="E6C8C11CCB2543B78693D43B2B75E1863"/>
    <w:rsid w:val="00FA43F9"/>
    <w:pPr>
      <w:spacing w:after="480" w:line="240" w:lineRule="auto"/>
      <w:contextualSpacing/>
    </w:pPr>
    <w:rPr>
      <w:rFonts w:ascii="Arial" w:eastAsia="Times New Roman" w:hAnsi="Arial" w:cs="Times New Roman"/>
      <w:spacing w:val="5"/>
      <w:kern w:val="28"/>
      <w:sz w:val="52"/>
      <w:szCs w:val="52"/>
      <w:lang w:eastAsia="en-US"/>
    </w:rPr>
  </w:style>
  <w:style w:type="paragraph" w:customStyle="1" w:styleId="5E29D3E92B8945D8A6BB17EAEA05C4103">
    <w:name w:val="5E29D3E92B8945D8A6BB17EAEA05C4103"/>
    <w:rsid w:val="00FA43F9"/>
    <w:pPr>
      <w:numPr>
        <w:ilvl w:val="1"/>
      </w:numPr>
      <w:spacing w:before="120" w:after="360" w:line="240" w:lineRule="atLeast"/>
      <w:ind w:left="170"/>
    </w:pPr>
    <w:rPr>
      <w:rFonts w:ascii="Arial" w:eastAsia="Times New Roman" w:hAnsi="Arial" w:cs="Times New Roman"/>
      <w:bCs/>
      <w:iCs/>
      <w:sz w:val="40"/>
      <w:szCs w:val="24"/>
      <w:lang w:eastAsia="en-US"/>
    </w:rPr>
  </w:style>
  <w:style w:type="paragraph" w:customStyle="1" w:styleId="E6C8C11CCB2543B78693D43B2B75E1864">
    <w:name w:val="E6C8C11CCB2543B78693D43B2B75E1864"/>
    <w:rsid w:val="00FA43F9"/>
    <w:pPr>
      <w:spacing w:after="480" w:line="240" w:lineRule="auto"/>
      <w:contextualSpacing/>
    </w:pPr>
    <w:rPr>
      <w:rFonts w:ascii="Arial" w:eastAsia="Times New Roman" w:hAnsi="Arial" w:cs="Times New Roman"/>
      <w:spacing w:val="5"/>
      <w:kern w:val="28"/>
      <w:sz w:val="52"/>
      <w:szCs w:val="52"/>
      <w:lang w:eastAsia="en-US"/>
    </w:rPr>
  </w:style>
  <w:style w:type="paragraph" w:customStyle="1" w:styleId="5E29D3E92B8945D8A6BB17EAEA05C4104">
    <w:name w:val="5E29D3E92B8945D8A6BB17EAEA05C4104"/>
    <w:rsid w:val="00FA43F9"/>
    <w:pPr>
      <w:numPr>
        <w:ilvl w:val="1"/>
      </w:numPr>
      <w:spacing w:before="120" w:after="360" w:line="240" w:lineRule="atLeast"/>
      <w:ind w:left="170"/>
    </w:pPr>
    <w:rPr>
      <w:rFonts w:ascii="Arial" w:eastAsia="Times New Roman" w:hAnsi="Arial" w:cs="Times New Roman"/>
      <w:bCs/>
      <w:iCs/>
      <w:sz w:val="40"/>
      <w:szCs w:val="24"/>
      <w:lang w:eastAsia="en-US"/>
    </w:rPr>
  </w:style>
  <w:style w:type="paragraph" w:customStyle="1" w:styleId="F891860D3DD74B81A16F8E51F690CB33">
    <w:name w:val="F891860D3DD74B81A16F8E51F690CB33"/>
    <w:rsid w:val="006D1591"/>
  </w:style>
  <w:style w:type="paragraph" w:customStyle="1" w:styleId="5FF21BE52F3A47D18AE03948BC5C7BE4">
    <w:name w:val="5FF21BE52F3A47D18AE03948BC5C7BE4"/>
    <w:rsid w:val="006D1591"/>
  </w:style>
  <w:style w:type="paragraph" w:customStyle="1" w:styleId="E62B274F0D064E35BD8B1A09FBA485CC">
    <w:name w:val="E62B274F0D064E35BD8B1A09FBA485CC"/>
    <w:rsid w:val="006D1591"/>
    <w:pPr>
      <w:spacing w:before="120" w:after="120" w:line="240" w:lineRule="atLeast"/>
    </w:pPr>
    <w:rPr>
      <w:rFonts w:ascii="Cambria" w:eastAsia="Cambria" w:hAnsi="Cambria" w:cs="Times New Roman"/>
      <w:lang w:eastAsia="en-US"/>
    </w:rPr>
  </w:style>
  <w:style w:type="paragraph" w:customStyle="1" w:styleId="077A4C770F514A4A81AE8E7819B5D2D4">
    <w:name w:val="077A4C770F514A4A81AE8E7819B5D2D4"/>
    <w:rsid w:val="006D1591"/>
    <w:pPr>
      <w:spacing w:before="120" w:after="120" w:line="240" w:lineRule="atLeast"/>
    </w:pPr>
    <w:rPr>
      <w:rFonts w:ascii="Cambria" w:eastAsia="Cambria" w:hAnsi="Cambria" w:cs="Times New Roman"/>
      <w:lang w:eastAsia="en-US"/>
    </w:rPr>
  </w:style>
  <w:style w:type="paragraph" w:customStyle="1" w:styleId="7514AF28639F4569A56C5A1606ABF3E1">
    <w:name w:val="7514AF28639F4569A56C5A1606ABF3E1"/>
    <w:rsid w:val="006D1591"/>
    <w:pPr>
      <w:spacing w:before="120" w:after="120" w:line="240" w:lineRule="atLeast"/>
    </w:pPr>
    <w:rPr>
      <w:rFonts w:ascii="Cambria" w:eastAsia="Cambria" w:hAnsi="Cambria" w:cs="Times New Roman"/>
      <w:lang w:eastAsia="en-US"/>
    </w:rPr>
  </w:style>
  <w:style w:type="paragraph" w:customStyle="1" w:styleId="7685AA53BBBB4DE4B49A1F242A56CE5C">
    <w:name w:val="7685AA53BBBB4DE4B49A1F242A56CE5C"/>
    <w:rsid w:val="006D1591"/>
    <w:pPr>
      <w:spacing w:before="120" w:after="120" w:line="240" w:lineRule="atLeast"/>
    </w:pPr>
    <w:rPr>
      <w:rFonts w:ascii="Cambria" w:eastAsia="Cambria" w:hAnsi="Cambria" w:cs="Times New Roman"/>
      <w:lang w:eastAsia="en-US"/>
    </w:rPr>
  </w:style>
  <w:style w:type="paragraph" w:customStyle="1" w:styleId="2D50F20B764646549A0B1ACB97E1C51A">
    <w:name w:val="2D50F20B764646549A0B1ACB97E1C51A"/>
    <w:rsid w:val="006D1591"/>
    <w:pPr>
      <w:spacing w:before="120" w:after="120" w:line="240" w:lineRule="atLeast"/>
    </w:pPr>
    <w:rPr>
      <w:rFonts w:ascii="Cambria" w:eastAsia="Cambria" w:hAnsi="Cambria" w:cs="Times New Roman"/>
      <w:lang w:eastAsia="en-US"/>
    </w:rPr>
  </w:style>
  <w:style w:type="paragraph" w:customStyle="1" w:styleId="E62B274F0D064E35BD8B1A09FBA485CC1">
    <w:name w:val="E62B274F0D064E35BD8B1A09FBA485CC1"/>
    <w:rsid w:val="00134DEB"/>
    <w:pPr>
      <w:spacing w:before="120" w:after="120" w:line="240" w:lineRule="atLeast"/>
    </w:pPr>
    <w:rPr>
      <w:rFonts w:ascii="Cambria" w:eastAsia="Cambria" w:hAnsi="Cambria" w:cs="Times New Roman"/>
      <w:lang w:eastAsia="en-US"/>
    </w:rPr>
  </w:style>
  <w:style w:type="paragraph" w:customStyle="1" w:styleId="077A4C770F514A4A81AE8E7819B5D2D41">
    <w:name w:val="077A4C770F514A4A81AE8E7819B5D2D41"/>
    <w:rsid w:val="00134DEB"/>
    <w:pPr>
      <w:spacing w:before="120" w:after="120" w:line="240" w:lineRule="atLeast"/>
    </w:pPr>
    <w:rPr>
      <w:rFonts w:ascii="Cambria" w:eastAsia="Cambria" w:hAnsi="Cambria" w:cs="Times New Roman"/>
      <w:lang w:eastAsia="en-US"/>
    </w:rPr>
  </w:style>
  <w:style w:type="paragraph" w:customStyle="1" w:styleId="7514AF28639F4569A56C5A1606ABF3E11">
    <w:name w:val="7514AF28639F4569A56C5A1606ABF3E11"/>
    <w:rsid w:val="00134DEB"/>
    <w:pPr>
      <w:spacing w:before="120" w:after="120" w:line="240" w:lineRule="atLeast"/>
    </w:pPr>
    <w:rPr>
      <w:rFonts w:ascii="Cambria" w:eastAsia="Cambria" w:hAnsi="Cambria" w:cs="Times New Roman"/>
      <w:lang w:eastAsia="en-US"/>
    </w:rPr>
  </w:style>
  <w:style w:type="paragraph" w:customStyle="1" w:styleId="732825C80B274E4EA6FFF719709F70E8">
    <w:name w:val="732825C80B274E4EA6FFF719709F70E8"/>
    <w:rsid w:val="00134DEB"/>
    <w:pPr>
      <w:spacing w:before="120" w:after="120" w:line="240" w:lineRule="atLeast"/>
    </w:pPr>
    <w:rPr>
      <w:rFonts w:ascii="Cambria" w:eastAsia="Cambria" w:hAnsi="Cambria" w:cs="Times New Roman"/>
      <w:lang w:eastAsia="en-US"/>
    </w:rPr>
  </w:style>
  <w:style w:type="paragraph" w:customStyle="1" w:styleId="30E7C838701E4DE7B377BBC8E34F43FD">
    <w:name w:val="30E7C838701E4DE7B377BBC8E34F43FD"/>
    <w:rsid w:val="00134DEB"/>
    <w:pPr>
      <w:spacing w:before="120" w:after="120" w:line="240" w:lineRule="atLeast"/>
    </w:pPr>
    <w:rPr>
      <w:rFonts w:ascii="Cambria" w:eastAsia="Cambria" w:hAnsi="Cambria" w:cs="Times New Roman"/>
      <w:lang w:eastAsia="en-US"/>
    </w:rPr>
  </w:style>
  <w:style w:type="paragraph" w:customStyle="1" w:styleId="E62B274F0D064E35BD8B1A09FBA485CC2">
    <w:name w:val="E62B274F0D064E35BD8B1A09FBA485CC2"/>
    <w:rsid w:val="00134DEB"/>
    <w:pPr>
      <w:spacing w:before="120" w:after="120" w:line="240" w:lineRule="atLeast"/>
    </w:pPr>
    <w:rPr>
      <w:rFonts w:ascii="Cambria" w:eastAsia="Cambria" w:hAnsi="Cambria" w:cs="Times New Roman"/>
      <w:lang w:eastAsia="en-US"/>
    </w:rPr>
  </w:style>
  <w:style w:type="paragraph" w:customStyle="1" w:styleId="077A4C770F514A4A81AE8E7819B5D2D42">
    <w:name w:val="077A4C770F514A4A81AE8E7819B5D2D42"/>
    <w:rsid w:val="00134DEB"/>
    <w:pPr>
      <w:spacing w:before="120" w:after="120" w:line="240" w:lineRule="atLeast"/>
    </w:pPr>
    <w:rPr>
      <w:rFonts w:ascii="Cambria" w:eastAsia="Cambria" w:hAnsi="Cambria" w:cs="Times New Roman"/>
      <w:lang w:eastAsia="en-US"/>
    </w:rPr>
  </w:style>
  <w:style w:type="paragraph" w:customStyle="1" w:styleId="7514AF28639F4569A56C5A1606ABF3E12">
    <w:name w:val="7514AF28639F4569A56C5A1606ABF3E12"/>
    <w:rsid w:val="00134DEB"/>
    <w:pPr>
      <w:spacing w:before="120" w:after="120" w:line="240" w:lineRule="atLeast"/>
    </w:pPr>
    <w:rPr>
      <w:rFonts w:ascii="Cambria" w:eastAsia="Cambria" w:hAnsi="Cambria" w:cs="Times New Roman"/>
      <w:lang w:eastAsia="en-US"/>
    </w:rPr>
  </w:style>
  <w:style w:type="paragraph" w:customStyle="1" w:styleId="732825C80B274E4EA6FFF719709F70E81">
    <w:name w:val="732825C80B274E4EA6FFF719709F70E81"/>
    <w:rsid w:val="00134DEB"/>
    <w:pPr>
      <w:spacing w:before="120" w:after="120" w:line="240" w:lineRule="atLeast"/>
    </w:pPr>
    <w:rPr>
      <w:rFonts w:ascii="Cambria" w:eastAsia="Cambria" w:hAnsi="Cambria" w:cs="Times New Roman"/>
      <w:lang w:eastAsia="en-US"/>
    </w:rPr>
  </w:style>
  <w:style w:type="paragraph" w:customStyle="1" w:styleId="30E7C838701E4DE7B377BBC8E34F43FD1">
    <w:name w:val="30E7C838701E4DE7B377BBC8E34F43FD1"/>
    <w:rsid w:val="00134DEB"/>
    <w:pPr>
      <w:spacing w:before="120" w:after="120" w:line="240" w:lineRule="atLeast"/>
    </w:pPr>
    <w:rPr>
      <w:rFonts w:ascii="Cambria" w:eastAsia="Cambria" w:hAnsi="Cambria" w:cs="Times New Roman"/>
      <w:lang w:eastAsia="en-US"/>
    </w:rPr>
  </w:style>
  <w:style w:type="paragraph" w:customStyle="1" w:styleId="E62B274F0D064E35BD8B1A09FBA485CC3">
    <w:name w:val="E62B274F0D064E35BD8B1A09FBA485CC3"/>
    <w:rsid w:val="00134DEB"/>
    <w:pPr>
      <w:spacing w:before="120" w:after="120" w:line="240" w:lineRule="atLeast"/>
    </w:pPr>
    <w:rPr>
      <w:rFonts w:ascii="Cambria" w:eastAsia="Cambria" w:hAnsi="Cambria" w:cs="Times New Roman"/>
      <w:lang w:eastAsia="en-US"/>
    </w:rPr>
  </w:style>
  <w:style w:type="paragraph" w:customStyle="1" w:styleId="077A4C770F514A4A81AE8E7819B5D2D43">
    <w:name w:val="077A4C770F514A4A81AE8E7819B5D2D43"/>
    <w:rsid w:val="00134DEB"/>
    <w:pPr>
      <w:spacing w:before="120" w:after="120" w:line="240" w:lineRule="atLeast"/>
    </w:pPr>
    <w:rPr>
      <w:rFonts w:ascii="Cambria" w:eastAsia="Cambria" w:hAnsi="Cambria" w:cs="Times New Roman"/>
      <w:lang w:eastAsia="en-US"/>
    </w:rPr>
  </w:style>
  <w:style w:type="paragraph" w:customStyle="1" w:styleId="7514AF28639F4569A56C5A1606ABF3E13">
    <w:name w:val="7514AF28639F4569A56C5A1606ABF3E13"/>
    <w:rsid w:val="00134DEB"/>
    <w:pPr>
      <w:spacing w:before="120" w:after="120" w:line="240" w:lineRule="atLeast"/>
    </w:pPr>
    <w:rPr>
      <w:rFonts w:ascii="Cambria" w:eastAsia="Cambria" w:hAnsi="Cambria" w:cs="Times New Roman"/>
      <w:lang w:eastAsia="en-US"/>
    </w:rPr>
  </w:style>
  <w:style w:type="paragraph" w:customStyle="1" w:styleId="732825C80B274E4EA6FFF719709F70E82">
    <w:name w:val="732825C80B274E4EA6FFF719709F70E82"/>
    <w:rsid w:val="00134DEB"/>
    <w:pPr>
      <w:spacing w:before="120" w:after="120" w:line="240" w:lineRule="atLeast"/>
    </w:pPr>
    <w:rPr>
      <w:rFonts w:ascii="Cambria" w:eastAsia="Cambria" w:hAnsi="Cambria" w:cs="Times New Roman"/>
      <w:lang w:eastAsia="en-US"/>
    </w:rPr>
  </w:style>
  <w:style w:type="paragraph" w:customStyle="1" w:styleId="30E7C838701E4DE7B377BBC8E34F43FD2">
    <w:name w:val="30E7C838701E4DE7B377BBC8E34F43FD2"/>
    <w:rsid w:val="00134DEB"/>
    <w:pPr>
      <w:spacing w:before="120" w:after="120" w:line="240" w:lineRule="atLeast"/>
    </w:pPr>
    <w:rPr>
      <w:rFonts w:ascii="Cambria" w:eastAsia="Cambria" w:hAnsi="Cambria" w:cs="Times New Roman"/>
      <w:lang w:eastAsia="en-US"/>
    </w:rPr>
  </w:style>
  <w:style w:type="paragraph" w:customStyle="1" w:styleId="719FFE2680A24A55A5B25EDDD121048D">
    <w:name w:val="719FFE2680A24A55A5B25EDDD121048D"/>
    <w:rsid w:val="00134DEB"/>
    <w:pPr>
      <w:spacing w:before="120" w:after="120" w:line="240" w:lineRule="atLeast"/>
    </w:pPr>
    <w:rPr>
      <w:rFonts w:ascii="Cambria" w:eastAsia="Cambria" w:hAnsi="Cambria" w:cs="Times New Roman"/>
      <w:lang w:eastAsia="en-US"/>
    </w:rPr>
  </w:style>
  <w:style w:type="paragraph" w:customStyle="1" w:styleId="E62B274F0D064E35BD8B1A09FBA485CC4">
    <w:name w:val="E62B274F0D064E35BD8B1A09FBA485CC4"/>
    <w:rsid w:val="00134DEB"/>
    <w:pPr>
      <w:spacing w:before="120" w:after="120" w:line="240" w:lineRule="atLeast"/>
    </w:pPr>
    <w:rPr>
      <w:rFonts w:ascii="Cambria" w:eastAsia="Cambria" w:hAnsi="Cambria" w:cs="Times New Roman"/>
      <w:lang w:eastAsia="en-US"/>
    </w:rPr>
  </w:style>
  <w:style w:type="paragraph" w:customStyle="1" w:styleId="077A4C770F514A4A81AE8E7819B5D2D44">
    <w:name w:val="077A4C770F514A4A81AE8E7819B5D2D44"/>
    <w:rsid w:val="00134DEB"/>
    <w:pPr>
      <w:spacing w:before="120" w:after="120" w:line="240" w:lineRule="atLeast"/>
    </w:pPr>
    <w:rPr>
      <w:rFonts w:ascii="Cambria" w:eastAsia="Cambria" w:hAnsi="Cambria" w:cs="Times New Roman"/>
      <w:lang w:eastAsia="en-US"/>
    </w:rPr>
  </w:style>
  <w:style w:type="paragraph" w:customStyle="1" w:styleId="7514AF28639F4569A56C5A1606ABF3E14">
    <w:name w:val="7514AF28639F4569A56C5A1606ABF3E14"/>
    <w:rsid w:val="00134DEB"/>
    <w:pPr>
      <w:spacing w:before="120" w:after="120" w:line="240" w:lineRule="atLeast"/>
    </w:pPr>
    <w:rPr>
      <w:rFonts w:ascii="Cambria" w:eastAsia="Cambria" w:hAnsi="Cambria" w:cs="Times New Roman"/>
      <w:lang w:eastAsia="en-US"/>
    </w:rPr>
  </w:style>
  <w:style w:type="paragraph" w:customStyle="1" w:styleId="E04E094735C24B1BB1480FB223A8036C">
    <w:name w:val="E04E094735C24B1BB1480FB223A8036C"/>
    <w:rsid w:val="00134DEB"/>
    <w:pPr>
      <w:spacing w:before="120" w:after="120" w:line="240" w:lineRule="atLeast"/>
    </w:pPr>
    <w:rPr>
      <w:rFonts w:ascii="Cambria" w:eastAsia="Cambria" w:hAnsi="Cambria" w:cs="Times New Roman"/>
      <w:lang w:eastAsia="en-US"/>
    </w:rPr>
  </w:style>
  <w:style w:type="paragraph" w:customStyle="1" w:styleId="30E7C838701E4DE7B377BBC8E34F43FD3">
    <w:name w:val="30E7C838701E4DE7B377BBC8E34F43FD3"/>
    <w:rsid w:val="00134DEB"/>
    <w:pPr>
      <w:spacing w:before="120" w:after="120" w:line="240" w:lineRule="atLeast"/>
    </w:pPr>
    <w:rPr>
      <w:rFonts w:ascii="Cambria" w:eastAsia="Cambria" w:hAnsi="Cambria" w:cs="Times New Roman"/>
      <w:lang w:eastAsia="en-US"/>
    </w:rPr>
  </w:style>
  <w:style w:type="paragraph" w:customStyle="1" w:styleId="7B42F230B7784FC3A02EE64B8D492DF7">
    <w:name w:val="7B42F230B7784FC3A02EE64B8D492DF7"/>
    <w:rsid w:val="00134DEB"/>
    <w:pPr>
      <w:spacing w:before="120" w:after="120" w:line="240" w:lineRule="atLeast"/>
    </w:pPr>
    <w:rPr>
      <w:rFonts w:ascii="Cambria" w:eastAsia="Cambria" w:hAnsi="Cambria" w:cs="Times New Roman"/>
      <w:lang w:eastAsia="en-US"/>
    </w:rPr>
  </w:style>
  <w:style w:type="paragraph" w:customStyle="1" w:styleId="025AB1B4731D4655BFBFD667C5D5ACD7">
    <w:name w:val="025AB1B4731D4655BFBFD667C5D5ACD7"/>
    <w:rsid w:val="00134DEB"/>
    <w:pPr>
      <w:spacing w:before="120" w:after="120" w:line="240" w:lineRule="atLeast"/>
    </w:pPr>
    <w:rPr>
      <w:rFonts w:ascii="Cambria" w:eastAsia="Cambria" w:hAnsi="Cambria" w:cs="Times New Roman"/>
      <w:lang w:eastAsia="en-US"/>
    </w:rPr>
  </w:style>
  <w:style w:type="paragraph" w:customStyle="1" w:styleId="3C3629B07DBA40169BC96DA83C9EF467">
    <w:name w:val="3C3629B07DBA40169BC96DA83C9EF467"/>
    <w:rsid w:val="00263271"/>
    <w:pPr>
      <w:spacing w:before="120" w:after="120" w:line="240" w:lineRule="atLeast"/>
    </w:pPr>
    <w:rPr>
      <w:rFonts w:ascii="Cambria" w:eastAsia="Cambria" w:hAnsi="Cambria" w:cs="Times New Roman"/>
      <w:lang w:eastAsia="en-US"/>
    </w:rPr>
  </w:style>
  <w:style w:type="paragraph" w:customStyle="1" w:styleId="78821F7374D54F7487E9CBED277A79BE">
    <w:name w:val="78821F7374D54F7487E9CBED277A79BE"/>
    <w:rsid w:val="00263271"/>
    <w:pPr>
      <w:spacing w:before="120" w:after="120" w:line="240" w:lineRule="atLeast"/>
    </w:pPr>
    <w:rPr>
      <w:rFonts w:ascii="Cambria" w:eastAsia="Cambria" w:hAnsi="Cambria" w:cs="Times New Roman"/>
      <w:lang w:eastAsia="en-US"/>
    </w:rPr>
  </w:style>
  <w:style w:type="paragraph" w:customStyle="1" w:styleId="7A878CCB07E44CF99A33DA9317CD47CE">
    <w:name w:val="7A878CCB07E44CF99A33DA9317CD47CE"/>
    <w:rsid w:val="00263271"/>
    <w:pPr>
      <w:spacing w:before="120" w:after="120" w:line="240" w:lineRule="atLeast"/>
    </w:pPr>
    <w:rPr>
      <w:rFonts w:ascii="Cambria" w:eastAsia="Cambria" w:hAnsi="Cambria" w:cs="Times New Roman"/>
      <w:lang w:eastAsia="en-US"/>
    </w:rPr>
  </w:style>
  <w:style w:type="paragraph" w:customStyle="1" w:styleId="990C03ADF1DB4EB8AC40EF148AF10AC4">
    <w:name w:val="990C03ADF1DB4EB8AC40EF148AF10AC4"/>
    <w:rsid w:val="00263271"/>
    <w:pPr>
      <w:spacing w:before="120" w:after="120" w:line="240" w:lineRule="atLeast"/>
    </w:pPr>
    <w:rPr>
      <w:rFonts w:ascii="Cambria" w:eastAsia="Cambria" w:hAnsi="Cambria" w:cs="Times New Roman"/>
      <w:lang w:eastAsia="en-US"/>
    </w:rPr>
  </w:style>
  <w:style w:type="paragraph" w:customStyle="1" w:styleId="CCAA710370D0489EA425E3A781386A7C">
    <w:name w:val="CCAA710370D0489EA425E3A781386A7C"/>
    <w:rsid w:val="00263271"/>
    <w:pPr>
      <w:spacing w:before="120" w:after="120" w:line="240" w:lineRule="atLeast"/>
    </w:pPr>
    <w:rPr>
      <w:rFonts w:ascii="Cambria" w:eastAsia="Cambria" w:hAnsi="Cambria" w:cs="Times New Roman"/>
      <w:lang w:eastAsia="en-US"/>
    </w:rPr>
  </w:style>
  <w:style w:type="paragraph" w:customStyle="1" w:styleId="6AC4E2EF0D6D41EB94628D72C3AEBEFC">
    <w:name w:val="6AC4E2EF0D6D41EB94628D72C3AEBEFC"/>
    <w:rsid w:val="00263271"/>
    <w:pPr>
      <w:spacing w:before="120" w:after="120" w:line="240" w:lineRule="atLeast"/>
    </w:pPr>
    <w:rPr>
      <w:rFonts w:ascii="Cambria" w:eastAsia="Cambria" w:hAnsi="Cambria" w:cs="Times New Roman"/>
      <w:lang w:eastAsia="en-US"/>
    </w:rPr>
  </w:style>
  <w:style w:type="paragraph" w:customStyle="1" w:styleId="0FF6F07DB5134847A06299B7B46A7B29">
    <w:name w:val="0FF6F07DB5134847A06299B7B46A7B29"/>
    <w:rsid w:val="00263271"/>
    <w:pPr>
      <w:spacing w:before="120" w:after="120" w:line="240" w:lineRule="atLeast"/>
    </w:pPr>
    <w:rPr>
      <w:rFonts w:ascii="Cambria" w:eastAsia="Cambria" w:hAnsi="Cambria" w:cs="Times New Roman"/>
      <w:lang w:eastAsia="en-US"/>
    </w:rPr>
  </w:style>
  <w:style w:type="paragraph" w:customStyle="1" w:styleId="16BE63745F284825B3A2C0DD10CD769B">
    <w:name w:val="16BE63745F284825B3A2C0DD10CD769B"/>
    <w:rsid w:val="00263271"/>
    <w:pPr>
      <w:spacing w:before="120" w:after="120" w:line="240" w:lineRule="atLeast"/>
    </w:pPr>
    <w:rPr>
      <w:rFonts w:ascii="Cambria" w:eastAsia="Cambria" w:hAnsi="Cambria" w:cs="Times New Roman"/>
      <w:lang w:eastAsia="en-US"/>
    </w:rPr>
  </w:style>
  <w:style w:type="paragraph" w:customStyle="1" w:styleId="4EF90CC51977495288CA7890EC97BC3B">
    <w:name w:val="4EF90CC51977495288CA7890EC97BC3B"/>
    <w:rsid w:val="00263271"/>
    <w:pPr>
      <w:spacing w:before="120" w:after="120" w:line="240" w:lineRule="atLeast"/>
    </w:pPr>
    <w:rPr>
      <w:rFonts w:ascii="Cambria" w:eastAsia="Cambria" w:hAnsi="Cambria" w:cs="Times New Roman"/>
      <w:lang w:eastAsia="en-US"/>
    </w:rPr>
  </w:style>
  <w:style w:type="paragraph" w:customStyle="1" w:styleId="126C3A1C0B474A9AA11BDEF8ACEC8829">
    <w:name w:val="126C3A1C0B474A9AA11BDEF8ACEC8829"/>
    <w:rsid w:val="00263271"/>
    <w:pPr>
      <w:spacing w:before="120" w:after="120" w:line="240" w:lineRule="atLeast"/>
    </w:pPr>
    <w:rPr>
      <w:rFonts w:ascii="Cambria" w:eastAsia="Cambria" w:hAnsi="Cambria" w:cs="Times New Roman"/>
      <w:lang w:eastAsia="en-US"/>
    </w:rPr>
  </w:style>
  <w:style w:type="paragraph" w:customStyle="1" w:styleId="CB8BEA899EA347EEA25AA34F3DC3C89B">
    <w:name w:val="CB8BEA899EA347EEA25AA34F3DC3C89B"/>
    <w:rsid w:val="00263271"/>
    <w:pPr>
      <w:spacing w:before="120" w:after="120" w:line="240" w:lineRule="atLeast"/>
    </w:pPr>
    <w:rPr>
      <w:rFonts w:ascii="Cambria" w:eastAsia="Cambria" w:hAnsi="Cambria" w:cs="Times New Roman"/>
      <w:lang w:eastAsia="en-US"/>
    </w:rPr>
  </w:style>
  <w:style w:type="paragraph" w:customStyle="1" w:styleId="B76BD1B9CB474FFF809F7464EB1B0D97">
    <w:name w:val="B76BD1B9CB474FFF809F7464EB1B0D97"/>
    <w:rsid w:val="00263271"/>
    <w:pPr>
      <w:spacing w:before="120" w:after="120" w:line="240" w:lineRule="atLeast"/>
    </w:pPr>
    <w:rPr>
      <w:rFonts w:ascii="Cambria" w:eastAsia="Cambria" w:hAnsi="Cambria" w:cs="Times New Roman"/>
      <w:lang w:eastAsia="en-US"/>
    </w:rPr>
  </w:style>
  <w:style w:type="paragraph" w:customStyle="1" w:styleId="92712EE4A9004A5D821F94E2166AE213">
    <w:name w:val="92712EE4A9004A5D821F94E2166AE213"/>
    <w:rsid w:val="00263271"/>
    <w:pPr>
      <w:spacing w:before="120" w:after="120" w:line="240" w:lineRule="atLeast"/>
    </w:pPr>
    <w:rPr>
      <w:rFonts w:ascii="Cambria" w:eastAsia="Cambria" w:hAnsi="Cambria" w:cs="Times New Roman"/>
      <w:lang w:eastAsia="en-US"/>
    </w:rPr>
  </w:style>
  <w:style w:type="paragraph" w:customStyle="1" w:styleId="17D6681FC0074332A302FDA330FACAFC">
    <w:name w:val="17D6681FC0074332A302FDA330FACAFC"/>
    <w:rsid w:val="00263271"/>
    <w:pPr>
      <w:spacing w:before="120" w:after="120" w:line="240" w:lineRule="atLeast"/>
    </w:pPr>
    <w:rPr>
      <w:rFonts w:ascii="Cambria" w:eastAsia="Cambria" w:hAnsi="Cambria" w:cs="Times New Roman"/>
      <w:lang w:eastAsia="en-US"/>
    </w:rPr>
  </w:style>
  <w:style w:type="paragraph" w:customStyle="1" w:styleId="2E94DC8EB36E45418F9DC389C4F80336">
    <w:name w:val="2E94DC8EB36E45418F9DC389C4F80336"/>
    <w:rsid w:val="00263271"/>
    <w:pPr>
      <w:spacing w:before="120" w:after="120" w:line="240" w:lineRule="atLeast"/>
    </w:pPr>
    <w:rPr>
      <w:rFonts w:ascii="Cambria" w:eastAsia="Cambria" w:hAnsi="Cambria" w:cs="Times New Roman"/>
      <w:lang w:eastAsia="en-US"/>
    </w:rPr>
  </w:style>
  <w:style w:type="paragraph" w:customStyle="1" w:styleId="6C2C2009D15D4EAC815494D35C00BAC6">
    <w:name w:val="6C2C2009D15D4EAC815494D35C00BAC6"/>
    <w:rsid w:val="00263271"/>
    <w:pPr>
      <w:spacing w:before="120" w:after="120" w:line="240" w:lineRule="atLeast"/>
    </w:pPr>
    <w:rPr>
      <w:rFonts w:ascii="Cambria" w:eastAsia="Cambria" w:hAnsi="Cambria" w:cs="Times New Roman"/>
      <w:lang w:eastAsia="en-US"/>
    </w:rPr>
  </w:style>
  <w:style w:type="paragraph" w:customStyle="1" w:styleId="978719A944C14C28AEBC5F40741CA400">
    <w:name w:val="978719A944C14C28AEBC5F40741CA400"/>
    <w:rsid w:val="00263271"/>
    <w:pPr>
      <w:spacing w:before="120" w:after="120" w:line="240" w:lineRule="atLeast"/>
    </w:pPr>
    <w:rPr>
      <w:rFonts w:ascii="Cambria" w:eastAsia="Cambria" w:hAnsi="Cambria" w:cs="Times New Roman"/>
      <w:lang w:eastAsia="en-US"/>
    </w:rPr>
  </w:style>
  <w:style w:type="paragraph" w:customStyle="1" w:styleId="1521E5EB32A34C049256A205A6D8BD06">
    <w:name w:val="1521E5EB32A34C049256A205A6D8BD06"/>
    <w:rsid w:val="00263271"/>
  </w:style>
  <w:style w:type="paragraph" w:customStyle="1" w:styleId="3C3629B07DBA40169BC96DA83C9EF4671">
    <w:name w:val="3C3629B07DBA40169BC96DA83C9EF4671"/>
    <w:rsid w:val="001C507B"/>
    <w:pPr>
      <w:spacing w:before="120" w:after="120" w:line="240" w:lineRule="atLeast"/>
    </w:pPr>
    <w:rPr>
      <w:rFonts w:ascii="Cambria" w:eastAsia="Cambria" w:hAnsi="Cambria" w:cs="Times New Roman"/>
      <w:lang w:eastAsia="en-US"/>
    </w:rPr>
  </w:style>
  <w:style w:type="paragraph" w:customStyle="1" w:styleId="78821F7374D54F7487E9CBED277A79BE1">
    <w:name w:val="78821F7374D54F7487E9CBED277A79BE1"/>
    <w:rsid w:val="001C507B"/>
    <w:pPr>
      <w:spacing w:before="120" w:after="120" w:line="240" w:lineRule="atLeast"/>
    </w:pPr>
    <w:rPr>
      <w:rFonts w:ascii="Cambria" w:eastAsia="Cambria" w:hAnsi="Cambria" w:cs="Times New Roman"/>
      <w:lang w:eastAsia="en-US"/>
    </w:rPr>
  </w:style>
  <w:style w:type="paragraph" w:customStyle="1" w:styleId="7A878CCB07E44CF99A33DA9317CD47CE1">
    <w:name w:val="7A878CCB07E44CF99A33DA9317CD47CE1"/>
    <w:rsid w:val="001C507B"/>
    <w:pPr>
      <w:spacing w:before="120" w:after="120" w:line="240" w:lineRule="atLeast"/>
    </w:pPr>
    <w:rPr>
      <w:rFonts w:ascii="Cambria" w:eastAsia="Cambria" w:hAnsi="Cambria" w:cs="Times New Roman"/>
      <w:lang w:eastAsia="en-US"/>
    </w:rPr>
  </w:style>
  <w:style w:type="paragraph" w:customStyle="1" w:styleId="990C03ADF1DB4EB8AC40EF148AF10AC41">
    <w:name w:val="990C03ADF1DB4EB8AC40EF148AF10AC41"/>
    <w:rsid w:val="001C507B"/>
    <w:pPr>
      <w:spacing w:before="120" w:after="120" w:line="240" w:lineRule="atLeast"/>
    </w:pPr>
    <w:rPr>
      <w:rFonts w:ascii="Cambria" w:eastAsia="Cambria" w:hAnsi="Cambria" w:cs="Times New Roman"/>
      <w:lang w:eastAsia="en-US"/>
    </w:rPr>
  </w:style>
  <w:style w:type="paragraph" w:customStyle="1" w:styleId="CCAA710370D0489EA425E3A781386A7C1">
    <w:name w:val="CCAA710370D0489EA425E3A781386A7C1"/>
    <w:rsid w:val="001C507B"/>
    <w:pPr>
      <w:spacing w:before="120" w:after="120" w:line="240" w:lineRule="atLeast"/>
    </w:pPr>
    <w:rPr>
      <w:rFonts w:ascii="Cambria" w:eastAsia="Cambria" w:hAnsi="Cambria" w:cs="Times New Roman"/>
      <w:lang w:eastAsia="en-US"/>
    </w:rPr>
  </w:style>
  <w:style w:type="paragraph" w:customStyle="1" w:styleId="6AC4E2EF0D6D41EB94628D72C3AEBEFC1">
    <w:name w:val="6AC4E2EF0D6D41EB94628D72C3AEBEFC1"/>
    <w:rsid w:val="001C507B"/>
    <w:pPr>
      <w:spacing w:before="120" w:after="120" w:line="240" w:lineRule="atLeast"/>
    </w:pPr>
    <w:rPr>
      <w:rFonts w:ascii="Cambria" w:eastAsia="Cambria" w:hAnsi="Cambria" w:cs="Times New Roman"/>
      <w:lang w:eastAsia="en-US"/>
    </w:rPr>
  </w:style>
  <w:style w:type="paragraph" w:customStyle="1" w:styleId="0FF6F07DB5134847A06299B7B46A7B291">
    <w:name w:val="0FF6F07DB5134847A06299B7B46A7B291"/>
    <w:rsid w:val="001C507B"/>
    <w:pPr>
      <w:spacing w:before="120" w:after="120" w:line="240" w:lineRule="atLeast"/>
    </w:pPr>
    <w:rPr>
      <w:rFonts w:ascii="Cambria" w:eastAsia="Cambria" w:hAnsi="Cambria" w:cs="Times New Roman"/>
      <w:lang w:eastAsia="en-US"/>
    </w:rPr>
  </w:style>
  <w:style w:type="paragraph" w:customStyle="1" w:styleId="16BE63745F284825B3A2C0DD10CD769B1">
    <w:name w:val="16BE63745F284825B3A2C0DD10CD769B1"/>
    <w:rsid w:val="001C507B"/>
    <w:pPr>
      <w:spacing w:before="120" w:after="120" w:line="240" w:lineRule="atLeast"/>
    </w:pPr>
    <w:rPr>
      <w:rFonts w:ascii="Cambria" w:eastAsia="Cambria" w:hAnsi="Cambria" w:cs="Times New Roman"/>
      <w:lang w:eastAsia="en-US"/>
    </w:rPr>
  </w:style>
  <w:style w:type="paragraph" w:customStyle="1" w:styleId="4EF90CC51977495288CA7890EC97BC3B1">
    <w:name w:val="4EF90CC51977495288CA7890EC97BC3B1"/>
    <w:rsid w:val="001C507B"/>
    <w:pPr>
      <w:spacing w:before="120" w:after="120" w:line="240" w:lineRule="atLeast"/>
    </w:pPr>
    <w:rPr>
      <w:rFonts w:ascii="Cambria" w:eastAsia="Cambria" w:hAnsi="Cambria" w:cs="Times New Roman"/>
      <w:lang w:eastAsia="en-US"/>
    </w:rPr>
  </w:style>
  <w:style w:type="paragraph" w:customStyle="1" w:styleId="126C3A1C0B474A9AA11BDEF8ACEC88291">
    <w:name w:val="126C3A1C0B474A9AA11BDEF8ACEC88291"/>
    <w:rsid w:val="001C507B"/>
    <w:pPr>
      <w:spacing w:before="120" w:after="120" w:line="240" w:lineRule="atLeast"/>
    </w:pPr>
    <w:rPr>
      <w:rFonts w:ascii="Cambria" w:eastAsia="Cambria" w:hAnsi="Cambria" w:cs="Times New Roman"/>
      <w:lang w:eastAsia="en-US"/>
    </w:rPr>
  </w:style>
  <w:style w:type="paragraph" w:customStyle="1" w:styleId="CB8BEA899EA347EEA25AA34F3DC3C89B1">
    <w:name w:val="CB8BEA899EA347EEA25AA34F3DC3C89B1"/>
    <w:rsid w:val="001C507B"/>
    <w:pPr>
      <w:spacing w:before="120" w:after="120" w:line="240" w:lineRule="atLeast"/>
    </w:pPr>
    <w:rPr>
      <w:rFonts w:ascii="Cambria" w:eastAsia="Cambria" w:hAnsi="Cambria" w:cs="Times New Roman"/>
      <w:lang w:eastAsia="en-US"/>
    </w:rPr>
  </w:style>
  <w:style w:type="paragraph" w:customStyle="1" w:styleId="B76BD1B9CB474FFF809F7464EB1B0D971">
    <w:name w:val="B76BD1B9CB474FFF809F7464EB1B0D971"/>
    <w:rsid w:val="001C507B"/>
    <w:pPr>
      <w:spacing w:before="120" w:after="120" w:line="240" w:lineRule="atLeast"/>
    </w:pPr>
    <w:rPr>
      <w:rFonts w:ascii="Cambria" w:eastAsia="Cambria" w:hAnsi="Cambria" w:cs="Times New Roman"/>
      <w:lang w:eastAsia="en-US"/>
    </w:rPr>
  </w:style>
  <w:style w:type="paragraph" w:customStyle="1" w:styleId="92712EE4A9004A5D821F94E2166AE2131">
    <w:name w:val="92712EE4A9004A5D821F94E2166AE2131"/>
    <w:rsid w:val="001C507B"/>
    <w:pPr>
      <w:spacing w:before="120" w:after="120" w:line="240" w:lineRule="atLeast"/>
    </w:pPr>
    <w:rPr>
      <w:rFonts w:ascii="Cambria" w:eastAsia="Cambria" w:hAnsi="Cambria" w:cs="Times New Roman"/>
      <w:lang w:eastAsia="en-US"/>
    </w:rPr>
  </w:style>
  <w:style w:type="paragraph" w:customStyle="1" w:styleId="17D6681FC0074332A302FDA330FACAFC1">
    <w:name w:val="17D6681FC0074332A302FDA330FACAFC1"/>
    <w:rsid w:val="001C507B"/>
    <w:pPr>
      <w:spacing w:before="120" w:after="120" w:line="240" w:lineRule="atLeast"/>
    </w:pPr>
    <w:rPr>
      <w:rFonts w:ascii="Cambria" w:eastAsia="Cambria" w:hAnsi="Cambria" w:cs="Times New Roman"/>
      <w:lang w:eastAsia="en-US"/>
    </w:rPr>
  </w:style>
  <w:style w:type="paragraph" w:customStyle="1" w:styleId="2E94DC8EB36E45418F9DC389C4F803361">
    <w:name w:val="2E94DC8EB36E45418F9DC389C4F803361"/>
    <w:rsid w:val="001C507B"/>
    <w:pPr>
      <w:spacing w:before="120" w:after="120" w:line="240" w:lineRule="atLeast"/>
    </w:pPr>
    <w:rPr>
      <w:rFonts w:ascii="Cambria" w:eastAsia="Cambria" w:hAnsi="Cambria" w:cs="Times New Roman"/>
      <w:lang w:eastAsia="en-US"/>
    </w:rPr>
  </w:style>
  <w:style w:type="paragraph" w:customStyle="1" w:styleId="6C2C2009D15D4EAC815494D35C00BAC61">
    <w:name w:val="6C2C2009D15D4EAC815494D35C00BAC61"/>
    <w:rsid w:val="001C507B"/>
    <w:pPr>
      <w:spacing w:before="120" w:after="120" w:line="240" w:lineRule="atLeast"/>
    </w:pPr>
    <w:rPr>
      <w:rFonts w:ascii="Cambria" w:eastAsia="Cambria" w:hAnsi="Cambria" w:cs="Times New Roman"/>
      <w:lang w:eastAsia="en-US"/>
    </w:rPr>
  </w:style>
  <w:style w:type="paragraph" w:customStyle="1" w:styleId="978719A944C14C28AEBC5F40741CA4001">
    <w:name w:val="978719A944C14C28AEBC5F40741CA4001"/>
    <w:rsid w:val="001C507B"/>
    <w:pPr>
      <w:spacing w:before="120" w:after="120" w:line="240" w:lineRule="atLeast"/>
    </w:pPr>
    <w:rPr>
      <w:rFonts w:ascii="Cambria" w:eastAsia="Cambria" w:hAnsi="Cambria" w:cs="Times New Roman"/>
      <w:lang w:eastAsia="en-US"/>
    </w:rPr>
  </w:style>
  <w:style w:type="paragraph" w:customStyle="1" w:styleId="22EA63F487694385A75C7424818F0223">
    <w:name w:val="22EA63F487694385A75C7424818F0223"/>
    <w:rsid w:val="00924360"/>
  </w:style>
  <w:style w:type="paragraph" w:customStyle="1" w:styleId="BB06A19A39994678A43EE5CDAA5F7759">
    <w:name w:val="BB06A19A39994678A43EE5CDAA5F7759"/>
    <w:rsid w:val="006152E9"/>
  </w:style>
  <w:style w:type="paragraph" w:customStyle="1" w:styleId="E46D3D8A3284483EA7D7D150AAF27E26">
    <w:name w:val="E46D3D8A3284483EA7D7D150AAF27E26"/>
    <w:rsid w:val="002125C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25CB"/>
    <w:rPr>
      <w:color w:val="808080"/>
    </w:rPr>
  </w:style>
  <w:style w:type="paragraph" w:customStyle="1" w:styleId="14433F89A5C34F348B04C5B5C841CB29">
    <w:name w:val="14433F89A5C34F348B04C5B5C841CB29"/>
    <w:rsid w:val="00CB31F0"/>
  </w:style>
  <w:style w:type="paragraph" w:customStyle="1" w:styleId="0F738DA738034AC0AADCD0321D1DA057">
    <w:name w:val="0F738DA738034AC0AADCD0321D1DA057"/>
    <w:rsid w:val="00CB31F0"/>
  </w:style>
  <w:style w:type="paragraph" w:customStyle="1" w:styleId="804EA0F24ADF4118A04EB660FA7749F7">
    <w:name w:val="804EA0F24ADF4118A04EB660FA7749F7"/>
    <w:rsid w:val="00A41F50"/>
  </w:style>
  <w:style w:type="paragraph" w:customStyle="1" w:styleId="542D6A69274A4B3ABB80CFDEC4BC663C">
    <w:name w:val="542D6A69274A4B3ABB80CFDEC4BC663C"/>
    <w:rsid w:val="00A41F50"/>
  </w:style>
  <w:style w:type="paragraph" w:customStyle="1" w:styleId="21FB7BAA7CE44F2DB3BD4776644AF157">
    <w:name w:val="21FB7BAA7CE44F2DB3BD4776644AF157"/>
    <w:rsid w:val="00A53898"/>
  </w:style>
  <w:style w:type="paragraph" w:customStyle="1" w:styleId="38B1045B8F174FF1AF4DE19A3C05FD8F">
    <w:name w:val="38B1045B8F174FF1AF4DE19A3C05FD8F"/>
    <w:rsid w:val="00A53898"/>
  </w:style>
  <w:style w:type="paragraph" w:customStyle="1" w:styleId="54749CFDAE9B4080BC17EBC7169BDBE7">
    <w:name w:val="54749CFDAE9B4080BC17EBC7169BDBE7"/>
    <w:rsid w:val="00A53898"/>
  </w:style>
  <w:style w:type="paragraph" w:customStyle="1" w:styleId="C5F91D26740D49CD86EF39E36AE0F8CD">
    <w:name w:val="C5F91D26740D49CD86EF39E36AE0F8CD"/>
    <w:rsid w:val="00A53898"/>
  </w:style>
  <w:style w:type="paragraph" w:customStyle="1" w:styleId="A386D8C30AC34F4BB0F488554B123E01">
    <w:name w:val="A386D8C30AC34F4BB0F488554B123E01"/>
    <w:rsid w:val="00A53898"/>
  </w:style>
  <w:style w:type="paragraph" w:customStyle="1" w:styleId="4EDF44F55178403B8F9C6C48F91E43B4">
    <w:name w:val="4EDF44F55178403B8F9C6C48F91E43B4"/>
    <w:rsid w:val="00A53898"/>
  </w:style>
  <w:style w:type="paragraph" w:customStyle="1" w:styleId="E6C8C11CCB2543B78693D43B2B75E186">
    <w:name w:val="E6C8C11CCB2543B78693D43B2B75E186"/>
    <w:rsid w:val="00A53898"/>
    <w:pPr>
      <w:spacing w:after="480" w:line="240" w:lineRule="auto"/>
      <w:contextualSpacing/>
    </w:pPr>
    <w:rPr>
      <w:rFonts w:ascii="Arial" w:eastAsia="Times New Roman" w:hAnsi="Arial" w:cs="Times New Roman"/>
      <w:spacing w:val="5"/>
      <w:kern w:val="28"/>
      <w:sz w:val="52"/>
      <w:szCs w:val="52"/>
      <w:lang w:eastAsia="en-US"/>
    </w:rPr>
  </w:style>
  <w:style w:type="paragraph" w:customStyle="1" w:styleId="5E29D3E92B8945D8A6BB17EAEA05C410">
    <w:name w:val="5E29D3E92B8945D8A6BB17EAEA05C410"/>
    <w:rsid w:val="00A53898"/>
    <w:pPr>
      <w:numPr>
        <w:ilvl w:val="1"/>
      </w:numPr>
      <w:spacing w:before="120" w:after="360" w:line="240" w:lineRule="atLeast"/>
      <w:ind w:left="170"/>
    </w:pPr>
    <w:rPr>
      <w:rFonts w:ascii="Arial" w:eastAsia="Times New Roman" w:hAnsi="Arial" w:cs="Times New Roman"/>
      <w:bCs/>
      <w:iCs/>
      <w:sz w:val="40"/>
      <w:szCs w:val="24"/>
      <w:lang w:eastAsia="en-US"/>
    </w:rPr>
  </w:style>
  <w:style w:type="paragraph" w:customStyle="1" w:styleId="E6C8C11CCB2543B78693D43B2B75E1861">
    <w:name w:val="E6C8C11CCB2543B78693D43B2B75E1861"/>
    <w:rsid w:val="00A53898"/>
    <w:pPr>
      <w:spacing w:after="480" w:line="240" w:lineRule="auto"/>
      <w:contextualSpacing/>
    </w:pPr>
    <w:rPr>
      <w:rFonts w:ascii="Arial" w:eastAsia="Times New Roman" w:hAnsi="Arial" w:cs="Times New Roman"/>
      <w:spacing w:val="5"/>
      <w:kern w:val="28"/>
      <w:sz w:val="52"/>
      <w:szCs w:val="52"/>
      <w:lang w:eastAsia="en-US"/>
    </w:rPr>
  </w:style>
  <w:style w:type="paragraph" w:customStyle="1" w:styleId="5E29D3E92B8945D8A6BB17EAEA05C4101">
    <w:name w:val="5E29D3E92B8945D8A6BB17EAEA05C4101"/>
    <w:rsid w:val="00A53898"/>
    <w:pPr>
      <w:numPr>
        <w:ilvl w:val="1"/>
      </w:numPr>
      <w:spacing w:before="120" w:after="360" w:line="240" w:lineRule="atLeast"/>
      <w:ind w:left="170"/>
    </w:pPr>
    <w:rPr>
      <w:rFonts w:ascii="Arial" w:eastAsia="Times New Roman" w:hAnsi="Arial" w:cs="Times New Roman"/>
      <w:bCs/>
      <w:iCs/>
      <w:sz w:val="40"/>
      <w:szCs w:val="24"/>
      <w:lang w:eastAsia="en-US"/>
    </w:rPr>
  </w:style>
  <w:style w:type="paragraph" w:customStyle="1" w:styleId="E6C8C11CCB2543B78693D43B2B75E1862">
    <w:name w:val="E6C8C11CCB2543B78693D43B2B75E1862"/>
    <w:rsid w:val="00A53898"/>
    <w:pPr>
      <w:spacing w:after="480" w:line="240" w:lineRule="auto"/>
      <w:contextualSpacing/>
    </w:pPr>
    <w:rPr>
      <w:rFonts w:ascii="Arial" w:eastAsia="Times New Roman" w:hAnsi="Arial" w:cs="Times New Roman"/>
      <w:spacing w:val="5"/>
      <w:kern w:val="28"/>
      <w:sz w:val="52"/>
      <w:szCs w:val="52"/>
      <w:lang w:eastAsia="en-US"/>
    </w:rPr>
  </w:style>
  <w:style w:type="paragraph" w:customStyle="1" w:styleId="5E29D3E92B8945D8A6BB17EAEA05C4102">
    <w:name w:val="5E29D3E92B8945D8A6BB17EAEA05C4102"/>
    <w:rsid w:val="00A53898"/>
    <w:pPr>
      <w:numPr>
        <w:ilvl w:val="1"/>
      </w:numPr>
      <w:spacing w:before="120" w:after="360" w:line="240" w:lineRule="atLeast"/>
      <w:ind w:left="170"/>
    </w:pPr>
    <w:rPr>
      <w:rFonts w:ascii="Arial" w:eastAsia="Times New Roman" w:hAnsi="Arial" w:cs="Times New Roman"/>
      <w:bCs/>
      <w:iCs/>
      <w:sz w:val="40"/>
      <w:szCs w:val="24"/>
      <w:lang w:eastAsia="en-US"/>
    </w:rPr>
  </w:style>
  <w:style w:type="paragraph" w:customStyle="1" w:styleId="525D259D87234EEA89442E5A6FD87CBB">
    <w:name w:val="525D259D87234EEA89442E5A6FD87CBB"/>
    <w:rsid w:val="0047218C"/>
  </w:style>
  <w:style w:type="paragraph" w:customStyle="1" w:styleId="E76A2053F41B4BE6A676BFB848F89EAF">
    <w:name w:val="E76A2053F41B4BE6A676BFB848F89EAF"/>
    <w:rsid w:val="0047218C"/>
  </w:style>
  <w:style w:type="paragraph" w:customStyle="1" w:styleId="E6C8C11CCB2543B78693D43B2B75E1863">
    <w:name w:val="E6C8C11CCB2543B78693D43B2B75E1863"/>
    <w:rsid w:val="00FA43F9"/>
    <w:pPr>
      <w:spacing w:after="480" w:line="240" w:lineRule="auto"/>
      <w:contextualSpacing/>
    </w:pPr>
    <w:rPr>
      <w:rFonts w:ascii="Arial" w:eastAsia="Times New Roman" w:hAnsi="Arial" w:cs="Times New Roman"/>
      <w:spacing w:val="5"/>
      <w:kern w:val="28"/>
      <w:sz w:val="52"/>
      <w:szCs w:val="52"/>
      <w:lang w:eastAsia="en-US"/>
    </w:rPr>
  </w:style>
  <w:style w:type="paragraph" w:customStyle="1" w:styleId="5E29D3E92B8945D8A6BB17EAEA05C4103">
    <w:name w:val="5E29D3E92B8945D8A6BB17EAEA05C4103"/>
    <w:rsid w:val="00FA43F9"/>
    <w:pPr>
      <w:numPr>
        <w:ilvl w:val="1"/>
      </w:numPr>
      <w:spacing w:before="120" w:after="360" w:line="240" w:lineRule="atLeast"/>
      <w:ind w:left="170"/>
    </w:pPr>
    <w:rPr>
      <w:rFonts w:ascii="Arial" w:eastAsia="Times New Roman" w:hAnsi="Arial" w:cs="Times New Roman"/>
      <w:bCs/>
      <w:iCs/>
      <w:sz w:val="40"/>
      <w:szCs w:val="24"/>
      <w:lang w:eastAsia="en-US"/>
    </w:rPr>
  </w:style>
  <w:style w:type="paragraph" w:customStyle="1" w:styleId="E6C8C11CCB2543B78693D43B2B75E1864">
    <w:name w:val="E6C8C11CCB2543B78693D43B2B75E1864"/>
    <w:rsid w:val="00FA43F9"/>
    <w:pPr>
      <w:spacing w:after="480" w:line="240" w:lineRule="auto"/>
      <w:contextualSpacing/>
    </w:pPr>
    <w:rPr>
      <w:rFonts w:ascii="Arial" w:eastAsia="Times New Roman" w:hAnsi="Arial" w:cs="Times New Roman"/>
      <w:spacing w:val="5"/>
      <w:kern w:val="28"/>
      <w:sz w:val="52"/>
      <w:szCs w:val="52"/>
      <w:lang w:eastAsia="en-US"/>
    </w:rPr>
  </w:style>
  <w:style w:type="paragraph" w:customStyle="1" w:styleId="5E29D3E92B8945D8A6BB17EAEA05C4104">
    <w:name w:val="5E29D3E92B8945D8A6BB17EAEA05C4104"/>
    <w:rsid w:val="00FA43F9"/>
    <w:pPr>
      <w:numPr>
        <w:ilvl w:val="1"/>
      </w:numPr>
      <w:spacing w:before="120" w:after="360" w:line="240" w:lineRule="atLeast"/>
      <w:ind w:left="170"/>
    </w:pPr>
    <w:rPr>
      <w:rFonts w:ascii="Arial" w:eastAsia="Times New Roman" w:hAnsi="Arial" w:cs="Times New Roman"/>
      <w:bCs/>
      <w:iCs/>
      <w:sz w:val="40"/>
      <w:szCs w:val="24"/>
      <w:lang w:eastAsia="en-US"/>
    </w:rPr>
  </w:style>
  <w:style w:type="paragraph" w:customStyle="1" w:styleId="F891860D3DD74B81A16F8E51F690CB33">
    <w:name w:val="F891860D3DD74B81A16F8E51F690CB33"/>
    <w:rsid w:val="006D1591"/>
  </w:style>
  <w:style w:type="paragraph" w:customStyle="1" w:styleId="5FF21BE52F3A47D18AE03948BC5C7BE4">
    <w:name w:val="5FF21BE52F3A47D18AE03948BC5C7BE4"/>
    <w:rsid w:val="006D1591"/>
  </w:style>
  <w:style w:type="paragraph" w:customStyle="1" w:styleId="E62B274F0D064E35BD8B1A09FBA485CC">
    <w:name w:val="E62B274F0D064E35BD8B1A09FBA485CC"/>
    <w:rsid w:val="006D1591"/>
    <w:pPr>
      <w:spacing w:before="120" w:after="120" w:line="240" w:lineRule="atLeast"/>
    </w:pPr>
    <w:rPr>
      <w:rFonts w:ascii="Cambria" w:eastAsia="Cambria" w:hAnsi="Cambria" w:cs="Times New Roman"/>
      <w:lang w:eastAsia="en-US"/>
    </w:rPr>
  </w:style>
  <w:style w:type="paragraph" w:customStyle="1" w:styleId="077A4C770F514A4A81AE8E7819B5D2D4">
    <w:name w:val="077A4C770F514A4A81AE8E7819B5D2D4"/>
    <w:rsid w:val="006D1591"/>
    <w:pPr>
      <w:spacing w:before="120" w:after="120" w:line="240" w:lineRule="atLeast"/>
    </w:pPr>
    <w:rPr>
      <w:rFonts w:ascii="Cambria" w:eastAsia="Cambria" w:hAnsi="Cambria" w:cs="Times New Roman"/>
      <w:lang w:eastAsia="en-US"/>
    </w:rPr>
  </w:style>
  <w:style w:type="paragraph" w:customStyle="1" w:styleId="7514AF28639F4569A56C5A1606ABF3E1">
    <w:name w:val="7514AF28639F4569A56C5A1606ABF3E1"/>
    <w:rsid w:val="006D1591"/>
    <w:pPr>
      <w:spacing w:before="120" w:after="120" w:line="240" w:lineRule="atLeast"/>
    </w:pPr>
    <w:rPr>
      <w:rFonts w:ascii="Cambria" w:eastAsia="Cambria" w:hAnsi="Cambria" w:cs="Times New Roman"/>
      <w:lang w:eastAsia="en-US"/>
    </w:rPr>
  </w:style>
  <w:style w:type="paragraph" w:customStyle="1" w:styleId="7685AA53BBBB4DE4B49A1F242A56CE5C">
    <w:name w:val="7685AA53BBBB4DE4B49A1F242A56CE5C"/>
    <w:rsid w:val="006D1591"/>
    <w:pPr>
      <w:spacing w:before="120" w:after="120" w:line="240" w:lineRule="atLeast"/>
    </w:pPr>
    <w:rPr>
      <w:rFonts w:ascii="Cambria" w:eastAsia="Cambria" w:hAnsi="Cambria" w:cs="Times New Roman"/>
      <w:lang w:eastAsia="en-US"/>
    </w:rPr>
  </w:style>
  <w:style w:type="paragraph" w:customStyle="1" w:styleId="2D50F20B764646549A0B1ACB97E1C51A">
    <w:name w:val="2D50F20B764646549A0B1ACB97E1C51A"/>
    <w:rsid w:val="006D1591"/>
    <w:pPr>
      <w:spacing w:before="120" w:after="120" w:line="240" w:lineRule="atLeast"/>
    </w:pPr>
    <w:rPr>
      <w:rFonts w:ascii="Cambria" w:eastAsia="Cambria" w:hAnsi="Cambria" w:cs="Times New Roman"/>
      <w:lang w:eastAsia="en-US"/>
    </w:rPr>
  </w:style>
  <w:style w:type="paragraph" w:customStyle="1" w:styleId="E62B274F0D064E35BD8B1A09FBA485CC1">
    <w:name w:val="E62B274F0D064E35BD8B1A09FBA485CC1"/>
    <w:rsid w:val="00134DEB"/>
    <w:pPr>
      <w:spacing w:before="120" w:after="120" w:line="240" w:lineRule="atLeast"/>
    </w:pPr>
    <w:rPr>
      <w:rFonts w:ascii="Cambria" w:eastAsia="Cambria" w:hAnsi="Cambria" w:cs="Times New Roman"/>
      <w:lang w:eastAsia="en-US"/>
    </w:rPr>
  </w:style>
  <w:style w:type="paragraph" w:customStyle="1" w:styleId="077A4C770F514A4A81AE8E7819B5D2D41">
    <w:name w:val="077A4C770F514A4A81AE8E7819B5D2D41"/>
    <w:rsid w:val="00134DEB"/>
    <w:pPr>
      <w:spacing w:before="120" w:after="120" w:line="240" w:lineRule="atLeast"/>
    </w:pPr>
    <w:rPr>
      <w:rFonts w:ascii="Cambria" w:eastAsia="Cambria" w:hAnsi="Cambria" w:cs="Times New Roman"/>
      <w:lang w:eastAsia="en-US"/>
    </w:rPr>
  </w:style>
  <w:style w:type="paragraph" w:customStyle="1" w:styleId="7514AF28639F4569A56C5A1606ABF3E11">
    <w:name w:val="7514AF28639F4569A56C5A1606ABF3E11"/>
    <w:rsid w:val="00134DEB"/>
    <w:pPr>
      <w:spacing w:before="120" w:after="120" w:line="240" w:lineRule="atLeast"/>
    </w:pPr>
    <w:rPr>
      <w:rFonts w:ascii="Cambria" w:eastAsia="Cambria" w:hAnsi="Cambria" w:cs="Times New Roman"/>
      <w:lang w:eastAsia="en-US"/>
    </w:rPr>
  </w:style>
  <w:style w:type="paragraph" w:customStyle="1" w:styleId="732825C80B274E4EA6FFF719709F70E8">
    <w:name w:val="732825C80B274E4EA6FFF719709F70E8"/>
    <w:rsid w:val="00134DEB"/>
    <w:pPr>
      <w:spacing w:before="120" w:after="120" w:line="240" w:lineRule="atLeast"/>
    </w:pPr>
    <w:rPr>
      <w:rFonts w:ascii="Cambria" w:eastAsia="Cambria" w:hAnsi="Cambria" w:cs="Times New Roman"/>
      <w:lang w:eastAsia="en-US"/>
    </w:rPr>
  </w:style>
  <w:style w:type="paragraph" w:customStyle="1" w:styleId="30E7C838701E4DE7B377BBC8E34F43FD">
    <w:name w:val="30E7C838701E4DE7B377BBC8E34F43FD"/>
    <w:rsid w:val="00134DEB"/>
    <w:pPr>
      <w:spacing w:before="120" w:after="120" w:line="240" w:lineRule="atLeast"/>
    </w:pPr>
    <w:rPr>
      <w:rFonts w:ascii="Cambria" w:eastAsia="Cambria" w:hAnsi="Cambria" w:cs="Times New Roman"/>
      <w:lang w:eastAsia="en-US"/>
    </w:rPr>
  </w:style>
  <w:style w:type="paragraph" w:customStyle="1" w:styleId="E62B274F0D064E35BD8B1A09FBA485CC2">
    <w:name w:val="E62B274F0D064E35BD8B1A09FBA485CC2"/>
    <w:rsid w:val="00134DEB"/>
    <w:pPr>
      <w:spacing w:before="120" w:after="120" w:line="240" w:lineRule="atLeast"/>
    </w:pPr>
    <w:rPr>
      <w:rFonts w:ascii="Cambria" w:eastAsia="Cambria" w:hAnsi="Cambria" w:cs="Times New Roman"/>
      <w:lang w:eastAsia="en-US"/>
    </w:rPr>
  </w:style>
  <w:style w:type="paragraph" w:customStyle="1" w:styleId="077A4C770F514A4A81AE8E7819B5D2D42">
    <w:name w:val="077A4C770F514A4A81AE8E7819B5D2D42"/>
    <w:rsid w:val="00134DEB"/>
    <w:pPr>
      <w:spacing w:before="120" w:after="120" w:line="240" w:lineRule="atLeast"/>
    </w:pPr>
    <w:rPr>
      <w:rFonts w:ascii="Cambria" w:eastAsia="Cambria" w:hAnsi="Cambria" w:cs="Times New Roman"/>
      <w:lang w:eastAsia="en-US"/>
    </w:rPr>
  </w:style>
  <w:style w:type="paragraph" w:customStyle="1" w:styleId="7514AF28639F4569A56C5A1606ABF3E12">
    <w:name w:val="7514AF28639F4569A56C5A1606ABF3E12"/>
    <w:rsid w:val="00134DEB"/>
    <w:pPr>
      <w:spacing w:before="120" w:after="120" w:line="240" w:lineRule="atLeast"/>
    </w:pPr>
    <w:rPr>
      <w:rFonts w:ascii="Cambria" w:eastAsia="Cambria" w:hAnsi="Cambria" w:cs="Times New Roman"/>
      <w:lang w:eastAsia="en-US"/>
    </w:rPr>
  </w:style>
  <w:style w:type="paragraph" w:customStyle="1" w:styleId="732825C80B274E4EA6FFF719709F70E81">
    <w:name w:val="732825C80B274E4EA6FFF719709F70E81"/>
    <w:rsid w:val="00134DEB"/>
    <w:pPr>
      <w:spacing w:before="120" w:after="120" w:line="240" w:lineRule="atLeast"/>
    </w:pPr>
    <w:rPr>
      <w:rFonts w:ascii="Cambria" w:eastAsia="Cambria" w:hAnsi="Cambria" w:cs="Times New Roman"/>
      <w:lang w:eastAsia="en-US"/>
    </w:rPr>
  </w:style>
  <w:style w:type="paragraph" w:customStyle="1" w:styleId="30E7C838701E4DE7B377BBC8E34F43FD1">
    <w:name w:val="30E7C838701E4DE7B377BBC8E34F43FD1"/>
    <w:rsid w:val="00134DEB"/>
    <w:pPr>
      <w:spacing w:before="120" w:after="120" w:line="240" w:lineRule="atLeast"/>
    </w:pPr>
    <w:rPr>
      <w:rFonts w:ascii="Cambria" w:eastAsia="Cambria" w:hAnsi="Cambria" w:cs="Times New Roman"/>
      <w:lang w:eastAsia="en-US"/>
    </w:rPr>
  </w:style>
  <w:style w:type="paragraph" w:customStyle="1" w:styleId="E62B274F0D064E35BD8B1A09FBA485CC3">
    <w:name w:val="E62B274F0D064E35BD8B1A09FBA485CC3"/>
    <w:rsid w:val="00134DEB"/>
    <w:pPr>
      <w:spacing w:before="120" w:after="120" w:line="240" w:lineRule="atLeast"/>
    </w:pPr>
    <w:rPr>
      <w:rFonts w:ascii="Cambria" w:eastAsia="Cambria" w:hAnsi="Cambria" w:cs="Times New Roman"/>
      <w:lang w:eastAsia="en-US"/>
    </w:rPr>
  </w:style>
  <w:style w:type="paragraph" w:customStyle="1" w:styleId="077A4C770F514A4A81AE8E7819B5D2D43">
    <w:name w:val="077A4C770F514A4A81AE8E7819B5D2D43"/>
    <w:rsid w:val="00134DEB"/>
    <w:pPr>
      <w:spacing w:before="120" w:after="120" w:line="240" w:lineRule="atLeast"/>
    </w:pPr>
    <w:rPr>
      <w:rFonts w:ascii="Cambria" w:eastAsia="Cambria" w:hAnsi="Cambria" w:cs="Times New Roman"/>
      <w:lang w:eastAsia="en-US"/>
    </w:rPr>
  </w:style>
  <w:style w:type="paragraph" w:customStyle="1" w:styleId="7514AF28639F4569A56C5A1606ABF3E13">
    <w:name w:val="7514AF28639F4569A56C5A1606ABF3E13"/>
    <w:rsid w:val="00134DEB"/>
    <w:pPr>
      <w:spacing w:before="120" w:after="120" w:line="240" w:lineRule="atLeast"/>
    </w:pPr>
    <w:rPr>
      <w:rFonts w:ascii="Cambria" w:eastAsia="Cambria" w:hAnsi="Cambria" w:cs="Times New Roman"/>
      <w:lang w:eastAsia="en-US"/>
    </w:rPr>
  </w:style>
  <w:style w:type="paragraph" w:customStyle="1" w:styleId="732825C80B274E4EA6FFF719709F70E82">
    <w:name w:val="732825C80B274E4EA6FFF719709F70E82"/>
    <w:rsid w:val="00134DEB"/>
    <w:pPr>
      <w:spacing w:before="120" w:after="120" w:line="240" w:lineRule="atLeast"/>
    </w:pPr>
    <w:rPr>
      <w:rFonts w:ascii="Cambria" w:eastAsia="Cambria" w:hAnsi="Cambria" w:cs="Times New Roman"/>
      <w:lang w:eastAsia="en-US"/>
    </w:rPr>
  </w:style>
  <w:style w:type="paragraph" w:customStyle="1" w:styleId="30E7C838701E4DE7B377BBC8E34F43FD2">
    <w:name w:val="30E7C838701E4DE7B377BBC8E34F43FD2"/>
    <w:rsid w:val="00134DEB"/>
    <w:pPr>
      <w:spacing w:before="120" w:after="120" w:line="240" w:lineRule="atLeast"/>
    </w:pPr>
    <w:rPr>
      <w:rFonts w:ascii="Cambria" w:eastAsia="Cambria" w:hAnsi="Cambria" w:cs="Times New Roman"/>
      <w:lang w:eastAsia="en-US"/>
    </w:rPr>
  </w:style>
  <w:style w:type="paragraph" w:customStyle="1" w:styleId="719FFE2680A24A55A5B25EDDD121048D">
    <w:name w:val="719FFE2680A24A55A5B25EDDD121048D"/>
    <w:rsid w:val="00134DEB"/>
    <w:pPr>
      <w:spacing w:before="120" w:after="120" w:line="240" w:lineRule="atLeast"/>
    </w:pPr>
    <w:rPr>
      <w:rFonts w:ascii="Cambria" w:eastAsia="Cambria" w:hAnsi="Cambria" w:cs="Times New Roman"/>
      <w:lang w:eastAsia="en-US"/>
    </w:rPr>
  </w:style>
  <w:style w:type="paragraph" w:customStyle="1" w:styleId="E62B274F0D064E35BD8B1A09FBA485CC4">
    <w:name w:val="E62B274F0D064E35BD8B1A09FBA485CC4"/>
    <w:rsid w:val="00134DEB"/>
    <w:pPr>
      <w:spacing w:before="120" w:after="120" w:line="240" w:lineRule="atLeast"/>
    </w:pPr>
    <w:rPr>
      <w:rFonts w:ascii="Cambria" w:eastAsia="Cambria" w:hAnsi="Cambria" w:cs="Times New Roman"/>
      <w:lang w:eastAsia="en-US"/>
    </w:rPr>
  </w:style>
  <w:style w:type="paragraph" w:customStyle="1" w:styleId="077A4C770F514A4A81AE8E7819B5D2D44">
    <w:name w:val="077A4C770F514A4A81AE8E7819B5D2D44"/>
    <w:rsid w:val="00134DEB"/>
    <w:pPr>
      <w:spacing w:before="120" w:after="120" w:line="240" w:lineRule="atLeast"/>
    </w:pPr>
    <w:rPr>
      <w:rFonts w:ascii="Cambria" w:eastAsia="Cambria" w:hAnsi="Cambria" w:cs="Times New Roman"/>
      <w:lang w:eastAsia="en-US"/>
    </w:rPr>
  </w:style>
  <w:style w:type="paragraph" w:customStyle="1" w:styleId="7514AF28639F4569A56C5A1606ABF3E14">
    <w:name w:val="7514AF28639F4569A56C5A1606ABF3E14"/>
    <w:rsid w:val="00134DEB"/>
    <w:pPr>
      <w:spacing w:before="120" w:after="120" w:line="240" w:lineRule="atLeast"/>
    </w:pPr>
    <w:rPr>
      <w:rFonts w:ascii="Cambria" w:eastAsia="Cambria" w:hAnsi="Cambria" w:cs="Times New Roman"/>
      <w:lang w:eastAsia="en-US"/>
    </w:rPr>
  </w:style>
  <w:style w:type="paragraph" w:customStyle="1" w:styleId="E04E094735C24B1BB1480FB223A8036C">
    <w:name w:val="E04E094735C24B1BB1480FB223A8036C"/>
    <w:rsid w:val="00134DEB"/>
    <w:pPr>
      <w:spacing w:before="120" w:after="120" w:line="240" w:lineRule="atLeast"/>
    </w:pPr>
    <w:rPr>
      <w:rFonts w:ascii="Cambria" w:eastAsia="Cambria" w:hAnsi="Cambria" w:cs="Times New Roman"/>
      <w:lang w:eastAsia="en-US"/>
    </w:rPr>
  </w:style>
  <w:style w:type="paragraph" w:customStyle="1" w:styleId="30E7C838701E4DE7B377BBC8E34F43FD3">
    <w:name w:val="30E7C838701E4DE7B377BBC8E34F43FD3"/>
    <w:rsid w:val="00134DEB"/>
    <w:pPr>
      <w:spacing w:before="120" w:after="120" w:line="240" w:lineRule="atLeast"/>
    </w:pPr>
    <w:rPr>
      <w:rFonts w:ascii="Cambria" w:eastAsia="Cambria" w:hAnsi="Cambria" w:cs="Times New Roman"/>
      <w:lang w:eastAsia="en-US"/>
    </w:rPr>
  </w:style>
  <w:style w:type="paragraph" w:customStyle="1" w:styleId="7B42F230B7784FC3A02EE64B8D492DF7">
    <w:name w:val="7B42F230B7784FC3A02EE64B8D492DF7"/>
    <w:rsid w:val="00134DEB"/>
    <w:pPr>
      <w:spacing w:before="120" w:after="120" w:line="240" w:lineRule="atLeast"/>
    </w:pPr>
    <w:rPr>
      <w:rFonts w:ascii="Cambria" w:eastAsia="Cambria" w:hAnsi="Cambria" w:cs="Times New Roman"/>
      <w:lang w:eastAsia="en-US"/>
    </w:rPr>
  </w:style>
  <w:style w:type="paragraph" w:customStyle="1" w:styleId="025AB1B4731D4655BFBFD667C5D5ACD7">
    <w:name w:val="025AB1B4731D4655BFBFD667C5D5ACD7"/>
    <w:rsid w:val="00134DEB"/>
    <w:pPr>
      <w:spacing w:before="120" w:after="120" w:line="240" w:lineRule="atLeast"/>
    </w:pPr>
    <w:rPr>
      <w:rFonts w:ascii="Cambria" w:eastAsia="Cambria" w:hAnsi="Cambria" w:cs="Times New Roman"/>
      <w:lang w:eastAsia="en-US"/>
    </w:rPr>
  </w:style>
  <w:style w:type="paragraph" w:customStyle="1" w:styleId="3C3629B07DBA40169BC96DA83C9EF467">
    <w:name w:val="3C3629B07DBA40169BC96DA83C9EF467"/>
    <w:rsid w:val="00263271"/>
    <w:pPr>
      <w:spacing w:before="120" w:after="120" w:line="240" w:lineRule="atLeast"/>
    </w:pPr>
    <w:rPr>
      <w:rFonts w:ascii="Cambria" w:eastAsia="Cambria" w:hAnsi="Cambria" w:cs="Times New Roman"/>
      <w:lang w:eastAsia="en-US"/>
    </w:rPr>
  </w:style>
  <w:style w:type="paragraph" w:customStyle="1" w:styleId="78821F7374D54F7487E9CBED277A79BE">
    <w:name w:val="78821F7374D54F7487E9CBED277A79BE"/>
    <w:rsid w:val="00263271"/>
    <w:pPr>
      <w:spacing w:before="120" w:after="120" w:line="240" w:lineRule="atLeast"/>
    </w:pPr>
    <w:rPr>
      <w:rFonts w:ascii="Cambria" w:eastAsia="Cambria" w:hAnsi="Cambria" w:cs="Times New Roman"/>
      <w:lang w:eastAsia="en-US"/>
    </w:rPr>
  </w:style>
  <w:style w:type="paragraph" w:customStyle="1" w:styleId="7A878CCB07E44CF99A33DA9317CD47CE">
    <w:name w:val="7A878CCB07E44CF99A33DA9317CD47CE"/>
    <w:rsid w:val="00263271"/>
    <w:pPr>
      <w:spacing w:before="120" w:after="120" w:line="240" w:lineRule="atLeast"/>
    </w:pPr>
    <w:rPr>
      <w:rFonts w:ascii="Cambria" w:eastAsia="Cambria" w:hAnsi="Cambria" w:cs="Times New Roman"/>
      <w:lang w:eastAsia="en-US"/>
    </w:rPr>
  </w:style>
  <w:style w:type="paragraph" w:customStyle="1" w:styleId="990C03ADF1DB4EB8AC40EF148AF10AC4">
    <w:name w:val="990C03ADF1DB4EB8AC40EF148AF10AC4"/>
    <w:rsid w:val="00263271"/>
    <w:pPr>
      <w:spacing w:before="120" w:after="120" w:line="240" w:lineRule="atLeast"/>
    </w:pPr>
    <w:rPr>
      <w:rFonts w:ascii="Cambria" w:eastAsia="Cambria" w:hAnsi="Cambria" w:cs="Times New Roman"/>
      <w:lang w:eastAsia="en-US"/>
    </w:rPr>
  </w:style>
  <w:style w:type="paragraph" w:customStyle="1" w:styleId="CCAA710370D0489EA425E3A781386A7C">
    <w:name w:val="CCAA710370D0489EA425E3A781386A7C"/>
    <w:rsid w:val="00263271"/>
    <w:pPr>
      <w:spacing w:before="120" w:after="120" w:line="240" w:lineRule="atLeast"/>
    </w:pPr>
    <w:rPr>
      <w:rFonts w:ascii="Cambria" w:eastAsia="Cambria" w:hAnsi="Cambria" w:cs="Times New Roman"/>
      <w:lang w:eastAsia="en-US"/>
    </w:rPr>
  </w:style>
  <w:style w:type="paragraph" w:customStyle="1" w:styleId="6AC4E2EF0D6D41EB94628D72C3AEBEFC">
    <w:name w:val="6AC4E2EF0D6D41EB94628D72C3AEBEFC"/>
    <w:rsid w:val="00263271"/>
    <w:pPr>
      <w:spacing w:before="120" w:after="120" w:line="240" w:lineRule="atLeast"/>
    </w:pPr>
    <w:rPr>
      <w:rFonts w:ascii="Cambria" w:eastAsia="Cambria" w:hAnsi="Cambria" w:cs="Times New Roman"/>
      <w:lang w:eastAsia="en-US"/>
    </w:rPr>
  </w:style>
  <w:style w:type="paragraph" w:customStyle="1" w:styleId="0FF6F07DB5134847A06299B7B46A7B29">
    <w:name w:val="0FF6F07DB5134847A06299B7B46A7B29"/>
    <w:rsid w:val="00263271"/>
    <w:pPr>
      <w:spacing w:before="120" w:after="120" w:line="240" w:lineRule="atLeast"/>
    </w:pPr>
    <w:rPr>
      <w:rFonts w:ascii="Cambria" w:eastAsia="Cambria" w:hAnsi="Cambria" w:cs="Times New Roman"/>
      <w:lang w:eastAsia="en-US"/>
    </w:rPr>
  </w:style>
  <w:style w:type="paragraph" w:customStyle="1" w:styleId="16BE63745F284825B3A2C0DD10CD769B">
    <w:name w:val="16BE63745F284825B3A2C0DD10CD769B"/>
    <w:rsid w:val="00263271"/>
    <w:pPr>
      <w:spacing w:before="120" w:after="120" w:line="240" w:lineRule="atLeast"/>
    </w:pPr>
    <w:rPr>
      <w:rFonts w:ascii="Cambria" w:eastAsia="Cambria" w:hAnsi="Cambria" w:cs="Times New Roman"/>
      <w:lang w:eastAsia="en-US"/>
    </w:rPr>
  </w:style>
  <w:style w:type="paragraph" w:customStyle="1" w:styleId="4EF90CC51977495288CA7890EC97BC3B">
    <w:name w:val="4EF90CC51977495288CA7890EC97BC3B"/>
    <w:rsid w:val="00263271"/>
    <w:pPr>
      <w:spacing w:before="120" w:after="120" w:line="240" w:lineRule="atLeast"/>
    </w:pPr>
    <w:rPr>
      <w:rFonts w:ascii="Cambria" w:eastAsia="Cambria" w:hAnsi="Cambria" w:cs="Times New Roman"/>
      <w:lang w:eastAsia="en-US"/>
    </w:rPr>
  </w:style>
  <w:style w:type="paragraph" w:customStyle="1" w:styleId="126C3A1C0B474A9AA11BDEF8ACEC8829">
    <w:name w:val="126C3A1C0B474A9AA11BDEF8ACEC8829"/>
    <w:rsid w:val="00263271"/>
    <w:pPr>
      <w:spacing w:before="120" w:after="120" w:line="240" w:lineRule="atLeast"/>
    </w:pPr>
    <w:rPr>
      <w:rFonts w:ascii="Cambria" w:eastAsia="Cambria" w:hAnsi="Cambria" w:cs="Times New Roman"/>
      <w:lang w:eastAsia="en-US"/>
    </w:rPr>
  </w:style>
  <w:style w:type="paragraph" w:customStyle="1" w:styleId="CB8BEA899EA347EEA25AA34F3DC3C89B">
    <w:name w:val="CB8BEA899EA347EEA25AA34F3DC3C89B"/>
    <w:rsid w:val="00263271"/>
    <w:pPr>
      <w:spacing w:before="120" w:after="120" w:line="240" w:lineRule="atLeast"/>
    </w:pPr>
    <w:rPr>
      <w:rFonts w:ascii="Cambria" w:eastAsia="Cambria" w:hAnsi="Cambria" w:cs="Times New Roman"/>
      <w:lang w:eastAsia="en-US"/>
    </w:rPr>
  </w:style>
  <w:style w:type="paragraph" w:customStyle="1" w:styleId="B76BD1B9CB474FFF809F7464EB1B0D97">
    <w:name w:val="B76BD1B9CB474FFF809F7464EB1B0D97"/>
    <w:rsid w:val="00263271"/>
    <w:pPr>
      <w:spacing w:before="120" w:after="120" w:line="240" w:lineRule="atLeast"/>
    </w:pPr>
    <w:rPr>
      <w:rFonts w:ascii="Cambria" w:eastAsia="Cambria" w:hAnsi="Cambria" w:cs="Times New Roman"/>
      <w:lang w:eastAsia="en-US"/>
    </w:rPr>
  </w:style>
  <w:style w:type="paragraph" w:customStyle="1" w:styleId="92712EE4A9004A5D821F94E2166AE213">
    <w:name w:val="92712EE4A9004A5D821F94E2166AE213"/>
    <w:rsid w:val="00263271"/>
    <w:pPr>
      <w:spacing w:before="120" w:after="120" w:line="240" w:lineRule="atLeast"/>
    </w:pPr>
    <w:rPr>
      <w:rFonts w:ascii="Cambria" w:eastAsia="Cambria" w:hAnsi="Cambria" w:cs="Times New Roman"/>
      <w:lang w:eastAsia="en-US"/>
    </w:rPr>
  </w:style>
  <w:style w:type="paragraph" w:customStyle="1" w:styleId="17D6681FC0074332A302FDA330FACAFC">
    <w:name w:val="17D6681FC0074332A302FDA330FACAFC"/>
    <w:rsid w:val="00263271"/>
    <w:pPr>
      <w:spacing w:before="120" w:after="120" w:line="240" w:lineRule="atLeast"/>
    </w:pPr>
    <w:rPr>
      <w:rFonts w:ascii="Cambria" w:eastAsia="Cambria" w:hAnsi="Cambria" w:cs="Times New Roman"/>
      <w:lang w:eastAsia="en-US"/>
    </w:rPr>
  </w:style>
  <w:style w:type="paragraph" w:customStyle="1" w:styleId="2E94DC8EB36E45418F9DC389C4F80336">
    <w:name w:val="2E94DC8EB36E45418F9DC389C4F80336"/>
    <w:rsid w:val="00263271"/>
    <w:pPr>
      <w:spacing w:before="120" w:after="120" w:line="240" w:lineRule="atLeast"/>
    </w:pPr>
    <w:rPr>
      <w:rFonts w:ascii="Cambria" w:eastAsia="Cambria" w:hAnsi="Cambria" w:cs="Times New Roman"/>
      <w:lang w:eastAsia="en-US"/>
    </w:rPr>
  </w:style>
  <w:style w:type="paragraph" w:customStyle="1" w:styleId="6C2C2009D15D4EAC815494D35C00BAC6">
    <w:name w:val="6C2C2009D15D4EAC815494D35C00BAC6"/>
    <w:rsid w:val="00263271"/>
    <w:pPr>
      <w:spacing w:before="120" w:after="120" w:line="240" w:lineRule="atLeast"/>
    </w:pPr>
    <w:rPr>
      <w:rFonts w:ascii="Cambria" w:eastAsia="Cambria" w:hAnsi="Cambria" w:cs="Times New Roman"/>
      <w:lang w:eastAsia="en-US"/>
    </w:rPr>
  </w:style>
  <w:style w:type="paragraph" w:customStyle="1" w:styleId="978719A944C14C28AEBC5F40741CA400">
    <w:name w:val="978719A944C14C28AEBC5F40741CA400"/>
    <w:rsid w:val="00263271"/>
    <w:pPr>
      <w:spacing w:before="120" w:after="120" w:line="240" w:lineRule="atLeast"/>
    </w:pPr>
    <w:rPr>
      <w:rFonts w:ascii="Cambria" w:eastAsia="Cambria" w:hAnsi="Cambria" w:cs="Times New Roman"/>
      <w:lang w:eastAsia="en-US"/>
    </w:rPr>
  </w:style>
  <w:style w:type="paragraph" w:customStyle="1" w:styleId="1521E5EB32A34C049256A205A6D8BD06">
    <w:name w:val="1521E5EB32A34C049256A205A6D8BD06"/>
    <w:rsid w:val="00263271"/>
  </w:style>
  <w:style w:type="paragraph" w:customStyle="1" w:styleId="3C3629B07DBA40169BC96DA83C9EF4671">
    <w:name w:val="3C3629B07DBA40169BC96DA83C9EF4671"/>
    <w:rsid w:val="001C507B"/>
    <w:pPr>
      <w:spacing w:before="120" w:after="120" w:line="240" w:lineRule="atLeast"/>
    </w:pPr>
    <w:rPr>
      <w:rFonts w:ascii="Cambria" w:eastAsia="Cambria" w:hAnsi="Cambria" w:cs="Times New Roman"/>
      <w:lang w:eastAsia="en-US"/>
    </w:rPr>
  </w:style>
  <w:style w:type="paragraph" w:customStyle="1" w:styleId="78821F7374D54F7487E9CBED277A79BE1">
    <w:name w:val="78821F7374D54F7487E9CBED277A79BE1"/>
    <w:rsid w:val="001C507B"/>
    <w:pPr>
      <w:spacing w:before="120" w:after="120" w:line="240" w:lineRule="atLeast"/>
    </w:pPr>
    <w:rPr>
      <w:rFonts w:ascii="Cambria" w:eastAsia="Cambria" w:hAnsi="Cambria" w:cs="Times New Roman"/>
      <w:lang w:eastAsia="en-US"/>
    </w:rPr>
  </w:style>
  <w:style w:type="paragraph" w:customStyle="1" w:styleId="7A878CCB07E44CF99A33DA9317CD47CE1">
    <w:name w:val="7A878CCB07E44CF99A33DA9317CD47CE1"/>
    <w:rsid w:val="001C507B"/>
    <w:pPr>
      <w:spacing w:before="120" w:after="120" w:line="240" w:lineRule="atLeast"/>
    </w:pPr>
    <w:rPr>
      <w:rFonts w:ascii="Cambria" w:eastAsia="Cambria" w:hAnsi="Cambria" w:cs="Times New Roman"/>
      <w:lang w:eastAsia="en-US"/>
    </w:rPr>
  </w:style>
  <w:style w:type="paragraph" w:customStyle="1" w:styleId="990C03ADF1DB4EB8AC40EF148AF10AC41">
    <w:name w:val="990C03ADF1DB4EB8AC40EF148AF10AC41"/>
    <w:rsid w:val="001C507B"/>
    <w:pPr>
      <w:spacing w:before="120" w:after="120" w:line="240" w:lineRule="atLeast"/>
    </w:pPr>
    <w:rPr>
      <w:rFonts w:ascii="Cambria" w:eastAsia="Cambria" w:hAnsi="Cambria" w:cs="Times New Roman"/>
      <w:lang w:eastAsia="en-US"/>
    </w:rPr>
  </w:style>
  <w:style w:type="paragraph" w:customStyle="1" w:styleId="CCAA710370D0489EA425E3A781386A7C1">
    <w:name w:val="CCAA710370D0489EA425E3A781386A7C1"/>
    <w:rsid w:val="001C507B"/>
    <w:pPr>
      <w:spacing w:before="120" w:after="120" w:line="240" w:lineRule="atLeast"/>
    </w:pPr>
    <w:rPr>
      <w:rFonts w:ascii="Cambria" w:eastAsia="Cambria" w:hAnsi="Cambria" w:cs="Times New Roman"/>
      <w:lang w:eastAsia="en-US"/>
    </w:rPr>
  </w:style>
  <w:style w:type="paragraph" w:customStyle="1" w:styleId="6AC4E2EF0D6D41EB94628D72C3AEBEFC1">
    <w:name w:val="6AC4E2EF0D6D41EB94628D72C3AEBEFC1"/>
    <w:rsid w:val="001C507B"/>
    <w:pPr>
      <w:spacing w:before="120" w:after="120" w:line="240" w:lineRule="atLeast"/>
    </w:pPr>
    <w:rPr>
      <w:rFonts w:ascii="Cambria" w:eastAsia="Cambria" w:hAnsi="Cambria" w:cs="Times New Roman"/>
      <w:lang w:eastAsia="en-US"/>
    </w:rPr>
  </w:style>
  <w:style w:type="paragraph" w:customStyle="1" w:styleId="0FF6F07DB5134847A06299B7B46A7B291">
    <w:name w:val="0FF6F07DB5134847A06299B7B46A7B291"/>
    <w:rsid w:val="001C507B"/>
    <w:pPr>
      <w:spacing w:before="120" w:after="120" w:line="240" w:lineRule="atLeast"/>
    </w:pPr>
    <w:rPr>
      <w:rFonts w:ascii="Cambria" w:eastAsia="Cambria" w:hAnsi="Cambria" w:cs="Times New Roman"/>
      <w:lang w:eastAsia="en-US"/>
    </w:rPr>
  </w:style>
  <w:style w:type="paragraph" w:customStyle="1" w:styleId="16BE63745F284825B3A2C0DD10CD769B1">
    <w:name w:val="16BE63745F284825B3A2C0DD10CD769B1"/>
    <w:rsid w:val="001C507B"/>
    <w:pPr>
      <w:spacing w:before="120" w:after="120" w:line="240" w:lineRule="atLeast"/>
    </w:pPr>
    <w:rPr>
      <w:rFonts w:ascii="Cambria" w:eastAsia="Cambria" w:hAnsi="Cambria" w:cs="Times New Roman"/>
      <w:lang w:eastAsia="en-US"/>
    </w:rPr>
  </w:style>
  <w:style w:type="paragraph" w:customStyle="1" w:styleId="4EF90CC51977495288CA7890EC97BC3B1">
    <w:name w:val="4EF90CC51977495288CA7890EC97BC3B1"/>
    <w:rsid w:val="001C507B"/>
    <w:pPr>
      <w:spacing w:before="120" w:after="120" w:line="240" w:lineRule="atLeast"/>
    </w:pPr>
    <w:rPr>
      <w:rFonts w:ascii="Cambria" w:eastAsia="Cambria" w:hAnsi="Cambria" w:cs="Times New Roman"/>
      <w:lang w:eastAsia="en-US"/>
    </w:rPr>
  </w:style>
  <w:style w:type="paragraph" w:customStyle="1" w:styleId="126C3A1C0B474A9AA11BDEF8ACEC88291">
    <w:name w:val="126C3A1C0B474A9AA11BDEF8ACEC88291"/>
    <w:rsid w:val="001C507B"/>
    <w:pPr>
      <w:spacing w:before="120" w:after="120" w:line="240" w:lineRule="atLeast"/>
    </w:pPr>
    <w:rPr>
      <w:rFonts w:ascii="Cambria" w:eastAsia="Cambria" w:hAnsi="Cambria" w:cs="Times New Roman"/>
      <w:lang w:eastAsia="en-US"/>
    </w:rPr>
  </w:style>
  <w:style w:type="paragraph" w:customStyle="1" w:styleId="CB8BEA899EA347EEA25AA34F3DC3C89B1">
    <w:name w:val="CB8BEA899EA347EEA25AA34F3DC3C89B1"/>
    <w:rsid w:val="001C507B"/>
    <w:pPr>
      <w:spacing w:before="120" w:after="120" w:line="240" w:lineRule="atLeast"/>
    </w:pPr>
    <w:rPr>
      <w:rFonts w:ascii="Cambria" w:eastAsia="Cambria" w:hAnsi="Cambria" w:cs="Times New Roman"/>
      <w:lang w:eastAsia="en-US"/>
    </w:rPr>
  </w:style>
  <w:style w:type="paragraph" w:customStyle="1" w:styleId="B76BD1B9CB474FFF809F7464EB1B0D971">
    <w:name w:val="B76BD1B9CB474FFF809F7464EB1B0D971"/>
    <w:rsid w:val="001C507B"/>
    <w:pPr>
      <w:spacing w:before="120" w:after="120" w:line="240" w:lineRule="atLeast"/>
    </w:pPr>
    <w:rPr>
      <w:rFonts w:ascii="Cambria" w:eastAsia="Cambria" w:hAnsi="Cambria" w:cs="Times New Roman"/>
      <w:lang w:eastAsia="en-US"/>
    </w:rPr>
  </w:style>
  <w:style w:type="paragraph" w:customStyle="1" w:styleId="92712EE4A9004A5D821F94E2166AE2131">
    <w:name w:val="92712EE4A9004A5D821F94E2166AE2131"/>
    <w:rsid w:val="001C507B"/>
    <w:pPr>
      <w:spacing w:before="120" w:after="120" w:line="240" w:lineRule="atLeast"/>
    </w:pPr>
    <w:rPr>
      <w:rFonts w:ascii="Cambria" w:eastAsia="Cambria" w:hAnsi="Cambria" w:cs="Times New Roman"/>
      <w:lang w:eastAsia="en-US"/>
    </w:rPr>
  </w:style>
  <w:style w:type="paragraph" w:customStyle="1" w:styleId="17D6681FC0074332A302FDA330FACAFC1">
    <w:name w:val="17D6681FC0074332A302FDA330FACAFC1"/>
    <w:rsid w:val="001C507B"/>
    <w:pPr>
      <w:spacing w:before="120" w:after="120" w:line="240" w:lineRule="atLeast"/>
    </w:pPr>
    <w:rPr>
      <w:rFonts w:ascii="Cambria" w:eastAsia="Cambria" w:hAnsi="Cambria" w:cs="Times New Roman"/>
      <w:lang w:eastAsia="en-US"/>
    </w:rPr>
  </w:style>
  <w:style w:type="paragraph" w:customStyle="1" w:styleId="2E94DC8EB36E45418F9DC389C4F803361">
    <w:name w:val="2E94DC8EB36E45418F9DC389C4F803361"/>
    <w:rsid w:val="001C507B"/>
    <w:pPr>
      <w:spacing w:before="120" w:after="120" w:line="240" w:lineRule="atLeast"/>
    </w:pPr>
    <w:rPr>
      <w:rFonts w:ascii="Cambria" w:eastAsia="Cambria" w:hAnsi="Cambria" w:cs="Times New Roman"/>
      <w:lang w:eastAsia="en-US"/>
    </w:rPr>
  </w:style>
  <w:style w:type="paragraph" w:customStyle="1" w:styleId="6C2C2009D15D4EAC815494D35C00BAC61">
    <w:name w:val="6C2C2009D15D4EAC815494D35C00BAC61"/>
    <w:rsid w:val="001C507B"/>
    <w:pPr>
      <w:spacing w:before="120" w:after="120" w:line="240" w:lineRule="atLeast"/>
    </w:pPr>
    <w:rPr>
      <w:rFonts w:ascii="Cambria" w:eastAsia="Cambria" w:hAnsi="Cambria" w:cs="Times New Roman"/>
      <w:lang w:eastAsia="en-US"/>
    </w:rPr>
  </w:style>
  <w:style w:type="paragraph" w:customStyle="1" w:styleId="978719A944C14C28AEBC5F40741CA4001">
    <w:name w:val="978719A944C14C28AEBC5F40741CA4001"/>
    <w:rsid w:val="001C507B"/>
    <w:pPr>
      <w:spacing w:before="120" w:after="120" w:line="240" w:lineRule="atLeast"/>
    </w:pPr>
    <w:rPr>
      <w:rFonts w:ascii="Cambria" w:eastAsia="Cambria" w:hAnsi="Cambria" w:cs="Times New Roman"/>
      <w:lang w:eastAsia="en-US"/>
    </w:rPr>
  </w:style>
  <w:style w:type="paragraph" w:customStyle="1" w:styleId="22EA63F487694385A75C7424818F0223">
    <w:name w:val="22EA63F487694385A75C7424818F0223"/>
    <w:rsid w:val="00924360"/>
  </w:style>
  <w:style w:type="paragraph" w:customStyle="1" w:styleId="BB06A19A39994678A43EE5CDAA5F7759">
    <w:name w:val="BB06A19A39994678A43EE5CDAA5F7759"/>
    <w:rsid w:val="006152E9"/>
  </w:style>
  <w:style w:type="paragraph" w:customStyle="1" w:styleId="E46D3D8A3284483EA7D7D150AAF27E26">
    <w:name w:val="E46D3D8A3284483EA7D7D150AAF27E26"/>
    <w:rsid w:val="002125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07321-7632-4666-92A6-30BDFE8C1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R13 453302  Clinical Evaluation Report Extract template(2).DOTX</Template>
  <TotalTime>214</TotalTime>
  <Pages>38</Pages>
  <Words>14496</Words>
  <Characters>82631</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AusPAR Attachment 2: Extract from the Clinical Evaluation Report for Diltiazem hydrochloride</vt:lpstr>
    </vt:vector>
  </TitlesOfParts>
  <Company/>
  <LinksUpToDate>false</LinksUpToDate>
  <CharactersWithSpaces>96934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2: Extract from the Clinical Evaluation Report for Diltiazem hydrochloride</dc:title>
  <dc:subject>Prescription medicines</dc:subject>
  <dc:creator>Therapeutic Goods Administration</dc:creator>
  <cp:keywords>AusPARs</cp:keywords>
  <cp:lastModifiedBy>MORENO, David</cp:lastModifiedBy>
  <cp:revision>56</cp:revision>
  <cp:lastPrinted>2015-09-22T23:53:00Z</cp:lastPrinted>
  <dcterms:created xsi:type="dcterms:W3CDTF">2017-03-10T00:10:00Z</dcterms:created>
  <dcterms:modified xsi:type="dcterms:W3CDTF">2017-06-21T23:53:00Z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1380527818</vt:i4>
  </property>
</Properties>
</file>