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84B" w:rsidRPr="00B2208F" w:rsidRDefault="0092484B" w:rsidP="00746F03">
      <w:pPr>
        <w:jc w:val="both"/>
        <w:rPr>
          <w:rFonts w:ascii="Arial Narrow" w:hAnsi="Arial Narrow" w:cs="Arial"/>
          <w:b/>
          <w:bCs/>
          <w:iCs/>
          <w:sz w:val="28"/>
          <w:szCs w:val="28"/>
          <w:vertAlign w:val="superscript"/>
          <w:lang w:val="en-AU"/>
        </w:rPr>
      </w:pPr>
      <w:bookmarkStart w:id="0" w:name="_GoBack"/>
      <w:bookmarkEnd w:id="0"/>
      <w:r w:rsidRPr="003E3282">
        <w:rPr>
          <w:rFonts w:ascii="Arial Narrow" w:hAnsi="Arial Narrow" w:cs="Arial"/>
          <w:b/>
          <w:bCs/>
          <w:iCs/>
          <w:sz w:val="28"/>
          <w:szCs w:val="28"/>
          <w:lang w:val="en-AU"/>
        </w:rPr>
        <w:t>DigiFab</w:t>
      </w:r>
      <w:r w:rsidRPr="003E3282">
        <w:rPr>
          <w:rFonts w:ascii="Arial Narrow" w:hAnsi="Arial Narrow" w:cs="Arial"/>
          <w:b/>
          <w:bCs/>
          <w:iCs/>
          <w:sz w:val="28"/>
          <w:szCs w:val="28"/>
          <w:vertAlign w:val="superscript"/>
          <w:lang w:val="en-AU"/>
        </w:rPr>
        <w:t>®</w:t>
      </w:r>
      <w:r w:rsidRPr="003E3282">
        <w:rPr>
          <w:rFonts w:ascii="Arial Narrow" w:hAnsi="Arial Narrow" w:cs="Arial"/>
          <w:b/>
          <w:bCs/>
          <w:iCs/>
          <w:sz w:val="28"/>
          <w:szCs w:val="28"/>
          <w:lang w:val="en-AU"/>
        </w:rPr>
        <w:t xml:space="preserve"> Injection </w:t>
      </w:r>
    </w:p>
    <w:p w:rsidR="0092484B" w:rsidRPr="003E3282" w:rsidRDefault="0092484B" w:rsidP="00746F03">
      <w:pPr>
        <w:jc w:val="both"/>
        <w:rPr>
          <w:rFonts w:ascii="Arial Narrow" w:hAnsi="Arial Narrow" w:cs="Arial"/>
          <w:b/>
          <w:bCs/>
          <w:iCs/>
          <w:lang w:val="en-AU"/>
        </w:rPr>
      </w:pPr>
    </w:p>
    <w:p w:rsidR="0092484B" w:rsidRPr="00C76C82" w:rsidRDefault="0092484B" w:rsidP="00746F03">
      <w:pPr>
        <w:jc w:val="both"/>
        <w:rPr>
          <w:rFonts w:ascii="Arial Narrow" w:hAnsi="Arial Narrow" w:cs="Arial"/>
          <w:b/>
          <w:bCs/>
          <w:iCs/>
          <w:sz w:val="22"/>
          <w:szCs w:val="22"/>
          <w:lang w:val="en-AU"/>
        </w:rPr>
      </w:pPr>
      <w:r w:rsidRPr="00C76C82">
        <w:rPr>
          <w:rFonts w:ascii="Arial Narrow" w:hAnsi="Arial Narrow" w:cs="Arial"/>
          <w:b/>
          <w:bCs/>
          <w:iCs/>
          <w:sz w:val="22"/>
          <w:szCs w:val="22"/>
          <w:lang w:val="en-AU"/>
        </w:rPr>
        <w:t xml:space="preserve">NAME OF THE MEDICINE </w:t>
      </w:r>
    </w:p>
    <w:p w:rsidR="00746F03" w:rsidRDefault="00746F03" w:rsidP="00746F03">
      <w:pPr>
        <w:jc w:val="both"/>
        <w:rPr>
          <w:rFonts w:ascii="Arial Narrow" w:hAnsi="Arial Narrow" w:cs="Arial"/>
          <w:iCs/>
          <w:sz w:val="22"/>
          <w:szCs w:val="22"/>
        </w:rPr>
      </w:pPr>
    </w:p>
    <w:p w:rsidR="0092484B" w:rsidRPr="00C76C82" w:rsidRDefault="00887C8B" w:rsidP="00746F03">
      <w:pPr>
        <w:jc w:val="both"/>
        <w:rPr>
          <w:rFonts w:ascii="Arial Narrow" w:hAnsi="Arial Narrow" w:cs="Arial"/>
          <w:iCs/>
          <w:sz w:val="22"/>
          <w:szCs w:val="22"/>
        </w:rPr>
      </w:pPr>
      <w:r w:rsidRPr="00C76C82">
        <w:rPr>
          <w:rFonts w:ascii="Arial Narrow" w:hAnsi="Arial Narrow" w:cs="Arial"/>
          <w:iCs/>
          <w:sz w:val="22"/>
          <w:szCs w:val="22"/>
        </w:rPr>
        <w:t>Digoxin-specific antibody fragment F(Ab) (Ovine)</w:t>
      </w:r>
    </w:p>
    <w:p w:rsidR="00E82E6A" w:rsidRPr="00C76C82" w:rsidRDefault="00E82E6A" w:rsidP="00746F03">
      <w:pPr>
        <w:jc w:val="both"/>
        <w:rPr>
          <w:rFonts w:ascii="Arial Narrow" w:hAnsi="Arial Narrow" w:cs="Arial"/>
          <w:b/>
          <w:sz w:val="22"/>
          <w:szCs w:val="22"/>
          <w:lang w:val="en-AU"/>
        </w:rPr>
      </w:pPr>
    </w:p>
    <w:p w:rsidR="00E82E6A" w:rsidRDefault="0092484B" w:rsidP="00746F03">
      <w:pPr>
        <w:jc w:val="both"/>
        <w:rPr>
          <w:rFonts w:ascii="Arial Narrow" w:hAnsi="Arial Narrow" w:cs="Arial"/>
          <w:b/>
          <w:sz w:val="22"/>
          <w:szCs w:val="22"/>
          <w:lang w:val="en-AU"/>
        </w:rPr>
      </w:pPr>
      <w:r w:rsidRPr="00C76C82">
        <w:rPr>
          <w:rFonts w:ascii="Arial Narrow" w:hAnsi="Arial Narrow" w:cs="Arial"/>
          <w:b/>
          <w:sz w:val="22"/>
          <w:szCs w:val="22"/>
          <w:lang w:val="en-AU"/>
        </w:rPr>
        <w:t>DESCRIPTION</w:t>
      </w:r>
    </w:p>
    <w:p w:rsidR="00E82CC2" w:rsidRDefault="00E82CC2" w:rsidP="00746F03">
      <w:pPr>
        <w:jc w:val="both"/>
        <w:rPr>
          <w:rFonts w:ascii="Arial Narrow" w:hAnsi="Arial Narrow" w:cs="Arial"/>
          <w:b/>
          <w:sz w:val="22"/>
          <w:szCs w:val="22"/>
          <w:lang w:val="en-AU"/>
        </w:rPr>
      </w:pPr>
    </w:p>
    <w:p w:rsidR="00E82CC2" w:rsidRDefault="00E82CC2"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hAnsi="Arial Narrow" w:cs="Arial"/>
          <w:sz w:val="22"/>
          <w:szCs w:val="22"/>
        </w:rPr>
        <w:t>DigiFab</w:t>
      </w:r>
      <w:r w:rsidR="003F03E4" w:rsidRPr="003E3282">
        <w:rPr>
          <w:rFonts w:ascii="Arial Narrow" w:hAnsi="Arial Narrow" w:cs="Arial"/>
          <w:b/>
          <w:bCs/>
          <w:iCs/>
          <w:sz w:val="28"/>
          <w:szCs w:val="28"/>
          <w:vertAlign w:val="superscript"/>
          <w:lang w:val="en-AU"/>
        </w:rPr>
        <w:t>®</w:t>
      </w:r>
      <w:r w:rsidRPr="00C76C82">
        <w:rPr>
          <w:rFonts w:ascii="Arial Narrow" w:hAnsi="Arial Narrow" w:cs="Arial"/>
          <w:sz w:val="22"/>
          <w:szCs w:val="22"/>
        </w:rPr>
        <w:t xml:space="preserve">, </w:t>
      </w:r>
      <w:r w:rsidR="00655D24">
        <w:rPr>
          <w:rFonts w:ascii="Arial Narrow" w:hAnsi="Arial Narrow" w:cs="Arial"/>
          <w:iCs/>
          <w:sz w:val="22"/>
          <w:szCs w:val="22"/>
        </w:rPr>
        <w:t>d</w:t>
      </w:r>
      <w:r w:rsidRPr="00C76C82">
        <w:rPr>
          <w:rFonts w:ascii="Arial Narrow" w:hAnsi="Arial Narrow" w:cs="Arial"/>
          <w:iCs/>
          <w:sz w:val="22"/>
          <w:szCs w:val="22"/>
        </w:rPr>
        <w:t>igoxin-specific antibody fragment F(Ab) (Ovine)</w:t>
      </w:r>
      <w:r w:rsidRPr="00C76C82">
        <w:rPr>
          <w:rFonts w:ascii="Arial Narrow" w:hAnsi="Arial Narrow" w:cs="Arial"/>
          <w:sz w:val="22"/>
          <w:szCs w:val="22"/>
        </w:rPr>
        <w:t xml:space="preserve"> </w:t>
      </w:r>
      <w:r w:rsidRPr="00C76C82">
        <w:rPr>
          <w:rFonts w:ascii="Arial Narrow" w:hAnsi="Arial Narrow" w:cs="Arial"/>
          <w:iCs/>
          <w:sz w:val="22"/>
          <w:szCs w:val="22"/>
        </w:rPr>
        <w:t>Powder for Injection,</w:t>
      </w:r>
      <w:r w:rsidRPr="00C76C82">
        <w:rPr>
          <w:rFonts w:ascii="Arial Narrow" w:hAnsi="Arial Narrow" w:cs="Arial"/>
          <w:sz w:val="22"/>
          <w:szCs w:val="22"/>
        </w:rPr>
        <w:t xml:space="preserve"> is a sterile, purified, lyophilized off-white powder of </w:t>
      </w:r>
      <w:r w:rsidRPr="00C76C82">
        <w:rPr>
          <w:rFonts w:ascii="Arial Narrow" w:hAnsi="Arial Narrow" w:cs="Arial"/>
          <w:iCs/>
          <w:sz w:val="22"/>
          <w:szCs w:val="22"/>
        </w:rPr>
        <w:t>digoxin-specific antibody ovine Fab</w:t>
      </w:r>
      <w:r w:rsidRPr="00C76C82">
        <w:rPr>
          <w:rFonts w:ascii="Arial Narrow" w:hAnsi="Arial Narrow" w:cs="Arial"/>
          <w:sz w:val="22"/>
          <w:szCs w:val="22"/>
        </w:rPr>
        <w:t xml:space="preserve"> (monovalent) immunoglobulin fragments. These fragments are obtained from blood of healthy sheep immunized with a digoxin derivative, </w:t>
      </w:r>
      <w:r w:rsidRPr="00C76C82">
        <w:rPr>
          <w:rFonts w:ascii="Arial Narrow" w:eastAsiaTheme="minorHAnsi" w:hAnsi="Arial Narrow" w:cs="TradeGothic-CondEighteen"/>
          <w:sz w:val="22"/>
          <w:szCs w:val="22"/>
          <w:lang w:val="en-AU" w:eastAsia="en-US"/>
        </w:rPr>
        <w:t>digoxin-</w:t>
      </w:r>
      <w:proofErr w:type="spellStart"/>
      <w:r w:rsidRPr="00C76C82">
        <w:rPr>
          <w:rFonts w:ascii="Arial Narrow" w:eastAsiaTheme="minorHAnsi" w:hAnsi="Arial Narrow" w:cs="TradeGothic-CondEighteen"/>
          <w:sz w:val="22"/>
          <w:szCs w:val="22"/>
          <w:lang w:val="en-AU" w:eastAsia="en-US"/>
        </w:rPr>
        <w:t>dicarboxymethoxylamine</w:t>
      </w:r>
      <w:proofErr w:type="spellEnd"/>
      <w:r w:rsidRPr="00C76C82">
        <w:rPr>
          <w:rFonts w:ascii="Arial Narrow" w:eastAsiaTheme="minorHAnsi" w:hAnsi="Arial Narrow" w:cs="TradeGothic-CondEighteen"/>
          <w:sz w:val="22"/>
          <w:szCs w:val="22"/>
          <w:lang w:val="en-AU" w:eastAsia="en-US"/>
        </w:rPr>
        <w:t xml:space="preserve"> (DDMA), a digoxin analogue which contains the functionally essential </w:t>
      </w:r>
      <w:proofErr w:type="spellStart"/>
      <w:r w:rsidRPr="00C76C82">
        <w:rPr>
          <w:rFonts w:ascii="Arial Narrow" w:eastAsiaTheme="minorHAnsi" w:hAnsi="Arial Narrow" w:cs="TradeGothic-CondEighteen"/>
          <w:sz w:val="22"/>
          <w:szCs w:val="22"/>
          <w:lang w:val="en-AU" w:eastAsia="en-US"/>
        </w:rPr>
        <w:t>cyclopentaperhydrophenanthrene:lactone</w:t>
      </w:r>
      <w:proofErr w:type="spellEnd"/>
      <w:r w:rsidRPr="00C76C82">
        <w:rPr>
          <w:rFonts w:ascii="Arial Narrow" w:eastAsiaTheme="minorHAnsi" w:hAnsi="Arial Narrow" w:cs="TradeGothic-CondEighteen"/>
          <w:sz w:val="22"/>
          <w:szCs w:val="22"/>
          <w:lang w:val="en-AU" w:eastAsia="en-US"/>
        </w:rPr>
        <w:t xml:space="preserve"> ring moiety coupled to keyhole limpet </w:t>
      </w:r>
      <w:proofErr w:type="spellStart"/>
      <w:r w:rsidRPr="00C76C82">
        <w:rPr>
          <w:rFonts w:ascii="Arial Narrow" w:eastAsiaTheme="minorHAnsi" w:hAnsi="Arial Narrow" w:cs="TradeGothic-CondEighteen"/>
          <w:sz w:val="22"/>
          <w:szCs w:val="22"/>
          <w:lang w:val="en-AU" w:eastAsia="en-US"/>
        </w:rPr>
        <w:t>hemocyanin</w:t>
      </w:r>
      <w:proofErr w:type="spellEnd"/>
      <w:r w:rsidRPr="00C76C82">
        <w:rPr>
          <w:rFonts w:ascii="Arial Narrow" w:eastAsiaTheme="minorHAnsi" w:hAnsi="Arial Narrow" w:cs="TradeGothic-CondEighteen"/>
          <w:sz w:val="22"/>
          <w:szCs w:val="22"/>
          <w:lang w:val="en-AU" w:eastAsia="en-US"/>
        </w:rPr>
        <w:t xml:space="preserve"> (KLH).</w:t>
      </w:r>
    </w:p>
    <w:p w:rsidR="00E52E7C" w:rsidRPr="00C76C82" w:rsidRDefault="00E52E7C" w:rsidP="00746F03">
      <w:pPr>
        <w:autoSpaceDE w:val="0"/>
        <w:autoSpaceDN w:val="0"/>
        <w:adjustRightInd w:val="0"/>
        <w:jc w:val="both"/>
        <w:rPr>
          <w:rFonts w:ascii="Arial Narrow" w:eastAsiaTheme="minorHAnsi" w:hAnsi="Arial Narrow" w:cs="TradeGothic-CondEighteen"/>
          <w:sz w:val="22"/>
          <w:szCs w:val="22"/>
          <w:lang w:val="en-AU" w:eastAsia="en-US"/>
        </w:rPr>
      </w:pPr>
    </w:p>
    <w:p w:rsidR="00E82CC2" w:rsidRPr="00C76C82" w:rsidRDefault="00E82CC2"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The final product is prepared by isolating the immunoglobulin fraction of the ovine serum, digesting it with papain and isolating the digoxin-specific Fab fragments by affinity chromatography. These antibody fragments have a molecular weight of approximately 46,000 Da.</w:t>
      </w:r>
    </w:p>
    <w:p w:rsidR="00E82CC2" w:rsidRPr="00C76C82" w:rsidRDefault="00E82CC2" w:rsidP="00746F03">
      <w:pPr>
        <w:jc w:val="both"/>
        <w:rPr>
          <w:rFonts w:ascii="Arial Narrow" w:hAnsi="Arial Narrow" w:cs="Arial"/>
          <w:b/>
          <w:sz w:val="22"/>
          <w:szCs w:val="22"/>
          <w:lang w:val="en-AU"/>
        </w:rPr>
      </w:pPr>
    </w:p>
    <w:p w:rsidR="00E82E6A" w:rsidRDefault="00E82E6A"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Each vial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will bind approximately 0.5 mg digoxin, contains 40 mg of digoxin</w:t>
      </w:r>
      <w:r w:rsidRPr="00C76C82">
        <w:rPr>
          <w:rFonts w:ascii="Arial Narrow" w:hAnsi="Arial Narrow" w:cs="Arial"/>
          <w:iCs/>
          <w:sz w:val="22"/>
          <w:szCs w:val="22"/>
        </w:rPr>
        <w:t xml:space="preserve">-specific antibody fragment </w:t>
      </w:r>
      <w:proofErr w:type="gramStart"/>
      <w:r w:rsidRPr="00C76C82">
        <w:rPr>
          <w:rFonts w:ascii="Arial Narrow" w:hAnsi="Arial Narrow" w:cs="Arial"/>
          <w:iCs/>
          <w:sz w:val="22"/>
          <w:szCs w:val="22"/>
        </w:rPr>
        <w:t>F(</w:t>
      </w:r>
      <w:proofErr w:type="gramEnd"/>
      <w:r w:rsidRPr="00C76C82">
        <w:rPr>
          <w:rFonts w:ascii="Arial Narrow" w:hAnsi="Arial Narrow" w:cs="Arial"/>
          <w:iCs/>
          <w:sz w:val="22"/>
          <w:szCs w:val="22"/>
        </w:rPr>
        <w:t>Ab)</w:t>
      </w:r>
      <w:r w:rsidRPr="00C76C82">
        <w:rPr>
          <w:rFonts w:ascii="Arial Narrow" w:eastAsiaTheme="minorHAnsi" w:hAnsi="Arial Narrow" w:cs="TradeGothic-CondEighteen"/>
          <w:sz w:val="22"/>
          <w:szCs w:val="22"/>
          <w:lang w:val="en-AU" w:eastAsia="en-US"/>
        </w:rPr>
        <w:t xml:space="preserve">, 75 mg of mannitol USP, and </w:t>
      </w:r>
      <w:r w:rsidR="004809E8">
        <w:rPr>
          <w:rFonts w:ascii="Arial Narrow" w:eastAsiaTheme="minorHAnsi" w:hAnsi="Arial Narrow" w:cs="TradeGothic-CondEighteen"/>
          <w:sz w:val="22"/>
          <w:szCs w:val="22"/>
          <w:lang w:val="en-AU" w:eastAsia="en-US"/>
        </w:rPr>
        <w:t>1.7</w:t>
      </w:r>
      <w:r w:rsidR="004809E8" w:rsidRPr="00C76C82">
        <w:rPr>
          <w:rFonts w:ascii="Arial Narrow" w:eastAsiaTheme="minorHAnsi" w:hAnsi="Arial Narrow" w:cs="TradeGothic-CondEighteen"/>
          <w:sz w:val="22"/>
          <w:szCs w:val="22"/>
          <w:lang w:val="en-AU" w:eastAsia="en-US"/>
        </w:rPr>
        <w:t xml:space="preserve"> </w:t>
      </w:r>
      <w:r w:rsidRPr="00C76C82">
        <w:rPr>
          <w:rFonts w:ascii="Arial Narrow" w:eastAsiaTheme="minorHAnsi" w:hAnsi="Arial Narrow" w:cs="TradeGothic-CondEighteen"/>
          <w:sz w:val="22"/>
          <w:szCs w:val="22"/>
          <w:lang w:val="en-AU" w:eastAsia="en-US"/>
        </w:rPr>
        <w:t>mg sodium acetate USP as a buffering agent.</w:t>
      </w:r>
    </w:p>
    <w:p w:rsidR="00746F03" w:rsidRDefault="00746F03" w:rsidP="00746F03">
      <w:pPr>
        <w:autoSpaceDE w:val="0"/>
        <w:autoSpaceDN w:val="0"/>
        <w:adjustRightInd w:val="0"/>
        <w:jc w:val="both"/>
        <w:rPr>
          <w:rFonts w:ascii="Arial Narrow" w:eastAsiaTheme="minorHAnsi" w:hAnsi="Arial Narrow" w:cs="TradeGothic-CondEighteen"/>
          <w:sz w:val="22"/>
          <w:szCs w:val="22"/>
          <w:lang w:val="en-AU" w:eastAsia="en-US"/>
        </w:rPr>
      </w:pPr>
    </w:p>
    <w:p w:rsidR="003B07DC" w:rsidRPr="00C76C82" w:rsidRDefault="003B07DC" w:rsidP="00746F03">
      <w:pPr>
        <w:autoSpaceDE w:val="0"/>
        <w:autoSpaceDN w:val="0"/>
        <w:adjustRightInd w:val="0"/>
        <w:jc w:val="both"/>
        <w:rPr>
          <w:rFonts w:ascii="Arial Narrow" w:eastAsiaTheme="minorHAnsi" w:hAnsi="Arial Narrow" w:cs="TradeGothic-CondEighteen"/>
          <w:sz w:val="22"/>
          <w:szCs w:val="22"/>
          <w:lang w:val="en-AU" w:eastAsia="en-US"/>
        </w:rPr>
      </w:pPr>
      <w:r>
        <w:rPr>
          <w:rFonts w:ascii="Arial Narrow" w:eastAsiaTheme="minorHAnsi" w:hAnsi="Arial Narrow" w:cs="TradeGothic-CondEighteen"/>
          <w:sz w:val="22"/>
          <w:szCs w:val="22"/>
          <w:lang w:val="en-AU" w:eastAsia="en-US"/>
        </w:rPr>
        <w:t>The pH of the reconstituted solution is in between 4.5 – 5.5.</w:t>
      </w:r>
    </w:p>
    <w:p w:rsidR="00746F03" w:rsidRDefault="00746F03" w:rsidP="00746F03">
      <w:pPr>
        <w:jc w:val="both"/>
        <w:rPr>
          <w:rFonts w:ascii="Arial Narrow" w:eastAsiaTheme="minorHAnsi" w:hAnsi="Arial Narrow" w:cs="TradeGothic-CondEighteen"/>
          <w:sz w:val="22"/>
          <w:szCs w:val="22"/>
          <w:lang w:val="en-AU" w:eastAsia="en-US"/>
        </w:rPr>
      </w:pPr>
    </w:p>
    <w:p w:rsidR="00E82E6A" w:rsidRPr="00C76C82" w:rsidRDefault="00E82E6A" w:rsidP="00746F03">
      <w:pPr>
        <w:jc w:val="both"/>
        <w:rPr>
          <w:rFonts w:ascii="Arial Narrow" w:hAnsi="Arial Narrow" w:cs="Arial"/>
          <w:sz w:val="22"/>
          <w:szCs w:val="22"/>
          <w:lang w:val="en-GB" w:eastAsia="en-GB"/>
        </w:rPr>
      </w:pPr>
      <w:r w:rsidRPr="00C76C82">
        <w:rPr>
          <w:rFonts w:ascii="Arial Narrow" w:eastAsiaTheme="minorHAnsi" w:hAnsi="Arial Narrow" w:cs="TradeGothic-CondEighteen"/>
          <w:sz w:val="22"/>
          <w:szCs w:val="22"/>
          <w:lang w:val="en-AU" w:eastAsia="en-US"/>
        </w:rPr>
        <w:t>The product contains no preservatives and is intended for intravenous administration after reconstitution with 4 mL of Sterile Water for Injection.</w:t>
      </w:r>
    </w:p>
    <w:p w:rsidR="0092484B" w:rsidRPr="00C76C82" w:rsidRDefault="0092484B" w:rsidP="00746F03">
      <w:pPr>
        <w:jc w:val="both"/>
        <w:rPr>
          <w:rFonts w:ascii="Arial Narrow" w:hAnsi="Arial Narrow" w:cs="Arial"/>
          <w:sz w:val="22"/>
          <w:szCs w:val="22"/>
          <w:lang w:val="en-AU"/>
        </w:rPr>
      </w:pPr>
    </w:p>
    <w:p w:rsidR="0092484B" w:rsidRDefault="0092484B" w:rsidP="00746F03">
      <w:pPr>
        <w:jc w:val="both"/>
        <w:rPr>
          <w:rFonts w:ascii="Arial Narrow" w:hAnsi="Arial Narrow" w:cs="Arial"/>
          <w:b/>
          <w:bCs/>
          <w:iCs/>
          <w:sz w:val="22"/>
          <w:szCs w:val="22"/>
          <w:lang w:val="en-AU"/>
        </w:rPr>
      </w:pPr>
      <w:r w:rsidRPr="00C76C82">
        <w:rPr>
          <w:rFonts w:ascii="Arial Narrow" w:hAnsi="Arial Narrow" w:cs="Arial"/>
          <w:b/>
          <w:bCs/>
          <w:iCs/>
          <w:sz w:val="22"/>
          <w:szCs w:val="22"/>
          <w:lang w:val="en-AU"/>
        </w:rPr>
        <w:t xml:space="preserve">PHARMACOLOGY </w:t>
      </w:r>
    </w:p>
    <w:p w:rsidR="00284DEA" w:rsidRPr="00C76C82" w:rsidRDefault="00284DEA" w:rsidP="00746F03">
      <w:pPr>
        <w:jc w:val="both"/>
        <w:rPr>
          <w:rFonts w:ascii="Arial Narrow" w:hAnsi="Arial Narrow" w:cs="Arial"/>
          <w:b/>
          <w:bCs/>
          <w:iCs/>
          <w:sz w:val="22"/>
          <w:szCs w:val="22"/>
          <w:lang w:val="en-AU"/>
        </w:rPr>
      </w:pPr>
    </w:p>
    <w:p w:rsidR="00E82E6A" w:rsidRPr="00C76C82" w:rsidRDefault="00FB2666" w:rsidP="00746F03">
      <w:pPr>
        <w:autoSpaceDE w:val="0"/>
        <w:autoSpaceDN w:val="0"/>
        <w:adjustRightInd w:val="0"/>
        <w:jc w:val="both"/>
        <w:rPr>
          <w:rFonts w:ascii="Arial Narrow" w:eastAsiaTheme="minorHAnsi" w:hAnsi="Arial Narrow" w:cs="TradeGothic-BoldCondTwenty"/>
          <w:b/>
          <w:bCs/>
          <w:sz w:val="22"/>
          <w:szCs w:val="22"/>
          <w:u w:val="single"/>
          <w:lang w:val="en-AU" w:eastAsia="en-US"/>
        </w:rPr>
      </w:pPr>
      <w:r w:rsidRPr="00C76C82">
        <w:rPr>
          <w:rFonts w:ascii="Arial Narrow" w:eastAsiaTheme="minorHAnsi" w:hAnsi="Arial Narrow" w:cs="TradeGothic-BoldCondTwenty"/>
          <w:b/>
          <w:bCs/>
          <w:sz w:val="22"/>
          <w:szCs w:val="22"/>
          <w:u w:val="single"/>
          <w:lang w:val="en-AU" w:eastAsia="en-US"/>
        </w:rPr>
        <w:t>Pharmacodynamics</w:t>
      </w:r>
    </w:p>
    <w:p w:rsidR="0092484B" w:rsidRPr="00C76C82" w:rsidRDefault="00655D24" w:rsidP="00746F03">
      <w:pPr>
        <w:autoSpaceDE w:val="0"/>
        <w:autoSpaceDN w:val="0"/>
        <w:adjustRightInd w:val="0"/>
        <w:jc w:val="both"/>
        <w:rPr>
          <w:rFonts w:ascii="Arial Narrow" w:eastAsiaTheme="minorHAnsi" w:hAnsi="Arial Narrow" w:cs="TradeGothic-CondEighteen"/>
          <w:sz w:val="22"/>
          <w:szCs w:val="22"/>
          <w:lang w:val="en-AU" w:eastAsia="en-US"/>
        </w:rPr>
      </w:pPr>
      <w:r>
        <w:rPr>
          <w:rFonts w:ascii="Arial Narrow" w:eastAsiaTheme="minorHAnsi" w:hAnsi="Arial Narrow" w:cs="TradeGothic-CondEighteen"/>
          <w:sz w:val="22"/>
          <w:szCs w:val="22"/>
          <w:lang w:val="en-AU" w:eastAsia="en-US"/>
        </w:rPr>
        <w:t>DIGIFAB</w:t>
      </w:r>
      <w:r w:rsidR="00E82E6A" w:rsidRPr="00C76C82">
        <w:rPr>
          <w:rFonts w:ascii="Arial Narrow" w:eastAsiaTheme="minorHAnsi" w:hAnsi="Arial Narrow" w:cs="TradeGothic-CondEighteen"/>
          <w:sz w:val="22"/>
          <w:szCs w:val="22"/>
          <w:lang w:val="en-AU" w:eastAsia="en-US"/>
        </w:rPr>
        <w:t xml:space="preserve"> has an affinity for digoxin in the range of 10</w:t>
      </w:r>
      <w:r w:rsidR="00E82E6A" w:rsidRPr="00C76C82">
        <w:rPr>
          <w:rFonts w:ascii="Arial Narrow" w:eastAsiaTheme="minorHAnsi" w:hAnsi="Arial Narrow" w:cs="TradeGothic-CondEighteen"/>
          <w:sz w:val="22"/>
          <w:szCs w:val="22"/>
          <w:vertAlign w:val="superscript"/>
          <w:lang w:val="en-AU" w:eastAsia="en-US"/>
        </w:rPr>
        <w:t>9</w:t>
      </w:r>
      <w:r w:rsidR="00E82E6A" w:rsidRPr="00C76C82">
        <w:rPr>
          <w:rFonts w:ascii="Arial Narrow" w:eastAsiaTheme="minorHAnsi" w:hAnsi="Arial Narrow" w:cs="TradeGothic-CondEighteen"/>
          <w:sz w:val="22"/>
          <w:szCs w:val="22"/>
          <w:lang w:val="en-AU" w:eastAsia="en-US"/>
        </w:rPr>
        <w:t xml:space="preserve"> to 10</w:t>
      </w:r>
      <w:r w:rsidR="00E82E6A" w:rsidRPr="00C76C82">
        <w:rPr>
          <w:rFonts w:ascii="Arial Narrow" w:eastAsiaTheme="minorHAnsi" w:hAnsi="Arial Narrow" w:cs="TradeGothic-CondEighteen"/>
          <w:sz w:val="22"/>
          <w:szCs w:val="22"/>
          <w:vertAlign w:val="superscript"/>
          <w:lang w:val="en-AU" w:eastAsia="en-US"/>
        </w:rPr>
        <w:t>10</w:t>
      </w:r>
      <w:r w:rsidR="00E82E6A" w:rsidRPr="00C76C82">
        <w:rPr>
          <w:rFonts w:ascii="Arial Narrow" w:eastAsiaTheme="minorHAnsi" w:hAnsi="Arial Narrow" w:cs="TradeGothic-CondEighteen"/>
          <w:sz w:val="22"/>
          <w:szCs w:val="22"/>
          <w:lang w:val="en-AU" w:eastAsia="en-US"/>
        </w:rPr>
        <w:t xml:space="preserve"> M</w:t>
      </w:r>
      <w:r w:rsidR="00E82E6A" w:rsidRPr="00C76C82">
        <w:rPr>
          <w:rFonts w:ascii="Arial Narrow" w:eastAsiaTheme="minorHAnsi" w:hAnsi="Arial Narrow" w:cs="TradeGothic-CondEighteen"/>
          <w:sz w:val="22"/>
          <w:szCs w:val="22"/>
          <w:vertAlign w:val="superscript"/>
          <w:lang w:val="en-AU" w:eastAsia="en-US"/>
        </w:rPr>
        <w:t>-1</w:t>
      </w:r>
      <w:r w:rsidR="00E82E6A" w:rsidRPr="00C76C82">
        <w:rPr>
          <w:rFonts w:ascii="Arial Narrow" w:eastAsiaTheme="minorHAnsi" w:hAnsi="Arial Narrow" w:cs="TradeGothic-CondEighteen"/>
          <w:sz w:val="22"/>
          <w:szCs w:val="22"/>
          <w:lang w:val="en-AU" w:eastAsia="en-US"/>
        </w:rPr>
        <w:t>, which is greater than the affinity of digoxin for its receptor</w:t>
      </w:r>
      <w:r w:rsidR="0001600F">
        <w:rPr>
          <w:rFonts w:ascii="Arial Narrow" w:eastAsiaTheme="minorHAnsi" w:hAnsi="Arial Narrow" w:cs="TradeGothic-CondEighteen"/>
          <w:sz w:val="22"/>
          <w:szCs w:val="22"/>
          <w:lang w:val="en-AU" w:eastAsia="en-US"/>
        </w:rPr>
        <w:t xml:space="preserve"> [sodium, potassium adenosine </w:t>
      </w:r>
      <w:proofErr w:type="spellStart"/>
      <w:r w:rsidR="0001600F">
        <w:rPr>
          <w:rFonts w:ascii="Arial Narrow" w:eastAsiaTheme="minorHAnsi" w:hAnsi="Arial Narrow" w:cs="TradeGothic-CondEighteen"/>
          <w:sz w:val="22"/>
          <w:szCs w:val="22"/>
          <w:lang w:val="en-AU" w:eastAsia="en-US"/>
        </w:rPr>
        <w:t>triphosphatase</w:t>
      </w:r>
      <w:proofErr w:type="spellEnd"/>
      <w:r w:rsidR="0001600F">
        <w:rPr>
          <w:rFonts w:ascii="Arial Narrow" w:eastAsiaTheme="minorHAnsi" w:hAnsi="Arial Narrow" w:cs="TradeGothic-CondEighteen"/>
          <w:sz w:val="22"/>
          <w:szCs w:val="22"/>
          <w:lang w:val="en-AU" w:eastAsia="en-US"/>
        </w:rPr>
        <w:t xml:space="preserve"> (ATPase)]</w:t>
      </w:r>
      <w:r w:rsidR="00E82E6A" w:rsidRPr="00C76C82">
        <w:rPr>
          <w:rFonts w:ascii="Arial Narrow" w:eastAsiaTheme="minorHAnsi" w:hAnsi="Arial Narrow" w:cs="TradeGothic-CondEighteen"/>
          <w:sz w:val="22"/>
          <w:szCs w:val="22"/>
          <w:lang w:val="en-AU" w:eastAsia="en-US"/>
        </w:rPr>
        <w:t xml:space="preserve">, the presumed receptor for its therapeutic and toxic effects. When administered to the intoxicated patient, </w:t>
      </w:r>
      <w:r>
        <w:rPr>
          <w:rFonts w:ascii="Arial Narrow" w:eastAsiaTheme="minorHAnsi" w:hAnsi="Arial Narrow" w:cs="TradeGothic-CondEighteen"/>
          <w:sz w:val="22"/>
          <w:szCs w:val="22"/>
          <w:lang w:val="en-AU" w:eastAsia="en-US"/>
        </w:rPr>
        <w:t>DIGIFAB</w:t>
      </w:r>
      <w:r w:rsidR="00E82E6A" w:rsidRPr="00C76C82">
        <w:rPr>
          <w:rFonts w:ascii="Arial Narrow" w:eastAsiaTheme="minorHAnsi" w:hAnsi="Arial Narrow" w:cs="TradeGothic-CondEighteen"/>
          <w:sz w:val="22"/>
          <w:szCs w:val="22"/>
          <w:lang w:val="en-AU" w:eastAsia="en-US"/>
        </w:rPr>
        <w:t xml:space="preserve"> binds to molecules of digoxin reducing free digoxin levels, which results in a shift in the equilibrium away from binding to the receptors, thereby reducing cardio-toxic effects. Fab-digoxin complexes are then cleared by the kidney and reticuloendothelial system.</w:t>
      </w:r>
    </w:p>
    <w:p w:rsidR="0092484B" w:rsidRPr="00C76C82" w:rsidRDefault="0092484B" w:rsidP="00746F03">
      <w:pPr>
        <w:jc w:val="both"/>
        <w:rPr>
          <w:rFonts w:ascii="Arial Narrow" w:hAnsi="Arial Narrow" w:cs="Arial"/>
          <w:b/>
          <w:bCs/>
          <w:i/>
          <w:iCs/>
          <w:sz w:val="22"/>
          <w:szCs w:val="22"/>
          <w:u w:val="single"/>
          <w:lang w:val="en-AU"/>
        </w:rPr>
      </w:pPr>
    </w:p>
    <w:p w:rsidR="0092484B" w:rsidRPr="00C76C82" w:rsidRDefault="0092484B" w:rsidP="00746F03">
      <w:pPr>
        <w:jc w:val="both"/>
        <w:rPr>
          <w:rFonts w:ascii="Arial Narrow" w:hAnsi="Arial Narrow" w:cs="Arial"/>
          <w:b/>
          <w:bCs/>
          <w:iCs/>
          <w:sz w:val="22"/>
          <w:szCs w:val="22"/>
          <w:u w:val="single"/>
          <w:lang w:val="en-AU"/>
        </w:rPr>
      </w:pPr>
      <w:r w:rsidRPr="00C76C82">
        <w:rPr>
          <w:rFonts w:ascii="Arial Narrow" w:hAnsi="Arial Narrow" w:cs="Arial"/>
          <w:b/>
          <w:bCs/>
          <w:iCs/>
          <w:sz w:val="22"/>
          <w:szCs w:val="22"/>
          <w:u w:val="single"/>
          <w:lang w:val="en-AU"/>
        </w:rPr>
        <w:t xml:space="preserve">Pharmacokinetics </w:t>
      </w:r>
    </w:p>
    <w:p w:rsidR="00FB2666" w:rsidRPr="00C76C82" w:rsidRDefault="00FB2666"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The pharmacokinetics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w:t>
      </w:r>
      <w:proofErr w:type="gramStart"/>
      <w:r w:rsidRPr="00C76C82">
        <w:rPr>
          <w:rFonts w:ascii="Arial Narrow" w:eastAsiaTheme="minorHAnsi" w:hAnsi="Arial Narrow" w:cs="TradeGothic-CondEighteen"/>
          <w:sz w:val="22"/>
          <w:szCs w:val="22"/>
          <w:lang w:val="en-AU" w:eastAsia="en-US"/>
        </w:rPr>
        <w:t>were</w:t>
      </w:r>
      <w:proofErr w:type="gramEnd"/>
      <w:r w:rsidRPr="00C76C82">
        <w:rPr>
          <w:rFonts w:ascii="Arial Narrow" w:eastAsiaTheme="minorHAnsi" w:hAnsi="Arial Narrow" w:cs="TradeGothic-CondEighteen"/>
          <w:sz w:val="22"/>
          <w:szCs w:val="22"/>
          <w:lang w:val="en-AU" w:eastAsia="en-US"/>
        </w:rPr>
        <w:t xml:space="preserve"> assessed in a randomized and controlled study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and Digibind</w:t>
      </w:r>
      <w:r w:rsidR="00E35DDD" w:rsidRPr="00E35DDD">
        <w:rPr>
          <w:rFonts w:ascii="Arial Narrow" w:eastAsiaTheme="minorHAnsi" w:hAnsi="Arial Narrow" w:cs="TradeGothic-CondEighteen"/>
          <w:szCs w:val="22"/>
          <w:vertAlign w:val="superscript"/>
          <w:lang w:val="en-AU" w:eastAsia="en-US"/>
        </w:rPr>
        <w:t>®</w:t>
      </w:r>
      <w:r w:rsidRPr="00C76C82">
        <w:rPr>
          <w:rFonts w:ascii="Arial Narrow" w:eastAsiaTheme="minorHAnsi" w:hAnsi="Arial Narrow" w:cs="TradeGothic-CondEighteen"/>
          <w:sz w:val="22"/>
          <w:szCs w:val="22"/>
          <w:lang w:val="en-AU" w:eastAsia="en-US"/>
        </w:rPr>
        <w:t xml:space="preserve"> (comparator Fab product for treatment of digoxin toxicity). Sixteen healthy subjects were given 1 mg of intravenous digoxin followed by an approximately equimolar neutralizing dose of either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(n=8) or Digibind (n=8). The pharmacokinetic profiles of Fab were similar for both products. The similar volumes o</w:t>
      </w:r>
      <w:r w:rsidR="00E82CC2">
        <w:rPr>
          <w:rFonts w:ascii="Arial Narrow" w:eastAsiaTheme="minorHAnsi" w:hAnsi="Arial Narrow" w:cs="TradeGothic-CondEighteen"/>
          <w:sz w:val="22"/>
          <w:szCs w:val="22"/>
          <w:lang w:val="en-AU" w:eastAsia="en-US"/>
        </w:rPr>
        <w:t xml:space="preserve">f </w:t>
      </w:r>
      <w:r w:rsidRPr="00C76C82">
        <w:rPr>
          <w:rFonts w:ascii="Arial Narrow" w:eastAsiaTheme="minorHAnsi" w:hAnsi="Arial Narrow" w:cs="TradeGothic-CondEighteen"/>
          <w:sz w:val="22"/>
          <w:szCs w:val="22"/>
          <w:lang w:val="en-AU" w:eastAsia="en-US"/>
        </w:rPr>
        <w:t xml:space="preserve">distribution (0.3 L/kg and 0.4 L/kg for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and Digibind, respectively) indicate considerable penetration from the circulation into the extracellular space and are consistent with previous reports of ovine Fab distribution, as are the elimination half-life values (15 hours and 23 hours for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and Digibind, respectively). The elimination half-life of 15-20 hours in patients with normal renal function appears to be increased up to 10</w:t>
      </w:r>
      <w:r w:rsidR="00746F03">
        <w:rPr>
          <w:rFonts w:ascii="Arial Narrow" w:eastAsiaTheme="minorHAnsi" w:hAnsi="Arial Narrow" w:cs="TradeGothic-CondEighteen"/>
          <w:sz w:val="22"/>
          <w:szCs w:val="22"/>
          <w:lang w:val="en-AU" w:eastAsia="en-US"/>
        </w:rPr>
        <w:t>-</w:t>
      </w:r>
      <w:r w:rsidRPr="00C76C82">
        <w:rPr>
          <w:rFonts w:ascii="Arial Narrow" w:eastAsiaTheme="minorHAnsi" w:hAnsi="Arial Narrow" w:cs="TradeGothic-CondEighteen"/>
          <w:sz w:val="22"/>
          <w:szCs w:val="22"/>
          <w:lang w:val="en-AU" w:eastAsia="en-US"/>
        </w:rPr>
        <w:t>fold in patients with renal impairment, although volume of distribution remains unaffected.</w:t>
      </w:r>
    </w:p>
    <w:p w:rsidR="00A958F6" w:rsidRDefault="00A958F6" w:rsidP="00746F03">
      <w:pPr>
        <w:pStyle w:val="NormalWeb"/>
        <w:spacing w:before="0" w:beforeAutospacing="0" w:after="0" w:afterAutospacing="0"/>
        <w:jc w:val="both"/>
        <w:rPr>
          <w:rFonts w:ascii="Arial Narrow" w:hAnsi="Arial Narrow" w:cs="Arial"/>
          <w:b/>
          <w:color w:val="auto"/>
          <w:sz w:val="22"/>
          <w:szCs w:val="22"/>
        </w:rPr>
      </w:pPr>
    </w:p>
    <w:p w:rsidR="000C6C6C" w:rsidRDefault="000C6C6C" w:rsidP="00746F03">
      <w:pPr>
        <w:pStyle w:val="NormalWeb"/>
        <w:spacing w:before="0" w:beforeAutospacing="0" w:after="0" w:afterAutospacing="0"/>
        <w:jc w:val="both"/>
        <w:rPr>
          <w:rFonts w:ascii="Arial Narrow" w:hAnsi="Arial Narrow" w:cs="Arial"/>
          <w:b/>
          <w:color w:val="auto"/>
          <w:sz w:val="22"/>
          <w:szCs w:val="22"/>
        </w:rPr>
      </w:pPr>
    </w:p>
    <w:p w:rsidR="0092484B" w:rsidRDefault="0092484B" w:rsidP="00746F03">
      <w:pPr>
        <w:pStyle w:val="NormalWeb"/>
        <w:pageBreakBefore/>
        <w:spacing w:before="0" w:beforeAutospacing="0" w:after="0" w:afterAutospacing="0"/>
        <w:jc w:val="both"/>
        <w:rPr>
          <w:rFonts w:ascii="Arial Narrow" w:hAnsi="Arial Narrow" w:cs="Arial"/>
          <w:b/>
          <w:color w:val="auto"/>
          <w:sz w:val="22"/>
          <w:szCs w:val="22"/>
        </w:rPr>
      </w:pPr>
      <w:r w:rsidRPr="00C76C82">
        <w:rPr>
          <w:rFonts w:ascii="Arial Narrow" w:hAnsi="Arial Narrow" w:cs="Arial"/>
          <w:b/>
          <w:color w:val="auto"/>
          <w:sz w:val="22"/>
          <w:szCs w:val="22"/>
        </w:rPr>
        <w:lastRenderedPageBreak/>
        <w:t xml:space="preserve">CLINICAL TRIALS </w:t>
      </w:r>
    </w:p>
    <w:p w:rsidR="00284DEA" w:rsidRPr="00C76C82" w:rsidRDefault="00284DEA" w:rsidP="00746F03">
      <w:pPr>
        <w:pStyle w:val="NormalWeb"/>
        <w:spacing w:before="0" w:beforeAutospacing="0" w:after="0" w:afterAutospacing="0"/>
        <w:jc w:val="both"/>
        <w:rPr>
          <w:rFonts w:ascii="Arial Narrow" w:hAnsi="Arial Narrow" w:cs="Arial"/>
          <w:b/>
          <w:color w:val="auto"/>
          <w:sz w:val="22"/>
          <w:szCs w:val="22"/>
        </w:rPr>
      </w:pPr>
    </w:p>
    <w:p w:rsidR="0076235B" w:rsidRDefault="0076235B" w:rsidP="00746F03">
      <w:pPr>
        <w:autoSpaceDE w:val="0"/>
        <w:autoSpaceDN w:val="0"/>
        <w:adjustRightInd w:val="0"/>
        <w:jc w:val="both"/>
        <w:rPr>
          <w:rFonts w:ascii="Arial Narrow" w:eastAsiaTheme="minorHAnsi" w:hAnsi="Arial Narrow" w:cs="TradeGothic-CondEighteen"/>
          <w:sz w:val="22"/>
          <w:szCs w:val="22"/>
          <w:lang w:val="en-AU" w:eastAsia="en-US"/>
        </w:rPr>
      </w:pPr>
      <w:r>
        <w:rPr>
          <w:rFonts w:ascii="Arial Narrow" w:eastAsiaTheme="minorHAnsi" w:hAnsi="Arial Narrow" w:cs="TradeGothic-CondEighteen"/>
          <w:sz w:val="22"/>
          <w:szCs w:val="22"/>
          <w:lang w:val="en-AU" w:eastAsia="en-US"/>
        </w:rPr>
        <w:t>The total number of people treated with this medication in trials is small and the data regarding dosing and outcomes are limited.</w:t>
      </w:r>
      <w:r w:rsidRPr="00C76C82">
        <w:rPr>
          <w:rFonts w:ascii="Arial Narrow" w:eastAsiaTheme="minorHAnsi" w:hAnsi="Arial Narrow" w:cs="TradeGothic-CondEighteen"/>
          <w:sz w:val="22"/>
          <w:szCs w:val="22"/>
          <w:lang w:val="en-AU" w:eastAsia="en-US"/>
        </w:rPr>
        <w:t xml:space="preserve"> </w:t>
      </w:r>
    </w:p>
    <w:p w:rsidR="00746F03" w:rsidRDefault="00746F03" w:rsidP="00746F03">
      <w:pPr>
        <w:autoSpaceDE w:val="0"/>
        <w:autoSpaceDN w:val="0"/>
        <w:adjustRightInd w:val="0"/>
        <w:jc w:val="both"/>
        <w:rPr>
          <w:rFonts w:ascii="Arial Narrow" w:eastAsiaTheme="minorHAnsi" w:hAnsi="Arial Narrow" w:cs="TradeGothic-CondEighteen"/>
          <w:sz w:val="22"/>
          <w:szCs w:val="22"/>
          <w:lang w:val="en-AU" w:eastAsia="en-US"/>
        </w:rPr>
      </w:pPr>
    </w:p>
    <w:p w:rsidR="00D74A14" w:rsidRPr="00C76C82" w:rsidRDefault="00D74A1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There have been two clinical trials conducted with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a pharmacokinetic and pharmacodynamic study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as compared to Digibind in healthy volunteers, and a prospective multi-center study of the efficacy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in patients presenting with life-threatening digoxin toxicity.</w:t>
      </w:r>
      <w:r w:rsidR="0076235B">
        <w:rPr>
          <w:rFonts w:ascii="Arial Narrow" w:eastAsiaTheme="minorHAnsi" w:hAnsi="Arial Narrow" w:cs="TradeGothic-CondEighteen"/>
          <w:sz w:val="22"/>
          <w:szCs w:val="22"/>
          <w:lang w:val="en-AU" w:eastAsia="en-US"/>
        </w:rPr>
        <w:t xml:space="preserve"> </w:t>
      </w:r>
    </w:p>
    <w:p w:rsidR="00D74A14" w:rsidRPr="00C76C82" w:rsidRDefault="00D74A14" w:rsidP="00746F03">
      <w:pPr>
        <w:autoSpaceDE w:val="0"/>
        <w:autoSpaceDN w:val="0"/>
        <w:adjustRightInd w:val="0"/>
        <w:jc w:val="both"/>
        <w:rPr>
          <w:rFonts w:ascii="Arial Narrow" w:eastAsiaTheme="minorHAnsi" w:hAnsi="Arial Narrow" w:cs="TradeGothic-CondEighteen"/>
          <w:sz w:val="22"/>
          <w:szCs w:val="22"/>
          <w:lang w:val="en-AU" w:eastAsia="en-US"/>
        </w:rPr>
      </w:pPr>
    </w:p>
    <w:p w:rsidR="00D74A14" w:rsidRPr="00C76C82" w:rsidRDefault="00D74A1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The objective of the pharmacokinetic and pharmacodynamic study was to compare these parameters for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to those for Digibind. This trial was conducted in </w:t>
      </w:r>
      <w:r w:rsidR="001F7A0E">
        <w:rPr>
          <w:rFonts w:ascii="Arial Narrow" w:eastAsiaTheme="minorHAnsi" w:hAnsi="Arial Narrow" w:cs="TradeGothic-CondEighteen"/>
          <w:sz w:val="22"/>
          <w:szCs w:val="22"/>
          <w:lang w:val="en-AU" w:eastAsia="en-US"/>
        </w:rPr>
        <w:t xml:space="preserve">16 </w:t>
      </w:r>
      <w:r w:rsidRPr="00C76C82">
        <w:rPr>
          <w:rFonts w:ascii="Arial Narrow" w:eastAsiaTheme="minorHAnsi" w:hAnsi="Arial Narrow" w:cs="TradeGothic-CondEighteen"/>
          <w:sz w:val="22"/>
          <w:szCs w:val="22"/>
          <w:lang w:val="en-AU" w:eastAsia="en-US"/>
        </w:rPr>
        <w:t xml:space="preserve">healthy volunteers who were administered a 1 mg intravenous dose of digoxin, followed 2 hours later by an equimolar neutralizing dose of either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or Digibind. The pharmacokinetics of both digoxin and Fab were determined (see Pharmacokinetics Section for Fab</w:t>
      </w:r>
      <w:r w:rsidR="001324CD" w:rsidRPr="00C76C82">
        <w:rPr>
          <w:rFonts w:ascii="Arial Narrow" w:eastAsiaTheme="minorHAnsi" w:hAnsi="Arial Narrow" w:cs="TradeGothic-CondEighteen"/>
          <w:sz w:val="22"/>
          <w:szCs w:val="22"/>
          <w:lang w:val="en-AU" w:eastAsia="en-US"/>
        </w:rPr>
        <w:t xml:space="preserve"> </w:t>
      </w:r>
      <w:r w:rsidRPr="00C76C82">
        <w:rPr>
          <w:rFonts w:ascii="Arial Narrow" w:eastAsiaTheme="minorHAnsi" w:hAnsi="Arial Narrow" w:cs="TradeGothic-CondEighteen"/>
          <w:sz w:val="22"/>
          <w:szCs w:val="22"/>
          <w:lang w:val="en-AU" w:eastAsia="en-US"/>
        </w:rPr>
        <w:t>pharmacokinetic parameters).</w:t>
      </w:r>
      <w:r w:rsidR="001324CD" w:rsidRPr="00C76C82">
        <w:rPr>
          <w:rFonts w:ascii="Arial Narrow" w:eastAsiaTheme="minorHAnsi" w:hAnsi="Arial Narrow" w:cs="TradeGothic-CondEighteen"/>
          <w:sz w:val="22"/>
          <w:szCs w:val="22"/>
          <w:lang w:val="en-AU" w:eastAsia="en-US"/>
        </w:rPr>
        <w:t xml:space="preserve"> </w:t>
      </w:r>
      <w:r w:rsidRPr="00C76C82">
        <w:rPr>
          <w:rFonts w:ascii="Arial Narrow" w:eastAsiaTheme="minorHAnsi" w:hAnsi="Arial Narrow" w:cs="TradeGothic-CondEighteen"/>
          <w:sz w:val="22"/>
          <w:szCs w:val="22"/>
          <w:lang w:val="en-AU" w:eastAsia="en-US"/>
        </w:rPr>
        <w:t>The primary outcome measure was the serum level of free (unbound) digoxin. The results demonstrated that both products reduced the level of free digoxin in the serum to below the limit of assay quantitation for several hours after Fab administration. Cumulative urinary excretion of digoxin was comparable for both products and exceeded 40% of the administered dose by 24 hours.</w:t>
      </w:r>
      <w:r w:rsidR="001324CD" w:rsidRPr="00C76C82">
        <w:rPr>
          <w:rFonts w:ascii="Arial Narrow" w:eastAsiaTheme="minorHAnsi" w:hAnsi="Arial Narrow" w:cs="TradeGothic-CondEighteen"/>
          <w:sz w:val="22"/>
          <w:szCs w:val="22"/>
          <w:lang w:val="en-AU" w:eastAsia="en-US"/>
        </w:rPr>
        <w:t xml:space="preserve"> These results demonstrate that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and </w:t>
      </w:r>
      <w:proofErr w:type="spellStart"/>
      <w:r w:rsidRPr="00C76C82">
        <w:rPr>
          <w:rFonts w:ascii="Arial Narrow" w:eastAsiaTheme="minorHAnsi" w:hAnsi="Arial Narrow" w:cs="TradeGothic-CondEighteen"/>
          <w:sz w:val="22"/>
          <w:szCs w:val="22"/>
          <w:lang w:val="en-AU" w:eastAsia="en-US"/>
        </w:rPr>
        <w:t>Digibind</w:t>
      </w:r>
      <w:proofErr w:type="spellEnd"/>
      <w:r w:rsidRPr="00C76C82">
        <w:rPr>
          <w:rFonts w:ascii="Arial Narrow" w:eastAsiaTheme="minorHAnsi" w:hAnsi="Arial Narrow" w:cs="TradeGothic-CondEighteen"/>
          <w:sz w:val="22"/>
          <w:szCs w:val="22"/>
          <w:lang w:val="en-AU" w:eastAsia="en-US"/>
        </w:rPr>
        <w:t xml:space="preserve"> have equivalent </w:t>
      </w:r>
      <w:proofErr w:type="spellStart"/>
      <w:r w:rsidRPr="00C76C82">
        <w:rPr>
          <w:rFonts w:ascii="Arial Narrow" w:eastAsiaTheme="minorHAnsi" w:hAnsi="Arial Narrow" w:cs="TradeGothic-CondEighteen"/>
          <w:sz w:val="22"/>
          <w:szCs w:val="22"/>
          <w:lang w:val="en-AU" w:eastAsia="en-US"/>
        </w:rPr>
        <w:t>pharmacodynamic</w:t>
      </w:r>
      <w:proofErr w:type="spellEnd"/>
      <w:r w:rsidRPr="00C76C82">
        <w:rPr>
          <w:rFonts w:ascii="Arial Narrow" w:eastAsiaTheme="minorHAnsi" w:hAnsi="Arial Narrow" w:cs="TradeGothic-CondEighteen"/>
          <w:sz w:val="22"/>
          <w:szCs w:val="22"/>
          <w:lang w:val="en-AU" w:eastAsia="en-US"/>
        </w:rPr>
        <w:t xml:space="preserve"> effects on the digoxin parameters that are relevant to the treatment of digoxin toxicity. In this study, no patients developed a measurable immune response (human anti-ovine antibodies) to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w:t>
      </w:r>
    </w:p>
    <w:p w:rsidR="00D74A14" w:rsidRPr="00C76C82" w:rsidRDefault="00D74A14" w:rsidP="00746F03">
      <w:pPr>
        <w:autoSpaceDE w:val="0"/>
        <w:autoSpaceDN w:val="0"/>
        <w:adjustRightInd w:val="0"/>
        <w:jc w:val="both"/>
        <w:rPr>
          <w:rFonts w:ascii="Arial Narrow" w:eastAsiaTheme="minorHAnsi" w:hAnsi="Arial Narrow" w:cs="TradeGothic-CondEighteen"/>
          <w:sz w:val="22"/>
          <w:szCs w:val="22"/>
          <w:lang w:val="en-AU" w:eastAsia="en-US"/>
        </w:rPr>
      </w:pPr>
    </w:p>
    <w:p w:rsidR="003C4571" w:rsidRPr="00C76C82" w:rsidRDefault="00D74A1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The objective of the efficacy study was to demonstrate safety and also to determine the pharmacokinetics of, and clinical response to,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in patients. Results were compared to historical data on Digibind. Fifteen patients received doses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based on its theoretical binding capacity for digoxin, and based on the known amount of digoxin ingested or on blood concentrations of digoxin at the time of admission. This study was conducted in both the U.S. and i</w:t>
      </w:r>
      <w:r w:rsidR="003C4571" w:rsidRPr="00C76C82">
        <w:rPr>
          <w:rFonts w:ascii="Arial Narrow" w:eastAsiaTheme="minorHAnsi" w:hAnsi="Arial Narrow" w:cs="TradeGothic-CondEighteen"/>
          <w:sz w:val="22"/>
          <w:szCs w:val="22"/>
          <w:lang w:val="en-AU" w:eastAsia="en-US"/>
        </w:rPr>
        <w:t xml:space="preserve">n Finland. </w:t>
      </w:r>
      <w:r w:rsidRPr="00C76C82">
        <w:rPr>
          <w:rFonts w:ascii="Arial Narrow" w:eastAsiaTheme="minorHAnsi" w:hAnsi="Arial Narrow" w:cs="TradeGothic-CondEighteen"/>
          <w:sz w:val="22"/>
          <w:szCs w:val="22"/>
          <w:lang w:val="en-AU" w:eastAsia="en-US"/>
        </w:rPr>
        <w:t xml:space="preserve">The primary outcome of the study was met in that serum free digoxin concentrations in all patients fell to undetectable levels following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administration. This was an expected outcome that is consistent with data in the literature showing that free digo</w:t>
      </w:r>
      <w:r w:rsidR="00BE741C" w:rsidRPr="00C76C82">
        <w:rPr>
          <w:rFonts w:ascii="Arial Narrow" w:eastAsiaTheme="minorHAnsi" w:hAnsi="Arial Narrow" w:cs="TradeGothic-CondEighteen"/>
          <w:sz w:val="22"/>
          <w:szCs w:val="22"/>
          <w:lang w:val="en-AU" w:eastAsia="en-US"/>
        </w:rPr>
        <w:t xml:space="preserve">xin concentrations fall rapidly </w:t>
      </w:r>
      <w:r w:rsidRPr="00C76C82">
        <w:rPr>
          <w:rFonts w:ascii="Arial Narrow" w:eastAsiaTheme="minorHAnsi" w:hAnsi="Arial Narrow" w:cs="TradeGothic-CondEighteen"/>
          <w:sz w:val="22"/>
          <w:szCs w:val="22"/>
          <w:lang w:val="en-AU" w:eastAsia="en-US"/>
        </w:rPr>
        <w:t xml:space="preserve">following administration of Digibind. </w:t>
      </w:r>
    </w:p>
    <w:p w:rsidR="003C4571" w:rsidRPr="00C76C82" w:rsidRDefault="003C4571" w:rsidP="00746F03">
      <w:pPr>
        <w:autoSpaceDE w:val="0"/>
        <w:autoSpaceDN w:val="0"/>
        <w:adjustRightInd w:val="0"/>
        <w:jc w:val="both"/>
        <w:rPr>
          <w:rFonts w:ascii="Arial Narrow" w:eastAsiaTheme="minorHAnsi" w:hAnsi="Arial Narrow" w:cs="TradeGothic-CondEighteen"/>
          <w:sz w:val="22"/>
          <w:szCs w:val="22"/>
          <w:lang w:val="en-AU" w:eastAsia="en-US"/>
        </w:rPr>
      </w:pPr>
    </w:p>
    <w:p w:rsidR="00A60F0D" w:rsidRPr="00C76C82" w:rsidRDefault="00D74A1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In the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trial</w:t>
      </w:r>
      <w:r w:rsidR="00F42159">
        <w:rPr>
          <w:rFonts w:ascii="Arial Narrow" w:eastAsiaTheme="minorHAnsi" w:hAnsi="Arial Narrow" w:cs="TradeGothic-CondEighteen"/>
          <w:sz w:val="22"/>
          <w:szCs w:val="22"/>
          <w:lang w:val="en-AU" w:eastAsia="en-US"/>
        </w:rPr>
        <w:t xml:space="preserve"> (TAb007-01)</w:t>
      </w:r>
      <w:r w:rsidRPr="00C76C82">
        <w:rPr>
          <w:rFonts w:ascii="Arial Narrow" w:eastAsiaTheme="minorHAnsi" w:hAnsi="Arial Narrow" w:cs="TradeGothic-CondEighteen"/>
          <w:sz w:val="22"/>
          <w:szCs w:val="22"/>
          <w:lang w:val="en-AU" w:eastAsia="en-US"/>
        </w:rPr>
        <w:t>, an independent blinded review of each patient’s ECG sh</w:t>
      </w:r>
      <w:r w:rsidR="00BE741C" w:rsidRPr="00C76C82">
        <w:rPr>
          <w:rFonts w:ascii="Arial Narrow" w:eastAsiaTheme="minorHAnsi" w:hAnsi="Arial Narrow" w:cs="TradeGothic-CondEighteen"/>
          <w:sz w:val="22"/>
          <w:szCs w:val="22"/>
          <w:lang w:val="en-AU" w:eastAsia="en-US"/>
        </w:rPr>
        <w:t xml:space="preserve">owed that 10 of the 15 patients </w:t>
      </w:r>
      <w:r w:rsidRPr="00C76C82">
        <w:rPr>
          <w:rFonts w:ascii="Arial Narrow" w:eastAsiaTheme="minorHAnsi" w:hAnsi="Arial Narrow" w:cs="TradeGothic-CondEighteen"/>
          <w:sz w:val="22"/>
          <w:szCs w:val="22"/>
          <w:lang w:val="en-AU" w:eastAsia="en-US"/>
        </w:rPr>
        <w:t xml:space="preserve">studied had ECG abnormalities that improved within 4 hours after the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infusion. The remaining 5 patients </w:t>
      </w:r>
      <w:r w:rsidR="00BE741C" w:rsidRPr="00C76C82">
        <w:rPr>
          <w:rFonts w:ascii="Arial Narrow" w:eastAsiaTheme="minorHAnsi" w:hAnsi="Arial Narrow" w:cs="TradeGothic-CondEighteen"/>
          <w:sz w:val="22"/>
          <w:szCs w:val="22"/>
          <w:lang w:val="en-AU" w:eastAsia="en-US"/>
        </w:rPr>
        <w:t xml:space="preserve">had ECG abnormalities that were </w:t>
      </w:r>
      <w:r w:rsidRPr="00C76C82">
        <w:rPr>
          <w:rFonts w:ascii="Arial Narrow" w:eastAsiaTheme="minorHAnsi" w:hAnsi="Arial Narrow" w:cs="TradeGothic-CondEighteen"/>
          <w:sz w:val="22"/>
          <w:szCs w:val="22"/>
          <w:lang w:val="en-AU" w:eastAsia="en-US"/>
        </w:rPr>
        <w:t>unchanged from baseline throughout the 24-hour assessment period, and in one case through the 30-day follow up peri</w:t>
      </w:r>
      <w:r w:rsidR="00BE741C" w:rsidRPr="00C76C82">
        <w:rPr>
          <w:rFonts w:ascii="Arial Narrow" w:eastAsiaTheme="minorHAnsi" w:hAnsi="Arial Narrow" w:cs="TradeGothic-CondEighteen"/>
          <w:sz w:val="22"/>
          <w:szCs w:val="22"/>
          <w:lang w:val="en-AU" w:eastAsia="en-US"/>
        </w:rPr>
        <w:t xml:space="preserve">od. Although the reason for the </w:t>
      </w:r>
      <w:r w:rsidRPr="00C76C82">
        <w:rPr>
          <w:rFonts w:ascii="Arial Narrow" w:eastAsiaTheme="minorHAnsi" w:hAnsi="Arial Narrow" w:cs="TradeGothic-CondEighteen"/>
          <w:sz w:val="22"/>
          <w:szCs w:val="22"/>
          <w:lang w:val="en-AU" w:eastAsia="en-US"/>
        </w:rPr>
        <w:t>lack of ECG resolution could not be clearly determined in all cases, it is possible that the ECG abnormalities observed in t</w:t>
      </w:r>
      <w:r w:rsidR="003C4571" w:rsidRPr="00C76C82">
        <w:rPr>
          <w:rFonts w:ascii="Arial Narrow" w:eastAsiaTheme="minorHAnsi" w:hAnsi="Arial Narrow" w:cs="TradeGothic-CondEighteen"/>
          <w:sz w:val="22"/>
          <w:szCs w:val="22"/>
          <w:lang w:val="en-AU" w:eastAsia="en-US"/>
        </w:rPr>
        <w:t xml:space="preserve">hese patients were not entirely </w:t>
      </w:r>
      <w:r w:rsidRPr="00C76C82">
        <w:rPr>
          <w:rFonts w:ascii="Arial Narrow" w:eastAsiaTheme="minorHAnsi" w:hAnsi="Arial Narrow" w:cs="TradeGothic-CondEighteen"/>
          <w:sz w:val="22"/>
          <w:szCs w:val="22"/>
          <w:lang w:val="en-AU" w:eastAsia="en-US"/>
        </w:rPr>
        <w:t>due to digoxin toxicity, but rather to another underlying cardiac problem. Assessing all manifestations of toxicity, investi</w:t>
      </w:r>
      <w:r w:rsidR="00BE741C" w:rsidRPr="00C76C82">
        <w:rPr>
          <w:rFonts w:ascii="Arial Narrow" w:eastAsiaTheme="minorHAnsi" w:hAnsi="Arial Narrow" w:cs="TradeGothic-CondEighteen"/>
          <w:sz w:val="22"/>
          <w:szCs w:val="22"/>
          <w:lang w:val="en-AU" w:eastAsia="en-US"/>
        </w:rPr>
        <w:t>gators classified 7 out of the</w:t>
      </w:r>
      <w:r w:rsidR="00A60F0D">
        <w:rPr>
          <w:rFonts w:ascii="Arial Narrow" w:eastAsiaTheme="minorHAnsi" w:hAnsi="Arial Narrow" w:cs="TradeGothic-CondEighteen"/>
          <w:sz w:val="22"/>
          <w:szCs w:val="22"/>
          <w:lang w:val="en-AU" w:eastAsia="en-US"/>
        </w:rPr>
        <w:t xml:space="preserve"> </w:t>
      </w:r>
      <w:r w:rsidRPr="00C76C82">
        <w:rPr>
          <w:rFonts w:ascii="Arial Narrow" w:eastAsiaTheme="minorHAnsi" w:hAnsi="Arial Narrow" w:cs="TradeGothic-CondEighteen"/>
          <w:sz w:val="22"/>
          <w:szCs w:val="22"/>
          <w:lang w:val="en-AU" w:eastAsia="en-US"/>
        </w:rPr>
        <w:t xml:space="preserve">15 patients (47%) studied as having complete resolution of digoxin toxicity within 4 hours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administrat</w:t>
      </w:r>
      <w:r w:rsidR="00BE741C" w:rsidRPr="00C76C82">
        <w:rPr>
          <w:rFonts w:ascii="Arial Narrow" w:eastAsiaTheme="minorHAnsi" w:hAnsi="Arial Narrow" w:cs="TradeGothic-CondEighteen"/>
          <w:sz w:val="22"/>
          <w:szCs w:val="22"/>
          <w:lang w:val="en-AU" w:eastAsia="en-US"/>
        </w:rPr>
        <w:t xml:space="preserve">ion, and 14 patients (93%) were </w:t>
      </w:r>
      <w:r w:rsidRPr="00C76C82">
        <w:rPr>
          <w:rFonts w:ascii="Arial Narrow" w:eastAsiaTheme="minorHAnsi" w:hAnsi="Arial Narrow" w:cs="TradeGothic-CondEighteen"/>
          <w:sz w:val="22"/>
          <w:szCs w:val="22"/>
          <w:lang w:val="en-AU" w:eastAsia="en-US"/>
        </w:rPr>
        <w:t xml:space="preserve">classified as having resolved their digoxin toxicity by 20 hours. The data for the proportion of patients who responded to treatment with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w:t>
      </w:r>
      <w:r w:rsidR="00BE741C" w:rsidRPr="00C76C82">
        <w:rPr>
          <w:rFonts w:ascii="Arial Narrow" w:eastAsiaTheme="minorHAnsi" w:hAnsi="Arial Narrow" w:cs="TradeGothic-CondEighteen"/>
          <w:sz w:val="22"/>
          <w:szCs w:val="22"/>
          <w:lang w:val="en-AU" w:eastAsia="en-US"/>
        </w:rPr>
        <w:t xml:space="preserve">is </w:t>
      </w:r>
      <w:r w:rsidRPr="00C76C82">
        <w:rPr>
          <w:rFonts w:ascii="Arial Narrow" w:eastAsiaTheme="minorHAnsi" w:hAnsi="Arial Narrow" w:cs="TradeGothic-CondEighteen"/>
          <w:sz w:val="22"/>
          <w:szCs w:val="22"/>
          <w:lang w:val="en-AU" w:eastAsia="en-US"/>
        </w:rPr>
        <w:t>similar to, and consistent with, historical data available for Digibind. In this study, where 2/15 patients had serum</w:t>
      </w:r>
      <w:r w:rsidR="00BE741C" w:rsidRPr="00C76C82">
        <w:rPr>
          <w:rFonts w:ascii="Arial Narrow" w:eastAsiaTheme="minorHAnsi" w:hAnsi="Arial Narrow" w:cs="TradeGothic-CondEighteen"/>
          <w:sz w:val="22"/>
          <w:szCs w:val="22"/>
          <w:lang w:val="en-AU" w:eastAsia="en-US"/>
        </w:rPr>
        <w:t xml:space="preserve"> available for human anti-ovine </w:t>
      </w:r>
      <w:r w:rsidRPr="00C76C82">
        <w:rPr>
          <w:rFonts w:ascii="Arial Narrow" w:eastAsiaTheme="minorHAnsi" w:hAnsi="Arial Narrow" w:cs="TradeGothic-CondEighteen"/>
          <w:sz w:val="22"/>
          <w:szCs w:val="22"/>
          <w:lang w:val="en-AU" w:eastAsia="en-US"/>
        </w:rPr>
        <w:t>antibody determination, there was no measurable immune response.</w:t>
      </w:r>
    </w:p>
    <w:p w:rsidR="00BE741C" w:rsidRDefault="0092484B" w:rsidP="00746F03">
      <w:pPr>
        <w:pStyle w:val="NormalWeb"/>
        <w:pageBreakBefore/>
        <w:spacing w:before="0" w:beforeAutospacing="0" w:after="0" w:afterAutospacing="0"/>
        <w:rPr>
          <w:rFonts w:ascii="Arial Narrow" w:hAnsi="Arial Narrow" w:cs="Arial"/>
          <w:b/>
          <w:color w:val="auto"/>
          <w:sz w:val="22"/>
          <w:szCs w:val="22"/>
        </w:rPr>
      </w:pPr>
      <w:r w:rsidRPr="00C76C82">
        <w:rPr>
          <w:rFonts w:ascii="Arial Narrow" w:hAnsi="Arial Narrow" w:cs="Arial"/>
          <w:b/>
          <w:color w:val="auto"/>
          <w:sz w:val="22"/>
          <w:szCs w:val="22"/>
        </w:rPr>
        <w:lastRenderedPageBreak/>
        <w:t xml:space="preserve">INDICATIONS </w:t>
      </w:r>
    </w:p>
    <w:p w:rsidR="00284DEA" w:rsidRPr="00C76C82" w:rsidRDefault="00284DEA" w:rsidP="00746F03">
      <w:pPr>
        <w:pStyle w:val="NormalWeb"/>
        <w:spacing w:before="0" w:beforeAutospacing="0" w:after="0" w:afterAutospacing="0"/>
        <w:rPr>
          <w:rFonts w:ascii="Arial Narrow" w:hAnsi="Arial Narrow" w:cs="Arial"/>
          <w:b/>
          <w:color w:val="auto"/>
          <w:sz w:val="22"/>
          <w:szCs w:val="22"/>
        </w:rPr>
      </w:pPr>
    </w:p>
    <w:p w:rsidR="00727E3D" w:rsidRPr="00727E3D" w:rsidRDefault="00BE741C" w:rsidP="00746F03">
      <w:pPr>
        <w:pStyle w:val="BodyTextIndent"/>
        <w:spacing w:after="0"/>
        <w:ind w:left="0"/>
        <w:jc w:val="both"/>
        <w:rPr>
          <w:rFonts w:ascii="Arial Narrow" w:hAnsi="Arial Narrow"/>
          <w:sz w:val="22"/>
          <w:szCs w:val="22"/>
        </w:rPr>
      </w:pPr>
      <w:r w:rsidRPr="00C76C82">
        <w:rPr>
          <w:rFonts w:ascii="Arial Narrow" w:hAnsi="Arial Narrow" w:cs="Arial"/>
          <w:sz w:val="22"/>
          <w:szCs w:val="22"/>
        </w:rPr>
        <w:t>Digoxin</w:t>
      </w:r>
      <w:r w:rsidRPr="00C76C82">
        <w:rPr>
          <w:rFonts w:ascii="Arial Narrow" w:hAnsi="Arial Narrow" w:cs="Arial"/>
          <w:iCs/>
          <w:sz w:val="22"/>
          <w:szCs w:val="22"/>
        </w:rPr>
        <w:t xml:space="preserve">-specific antibody fragment </w:t>
      </w:r>
      <w:r w:rsidRPr="00C76C82">
        <w:rPr>
          <w:rFonts w:ascii="Arial Narrow" w:hAnsi="Arial Narrow" w:cs="Arial"/>
          <w:sz w:val="22"/>
          <w:szCs w:val="22"/>
        </w:rPr>
        <w:t xml:space="preserve">F(Ab) (Ovine) </w:t>
      </w:r>
      <w:r w:rsidR="00655D24">
        <w:rPr>
          <w:rFonts w:ascii="Arial Narrow" w:hAnsi="Arial Narrow" w:cs="Arial"/>
          <w:sz w:val="22"/>
          <w:szCs w:val="22"/>
        </w:rPr>
        <w:t>DIGIFAB</w:t>
      </w:r>
      <w:r w:rsidRPr="00C76C82">
        <w:rPr>
          <w:rFonts w:ascii="Arial Narrow" w:hAnsi="Arial Narrow" w:cs="Arial"/>
          <w:sz w:val="22"/>
          <w:szCs w:val="22"/>
        </w:rPr>
        <w:t xml:space="preserve"> </w:t>
      </w:r>
      <w:r w:rsidR="003C4571" w:rsidRPr="00C76C82">
        <w:rPr>
          <w:rFonts w:ascii="Arial Narrow" w:hAnsi="Arial Narrow"/>
          <w:sz w:val="22"/>
          <w:szCs w:val="22"/>
        </w:rPr>
        <w:t>is indicated for the treatment of known (or strongly suspected) life-threatening digoxin toxicity associated with ventricular arrhythmias</w:t>
      </w:r>
      <w:r w:rsidR="00727E3D">
        <w:rPr>
          <w:rFonts w:ascii="Arial Narrow" w:hAnsi="Arial Narrow"/>
          <w:sz w:val="22"/>
          <w:szCs w:val="22"/>
        </w:rPr>
        <w:t>, progressive bradycardia,</w:t>
      </w:r>
      <w:r w:rsidR="003C4571" w:rsidRPr="00C76C82">
        <w:rPr>
          <w:rFonts w:ascii="Arial Narrow" w:hAnsi="Arial Narrow"/>
          <w:sz w:val="22"/>
          <w:szCs w:val="22"/>
        </w:rPr>
        <w:t xml:space="preserve"> or </w:t>
      </w:r>
      <w:r w:rsidR="00727E3D">
        <w:rPr>
          <w:rFonts w:ascii="Arial Narrow" w:hAnsi="Arial Narrow"/>
          <w:sz w:val="22"/>
          <w:szCs w:val="22"/>
        </w:rPr>
        <w:t>second or third degree hear</w:t>
      </w:r>
      <w:r w:rsidR="00BC32C8">
        <w:rPr>
          <w:rFonts w:ascii="Arial Narrow" w:hAnsi="Arial Narrow"/>
          <w:sz w:val="22"/>
          <w:szCs w:val="22"/>
        </w:rPr>
        <w:t>t</w:t>
      </w:r>
      <w:r w:rsidR="00727E3D">
        <w:rPr>
          <w:rFonts w:ascii="Arial Narrow" w:hAnsi="Arial Narrow"/>
          <w:sz w:val="22"/>
          <w:szCs w:val="22"/>
        </w:rPr>
        <w:t xml:space="preserve"> block </w:t>
      </w:r>
      <w:r w:rsidR="00F0788C">
        <w:rPr>
          <w:rFonts w:ascii="Arial Narrow" w:hAnsi="Arial Narrow"/>
          <w:sz w:val="22"/>
          <w:szCs w:val="22"/>
        </w:rPr>
        <w:t xml:space="preserve">not </w:t>
      </w:r>
      <w:r w:rsidR="003C4571" w:rsidRPr="00C76C82">
        <w:rPr>
          <w:rFonts w:ascii="Arial Narrow" w:hAnsi="Arial Narrow"/>
          <w:sz w:val="22"/>
          <w:szCs w:val="22"/>
        </w:rPr>
        <w:t>responsive to atropine</w:t>
      </w:r>
      <w:r w:rsidR="00727E3D">
        <w:rPr>
          <w:rFonts w:ascii="Arial Narrow" w:hAnsi="Arial Narrow"/>
          <w:sz w:val="22"/>
          <w:szCs w:val="22"/>
        </w:rPr>
        <w:t>,</w:t>
      </w:r>
      <w:r w:rsidR="003C4571" w:rsidRPr="00C76C82">
        <w:rPr>
          <w:rFonts w:ascii="Arial Narrow" w:hAnsi="Arial Narrow"/>
          <w:sz w:val="22"/>
          <w:szCs w:val="22"/>
        </w:rPr>
        <w:t xml:space="preserve"> </w:t>
      </w:r>
      <w:r w:rsidR="00A958F6">
        <w:rPr>
          <w:rFonts w:ascii="Arial Narrow" w:hAnsi="Arial Narrow"/>
          <w:sz w:val="22"/>
          <w:szCs w:val="22"/>
        </w:rPr>
        <w:t xml:space="preserve">and </w:t>
      </w:r>
      <w:r w:rsidR="003C4571" w:rsidRPr="00C76C82">
        <w:rPr>
          <w:rFonts w:ascii="Arial Narrow" w:hAnsi="Arial Narrow"/>
          <w:sz w:val="22"/>
          <w:szCs w:val="22"/>
        </w:rPr>
        <w:t xml:space="preserve">where </w:t>
      </w:r>
      <w:r w:rsidR="00A958F6">
        <w:rPr>
          <w:rFonts w:ascii="Arial Narrow" w:hAnsi="Arial Narrow"/>
          <w:sz w:val="22"/>
          <w:szCs w:val="22"/>
        </w:rPr>
        <w:t xml:space="preserve">additional </w:t>
      </w:r>
      <w:r w:rsidR="003C4571" w:rsidRPr="00C76C82">
        <w:rPr>
          <w:rFonts w:ascii="Arial Narrow" w:hAnsi="Arial Narrow"/>
          <w:sz w:val="22"/>
          <w:szCs w:val="22"/>
        </w:rPr>
        <w:t>measures be</w:t>
      </w:r>
      <w:r w:rsidR="00A958F6">
        <w:rPr>
          <w:rFonts w:ascii="Arial Narrow" w:hAnsi="Arial Narrow"/>
          <w:sz w:val="22"/>
          <w:szCs w:val="22"/>
        </w:rPr>
        <w:t>sides</w:t>
      </w:r>
      <w:r w:rsidR="003C4571" w:rsidRPr="00C76C82">
        <w:rPr>
          <w:rFonts w:ascii="Arial Narrow" w:hAnsi="Arial Narrow"/>
          <w:sz w:val="22"/>
          <w:szCs w:val="22"/>
        </w:rPr>
        <w:t xml:space="preserve"> withdrawal of digoxin and correction of serum electrolyte abnormalities are considered necessary</w:t>
      </w:r>
      <w:r w:rsidR="003C4571" w:rsidRPr="00C76C82">
        <w:rPr>
          <w:rFonts w:ascii="Arial Narrow" w:hAnsi="Arial Narrow"/>
          <w:b/>
          <w:i/>
          <w:sz w:val="22"/>
          <w:szCs w:val="22"/>
        </w:rPr>
        <w:t>.</w:t>
      </w:r>
      <w:r w:rsidR="00E81A1B" w:rsidRPr="00E81A1B">
        <w:t xml:space="preserve"> </w:t>
      </w:r>
      <w:r w:rsidR="004E1C96">
        <w:rPr>
          <w:rFonts w:ascii="Arial Narrow" w:hAnsi="Arial Narrow"/>
          <w:sz w:val="22"/>
          <w:szCs w:val="22"/>
        </w:rPr>
        <w:t>C</w:t>
      </w:r>
      <w:r w:rsidR="00E81A1B" w:rsidRPr="00E81A1B">
        <w:rPr>
          <w:rFonts w:ascii="Arial Narrow" w:hAnsi="Arial Narrow"/>
          <w:sz w:val="22"/>
          <w:szCs w:val="22"/>
        </w:rPr>
        <w:t xml:space="preserve">onsequences of multiple dosing with </w:t>
      </w:r>
      <w:r w:rsidR="001536FF">
        <w:rPr>
          <w:rFonts w:ascii="Arial Narrow" w:hAnsi="Arial Narrow"/>
          <w:sz w:val="22"/>
          <w:szCs w:val="22"/>
        </w:rPr>
        <w:t>DIGIFAB</w:t>
      </w:r>
      <w:r w:rsidR="00E81A1B" w:rsidRPr="00E81A1B">
        <w:rPr>
          <w:rFonts w:ascii="Arial Narrow" w:hAnsi="Arial Narrow"/>
          <w:sz w:val="22"/>
          <w:szCs w:val="22"/>
        </w:rPr>
        <w:t xml:space="preserve"> have not been evaluated.</w:t>
      </w:r>
    </w:p>
    <w:p w:rsidR="00A958F6" w:rsidRPr="00C76C82" w:rsidRDefault="00A958F6" w:rsidP="00746F03">
      <w:pPr>
        <w:pStyle w:val="BodyTextIndent"/>
        <w:spacing w:after="0"/>
        <w:ind w:left="0"/>
        <w:jc w:val="both"/>
        <w:rPr>
          <w:rFonts w:ascii="Arial Narrow" w:hAnsi="Arial Narrow"/>
          <w:b/>
          <w:i/>
          <w:sz w:val="22"/>
          <w:szCs w:val="22"/>
        </w:rPr>
      </w:pPr>
    </w:p>
    <w:p w:rsidR="001848F7" w:rsidRDefault="003C4571" w:rsidP="00746F03">
      <w:pPr>
        <w:pStyle w:val="BodyTextIndent"/>
        <w:spacing w:after="0"/>
        <w:ind w:left="0"/>
        <w:jc w:val="both"/>
        <w:rPr>
          <w:rFonts w:ascii="Arial Narrow" w:eastAsiaTheme="minorHAnsi" w:hAnsi="Arial Narrow" w:cs="TradeGothic-CondEighteen"/>
          <w:b/>
          <w:sz w:val="22"/>
          <w:szCs w:val="22"/>
          <w:lang w:val="en-AU" w:eastAsia="en-US"/>
        </w:rPr>
      </w:pPr>
      <w:r w:rsidRPr="00C76C82">
        <w:rPr>
          <w:rFonts w:ascii="Arial Narrow" w:eastAsiaTheme="minorHAnsi" w:hAnsi="Arial Narrow" w:cs="TradeGothic-CondEighteen"/>
          <w:b/>
          <w:sz w:val="22"/>
          <w:szCs w:val="22"/>
          <w:lang w:val="en-AU" w:eastAsia="en-US"/>
        </w:rPr>
        <w:t>CONTRAINDICATIONS</w:t>
      </w:r>
    </w:p>
    <w:p w:rsidR="00284DEA" w:rsidRPr="00C76C82" w:rsidRDefault="00284DEA" w:rsidP="00746F03">
      <w:pPr>
        <w:pStyle w:val="BodyTextIndent"/>
        <w:spacing w:after="0"/>
        <w:ind w:left="0"/>
        <w:jc w:val="both"/>
        <w:rPr>
          <w:rFonts w:ascii="Arial Narrow" w:eastAsiaTheme="minorHAnsi" w:hAnsi="Arial Narrow" w:cs="TradeGothic-CondEighteen"/>
          <w:b/>
          <w:sz w:val="22"/>
          <w:szCs w:val="22"/>
          <w:lang w:val="en-AU" w:eastAsia="en-US"/>
        </w:rPr>
      </w:pPr>
    </w:p>
    <w:p w:rsidR="004B2D5C" w:rsidRDefault="003C4571" w:rsidP="00746F03">
      <w:pPr>
        <w:pStyle w:val="BodyTextIndent"/>
        <w:spacing w:after="0"/>
        <w:ind w:left="0"/>
        <w:jc w:val="both"/>
        <w:rPr>
          <w:rFonts w:ascii="Arial Narrow" w:eastAsiaTheme="minorHAnsi" w:hAnsi="Arial Narrow" w:cs="TradeGothic-CondEighteen"/>
          <w:sz w:val="22"/>
          <w:szCs w:val="22"/>
          <w:lang w:val="en-AU" w:eastAsia="en-US"/>
        </w:rPr>
      </w:pPr>
      <w:proofErr w:type="gramStart"/>
      <w:r w:rsidRPr="00C76C82">
        <w:rPr>
          <w:rFonts w:ascii="Arial Narrow" w:eastAsiaTheme="minorHAnsi" w:hAnsi="Arial Narrow" w:cs="TradeGothic-CondEighteen"/>
          <w:sz w:val="22"/>
          <w:szCs w:val="22"/>
          <w:lang w:val="en-AU" w:eastAsia="en-US"/>
        </w:rPr>
        <w:t>Hypersensitivity to the active substance or any of the excipients.</w:t>
      </w:r>
      <w:proofErr w:type="gramEnd"/>
      <w:r w:rsidRPr="00C76C82">
        <w:rPr>
          <w:rFonts w:ascii="Arial Narrow" w:eastAsiaTheme="minorHAnsi" w:hAnsi="Arial Narrow" w:cs="TradeGothic-CondEighteen"/>
          <w:sz w:val="22"/>
          <w:szCs w:val="22"/>
          <w:lang w:val="en-AU" w:eastAsia="en-US"/>
        </w:rPr>
        <w:t xml:space="preserve"> </w:t>
      </w:r>
    </w:p>
    <w:p w:rsidR="004B2D5C" w:rsidRDefault="004B2D5C" w:rsidP="00746F03">
      <w:pPr>
        <w:pStyle w:val="BodyTextIndent"/>
        <w:spacing w:after="0"/>
        <w:ind w:left="0"/>
        <w:jc w:val="both"/>
        <w:rPr>
          <w:rFonts w:ascii="Arial Narrow" w:eastAsiaTheme="minorHAnsi" w:hAnsi="Arial Narrow" w:cs="TradeGothic-CondEighteen"/>
          <w:sz w:val="22"/>
          <w:szCs w:val="22"/>
          <w:lang w:val="en-AU" w:eastAsia="en-US"/>
        </w:rPr>
      </w:pPr>
    </w:p>
    <w:p w:rsidR="00BE741C" w:rsidRDefault="00BE741C" w:rsidP="00746F03">
      <w:pPr>
        <w:jc w:val="both"/>
        <w:rPr>
          <w:rFonts w:ascii="Arial Narrow" w:hAnsi="Arial Narrow" w:cs="Arial"/>
          <w:b/>
          <w:bCs/>
          <w:iCs/>
          <w:sz w:val="22"/>
          <w:szCs w:val="22"/>
        </w:rPr>
      </w:pPr>
      <w:r w:rsidRPr="00C76C82">
        <w:rPr>
          <w:rFonts w:ascii="Arial Narrow" w:hAnsi="Arial Narrow" w:cs="Arial"/>
          <w:b/>
          <w:bCs/>
          <w:iCs/>
          <w:sz w:val="22"/>
          <w:szCs w:val="22"/>
        </w:rPr>
        <w:t>PRECAUTIONS</w:t>
      </w:r>
    </w:p>
    <w:p w:rsidR="00284DEA" w:rsidRPr="00C76C82" w:rsidRDefault="00284DEA" w:rsidP="00746F03">
      <w:pPr>
        <w:jc w:val="both"/>
        <w:rPr>
          <w:rFonts w:ascii="Arial Narrow" w:hAnsi="Arial Narrow" w:cs="Arial"/>
          <w:b/>
          <w:bCs/>
          <w:iCs/>
          <w:sz w:val="22"/>
          <w:szCs w:val="22"/>
        </w:rPr>
      </w:pPr>
    </w:p>
    <w:p w:rsidR="003A4534" w:rsidRPr="00C76C82" w:rsidRDefault="003A4534" w:rsidP="00746F03">
      <w:pPr>
        <w:autoSpaceDE w:val="0"/>
        <w:autoSpaceDN w:val="0"/>
        <w:adjustRightInd w:val="0"/>
        <w:jc w:val="both"/>
        <w:rPr>
          <w:rFonts w:ascii="Arial Narrow" w:eastAsiaTheme="minorHAnsi" w:hAnsi="Arial Narrow" w:cs="TradeGothic-BoldCondTwenty"/>
          <w:b/>
          <w:bCs/>
          <w:sz w:val="22"/>
          <w:szCs w:val="22"/>
          <w:lang w:val="en-AU" w:eastAsia="en-US"/>
        </w:rPr>
      </w:pPr>
      <w:r w:rsidRPr="00C76C82">
        <w:rPr>
          <w:rFonts w:ascii="Arial Narrow" w:eastAsiaTheme="minorHAnsi" w:hAnsi="Arial Narrow" w:cs="TradeGothic-BoldCondTwenty"/>
          <w:b/>
          <w:bCs/>
          <w:sz w:val="22"/>
          <w:szCs w:val="22"/>
          <w:lang w:val="en-AU" w:eastAsia="en-US"/>
        </w:rPr>
        <w:t>General</w:t>
      </w:r>
    </w:p>
    <w:p w:rsidR="002A4985" w:rsidRDefault="002A4985" w:rsidP="00746F03">
      <w:pPr>
        <w:autoSpaceDE w:val="0"/>
        <w:autoSpaceDN w:val="0"/>
        <w:adjustRightInd w:val="0"/>
        <w:jc w:val="both"/>
        <w:rPr>
          <w:rFonts w:ascii="Arial Narrow" w:eastAsiaTheme="minorHAnsi" w:hAnsi="Arial Narrow" w:cs="TradeGothic-CondEighteen"/>
          <w:sz w:val="22"/>
          <w:szCs w:val="22"/>
          <w:lang w:val="en-AU" w:eastAsia="en-US"/>
        </w:rPr>
      </w:pPr>
      <w:r>
        <w:rPr>
          <w:rFonts w:ascii="Arial Narrow" w:eastAsiaTheme="minorHAnsi" w:hAnsi="Arial Narrow" w:cs="TradeGothic-CondEighteen"/>
          <w:sz w:val="22"/>
          <w:szCs w:val="22"/>
          <w:lang w:val="en-AU" w:eastAsia="en-US"/>
        </w:rPr>
        <w:t>Digoxin specific antibody fragment</w:t>
      </w:r>
      <w:r w:rsidR="002967B4">
        <w:rPr>
          <w:rFonts w:ascii="Arial Narrow" w:eastAsiaTheme="minorHAnsi" w:hAnsi="Arial Narrow" w:cs="TradeGothic-CondEighteen"/>
          <w:sz w:val="22"/>
          <w:szCs w:val="22"/>
          <w:lang w:val="en-AU" w:eastAsia="en-US"/>
        </w:rPr>
        <w:t>s</w:t>
      </w:r>
      <w:r>
        <w:rPr>
          <w:rFonts w:ascii="Arial Narrow" w:eastAsiaTheme="minorHAnsi" w:hAnsi="Arial Narrow" w:cs="TradeGothic-CondEighteen"/>
          <w:sz w:val="22"/>
          <w:szCs w:val="22"/>
          <w:lang w:val="en-AU" w:eastAsia="en-US"/>
        </w:rPr>
        <w:t xml:space="preserve"> </w:t>
      </w:r>
      <w:proofErr w:type="gramStart"/>
      <w:r>
        <w:rPr>
          <w:rFonts w:ascii="Arial Narrow" w:eastAsiaTheme="minorHAnsi" w:hAnsi="Arial Narrow" w:cs="TradeGothic-CondEighteen"/>
          <w:sz w:val="22"/>
          <w:szCs w:val="22"/>
          <w:lang w:val="en-AU" w:eastAsia="en-US"/>
        </w:rPr>
        <w:t>F(</w:t>
      </w:r>
      <w:proofErr w:type="gramEnd"/>
      <w:r>
        <w:rPr>
          <w:rFonts w:ascii="Arial Narrow" w:eastAsiaTheme="minorHAnsi" w:hAnsi="Arial Narrow" w:cs="TradeGothic-CondEighteen"/>
          <w:sz w:val="22"/>
          <w:szCs w:val="22"/>
          <w:lang w:val="en-AU" w:eastAsia="en-US"/>
        </w:rPr>
        <w:t>Ab) (Ovine) has been used on only a limited scale in man and its safety has therefore not yet been completely defined.</w:t>
      </w:r>
    </w:p>
    <w:p w:rsidR="00746F03" w:rsidRDefault="00746F03" w:rsidP="00746F03">
      <w:pPr>
        <w:autoSpaceDE w:val="0"/>
        <w:autoSpaceDN w:val="0"/>
        <w:adjustRightInd w:val="0"/>
        <w:jc w:val="both"/>
        <w:rPr>
          <w:rFonts w:ascii="Arial Narrow" w:eastAsiaTheme="minorHAnsi" w:hAnsi="Arial Narrow" w:cs="TradeGothic-CondEighteen"/>
          <w:sz w:val="22"/>
          <w:szCs w:val="22"/>
          <w:lang w:val="en-AU" w:eastAsia="en-US"/>
        </w:rPr>
      </w:pPr>
    </w:p>
    <w:p w:rsidR="003A4534" w:rsidRPr="00C76C82" w:rsidRDefault="003A453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Suicidal ingestion may involve more than one drug. Toxic effects of other drugs or poisons should not be overlooked, especially in cases where signs and symptoms of digitalis toxicity are not relieved by administration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w:t>
      </w:r>
    </w:p>
    <w:p w:rsidR="008242B3" w:rsidRPr="00C76C82" w:rsidRDefault="008242B3" w:rsidP="00746F03">
      <w:pPr>
        <w:autoSpaceDE w:val="0"/>
        <w:autoSpaceDN w:val="0"/>
        <w:adjustRightInd w:val="0"/>
        <w:jc w:val="both"/>
        <w:rPr>
          <w:rFonts w:ascii="Arial Narrow" w:eastAsiaTheme="minorHAnsi" w:hAnsi="Arial Narrow" w:cs="TradeGothic-CondEighteen"/>
          <w:sz w:val="22"/>
          <w:szCs w:val="22"/>
          <w:lang w:val="en-AU" w:eastAsia="en-US"/>
        </w:rPr>
      </w:pPr>
    </w:p>
    <w:p w:rsidR="003A4534" w:rsidRPr="00C76C82" w:rsidRDefault="003A453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Standard management of digitalis intoxication includes withdrawal of the in</w:t>
      </w:r>
      <w:r w:rsidR="008242B3" w:rsidRPr="00C76C82">
        <w:rPr>
          <w:rFonts w:ascii="Arial Narrow" w:eastAsiaTheme="minorHAnsi" w:hAnsi="Arial Narrow" w:cs="TradeGothic-CondEighteen"/>
          <w:sz w:val="22"/>
          <w:szCs w:val="22"/>
          <w:lang w:val="en-AU" w:eastAsia="en-US"/>
        </w:rPr>
        <w:t xml:space="preserve">toxicating agent, correction of </w:t>
      </w:r>
      <w:r w:rsidRPr="00C76C82">
        <w:rPr>
          <w:rFonts w:ascii="Arial Narrow" w:eastAsiaTheme="minorHAnsi" w:hAnsi="Arial Narrow" w:cs="TradeGothic-CondEighteen"/>
          <w:sz w:val="22"/>
          <w:szCs w:val="22"/>
          <w:lang w:val="en-AU" w:eastAsia="en-US"/>
        </w:rPr>
        <w:t>elect</w:t>
      </w:r>
      <w:r w:rsidR="008242B3" w:rsidRPr="00C76C82">
        <w:rPr>
          <w:rFonts w:ascii="Arial Narrow" w:eastAsiaTheme="minorHAnsi" w:hAnsi="Arial Narrow" w:cs="TradeGothic-CondEighteen"/>
          <w:sz w:val="22"/>
          <w:szCs w:val="22"/>
          <w:lang w:val="en-AU" w:eastAsia="en-US"/>
        </w:rPr>
        <w:t xml:space="preserve">rolyte disturbances (especially </w:t>
      </w:r>
      <w:r w:rsidR="00DE7D01" w:rsidRPr="00C76C82">
        <w:rPr>
          <w:rFonts w:ascii="Arial Narrow" w:eastAsiaTheme="minorHAnsi" w:hAnsi="Arial Narrow" w:cs="TradeGothic-CondEighteen"/>
          <w:sz w:val="22"/>
          <w:szCs w:val="22"/>
          <w:lang w:val="en-AU" w:eastAsia="en-US"/>
        </w:rPr>
        <w:t>hyp</w:t>
      </w:r>
      <w:r w:rsidR="00DE7D01">
        <w:rPr>
          <w:rFonts w:ascii="Arial Narrow" w:eastAsiaTheme="minorHAnsi" w:hAnsi="Arial Narrow" w:cs="TradeGothic-CondEighteen"/>
          <w:sz w:val="22"/>
          <w:szCs w:val="22"/>
          <w:lang w:val="en-AU" w:eastAsia="en-US"/>
        </w:rPr>
        <w:t>o</w:t>
      </w:r>
      <w:r w:rsidR="00DE7D01" w:rsidRPr="00C76C82">
        <w:rPr>
          <w:rFonts w:ascii="Arial Narrow" w:eastAsiaTheme="minorHAnsi" w:hAnsi="Arial Narrow" w:cs="TradeGothic-CondEighteen"/>
          <w:sz w:val="22"/>
          <w:szCs w:val="22"/>
          <w:lang w:val="en-AU" w:eastAsia="en-US"/>
        </w:rPr>
        <w:t>kalaemia</w:t>
      </w:r>
      <w:r w:rsidR="00DE7D01">
        <w:rPr>
          <w:rFonts w:ascii="Arial Narrow" w:eastAsiaTheme="minorHAnsi" w:hAnsi="Arial Narrow" w:cs="TradeGothic-CondEighteen"/>
          <w:sz w:val="22"/>
          <w:szCs w:val="22"/>
          <w:lang w:val="en-AU" w:eastAsia="en-US"/>
        </w:rPr>
        <w:t xml:space="preserve"> and </w:t>
      </w:r>
      <w:r w:rsidR="00CF5659">
        <w:rPr>
          <w:rFonts w:ascii="Arial" w:hAnsi="Arial" w:cs="Arial"/>
          <w:sz w:val="20"/>
          <w:szCs w:val="20"/>
          <w:lang w:val="en-US"/>
        </w:rPr>
        <w:t>hypomagnes</w:t>
      </w:r>
      <w:r w:rsidR="00CF5659" w:rsidRPr="00CF5659">
        <w:rPr>
          <w:rFonts w:ascii="Arial" w:hAnsi="Arial" w:cs="Arial"/>
          <w:bCs/>
          <w:sz w:val="20"/>
          <w:szCs w:val="20"/>
          <w:lang w:val="en-US"/>
        </w:rPr>
        <w:t>emia</w:t>
      </w:r>
      <w:r w:rsidRPr="00C76C82">
        <w:rPr>
          <w:rFonts w:ascii="Arial Narrow" w:eastAsiaTheme="minorHAnsi" w:hAnsi="Arial Narrow" w:cs="TradeGothic-CondEighteen"/>
          <w:sz w:val="22"/>
          <w:szCs w:val="22"/>
          <w:lang w:val="en-AU" w:eastAsia="en-US"/>
        </w:rPr>
        <w:t>), acid-base imbalances, hypoxia and treatment of cardiac arrhythmias.</w:t>
      </w:r>
    </w:p>
    <w:p w:rsidR="008242B3" w:rsidRPr="00C76C82" w:rsidRDefault="008242B3" w:rsidP="00746F03">
      <w:pPr>
        <w:autoSpaceDE w:val="0"/>
        <w:autoSpaceDN w:val="0"/>
        <w:adjustRightInd w:val="0"/>
        <w:jc w:val="both"/>
        <w:rPr>
          <w:rFonts w:ascii="Arial Narrow" w:eastAsiaTheme="minorHAnsi" w:hAnsi="Arial Narrow" w:cs="TradeGothic-CondEighteen"/>
          <w:sz w:val="22"/>
          <w:szCs w:val="22"/>
          <w:lang w:val="en-AU" w:eastAsia="en-US"/>
        </w:rPr>
      </w:pPr>
    </w:p>
    <w:p w:rsidR="003A4534" w:rsidRPr="00C76C82" w:rsidRDefault="003A453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Massive digitalis intoxication can cause hyperkalemia; administration of potassium supplements in the setting o</w:t>
      </w:r>
      <w:r w:rsidR="008242B3" w:rsidRPr="00C76C82">
        <w:rPr>
          <w:rFonts w:ascii="Arial Narrow" w:eastAsiaTheme="minorHAnsi" w:hAnsi="Arial Narrow" w:cs="TradeGothic-CondEighteen"/>
          <w:sz w:val="22"/>
          <w:szCs w:val="22"/>
          <w:lang w:val="en-AU" w:eastAsia="en-US"/>
        </w:rPr>
        <w:t xml:space="preserve">f digitalis intoxication may be </w:t>
      </w:r>
      <w:r w:rsidRPr="00C76C82">
        <w:rPr>
          <w:rFonts w:ascii="Arial Narrow" w:eastAsiaTheme="minorHAnsi" w:hAnsi="Arial Narrow" w:cs="TradeGothic-CondEighteen"/>
          <w:sz w:val="22"/>
          <w:szCs w:val="22"/>
          <w:lang w:val="en-AU" w:eastAsia="en-US"/>
        </w:rPr>
        <w:t xml:space="preserve">hazardous. After treatment with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the serum potassium concentration may drop rapidly and must be monitored </w:t>
      </w:r>
      <w:proofErr w:type="gramStart"/>
      <w:r w:rsidRPr="00C76C82">
        <w:rPr>
          <w:rFonts w:ascii="Arial Narrow" w:eastAsiaTheme="minorHAnsi" w:hAnsi="Arial Narrow" w:cs="TradeGothic-CondEighteen"/>
          <w:sz w:val="22"/>
          <w:szCs w:val="22"/>
          <w:lang w:val="en-AU" w:eastAsia="en-US"/>
        </w:rPr>
        <w:t>f</w:t>
      </w:r>
      <w:r w:rsidR="008242B3" w:rsidRPr="00C76C82">
        <w:rPr>
          <w:rFonts w:ascii="Arial Narrow" w:eastAsiaTheme="minorHAnsi" w:hAnsi="Arial Narrow" w:cs="TradeGothic-CondEighteen"/>
          <w:sz w:val="22"/>
          <w:szCs w:val="22"/>
          <w:lang w:val="en-AU" w:eastAsia="en-US"/>
        </w:rPr>
        <w:t>requently,</w:t>
      </w:r>
      <w:proofErr w:type="gramEnd"/>
      <w:r w:rsidR="008242B3" w:rsidRPr="00C76C82">
        <w:rPr>
          <w:rFonts w:ascii="Arial Narrow" w:eastAsiaTheme="minorHAnsi" w:hAnsi="Arial Narrow" w:cs="TradeGothic-CondEighteen"/>
          <w:sz w:val="22"/>
          <w:szCs w:val="22"/>
          <w:lang w:val="en-AU" w:eastAsia="en-US"/>
        </w:rPr>
        <w:t xml:space="preserve"> especially </w:t>
      </w:r>
      <w:r w:rsidR="00A958F6">
        <w:rPr>
          <w:rFonts w:ascii="Arial Narrow" w:eastAsiaTheme="minorHAnsi" w:hAnsi="Arial Narrow" w:cs="TradeGothic-CondEighteen"/>
          <w:sz w:val="22"/>
          <w:szCs w:val="22"/>
          <w:lang w:val="en-AU" w:eastAsia="en-US"/>
        </w:rPr>
        <w:t>for</w:t>
      </w:r>
      <w:r w:rsidR="008242B3" w:rsidRPr="00C76C82">
        <w:rPr>
          <w:rFonts w:ascii="Arial Narrow" w:eastAsiaTheme="minorHAnsi" w:hAnsi="Arial Narrow" w:cs="TradeGothic-CondEighteen"/>
          <w:sz w:val="22"/>
          <w:szCs w:val="22"/>
          <w:lang w:val="en-AU" w:eastAsia="en-US"/>
        </w:rPr>
        <w:t xml:space="preserve"> the </w:t>
      </w:r>
      <w:r w:rsidRPr="00C76C82">
        <w:rPr>
          <w:rFonts w:ascii="Arial Narrow" w:eastAsiaTheme="minorHAnsi" w:hAnsi="Arial Narrow" w:cs="TradeGothic-CondEighteen"/>
          <w:sz w:val="22"/>
          <w:szCs w:val="22"/>
          <w:lang w:val="en-AU" w:eastAsia="en-US"/>
        </w:rPr>
        <w:t xml:space="preserve">first </w:t>
      </w:r>
      <w:r w:rsidR="00A958F6">
        <w:rPr>
          <w:rFonts w:ascii="Arial Narrow" w:eastAsiaTheme="minorHAnsi" w:hAnsi="Arial Narrow" w:cs="TradeGothic-CondEighteen"/>
          <w:sz w:val="22"/>
          <w:szCs w:val="22"/>
          <w:lang w:val="en-AU" w:eastAsia="en-US"/>
        </w:rPr>
        <w:t>few</w:t>
      </w:r>
      <w:r w:rsidRPr="00C76C82">
        <w:rPr>
          <w:rFonts w:ascii="Arial Narrow" w:eastAsiaTheme="minorHAnsi" w:hAnsi="Arial Narrow" w:cs="TradeGothic-CondEighteen"/>
          <w:sz w:val="22"/>
          <w:szCs w:val="22"/>
          <w:lang w:val="en-AU" w:eastAsia="en-US"/>
        </w:rPr>
        <w:t xml:space="preserve"> hours </w:t>
      </w:r>
      <w:r w:rsidR="00E81A1B">
        <w:rPr>
          <w:rFonts w:ascii="Arial Narrow" w:eastAsiaTheme="minorHAnsi" w:hAnsi="Arial Narrow" w:cs="TradeGothic-CondEighteen"/>
          <w:sz w:val="22"/>
          <w:szCs w:val="22"/>
          <w:lang w:val="en-AU" w:eastAsia="en-US"/>
        </w:rPr>
        <w:t>following</w:t>
      </w:r>
      <w:r w:rsidRPr="00C76C82">
        <w:rPr>
          <w:rFonts w:ascii="Arial Narrow" w:eastAsiaTheme="minorHAnsi" w:hAnsi="Arial Narrow" w:cs="TradeGothic-CondEighteen"/>
          <w:sz w:val="22"/>
          <w:szCs w:val="22"/>
          <w:lang w:val="en-AU" w:eastAsia="en-US"/>
        </w:rPr>
        <w:t xml:space="preserve">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w:t>
      </w:r>
      <w:r w:rsidR="00A958F6">
        <w:rPr>
          <w:rFonts w:ascii="Arial Narrow" w:eastAsiaTheme="minorHAnsi" w:hAnsi="Arial Narrow" w:cs="TradeGothic-CondEighteen"/>
          <w:sz w:val="22"/>
          <w:szCs w:val="22"/>
          <w:lang w:val="en-AU" w:eastAsia="en-US"/>
        </w:rPr>
        <w:t>administration</w:t>
      </w:r>
      <w:r w:rsidRPr="00C76C82">
        <w:rPr>
          <w:rFonts w:ascii="Arial Narrow" w:eastAsiaTheme="minorHAnsi" w:hAnsi="Arial Narrow" w:cs="TradeGothic-CondEighteen"/>
          <w:sz w:val="22"/>
          <w:szCs w:val="22"/>
          <w:lang w:val="en-AU" w:eastAsia="en-US"/>
        </w:rPr>
        <w:t xml:space="preserve"> (see Laboratory Tests).</w:t>
      </w:r>
    </w:p>
    <w:p w:rsidR="008242B3" w:rsidRPr="00C76C82" w:rsidRDefault="008242B3" w:rsidP="00746F03">
      <w:pPr>
        <w:autoSpaceDE w:val="0"/>
        <w:autoSpaceDN w:val="0"/>
        <w:adjustRightInd w:val="0"/>
        <w:jc w:val="both"/>
        <w:rPr>
          <w:rFonts w:ascii="Arial Narrow" w:eastAsiaTheme="minorHAnsi" w:hAnsi="Arial Narrow" w:cs="TradeGothic-CondEighteen"/>
          <w:sz w:val="22"/>
          <w:szCs w:val="22"/>
          <w:lang w:val="en-AU" w:eastAsia="en-US"/>
        </w:rPr>
      </w:pPr>
    </w:p>
    <w:p w:rsidR="008242B3" w:rsidRPr="00C76C82" w:rsidRDefault="003A453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Patients with poor cardiac function may deteriorate secondary to the withdrawal of the inotropic action of digoxin by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If needed, additional</w:t>
      </w:r>
      <w:r w:rsidR="008242B3" w:rsidRPr="00C76C82">
        <w:rPr>
          <w:rFonts w:ascii="Arial Narrow" w:eastAsiaTheme="minorHAnsi" w:hAnsi="Arial Narrow" w:cs="TradeGothic-CondEighteen"/>
          <w:sz w:val="22"/>
          <w:szCs w:val="22"/>
          <w:lang w:val="en-AU" w:eastAsia="en-US"/>
        </w:rPr>
        <w:t xml:space="preserve"> </w:t>
      </w:r>
      <w:r w:rsidRPr="00C76C82">
        <w:rPr>
          <w:rFonts w:ascii="Arial Narrow" w:eastAsiaTheme="minorHAnsi" w:hAnsi="Arial Narrow" w:cs="TradeGothic-CondEighteen"/>
          <w:sz w:val="22"/>
          <w:szCs w:val="22"/>
          <w:lang w:val="en-AU" w:eastAsia="en-US"/>
        </w:rPr>
        <w:t>support can be provided by using other intravenous inotropes such as dopamine, dobutamine or vasodilators. How</w:t>
      </w:r>
      <w:r w:rsidR="008242B3" w:rsidRPr="00C76C82">
        <w:rPr>
          <w:rFonts w:ascii="Arial Narrow" w:eastAsiaTheme="minorHAnsi" w:hAnsi="Arial Narrow" w:cs="TradeGothic-CondEighteen"/>
          <w:sz w:val="22"/>
          <w:szCs w:val="22"/>
          <w:lang w:val="en-AU" w:eastAsia="en-US"/>
        </w:rPr>
        <w:t xml:space="preserve">ever, care must be taken not to </w:t>
      </w:r>
      <w:r w:rsidRPr="00C76C82">
        <w:rPr>
          <w:rFonts w:ascii="Arial Narrow" w:eastAsiaTheme="minorHAnsi" w:hAnsi="Arial Narrow" w:cs="TradeGothic-CondEighteen"/>
          <w:sz w:val="22"/>
          <w:szCs w:val="22"/>
          <w:lang w:val="en-AU" w:eastAsia="en-US"/>
        </w:rPr>
        <w:t>aggravate the digitalis induced rhythm disturbances. Re-digitalization should be postponed, if possible, until the Fab</w:t>
      </w:r>
      <w:r w:rsidR="008242B3" w:rsidRPr="00C76C82">
        <w:rPr>
          <w:rFonts w:ascii="Arial Narrow" w:eastAsiaTheme="minorHAnsi" w:hAnsi="Arial Narrow" w:cs="TradeGothic-CondEighteen"/>
          <w:sz w:val="22"/>
          <w:szCs w:val="22"/>
          <w:lang w:val="en-AU" w:eastAsia="en-US"/>
        </w:rPr>
        <w:t xml:space="preserve"> fragments have been eliminated </w:t>
      </w:r>
      <w:r w:rsidRPr="00C76C82">
        <w:rPr>
          <w:rFonts w:ascii="Arial Narrow" w:eastAsiaTheme="minorHAnsi" w:hAnsi="Arial Narrow" w:cs="TradeGothic-CondEighteen"/>
          <w:sz w:val="22"/>
          <w:szCs w:val="22"/>
          <w:lang w:val="en-AU" w:eastAsia="en-US"/>
        </w:rPr>
        <w:t xml:space="preserve">from the body, which may require several days, and patients with impaired renal function may require a week or longer. </w:t>
      </w:r>
    </w:p>
    <w:p w:rsidR="00B84818" w:rsidRPr="00C76C82" w:rsidRDefault="00B84818" w:rsidP="00746F03">
      <w:pPr>
        <w:autoSpaceDE w:val="0"/>
        <w:autoSpaceDN w:val="0"/>
        <w:adjustRightInd w:val="0"/>
        <w:jc w:val="both"/>
        <w:rPr>
          <w:rFonts w:ascii="Arial Narrow" w:eastAsiaTheme="minorHAnsi" w:hAnsi="Arial Narrow" w:cs="TradeGothic-BoldCondTwenty"/>
          <w:b/>
          <w:bCs/>
          <w:sz w:val="22"/>
          <w:szCs w:val="22"/>
          <w:lang w:val="en-AU" w:eastAsia="en-US"/>
        </w:rPr>
      </w:pPr>
    </w:p>
    <w:p w:rsidR="008242B3" w:rsidRPr="00C76C82" w:rsidRDefault="008242B3" w:rsidP="00746F03">
      <w:pPr>
        <w:autoSpaceDE w:val="0"/>
        <w:autoSpaceDN w:val="0"/>
        <w:adjustRightInd w:val="0"/>
        <w:jc w:val="both"/>
        <w:rPr>
          <w:rFonts w:ascii="Arial Narrow" w:eastAsiaTheme="minorHAnsi" w:hAnsi="Arial Narrow" w:cs="TradeGothic-BoldCondTwenty"/>
          <w:b/>
          <w:bCs/>
          <w:sz w:val="22"/>
          <w:szCs w:val="22"/>
          <w:lang w:val="en-AU" w:eastAsia="en-US"/>
        </w:rPr>
      </w:pPr>
      <w:r w:rsidRPr="00C76C82">
        <w:rPr>
          <w:rFonts w:ascii="Arial Narrow" w:eastAsiaTheme="minorHAnsi" w:hAnsi="Arial Narrow" w:cs="TradeGothic-BoldCondTwenty"/>
          <w:b/>
          <w:bCs/>
          <w:sz w:val="22"/>
          <w:szCs w:val="22"/>
          <w:lang w:val="en-AU" w:eastAsia="en-US"/>
        </w:rPr>
        <w:t>Hypersensitivity Reactions</w:t>
      </w:r>
    </w:p>
    <w:p w:rsidR="008242B3" w:rsidRPr="00C76C82" w:rsidRDefault="008242B3" w:rsidP="00746F03">
      <w:pPr>
        <w:autoSpaceDE w:val="0"/>
        <w:autoSpaceDN w:val="0"/>
        <w:adjustRightInd w:val="0"/>
        <w:jc w:val="both"/>
        <w:rPr>
          <w:rFonts w:ascii="Arial Narrow" w:eastAsiaTheme="minorHAnsi" w:hAnsi="Arial Narrow" w:cs="TradeGothic-CondEighteen"/>
          <w:sz w:val="22"/>
          <w:szCs w:val="22"/>
          <w:vertAlign w:val="superscript"/>
          <w:lang w:val="en-AU" w:eastAsia="en-US"/>
        </w:rPr>
      </w:pPr>
      <w:r w:rsidRPr="00C76C82">
        <w:rPr>
          <w:rFonts w:ascii="Arial Narrow" w:eastAsiaTheme="minorHAnsi" w:hAnsi="Arial Narrow" w:cs="TradeGothic-CondEighteen"/>
          <w:sz w:val="22"/>
          <w:szCs w:val="22"/>
          <w:lang w:val="en-AU" w:eastAsia="en-US"/>
        </w:rPr>
        <w:t>The possible risks and side-effects that attend the administration of heterologous animal proteins in humans include anaphylactic and anaphylactoid reactions, delayed allergic reactions and a possible febrile response to immune complexes formed by animal antibodies.</w:t>
      </w:r>
    </w:p>
    <w:p w:rsidR="008242B3" w:rsidRPr="00C76C82" w:rsidRDefault="008242B3" w:rsidP="00746F03">
      <w:pPr>
        <w:autoSpaceDE w:val="0"/>
        <w:autoSpaceDN w:val="0"/>
        <w:adjustRightInd w:val="0"/>
        <w:rPr>
          <w:rFonts w:ascii="Arial Narrow" w:eastAsiaTheme="minorHAnsi" w:hAnsi="Arial Narrow" w:cs="TradeGothic-CondEighteen"/>
          <w:sz w:val="22"/>
          <w:szCs w:val="22"/>
          <w:lang w:val="en-AU" w:eastAsia="en-US"/>
        </w:rPr>
      </w:pPr>
    </w:p>
    <w:p w:rsidR="008242B3" w:rsidRPr="00C76C82" w:rsidRDefault="008242B3"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Since the Fab fragment of the antibody lacks the antigenic determinants of the Fc fragment, it should pose a reduced immunogenic threat to patients compared with intact immunoglobulin molecules. Being monovalent, the product is also unlikely to form extended immune complexes with the antigen.</w:t>
      </w:r>
    </w:p>
    <w:p w:rsidR="008242B3" w:rsidRPr="00C76C82" w:rsidRDefault="008242B3" w:rsidP="00746F03">
      <w:pPr>
        <w:autoSpaceDE w:val="0"/>
        <w:autoSpaceDN w:val="0"/>
        <w:adjustRightInd w:val="0"/>
        <w:jc w:val="both"/>
        <w:rPr>
          <w:rFonts w:ascii="Arial Narrow" w:eastAsiaTheme="minorHAnsi" w:hAnsi="Arial Narrow" w:cs="TradeGothic-CondEighteen"/>
          <w:sz w:val="22"/>
          <w:szCs w:val="22"/>
          <w:lang w:val="en-AU" w:eastAsia="en-US"/>
        </w:rPr>
      </w:pPr>
    </w:p>
    <w:p w:rsidR="003A4534" w:rsidRPr="00C76C82" w:rsidRDefault="008242B3"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lastRenderedPageBreak/>
        <w:t xml:space="preserve">Although no patient in the clinical studies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experienced a severe anaphylactic reaction, </w:t>
      </w:r>
      <w:r w:rsidR="00595F63">
        <w:rPr>
          <w:rFonts w:ascii="Arial Narrow" w:eastAsiaTheme="minorHAnsi" w:hAnsi="Arial Narrow" w:cs="TradeGothic-CondEighteen"/>
          <w:sz w:val="22"/>
          <w:szCs w:val="22"/>
          <w:lang w:val="en-AU" w:eastAsia="en-US"/>
        </w:rPr>
        <w:t xml:space="preserve">the number of patients exposed was small, therefore </w:t>
      </w:r>
      <w:r w:rsidRPr="00C76C82">
        <w:rPr>
          <w:rFonts w:ascii="Arial Narrow" w:eastAsiaTheme="minorHAnsi" w:hAnsi="Arial Narrow" w:cs="TradeGothic-CondEighteen"/>
          <w:sz w:val="22"/>
          <w:szCs w:val="22"/>
          <w:lang w:val="en-AU" w:eastAsia="en-US"/>
        </w:rPr>
        <w:t xml:space="preserve">the possibility of an anaphylactic reaction should be considered. All patients should be informed of the possibility of an anaphylactic reaction and when receiving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should be carefully </w:t>
      </w:r>
      <w:r w:rsidR="003A4534" w:rsidRPr="00C76C82">
        <w:rPr>
          <w:rFonts w:ascii="Arial Narrow" w:eastAsiaTheme="minorHAnsi" w:hAnsi="Arial Narrow" w:cs="TradeGothic-CondEighteen"/>
          <w:sz w:val="22"/>
          <w:szCs w:val="22"/>
          <w:lang w:val="en-AU" w:eastAsia="en-US"/>
        </w:rPr>
        <w:t>monitored for signs and symptoms of an acute allergic reaction (e.g., urticaria, pruritus, erythema, angioedema, bronchospasm with wheezing or</w:t>
      </w:r>
      <w:r w:rsidR="00AB79CA">
        <w:rPr>
          <w:rFonts w:ascii="Arial Narrow" w:eastAsiaTheme="minorHAnsi" w:hAnsi="Arial Narrow" w:cs="TradeGothic-CondEighteen"/>
          <w:sz w:val="22"/>
          <w:szCs w:val="22"/>
          <w:lang w:val="en-AU" w:eastAsia="en-US"/>
        </w:rPr>
        <w:t xml:space="preserve"> </w:t>
      </w:r>
      <w:r w:rsidR="003A4534" w:rsidRPr="00C76C82">
        <w:rPr>
          <w:rFonts w:ascii="Arial Narrow" w:eastAsiaTheme="minorHAnsi" w:hAnsi="Arial Narrow" w:cs="TradeGothic-CondEighteen"/>
          <w:sz w:val="22"/>
          <w:szCs w:val="22"/>
          <w:lang w:val="en-AU" w:eastAsia="en-US"/>
        </w:rPr>
        <w:t>cough, stridor, laryngeal edema, hypotension, tachycardia) and treated immediately with appropriate emerge</w:t>
      </w:r>
      <w:r w:rsidRPr="00C76C82">
        <w:rPr>
          <w:rFonts w:ascii="Arial Narrow" w:eastAsiaTheme="minorHAnsi" w:hAnsi="Arial Narrow" w:cs="TradeGothic-CondEighteen"/>
          <w:sz w:val="22"/>
          <w:szCs w:val="22"/>
          <w:lang w:val="en-AU" w:eastAsia="en-US"/>
        </w:rPr>
        <w:t xml:space="preserve">ncy medical care (e.g., oxygen, </w:t>
      </w:r>
      <w:r w:rsidR="003A4534" w:rsidRPr="00C76C82">
        <w:rPr>
          <w:rFonts w:ascii="Arial Narrow" w:eastAsiaTheme="minorHAnsi" w:hAnsi="Arial Narrow" w:cs="TradeGothic-CondEighteen"/>
          <w:sz w:val="22"/>
          <w:szCs w:val="22"/>
          <w:lang w:val="en-AU" w:eastAsia="en-US"/>
        </w:rPr>
        <w:t>diphenhydramine, corticosteroids, volume expansion and airway management).</w:t>
      </w:r>
    </w:p>
    <w:p w:rsidR="008242B3" w:rsidRPr="00C76C82" w:rsidRDefault="008242B3" w:rsidP="00746F03">
      <w:pPr>
        <w:autoSpaceDE w:val="0"/>
        <w:autoSpaceDN w:val="0"/>
        <w:adjustRightInd w:val="0"/>
        <w:jc w:val="both"/>
        <w:rPr>
          <w:rFonts w:ascii="Arial Narrow" w:eastAsiaTheme="minorHAnsi" w:hAnsi="Arial Narrow" w:cs="TradeGothic-CondEighteen"/>
          <w:sz w:val="22"/>
          <w:szCs w:val="22"/>
          <w:lang w:val="en-AU" w:eastAsia="en-US"/>
        </w:rPr>
      </w:pPr>
    </w:p>
    <w:p w:rsidR="003A4534" w:rsidRPr="00C76C82" w:rsidRDefault="003A453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If an anaphylactic reaction occurs during the infusion,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administration should be </w:t>
      </w:r>
      <w:r w:rsidR="0006271E">
        <w:rPr>
          <w:rFonts w:ascii="Arial Narrow" w:eastAsiaTheme="minorHAnsi" w:hAnsi="Arial Narrow" w:cs="TradeGothic-CondEighteen"/>
          <w:sz w:val="22"/>
          <w:szCs w:val="22"/>
          <w:lang w:val="en-AU" w:eastAsia="en-US"/>
        </w:rPr>
        <w:t>discontinued</w:t>
      </w:r>
      <w:r w:rsidRPr="00C76C82">
        <w:rPr>
          <w:rFonts w:ascii="Arial Narrow" w:eastAsiaTheme="minorHAnsi" w:hAnsi="Arial Narrow" w:cs="TradeGothic-CondEighteen"/>
          <w:sz w:val="22"/>
          <w:szCs w:val="22"/>
          <w:lang w:val="en-AU" w:eastAsia="en-US"/>
        </w:rPr>
        <w:t xml:space="preserve"> at once and appropriate treatment administered.</w:t>
      </w:r>
      <w:r w:rsidR="008242B3" w:rsidRPr="00C76C82">
        <w:rPr>
          <w:rFonts w:ascii="Arial Narrow" w:eastAsiaTheme="minorHAnsi" w:hAnsi="Arial Narrow" w:cs="TradeGothic-CondEighteen"/>
          <w:sz w:val="22"/>
          <w:szCs w:val="22"/>
          <w:lang w:val="en-AU" w:eastAsia="en-US"/>
        </w:rPr>
        <w:t xml:space="preserve"> </w:t>
      </w:r>
      <w:r w:rsidRPr="00C76C82">
        <w:rPr>
          <w:rFonts w:ascii="Arial Narrow" w:eastAsiaTheme="minorHAnsi" w:hAnsi="Arial Narrow" w:cs="TradeGothic-CondEighteen"/>
          <w:sz w:val="22"/>
          <w:szCs w:val="22"/>
          <w:lang w:val="en-AU" w:eastAsia="en-US"/>
        </w:rPr>
        <w:t xml:space="preserve">The need for </w:t>
      </w:r>
      <w:r w:rsidR="00AB79CA">
        <w:rPr>
          <w:rFonts w:ascii="Arial Narrow" w:eastAsiaTheme="minorHAnsi" w:hAnsi="Arial Narrow" w:cs="TradeGothic-CondEighteen"/>
          <w:sz w:val="22"/>
          <w:szCs w:val="22"/>
          <w:lang w:val="en-AU" w:eastAsia="en-US"/>
        </w:rPr>
        <w:t>adrenaline</w:t>
      </w:r>
      <w:r w:rsidRPr="00C76C82">
        <w:rPr>
          <w:rFonts w:ascii="Arial Narrow" w:eastAsiaTheme="minorHAnsi" w:hAnsi="Arial Narrow" w:cs="TradeGothic-CondEighteen"/>
          <w:sz w:val="22"/>
          <w:szCs w:val="22"/>
          <w:lang w:val="en-AU" w:eastAsia="en-US"/>
        </w:rPr>
        <w:t xml:space="preserve"> should be balanced against its potential risk in the setting of digitalis toxicity. Patients with k</w:t>
      </w:r>
      <w:r w:rsidR="008242B3" w:rsidRPr="00C76C82">
        <w:rPr>
          <w:rFonts w:ascii="Arial Narrow" w:eastAsiaTheme="minorHAnsi" w:hAnsi="Arial Narrow" w:cs="TradeGothic-CondEighteen"/>
          <w:sz w:val="22"/>
          <w:szCs w:val="22"/>
          <w:lang w:val="en-AU" w:eastAsia="en-US"/>
        </w:rPr>
        <w:t xml:space="preserve">nown allergies to sheep protein </w:t>
      </w:r>
      <w:r w:rsidRPr="00C76C82">
        <w:rPr>
          <w:rFonts w:ascii="Arial Narrow" w:eastAsiaTheme="minorHAnsi" w:hAnsi="Arial Narrow" w:cs="TradeGothic-CondEighteen"/>
          <w:sz w:val="22"/>
          <w:szCs w:val="22"/>
          <w:lang w:val="en-AU" w:eastAsia="en-US"/>
        </w:rPr>
        <w:t>would be particularly at risk for an anaphylactic reaction, as would individuals who have previously received intact ovine antibodies or ovine Fab.</w:t>
      </w:r>
    </w:p>
    <w:p w:rsidR="008242B3" w:rsidRPr="00C76C82" w:rsidRDefault="008242B3" w:rsidP="00746F03">
      <w:pPr>
        <w:autoSpaceDE w:val="0"/>
        <w:autoSpaceDN w:val="0"/>
        <w:adjustRightInd w:val="0"/>
        <w:jc w:val="both"/>
        <w:rPr>
          <w:rFonts w:ascii="Arial Narrow" w:eastAsiaTheme="minorHAnsi" w:hAnsi="Arial Narrow" w:cs="TradeGothic-CondEighteen"/>
          <w:sz w:val="22"/>
          <w:szCs w:val="22"/>
          <w:lang w:val="en-AU" w:eastAsia="en-US"/>
        </w:rPr>
      </w:pPr>
    </w:p>
    <w:p w:rsidR="004B2D5C" w:rsidRPr="00C76C82" w:rsidRDefault="003A453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Papain is used to cleave the whole antibody into Fab and Fc fragments, and trace amounts of papain or inactivated</w:t>
      </w:r>
      <w:r w:rsidR="008242B3" w:rsidRPr="00C76C82">
        <w:rPr>
          <w:rFonts w:ascii="Arial Narrow" w:eastAsiaTheme="minorHAnsi" w:hAnsi="Arial Narrow" w:cs="TradeGothic-CondEighteen"/>
          <w:sz w:val="22"/>
          <w:szCs w:val="22"/>
          <w:lang w:val="en-AU" w:eastAsia="en-US"/>
        </w:rPr>
        <w:t xml:space="preserve"> papain residues may be present </w:t>
      </w:r>
      <w:r w:rsidRPr="00C76C82">
        <w:rPr>
          <w:rFonts w:ascii="Arial Narrow" w:eastAsiaTheme="minorHAnsi" w:hAnsi="Arial Narrow" w:cs="TradeGothic-CondEighteen"/>
          <w:sz w:val="22"/>
          <w:szCs w:val="22"/>
          <w:lang w:val="en-AU" w:eastAsia="en-US"/>
        </w:rPr>
        <w:t xml:space="preserve">in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Patients with allergies to papain, chymopapain, other papaya extracts, or the pineapple enzyme brome</w:t>
      </w:r>
      <w:r w:rsidR="008242B3" w:rsidRPr="00C76C82">
        <w:rPr>
          <w:rFonts w:ascii="Arial Narrow" w:eastAsiaTheme="minorHAnsi" w:hAnsi="Arial Narrow" w:cs="TradeGothic-CondEighteen"/>
          <w:sz w:val="22"/>
          <w:szCs w:val="22"/>
          <w:lang w:val="en-AU" w:eastAsia="en-US"/>
        </w:rPr>
        <w:t xml:space="preserve">lain may also be at risk for an </w:t>
      </w:r>
      <w:r w:rsidRPr="00C76C82">
        <w:rPr>
          <w:rFonts w:ascii="Arial Narrow" w:eastAsiaTheme="minorHAnsi" w:hAnsi="Arial Narrow" w:cs="TradeGothic-CondEighteen"/>
          <w:sz w:val="22"/>
          <w:szCs w:val="22"/>
          <w:lang w:val="en-AU" w:eastAsia="en-US"/>
        </w:rPr>
        <w:t xml:space="preserve">allergic reaction to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Some dust mite allergens and some latex allergens share antigenic structures with</w:t>
      </w:r>
      <w:r w:rsidR="00B84818" w:rsidRPr="00C76C82">
        <w:rPr>
          <w:rFonts w:ascii="Arial Narrow" w:eastAsiaTheme="minorHAnsi" w:hAnsi="Arial Narrow" w:cs="TradeGothic-CondEighteen"/>
          <w:sz w:val="22"/>
          <w:szCs w:val="22"/>
          <w:lang w:val="en-AU" w:eastAsia="en-US"/>
        </w:rPr>
        <w:t xml:space="preserve"> papain and patients with these </w:t>
      </w:r>
      <w:r w:rsidRPr="00C76C82">
        <w:rPr>
          <w:rFonts w:ascii="Arial Narrow" w:eastAsiaTheme="minorHAnsi" w:hAnsi="Arial Narrow" w:cs="TradeGothic-CondEighteen"/>
          <w:sz w:val="22"/>
          <w:szCs w:val="22"/>
          <w:lang w:val="en-AU" w:eastAsia="en-US"/>
        </w:rPr>
        <w:t xml:space="preserve">allergies may be allergic to papain.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should not be administered to patients with a known history of hyper</w:t>
      </w:r>
      <w:r w:rsidR="008242B3" w:rsidRPr="00C76C82">
        <w:rPr>
          <w:rFonts w:ascii="Arial Narrow" w:eastAsiaTheme="minorHAnsi" w:hAnsi="Arial Narrow" w:cs="TradeGothic-CondEighteen"/>
          <w:sz w:val="22"/>
          <w:szCs w:val="22"/>
          <w:lang w:val="en-AU" w:eastAsia="en-US"/>
        </w:rPr>
        <w:t xml:space="preserve">sensitivity to papaya or papain </w:t>
      </w:r>
      <w:r w:rsidRPr="00C76C82">
        <w:rPr>
          <w:rFonts w:ascii="Arial Narrow" w:eastAsiaTheme="minorHAnsi" w:hAnsi="Arial Narrow" w:cs="TradeGothic-CondEighteen"/>
          <w:sz w:val="22"/>
          <w:szCs w:val="22"/>
          <w:lang w:val="en-AU" w:eastAsia="en-US"/>
        </w:rPr>
        <w:t>unless the benefits outweigh the risks and appropriate management for anaphylactic reactions is readily available.</w:t>
      </w:r>
    </w:p>
    <w:p w:rsidR="008242B3" w:rsidRPr="00C76C82" w:rsidRDefault="008242B3" w:rsidP="00746F03">
      <w:pPr>
        <w:autoSpaceDE w:val="0"/>
        <w:autoSpaceDN w:val="0"/>
        <w:adjustRightInd w:val="0"/>
        <w:jc w:val="both"/>
        <w:rPr>
          <w:rFonts w:ascii="Arial Narrow" w:eastAsiaTheme="minorHAnsi" w:hAnsi="Arial Narrow" w:cs="TradeGothic-CondEighteen"/>
          <w:sz w:val="22"/>
          <w:szCs w:val="22"/>
          <w:lang w:val="en-AU" w:eastAsia="en-US"/>
        </w:rPr>
      </w:pPr>
    </w:p>
    <w:p w:rsidR="004B2D5C" w:rsidRPr="00C76C82" w:rsidRDefault="003A453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Prior treatment with digoxin-specific ovine immune Fab carries a theoretical risk of sensitization to ovine serum protein</w:t>
      </w:r>
      <w:r w:rsidR="002825B6" w:rsidRPr="00C76C82">
        <w:rPr>
          <w:rFonts w:ascii="Arial Narrow" w:eastAsiaTheme="minorHAnsi" w:hAnsi="Arial Narrow" w:cs="TradeGothic-CondEighteen"/>
          <w:sz w:val="22"/>
          <w:szCs w:val="22"/>
          <w:lang w:val="en-AU" w:eastAsia="en-US"/>
        </w:rPr>
        <w:t xml:space="preserve"> and possible diminution of the </w:t>
      </w:r>
      <w:r w:rsidRPr="00C76C82">
        <w:rPr>
          <w:rFonts w:ascii="Arial Narrow" w:eastAsiaTheme="minorHAnsi" w:hAnsi="Arial Narrow" w:cs="TradeGothic-CondEighteen"/>
          <w:sz w:val="22"/>
          <w:szCs w:val="22"/>
          <w:lang w:val="en-AU" w:eastAsia="en-US"/>
        </w:rPr>
        <w:t>efficacy of the drug due to the presence of human antibodies against ovine Fab. Human antibodies to ovine Fab have</w:t>
      </w:r>
      <w:r w:rsidR="002825B6" w:rsidRPr="00C76C82">
        <w:rPr>
          <w:rFonts w:ascii="Arial Narrow" w:eastAsiaTheme="minorHAnsi" w:hAnsi="Arial Narrow" w:cs="TradeGothic-CondEighteen"/>
          <w:sz w:val="22"/>
          <w:szCs w:val="22"/>
          <w:lang w:val="en-AU" w:eastAsia="en-US"/>
        </w:rPr>
        <w:t xml:space="preserve"> been reported in some patients </w:t>
      </w:r>
      <w:r w:rsidRPr="00C76C82">
        <w:rPr>
          <w:rFonts w:ascii="Arial Narrow" w:eastAsiaTheme="minorHAnsi" w:hAnsi="Arial Narrow" w:cs="TradeGothic-CondEighteen"/>
          <w:sz w:val="22"/>
          <w:szCs w:val="22"/>
          <w:lang w:val="en-AU" w:eastAsia="en-US"/>
        </w:rPr>
        <w:t>receiving Digibind, however, to date, there have been no clinical reports of human anti-ovine immunoglobulin antibodies causing a reduction in binding</w:t>
      </w:r>
      <w:r w:rsidR="0006271E">
        <w:rPr>
          <w:rFonts w:ascii="Arial Narrow" w:eastAsiaTheme="minorHAnsi" w:hAnsi="Arial Narrow" w:cs="TradeGothic-CondEighteen"/>
          <w:sz w:val="22"/>
          <w:szCs w:val="22"/>
          <w:lang w:val="en-AU" w:eastAsia="en-US"/>
        </w:rPr>
        <w:t xml:space="preserve"> </w:t>
      </w:r>
      <w:r w:rsidRPr="00C76C82">
        <w:rPr>
          <w:rFonts w:ascii="Arial Narrow" w:eastAsiaTheme="minorHAnsi" w:hAnsi="Arial Narrow" w:cs="TradeGothic-CondEighteen"/>
          <w:sz w:val="22"/>
          <w:szCs w:val="22"/>
          <w:lang w:val="en-AU" w:eastAsia="en-US"/>
        </w:rPr>
        <w:t>of ovine digoxin immune Fab or neutralization response to ovine digoxin immune Fab.</w:t>
      </w:r>
    </w:p>
    <w:p w:rsidR="002825B6" w:rsidRPr="00C76C82" w:rsidRDefault="002825B6" w:rsidP="00746F03">
      <w:pPr>
        <w:autoSpaceDE w:val="0"/>
        <w:autoSpaceDN w:val="0"/>
        <w:adjustRightInd w:val="0"/>
        <w:jc w:val="both"/>
        <w:rPr>
          <w:rFonts w:ascii="Arial Narrow" w:eastAsiaTheme="minorHAnsi" w:hAnsi="Arial Narrow" w:cs="TradeGothic-CondEighteen"/>
          <w:sz w:val="22"/>
          <w:szCs w:val="22"/>
          <w:lang w:val="en-AU" w:eastAsia="en-US"/>
        </w:rPr>
      </w:pPr>
    </w:p>
    <w:p w:rsidR="003A4534" w:rsidRPr="00C76C82" w:rsidRDefault="003A453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Skin testing has not proved useful in predicting allergic response to Digibind. Because of this, and because it may dela</w:t>
      </w:r>
      <w:r w:rsidR="002825B6" w:rsidRPr="00C76C82">
        <w:rPr>
          <w:rFonts w:ascii="Arial Narrow" w:eastAsiaTheme="minorHAnsi" w:hAnsi="Arial Narrow" w:cs="TradeGothic-CondEighteen"/>
          <w:sz w:val="22"/>
          <w:szCs w:val="22"/>
          <w:lang w:val="en-AU" w:eastAsia="en-US"/>
        </w:rPr>
        <w:t xml:space="preserve">y urgently needed therapy, skin </w:t>
      </w:r>
      <w:r w:rsidRPr="00C76C82">
        <w:rPr>
          <w:rFonts w:ascii="Arial Narrow" w:eastAsiaTheme="minorHAnsi" w:hAnsi="Arial Narrow" w:cs="TradeGothic-CondEighteen"/>
          <w:sz w:val="22"/>
          <w:szCs w:val="22"/>
          <w:lang w:val="en-AU" w:eastAsia="en-US"/>
        </w:rPr>
        <w:t xml:space="preserve">testing was not performed during the clinical studies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and is not suggested prior to dosing with this product.</w:t>
      </w:r>
    </w:p>
    <w:p w:rsidR="00B84818" w:rsidRPr="00C76C82" w:rsidRDefault="00B84818" w:rsidP="00746F03">
      <w:pPr>
        <w:autoSpaceDE w:val="0"/>
        <w:autoSpaceDN w:val="0"/>
        <w:adjustRightInd w:val="0"/>
        <w:rPr>
          <w:rFonts w:ascii="Arial Narrow" w:eastAsiaTheme="minorHAnsi" w:hAnsi="Arial Narrow" w:cs="TradeGothic-CondEighteen"/>
          <w:sz w:val="22"/>
          <w:szCs w:val="22"/>
          <w:lang w:val="en-AU" w:eastAsia="en-US"/>
        </w:rPr>
      </w:pPr>
    </w:p>
    <w:p w:rsidR="00B84818" w:rsidRPr="00C76C82" w:rsidRDefault="00B84818" w:rsidP="00746F03">
      <w:pPr>
        <w:pStyle w:val="NormalWeb"/>
        <w:spacing w:before="0" w:beforeAutospacing="0" w:after="0" w:afterAutospacing="0"/>
        <w:jc w:val="both"/>
        <w:rPr>
          <w:rFonts w:ascii="Arial Narrow" w:hAnsi="Arial Narrow" w:cs="Arial"/>
          <w:b/>
          <w:sz w:val="22"/>
          <w:szCs w:val="22"/>
        </w:rPr>
      </w:pPr>
      <w:r w:rsidRPr="00C76C82">
        <w:rPr>
          <w:rFonts w:ascii="Arial Narrow" w:hAnsi="Arial Narrow" w:cs="Arial"/>
          <w:b/>
          <w:sz w:val="22"/>
          <w:szCs w:val="22"/>
        </w:rPr>
        <w:t>Effects on Fertility</w:t>
      </w:r>
    </w:p>
    <w:p w:rsidR="00824C7A" w:rsidRPr="00C76C82" w:rsidRDefault="00B84818" w:rsidP="00746F03">
      <w:pPr>
        <w:autoSpaceDE w:val="0"/>
        <w:autoSpaceDN w:val="0"/>
        <w:adjustRightInd w:val="0"/>
        <w:rPr>
          <w:rFonts w:ascii="Arial Narrow" w:hAnsi="Arial Narrow" w:cs="Arial"/>
          <w:sz w:val="22"/>
          <w:szCs w:val="22"/>
        </w:rPr>
      </w:pPr>
      <w:r w:rsidRPr="00C76C82">
        <w:rPr>
          <w:rFonts w:ascii="Arial Narrow" w:hAnsi="Arial Narrow" w:cs="Arial"/>
          <w:sz w:val="22"/>
          <w:szCs w:val="22"/>
        </w:rPr>
        <w:t>There have been no studies performed in animals to</w:t>
      </w:r>
      <w:r w:rsidR="00284DEA">
        <w:rPr>
          <w:rFonts w:ascii="Arial Narrow" w:hAnsi="Arial Narrow" w:cs="Arial"/>
          <w:sz w:val="22"/>
          <w:szCs w:val="22"/>
        </w:rPr>
        <w:t xml:space="preserve"> evaluate effects on fertility.</w:t>
      </w:r>
    </w:p>
    <w:p w:rsidR="00B84818" w:rsidRPr="00C76C82" w:rsidRDefault="00B84818" w:rsidP="00746F03">
      <w:pPr>
        <w:autoSpaceDE w:val="0"/>
        <w:autoSpaceDN w:val="0"/>
        <w:adjustRightInd w:val="0"/>
        <w:rPr>
          <w:rFonts w:ascii="Arial Narrow" w:eastAsiaTheme="minorHAnsi" w:hAnsi="Arial Narrow" w:cs="TradeGothic-CondEighteen"/>
          <w:sz w:val="22"/>
          <w:szCs w:val="22"/>
          <w:lang w:val="en-AU" w:eastAsia="en-US"/>
        </w:rPr>
      </w:pPr>
    </w:p>
    <w:p w:rsidR="00824C7A" w:rsidRPr="00C76C82" w:rsidRDefault="00824C7A" w:rsidP="00746F03">
      <w:pPr>
        <w:pStyle w:val="NormalWeb"/>
        <w:spacing w:before="0" w:beforeAutospacing="0" w:after="0" w:afterAutospacing="0"/>
        <w:jc w:val="both"/>
        <w:rPr>
          <w:rFonts w:ascii="Arial Narrow" w:hAnsi="Arial Narrow" w:cs="Arial"/>
          <w:b/>
          <w:sz w:val="22"/>
          <w:szCs w:val="22"/>
        </w:rPr>
      </w:pPr>
      <w:r w:rsidRPr="00C76C82">
        <w:rPr>
          <w:rFonts w:ascii="Arial Narrow" w:hAnsi="Arial Narrow" w:cs="Arial"/>
          <w:b/>
          <w:sz w:val="22"/>
          <w:szCs w:val="22"/>
        </w:rPr>
        <w:t xml:space="preserve">Use in Pregnancy </w:t>
      </w:r>
    </w:p>
    <w:p w:rsidR="00824C7A" w:rsidRPr="00C76C82" w:rsidRDefault="00824C7A" w:rsidP="00746F03">
      <w:pPr>
        <w:autoSpaceDE w:val="0"/>
        <w:autoSpaceDN w:val="0"/>
        <w:adjustRightInd w:val="0"/>
        <w:jc w:val="both"/>
        <w:rPr>
          <w:rFonts w:ascii="Arial Narrow" w:eastAsiaTheme="minorHAnsi" w:hAnsi="Arial Narrow" w:cs="TradeGothic-CondEighteen"/>
          <w:sz w:val="22"/>
          <w:szCs w:val="22"/>
          <w:lang w:val="en-AU" w:eastAsia="en-US"/>
        </w:rPr>
      </w:pPr>
      <w:proofErr w:type="gramStart"/>
      <w:r w:rsidRPr="00C76C82">
        <w:rPr>
          <w:rFonts w:ascii="Arial Narrow" w:eastAsiaTheme="minorHAnsi" w:hAnsi="Arial Narrow" w:cs="TradeGothic-CondEighteen"/>
          <w:sz w:val="22"/>
          <w:szCs w:val="22"/>
          <w:lang w:val="en-AU" w:eastAsia="en-US"/>
        </w:rPr>
        <w:t>Pregnancy Category B2.</w:t>
      </w:r>
      <w:proofErr w:type="gramEnd"/>
      <w:r w:rsidRPr="00C76C82">
        <w:rPr>
          <w:rFonts w:ascii="Arial Narrow" w:eastAsiaTheme="minorHAnsi" w:hAnsi="Arial Narrow" w:cs="TradeGothic-CondEighteen"/>
          <w:sz w:val="22"/>
          <w:szCs w:val="22"/>
          <w:lang w:val="en-AU" w:eastAsia="en-US"/>
        </w:rPr>
        <w:t xml:space="preserve"> </w:t>
      </w:r>
    </w:p>
    <w:p w:rsidR="00B84818" w:rsidRDefault="00824C7A"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There </w:t>
      </w:r>
      <w:r w:rsidR="0006271E">
        <w:rPr>
          <w:rFonts w:ascii="Arial Narrow" w:eastAsiaTheme="minorHAnsi" w:hAnsi="Arial Narrow" w:cs="TradeGothic-CondEighteen"/>
          <w:sz w:val="22"/>
          <w:szCs w:val="22"/>
          <w:lang w:val="en-AU" w:eastAsia="en-US"/>
        </w:rPr>
        <w:t>is</w:t>
      </w:r>
      <w:r w:rsidRPr="00C76C82">
        <w:rPr>
          <w:rFonts w:ascii="Arial Narrow" w:eastAsiaTheme="minorHAnsi" w:hAnsi="Arial Narrow" w:cs="TradeGothic-CondEighteen"/>
          <w:sz w:val="22"/>
          <w:szCs w:val="22"/>
          <w:lang w:val="en-AU" w:eastAsia="en-US"/>
        </w:rPr>
        <w:t xml:space="preserve"> no data on the use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in pregnant women. The use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should be considered only if the expected clinical benefit of treatment to the mother outweighs any possible</w:t>
      </w:r>
      <w:r w:rsidR="00284DEA">
        <w:rPr>
          <w:rFonts w:ascii="Arial Narrow" w:eastAsiaTheme="minorHAnsi" w:hAnsi="Arial Narrow" w:cs="TradeGothic-CondEighteen"/>
          <w:sz w:val="22"/>
          <w:szCs w:val="22"/>
          <w:lang w:val="en-AU" w:eastAsia="en-US"/>
        </w:rPr>
        <w:t xml:space="preserve"> risk to the developing fetus.</w:t>
      </w:r>
    </w:p>
    <w:p w:rsidR="00463571" w:rsidRPr="00746F03" w:rsidRDefault="00463571" w:rsidP="00746F03">
      <w:pPr>
        <w:pStyle w:val="PIBody"/>
        <w:suppressAutoHyphens/>
        <w:rPr>
          <w:rFonts w:ascii="Arial Narrow" w:hAnsi="Arial Narrow"/>
          <w:i/>
          <w:sz w:val="22"/>
          <w:szCs w:val="22"/>
        </w:rPr>
      </w:pPr>
      <w:r w:rsidRPr="00746F03">
        <w:rPr>
          <w:rFonts w:ascii="Arial Narrow" w:hAnsi="Arial Narrow"/>
          <w:i/>
          <w:sz w:val="22"/>
          <w:szCs w:val="22"/>
        </w:rPr>
        <w:t>Category B2: Drugs which have been taken by only a limited number of pregnant women and women of childbearing age, without an increase in the frequency of malformation or other direct or indirect harmful effects on the human fetus having been observed.</w:t>
      </w:r>
    </w:p>
    <w:p w:rsidR="00463571" w:rsidRPr="00746F03" w:rsidRDefault="00463571" w:rsidP="00746F03">
      <w:pPr>
        <w:pStyle w:val="PIBody"/>
        <w:suppressAutoHyphens/>
        <w:rPr>
          <w:rFonts w:ascii="Arial Narrow" w:hAnsi="Arial Narrow"/>
          <w:i/>
          <w:sz w:val="22"/>
          <w:szCs w:val="22"/>
        </w:rPr>
      </w:pPr>
    </w:p>
    <w:p w:rsidR="00463571" w:rsidRPr="00746F03" w:rsidRDefault="00463571" w:rsidP="00746F03">
      <w:pPr>
        <w:pStyle w:val="PIBody"/>
        <w:suppressAutoHyphens/>
        <w:rPr>
          <w:rFonts w:ascii="Arial Narrow" w:eastAsiaTheme="minorHAnsi" w:hAnsi="Arial Narrow" w:cs="TradeGothic-CondEighteen"/>
          <w:sz w:val="22"/>
          <w:szCs w:val="22"/>
          <w:lang w:val="en-AU"/>
        </w:rPr>
      </w:pPr>
      <w:r w:rsidRPr="00746F03">
        <w:rPr>
          <w:rFonts w:ascii="Arial Narrow" w:hAnsi="Arial Narrow"/>
          <w:i/>
          <w:sz w:val="22"/>
          <w:szCs w:val="22"/>
          <w:lang w:val="en"/>
        </w:rPr>
        <w:t xml:space="preserve">Studies in animals are inadequate or may be lacking, but available data show no evidence of an increased occurrence of fetal damage. </w:t>
      </w:r>
    </w:p>
    <w:p w:rsidR="001145AC" w:rsidRDefault="001145AC" w:rsidP="00746F03">
      <w:pPr>
        <w:pStyle w:val="NormalWeb"/>
        <w:spacing w:before="0" w:beforeAutospacing="0" w:after="0" w:afterAutospacing="0"/>
        <w:jc w:val="both"/>
        <w:rPr>
          <w:rFonts w:ascii="Arial Narrow" w:hAnsi="Arial Narrow" w:cs="Arial"/>
          <w:b/>
          <w:sz w:val="22"/>
          <w:szCs w:val="22"/>
        </w:rPr>
      </w:pPr>
    </w:p>
    <w:p w:rsidR="00482132" w:rsidRPr="00C76C82" w:rsidRDefault="00482132" w:rsidP="00746F03">
      <w:pPr>
        <w:pStyle w:val="NormalWeb"/>
        <w:spacing w:before="0" w:beforeAutospacing="0" w:after="0" w:afterAutospacing="0"/>
        <w:jc w:val="both"/>
        <w:rPr>
          <w:rFonts w:ascii="Arial Narrow" w:hAnsi="Arial Narrow" w:cs="Arial"/>
          <w:b/>
          <w:sz w:val="22"/>
          <w:szCs w:val="22"/>
        </w:rPr>
      </w:pPr>
      <w:r w:rsidRPr="00C76C82">
        <w:rPr>
          <w:rFonts w:ascii="Arial Narrow" w:hAnsi="Arial Narrow" w:cs="Arial"/>
          <w:b/>
          <w:sz w:val="22"/>
          <w:szCs w:val="22"/>
        </w:rPr>
        <w:t xml:space="preserve">Use in Lactation </w:t>
      </w:r>
    </w:p>
    <w:p w:rsidR="00482132" w:rsidRDefault="00482132"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It is not known whether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is excreted in human breast milk. A risk to the suckling child cannot be excluded. Breast-feeding should be discontinued during treatment with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w:t>
      </w:r>
    </w:p>
    <w:p w:rsidR="000C6C6C" w:rsidRPr="00C76C82" w:rsidRDefault="000C6C6C" w:rsidP="00746F03">
      <w:pPr>
        <w:autoSpaceDE w:val="0"/>
        <w:autoSpaceDN w:val="0"/>
        <w:adjustRightInd w:val="0"/>
        <w:jc w:val="both"/>
        <w:rPr>
          <w:rFonts w:ascii="Arial Narrow" w:eastAsiaTheme="minorHAnsi" w:hAnsi="Arial Narrow" w:cs="TradeGothic-CondEighteen"/>
          <w:sz w:val="22"/>
          <w:szCs w:val="22"/>
          <w:lang w:val="en-AU" w:eastAsia="en-US"/>
        </w:rPr>
      </w:pPr>
    </w:p>
    <w:p w:rsidR="00474253" w:rsidRPr="00C76C82" w:rsidRDefault="00474253" w:rsidP="00746F03">
      <w:pPr>
        <w:pStyle w:val="NormalWeb"/>
        <w:keepNext/>
        <w:spacing w:before="0" w:beforeAutospacing="0" w:after="0" w:afterAutospacing="0"/>
        <w:jc w:val="both"/>
        <w:rPr>
          <w:rFonts w:ascii="Arial Narrow" w:hAnsi="Arial Narrow" w:cs="Arial"/>
          <w:b/>
          <w:sz w:val="22"/>
          <w:szCs w:val="22"/>
        </w:rPr>
      </w:pPr>
      <w:r w:rsidRPr="00C76C82">
        <w:rPr>
          <w:rFonts w:ascii="Arial Narrow" w:hAnsi="Arial Narrow" w:cs="Arial"/>
          <w:b/>
          <w:sz w:val="22"/>
          <w:szCs w:val="22"/>
        </w:rPr>
        <w:t>Paediatric Use</w:t>
      </w:r>
    </w:p>
    <w:p w:rsidR="00474253" w:rsidRDefault="00474253"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Specific studies in </w:t>
      </w:r>
      <w:proofErr w:type="spellStart"/>
      <w:r w:rsidRPr="00C76C82">
        <w:rPr>
          <w:rFonts w:ascii="Arial Narrow" w:eastAsiaTheme="minorHAnsi" w:hAnsi="Arial Narrow" w:cs="TradeGothic-CondEighteen"/>
          <w:sz w:val="22"/>
          <w:szCs w:val="22"/>
          <w:lang w:val="en-AU" w:eastAsia="en-US"/>
        </w:rPr>
        <w:t>pediatric</w:t>
      </w:r>
      <w:proofErr w:type="spellEnd"/>
      <w:r w:rsidRPr="00C76C82">
        <w:rPr>
          <w:rFonts w:ascii="Arial Narrow" w:eastAsiaTheme="minorHAnsi" w:hAnsi="Arial Narrow" w:cs="TradeGothic-CondEighteen"/>
          <w:sz w:val="22"/>
          <w:szCs w:val="22"/>
          <w:lang w:val="en-AU" w:eastAsia="en-US"/>
        </w:rPr>
        <w:t xml:space="preserve"> patients have not been conducted and no </w:t>
      </w:r>
      <w:proofErr w:type="spellStart"/>
      <w:r w:rsidRPr="00C76C82">
        <w:rPr>
          <w:rFonts w:ascii="Arial Narrow" w:eastAsiaTheme="minorHAnsi" w:hAnsi="Arial Narrow" w:cs="TradeGothic-CondEighteen"/>
          <w:sz w:val="22"/>
          <w:szCs w:val="22"/>
          <w:lang w:val="en-AU" w:eastAsia="en-US"/>
        </w:rPr>
        <w:t>pediatric</w:t>
      </w:r>
      <w:proofErr w:type="spellEnd"/>
      <w:r w:rsidRPr="00C76C82">
        <w:rPr>
          <w:rFonts w:ascii="Arial Narrow" w:eastAsiaTheme="minorHAnsi" w:hAnsi="Arial Narrow" w:cs="TradeGothic-CondEighteen"/>
          <w:sz w:val="22"/>
          <w:szCs w:val="22"/>
          <w:lang w:val="en-AU" w:eastAsia="en-US"/>
        </w:rPr>
        <w:t xml:space="preserve"> patients were enrolled in the clinical studies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A similar digoxin ovine Fab product, Digibind, has been used successfully to treat infants. As with all drugs, the use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in infants and children should be based on careful consideration of the benefits compared with the potential risks.</w:t>
      </w:r>
    </w:p>
    <w:p w:rsidR="000C6C6C" w:rsidRPr="00C76C82" w:rsidRDefault="000C6C6C" w:rsidP="00746F03">
      <w:pPr>
        <w:autoSpaceDE w:val="0"/>
        <w:autoSpaceDN w:val="0"/>
        <w:adjustRightInd w:val="0"/>
        <w:jc w:val="both"/>
        <w:rPr>
          <w:rFonts w:ascii="Arial Narrow" w:eastAsiaTheme="minorHAnsi" w:hAnsi="Arial Narrow" w:cs="TradeGothic-CondEighteen"/>
          <w:sz w:val="22"/>
          <w:szCs w:val="22"/>
          <w:lang w:val="en-AU" w:eastAsia="en-US"/>
        </w:rPr>
      </w:pPr>
    </w:p>
    <w:p w:rsidR="00474253" w:rsidRPr="00C76C82" w:rsidRDefault="00474253" w:rsidP="00746F03">
      <w:pPr>
        <w:pStyle w:val="NormalWeb"/>
        <w:keepNext/>
        <w:spacing w:before="0" w:beforeAutospacing="0" w:after="0" w:afterAutospacing="0"/>
        <w:jc w:val="both"/>
        <w:rPr>
          <w:rFonts w:ascii="Arial Narrow" w:hAnsi="Arial Narrow" w:cs="Arial"/>
          <w:b/>
          <w:sz w:val="22"/>
          <w:szCs w:val="22"/>
        </w:rPr>
      </w:pPr>
      <w:r w:rsidRPr="00C76C82">
        <w:rPr>
          <w:rFonts w:ascii="Arial Narrow" w:hAnsi="Arial Narrow" w:cs="Arial"/>
          <w:b/>
          <w:sz w:val="22"/>
          <w:szCs w:val="22"/>
        </w:rPr>
        <w:t>Use in the Elderly</w:t>
      </w:r>
    </w:p>
    <w:p w:rsidR="00474253" w:rsidRDefault="00474253" w:rsidP="00746F03">
      <w:pPr>
        <w:keepNext/>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Specific studies in elderly patients have not been conducted. Of the 15 patients given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for digoxin toxicity in one clinical trial, the average age of all patients was 64 years and over half of the patients (8 of the 15) were 65 years of age or older. The oldest patient studied was 86 years old. There is no evidence that the efficacy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would be altered due to advanced age alone, however elderly patients have a higher chance of having impaired renal function and therefore should be monitored more closely for recurrent toxicity (See Use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in Renal Failure).</w:t>
      </w:r>
    </w:p>
    <w:p w:rsidR="004B2D5C" w:rsidRPr="00C76C82" w:rsidRDefault="004B2D5C" w:rsidP="00746F03">
      <w:pPr>
        <w:autoSpaceDE w:val="0"/>
        <w:autoSpaceDN w:val="0"/>
        <w:adjustRightInd w:val="0"/>
        <w:jc w:val="both"/>
        <w:rPr>
          <w:rFonts w:ascii="Arial Narrow" w:eastAsiaTheme="minorHAnsi" w:hAnsi="Arial Narrow" w:cs="TradeGothic-CondEighteen"/>
          <w:sz w:val="22"/>
          <w:szCs w:val="22"/>
          <w:lang w:val="en-AU" w:eastAsia="en-US"/>
        </w:rPr>
      </w:pPr>
    </w:p>
    <w:p w:rsidR="00474253" w:rsidRPr="00C76C82" w:rsidRDefault="00474253" w:rsidP="00746F03">
      <w:pPr>
        <w:rPr>
          <w:rFonts w:ascii="Arial Narrow" w:hAnsi="Arial Narrow" w:cs="Arial"/>
          <w:b/>
          <w:bCs/>
          <w:iCs/>
          <w:sz w:val="22"/>
          <w:szCs w:val="22"/>
          <w:lang w:val="en-AU"/>
        </w:rPr>
      </w:pPr>
      <w:r w:rsidRPr="00C76C82">
        <w:rPr>
          <w:rFonts w:ascii="Arial Narrow" w:hAnsi="Arial Narrow" w:cs="Arial"/>
          <w:b/>
          <w:bCs/>
          <w:iCs/>
          <w:sz w:val="22"/>
          <w:szCs w:val="22"/>
          <w:lang w:val="en-AU"/>
        </w:rPr>
        <w:t>Carcinogenicity</w:t>
      </w:r>
    </w:p>
    <w:p w:rsidR="00474253" w:rsidRPr="00C76C82" w:rsidRDefault="00474253" w:rsidP="00746F03">
      <w:pPr>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Animal carcinogenicity and reproduction studies have not been conducted with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w:t>
      </w:r>
    </w:p>
    <w:p w:rsidR="00474253" w:rsidRPr="00C76C82" w:rsidRDefault="00474253" w:rsidP="00746F03">
      <w:pPr>
        <w:rPr>
          <w:rFonts w:ascii="Arial Narrow" w:hAnsi="Arial Narrow" w:cs="Arial"/>
          <w:b/>
          <w:bCs/>
          <w:iCs/>
          <w:sz w:val="22"/>
          <w:szCs w:val="22"/>
          <w:lang w:val="en-AU"/>
        </w:rPr>
      </w:pPr>
    </w:p>
    <w:p w:rsidR="00474253" w:rsidRPr="00C76C82" w:rsidRDefault="00474253" w:rsidP="00746F03">
      <w:pPr>
        <w:rPr>
          <w:rFonts w:ascii="Arial Narrow" w:hAnsi="Arial Narrow" w:cs="Arial"/>
          <w:b/>
          <w:bCs/>
          <w:iCs/>
          <w:sz w:val="22"/>
          <w:szCs w:val="22"/>
          <w:lang w:val="en-AU"/>
        </w:rPr>
      </w:pPr>
      <w:r w:rsidRPr="00C76C82">
        <w:rPr>
          <w:rFonts w:ascii="Arial Narrow" w:hAnsi="Arial Narrow" w:cs="Arial"/>
          <w:b/>
          <w:bCs/>
          <w:iCs/>
          <w:sz w:val="22"/>
          <w:szCs w:val="22"/>
          <w:lang w:val="en-AU"/>
        </w:rPr>
        <w:t>Genotoxicity</w:t>
      </w:r>
    </w:p>
    <w:p w:rsidR="00474253" w:rsidRDefault="00474253" w:rsidP="00746F03">
      <w:pPr>
        <w:rPr>
          <w:rFonts w:ascii="Arial Narrow" w:eastAsiaTheme="minorHAnsi" w:hAnsi="Arial Narrow" w:cs="TradeGothic-CondEighteen"/>
          <w:sz w:val="22"/>
          <w:szCs w:val="22"/>
          <w:lang w:val="en-AU" w:eastAsia="en-US"/>
        </w:rPr>
      </w:pPr>
      <w:r w:rsidRPr="00C76C82">
        <w:rPr>
          <w:rFonts w:ascii="Arial Narrow" w:hAnsi="Arial Narrow" w:cs="Arial"/>
          <w:bCs/>
          <w:iCs/>
          <w:sz w:val="22"/>
          <w:szCs w:val="22"/>
          <w:lang w:val="en-AU"/>
        </w:rPr>
        <w:t xml:space="preserve">Genotoxicity </w:t>
      </w:r>
      <w:r w:rsidRPr="00C76C82">
        <w:rPr>
          <w:rFonts w:ascii="Arial Narrow" w:eastAsiaTheme="minorHAnsi" w:hAnsi="Arial Narrow" w:cs="TradeGothic-CondEighteen"/>
          <w:sz w:val="22"/>
          <w:szCs w:val="22"/>
          <w:lang w:val="en-AU" w:eastAsia="en-US"/>
        </w:rPr>
        <w:t xml:space="preserve">studies have not been conducted with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w:t>
      </w:r>
    </w:p>
    <w:p w:rsidR="001A01A8" w:rsidRDefault="001A01A8" w:rsidP="00746F03">
      <w:pPr>
        <w:rPr>
          <w:rFonts w:ascii="Arial Narrow" w:eastAsiaTheme="minorHAnsi" w:hAnsi="Arial Narrow" w:cs="TradeGothic-CondEighteen"/>
          <w:sz w:val="22"/>
          <w:szCs w:val="22"/>
          <w:lang w:val="en-AU" w:eastAsia="en-US"/>
        </w:rPr>
      </w:pPr>
    </w:p>
    <w:p w:rsidR="001A01A8" w:rsidRDefault="001A01A8" w:rsidP="00746F03">
      <w:pPr>
        <w:rPr>
          <w:rFonts w:ascii="Arial Narrow" w:eastAsiaTheme="minorHAnsi" w:hAnsi="Arial Narrow" w:cs="TradeGothic-CondEighteen"/>
          <w:b/>
          <w:sz w:val="22"/>
          <w:szCs w:val="22"/>
          <w:lang w:val="en-AU" w:eastAsia="en-US"/>
        </w:rPr>
      </w:pPr>
      <w:r w:rsidRPr="000E2D40">
        <w:rPr>
          <w:rFonts w:ascii="Arial Narrow" w:eastAsiaTheme="minorHAnsi" w:hAnsi="Arial Narrow" w:cs="TradeGothic-CondEighteen"/>
          <w:b/>
          <w:sz w:val="22"/>
          <w:szCs w:val="22"/>
          <w:lang w:val="en-AU" w:eastAsia="en-US"/>
        </w:rPr>
        <w:t xml:space="preserve">Formation of Antibodies to </w:t>
      </w:r>
      <w:r w:rsidR="00655D24">
        <w:rPr>
          <w:rFonts w:ascii="Arial Narrow" w:eastAsiaTheme="minorHAnsi" w:hAnsi="Arial Narrow" w:cs="TradeGothic-CondEighteen"/>
          <w:b/>
          <w:sz w:val="22"/>
          <w:szCs w:val="22"/>
          <w:lang w:val="en-AU" w:eastAsia="en-US"/>
        </w:rPr>
        <w:t>DIGIFAB</w:t>
      </w:r>
    </w:p>
    <w:p w:rsidR="001A01A8" w:rsidRDefault="001A01A8" w:rsidP="00746F03">
      <w:pPr>
        <w:jc w:val="both"/>
        <w:rPr>
          <w:rFonts w:ascii="Arial Narrow" w:hAnsi="Arial Narrow" w:cs="Arial"/>
          <w:b/>
          <w:bCs/>
          <w:iCs/>
          <w:sz w:val="22"/>
          <w:szCs w:val="22"/>
        </w:rPr>
      </w:pPr>
      <w:r>
        <w:rPr>
          <w:rFonts w:ascii="Arial Narrow" w:eastAsiaTheme="minorHAnsi" w:hAnsi="Arial Narrow" w:cs="TradeGothic-CondEighteen"/>
          <w:sz w:val="22"/>
          <w:szCs w:val="22"/>
          <w:lang w:val="en-AU" w:eastAsia="en-US"/>
        </w:rPr>
        <w:t xml:space="preserve">Prior treatment with digoxin-specific ovine antibody fragment carries a theoretical risk of sensitization to ovine serum protein (see </w:t>
      </w:r>
      <w:r w:rsidRPr="00C76C82">
        <w:rPr>
          <w:rFonts w:ascii="Arial Narrow" w:hAnsi="Arial Narrow" w:cs="Arial"/>
          <w:b/>
          <w:bCs/>
          <w:iCs/>
          <w:sz w:val="22"/>
          <w:szCs w:val="22"/>
        </w:rPr>
        <w:t>PRECAUTIONS</w:t>
      </w:r>
      <w:r w:rsidRPr="000E2D40">
        <w:rPr>
          <w:rFonts w:ascii="Arial Narrow" w:hAnsi="Arial Narrow" w:cs="Arial"/>
          <w:bCs/>
          <w:iCs/>
          <w:sz w:val="22"/>
          <w:szCs w:val="22"/>
        </w:rPr>
        <w:t>)</w:t>
      </w:r>
      <w:r>
        <w:rPr>
          <w:rFonts w:ascii="Arial Narrow" w:hAnsi="Arial Narrow" w:cs="Arial"/>
          <w:bCs/>
          <w:iCs/>
          <w:sz w:val="22"/>
          <w:szCs w:val="22"/>
        </w:rPr>
        <w:t xml:space="preserve"> and possible diminution of efficacy of the drug due to the presence of human antibodies against ovine Fab. Human antibodies to ovine Fab have been reported in some patients receiving Digibind, however, to date, there have been no clinical reports of human anti-ovine immunoglobulin antibodies causing a reduction in binding </w:t>
      </w:r>
      <w:r w:rsidR="003B5150">
        <w:rPr>
          <w:rFonts w:ascii="Arial Narrow" w:hAnsi="Arial Narrow" w:cs="Arial"/>
          <w:bCs/>
          <w:iCs/>
          <w:sz w:val="22"/>
          <w:szCs w:val="22"/>
        </w:rPr>
        <w:t>of ovine digoxin immune Fab or neutralization re</w:t>
      </w:r>
      <w:r w:rsidR="00D07260">
        <w:rPr>
          <w:rFonts w:ascii="Arial Narrow" w:hAnsi="Arial Narrow" w:cs="Arial"/>
          <w:bCs/>
          <w:iCs/>
          <w:sz w:val="22"/>
          <w:szCs w:val="22"/>
        </w:rPr>
        <w:t>s</w:t>
      </w:r>
      <w:r w:rsidR="003B5150">
        <w:rPr>
          <w:rFonts w:ascii="Arial Narrow" w:hAnsi="Arial Narrow" w:cs="Arial"/>
          <w:bCs/>
          <w:iCs/>
          <w:sz w:val="22"/>
          <w:szCs w:val="22"/>
        </w:rPr>
        <w:t xml:space="preserve">ponse to ovine digoxin immune Fab. </w:t>
      </w:r>
    </w:p>
    <w:p w:rsidR="00474253" w:rsidRDefault="00474253" w:rsidP="00746F03">
      <w:pPr>
        <w:autoSpaceDE w:val="0"/>
        <w:autoSpaceDN w:val="0"/>
        <w:adjustRightInd w:val="0"/>
        <w:jc w:val="both"/>
        <w:rPr>
          <w:rFonts w:ascii="Arial Narrow" w:eastAsiaTheme="minorHAnsi" w:hAnsi="Arial Narrow" w:cs="TradeGothic-CondEighteen"/>
          <w:sz w:val="22"/>
          <w:szCs w:val="22"/>
          <w:lang w:val="en-AU" w:eastAsia="en-US"/>
        </w:rPr>
      </w:pPr>
    </w:p>
    <w:p w:rsidR="00192EEF" w:rsidRPr="00C76C82" w:rsidRDefault="00192EEF" w:rsidP="00746F03">
      <w:pPr>
        <w:pStyle w:val="NormalWeb"/>
        <w:spacing w:before="0" w:beforeAutospacing="0" w:after="0" w:afterAutospacing="0"/>
        <w:jc w:val="both"/>
        <w:rPr>
          <w:rFonts w:ascii="Arial Narrow" w:eastAsia="Times New Roman" w:hAnsi="Arial Narrow" w:cs="Arial"/>
          <w:b/>
          <w:bCs/>
          <w:iCs/>
          <w:color w:val="auto"/>
          <w:sz w:val="22"/>
          <w:szCs w:val="22"/>
          <w:lang w:eastAsia="de-DE"/>
        </w:rPr>
      </w:pPr>
      <w:r w:rsidRPr="00C76C82">
        <w:rPr>
          <w:rFonts w:ascii="Arial Narrow" w:eastAsia="Times New Roman" w:hAnsi="Arial Narrow" w:cs="Arial"/>
          <w:b/>
          <w:bCs/>
          <w:iCs/>
          <w:color w:val="auto"/>
          <w:sz w:val="22"/>
          <w:szCs w:val="22"/>
          <w:lang w:eastAsia="de-DE"/>
        </w:rPr>
        <w:t>Effect on Laboratory Tests</w:t>
      </w:r>
    </w:p>
    <w:p w:rsidR="00192EEF" w:rsidRPr="00C76C82" w:rsidRDefault="00655D24" w:rsidP="00746F03">
      <w:pPr>
        <w:autoSpaceDE w:val="0"/>
        <w:autoSpaceDN w:val="0"/>
        <w:adjustRightInd w:val="0"/>
        <w:jc w:val="both"/>
        <w:rPr>
          <w:rFonts w:ascii="Arial Narrow" w:eastAsiaTheme="minorHAnsi" w:hAnsi="Arial Narrow" w:cs="TradeGothic-CondEighteen"/>
          <w:sz w:val="22"/>
          <w:szCs w:val="22"/>
          <w:lang w:val="en-AU" w:eastAsia="en-US"/>
        </w:rPr>
      </w:pPr>
      <w:r>
        <w:rPr>
          <w:rFonts w:ascii="Arial Narrow" w:eastAsiaTheme="minorHAnsi" w:hAnsi="Arial Narrow" w:cs="TradeGothic-BoldCondTwenty"/>
          <w:b/>
          <w:bCs/>
          <w:sz w:val="22"/>
          <w:szCs w:val="22"/>
          <w:lang w:val="en-AU" w:eastAsia="en-US"/>
        </w:rPr>
        <w:t>DIGIFAB</w:t>
      </w:r>
      <w:r w:rsidR="00192EEF" w:rsidRPr="00C76C82">
        <w:rPr>
          <w:rFonts w:ascii="Arial Narrow" w:eastAsiaTheme="minorHAnsi" w:hAnsi="Arial Narrow" w:cs="TradeGothic-BoldCondTwenty"/>
          <w:b/>
          <w:bCs/>
          <w:sz w:val="22"/>
          <w:szCs w:val="22"/>
          <w:lang w:val="en-AU" w:eastAsia="en-US"/>
        </w:rPr>
        <w:t xml:space="preserve"> will interfere with digitalis immunoassay measurements in the same way that has been reported for Digibind. Thus, standard serum digoxin concentration measurements may be clinically misleading until the Fab fragments are eliminated from the body. </w:t>
      </w:r>
      <w:r w:rsidR="00192EEF" w:rsidRPr="00C76C82">
        <w:rPr>
          <w:rFonts w:ascii="Arial Narrow" w:eastAsiaTheme="minorHAnsi" w:hAnsi="Arial Narrow" w:cs="TradeGothic-CondEighteen"/>
          <w:sz w:val="22"/>
          <w:szCs w:val="22"/>
          <w:lang w:val="en-AU" w:eastAsia="en-US"/>
        </w:rPr>
        <w:t>This may take several</w:t>
      </w:r>
      <w:r w:rsidR="00192EEF" w:rsidRPr="00C76C82">
        <w:rPr>
          <w:rFonts w:ascii="Arial Narrow" w:eastAsiaTheme="minorHAnsi" w:hAnsi="Arial Narrow" w:cs="TradeGothic-BoldCondTwenty"/>
          <w:b/>
          <w:bCs/>
          <w:sz w:val="22"/>
          <w:szCs w:val="22"/>
          <w:lang w:val="en-AU" w:eastAsia="en-US"/>
        </w:rPr>
        <w:t xml:space="preserve"> </w:t>
      </w:r>
      <w:r w:rsidR="00192EEF" w:rsidRPr="00C76C82">
        <w:rPr>
          <w:rFonts w:ascii="Arial Narrow" w:eastAsiaTheme="minorHAnsi" w:hAnsi="Arial Narrow" w:cs="TradeGothic-CondEighteen"/>
          <w:sz w:val="22"/>
          <w:szCs w:val="22"/>
          <w:lang w:val="en-AU" w:eastAsia="en-US"/>
        </w:rPr>
        <w:t>days or a week or more in patients with markedly impaired renal function. Therefore, serum samples for digoxin concentration should be obtained before</w:t>
      </w:r>
      <w:r w:rsidR="00192EEF" w:rsidRPr="00C76C82">
        <w:rPr>
          <w:rFonts w:ascii="Arial Narrow" w:eastAsiaTheme="minorHAnsi" w:hAnsi="Arial Narrow" w:cs="TradeGothic-BoldCondTwenty"/>
          <w:b/>
          <w:bCs/>
          <w:sz w:val="22"/>
          <w:szCs w:val="22"/>
          <w:lang w:val="en-AU" w:eastAsia="en-US"/>
        </w:rPr>
        <w:t xml:space="preserve"> </w:t>
      </w:r>
      <w:r>
        <w:rPr>
          <w:rFonts w:ascii="Arial Narrow" w:eastAsiaTheme="minorHAnsi" w:hAnsi="Arial Narrow" w:cs="TradeGothic-CondEighteen"/>
          <w:sz w:val="22"/>
          <w:szCs w:val="22"/>
          <w:lang w:val="en-AU" w:eastAsia="en-US"/>
        </w:rPr>
        <w:t>DIGIFAB</w:t>
      </w:r>
      <w:r w:rsidR="00192EEF" w:rsidRPr="00C76C82">
        <w:rPr>
          <w:rFonts w:ascii="Arial Narrow" w:eastAsiaTheme="minorHAnsi" w:hAnsi="Arial Narrow" w:cs="TradeGothic-CondEighteen"/>
          <w:sz w:val="22"/>
          <w:szCs w:val="22"/>
          <w:lang w:val="en-AU" w:eastAsia="en-US"/>
        </w:rPr>
        <w:t xml:space="preserve"> administration, if at all possible. Such measurements would establish the level of serum digoxin at the time of diagnosis of digitalis</w:t>
      </w:r>
      <w:r w:rsidR="00192EEF" w:rsidRPr="00C76C82">
        <w:rPr>
          <w:rFonts w:ascii="Arial Narrow" w:eastAsiaTheme="minorHAnsi" w:hAnsi="Arial Narrow" w:cs="TradeGothic-BoldCondTwenty"/>
          <w:b/>
          <w:bCs/>
          <w:sz w:val="22"/>
          <w:szCs w:val="22"/>
          <w:lang w:val="en-AU" w:eastAsia="en-US"/>
        </w:rPr>
        <w:t xml:space="preserve"> </w:t>
      </w:r>
      <w:r w:rsidR="00192EEF" w:rsidRPr="00C76C82">
        <w:rPr>
          <w:rFonts w:ascii="Arial Narrow" w:eastAsiaTheme="minorHAnsi" w:hAnsi="Arial Narrow" w:cs="TradeGothic-CondEighteen"/>
          <w:sz w:val="22"/>
          <w:szCs w:val="22"/>
          <w:lang w:val="en-AU" w:eastAsia="en-US"/>
        </w:rPr>
        <w:t>intoxication.</w:t>
      </w:r>
    </w:p>
    <w:p w:rsidR="00192EEF" w:rsidRPr="00C76C82" w:rsidRDefault="00192EEF" w:rsidP="00746F03">
      <w:pPr>
        <w:autoSpaceDE w:val="0"/>
        <w:autoSpaceDN w:val="0"/>
        <w:adjustRightInd w:val="0"/>
        <w:jc w:val="both"/>
        <w:rPr>
          <w:rFonts w:ascii="Arial Narrow" w:eastAsiaTheme="minorHAnsi" w:hAnsi="Arial Narrow" w:cs="TradeGothic-BoldCondTwenty"/>
          <w:b/>
          <w:bCs/>
          <w:sz w:val="22"/>
          <w:szCs w:val="22"/>
          <w:lang w:val="en-AU" w:eastAsia="en-US"/>
        </w:rPr>
      </w:pPr>
    </w:p>
    <w:p w:rsidR="00192EEF" w:rsidRPr="00C76C82" w:rsidRDefault="00192EEF"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At least 6 to 8 hours are required for equilibration of digoxin between serum and tissue, so absorption of the last dose may continue from the intestine. Therefore, serum measurements may be difficult to interpret if samples are drawn soon after the last digitalis dose.</w:t>
      </w:r>
    </w:p>
    <w:p w:rsidR="00192EEF" w:rsidRPr="00C76C82" w:rsidRDefault="00192EEF" w:rsidP="00746F03">
      <w:pPr>
        <w:autoSpaceDE w:val="0"/>
        <w:autoSpaceDN w:val="0"/>
        <w:adjustRightInd w:val="0"/>
        <w:jc w:val="both"/>
        <w:rPr>
          <w:rFonts w:ascii="Arial Narrow" w:eastAsiaTheme="minorHAnsi" w:hAnsi="Arial Narrow" w:cs="TradeGothic-CondEighteen"/>
          <w:sz w:val="22"/>
          <w:szCs w:val="22"/>
          <w:lang w:val="en-AU" w:eastAsia="en-US"/>
        </w:rPr>
      </w:pPr>
    </w:p>
    <w:p w:rsidR="00192EEF" w:rsidRPr="00C76C82" w:rsidRDefault="00192EEF"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The total serum digoxin concentration may rise precipitously following administration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but this will be almost entirely bound to the Fab fragment and therefore not able to react with receptors in the body.</w:t>
      </w:r>
    </w:p>
    <w:p w:rsidR="00192EEF" w:rsidRPr="00C76C82" w:rsidRDefault="00192EEF" w:rsidP="00746F03">
      <w:pPr>
        <w:autoSpaceDE w:val="0"/>
        <w:autoSpaceDN w:val="0"/>
        <w:adjustRightInd w:val="0"/>
        <w:jc w:val="both"/>
        <w:rPr>
          <w:rFonts w:ascii="Arial Narrow" w:eastAsiaTheme="minorHAnsi" w:hAnsi="Arial Narrow" w:cs="TradeGothic-CondEighteen"/>
          <w:sz w:val="22"/>
          <w:szCs w:val="22"/>
          <w:lang w:val="en-AU" w:eastAsia="en-US"/>
        </w:rPr>
      </w:pPr>
    </w:p>
    <w:p w:rsidR="00192EEF" w:rsidRPr="00C76C82" w:rsidRDefault="00192EEF"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Patients should be closely monitored, including temperature, blood pressure, electrocardiogram, and potassium concentration, during and after administration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Digoxin causes a shift of potassium from inside to outside the cell, such that severe </w:t>
      </w:r>
      <w:r w:rsidR="00E3781B">
        <w:rPr>
          <w:rFonts w:ascii="Arial Narrow" w:eastAsiaTheme="minorHAnsi" w:hAnsi="Arial Narrow" w:cs="TradeGothic-CondEighteen"/>
          <w:sz w:val="22"/>
          <w:szCs w:val="22"/>
          <w:lang w:val="en-AU" w:eastAsia="en-US"/>
        </w:rPr>
        <w:t xml:space="preserve">acute </w:t>
      </w:r>
      <w:r w:rsidRPr="00C76C82">
        <w:rPr>
          <w:rFonts w:ascii="Arial Narrow" w:eastAsiaTheme="minorHAnsi" w:hAnsi="Arial Narrow" w:cs="TradeGothic-CondEighteen"/>
          <w:sz w:val="22"/>
          <w:szCs w:val="22"/>
          <w:lang w:val="en-AU" w:eastAsia="en-US"/>
        </w:rPr>
        <w:t>intoxication can cause a</w:t>
      </w:r>
      <w:r w:rsidR="00E3781B">
        <w:rPr>
          <w:rFonts w:ascii="Arial Narrow" w:eastAsiaTheme="minorHAnsi" w:hAnsi="Arial Narrow" w:cs="TradeGothic-CondEighteen"/>
          <w:sz w:val="22"/>
          <w:szCs w:val="22"/>
          <w:lang w:val="en-AU" w:eastAsia="en-US"/>
        </w:rPr>
        <w:t>n</w:t>
      </w:r>
      <w:r w:rsidRPr="00C76C82">
        <w:rPr>
          <w:rFonts w:ascii="Arial Narrow" w:eastAsiaTheme="minorHAnsi" w:hAnsi="Arial Narrow" w:cs="TradeGothic-CondEighteen"/>
          <w:sz w:val="22"/>
          <w:szCs w:val="22"/>
          <w:lang w:val="en-AU" w:eastAsia="en-US"/>
        </w:rPr>
        <w:t xml:space="preserve"> elevation of serum potassium. This may lead to increased urinary excretion of potassium so that a patient may have hyperkalemia but a whole body deficit of </w:t>
      </w:r>
      <w:r w:rsidRPr="00C76C82">
        <w:rPr>
          <w:rFonts w:ascii="Arial Narrow" w:eastAsiaTheme="minorHAnsi" w:hAnsi="Arial Narrow" w:cs="TradeGothic-CondEighteen"/>
          <w:sz w:val="22"/>
          <w:szCs w:val="22"/>
          <w:lang w:val="en-AU" w:eastAsia="en-US"/>
        </w:rPr>
        <w:lastRenderedPageBreak/>
        <w:t xml:space="preserve">potassium. When the toxic effects of digoxin are reversed by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potassium shifts back into the cell with a resulting decline in serum potassium concentration. This hypokalemia may develop rapidly. For these reasons, serum potassium concentration should be followed closely, especially during the first several hours after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administration. Cautious potassium supplementation should then be given when necessary.</w:t>
      </w:r>
    </w:p>
    <w:p w:rsidR="002825B6" w:rsidRPr="00C76C82" w:rsidRDefault="002825B6" w:rsidP="00746F03">
      <w:pPr>
        <w:autoSpaceDE w:val="0"/>
        <w:autoSpaceDN w:val="0"/>
        <w:adjustRightInd w:val="0"/>
        <w:rPr>
          <w:rFonts w:ascii="Arial Narrow" w:eastAsiaTheme="minorHAnsi" w:hAnsi="Arial Narrow" w:cs="TradeGothic-BoldCondTwenty"/>
          <w:b/>
          <w:bCs/>
          <w:sz w:val="22"/>
          <w:szCs w:val="22"/>
          <w:lang w:val="en-AU" w:eastAsia="en-US"/>
        </w:rPr>
      </w:pPr>
    </w:p>
    <w:p w:rsidR="003A4534" w:rsidRPr="00C76C82" w:rsidRDefault="003A4534" w:rsidP="00746F03">
      <w:pPr>
        <w:autoSpaceDE w:val="0"/>
        <w:autoSpaceDN w:val="0"/>
        <w:adjustRightInd w:val="0"/>
        <w:jc w:val="both"/>
        <w:rPr>
          <w:rFonts w:ascii="Arial Narrow" w:eastAsiaTheme="minorHAnsi" w:hAnsi="Arial Narrow" w:cs="TradeGothic-BoldCondTwenty"/>
          <w:b/>
          <w:bCs/>
          <w:sz w:val="22"/>
          <w:szCs w:val="22"/>
          <w:lang w:val="en-AU" w:eastAsia="en-US"/>
        </w:rPr>
      </w:pPr>
      <w:r w:rsidRPr="00C76C82">
        <w:rPr>
          <w:rFonts w:ascii="Arial Narrow" w:eastAsiaTheme="minorHAnsi" w:hAnsi="Arial Narrow" w:cs="TradeGothic-BoldCondTwenty"/>
          <w:b/>
          <w:bCs/>
          <w:sz w:val="22"/>
          <w:szCs w:val="22"/>
          <w:lang w:val="en-AU" w:eastAsia="en-US"/>
        </w:rPr>
        <w:t xml:space="preserve">Use of </w:t>
      </w:r>
      <w:r w:rsidR="00655D24">
        <w:rPr>
          <w:rFonts w:ascii="Arial Narrow" w:eastAsiaTheme="minorHAnsi" w:hAnsi="Arial Narrow" w:cs="TradeGothic-BoldCondTwenty"/>
          <w:b/>
          <w:bCs/>
          <w:sz w:val="22"/>
          <w:szCs w:val="22"/>
          <w:lang w:val="en-AU" w:eastAsia="en-US"/>
        </w:rPr>
        <w:t>DIGIFAB</w:t>
      </w:r>
      <w:r w:rsidRPr="00C76C82">
        <w:rPr>
          <w:rFonts w:ascii="Arial Narrow" w:eastAsiaTheme="minorHAnsi" w:hAnsi="Arial Narrow" w:cs="TradeGothic-BoldCondTwenty"/>
          <w:b/>
          <w:bCs/>
          <w:sz w:val="22"/>
          <w:szCs w:val="22"/>
          <w:lang w:val="en-AU" w:eastAsia="en-US"/>
        </w:rPr>
        <w:t xml:space="preserve"> in Renal Failure</w:t>
      </w:r>
    </w:p>
    <w:p w:rsidR="003A4534" w:rsidRPr="00C76C82" w:rsidRDefault="003A453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The elimination half-life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in renal failure has not been clearly define</w:t>
      </w:r>
      <w:r w:rsidR="002825B6" w:rsidRPr="00C76C82">
        <w:rPr>
          <w:rFonts w:ascii="Arial Narrow" w:eastAsiaTheme="minorHAnsi" w:hAnsi="Arial Narrow" w:cs="TradeGothic-CondEighteen"/>
          <w:sz w:val="22"/>
          <w:szCs w:val="22"/>
          <w:lang w:val="en-AU" w:eastAsia="en-US"/>
        </w:rPr>
        <w:t xml:space="preserve">d, although patients with renal </w:t>
      </w:r>
      <w:r w:rsidRPr="00C76C82">
        <w:rPr>
          <w:rFonts w:ascii="Arial Narrow" w:eastAsiaTheme="minorHAnsi" w:hAnsi="Arial Narrow" w:cs="TradeGothic-CondEighteen"/>
          <w:sz w:val="22"/>
          <w:szCs w:val="22"/>
          <w:lang w:val="en-AU" w:eastAsia="en-US"/>
        </w:rPr>
        <w:t>dys</w:t>
      </w:r>
      <w:r w:rsidR="002825B6" w:rsidRPr="00C76C82">
        <w:rPr>
          <w:rFonts w:ascii="Arial Narrow" w:eastAsiaTheme="minorHAnsi" w:hAnsi="Arial Narrow" w:cs="TradeGothic-CondEighteen"/>
          <w:sz w:val="22"/>
          <w:szCs w:val="22"/>
          <w:lang w:val="en-AU" w:eastAsia="en-US"/>
        </w:rPr>
        <w:t xml:space="preserve">function have been successfully </w:t>
      </w:r>
      <w:r w:rsidRPr="00C76C82">
        <w:rPr>
          <w:rFonts w:ascii="Arial Narrow" w:eastAsiaTheme="minorHAnsi" w:hAnsi="Arial Narrow" w:cs="TradeGothic-CondEighteen"/>
          <w:sz w:val="22"/>
          <w:szCs w:val="22"/>
          <w:lang w:val="en-AU" w:eastAsia="en-US"/>
        </w:rPr>
        <w:t xml:space="preserve">treated with Digibind. There is no evidence to suggest that the time-course of therapeutic effect is any different in </w:t>
      </w:r>
      <w:r w:rsidR="002825B6" w:rsidRPr="00C76C82">
        <w:rPr>
          <w:rFonts w:ascii="Arial Narrow" w:eastAsiaTheme="minorHAnsi" w:hAnsi="Arial Narrow" w:cs="TradeGothic-CondEighteen"/>
          <w:sz w:val="22"/>
          <w:szCs w:val="22"/>
          <w:lang w:val="en-AU" w:eastAsia="en-US"/>
        </w:rPr>
        <w:t xml:space="preserve">these patients than in patients </w:t>
      </w:r>
      <w:r w:rsidRPr="00C76C82">
        <w:rPr>
          <w:rFonts w:ascii="Arial Narrow" w:eastAsiaTheme="minorHAnsi" w:hAnsi="Arial Narrow" w:cs="TradeGothic-CondEighteen"/>
          <w:sz w:val="22"/>
          <w:szCs w:val="22"/>
          <w:lang w:val="en-AU" w:eastAsia="en-US"/>
        </w:rPr>
        <w:t>with normal renal function, but excretion of the Fab fragment-digoxin complex from the body is probably delayed.</w:t>
      </w:r>
    </w:p>
    <w:p w:rsidR="002825B6" w:rsidRPr="00C76C82" w:rsidRDefault="00DE7903" w:rsidP="00746F03">
      <w:pPr>
        <w:tabs>
          <w:tab w:val="left" w:pos="8190"/>
        </w:tabs>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ab/>
      </w:r>
    </w:p>
    <w:p w:rsidR="003A4534" w:rsidRPr="00C76C82" w:rsidRDefault="003A4534" w:rsidP="00746F03">
      <w:pPr>
        <w:autoSpaceDE w:val="0"/>
        <w:autoSpaceDN w:val="0"/>
        <w:adjustRightInd w:val="0"/>
        <w:jc w:val="both"/>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There is one case report of recurrence of atrioventricular block due to digoxin in a functionally </w:t>
      </w:r>
      <w:proofErr w:type="spellStart"/>
      <w:r w:rsidRPr="00C76C82">
        <w:rPr>
          <w:rFonts w:ascii="Arial Narrow" w:eastAsiaTheme="minorHAnsi" w:hAnsi="Arial Narrow" w:cs="TradeGothic-CondEighteen"/>
          <w:sz w:val="22"/>
          <w:szCs w:val="22"/>
          <w:lang w:val="en-AU" w:eastAsia="en-US"/>
        </w:rPr>
        <w:t>anephric</w:t>
      </w:r>
      <w:proofErr w:type="spellEnd"/>
      <w:r w:rsidRPr="00C76C82">
        <w:rPr>
          <w:rFonts w:ascii="Arial Narrow" w:eastAsiaTheme="minorHAnsi" w:hAnsi="Arial Narrow" w:cs="TradeGothic-CondEighteen"/>
          <w:sz w:val="22"/>
          <w:szCs w:val="22"/>
          <w:lang w:val="en-AU" w:eastAsia="en-US"/>
        </w:rPr>
        <w:t xml:space="preserve"> patient 10 days afte</w:t>
      </w:r>
      <w:r w:rsidR="002825B6" w:rsidRPr="00C76C82">
        <w:rPr>
          <w:rFonts w:ascii="Arial Narrow" w:eastAsiaTheme="minorHAnsi" w:hAnsi="Arial Narrow" w:cs="TradeGothic-CondEighteen"/>
          <w:sz w:val="22"/>
          <w:szCs w:val="22"/>
          <w:lang w:val="en-AU" w:eastAsia="en-US"/>
        </w:rPr>
        <w:t xml:space="preserve">r its initial reversal by ovine </w:t>
      </w:r>
      <w:r w:rsidRPr="00C76C82">
        <w:rPr>
          <w:rFonts w:ascii="Arial Narrow" w:eastAsiaTheme="minorHAnsi" w:hAnsi="Arial Narrow" w:cs="TradeGothic-CondEighteen"/>
          <w:sz w:val="22"/>
          <w:szCs w:val="22"/>
          <w:lang w:val="en-AU" w:eastAsia="en-US"/>
        </w:rPr>
        <w:t xml:space="preserve">Fab therapy. This clinical event persisted for more than a week. In patients that are functionally </w:t>
      </w:r>
      <w:proofErr w:type="spellStart"/>
      <w:r w:rsidRPr="00C76C82">
        <w:rPr>
          <w:rFonts w:ascii="Arial Narrow" w:eastAsiaTheme="minorHAnsi" w:hAnsi="Arial Narrow" w:cs="TradeGothic-CondEighteen"/>
          <w:sz w:val="22"/>
          <w:szCs w:val="22"/>
          <w:lang w:val="en-AU" w:eastAsia="en-US"/>
        </w:rPr>
        <w:t>anephric</w:t>
      </w:r>
      <w:proofErr w:type="spellEnd"/>
      <w:r w:rsidRPr="00C76C82">
        <w:rPr>
          <w:rFonts w:ascii="Arial Narrow" w:eastAsiaTheme="minorHAnsi" w:hAnsi="Arial Narrow" w:cs="TradeGothic-CondEighteen"/>
          <w:sz w:val="22"/>
          <w:szCs w:val="22"/>
          <w:lang w:val="en-AU" w:eastAsia="en-US"/>
        </w:rPr>
        <w:t>, failure t</w:t>
      </w:r>
      <w:r w:rsidR="002825B6" w:rsidRPr="00C76C82">
        <w:rPr>
          <w:rFonts w:ascii="Arial Narrow" w:eastAsiaTheme="minorHAnsi" w:hAnsi="Arial Narrow" w:cs="TradeGothic-CondEighteen"/>
          <w:sz w:val="22"/>
          <w:szCs w:val="22"/>
          <w:lang w:val="en-AU" w:eastAsia="en-US"/>
        </w:rPr>
        <w:t xml:space="preserve">o clear the Fab-digoxin complex </w:t>
      </w:r>
      <w:r w:rsidRPr="00C76C82">
        <w:rPr>
          <w:rFonts w:ascii="Arial Narrow" w:eastAsiaTheme="minorHAnsi" w:hAnsi="Arial Narrow" w:cs="TradeGothic-CondEighteen"/>
          <w:sz w:val="22"/>
          <w:szCs w:val="22"/>
          <w:lang w:val="en-AU" w:eastAsia="en-US"/>
        </w:rPr>
        <w:t>from the blood by glomerular filtration and renal excretion may be anticipated. It is uncertain whether the failure to el</w:t>
      </w:r>
      <w:r w:rsidR="002825B6" w:rsidRPr="00C76C82">
        <w:rPr>
          <w:rFonts w:ascii="Arial Narrow" w:eastAsiaTheme="minorHAnsi" w:hAnsi="Arial Narrow" w:cs="TradeGothic-CondEighteen"/>
          <w:sz w:val="22"/>
          <w:szCs w:val="22"/>
          <w:lang w:val="en-AU" w:eastAsia="en-US"/>
        </w:rPr>
        <w:t xml:space="preserve">iminate the Fab-digoxin complex </w:t>
      </w:r>
      <w:r w:rsidRPr="00C76C82">
        <w:rPr>
          <w:rFonts w:ascii="Arial Narrow" w:eastAsiaTheme="minorHAnsi" w:hAnsi="Arial Narrow" w:cs="TradeGothic-CondEighteen"/>
          <w:sz w:val="22"/>
          <w:szCs w:val="22"/>
          <w:lang w:val="en-AU" w:eastAsia="en-US"/>
        </w:rPr>
        <w:t>in severe renal impairment may lead to re-intoxication with digoxin following the release of previously bound digoxin in</w:t>
      </w:r>
      <w:r w:rsidR="002825B6" w:rsidRPr="00C76C82">
        <w:rPr>
          <w:rFonts w:ascii="Arial Narrow" w:eastAsiaTheme="minorHAnsi" w:hAnsi="Arial Narrow" w:cs="TradeGothic-CondEighteen"/>
          <w:sz w:val="22"/>
          <w:szCs w:val="22"/>
          <w:lang w:val="en-AU" w:eastAsia="en-US"/>
        </w:rPr>
        <w:t xml:space="preserve">to the blood. However, patients </w:t>
      </w:r>
      <w:r w:rsidRPr="00C76C82">
        <w:rPr>
          <w:rFonts w:ascii="Arial Narrow" w:eastAsiaTheme="minorHAnsi" w:hAnsi="Arial Narrow" w:cs="TradeGothic-CondEighteen"/>
          <w:sz w:val="22"/>
          <w:szCs w:val="22"/>
          <w:lang w:val="en-AU" w:eastAsia="en-US"/>
        </w:rPr>
        <w:t xml:space="preserve">with severe renal failure who receive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for digitalis toxicity should be monitored for a prolonged period for possible recurrence of toxicity.</w:t>
      </w:r>
    </w:p>
    <w:p w:rsidR="002825B6" w:rsidRPr="00C76C82" w:rsidRDefault="002825B6" w:rsidP="00746F03">
      <w:pPr>
        <w:autoSpaceDE w:val="0"/>
        <w:autoSpaceDN w:val="0"/>
        <w:adjustRightInd w:val="0"/>
        <w:jc w:val="both"/>
        <w:rPr>
          <w:rFonts w:ascii="Arial Narrow" w:eastAsiaTheme="minorHAnsi" w:hAnsi="Arial Narrow" w:cs="TradeGothic-CondEighteen"/>
          <w:sz w:val="22"/>
          <w:szCs w:val="22"/>
          <w:lang w:val="en-AU" w:eastAsia="en-US"/>
        </w:rPr>
      </w:pPr>
    </w:p>
    <w:p w:rsidR="003A4534" w:rsidRPr="00C76C82" w:rsidRDefault="003A4534" w:rsidP="00746F03">
      <w:pPr>
        <w:autoSpaceDE w:val="0"/>
        <w:autoSpaceDN w:val="0"/>
        <w:adjustRightInd w:val="0"/>
        <w:jc w:val="both"/>
        <w:rPr>
          <w:rFonts w:ascii="Arial Narrow" w:eastAsiaTheme="minorHAnsi" w:hAnsi="Arial Narrow" w:cs="TradeGothic-CondEighteen"/>
          <w:sz w:val="22"/>
          <w:szCs w:val="22"/>
          <w:vertAlign w:val="superscript"/>
          <w:lang w:val="en-AU" w:eastAsia="en-US"/>
        </w:rPr>
      </w:pPr>
      <w:r w:rsidRPr="00C76C82">
        <w:rPr>
          <w:rFonts w:ascii="Arial Narrow" w:eastAsiaTheme="minorHAnsi" w:hAnsi="Arial Narrow" w:cs="TradeGothic-CondEighteen"/>
          <w:sz w:val="22"/>
          <w:szCs w:val="22"/>
          <w:lang w:val="en-AU" w:eastAsia="en-US"/>
        </w:rPr>
        <w:t>Monitoring of free (unbound) digoxin concentrations after the administration may be appropriate in order to establish</w:t>
      </w:r>
      <w:r w:rsidR="002825B6" w:rsidRPr="00C76C82">
        <w:rPr>
          <w:rFonts w:ascii="Arial Narrow" w:eastAsiaTheme="minorHAnsi" w:hAnsi="Arial Narrow" w:cs="TradeGothic-CondEighteen"/>
          <w:sz w:val="22"/>
          <w:szCs w:val="22"/>
          <w:lang w:val="en-AU" w:eastAsia="en-US"/>
        </w:rPr>
        <w:t xml:space="preserve"> recrudescent toxicity in renal </w:t>
      </w:r>
      <w:r w:rsidRPr="00C76C82">
        <w:rPr>
          <w:rFonts w:ascii="Arial Narrow" w:eastAsiaTheme="minorHAnsi" w:hAnsi="Arial Narrow" w:cs="TradeGothic-CondEighteen"/>
          <w:sz w:val="22"/>
          <w:szCs w:val="22"/>
          <w:lang w:val="en-AU" w:eastAsia="en-US"/>
        </w:rPr>
        <w:t>failure patients.</w:t>
      </w:r>
    </w:p>
    <w:p w:rsidR="00725BC8" w:rsidRPr="00C76C82" w:rsidRDefault="00725BC8" w:rsidP="00746F03">
      <w:pPr>
        <w:jc w:val="both"/>
        <w:rPr>
          <w:rFonts w:ascii="Arial Narrow" w:hAnsi="Arial Narrow" w:cs="Arial"/>
          <w:b/>
          <w:bCs/>
          <w:iCs/>
          <w:sz w:val="22"/>
          <w:szCs w:val="22"/>
          <w:lang w:val="en-AU"/>
        </w:rPr>
      </w:pPr>
    </w:p>
    <w:p w:rsidR="009C5DD8" w:rsidRDefault="009C5DD8" w:rsidP="00746F03">
      <w:pPr>
        <w:rPr>
          <w:rFonts w:ascii="Arial Narrow" w:hAnsi="Arial Narrow" w:cs="Arial"/>
          <w:b/>
          <w:bCs/>
          <w:iCs/>
          <w:sz w:val="22"/>
          <w:szCs w:val="22"/>
          <w:lang w:val="en-AU"/>
        </w:rPr>
      </w:pPr>
      <w:r w:rsidRPr="00C76C82">
        <w:rPr>
          <w:rFonts w:ascii="Arial Narrow" w:hAnsi="Arial Narrow" w:cs="Arial"/>
          <w:b/>
          <w:bCs/>
          <w:iCs/>
          <w:sz w:val="22"/>
          <w:szCs w:val="22"/>
          <w:lang w:val="en-AU"/>
        </w:rPr>
        <w:t>INTERACTIONS WITH OTHER MEDICINES</w:t>
      </w:r>
    </w:p>
    <w:p w:rsidR="00CC7BB7" w:rsidRPr="00C76C82" w:rsidRDefault="00CC7BB7" w:rsidP="00746F03">
      <w:pPr>
        <w:rPr>
          <w:rFonts w:ascii="Arial Narrow" w:hAnsi="Arial Narrow" w:cs="Arial"/>
          <w:b/>
          <w:bCs/>
          <w:iCs/>
          <w:sz w:val="22"/>
          <w:szCs w:val="22"/>
          <w:lang w:val="en-AU"/>
        </w:rPr>
      </w:pPr>
    </w:p>
    <w:p w:rsidR="00397096" w:rsidRDefault="00397096" w:rsidP="00746F03">
      <w:pPr>
        <w:rPr>
          <w:rFonts w:ascii="Arial Narrow" w:eastAsiaTheme="minorHAnsi" w:hAnsi="Arial Narrow" w:cs="TradeGothic-CondEighteen"/>
          <w:sz w:val="22"/>
          <w:szCs w:val="22"/>
          <w:lang w:val="en-AU" w:eastAsia="en-US"/>
        </w:rPr>
      </w:pPr>
      <w:r w:rsidRPr="00C76C82">
        <w:rPr>
          <w:rFonts w:ascii="Arial Narrow" w:eastAsiaTheme="minorHAnsi" w:hAnsi="Arial Narrow" w:cs="TradeGothic-CondEighteen"/>
          <w:sz w:val="22"/>
          <w:szCs w:val="22"/>
          <w:lang w:val="en-AU" w:eastAsia="en-US"/>
        </w:rPr>
        <w:t xml:space="preserve">Studies of drug interactions have not been conducted with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w:t>
      </w:r>
    </w:p>
    <w:p w:rsidR="000C6C6C" w:rsidRDefault="000C6C6C" w:rsidP="00746F03">
      <w:pPr>
        <w:rPr>
          <w:rFonts w:ascii="Arial Narrow" w:eastAsiaTheme="minorHAnsi" w:hAnsi="Arial Narrow" w:cs="TradeGothic-CondEighteen"/>
          <w:sz w:val="22"/>
          <w:szCs w:val="22"/>
          <w:lang w:val="en-AU" w:eastAsia="en-US"/>
        </w:rPr>
      </w:pPr>
    </w:p>
    <w:p w:rsidR="009C5DD8" w:rsidRPr="00C76C82" w:rsidRDefault="009C5DD8" w:rsidP="00746F03">
      <w:pPr>
        <w:rPr>
          <w:rFonts w:ascii="Arial Narrow" w:hAnsi="Arial Narrow" w:cs="Arial"/>
          <w:b/>
          <w:bCs/>
          <w:iCs/>
          <w:sz w:val="22"/>
          <w:szCs w:val="22"/>
          <w:lang w:val="en-AU"/>
        </w:rPr>
      </w:pPr>
      <w:r w:rsidRPr="00C76C82">
        <w:rPr>
          <w:rFonts w:ascii="Arial Narrow" w:hAnsi="Arial Narrow" w:cs="Arial"/>
          <w:b/>
          <w:bCs/>
          <w:iCs/>
          <w:sz w:val="22"/>
          <w:szCs w:val="22"/>
          <w:lang w:val="en-AU"/>
        </w:rPr>
        <w:t>ADVERSE EFFECTS</w:t>
      </w:r>
    </w:p>
    <w:p w:rsidR="009C5DD8" w:rsidRPr="00C76C82" w:rsidRDefault="009C5DD8" w:rsidP="00746F03">
      <w:pPr>
        <w:rPr>
          <w:rFonts w:ascii="Arial Narrow" w:hAnsi="Arial Narrow"/>
          <w:b/>
          <w:sz w:val="22"/>
          <w:szCs w:val="22"/>
          <w:lang w:val="en-AU"/>
        </w:rPr>
      </w:pPr>
    </w:p>
    <w:p w:rsidR="0076235B" w:rsidRDefault="00D62D7F" w:rsidP="00746F03">
      <w:pPr>
        <w:rPr>
          <w:rFonts w:ascii="Arial Narrow" w:hAnsi="Arial Narrow"/>
          <w:sz w:val="22"/>
          <w:szCs w:val="22"/>
        </w:rPr>
      </w:pPr>
      <w:r>
        <w:rPr>
          <w:rFonts w:ascii="Arial Narrow" w:hAnsi="Arial Narrow"/>
          <w:sz w:val="22"/>
          <w:szCs w:val="22"/>
        </w:rPr>
        <w:t xml:space="preserve">As a limited number of patients were exposed in clinical studies, </w:t>
      </w:r>
      <w:r w:rsidR="00B75373">
        <w:rPr>
          <w:rFonts w:ascii="Arial Narrow" w:hAnsi="Arial Narrow"/>
          <w:sz w:val="22"/>
          <w:szCs w:val="22"/>
        </w:rPr>
        <w:t>reporting of</w:t>
      </w:r>
      <w:r w:rsidR="00B72827">
        <w:rPr>
          <w:rFonts w:ascii="Arial Narrow" w:hAnsi="Arial Narrow"/>
          <w:sz w:val="22"/>
          <w:szCs w:val="22"/>
        </w:rPr>
        <w:t xml:space="preserve"> any concerns or adverse </w:t>
      </w:r>
      <w:r w:rsidR="00B75373">
        <w:rPr>
          <w:rFonts w:ascii="Arial Narrow" w:hAnsi="Arial Narrow"/>
          <w:sz w:val="22"/>
          <w:szCs w:val="22"/>
        </w:rPr>
        <w:t xml:space="preserve">events </w:t>
      </w:r>
      <w:r w:rsidR="00616D2A">
        <w:rPr>
          <w:rFonts w:ascii="Arial Narrow" w:hAnsi="Arial Narrow"/>
          <w:sz w:val="22"/>
          <w:szCs w:val="22"/>
        </w:rPr>
        <w:t xml:space="preserve">to the sponsor or the Therapeutic Goods Administration (TGA) </w:t>
      </w:r>
      <w:r w:rsidR="00B75373">
        <w:rPr>
          <w:rFonts w:ascii="Arial Narrow" w:hAnsi="Arial Narrow"/>
          <w:sz w:val="22"/>
          <w:szCs w:val="22"/>
        </w:rPr>
        <w:t>is encouraged.</w:t>
      </w:r>
    </w:p>
    <w:p w:rsidR="00746F03" w:rsidRDefault="00746F03" w:rsidP="00746F03">
      <w:pPr>
        <w:rPr>
          <w:rFonts w:ascii="Arial Narrow" w:hAnsi="Arial Narrow"/>
          <w:sz w:val="22"/>
          <w:szCs w:val="22"/>
        </w:rPr>
      </w:pPr>
    </w:p>
    <w:p w:rsidR="00B97ECA" w:rsidRPr="00C76C82" w:rsidRDefault="00B97ECA" w:rsidP="00746F03">
      <w:pPr>
        <w:rPr>
          <w:rFonts w:ascii="Arial Narrow" w:hAnsi="Arial Narrow"/>
          <w:sz w:val="22"/>
          <w:szCs w:val="22"/>
        </w:rPr>
      </w:pPr>
      <w:r w:rsidRPr="00C76C82">
        <w:rPr>
          <w:rFonts w:ascii="Arial Narrow" w:hAnsi="Arial Narrow"/>
          <w:sz w:val="22"/>
          <w:szCs w:val="22"/>
        </w:rPr>
        <w:t xml:space="preserve">Adverse reactions reported from 23 subjects in clinical studies are listed </w:t>
      </w:r>
      <w:r w:rsidR="000053C1">
        <w:rPr>
          <w:rFonts w:ascii="Arial Narrow" w:hAnsi="Arial Narrow"/>
          <w:sz w:val="22"/>
          <w:szCs w:val="22"/>
        </w:rPr>
        <w:t xml:space="preserve">in Table 1 </w:t>
      </w:r>
      <w:r w:rsidRPr="00C76C82">
        <w:rPr>
          <w:rFonts w:ascii="Arial Narrow" w:hAnsi="Arial Narrow"/>
          <w:sz w:val="22"/>
          <w:szCs w:val="22"/>
        </w:rPr>
        <w:t>according to system organ class.</w:t>
      </w:r>
      <w:r w:rsidR="000053C1">
        <w:rPr>
          <w:rFonts w:ascii="Arial Narrow" w:hAnsi="Arial Narrow"/>
          <w:sz w:val="22"/>
          <w:szCs w:val="22"/>
        </w:rPr>
        <w:t xml:space="preserve"> </w:t>
      </w:r>
      <w:r w:rsidRPr="00C76C82">
        <w:rPr>
          <w:rFonts w:ascii="Arial Narrow" w:hAnsi="Arial Narrow"/>
          <w:sz w:val="22"/>
          <w:szCs w:val="22"/>
        </w:rPr>
        <w:t>Adverse reactions are ranked by frequency, the most frequent first, using the following convention: very common (≥1/10); common (≥1/100 to &lt;1/10); uncommon (≥1/1,000 to &lt;1/100); rare (≥1/10,000 to &lt;1/1,000) very rare (&lt;1/10,00</w:t>
      </w:r>
      <w:r w:rsidR="00284DEA">
        <w:rPr>
          <w:rFonts w:ascii="Arial Narrow" w:hAnsi="Arial Narrow"/>
          <w:sz w:val="22"/>
          <w:szCs w:val="22"/>
        </w:rPr>
        <w:t>0), including isolated reports.</w:t>
      </w:r>
    </w:p>
    <w:p w:rsidR="00746F03" w:rsidRDefault="00746F03" w:rsidP="00746F03">
      <w:pPr>
        <w:rPr>
          <w:rFonts w:ascii="Arial Narrow" w:hAnsi="Arial Narrow"/>
          <w:sz w:val="22"/>
          <w:szCs w:val="22"/>
        </w:rPr>
      </w:pPr>
    </w:p>
    <w:p w:rsidR="00B97ECA" w:rsidRDefault="00B97ECA" w:rsidP="00746F03">
      <w:pPr>
        <w:rPr>
          <w:rFonts w:ascii="Arial Narrow" w:hAnsi="Arial Narrow"/>
          <w:sz w:val="22"/>
          <w:szCs w:val="22"/>
        </w:rPr>
      </w:pPr>
      <w:r w:rsidRPr="00C76C82">
        <w:rPr>
          <w:rFonts w:ascii="Arial Narrow" w:hAnsi="Arial Narrow"/>
          <w:sz w:val="22"/>
          <w:szCs w:val="22"/>
        </w:rPr>
        <w:t>Exacerbation of low cardiac output states and congestive heart failure or a rapid ventricular response in patients with atrial fibrillation may occur owing to withdrawal of effect of digoxin</w:t>
      </w:r>
      <w:r w:rsidR="00284DEA">
        <w:rPr>
          <w:rFonts w:ascii="Arial Narrow" w:hAnsi="Arial Narrow"/>
          <w:sz w:val="22"/>
          <w:szCs w:val="22"/>
        </w:rPr>
        <w:t>.</w:t>
      </w:r>
    </w:p>
    <w:p w:rsidR="00284DEA" w:rsidRPr="00C76C82" w:rsidRDefault="00284DEA" w:rsidP="00746F03">
      <w:pPr>
        <w:rPr>
          <w:rFonts w:ascii="Arial Narrow" w:hAnsi="Arial Narrow"/>
          <w:sz w:val="22"/>
          <w:szCs w:val="22"/>
        </w:rPr>
      </w:pPr>
    </w:p>
    <w:p w:rsidR="00B97ECA" w:rsidRDefault="00B97ECA" w:rsidP="00746F03">
      <w:pPr>
        <w:rPr>
          <w:rFonts w:ascii="Arial Narrow" w:hAnsi="Arial Narrow"/>
          <w:sz w:val="22"/>
          <w:szCs w:val="22"/>
        </w:rPr>
      </w:pPr>
      <w:r w:rsidRPr="00C76C82">
        <w:rPr>
          <w:rFonts w:ascii="Arial Narrow" w:hAnsi="Arial Narrow"/>
          <w:sz w:val="22"/>
          <w:szCs w:val="22"/>
        </w:rPr>
        <w:t>Adverse reactions may occur up to 14 days after the infusion has been administered.</w:t>
      </w:r>
    </w:p>
    <w:p w:rsidR="000053C1" w:rsidRPr="00C76C82" w:rsidRDefault="000053C1" w:rsidP="00746F03">
      <w:pPr>
        <w:rPr>
          <w:rFonts w:ascii="Arial Narrow" w:hAnsi="Arial Narrow"/>
          <w:sz w:val="22"/>
          <w:szCs w:val="22"/>
        </w:rPr>
      </w:pPr>
    </w:p>
    <w:p w:rsidR="00B97ECA" w:rsidRPr="00E50BE3" w:rsidRDefault="000053C1" w:rsidP="00284DEA">
      <w:pPr>
        <w:rPr>
          <w:rFonts w:ascii="Arial Narrow" w:hAnsi="Arial Narrow"/>
          <w:b/>
          <w:sz w:val="22"/>
        </w:rPr>
      </w:pPr>
      <w:r w:rsidRPr="00E50BE3">
        <w:rPr>
          <w:rFonts w:ascii="Arial Narrow" w:hAnsi="Arial Narrow"/>
          <w:b/>
          <w:sz w:val="22"/>
        </w:rPr>
        <w:t>Table 1. Adverse Reactions According to System Organ Class</w:t>
      </w:r>
    </w:p>
    <w:p w:rsidR="000053C1" w:rsidRPr="00C76C82" w:rsidRDefault="000053C1" w:rsidP="00284DEA">
      <w:pPr>
        <w:rPr>
          <w:rFonts w:ascii="Arial Narrow" w:hAnsi="Arial Narrow"/>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4"/>
        <w:gridCol w:w="1860"/>
        <w:gridCol w:w="3690"/>
      </w:tblGrid>
      <w:tr w:rsidR="00B97ECA" w:rsidRPr="00C76C82" w:rsidTr="00746F03">
        <w:trPr>
          <w:trHeight w:val="407"/>
        </w:trPr>
        <w:tc>
          <w:tcPr>
            <w:tcW w:w="3584" w:type="dxa"/>
          </w:tcPr>
          <w:p w:rsidR="00284DEA" w:rsidRPr="006C4EF6" w:rsidRDefault="00284DEA" w:rsidP="001145AC">
            <w:pPr>
              <w:keepNext/>
              <w:spacing w:before="20" w:after="20"/>
              <w:rPr>
                <w:rFonts w:ascii="Arial Narrow" w:hAnsi="Arial Narrow"/>
                <w:b/>
                <w:sz w:val="22"/>
                <w:szCs w:val="22"/>
              </w:rPr>
            </w:pPr>
          </w:p>
          <w:p w:rsidR="00B97ECA" w:rsidRPr="006C4EF6" w:rsidRDefault="00B97ECA" w:rsidP="001145AC">
            <w:pPr>
              <w:keepNext/>
              <w:spacing w:before="20" w:after="20"/>
              <w:rPr>
                <w:rFonts w:ascii="Arial Narrow" w:hAnsi="Arial Narrow"/>
                <w:b/>
                <w:sz w:val="22"/>
                <w:szCs w:val="22"/>
              </w:rPr>
            </w:pPr>
            <w:r w:rsidRPr="006C4EF6">
              <w:rPr>
                <w:rFonts w:ascii="Arial Narrow" w:hAnsi="Arial Narrow"/>
                <w:b/>
                <w:sz w:val="22"/>
                <w:szCs w:val="22"/>
              </w:rPr>
              <w:t>System organ class</w:t>
            </w:r>
          </w:p>
        </w:tc>
        <w:tc>
          <w:tcPr>
            <w:tcW w:w="1860" w:type="dxa"/>
          </w:tcPr>
          <w:p w:rsidR="00284DEA" w:rsidRPr="006C4EF6" w:rsidRDefault="00284DEA" w:rsidP="001145AC">
            <w:pPr>
              <w:keepNext/>
              <w:spacing w:before="20" w:after="20"/>
              <w:rPr>
                <w:rFonts w:ascii="Arial Narrow" w:hAnsi="Arial Narrow"/>
                <w:b/>
                <w:sz w:val="22"/>
                <w:szCs w:val="22"/>
              </w:rPr>
            </w:pPr>
          </w:p>
          <w:p w:rsidR="00B97ECA" w:rsidRPr="006C4EF6" w:rsidRDefault="00B97ECA" w:rsidP="001145AC">
            <w:pPr>
              <w:keepNext/>
              <w:spacing w:before="20" w:after="20"/>
              <w:rPr>
                <w:rFonts w:ascii="Arial Narrow" w:hAnsi="Arial Narrow"/>
                <w:b/>
                <w:sz w:val="22"/>
                <w:szCs w:val="22"/>
              </w:rPr>
            </w:pPr>
            <w:r w:rsidRPr="006C4EF6">
              <w:rPr>
                <w:rFonts w:ascii="Arial Narrow" w:hAnsi="Arial Narrow"/>
                <w:b/>
                <w:sz w:val="22"/>
                <w:szCs w:val="22"/>
              </w:rPr>
              <w:t>Frequency</w:t>
            </w:r>
          </w:p>
        </w:tc>
        <w:tc>
          <w:tcPr>
            <w:tcW w:w="3690" w:type="dxa"/>
          </w:tcPr>
          <w:p w:rsidR="00284DEA" w:rsidRPr="006C4EF6" w:rsidRDefault="00284DEA" w:rsidP="001145AC">
            <w:pPr>
              <w:keepNext/>
              <w:spacing w:before="20" w:after="20"/>
              <w:rPr>
                <w:rFonts w:ascii="Arial Narrow" w:hAnsi="Arial Narrow"/>
                <w:b/>
                <w:sz w:val="22"/>
                <w:szCs w:val="22"/>
              </w:rPr>
            </w:pPr>
          </w:p>
          <w:p w:rsidR="00B97ECA" w:rsidRPr="006C4EF6" w:rsidRDefault="00B97ECA" w:rsidP="001145AC">
            <w:pPr>
              <w:keepNext/>
              <w:spacing w:before="20" w:after="20"/>
              <w:rPr>
                <w:rFonts w:ascii="Arial Narrow" w:hAnsi="Arial Narrow"/>
                <w:b/>
                <w:sz w:val="22"/>
                <w:szCs w:val="22"/>
              </w:rPr>
            </w:pPr>
            <w:r w:rsidRPr="006C4EF6">
              <w:rPr>
                <w:rFonts w:ascii="Arial Narrow" w:hAnsi="Arial Narrow"/>
                <w:b/>
                <w:sz w:val="22"/>
                <w:szCs w:val="22"/>
              </w:rPr>
              <w:t>Undesirable effect</w:t>
            </w:r>
          </w:p>
          <w:p w:rsidR="00284DEA" w:rsidRPr="006C4EF6" w:rsidRDefault="00284DEA" w:rsidP="001145AC">
            <w:pPr>
              <w:keepNext/>
              <w:spacing w:before="20" w:after="20"/>
              <w:rPr>
                <w:rFonts w:ascii="Arial Narrow" w:hAnsi="Arial Narrow"/>
                <w:b/>
                <w:sz w:val="22"/>
                <w:szCs w:val="22"/>
              </w:rPr>
            </w:pPr>
          </w:p>
        </w:tc>
      </w:tr>
      <w:tr w:rsidR="00B97ECA" w:rsidRPr="00C76C82" w:rsidTr="00746F03">
        <w:trPr>
          <w:trHeight w:val="360"/>
        </w:trPr>
        <w:tc>
          <w:tcPr>
            <w:tcW w:w="3584" w:type="dxa"/>
          </w:tcPr>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Metabolism and nutrition diso</w:t>
            </w:r>
            <w:r w:rsidR="00284DEA">
              <w:rPr>
                <w:rFonts w:ascii="Arial Narrow" w:hAnsi="Arial Narrow"/>
                <w:sz w:val="22"/>
                <w:szCs w:val="22"/>
              </w:rPr>
              <w:t>rders</w:t>
            </w:r>
          </w:p>
        </w:tc>
        <w:tc>
          <w:tcPr>
            <w:tcW w:w="1860" w:type="dxa"/>
          </w:tcPr>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Common</w:t>
            </w:r>
          </w:p>
        </w:tc>
        <w:tc>
          <w:tcPr>
            <w:tcW w:w="3690" w:type="dxa"/>
          </w:tcPr>
          <w:p w:rsidR="00284DE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Hypokalaemia, hyperkalaemia</w:t>
            </w:r>
          </w:p>
        </w:tc>
      </w:tr>
      <w:tr w:rsidR="00B97ECA" w:rsidRPr="00C76C82" w:rsidTr="00746F03">
        <w:tc>
          <w:tcPr>
            <w:tcW w:w="3584" w:type="dxa"/>
          </w:tcPr>
          <w:p w:rsidR="00B97ECA" w:rsidRPr="00C76C82" w:rsidRDefault="00284DEA" w:rsidP="001145AC">
            <w:pPr>
              <w:keepNext/>
              <w:spacing w:before="20" w:after="20"/>
              <w:rPr>
                <w:rFonts w:ascii="Arial Narrow" w:hAnsi="Arial Narrow"/>
                <w:sz w:val="22"/>
                <w:szCs w:val="22"/>
              </w:rPr>
            </w:pPr>
            <w:r>
              <w:rPr>
                <w:rFonts w:ascii="Arial Narrow" w:hAnsi="Arial Narrow"/>
                <w:sz w:val="22"/>
                <w:szCs w:val="22"/>
              </w:rPr>
              <w:t>Nervous system disorders</w:t>
            </w:r>
          </w:p>
        </w:tc>
        <w:tc>
          <w:tcPr>
            <w:tcW w:w="1860" w:type="dxa"/>
          </w:tcPr>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Common</w:t>
            </w:r>
          </w:p>
        </w:tc>
        <w:tc>
          <w:tcPr>
            <w:tcW w:w="3690" w:type="dxa"/>
          </w:tcPr>
          <w:p w:rsidR="00284DE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Headache, confusional state</w:t>
            </w:r>
          </w:p>
        </w:tc>
      </w:tr>
      <w:tr w:rsidR="00B97ECA" w:rsidRPr="00C76C82" w:rsidTr="00746F03">
        <w:tc>
          <w:tcPr>
            <w:tcW w:w="3584" w:type="dxa"/>
          </w:tcPr>
          <w:p w:rsidR="00B97ECA" w:rsidRPr="00C76C82" w:rsidRDefault="00284DEA" w:rsidP="001145AC">
            <w:pPr>
              <w:keepNext/>
              <w:spacing w:before="20" w:after="20"/>
              <w:rPr>
                <w:rFonts w:ascii="Arial Narrow" w:hAnsi="Arial Narrow"/>
                <w:sz w:val="22"/>
                <w:szCs w:val="22"/>
              </w:rPr>
            </w:pPr>
            <w:r>
              <w:rPr>
                <w:rFonts w:ascii="Arial Narrow" w:hAnsi="Arial Narrow"/>
                <w:sz w:val="22"/>
                <w:szCs w:val="22"/>
              </w:rPr>
              <w:t>Gastrointestinal disorders</w:t>
            </w:r>
          </w:p>
        </w:tc>
        <w:tc>
          <w:tcPr>
            <w:tcW w:w="1860" w:type="dxa"/>
          </w:tcPr>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Common</w:t>
            </w:r>
          </w:p>
        </w:tc>
        <w:tc>
          <w:tcPr>
            <w:tcW w:w="3690" w:type="dxa"/>
          </w:tcPr>
          <w:p w:rsidR="00284DE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Nausea, vomiting, diarrhoea, con</w:t>
            </w:r>
            <w:r w:rsidR="00284DEA">
              <w:rPr>
                <w:rFonts w:ascii="Arial Narrow" w:hAnsi="Arial Narrow"/>
                <w:sz w:val="22"/>
                <w:szCs w:val="22"/>
              </w:rPr>
              <w:t>stipation, abdominal distension</w:t>
            </w:r>
          </w:p>
        </w:tc>
      </w:tr>
      <w:tr w:rsidR="00B97ECA" w:rsidRPr="00C76C82" w:rsidTr="00746F03">
        <w:tc>
          <w:tcPr>
            <w:tcW w:w="3584" w:type="dxa"/>
          </w:tcPr>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Cardiac disorders</w:t>
            </w:r>
          </w:p>
          <w:p w:rsidR="00B97ECA" w:rsidRPr="00C76C82" w:rsidRDefault="00B97ECA" w:rsidP="001145AC">
            <w:pPr>
              <w:keepNext/>
              <w:spacing w:before="20" w:after="20"/>
              <w:rPr>
                <w:rFonts w:ascii="Arial Narrow" w:hAnsi="Arial Narrow"/>
                <w:sz w:val="22"/>
                <w:szCs w:val="22"/>
              </w:rPr>
            </w:pPr>
          </w:p>
        </w:tc>
        <w:tc>
          <w:tcPr>
            <w:tcW w:w="1860" w:type="dxa"/>
          </w:tcPr>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Common</w:t>
            </w:r>
          </w:p>
        </w:tc>
        <w:tc>
          <w:tcPr>
            <w:tcW w:w="3690" w:type="dxa"/>
          </w:tcPr>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Worsening of cardiac failure</w:t>
            </w:r>
          </w:p>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Chest pain</w:t>
            </w:r>
          </w:p>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Hypotension</w:t>
            </w:r>
          </w:p>
          <w:p w:rsidR="00BB548F" w:rsidRPr="00C76C82" w:rsidRDefault="00284DEA" w:rsidP="001145AC">
            <w:pPr>
              <w:keepNext/>
              <w:spacing w:before="20" w:after="20"/>
              <w:rPr>
                <w:rFonts w:ascii="Arial Narrow" w:hAnsi="Arial Narrow"/>
                <w:sz w:val="22"/>
                <w:szCs w:val="22"/>
              </w:rPr>
            </w:pPr>
            <w:r>
              <w:rPr>
                <w:rFonts w:ascii="Arial Narrow" w:hAnsi="Arial Narrow"/>
                <w:sz w:val="22"/>
                <w:szCs w:val="22"/>
              </w:rPr>
              <w:t>Orthostatic hypotension</w:t>
            </w:r>
          </w:p>
        </w:tc>
      </w:tr>
      <w:tr w:rsidR="00B97ECA" w:rsidRPr="00C76C82" w:rsidTr="00746F03">
        <w:tc>
          <w:tcPr>
            <w:tcW w:w="3584" w:type="dxa"/>
          </w:tcPr>
          <w:p w:rsidR="00BB548F"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 xml:space="preserve">Musculoskeletal </w:t>
            </w:r>
            <w:r w:rsidR="00284DEA">
              <w:rPr>
                <w:rFonts w:ascii="Arial Narrow" w:hAnsi="Arial Narrow"/>
                <w:sz w:val="22"/>
                <w:szCs w:val="22"/>
              </w:rPr>
              <w:t>and connective tissue disorders</w:t>
            </w:r>
          </w:p>
        </w:tc>
        <w:tc>
          <w:tcPr>
            <w:tcW w:w="1860" w:type="dxa"/>
          </w:tcPr>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Common</w:t>
            </w:r>
          </w:p>
          <w:p w:rsidR="00B97ECA" w:rsidRPr="00C76C82" w:rsidRDefault="00B97ECA" w:rsidP="001145AC">
            <w:pPr>
              <w:keepNext/>
              <w:spacing w:before="20" w:after="20"/>
              <w:rPr>
                <w:rFonts w:ascii="Arial Narrow" w:hAnsi="Arial Narrow"/>
                <w:sz w:val="22"/>
                <w:szCs w:val="22"/>
              </w:rPr>
            </w:pPr>
          </w:p>
        </w:tc>
        <w:tc>
          <w:tcPr>
            <w:tcW w:w="3690" w:type="dxa"/>
          </w:tcPr>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Influenza-like illness</w:t>
            </w:r>
          </w:p>
        </w:tc>
      </w:tr>
      <w:tr w:rsidR="00B97ECA" w:rsidRPr="00C76C82" w:rsidTr="00746F03">
        <w:tc>
          <w:tcPr>
            <w:tcW w:w="3584" w:type="dxa"/>
          </w:tcPr>
          <w:p w:rsidR="00B97ECA" w:rsidRPr="00C76C82" w:rsidRDefault="00284DEA" w:rsidP="001145AC">
            <w:pPr>
              <w:keepNext/>
              <w:spacing w:before="20" w:after="20"/>
              <w:rPr>
                <w:rFonts w:ascii="Arial Narrow" w:hAnsi="Arial Narrow"/>
                <w:sz w:val="22"/>
                <w:szCs w:val="22"/>
              </w:rPr>
            </w:pPr>
            <w:r>
              <w:rPr>
                <w:rFonts w:ascii="Arial Narrow" w:hAnsi="Arial Narrow"/>
                <w:sz w:val="22"/>
                <w:szCs w:val="22"/>
              </w:rPr>
              <w:t>Renal and urinary disorders</w:t>
            </w:r>
          </w:p>
        </w:tc>
        <w:tc>
          <w:tcPr>
            <w:tcW w:w="1860" w:type="dxa"/>
          </w:tcPr>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Common</w:t>
            </w:r>
          </w:p>
        </w:tc>
        <w:tc>
          <w:tcPr>
            <w:tcW w:w="3690" w:type="dxa"/>
          </w:tcPr>
          <w:p w:rsidR="00BB548F"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Renal failure</w:t>
            </w:r>
          </w:p>
        </w:tc>
      </w:tr>
      <w:tr w:rsidR="00B97ECA" w:rsidRPr="00C76C82" w:rsidTr="00746F03">
        <w:tc>
          <w:tcPr>
            <w:tcW w:w="3584" w:type="dxa"/>
          </w:tcPr>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General disorders and administration site conditions</w:t>
            </w:r>
          </w:p>
        </w:tc>
        <w:tc>
          <w:tcPr>
            <w:tcW w:w="1860" w:type="dxa"/>
          </w:tcPr>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Common</w:t>
            </w:r>
          </w:p>
        </w:tc>
        <w:tc>
          <w:tcPr>
            <w:tcW w:w="3690" w:type="dxa"/>
          </w:tcPr>
          <w:p w:rsidR="00B97ECA" w:rsidRPr="00C76C82" w:rsidRDefault="00B97ECA" w:rsidP="001145AC">
            <w:pPr>
              <w:keepNext/>
              <w:spacing w:before="20" w:after="20"/>
              <w:rPr>
                <w:rFonts w:ascii="Arial Narrow" w:hAnsi="Arial Narrow"/>
                <w:sz w:val="22"/>
                <w:szCs w:val="22"/>
              </w:rPr>
            </w:pPr>
            <w:r w:rsidRPr="00C76C82">
              <w:rPr>
                <w:rFonts w:ascii="Arial Narrow" w:hAnsi="Arial Narrow"/>
                <w:sz w:val="22"/>
                <w:szCs w:val="22"/>
              </w:rPr>
              <w:t>Fatigue</w:t>
            </w:r>
          </w:p>
          <w:p w:rsidR="00BB548F" w:rsidRPr="00C76C82" w:rsidRDefault="00284DEA" w:rsidP="001145AC">
            <w:pPr>
              <w:keepNext/>
              <w:spacing w:before="20" w:after="20"/>
              <w:rPr>
                <w:rFonts w:ascii="Arial Narrow" w:hAnsi="Arial Narrow"/>
                <w:sz w:val="22"/>
                <w:szCs w:val="22"/>
              </w:rPr>
            </w:pPr>
            <w:r>
              <w:rPr>
                <w:rFonts w:ascii="Arial Narrow" w:hAnsi="Arial Narrow"/>
                <w:sz w:val="22"/>
                <w:szCs w:val="22"/>
              </w:rPr>
              <w:t>Infusion site phlebitis</w:t>
            </w:r>
          </w:p>
        </w:tc>
      </w:tr>
    </w:tbl>
    <w:p w:rsidR="00B97ECA" w:rsidRPr="00C76C82" w:rsidRDefault="00B97ECA" w:rsidP="00284DEA">
      <w:pPr>
        <w:rPr>
          <w:rFonts w:ascii="Arial Narrow" w:hAnsi="Arial Narrow"/>
          <w:b/>
          <w:sz w:val="22"/>
          <w:szCs w:val="22"/>
        </w:rPr>
      </w:pPr>
    </w:p>
    <w:p w:rsidR="00B97ECA" w:rsidRDefault="00B97ECA" w:rsidP="00C76C82">
      <w:pPr>
        <w:rPr>
          <w:rFonts w:ascii="Arial Narrow" w:hAnsi="Arial Narrow"/>
          <w:b/>
          <w:sz w:val="22"/>
          <w:szCs w:val="22"/>
          <w:lang w:val="en-AU"/>
        </w:rPr>
      </w:pPr>
    </w:p>
    <w:p w:rsidR="00BB548F" w:rsidRPr="00C76C82" w:rsidRDefault="00BB548F" w:rsidP="00C76C82">
      <w:pPr>
        <w:rPr>
          <w:rFonts w:ascii="Arial Narrow" w:hAnsi="Arial Narrow"/>
          <w:b/>
          <w:sz w:val="22"/>
          <w:szCs w:val="22"/>
          <w:lang w:val="en-AU"/>
        </w:rPr>
      </w:pPr>
    </w:p>
    <w:p w:rsidR="00397096" w:rsidRPr="00746F03" w:rsidRDefault="009C5DD8" w:rsidP="00746F03">
      <w:pPr>
        <w:keepNext/>
        <w:jc w:val="both"/>
        <w:rPr>
          <w:rFonts w:ascii="Arial Narrow" w:hAnsi="Arial Narrow" w:cs="Arial"/>
          <w:b/>
          <w:sz w:val="22"/>
          <w:szCs w:val="22"/>
          <w:lang w:val="en-AU"/>
        </w:rPr>
      </w:pPr>
      <w:r w:rsidRPr="00746F03">
        <w:rPr>
          <w:rFonts w:ascii="Arial Narrow" w:hAnsi="Arial Narrow" w:cs="Arial"/>
          <w:b/>
          <w:sz w:val="22"/>
          <w:szCs w:val="22"/>
          <w:lang w:val="en-AU"/>
        </w:rPr>
        <w:t>DOSAGE AND ADMINISTRATION</w:t>
      </w:r>
    </w:p>
    <w:p w:rsidR="001463CC" w:rsidRPr="00746F03" w:rsidRDefault="001463CC" w:rsidP="00746F03">
      <w:pPr>
        <w:keepNext/>
        <w:jc w:val="both"/>
        <w:rPr>
          <w:rFonts w:ascii="Arial Narrow" w:hAnsi="Arial Narrow" w:cs="Arial"/>
          <w:sz w:val="22"/>
          <w:szCs w:val="22"/>
          <w:lang w:val="en-AU"/>
        </w:rPr>
      </w:pPr>
    </w:p>
    <w:p w:rsidR="00C50B79" w:rsidRPr="00746F03" w:rsidRDefault="00C50B79" w:rsidP="00746F03">
      <w:pPr>
        <w:keepNext/>
        <w:autoSpaceDE w:val="0"/>
        <w:autoSpaceDN w:val="0"/>
        <w:adjustRightInd w:val="0"/>
        <w:jc w:val="both"/>
        <w:rPr>
          <w:rFonts w:ascii="Arial Narrow" w:hAnsi="Arial Narrow"/>
          <w:b/>
          <w:bCs/>
          <w:sz w:val="22"/>
          <w:szCs w:val="22"/>
          <w:lang w:val="en-AU"/>
        </w:rPr>
      </w:pPr>
      <w:r w:rsidRPr="00746F03">
        <w:rPr>
          <w:rFonts w:ascii="Arial Narrow" w:hAnsi="Arial Narrow"/>
          <w:b/>
          <w:bCs/>
          <w:sz w:val="22"/>
          <w:szCs w:val="22"/>
          <w:lang w:val="en-AU"/>
        </w:rPr>
        <w:t>General Guidelines</w:t>
      </w:r>
    </w:p>
    <w:p w:rsidR="0076235B" w:rsidRDefault="00C50B79" w:rsidP="00746F03">
      <w:pPr>
        <w:pStyle w:val="BodyTextIndent"/>
        <w:keepNext/>
        <w:spacing w:after="0"/>
        <w:ind w:left="0"/>
        <w:jc w:val="both"/>
        <w:rPr>
          <w:rFonts w:ascii="Arial Narrow" w:hAnsi="Arial Narrow"/>
          <w:sz w:val="22"/>
          <w:szCs w:val="22"/>
        </w:rPr>
      </w:pPr>
      <w:r w:rsidRPr="00746F03">
        <w:rPr>
          <w:rFonts w:ascii="Arial Narrow" w:hAnsi="Arial Narrow"/>
          <w:sz w:val="22"/>
          <w:szCs w:val="22"/>
        </w:rPr>
        <w:t>Digoxin</w:t>
      </w:r>
      <w:r w:rsidRPr="00746F03">
        <w:rPr>
          <w:rFonts w:ascii="Arial Narrow" w:hAnsi="Arial Narrow"/>
          <w:iCs/>
          <w:sz w:val="22"/>
          <w:szCs w:val="22"/>
        </w:rPr>
        <w:t xml:space="preserve">-specific antibody fragment </w:t>
      </w:r>
      <w:r w:rsidRPr="00746F03">
        <w:rPr>
          <w:rFonts w:ascii="Arial Narrow" w:hAnsi="Arial Narrow"/>
          <w:sz w:val="22"/>
          <w:szCs w:val="22"/>
        </w:rPr>
        <w:t>F(Ab) (Ovine)</w:t>
      </w:r>
      <w:r w:rsidR="00746F03">
        <w:rPr>
          <w:rFonts w:ascii="Arial Narrow" w:hAnsi="Arial Narrow"/>
          <w:sz w:val="22"/>
          <w:szCs w:val="22"/>
        </w:rPr>
        <w:t>,</w:t>
      </w:r>
      <w:r w:rsidRPr="00746F03">
        <w:rPr>
          <w:rFonts w:ascii="Arial Narrow" w:hAnsi="Arial Narrow"/>
          <w:sz w:val="22"/>
          <w:szCs w:val="22"/>
        </w:rPr>
        <w:t xml:space="preserve"> </w:t>
      </w:r>
      <w:r w:rsidRPr="00746F03">
        <w:rPr>
          <w:rFonts w:ascii="Arial Narrow" w:hAnsi="Arial Narrow"/>
          <w:sz w:val="22"/>
          <w:szCs w:val="22"/>
          <w:lang w:val="en-AU"/>
        </w:rPr>
        <w:t>DIGIFAB</w:t>
      </w:r>
      <w:r w:rsidR="00746F03">
        <w:rPr>
          <w:rFonts w:ascii="Arial Narrow" w:hAnsi="Arial Narrow"/>
          <w:sz w:val="22"/>
          <w:szCs w:val="22"/>
          <w:lang w:val="en-AU"/>
        </w:rPr>
        <w:t>,</w:t>
      </w:r>
      <w:r w:rsidRPr="00746F03">
        <w:rPr>
          <w:rFonts w:ascii="Arial Narrow" w:hAnsi="Arial Narrow"/>
          <w:sz w:val="22"/>
          <w:szCs w:val="22"/>
        </w:rPr>
        <w:t xml:space="preserve"> is administered by the intravenous route over 30 minutes. If cardiac arrest is imminent, it can be given as a bolus injection. </w:t>
      </w:r>
      <w:r w:rsidRPr="00746F03">
        <w:rPr>
          <w:rFonts w:ascii="Arial Narrow" w:hAnsi="Arial Narrow"/>
          <w:sz w:val="22"/>
          <w:szCs w:val="22"/>
          <w:lang w:val="en-AU"/>
        </w:rPr>
        <w:t>The dosage of DIGIFAB will vary according to the amount of digoxin to be neutralized.</w:t>
      </w:r>
      <w:r w:rsidR="0076235B" w:rsidRPr="00746F03">
        <w:rPr>
          <w:rFonts w:ascii="Arial Narrow" w:hAnsi="Arial Narrow"/>
          <w:sz w:val="22"/>
          <w:szCs w:val="22"/>
          <w:lang w:val="en-AU"/>
        </w:rPr>
        <w:t xml:space="preserve"> </w:t>
      </w:r>
      <w:r w:rsidR="0076235B" w:rsidRPr="00746F03">
        <w:rPr>
          <w:rFonts w:ascii="Arial Narrow" w:hAnsi="Arial Narrow"/>
          <w:sz w:val="22"/>
          <w:szCs w:val="22"/>
        </w:rPr>
        <w:t xml:space="preserve">Consequences of multiple dosing with </w:t>
      </w:r>
      <w:r w:rsidR="001536FF">
        <w:rPr>
          <w:rFonts w:ascii="Arial Narrow" w:hAnsi="Arial Narrow"/>
          <w:sz w:val="22"/>
          <w:szCs w:val="22"/>
        </w:rPr>
        <w:t>DIGIFAB</w:t>
      </w:r>
      <w:r w:rsidR="001536FF" w:rsidRPr="00746F03">
        <w:rPr>
          <w:rFonts w:ascii="Arial Narrow" w:hAnsi="Arial Narrow"/>
          <w:sz w:val="22"/>
          <w:szCs w:val="22"/>
        </w:rPr>
        <w:t xml:space="preserve"> </w:t>
      </w:r>
      <w:r w:rsidR="0076235B" w:rsidRPr="00746F03">
        <w:rPr>
          <w:rFonts w:ascii="Arial Narrow" w:hAnsi="Arial Narrow"/>
          <w:sz w:val="22"/>
          <w:szCs w:val="22"/>
        </w:rPr>
        <w:t>have not been evaluated.</w:t>
      </w:r>
    </w:p>
    <w:p w:rsidR="00164F04" w:rsidRPr="00746F03" w:rsidRDefault="00164F04" w:rsidP="00746F03">
      <w:pPr>
        <w:pStyle w:val="BodyTextIndent"/>
        <w:keepNext/>
        <w:spacing w:after="0"/>
        <w:ind w:left="0"/>
        <w:jc w:val="both"/>
        <w:rPr>
          <w:rFonts w:ascii="Arial Narrow" w:hAnsi="Arial Narrow"/>
          <w:sz w:val="22"/>
          <w:szCs w:val="22"/>
        </w:rPr>
      </w:pPr>
    </w:p>
    <w:p w:rsidR="0075589C" w:rsidRPr="00746F03" w:rsidRDefault="0075589C" w:rsidP="0075589C">
      <w:pPr>
        <w:keepNext/>
        <w:autoSpaceDE w:val="0"/>
        <w:autoSpaceDN w:val="0"/>
        <w:adjustRightInd w:val="0"/>
        <w:jc w:val="both"/>
        <w:rPr>
          <w:rFonts w:ascii="Arial Narrow" w:hAnsi="Arial Narrow"/>
          <w:b/>
          <w:bCs/>
          <w:sz w:val="22"/>
          <w:szCs w:val="22"/>
          <w:lang w:val="en-AU"/>
        </w:rPr>
      </w:pPr>
      <w:r>
        <w:rPr>
          <w:rFonts w:ascii="Arial Narrow" w:hAnsi="Arial Narrow"/>
          <w:b/>
          <w:bCs/>
          <w:sz w:val="22"/>
          <w:szCs w:val="22"/>
          <w:lang w:val="en-AU"/>
        </w:rPr>
        <w:t>Dosage Calculation</w:t>
      </w:r>
    </w:p>
    <w:p w:rsidR="00C50B79" w:rsidRPr="00746F03" w:rsidRDefault="00893B6C" w:rsidP="00746F03">
      <w:pPr>
        <w:autoSpaceDE w:val="0"/>
        <w:autoSpaceDN w:val="0"/>
        <w:adjustRightInd w:val="0"/>
        <w:jc w:val="both"/>
        <w:rPr>
          <w:rFonts w:ascii="Arial Narrow" w:hAnsi="Arial Narrow"/>
          <w:sz w:val="22"/>
          <w:szCs w:val="22"/>
        </w:rPr>
      </w:pPr>
      <w:r w:rsidRPr="00746F03">
        <w:rPr>
          <w:rFonts w:ascii="Arial Narrow" w:hAnsi="Arial Narrow"/>
          <w:sz w:val="22"/>
          <w:szCs w:val="22"/>
        </w:rPr>
        <w:t>For calculation of the</w:t>
      </w:r>
      <w:r w:rsidR="0076235B" w:rsidRPr="00746F03">
        <w:rPr>
          <w:rFonts w:ascii="Arial Narrow" w:hAnsi="Arial Narrow"/>
          <w:sz w:val="22"/>
          <w:szCs w:val="22"/>
        </w:rPr>
        <w:t xml:space="preserve"> appropriate dosage</w:t>
      </w:r>
      <w:r w:rsidR="00AA3F9C" w:rsidRPr="00746F03">
        <w:rPr>
          <w:rFonts w:ascii="Arial Narrow" w:hAnsi="Arial Narrow"/>
          <w:sz w:val="22"/>
          <w:szCs w:val="22"/>
        </w:rPr>
        <w:t>, please utilise</w:t>
      </w:r>
      <w:r w:rsidR="00186759" w:rsidRPr="00746F03">
        <w:rPr>
          <w:rFonts w:ascii="Arial Narrow" w:hAnsi="Arial Narrow"/>
          <w:sz w:val="22"/>
          <w:szCs w:val="22"/>
        </w:rPr>
        <w:t xml:space="preserve"> either</w:t>
      </w:r>
      <w:r w:rsidR="00AA3F9C" w:rsidRPr="00746F03">
        <w:rPr>
          <w:rFonts w:ascii="Arial Narrow" w:hAnsi="Arial Narrow"/>
          <w:sz w:val="22"/>
          <w:szCs w:val="22"/>
        </w:rPr>
        <w:t xml:space="preserve"> the tables</w:t>
      </w:r>
      <w:r w:rsidR="00186759" w:rsidRPr="00746F03">
        <w:rPr>
          <w:rFonts w:ascii="Arial Narrow" w:hAnsi="Arial Narrow"/>
          <w:sz w:val="22"/>
          <w:szCs w:val="22"/>
        </w:rPr>
        <w:t>, the dosing calculation example, or the dose determination flowchart</w:t>
      </w:r>
      <w:r w:rsidR="00AA3F9C" w:rsidRPr="00746F03">
        <w:rPr>
          <w:rFonts w:ascii="Arial Narrow" w:hAnsi="Arial Narrow"/>
          <w:sz w:val="22"/>
          <w:szCs w:val="22"/>
        </w:rPr>
        <w:t xml:space="preserve"> </w:t>
      </w:r>
      <w:r w:rsidR="0075589C">
        <w:rPr>
          <w:rFonts w:ascii="Arial Narrow" w:hAnsi="Arial Narrow"/>
          <w:sz w:val="22"/>
          <w:szCs w:val="22"/>
        </w:rPr>
        <w:t>that follow</w:t>
      </w:r>
      <w:r w:rsidR="00AA3F9C" w:rsidRPr="00746F03">
        <w:rPr>
          <w:rFonts w:ascii="Arial Narrow" w:hAnsi="Arial Narrow"/>
          <w:sz w:val="22"/>
          <w:szCs w:val="22"/>
        </w:rPr>
        <w:t>.</w:t>
      </w:r>
    </w:p>
    <w:p w:rsidR="00C50B79" w:rsidRPr="00746F03" w:rsidRDefault="00C50B79" w:rsidP="00746F03">
      <w:pPr>
        <w:autoSpaceDE w:val="0"/>
        <w:autoSpaceDN w:val="0"/>
        <w:adjustRightInd w:val="0"/>
        <w:jc w:val="both"/>
        <w:rPr>
          <w:rFonts w:ascii="Arial Narrow" w:hAnsi="Arial Narrow"/>
          <w:sz w:val="22"/>
          <w:szCs w:val="22"/>
          <w:lang w:val="en-AU"/>
        </w:rPr>
      </w:pPr>
    </w:p>
    <w:p w:rsidR="00C50B79" w:rsidRDefault="00C50B79" w:rsidP="00817FB6">
      <w:pPr>
        <w:pStyle w:val="BodyTextIndent"/>
        <w:spacing w:after="0"/>
        <w:ind w:left="0"/>
        <w:jc w:val="both"/>
        <w:rPr>
          <w:rFonts w:ascii="Arial Narrow" w:hAnsi="Arial Narrow"/>
          <w:sz w:val="22"/>
          <w:szCs w:val="22"/>
        </w:rPr>
      </w:pPr>
      <w:r w:rsidRPr="00746F03">
        <w:rPr>
          <w:rFonts w:ascii="Arial Narrow" w:hAnsi="Arial Narrow"/>
          <w:sz w:val="22"/>
          <w:szCs w:val="22"/>
        </w:rPr>
        <w:t xml:space="preserve">The management of patients with digoxin toxicity follows a step-wise decision process, as shown </w:t>
      </w:r>
      <w:r w:rsidR="00E50BE3">
        <w:rPr>
          <w:rFonts w:ascii="Arial Narrow" w:hAnsi="Arial Narrow"/>
          <w:sz w:val="22"/>
          <w:szCs w:val="22"/>
        </w:rPr>
        <w:t>in Table 2.</w:t>
      </w:r>
    </w:p>
    <w:p w:rsidR="00746F03" w:rsidRDefault="00746F03" w:rsidP="00746F03">
      <w:pPr>
        <w:pStyle w:val="BodyTextIndent"/>
        <w:spacing w:after="0"/>
        <w:ind w:left="0"/>
        <w:rPr>
          <w:rFonts w:ascii="Arial Narrow" w:hAnsi="Arial Narrow"/>
          <w:sz w:val="22"/>
          <w:szCs w:val="22"/>
        </w:rPr>
      </w:pPr>
    </w:p>
    <w:p w:rsidR="00E50BE3" w:rsidRPr="00E50BE3" w:rsidRDefault="00E50BE3" w:rsidP="00746F03">
      <w:pPr>
        <w:pStyle w:val="BodyTextIndent"/>
        <w:spacing w:after="0"/>
        <w:ind w:left="0"/>
        <w:rPr>
          <w:rFonts w:ascii="Arial Narrow" w:hAnsi="Arial Narrow"/>
          <w:b/>
          <w:sz w:val="22"/>
          <w:szCs w:val="22"/>
        </w:rPr>
      </w:pPr>
      <w:r w:rsidRPr="00E50BE3">
        <w:rPr>
          <w:rFonts w:ascii="Arial Narrow" w:hAnsi="Arial Narrow"/>
          <w:b/>
          <w:sz w:val="22"/>
          <w:szCs w:val="22"/>
        </w:rPr>
        <w:t>Table 2. Stepwise Management of Patients with Digoxin Toxicity</w:t>
      </w:r>
    </w:p>
    <w:p w:rsidR="00E50BE3" w:rsidRPr="00746F03" w:rsidRDefault="00E50BE3" w:rsidP="00746F03">
      <w:pPr>
        <w:pStyle w:val="BodyTextIndent"/>
        <w:spacing w:after="0"/>
        <w:ind w:left="0"/>
        <w:rPr>
          <w:rFonts w:ascii="Arial Narrow" w:hAnsi="Arial Narrow"/>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7388"/>
      </w:tblGrid>
      <w:tr w:rsidR="00C50B79" w:rsidRPr="00C50B79" w:rsidTr="006263A9">
        <w:tc>
          <w:tcPr>
            <w:tcW w:w="1746" w:type="dxa"/>
          </w:tcPr>
          <w:p w:rsidR="00C50B79" w:rsidRPr="00C50B79" w:rsidRDefault="00C50B79" w:rsidP="006263A9">
            <w:pPr>
              <w:pStyle w:val="BodyTextIndent"/>
              <w:spacing w:after="0"/>
              <w:ind w:left="0"/>
              <w:jc w:val="center"/>
              <w:rPr>
                <w:rFonts w:ascii="Arial Narrow" w:hAnsi="Arial Narrow"/>
                <w:sz w:val="22"/>
              </w:rPr>
            </w:pPr>
          </w:p>
          <w:p w:rsidR="00C50B79" w:rsidRPr="00C50B79" w:rsidRDefault="00C50B79" w:rsidP="006263A9">
            <w:pPr>
              <w:pStyle w:val="BodyTextIndent"/>
              <w:spacing w:after="0"/>
              <w:ind w:left="0"/>
              <w:jc w:val="center"/>
              <w:rPr>
                <w:rFonts w:ascii="Arial Narrow" w:hAnsi="Arial Narrow"/>
                <w:sz w:val="22"/>
              </w:rPr>
            </w:pPr>
            <w:r w:rsidRPr="00C50B79">
              <w:rPr>
                <w:rFonts w:ascii="Arial Narrow" w:hAnsi="Arial Narrow"/>
                <w:sz w:val="22"/>
              </w:rPr>
              <w:t>Step 1</w:t>
            </w:r>
          </w:p>
        </w:tc>
        <w:tc>
          <w:tcPr>
            <w:tcW w:w="7388" w:type="dxa"/>
          </w:tcPr>
          <w:p w:rsidR="00C50B79" w:rsidRPr="00C50B79" w:rsidRDefault="00C50B79" w:rsidP="006263A9">
            <w:pPr>
              <w:pStyle w:val="BodyTextIndent"/>
              <w:spacing w:after="0"/>
              <w:ind w:left="0"/>
              <w:rPr>
                <w:rFonts w:ascii="Arial Narrow" w:hAnsi="Arial Narrow"/>
                <w:sz w:val="22"/>
              </w:rPr>
            </w:pPr>
          </w:p>
          <w:p w:rsidR="00C50B79" w:rsidRPr="00C50B79" w:rsidRDefault="00C50B79" w:rsidP="006263A9">
            <w:pPr>
              <w:pStyle w:val="BodyTextIndent"/>
              <w:spacing w:after="0"/>
              <w:ind w:left="0"/>
              <w:rPr>
                <w:rFonts w:ascii="Arial Narrow" w:hAnsi="Arial Narrow"/>
                <w:sz w:val="22"/>
              </w:rPr>
            </w:pPr>
            <w:r w:rsidRPr="00C50B79">
              <w:rPr>
                <w:rFonts w:ascii="Arial Narrow" w:hAnsi="Arial Narrow"/>
                <w:sz w:val="22"/>
              </w:rPr>
              <w:t>Decide if digoxin poisoning is (i) acute or (ii)  chronic.</w:t>
            </w:r>
          </w:p>
        </w:tc>
      </w:tr>
      <w:tr w:rsidR="00C50B79" w:rsidRPr="00C50B79" w:rsidTr="006263A9">
        <w:tc>
          <w:tcPr>
            <w:tcW w:w="1746" w:type="dxa"/>
          </w:tcPr>
          <w:p w:rsidR="00C50B79" w:rsidRPr="00C50B79" w:rsidRDefault="00C50B79" w:rsidP="006263A9">
            <w:pPr>
              <w:pStyle w:val="BodyTextIndent"/>
              <w:spacing w:after="0"/>
              <w:ind w:left="0"/>
              <w:jc w:val="center"/>
              <w:rPr>
                <w:rFonts w:ascii="Arial Narrow" w:hAnsi="Arial Narrow"/>
                <w:sz w:val="22"/>
              </w:rPr>
            </w:pPr>
          </w:p>
          <w:p w:rsidR="00C50B79" w:rsidRPr="00C50B79" w:rsidRDefault="00C50B79" w:rsidP="006263A9">
            <w:pPr>
              <w:pStyle w:val="BodyTextIndent"/>
              <w:spacing w:after="0"/>
              <w:ind w:left="0"/>
              <w:jc w:val="center"/>
              <w:rPr>
                <w:rFonts w:ascii="Arial Narrow" w:hAnsi="Arial Narrow"/>
                <w:sz w:val="22"/>
              </w:rPr>
            </w:pPr>
            <w:r w:rsidRPr="00C50B79">
              <w:rPr>
                <w:rFonts w:ascii="Arial Narrow" w:hAnsi="Arial Narrow"/>
                <w:sz w:val="22"/>
              </w:rPr>
              <w:t>Step 2</w:t>
            </w:r>
          </w:p>
        </w:tc>
        <w:tc>
          <w:tcPr>
            <w:tcW w:w="7388" w:type="dxa"/>
          </w:tcPr>
          <w:p w:rsidR="00C50B79" w:rsidRPr="00C50B79" w:rsidRDefault="00C50B79" w:rsidP="006263A9">
            <w:pPr>
              <w:pStyle w:val="BodyTextIndent"/>
              <w:spacing w:after="0"/>
              <w:ind w:left="0"/>
              <w:rPr>
                <w:rFonts w:ascii="Arial Narrow" w:hAnsi="Arial Narrow"/>
                <w:sz w:val="22"/>
              </w:rPr>
            </w:pPr>
          </w:p>
          <w:p w:rsidR="00C50B79" w:rsidRPr="00C50B79" w:rsidRDefault="00C50B79" w:rsidP="005527B7">
            <w:pPr>
              <w:pStyle w:val="BodyTextIndent"/>
              <w:spacing w:after="0"/>
              <w:ind w:left="0"/>
              <w:rPr>
                <w:rFonts w:ascii="Arial Narrow" w:hAnsi="Arial Narrow"/>
                <w:sz w:val="22"/>
              </w:rPr>
            </w:pPr>
            <w:r w:rsidRPr="00C50B79">
              <w:rPr>
                <w:rFonts w:ascii="Arial Narrow" w:hAnsi="Arial Narrow"/>
                <w:sz w:val="22"/>
              </w:rPr>
              <w:t xml:space="preserve">Is the patient (i) an adult or a child &gt;20 kg or (ii) a child </w:t>
            </w:r>
            <w:r w:rsidR="005527B7">
              <w:rPr>
                <w:rFonts w:ascii="Arial Narrow" w:hAnsi="Arial Narrow"/>
                <w:sz w:val="22"/>
              </w:rPr>
              <w:t>≤</w:t>
            </w:r>
            <w:r w:rsidRPr="00C50B79">
              <w:rPr>
                <w:rFonts w:ascii="Arial Narrow" w:hAnsi="Arial Narrow"/>
                <w:sz w:val="22"/>
              </w:rPr>
              <w:t>20 kg?</w:t>
            </w:r>
          </w:p>
        </w:tc>
      </w:tr>
      <w:tr w:rsidR="00C50B79" w:rsidRPr="00C50B79" w:rsidTr="006263A9">
        <w:tc>
          <w:tcPr>
            <w:tcW w:w="1746" w:type="dxa"/>
          </w:tcPr>
          <w:p w:rsidR="00C50B79" w:rsidRPr="00C50B79" w:rsidRDefault="00C50B79" w:rsidP="006263A9">
            <w:pPr>
              <w:pStyle w:val="BodyTextIndent"/>
              <w:spacing w:after="0"/>
              <w:ind w:left="0"/>
              <w:jc w:val="center"/>
              <w:rPr>
                <w:rFonts w:ascii="Arial Narrow" w:hAnsi="Arial Narrow"/>
                <w:sz w:val="22"/>
              </w:rPr>
            </w:pPr>
          </w:p>
          <w:p w:rsidR="00C50B79" w:rsidRPr="00C50B79" w:rsidRDefault="00C50B79" w:rsidP="006263A9">
            <w:pPr>
              <w:pStyle w:val="BodyTextIndent"/>
              <w:spacing w:after="0"/>
              <w:ind w:left="0"/>
              <w:jc w:val="center"/>
              <w:rPr>
                <w:rFonts w:ascii="Arial Narrow" w:hAnsi="Arial Narrow"/>
                <w:sz w:val="22"/>
              </w:rPr>
            </w:pPr>
            <w:r w:rsidRPr="00C50B79">
              <w:rPr>
                <w:rFonts w:ascii="Arial Narrow" w:hAnsi="Arial Narrow"/>
                <w:sz w:val="22"/>
              </w:rPr>
              <w:t>Step 3</w:t>
            </w:r>
          </w:p>
        </w:tc>
        <w:tc>
          <w:tcPr>
            <w:tcW w:w="7388" w:type="dxa"/>
          </w:tcPr>
          <w:p w:rsidR="00C50B79" w:rsidRPr="00C50B79" w:rsidRDefault="00C50B79" w:rsidP="006263A9">
            <w:pPr>
              <w:pStyle w:val="BodyTextIndent"/>
              <w:spacing w:after="0"/>
              <w:ind w:left="0"/>
              <w:rPr>
                <w:rFonts w:ascii="Arial Narrow" w:hAnsi="Arial Narrow"/>
                <w:sz w:val="22"/>
              </w:rPr>
            </w:pPr>
          </w:p>
          <w:p w:rsidR="00C50B79" w:rsidRPr="00C50B79" w:rsidRDefault="00C50B79" w:rsidP="006263A9">
            <w:pPr>
              <w:pStyle w:val="BodyTextIndent"/>
              <w:spacing w:after="0"/>
              <w:ind w:left="0"/>
              <w:rPr>
                <w:rFonts w:ascii="Arial Narrow" w:hAnsi="Arial Narrow"/>
                <w:sz w:val="22"/>
              </w:rPr>
            </w:pPr>
            <w:r w:rsidRPr="00C50B79">
              <w:rPr>
                <w:rFonts w:ascii="Arial Narrow" w:hAnsi="Arial Narrow"/>
                <w:sz w:val="22"/>
              </w:rPr>
              <w:t>Is (i) the amount of digoxin ingested known or is (ii) the serum concentration of digoxin known or (iii) are either of these unknown</w:t>
            </w:r>
          </w:p>
          <w:p w:rsidR="00C50B79" w:rsidRPr="00C50B79" w:rsidRDefault="00C50B79" w:rsidP="006263A9">
            <w:pPr>
              <w:pStyle w:val="BodyTextIndent"/>
              <w:spacing w:after="0"/>
              <w:ind w:left="0"/>
              <w:rPr>
                <w:rFonts w:ascii="Arial Narrow" w:hAnsi="Arial Narrow"/>
                <w:sz w:val="22"/>
              </w:rPr>
            </w:pPr>
          </w:p>
        </w:tc>
      </w:tr>
    </w:tbl>
    <w:p w:rsidR="00C50B79" w:rsidRPr="00C50B79" w:rsidRDefault="00C50B79" w:rsidP="00C50B79">
      <w:pPr>
        <w:pStyle w:val="BodyTextIndent"/>
        <w:spacing w:after="0"/>
        <w:ind w:left="0"/>
        <w:rPr>
          <w:rFonts w:ascii="Arial Narrow" w:hAnsi="Arial Narrow"/>
          <w:sz w:val="22"/>
        </w:rPr>
      </w:pPr>
    </w:p>
    <w:p w:rsidR="00C50B79" w:rsidRPr="00C50B79" w:rsidRDefault="00C50B79" w:rsidP="00C50B79">
      <w:pPr>
        <w:pStyle w:val="BodyTextIndent"/>
        <w:spacing w:after="0"/>
        <w:ind w:left="0"/>
        <w:jc w:val="both"/>
        <w:rPr>
          <w:rFonts w:ascii="Arial Narrow" w:hAnsi="Arial Narrow"/>
          <w:sz w:val="22"/>
          <w:u w:val="single"/>
        </w:rPr>
      </w:pPr>
      <w:r w:rsidRPr="00C50B79">
        <w:rPr>
          <w:rFonts w:ascii="Arial Narrow" w:hAnsi="Arial Narrow"/>
          <w:i/>
          <w:sz w:val="22"/>
        </w:rPr>
        <w:t>Step 1</w:t>
      </w:r>
      <w:r w:rsidRPr="00C50B79">
        <w:rPr>
          <w:rFonts w:ascii="Arial Narrow" w:hAnsi="Arial Narrow"/>
          <w:sz w:val="22"/>
        </w:rPr>
        <w:t xml:space="preserve"> (i) </w:t>
      </w:r>
      <w:r w:rsidRPr="00C50B79">
        <w:rPr>
          <w:rFonts w:ascii="Arial Narrow" w:hAnsi="Arial Narrow"/>
          <w:sz w:val="22"/>
          <w:u w:val="single"/>
        </w:rPr>
        <w:t>Acute digoxin poisoning</w:t>
      </w:r>
    </w:p>
    <w:p w:rsidR="00C50B79" w:rsidRPr="00C50B79" w:rsidRDefault="00C50B79" w:rsidP="00C50B79">
      <w:pPr>
        <w:pStyle w:val="BodyTextIndent"/>
        <w:spacing w:after="0"/>
        <w:ind w:left="0"/>
        <w:jc w:val="both"/>
        <w:rPr>
          <w:rFonts w:ascii="Arial Narrow" w:hAnsi="Arial Narrow"/>
          <w:sz w:val="22"/>
        </w:rPr>
      </w:pPr>
      <w:r w:rsidRPr="00C50B79">
        <w:rPr>
          <w:rFonts w:ascii="Arial Narrow" w:hAnsi="Arial Narrow"/>
          <w:sz w:val="22"/>
        </w:rPr>
        <w:lastRenderedPageBreak/>
        <w:t>Half the estimated dose required for full neutralisation can be given initially followed by monitoring for 6-12 hours if there is a full response. The remainder may be given if there is no clinical response within 2 hours.</w:t>
      </w:r>
    </w:p>
    <w:p w:rsidR="00C50B79" w:rsidRPr="00C50B79" w:rsidRDefault="00C50B79" w:rsidP="00C50B79">
      <w:pPr>
        <w:pStyle w:val="BodyTextIndent"/>
        <w:spacing w:after="0"/>
        <w:ind w:left="0"/>
        <w:jc w:val="both"/>
        <w:rPr>
          <w:rFonts w:ascii="Arial Narrow" w:hAnsi="Arial Narrow"/>
          <w:sz w:val="22"/>
        </w:rPr>
      </w:pPr>
    </w:p>
    <w:p w:rsidR="00C50B79" w:rsidRPr="00C50B79" w:rsidRDefault="00C50B79" w:rsidP="00C50B79">
      <w:pPr>
        <w:pStyle w:val="BodyTextIndent"/>
        <w:spacing w:after="0"/>
        <w:ind w:left="0"/>
        <w:jc w:val="both"/>
        <w:rPr>
          <w:rFonts w:ascii="Arial Narrow" w:hAnsi="Arial Narrow"/>
          <w:sz w:val="22"/>
        </w:rPr>
      </w:pPr>
      <w:r w:rsidRPr="00C50B79">
        <w:rPr>
          <w:rFonts w:ascii="Arial Narrow" w:hAnsi="Arial Narrow"/>
          <w:sz w:val="22"/>
        </w:rPr>
        <w:t>Rationale: in acute digoxin poisoning, the serum digoxin concentration does not reflect total body load and complete neutralisation is not necessary in digoxin-naïve patients.</w:t>
      </w:r>
    </w:p>
    <w:p w:rsidR="00C50B79" w:rsidRPr="00C50B79" w:rsidRDefault="00C50B79" w:rsidP="00C50B79">
      <w:pPr>
        <w:pStyle w:val="BodyTextIndent"/>
        <w:spacing w:after="0"/>
        <w:ind w:left="0"/>
        <w:jc w:val="both"/>
        <w:rPr>
          <w:rFonts w:ascii="Arial Narrow" w:hAnsi="Arial Narrow"/>
          <w:i/>
          <w:sz w:val="22"/>
        </w:rPr>
      </w:pPr>
    </w:p>
    <w:p w:rsidR="00C50B79" w:rsidRPr="00C50B79" w:rsidRDefault="00C50B79" w:rsidP="00C50B79">
      <w:pPr>
        <w:pStyle w:val="BodyTextIndent"/>
        <w:spacing w:after="0"/>
        <w:ind w:left="0"/>
        <w:jc w:val="both"/>
        <w:rPr>
          <w:rFonts w:ascii="Arial Narrow" w:hAnsi="Arial Narrow"/>
          <w:i/>
          <w:sz w:val="22"/>
          <w:u w:val="single"/>
        </w:rPr>
      </w:pPr>
      <w:r w:rsidRPr="00C50B79">
        <w:rPr>
          <w:rFonts w:ascii="Arial Narrow" w:hAnsi="Arial Narrow"/>
          <w:i/>
          <w:sz w:val="22"/>
        </w:rPr>
        <w:t xml:space="preserve">Step 1  (ii) </w:t>
      </w:r>
      <w:r w:rsidRPr="00C50B79">
        <w:rPr>
          <w:rFonts w:ascii="Arial Narrow" w:hAnsi="Arial Narrow"/>
          <w:i/>
          <w:sz w:val="22"/>
          <w:u w:val="single"/>
        </w:rPr>
        <w:t>Chronic digoxin poisoning</w:t>
      </w:r>
    </w:p>
    <w:p w:rsidR="00C50B79" w:rsidRPr="00C50B79" w:rsidRDefault="00C50B79" w:rsidP="00C50B79">
      <w:pPr>
        <w:pStyle w:val="BodyTextIndent"/>
        <w:spacing w:after="0"/>
        <w:ind w:left="0"/>
        <w:jc w:val="both"/>
        <w:rPr>
          <w:rFonts w:ascii="Arial Narrow" w:hAnsi="Arial Narrow"/>
          <w:sz w:val="22"/>
        </w:rPr>
      </w:pPr>
      <w:r w:rsidRPr="00C50B79">
        <w:rPr>
          <w:rFonts w:ascii="Arial Narrow" w:hAnsi="Arial Narrow"/>
          <w:sz w:val="22"/>
        </w:rPr>
        <w:t>Half the estimated dose required for full neutralisation can be given initially followed by monitoring for 6-12 hours. The remainder may be given if there is recurrence of toxicity.</w:t>
      </w:r>
    </w:p>
    <w:p w:rsidR="00C50B79" w:rsidRPr="00C50B79" w:rsidRDefault="00C50B79" w:rsidP="00C50B79">
      <w:pPr>
        <w:pStyle w:val="BodyTextIndent"/>
        <w:spacing w:after="0"/>
        <w:ind w:left="0"/>
        <w:jc w:val="both"/>
        <w:rPr>
          <w:rFonts w:ascii="Arial Narrow" w:hAnsi="Arial Narrow"/>
          <w:sz w:val="22"/>
        </w:rPr>
      </w:pPr>
    </w:p>
    <w:p w:rsidR="00C50B79" w:rsidRPr="00C50B79" w:rsidRDefault="00C50B79" w:rsidP="00C50B79">
      <w:pPr>
        <w:pStyle w:val="BodyTextIndent"/>
        <w:spacing w:after="0"/>
        <w:ind w:left="0"/>
        <w:jc w:val="both"/>
        <w:rPr>
          <w:rFonts w:ascii="Arial Narrow" w:hAnsi="Arial Narrow"/>
          <w:sz w:val="22"/>
        </w:rPr>
      </w:pPr>
      <w:r w:rsidRPr="00C50B79">
        <w:rPr>
          <w:rFonts w:ascii="Arial Narrow" w:hAnsi="Arial Narrow"/>
          <w:sz w:val="22"/>
        </w:rPr>
        <w:t>Rationale: in chronic digoxin poisoning, the dose of antibody required for full neutralisation depends on the total body load of cardiac glycoside which has to be counteracted. However, as these patients are receiving digoxin therapeutically, full neutralisation is not necessary.</w:t>
      </w:r>
    </w:p>
    <w:p w:rsidR="00C50B79" w:rsidRPr="00C50B79" w:rsidRDefault="00C50B79" w:rsidP="00C50B79">
      <w:pPr>
        <w:pStyle w:val="BodyTextIndent"/>
        <w:spacing w:after="0"/>
        <w:ind w:left="0"/>
        <w:jc w:val="both"/>
        <w:rPr>
          <w:rFonts w:ascii="Arial Narrow" w:hAnsi="Arial Narrow"/>
          <w:sz w:val="22"/>
        </w:rPr>
      </w:pPr>
    </w:p>
    <w:p w:rsidR="00C50B79" w:rsidRPr="00E50BE3" w:rsidRDefault="00E50BE3" w:rsidP="00746F03">
      <w:pPr>
        <w:pStyle w:val="BodyTextIndent"/>
        <w:keepNext/>
        <w:spacing w:after="0"/>
        <w:ind w:left="0"/>
        <w:rPr>
          <w:rFonts w:ascii="Arial Narrow" w:hAnsi="Arial Narrow"/>
          <w:b/>
          <w:sz w:val="22"/>
        </w:rPr>
      </w:pPr>
      <w:r w:rsidRPr="00E50BE3">
        <w:rPr>
          <w:rFonts w:ascii="Arial Narrow" w:hAnsi="Arial Narrow"/>
          <w:b/>
          <w:sz w:val="22"/>
        </w:rPr>
        <w:lastRenderedPageBreak/>
        <w:t>Table 3.</w:t>
      </w:r>
      <w:r w:rsidRPr="00E50BE3">
        <w:rPr>
          <w:rFonts w:ascii="Arial Narrow" w:hAnsi="Arial Narrow"/>
          <w:b/>
          <w:sz w:val="22"/>
        </w:rPr>
        <w:tab/>
      </w:r>
      <w:r w:rsidR="00C50B79" w:rsidRPr="00E50BE3">
        <w:rPr>
          <w:rFonts w:ascii="Arial Narrow" w:hAnsi="Arial Narrow"/>
          <w:b/>
          <w:sz w:val="22"/>
        </w:rPr>
        <w:t xml:space="preserve">Dose </w:t>
      </w:r>
      <w:r w:rsidRPr="00E50BE3">
        <w:rPr>
          <w:rFonts w:ascii="Arial Narrow" w:hAnsi="Arial Narrow"/>
          <w:b/>
          <w:sz w:val="22"/>
        </w:rPr>
        <w:t>Calculation for Full Neutralisation in Digoxin P</w:t>
      </w:r>
      <w:r w:rsidR="00C50B79" w:rsidRPr="00E50BE3">
        <w:rPr>
          <w:rFonts w:ascii="Arial Narrow" w:hAnsi="Arial Narrow"/>
          <w:b/>
          <w:sz w:val="22"/>
        </w:rPr>
        <w:t>oisoning</w:t>
      </w:r>
      <w:r w:rsidR="00817FB6">
        <w:rPr>
          <w:rFonts w:ascii="Arial Narrow" w:hAnsi="Arial Narrow"/>
          <w:b/>
          <w:sz w:val="22"/>
        </w:rPr>
        <w:t xml:space="preserve"> in Adults and Children &gt; 20kg</w:t>
      </w:r>
    </w:p>
    <w:p w:rsidR="00C50B79" w:rsidRPr="00C50B79" w:rsidRDefault="00C50B79" w:rsidP="00746F03">
      <w:pPr>
        <w:pStyle w:val="BodyTextIndent"/>
        <w:keepNext/>
        <w:spacing w:after="0"/>
        <w:ind w:left="0"/>
        <w:rPr>
          <w:rFonts w:ascii="Arial Narrow" w:hAnsi="Arial Narrow"/>
          <w:sz w:val="22"/>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929"/>
      </w:tblGrid>
      <w:tr w:rsidR="00C50B79" w:rsidRPr="00C50B79" w:rsidTr="00D4277D">
        <w:trPr>
          <w:trHeight w:val="539"/>
        </w:trPr>
        <w:tc>
          <w:tcPr>
            <w:tcW w:w="9630" w:type="dxa"/>
            <w:gridSpan w:val="2"/>
          </w:tcPr>
          <w:p w:rsidR="00C50B79" w:rsidRPr="00C50B79" w:rsidRDefault="00C50B79" w:rsidP="00746F03">
            <w:pPr>
              <w:pStyle w:val="BodyTextIndent"/>
              <w:keepNext/>
              <w:spacing w:after="0"/>
              <w:ind w:left="0"/>
              <w:rPr>
                <w:rFonts w:ascii="Arial Narrow" w:hAnsi="Arial Narrow"/>
                <w:sz w:val="22"/>
              </w:rPr>
            </w:pPr>
          </w:p>
          <w:p w:rsidR="00C50B79" w:rsidRPr="00C50B79" w:rsidRDefault="00C50B79" w:rsidP="00746F03">
            <w:pPr>
              <w:pStyle w:val="BodyTextIndent"/>
              <w:keepNext/>
              <w:spacing w:after="0"/>
              <w:ind w:left="0"/>
              <w:rPr>
                <w:rFonts w:ascii="Arial Narrow" w:hAnsi="Arial Narrow"/>
                <w:sz w:val="22"/>
              </w:rPr>
            </w:pPr>
            <w:r w:rsidRPr="00C50B79">
              <w:rPr>
                <w:rFonts w:ascii="Arial Narrow" w:hAnsi="Arial Narrow"/>
                <w:i/>
                <w:sz w:val="22"/>
              </w:rPr>
              <w:t>Step 2 (i) Adults and children &gt; 20 kg</w:t>
            </w:r>
          </w:p>
        </w:tc>
      </w:tr>
      <w:tr w:rsidR="00C50B79" w:rsidRPr="00C50B79" w:rsidTr="00D4277D">
        <w:trPr>
          <w:trHeight w:val="3032"/>
        </w:trPr>
        <w:tc>
          <w:tcPr>
            <w:tcW w:w="1701" w:type="dxa"/>
          </w:tcPr>
          <w:p w:rsidR="00C50B79" w:rsidRPr="00C50B79" w:rsidRDefault="00C50B79" w:rsidP="00746F03">
            <w:pPr>
              <w:pStyle w:val="BodyTextIndent"/>
              <w:keepNext/>
              <w:spacing w:after="0"/>
              <w:ind w:left="0"/>
              <w:jc w:val="center"/>
              <w:rPr>
                <w:rFonts w:ascii="Arial Narrow" w:hAnsi="Arial Narrow"/>
                <w:sz w:val="22"/>
              </w:rPr>
            </w:pPr>
          </w:p>
          <w:p w:rsidR="00C50B79" w:rsidRPr="00C50B79" w:rsidRDefault="00C50B79" w:rsidP="00746F03">
            <w:pPr>
              <w:pStyle w:val="BodyTextIndent"/>
              <w:keepNext/>
              <w:spacing w:after="0"/>
              <w:ind w:left="0"/>
              <w:jc w:val="center"/>
              <w:rPr>
                <w:rFonts w:ascii="Arial Narrow" w:hAnsi="Arial Narrow"/>
                <w:i/>
                <w:sz w:val="22"/>
              </w:rPr>
            </w:pPr>
            <w:r w:rsidRPr="00C50B79">
              <w:rPr>
                <w:rFonts w:ascii="Arial Narrow" w:hAnsi="Arial Narrow"/>
                <w:i/>
                <w:sz w:val="22"/>
              </w:rPr>
              <w:t>Step 3 (i)</w:t>
            </w:r>
          </w:p>
          <w:p w:rsidR="00C50B79" w:rsidRPr="00C50B79" w:rsidRDefault="00C50B79" w:rsidP="00746F03">
            <w:pPr>
              <w:pStyle w:val="BodyTextIndent"/>
              <w:keepNext/>
              <w:spacing w:after="0"/>
              <w:ind w:left="0"/>
              <w:jc w:val="center"/>
              <w:rPr>
                <w:rFonts w:ascii="Arial Narrow" w:hAnsi="Arial Narrow"/>
                <w:sz w:val="22"/>
              </w:rPr>
            </w:pPr>
          </w:p>
        </w:tc>
        <w:tc>
          <w:tcPr>
            <w:tcW w:w="7929" w:type="dxa"/>
          </w:tcPr>
          <w:p w:rsidR="00C50B79"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Dose of digoxin ingested known</w:t>
            </w:r>
          </w:p>
          <w:p w:rsidR="00C50B79"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Full neutralisation dose of DIGIFAB is:</w:t>
            </w:r>
          </w:p>
          <w:p w:rsidR="00C50B79"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 xml:space="preserve">Number of vials = </w:t>
            </w:r>
            <w:r w:rsidRPr="00D4277D">
              <w:rPr>
                <w:rFonts w:ascii="Arial Narrow" w:hAnsi="Arial Narrow"/>
                <w:sz w:val="22"/>
                <w:u w:val="single"/>
              </w:rPr>
              <w:t xml:space="preserve">Amount of digoxin ingested (mg) x  </w:t>
            </w:r>
            <w:r w:rsidR="00D4277D" w:rsidRPr="00D4277D">
              <w:rPr>
                <w:rFonts w:ascii="Arial Narrow" w:hAnsi="Arial Narrow"/>
                <w:sz w:val="22"/>
                <w:u w:val="single"/>
              </w:rPr>
              <w:t>bioavailability of digoxin preparation</w:t>
            </w:r>
            <w:r w:rsidR="00D4277D">
              <w:rPr>
                <w:rFonts w:ascii="Arial Narrow" w:hAnsi="Arial Narrow"/>
                <w:sz w:val="22"/>
                <w:u w:val="single"/>
              </w:rPr>
              <w:t>*</w:t>
            </w:r>
          </w:p>
          <w:p w:rsidR="00D4277D" w:rsidRDefault="00D4277D" w:rsidP="00746F03">
            <w:pPr>
              <w:pStyle w:val="BodyTextIndent"/>
              <w:keepNext/>
              <w:spacing w:before="120"/>
              <w:ind w:left="0"/>
              <w:rPr>
                <w:rFonts w:ascii="Arial Narrow" w:hAnsi="Arial Narrow"/>
                <w:sz w:val="22"/>
              </w:rPr>
            </w:pPr>
            <w:r>
              <w:rPr>
                <w:rFonts w:ascii="Arial Narrow" w:hAnsi="Arial Narrow"/>
                <w:sz w:val="22"/>
              </w:rPr>
              <w:t xml:space="preserve">                                                          0.5 mg/vial</w:t>
            </w:r>
          </w:p>
          <w:p w:rsidR="00C50B79"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Round up to the nearest vial</w:t>
            </w:r>
            <w:r w:rsidR="00E50BE3">
              <w:rPr>
                <w:rFonts w:ascii="Arial Narrow" w:hAnsi="Arial Narrow"/>
                <w:sz w:val="22"/>
              </w:rPr>
              <w:t xml:space="preserve"> (see T</w:t>
            </w:r>
            <w:r w:rsidR="00DC30BC">
              <w:rPr>
                <w:rFonts w:ascii="Arial Narrow" w:hAnsi="Arial Narrow"/>
                <w:sz w:val="22"/>
              </w:rPr>
              <w:t xml:space="preserve">able </w:t>
            </w:r>
            <w:r w:rsidR="00E50BE3">
              <w:rPr>
                <w:rFonts w:ascii="Arial Narrow" w:hAnsi="Arial Narrow"/>
                <w:sz w:val="22"/>
              </w:rPr>
              <w:t>4</w:t>
            </w:r>
            <w:r w:rsidR="00DC30BC">
              <w:rPr>
                <w:rFonts w:ascii="Arial Narrow" w:hAnsi="Arial Narrow"/>
                <w:sz w:val="22"/>
              </w:rPr>
              <w:t xml:space="preserve">, providing </w:t>
            </w:r>
            <w:r w:rsidR="00A9349D">
              <w:rPr>
                <w:rFonts w:ascii="Arial Narrow" w:hAnsi="Arial Narrow"/>
                <w:sz w:val="22"/>
              </w:rPr>
              <w:t>DIGIFAB</w:t>
            </w:r>
            <w:r w:rsidR="00DC30BC">
              <w:rPr>
                <w:rFonts w:ascii="Arial Narrow" w:hAnsi="Arial Narrow"/>
                <w:sz w:val="22"/>
              </w:rPr>
              <w:t xml:space="preserve"> dose by amount of digoxin ingested and bioavailability of the digoxin preparation).</w:t>
            </w:r>
          </w:p>
          <w:p w:rsidR="00C566E8" w:rsidRDefault="00C566E8" w:rsidP="00746F03">
            <w:pPr>
              <w:pStyle w:val="BodyTextIndent"/>
              <w:keepNext/>
              <w:spacing w:before="120"/>
              <w:ind w:left="0"/>
              <w:rPr>
                <w:rFonts w:ascii="Arial Narrow" w:hAnsi="Arial Narrow"/>
                <w:sz w:val="22"/>
              </w:rPr>
            </w:pPr>
            <w:r>
              <w:rPr>
                <w:rFonts w:ascii="Arial Narrow" w:hAnsi="Arial Narrow"/>
                <w:sz w:val="22"/>
              </w:rPr>
              <w:t>*</w:t>
            </w:r>
            <w:r w:rsidR="006E661E">
              <w:rPr>
                <w:rFonts w:ascii="Arial Narrow" w:hAnsi="Arial Narrow"/>
                <w:sz w:val="22"/>
              </w:rPr>
              <w:t xml:space="preserve"> </w:t>
            </w:r>
            <w:r>
              <w:rPr>
                <w:rFonts w:ascii="Arial Narrow" w:hAnsi="Arial Narrow"/>
                <w:sz w:val="22"/>
              </w:rPr>
              <w:t>bioavailability = 0.7 for digoxin tablets or 0.8 for digoxin elixir</w:t>
            </w:r>
          </w:p>
          <w:p w:rsidR="00D4277D"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To calculate the number of milligrams to be prescribed: multiply the number of vials by 40 (as there are 40 mg/vial).</w:t>
            </w:r>
          </w:p>
        </w:tc>
      </w:tr>
      <w:tr w:rsidR="00C50B79" w:rsidRPr="00C50B79" w:rsidTr="00D4277D">
        <w:tc>
          <w:tcPr>
            <w:tcW w:w="1701" w:type="dxa"/>
          </w:tcPr>
          <w:p w:rsidR="00C50B79" w:rsidRPr="00C50B79" w:rsidRDefault="00C50B79" w:rsidP="00746F03">
            <w:pPr>
              <w:pStyle w:val="BodyTextIndent"/>
              <w:keepNext/>
              <w:spacing w:after="0"/>
              <w:ind w:left="0"/>
              <w:jc w:val="center"/>
              <w:rPr>
                <w:rFonts w:ascii="Arial Narrow" w:hAnsi="Arial Narrow"/>
                <w:sz w:val="22"/>
              </w:rPr>
            </w:pPr>
          </w:p>
          <w:p w:rsidR="007E6C32" w:rsidRDefault="007E6C32" w:rsidP="00746F03">
            <w:pPr>
              <w:pStyle w:val="BodyTextIndent"/>
              <w:keepNext/>
              <w:spacing w:after="0"/>
              <w:ind w:left="0"/>
              <w:jc w:val="center"/>
              <w:rPr>
                <w:rFonts w:ascii="Arial Narrow" w:hAnsi="Arial Narrow"/>
                <w:i/>
                <w:sz w:val="22"/>
              </w:rPr>
            </w:pPr>
            <w:r>
              <w:rPr>
                <w:rFonts w:ascii="Arial Narrow" w:hAnsi="Arial Narrow"/>
                <w:i/>
                <w:sz w:val="22"/>
              </w:rPr>
              <w:t>OR</w:t>
            </w:r>
          </w:p>
          <w:p w:rsidR="007E6C32" w:rsidRDefault="007E6C32" w:rsidP="00746F03">
            <w:pPr>
              <w:pStyle w:val="BodyTextIndent"/>
              <w:keepNext/>
              <w:spacing w:after="0"/>
              <w:ind w:left="0"/>
              <w:jc w:val="center"/>
              <w:rPr>
                <w:rFonts w:ascii="Arial Narrow" w:hAnsi="Arial Narrow"/>
                <w:i/>
                <w:sz w:val="22"/>
              </w:rPr>
            </w:pPr>
          </w:p>
          <w:p w:rsidR="00C50B79" w:rsidRPr="00C50B79" w:rsidRDefault="00C50B79" w:rsidP="00746F03">
            <w:pPr>
              <w:pStyle w:val="BodyTextIndent"/>
              <w:keepNext/>
              <w:spacing w:after="0"/>
              <w:ind w:left="0"/>
              <w:jc w:val="center"/>
              <w:rPr>
                <w:rFonts w:ascii="Arial Narrow" w:hAnsi="Arial Narrow"/>
                <w:i/>
                <w:sz w:val="22"/>
              </w:rPr>
            </w:pPr>
            <w:r w:rsidRPr="00C50B79">
              <w:rPr>
                <w:rFonts w:ascii="Arial Narrow" w:hAnsi="Arial Narrow"/>
                <w:i/>
                <w:sz w:val="22"/>
              </w:rPr>
              <w:t>Step 3 (ii)</w:t>
            </w:r>
          </w:p>
          <w:p w:rsidR="00C50B79" w:rsidRPr="00C50B79" w:rsidRDefault="00C50B79" w:rsidP="00746F03">
            <w:pPr>
              <w:pStyle w:val="BodyTextIndent"/>
              <w:keepNext/>
              <w:spacing w:after="0"/>
              <w:ind w:left="0"/>
              <w:jc w:val="center"/>
              <w:rPr>
                <w:rFonts w:ascii="Arial Narrow" w:hAnsi="Arial Narrow"/>
                <w:sz w:val="22"/>
              </w:rPr>
            </w:pPr>
          </w:p>
        </w:tc>
        <w:tc>
          <w:tcPr>
            <w:tcW w:w="7929" w:type="dxa"/>
          </w:tcPr>
          <w:p w:rsidR="00C50B79"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Serum digoxin concentration known</w:t>
            </w:r>
          </w:p>
          <w:p w:rsidR="00C50B79"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Full neutralisation dose of DIGIFAB is:</w:t>
            </w:r>
          </w:p>
          <w:p w:rsidR="00C50B79"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Number of vials = [ serum digoxin concentration (ng/mL)  X  weight (kg) ]  /  100</w:t>
            </w:r>
          </w:p>
          <w:p w:rsidR="00C50B79"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Round up to the nearest vial</w:t>
            </w:r>
            <w:r w:rsidR="00A266DD">
              <w:rPr>
                <w:rFonts w:ascii="Arial Narrow" w:hAnsi="Arial Narrow"/>
                <w:sz w:val="22"/>
              </w:rPr>
              <w:t xml:space="preserve"> (see dosing calculation example below</w:t>
            </w:r>
            <w:r w:rsidR="00817FB6">
              <w:rPr>
                <w:rFonts w:ascii="Arial Narrow" w:hAnsi="Arial Narrow"/>
                <w:sz w:val="22"/>
              </w:rPr>
              <w:t xml:space="preserve"> Table 5</w:t>
            </w:r>
            <w:r w:rsidR="00A266DD">
              <w:rPr>
                <w:rFonts w:ascii="Arial Narrow" w:hAnsi="Arial Narrow"/>
                <w:sz w:val="22"/>
              </w:rPr>
              <w:t xml:space="preserve"> for known serum digoxin concentration)</w:t>
            </w:r>
          </w:p>
          <w:p w:rsidR="00C50B79"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To calculate the number of milligrams to be prescribed: multiply the number of vials by 40 (as there are 40 mg/vial).</w:t>
            </w:r>
          </w:p>
          <w:p w:rsidR="00C50B79"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Converting units of digoxin ng/mL to / from nmol/L</w:t>
            </w:r>
          </w:p>
          <w:p w:rsidR="00C50B79"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ng/mL (or µg/L) x 1.28 = nmol/L</w:t>
            </w:r>
          </w:p>
          <w:p w:rsidR="00C50B79"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nmol/L x 0.781 = ng/mL (or µg/L)</w:t>
            </w:r>
          </w:p>
        </w:tc>
      </w:tr>
      <w:tr w:rsidR="00C50B79" w:rsidRPr="00C50B79" w:rsidTr="00D4277D">
        <w:tc>
          <w:tcPr>
            <w:tcW w:w="1701" w:type="dxa"/>
          </w:tcPr>
          <w:p w:rsidR="00C50B79" w:rsidRPr="00C50B79" w:rsidRDefault="00C50B79" w:rsidP="00746F03">
            <w:pPr>
              <w:pStyle w:val="BodyTextIndent"/>
              <w:keepNext/>
              <w:spacing w:after="0"/>
              <w:ind w:left="0"/>
              <w:jc w:val="center"/>
              <w:rPr>
                <w:rFonts w:ascii="Arial Narrow" w:hAnsi="Arial Narrow"/>
                <w:sz w:val="22"/>
              </w:rPr>
            </w:pPr>
          </w:p>
          <w:p w:rsidR="007E6C32" w:rsidRDefault="007E6C32" w:rsidP="00746F03">
            <w:pPr>
              <w:pStyle w:val="BodyTextIndent"/>
              <w:keepNext/>
              <w:spacing w:after="0"/>
              <w:ind w:left="0"/>
              <w:jc w:val="center"/>
              <w:rPr>
                <w:rFonts w:ascii="Arial Narrow" w:hAnsi="Arial Narrow"/>
                <w:i/>
                <w:sz w:val="22"/>
              </w:rPr>
            </w:pPr>
            <w:r>
              <w:rPr>
                <w:rFonts w:ascii="Arial Narrow" w:hAnsi="Arial Narrow"/>
                <w:i/>
                <w:sz w:val="22"/>
              </w:rPr>
              <w:t>OR</w:t>
            </w:r>
          </w:p>
          <w:p w:rsidR="007E6C32" w:rsidRDefault="007E6C32" w:rsidP="00746F03">
            <w:pPr>
              <w:pStyle w:val="BodyTextIndent"/>
              <w:keepNext/>
              <w:spacing w:after="0"/>
              <w:ind w:left="0"/>
              <w:jc w:val="center"/>
              <w:rPr>
                <w:rFonts w:ascii="Arial Narrow" w:hAnsi="Arial Narrow"/>
                <w:i/>
                <w:sz w:val="22"/>
              </w:rPr>
            </w:pPr>
          </w:p>
          <w:p w:rsidR="00C50B79" w:rsidRPr="00C50B79" w:rsidRDefault="00C50B79" w:rsidP="00746F03">
            <w:pPr>
              <w:pStyle w:val="BodyTextIndent"/>
              <w:keepNext/>
              <w:spacing w:after="0"/>
              <w:ind w:left="0"/>
              <w:jc w:val="center"/>
              <w:rPr>
                <w:rFonts w:ascii="Arial Narrow" w:hAnsi="Arial Narrow"/>
                <w:i/>
                <w:sz w:val="22"/>
              </w:rPr>
            </w:pPr>
            <w:r w:rsidRPr="00C50B79">
              <w:rPr>
                <w:rFonts w:ascii="Arial Narrow" w:hAnsi="Arial Narrow"/>
                <w:i/>
                <w:sz w:val="22"/>
              </w:rPr>
              <w:t>Step 3 (iii)</w:t>
            </w:r>
          </w:p>
        </w:tc>
        <w:tc>
          <w:tcPr>
            <w:tcW w:w="7929" w:type="dxa"/>
            <w:vAlign w:val="center"/>
          </w:tcPr>
          <w:p w:rsidR="00C50B79" w:rsidRPr="00C50B79" w:rsidRDefault="00C50B79" w:rsidP="00746F03">
            <w:pPr>
              <w:pStyle w:val="BodyTextIndent"/>
              <w:keepNext/>
              <w:spacing w:before="120"/>
              <w:ind w:left="0"/>
              <w:rPr>
                <w:rFonts w:ascii="Arial Narrow" w:hAnsi="Arial Narrow"/>
                <w:sz w:val="22"/>
              </w:rPr>
            </w:pPr>
            <w:r w:rsidRPr="00C50B79">
              <w:rPr>
                <w:rFonts w:ascii="Arial Narrow" w:hAnsi="Arial Narrow"/>
                <w:sz w:val="22"/>
              </w:rPr>
              <w:t>Dose of digoxin unknown and serum digoxin concentration unknown</w:t>
            </w:r>
          </w:p>
          <w:p w:rsidR="00557E55" w:rsidRPr="00164F04" w:rsidRDefault="00557E55" w:rsidP="00557E55">
            <w:pPr>
              <w:autoSpaceDE w:val="0"/>
              <w:autoSpaceDN w:val="0"/>
              <w:adjustRightInd w:val="0"/>
              <w:jc w:val="both"/>
              <w:rPr>
                <w:rFonts w:ascii="Arial Narrow" w:eastAsiaTheme="minorHAnsi" w:hAnsi="Arial Narrow" w:cs="Times-Roman"/>
                <w:sz w:val="22"/>
                <w:szCs w:val="22"/>
                <w:lang w:val="en-US" w:eastAsia="en-US"/>
              </w:rPr>
            </w:pPr>
            <w:r w:rsidRPr="00557E55">
              <w:rPr>
                <w:rFonts w:ascii="Arial Narrow" w:hAnsi="Arial Narrow"/>
                <w:b/>
                <w:sz w:val="22"/>
              </w:rPr>
              <w:t>For acute digoxin poisoning:</w:t>
            </w:r>
            <w:r>
              <w:rPr>
                <w:rFonts w:ascii="Arial Narrow" w:hAnsi="Arial Narrow"/>
                <w:sz w:val="22"/>
              </w:rPr>
              <w:t xml:space="preserve"> Dose initially with five (5)</w:t>
            </w:r>
            <w:r>
              <w:rPr>
                <w:rFonts w:ascii="Arial Narrow" w:eastAsiaTheme="minorHAnsi" w:hAnsi="Arial Narrow" w:cs="Times-Roman"/>
                <w:sz w:val="22"/>
                <w:szCs w:val="22"/>
                <w:lang w:val="en-US" w:eastAsia="en-US"/>
              </w:rPr>
              <w:t xml:space="preserve"> vials </w:t>
            </w:r>
            <w:r w:rsidRPr="00164F04">
              <w:rPr>
                <w:rFonts w:ascii="Arial Narrow" w:eastAsiaTheme="minorHAnsi" w:hAnsi="Arial Narrow" w:cs="Times-Roman"/>
                <w:sz w:val="22"/>
                <w:szCs w:val="22"/>
                <w:lang w:val="en-US" w:eastAsia="en-US"/>
              </w:rPr>
              <w:t xml:space="preserve">of </w:t>
            </w:r>
            <w:r>
              <w:rPr>
                <w:rFonts w:ascii="Arial Narrow" w:eastAsiaTheme="minorHAnsi" w:hAnsi="Arial Narrow" w:cs="Times-Roman"/>
                <w:sz w:val="22"/>
                <w:szCs w:val="22"/>
                <w:lang w:val="en-US" w:eastAsia="en-US"/>
              </w:rPr>
              <w:t>DIGIFAB if the patient is hemodynamically stable, or 10 – 20 vials if the patient is not stable</w:t>
            </w:r>
            <w:r w:rsidRPr="00164F04">
              <w:rPr>
                <w:rFonts w:ascii="Arial Narrow" w:eastAsiaTheme="minorHAnsi" w:hAnsi="Arial Narrow" w:cs="Times-Roman"/>
                <w:sz w:val="22"/>
                <w:szCs w:val="22"/>
                <w:lang w:val="en-US" w:eastAsia="en-US"/>
              </w:rPr>
              <w:t xml:space="preserve">. </w:t>
            </w:r>
            <w:r>
              <w:rPr>
                <w:rFonts w:ascii="Arial Narrow" w:eastAsiaTheme="minorHAnsi" w:hAnsi="Arial Narrow" w:cs="Times-Roman"/>
                <w:sz w:val="22"/>
                <w:szCs w:val="22"/>
                <w:lang w:val="en-US" w:eastAsia="en-US"/>
              </w:rPr>
              <w:t>A</w:t>
            </w:r>
            <w:r w:rsidRPr="00164F04">
              <w:rPr>
                <w:rFonts w:ascii="Arial Narrow" w:eastAsiaTheme="minorHAnsi" w:hAnsi="Arial Narrow" w:cs="Times-Roman"/>
                <w:sz w:val="22"/>
                <w:szCs w:val="22"/>
                <w:lang w:val="en-US" w:eastAsia="en-US"/>
              </w:rPr>
              <w:t xml:space="preserve"> larger dose of </w:t>
            </w:r>
            <w:r>
              <w:rPr>
                <w:rFonts w:ascii="Arial Narrow" w:eastAsiaTheme="minorHAnsi" w:hAnsi="Arial Narrow" w:cs="Times-Roman"/>
                <w:sz w:val="22"/>
                <w:szCs w:val="22"/>
                <w:lang w:val="en-US" w:eastAsia="en-US"/>
              </w:rPr>
              <w:t>DIGIFAB</w:t>
            </w:r>
            <w:r w:rsidRPr="00164F04">
              <w:rPr>
                <w:rFonts w:ascii="Arial Narrow" w:eastAsiaTheme="minorHAnsi" w:hAnsi="Arial Narrow" w:cs="Times-Roman"/>
                <w:sz w:val="22"/>
                <w:szCs w:val="22"/>
                <w:lang w:val="en-US" w:eastAsia="en-US"/>
              </w:rPr>
              <w:t xml:space="preserve"> </w:t>
            </w:r>
            <w:r>
              <w:rPr>
                <w:rFonts w:ascii="Arial Narrow" w:eastAsiaTheme="minorHAnsi" w:hAnsi="Arial Narrow" w:cs="Times-Roman"/>
                <w:sz w:val="22"/>
                <w:szCs w:val="22"/>
                <w:lang w:val="en-US" w:eastAsia="en-US"/>
              </w:rPr>
              <w:t xml:space="preserve">may have a faster onset of effect </w:t>
            </w:r>
            <w:r w:rsidRPr="00164F04">
              <w:rPr>
                <w:rFonts w:ascii="Arial Narrow" w:eastAsiaTheme="minorHAnsi" w:hAnsi="Arial Narrow" w:cs="Times-Roman"/>
                <w:sz w:val="22"/>
                <w:szCs w:val="22"/>
                <w:lang w:val="en-US" w:eastAsia="en-US"/>
              </w:rPr>
              <w:t>but may enhance the possibility of a febrile reaction. In suc</w:t>
            </w:r>
            <w:r>
              <w:rPr>
                <w:rFonts w:ascii="Arial Narrow" w:eastAsiaTheme="minorHAnsi" w:hAnsi="Arial Narrow" w:cs="Times-Roman"/>
                <w:sz w:val="22"/>
                <w:szCs w:val="22"/>
                <w:lang w:val="en-US" w:eastAsia="en-US"/>
              </w:rPr>
              <w:t xml:space="preserve">h cases, 5 or 10 vials may be </w:t>
            </w:r>
            <w:r w:rsidRPr="00164F04">
              <w:rPr>
                <w:rFonts w:ascii="Arial Narrow" w:eastAsiaTheme="minorHAnsi" w:hAnsi="Arial Narrow" w:cs="Times-Roman"/>
                <w:sz w:val="22"/>
                <w:szCs w:val="22"/>
                <w:lang w:val="en-US" w:eastAsia="en-US"/>
              </w:rPr>
              <w:t>administered first with careful monitoring of the patient’s respon</w:t>
            </w:r>
            <w:r>
              <w:rPr>
                <w:rFonts w:ascii="Arial Narrow" w:eastAsiaTheme="minorHAnsi" w:hAnsi="Arial Narrow" w:cs="Times-Roman"/>
                <w:sz w:val="22"/>
                <w:szCs w:val="22"/>
                <w:lang w:val="en-US" w:eastAsia="en-US"/>
              </w:rPr>
              <w:t xml:space="preserve">se followed by </w:t>
            </w:r>
            <w:r w:rsidRPr="00164F04">
              <w:rPr>
                <w:rFonts w:ascii="Arial Narrow" w:eastAsiaTheme="minorHAnsi" w:hAnsi="Arial Narrow" w:cs="Times-Roman"/>
                <w:sz w:val="22"/>
                <w:szCs w:val="22"/>
                <w:lang w:val="en-US" w:eastAsia="en-US"/>
              </w:rPr>
              <w:t xml:space="preserve">additional vials and continued monitoring. </w:t>
            </w:r>
          </w:p>
          <w:p w:rsidR="00C50B79" w:rsidRPr="00C50B79" w:rsidRDefault="00557E55" w:rsidP="00746F03">
            <w:pPr>
              <w:pStyle w:val="BodyTextIndent"/>
              <w:keepNext/>
              <w:spacing w:before="120"/>
              <w:ind w:left="0"/>
              <w:rPr>
                <w:rFonts w:ascii="Arial Narrow" w:hAnsi="Arial Narrow"/>
                <w:sz w:val="22"/>
              </w:rPr>
            </w:pPr>
            <w:r>
              <w:rPr>
                <w:rFonts w:ascii="Arial Narrow" w:hAnsi="Arial Narrow"/>
                <w:b/>
                <w:sz w:val="22"/>
              </w:rPr>
              <w:t>For chronic digoxin poisoning</w:t>
            </w:r>
            <w:r w:rsidRPr="00557E55">
              <w:rPr>
                <w:rFonts w:ascii="Arial Narrow" w:hAnsi="Arial Narrow"/>
                <w:b/>
                <w:sz w:val="22"/>
              </w:rPr>
              <w:t>:</w:t>
            </w:r>
            <w:r>
              <w:rPr>
                <w:rFonts w:ascii="Arial Narrow" w:hAnsi="Arial Narrow"/>
                <w:sz w:val="22"/>
              </w:rPr>
              <w:t xml:space="preserve"> </w:t>
            </w:r>
            <w:r w:rsidR="00C50B79" w:rsidRPr="00C50B79">
              <w:rPr>
                <w:rFonts w:ascii="Arial Narrow" w:hAnsi="Arial Narrow"/>
                <w:sz w:val="22"/>
              </w:rPr>
              <w:t>Dose initially with two</w:t>
            </w:r>
            <w:r>
              <w:rPr>
                <w:rFonts w:ascii="Arial Narrow" w:hAnsi="Arial Narrow"/>
                <w:sz w:val="22"/>
              </w:rPr>
              <w:t xml:space="preserve"> (2)</w:t>
            </w:r>
            <w:r w:rsidR="00C50B79" w:rsidRPr="00C50B79">
              <w:rPr>
                <w:rFonts w:ascii="Arial Narrow" w:hAnsi="Arial Narrow"/>
                <w:sz w:val="22"/>
              </w:rPr>
              <w:t xml:space="preserve"> vials of DIGIFAB, followed by an additional two vials 30 minutes later if symptoms persist or recur.</w:t>
            </w:r>
          </w:p>
        </w:tc>
      </w:tr>
    </w:tbl>
    <w:p w:rsidR="00DC30BC" w:rsidRDefault="00DC30BC" w:rsidP="00C50B79">
      <w:pPr>
        <w:pStyle w:val="BodyTextIndent"/>
        <w:spacing w:after="0"/>
        <w:ind w:left="0"/>
        <w:rPr>
          <w:rFonts w:ascii="Arial Narrow" w:hAnsi="Arial Narrow"/>
          <w:sz w:val="22"/>
        </w:rPr>
      </w:pPr>
    </w:p>
    <w:p w:rsidR="00627026" w:rsidRDefault="00627026" w:rsidP="00627026">
      <w:pPr>
        <w:tabs>
          <w:tab w:val="left" w:pos="720"/>
        </w:tabs>
        <w:ind w:left="720" w:hanging="720"/>
        <w:rPr>
          <w:rFonts w:ascii="Arial Narrow" w:hAnsi="Arial Narrow"/>
          <w:sz w:val="22"/>
        </w:rPr>
      </w:pPr>
      <w:r w:rsidRPr="00C50B79">
        <w:rPr>
          <w:rFonts w:ascii="Arial Narrow" w:hAnsi="Arial Narrow"/>
          <w:sz w:val="22"/>
        </w:rPr>
        <w:t xml:space="preserve">Refer to the Dose Determination Flowchart </w:t>
      </w:r>
      <w:r w:rsidR="001B010A">
        <w:rPr>
          <w:rFonts w:ascii="Arial Narrow" w:hAnsi="Arial Narrow"/>
          <w:sz w:val="22"/>
        </w:rPr>
        <w:t xml:space="preserve">provided </w:t>
      </w:r>
      <w:r w:rsidR="00817FB6">
        <w:rPr>
          <w:rFonts w:ascii="Arial Narrow" w:hAnsi="Arial Narrow"/>
          <w:sz w:val="22"/>
        </w:rPr>
        <w:t xml:space="preserve">in Figure 1 </w:t>
      </w:r>
      <w:r w:rsidR="00117882">
        <w:rPr>
          <w:rFonts w:ascii="Arial Narrow" w:hAnsi="Arial Narrow"/>
          <w:sz w:val="22"/>
        </w:rPr>
        <w:t xml:space="preserve"> for adults and children &gt; 20</w:t>
      </w:r>
      <w:r w:rsidR="00C566E8">
        <w:rPr>
          <w:rFonts w:ascii="Arial Narrow" w:hAnsi="Arial Narrow"/>
          <w:sz w:val="22"/>
        </w:rPr>
        <w:t xml:space="preserve"> </w:t>
      </w:r>
      <w:r w:rsidR="00117882">
        <w:rPr>
          <w:rFonts w:ascii="Arial Narrow" w:hAnsi="Arial Narrow"/>
          <w:sz w:val="22"/>
        </w:rPr>
        <w:t>kg.</w:t>
      </w:r>
    </w:p>
    <w:p w:rsidR="00711A08" w:rsidRDefault="00711A08" w:rsidP="00627026">
      <w:pPr>
        <w:tabs>
          <w:tab w:val="left" w:pos="720"/>
        </w:tabs>
        <w:ind w:left="720" w:hanging="720"/>
        <w:rPr>
          <w:rFonts w:ascii="Arial Narrow" w:hAnsi="Arial Narrow"/>
          <w:sz w:val="22"/>
        </w:rPr>
      </w:pPr>
    </w:p>
    <w:p w:rsidR="001B010A" w:rsidRPr="00817FB6" w:rsidRDefault="001B010A" w:rsidP="00511A54">
      <w:pPr>
        <w:pStyle w:val="BodyTextIndent"/>
        <w:pageBreakBefore/>
        <w:spacing w:after="0"/>
        <w:ind w:left="720" w:hanging="720"/>
        <w:rPr>
          <w:rFonts w:ascii="Arial Narrow" w:hAnsi="Arial Narrow"/>
          <w:b/>
          <w:sz w:val="22"/>
        </w:rPr>
      </w:pPr>
      <w:r w:rsidRPr="00817FB6">
        <w:rPr>
          <w:rFonts w:ascii="Arial Narrow" w:hAnsi="Arial Narrow"/>
          <w:b/>
          <w:sz w:val="22"/>
        </w:rPr>
        <w:lastRenderedPageBreak/>
        <w:t xml:space="preserve">Table </w:t>
      </w:r>
      <w:r w:rsidR="000053C1" w:rsidRPr="00817FB6">
        <w:rPr>
          <w:rFonts w:ascii="Arial Narrow" w:hAnsi="Arial Narrow"/>
          <w:b/>
          <w:sz w:val="22"/>
        </w:rPr>
        <w:t>4.</w:t>
      </w:r>
      <w:r w:rsidR="00511A54">
        <w:rPr>
          <w:rFonts w:ascii="Arial Narrow" w:hAnsi="Arial Narrow"/>
          <w:b/>
          <w:sz w:val="22"/>
        </w:rPr>
        <w:tab/>
      </w:r>
      <w:r w:rsidRPr="00817FB6">
        <w:rPr>
          <w:rFonts w:ascii="Arial Narrow" w:hAnsi="Arial Narrow"/>
          <w:b/>
          <w:sz w:val="22"/>
        </w:rPr>
        <w:t>DIGIFAB Dose by Vial Based on Milligrams Digoxin Ingested and Bioavailability of Digoxin</w:t>
      </w:r>
      <w:r w:rsidR="00817FB6">
        <w:rPr>
          <w:rFonts w:ascii="Arial Narrow" w:hAnsi="Arial Narrow"/>
          <w:b/>
          <w:sz w:val="22"/>
        </w:rPr>
        <w:t xml:space="preserve"> </w:t>
      </w:r>
      <w:r w:rsidRPr="00817FB6">
        <w:rPr>
          <w:rFonts w:ascii="Arial Narrow" w:hAnsi="Arial Narrow"/>
          <w:b/>
          <w:sz w:val="22"/>
        </w:rPr>
        <w:t>Preparation</w:t>
      </w:r>
    </w:p>
    <w:p w:rsidR="001B010A" w:rsidRDefault="001B010A" w:rsidP="001B010A">
      <w:pPr>
        <w:pStyle w:val="BodyTextIndent"/>
        <w:spacing w:after="0"/>
        <w:ind w:left="0"/>
        <w:rPr>
          <w:rFonts w:ascii="Arial Narrow" w:hAnsi="Arial Narrow"/>
          <w:sz w:val="22"/>
        </w:rPr>
      </w:pPr>
    </w:p>
    <w:tbl>
      <w:tblPr>
        <w:tblStyle w:val="TableGrid"/>
        <w:tblW w:w="0" w:type="auto"/>
        <w:jc w:val="center"/>
        <w:tblLook w:val="04A0" w:firstRow="1" w:lastRow="0" w:firstColumn="1" w:lastColumn="0" w:noHBand="0" w:noVBand="1"/>
      </w:tblPr>
      <w:tblGrid>
        <w:gridCol w:w="3080"/>
        <w:gridCol w:w="3081"/>
        <w:gridCol w:w="2947"/>
      </w:tblGrid>
      <w:tr w:rsidR="001B010A" w:rsidTr="00C91270">
        <w:trPr>
          <w:jc w:val="center"/>
        </w:trPr>
        <w:tc>
          <w:tcPr>
            <w:tcW w:w="3080"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Digoxin Dose Ingested (mg)</w:t>
            </w:r>
          </w:p>
        </w:tc>
        <w:tc>
          <w:tcPr>
            <w:tcW w:w="3081"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Number of DIGIFAB Vials*</w:t>
            </w:r>
          </w:p>
          <w:p w:rsidR="001B010A" w:rsidRDefault="001B010A" w:rsidP="00C91270">
            <w:pPr>
              <w:pStyle w:val="BodyTextIndent"/>
              <w:spacing w:after="0"/>
              <w:ind w:left="0"/>
              <w:jc w:val="center"/>
              <w:rPr>
                <w:rFonts w:ascii="Arial Narrow" w:hAnsi="Arial Narrow"/>
                <w:sz w:val="22"/>
              </w:rPr>
            </w:pPr>
            <w:r>
              <w:rPr>
                <w:rFonts w:ascii="Arial Narrow" w:hAnsi="Arial Narrow"/>
                <w:sz w:val="22"/>
              </w:rPr>
              <w:t>(0.7 bioavailability – tablets)</w:t>
            </w:r>
          </w:p>
        </w:tc>
        <w:tc>
          <w:tcPr>
            <w:tcW w:w="2947"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Number of DIGIFAB Vials*</w:t>
            </w:r>
          </w:p>
          <w:p w:rsidR="001B010A" w:rsidRDefault="001B010A" w:rsidP="00C91270">
            <w:pPr>
              <w:pStyle w:val="BodyTextIndent"/>
              <w:spacing w:after="0"/>
              <w:ind w:left="0"/>
              <w:jc w:val="center"/>
              <w:rPr>
                <w:rFonts w:ascii="Arial Narrow" w:hAnsi="Arial Narrow"/>
                <w:sz w:val="22"/>
              </w:rPr>
            </w:pPr>
            <w:r>
              <w:rPr>
                <w:rFonts w:ascii="Arial Narrow" w:hAnsi="Arial Narrow"/>
                <w:sz w:val="22"/>
              </w:rPr>
              <w:t>(0.8 bioavailability – elixir)</w:t>
            </w:r>
          </w:p>
        </w:tc>
      </w:tr>
      <w:tr w:rsidR="001B010A" w:rsidTr="00C91270">
        <w:trPr>
          <w:jc w:val="center"/>
        </w:trPr>
        <w:tc>
          <w:tcPr>
            <w:tcW w:w="3080"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1</w:t>
            </w:r>
          </w:p>
        </w:tc>
        <w:tc>
          <w:tcPr>
            <w:tcW w:w="3081"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2</w:t>
            </w:r>
          </w:p>
        </w:tc>
        <w:tc>
          <w:tcPr>
            <w:tcW w:w="2947"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2</w:t>
            </w:r>
          </w:p>
        </w:tc>
      </w:tr>
      <w:tr w:rsidR="001B010A" w:rsidTr="00C91270">
        <w:trPr>
          <w:jc w:val="center"/>
        </w:trPr>
        <w:tc>
          <w:tcPr>
            <w:tcW w:w="3080"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2</w:t>
            </w:r>
          </w:p>
        </w:tc>
        <w:tc>
          <w:tcPr>
            <w:tcW w:w="3081"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3</w:t>
            </w:r>
          </w:p>
        </w:tc>
        <w:tc>
          <w:tcPr>
            <w:tcW w:w="2947"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4</w:t>
            </w:r>
          </w:p>
        </w:tc>
      </w:tr>
      <w:tr w:rsidR="001B010A" w:rsidTr="00C91270">
        <w:trPr>
          <w:jc w:val="center"/>
        </w:trPr>
        <w:tc>
          <w:tcPr>
            <w:tcW w:w="3080"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3</w:t>
            </w:r>
          </w:p>
        </w:tc>
        <w:tc>
          <w:tcPr>
            <w:tcW w:w="3081"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5</w:t>
            </w:r>
          </w:p>
        </w:tc>
        <w:tc>
          <w:tcPr>
            <w:tcW w:w="2947"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5</w:t>
            </w:r>
          </w:p>
        </w:tc>
      </w:tr>
      <w:tr w:rsidR="001B010A" w:rsidTr="00C91270">
        <w:trPr>
          <w:jc w:val="center"/>
        </w:trPr>
        <w:tc>
          <w:tcPr>
            <w:tcW w:w="3080"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4</w:t>
            </w:r>
          </w:p>
        </w:tc>
        <w:tc>
          <w:tcPr>
            <w:tcW w:w="3081"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6</w:t>
            </w:r>
          </w:p>
        </w:tc>
        <w:tc>
          <w:tcPr>
            <w:tcW w:w="2947"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7</w:t>
            </w:r>
          </w:p>
        </w:tc>
      </w:tr>
      <w:tr w:rsidR="001B010A" w:rsidTr="00C91270">
        <w:trPr>
          <w:jc w:val="center"/>
        </w:trPr>
        <w:tc>
          <w:tcPr>
            <w:tcW w:w="3080"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5</w:t>
            </w:r>
          </w:p>
        </w:tc>
        <w:tc>
          <w:tcPr>
            <w:tcW w:w="3081"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7</w:t>
            </w:r>
          </w:p>
        </w:tc>
        <w:tc>
          <w:tcPr>
            <w:tcW w:w="2947"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8</w:t>
            </w:r>
          </w:p>
        </w:tc>
      </w:tr>
      <w:tr w:rsidR="001B010A" w:rsidTr="00C91270">
        <w:trPr>
          <w:jc w:val="center"/>
        </w:trPr>
        <w:tc>
          <w:tcPr>
            <w:tcW w:w="3080"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6</w:t>
            </w:r>
          </w:p>
        </w:tc>
        <w:tc>
          <w:tcPr>
            <w:tcW w:w="3081"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9</w:t>
            </w:r>
          </w:p>
        </w:tc>
        <w:tc>
          <w:tcPr>
            <w:tcW w:w="2947"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10</w:t>
            </w:r>
          </w:p>
        </w:tc>
      </w:tr>
      <w:tr w:rsidR="001B010A" w:rsidTr="00C91270">
        <w:trPr>
          <w:jc w:val="center"/>
        </w:trPr>
        <w:tc>
          <w:tcPr>
            <w:tcW w:w="3080"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7</w:t>
            </w:r>
          </w:p>
        </w:tc>
        <w:tc>
          <w:tcPr>
            <w:tcW w:w="3081"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10</w:t>
            </w:r>
          </w:p>
        </w:tc>
        <w:tc>
          <w:tcPr>
            <w:tcW w:w="2947"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12</w:t>
            </w:r>
          </w:p>
        </w:tc>
      </w:tr>
      <w:tr w:rsidR="001B010A" w:rsidTr="00C91270">
        <w:trPr>
          <w:jc w:val="center"/>
        </w:trPr>
        <w:tc>
          <w:tcPr>
            <w:tcW w:w="3080"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8</w:t>
            </w:r>
          </w:p>
        </w:tc>
        <w:tc>
          <w:tcPr>
            <w:tcW w:w="3081"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12</w:t>
            </w:r>
          </w:p>
        </w:tc>
        <w:tc>
          <w:tcPr>
            <w:tcW w:w="2947"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13</w:t>
            </w:r>
          </w:p>
        </w:tc>
      </w:tr>
      <w:tr w:rsidR="001B010A" w:rsidTr="00C91270">
        <w:trPr>
          <w:jc w:val="center"/>
        </w:trPr>
        <w:tc>
          <w:tcPr>
            <w:tcW w:w="3080"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9</w:t>
            </w:r>
          </w:p>
        </w:tc>
        <w:tc>
          <w:tcPr>
            <w:tcW w:w="3081"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13</w:t>
            </w:r>
          </w:p>
        </w:tc>
        <w:tc>
          <w:tcPr>
            <w:tcW w:w="2947"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15</w:t>
            </w:r>
          </w:p>
        </w:tc>
      </w:tr>
      <w:tr w:rsidR="001B010A" w:rsidTr="00C91270">
        <w:trPr>
          <w:jc w:val="center"/>
        </w:trPr>
        <w:tc>
          <w:tcPr>
            <w:tcW w:w="3080"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10</w:t>
            </w:r>
          </w:p>
        </w:tc>
        <w:tc>
          <w:tcPr>
            <w:tcW w:w="3081"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14</w:t>
            </w:r>
          </w:p>
        </w:tc>
        <w:tc>
          <w:tcPr>
            <w:tcW w:w="2947"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16</w:t>
            </w:r>
          </w:p>
        </w:tc>
      </w:tr>
      <w:tr w:rsidR="001B010A" w:rsidTr="00C91270">
        <w:trPr>
          <w:jc w:val="center"/>
        </w:trPr>
        <w:tc>
          <w:tcPr>
            <w:tcW w:w="3080"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15</w:t>
            </w:r>
          </w:p>
        </w:tc>
        <w:tc>
          <w:tcPr>
            <w:tcW w:w="3081"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21</w:t>
            </w:r>
          </w:p>
        </w:tc>
        <w:tc>
          <w:tcPr>
            <w:tcW w:w="2947"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24</w:t>
            </w:r>
          </w:p>
        </w:tc>
      </w:tr>
      <w:tr w:rsidR="001B010A" w:rsidTr="00C91270">
        <w:trPr>
          <w:jc w:val="center"/>
        </w:trPr>
        <w:tc>
          <w:tcPr>
            <w:tcW w:w="3080"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20</w:t>
            </w:r>
          </w:p>
        </w:tc>
        <w:tc>
          <w:tcPr>
            <w:tcW w:w="3081"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28</w:t>
            </w:r>
          </w:p>
        </w:tc>
        <w:tc>
          <w:tcPr>
            <w:tcW w:w="2947" w:type="dxa"/>
            <w:vAlign w:val="center"/>
          </w:tcPr>
          <w:p w:rsidR="001B010A" w:rsidRDefault="001B010A" w:rsidP="00C91270">
            <w:pPr>
              <w:pStyle w:val="BodyTextIndent"/>
              <w:spacing w:after="0"/>
              <w:ind w:left="0"/>
              <w:jc w:val="center"/>
              <w:rPr>
                <w:rFonts w:ascii="Arial Narrow" w:hAnsi="Arial Narrow"/>
                <w:sz w:val="22"/>
              </w:rPr>
            </w:pPr>
            <w:r>
              <w:rPr>
                <w:rFonts w:ascii="Arial Narrow" w:hAnsi="Arial Narrow"/>
                <w:sz w:val="22"/>
              </w:rPr>
              <w:t>32</w:t>
            </w:r>
          </w:p>
        </w:tc>
      </w:tr>
    </w:tbl>
    <w:p w:rsidR="001B010A" w:rsidRDefault="001B010A" w:rsidP="00511A54">
      <w:pPr>
        <w:pStyle w:val="BodyTextIndent"/>
        <w:spacing w:after="0"/>
        <w:ind w:left="0"/>
        <w:rPr>
          <w:rFonts w:ascii="Arial Narrow" w:hAnsi="Arial Narrow"/>
          <w:sz w:val="22"/>
        </w:rPr>
      </w:pPr>
      <w:r>
        <w:rPr>
          <w:rFonts w:ascii="Arial Narrow" w:hAnsi="Arial Narrow"/>
          <w:sz w:val="22"/>
        </w:rPr>
        <w:t>* Calculations are rounded up to the nearest vial</w:t>
      </w:r>
    </w:p>
    <w:p w:rsidR="001B010A" w:rsidRDefault="001B010A" w:rsidP="001B010A">
      <w:pPr>
        <w:pStyle w:val="BodyTextIndent"/>
        <w:spacing w:after="0"/>
        <w:ind w:left="0"/>
        <w:rPr>
          <w:rFonts w:ascii="Arial Narrow" w:hAnsi="Arial Narrow"/>
          <w:b/>
          <w:sz w:val="22"/>
        </w:rPr>
      </w:pPr>
    </w:p>
    <w:p w:rsidR="00817FB6" w:rsidRPr="00817FB6" w:rsidRDefault="00817FB6" w:rsidP="001B010A">
      <w:pPr>
        <w:pStyle w:val="BodyTextIndent"/>
        <w:spacing w:after="0"/>
        <w:ind w:left="0"/>
        <w:rPr>
          <w:rFonts w:ascii="Arial Narrow" w:hAnsi="Arial Narrow"/>
          <w:b/>
          <w:sz w:val="22"/>
        </w:rPr>
      </w:pPr>
      <w:r>
        <w:rPr>
          <w:rFonts w:ascii="Arial Narrow" w:hAnsi="Arial Narrow"/>
          <w:b/>
          <w:sz w:val="22"/>
        </w:rPr>
        <w:t>Table 5.</w:t>
      </w:r>
      <w:r>
        <w:rPr>
          <w:rFonts w:ascii="Arial Narrow" w:hAnsi="Arial Narrow"/>
          <w:b/>
          <w:sz w:val="22"/>
        </w:rPr>
        <w:tab/>
      </w:r>
      <w:r w:rsidRPr="00E50BE3">
        <w:rPr>
          <w:rFonts w:ascii="Arial Narrow" w:hAnsi="Arial Narrow"/>
          <w:b/>
          <w:sz w:val="22"/>
        </w:rPr>
        <w:t>Dose Calculation for Full Neutralisation in Digoxin Poisoning</w:t>
      </w:r>
      <w:r>
        <w:rPr>
          <w:rFonts w:ascii="Arial Narrow" w:hAnsi="Arial Narrow"/>
          <w:b/>
          <w:sz w:val="22"/>
        </w:rPr>
        <w:t xml:space="preserve"> in Children </w:t>
      </w:r>
      <w:r w:rsidRPr="00817FB6">
        <w:rPr>
          <w:rFonts w:ascii="Arial Narrow" w:hAnsi="Arial Narrow"/>
          <w:b/>
          <w:sz w:val="22"/>
        </w:rPr>
        <w:t>≤20 kg</w:t>
      </w:r>
    </w:p>
    <w:p w:rsidR="001B010A" w:rsidRPr="00C50B79" w:rsidRDefault="001B010A" w:rsidP="001B010A">
      <w:pPr>
        <w:pStyle w:val="BodyTextIndent"/>
        <w:spacing w:after="0"/>
        <w:ind w:left="0"/>
        <w:rPr>
          <w:rFonts w:ascii="Arial Narrow" w:hAnsi="Arial Narrow"/>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433"/>
      </w:tblGrid>
      <w:tr w:rsidR="001B010A" w:rsidRPr="00C50B79" w:rsidTr="00C91270">
        <w:tc>
          <w:tcPr>
            <w:tcW w:w="9134" w:type="dxa"/>
            <w:gridSpan w:val="2"/>
          </w:tcPr>
          <w:p w:rsidR="001B010A" w:rsidRPr="00C50B79" w:rsidRDefault="001B010A" w:rsidP="00C91270">
            <w:pPr>
              <w:pStyle w:val="BodyTextIndent"/>
              <w:keepNext/>
              <w:spacing w:after="0"/>
              <w:ind w:left="0"/>
              <w:rPr>
                <w:rFonts w:ascii="Arial Narrow" w:hAnsi="Arial Narrow"/>
                <w:i/>
                <w:sz w:val="22"/>
              </w:rPr>
            </w:pPr>
          </w:p>
          <w:p w:rsidR="001B010A" w:rsidRPr="00C50B79" w:rsidRDefault="001B010A" w:rsidP="00C91270">
            <w:pPr>
              <w:pStyle w:val="BodyTextIndent"/>
              <w:keepNext/>
              <w:spacing w:after="0"/>
              <w:ind w:left="0"/>
              <w:rPr>
                <w:rFonts w:ascii="Arial Narrow" w:hAnsi="Arial Narrow"/>
                <w:i/>
                <w:sz w:val="22"/>
              </w:rPr>
            </w:pPr>
            <w:r w:rsidRPr="00C50B79">
              <w:rPr>
                <w:rFonts w:ascii="Arial Narrow" w:hAnsi="Arial Narrow"/>
                <w:i/>
                <w:sz w:val="22"/>
              </w:rPr>
              <w:t xml:space="preserve">Step 2 (ii) Children </w:t>
            </w:r>
            <w:r>
              <w:rPr>
                <w:rFonts w:ascii="Arial Narrow" w:hAnsi="Arial Narrow"/>
                <w:i/>
                <w:sz w:val="22"/>
              </w:rPr>
              <w:t>≤</w:t>
            </w:r>
            <w:r w:rsidRPr="00C50B79">
              <w:rPr>
                <w:rFonts w:ascii="Arial Narrow" w:hAnsi="Arial Narrow"/>
                <w:i/>
                <w:sz w:val="22"/>
              </w:rPr>
              <w:t>20 kg</w:t>
            </w:r>
          </w:p>
        </w:tc>
      </w:tr>
      <w:tr w:rsidR="001B010A" w:rsidRPr="00C50B79" w:rsidTr="00C91270">
        <w:tc>
          <w:tcPr>
            <w:tcW w:w="1701" w:type="dxa"/>
          </w:tcPr>
          <w:p w:rsidR="001B010A" w:rsidRPr="00C50B79" w:rsidRDefault="001B010A" w:rsidP="00C91270">
            <w:pPr>
              <w:pStyle w:val="BodyTextIndent"/>
              <w:keepNext/>
              <w:spacing w:after="0"/>
              <w:ind w:left="0"/>
              <w:jc w:val="center"/>
              <w:rPr>
                <w:rFonts w:ascii="Arial Narrow" w:hAnsi="Arial Narrow"/>
                <w:i/>
                <w:sz w:val="22"/>
              </w:rPr>
            </w:pPr>
          </w:p>
          <w:p w:rsidR="001B010A" w:rsidRPr="00C50B79" w:rsidRDefault="001B010A" w:rsidP="00C91270">
            <w:pPr>
              <w:pStyle w:val="BodyTextIndent"/>
              <w:keepNext/>
              <w:spacing w:after="0"/>
              <w:ind w:left="0"/>
              <w:jc w:val="center"/>
              <w:rPr>
                <w:rFonts w:ascii="Arial Narrow" w:hAnsi="Arial Narrow"/>
                <w:i/>
                <w:sz w:val="22"/>
              </w:rPr>
            </w:pPr>
            <w:r w:rsidRPr="00C50B79">
              <w:rPr>
                <w:rFonts w:ascii="Arial Narrow" w:hAnsi="Arial Narrow"/>
                <w:i/>
                <w:sz w:val="22"/>
              </w:rPr>
              <w:t>Step 3 (i</w:t>
            </w:r>
            <w:r>
              <w:rPr>
                <w:rFonts w:ascii="Arial Narrow" w:hAnsi="Arial Narrow"/>
                <w:i/>
                <w:sz w:val="22"/>
              </w:rPr>
              <w:t>i</w:t>
            </w:r>
            <w:r w:rsidRPr="00C50B79">
              <w:rPr>
                <w:rFonts w:ascii="Arial Narrow" w:hAnsi="Arial Narrow"/>
                <w:i/>
                <w:sz w:val="22"/>
              </w:rPr>
              <w:t>)</w:t>
            </w:r>
          </w:p>
          <w:p w:rsidR="001B010A" w:rsidRPr="00C50B79" w:rsidRDefault="001B010A" w:rsidP="00C91270">
            <w:pPr>
              <w:pStyle w:val="BodyTextIndent"/>
              <w:keepNext/>
              <w:spacing w:after="0"/>
              <w:ind w:left="0"/>
              <w:jc w:val="center"/>
              <w:rPr>
                <w:rFonts w:ascii="Arial Narrow" w:hAnsi="Arial Narrow"/>
                <w:i/>
                <w:sz w:val="22"/>
              </w:rPr>
            </w:pPr>
          </w:p>
        </w:tc>
        <w:tc>
          <w:tcPr>
            <w:tcW w:w="7433" w:type="dxa"/>
          </w:tcPr>
          <w:p w:rsidR="001B010A" w:rsidRPr="00C50B79" w:rsidRDefault="001B010A" w:rsidP="00C91270">
            <w:pPr>
              <w:pStyle w:val="BodyTextIndent"/>
              <w:keepNext/>
              <w:spacing w:before="120"/>
              <w:ind w:left="0"/>
              <w:rPr>
                <w:rFonts w:ascii="Arial Narrow" w:hAnsi="Arial Narrow"/>
                <w:sz w:val="22"/>
              </w:rPr>
            </w:pPr>
            <w:r w:rsidRPr="00C50B79">
              <w:rPr>
                <w:rFonts w:ascii="Arial Narrow" w:hAnsi="Arial Narrow"/>
                <w:sz w:val="22"/>
              </w:rPr>
              <w:t>Serum digoxin concentration known</w:t>
            </w:r>
          </w:p>
          <w:p w:rsidR="001B010A" w:rsidRPr="00C50B79" w:rsidRDefault="001B010A" w:rsidP="00C91270">
            <w:pPr>
              <w:pStyle w:val="BodyTextIndent"/>
              <w:keepNext/>
              <w:spacing w:before="120"/>
              <w:ind w:left="0"/>
              <w:rPr>
                <w:rFonts w:ascii="Arial Narrow" w:hAnsi="Arial Narrow"/>
                <w:sz w:val="22"/>
              </w:rPr>
            </w:pPr>
            <w:r w:rsidRPr="00C50B79">
              <w:rPr>
                <w:rFonts w:ascii="Arial Narrow" w:hAnsi="Arial Narrow"/>
                <w:sz w:val="22"/>
              </w:rPr>
              <w:t>Full neutralisation dose of DIGIFAB is:</w:t>
            </w:r>
          </w:p>
          <w:p w:rsidR="001B010A" w:rsidRPr="00C50B79" w:rsidRDefault="001B010A" w:rsidP="00C91270">
            <w:pPr>
              <w:pStyle w:val="BodyTextIndent"/>
              <w:keepNext/>
              <w:spacing w:before="120"/>
              <w:ind w:left="0"/>
              <w:rPr>
                <w:rFonts w:ascii="Arial Narrow" w:hAnsi="Arial Narrow"/>
                <w:sz w:val="22"/>
              </w:rPr>
            </w:pPr>
            <w:r w:rsidRPr="00C50B79">
              <w:rPr>
                <w:rFonts w:ascii="Arial Narrow" w:hAnsi="Arial Narrow"/>
                <w:sz w:val="22"/>
              </w:rPr>
              <w:t>Number of vials = [ serum digoxin concentration (ng/mL)  X  weight (kg) ]  /  100</w:t>
            </w:r>
          </w:p>
          <w:p w:rsidR="001B010A" w:rsidRPr="00C50B79" w:rsidRDefault="001B010A" w:rsidP="00C91270">
            <w:pPr>
              <w:pStyle w:val="BodyTextIndent"/>
              <w:keepNext/>
              <w:spacing w:before="120"/>
              <w:ind w:left="0"/>
              <w:rPr>
                <w:rFonts w:ascii="Arial Narrow" w:hAnsi="Arial Narrow"/>
                <w:sz w:val="22"/>
              </w:rPr>
            </w:pPr>
            <w:r w:rsidRPr="00C50B79">
              <w:rPr>
                <w:rFonts w:ascii="Arial Narrow" w:hAnsi="Arial Narrow"/>
                <w:sz w:val="22"/>
              </w:rPr>
              <w:t>Round up to the nearest vial</w:t>
            </w:r>
            <w:r>
              <w:rPr>
                <w:rFonts w:ascii="Arial Narrow" w:hAnsi="Arial Narrow"/>
                <w:sz w:val="22"/>
              </w:rPr>
              <w:t xml:space="preserve"> (see dosing calculation example below for known serum digoxin concentration)</w:t>
            </w:r>
          </w:p>
          <w:p w:rsidR="001B010A" w:rsidRPr="00C50B79" w:rsidRDefault="001B010A" w:rsidP="00C91270">
            <w:pPr>
              <w:pStyle w:val="BodyTextIndent"/>
              <w:keepNext/>
              <w:spacing w:before="120"/>
              <w:ind w:left="0"/>
              <w:rPr>
                <w:rFonts w:ascii="Arial Narrow" w:hAnsi="Arial Narrow"/>
                <w:sz w:val="22"/>
              </w:rPr>
            </w:pPr>
            <w:r w:rsidRPr="00C50B79">
              <w:rPr>
                <w:rFonts w:ascii="Arial Narrow" w:hAnsi="Arial Narrow"/>
                <w:sz w:val="22"/>
              </w:rPr>
              <w:t>To calculate the number of milligrams to be prescribed: multiply the number of vials by 40 (as there are 40 mg/vial).</w:t>
            </w:r>
          </w:p>
        </w:tc>
      </w:tr>
      <w:tr w:rsidR="001B010A" w:rsidRPr="00C50B79" w:rsidTr="00C91270">
        <w:tc>
          <w:tcPr>
            <w:tcW w:w="1701" w:type="dxa"/>
          </w:tcPr>
          <w:p w:rsidR="001B010A" w:rsidRPr="00C50B79" w:rsidRDefault="001B010A" w:rsidP="00C91270">
            <w:pPr>
              <w:pStyle w:val="BodyTextIndent"/>
              <w:keepNext/>
              <w:spacing w:after="0"/>
              <w:ind w:left="0"/>
              <w:jc w:val="center"/>
              <w:rPr>
                <w:rFonts w:ascii="Arial Narrow" w:hAnsi="Arial Narrow"/>
                <w:sz w:val="22"/>
              </w:rPr>
            </w:pPr>
          </w:p>
          <w:p w:rsidR="001B010A" w:rsidRDefault="001B010A" w:rsidP="00C91270">
            <w:pPr>
              <w:pStyle w:val="BodyTextIndent"/>
              <w:keepNext/>
              <w:spacing w:after="0"/>
              <w:ind w:left="0"/>
              <w:jc w:val="center"/>
              <w:rPr>
                <w:rFonts w:ascii="Arial Narrow" w:hAnsi="Arial Narrow"/>
                <w:i/>
                <w:sz w:val="22"/>
              </w:rPr>
            </w:pPr>
            <w:r>
              <w:rPr>
                <w:rFonts w:ascii="Arial Narrow" w:hAnsi="Arial Narrow"/>
                <w:i/>
                <w:sz w:val="22"/>
              </w:rPr>
              <w:t>OR</w:t>
            </w:r>
          </w:p>
          <w:p w:rsidR="001B010A" w:rsidRDefault="001B010A" w:rsidP="00C91270">
            <w:pPr>
              <w:pStyle w:val="BodyTextIndent"/>
              <w:keepNext/>
              <w:spacing w:after="0"/>
              <w:ind w:left="0"/>
              <w:jc w:val="center"/>
              <w:rPr>
                <w:rFonts w:ascii="Arial Narrow" w:hAnsi="Arial Narrow"/>
                <w:i/>
                <w:sz w:val="22"/>
              </w:rPr>
            </w:pPr>
          </w:p>
          <w:p w:rsidR="001B010A" w:rsidRPr="00C50B79" w:rsidRDefault="001B010A" w:rsidP="00C91270">
            <w:pPr>
              <w:pStyle w:val="BodyTextIndent"/>
              <w:keepNext/>
              <w:spacing w:after="0"/>
              <w:ind w:left="0"/>
              <w:jc w:val="center"/>
              <w:rPr>
                <w:rFonts w:ascii="Arial Narrow" w:hAnsi="Arial Narrow"/>
                <w:i/>
                <w:sz w:val="22"/>
              </w:rPr>
            </w:pPr>
            <w:r w:rsidRPr="00C50B79">
              <w:rPr>
                <w:rFonts w:ascii="Arial Narrow" w:hAnsi="Arial Narrow"/>
                <w:i/>
                <w:sz w:val="22"/>
              </w:rPr>
              <w:t>Step 3</w:t>
            </w:r>
            <w:r>
              <w:rPr>
                <w:rFonts w:ascii="Arial Narrow" w:hAnsi="Arial Narrow"/>
                <w:i/>
                <w:sz w:val="22"/>
              </w:rPr>
              <w:t xml:space="preserve"> (iii)</w:t>
            </w:r>
          </w:p>
          <w:p w:rsidR="001B010A" w:rsidRPr="00C50B79" w:rsidRDefault="001B010A" w:rsidP="00C91270">
            <w:pPr>
              <w:pStyle w:val="BodyTextIndent"/>
              <w:keepNext/>
              <w:spacing w:after="0"/>
              <w:ind w:left="0"/>
              <w:jc w:val="center"/>
              <w:rPr>
                <w:rFonts w:ascii="Arial Narrow" w:hAnsi="Arial Narrow"/>
                <w:sz w:val="22"/>
              </w:rPr>
            </w:pPr>
          </w:p>
          <w:p w:rsidR="001B010A" w:rsidRPr="00C50B79" w:rsidRDefault="001B010A" w:rsidP="00C91270">
            <w:pPr>
              <w:pStyle w:val="BodyTextIndent"/>
              <w:keepNext/>
              <w:spacing w:after="0"/>
              <w:ind w:left="0"/>
              <w:jc w:val="center"/>
              <w:rPr>
                <w:rFonts w:ascii="Arial Narrow" w:hAnsi="Arial Narrow"/>
                <w:sz w:val="22"/>
              </w:rPr>
            </w:pPr>
            <w:r w:rsidRPr="00C50B79">
              <w:rPr>
                <w:rFonts w:ascii="Arial Narrow" w:hAnsi="Arial Narrow"/>
                <w:sz w:val="22"/>
              </w:rPr>
              <w:t>Alternate for children &lt;20kg</w:t>
            </w:r>
          </w:p>
          <w:p w:rsidR="001B010A" w:rsidRPr="00C50B79" w:rsidRDefault="001B010A" w:rsidP="00C91270">
            <w:pPr>
              <w:pStyle w:val="BodyTextIndent"/>
              <w:keepNext/>
              <w:spacing w:after="0"/>
              <w:ind w:left="0"/>
              <w:jc w:val="center"/>
              <w:rPr>
                <w:rFonts w:ascii="Arial Narrow" w:hAnsi="Arial Narrow"/>
                <w:sz w:val="22"/>
              </w:rPr>
            </w:pPr>
            <w:r w:rsidRPr="00C50B79">
              <w:rPr>
                <w:rFonts w:ascii="Arial Narrow" w:hAnsi="Arial Narrow"/>
                <w:sz w:val="22"/>
              </w:rPr>
              <w:t>when serum digoxin not known</w:t>
            </w:r>
          </w:p>
        </w:tc>
        <w:tc>
          <w:tcPr>
            <w:tcW w:w="7433" w:type="dxa"/>
          </w:tcPr>
          <w:p w:rsidR="001B010A" w:rsidRDefault="001B010A" w:rsidP="00C91270">
            <w:pPr>
              <w:pStyle w:val="BodyTextIndent"/>
              <w:keepNext/>
              <w:spacing w:before="120"/>
              <w:ind w:left="0"/>
              <w:rPr>
                <w:rFonts w:ascii="Arial Narrow" w:hAnsi="Arial Narrow"/>
                <w:sz w:val="22"/>
              </w:rPr>
            </w:pPr>
          </w:p>
          <w:p w:rsidR="001B010A" w:rsidRDefault="001B010A" w:rsidP="00C91270">
            <w:pPr>
              <w:pStyle w:val="BodyTextIndent"/>
              <w:keepNext/>
              <w:spacing w:before="120"/>
              <w:ind w:left="0"/>
              <w:rPr>
                <w:rFonts w:ascii="Arial Narrow" w:hAnsi="Arial Narrow"/>
                <w:sz w:val="22"/>
              </w:rPr>
            </w:pPr>
          </w:p>
          <w:p w:rsidR="001B010A" w:rsidRPr="00C50B79" w:rsidRDefault="001B010A" w:rsidP="00C91270">
            <w:pPr>
              <w:pStyle w:val="BodyTextIndent"/>
              <w:keepNext/>
              <w:spacing w:before="120"/>
              <w:ind w:left="0"/>
              <w:rPr>
                <w:rFonts w:ascii="Arial Narrow" w:hAnsi="Arial Narrow"/>
                <w:sz w:val="22"/>
              </w:rPr>
            </w:pPr>
            <w:r w:rsidRPr="00C50B79">
              <w:rPr>
                <w:rFonts w:ascii="Arial Narrow" w:hAnsi="Arial Narrow"/>
                <w:sz w:val="22"/>
              </w:rPr>
              <w:t>Serum digoxin concentration not known</w:t>
            </w:r>
          </w:p>
          <w:p w:rsidR="001B010A" w:rsidRPr="00C50B79" w:rsidRDefault="001B010A" w:rsidP="00C91270">
            <w:pPr>
              <w:pStyle w:val="BodyTextIndent"/>
              <w:keepNext/>
              <w:spacing w:before="120"/>
              <w:ind w:left="0"/>
              <w:rPr>
                <w:rFonts w:ascii="Arial Narrow" w:hAnsi="Arial Narrow"/>
                <w:sz w:val="22"/>
              </w:rPr>
            </w:pPr>
            <w:r w:rsidRPr="00C50B79">
              <w:rPr>
                <w:rFonts w:ascii="Arial Narrow" w:hAnsi="Arial Narrow"/>
                <w:sz w:val="22"/>
              </w:rPr>
              <w:t>Dose initially with one vial of DIGIFAB and repeat if symptoms persist or recur.</w:t>
            </w:r>
          </w:p>
          <w:p w:rsidR="001B010A" w:rsidRPr="00C50B79" w:rsidRDefault="001B010A" w:rsidP="00C91270">
            <w:pPr>
              <w:pStyle w:val="BodyTextIndent"/>
              <w:keepNext/>
              <w:spacing w:after="0"/>
              <w:ind w:left="0"/>
              <w:rPr>
                <w:rFonts w:ascii="Arial Narrow" w:hAnsi="Arial Narrow"/>
                <w:sz w:val="22"/>
              </w:rPr>
            </w:pPr>
          </w:p>
        </w:tc>
      </w:tr>
    </w:tbl>
    <w:p w:rsidR="001B010A" w:rsidRDefault="001B010A" w:rsidP="001B010A">
      <w:pPr>
        <w:pStyle w:val="BodyTextIndent"/>
        <w:spacing w:after="0"/>
        <w:ind w:left="0"/>
        <w:rPr>
          <w:rFonts w:ascii="Arial Narrow" w:hAnsi="Arial Narrow"/>
          <w:b/>
          <w:sz w:val="22"/>
        </w:rPr>
      </w:pPr>
    </w:p>
    <w:p w:rsidR="00711A08" w:rsidRPr="00C50B79" w:rsidRDefault="00711A08" w:rsidP="001B010A">
      <w:pPr>
        <w:pStyle w:val="BodyTextIndent"/>
        <w:spacing w:after="0"/>
        <w:ind w:left="0"/>
        <w:rPr>
          <w:rFonts w:ascii="Arial Narrow" w:hAnsi="Arial Narrow"/>
          <w:b/>
          <w:sz w:val="22"/>
        </w:rPr>
      </w:pPr>
    </w:p>
    <w:p w:rsidR="001B010A" w:rsidRPr="00C50B79" w:rsidRDefault="001B010A" w:rsidP="001B010A">
      <w:pPr>
        <w:pStyle w:val="BodyTextIndent"/>
        <w:spacing w:after="0"/>
        <w:ind w:left="0"/>
        <w:rPr>
          <w:rFonts w:ascii="Arial Narrow" w:hAnsi="Arial Narrow"/>
          <w:sz w:val="22"/>
        </w:rPr>
      </w:pPr>
      <w:r w:rsidRPr="00C50B79">
        <w:rPr>
          <w:rFonts w:ascii="Arial Narrow" w:hAnsi="Arial Narrow"/>
          <w:b/>
          <w:sz w:val="22"/>
        </w:rPr>
        <w:t>Dosing Calculation Example</w:t>
      </w:r>
      <w:r>
        <w:rPr>
          <w:rFonts w:ascii="Arial Narrow" w:hAnsi="Arial Narrow"/>
          <w:b/>
          <w:sz w:val="22"/>
        </w:rPr>
        <w:t xml:space="preserve"> for Known Serum Digoxin Concentration</w:t>
      </w:r>
      <w:r w:rsidRPr="00C50B79">
        <w:rPr>
          <w:rFonts w:ascii="Arial Narrow" w:hAnsi="Arial Narrow"/>
          <w:b/>
          <w:sz w:val="22"/>
        </w:rPr>
        <w:t>:</w:t>
      </w:r>
      <w:r>
        <w:rPr>
          <w:rFonts w:ascii="Arial Narrow" w:hAnsi="Arial Narrow"/>
          <w:b/>
          <w:sz w:val="22"/>
        </w:rPr>
        <w:t xml:space="preserve">  </w:t>
      </w:r>
      <w:r w:rsidRPr="00C50B79">
        <w:rPr>
          <w:rFonts w:ascii="Arial Narrow" w:hAnsi="Arial Narrow"/>
          <w:sz w:val="22"/>
        </w:rPr>
        <w:t>Adult patient weighing 60 kg with chronic overdose and a known serum digoxin concentration of 3 ng/mL.</w:t>
      </w:r>
    </w:p>
    <w:p w:rsidR="001B010A" w:rsidRPr="00C50B79" w:rsidRDefault="001B010A" w:rsidP="001B010A">
      <w:pPr>
        <w:pStyle w:val="BodyTextIndent"/>
        <w:spacing w:after="0"/>
        <w:ind w:left="0"/>
        <w:rPr>
          <w:rFonts w:ascii="Arial Narrow" w:hAnsi="Arial Narrow"/>
          <w:sz w:val="22"/>
        </w:rPr>
      </w:pPr>
    </w:p>
    <w:p w:rsidR="001B010A" w:rsidRPr="00C50B79" w:rsidRDefault="001B010A" w:rsidP="001B010A">
      <w:pPr>
        <w:pStyle w:val="ListParagraph"/>
        <w:numPr>
          <w:ilvl w:val="0"/>
          <w:numId w:val="5"/>
        </w:numPr>
        <w:spacing w:after="0" w:line="240" w:lineRule="auto"/>
        <w:rPr>
          <w:rFonts w:ascii="Arial Narrow" w:hAnsi="Arial Narrow"/>
          <w:szCs w:val="24"/>
        </w:rPr>
      </w:pPr>
      <w:r w:rsidRPr="00C50B79">
        <w:rPr>
          <w:rFonts w:ascii="Arial Narrow" w:hAnsi="Arial Narrow"/>
          <w:szCs w:val="24"/>
        </w:rPr>
        <w:lastRenderedPageBreak/>
        <w:t xml:space="preserve">Calculate </w:t>
      </w:r>
      <w:r w:rsidRPr="00C50B79">
        <w:rPr>
          <w:rFonts w:ascii="Arial Narrow" w:hAnsi="Arial Narrow"/>
          <w:sz w:val="20"/>
        </w:rPr>
        <w:t>DIGIFAB</w:t>
      </w:r>
      <w:r w:rsidRPr="00C50B79">
        <w:rPr>
          <w:rFonts w:ascii="Arial Narrow" w:hAnsi="Arial Narrow"/>
          <w:szCs w:val="24"/>
        </w:rPr>
        <w:t xml:space="preserve"> dose by multiplying the serum concentration by the patient’s weight and dividing by 100. Dose = (</w:t>
      </w:r>
      <w:r>
        <w:rPr>
          <w:rFonts w:ascii="Arial Narrow" w:hAnsi="Arial Narrow"/>
          <w:szCs w:val="24"/>
        </w:rPr>
        <w:t>60</w:t>
      </w:r>
      <w:r w:rsidRPr="00C50B79">
        <w:rPr>
          <w:rFonts w:ascii="Arial Narrow" w:hAnsi="Arial Narrow"/>
          <w:szCs w:val="24"/>
        </w:rPr>
        <w:t xml:space="preserve"> kg x 3 ng/mL)/100 = 1.8 vials (round up to 2 vials)</w:t>
      </w:r>
    </w:p>
    <w:p w:rsidR="001B010A" w:rsidRPr="00C50B79" w:rsidRDefault="001B010A" w:rsidP="001B010A">
      <w:pPr>
        <w:pStyle w:val="ListParagraph"/>
        <w:numPr>
          <w:ilvl w:val="0"/>
          <w:numId w:val="5"/>
        </w:numPr>
        <w:spacing w:after="0" w:line="240" w:lineRule="auto"/>
        <w:rPr>
          <w:rFonts w:ascii="Arial Narrow" w:hAnsi="Arial Narrow"/>
          <w:szCs w:val="24"/>
        </w:rPr>
      </w:pPr>
      <w:r w:rsidRPr="00C50B79">
        <w:rPr>
          <w:rFonts w:ascii="Arial Narrow" w:hAnsi="Arial Narrow"/>
          <w:szCs w:val="24"/>
        </w:rPr>
        <w:t xml:space="preserve">Administer ½ the calculated dose (1 vial of </w:t>
      </w:r>
      <w:r w:rsidRPr="00C50B79">
        <w:rPr>
          <w:rFonts w:ascii="Arial Narrow" w:hAnsi="Arial Narrow"/>
          <w:sz w:val="20"/>
        </w:rPr>
        <w:t>DIGIFAB</w:t>
      </w:r>
      <w:r w:rsidRPr="00C50B79">
        <w:rPr>
          <w:rFonts w:ascii="Arial Narrow" w:hAnsi="Arial Narrow"/>
          <w:szCs w:val="24"/>
        </w:rPr>
        <w:t>) and monitor the patient closely for persistent or recurrent signs and symptoms of toxicity. Administer second vial if symptoms persist or recur.</w:t>
      </w:r>
    </w:p>
    <w:p w:rsidR="00711A08" w:rsidRDefault="00711A08" w:rsidP="00711A08">
      <w:pPr>
        <w:spacing w:after="200" w:line="276" w:lineRule="auto"/>
        <w:rPr>
          <w:rFonts w:ascii="Arial Narrow" w:hAnsi="Arial Narrow"/>
          <w:sz w:val="22"/>
        </w:rPr>
      </w:pPr>
      <w:r>
        <w:rPr>
          <w:rFonts w:ascii="Arial Narrow" w:hAnsi="Arial Narrow"/>
          <w:sz w:val="22"/>
        </w:rPr>
        <w:br w:type="page"/>
      </w:r>
    </w:p>
    <w:p w:rsidR="00711A08" w:rsidRDefault="00711A08" w:rsidP="00711A08">
      <w:pPr>
        <w:tabs>
          <w:tab w:val="left" w:pos="720"/>
        </w:tabs>
        <w:ind w:left="720" w:hanging="720"/>
        <w:rPr>
          <w:rFonts w:ascii="Arial Narrow" w:hAnsi="Arial Narrow"/>
          <w:sz w:val="22"/>
        </w:rPr>
        <w:sectPr w:rsidR="00711A08">
          <w:headerReference w:type="default" r:id="rId8"/>
          <w:footerReference w:type="default" r:id="rId9"/>
          <w:pgSz w:w="11906" w:h="16838"/>
          <w:pgMar w:top="1440" w:right="1440" w:bottom="1440" w:left="1440" w:header="708" w:footer="708" w:gutter="0"/>
          <w:cols w:space="708"/>
          <w:docGrid w:linePitch="360"/>
        </w:sectPr>
      </w:pPr>
    </w:p>
    <w:p w:rsidR="00166B07" w:rsidRDefault="000053C1" w:rsidP="00953930">
      <w:pPr>
        <w:spacing w:line="276" w:lineRule="auto"/>
        <w:jc w:val="center"/>
        <w:rPr>
          <w:rFonts w:asciiTheme="minorHAnsi" w:eastAsiaTheme="minorHAnsi" w:hAnsiTheme="minorHAnsi" w:cstheme="minorBidi"/>
          <w:b/>
          <w:sz w:val="32"/>
          <w:szCs w:val="32"/>
          <w:lang w:val="en-US" w:eastAsia="en-US"/>
        </w:rPr>
      </w:pPr>
      <w:proofErr w:type="gramStart"/>
      <w:r>
        <w:rPr>
          <w:rFonts w:asciiTheme="minorHAnsi" w:eastAsiaTheme="minorHAnsi" w:hAnsiTheme="minorHAnsi" w:cstheme="minorBidi"/>
          <w:b/>
          <w:sz w:val="32"/>
          <w:szCs w:val="32"/>
          <w:lang w:val="en-US" w:eastAsia="en-US"/>
        </w:rPr>
        <w:lastRenderedPageBreak/>
        <w:t>Figure 1.</w:t>
      </w:r>
      <w:proofErr w:type="gramEnd"/>
      <w:r>
        <w:rPr>
          <w:rFonts w:asciiTheme="minorHAnsi" w:eastAsiaTheme="minorHAnsi" w:hAnsiTheme="minorHAnsi" w:cstheme="minorBidi"/>
          <w:b/>
          <w:sz w:val="32"/>
          <w:szCs w:val="32"/>
          <w:lang w:val="en-US" w:eastAsia="en-US"/>
        </w:rPr>
        <w:tab/>
      </w:r>
      <w:r w:rsidR="00166B07" w:rsidRPr="00166B07">
        <w:rPr>
          <w:rFonts w:asciiTheme="minorHAnsi" w:eastAsiaTheme="minorHAnsi" w:hAnsiTheme="minorHAnsi" w:cstheme="minorBidi"/>
          <w:b/>
          <w:sz w:val="32"/>
          <w:szCs w:val="32"/>
          <w:lang w:val="en-US" w:eastAsia="en-US"/>
        </w:rPr>
        <w:t xml:space="preserve">Determining the dose of </w:t>
      </w:r>
      <w:r w:rsidR="001536FF">
        <w:rPr>
          <w:rFonts w:asciiTheme="minorHAnsi" w:eastAsiaTheme="minorHAnsi" w:hAnsiTheme="minorHAnsi" w:cstheme="minorBidi"/>
          <w:b/>
          <w:sz w:val="32"/>
          <w:szCs w:val="32"/>
          <w:lang w:val="en-US" w:eastAsia="en-US"/>
        </w:rPr>
        <w:t>DIGIFAB</w:t>
      </w:r>
      <w:r w:rsidR="00166B07" w:rsidRPr="00166B07">
        <w:rPr>
          <w:rFonts w:asciiTheme="minorHAnsi" w:eastAsiaTheme="minorHAnsi" w:hAnsiTheme="minorHAnsi" w:cstheme="minorBidi"/>
          <w:b/>
          <w:sz w:val="32"/>
          <w:szCs w:val="32"/>
          <w:lang w:val="en-US" w:eastAsia="en-US"/>
        </w:rPr>
        <w:t xml:space="preserve"> for Adults and Children &gt; 20</w:t>
      </w:r>
      <w:r w:rsidR="00511A54">
        <w:rPr>
          <w:rFonts w:asciiTheme="minorHAnsi" w:eastAsiaTheme="minorHAnsi" w:hAnsiTheme="minorHAnsi" w:cstheme="minorBidi"/>
          <w:b/>
          <w:sz w:val="32"/>
          <w:szCs w:val="32"/>
          <w:lang w:val="en-US" w:eastAsia="en-US"/>
        </w:rPr>
        <w:t xml:space="preserve"> </w:t>
      </w:r>
      <w:r w:rsidR="00166B07" w:rsidRPr="00166B07">
        <w:rPr>
          <w:rFonts w:asciiTheme="minorHAnsi" w:eastAsiaTheme="minorHAnsi" w:hAnsiTheme="minorHAnsi" w:cstheme="minorBidi"/>
          <w:b/>
          <w:sz w:val="32"/>
          <w:szCs w:val="32"/>
          <w:lang w:val="en-US" w:eastAsia="en-US"/>
        </w:rPr>
        <w:t>kg</w:t>
      </w:r>
    </w:p>
    <w:p w:rsidR="00711A08" w:rsidRPr="006F71F2" w:rsidRDefault="003A56BF" w:rsidP="00711A08">
      <w:pPr>
        <w:rPr>
          <w:sz w:val="22"/>
          <w:szCs w:val="22"/>
        </w:rPr>
        <w:sectPr w:rsidR="00711A08" w:rsidRPr="006F71F2" w:rsidSect="004645B4">
          <w:headerReference w:type="default" r:id="rId10"/>
          <w:footerReference w:type="default" r:id="rId11"/>
          <w:pgSz w:w="16838" w:h="11906" w:orient="landscape"/>
          <w:pgMar w:top="1276" w:right="1440" w:bottom="993" w:left="1440" w:header="567" w:footer="231" w:gutter="0"/>
          <w:cols w:space="708"/>
          <w:docGrid w:linePitch="360"/>
        </w:sectPr>
      </w:pPr>
      <w:r>
        <w:rPr>
          <w:noProof/>
          <w:sz w:val="22"/>
          <w:szCs w:val="22"/>
          <w:lang w:val="en-AU" w:eastAsia="en-AU"/>
        </w:rPr>
        <w:drawing>
          <wp:inline distT="0" distB="0" distL="0" distR="0" wp14:anchorId="5DEE8EBF">
            <wp:extent cx="9336253" cy="4953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8785" cy="4954343"/>
                    </a:xfrm>
                    <a:prstGeom prst="rect">
                      <a:avLst/>
                    </a:prstGeom>
                    <a:noFill/>
                  </pic:spPr>
                </pic:pic>
              </a:graphicData>
            </a:graphic>
          </wp:inline>
        </w:drawing>
      </w:r>
    </w:p>
    <w:p w:rsidR="00491A1C" w:rsidRPr="00511A54" w:rsidRDefault="00491A1C" w:rsidP="00746F03">
      <w:pPr>
        <w:pStyle w:val="Heading2"/>
        <w:spacing w:before="0"/>
        <w:ind w:left="993" w:right="665"/>
        <w:rPr>
          <w:rFonts w:ascii="Arial Narrow" w:hAnsi="Arial Narrow"/>
          <w:color w:val="auto"/>
          <w:sz w:val="22"/>
          <w:szCs w:val="22"/>
        </w:rPr>
      </w:pPr>
      <w:r w:rsidRPr="00511A54">
        <w:rPr>
          <w:rFonts w:ascii="Arial Narrow" w:hAnsi="Arial Narrow"/>
          <w:color w:val="auto"/>
          <w:sz w:val="22"/>
          <w:szCs w:val="22"/>
        </w:rPr>
        <w:lastRenderedPageBreak/>
        <w:t>Method of Preparation for Administration</w:t>
      </w:r>
    </w:p>
    <w:p w:rsidR="004C28C3" w:rsidRDefault="00491A1C" w:rsidP="00746F03">
      <w:pPr>
        <w:pStyle w:val="Heading2"/>
        <w:spacing w:before="0"/>
        <w:ind w:left="993" w:right="665"/>
        <w:rPr>
          <w:rFonts w:ascii="Arial Narrow" w:hAnsi="Arial Narrow" w:cs="Times New Roman"/>
          <w:b w:val="0"/>
          <w:color w:val="auto"/>
          <w:sz w:val="22"/>
          <w:szCs w:val="22"/>
        </w:rPr>
      </w:pPr>
      <w:r w:rsidRPr="00C50B79">
        <w:rPr>
          <w:rFonts w:ascii="Arial Narrow" w:hAnsi="Arial Narrow"/>
          <w:b w:val="0"/>
          <w:color w:val="auto"/>
          <w:sz w:val="22"/>
          <w:szCs w:val="22"/>
        </w:rPr>
        <w:t xml:space="preserve">Each vial should be reconstituted with 4 mL of </w:t>
      </w:r>
      <w:r w:rsidR="00746F03">
        <w:rPr>
          <w:rFonts w:ascii="Arial Narrow" w:hAnsi="Arial Narrow"/>
          <w:b w:val="0"/>
          <w:color w:val="auto"/>
          <w:sz w:val="22"/>
          <w:szCs w:val="22"/>
        </w:rPr>
        <w:t>S</w:t>
      </w:r>
      <w:r w:rsidRPr="00C50B79">
        <w:rPr>
          <w:rFonts w:ascii="Arial Narrow" w:hAnsi="Arial Narrow"/>
          <w:b w:val="0"/>
          <w:color w:val="auto"/>
          <w:sz w:val="22"/>
          <w:szCs w:val="22"/>
        </w:rPr>
        <w:t xml:space="preserve">terile Water for Injection by gentle mixing.  </w:t>
      </w:r>
      <w:r w:rsidRPr="00C50B79">
        <w:rPr>
          <w:rFonts w:ascii="Arial Narrow" w:hAnsi="Arial Narrow" w:cs="Times New Roman"/>
          <w:b w:val="0"/>
          <w:color w:val="auto"/>
          <w:sz w:val="22"/>
          <w:szCs w:val="22"/>
        </w:rPr>
        <w:t>This produces an approximately isosmotic solution with a protein concentration of 10 mg/mL that may be diluted further to any convenient volume with sterile saline suitable for infusion.</w:t>
      </w:r>
      <w:r w:rsidR="00C76C82" w:rsidRPr="00C50B79">
        <w:rPr>
          <w:rFonts w:ascii="Arial Narrow" w:hAnsi="Arial Narrow" w:cs="Times New Roman"/>
          <w:b w:val="0"/>
          <w:color w:val="auto"/>
          <w:sz w:val="22"/>
          <w:szCs w:val="22"/>
        </w:rPr>
        <w:t xml:space="preserve"> </w:t>
      </w:r>
    </w:p>
    <w:p w:rsidR="00F02E9C" w:rsidRDefault="00F02E9C" w:rsidP="00746F03">
      <w:pPr>
        <w:ind w:left="993" w:right="665"/>
        <w:rPr>
          <w:rFonts w:ascii="Arial Narrow" w:hAnsi="Arial Narrow"/>
          <w:sz w:val="22"/>
          <w:szCs w:val="22"/>
        </w:rPr>
      </w:pPr>
    </w:p>
    <w:p w:rsidR="00AB39CF" w:rsidRDefault="00AB39CF" w:rsidP="00746F03">
      <w:pPr>
        <w:ind w:left="993" w:right="665"/>
        <w:rPr>
          <w:rFonts w:ascii="Arial Narrow" w:hAnsi="Arial Narrow"/>
          <w:sz w:val="22"/>
          <w:szCs w:val="22"/>
        </w:rPr>
      </w:pPr>
      <w:r w:rsidRPr="00AB39CF">
        <w:rPr>
          <w:rFonts w:ascii="Arial Narrow" w:hAnsi="Arial Narrow"/>
          <w:sz w:val="22"/>
          <w:szCs w:val="22"/>
        </w:rPr>
        <w:t xml:space="preserve">For infants and small children who may require very small doses, reconstitute the 40 mg vial as directed and administer undiluted using a tuberculin syringe. </w:t>
      </w:r>
      <w:r w:rsidR="00A928A4">
        <w:rPr>
          <w:rFonts w:ascii="Arial Narrow" w:hAnsi="Arial Narrow"/>
          <w:sz w:val="22"/>
          <w:szCs w:val="22"/>
        </w:rPr>
        <w:t xml:space="preserve"> </w:t>
      </w:r>
      <w:r w:rsidRPr="00AB39CF">
        <w:rPr>
          <w:rFonts w:ascii="Arial Narrow" w:hAnsi="Arial Narrow"/>
          <w:sz w:val="22"/>
          <w:szCs w:val="22"/>
        </w:rPr>
        <w:t>For very small doses, a reconstituted vial can be diluted with an additional 36 mL of isotonic saline to achieve a concentration of 1 mg/mL.</w:t>
      </w:r>
    </w:p>
    <w:p w:rsidR="00AB39CF" w:rsidRPr="00AB39CF" w:rsidRDefault="00AB39CF" w:rsidP="00746F03">
      <w:pPr>
        <w:ind w:left="993" w:right="665"/>
        <w:rPr>
          <w:rFonts w:ascii="Arial Narrow" w:hAnsi="Arial Narrow"/>
          <w:sz w:val="22"/>
          <w:szCs w:val="22"/>
        </w:rPr>
      </w:pPr>
    </w:p>
    <w:p w:rsidR="00C76C82" w:rsidRPr="00C50B79" w:rsidRDefault="004C28C3" w:rsidP="00746F03">
      <w:pPr>
        <w:ind w:left="993" w:right="665"/>
      </w:pPr>
      <w:r w:rsidRPr="00C50B79">
        <w:rPr>
          <w:rFonts w:ascii="Arial Narrow" w:hAnsi="Arial Narrow" w:cs="Arial"/>
          <w:sz w:val="22"/>
          <w:szCs w:val="22"/>
        </w:rPr>
        <w:t xml:space="preserve">Use </w:t>
      </w:r>
      <w:r w:rsidR="00C76C82" w:rsidRPr="00C50B79">
        <w:rPr>
          <w:rFonts w:ascii="Arial Narrow" w:hAnsi="Arial Narrow" w:cs="Arial"/>
          <w:sz w:val="22"/>
          <w:szCs w:val="22"/>
        </w:rPr>
        <w:t>immediately</w:t>
      </w:r>
      <w:r w:rsidRPr="00C50B79">
        <w:rPr>
          <w:rFonts w:ascii="Arial Narrow" w:hAnsi="Arial Narrow" w:cs="Arial"/>
          <w:sz w:val="22"/>
          <w:szCs w:val="22"/>
        </w:rPr>
        <w:t xml:space="preserve"> after reconstitution. The reconstituted solution should be a clear to slightly opalescent, colourless to pale yellow solution.</w:t>
      </w:r>
    </w:p>
    <w:p w:rsidR="00746F03" w:rsidRDefault="00746F03" w:rsidP="00746F03">
      <w:pPr>
        <w:autoSpaceDE w:val="0"/>
        <w:autoSpaceDN w:val="0"/>
        <w:adjustRightInd w:val="0"/>
        <w:ind w:left="993" w:right="665"/>
        <w:rPr>
          <w:rFonts w:ascii="Arial Narrow" w:hAnsi="Arial Narrow" w:cs="Arial"/>
          <w:sz w:val="22"/>
          <w:szCs w:val="22"/>
        </w:rPr>
      </w:pPr>
    </w:p>
    <w:p w:rsidR="00C76C82" w:rsidRPr="00C50B79" w:rsidRDefault="00C76C82" w:rsidP="00746F03">
      <w:pPr>
        <w:autoSpaceDE w:val="0"/>
        <w:autoSpaceDN w:val="0"/>
        <w:adjustRightInd w:val="0"/>
        <w:ind w:left="993" w:right="665"/>
        <w:rPr>
          <w:rFonts w:ascii="Arial Narrow" w:hAnsi="Arial Narrow" w:cs="Arial"/>
          <w:sz w:val="22"/>
          <w:szCs w:val="22"/>
        </w:rPr>
      </w:pPr>
      <w:r w:rsidRPr="00C50B79">
        <w:rPr>
          <w:rFonts w:ascii="Arial Narrow" w:hAnsi="Arial Narrow" w:cs="Arial"/>
          <w:sz w:val="22"/>
          <w:szCs w:val="22"/>
        </w:rPr>
        <w:t>Parenteral drug products should be inspected visually for particulate matter and discolouration prior to administration, whenever solution and container permit.</w:t>
      </w:r>
    </w:p>
    <w:p w:rsidR="00D17B91" w:rsidRPr="00C50B79" w:rsidRDefault="00D17B91" w:rsidP="00746F03">
      <w:pPr>
        <w:autoSpaceDE w:val="0"/>
        <w:autoSpaceDN w:val="0"/>
        <w:adjustRightInd w:val="0"/>
        <w:ind w:left="993" w:right="665"/>
        <w:rPr>
          <w:rFonts w:ascii="Arial Narrow" w:hAnsi="Arial Narrow" w:cs="Arial"/>
          <w:sz w:val="22"/>
          <w:szCs w:val="22"/>
        </w:rPr>
      </w:pPr>
    </w:p>
    <w:p w:rsidR="00D17B91" w:rsidRPr="00C50B79" w:rsidRDefault="00655D24" w:rsidP="00746F03">
      <w:pPr>
        <w:ind w:left="993" w:right="665"/>
        <w:jc w:val="both"/>
        <w:rPr>
          <w:rFonts w:ascii="Arial Narrow" w:hAnsi="Arial Narrow" w:cs="Arial"/>
          <w:sz w:val="22"/>
          <w:szCs w:val="22"/>
          <w:lang w:val="en-AU"/>
        </w:rPr>
      </w:pPr>
      <w:r w:rsidRPr="00C50B79">
        <w:rPr>
          <w:rFonts w:ascii="Arial Narrow" w:hAnsi="Arial Narrow" w:cs="Arial"/>
          <w:sz w:val="22"/>
          <w:szCs w:val="22"/>
        </w:rPr>
        <w:t>DIGIFAB</w:t>
      </w:r>
      <w:r w:rsidR="00D17B91" w:rsidRPr="00C50B79">
        <w:rPr>
          <w:rFonts w:ascii="Arial Narrow" w:hAnsi="Arial Narrow" w:cs="Arial"/>
          <w:sz w:val="22"/>
          <w:szCs w:val="22"/>
          <w:lang w:val="en-AU"/>
        </w:rPr>
        <w:t xml:space="preserve"> </w:t>
      </w:r>
      <w:r w:rsidR="00746F03">
        <w:rPr>
          <w:rFonts w:ascii="Arial Narrow" w:hAnsi="Arial Narrow" w:cs="Arial"/>
          <w:sz w:val="22"/>
          <w:szCs w:val="22"/>
          <w:lang w:val="en-AU"/>
        </w:rPr>
        <w:t>Injection</w:t>
      </w:r>
      <w:r w:rsidR="00D17B91" w:rsidRPr="00C50B79">
        <w:rPr>
          <w:rFonts w:ascii="Arial Narrow" w:hAnsi="Arial Narrow" w:cs="Arial"/>
          <w:sz w:val="22"/>
          <w:szCs w:val="22"/>
          <w:lang w:val="en-AU"/>
        </w:rPr>
        <w:t xml:space="preserve"> should be used in one patient on one occasion only. </w:t>
      </w:r>
      <w:r w:rsidR="00511A54">
        <w:rPr>
          <w:rFonts w:ascii="Arial Narrow" w:hAnsi="Arial Narrow" w:cs="Arial"/>
          <w:sz w:val="22"/>
          <w:szCs w:val="22"/>
          <w:lang w:val="en-AU"/>
        </w:rPr>
        <w:t xml:space="preserve"> </w:t>
      </w:r>
      <w:r w:rsidR="00D17B91" w:rsidRPr="00C50B79">
        <w:rPr>
          <w:rFonts w:ascii="Arial Narrow" w:hAnsi="Arial Narrow" w:cs="Arial"/>
          <w:sz w:val="22"/>
          <w:szCs w:val="22"/>
          <w:lang w:val="en-AU"/>
        </w:rPr>
        <w:t>It contains no anti-microbial preservative. Unused solution should be discarded.</w:t>
      </w:r>
    </w:p>
    <w:p w:rsidR="00491A1C" w:rsidRPr="00C50B79" w:rsidRDefault="00491A1C" w:rsidP="00746F03">
      <w:pPr>
        <w:pStyle w:val="BodyTextIndent"/>
        <w:spacing w:after="0"/>
        <w:ind w:left="993" w:right="665"/>
        <w:rPr>
          <w:rFonts w:ascii="Arial Narrow" w:hAnsi="Arial Narrow"/>
          <w:sz w:val="22"/>
          <w:szCs w:val="22"/>
        </w:rPr>
      </w:pPr>
    </w:p>
    <w:p w:rsidR="00B97ECA" w:rsidRPr="00511A54" w:rsidRDefault="00B97ECA" w:rsidP="00746F03">
      <w:pPr>
        <w:pStyle w:val="BodyTextIndent"/>
        <w:spacing w:after="0"/>
        <w:ind w:left="993" w:right="665"/>
        <w:rPr>
          <w:rFonts w:ascii="Arial Narrow" w:hAnsi="Arial Narrow"/>
          <w:b/>
          <w:sz w:val="22"/>
          <w:szCs w:val="22"/>
        </w:rPr>
      </w:pPr>
      <w:r w:rsidRPr="00511A54">
        <w:rPr>
          <w:rFonts w:ascii="Arial Narrow" w:hAnsi="Arial Narrow"/>
          <w:b/>
          <w:sz w:val="22"/>
          <w:szCs w:val="22"/>
        </w:rPr>
        <w:t>Method of</w:t>
      </w:r>
      <w:r w:rsidR="00511A54">
        <w:rPr>
          <w:rFonts w:ascii="Arial Narrow" w:hAnsi="Arial Narrow"/>
          <w:b/>
          <w:sz w:val="22"/>
          <w:szCs w:val="22"/>
        </w:rPr>
        <w:t xml:space="preserve"> A</w:t>
      </w:r>
      <w:r w:rsidRPr="00511A54">
        <w:rPr>
          <w:rFonts w:ascii="Arial Narrow" w:hAnsi="Arial Narrow"/>
          <w:b/>
          <w:sz w:val="22"/>
          <w:szCs w:val="22"/>
        </w:rPr>
        <w:t>dministration</w:t>
      </w:r>
    </w:p>
    <w:p w:rsidR="00B97ECA" w:rsidRDefault="00B97ECA" w:rsidP="00746F03">
      <w:pPr>
        <w:pStyle w:val="BodyTextIndent"/>
        <w:spacing w:after="0"/>
        <w:ind w:left="993" w:right="665"/>
        <w:rPr>
          <w:rFonts w:ascii="Arial Narrow" w:hAnsi="Arial Narrow"/>
          <w:sz w:val="22"/>
          <w:szCs w:val="22"/>
        </w:rPr>
      </w:pPr>
      <w:r w:rsidRPr="00C50B79">
        <w:rPr>
          <w:rFonts w:ascii="Arial Narrow" w:hAnsi="Arial Narrow"/>
          <w:sz w:val="22"/>
          <w:szCs w:val="22"/>
        </w:rPr>
        <w:t xml:space="preserve">The final solution of </w:t>
      </w:r>
      <w:r w:rsidR="00655D24" w:rsidRPr="00C50B79">
        <w:rPr>
          <w:rFonts w:ascii="Arial Narrow" w:hAnsi="Arial Narrow"/>
          <w:sz w:val="22"/>
          <w:szCs w:val="22"/>
        </w:rPr>
        <w:t>DIGIFAB</w:t>
      </w:r>
      <w:r w:rsidRPr="00C50B79">
        <w:rPr>
          <w:rFonts w:ascii="Arial Narrow" w:hAnsi="Arial Narrow"/>
          <w:sz w:val="22"/>
          <w:szCs w:val="22"/>
        </w:rPr>
        <w:t xml:space="preserve"> should be </w:t>
      </w:r>
      <w:r w:rsidR="00F02E9C">
        <w:rPr>
          <w:rFonts w:ascii="Arial Narrow" w:hAnsi="Arial Narrow"/>
          <w:sz w:val="22"/>
          <w:szCs w:val="22"/>
        </w:rPr>
        <w:t>infused intravenously over a 30-</w:t>
      </w:r>
      <w:r w:rsidRPr="00C50B79">
        <w:rPr>
          <w:rFonts w:ascii="Arial Narrow" w:hAnsi="Arial Narrow"/>
          <w:sz w:val="22"/>
          <w:szCs w:val="22"/>
        </w:rPr>
        <w:t>minute period.</w:t>
      </w:r>
      <w:r w:rsidRPr="00C76C82">
        <w:rPr>
          <w:rFonts w:ascii="Arial Narrow" w:hAnsi="Arial Narrow"/>
          <w:sz w:val="22"/>
          <w:szCs w:val="22"/>
        </w:rPr>
        <w:t xml:space="preserve"> </w:t>
      </w:r>
    </w:p>
    <w:p w:rsidR="00B97ECA" w:rsidRPr="00C76C82" w:rsidRDefault="00B97ECA" w:rsidP="00746F03">
      <w:pPr>
        <w:pStyle w:val="BodyTextIndent"/>
        <w:spacing w:after="0"/>
        <w:ind w:left="993" w:right="665"/>
        <w:rPr>
          <w:rFonts w:ascii="Arial Narrow" w:hAnsi="Arial Narrow"/>
          <w:b/>
          <w:color w:val="FF6600"/>
          <w:sz w:val="22"/>
          <w:szCs w:val="22"/>
        </w:rPr>
      </w:pPr>
    </w:p>
    <w:p w:rsidR="0092484B" w:rsidRDefault="006426E3" w:rsidP="00746F03">
      <w:pPr>
        <w:keepNext/>
        <w:ind w:left="993" w:right="665"/>
        <w:rPr>
          <w:rFonts w:ascii="Arial Narrow" w:hAnsi="Arial Narrow" w:cs="Arial"/>
          <w:b/>
          <w:bCs/>
          <w:iCs/>
          <w:sz w:val="22"/>
          <w:szCs w:val="22"/>
          <w:lang w:val="en-AU"/>
        </w:rPr>
      </w:pPr>
      <w:r w:rsidRPr="00C76C82">
        <w:rPr>
          <w:rFonts w:ascii="Arial Narrow" w:hAnsi="Arial Narrow" w:cs="Arial"/>
          <w:b/>
          <w:bCs/>
          <w:iCs/>
          <w:sz w:val="22"/>
          <w:szCs w:val="22"/>
          <w:lang w:val="en-AU"/>
        </w:rPr>
        <w:t>OVERDOSAGE</w:t>
      </w:r>
    </w:p>
    <w:p w:rsidR="00037FAA" w:rsidRPr="00C76C82" w:rsidRDefault="00037FAA" w:rsidP="00746F03">
      <w:pPr>
        <w:keepNext/>
        <w:ind w:left="993" w:right="665"/>
        <w:rPr>
          <w:rFonts w:ascii="Arial Narrow" w:hAnsi="Arial Narrow" w:cs="Arial"/>
          <w:b/>
          <w:bCs/>
          <w:iCs/>
          <w:sz w:val="22"/>
          <w:szCs w:val="22"/>
          <w:lang w:val="en-AU"/>
        </w:rPr>
      </w:pPr>
    </w:p>
    <w:p w:rsidR="00CF54AF" w:rsidRPr="00C76C82" w:rsidRDefault="006426E3" w:rsidP="00746F03">
      <w:pPr>
        <w:ind w:left="993" w:right="665"/>
        <w:rPr>
          <w:rFonts w:ascii="Arial Narrow" w:hAnsi="Arial Narrow" w:cs="Arial"/>
          <w:bCs/>
          <w:iCs/>
          <w:sz w:val="22"/>
          <w:szCs w:val="22"/>
          <w:lang w:val="en-AU"/>
        </w:rPr>
      </w:pPr>
      <w:r w:rsidRPr="00C76C82">
        <w:rPr>
          <w:rFonts w:ascii="Arial Narrow" w:eastAsiaTheme="minorHAnsi" w:hAnsi="Arial Narrow" w:cs="TradeGothic-CondEighteen"/>
          <w:sz w:val="22"/>
          <w:szCs w:val="22"/>
          <w:lang w:val="en-AU" w:eastAsia="en-US"/>
        </w:rPr>
        <w:t xml:space="preserve">The maximum amount of </w:t>
      </w:r>
      <w:r w:rsidR="00655D24">
        <w:rPr>
          <w:rFonts w:ascii="Arial Narrow" w:eastAsiaTheme="minorHAnsi" w:hAnsi="Arial Narrow" w:cs="TradeGothic-CondEighteen"/>
          <w:sz w:val="22"/>
          <w:szCs w:val="22"/>
          <w:lang w:val="en-AU" w:eastAsia="en-US"/>
        </w:rPr>
        <w:t>DIGIFAB</w:t>
      </w:r>
      <w:r w:rsidRPr="00C76C82">
        <w:rPr>
          <w:rFonts w:ascii="Arial Narrow" w:eastAsiaTheme="minorHAnsi" w:hAnsi="Arial Narrow" w:cs="TradeGothic-CondEighteen"/>
          <w:sz w:val="22"/>
          <w:szCs w:val="22"/>
          <w:lang w:val="en-AU" w:eastAsia="en-US"/>
        </w:rPr>
        <w:t xml:space="preserve"> that can safely be administered in single or multiple doses has not been determined.</w:t>
      </w:r>
      <w:r w:rsidR="00CF54AF" w:rsidRPr="00C76C82">
        <w:rPr>
          <w:rFonts w:ascii="Arial Narrow" w:eastAsiaTheme="minorHAnsi" w:hAnsi="Arial Narrow" w:cs="TradeGothic-CondEighteen"/>
          <w:sz w:val="22"/>
          <w:szCs w:val="22"/>
          <w:lang w:val="en-AU" w:eastAsia="en-US"/>
        </w:rPr>
        <w:t xml:space="preserve"> </w:t>
      </w:r>
      <w:r w:rsidR="00823CA9">
        <w:rPr>
          <w:rFonts w:ascii="Arial Narrow" w:eastAsiaTheme="minorHAnsi" w:hAnsi="Arial Narrow" w:cs="TradeGothic-CondEighteen"/>
          <w:sz w:val="22"/>
          <w:szCs w:val="22"/>
          <w:lang w:val="en-AU" w:eastAsia="en-US"/>
        </w:rPr>
        <w:t xml:space="preserve"> </w:t>
      </w:r>
      <w:r w:rsidR="005C73F3">
        <w:rPr>
          <w:rFonts w:ascii="Arial Narrow" w:eastAsiaTheme="minorHAnsi" w:hAnsi="Arial Narrow" w:cs="TradeGothic-CondEighteen"/>
          <w:sz w:val="22"/>
          <w:szCs w:val="22"/>
          <w:lang w:val="en-AU" w:eastAsia="en-US"/>
        </w:rPr>
        <w:t xml:space="preserve">Please refer to </w:t>
      </w:r>
      <w:r w:rsidR="005C73F3" w:rsidRPr="000E4E35">
        <w:rPr>
          <w:rFonts w:ascii="Arial Narrow" w:eastAsiaTheme="minorHAnsi" w:hAnsi="Arial Narrow" w:cs="TradeGothic-CondEighteen"/>
          <w:b/>
          <w:sz w:val="22"/>
          <w:szCs w:val="22"/>
          <w:lang w:val="en-AU" w:eastAsia="en-US"/>
        </w:rPr>
        <w:t>PRECAUTIONS</w:t>
      </w:r>
      <w:r w:rsidR="000E4E35">
        <w:rPr>
          <w:rFonts w:ascii="Arial Narrow" w:eastAsiaTheme="minorHAnsi" w:hAnsi="Arial Narrow" w:cs="TradeGothic-CondEighteen"/>
          <w:sz w:val="22"/>
          <w:szCs w:val="22"/>
          <w:lang w:val="en-AU" w:eastAsia="en-US"/>
        </w:rPr>
        <w:t xml:space="preserve"> section regarding withdrawal of the inotropic action of digoxin by DIGIFAB, which may be of concern in </w:t>
      </w:r>
      <w:proofErr w:type="spellStart"/>
      <w:r w:rsidR="000E4E35">
        <w:rPr>
          <w:rFonts w:ascii="Arial Narrow" w:eastAsiaTheme="minorHAnsi" w:hAnsi="Arial Narrow" w:cs="TradeGothic-CondEighteen"/>
          <w:sz w:val="22"/>
          <w:szCs w:val="22"/>
          <w:lang w:val="en-AU" w:eastAsia="en-US"/>
        </w:rPr>
        <w:t>overdosage</w:t>
      </w:r>
      <w:proofErr w:type="spellEnd"/>
      <w:r w:rsidR="000E4E35">
        <w:rPr>
          <w:rFonts w:ascii="Arial Narrow" w:eastAsiaTheme="minorHAnsi" w:hAnsi="Arial Narrow" w:cs="TradeGothic-CondEighteen"/>
          <w:sz w:val="22"/>
          <w:szCs w:val="22"/>
          <w:lang w:val="en-AU" w:eastAsia="en-US"/>
        </w:rPr>
        <w:t xml:space="preserve"> of DIGIFAB. </w:t>
      </w:r>
      <w:r w:rsidR="005C73F3">
        <w:rPr>
          <w:rFonts w:ascii="Arial Narrow" w:eastAsiaTheme="minorHAnsi" w:hAnsi="Arial Narrow" w:cs="TradeGothic-CondEighteen"/>
          <w:sz w:val="22"/>
          <w:szCs w:val="22"/>
          <w:lang w:val="en-AU" w:eastAsia="en-US"/>
        </w:rPr>
        <w:t xml:space="preserve"> </w:t>
      </w:r>
      <w:r w:rsidR="0092484B" w:rsidRPr="00C76C82">
        <w:rPr>
          <w:rFonts w:ascii="Arial Narrow" w:hAnsi="Arial Narrow" w:cs="Arial"/>
          <w:bCs/>
          <w:iCs/>
          <w:sz w:val="22"/>
          <w:szCs w:val="22"/>
          <w:lang w:val="en-AU"/>
        </w:rPr>
        <w:t>For information on the management of overdose, contact the Poisons Information Centre on 13 11 26 (Australia).</w:t>
      </w:r>
    </w:p>
    <w:p w:rsidR="00D17B91" w:rsidRPr="00C76C82" w:rsidRDefault="00D17B91" w:rsidP="00746F03">
      <w:pPr>
        <w:ind w:left="993" w:right="665"/>
        <w:rPr>
          <w:rFonts w:ascii="Arial Narrow" w:hAnsi="Arial Narrow" w:cs="Arial"/>
          <w:b/>
          <w:bCs/>
          <w:iCs/>
          <w:sz w:val="20"/>
          <w:szCs w:val="20"/>
          <w:lang w:val="en-AU"/>
        </w:rPr>
      </w:pPr>
    </w:p>
    <w:p w:rsidR="0092484B" w:rsidRDefault="0092484B" w:rsidP="00746F03">
      <w:pPr>
        <w:ind w:left="993" w:right="665"/>
        <w:rPr>
          <w:rFonts w:ascii="Arial Narrow" w:hAnsi="Arial Narrow" w:cs="Arial"/>
          <w:b/>
          <w:bCs/>
          <w:iCs/>
          <w:sz w:val="22"/>
          <w:szCs w:val="22"/>
          <w:lang w:val="en-AU"/>
        </w:rPr>
      </w:pPr>
      <w:r w:rsidRPr="00C76C82">
        <w:rPr>
          <w:rFonts w:ascii="Arial Narrow" w:hAnsi="Arial Narrow" w:cs="Arial"/>
          <w:b/>
          <w:bCs/>
          <w:iCs/>
          <w:sz w:val="22"/>
          <w:szCs w:val="22"/>
          <w:lang w:val="en-AU"/>
        </w:rPr>
        <w:t>PRESENTATION AND STORAGE CONDITIONS</w:t>
      </w:r>
    </w:p>
    <w:p w:rsidR="00037FAA" w:rsidRPr="00C76C82" w:rsidRDefault="00037FAA" w:rsidP="00746F03">
      <w:pPr>
        <w:ind w:left="993" w:right="665"/>
        <w:rPr>
          <w:rFonts w:ascii="Arial Narrow" w:hAnsi="Arial Narrow" w:cs="Arial"/>
          <w:b/>
          <w:bCs/>
          <w:iCs/>
          <w:sz w:val="22"/>
          <w:szCs w:val="22"/>
          <w:lang w:val="en-AU"/>
        </w:rPr>
      </w:pPr>
    </w:p>
    <w:p w:rsidR="004C28C3" w:rsidRDefault="00655D24" w:rsidP="00746F03">
      <w:pPr>
        <w:autoSpaceDE w:val="0"/>
        <w:autoSpaceDN w:val="0"/>
        <w:adjustRightInd w:val="0"/>
        <w:ind w:left="993" w:right="665"/>
        <w:rPr>
          <w:rFonts w:ascii="Arial Narrow" w:hAnsi="Arial Narrow" w:cs="Arial"/>
          <w:color w:val="000000"/>
          <w:sz w:val="22"/>
          <w:szCs w:val="22"/>
          <w:lang w:val="en-AU" w:eastAsia="en-US"/>
        </w:rPr>
      </w:pPr>
      <w:r>
        <w:rPr>
          <w:rFonts w:ascii="Arial Narrow" w:eastAsiaTheme="minorHAnsi" w:hAnsi="Arial Narrow" w:cs="TradeGothic-CondEighteen"/>
          <w:sz w:val="22"/>
          <w:szCs w:val="22"/>
          <w:lang w:val="en-AU" w:eastAsia="en-US"/>
        </w:rPr>
        <w:t>DIGIFAB</w:t>
      </w:r>
      <w:r w:rsidR="001E0ACD">
        <w:rPr>
          <w:rFonts w:ascii="Arial Narrow" w:eastAsiaTheme="minorHAnsi" w:hAnsi="Arial Narrow" w:cs="TradeGothic-CondEighteen"/>
          <w:sz w:val="22"/>
          <w:szCs w:val="22"/>
          <w:lang w:val="en-AU" w:eastAsia="en-US"/>
        </w:rPr>
        <w:t xml:space="preserve">, </w:t>
      </w:r>
      <w:r w:rsidR="00E43A37" w:rsidRPr="00C76C82">
        <w:rPr>
          <w:rFonts w:ascii="Arial Narrow" w:hAnsi="Arial Narrow" w:cs="Arial"/>
          <w:iCs/>
          <w:sz w:val="22"/>
          <w:szCs w:val="22"/>
        </w:rPr>
        <w:t xml:space="preserve">Digoxin-specific antibody fragment </w:t>
      </w:r>
      <w:proofErr w:type="gramStart"/>
      <w:r w:rsidR="00E43A37" w:rsidRPr="00C76C82">
        <w:rPr>
          <w:rFonts w:ascii="Arial Narrow" w:hAnsi="Arial Narrow" w:cs="Arial"/>
          <w:iCs/>
          <w:sz w:val="22"/>
          <w:szCs w:val="22"/>
        </w:rPr>
        <w:t>F(</w:t>
      </w:r>
      <w:proofErr w:type="gramEnd"/>
      <w:r w:rsidR="00E43A37" w:rsidRPr="00C76C82">
        <w:rPr>
          <w:rFonts w:ascii="Arial Narrow" w:hAnsi="Arial Narrow" w:cs="Arial"/>
          <w:iCs/>
          <w:sz w:val="22"/>
          <w:szCs w:val="22"/>
        </w:rPr>
        <w:t>Ab) (Ovine) Powder for Injection</w:t>
      </w:r>
      <w:r w:rsidR="00E43A37" w:rsidRPr="00C76C82">
        <w:rPr>
          <w:rFonts w:ascii="Arial Narrow" w:hAnsi="Arial Narrow" w:cs="Arial"/>
          <w:color w:val="000000"/>
          <w:sz w:val="22"/>
          <w:szCs w:val="22"/>
          <w:lang w:val="en-AU" w:eastAsia="en-US"/>
        </w:rPr>
        <w:t xml:space="preserve"> contains </w:t>
      </w:r>
      <w:r w:rsidR="00E43A37" w:rsidRPr="00C76C82">
        <w:rPr>
          <w:rFonts w:ascii="Arial Narrow" w:hAnsi="Arial Narrow" w:cs="Arial"/>
          <w:sz w:val="22"/>
          <w:szCs w:val="22"/>
        </w:rPr>
        <w:t>40 mg of purified lyophilized digoxin-specific Fab fragments</w:t>
      </w:r>
      <w:r w:rsidR="00E43A37" w:rsidRPr="00C76C82">
        <w:rPr>
          <w:rFonts w:ascii="Arial Narrow" w:hAnsi="Arial Narrow" w:cs="Arial"/>
          <w:color w:val="000000"/>
          <w:sz w:val="22"/>
          <w:szCs w:val="22"/>
          <w:lang w:val="en-AU" w:eastAsia="en-US"/>
        </w:rPr>
        <w:t>, 75</w:t>
      </w:r>
      <w:r w:rsidR="006E661E">
        <w:rPr>
          <w:rFonts w:ascii="Arial Narrow" w:hAnsi="Arial Narrow" w:cs="Arial"/>
          <w:color w:val="000000"/>
          <w:sz w:val="22"/>
          <w:szCs w:val="22"/>
          <w:lang w:val="en-AU" w:eastAsia="en-US"/>
        </w:rPr>
        <w:t xml:space="preserve"> </w:t>
      </w:r>
      <w:r w:rsidR="00E43A37" w:rsidRPr="00C76C82">
        <w:rPr>
          <w:rFonts w:ascii="Arial Narrow" w:hAnsi="Arial Narrow" w:cs="Arial"/>
          <w:color w:val="000000"/>
          <w:sz w:val="22"/>
          <w:szCs w:val="22"/>
          <w:lang w:val="en-AU" w:eastAsia="en-US"/>
        </w:rPr>
        <w:t xml:space="preserve">mg mannitol  and </w:t>
      </w:r>
      <w:r w:rsidR="00C50B79">
        <w:rPr>
          <w:rFonts w:ascii="Arial Narrow" w:hAnsi="Arial Narrow" w:cs="Arial"/>
          <w:color w:val="000000"/>
          <w:sz w:val="22"/>
          <w:szCs w:val="22"/>
          <w:lang w:val="en-AU" w:eastAsia="en-US"/>
        </w:rPr>
        <w:t>1.7</w:t>
      </w:r>
      <w:r w:rsidR="006E661E">
        <w:rPr>
          <w:rFonts w:ascii="Arial Narrow" w:hAnsi="Arial Narrow" w:cs="Arial"/>
          <w:color w:val="000000"/>
          <w:sz w:val="22"/>
          <w:szCs w:val="22"/>
          <w:lang w:val="en-AU" w:eastAsia="en-US"/>
        </w:rPr>
        <w:t xml:space="preserve"> </w:t>
      </w:r>
      <w:r w:rsidR="00C50B79" w:rsidRPr="00C76C82">
        <w:rPr>
          <w:rFonts w:ascii="Arial Narrow" w:hAnsi="Arial Narrow" w:cs="Arial"/>
          <w:color w:val="000000"/>
          <w:sz w:val="22"/>
          <w:szCs w:val="22"/>
          <w:lang w:val="en-AU" w:eastAsia="en-US"/>
        </w:rPr>
        <w:t xml:space="preserve">mg </w:t>
      </w:r>
      <w:r w:rsidR="00E43A37" w:rsidRPr="00C76C82">
        <w:rPr>
          <w:rFonts w:ascii="Arial Narrow" w:hAnsi="Arial Narrow" w:cs="Arial"/>
          <w:color w:val="000000"/>
          <w:sz w:val="22"/>
          <w:szCs w:val="22"/>
          <w:lang w:val="en-AU" w:eastAsia="en-US"/>
        </w:rPr>
        <w:t xml:space="preserve">sodium acetate. </w:t>
      </w:r>
      <w:r>
        <w:rPr>
          <w:rFonts w:ascii="Arial Narrow" w:eastAsiaTheme="minorHAnsi" w:hAnsi="Arial Narrow" w:cs="TradeGothic-CondEighteen"/>
          <w:sz w:val="22"/>
          <w:szCs w:val="22"/>
          <w:lang w:val="en-AU" w:eastAsia="en-US"/>
        </w:rPr>
        <w:t>DIGIFAB</w:t>
      </w:r>
      <w:r w:rsidR="004C28C3">
        <w:rPr>
          <w:rFonts w:ascii="Arial Narrow" w:eastAsiaTheme="minorHAnsi" w:hAnsi="Arial Narrow" w:cs="TradeGothic-CondEighteen"/>
          <w:sz w:val="22"/>
          <w:szCs w:val="22"/>
          <w:lang w:val="en-AU" w:eastAsia="en-US"/>
        </w:rPr>
        <w:t xml:space="preserve"> is supplied in a single, clear, neutral glass vial closed with a butyl rubber stopper and fitted with </w:t>
      </w:r>
      <w:r w:rsidR="00FA335D">
        <w:rPr>
          <w:rFonts w:ascii="Arial Narrow" w:eastAsiaTheme="minorHAnsi" w:hAnsi="Arial Narrow" w:cs="TradeGothic-CondEighteen"/>
          <w:sz w:val="22"/>
          <w:szCs w:val="22"/>
          <w:lang w:val="en-AU" w:eastAsia="en-US"/>
        </w:rPr>
        <w:t>aluminium</w:t>
      </w:r>
      <w:r w:rsidR="004C28C3">
        <w:rPr>
          <w:rFonts w:ascii="Arial Narrow" w:eastAsiaTheme="minorHAnsi" w:hAnsi="Arial Narrow" w:cs="TradeGothic-CondEighteen"/>
          <w:sz w:val="22"/>
          <w:szCs w:val="22"/>
          <w:lang w:val="en-AU" w:eastAsia="en-US"/>
        </w:rPr>
        <w:t xml:space="preserve"> flip top seal. </w:t>
      </w:r>
      <w:proofErr w:type="gramStart"/>
      <w:r w:rsidR="00037FAA">
        <w:rPr>
          <w:rFonts w:ascii="Arial Narrow" w:eastAsiaTheme="minorHAnsi" w:hAnsi="Arial Narrow" w:cs="TradeGothic-CondEighteen"/>
          <w:sz w:val="22"/>
          <w:szCs w:val="22"/>
          <w:lang w:val="en-AU" w:eastAsia="en-US"/>
        </w:rPr>
        <w:t xml:space="preserve">One 10mL glass vial of </w:t>
      </w:r>
      <w:r>
        <w:rPr>
          <w:rFonts w:ascii="Arial Narrow" w:eastAsiaTheme="minorHAnsi" w:hAnsi="Arial Narrow" w:cs="TradeGothic-CondEighteen"/>
          <w:sz w:val="22"/>
          <w:szCs w:val="22"/>
          <w:lang w:val="en-AU" w:eastAsia="en-US"/>
        </w:rPr>
        <w:t>DIGIFAB</w:t>
      </w:r>
      <w:r w:rsidR="00037FAA">
        <w:rPr>
          <w:rFonts w:ascii="Arial Narrow" w:eastAsiaTheme="minorHAnsi" w:hAnsi="Arial Narrow" w:cs="TradeGothic-CondEighteen"/>
          <w:sz w:val="22"/>
          <w:szCs w:val="22"/>
          <w:lang w:val="en-AU" w:eastAsia="en-US"/>
        </w:rPr>
        <w:t xml:space="preserve"> per pack.</w:t>
      </w:r>
      <w:proofErr w:type="gramEnd"/>
    </w:p>
    <w:p w:rsidR="00813B88" w:rsidRDefault="00813B88" w:rsidP="00746F03">
      <w:pPr>
        <w:autoSpaceDE w:val="0"/>
        <w:autoSpaceDN w:val="0"/>
        <w:adjustRightInd w:val="0"/>
        <w:ind w:left="993" w:right="665"/>
        <w:rPr>
          <w:rFonts w:ascii="Arial Narrow" w:hAnsi="Arial Narrow" w:cs="Arial"/>
          <w:sz w:val="22"/>
          <w:szCs w:val="22"/>
        </w:rPr>
      </w:pPr>
    </w:p>
    <w:p w:rsidR="004B2D5C" w:rsidRDefault="00E43A37" w:rsidP="00746F03">
      <w:pPr>
        <w:autoSpaceDE w:val="0"/>
        <w:autoSpaceDN w:val="0"/>
        <w:adjustRightInd w:val="0"/>
        <w:ind w:left="993" w:right="665"/>
        <w:rPr>
          <w:rFonts w:ascii="Arial Narrow" w:hAnsi="Arial Narrow" w:cs="Arial"/>
          <w:sz w:val="22"/>
          <w:szCs w:val="22"/>
        </w:rPr>
      </w:pPr>
      <w:r w:rsidRPr="00C76C82">
        <w:rPr>
          <w:rFonts w:ascii="Arial Narrow" w:hAnsi="Arial Narrow" w:cs="Arial"/>
          <w:sz w:val="22"/>
          <w:szCs w:val="22"/>
        </w:rPr>
        <w:t>Store at 2</w:t>
      </w:r>
      <w:r w:rsidRPr="00C76C82">
        <w:rPr>
          <w:rFonts w:ascii="Arial Narrow" w:hAnsi="Arial Narrow" w:cs="SymbolMT"/>
          <w:sz w:val="22"/>
          <w:szCs w:val="22"/>
        </w:rPr>
        <w:t>°</w:t>
      </w:r>
      <w:r w:rsidRPr="00C76C82">
        <w:rPr>
          <w:rFonts w:ascii="Arial Narrow" w:hAnsi="Arial Narrow" w:cs="Arial"/>
          <w:sz w:val="22"/>
          <w:szCs w:val="22"/>
        </w:rPr>
        <w:t>C to 8</w:t>
      </w:r>
      <w:r w:rsidRPr="00C76C82">
        <w:rPr>
          <w:rFonts w:ascii="Arial Narrow" w:hAnsi="Arial Narrow" w:cs="SymbolMT"/>
          <w:sz w:val="22"/>
          <w:szCs w:val="22"/>
        </w:rPr>
        <w:t>°</w:t>
      </w:r>
      <w:r w:rsidR="00C76C82">
        <w:rPr>
          <w:rFonts w:ascii="Arial Narrow" w:hAnsi="Arial Narrow" w:cs="Arial"/>
          <w:sz w:val="22"/>
          <w:szCs w:val="22"/>
        </w:rPr>
        <w:t xml:space="preserve">C. (Refrigerate. </w:t>
      </w:r>
      <w:r w:rsidRPr="00C76C82">
        <w:rPr>
          <w:rFonts w:ascii="Arial Narrow" w:hAnsi="Arial Narrow" w:cs="Arial"/>
          <w:sz w:val="22"/>
          <w:szCs w:val="22"/>
        </w:rPr>
        <w:t xml:space="preserve">Do not freeze). </w:t>
      </w:r>
      <w:proofErr w:type="gramStart"/>
      <w:r w:rsidR="00C76C82">
        <w:rPr>
          <w:rFonts w:ascii="Arial Narrow" w:hAnsi="Arial Narrow" w:cs="Arial"/>
          <w:sz w:val="22"/>
          <w:szCs w:val="22"/>
          <w:lang w:val="en-AU"/>
        </w:rPr>
        <w:t>Use immediately after opening.</w:t>
      </w:r>
      <w:proofErr w:type="gramEnd"/>
    </w:p>
    <w:p w:rsidR="004C28C3" w:rsidRPr="004C28C3" w:rsidRDefault="004C28C3" w:rsidP="00746F03">
      <w:pPr>
        <w:autoSpaceDE w:val="0"/>
        <w:autoSpaceDN w:val="0"/>
        <w:adjustRightInd w:val="0"/>
        <w:ind w:left="993" w:right="665"/>
        <w:rPr>
          <w:rFonts w:ascii="Arial Narrow" w:hAnsi="Arial Narrow" w:cs="Arial"/>
          <w:sz w:val="22"/>
          <w:szCs w:val="22"/>
        </w:rPr>
      </w:pPr>
    </w:p>
    <w:p w:rsidR="004C28C3" w:rsidRPr="00C76C82" w:rsidRDefault="0092484B" w:rsidP="00746F03">
      <w:pPr>
        <w:ind w:left="993" w:right="665"/>
        <w:rPr>
          <w:rFonts w:ascii="Arial Narrow" w:hAnsi="Arial Narrow" w:cs="Arial"/>
          <w:bCs/>
          <w:iCs/>
          <w:sz w:val="22"/>
          <w:szCs w:val="22"/>
          <w:lang w:val="en-AU"/>
        </w:rPr>
      </w:pPr>
      <w:r w:rsidRPr="00C76C82">
        <w:rPr>
          <w:rFonts w:ascii="Arial Narrow" w:hAnsi="Arial Narrow" w:cs="Arial"/>
          <w:bCs/>
          <w:iCs/>
          <w:sz w:val="22"/>
          <w:szCs w:val="22"/>
          <w:lang w:val="en-AU"/>
        </w:rPr>
        <w:t xml:space="preserve">AUST R </w:t>
      </w:r>
      <w:r w:rsidR="004809E8">
        <w:rPr>
          <w:rFonts w:ascii="Arial Narrow" w:hAnsi="Arial Narrow" w:cs="Arial"/>
          <w:bCs/>
          <w:iCs/>
          <w:sz w:val="22"/>
          <w:szCs w:val="22"/>
          <w:lang w:val="en-AU"/>
        </w:rPr>
        <w:t>203623</w:t>
      </w:r>
    </w:p>
    <w:p w:rsidR="0092484B" w:rsidRPr="00C76C82" w:rsidRDefault="0092484B" w:rsidP="00746F03">
      <w:pPr>
        <w:ind w:left="993" w:right="665"/>
        <w:rPr>
          <w:rFonts w:ascii="Arial Narrow" w:hAnsi="Arial Narrow" w:cs="Arial"/>
          <w:bCs/>
          <w:iCs/>
          <w:sz w:val="22"/>
          <w:szCs w:val="22"/>
          <w:lang w:val="en-AU"/>
        </w:rPr>
      </w:pPr>
      <w:r w:rsidRPr="00C76C82">
        <w:rPr>
          <w:rFonts w:ascii="Arial Narrow" w:hAnsi="Arial Narrow" w:cs="Arial"/>
          <w:bCs/>
          <w:iCs/>
          <w:sz w:val="22"/>
          <w:szCs w:val="22"/>
          <w:lang w:val="en-AU"/>
        </w:rPr>
        <w:t>Phebra product code-</w:t>
      </w:r>
      <w:r w:rsidR="00E43A37" w:rsidRPr="00C76C82">
        <w:rPr>
          <w:rFonts w:ascii="Arial Narrow" w:hAnsi="Arial Narrow" w:cs="Arial"/>
          <w:bCs/>
          <w:iCs/>
          <w:sz w:val="22"/>
          <w:szCs w:val="22"/>
          <w:lang w:val="en-AU"/>
        </w:rPr>
        <w:t>INJ172</w:t>
      </w:r>
    </w:p>
    <w:p w:rsidR="00C44C45" w:rsidRDefault="00C44C45" w:rsidP="00746F03">
      <w:pPr>
        <w:keepNext/>
        <w:ind w:left="993" w:right="665"/>
        <w:rPr>
          <w:rFonts w:ascii="Arial Narrow" w:hAnsi="Arial Narrow" w:cs="Arial"/>
          <w:sz w:val="20"/>
          <w:szCs w:val="20"/>
          <w:lang w:val="en-AU"/>
        </w:rPr>
      </w:pPr>
    </w:p>
    <w:p w:rsidR="0092484B" w:rsidRDefault="00E43A37" w:rsidP="00746F03">
      <w:pPr>
        <w:ind w:left="992" w:right="663"/>
        <w:rPr>
          <w:rFonts w:ascii="Arial Narrow" w:hAnsi="Arial Narrow" w:cs="Arial"/>
          <w:b/>
          <w:bCs/>
          <w:iCs/>
          <w:sz w:val="22"/>
          <w:szCs w:val="22"/>
          <w:lang w:val="en-AU"/>
        </w:rPr>
      </w:pPr>
      <w:r w:rsidRPr="00C76C82">
        <w:rPr>
          <w:rFonts w:ascii="Arial Narrow" w:hAnsi="Arial Narrow" w:cs="Arial"/>
          <w:b/>
          <w:bCs/>
          <w:iCs/>
          <w:sz w:val="22"/>
          <w:szCs w:val="22"/>
          <w:lang w:val="en-AU"/>
        </w:rPr>
        <w:t>NAME AND ADDRESS OF THE SPONSOR</w:t>
      </w:r>
    </w:p>
    <w:p w:rsidR="00823CA9" w:rsidRPr="00C76C82" w:rsidRDefault="00823CA9" w:rsidP="00746F03">
      <w:pPr>
        <w:ind w:left="992" w:right="663"/>
        <w:rPr>
          <w:rFonts w:ascii="Arial Narrow" w:hAnsi="Arial Narrow" w:cs="Arial"/>
          <w:b/>
          <w:bCs/>
          <w:iCs/>
          <w:sz w:val="22"/>
          <w:szCs w:val="22"/>
          <w:lang w:val="en-AU"/>
        </w:rPr>
      </w:pPr>
    </w:p>
    <w:p w:rsidR="0092484B" w:rsidRPr="00C76C82" w:rsidRDefault="0092484B" w:rsidP="00746F03">
      <w:pPr>
        <w:ind w:left="992" w:right="663"/>
        <w:rPr>
          <w:rFonts w:ascii="Arial Narrow" w:hAnsi="Arial Narrow" w:cs="Arial"/>
          <w:sz w:val="22"/>
          <w:szCs w:val="22"/>
          <w:lang w:val="en-US"/>
        </w:rPr>
      </w:pPr>
      <w:r w:rsidRPr="00C76C82">
        <w:rPr>
          <w:rFonts w:ascii="Arial Narrow" w:hAnsi="Arial Narrow" w:cs="Arial"/>
          <w:sz w:val="22"/>
          <w:szCs w:val="22"/>
          <w:lang w:val="en-US"/>
        </w:rPr>
        <w:t xml:space="preserve">Phebra Pty Ltd, </w:t>
      </w:r>
      <w:r w:rsidR="004809E8">
        <w:rPr>
          <w:rFonts w:ascii="Arial Narrow" w:hAnsi="Arial Narrow" w:cs="Arial"/>
          <w:sz w:val="22"/>
          <w:szCs w:val="22"/>
          <w:lang w:val="en-US"/>
        </w:rPr>
        <w:t>19 Orion</w:t>
      </w:r>
      <w:r w:rsidRPr="00C76C82">
        <w:rPr>
          <w:rFonts w:ascii="Arial Narrow" w:hAnsi="Arial Narrow" w:cs="Arial"/>
          <w:sz w:val="22"/>
          <w:szCs w:val="22"/>
          <w:lang w:val="en-US"/>
        </w:rPr>
        <w:t xml:space="preserve"> Road, Lane Cove</w:t>
      </w:r>
      <w:r w:rsidR="004809E8">
        <w:rPr>
          <w:rFonts w:ascii="Arial Narrow" w:hAnsi="Arial Narrow" w:cs="Arial"/>
          <w:sz w:val="22"/>
          <w:szCs w:val="22"/>
          <w:lang w:val="en-US"/>
        </w:rPr>
        <w:t xml:space="preserve"> West,</w:t>
      </w:r>
      <w:r w:rsidRPr="00C76C82">
        <w:rPr>
          <w:rFonts w:ascii="Arial Narrow" w:hAnsi="Arial Narrow" w:cs="Arial"/>
          <w:sz w:val="22"/>
          <w:szCs w:val="22"/>
          <w:lang w:val="en-US"/>
        </w:rPr>
        <w:t xml:space="preserve"> NSW 2066, Australia.</w:t>
      </w:r>
    </w:p>
    <w:p w:rsidR="0057279A" w:rsidRDefault="0092484B" w:rsidP="00746F03">
      <w:pPr>
        <w:ind w:left="992" w:right="663"/>
        <w:rPr>
          <w:rFonts w:ascii="Arial Narrow" w:hAnsi="Arial Narrow" w:cs="Arial"/>
          <w:sz w:val="22"/>
          <w:szCs w:val="22"/>
        </w:rPr>
      </w:pPr>
      <w:r w:rsidRPr="00C76C82">
        <w:rPr>
          <w:rFonts w:ascii="Arial Narrow" w:hAnsi="Arial Narrow" w:cs="Arial"/>
          <w:sz w:val="22"/>
          <w:szCs w:val="22"/>
        </w:rPr>
        <w:t>Telephone: 1800 720 020</w:t>
      </w:r>
    </w:p>
    <w:p w:rsidR="00A928A4" w:rsidRDefault="00FB670D" w:rsidP="006F71F2">
      <w:pPr>
        <w:keepNext/>
        <w:autoSpaceDE w:val="0"/>
        <w:autoSpaceDN w:val="0"/>
        <w:adjustRightInd w:val="0"/>
        <w:ind w:left="993" w:right="665"/>
        <w:rPr>
          <w:rFonts w:ascii="Arial Narrow" w:hAnsi="Arial Narrow" w:cs="Arial"/>
          <w:color w:val="000000"/>
          <w:sz w:val="22"/>
          <w:szCs w:val="22"/>
          <w:lang w:val="en-AU" w:eastAsia="en-US"/>
        </w:rPr>
      </w:pPr>
      <w:r>
        <w:rPr>
          <w:rFonts w:ascii="Arial Narrow" w:eastAsiaTheme="minorHAnsi" w:hAnsi="Arial Narrow" w:cs="DIN-Regular"/>
          <w:noProof/>
          <w:sz w:val="22"/>
          <w:szCs w:val="22"/>
          <w:lang w:val="en-AU" w:eastAsia="en-AU"/>
        </w:rPr>
        <w:drawing>
          <wp:anchor distT="0" distB="0" distL="114300" distR="114300" simplePos="0" relativeHeight="251658240" behindDoc="1" locked="0" layoutInCell="1" allowOverlap="1" wp14:anchorId="21B3BC21" wp14:editId="0745113D">
            <wp:simplePos x="0" y="0"/>
            <wp:positionH relativeFrom="column">
              <wp:posOffset>3637280</wp:posOffset>
            </wp:positionH>
            <wp:positionV relativeFrom="paragraph">
              <wp:posOffset>111731</wp:posOffset>
            </wp:positionV>
            <wp:extent cx="342900" cy="5295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2900" cy="529590"/>
                    </a:xfrm>
                    <a:prstGeom prst="rect">
                      <a:avLst/>
                    </a:prstGeom>
                  </pic:spPr>
                </pic:pic>
              </a:graphicData>
            </a:graphic>
            <wp14:sizeRelH relativeFrom="page">
              <wp14:pctWidth>0</wp14:pctWidth>
            </wp14:sizeRelH>
            <wp14:sizeRelV relativeFrom="page">
              <wp14:pctHeight>0</wp14:pctHeight>
            </wp14:sizeRelV>
          </wp:anchor>
        </w:drawing>
      </w:r>
    </w:p>
    <w:p w:rsidR="00712C9B" w:rsidRDefault="00DF178A" w:rsidP="006F71F2">
      <w:pPr>
        <w:keepNext/>
        <w:autoSpaceDE w:val="0"/>
        <w:autoSpaceDN w:val="0"/>
        <w:adjustRightInd w:val="0"/>
        <w:ind w:left="993" w:right="665"/>
        <w:rPr>
          <w:rFonts w:ascii="Arial Narrow" w:eastAsiaTheme="minorHAnsi" w:hAnsi="Arial Narrow" w:cs="DIN-Regular"/>
          <w:sz w:val="22"/>
          <w:szCs w:val="22"/>
          <w:lang w:val="en-AU" w:eastAsia="en-US"/>
        </w:rPr>
      </w:pPr>
      <w:proofErr w:type="gramStart"/>
      <w:r w:rsidRPr="00C76C82">
        <w:rPr>
          <w:rFonts w:ascii="Arial Narrow" w:hAnsi="Arial Narrow" w:cs="Arial"/>
          <w:color w:val="000000"/>
          <w:sz w:val="22"/>
          <w:szCs w:val="22"/>
          <w:lang w:val="en-AU" w:eastAsia="en-US"/>
        </w:rPr>
        <w:t>Manufactured by</w:t>
      </w:r>
      <w:r w:rsidR="00687693">
        <w:rPr>
          <w:rFonts w:ascii="Arial Narrow" w:hAnsi="Arial Narrow" w:cs="Arial"/>
          <w:color w:val="000000"/>
          <w:sz w:val="22"/>
          <w:szCs w:val="22"/>
          <w:lang w:val="en-AU" w:eastAsia="en-US"/>
        </w:rPr>
        <w:t>:</w:t>
      </w:r>
      <w:r w:rsidR="006F71F2">
        <w:rPr>
          <w:rFonts w:ascii="Arial Narrow" w:hAnsi="Arial Narrow" w:cs="Arial"/>
          <w:color w:val="000000"/>
          <w:sz w:val="22"/>
          <w:szCs w:val="22"/>
          <w:lang w:val="en-AU" w:eastAsia="en-US"/>
        </w:rPr>
        <w:tab/>
      </w:r>
      <w:r w:rsidR="00823CA9">
        <w:rPr>
          <w:rFonts w:ascii="Arial Narrow" w:hAnsi="Arial Narrow" w:cs="Arial"/>
          <w:color w:val="000000"/>
          <w:sz w:val="22"/>
          <w:szCs w:val="22"/>
          <w:lang w:val="en-AU" w:eastAsia="en-US"/>
        </w:rPr>
        <w:t>B</w:t>
      </w:r>
      <w:r w:rsidRPr="00C76C82">
        <w:rPr>
          <w:rFonts w:ascii="Arial Narrow" w:eastAsiaTheme="minorHAnsi" w:hAnsi="Arial Narrow" w:cs="DIN-Regular"/>
          <w:sz w:val="22"/>
          <w:szCs w:val="22"/>
          <w:lang w:val="en-AU" w:eastAsia="en-US"/>
        </w:rPr>
        <w:t>TG International Inc.</w:t>
      </w:r>
      <w:proofErr w:type="gramEnd"/>
      <w:r w:rsidR="00712C9B">
        <w:rPr>
          <w:rFonts w:ascii="Arial Narrow" w:eastAsiaTheme="minorHAnsi" w:hAnsi="Arial Narrow" w:cs="DIN-Regular"/>
          <w:sz w:val="22"/>
          <w:szCs w:val="22"/>
          <w:lang w:val="en-AU" w:eastAsia="en-US"/>
        </w:rPr>
        <w:tab/>
      </w:r>
    </w:p>
    <w:p w:rsidR="00712C9B" w:rsidRDefault="00712C9B" w:rsidP="001B010A">
      <w:pPr>
        <w:keepNext/>
        <w:tabs>
          <w:tab w:val="left" w:pos="1710"/>
        </w:tabs>
        <w:autoSpaceDE w:val="0"/>
        <w:autoSpaceDN w:val="0"/>
        <w:adjustRightInd w:val="0"/>
        <w:ind w:left="993" w:right="665"/>
        <w:rPr>
          <w:rFonts w:ascii="Arial Narrow" w:eastAsiaTheme="minorHAnsi" w:hAnsi="Arial Narrow" w:cs="DIN-Regular"/>
          <w:sz w:val="22"/>
          <w:szCs w:val="22"/>
          <w:lang w:val="en-AU" w:eastAsia="en-US"/>
        </w:rPr>
      </w:pPr>
      <w:r>
        <w:rPr>
          <w:rFonts w:ascii="Arial Narrow" w:eastAsiaTheme="minorHAnsi" w:hAnsi="Arial Narrow" w:cs="DIN-Regular"/>
          <w:sz w:val="22"/>
          <w:szCs w:val="22"/>
          <w:lang w:val="en-AU" w:eastAsia="en-US"/>
        </w:rPr>
        <w:tab/>
      </w:r>
      <w:r w:rsidR="006F71F2">
        <w:rPr>
          <w:rFonts w:ascii="Arial Narrow" w:eastAsiaTheme="minorHAnsi" w:hAnsi="Arial Narrow" w:cs="DIN-Regular"/>
          <w:sz w:val="22"/>
          <w:szCs w:val="22"/>
          <w:lang w:val="en-AU" w:eastAsia="en-US"/>
        </w:rPr>
        <w:tab/>
      </w:r>
      <w:r w:rsidR="006F71F2">
        <w:rPr>
          <w:rFonts w:ascii="Arial Narrow" w:eastAsiaTheme="minorHAnsi" w:hAnsi="Arial Narrow" w:cs="DIN-Regular"/>
          <w:sz w:val="22"/>
          <w:szCs w:val="22"/>
          <w:lang w:val="en-AU" w:eastAsia="en-US"/>
        </w:rPr>
        <w:tab/>
      </w:r>
      <w:r w:rsidR="00DF178A" w:rsidRPr="00C76C82">
        <w:rPr>
          <w:rFonts w:ascii="Arial Narrow" w:eastAsiaTheme="minorHAnsi" w:hAnsi="Arial Narrow" w:cs="DIN-Regular"/>
          <w:sz w:val="22"/>
          <w:szCs w:val="22"/>
          <w:lang w:val="en-AU" w:eastAsia="en-US"/>
        </w:rPr>
        <w:t>West Conshohocken, PA 19428</w:t>
      </w:r>
    </w:p>
    <w:p w:rsidR="00A928A4" w:rsidRDefault="00712C9B" w:rsidP="006F71F2">
      <w:pPr>
        <w:keepNext/>
        <w:autoSpaceDE w:val="0"/>
        <w:autoSpaceDN w:val="0"/>
        <w:adjustRightInd w:val="0"/>
        <w:ind w:left="993" w:right="665"/>
        <w:rPr>
          <w:rFonts w:ascii="Arial Narrow" w:eastAsiaTheme="minorHAnsi" w:hAnsi="Arial Narrow" w:cs="DIN-Regular"/>
          <w:sz w:val="22"/>
          <w:szCs w:val="22"/>
          <w:lang w:val="en-AU" w:eastAsia="en-US"/>
        </w:rPr>
      </w:pPr>
      <w:r>
        <w:rPr>
          <w:rFonts w:ascii="Arial Narrow" w:eastAsiaTheme="minorHAnsi" w:hAnsi="Arial Narrow" w:cs="DIN-Regular"/>
          <w:sz w:val="22"/>
          <w:szCs w:val="22"/>
          <w:lang w:val="en-AU" w:eastAsia="en-US"/>
        </w:rPr>
        <w:tab/>
      </w:r>
      <w:r w:rsidR="006F71F2">
        <w:rPr>
          <w:rFonts w:ascii="Arial Narrow" w:eastAsiaTheme="minorHAnsi" w:hAnsi="Arial Narrow" w:cs="DIN-Regular"/>
          <w:sz w:val="22"/>
          <w:szCs w:val="22"/>
          <w:lang w:val="en-AU" w:eastAsia="en-US"/>
        </w:rPr>
        <w:tab/>
      </w:r>
      <w:r w:rsidR="006F71F2">
        <w:rPr>
          <w:rFonts w:ascii="Arial Narrow" w:eastAsiaTheme="minorHAnsi" w:hAnsi="Arial Narrow" w:cs="DIN-Regular"/>
          <w:sz w:val="22"/>
          <w:szCs w:val="22"/>
          <w:lang w:val="en-AU" w:eastAsia="en-US"/>
        </w:rPr>
        <w:tab/>
      </w:r>
      <w:r w:rsidR="00DF178A" w:rsidRPr="00C76C82">
        <w:rPr>
          <w:rFonts w:ascii="Arial Narrow" w:eastAsiaTheme="minorHAnsi" w:hAnsi="Arial Narrow" w:cs="DIN-Regular"/>
          <w:sz w:val="22"/>
          <w:szCs w:val="22"/>
          <w:lang w:val="en-AU" w:eastAsia="en-US"/>
        </w:rPr>
        <w:t>USA</w:t>
      </w:r>
    </w:p>
    <w:p w:rsidR="00E43A37" w:rsidRPr="00C76C82" w:rsidRDefault="00FB670D" w:rsidP="001B010A">
      <w:pPr>
        <w:tabs>
          <w:tab w:val="left" w:pos="1710"/>
          <w:tab w:val="left" w:pos="5040"/>
        </w:tabs>
        <w:autoSpaceDE w:val="0"/>
        <w:autoSpaceDN w:val="0"/>
        <w:adjustRightInd w:val="0"/>
        <w:ind w:left="993" w:right="665"/>
        <w:rPr>
          <w:rFonts w:ascii="Arial Narrow" w:eastAsiaTheme="minorHAnsi" w:hAnsi="Arial Narrow" w:cs="DIN-Regular"/>
          <w:sz w:val="22"/>
          <w:szCs w:val="22"/>
          <w:lang w:val="en-AU" w:eastAsia="en-US"/>
        </w:rPr>
      </w:pPr>
      <w:r>
        <w:rPr>
          <w:rFonts w:ascii="Arial Narrow" w:eastAsiaTheme="minorHAnsi" w:hAnsi="Arial Narrow" w:cs="DIN-Regular"/>
          <w:sz w:val="22"/>
          <w:szCs w:val="22"/>
          <w:lang w:val="en-AU" w:eastAsia="en-US"/>
        </w:rPr>
        <w:tab/>
      </w:r>
      <w:r w:rsidR="00687693">
        <w:rPr>
          <w:rFonts w:ascii="Arial Narrow" w:eastAsiaTheme="minorHAnsi" w:hAnsi="Arial Narrow" w:cs="DIN-Regular"/>
          <w:sz w:val="22"/>
          <w:szCs w:val="22"/>
          <w:lang w:val="en-AU" w:eastAsia="en-US"/>
        </w:rPr>
        <w:t xml:space="preserve">       </w:t>
      </w:r>
    </w:p>
    <w:p w:rsidR="0092484B" w:rsidRPr="00C76C82" w:rsidRDefault="0092484B" w:rsidP="001B010A">
      <w:pPr>
        <w:spacing w:after="120"/>
        <w:ind w:left="993" w:right="665"/>
        <w:rPr>
          <w:rFonts w:ascii="Arial Narrow" w:hAnsi="Arial Narrow" w:cs="Arial"/>
          <w:sz w:val="20"/>
          <w:szCs w:val="20"/>
          <w:lang w:val="en-AU"/>
        </w:rPr>
      </w:pPr>
      <w:r w:rsidRPr="00C76C82">
        <w:rPr>
          <w:rFonts w:ascii="Arial Narrow" w:hAnsi="Arial Narrow" w:cs="Arial"/>
          <w:b/>
          <w:bCs/>
          <w:iCs/>
          <w:sz w:val="22"/>
          <w:szCs w:val="22"/>
          <w:lang w:val="en-AU"/>
        </w:rPr>
        <w:t>POISONS SCHEDULE OF THE MEDICINE</w:t>
      </w:r>
    </w:p>
    <w:p w:rsidR="0057279A" w:rsidRPr="00C76C82" w:rsidRDefault="00DF178A" w:rsidP="001B010A">
      <w:pPr>
        <w:spacing w:after="120"/>
        <w:ind w:left="993" w:right="665"/>
        <w:rPr>
          <w:rFonts w:ascii="Arial Narrow" w:hAnsi="Arial Narrow" w:cs="Arial"/>
          <w:bCs/>
          <w:iCs/>
          <w:sz w:val="22"/>
          <w:szCs w:val="22"/>
          <w:lang w:val="en-AU"/>
        </w:rPr>
      </w:pPr>
      <w:r w:rsidRPr="00C76C82">
        <w:rPr>
          <w:rFonts w:ascii="Arial Narrow" w:hAnsi="Arial Narrow" w:cs="Arial"/>
          <w:bCs/>
          <w:iCs/>
          <w:sz w:val="22"/>
          <w:szCs w:val="22"/>
          <w:lang w:val="en-AU"/>
        </w:rPr>
        <w:lastRenderedPageBreak/>
        <w:t>Schedule 4 – Prescription Only Medicine</w:t>
      </w:r>
    </w:p>
    <w:p w:rsidR="006E661E" w:rsidRDefault="006E661E" w:rsidP="001B010A">
      <w:pPr>
        <w:spacing w:after="120"/>
        <w:ind w:left="993" w:right="665"/>
        <w:rPr>
          <w:rFonts w:ascii="Arial Narrow" w:hAnsi="Arial Narrow" w:cs="Arial"/>
          <w:b/>
          <w:sz w:val="22"/>
          <w:szCs w:val="22"/>
        </w:rPr>
      </w:pPr>
    </w:p>
    <w:p w:rsidR="000C6C6C" w:rsidRPr="00C76C82" w:rsidRDefault="0092484B" w:rsidP="001B010A">
      <w:pPr>
        <w:spacing w:after="120"/>
        <w:ind w:left="993" w:right="665"/>
        <w:rPr>
          <w:rFonts w:ascii="Arial Narrow" w:hAnsi="Arial Narrow" w:cs="Arial"/>
          <w:sz w:val="22"/>
          <w:szCs w:val="22"/>
        </w:rPr>
      </w:pPr>
      <w:r w:rsidRPr="000E7BE2">
        <w:rPr>
          <w:rFonts w:ascii="Arial Narrow" w:hAnsi="Arial Narrow" w:cs="Arial"/>
          <w:b/>
          <w:sz w:val="22"/>
          <w:szCs w:val="22"/>
        </w:rPr>
        <w:t>Date of first inclusion in the Australian Register of Therapeutic Goods</w:t>
      </w:r>
      <w:r w:rsidRPr="00C76C82">
        <w:rPr>
          <w:rFonts w:ascii="Arial Narrow" w:hAnsi="Arial Narrow" w:cs="Arial"/>
          <w:sz w:val="22"/>
          <w:szCs w:val="22"/>
        </w:rPr>
        <w:t>:</w:t>
      </w:r>
      <w:r w:rsidR="000574E5">
        <w:rPr>
          <w:rFonts w:ascii="Arial Narrow" w:hAnsi="Arial Narrow" w:cs="Arial"/>
          <w:sz w:val="22"/>
          <w:szCs w:val="22"/>
        </w:rPr>
        <w:t xml:space="preserve"> </w:t>
      </w:r>
      <w:r w:rsidR="004D28DB">
        <w:rPr>
          <w:rFonts w:ascii="Arial Narrow" w:hAnsi="Arial Narrow" w:cs="Arial"/>
          <w:sz w:val="22"/>
          <w:szCs w:val="22"/>
        </w:rPr>
        <w:t>14 February 2014</w:t>
      </w:r>
    </w:p>
    <w:p w:rsidR="0092484B" w:rsidRPr="006C4EF6" w:rsidRDefault="0092484B" w:rsidP="001B010A">
      <w:pPr>
        <w:pStyle w:val="Header"/>
        <w:ind w:left="993" w:right="665"/>
        <w:rPr>
          <w:rFonts w:ascii="Arial Narrow" w:hAnsi="Arial Narrow" w:cs="Arial"/>
          <w:sz w:val="18"/>
          <w:szCs w:val="18"/>
          <w:lang w:val="en-US"/>
        </w:rPr>
      </w:pPr>
      <w:r w:rsidRPr="006C4EF6">
        <w:rPr>
          <w:rFonts w:ascii="Arial Narrow" w:hAnsi="Arial Narrow" w:cs="Arial"/>
          <w:sz w:val="18"/>
          <w:szCs w:val="18"/>
          <w:lang w:val="en-US"/>
        </w:rPr>
        <w:t xml:space="preserve">Phebra and </w:t>
      </w:r>
      <w:r w:rsidR="00384AFF" w:rsidRPr="006C4EF6">
        <w:rPr>
          <w:rFonts w:ascii="Arial Narrow" w:hAnsi="Arial Narrow" w:cs="Arial"/>
          <w:sz w:val="18"/>
          <w:szCs w:val="18"/>
          <w:lang w:val="en-US"/>
        </w:rPr>
        <w:t xml:space="preserve">the </w:t>
      </w:r>
      <w:r w:rsidRPr="006C4EF6">
        <w:rPr>
          <w:rFonts w:ascii="Arial Narrow" w:hAnsi="Arial Narrow" w:cs="Arial"/>
          <w:sz w:val="18"/>
          <w:szCs w:val="18"/>
          <w:lang w:val="en-US"/>
        </w:rPr>
        <w:t xml:space="preserve">Phi </w:t>
      </w:r>
      <w:r w:rsidR="00384AFF" w:rsidRPr="006C4EF6">
        <w:rPr>
          <w:rFonts w:ascii="Arial Narrow" w:hAnsi="Arial Narrow" w:cs="Arial"/>
          <w:sz w:val="18"/>
          <w:szCs w:val="18"/>
          <w:lang w:val="en-US"/>
        </w:rPr>
        <w:t xml:space="preserve">symbol </w:t>
      </w:r>
      <w:r w:rsidRPr="006C4EF6">
        <w:rPr>
          <w:rFonts w:ascii="Arial Narrow" w:hAnsi="Arial Narrow" w:cs="Arial"/>
          <w:sz w:val="18"/>
          <w:szCs w:val="18"/>
          <w:lang w:val="en-US"/>
        </w:rPr>
        <w:t xml:space="preserve">are trademarks of Phebra Pty Ltd, </w:t>
      </w:r>
      <w:r w:rsidR="004809E8">
        <w:rPr>
          <w:rFonts w:ascii="Arial Narrow" w:hAnsi="Arial Narrow" w:cs="Arial"/>
          <w:sz w:val="18"/>
          <w:szCs w:val="18"/>
          <w:lang w:val="en-US"/>
        </w:rPr>
        <w:t>19 Orion</w:t>
      </w:r>
      <w:r w:rsidRPr="006C4EF6">
        <w:rPr>
          <w:rFonts w:ascii="Arial Narrow" w:hAnsi="Arial Narrow" w:cs="Arial"/>
          <w:sz w:val="18"/>
          <w:szCs w:val="18"/>
          <w:lang w:val="en-US"/>
        </w:rPr>
        <w:t xml:space="preserve"> Road, Lane Cove</w:t>
      </w:r>
      <w:r w:rsidR="004809E8">
        <w:rPr>
          <w:rFonts w:ascii="Arial Narrow" w:hAnsi="Arial Narrow" w:cs="Arial"/>
          <w:sz w:val="18"/>
          <w:szCs w:val="18"/>
          <w:lang w:val="en-US"/>
        </w:rPr>
        <w:t xml:space="preserve"> West</w:t>
      </w:r>
      <w:r w:rsidRPr="006C4EF6">
        <w:rPr>
          <w:rFonts w:ascii="Arial Narrow" w:hAnsi="Arial Narrow" w:cs="Arial"/>
          <w:sz w:val="18"/>
          <w:szCs w:val="18"/>
          <w:lang w:val="en-US"/>
        </w:rPr>
        <w:t xml:space="preserve">, NSW 2066, </w:t>
      </w:r>
      <w:proofErr w:type="gramStart"/>
      <w:r w:rsidRPr="006C4EF6">
        <w:rPr>
          <w:rFonts w:ascii="Arial Narrow" w:hAnsi="Arial Narrow" w:cs="Arial"/>
          <w:sz w:val="18"/>
          <w:szCs w:val="18"/>
          <w:lang w:val="en-US"/>
        </w:rPr>
        <w:t>Australia</w:t>
      </w:r>
      <w:proofErr w:type="gramEnd"/>
      <w:r w:rsidRPr="006C4EF6">
        <w:rPr>
          <w:rFonts w:ascii="Arial Narrow" w:hAnsi="Arial Narrow" w:cs="Arial"/>
          <w:sz w:val="18"/>
          <w:szCs w:val="18"/>
          <w:lang w:val="en-US"/>
        </w:rPr>
        <w:t xml:space="preserve">. </w:t>
      </w:r>
    </w:p>
    <w:p w:rsidR="00712C9B" w:rsidRDefault="00384AFF" w:rsidP="001B010A">
      <w:pPr>
        <w:ind w:left="993" w:right="665"/>
        <w:jc w:val="both"/>
        <w:rPr>
          <w:rFonts w:ascii="Arial Narrow" w:eastAsiaTheme="minorHAnsi" w:hAnsi="Arial Narrow" w:cs="DIN-Regular"/>
          <w:sz w:val="18"/>
          <w:szCs w:val="18"/>
          <w:lang w:val="en-AU" w:eastAsia="en-US"/>
        </w:rPr>
      </w:pPr>
      <w:r w:rsidRPr="006C4EF6">
        <w:rPr>
          <w:rFonts w:ascii="Arial Narrow" w:hAnsi="Arial Narrow"/>
          <w:sz w:val="18"/>
          <w:szCs w:val="18"/>
        </w:rPr>
        <w:t>DigiFab</w:t>
      </w:r>
      <w:r w:rsidR="00296D5A" w:rsidRPr="000E7BE2">
        <w:rPr>
          <w:rFonts w:ascii="Arial Narrow" w:hAnsi="Arial Narrow" w:cs="Arial"/>
          <w:b/>
          <w:bCs/>
          <w:iCs/>
          <w:sz w:val="18"/>
          <w:szCs w:val="18"/>
          <w:vertAlign w:val="superscript"/>
          <w:lang w:val="en-AU"/>
        </w:rPr>
        <w:t>®</w:t>
      </w:r>
      <w:r w:rsidRPr="006C4EF6">
        <w:rPr>
          <w:rFonts w:ascii="Arial Narrow" w:hAnsi="Arial Narrow"/>
          <w:sz w:val="18"/>
          <w:szCs w:val="18"/>
        </w:rPr>
        <w:t xml:space="preserve"> is </w:t>
      </w:r>
      <w:r w:rsidR="000E36F6">
        <w:rPr>
          <w:rFonts w:ascii="Arial Narrow" w:hAnsi="Arial Narrow"/>
          <w:sz w:val="18"/>
          <w:szCs w:val="18"/>
        </w:rPr>
        <w:t xml:space="preserve">a </w:t>
      </w:r>
      <w:r w:rsidRPr="006C4EF6">
        <w:rPr>
          <w:rFonts w:ascii="Arial Narrow" w:hAnsi="Arial Narrow"/>
          <w:sz w:val="18"/>
          <w:szCs w:val="18"/>
        </w:rPr>
        <w:t>registered trademark of BTG International Inc.</w:t>
      </w:r>
    </w:p>
    <w:p w:rsidR="00751237" w:rsidRDefault="00B428CF" w:rsidP="001B010A">
      <w:pPr>
        <w:ind w:left="993" w:right="665"/>
        <w:jc w:val="both"/>
        <w:rPr>
          <w:rFonts w:ascii="Arial Narrow" w:eastAsiaTheme="minorHAnsi" w:hAnsi="Arial Narrow" w:cs="DIN-Regular"/>
          <w:sz w:val="18"/>
          <w:szCs w:val="18"/>
          <w:lang w:val="en-AU" w:eastAsia="en-US"/>
        </w:rPr>
      </w:pPr>
      <w:r w:rsidRPr="000E7BE2">
        <w:rPr>
          <w:rFonts w:ascii="Arial Narrow" w:eastAsiaTheme="minorHAnsi" w:hAnsi="Arial Narrow" w:cs="DIN-Regular"/>
          <w:sz w:val="18"/>
          <w:szCs w:val="18"/>
          <w:lang w:val="en-AU" w:eastAsia="en-US"/>
        </w:rPr>
        <w:t>BTG and the BTG</w:t>
      </w:r>
      <w:r w:rsidR="004A4AB3" w:rsidRPr="000E7BE2">
        <w:rPr>
          <w:rFonts w:ascii="Arial Narrow" w:eastAsiaTheme="minorHAnsi" w:hAnsi="Arial Narrow" w:cs="DIN-Regular"/>
          <w:sz w:val="18"/>
          <w:szCs w:val="18"/>
          <w:lang w:val="en-AU" w:eastAsia="en-US"/>
        </w:rPr>
        <w:t xml:space="preserve"> roundel logo are registered trademarks of BTG International Ltd.</w:t>
      </w:r>
    </w:p>
    <w:p w:rsidR="00FA335D" w:rsidRDefault="003F03E4" w:rsidP="00BB548F">
      <w:pPr>
        <w:spacing w:after="120"/>
        <w:jc w:val="both"/>
        <w:rPr>
          <w:rFonts w:ascii="Arial Narrow" w:eastAsiaTheme="minorHAnsi" w:hAnsi="Arial Narrow" w:cs="DIN-Regular"/>
          <w:sz w:val="20"/>
          <w:szCs w:val="20"/>
          <w:lang w:val="en-AU" w:eastAsia="en-US"/>
        </w:rPr>
      </w:pPr>
      <w:r>
        <w:rPr>
          <w:rFonts w:ascii="Arial Narrow" w:eastAsiaTheme="minorHAnsi" w:hAnsi="Arial Narrow" w:cs="DIN-Regular"/>
          <w:sz w:val="20"/>
          <w:szCs w:val="20"/>
          <w:lang w:val="en-AU" w:eastAsia="en-US"/>
        </w:rPr>
        <w:t xml:space="preserve">                                                                                                                                                                                    </w:t>
      </w:r>
      <w:r w:rsidR="00FA335D">
        <w:rPr>
          <w:rFonts w:ascii="Arial Narrow" w:eastAsiaTheme="minorHAnsi" w:hAnsi="Arial Narrow" w:cs="DIN-Regular"/>
          <w:sz w:val="20"/>
          <w:szCs w:val="20"/>
          <w:lang w:val="en-AU" w:eastAsia="en-US"/>
        </w:rPr>
        <w:t>PiI172.1</w:t>
      </w:r>
    </w:p>
    <w:p w:rsidR="00315159" w:rsidRPr="00C76C82" w:rsidRDefault="00315159" w:rsidP="000D266B">
      <w:pPr>
        <w:spacing w:after="120"/>
        <w:jc w:val="center"/>
        <w:rPr>
          <w:rFonts w:ascii="Arial Narrow" w:hAnsi="Arial Narrow"/>
          <w:sz w:val="20"/>
          <w:szCs w:val="20"/>
        </w:rPr>
      </w:pPr>
    </w:p>
    <w:sectPr w:rsidR="00315159" w:rsidRPr="00C76C82" w:rsidSect="00C44C45">
      <w:headerReference w:type="default" r:id="rId14"/>
      <w:footerReference w:type="default" r:id="rId15"/>
      <w:pgSz w:w="11906" w:h="16838" w:code="9"/>
      <w:pgMar w:top="720" w:right="720" w:bottom="720" w:left="456" w:header="426" w:footer="4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B63" w:rsidRDefault="00421B63" w:rsidP="0092484B">
      <w:r>
        <w:separator/>
      </w:r>
    </w:p>
  </w:endnote>
  <w:endnote w:type="continuationSeparator" w:id="0">
    <w:p w:rsidR="00421B63" w:rsidRDefault="00421B63" w:rsidP="0092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adeGothic-CondEighteen">
    <w:panose1 w:val="00000000000000000000"/>
    <w:charset w:val="00"/>
    <w:family w:val="swiss"/>
    <w:notTrueType/>
    <w:pitch w:val="default"/>
    <w:sig w:usb0="00000003" w:usb1="00000000" w:usb2="00000000" w:usb3="00000000" w:csb0="00000001" w:csb1="00000000"/>
  </w:font>
  <w:font w:name="TradeGothic-BoldCondTwenty">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83" w:usb1="090F0000" w:usb2="00000010" w:usb3="00000000" w:csb0="001A0009" w:csb1="00000000"/>
  </w:font>
  <w:font w:name="DIN-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08" w:rsidRDefault="00711A08" w:rsidP="0092484B">
    <w:pPr>
      <w:pStyle w:val="Footer"/>
      <w:rPr>
        <w:rFonts w:ascii="Arial Narrow" w:hAnsi="Arial Narrow"/>
        <w:sz w:val="20"/>
      </w:rPr>
    </w:pPr>
    <w:r>
      <w:rPr>
        <w:rFonts w:ascii="Arial Narrow" w:hAnsi="Arial Narrow"/>
        <w:sz w:val="20"/>
      </w:rPr>
      <w:t>__________________________________________________________________________________________________</w:t>
    </w:r>
  </w:p>
  <w:p w:rsidR="00711A08" w:rsidRDefault="00711A08" w:rsidP="0092484B">
    <w:pPr>
      <w:pStyle w:val="Footer"/>
      <w:rPr>
        <w:rFonts w:ascii="Arial Narrow" w:hAnsi="Arial Narrow"/>
        <w:sz w:val="20"/>
      </w:rPr>
    </w:pPr>
    <w:r w:rsidRPr="00C54040">
      <w:rPr>
        <w:rFonts w:ascii="Arial Narrow" w:hAnsi="Arial Narrow" w:cs="Arial"/>
        <w:b/>
        <w:sz w:val="18"/>
        <w:szCs w:val="18"/>
      </w:rPr>
      <w:t>DigiFab</w:t>
    </w:r>
    <w:r w:rsidRPr="00C54040">
      <w:rPr>
        <w:rFonts w:ascii="Arial Narrow" w:hAnsi="Arial Narrow" w:cs="Arial"/>
        <w:b/>
        <w:sz w:val="18"/>
        <w:szCs w:val="18"/>
        <w:vertAlign w:val="superscript"/>
      </w:rPr>
      <w:t>®</w:t>
    </w:r>
    <w:r w:rsidRPr="00C54040">
      <w:rPr>
        <w:rFonts w:ascii="Arial Narrow" w:hAnsi="Arial Narrow" w:cs="Arial"/>
        <w:b/>
        <w:sz w:val="18"/>
        <w:szCs w:val="18"/>
      </w:rPr>
      <w:t>, Digoxin-specific antibody fragment F(Ab) (Ovine)</w:t>
    </w:r>
    <w:r>
      <w:rPr>
        <w:rFonts w:ascii="Arial Narrow" w:hAnsi="Arial Narrow"/>
        <w:sz w:val="20"/>
      </w:rPr>
      <w:tab/>
      <w:t xml:space="preserve">  </w:t>
    </w:r>
    <w:r w:rsidR="002445D1">
      <w:rPr>
        <w:rFonts w:ascii="Arial Narrow" w:hAnsi="Arial Narrow"/>
        <w:sz w:val="20"/>
      </w:rPr>
      <w:tab/>
    </w:r>
    <w:r>
      <w:rPr>
        <w:rFonts w:ascii="Arial Narrow" w:hAnsi="Arial Narrow"/>
        <w:sz w:val="20"/>
      </w:rPr>
      <w:t xml:space="preserve">  </w:t>
    </w:r>
    <w:r w:rsidRPr="00511A8F">
      <w:rPr>
        <w:rFonts w:ascii="Arial Narrow" w:hAnsi="Arial Narrow"/>
        <w:sz w:val="20"/>
      </w:rPr>
      <w:t xml:space="preserve">Page  </w:t>
    </w:r>
    <w:r w:rsidRPr="00511A8F">
      <w:rPr>
        <w:rFonts w:ascii="Arial Narrow" w:hAnsi="Arial Narrow"/>
        <w:sz w:val="20"/>
      </w:rPr>
      <w:fldChar w:fldCharType="begin"/>
    </w:r>
    <w:r w:rsidRPr="00511A8F">
      <w:rPr>
        <w:rFonts w:ascii="Arial Narrow" w:hAnsi="Arial Narrow"/>
        <w:sz w:val="20"/>
      </w:rPr>
      <w:instrText xml:space="preserve"> PAGE   \* MERGEFORMAT </w:instrText>
    </w:r>
    <w:r w:rsidRPr="00511A8F">
      <w:rPr>
        <w:rFonts w:ascii="Arial Narrow" w:hAnsi="Arial Narrow"/>
        <w:sz w:val="20"/>
      </w:rPr>
      <w:fldChar w:fldCharType="separate"/>
    </w:r>
    <w:r w:rsidR="00BF4541">
      <w:rPr>
        <w:rFonts w:ascii="Arial Narrow" w:hAnsi="Arial Narrow"/>
        <w:noProof/>
        <w:sz w:val="20"/>
      </w:rPr>
      <w:t>11</w:t>
    </w:r>
    <w:r w:rsidRPr="00511A8F">
      <w:rPr>
        <w:rFonts w:ascii="Arial Narrow" w:hAnsi="Arial Narrow"/>
        <w:sz w:val="20"/>
      </w:rPr>
      <w:fldChar w:fldCharType="end"/>
    </w:r>
    <w:r>
      <w:rPr>
        <w:rFonts w:ascii="Arial Narrow" w:hAnsi="Arial Narrow"/>
        <w:sz w:val="20"/>
      </w:rPr>
      <w:t xml:space="preserve"> of 12</w:t>
    </w:r>
  </w:p>
  <w:p w:rsidR="00711A08" w:rsidRPr="00C54040" w:rsidRDefault="00711A08" w:rsidP="0092484B">
    <w:pPr>
      <w:pStyle w:val="Footer"/>
      <w:rPr>
        <w:rFonts w:ascii="Arial Narrow" w:hAnsi="Arial Narrow" w:cs="Arial"/>
        <w:b/>
        <w:sz w:val="18"/>
        <w:szCs w:val="18"/>
      </w:rPr>
    </w:pPr>
    <w:r>
      <w:rPr>
        <w:rFonts w:ascii="Arial Narrow" w:hAnsi="Arial Narrow"/>
        <w:sz w:val="20"/>
      </w:rPr>
      <w:t>powder for injection 40</w:t>
    </w:r>
    <w:r w:rsidR="00511A54">
      <w:rPr>
        <w:rFonts w:ascii="Arial Narrow" w:hAnsi="Arial Narrow"/>
        <w:sz w:val="20"/>
      </w:rPr>
      <w:t xml:space="preserve"> </w:t>
    </w:r>
    <w:r>
      <w:rPr>
        <w:rFonts w:ascii="Arial Narrow" w:hAnsi="Arial Narrow"/>
        <w:sz w:val="20"/>
      </w:rPr>
      <w:t xml:space="preserve">mg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08" w:rsidRDefault="00711A08" w:rsidP="00511A54">
    <w:pPr>
      <w:pStyle w:val="Footer"/>
      <w:tabs>
        <w:tab w:val="clear" w:pos="4513"/>
        <w:tab w:val="clear" w:pos="9026"/>
        <w:tab w:val="center" w:pos="7655"/>
        <w:tab w:val="right" w:pos="13950"/>
      </w:tabs>
      <w:rPr>
        <w:rFonts w:ascii="Arial Narrow" w:hAnsi="Arial Narrow"/>
        <w:sz w:val="20"/>
      </w:rPr>
    </w:pPr>
    <w:r>
      <w:rPr>
        <w:rFonts w:ascii="Arial Narrow" w:hAnsi="Arial Narrow"/>
        <w:sz w:val="20"/>
      </w:rPr>
      <w:t>______________________________________________________________________________________________________________________________________________________</w:t>
    </w:r>
  </w:p>
  <w:p w:rsidR="00711A08" w:rsidRDefault="00711A08" w:rsidP="00511A54">
    <w:pPr>
      <w:pStyle w:val="Footer"/>
      <w:tabs>
        <w:tab w:val="clear" w:pos="4513"/>
        <w:tab w:val="clear" w:pos="9026"/>
        <w:tab w:val="right" w:pos="13680"/>
      </w:tabs>
      <w:rPr>
        <w:rFonts w:ascii="Arial Narrow" w:hAnsi="Arial Narrow"/>
        <w:sz w:val="20"/>
      </w:rPr>
    </w:pPr>
    <w:r w:rsidRPr="00C54040">
      <w:rPr>
        <w:rFonts w:ascii="Arial Narrow" w:hAnsi="Arial Narrow" w:cs="Arial"/>
        <w:b/>
        <w:sz w:val="18"/>
        <w:szCs w:val="18"/>
      </w:rPr>
      <w:t>DigiFab</w:t>
    </w:r>
    <w:r w:rsidRPr="00C54040">
      <w:rPr>
        <w:rFonts w:ascii="Arial Narrow" w:hAnsi="Arial Narrow" w:cs="Arial"/>
        <w:b/>
        <w:sz w:val="18"/>
        <w:szCs w:val="18"/>
        <w:vertAlign w:val="superscript"/>
      </w:rPr>
      <w:t>®</w:t>
    </w:r>
    <w:r w:rsidRPr="00C54040">
      <w:rPr>
        <w:rFonts w:ascii="Arial Narrow" w:hAnsi="Arial Narrow" w:cs="Arial"/>
        <w:b/>
        <w:sz w:val="18"/>
        <w:szCs w:val="18"/>
      </w:rPr>
      <w:t>, Digoxin-specific antibody fragment F(Ab) (Ovine)</w:t>
    </w:r>
    <w:r w:rsidR="00511A54">
      <w:rPr>
        <w:rFonts w:ascii="Arial Narrow" w:hAnsi="Arial Narrow"/>
        <w:sz w:val="20"/>
      </w:rPr>
      <w:tab/>
      <w:t xml:space="preserve"> </w:t>
    </w:r>
    <w:r w:rsidRPr="00511A8F">
      <w:rPr>
        <w:rFonts w:ascii="Arial Narrow" w:hAnsi="Arial Narrow"/>
        <w:sz w:val="20"/>
      </w:rPr>
      <w:t xml:space="preserve">Page  </w:t>
    </w:r>
    <w:r w:rsidRPr="00511A8F">
      <w:rPr>
        <w:rFonts w:ascii="Arial Narrow" w:hAnsi="Arial Narrow"/>
        <w:sz w:val="20"/>
      </w:rPr>
      <w:fldChar w:fldCharType="begin"/>
    </w:r>
    <w:r w:rsidRPr="00511A8F">
      <w:rPr>
        <w:rFonts w:ascii="Arial Narrow" w:hAnsi="Arial Narrow"/>
        <w:sz w:val="20"/>
      </w:rPr>
      <w:instrText xml:space="preserve"> PAGE   \* MERGEFORMAT </w:instrText>
    </w:r>
    <w:r w:rsidRPr="00511A8F">
      <w:rPr>
        <w:rFonts w:ascii="Arial Narrow" w:hAnsi="Arial Narrow"/>
        <w:sz w:val="20"/>
      </w:rPr>
      <w:fldChar w:fldCharType="separate"/>
    </w:r>
    <w:r w:rsidR="00BF4541">
      <w:rPr>
        <w:rFonts w:ascii="Arial Narrow" w:hAnsi="Arial Narrow"/>
        <w:noProof/>
        <w:sz w:val="20"/>
      </w:rPr>
      <w:t>12</w:t>
    </w:r>
    <w:r w:rsidRPr="00511A8F">
      <w:rPr>
        <w:rFonts w:ascii="Arial Narrow" w:hAnsi="Arial Narrow"/>
        <w:sz w:val="20"/>
      </w:rPr>
      <w:fldChar w:fldCharType="end"/>
    </w:r>
    <w:r>
      <w:rPr>
        <w:rFonts w:ascii="Arial Narrow" w:hAnsi="Arial Narrow"/>
        <w:sz w:val="20"/>
      </w:rPr>
      <w:t xml:space="preserve"> of 12</w:t>
    </w:r>
  </w:p>
  <w:p w:rsidR="00711A08" w:rsidRPr="00C54040" w:rsidRDefault="00711A08" w:rsidP="00C44C45">
    <w:pPr>
      <w:pStyle w:val="Footer"/>
      <w:rPr>
        <w:rFonts w:ascii="Arial Narrow" w:hAnsi="Arial Narrow" w:cs="Arial"/>
        <w:b/>
        <w:sz w:val="18"/>
        <w:szCs w:val="18"/>
      </w:rPr>
    </w:pPr>
    <w:r>
      <w:rPr>
        <w:rFonts w:ascii="Arial Narrow" w:hAnsi="Arial Narrow"/>
        <w:sz w:val="20"/>
      </w:rPr>
      <w:t>powder for injection 40</w:t>
    </w:r>
    <w:r w:rsidR="00511A54">
      <w:rPr>
        <w:rFonts w:ascii="Arial Narrow" w:hAnsi="Arial Narrow"/>
        <w:sz w:val="20"/>
      </w:rPr>
      <w:t xml:space="preserve"> </w:t>
    </w:r>
    <w:r>
      <w:rPr>
        <w:rFonts w:ascii="Arial Narrow" w:hAnsi="Arial Narrow"/>
        <w:sz w:val="20"/>
      </w:rPr>
      <w:t xml:space="preserve">mg </w:t>
    </w:r>
  </w:p>
  <w:p w:rsidR="00711A08" w:rsidRPr="00C54040" w:rsidRDefault="00711A08" w:rsidP="0092484B">
    <w:pPr>
      <w:pStyle w:val="Footer"/>
      <w:rPr>
        <w:rFonts w:ascii="Arial Narrow" w:hAnsi="Arial Narrow" w:cs="Arial"/>
        <w:b/>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80E" w:rsidRDefault="0030680E" w:rsidP="0030680E">
    <w:pPr>
      <w:pStyle w:val="Footer"/>
      <w:tabs>
        <w:tab w:val="clear" w:pos="4513"/>
        <w:tab w:val="clear" w:pos="9026"/>
        <w:tab w:val="center" w:pos="7655"/>
        <w:tab w:val="right" w:pos="13608"/>
      </w:tabs>
      <w:rPr>
        <w:rFonts w:ascii="Arial Narrow" w:hAnsi="Arial Narrow"/>
        <w:sz w:val="20"/>
      </w:rPr>
    </w:pPr>
    <w:r>
      <w:rPr>
        <w:rFonts w:ascii="Arial Narrow" w:hAnsi="Arial Narrow"/>
        <w:sz w:val="20"/>
      </w:rPr>
      <w:t>_____________________________________________________________________________________________________________________</w:t>
    </w:r>
  </w:p>
  <w:p w:rsidR="002445D1" w:rsidRDefault="002445D1" w:rsidP="002445D1">
    <w:pPr>
      <w:pStyle w:val="Footer"/>
      <w:rPr>
        <w:rFonts w:ascii="Arial Narrow" w:hAnsi="Arial Narrow"/>
        <w:sz w:val="20"/>
      </w:rPr>
    </w:pPr>
    <w:r w:rsidRPr="00C54040">
      <w:rPr>
        <w:rFonts w:ascii="Arial Narrow" w:hAnsi="Arial Narrow" w:cs="Arial"/>
        <w:b/>
        <w:sz w:val="18"/>
        <w:szCs w:val="18"/>
      </w:rPr>
      <w:t>DigiFab</w:t>
    </w:r>
    <w:r w:rsidRPr="00C54040">
      <w:rPr>
        <w:rFonts w:ascii="Arial Narrow" w:hAnsi="Arial Narrow" w:cs="Arial"/>
        <w:b/>
        <w:sz w:val="18"/>
        <w:szCs w:val="18"/>
        <w:vertAlign w:val="superscript"/>
      </w:rPr>
      <w:t>®</w:t>
    </w:r>
    <w:r w:rsidRPr="00C54040">
      <w:rPr>
        <w:rFonts w:ascii="Arial Narrow" w:hAnsi="Arial Narrow" w:cs="Arial"/>
        <w:b/>
        <w:sz w:val="18"/>
        <w:szCs w:val="18"/>
      </w:rPr>
      <w:t>, Digoxin-specific antibody fragment F(Ab) (Ovine)</w:t>
    </w:r>
    <w:r>
      <w:rPr>
        <w:rFonts w:ascii="Arial Narrow" w:hAnsi="Arial Narrow"/>
        <w:sz w:val="20"/>
      </w:rPr>
      <w:tab/>
      <w:t xml:space="preserve">                                                                            </w:t>
    </w:r>
    <w:r>
      <w:rPr>
        <w:rFonts w:ascii="Arial Narrow" w:hAnsi="Arial Narrow"/>
        <w:sz w:val="20"/>
      </w:rPr>
      <w:tab/>
    </w:r>
    <w:r>
      <w:rPr>
        <w:rFonts w:ascii="Arial Narrow" w:hAnsi="Arial Narrow"/>
        <w:sz w:val="20"/>
      </w:rPr>
      <w:tab/>
    </w:r>
    <w:r w:rsidRPr="00511A8F">
      <w:rPr>
        <w:rFonts w:ascii="Arial Narrow" w:hAnsi="Arial Narrow"/>
        <w:sz w:val="20"/>
      </w:rPr>
      <w:t xml:space="preserve">Page  </w:t>
    </w:r>
    <w:r w:rsidRPr="00511A8F">
      <w:rPr>
        <w:rFonts w:ascii="Arial Narrow" w:hAnsi="Arial Narrow"/>
        <w:sz w:val="20"/>
      </w:rPr>
      <w:fldChar w:fldCharType="begin"/>
    </w:r>
    <w:r w:rsidRPr="00511A8F">
      <w:rPr>
        <w:rFonts w:ascii="Arial Narrow" w:hAnsi="Arial Narrow"/>
        <w:sz w:val="20"/>
      </w:rPr>
      <w:instrText xml:space="preserve"> PAGE   \* MERGEFORMAT </w:instrText>
    </w:r>
    <w:r w:rsidRPr="00511A8F">
      <w:rPr>
        <w:rFonts w:ascii="Arial Narrow" w:hAnsi="Arial Narrow"/>
        <w:sz w:val="20"/>
      </w:rPr>
      <w:fldChar w:fldCharType="separate"/>
    </w:r>
    <w:r w:rsidR="00BF4541">
      <w:rPr>
        <w:rFonts w:ascii="Arial Narrow" w:hAnsi="Arial Narrow"/>
        <w:noProof/>
        <w:sz w:val="20"/>
      </w:rPr>
      <w:t>13</w:t>
    </w:r>
    <w:r w:rsidRPr="00511A8F">
      <w:rPr>
        <w:rFonts w:ascii="Arial Narrow" w:hAnsi="Arial Narrow"/>
        <w:sz w:val="20"/>
      </w:rPr>
      <w:fldChar w:fldCharType="end"/>
    </w:r>
    <w:r>
      <w:rPr>
        <w:rFonts w:ascii="Arial Narrow" w:hAnsi="Arial Narrow"/>
        <w:sz w:val="20"/>
      </w:rPr>
      <w:t xml:space="preserve"> of 12</w:t>
    </w:r>
  </w:p>
  <w:p w:rsidR="002445D1" w:rsidRPr="00C54040" w:rsidRDefault="002445D1" w:rsidP="00511A54">
    <w:pPr>
      <w:pStyle w:val="Footer"/>
      <w:tabs>
        <w:tab w:val="clear" w:pos="4513"/>
        <w:tab w:val="clear" w:pos="9026"/>
        <w:tab w:val="left" w:pos="2724"/>
      </w:tabs>
      <w:rPr>
        <w:rFonts w:ascii="Arial Narrow" w:hAnsi="Arial Narrow" w:cs="Arial"/>
        <w:b/>
        <w:sz w:val="18"/>
        <w:szCs w:val="18"/>
      </w:rPr>
    </w:pPr>
    <w:r>
      <w:rPr>
        <w:rFonts w:ascii="Arial Narrow" w:hAnsi="Arial Narrow"/>
        <w:sz w:val="20"/>
      </w:rPr>
      <w:t>powder for injection 40</w:t>
    </w:r>
    <w:r w:rsidR="00511A54">
      <w:rPr>
        <w:rFonts w:ascii="Arial Narrow" w:hAnsi="Arial Narrow"/>
        <w:sz w:val="20"/>
      </w:rPr>
      <w:t xml:space="preserve"> </w:t>
    </w:r>
    <w:r>
      <w:rPr>
        <w:rFonts w:ascii="Arial Narrow" w:hAnsi="Arial Narrow"/>
        <w:sz w:val="20"/>
      </w:rPr>
      <w:t xml:space="preserve">mg </w:t>
    </w:r>
    <w:r w:rsidR="00511A54">
      <w:rPr>
        <w:rFonts w:ascii="Arial Narrow" w:hAnsi="Arial Narrow"/>
        <w:sz w:val="20"/>
      </w:rPr>
      <w:tab/>
    </w:r>
  </w:p>
  <w:p w:rsidR="0030680E" w:rsidRPr="00C54040" w:rsidRDefault="0030680E" w:rsidP="002445D1">
    <w:pPr>
      <w:pStyle w:val="Footer"/>
      <w:rPr>
        <w:rFonts w:ascii="Arial Narrow" w:hAnsi="Arial Narrow" w:cs="Arial"/>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B63" w:rsidRDefault="00421B63" w:rsidP="0092484B">
      <w:r>
        <w:separator/>
      </w:r>
    </w:p>
  </w:footnote>
  <w:footnote w:type="continuationSeparator" w:id="0">
    <w:p w:rsidR="00421B63" w:rsidRDefault="00421B63" w:rsidP="00924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53930" w:rsidTr="00AB668E">
      <w:tc>
        <w:tcPr>
          <w:tcW w:w="8720" w:type="dxa"/>
          <w:shd w:val="clear" w:color="auto" w:fill="E4F2E0"/>
        </w:tcPr>
        <w:p w:rsidR="00953930" w:rsidRPr="00953930" w:rsidRDefault="00953930" w:rsidP="00AB668E">
          <w:pPr>
            <w:spacing w:before="40" w:after="40"/>
            <w:rPr>
              <w:rFonts w:ascii="Cambria" w:hAnsi="Cambria"/>
              <w:b/>
              <w:sz w:val="20"/>
              <w:szCs w:val="20"/>
            </w:rPr>
          </w:pPr>
          <w:r w:rsidRPr="00953930">
            <w:rPr>
              <w:rFonts w:ascii="Cambria" w:hAnsi="Cambria"/>
              <w:b/>
              <w:sz w:val="20"/>
              <w:szCs w:val="20"/>
            </w:rPr>
            <w:t>Attachment 1: Product information for AusPAR DigiFab Digoxin-specific antibody fragment f(Ab) (ovine) Phebra Pty Ltd PM-2012-03387-1-3 Final 5 May 2014. This Product Information was approved at the time this AusPAR was published.</w:t>
          </w:r>
        </w:p>
      </w:tc>
    </w:tr>
  </w:tbl>
  <w:p w:rsidR="00953930" w:rsidRDefault="00953930"/>
  <w:tbl>
    <w:tblPr>
      <w:tblW w:w="0" w:type="auto"/>
      <w:tblLook w:val="01E0" w:firstRow="1" w:lastRow="1" w:firstColumn="1" w:lastColumn="1" w:noHBand="0" w:noVBand="0"/>
    </w:tblPr>
    <w:tblGrid>
      <w:gridCol w:w="4606"/>
      <w:gridCol w:w="4606"/>
    </w:tblGrid>
    <w:tr w:rsidR="00711A08" w:rsidTr="00953930">
      <w:tc>
        <w:tcPr>
          <w:tcW w:w="4606" w:type="dxa"/>
        </w:tcPr>
        <w:p w:rsidR="00711A08" w:rsidRPr="00C54040" w:rsidRDefault="00711A08" w:rsidP="00010634">
          <w:pPr>
            <w:rPr>
              <w:rFonts w:ascii="Arial Narrow" w:hAnsi="Arial Narrow" w:cs="Arial"/>
              <w:b/>
              <w:sz w:val="32"/>
              <w:szCs w:val="32"/>
            </w:rPr>
          </w:pPr>
          <w:r w:rsidRPr="00C54040">
            <w:rPr>
              <w:rFonts w:ascii="Arial Narrow" w:hAnsi="Arial Narrow" w:cs="Arial"/>
              <w:b/>
              <w:sz w:val="32"/>
              <w:szCs w:val="32"/>
            </w:rPr>
            <w:t>DigiFab</w:t>
          </w:r>
          <w:r w:rsidRPr="00C54040">
            <w:rPr>
              <w:rFonts w:ascii="Arial Narrow" w:hAnsi="Arial Narrow" w:cs="Arial"/>
              <w:b/>
              <w:sz w:val="32"/>
              <w:szCs w:val="32"/>
              <w:vertAlign w:val="superscript"/>
            </w:rPr>
            <w:t>®</w:t>
          </w:r>
          <w:r w:rsidRPr="00C54040">
            <w:rPr>
              <w:rFonts w:ascii="Arial Narrow" w:hAnsi="Arial Narrow" w:cs="Arial"/>
              <w:b/>
              <w:sz w:val="32"/>
              <w:szCs w:val="32"/>
            </w:rPr>
            <w:t>, Digoxin-specific antibody fragment F(Ab) (Ovine) Powder for Injection</w:t>
          </w:r>
        </w:p>
      </w:tc>
      <w:tc>
        <w:tcPr>
          <w:tcW w:w="4606" w:type="dxa"/>
        </w:tcPr>
        <w:p w:rsidR="00711A08" w:rsidRDefault="00711A08" w:rsidP="00010634">
          <w:pPr>
            <w:jc w:val="right"/>
            <w:rPr>
              <w:rFonts w:ascii="Arial" w:hAnsi="Arial" w:cs="Arial"/>
              <w:b/>
              <w:sz w:val="32"/>
              <w:szCs w:val="32"/>
              <w:u w:val="single"/>
            </w:rPr>
          </w:pPr>
          <w:r>
            <w:rPr>
              <w:rFonts w:ascii="Arial" w:hAnsi="Arial" w:cs="Arial"/>
              <w:b/>
              <w:noProof/>
              <w:color w:val="808080"/>
              <w:lang w:val="en-AU" w:eastAsia="en-AU"/>
            </w:rPr>
            <w:drawing>
              <wp:inline distT="0" distB="0" distL="0" distR="0" wp14:anchorId="00182450" wp14:editId="3935CDAE">
                <wp:extent cx="2019300" cy="523875"/>
                <wp:effectExtent l="0" t="0" r="0" b="9525"/>
                <wp:docPr id="18" name="Picture 18" descr="Phe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23875"/>
                        </a:xfrm>
                        <a:prstGeom prst="rect">
                          <a:avLst/>
                        </a:prstGeom>
                        <a:noFill/>
                        <a:ln>
                          <a:noFill/>
                        </a:ln>
                      </pic:spPr>
                    </pic:pic>
                  </a:graphicData>
                </a:graphic>
              </wp:inline>
            </w:drawing>
          </w:r>
        </w:p>
      </w:tc>
    </w:tr>
  </w:tbl>
  <w:p w:rsidR="00711A08" w:rsidRDefault="00711A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53930" w:rsidTr="00AB668E">
      <w:tc>
        <w:tcPr>
          <w:tcW w:w="8720" w:type="dxa"/>
          <w:shd w:val="clear" w:color="auto" w:fill="E4F2E0"/>
        </w:tcPr>
        <w:p w:rsidR="00953930" w:rsidRPr="00953930" w:rsidRDefault="00953930" w:rsidP="00AB668E">
          <w:pPr>
            <w:spacing w:before="40" w:after="40"/>
            <w:rPr>
              <w:rFonts w:ascii="Cambria" w:hAnsi="Cambria"/>
              <w:b/>
              <w:sz w:val="20"/>
              <w:szCs w:val="20"/>
            </w:rPr>
          </w:pPr>
          <w:r w:rsidRPr="00953930">
            <w:rPr>
              <w:rFonts w:ascii="Cambria" w:hAnsi="Cambria"/>
              <w:b/>
              <w:sz w:val="20"/>
              <w:szCs w:val="20"/>
            </w:rPr>
            <w:t>Attachment 1: Product information for AusPAR DigiFab Digoxin-specific antibody fragment f(Ab) (ovine) Phebra Pty Ltd PM-2012-03387-1-3 Final 5 May 2014. This Product Information was approved at the time this AusPAR was published.</w:t>
          </w:r>
        </w:p>
      </w:tc>
    </w:tr>
  </w:tbl>
  <w:tbl>
    <w:tblPr>
      <w:tblW w:w="0" w:type="auto"/>
      <w:tblLook w:val="01E0" w:firstRow="1" w:lastRow="1" w:firstColumn="1" w:lastColumn="1" w:noHBand="0" w:noVBand="0"/>
    </w:tblPr>
    <w:tblGrid>
      <w:gridCol w:w="6717"/>
      <w:gridCol w:w="6717"/>
    </w:tblGrid>
    <w:tr w:rsidR="00711A08" w:rsidTr="00C91270">
      <w:trPr>
        <w:trHeight w:val="973"/>
      </w:trPr>
      <w:tc>
        <w:tcPr>
          <w:tcW w:w="6717" w:type="dxa"/>
        </w:tcPr>
        <w:p w:rsidR="00711A08" w:rsidRPr="00C54040" w:rsidRDefault="00711A08" w:rsidP="00C91270">
          <w:pPr>
            <w:rPr>
              <w:rFonts w:ascii="Arial Narrow" w:hAnsi="Arial Narrow" w:cs="Arial"/>
              <w:b/>
              <w:sz w:val="32"/>
              <w:szCs w:val="32"/>
            </w:rPr>
          </w:pPr>
          <w:r w:rsidRPr="00C54040">
            <w:rPr>
              <w:rFonts w:ascii="Arial Narrow" w:hAnsi="Arial Narrow" w:cs="Arial"/>
              <w:b/>
              <w:sz w:val="32"/>
              <w:szCs w:val="32"/>
            </w:rPr>
            <w:t>DigiFab</w:t>
          </w:r>
          <w:r w:rsidRPr="00C54040">
            <w:rPr>
              <w:rFonts w:ascii="Arial Narrow" w:hAnsi="Arial Narrow" w:cs="Arial"/>
              <w:b/>
              <w:sz w:val="32"/>
              <w:szCs w:val="32"/>
              <w:vertAlign w:val="superscript"/>
            </w:rPr>
            <w:t>®</w:t>
          </w:r>
          <w:r w:rsidRPr="00C54040">
            <w:rPr>
              <w:rFonts w:ascii="Arial Narrow" w:hAnsi="Arial Narrow" w:cs="Arial"/>
              <w:b/>
              <w:sz w:val="32"/>
              <w:szCs w:val="32"/>
            </w:rPr>
            <w:t>, Digoxin-specific antibody fragment F(Ab) (Ovine) Powder for Injection</w:t>
          </w:r>
        </w:p>
      </w:tc>
      <w:tc>
        <w:tcPr>
          <w:tcW w:w="6717" w:type="dxa"/>
        </w:tcPr>
        <w:p w:rsidR="00711A08" w:rsidRDefault="00711A08" w:rsidP="00C91270">
          <w:pPr>
            <w:jc w:val="right"/>
            <w:rPr>
              <w:rFonts w:ascii="Arial" w:hAnsi="Arial" w:cs="Arial"/>
              <w:b/>
              <w:sz w:val="32"/>
              <w:szCs w:val="32"/>
              <w:u w:val="single"/>
            </w:rPr>
          </w:pPr>
          <w:r>
            <w:rPr>
              <w:rFonts w:ascii="Arial" w:hAnsi="Arial" w:cs="Arial"/>
              <w:b/>
              <w:noProof/>
              <w:color w:val="808080"/>
              <w:lang w:val="en-AU" w:eastAsia="en-AU"/>
            </w:rPr>
            <w:drawing>
              <wp:inline distT="0" distB="0" distL="0" distR="0" wp14:anchorId="22F79346" wp14:editId="0ED9A4CC">
                <wp:extent cx="2019300" cy="523875"/>
                <wp:effectExtent l="0" t="0" r="0" b="9525"/>
                <wp:docPr id="36" name="Picture 36" descr="Phe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23875"/>
                        </a:xfrm>
                        <a:prstGeom prst="rect">
                          <a:avLst/>
                        </a:prstGeom>
                        <a:noFill/>
                        <a:ln>
                          <a:noFill/>
                        </a:ln>
                      </pic:spPr>
                    </pic:pic>
                  </a:graphicData>
                </a:graphic>
              </wp:inline>
            </w:drawing>
          </w:r>
        </w:p>
      </w:tc>
    </w:tr>
  </w:tbl>
  <w:p w:rsidR="00711A08" w:rsidRPr="00953930" w:rsidRDefault="00711A08" w:rsidP="00953930">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01" w:type="dxa"/>
      <w:shd w:val="clear" w:color="auto" w:fill="E4F2E0"/>
      <w:tblLook w:val="04A0" w:firstRow="1" w:lastRow="0" w:firstColumn="1" w:lastColumn="0" w:noHBand="0" w:noVBand="1"/>
    </w:tblPr>
    <w:tblGrid>
      <w:gridCol w:w="8720"/>
    </w:tblGrid>
    <w:tr w:rsidR="00953930" w:rsidTr="00BF4541">
      <w:tc>
        <w:tcPr>
          <w:tcW w:w="8720" w:type="dxa"/>
          <w:shd w:val="clear" w:color="auto" w:fill="E4F2E0"/>
        </w:tcPr>
        <w:p w:rsidR="00953930" w:rsidRPr="00953930" w:rsidRDefault="00953930" w:rsidP="00953930">
          <w:pPr>
            <w:spacing w:before="40" w:after="40"/>
            <w:rPr>
              <w:rFonts w:ascii="Cambria" w:hAnsi="Cambria"/>
              <w:b/>
              <w:sz w:val="20"/>
              <w:szCs w:val="20"/>
            </w:rPr>
          </w:pPr>
          <w:r w:rsidRPr="00953930">
            <w:rPr>
              <w:rFonts w:ascii="Cambria" w:hAnsi="Cambria"/>
              <w:b/>
              <w:sz w:val="20"/>
              <w:szCs w:val="20"/>
            </w:rPr>
            <w:t>Attachment 1: Product information for AusPAR DigiFab Digoxin-specific antibody fragment f(Ab) (ovine) Phebra Pty Ltd PM-2012-03387-1-3 Final 5 May 2014. This Product Information was approved at the time this AusPAR was published.</w:t>
          </w:r>
        </w:p>
      </w:tc>
    </w:tr>
  </w:tbl>
  <w:p w:rsidR="00953930" w:rsidRDefault="00953930"/>
  <w:tbl>
    <w:tblPr>
      <w:tblW w:w="0" w:type="auto"/>
      <w:tblLook w:val="01E0" w:firstRow="1" w:lastRow="1" w:firstColumn="1" w:lastColumn="1" w:noHBand="0" w:noVBand="0"/>
    </w:tblPr>
    <w:tblGrid>
      <w:gridCol w:w="5183"/>
      <w:gridCol w:w="5763"/>
    </w:tblGrid>
    <w:tr w:rsidR="00574B27" w:rsidTr="00953930">
      <w:trPr>
        <w:trHeight w:val="973"/>
      </w:trPr>
      <w:tc>
        <w:tcPr>
          <w:tcW w:w="5183" w:type="dxa"/>
        </w:tcPr>
        <w:p w:rsidR="00574B27" w:rsidRPr="00C54040" w:rsidRDefault="00574B27" w:rsidP="00010634">
          <w:pPr>
            <w:rPr>
              <w:rFonts w:ascii="Arial Narrow" w:hAnsi="Arial Narrow" w:cs="Arial"/>
              <w:b/>
              <w:sz w:val="32"/>
              <w:szCs w:val="32"/>
            </w:rPr>
          </w:pPr>
          <w:r w:rsidRPr="00C54040">
            <w:rPr>
              <w:rFonts w:ascii="Arial Narrow" w:hAnsi="Arial Narrow" w:cs="Arial"/>
              <w:b/>
              <w:sz w:val="32"/>
              <w:szCs w:val="32"/>
            </w:rPr>
            <w:t>DigiFab</w:t>
          </w:r>
          <w:r w:rsidRPr="00C54040">
            <w:rPr>
              <w:rFonts w:ascii="Arial Narrow" w:hAnsi="Arial Narrow" w:cs="Arial"/>
              <w:b/>
              <w:sz w:val="32"/>
              <w:szCs w:val="32"/>
              <w:vertAlign w:val="superscript"/>
            </w:rPr>
            <w:t>®</w:t>
          </w:r>
          <w:r w:rsidRPr="00C54040">
            <w:rPr>
              <w:rFonts w:ascii="Arial Narrow" w:hAnsi="Arial Narrow" w:cs="Arial"/>
              <w:b/>
              <w:sz w:val="32"/>
              <w:szCs w:val="32"/>
            </w:rPr>
            <w:t>, Digoxin-specific antibody fragment F(Ab) (Ovine) Powder for Injection</w:t>
          </w:r>
        </w:p>
      </w:tc>
      <w:tc>
        <w:tcPr>
          <w:tcW w:w="5763" w:type="dxa"/>
        </w:tcPr>
        <w:p w:rsidR="00574B27" w:rsidRDefault="00574B27" w:rsidP="00010634">
          <w:pPr>
            <w:jc w:val="right"/>
            <w:rPr>
              <w:rFonts w:ascii="Arial" w:hAnsi="Arial" w:cs="Arial"/>
              <w:b/>
              <w:sz w:val="32"/>
              <w:szCs w:val="32"/>
              <w:u w:val="single"/>
            </w:rPr>
          </w:pPr>
          <w:r>
            <w:rPr>
              <w:rFonts w:ascii="Arial" w:hAnsi="Arial" w:cs="Arial"/>
              <w:b/>
              <w:noProof/>
              <w:color w:val="808080"/>
              <w:lang w:val="en-AU" w:eastAsia="en-AU"/>
            </w:rPr>
            <w:drawing>
              <wp:inline distT="0" distB="0" distL="0" distR="0" wp14:anchorId="688A755C" wp14:editId="22C52B3B">
                <wp:extent cx="2019300" cy="523875"/>
                <wp:effectExtent l="0" t="0" r="0" b="9525"/>
                <wp:docPr id="15" name="Picture 15" descr="Phe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23875"/>
                        </a:xfrm>
                        <a:prstGeom prst="rect">
                          <a:avLst/>
                        </a:prstGeom>
                        <a:noFill/>
                        <a:ln>
                          <a:noFill/>
                        </a:ln>
                      </pic:spPr>
                    </pic:pic>
                  </a:graphicData>
                </a:graphic>
              </wp:inline>
            </w:drawing>
          </w:r>
        </w:p>
      </w:tc>
    </w:tr>
  </w:tbl>
  <w:p w:rsidR="00574B27" w:rsidRDefault="00574B27" w:rsidP="000D26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nsid w:val="2DD27C52"/>
    <w:multiLevelType w:val="hybridMultilevel"/>
    <w:tmpl w:val="6BFAD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79C10C6"/>
    <w:multiLevelType w:val="hybridMultilevel"/>
    <w:tmpl w:val="72ACA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CAF4161"/>
    <w:multiLevelType w:val="hybridMultilevel"/>
    <w:tmpl w:val="D9F29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29644AD"/>
    <w:multiLevelType w:val="hybridMultilevel"/>
    <w:tmpl w:val="A9FA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58212F"/>
    <w:multiLevelType w:val="hybridMultilevel"/>
    <w:tmpl w:val="9E14E16A"/>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QXCitationStyleId" w:val="apa"/>
    <w:docVar w:name="QXCitationStyleName" w:val="American Psychological Association 6th Edition"/>
    <w:docVar w:name="QXCookie" w:val="27998253"/>
  </w:docVars>
  <w:rsids>
    <w:rsidRoot w:val="0092484B"/>
    <w:rsid w:val="000053C1"/>
    <w:rsid w:val="00010634"/>
    <w:rsid w:val="0001600F"/>
    <w:rsid w:val="00035A4E"/>
    <w:rsid w:val="00037816"/>
    <w:rsid w:val="00037FAA"/>
    <w:rsid w:val="000574E5"/>
    <w:rsid w:val="00060A8F"/>
    <w:rsid w:val="0006271E"/>
    <w:rsid w:val="00090319"/>
    <w:rsid w:val="0009084D"/>
    <w:rsid w:val="00094F8E"/>
    <w:rsid w:val="00095D74"/>
    <w:rsid w:val="000C3AAA"/>
    <w:rsid w:val="000C6C6C"/>
    <w:rsid w:val="000D266B"/>
    <w:rsid w:val="000D5391"/>
    <w:rsid w:val="000E2D40"/>
    <w:rsid w:val="000E36F6"/>
    <w:rsid w:val="000E4E35"/>
    <w:rsid w:val="000E7BE2"/>
    <w:rsid w:val="00101183"/>
    <w:rsid w:val="001042A8"/>
    <w:rsid w:val="00112215"/>
    <w:rsid w:val="00112F13"/>
    <w:rsid w:val="001145AC"/>
    <w:rsid w:val="00117882"/>
    <w:rsid w:val="001324CD"/>
    <w:rsid w:val="00142986"/>
    <w:rsid w:val="001463CC"/>
    <w:rsid w:val="001536FF"/>
    <w:rsid w:val="00164F04"/>
    <w:rsid w:val="00166B07"/>
    <w:rsid w:val="001848F7"/>
    <w:rsid w:val="00186759"/>
    <w:rsid w:val="001908AA"/>
    <w:rsid w:val="00192EEF"/>
    <w:rsid w:val="00193D18"/>
    <w:rsid w:val="001A01A8"/>
    <w:rsid w:val="001B010A"/>
    <w:rsid w:val="001B07CF"/>
    <w:rsid w:val="001B4F87"/>
    <w:rsid w:val="001C13EC"/>
    <w:rsid w:val="001E0ACD"/>
    <w:rsid w:val="001E5B22"/>
    <w:rsid w:val="001F7A0E"/>
    <w:rsid w:val="00240A68"/>
    <w:rsid w:val="002445D1"/>
    <w:rsid w:val="002825B6"/>
    <w:rsid w:val="00284DEA"/>
    <w:rsid w:val="002967B4"/>
    <w:rsid w:val="00296D5A"/>
    <w:rsid w:val="002A3BCA"/>
    <w:rsid w:val="002A4985"/>
    <w:rsid w:val="002D2EC4"/>
    <w:rsid w:val="0030047B"/>
    <w:rsid w:val="0030478B"/>
    <w:rsid w:val="0030571A"/>
    <w:rsid w:val="0030680E"/>
    <w:rsid w:val="00315159"/>
    <w:rsid w:val="00373128"/>
    <w:rsid w:val="00384AFF"/>
    <w:rsid w:val="00397096"/>
    <w:rsid w:val="003A4534"/>
    <w:rsid w:val="003A56BF"/>
    <w:rsid w:val="003B07DC"/>
    <w:rsid w:val="003B5150"/>
    <w:rsid w:val="003B725A"/>
    <w:rsid w:val="003C4571"/>
    <w:rsid w:val="003C6144"/>
    <w:rsid w:val="003E2211"/>
    <w:rsid w:val="003F03E4"/>
    <w:rsid w:val="00416D92"/>
    <w:rsid w:val="00421B63"/>
    <w:rsid w:val="00422371"/>
    <w:rsid w:val="00435BED"/>
    <w:rsid w:val="00463571"/>
    <w:rsid w:val="004645B4"/>
    <w:rsid w:val="004674E4"/>
    <w:rsid w:val="00473CB5"/>
    <w:rsid w:val="00474253"/>
    <w:rsid w:val="004809E8"/>
    <w:rsid w:val="00482132"/>
    <w:rsid w:val="004902CC"/>
    <w:rsid w:val="00491A1C"/>
    <w:rsid w:val="004A40C4"/>
    <w:rsid w:val="004A4AB3"/>
    <w:rsid w:val="004B2592"/>
    <w:rsid w:val="004B2D5C"/>
    <w:rsid w:val="004C02AE"/>
    <w:rsid w:val="004C28C3"/>
    <w:rsid w:val="004C28EF"/>
    <w:rsid w:val="004C2956"/>
    <w:rsid w:val="004D28DB"/>
    <w:rsid w:val="004E1C96"/>
    <w:rsid w:val="004F3099"/>
    <w:rsid w:val="00511A54"/>
    <w:rsid w:val="00523C2C"/>
    <w:rsid w:val="0054704A"/>
    <w:rsid w:val="005527B7"/>
    <w:rsid w:val="00557CE1"/>
    <w:rsid w:val="00557E55"/>
    <w:rsid w:val="005702CD"/>
    <w:rsid w:val="0057279A"/>
    <w:rsid w:val="00574B27"/>
    <w:rsid w:val="00595F63"/>
    <w:rsid w:val="005C48B3"/>
    <w:rsid w:val="005C73F3"/>
    <w:rsid w:val="005D2AAD"/>
    <w:rsid w:val="00601E9C"/>
    <w:rsid w:val="00616D2A"/>
    <w:rsid w:val="00620B28"/>
    <w:rsid w:val="00622EFB"/>
    <w:rsid w:val="00627026"/>
    <w:rsid w:val="006426E3"/>
    <w:rsid w:val="00655D24"/>
    <w:rsid w:val="0066718D"/>
    <w:rsid w:val="00673977"/>
    <w:rsid w:val="0067402D"/>
    <w:rsid w:val="0068008A"/>
    <w:rsid w:val="00687693"/>
    <w:rsid w:val="006A19CD"/>
    <w:rsid w:val="006B7D1D"/>
    <w:rsid w:val="006C0C2F"/>
    <w:rsid w:val="006C4EF6"/>
    <w:rsid w:val="006D50F6"/>
    <w:rsid w:val="006D7F51"/>
    <w:rsid w:val="006E661E"/>
    <w:rsid w:val="006F71F2"/>
    <w:rsid w:val="00700C40"/>
    <w:rsid w:val="00711A08"/>
    <w:rsid w:val="007124D0"/>
    <w:rsid w:val="00712C9B"/>
    <w:rsid w:val="00716217"/>
    <w:rsid w:val="00725BC8"/>
    <w:rsid w:val="00727E3D"/>
    <w:rsid w:val="00744FB5"/>
    <w:rsid w:val="00746F03"/>
    <w:rsid w:val="00751237"/>
    <w:rsid w:val="0075589C"/>
    <w:rsid w:val="0076235B"/>
    <w:rsid w:val="00787C79"/>
    <w:rsid w:val="007D174E"/>
    <w:rsid w:val="007E6C32"/>
    <w:rsid w:val="007F6755"/>
    <w:rsid w:val="00804209"/>
    <w:rsid w:val="0081000E"/>
    <w:rsid w:val="00813B88"/>
    <w:rsid w:val="00817FB6"/>
    <w:rsid w:val="00823CA9"/>
    <w:rsid w:val="008242B3"/>
    <w:rsid w:val="00824C7A"/>
    <w:rsid w:val="00831182"/>
    <w:rsid w:val="00846A6A"/>
    <w:rsid w:val="00887C8B"/>
    <w:rsid w:val="00893B6C"/>
    <w:rsid w:val="008C6C9A"/>
    <w:rsid w:val="009019C5"/>
    <w:rsid w:val="0092484B"/>
    <w:rsid w:val="00925880"/>
    <w:rsid w:val="00925F1F"/>
    <w:rsid w:val="0093497F"/>
    <w:rsid w:val="00946BF4"/>
    <w:rsid w:val="00953930"/>
    <w:rsid w:val="009542AD"/>
    <w:rsid w:val="009938C9"/>
    <w:rsid w:val="00994AC6"/>
    <w:rsid w:val="009C246E"/>
    <w:rsid w:val="009C5DD8"/>
    <w:rsid w:val="00A03169"/>
    <w:rsid w:val="00A266DD"/>
    <w:rsid w:val="00A2765C"/>
    <w:rsid w:val="00A529AF"/>
    <w:rsid w:val="00A60F0D"/>
    <w:rsid w:val="00A66D83"/>
    <w:rsid w:val="00A73C1C"/>
    <w:rsid w:val="00A83AF5"/>
    <w:rsid w:val="00A8622C"/>
    <w:rsid w:val="00A928A4"/>
    <w:rsid w:val="00A9349D"/>
    <w:rsid w:val="00A958F6"/>
    <w:rsid w:val="00AA3F9C"/>
    <w:rsid w:val="00AB39CF"/>
    <w:rsid w:val="00AB66B3"/>
    <w:rsid w:val="00AB79CA"/>
    <w:rsid w:val="00AD75C6"/>
    <w:rsid w:val="00AE05F2"/>
    <w:rsid w:val="00B027F3"/>
    <w:rsid w:val="00B17FD2"/>
    <w:rsid w:val="00B218DE"/>
    <w:rsid w:val="00B2208F"/>
    <w:rsid w:val="00B428CF"/>
    <w:rsid w:val="00B64172"/>
    <w:rsid w:val="00B72827"/>
    <w:rsid w:val="00B745A9"/>
    <w:rsid w:val="00B75373"/>
    <w:rsid w:val="00B76A37"/>
    <w:rsid w:val="00B84818"/>
    <w:rsid w:val="00B91A7B"/>
    <w:rsid w:val="00B91AFA"/>
    <w:rsid w:val="00B933F6"/>
    <w:rsid w:val="00B97ECA"/>
    <w:rsid w:val="00BB0B5A"/>
    <w:rsid w:val="00BB548F"/>
    <w:rsid w:val="00BC32C8"/>
    <w:rsid w:val="00BD3D89"/>
    <w:rsid w:val="00BE741C"/>
    <w:rsid w:val="00BF4541"/>
    <w:rsid w:val="00C07A29"/>
    <w:rsid w:val="00C12243"/>
    <w:rsid w:val="00C12D72"/>
    <w:rsid w:val="00C13107"/>
    <w:rsid w:val="00C44C45"/>
    <w:rsid w:val="00C47205"/>
    <w:rsid w:val="00C500F2"/>
    <w:rsid w:val="00C50B79"/>
    <w:rsid w:val="00C52A5F"/>
    <w:rsid w:val="00C566E8"/>
    <w:rsid w:val="00C70707"/>
    <w:rsid w:val="00C7504F"/>
    <w:rsid w:val="00C76C82"/>
    <w:rsid w:val="00C866F2"/>
    <w:rsid w:val="00C94D89"/>
    <w:rsid w:val="00CA7A13"/>
    <w:rsid w:val="00CC32D9"/>
    <w:rsid w:val="00CC7BB7"/>
    <w:rsid w:val="00CD3AEB"/>
    <w:rsid w:val="00CD55F6"/>
    <w:rsid w:val="00CF5249"/>
    <w:rsid w:val="00CF54AF"/>
    <w:rsid w:val="00CF5659"/>
    <w:rsid w:val="00CF5A70"/>
    <w:rsid w:val="00D07260"/>
    <w:rsid w:val="00D13F2D"/>
    <w:rsid w:val="00D17B91"/>
    <w:rsid w:val="00D409C5"/>
    <w:rsid w:val="00D4277D"/>
    <w:rsid w:val="00D62D7F"/>
    <w:rsid w:val="00D65167"/>
    <w:rsid w:val="00D65BC6"/>
    <w:rsid w:val="00D7052E"/>
    <w:rsid w:val="00D74A14"/>
    <w:rsid w:val="00D83C5E"/>
    <w:rsid w:val="00D846D1"/>
    <w:rsid w:val="00DA0109"/>
    <w:rsid w:val="00DA0249"/>
    <w:rsid w:val="00DB050C"/>
    <w:rsid w:val="00DC30BC"/>
    <w:rsid w:val="00DE7903"/>
    <w:rsid w:val="00DE7D01"/>
    <w:rsid w:val="00DF178A"/>
    <w:rsid w:val="00DF4CF8"/>
    <w:rsid w:val="00E0324F"/>
    <w:rsid w:val="00E06E2C"/>
    <w:rsid w:val="00E07F4E"/>
    <w:rsid w:val="00E21B59"/>
    <w:rsid w:val="00E320C3"/>
    <w:rsid w:val="00E35DDD"/>
    <w:rsid w:val="00E3781B"/>
    <w:rsid w:val="00E43A37"/>
    <w:rsid w:val="00E50BE3"/>
    <w:rsid w:val="00E52E7C"/>
    <w:rsid w:val="00E761CF"/>
    <w:rsid w:val="00E76BA3"/>
    <w:rsid w:val="00E81A1B"/>
    <w:rsid w:val="00E82CC2"/>
    <w:rsid w:val="00E82E6A"/>
    <w:rsid w:val="00EC54DF"/>
    <w:rsid w:val="00EE096D"/>
    <w:rsid w:val="00EE428F"/>
    <w:rsid w:val="00EF6264"/>
    <w:rsid w:val="00F02E9C"/>
    <w:rsid w:val="00F04E90"/>
    <w:rsid w:val="00F0788C"/>
    <w:rsid w:val="00F42159"/>
    <w:rsid w:val="00F4312D"/>
    <w:rsid w:val="00F53DD3"/>
    <w:rsid w:val="00FA2855"/>
    <w:rsid w:val="00FA335D"/>
    <w:rsid w:val="00FB2666"/>
    <w:rsid w:val="00FB670D"/>
    <w:rsid w:val="00FC1259"/>
    <w:rsid w:val="00FD0CA2"/>
    <w:rsid w:val="00FF46F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4B"/>
    <w:pPr>
      <w:spacing w:after="0" w:line="240" w:lineRule="auto"/>
    </w:pPr>
    <w:rPr>
      <w:rFonts w:ascii="Times New Roman" w:eastAsia="Times New Roman" w:hAnsi="Times New Roman" w:cs="Times New Roman"/>
      <w:sz w:val="24"/>
      <w:szCs w:val="24"/>
      <w:lang w:val="de-DE" w:eastAsia="de-DE"/>
    </w:rPr>
  </w:style>
  <w:style w:type="paragraph" w:styleId="Heading2">
    <w:name w:val="heading 2"/>
    <w:basedOn w:val="Normal"/>
    <w:next w:val="Normal"/>
    <w:link w:val="Heading2Char"/>
    <w:uiPriority w:val="9"/>
    <w:unhideWhenUsed/>
    <w:qFormat/>
    <w:rsid w:val="00491A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92484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484B"/>
    <w:pPr>
      <w:tabs>
        <w:tab w:val="center" w:pos="4513"/>
        <w:tab w:val="right" w:pos="9026"/>
      </w:tabs>
    </w:pPr>
  </w:style>
  <w:style w:type="character" w:customStyle="1" w:styleId="HeaderChar">
    <w:name w:val="Header Char"/>
    <w:basedOn w:val="DefaultParagraphFont"/>
    <w:link w:val="Header"/>
    <w:uiPriority w:val="99"/>
    <w:rsid w:val="0092484B"/>
  </w:style>
  <w:style w:type="paragraph" w:styleId="Footer">
    <w:name w:val="footer"/>
    <w:basedOn w:val="Normal"/>
    <w:link w:val="FooterChar"/>
    <w:uiPriority w:val="99"/>
    <w:unhideWhenUsed/>
    <w:rsid w:val="0092484B"/>
    <w:pPr>
      <w:tabs>
        <w:tab w:val="center" w:pos="4513"/>
        <w:tab w:val="right" w:pos="9026"/>
      </w:tabs>
    </w:pPr>
  </w:style>
  <w:style w:type="character" w:customStyle="1" w:styleId="FooterChar">
    <w:name w:val="Footer Char"/>
    <w:basedOn w:val="DefaultParagraphFont"/>
    <w:link w:val="Footer"/>
    <w:uiPriority w:val="99"/>
    <w:rsid w:val="0092484B"/>
  </w:style>
  <w:style w:type="paragraph" w:styleId="BalloonText">
    <w:name w:val="Balloon Text"/>
    <w:basedOn w:val="Normal"/>
    <w:link w:val="BalloonTextChar"/>
    <w:uiPriority w:val="99"/>
    <w:semiHidden/>
    <w:unhideWhenUsed/>
    <w:rsid w:val="0092484B"/>
    <w:rPr>
      <w:rFonts w:ascii="Tahoma" w:hAnsi="Tahoma" w:cs="Tahoma"/>
      <w:sz w:val="16"/>
      <w:szCs w:val="16"/>
    </w:rPr>
  </w:style>
  <w:style w:type="character" w:customStyle="1" w:styleId="BalloonTextChar">
    <w:name w:val="Balloon Text Char"/>
    <w:basedOn w:val="DefaultParagraphFont"/>
    <w:link w:val="BalloonText"/>
    <w:uiPriority w:val="99"/>
    <w:semiHidden/>
    <w:rsid w:val="0092484B"/>
    <w:rPr>
      <w:rFonts w:ascii="Tahoma" w:hAnsi="Tahoma" w:cs="Tahoma"/>
      <w:sz w:val="16"/>
      <w:szCs w:val="16"/>
    </w:rPr>
  </w:style>
  <w:style w:type="character" w:customStyle="1" w:styleId="Heading4Char">
    <w:name w:val="Heading 4 Char"/>
    <w:basedOn w:val="DefaultParagraphFont"/>
    <w:link w:val="Heading4"/>
    <w:semiHidden/>
    <w:rsid w:val="0092484B"/>
    <w:rPr>
      <w:rFonts w:ascii="Calibri" w:eastAsia="Times New Roman" w:hAnsi="Calibri" w:cs="Times New Roman"/>
      <w:b/>
      <w:bCs/>
      <w:sz w:val="28"/>
      <w:szCs w:val="28"/>
      <w:lang w:val="de-DE" w:eastAsia="de-DE"/>
    </w:rPr>
  </w:style>
  <w:style w:type="paragraph" w:styleId="NormalWeb">
    <w:name w:val="Normal (Web)"/>
    <w:basedOn w:val="Normal"/>
    <w:rsid w:val="0092484B"/>
    <w:pPr>
      <w:spacing w:before="100" w:beforeAutospacing="1" w:after="100" w:afterAutospacing="1"/>
    </w:pPr>
    <w:rPr>
      <w:rFonts w:ascii="Arial Unicode MS" w:eastAsia="Arial Unicode MS" w:hAnsi="Arial Unicode MS" w:cs="Arial Unicode MS"/>
      <w:color w:val="000000"/>
      <w:lang w:val="en-AU" w:eastAsia="en-US"/>
    </w:rPr>
  </w:style>
  <w:style w:type="paragraph" w:customStyle="1" w:styleId="Default">
    <w:name w:val="Default"/>
    <w:rsid w:val="0092484B"/>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CommentReference">
    <w:name w:val="annotation reference"/>
    <w:rsid w:val="0092484B"/>
    <w:rPr>
      <w:sz w:val="16"/>
      <w:szCs w:val="16"/>
    </w:rPr>
  </w:style>
  <w:style w:type="paragraph" w:styleId="CommentText">
    <w:name w:val="annotation text"/>
    <w:basedOn w:val="Normal"/>
    <w:link w:val="CommentTextChar"/>
    <w:rsid w:val="0092484B"/>
    <w:rPr>
      <w:sz w:val="20"/>
      <w:szCs w:val="20"/>
    </w:rPr>
  </w:style>
  <w:style w:type="character" w:customStyle="1" w:styleId="CommentTextChar">
    <w:name w:val="Comment Text Char"/>
    <w:basedOn w:val="DefaultParagraphFont"/>
    <w:link w:val="CommentText"/>
    <w:rsid w:val="0092484B"/>
    <w:rPr>
      <w:rFonts w:ascii="Times New Roman" w:eastAsia="Times New Roman" w:hAnsi="Times New Roman" w:cs="Times New Roman"/>
      <w:sz w:val="20"/>
      <w:szCs w:val="20"/>
      <w:lang w:val="de-DE" w:eastAsia="de-DE"/>
    </w:rPr>
  </w:style>
  <w:style w:type="paragraph" w:styleId="BodyText3">
    <w:name w:val="Body Text 3"/>
    <w:basedOn w:val="Normal"/>
    <w:link w:val="BodyText3Char"/>
    <w:unhideWhenUsed/>
    <w:rsid w:val="00BE741C"/>
    <w:pPr>
      <w:spacing w:after="120"/>
    </w:pPr>
    <w:rPr>
      <w:sz w:val="16"/>
      <w:szCs w:val="16"/>
    </w:rPr>
  </w:style>
  <w:style w:type="character" w:customStyle="1" w:styleId="BodyText3Char">
    <w:name w:val="Body Text 3 Char"/>
    <w:basedOn w:val="DefaultParagraphFont"/>
    <w:link w:val="BodyText3"/>
    <w:rsid w:val="00BE741C"/>
    <w:rPr>
      <w:rFonts w:ascii="Times New Roman" w:eastAsia="Times New Roman" w:hAnsi="Times New Roman" w:cs="Times New Roman"/>
      <w:sz w:val="16"/>
      <w:szCs w:val="16"/>
      <w:lang w:val="de-DE" w:eastAsia="de-DE"/>
    </w:rPr>
  </w:style>
  <w:style w:type="paragraph" w:styleId="ListParagraph">
    <w:name w:val="List Paragraph"/>
    <w:basedOn w:val="Normal"/>
    <w:uiPriority w:val="34"/>
    <w:qFormat/>
    <w:rsid w:val="00BE741C"/>
    <w:pPr>
      <w:spacing w:after="200" w:line="276" w:lineRule="auto"/>
      <w:ind w:left="720"/>
      <w:contextualSpacing/>
    </w:pPr>
    <w:rPr>
      <w:rFonts w:ascii="Calibri" w:eastAsia="Calibri" w:hAnsi="Calibri"/>
      <w:sz w:val="22"/>
      <w:szCs w:val="22"/>
      <w:lang w:val="en-AU" w:eastAsia="en-US"/>
    </w:rPr>
  </w:style>
  <w:style w:type="paragraph" w:styleId="BodyTextIndent">
    <w:name w:val="Body Text Indent"/>
    <w:basedOn w:val="Normal"/>
    <w:link w:val="BodyTextIndentChar"/>
    <w:uiPriority w:val="99"/>
    <w:unhideWhenUsed/>
    <w:rsid w:val="003B725A"/>
    <w:pPr>
      <w:spacing w:after="120"/>
      <w:ind w:left="283"/>
    </w:pPr>
  </w:style>
  <w:style w:type="character" w:customStyle="1" w:styleId="BodyTextIndentChar">
    <w:name w:val="Body Text Indent Char"/>
    <w:basedOn w:val="DefaultParagraphFont"/>
    <w:link w:val="BodyTextIndent"/>
    <w:uiPriority w:val="99"/>
    <w:rsid w:val="003B725A"/>
    <w:rPr>
      <w:rFonts w:ascii="Times New Roman" w:eastAsia="Times New Roman" w:hAnsi="Times New Roman" w:cs="Times New Roman"/>
      <w:sz w:val="24"/>
      <w:szCs w:val="24"/>
      <w:lang w:val="de-DE" w:eastAsia="de-DE"/>
    </w:rPr>
  </w:style>
  <w:style w:type="table" w:styleId="TableGrid">
    <w:name w:val="Table Grid"/>
    <w:basedOn w:val="TableNormal"/>
    <w:uiPriority w:val="59"/>
    <w:rsid w:val="00601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91A1C"/>
    <w:rPr>
      <w:rFonts w:asciiTheme="majorHAnsi" w:eastAsiaTheme="majorEastAsia" w:hAnsiTheme="majorHAnsi" w:cstheme="majorBidi"/>
      <w:b/>
      <w:bCs/>
      <w:color w:val="4F81BD" w:themeColor="accent1"/>
      <w:sz w:val="26"/>
      <w:szCs w:val="26"/>
      <w:lang w:val="de-DE" w:eastAsia="de-DE"/>
    </w:rPr>
  </w:style>
  <w:style w:type="paragraph" w:customStyle="1" w:styleId="PIBody">
    <w:name w:val="PI Body"/>
    <w:basedOn w:val="Normal"/>
    <w:rsid w:val="00463571"/>
    <w:pPr>
      <w:widowControl w:val="0"/>
      <w:jc w:val="both"/>
    </w:pPr>
    <w:rPr>
      <w:rFonts w:ascii="Arial" w:hAnsi="Arial"/>
      <w:spacing w:val="-3"/>
      <w:sz w:val="20"/>
      <w:szCs w:val="20"/>
      <w:lang w:val="en-US" w:eastAsia="en-US"/>
    </w:rPr>
  </w:style>
  <w:style w:type="paragraph" w:styleId="CommentSubject">
    <w:name w:val="annotation subject"/>
    <w:basedOn w:val="CommentText"/>
    <w:next w:val="CommentText"/>
    <w:link w:val="CommentSubjectChar"/>
    <w:uiPriority w:val="99"/>
    <w:semiHidden/>
    <w:unhideWhenUsed/>
    <w:rsid w:val="00DE7D01"/>
    <w:rPr>
      <w:b/>
      <w:bCs/>
    </w:rPr>
  </w:style>
  <w:style w:type="character" w:customStyle="1" w:styleId="CommentSubjectChar">
    <w:name w:val="Comment Subject Char"/>
    <w:basedOn w:val="CommentTextChar"/>
    <w:link w:val="CommentSubject"/>
    <w:uiPriority w:val="99"/>
    <w:semiHidden/>
    <w:rsid w:val="00DE7D01"/>
    <w:rPr>
      <w:rFonts w:ascii="Times New Roman" w:eastAsia="Times New Roman" w:hAnsi="Times New Roman" w:cs="Times New Roman"/>
      <w:b/>
      <w:bCs/>
      <w:sz w:val="20"/>
      <w:szCs w:val="20"/>
      <w:lang w:val="de-DE" w:eastAsia="de-DE"/>
    </w:rPr>
  </w:style>
  <w:style w:type="paragraph" w:styleId="ListBullet">
    <w:name w:val="List Bullet"/>
    <w:basedOn w:val="Normal"/>
    <w:uiPriority w:val="99"/>
    <w:qFormat/>
    <w:rsid w:val="00953930"/>
    <w:pPr>
      <w:numPr>
        <w:numId w:val="6"/>
      </w:numPr>
      <w:spacing w:before="120" w:after="180" w:line="240" w:lineRule="atLeast"/>
    </w:pPr>
    <w:rPr>
      <w:rFonts w:ascii="Cambria" w:eastAsia="Cambria" w:hAnsi="Cambria"/>
      <w:sz w:val="22"/>
      <w:szCs w:val="22"/>
      <w:lang w:val="en-AU" w:eastAsia="en-US"/>
    </w:rPr>
  </w:style>
  <w:style w:type="paragraph" w:styleId="ListBullet2">
    <w:name w:val="List Bullet 2"/>
    <w:basedOn w:val="Normal"/>
    <w:uiPriority w:val="99"/>
    <w:qFormat/>
    <w:rsid w:val="00953930"/>
    <w:pPr>
      <w:numPr>
        <w:ilvl w:val="1"/>
        <w:numId w:val="6"/>
      </w:numPr>
      <w:spacing w:before="120" w:after="180" w:line="240" w:lineRule="atLeast"/>
    </w:pPr>
    <w:rPr>
      <w:rFonts w:ascii="Cambria" w:eastAsia="Cambria" w:hAnsi="Cambria"/>
      <w:sz w:val="22"/>
      <w:szCs w:val="22"/>
      <w:lang w:val="en-AU" w:eastAsia="en-US"/>
    </w:rPr>
  </w:style>
  <w:style w:type="paragraph" w:styleId="ListBullet3">
    <w:name w:val="List Bullet 3"/>
    <w:basedOn w:val="Normal"/>
    <w:uiPriority w:val="99"/>
    <w:qFormat/>
    <w:rsid w:val="00953930"/>
    <w:pPr>
      <w:numPr>
        <w:ilvl w:val="2"/>
        <w:numId w:val="6"/>
      </w:numPr>
      <w:spacing w:before="120" w:after="180" w:line="240" w:lineRule="atLeast"/>
    </w:pPr>
    <w:rPr>
      <w:rFonts w:ascii="Cambria" w:eastAsia="Cambria" w:hAnsi="Cambria"/>
      <w:sz w:val="22"/>
      <w:szCs w:val="22"/>
      <w:lang w:val="en-AU" w:eastAsia="en-US"/>
    </w:rPr>
  </w:style>
  <w:style w:type="numbering" w:customStyle="1" w:styleId="ListBullets">
    <w:name w:val="ListBullets"/>
    <w:uiPriority w:val="99"/>
    <w:locked/>
    <w:rsid w:val="00953930"/>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4B"/>
    <w:pPr>
      <w:spacing w:after="0" w:line="240" w:lineRule="auto"/>
    </w:pPr>
    <w:rPr>
      <w:rFonts w:ascii="Times New Roman" w:eastAsia="Times New Roman" w:hAnsi="Times New Roman" w:cs="Times New Roman"/>
      <w:sz w:val="24"/>
      <w:szCs w:val="24"/>
      <w:lang w:val="de-DE" w:eastAsia="de-DE"/>
    </w:rPr>
  </w:style>
  <w:style w:type="paragraph" w:styleId="Heading2">
    <w:name w:val="heading 2"/>
    <w:basedOn w:val="Normal"/>
    <w:next w:val="Normal"/>
    <w:link w:val="Heading2Char"/>
    <w:uiPriority w:val="9"/>
    <w:unhideWhenUsed/>
    <w:qFormat/>
    <w:rsid w:val="00491A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92484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484B"/>
    <w:pPr>
      <w:tabs>
        <w:tab w:val="center" w:pos="4513"/>
        <w:tab w:val="right" w:pos="9026"/>
      </w:tabs>
    </w:pPr>
  </w:style>
  <w:style w:type="character" w:customStyle="1" w:styleId="HeaderChar">
    <w:name w:val="Header Char"/>
    <w:basedOn w:val="DefaultParagraphFont"/>
    <w:link w:val="Header"/>
    <w:uiPriority w:val="99"/>
    <w:rsid w:val="0092484B"/>
  </w:style>
  <w:style w:type="paragraph" w:styleId="Footer">
    <w:name w:val="footer"/>
    <w:basedOn w:val="Normal"/>
    <w:link w:val="FooterChar"/>
    <w:uiPriority w:val="99"/>
    <w:unhideWhenUsed/>
    <w:rsid w:val="0092484B"/>
    <w:pPr>
      <w:tabs>
        <w:tab w:val="center" w:pos="4513"/>
        <w:tab w:val="right" w:pos="9026"/>
      </w:tabs>
    </w:pPr>
  </w:style>
  <w:style w:type="character" w:customStyle="1" w:styleId="FooterChar">
    <w:name w:val="Footer Char"/>
    <w:basedOn w:val="DefaultParagraphFont"/>
    <w:link w:val="Footer"/>
    <w:uiPriority w:val="99"/>
    <w:rsid w:val="0092484B"/>
  </w:style>
  <w:style w:type="paragraph" w:styleId="BalloonText">
    <w:name w:val="Balloon Text"/>
    <w:basedOn w:val="Normal"/>
    <w:link w:val="BalloonTextChar"/>
    <w:uiPriority w:val="99"/>
    <w:semiHidden/>
    <w:unhideWhenUsed/>
    <w:rsid w:val="0092484B"/>
    <w:rPr>
      <w:rFonts w:ascii="Tahoma" w:hAnsi="Tahoma" w:cs="Tahoma"/>
      <w:sz w:val="16"/>
      <w:szCs w:val="16"/>
    </w:rPr>
  </w:style>
  <w:style w:type="character" w:customStyle="1" w:styleId="BalloonTextChar">
    <w:name w:val="Balloon Text Char"/>
    <w:basedOn w:val="DefaultParagraphFont"/>
    <w:link w:val="BalloonText"/>
    <w:uiPriority w:val="99"/>
    <w:semiHidden/>
    <w:rsid w:val="0092484B"/>
    <w:rPr>
      <w:rFonts w:ascii="Tahoma" w:hAnsi="Tahoma" w:cs="Tahoma"/>
      <w:sz w:val="16"/>
      <w:szCs w:val="16"/>
    </w:rPr>
  </w:style>
  <w:style w:type="character" w:customStyle="1" w:styleId="Heading4Char">
    <w:name w:val="Heading 4 Char"/>
    <w:basedOn w:val="DefaultParagraphFont"/>
    <w:link w:val="Heading4"/>
    <w:semiHidden/>
    <w:rsid w:val="0092484B"/>
    <w:rPr>
      <w:rFonts w:ascii="Calibri" w:eastAsia="Times New Roman" w:hAnsi="Calibri" w:cs="Times New Roman"/>
      <w:b/>
      <w:bCs/>
      <w:sz w:val="28"/>
      <w:szCs w:val="28"/>
      <w:lang w:val="de-DE" w:eastAsia="de-DE"/>
    </w:rPr>
  </w:style>
  <w:style w:type="paragraph" w:styleId="NormalWeb">
    <w:name w:val="Normal (Web)"/>
    <w:basedOn w:val="Normal"/>
    <w:rsid w:val="0092484B"/>
    <w:pPr>
      <w:spacing w:before="100" w:beforeAutospacing="1" w:after="100" w:afterAutospacing="1"/>
    </w:pPr>
    <w:rPr>
      <w:rFonts w:ascii="Arial Unicode MS" w:eastAsia="Arial Unicode MS" w:hAnsi="Arial Unicode MS" w:cs="Arial Unicode MS"/>
      <w:color w:val="000000"/>
      <w:lang w:val="en-AU" w:eastAsia="en-US"/>
    </w:rPr>
  </w:style>
  <w:style w:type="paragraph" w:customStyle="1" w:styleId="Default">
    <w:name w:val="Default"/>
    <w:rsid w:val="0092484B"/>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CommentReference">
    <w:name w:val="annotation reference"/>
    <w:rsid w:val="0092484B"/>
    <w:rPr>
      <w:sz w:val="16"/>
      <w:szCs w:val="16"/>
    </w:rPr>
  </w:style>
  <w:style w:type="paragraph" w:styleId="CommentText">
    <w:name w:val="annotation text"/>
    <w:basedOn w:val="Normal"/>
    <w:link w:val="CommentTextChar"/>
    <w:rsid w:val="0092484B"/>
    <w:rPr>
      <w:sz w:val="20"/>
      <w:szCs w:val="20"/>
    </w:rPr>
  </w:style>
  <w:style w:type="character" w:customStyle="1" w:styleId="CommentTextChar">
    <w:name w:val="Comment Text Char"/>
    <w:basedOn w:val="DefaultParagraphFont"/>
    <w:link w:val="CommentText"/>
    <w:rsid w:val="0092484B"/>
    <w:rPr>
      <w:rFonts w:ascii="Times New Roman" w:eastAsia="Times New Roman" w:hAnsi="Times New Roman" w:cs="Times New Roman"/>
      <w:sz w:val="20"/>
      <w:szCs w:val="20"/>
      <w:lang w:val="de-DE" w:eastAsia="de-DE"/>
    </w:rPr>
  </w:style>
  <w:style w:type="paragraph" w:styleId="BodyText3">
    <w:name w:val="Body Text 3"/>
    <w:basedOn w:val="Normal"/>
    <w:link w:val="BodyText3Char"/>
    <w:unhideWhenUsed/>
    <w:rsid w:val="00BE741C"/>
    <w:pPr>
      <w:spacing w:after="120"/>
    </w:pPr>
    <w:rPr>
      <w:sz w:val="16"/>
      <w:szCs w:val="16"/>
    </w:rPr>
  </w:style>
  <w:style w:type="character" w:customStyle="1" w:styleId="BodyText3Char">
    <w:name w:val="Body Text 3 Char"/>
    <w:basedOn w:val="DefaultParagraphFont"/>
    <w:link w:val="BodyText3"/>
    <w:rsid w:val="00BE741C"/>
    <w:rPr>
      <w:rFonts w:ascii="Times New Roman" w:eastAsia="Times New Roman" w:hAnsi="Times New Roman" w:cs="Times New Roman"/>
      <w:sz w:val="16"/>
      <w:szCs w:val="16"/>
      <w:lang w:val="de-DE" w:eastAsia="de-DE"/>
    </w:rPr>
  </w:style>
  <w:style w:type="paragraph" w:styleId="ListParagraph">
    <w:name w:val="List Paragraph"/>
    <w:basedOn w:val="Normal"/>
    <w:uiPriority w:val="34"/>
    <w:qFormat/>
    <w:rsid w:val="00BE741C"/>
    <w:pPr>
      <w:spacing w:after="200" w:line="276" w:lineRule="auto"/>
      <w:ind w:left="720"/>
      <w:contextualSpacing/>
    </w:pPr>
    <w:rPr>
      <w:rFonts w:ascii="Calibri" w:eastAsia="Calibri" w:hAnsi="Calibri"/>
      <w:sz w:val="22"/>
      <w:szCs w:val="22"/>
      <w:lang w:val="en-AU" w:eastAsia="en-US"/>
    </w:rPr>
  </w:style>
  <w:style w:type="paragraph" w:styleId="BodyTextIndent">
    <w:name w:val="Body Text Indent"/>
    <w:basedOn w:val="Normal"/>
    <w:link w:val="BodyTextIndentChar"/>
    <w:uiPriority w:val="99"/>
    <w:unhideWhenUsed/>
    <w:rsid w:val="003B725A"/>
    <w:pPr>
      <w:spacing w:after="120"/>
      <w:ind w:left="283"/>
    </w:pPr>
  </w:style>
  <w:style w:type="character" w:customStyle="1" w:styleId="BodyTextIndentChar">
    <w:name w:val="Body Text Indent Char"/>
    <w:basedOn w:val="DefaultParagraphFont"/>
    <w:link w:val="BodyTextIndent"/>
    <w:uiPriority w:val="99"/>
    <w:rsid w:val="003B725A"/>
    <w:rPr>
      <w:rFonts w:ascii="Times New Roman" w:eastAsia="Times New Roman" w:hAnsi="Times New Roman" w:cs="Times New Roman"/>
      <w:sz w:val="24"/>
      <w:szCs w:val="24"/>
      <w:lang w:val="de-DE" w:eastAsia="de-DE"/>
    </w:rPr>
  </w:style>
  <w:style w:type="table" w:styleId="TableGrid">
    <w:name w:val="Table Grid"/>
    <w:basedOn w:val="TableNormal"/>
    <w:uiPriority w:val="59"/>
    <w:rsid w:val="00601E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91A1C"/>
    <w:rPr>
      <w:rFonts w:asciiTheme="majorHAnsi" w:eastAsiaTheme="majorEastAsia" w:hAnsiTheme="majorHAnsi" w:cstheme="majorBidi"/>
      <w:b/>
      <w:bCs/>
      <w:color w:val="4F81BD" w:themeColor="accent1"/>
      <w:sz w:val="26"/>
      <w:szCs w:val="26"/>
      <w:lang w:val="de-DE" w:eastAsia="de-DE"/>
    </w:rPr>
  </w:style>
  <w:style w:type="paragraph" w:customStyle="1" w:styleId="PIBody">
    <w:name w:val="PI Body"/>
    <w:basedOn w:val="Normal"/>
    <w:rsid w:val="00463571"/>
    <w:pPr>
      <w:widowControl w:val="0"/>
      <w:jc w:val="both"/>
    </w:pPr>
    <w:rPr>
      <w:rFonts w:ascii="Arial" w:hAnsi="Arial"/>
      <w:spacing w:val="-3"/>
      <w:sz w:val="20"/>
      <w:szCs w:val="20"/>
      <w:lang w:val="en-US" w:eastAsia="en-US"/>
    </w:rPr>
  </w:style>
  <w:style w:type="paragraph" w:styleId="CommentSubject">
    <w:name w:val="annotation subject"/>
    <w:basedOn w:val="CommentText"/>
    <w:next w:val="CommentText"/>
    <w:link w:val="CommentSubjectChar"/>
    <w:uiPriority w:val="99"/>
    <w:semiHidden/>
    <w:unhideWhenUsed/>
    <w:rsid w:val="00DE7D01"/>
    <w:rPr>
      <w:b/>
      <w:bCs/>
    </w:rPr>
  </w:style>
  <w:style w:type="character" w:customStyle="1" w:styleId="CommentSubjectChar">
    <w:name w:val="Comment Subject Char"/>
    <w:basedOn w:val="CommentTextChar"/>
    <w:link w:val="CommentSubject"/>
    <w:uiPriority w:val="99"/>
    <w:semiHidden/>
    <w:rsid w:val="00DE7D01"/>
    <w:rPr>
      <w:rFonts w:ascii="Times New Roman" w:eastAsia="Times New Roman" w:hAnsi="Times New Roman" w:cs="Times New Roman"/>
      <w:b/>
      <w:bCs/>
      <w:sz w:val="20"/>
      <w:szCs w:val="20"/>
      <w:lang w:val="de-DE" w:eastAsia="de-DE"/>
    </w:rPr>
  </w:style>
  <w:style w:type="paragraph" w:styleId="ListBullet">
    <w:name w:val="List Bullet"/>
    <w:basedOn w:val="Normal"/>
    <w:uiPriority w:val="99"/>
    <w:qFormat/>
    <w:rsid w:val="00953930"/>
    <w:pPr>
      <w:numPr>
        <w:numId w:val="6"/>
      </w:numPr>
      <w:spacing w:before="120" w:after="180" w:line="240" w:lineRule="atLeast"/>
    </w:pPr>
    <w:rPr>
      <w:rFonts w:ascii="Cambria" w:eastAsia="Cambria" w:hAnsi="Cambria"/>
      <w:sz w:val="22"/>
      <w:szCs w:val="22"/>
      <w:lang w:val="en-AU" w:eastAsia="en-US"/>
    </w:rPr>
  </w:style>
  <w:style w:type="paragraph" w:styleId="ListBullet2">
    <w:name w:val="List Bullet 2"/>
    <w:basedOn w:val="Normal"/>
    <w:uiPriority w:val="99"/>
    <w:qFormat/>
    <w:rsid w:val="00953930"/>
    <w:pPr>
      <w:numPr>
        <w:ilvl w:val="1"/>
        <w:numId w:val="6"/>
      </w:numPr>
      <w:spacing w:before="120" w:after="180" w:line="240" w:lineRule="atLeast"/>
    </w:pPr>
    <w:rPr>
      <w:rFonts w:ascii="Cambria" w:eastAsia="Cambria" w:hAnsi="Cambria"/>
      <w:sz w:val="22"/>
      <w:szCs w:val="22"/>
      <w:lang w:val="en-AU" w:eastAsia="en-US"/>
    </w:rPr>
  </w:style>
  <w:style w:type="paragraph" w:styleId="ListBullet3">
    <w:name w:val="List Bullet 3"/>
    <w:basedOn w:val="Normal"/>
    <w:uiPriority w:val="99"/>
    <w:qFormat/>
    <w:rsid w:val="00953930"/>
    <w:pPr>
      <w:numPr>
        <w:ilvl w:val="2"/>
        <w:numId w:val="6"/>
      </w:numPr>
      <w:spacing w:before="120" w:after="180" w:line="240" w:lineRule="atLeast"/>
    </w:pPr>
    <w:rPr>
      <w:rFonts w:ascii="Cambria" w:eastAsia="Cambria" w:hAnsi="Cambria"/>
      <w:sz w:val="22"/>
      <w:szCs w:val="22"/>
      <w:lang w:val="en-AU" w:eastAsia="en-US"/>
    </w:rPr>
  </w:style>
  <w:style w:type="numbering" w:customStyle="1" w:styleId="ListBullets">
    <w:name w:val="ListBullets"/>
    <w:uiPriority w:val="99"/>
    <w:locked/>
    <w:rsid w:val="0095393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4223</Words>
  <Characters>24073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Attachment 1. Product Information for Digoxin-specific antibody fragment f(Ab) (ovine)</vt:lpstr>
    </vt:vector>
  </TitlesOfParts>
  <Company>Phebra Pty Ltd</Company>
  <LinksUpToDate>false</LinksUpToDate>
  <CharactersWithSpaces>28240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Digoxin-specific antibody fragment f(Ab) (ovine)</dc:title>
  <dc:subject>prescription medicine regulation</dc:subject>
  <dc:creator>Phebra Pty Ltd </dc:creator>
  <cp:keywords>product, information, prescription, medicine, regulation, digifab, digoxin-specific, antibody, fragment, fAb, ovine, phebra</cp:keywords>
  <cp:lastModifiedBy>dixonj</cp:lastModifiedBy>
  <cp:revision>4</cp:revision>
  <cp:lastPrinted>2013-12-22T22:09:00Z</cp:lastPrinted>
  <dcterms:created xsi:type="dcterms:W3CDTF">2014-04-30T03:20:00Z</dcterms:created>
  <dcterms:modified xsi:type="dcterms:W3CDTF">2014-06-30T04:58:00Z</dcterms:modified>
</cp:coreProperties>
</file>