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517665" w:rsidP="00517665">
            <w:pPr>
              <w:rPr>
                <w:rFonts w:ascii="Arial" w:hAnsi="Arial" w:cs="Arial"/>
                <w:b/>
                <w:color w:val="002C47"/>
                <w:sz w:val="36"/>
                <w:szCs w:val="36"/>
              </w:rPr>
            </w:pPr>
            <w:r>
              <w:rPr>
                <w:rFonts w:ascii="Arial" w:hAnsi="Arial" w:cs="Arial"/>
                <w:b/>
                <w:color w:val="002C47"/>
                <w:sz w:val="36"/>
                <w:szCs w:val="36"/>
              </w:rPr>
              <w:t>December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475430" w:rsidP="00A964D1">
            <w:pPr>
              <w:pStyle w:val="Title"/>
              <w:rPr>
                <w:color w:val="FFFFFF" w:themeColor="background1"/>
              </w:rPr>
            </w:pPr>
            <w:r w:rsidRPr="00475430">
              <w:rPr>
                <w:color w:val="FFFFFF" w:themeColor="background1"/>
              </w:rPr>
              <w:t>AusPAR Attachment 2</w:t>
            </w:r>
          </w:p>
        </w:tc>
      </w:tr>
      <w:tr w:rsidR="00E07F15" w:rsidRPr="00A964D1" w:rsidTr="00E07F15">
        <w:trPr>
          <w:trHeight w:val="868"/>
        </w:trPr>
        <w:tc>
          <w:tcPr>
            <w:tcW w:w="9079" w:type="dxa"/>
          </w:tcPr>
          <w:p w:rsidR="00E07F15" w:rsidRPr="00A964D1" w:rsidRDefault="00475430" w:rsidP="002D7C6E">
            <w:pPr>
              <w:pStyle w:val="Title"/>
            </w:pPr>
            <w:r w:rsidRPr="002D7C6E">
              <w:rPr>
                <w:color w:val="FFFFFF" w:themeColor="background1"/>
              </w:rPr>
              <w:t>Extract from the Clinical Evaluation</w:t>
            </w:r>
            <w:r w:rsidR="002D7C6E">
              <w:rPr>
                <w:color w:val="FFFFFF" w:themeColor="background1"/>
              </w:rPr>
              <w:t xml:space="preserve"> </w:t>
            </w:r>
            <w:r w:rsidRPr="002D7C6E">
              <w:rPr>
                <w:bCs/>
                <w:iCs/>
                <w:color w:val="FFFFFF" w:themeColor="background1"/>
              </w:rPr>
              <w:t xml:space="preserve">Report for: </w:t>
            </w:r>
            <w:r w:rsidRPr="002D7C6E">
              <w:rPr>
                <w:color w:val="FFFFFF" w:themeColor="background1"/>
              </w:rPr>
              <w:t>dexamethasone</w:t>
            </w:r>
            <w:r w:rsidRPr="002D7C6E">
              <w:rPr>
                <w:bCs/>
                <w:iCs/>
                <w:color w:val="FFFFFF" w:themeColor="background1"/>
              </w:rPr>
              <w:t xml:space="preserve"> (intravitreal implant)</w:t>
            </w:r>
          </w:p>
        </w:tc>
      </w:tr>
      <w:tr w:rsidR="00E07F15" w:rsidRPr="00B64760" w:rsidTr="00E07F15">
        <w:tc>
          <w:tcPr>
            <w:tcW w:w="9079" w:type="dxa"/>
          </w:tcPr>
          <w:p w:rsidR="00E07F15" w:rsidRPr="008E7846" w:rsidRDefault="00E07F15" w:rsidP="00475430">
            <w:pPr>
              <w:pStyle w:val="Subtitle"/>
              <w:ind w:left="0"/>
              <w:rPr>
                <w:color w:val="FFFFFF" w:themeColor="background1"/>
              </w:rPr>
            </w:pPr>
            <w:r w:rsidRPr="008E7846">
              <w:rPr>
                <w:color w:val="FFFFFF" w:themeColor="background1"/>
              </w:rPr>
              <w:t>Proprietary Product Name:</w:t>
            </w:r>
            <w:r w:rsidR="00517665">
              <w:rPr>
                <w:color w:val="FFFFFF" w:themeColor="background1"/>
                <w:sz w:val="36"/>
                <w:szCs w:val="36"/>
              </w:rPr>
              <w:t xml:space="preserve"> OZDURDEX</w:t>
            </w:r>
          </w:p>
        </w:tc>
      </w:tr>
      <w:tr w:rsidR="00E07F15" w:rsidRPr="00B64760" w:rsidTr="00E07F15">
        <w:trPr>
          <w:trHeight w:val="486"/>
        </w:trPr>
        <w:tc>
          <w:tcPr>
            <w:tcW w:w="9079" w:type="dxa"/>
          </w:tcPr>
          <w:p w:rsidR="00E07F15" w:rsidRPr="008E7846" w:rsidRDefault="00E07F15" w:rsidP="00475430">
            <w:pPr>
              <w:pStyle w:val="Subtitle"/>
              <w:ind w:left="0"/>
              <w:rPr>
                <w:color w:val="FFFFFF" w:themeColor="background1"/>
              </w:rPr>
            </w:pPr>
            <w:r w:rsidRPr="008E7846">
              <w:rPr>
                <w:color w:val="FFFFFF" w:themeColor="background1"/>
              </w:rPr>
              <w:t>Sponsor:</w:t>
            </w:r>
            <w:r w:rsidR="00517665">
              <w:rPr>
                <w:color w:val="FFFFFF" w:themeColor="background1"/>
              </w:rPr>
              <w:t xml:space="preserve"> </w:t>
            </w:r>
            <w:r w:rsidR="00517665">
              <w:rPr>
                <w:color w:val="FFFFFF" w:themeColor="background1"/>
                <w:sz w:val="36"/>
                <w:szCs w:val="36"/>
              </w:rPr>
              <w:t>Allergan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C327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C327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C327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C327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C327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66BAF">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12261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6313881" w:history="1">
            <w:r w:rsidR="0012261E" w:rsidRPr="00E133C3">
              <w:rPr>
                <w:rStyle w:val="Hyperlink"/>
                <w:noProof/>
              </w:rPr>
              <w:t>List of abbreviations</w:t>
            </w:r>
            <w:r w:rsidR="0012261E">
              <w:rPr>
                <w:noProof/>
                <w:webHidden/>
              </w:rPr>
              <w:tab/>
            </w:r>
            <w:r w:rsidR="0012261E">
              <w:rPr>
                <w:noProof/>
                <w:webHidden/>
              </w:rPr>
              <w:fldChar w:fldCharType="begin"/>
            </w:r>
            <w:r w:rsidR="0012261E">
              <w:rPr>
                <w:noProof/>
                <w:webHidden/>
              </w:rPr>
              <w:instrText xml:space="preserve"> PAGEREF _Toc6313881 \h </w:instrText>
            </w:r>
            <w:r w:rsidR="0012261E">
              <w:rPr>
                <w:noProof/>
                <w:webHidden/>
              </w:rPr>
            </w:r>
            <w:r w:rsidR="0012261E">
              <w:rPr>
                <w:noProof/>
                <w:webHidden/>
              </w:rPr>
              <w:fldChar w:fldCharType="separate"/>
            </w:r>
            <w:r w:rsidR="0012261E">
              <w:rPr>
                <w:noProof/>
                <w:webHidden/>
              </w:rPr>
              <w:t>5</w:t>
            </w:r>
            <w:r w:rsidR="0012261E">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82" w:history="1">
            <w:r w:rsidRPr="00E133C3">
              <w:rPr>
                <w:rStyle w:val="Hyperlink"/>
                <w:noProof/>
                <w:lang w:eastAsia="en-AU"/>
              </w:rPr>
              <w:t>1.</w:t>
            </w:r>
            <w:r>
              <w:rPr>
                <w:rFonts w:asciiTheme="minorHAnsi" w:eastAsiaTheme="minorEastAsia" w:hAnsiTheme="minorHAnsi" w:cstheme="minorBidi"/>
                <w:b w:val="0"/>
                <w:noProof/>
                <w:sz w:val="22"/>
                <w:lang w:eastAsia="en-AU"/>
              </w:rPr>
              <w:tab/>
            </w:r>
            <w:r w:rsidRPr="00E133C3">
              <w:rPr>
                <w:rStyle w:val="Hyperlink"/>
                <w:noProof/>
                <w:lang w:eastAsia="en-AU"/>
              </w:rPr>
              <w:t>Introduction</w:t>
            </w:r>
            <w:r>
              <w:rPr>
                <w:noProof/>
                <w:webHidden/>
              </w:rPr>
              <w:tab/>
            </w:r>
            <w:r>
              <w:rPr>
                <w:noProof/>
                <w:webHidden/>
              </w:rPr>
              <w:fldChar w:fldCharType="begin"/>
            </w:r>
            <w:r>
              <w:rPr>
                <w:noProof/>
                <w:webHidden/>
              </w:rPr>
              <w:instrText xml:space="preserve"> PAGEREF _Toc6313882 \h </w:instrText>
            </w:r>
            <w:r>
              <w:rPr>
                <w:noProof/>
                <w:webHidden/>
              </w:rPr>
            </w:r>
            <w:r>
              <w:rPr>
                <w:noProof/>
                <w:webHidden/>
              </w:rPr>
              <w:fldChar w:fldCharType="separate"/>
            </w:r>
            <w:r>
              <w:rPr>
                <w:noProof/>
                <w:webHidden/>
              </w:rPr>
              <w:t>7</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83" w:history="1">
            <w:r w:rsidRPr="00E133C3">
              <w:rPr>
                <w:rStyle w:val="Hyperlink"/>
                <w:noProof/>
              </w:rPr>
              <w:t>2.</w:t>
            </w:r>
            <w:r>
              <w:rPr>
                <w:rFonts w:asciiTheme="minorHAnsi" w:eastAsiaTheme="minorEastAsia" w:hAnsiTheme="minorHAnsi" w:cstheme="minorBidi"/>
                <w:b w:val="0"/>
                <w:noProof/>
                <w:sz w:val="22"/>
                <w:lang w:eastAsia="en-AU"/>
              </w:rPr>
              <w:tab/>
            </w:r>
            <w:r w:rsidRPr="00E133C3">
              <w:rPr>
                <w:rStyle w:val="Hyperlink"/>
                <w:noProof/>
              </w:rPr>
              <w:t>Clinical rationale</w:t>
            </w:r>
            <w:r>
              <w:rPr>
                <w:noProof/>
                <w:webHidden/>
              </w:rPr>
              <w:tab/>
            </w:r>
            <w:r>
              <w:rPr>
                <w:noProof/>
                <w:webHidden/>
              </w:rPr>
              <w:fldChar w:fldCharType="begin"/>
            </w:r>
            <w:r>
              <w:rPr>
                <w:noProof/>
                <w:webHidden/>
              </w:rPr>
              <w:instrText xml:space="preserve"> PAGEREF _Toc6313883 \h </w:instrText>
            </w:r>
            <w:r>
              <w:rPr>
                <w:noProof/>
                <w:webHidden/>
              </w:rPr>
            </w:r>
            <w:r>
              <w:rPr>
                <w:noProof/>
                <w:webHidden/>
              </w:rPr>
              <w:fldChar w:fldCharType="separate"/>
            </w:r>
            <w:r>
              <w:rPr>
                <w:noProof/>
                <w:webHidden/>
              </w:rPr>
              <w:t>7</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84" w:history="1">
            <w:r w:rsidRPr="00E133C3">
              <w:rPr>
                <w:rStyle w:val="Hyperlink"/>
                <w:noProof/>
                <w:lang w:eastAsia="en-AU"/>
              </w:rPr>
              <w:t>3.</w:t>
            </w:r>
            <w:r>
              <w:rPr>
                <w:rFonts w:asciiTheme="minorHAnsi" w:eastAsiaTheme="minorEastAsia" w:hAnsiTheme="minorHAnsi" w:cstheme="minorBidi"/>
                <w:b w:val="0"/>
                <w:noProof/>
                <w:sz w:val="22"/>
                <w:lang w:eastAsia="en-AU"/>
              </w:rPr>
              <w:tab/>
            </w:r>
            <w:r w:rsidRPr="00E133C3">
              <w:rPr>
                <w:rStyle w:val="Hyperlink"/>
                <w:noProof/>
                <w:lang w:eastAsia="en-AU"/>
              </w:rPr>
              <w:t>Contents of the clinical dossier</w:t>
            </w:r>
            <w:r>
              <w:rPr>
                <w:noProof/>
                <w:webHidden/>
              </w:rPr>
              <w:tab/>
            </w:r>
            <w:r>
              <w:rPr>
                <w:noProof/>
                <w:webHidden/>
              </w:rPr>
              <w:fldChar w:fldCharType="begin"/>
            </w:r>
            <w:r>
              <w:rPr>
                <w:noProof/>
                <w:webHidden/>
              </w:rPr>
              <w:instrText xml:space="preserve"> PAGEREF _Toc6313884 \h </w:instrText>
            </w:r>
            <w:r>
              <w:rPr>
                <w:noProof/>
                <w:webHidden/>
              </w:rPr>
            </w:r>
            <w:r>
              <w:rPr>
                <w:noProof/>
                <w:webHidden/>
              </w:rPr>
              <w:fldChar w:fldCharType="separate"/>
            </w:r>
            <w:r>
              <w:rPr>
                <w:noProof/>
                <w:webHidden/>
              </w:rPr>
              <w:t>7</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85" w:history="1">
            <w:r w:rsidRPr="00E133C3">
              <w:rPr>
                <w:rStyle w:val="Hyperlink"/>
                <w:noProof/>
              </w:rPr>
              <w:t>3.1.</w:t>
            </w:r>
            <w:r>
              <w:rPr>
                <w:rFonts w:asciiTheme="minorHAnsi" w:eastAsiaTheme="minorEastAsia" w:hAnsiTheme="minorHAnsi" w:cstheme="minorBidi"/>
                <w:noProof/>
                <w:lang w:eastAsia="en-AU"/>
              </w:rPr>
              <w:tab/>
            </w:r>
            <w:r w:rsidRPr="00E133C3">
              <w:rPr>
                <w:rStyle w:val="Hyperlink"/>
                <w:noProof/>
              </w:rPr>
              <w:t>Scope of the clinical dossier</w:t>
            </w:r>
            <w:r>
              <w:rPr>
                <w:noProof/>
                <w:webHidden/>
              </w:rPr>
              <w:tab/>
            </w:r>
            <w:r>
              <w:rPr>
                <w:noProof/>
                <w:webHidden/>
              </w:rPr>
              <w:fldChar w:fldCharType="begin"/>
            </w:r>
            <w:r>
              <w:rPr>
                <w:noProof/>
                <w:webHidden/>
              </w:rPr>
              <w:instrText xml:space="preserve"> PAGEREF _Toc6313885 \h </w:instrText>
            </w:r>
            <w:r>
              <w:rPr>
                <w:noProof/>
                <w:webHidden/>
              </w:rPr>
            </w:r>
            <w:r>
              <w:rPr>
                <w:noProof/>
                <w:webHidden/>
              </w:rPr>
              <w:fldChar w:fldCharType="separate"/>
            </w:r>
            <w:r>
              <w:rPr>
                <w:noProof/>
                <w:webHidden/>
              </w:rPr>
              <w:t>7</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86" w:history="1">
            <w:r w:rsidRPr="00E133C3">
              <w:rPr>
                <w:rStyle w:val="Hyperlink"/>
                <w:noProof/>
              </w:rPr>
              <w:t>3.2.</w:t>
            </w:r>
            <w:r>
              <w:rPr>
                <w:rFonts w:asciiTheme="minorHAnsi" w:eastAsiaTheme="minorEastAsia" w:hAnsiTheme="minorHAnsi" w:cstheme="minorBidi"/>
                <w:noProof/>
                <w:lang w:eastAsia="en-AU"/>
              </w:rPr>
              <w:tab/>
            </w:r>
            <w:r w:rsidRPr="00E133C3">
              <w:rPr>
                <w:rStyle w:val="Hyperlink"/>
                <w:noProof/>
              </w:rPr>
              <w:t>Paediatric data</w:t>
            </w:r>
            <w:r>
              <w:rPr>
                <w:noProof/>
                <w:webHidden/>
              </w:rPr>
              <w:tab/>
            </w:r>
            <w:r>
              <w:rPr>
                <w:noProof/>
                <w:webHidden/>
              </w:rPr>
              <w:fldChar w:fldCharType="begin"/>
            </w:r>
            <w:r>
              <w:rPr>
                <w:noProof/>
                <w:webHidden/>
              </w:rPr>
              <w:instrText xml:space="preserve"> PAGEREF _Toc6313886 \h </w:instrText>
            </w:r>
            <w:r>
              <w:rPr>
                <w:noProof/>
                <w:webHidden/>
              </w:rPr>
            </w:r>
            <w:r>
              <w:rPr>
                <w:noProof/>
                <w:webHidden/>
              </w:rPr>
              <w:fldChar w:fldCharType="separate"/>
            </w:r>
            <w:r>
              <w:rPr>
                <w:noProof/>
                <w:webHidden/>
              </w:rPr>
              <w:t>8</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87" w:history="1">
            <w:r w:rsidRPr="00E133C3">
              <w:rPr>
                <w:rStyle w:val="Hyperlink"/>
                <w:noProof/>
              </w:rPr>
              <w:t>3.3.</w:t>
            </w:r>
            <w:r>
              <w:rPr>
                <w:rFonts w:asciiTheme="minorHAnsi" w:eastAsiaTheme="minorEastAsia" w:hAnsiTheme="minorHAnsi" w:cstheme="minorBidi"/>
                <w:noProof/>
                <w:lang w:eastAsia="en-AU"/>
              </w:rPr>
              <w:tab/>
            </w:r>
            <w:r w:rsidRPr="00E133C3">
              <w:rPr>
                <w:rStyle w:val="Hyperlink"/>
                <w:noProof/>
              </w:rPr>
              <w:t>Good clinical practice</w:t>
            </w:r>
            <w:r>
              <w:rPr>
                <w:noProof/>
                <w:webHidden/>
              </w:rPr>
              <w:tab/>
            </w:r>
            <w:r>
              <w:rPr>
                <w:noProof/>
                <w:webHidden/>
              </w:rPr>
              <w:fldChar w:fldCharType="begin"/>
            </w:r>
            <w:r>
              <w:rPr>
                <w:noProof/>
                <w:webHidden/>
              </w:rPr>
              <w:instrText xml:space="preserve"> PAGEREF _Toc6313887 \h </w:instrText>
            </w:r>
            <w:r>
              <w:rPr>
                <w:noProof/>
                <w:webHidden/>
              </w:rPr>
            </w:r>
            <w:r>
              <w:rPr>
                <w:noProof/>
                <w:webHidden/>
              </w:rPr>
              <w:fldChar w:fldCharType="separate"/>
            </w:r>
            <w:r>
              <w:rPr>
                <w:noProof/>
                <w:webHidden/>
              </w:rPr>
              <w:t>8</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88" w:history="1">
            <w:r w:rsidRPr="00E133C3">
              <w:rPr>
                <w:rStyle w:val="Hyperlink"/>
                <w:noProof/>
              </w:rPr>
              <w:t>3.4.</w:t>
            </w:r>
            <w:r>
              <w:rPr>
                <w:rFonts w:asciiTheme="minorHAnsi" w:eastAsiaTheme="minorEastAsia" w:hAnsiTheme="minorHAnsi" w:cstheme="minorBidi"/>
                <w:noProof/>
                <w:lang w:eastAsia="en-AU"/>
              </w:rPr>
              <w:tab/>
            </w:r>
            <w:r w:rsidRPr="00E133C3">
              <w:rPr>
                <w:rStyle w:val="Hyperlink"/>
                <w:noProof/>
              </w:rPr>
              <w:t>Evaluator’s commentary on the clinical dossier</w:t>
            </w:r>
            <w:r>
              <w:rPr>
                <w:noProof/>
                <w:webHidden/>
              </w:rPr>
              <w:tab/>
            </w:r>
            <w:r>
              <w:rPr>
                <w:noProof/>
                <w:webHidden/>
              </w:rPr>
              <w:fldChar w:fldCharType="begin"/>
            </w:r>
            <w:r>
              <w:rPr>
                <w:noProof/>
                <w:webHidden/>
              </w:rPr>
              <w:instrText xml:space="preserve"> PAGEREF _Toc6313888 \h </w:instrText>
            </w:r>
            <w:r>
              <w:rPr>
                <w:noProof/>
                <w:webHidden/>
              </w:rPr>
            </w:r>
            <w:r>
              <w:rPr>
                <w:noProof/>
                <w:webHidden/>
              </w:rPr>
              <w:fldChar w:fldCharType="separate"/>
            </w:r>
            <w:r>
              <w:rPr>
                <w:noProof/>
                <w:webHidden/>
              </w:rPr>
              <w:t>8</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89" w:history="1">
            <w:r w:rsidRPr="00E133C3">
              <w:rPr>
                <w:rStyle w:val="Hyperlink"/>
                <w:noProof/>
              </w:rPr>
              <w:t>4.</w:t>
            </w:r>
            <w:r>
              <w:rPr>
                <w:rFonts w:asciiTheme="minorHAnsi" w:eastAsiaTheme="minorEastAsia" w:hAnsiTheme="minorHAnsi" w:cstheme="minorBidi"/>
                <w:b w:val="0"/>
                <w:noProof/>
                <w:sz w:val="22"/>
                <w:lang w:eastAsia="en-AU"/>
              </w:rPr>
              <w:tab/>
            </w:r>
            <w:r w:rsidRPr="00E133C3">
              <w:rPr>
                <w:rStyle w:val="Hyperlink"/>
                <w:noProof/>
              </w:rPr>
              <w:t>Pharmacokinetics</w:t>
            </w:r>
            <w:r>
              <w:rPr>
                <w:noProof/>
                <w:webHidden/>
              </w:rPr>
              <w:tab/>
            </w:r>
            <w:r>
              <w:rPr>
                <w:noProof/>
                <w:webHidden/>
              </w:rPr>
              <w:fldChar w:fldCharType="begin"/>
            </w:r>
            <w:r>
              <w:rPr>
                <w:noProof/>
                <w:webHidden/>
              </w:rPr>
              <w:instrText xml:space="preserve"> PAGEREF _Toc6313889 \h </w:instrText>
            </w:r>
            <w:r>
              <w:rPr>
                <w:noProof/>
                <w:webHidden/>
              </w:rPr>
            </w:r>
            <w:r>
              <w:rPr>
                <w:noProof/>
                <w:webHidden/>
              </w:rPr>
              <w:fldChar w:fldCharType="separate"/>
            </w:r>
            <w:r>
              <w:rPr>
                <w:noProof/>
                <w:webHidden/>
              </w:rPr>
              <w:t>8</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90" w:history="1">
            <w:r w:rsidRPr="00E133C3">
              <w:rPr>
                <w:rStyle w:val="Hyperlink"/>
                <w:noProof/>
              </w:rPr>
              <w:t>4.1.</w:t>
            </w:r>
            <w:r>
              <w:rPr>
                <w:rFonts w:asciiTheme="minorHAnsi" w:eastAsiaTheme="minorEastAsia" w:hAnsiTheme="minorHAnsi" w:cstheme="minorBidi"/>
                <w:noProof/>
                <w:lang w:eastAsia="en-AU"/>
              </w:rPr>
              <w:tab/>
            </w:r>
            <w:r w:rsidRPr="00E133C3">
              <w:rPr>
                <w:rStyle w:val="Hyperlink"/>
                <w:noProof/>
              </w:rPr>
              <w:t>Studies providing pharmacokinetic information</w:t>
            </w:r>
            <w:r>
              <w:rPr>
                <w:noProof/>
                <w:webHidden/>
              </w:rPr>
              <w:tab/>
            </w:r>
            <w:r>
              <w:rPr>
                <w:noProof/>
                <w:webHidden/>
              </w:rPr>
              <w:fldChar w:fldCharType="begin"/>
            </w:r>
            <w:r>
              <w:rPr>
                <w:noProof/>
                <w:webHidden/>
              </w:rPr>
              <w:instrText xml:space="preserve"> PAGEREF _Toc6313890 \h </w:instrText>
            </w:r>
            <w:r>
              <w:rPr>
                <w:noProof/>
                <w:webHidden/>
              </w:rPr>
            </w:r>
            <w:r>
              <w:rPr>
                <w:noProof/>
                <w:webHidden/>
              </w:rPr>
              <w:fldChar w:fldCharType="separate"/>
            </w:r>
            <w:r>
              <w:rPr>
                <w:noProof/>
                <w:webHidden/>
              </w:rPr>
              <w:t>9</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91" w:history="1">
            <w:r w:rsidRPr="00E133C3">
              <w:rPr>
                <w:rStyle w:val="Hyperlink"/>
                <w:noProof/>
              </w:rPr>
              <w:t>4.2.</w:t>
            </w:r>
            <w:r>
              <w:rPr>
                <w:rFonts w:asciiTheme="minorHAnsi" w:eastAsiaTheme="minorEastAsia" w:hAnsiTheme="minorHAnsi" w:cstheme="minorBidi"/>
                <w:noProof/>
                <w:lang w:eastAsia="en-AU"/>
              </w:rPr>
              <w:tab/>
            </w:r>
            <w:r w:rsidRPr="00E133C3">
              <w:rPr>
                <w:rStyle w:val="Hyperlink"/>
                <w:noProof/>
              </w:rPr>
              <w:t>Summary of pharmacokinetics</w:t>
            </w:r>
            <w:r>
              <w:rPr>
                <w:noProof/>
                <w:webHidden/>
              </w:rPr>
              <w:tab/>
            </w:r>
            <w:r>
              <w:rPr>
                <w:noProof/>
                <w:webHidden/>
              </w:rPr>
              <w:fldChar w:fldCharType="begin"/>
            </w:r>
            <w:r>
              <w:rPr>
                <w:noProof/>
                <w:webHidden/>
              </w:rPr>
              <w:instrText xml:space="preserve"> PAGEREF _Toc6313891 \h </w:instrText>
            </w:r>
            <w:r>
              <w:rPr>
                <w:noProof/>
                <w:webHidden/>
              </w:rPr>
            </w:r>
            <w:r>
              <w:rPr>
                <w:noProof/>
                <w:webHidden/>
              </w:rPr>
              <w:fldChar w:fldCharType="separate"/>
            </w:r>
            <w:r>
              <w:rPr>
                <w:noProof/>
                <w:webHidden/>
              </w:rPr>
              <w:t>9</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92" w:history="1">
            <w:r w:rsidRPr="00E133C3">
              <w:rPr>
                <w:rStyle w:val="Hyperlink"/>
                <w:noProof/>
              </w:rPr>
              <w:t>4.3.</w:t>
            </w:r>
            <w:r>
              <w:rPr>
                <w:rFonts w:asciiTheme="minorHAnsi" w:eastAsiaTheme="minorEastAsia" w:hAnsiTheme="minorHAnsi" w:cstheme="minorBidi"/>
                <w:noProof/>
                <w:lang w:eastAsia="en-AU"/>
              </w:rPr>
              <w:tab/>
            </w:r>
            <w:r w:rsidRPr="00E133C3">
              <w:rPr>
                <w:rStyle w:val="Hyperlink"/>
                <w:noProof/>
              </w:rPr>
              <w:t>Evaluator’s overall conclusions on pharmacokinetics</w:t>
            </w:r>
            <w:r>
              <w:rPr>
                <w:noProof/>
                <w:webHidden/>
              </w:rPr>
              <w:tab/>
            </w:r>
            <w:r>
              <w:rPr>
                <w:noProof/>
                <w:webHidden/>
              </w:rPr>
              <w:fldChar w:fldCharType="begin"/>
            </w:r>
            <w:r>
              <w:rPr>
                <w:noProof/>
                <w:webHidden/>
              </w:rPr>
              <w:instrText xml:space="preserve"> PAGEREF _Toc6313892 \h </w:instrText>
            </w:r>
            <w:r>
              <w:rPr>
                <w:noProof/>
                <w:webHidden/>
              </w:rPr>
            </w:r>
            <w:r>
              <w:rPr>
                <w:noProof/>
                <w:webHidden/>
              </w:rPr>
              <w:fldChar w:fldCharType="separate"/>
            </w:r>
            <w:r>
              <w:rPr>
                <w:noProof/>
                <w:webHidden/>
              </w:rPr>
              <w:t>9</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93" w:history="1">
            <w:r w:rsidRPr="00E133C3">
              <w:rPr>
                <w:rStyle w:val="Hyperlink"/>
                <w:noProof/>
              </w:rPr>
              <w:t>5.</w:t>
            </w:r>
            <w:r>
              <w:rPr>
                <w:rFonts w:asciiTheme="minorHAnsi" w:eastAsiaTheme="minorEastAsia" w:hAnsiTheme="minorHAnsi" w:cstheme="minorBidi"/>
                <w:b w:val="0"/>
                <w:noProof/>
                <w:sz w:val="22"/>
                <w:lang w:eastAsia="en-AU"/>
              </w:rPr>
              <w:tab/>
            </w:r>
            <w:r w:rsidRPr="00E133C3">
              <w:rPr>
                <w:rStyle w:val="Hyperlink"/>
                <w:noProof/>
              </w:rPr>
              <w:t>Pharmacodynamics</w:t>
            </w:r>
            <w:r>
              <w:rPr>
                <w:noProof/>
                <w:webHidden/>
              </w:rPr>
              <w:tab/>
            </w:r>
            <w:r>
              <w:rPr>
                <w:noProof/>
                <w:webHidden/>
              </w:rPr>
              <w:fldChar w:fldCharType="begin"/>
            </w:r>
            <w:r>
              <w:rPr>
                <w:noProof/>
                <w:webHidden/>
              </w:rPr>
              <w:instrText xml:space="preserve"> PAGEREF _Toc6313893 \h </w:instrText>
            </w:r>
            <w:r>
              <w:rPr>
                <w:noProof/>
                <w:webHidden/>
              </w:rPr>
            </w:r>
            <w:r>
              <w:rPr>
                <w:noProof/>
                <w:webHidden/>
              </w:rPr>
              <w:fldChar w:fldCharType="separate"/>
            </w:r>
            <w:r>
              <w:rPr>
                <w:noProof/>
                <w:webHidden/>
              </w:rPr>
              <w:t>10</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94" w:history="1">
            <w:r w:rsidRPr="00E133C3">
              <w:rPr>
                <w:rStyle w:val="Hyperlink"/>
                <w:noProof/>
              </w:rPr>
              <w:t>6.</w:t>
            </w:r>
            <w:r>
              <w:rPr>
                <w:rFonts w:asciiTheme="minorHAnsi" w:eastAsiaTheme="minorEastAsia" w:hAnsiTheme="minorHAnsi" w:cstheme="minorBidi"/>
                <w:b w:val="0"/>
                <w:noProof/>
                <w:sz w:val="22"/>
                <w:lang w:eastAsia="en-AU"/>
              </w:rPr>
              <w:tab/>
            </w:r>
            <w:r w:rsidRPr="00E133C3">
              <w:rPr>
                <w:rStyle w:val="Hyperlink"/>
                <w:noProof/>
              </w:rPr>
              <w:t>Dosage selection for the pivotal studies</w:t>
            </w:r>
            <w:r>
              <w:rPr>
                <w:noProof/>
                <w:webHidden/>
              </w:rPr>
              <w:tab/>
            </w:r>
            <w:r>
              <w:rPr>
                <w:noProof/>
                <w:webHidden/>
              </w:rPr>
              <w:fldChar w:fldCharType="begin"/>
            </w:r>
            <w:r>
              <w:rPr>
                <w:noProof/>
                <w:webHidden/>
              </w:rPr>
              <w:instrText xml:space="preserve"> PAGEREF _Toc6313894 \h </w:instrText>
            </w:r>
            <w:r>
              <w:rPr>
                <w:noProof/>
                <w:webHidden/>
              </w:rPr>
            </w:r>
            <w:r>
              <w:rPr>
                <w:noProof/>
                <w:webHidden/>
              </w:rPr>
              <w:fldChar w:fldCharType="separate"/>
            </w:r>
            <w:r>
              <w:rPr>
                <w:noProof/>
                <w:webHidden/>
              </w:rPr>
              <w:t>10</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95" w:history="1">
            <w:r w:rsidRPr="00E133C3">
              <w:rPr>
                <w:rStyle w:val="Hyperlink"/>
                <w:noProof/>
              </w:rPr>
              <w:t>6.1.</w:t>
            </w:r>
            <w:r>
              <w:rPr>
                <w:rFonts w:asciiTheme="minorHAnsi" w:eastAsiaTheme="minorEastAsia" w:hAnsiTheme="minorHAnsi" w:cstheme="minorBidi"/>
                <w:noProof/>
                <w:lang w:eastAsia="en-AU"/>
              </w:rPr>
              <w:tab/>
            </w:r>
            <w:r w:rsidRPr="00E133C3">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_Toc6313895 \h </w:instrText>
            </w:r>
            <w:r>
              <w:rPr>
                <w:noProof/>
                <w:webHidden/>
              </w:rPr>
            </w:r>
            <w:r>
              <w:rPr>
                <w:noProof/>
                <w:webHidden/>
              </w:rPr>
              <w:fldChar w:fldCharType="separate"/>
            </w:r>
            <w:r>
              <w:rPr>
                <w:noProof/>
                <w:webHidden/>
              </w:rPr>
              <w:t>10</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96" w:history="1">
            <w:r w:rsidRPr="00E133C3">
              <w:rPr>
                <w:rStyle w:val="Hyperlink"/>
                <w:noProof/>
              </w:rPr>
              <w:t>7.</w:t>
            </w:r>
            <w:r>
              <w:rPr>
                <w:rFonts w:asciiTheme="minorHAnsi" w:eastAsiaTheme="minorEastAsia" w:hAnsiTheme="minorHAnsi" w:cstheme="minorBidi"/>
                <w:b w:val="0"/>
                <w:noProof/>
                <w:sz w:val="22"/>
                <w:lang w:eastAsia="en-AU"/>
              </w:rPr>
              <w:tab/>
            </w:r>
            <w:r w:rsidRPr="00E133C3">
              <w:rPr>
                <w:rStyle w:val="Hyperlink"/>
                <w:noProof/>
              </w:rPr>
              <w:t>Clinical efficacy</w:t>
            </w:r>
            <w:r>
              <w:rPr>
                <w:noProof/>
                <w:webHidden/>
              </w:rPr>
              <w:tab/>
            </w:r>
            <w:r>
              <w:rPr>
                <w:noProof/>
                <w:webHidden/>
              </w:rPr>
              <w:fldChar w:fldCharType="begin"/>
            </w:r>
            <w:r>
              <w:rPr>
                <w:noProof/>
                <w:webHidden/>
              </w:rPr>
              <w:instrText xml:space="preserve"> PAGEREF _Toc6313896 \h </w:instrText>
            </w:r>
            <w:r>
              <w:rPr>
                <w:noProof/>
                <w:webHidden/>
              </w:rPr>
            </w:r>
            <w:r>
              <w:rPr>
                <w:noProof/>
                <w:webHidden/>
              </w:rPr>
              <w:fldChar w:fldCharType="separate"/>
            </w:r>
            <w:r>
              <w:rPr>
                <w:noProof/>
                <w:webHidden/>
              </w:rPr>
              <w:t>10</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97" w:history="1">
            <w:r w:rsidRPr="00E133C3">
              <w:rPr>
                <w:rStyle w:val="Hyperlink"/>
                <w:noProof/>
              </w:rPr>
              <w:t>7.1.</w:t>
            </w:r>
            <w:r>
              <w:rPr>
                <w:rFonts w:asciiTheme="minorHAnsi" w:eastAsiaTheme="minorEastAsia" w:hAnsiTheme="minorHAnsi" w:cstheme="minorBidi"/>
                <w:noProof/>
                <w:lang w:eastAsia="en-AU"/>
              </w:rPr>
              <w:tab/>
            </w:r>
            <w:r w:rsidRPr="00E133C3">
              <w:rPr>
                <w:rStyle w:val="Hyperlink"/>
                <w:noProof/>
              </w:rPr>
              <w:t>Macular oedema due to branch retinal vein occlusion (BRVO) or central retinal vein occlusion (CRVO)</w:t>
            </w:r>
            <w:r>
              <w:rPr>
                <w:noProof/>
                <w:webHidden/>
              </w:rPr>
              <w:tab/>
            </w:r>
            <w:r>
              <w:rPr>
                <w:noProof/>
                <w:webHidden/>
              </w:rPr>
              <w:fldChar w:fldCharType="begin"/>
            </w:r>
            <w:r>
              <w:rPr>
                <w:noProof/>
                <w:webHidden/>
              </w:rPr>
              <w:instrText xml:space="preserve"> PAGEREF _Toc6313897 \h </w:instrText>
            </w:r>
            <w:r>
              <w:rPr>
                <w:noProof/>
                <w:webHidden/>
              </w:rPr>
            </w:r>
            <w:r>
              <w:rPr>
                <w:noProof/>
                <w:webHidden/>
              </w:rPr>
              <w:fldChar w:fldCharType="separate"/>
            </w:r>
            <w:r>
              <w:rPr>
                <w:noProof/>
                <w:webHidden/>
              </w:rPr>
              <w:t>11</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898" w:history="1">
            <w:r w:rsidRPr="00E133C3">
              <w:rPr>
                <w:rStyle w:val="Hyperlink"/>
                <w:noProof/>
              </w:rPr>
              <w:t>7.2.</w:t>
            </w:r>
            <w:r>
              <w:rPr>
                <w:rFonts w:asciiTheme="minorHAnsi" w:eastAsiaTheme="minorEastAsia" w:hAnsiTheme="minorHAnsi" w:cstheme="minorBidi"/>
                <w:noProof/>
                <w:lang w:eastAsia="en-AU"/>
              </w:rPr>
              <w:tab/>
            </w:r>
            <w:r w:rsidRPr="00E133C3">
              <w:rPr>
                <w:rStyle w:val="Hyperlink"/>
                <w:noProof/>
              </w:rPr>
              <w:t>Studies providing evaluable efficacy data (uveitis)</w:t>
            </w:r>
            <w:r>
              <w:rPr>
                <w:noProof/>
                <w:webHidden/>
              </w:rPr>
              <w:tab/>
            </w:r>
            <w:r>
              <w:rPr>
                <w:noProof/>
                <w:webHidden/>
              </w:rPr>
              <w:fldChar w:fldCharType="begin"/>
            </w:r>
            <w:r>
              <w:rPr>
                <w:noProof/>
                <w:webHidden/>
              </w:rPr>
              <w:instrText xml:space="preserve"> PAGEREF _Toc6313898 \h </w:instrText>
            </w:r>
            <w:r>
              <w:rPr>
                <w:noProof/>
                <w:webHidden/>
              </w:rPr>
            </w:r>
            <w:r>
              <w:rPr>
                <w:noProof/>
                <w:webHidden/>
              </w:rPr>
              <w:fldChar w:fldCharType="separate"/>
            </w:r>
            <w:r>
              <w:rPr>
                <w:noProof/>
                <w:webHidden/>
              </w:rPr>
              <w:t>65</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899" w:history="1">
            <w:r w:rsidRPr="00E133C3">
              <w:rPr>
                <w:rStyle w:val="Hyperlink"/>
                <w:noProof/>
              </w:rPr>
              <w:t>8.</w:t>
            </w:r>
            <w:r>
              <w:rPr>
                <w:rFonts w:asciiTheme="minorHAnsi" w:eastAsiaTheme="minorEastAsia" w:hAnsiTheme="minorHAnsi" w:cstheme="minorBidi"/>
                <w:b w:val="0"/>
                <w:noProof/>
                <w:sz w:val="22"/>
                <w:lang w:eastAsia="en-AU"/>
              </w:rPr>
              <w:tab/>
            </w:r>
            <w:r w:rsidRPr="00E133C3">
              <w:rPr>
                <w:rStyle w:val="Hyperlink"/>
                <w:noProof/>
              </w:rPr>
              <w:t>Clinical safety</w:t>
            </w:r>
            <w:r>
              <w:rPr>
                <w:noProof/>
                <w:webHidden/>
              </w:rPr>
              <w:tab/>
            </w:r>
            <w:r>
              <w:rPr>
                <w:noProof/>
                <w:webHidden/>
              </w:rPr>
              <w:fldChar w:fldCharType="begin"/>
            </w:r>
            <w:r>
              <w:rPr>
                <w:noProof/>
                <w:webHidden/>
              </w:rPr>
              <w:instrText xml:space="preserve"> PAGEREF _Toc6313899 \h </w:instrText>
            </w:r>
            <w:r>
              <w:rPr>
                <w:noProof/>
                <w:webHidden/>
              </w:rPr>
            </w:r>
            <w:r>
              <w:rPr>
                <w:noProof/>
                <w:webHidden/>
              </w:rPr>
              <w:fldChar w:fldCharType="separate"/>
            </w:r>
            <w:r>
              <w:rPr>
                <w:noProof/>
                <w:webHidden/>
              </w:rPr>
              <w:t>80</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0" w:history="1">
            <w:r w:rsidRPr="00E133C3">
              <w:rPr>
                <w:rStyle w:val="Hyperlink"/>
                <w:noProof/>
              </w:rPr>
              <w:t>8.1.</w:t>
            </w:r>
            <w:r>
              <w:rPr>
                <w:rFonts w:asciiTheme="minorHAnsi" w:eastAsiaTheme="minorEastAsia" w:hAnsiTheme="minorHAnsi" w:cstheme="minorBidi"/>
                <w:noProof/>
                <w:lang w:eastAsia="en-AU"/>
              </w:rPr>
              <w:tab/>
            </w:r>
            <w:r w:rsidRPr="00E133C3">
              <w:rPr>
                <w:rStyle w:val="Hyperlink"/>
                <w:noProof/>
              </w:rPr>
              <w:t>Studies providing evaluable safety data</w:t>
            </w:r>
            <w:r>
              <w:rPr>
                <w:noProof/>
                <w:webHidden/>
              </w:rPr>
              <w:tab/>
            </w:r>
            <w:r>
              <w:rPr>
                <w:noProof/>
                <w:webHidden/>
              </w:rPr>
              <w:fldChar w:fldCharType="begin"/>
            </w:r>
            <w:r>
              <w:rPr>
                <w:noProof/>
                <w:webHidden/>
              </w:rPr>
              <w:instrText xml:space="preserve"> PAGEREF _Toc6313900 \h </w:instrText>
            </w:r>
            <w:r>
              <w:rPr>
                <w:noProof/>
                <w:webHidden/>
              </w:rPr>
            </w:r>
            <w:r>
              <w:rPr>
                <w:noProof/>
                <w:webHidden/>
              </w:rPr>
              <w:fldChar w:fldCharType="separate"/>
            </w:r>
            <w:r>
              <w:rPr>
                <w:noProof/>
                <w:webHidden/>
              </w:rPr>
              <w:t>80</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1" w:history="1">
            <w:r w:rsidRPr="00E133C3">
              <w:rPr>
                <w:rStyle w:val="Hyperlink"/>
                <w:noProof/>
              </w:rPr>
              <w:t>8.2.</w:t>
            </w:r>
            <w:r>
              <w:rPr>
                <w:rFonts w:asciiTheme="minorHAnsi" w:eastAsiaTheme="minorEastAsia" w:hAnsiTheme="minorHAnsi" w:cstheme="minorBidi"/>
                <w:noProof/>
                <w:lang w:eastAsia="en-AU"/>
              </w:rPr>
              <w:tab/>
            </w:r>
            <w:r w:rsidRPr="00E133C3">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_Toc6313901 \h </w:instrText>
            </w:r>
            <w:r>
              <w:rPr>
                <w:noProof/>
                <w:webHidden/>
              </w:rPr>
            </w:r>
            <w:r>
              <w:rPr>
                <w:noProof/>
                <w:webHidden/>
              </w:rPr>
              <w:fldChar w:fldCharType="separate"/>
            </w:r>
            <w:r>
              <w:rPr>
                <w:noProof/>
                <w:webHidden/>
              </w:rPr>
              <w:t>82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2" w:history="1">
            <w:r w:rsidRPr="00E133C3">
              <w:rPr>
                <w:rStyle w:val="Hyperlink"/>
                <w:noProof/>
              </w:rPr>
              <w:t>8.3.</w:t>
            </w:r>
            <w:r>
              <w:rPr>
                <w:rFonts w:asciiTheme="minorHAnsi" w:eastAsiaTheme="minorEastAsia" w:hAnsiTheme="minorHAnsi" w:cstheme="minorBidi"/>
                <w:noProof/>
                <w:lang w:eastAsia="en-AU"/>
              </w:rPr>
              <w:tab/>
            </w:r>
            <w:r w:rsidRPr="00E133C3">
              <w:rPr>
                <w:rStyle w:val="Hyperlink"/>
                <w:noProof/>
              </w:rPr>
              <w:t>Patient exposure</w:t>
            </w:r>
            <w:r>
              <w:rPr>
                <w:noProof/>
                <w:webHidden/>
              </w:rPr>
              <w:tab/>
            </w:r>
            <w:r>
              <w:rPr>
                <w:noProof/>
                <w:webHidden/>
              </w:rPr>
              <w:fldChar w:fldCharType="begin"/>
            </w:r>
            <w:r>
              <w:rPr>
                <w:noProof/>
                <w:webHidden/>
              </w:rPr>
              <w:instrText xml:space="preserve"> PAGEREF _Toc6313902 \h </w:instrText>
            </w:r>
            <w:r>
              <w:rPr>
                <w:noProof/>
                <w:webHidden/>
              </w:rPr>
            </w:r>
            <w:r>
              <w:rPr>
                <w:noProof/>
                <w:webHidden/>
              </w:rPr>
              <w:fldChar w:fldCharType="separate"/>
            </w:r>
            <w:r>
              <w:rPr>
                <w:noProof/>
                <w:webHidden/>
              </w:rPr>
              <w:t>82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3" w:history="1">
            <w:r w:rsidRPr="00E133C3">
              <w:rPr>
                <w:rStyle w:val="Hyperlink"/>
                <w:noProof/>
              </w:rPr>
              <w:t>8.4.</w:t>
            </w:r>
            <w:r>
              <w:rPr>
                <w:rFonts w:asciiTheme="minorHAnsi" w:eastAsiaTheme="minorEastAsia" w:hAnsiTheme="minorHAnsi" w:cstheme="minorBidi"/>
                <w:noProof/>
                <w:lang w:eastAsia="en-AU"/>
              </w:rPr>
              <w:tab/>
            </w:r>
            <w:r w:rsidRPr="00E133C3">
              <w:rPr>
                <w:rStyle w:val="Hyperlink"/>
                <w:noProof/>
              </w:rPr>
              <w:t>Adverse events</w:t>
            </w:r>
            <w:r>
              <w:rPr>
                <w:noProof/>
                <w:webHidden/>
              </w:rPr>
              <w:tab/>
            </w:r>
            <w:r>
              <w:rPr>
                <w:noProof/>
                <w:webHidden/>
              </w:rPr>
              <w:fldChar w:fldCharType="begin"/>
            </w:r>
            <w:r>
              <w:rPr>
                <w:noProof/>
                <w:webHidden/>
              </w:rPr>
              <w:instrText xml:space="preserve"> PAGEREF _Toc6313903 \h </w:instrText>
            </w:r>
            <w:r>
              <w:rPr>
                <w:noProof/>
                <w:webHidden/>
              </w:rPr>
            </w:r>
            <w:r>
              <w:rPr>
                <w:noProof/>
                <w:webHidden/>
              </w:rPr>
              <w:fldChar w:fldCharType="separate"/>
            </w:r>
            <w:r>
              <w:rPr>
                <w:noProof/>
                <w:webHidden/>
              </w:rPr>
              <w:t>83</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4" w:history="1">
            <w:r w:rsidRPr="00E133C3">
              <w:rPr>
                <w:rStyle w:val="Hyperlink"/>
                <w:noProof/>
              </w:rPr>
              <w:t>8.5.</w:t>
            </w:r>
            <w:r>
              <w:rPr>
                <w:rFonts w:asciiTheme="minorHAnsi" w:eastAsiaTheme="minorEastAsia" w:hAnsiTheme="minorHAnsi" w:cstheme="minorBidi"/>
                <w:noProof/>
                <w:lang w:eastAsia="en-AU"/>
              </w:rPr>
              <w:tab/>
            </w:r>
            <w:r w:rsidRPr="00E133C3">
              <w:rPr>
                <w:rStyle w:val="Hyperlink"/>
                <w:noProof/>
              </w:rPr>
              <w:t>Evaluation of issues with possible regulatory impact</w:t>
            </w:r>
            <w:r>
              <w:rPr>
                <w:noProof/>
                <w:webHidden/>
              </w:rPr>
              <w:tab/>
            </w:r>
            <w:r>
              <w:rPr>
                <w:noProof/>
                <w:webHidden/>
              </w:rPr>
              <w:fldChar w:fldCharType="begin"/>
            </w:r>
            <w:r>
              <w:rPr>
                <w:noProof/>
                <w:webHidden/>
              </w:rPr>
              <w:instrText xml:space="preserve"> PAGEREF _Toc6313904 \h </w:instrText>
            </w:r>
            <w:r>
              <w:rPr>
                <w:noProof/>
                <w:webHidden/>
              </w:rPr>
            </w:r>
            <w:r>
              <w:rPr>
                <w:noProof/>
                <w:webHidden/>
              </w:rPr>
              <w:fldChar w:fldCharType="separate"/>
            </w:r>
            <w:r>
              <w:rPr>
                <w:noProof/>
                <w:webHidden/>
              </w:rPr>
              <w:t>101</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5" w:history="1">
            <w:r w:rsidRPr="00E133C3">
              <w:rPr>
                <w:rStyle w:val="Hyperlink"/>
                <w:noProof/>
              </w:rPr>
              <w:t>8.6.</w:t>
            </w:r>
            <w:r>
              <w:rPr>
                <w:rFonts w:asciiTheme="minorHAnsi" w:eastAsiaTheme="minorEastAsia" w:hAnsiTheme="minorHAnsi" w:cstheme="minorBidi"/>
                <w:noProof/>
                <w:lang w:eastAsia="en-AU"/>
              </w:rPr>
              <w:tab/>
            </w:r>
            <w:r w:rsidRPr="00E133C3">
              <w:rPr>
                <w:rStyle w:val="Hyperlink"/>
                <w:noProof/>
              </w:rPr>
              <w:t>Other safety issues</w:t>
            </w:r>
            <w:r>
              <w:rPr>
                <w:noProof/>
                <w:webHidden/>
              </w:rPr>
              <w:tab/>
            </w:r>
            <w:r>
              <w:rPr>
                <w:noProof/>
                <w:webHidden/>
              </w:rPr>
              <w:fldChar w:fldCharType="begin"/>
            </w:r>
            <w:r>
              <w:rPr>
                <w:noProof/>
                <w:webHidden/>
              </w:rPr>
              <w:instrText xml:space="preserve"> PAGEREF _Toc6313905 \h </w:instrText>
            </w:r>
            <w:r>
              <w:rPr>
                <w:noProof/>
                <w:webHidden/>
              </w:rPr>
            </w:r>
            <w:r>
              <w:rPr>
                <w:noProof/>
                <w:webHidden/>
              </w:rPr>
              <w:fldChar w:fldCharType="separate"/>
            </w:r>
            <w:r>
              <w:rPr>
                <w:noProof/>
                <w:webHidden/>
              </w:rPr>
              <w:t>117</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6" w:history="1">
            <w:r w:rsidRPr="00E133C3">
              <w:rPr>
                <w:rStyle w:val="Hyperlink"/>
                <w:noProof/>
              </w:rPr>
              <w:t>8.7.</w:t>
            </w:r>
            <w:r>
              <w:rPr>
                <w:rFonts w:asciiTheme="minorHAnsi" w:eastAsiaTheme="minorEastAsia" w:hAnsiTheme="minorHAnsi" w:cstheme="minorBidi"/>
                <w:noProof/>
                <w:lang w:eastAsia="en-AU"/>
              </w:rPr>
              <w:tab/>
            </w:r>
            <w:r w:rsidRPr="00E133C3">
              <w:rPr>
                <w:rStyle w:val="Hyperlink"/>
                <w:noProof/>
              </w:rPr>
              <w:t>Post marketing experience</w:t>
            </w:r>
            <w:r>
              <w:rPr>
                <w:noProof/>
                <w:webHidden/>
              </w:rPr>
              <w:tab/>
            </w:r>
            <w:r>
              <w:rPr>
                <w:noProof/>
                <w:webHidden/>
              </w:rPr>
              <w:fldChar w:fldCharType="begin"/>
            </w:r>
            <w:r>
              <w:rPr>
                <w:noProof/>
                <w:webHidden/>
              </w:rPr>
              <w:instrText xml:space="preserve"> PAGEREF _Toc6313906 \h </w:instrText>
            </w:r>
            <w:r>
              <w:rPr>
                <w:noProof/>
                <w:webHidden/>
              </w:rPr>
            </w:r>
            <w:r>
              <w:rPr>
                <w:noProof/>
                <w:webHidden/>
              </w:rPr>
              <w:fldChar w:fldCharType="separate"/>
            </w:r>
            <w:r>
              <w:rPr>
                <w:noProof/>
                <w:webHidden/>
              </w:rPr>
              <w:t>119</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7" w:history="1">
            <w:r w:rsidRPr="00E133C3">
              <w:rPr>
                <w:rStyle w:val="Hyperlink"/>
                <w:noProof/>
              </w:rPr>
              <w:t>8.8.</w:t>
            </w:r>
            <w:r>
              <w:rPr>
                <w:rFonts w:asciiTheme="minorHAnsi" w:eastAsiaTheme="minorEastAsia" w:hAnsiTheme="minorHAnsi" w:cstheme="minorBidi"/>
                <w:noProof/>
                <w:lang w:eastAsia="en-AU"/>
              </w:rPr>
              <w:tab/>
            </w:r>
            <w:r w:rsidRPr="00E133C3">
              <w:rPr>
                <w:rStyle w:val="Hyperlink"/>
                <w:noProof/>
              </w:rPr>
              <w:t>Evaluator’s overall conclusions on clinical safety</w:t>
            </w:r>
            <w:r>
              <w:rPr>
                <w:noProof/>
                <w:webHidden/>
              </w:rPr>
              <w:tab/>
            </w:r>
            <w:r>
              <w:rPr>
                <w:noProof/>
                <w:webHidden/>
              </w:rPr>
              <w:fldChar w:fldCharType="begin"/>
            </w:r>
            <w:r>
              <w:rPr>
                <w:noProof/>
                <w:webHidden/>
              </w:rPr>
              <w:instrText xml:space="preserve"> PAGEREF _Toc6313907 \h </w:instrText>
            </w:r>
            <w:r>
              <w:rPr>
                <w:noProof/>
                <w:webHidden/>
              </w:rPr>
            </w:r>
            <w:r>
              <w:rPr>
                <w:noProof/>
                <w:webHidden/>
              </w:rPr>
              <w:fldChar w:fldCharType="separate"/>
            </w:r>
            <w:r>
              <w:rPr>
                <w:noProof/>
                <w:webHidden/>
              </w:rPr>
              <w:t>120</w:t>
            </w:r>
            <w:r>
              <w:rPr>
                <w:noProof/>
                <w:webHidden/>
              </w:rPr>
              <w:fldChar w:fldCharType="end"/>
            </w:r>
          </w:hyperlink>
        </w:p>
        <w:p w:rsidR="0012261E" w:rsidRDefault="0012261E">
          <w:pPr>
            <w:pStyle w:val="TOC2"/>
            <w:tabs>
              <w:tab w:val="left" w:pos="1100"/>
            </w:tabs>
            <w:rPr>
              <w:rFonts w:asciiTheme="minorHAnsi" w:eastAsiaTheme="minorEastAsia" w:hAnsiTheme="minorHAnsi" w:cstheme="minorBidi"/>
              <w:b w:val="0"/>
              <w:noProof/>
              <w:sz w:val="22"/>
              <w:lang w:eastAsia="en-AU"/>
            </w:rPr>
          </w:pPr>
          <w:hyperlink w:anchor="_Toc6313908" w:history="1">
            <w:r w:rsidRPr="00E133C3">
              <w:rPr>
                <w:rStyle w:val="Hyperlink"/>
                <w:noProof/>
              </w:rPr>
              <w:t>9.</w:t>
            </w:r>
            <w:r>
              <w:rPr>
                <w:rFonts w:asciiTheme="minorHAnsi" w:eastAsiaTheme="minorEastAsia" w:hAnsiTheme="minorHAnsi" w:cstheme="minorBidi"/>
                <w:b w:val="0"/>
                <w:noProof/>
                <w:sz w:val="22"/>
                <w:lang w:eastAsia="en-AU"/>
              </w:rPr>
              <w:tab/>
            </w:r>
            <w:r w:rsidRPr="00E133C3">
              <w:rPr>
                <w:rStyle w:val="Hyperlink"/>
                <w:noProof/>
              </w:rPr>
              <w:t>First round benefit-risk assessment</w:t>
            </w:r>
            <w:r>
              <w:rPr>
                <w:noProof/>
                <w:webHidden/>
              </w:rPr>
              <w:tab/>
            </w:r>
            <w:r>
              <w:rPr>
                <w:noProof/>
                <w:webHidden/>
              </w:rPr>
              <w:fldChar w:fldCharType="begin"/>
            </w:r>
            <w:r>
              <w:rPr>
                <w:noProof/>
                <w:webHidden/>
              </w:rPr>
              <w:instrText xml:space="preserve"> PAGEREF _Toc6313908 \h </w:instrText>
            </w:r>
            <w:r>
              <w:rPr>
                <w:noProof/>
                <w:webHidden/>
              </w:rPr>
            </w:r>
            <w:r>
              <w:rPr>
                <w:noProof/>
                <w:webHidden/>
              </w:rPr>
              <w:fldChar w:fldCharType="separate"/>
            </w:r>
            <w:r>
              <w:rPr>
                <w:noProof/>
                <w:webHidden/>
              </w:rPr>
              <w:t>122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09" w:history="1">
            <w:r w:rsidRPr="00E133C3">
              <w:rPr>
                <w:rStyle w:val="Hyperlink"/>
                <w:noProof/>
              </w:rPr>
              <w:t>9.1.</w:t>
            </w:r>
            <w:r>
              <w:rPr>
                <w:rFonts w:asciiTheme="minorHAnsi" w:eastAsiaTheme="minorEastAsia" w:hAnsiTheme="minorHAnsi" w:cstheme="minorBidi"/>
                <w:noProof/>
                <w:lang w:eastAsia="en-AU"/>
              </w:rPr>
              <w:tab/>
            </w:r>
            <w:r w:rsidRPr="00E133C3">
              <w:rPr>
                <w:rStyle w:val="Hyperlink"/>
                <w:noProof/>
              </w:rPr>
              <w:t>First round assessment of benefits</w:t>
            </w:r>
            <w:r>
              <w:rPr>
                <w:noProof/>
                <w:webHidden/>
              </w:rPr>
              <w:tab/>
            </w:r>
            <w:r>
              <w:rPr>
                <w:noProof/>
                <w:webHidden/>
              </w:rPr>
              <w:fldChar w:fldCharType="begin"/>
            </w:r>
            <w:r>
              <w:rPr>
                <w:noProof/>
                <w:webHidden/>
              </w:rPr>
              <w:instrText xml:space="preserve"> PAGEREF _Toc6313909 \h </w:instrText>
            </w:r>
            <w:r>
              <w:rPr>
                <w:noProof/>
                <w:webHidden/>
              </w:rPr>
            </w:r>
            <w:r>
              <w:rPr>
                <w:noProof/>
                <w:webHidden/>
              </w:rPr>
              <w:fldChar w:fldCharType="separate"/>
            </w:r>
            <w:r>
              <w:rPr>
                <w:noProof/>
                <w:webHidden/>
              </w:rPr>
              <w:t>122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0" w:history="1">
            <w:r w:rsidRPr="00E133C3">
              <w:rPr>
                <w:rStyle w:val="Hyperlink"/>
                <w:noProof/>
              </w:rPr>
              <w:t>9.2.</w:t>
            </w:r>
            <w:r>
              <w:rPr>
                <w:rFonts w:asciiTheme="minorHAnsi" w:eastAsiaTheme="minorEastAsia" w:hAnsiTheme="minorHAnsi" w:cstheme="minorBidi"/>
                <w:noProof/>
                <w:lang w:eastAsia="en-AU"/>
              </w:rPr>
              <w:tab/>
            </w:r>
            <w:r w:rsidRPr="00E133C3">
              <w:rPr>
                <w:rStyle w:val="Hyperlink"/>
                <w:noProof/>
              </w:rPr>
              <w:t>First round assessment of risks</w:t>
            </w:r>
            <w:r>
              <w:rPr>
                <w:noProof/>
                <w:webHidden/>
              </w:rPr>
              <w:tab/>
            </w:r>
            <w:r>
              <w:rPr>
                <w:noProof/>
                <w:webHidden/>
              </w:rPr>
              <w:fldChar w:fldCharType="begin"/>
            </w:r>
            <w:r>
              <w:rPr>
                <w:noProof/>
                <w:webHidden/>
              </w:rPr>
              <w:instrText xml:space="preserve"> PAGEREF _Toc6313910 \h </w:instrText>
            </w:r>
            <w:r>
              <w:rPr>
                <w:noProof/>
                <w:webHidden/>
              </w:rPr>
            </w:r>
            <w:r>
              <w:rPr>
                <w:noProof/>
                <w:webHidden/>
              </w:rPr>
              <w:fldChar w:fldCharType="separate"/>
            </w:r>
            <w:r>
              <w:rPr>
                <w:noProof/>
                <w:webHidden/>
              </w:rPr>
              <w:t>123</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1" w:history="1">
            <w:r w:rsidRPr="00E133C3">
              <w:rPr>
                <w:rStyle w:val="Hyperlink"/>
                <w:noProof/>
              </w:rPr>
              <w:t>9.3.</w:t>
            </w:r>
            <w:r>
              <w:rPr>
                <w:rFonts w:asciiTheme="minorHAnsi" w:eastAsiaTheme="minorEastAsia" w:hAnsiTheme="minorHAnsi" w:cstheme="minorBidi"/>
                <w:noProof/>
                <w:lang w:eastAsia="en-AU"/>
              </w:rPr>
              <w:tab/>
            </w:r>
            <w:r w:rsidRPr="00E133C3">
              <w:rPr>
                <w:rStyle w:val="Hyperlink"/>
                <w:noProof/>
              </w:rPr>
              <w:t>First round assessment of benefit-risk balance</w:t>
            </w:r>
            <w:r>
              <w:rPr>
                <w:noProof/>
                <w:webHidden/>
              </w:rPr>
              <w:tab/>
            </w:r>
            <w:r>
              <w:rPr>
                <w:noProof/>
                <w:webHidden/>
              </w:rPr>
              <w:fldChar w:fldCharType="begin"/>
            </w:r>
            <w:r>
              <w:rPr>
                <w:noProof/>
                <w:webHidden/>
              </w:rPr>
              <w:instrText xml:space="preserve"> PAGEREF _Toc6313911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2"/>
            <w:tabs>
              <w:tab w:val="left" w:pos="1320"/>
            </w:tabs>
            <w:rPr>
              <w:rFonts w:asciiTheme="minorHAnsi" w:eastAsiaTheme="minorEastAsia" w:hAnsiTheme="minorHAnsi" w:cstheme="minorBidi"/>
              <w:b w:val="0"/>
              <w:noProof/>
              <w:sz w:val="22"/>
              <w:lang w:eastAsia="en-AU"/>
            </w:rPr>
          </w:pPr>
          <w:hyperlink w:anchor="_Toc6313912" w:history="1">
            <w:r w:rsidRPr="00E133C3">
              <w:rPr>
                <w:rStyle w:val="Hyperlink"/>
                <w:noProof/>
              </w:rPr>
              <w:t>10.</w:t>
            </w:r>
            <w:r>
              <w:rPr>
                <w:rFonts w:asciiTheme="minorHAnsi" w:eastAsiaTheme="minorEastAsia" w:hAnsiTheme="minorHAnsi" w:cstheme="minorBidi"/>
                <w:b w:val="0"/>
                <w:noProof/>
                <w:sz w:val="22"/>
                <w:lang w:eastAsia="en-AU"/>
              </w:rPr>
              <w:tab/>
            </w:r>
            <w:r w:rsidRPr="00E133C3">
              <w:rPr>
                <w:rStyle w:val="Hyperlink"/>
                <w:noProof/>
              </w:rPr>
              <w:t>First round recommendation regarding authorisation</w:t>
            </w:r>
            <w:r>
              <w:rPr>
                <w:noProof/>
                <w:webHidden/>
              </w:rPr>
              <w:tab/>
            </w:r>
            <w:r>
              <w:rPr>
                <w:noProof/>
                <w:webHidden/>
              </w:rPr>
              <w:fldChar w:fldCharType="begin"/>
            </w:r>
            <w:r>
              <w:rPr>
                <w:noProof/>
                <w:webHidden/>
              </w:rPr>
              <w:instrText xml:space="preserve"> PAGEREF _Toc6313912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3" w:history="1">
            <w:r w:rsidRPr="00E133C3">
              <w:rPr>
                <w:rStyle w:val="Hyperlink"/>
                <w:noProof/>
              </w:rPr>
              <w:t>10.1.</w:t>
            </w:r>
            <w:r>
              <w:rPr>
                <w:rFonts w:asciiTheme="minorHAnsi" w:eastAsiaTheme="minorEastAsia" w:hAnsiTheme="minorHAnsi" w:cstheme="minorBidi"/>
                <w:noProof/>
                <w:lang w:eastAsia="en-AU"/>
              </w:rPr>
              <w:tab/>
            </w:r>
            <w:r w:rsidRPr="00E133C3">
              <w:rPr>
                <w:rStyle w:val="Hyperlink"/>
                <w:noProof/>
              </w:rPr>
              <w:t>First round comments on draft PI (clinical aspects)</w:t>
            </w:r>
            <w:r>
              <w:rPr>
                <w:noProof/>
                <w:webHidden/>
              </w:rPr>
              <w:tab/>
            </w:r>
            <w:r>
              <w:rPr>
                <w:noProof/>
                <w:webHidden/>
              </w:rPr>
              <w:fldChar w:fldCharType="begin"/>
            </w:r>
            <w:r>
              <w:rPr>
                <w:noProof/>
                <w:webHidden/>
              </w:rPr>
              <w:instrText xml:space="preserve"> PAGEREF _Toc6313913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4" w:history="1">
            <w:r w:rsidRPr="00E133C3">
              <w:rPr>
                <w:rStyle w:val="Hyperlink"/>
                <w:noProof/>
              </w:rPr>
              <w:t>10.2.</w:t>
            </w:r>
            <w:r>
              <w:rPr>
                <w:rFonts w:asciiTheme="minorHAnsi" w:eastAsiaTheme="minorEastAsia" w:hAnsiTheme="minorHAnsi" w:cstheme="minorBidi"/>
                <w:noProof/>
                <w:lang w:eastAsia="en-AU"/>
              </w:rPr>
              <w:tab/>
            </w:r>
            <w:r w:rsidRPr="00E133C3">
              <w:rPr>
                <w:rStyle w:val="Hyperlink"/>
                <w:noProof/>
              </w:rPr>
              <w:t>First round comments on draft CMI (clinical aspects)</w:t>
            </w:r>
            <w:r>
              <w:rPr>
                <w:noProof/>
                <w:webHidden/>
              </w:rPr>
              <w:tab/>
            </w:r>
            <w:r>
              <w:rPr>
                <w:noProof/>
                <w:webHidden/>
              </w:rPr>
              <w:fldChar w:fldCharType="begin"/>
            </w:r>
            <w:r>
              <w:rPr>
                <w:noProof/>
                <w:webHidden/>
              </w:rPr>
              <w:instrText xml:space="preserve"> PAGEREF _Toc6313914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5" w:history="1">
            <w:r w:rsidRPr="00E133C3">
              <w:rPr>
                <w:rStyle w:val="Hyperlink"/>
                <w:noProof/>
              </w:rPr>
              <w:t>10.3.</w:t>
            </w:r>
            <w:r>
              <w:rPr>
                <w:rFonts w:asciiTheme="minorHAnsi" w:eastAsiaTheme="minorEastAsia" w:hAnsiTheme="minorHAnsi" w:cstheme="minorBidi"/>
                <w:noProof/>
                <w:lang w:eastAsia="en-AU"/>
              </w:rPr>
              <w:tab/>
            </w:r>
            <w:r w:rsidRPr="00E133C3">
              <w:rPr>
                <w:rStyle w:val="Hyperlink"/>
                <w:noProof/>
              </w:rPr>
              <w:t>First round comments on draft RMP (Summary of Safety Concerns)</w:t>
            </w:r>
            <w:r>
              <w:rPr>
                <w:noProof/>
                <w:webHidden/>
              </w:rPr>
              <w:tab/>
            </w:r>
            <w:r>
              <w:rPr>
                <w:noProof/>
                <w:webHidden/>
              </w:rPr>
              <w:fldChar w:fldCharType="begin"/>
            </w:r>
            <w:r>
              <w:rPr>
                <w:noProof/>
                <w:webHidden/>
              </w:rPr>
              <w:instrText xml:space="preserve"> PAGEREF _Toc6313915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2"/>
            <w:tabs>
              <w:tab w:val="left" w:pos="1320"/>
            </w:tabs>
            <w:rPr>
              <w:rFonts w:asciiTheme="minorHAnsi" w:eastAsiaTheme="minorEastAsia" w:hAnsiTheme="minorHAnsi" w:cstheme="minorBidi"/>
              <w:b w:val="0"/>
              <w:noProof/>
              <w:sz w:val="22"/>
              <w:lang w:eastAsia="en-AU"/>
            </w:rPr>
          </w:pPr>
          <w:hyperlink w:anchor="_Toc6313916" w:history="1">
            <w:r w:rsidRPr="00E133C3">
              <w:rPr>
                <w:rStyle w:val="Hyperlink"/>
                <w:noProof/>
              </w:rPr>
              <w:t>11.</w:t>
            </w:r>
            <w:r>
              <w:rPr>
                <w:rFonts w:asciiTheme="minorHAnsi" w:eastAsiaTheme="minorEastAsia" w:hAnsiTheme="minorHAnsi" w:cstheme="minorBidi"/>
                <w:b w:val="0"/>
                <w:noProof/>
                <w:sz w:val="22"/>
                <w:lang w:eastAsia="en-AU"/>
              </w:rPr>
              <w:tab/>
            </w:r>
            <w:r w:rsidRPr="00E133C3">
              <w:rPr>
                <w:rStyle w:val="Hyperlink"/>
                <w:noProof/>
              </w:rPr>
              <w:t>Clinical questions</w:t>
            </w:r>
            <w:r>
              <w:rPr>
                <w:noProof/>
                <w:webHidden/>
              </w:rPr>
              <w:tab/>
            </w:r>
            <w:r>
              <w:rPr>
                <w:noProof/>
                <w:webHidden/>
              </w:rPr>
              <w:fldChar w:fldCharType="begin"/>
            </w:r>
            <w:r>
              <w:rPr>
                <w:noProof/>
                <w:webHidden/>
              </w:rPr>
              <w:instrText xml:space="preserve"> PAGEREF _Toc6313916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7" w:history="1">
            <w:r w:rsidRPr="00E133C3">
              <w:rPr>
                <w:rStyle w:val="Hyperlink"/>
                <w:noProof/>
              </w:rPr>
              <w:t>11.1.</w:t>
            </w:r>
            <w:r>
              <w:rPr>
                <w:rFonts w:asciiTheme="minorHAnsi" w:eastAsiaTheme="minorEastAsia" w:hAnsiTheme="minorHAnsi" w:cstheme="minorBidi"/>
                <w:noProof/>
                <w:lang w:eastAsia="en-AU"/>
              </w:rPr>
              <w:tab/>
            </w:r>
            <w:r w:rsidRPr="00E133C3">
              <w:rPr>
                <w:rStyle w:val="Hyperlink"/>
                <w:noProof/>
              </w:rPr>
              <w:t>Pharmacokinetics</w:t>
            </w:r>
            <w:r>
              <w:rPr>
                <w:noProof/>
                <w:webHidden/>
              </w:rPr>
              <w:tab/>
            </w:r>
            <w:r>
              <w:rPr>
                <w:noProof/>
                <w:webHidden/>
              </w:rPr>
              <w:fldChar w:fldCharType="begin"/>
            </w:r>
            <w:r>
              <w:rPr>
                <w:noProof/>
                <w:webHidden/>
              </w:rPr>
              <w:instrText xml:space="preserve"> PAGEREF _Toc6313917 \h </w:instrText>
            </w:r>
            <w:r>
              <w:rPr>
                <w:noProof/>
                <w:webHidden/>
              </w:rPr>
            </w:r>
            <w:r>
              <w:rPr>
                <w:noProof/>
                <w:webHidden/>
              </w:rPr>
              <w:fldChar w:fldCharType="separate"/>
            </w:r>
            <w:r>
              <w:rPr>
                <w:noProof/>
                <w:webHidden/>
              </w:rPr>
              <w:t>124</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8" w:history="1">
            <w:r w:rsidRPr="00E133C3">
              <w:rPr>
                <w:rStyle w:val="Hyperlink"/>
                <w:noProof/>
              </w:rPr>
              <w:t>11.2.</w:t>
            </w:r>
            <w:r>
              <w:rPr>
                <w:rFonts w:asciiTheme="minorHAnsi" w:eastAsiaTheme="minorEastAsia" w:hAnsiTheme="minorHAnsi" w:cstheme="minorBidi"/>
                <w:noProof/>
                <w:lang w:eastAsia="en-AU"/>
              </w:rPr>
              <w:tab/>
            </w:r>
            <w:r w:rsidRPr="00E133C3">
              <w:rPr>
                <w:rStyle w:val="Hyperlink"/>
                <w:noProof/>
              </w:rPr>
              <w:t>Pharmacodynamics</w:t>
            </w:r>
            <w:r>
              <w:rPr>
                <w:noProof/>
                <w:webHidden/>
              </w:rPr>
              <w:tab/>
            </w:r>
            <w:r>
              <w:rPr>
                <w:noProof/>
                <w:webHidden/>
              </w:rPr>
              <w:fldChar w:fldCharType="begin"/>
            </w:r>
            <w:r>
              <w:rPr>
                <w:noProof/>
                <w:webHidden/>
              </w:rPr>
              <w:instrText xml:space="preserve"> PAGEREF _Toc6313918 \h </w:instrText>
            </w:r>
            <w:r>
              <w:rPr>
                <w:noProof/>
                <w:webHidden/>
              </w:rPr>
            </w:r>
            <w:r>
              <w:rPr>
                <w:noProof/>
                <w:webHidden/>
              </w:rPr>
              <w:fldChar w:fldCharType="separate"/>
            </w:r>
            <w:r>
              <w:rPr>
                <w:noProof/>
                <w:webHidden/>
              </w:rPr>
              <w:t>125</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19" w:history="1">
            <w:r w:rsidRPr="00E133C3">
              <w:rPr>
                <w:rStyle w:val="Hyperlink"/>
                <w:noProof/>
              </w:rPr>
              <w:t>11.3.</w:t>
            </w:r>
            <w:r>
              <w:rPr>
                <w:rFonts w:asciiTheme="minorHAnsi" w:eastAsiaTheme="minorEastAsia" w:hAnsiTheme="minorHAnsi" w:cstheme="minorBidi"/>
                <w:noProof/>
                <w:lang w:eastAsia="en-AU"/>
              </w:rPr>
              <w:tab/>
            </w:r>
            <w:r w:rsidRPr="00E133C3">
              <w:rPr>
                <w:rStyle w:val="Hyperlink"/>
                <w:noProof/>
              </w:rPr>
              <w:t>Efficacy</w:t>
            </w:r>
            <w:r>
              <w:rPr>
                <w:noProof/>
                <w:webHidden/>
              </w:rPr>
              <w:tab/>
            </w:r>
            <w:r>
              <w:rPr>
                <w:noProof/>
                <w:webHidden/>
              </w:rPr>
              <w:fldChar w:fldCharType="begin"/>
            </w:r>
            <w:r>
              <w:rPr>
                <w:noProof/>
                <w:webHidden/>
              </w:rPr>
              <w:instrText xml:space="preserve"> PAGEREF _Toc6313919 \h </w:instrText>
            </w:r>
            <w:r>
              <w:rPr>
                <w:noProof/>
                <w:webHidden/>
              </w:rPr>
            </w:r>
            <w:r>
              <w:rPr>
                <w:noProof/>
                <w:webHidden/>
              </w:rPr>
              <w:fldChar w:fldCharType="separate"/>
            </w:r>
            <w:r>
              <w:rPr>
                <w:noProof/>
                <w:webHidden/>
              </w:rPr>
              <w:t>125</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0" w:history="1">
            <w:r w:rsidRPr="00E133C3">
              <w:rPr>
                <w:rStyle w:val="Hyperlink"/>
                <w:noProof/>
              </w:rPr>
              <w:t>11.4.</w:t>
            </w:r>
            <w:r>
              <w:rPr>
                <w:rFonts w:asciiTheme="minorHAnsi" w:eastAsiaTheme="minorEastAsia" w:hAnsiTheme="minorHAnsi" w:cstheme="minorBidi"/>
                <w:noProof/>
                <w:lang w:eastAsia="en-AU"/>
              </w:rPr>
              <w:tab/>
            </w:r>
            <w:r w:rsidRPr="00E133C3">
              <w:rPr>
                <w:rStyle w:val="Hyperlink"/>
                <w:noProof/>
              </w:rPr>
              <w:t>Safety</w:t>
            </w:r>
            <w:r>
              <w:rPr>
                <w:noProof/>
                <w:webHidden/>
              </w:rPr>
              <w:tab/>
            </w:r>
            <w:r>
              <w:rPr>
                <w:noProof/>
                <w:webHidden/>
              </w:rPr>
              <w:fldChar w:fldCharType="begin"/>
            </w:r>
            <w:r>
              <w:rPr>
                <w:noProof/>
                <w:webHidden/>
              </w:rPr>
              <w:instrText xml:space="preserve"> PAGEREF _Toc6313920 \h </w:instrText>
            </w:r>
            <w:r>
              <w:rPr>
                <w:noProof/>
                <w:webHidden/>
              </w:rPr>
            </w:r>
            <w:r>
              <w:rPr>
                <w:noProof/>
                <w:webHidden/>
              </w:rPr>
              <w:fldChar w:fldCharType="separate"/>
            </w:r>
            <w:r>
              <w:rPr>
                <w:noProof/>
                <w:webHidden/>
              </w:rPr>
              <w:t>125</w:t>
            </w:r>
            <w:r>
              <w:rPr>
                <w:noProof/>
                <w:webHidden/>
              </w:rPr>
              <w:fldChar w:fldCharType="end"/>
            </w:r>
          </w:hyperlink>
        </w:p>
        <w:p w:rsidR="0012261E" w:rsidRDefault="0012261E">
          <w:pPr>
            <w:pStyle w:val="TOC2"/>
            <w:tabs>
              <w:tab w:val="left" w:pos="1320"/>
            </w:tabs>
            <w:rPr>
              <w:rFonts w:asciiTheme="minorHAnsi" w:eastAsiaTheme="minorEastAsia" w:hAnsiTheme="minorHAnsi" w:cstheme="minorBidi"/>
              <w:b w:val="0"/>
              <w:noProof/>
              <w:sz w:val="22"/>
              <w:lang w:eastAsia="en-AU"/>
            </w:rPr>
          </w:pPr>
          <w:hyperlink w:anchor="_Toc6313921" w:history="1">
            <w:r w:rsidRPr="00E133C3">
              <w:rPr>
                <w:rStyle w:val="Hyperlink"/>
                <w:noProof/>
              </w:rPr>
              <w:t>12.</w:t>
            </w:r>
            <w:r>
              <w:rPr>
                <w:rFonts w:asciiTheme="minorHAnsi" w:eastAsiaTheme="minorEastAsia" w:hAnsiTheme="minorHAnsi" w:cstheme="minorBidi"/>
                <w:b w:val="0"/>
                <w:noProof/>
                <w:sz w:val="22"/>
                <w:lang w:eastAsia="en-AU"/>
              </w:rPr>
              <w:tab/>
            </w:r>
            <w:r w:rsidRPr="00E133C3">
              <w:rPr>
                <w:rStyle w:val="Hyperlink"/>
                <w:noProof/>
              </w:rPr>
              <w:t>Second round evaluation of clinical data</w:t>
            </w:r>
            <w:r>
              <w:rPr>
                <w:noProof/>
                <w:webHidden/>
              </w:rPr>
              <w:tab/>
            </w:r>
            <w:r>
              <w:rPr>
                <w:noProof/>
                <w:webHidden/>
              </w:rPr>
              <w:fldChar w:fldCharType="begin"/>
            </w:r>
            <w:r>
              <w:rPr>
                <w:noProof/>
                <w:webHidden/>
              </w:rPr>
              <w:instrText xml:space="preserve"> PAGEREF _Toc6313921 \h </w:instrText>
            </w:r>
            <w:r>
              <w:rPr>
                <w:noProof/>
                <w:webHidden/>
              </w:rPr>
            </w:r>
            <w:r>
              <w:rPr>
                <w:noProof/>
                <w:webHidden/>
              </w:rPr>
              <w:fldChar w:fldCharType="separate"/>
            </w:r>
            <w:r>
              <w:rPr>
                <w:noProof/>
                <w:webHidden/>
              </w:rPr>
              <w:t>125</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2" w:history="1">
            <w:r w:rsidRPr="00E133C3">
              <w:rPr>
                <w:rStyle w:val="Hyperlink"/>
                <w:rFonts w:eastAsia="TimesNewRoman" w:cs="TimesNewRoman"/>
                <w:noProof/>
              </w:rPr>
              <w:t>12.1.</w:t>
            </w:r>
            <w:r>
              <w:rPr>
                <w:rFonts w:asciiTheme="minorHAnsi" w:eastAsiaTheme="minorEastAsia" w:hAnsiTheme="minorHAnsi" w:cstheme="minorBidi"/>
                <w:noProof/>
                <w:lang w:eastAsia="en-AU"/>
              </w:rPr>
              <w:tab/>
            </w:r>
            <w:r w:rsidRPr="00E133C3">
              <w:rPr>
                <w:rStyle w:val="Hyperlink"/>
                <w:noProof/>
              </w:rPr>
              <w:t>Question 1:</w:t>
            </w:r>
            <w:r>
              <w:rPr>
                <w:noProof/>
                <w:webHidden/>
              </w:rPr>
              <w:tab/>
            </w:r>
            <w:r>
              <w:rPr>
                <w:noProof/>
                <w:webHidden/>
              </w:rPr>
              <w:fldChar w:fldCharType="begin"/>
            </w:r>
            <w:r>
              <w:rPr>
                <w:noProof/>
                <w:webHidden/>
              </w:rPr>
              <w:instrText xml:space="preserve"> PAGEREF _Toc6313922 \h </w:instrText>
            </w:r>
            <w:r>
              <w:rPr>
                <w:noProof/>
                <w:webHidden/>
              </w:rPr>
            </w:r>
            <w:r>
              <w:rPr>
                <w:noProof/>
                <w:webHidden/>
              </w:rPr>
              <w:fldChar w:fldCharType="separate"/>
            </w:r>
            <w:r>
              <w:rPr>
                <w:noProof/>
                <w:webHidden/>
              </w:rPr>
              <w:t>125</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3" w:history="1">
            <w:r w:rsidRPr="00E133C3">
              <w:rPr>
                <w:rStyle w:val="Hyperlink"/>
                <w:rFonts w:eastAsia="TimesNewRoman"/>
                <w:noProof/>
              </w:rPr>
              <w:t>12.2.</w:t>
            </w:r>
            <w:r>
              <w:rPr>
                <w:rFonts w:asciiTheme="minorHAnsi" w:eastAsiaTheme="minorEastAsia" w:hAnsiTheme="minorHAnsi" w:cstheme="minorBidi"/>
                <w:noProof/>
                <w:lang w:eastAsia="en-AU"/>
              </w:rPr>
              <w:tab/>
            </w:r>
            <w:r w:rsidRPr="00E133C3">
              <w:rPr>
                <w:rStyle w:val="Hyperlink"/>
                <w:rFonts w:eastAsia="TimesNewRoman"/>
                <w:noProof/>
              </w:rPr>
              <w:t>Question 2:</w:t>
            </w:r>
            <w:r>
              <w:rPr>
                <w:noProof/>
                <w:webHidden/>
              </w:rPr>
              <w:tab/>
            </w:r>
            <w:r>
              <w:rPr>
                <w:noProof/>
                <w:webHidden/>
              </w:rPr>
              <w:fldChar w:fldCharType="begin"/>
            </w:r>
            <w:r>
              <w:rPr>
                <w:noProof/>
                <w:webHidden/>
              </w:rPr>
              <w:instrText xml:space="preserve"> PAGEREF _Toc6313923 \h </w:instrText>
            </w:r>
            <w:r>
              <w:rPr>
                <w:noProof/>
                <w:webHidden/>
              </w:rPr>
            </w:r>
            <w:r>
              <w:rPr>
                <w:noProof/>
                <w:webHidden/>
              </w:rPr>
              <w:fldChar w:fldCharType="separate"/>
            </w:r>
            <w:r>
              <w:rPr>
                <w:noProof/>
                <w:webHidden/>
              </w:rPr>
              <w:t>126</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4" w:history="1">
            <w:r w:rsidRPr="00E133C3">
              <w:rPr>
                <w:rStyle w:val="Hyperlink"/>
                <w:rFonts w:eastAsia="TimesNewRoman"/>
                <w:noProof/>
              </w:rPr>
              <w:t>12.3.</w:t>
            </w:r>
            <w:r>
              <w:rPr>
                <w:rFonts w:asciiTheme="minorHAnsi" w:eastAsiaTheme="minorEastAsia" w:hAnsiTheme="minorHAnsi" w:cstheme="minorBidi"/>
                <w:noProof/>
                <w:lang w:eastAsia="en-AU"/>
              </w:rPr>
              <w:tab/>
            </w:r>
            <w:r w:rsidRPr="00E133C3">
              <w:rPr>
                <w:rStyle w:val="Hyperlink"/>
                <w:rFonts w:eastAsia="TimesNewRoman"/>
                <w:noProof/>
              </w:rPr>
              <w:t>Question 3:</w:t>
            </w:r>
            <w:r>
              <w:rPr>
                <w:noProof/>
                <w:webHidden/>
              </w:rPr>
              <w:tab/>
            </w:r>
            <w:r>
              <w:rPr>
                <w:noProof/>
                <w:webHidden/>
              </w:rPr>
              <w:fldChar w:fldCharType="begin"/>
            </w:r>
            <w:r>
              <w:rPr>
                <w:noProof/>
                <w:webHidden/>
              </w:rPr>
              <w:instrText xml:space="preserve"> PAGEREF _Toc6313924 \h </w:instrText>
            </w:r>
            <w:r>
              <w:rPr>
                <w:noProof/>
                <w:webHidden/>
              </w:rPr>
            </w:r>
            <w:r>
              <w:rPr>
                <w:noProof/>
                <w:webHidden/>
              </w:rPr>
              <w:fldChar w:fldCharType="separate"/>
            </w:r>
            <w:r>
              <w:rPr>
                <w:noProof/>
                <w:webHidden/>
              </w:rPr>
              <w:t>126</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5" w:history="1">
            <w:r w:rsidRPr="00E133C3">
              <w:rPr>
                <w:rStyle w:val="Hyperlink"/>
                <w:rFonts w:eastAsia="TimesNewRoman"/>
                <w:noProof/>
              </w:rPr>
              <w:t>12.4.</w:t>
            </w:r>
            <w:r>
              <w:rPr>
                <w:rFonts w:asciiTheme="minorHAnsi" w:eastAsiaTheme="minorEastAsia" w:hAnsiTheme="minorHAnsi" w:cstheme="minorBidi"/>
                <w:noProof/>
                <w:lang w:eastAsia="en-AU"/>
              </w:rPr>
              <w:tab/>
            </w:r>
            <w:r w:rsidRPr="00E133C3">
              <w:rPr>
                <w:rStyle w:val="Hyperlink"/>
                <w:rFonts w:eastAsia="TimesNewRoman"/>
                <w:noProof/>
              </w:rPr>
              <w:t>Question 4:</w:t>
            </w:r>
            <w:r>
              <w:rPr>
                <w:noProof/>
                <w:webHidden/>
              </w:rPr>
              <w:tab/>
            </w:r>
            <w:r>
              <w:rPr>
                <w:noProof/>
                <w:webHidden/>
              </w:rPr>
              <w:fldChar w:fldCharType="begin"/>
            </w:r>
            <w:r>
              <w:rPr>
                <w:noProof/>
                <w:webHidden/>
              </w:rPr>
              <w:instrText xml:space="preserve"> PAGEREF _Toc6313925 \h </w:instrText>
            </w:r>
            <w:r>
              <w:rPr>
                <w:noProof/>
                <w:webHidden/>
              </w:rPr>
            </w:r>
            <w:r>
              <w:rPr>
                <w:noProof/>
                <w:webHidden/>
              </w:rPr>
              <w:fldChar w:fldCharType="separate"/>
            </w:r>
            <w:r>
              <w:rPr>
                <w:noProof/>
                <w:webHidden/>
              </w:rPr>
              <w:t>126</w:t>
            </w:r>
            <w:r>
              <w:rPr>
                <w:noProof/>
                <w:webHidden/>
              </w:rPr>
              <w:fldChar w:fldCharType="end"/>
            </w:r>
          </w:hyperlink>
        </w:p>
        <w:p w:rsidR="0012261E" w:rsidRDefault="0012261E">
          <w:pPr>
            <w:pStyle w:val="TOC2"/>
            <w:tabs>
              <w:tab w:val="left" w:pos="1320"/>
            </w:tabs>
            <w:rPr>
              <w:rFonts w:asciiTheme="minorHAnsi" w:eastAsiaTheme="minorEastAsia" w:hAnsiTheme="minorHAnsi" w:cstheme="minorBidi"/>
              <w:b w:val="0"/>
              <w:noProof/>
              <w:sz w:val="22"/>
              <w:lang w:eastAsia="en-AU"/>
            </w:rPr>
          </w:pPr>
          <w:hyperlink w:anchor="_Toc6313926" w:history="1">
            <w:r w:rsidRPr="00E133C3">
              <w:rPr>
                <w:rStyle w:val="Hyperlink"/>
                <w:noProof/>
              </w:rPr>
              <w:t>13.</w:t>
            </w:r>
            <w:r>
              <w:rPr>
                <w:rFonts w:asciiTheme="minorHAnsi" w:eastAsiaTheme="minorEastAsia" w:hAnsiTheme="minorHAnsi" w:cstheme="minorBidi"/>
                <w:b w:val="0"/>
                <w:noProof/>
                <w:sz w:val="22"/>
                <w:lang w:eastAsia="en-AU"/>
              </w:rPr>
              <w:tab/>
            </w:r>
            <w:r w:rsidRPr="00E133C3">
              <w:rPr>
                <w:rStyle w:val="Hyperlink"/>
                <w:noProof/>
              </w:rPr>
              <w:t>Second round benefit-risk assessment</w:t>
            </w:r>
            <w:r>
              <w:rPr>
                <w:noProof/>
                <w:webHidden/>
              </w:rPr>
              <w:tab/>
            </w:r>
            <w:r>
              <w:rPr>
                <w:noProof/>
                <w:webHidden/>
              </w:rPr>
              <w:fldChar w:fldCharType="begin"/>
            </w:r>
            <w:r>
              <w:rPr>
                <w:noProof/>
                <w:webHidden/>
              </w:rPr>
              <w:instrText xml:space="preserve"> PAGEREF _Toc6313926 \h </w:instrText>
            </w:r>
            <w:r>
              <w:rPr>
                <w:noProof/>
                <w:webHidden/>
              </w:rPr>
            </w:r>
            <w:r>
              <w:rPr>
                <w:noProof/>
                <w:webHidden/>
              </w:rPr>
              <w:fldChar w:fldCharType="separate"/>
            </w:r>
            <w:r>
              <w:rPr>
                <w:noProof/>
                <w:webHidden/>
              </w:rPr>
              <w:t>132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7" w:history="1">
            <w:r w:rsidRPr="00E133C3">
              <w:rPr>
                <w:rStyle w:val="Hyperlink"/>
                <w:noProof/>
              </w:rPr>
              <w:t>13.1.</w:t>
            </w:r>
            <w:r>
              <w:rPr>
                <w:rFonts w:asciiTheme="minorHAnsi" w:eastAsiaTheme="minorEastAsia" w:hAnsiTheme="minorHAnsi" w:cstheme="minorBidi"/>
                <w:noProof/>
                <w:lang w:eastAsia="en-AU"/>
              </w:rPr>
              <w:tab/>
            </w:r>
            <w:r w:rsidRPr="00E133C3">
              <w:rPr>
                <w:rStyle w:val="Hyperlink"/>
                <w:noProof/>
              </w:rPr>
              <w:t>Second round assessment of benefits</w:t>
            </w:r>
            <w:r>
              <w:rPr>
                <w:noProof/>
                <w:webHidden/>
              </w:rPr>
              <w:tab/>
            </w:r>
            <w:r>
              <w:rPr>
                <w:noProof/>
                <w:webHidden/>
              </w:rPr>
              <w:fldChar w:fldCharType="begin"/>
            </w:r>
            <w:r>
              <w:rPr>
                <w:noProof/>
                <w:webHidden/>
              </w:rPr>
              <w:instrText xml:space="preserve"> PAGEREF _Toc6313927 \h </w:instrText>
            </w:r>
            <w:r>
              <w:rPr>
                <w:noProof/>
                <w:webHidden/>
              </w:rPr>
            </w:r>
            <w:r>
              <w:rPr>
                <w:noProof/>
                <w:webHidden/>
              </w:rPr>
              <w:fldChar w:fldCharType="separate"/>
            </w:r>
            <w:r>
              <w:rPr>
                <w:noProof/>
                <w:webHidden/>
              </w:rPr>
              <w:t>132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8" w:history="1">
            <w:r w:rsidRPr="00E133C3">
              <w:rPr>
                <w:rStyle w:val="Hyperlink"/>
                <w:noProof/>
              </w:rPr>
              <w:t>13.2.</w:t>
            </w:r>
            <w:r>
              <w:rPr>
                <w:rFonts w:asciiTheme="minorHAnsi" w:eastAsiaTheme="minorEastAsia" w:hAnsiTheme="minorHAnsi" w:cstheme="minorBidi"/>
                <w:noProof/>
                <w:lang w:eastAsia="en-AU"/>
              </w:rPr>
              <w:tab/>
            </w:r>
            <w:r w:rsidRPr="00E133C3">
              <w:rPr>
                <w:rStyle w:val="Hyperlink"/>
                <w:noProof/>
              </w:rPr>
              <w:t>Second round assessment of risks</w:t>
            </w:r>
            <w:r>
              <w:rPr>
                <w:noProof/>
                <w:webHidden/>
              </w:rPr>
              <w:tab/>
            </w:r>
            <w:r>
              <w:rPr>
                <w:noProof/>
                <w:webHidden/>
              </w:rPr>
              <w:fldChar w:fldCharType="begin"/>
            </w:r>
            <w:r>
              <w:rPr>
                <w:noProof/>
                <w:webHidden/>
              </w:rPr>
              <w:instrText xml:space="preserve"> PAGEREF _Toc6313928 \h </w:instrText>
            </w:r>
            <w:r>
              <w:rPr>
                <w:noProof/>
                <w:webHidden/>
              </w:rPr>
            </w:r>
            <w:r>
              <w:rPr>
                <w:noProof/>
                <w:webHidden/>
              </w:rPr>
              <w:fldChar w:fldCharType="separate"/>
            </w:r>
            <w:r>
              <w:rPr>
                <w:noProof/>
                <w:webHidden/>
              </w:rPr>
              <w:t>132</w:t>
            </w:r>
            <w:r>
              <w:rPr>
                <w:noProof/>
                <w:webHidden/>
              </w:rPr>
              <w:fldChar w:fldCharType="end"/>
            </w:r>
          </w:hyperlink>
        </w:p>
        <w:p w:rsidR="0012261E" w:rsidRDefault="0012261E">
          <w:pPr>
            <w:pStyle w:val="TOC3"/>
            <w:tabs>
              <w:tab w:val="left" w:pos="1760"/>
            </w:tabs>
            <w:rPr>
              <w:rFonts w:asciiTheme="minorHAnsi" w:eastAsiaTheme="minorEastAsia" w:hAnsiTheme="minorHAnsi" w:cstheme="minorBidi"/>
              <w:noProof/>
              <w:lang w:eastAsia="en-AU"/>
            </w:rPr>
          </w:pPr>
          <w:hyperlink w:anchor="_Toc6313929" w:history="1">
            <w:r w:rsidRPr="00E133C3">
              <w:rPr>
                <w:rStyle w:val="Hyperlink"/>
                <w:noProof/>
              </w:rPr>
              <w:t>13.3.</w:t>
            </w:r>
            <w:r>
              <w:rPr>
                <w:rFonts w:asciiTheme="minorHAnsi" w:eastAsiaTheme="minorEastAsia" w:hAnsiTheme="minorHAnsi" w:cstheme="minorBidi"/>
                <w:noProof/>
                <w:lang w:eastAsia="en-AU"/>
              </w:rPr>
              <w:tab/>
            </w:r>
            <w:r w:rsidRPr="00E133C3">
              <w:rPr>
                <w:rStyle w:val="Hyperlink"/>
                <w:noProof/>
              </w:rPr>
              <w:t>Second round assessment of benefit-risk balance</w:t>
            </w:r>
            <w:r>
              <w:rPr>
                <w:noProof/>
                <w:webHidden/>
              </w:rPr>
              <w:tab/>
            </w:r>
            <w:r>
              <w:rPr>
                <w:noProof/>
                <w:webHidden/>
              </w:rPr>
              <w:fldChar w:fldCharType="begin"/>
            </w:r>
            <w:r>
              <w:rPr>
                <w:noProof/>
                <w:webHidden/>
              </w:rPr>
              <w:instrText xml:space="preserve"> PAGEREF _Toc6313929 \h </w:instrText>
            </w:r>
            <w:r>
              <w:rPr>
                <w:noProof/>
                <w:webHidden/>
              </w:rPr>
            </w:r>
            <w:r>
              <w:rPr>
                <w:noProof/>
                <w:webHidden/>
              </w:rPr>
              <w:fldChar w:fldCharType="separate"/>
            </w:r>
            <w:r>
              <w:rPr>
                <w:noProof/>
                <w:webHidden/>
              </w:rPr>
              <w:t>133</w:t>
            </w:r>
            <w:r>
              <w:rPr>
                <w:noProof/>
                <w:webHidden/>
              </w:rPr>
              <w:fldChar w:fldCharType="end"/>
            </w:r>
          </w:hyperlink>
        </w:p>
        <w:p w:rsidR="0012261E" w:rsidRDefault="0012261E">
          <w:pPr>
            <w:pStyle w:val="TOC2"/>
            <w:tabs>
              <w:tab w:val="left" w:pos="1320"/>
            </w:tabs>
            <w:rPr>
              <w:rFonts w:asciiTheme="minorHAnsi" w:eastAsiaTheme="minorEastAsia" w:hAnsiTheme="minorHAnsi" w:cstheme="minorBidi"/>
              <w:b w:val="0"/>
              <w:noProof/>
              <w:sz w:val="22"/>
              <w:lang w:eastAsia="en-AU"/>
            </w:rPr>
          </w:pPr>
          <w:hyperlink w:anchor="_Toc6313930" w:history="1">
            <w:r w:rsidRPr="00E133C3">
              <w:rPr>
                <w:rStyle w:val="Hyperlink"/>
                <w:noProof/>
              </w:rPr>
              <w:t>14.</w:t>
            </w:r>
            <w:r>
              <w:rPr>
                <w:rFonts w:asciiTheme="minorHAnsi" w:eastAsiaTheme="minorEastAsia" w:hAnsiTheme="minorHAnsi" w:cstheme="minorBidi"/>
                <w:b w:val="0"/>
                <w:noProof/>
                <w:sz w:val="22"/>
                <w:lang w:eastAsia="en-AU"/>
              </w:rPr>
              <w:tab/>
            </w:r>
            <w:r w:rsidRPr="00E133C3">
              <w:rPr>
                <w:rStyle w:val="Hyperlink"/>
                <w:noProof/>
              </w:rPr>
              <w:t>Second round recommendation regarding authorisation</w:t>
            </w:r>
            <w:r>
              <w:rPr>
                <w:noProof/>
                <w:webHidden/>
              </w:rPr>
              <w:tab/>
            </w:r>
            <w:r>
              <w:rPr>
                <w:noProof/>
                <w:webHidden/>
              </w:rPr>
              <w:fldChar w:fldCharType="begin"/>
            </w:r>
            <w:r>
              <w:rPr>
                <w:noProof/>
                <w:webHidden/>
              </w:rPr>
              <w:instrText xml:space="preserve"> PAGEREF _Toc6313930 \h </w:instrText>
            </w:r>
            <w:r>
              <w:rPr>
                <w:noProof/>
                <w:webHidden/>
              </w:rPr>
            </w:r>
            <w:r>
              <w:rPr>
                <w:noProof/>
                <w:webHidden/>
              </w:rPr>
              <w:fldChar w:fldCharType="separate"/>
            </w:r>
            <w:r>
              <w:rPr>
                <w:noProof/>
                <w:webHidden/>
              </w:rPr>
              <w:t>133</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6313881"/>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586F98" w:rsidTr="00A85E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830"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ACPM</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Advisory Committee on Prescription Medicines</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BLQ</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Below the level of quantification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BRVO</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Branch retinal vein occlusion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BVCA</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Best-corrected visual acuity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BVOS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Branch vein occlusion study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CI</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Confidence interval</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CMH test</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Cochran-Mantel-Haenszel test</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CMV</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Cytomegalovirus</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CRT</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Central retinal thickness</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CRVO</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Central retinal vein occlusion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CVOS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Central vein occlusion study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DDS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Drug delivery system</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DEX 350</w:t>
            </w:r>
          </w:p>
        </w:tc>
        <w:tc>
          <w:tcPr>
            <w:tcW w:w="6830" w:type="dxa"/>
            <w:vAlign w:val="center"/>
          </w:tcPr>
          <w:p w:rsidR="003E5805" w:rsidRPr="001E2A95" w:rsidRDefault="003E5805" w:rsidP="00BE6513">
            <w:pPr>
              <w:cnfStyle w:val="000000000000" w:firstRow="0" w:lastRow="0" w:firstColumn="0" w:lastColumn="0" w:oddVBand="0" w:evenVBand="0" w:oddHBand="0" w:evenHBand="0" w:firstRowFirstColumn="0" w:firstRowLastColumn="0" w:lastRowFirstColumn="0" w:lastRowLastColumn="0"/>
            </w:pPr>
            <w:r w:rsidRPr="001E2A95">
              <w:t xml:space="preserve">Dexamethasone 350 </w:t>
            </w:r>
            <w:r w:rsidR="001E2A95">
              <w:t>µ</w:t>
            </w:r>
            <w:r w:rsidRPr="001E2A95">
              <w:t>g</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DEX 700</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 xml:space="preserve">Dexamethasone 700 </w:t>
            </w:r>
            <w:r w:rsidR="001E2A95">
              <w:t>µ</w:t>
            </w:r>
            <w:r w:rsidRPr="001E2A95">
              <w:t>g</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2D7C6E" w:rsidRDefault="00296028" w:rsidP="002D7C6E">
            <w:pPr>
              <w:ind w:left="0"/>
            </w:pPr>
            <w:r w:rsidRPr="001E2A95">
              <w:t>DEX PS DDS</w:t>
            </w:r>
          </w:p>
        </w:tc>
        <w:tc>
          <w:tcPr>
            <w:tcW w:w="6830" w:type="dxa"/>
            <w:vAlign w:val="center"/>
          </w:tcPr>
          <w:p w:rsidR="003E5805" w:rsidRPr="001E2A95" w:rsidRDefault="00296028" w:rsidP="001E2A95">
            <w:pPr>
              <w:cnfStyle w:val="000000000000" w:firstRow="0" w:lastRow="0" w:firstColumn="0" w:lastColumn="0" w:oddVBand="0" w:evenVBand="0" w:oddHBand="0" w:evenHBand="0" w:firstRowFirstColumn="0" w:firstRowLastColumn="0" w:lastRowFirstColumn="0" w:lastRowLastColumn="0"/>
            </w:pPr>
            <w:r w:rsidRPr="001E2A95">
              <w:t>Dexamethasone Posterior Segment Drug Delivery System</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eCRF</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Electronic clinical record file</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EMEA</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European Medicines Evaluation Agency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ETDRS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Early treatment of diabetic retinopathy study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EU</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European Union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FA</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Fluorescein angiography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HRVO</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Hemi-retinal vein occlusion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ICH GCP</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 xml:space="preserve">International Conference on Harmonisation Good Clinical </w:t>
            </w:r>
            <w:r w:rsidR="00E65252" w:rsidRPr="001E2A95">
              <w:t xml:space="preserve">  </w:t>
            </w:r>
            <w:r w:rsidRPr="001E2A95">
              <w:t>Practice</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IOP</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Intraocular pressure</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ISE</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Integrated summary of efficacy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lastRenderedPageBreak/>
              <w:t>ISS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Integrated summary of safety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IT</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Initial treatment (period)</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ITT</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Intention-to-treat</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IVRS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Interactive voice response system</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IWRS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Interactive web response system</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LLOQ</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Lower limit of quantification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LLOQ</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Lower limit of quantification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LS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Least square (of the mean)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mITT</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Modified intention-to-treat</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OCT</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Optical coherence tomography</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OL</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Open-label (extension)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PD</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Pharmacodynamic(s)</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PK</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Pharmacokinetic(s)</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PLGA</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Polyglactin D,</w:t>
            </w:r>
            <w:r w:rsidR="001E2A95">
              <w:t xml:space="preserve"> </w:t>
            </w:r>
            <w:r w:rsidRPr="001E2A95">
              <w:t>L lactide coglycolide</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PP</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Per protocol</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PSUR</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Post-marketing safety update report</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RVO</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Retinal vein occlusion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SD</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Standard deviation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SLE</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Systemic lupus erythematosus</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TGA</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Therapeutic Goods Administration</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US</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United States (of America)</w:t>
            </w:r>
          </w:p>
        </w:tc>
      </w:tr>
      <w:tr w:rsidR="003E5805" w:rsidTr="00A85E59">
        <w:tc>
          <w:tcPr>
            <w:cnfStyle w:val="001000000000" w:firstRow="0" w:lastRow="0" w:firstColumn="1" w:lastColumn="0" w:oddVBand="0" w:evenVBand="0" w:oddHBand="0" w:evenHBand="0" w:firstRowFirstColumn="0" w:firstRowLastColumn="0" w:lastRowFirstColumn="0" w:lastRowLastColumn="0"/>
            <w:tcW w:w="1890" w:type="dxa"/>
            <w:vAlign w:val="center"/>
          </w:tcPr>
          <w:p w:rsidR="003E5805" w:rsidRPr="001E2A95" w:rsidRDefault="003E5805" w:rsidP="001E2A95">
            <w:r w:rsidRPr="001E2A95">
              <w:t>VEGF</w:t>
            </w:r>
          </w:p>
        </w:tc>
        <w:tc>
          <w:tcPr>
            <w:tcW w:w="6830" w:type="dxa"/>
            <w:vAlign w:val="center"/>
          </w:tcPr>
          <w:p w:rsidR="003E5805" w:rsidRPr="001E2A95" w:rsidRDefault="003E5805" w:rsidP="001E2A95">
            <w:pPr>
              <w:cnfStyle w:val="000000000000" w:firstRow="0" w:lastRow="0" w:firstColumn="0" w:lastColumn="0" w:oddVBand="0" w:evenVBand="0" w:oddHBand="0" w:evenHBand="0" w:firstRowFirstColumn="0" w:firstRowLastColumn="0" w:lastRowFirstColumn="0" w:lastRowLastColumn="0"/>
            </w:pPr>
            <w:r w:rsidRPr="001E2A95">
              <w:t>Vascular endothelial growth factor</w:t>
            </w:r>
          </w:p>
        </w:tc>
      </w:tr>
    </w:tbl>
    <w:p w:rsidR="0094614A" w:rsidRDefault="0094614A" w:rsidP="0043797D">
      <w:pPr>
        <w:pStyle w:val="Heading2"/>
        <w:pageBreakBefore/>
        <w:rPr>
          <w:lang w:eastAsia="en-AU"/>
        </w:rPr>
      </w:pPr>
      <w:bookmarkStart w:id="8" w:name="_Toc351718900"/>
      <w:bookmarkStart w:id="9" w:name="_Toc355338635"/>
      <w:bookmarkStart w:id="10" w:name="_Toc6313882"/>
      <w:r>
        <w:rPr>
          <w:lang w:eastAsia="en-AU"/>
        </w:rPr>
        <w:lastRenderedPageBreak/>
        <w:t>Introduction</w:t>
      </w:r>
      <w:bookmarkEnd w:id="10"/>
    </w:p>
    <w:p w:rsidR="0009000F" w:rsidRPr="001A6420" w:rsidRDefault="0009000F" w:rsidP="001A6420">
      <w:r w:rsidRPr="001A6420">
        <w:t xml:space="preserve">This is </w:t>
      </w:r>
      <w:r w:rsidR="00CF5979" w:rsidRPr="001A6420">
        <w:t>a</w:t>
      </w:r>
      <w:r w:rsidRPr="001A6420">
        <w:t xml:space="preserve"> submission to extend the indications of </w:t>
      </w:r>
      <w:r w:rsidR="00747662" w:rsidRPr="001A6420">
        <w:t>Ozurdex</w:t>
      </w:r>
      <w:r w:rsidRPr="001A6420">
        <w:t xml:space="preserve"> dexamethasone 700 microgram intravitreal implant and make changes to the current PI/CMI.</w:t>
      </w:r>
    </w:p>
    <w:p w:rsidR="00B95C94" w:rsidRPr="001A6420" w:rsidRDefault="0009000F" w:rsidP="001A6420">
      <w:r w:rsidRPr="001A6420">
        <w:t xml:space="preserve">The currently approved indication for </w:t>
      </w:r>
      <w:r w:rsidR="00747662" w:rsidRPr="001A6420">
        <w:t>Ozurdex</w:t>
      </w:r>
      <w:r w:rsidRPr="001A6420">
        <w:t xml:space="preserve"> is as follows:</w:t>
      </w:r>
    </w:p>
    <w:p w:rsidR="0009000F" w:rsidRPr="00B95C94" w:rsidRDefault="001A6420" w:rsidP="00B95C94">
      <w:pPr>
        <w:pStyle w:val="ListBullet"/>
        <w:rPr>
          <w:i/>
        </w:rPr>
      </w:pPr>
      <w:r>
        <w:rPr>
          <w:i/>
        </w:rPr>
        <w:t>‘</w:t>
      </w:r>
      <w:r w:rsidR="00747662">
        <w:rPr>
          <w:i/>
        </w:rPr>
        <w:t>Ozurdex</w:t>
      </w:r>
      <w:r w:rsidR="0009000F" w:rsidRPr="00B95C94">
        <w:rPr>
          <w:i/>
        </w:rPr>
        <w:t xml:space="preserve"> is indicated for the treatment of diabetic macular oedema (DME)</w:t>
      </w:r>
      <w:r>
        <w:rPr>
          <w:i/>
        </w:rPr>
        <w:t>’</w:t>
      </w:r>
    </w:p>
    <w:p w:rsidR="0009000F" w:rsidRDefault="0009000F" w:rsidP="00B95C94">
      <w:pPr>
        <w:spacing w:before="0" w:after="0" w:line="240" w:lineRule="auto"/>
      </w:pPr>
      <w:r w:rsidRPr="00B95C94">
        <w:t>With this submission, two additional new indications are proposed by the sponsor:</w:t>
      </w:r>
    </w:p>
    <w:p w:rsidR="0009000F" w:rsidRPr="00B95C94" w:rsidRDefault="00747662" w:rsidP="00B95C94">
      <w:r>
        <w:t>Ozurdex</w:t>
      </w:r>
      <w:r w:rsidR="0009000F" w:rsidRPr="00B95C94">
        <w:t xml:space="preserve"> is indicated for the treatment of:</w:t>
      </w:r>
    </w:p>
    <w:p w:rsidR="0009000F" w:rsidRPr="00B95C94" w:rsidRDefault="001A6420" w:rsidP="00B95C94">
      <w:pPr>
        <w:pStyle w:val="ListBullet"/>
        <w:rPr>
          <w:i/>
        </w:rPr>
      </w:pPr>
      <w:r>
        <w:rPr>
          <w:i/>
        </w:rPr>
        <w:t>‘</w:t>
      </w:r>
      <w:r w:rsidR="0009000F" w:rsidRPr="00B95C94">
        <w:rPr>
          <w:i/>
        </w:rPr>
        <w:t>Macular oedema due to branch retinal vein occlusion (BRVO) or central retinal vein occlusion (CRVO)</w:t>
      </w:r>
    </w:p>
    <w:p w:rsidR="0009000F" w:rsidRPr="00B95C94" w:rsidRDefault="0009000F" w:rsidP="00B95C94">
      <w:pPr>
        <w:pStyle w:val="ListBullet"/>
        <w:rPr>
          <w:i/>
        </w:rPr>
      </w:pPr>
      <w:r w:rsidRPr="00B95C94">
        <w:rPr>
          <w:i/>
        </w:rPr>
        <w:t>Non-infectious uveitis affecting the posterior segment of the eye</w:t>
      </w:r>
      <w:r w:rsidR="001A6420">
        <w:rPr>
          <w:i/>
        </w:rPr>
        <w:t>’</w:t>
      </w:r>
    </w:p>
    <w:p w:rsidR="00586F98" w:rsidRDefault="00586F98" w:rsidP="006B4C50">
      <w:pPr>
        <w:pStyle w:val="Heading2"/>
      </w:pPr>
      <w:bookmarkStart w:id="11" w:name="_Toc6313883"/>
      <w:r w:rsidRPr="0094614A">
        <w:t>Clinical rationale</w:t>
      </w:r>
      <w:bookmarkEnd w:id="11"/>
    </w:p>
    <w:p w:rsidR="0009000F" w:rsidRPr="0009000F" w:rsidRDefault="0009000F" w:rsidP="0009000F">
      <w:r w:rsidRPr="0009000F">
        <w:t>Dexamethasone Posterior Segment Drug Delivery System (DEX PS DDS) Applicator System, an intraocular drug delivery system was developed for the treatment of uveitis, RVO, and DME. The active ingredient, dexamethasone, is a potent corticosteroid with marked anti-inflammatory activity. Other formulations of dexamethasone have been marketed worldwide for over 50 years for the treatment of both ocular and systemic diseases. In the DEX PS DDS, dexamethasone is combined with biodegradable polymers, and extruded into a small implant for delivery into the posterior segment of the eye through a specifically designed applicator. The polymers are well known, and have been marketed for other clinical uses (for example in biodegradable sutures).</w:t>
      </w:r>
    </w:p>
    <w:p w:rsidR="0009000F" w:rsidRPr="0009000F" w:rsidRDefault="0009000F" w:rsidP="0009000F">
      <w:r w:rsidRPr="0009000F">
        <w:t xml:space="preserve">The DEX PS DDS Applicator System was developed to address many of the problems associated with conventional corticosteroid therapies. DEX PS DDS injected into the posterior segment of the eye releases a total dose of approximately 0.7 mg dexamethasone (trade name </w:t>
      </w:r>
      <w:r w:rsidR="00747662">
        <w:t>Ozurdex</w:t>
      </w:r>
      <w:r w:rsidRPr="0009000F">
        <w:t xml:space="preserve">). Other routes of administration (topical, periocular, systemic and standard intravitreal injection of corticosteroid suspensions) require much higher daily doses to deliver equivalent levels of corticosteroid to the posterior segment while also exposing non-target organs to corticosteroids. With </w:t>
      </w:r>
      <w:r w:rsidR="00747662">
        <w:t>Ozurdex</w:t>
      </w:r>
      <w:r w:rsidRPr="0009000F">
        <w:t xml:space="preserve">, substantially lower daily doses of dexamethasone are released directly to the posterior segment, thereby minimising potential side effects. While releasing dexamethasone, the implant gradually degrades completely over time so there is no need to remove the </w:t>
      </w:r>
      <w:r w:rsidR="00747662">
        <w:t>Ozurdex</w:t>
      </w:r>
      <w:r w:rsidRPr="0009000F">
        <w:t xml:space="preserve"> implant. By delivering a drug directly into the vitreous, the blood-eye barriers are circumvented, and intraocular therapeutic levels can be achieved with minimal risk of systemic toxicity.</w:t>
      </w:r>
    </w:p>
    <w:p w:rsidR="00586F98" w:rsidRDefault="00586F98" w:rsidP="00586F98">
      <w:pPr>
        <w:pStyle w:val="Heading2"/>
        <w:rPr>
          <w:lang w:eastAsia="en-AU"/>
        </w:rPr>
      </w:pPr>
      <w:bookmarkStart w:id="12" w:name="_Toc6313884"/>
      <w:r>
        <w:rPr>
          <w:lang w:eastAsia="en-AU"/>
        </w:rPr>
        <w:t>Contents of the clinical dossier</w:t>
      </w:r>
      <w:bookmarkEnd w:id="8"/>
      <w:bookmarkEnd w:id="9"/>
      <w:bookmarkEnd w:id="12"/>
    </w:p>
    <w:p w:rsidR="00586F98" w:rsidRDefault="00586F98" w:rsidP="00586F98">
      <w:pPr>
        <w:pStyle w:val="Heading3"/>
      </w:pPr>
      <w:bookmarkStart w:id="13" w:name="_Toc6313885"/>
      <w:r>
        <w:t>Scope of the clinical dossier</w:t>
      </w:r>
      <w:bookmarkEnd w:id="13"/>
    </w:p>
    <w:p w:rsidR="0009000F" w:rsidRPr="00B95C94" w:rsidRDefault="0009000F" w:rsidP="00B95C94">
      <w:r w:rsidRPr="00B95C94">
        <w:t>The submission contained the following clinical information:</w:t>
      </w:r>
    </w:p>
    <w:p w:rsidR="0009000F" w:rsidRDefault="0009000F" w:rsidP="00B95C94">
      <w:pPr>
        <w:pStyle w:val="ListBullet"/>
        <w:rPr>
          <w:lang w:eastAsia="ja-JP"/>
        </w:rPr>
      </w:pPr>
      <w:r>
        <w:rPr>
          <w:lang w:eastAsia="ja-JP"/>
        </w:rPr>
        <w:t>Three pivotal Phase III safety and efficacy studies (RVO indication):</w:t>
      </w:r>
    </w:p>
    <w:p w:rsidR="0009000F" w:rsidRDefault="0009000F" w:rsidP="00B95C94">
      <w:pPr>
        <w:pStyle w:val="ListBullet2"/>
        <w:rPr>
          <w:lang w:eastAsia="ja-JP"/>
        </w:rPr>
      </w:pPr>
      <w:r>
        <w:rPr>
          <w:lang w:eastAsia="ja-JP"/>
        </w:rPr>
        <w:t>Study 206207-008</w:t>
      </w:r>
    </w:p>
    <w:p w:rsidR="0009000F" w:rsidRDefault="0009000F" w:rsidP="00B95C94">
      <w:pPr>
        <w:pStyle w:val="ListBullet2"/>
        <w:rPr>
          <w:lang w:eastAsia="ja-JP"/>
        </w:rPr>
      </w:pPr>
      <w:r>
        <w:rPr>
          <w:lang w:eastAsia="ja-JP"/>
        </w:rPr>
        <w:t>Study 206207-009</w:t>
      </w:r>
    </w:p>
    <w:p w:rsidR="0009000F" w:rsidRDefault="0009000F" w:rsidP="00B95C94">
      <w:pPr>
        <w:pStyle w:val="ListBullet2"/>
        <w:rPr>
          <w:lang w:eastAsia="ja-JP"/>
        </w:rPr>
      </w:pPr>
      <w:r>
        <w:rPr>
          <w:lang w:eastAsia="ja-JP"/>
        </w:rPr>
        <w:lastRenderedPageBreak/>
        <w:t>Study 206207-020</w:t>
      </w:r>
    </w:p>
    <w:p w:rsidR="0009000F" w:rsidRDefault="0009000F" w:rsidP="00B95C94">
      <w:pPr>
        <w:pStyle w:val="ListBullet"/>
        <w:rPr>
          <w:lang w:eastAsia="ja-JP"/>
        </w:rPr>
      </w:pPr>
      <w:r>
        <w:rPr>
          <w:lang w:eastAsia="ja-JP"/>
        </w:rPr>
        <w:t>One pivotal Phase III safety and efficacy study (Uveitis indication):</w:t>
      </w:r>
    </w:p>
    <w:p w:rsidR="0009000F" w:rsidRDefault="0009000F" w:rsidP="00B95C94">
      <w:pPr>
        <w:pStyle w:val="ListBullet2"/>
        <w:rPr>
          <w:lang w:eastAsia="ja-JP"/>
        </w:rPr>
      </w:pPr>
      <w:r>
        <w:rPr>
          <w:lang w:eastAsia="ja-JP"/>
        </w:rPr>
        <w:t>Study 206207-014</w:t>
      </w:r>
    </w:p>
    <w:p w:rsidR="0009000F" w:rsidRDefault="0009000F" w:rsidP="00B95C94">
      <w:pPr>
        <w:pStyle w:val="ListBullet"/>
        <w:rPr>
          <w:lang w:eastAsia="ja-JP"/>
        </w:rPr>
      </w:pPr>
      <w:r>
        <w:rPr>
          <w:lang w:eastAsia="ja-JP"/>
        </w:rPr>
        <w:t>One discontinued Phase III safety and efficacy study (Uveitis indication):</w:t>
      </w:r>
    </w:p>
    <w:p w:rsidR="0009000F" w:rsidRDefault="0009000F" w:rsidP="00B95C94">
      <w:pPr>
        <w:pStyle w:val="ListBullet2"/>
        <w:rPr>
          <w:lang w:eastAsia="ja-JP"/>
        </w:rPr>
      </w:pPr>
      <w:r>
        <w:rPr>
          <w:lang w:eastAsia="ja-JP"/>
        </w:rPr>
        <w:t>Study 206207-015</w:t>
      </w:r>
    </w:p>
    <w:p w:rsidR="0009000F" w:rsidRDefault="0009000F" w:rsidP="00B95C94">
      <w:pPr>
        <w:pStyle w:val="ListBullet"/>
        <w:rPr>
          <w:lang w:eastAsia="ja-JP"/>
        </w:rPr>
      </w:pPr>
      <w:r>
        <w:rPr>
          <w:lang w:eastAsia="ja-JP"/>
        </w:rPr>
        <w:t>Four Population</w:t>
      </w:r>
      <w:r>
        <w:rPr>
          <w:lang w:eastAsia="ja-JP"/>
        </w:rPr>
        <w:noBreakHyphen/>
        <w:t>PK study reports:</w:t>
      </w:r>
    </w:p>
    <w:p w:rsidR="0009000F" w:rsidRDefault="0009000F" w:rsidP="00B95C94">
      <w:pPr>
        <w:pStyle w:val="ListBullet2"/>
        <w:rPr>
          <w:lang w:eastAsia="ja-JP"/>
        </w:rPr>
      </w:pPr>
      <w:r>
        <w:rPr>
          <w:lang w:eastAsia="ja-JP"/>
        </w:rPr>
        <w:t>PK12158-PK (DME)</w:t>
      </w:r>
    </w:p>
    <w:p w:rsidR="0009000F" w:rsidRDefault="0009000F" w:rsidP="00B95C94">
      <w:pPr>
        <w:pStyle w:val="ListBullet2"/>
        <w:rPr>
          <w:lang w:eastAsia="ja-JP"/>
        </w:rPr>
      </w:pPr>
      <w:r>
        <w:rPr>
          <w:lang w:eastAsia="ja-JP"/>
        </w:rPr>
        <w:t>PK12159-PK (DME)</w:t>
      </w:r>
    </w:p>
    <w:p w:rsidR="0009000F" w:rsidRDefault="0009000F" w:rsidP="00B95C94">
      <w:pPr>
        <w:pStyle w:val="ListBullet2"/>
        <w:rPr>
          <w:lang w:eastAsia="ja-JP"/>
        </w:rPr>
      </w:pPr>
      <w:r>
        <w:rPr>
          <w:lang w:eastAsia="ja-JP"/>
        </w:rPr>
        <w:t>CPK-08-028 (CRVO/BRVO)</w:t>
      </w:r>
    </w:p>
    <w:p w:rsidR="0009000F" w:rsidRDefault="0009000F" w:rsidP="00B95C94">
      <w:pPr>
        <w:pStyle w:val="ListBullet2"/>
        <w:rPr>
          <w:lang w:eastAsia="ja-JP"/>
        </w:rPr>
      </w:pPr>
      <w:r>
        <w:rPr>
          <w:lang w:eastAsia="ja-JP"/>
        </w:rPr>
        <w:t>CPK-08-042 (CRVO/BRVO)</w:t>
      </w:r>
    </w:p>
    <w:p w:rsidR="0009000F" w:rsidRDefault="0009000F" w:rsidP="00B95C94">
      <w:pPr>
        <w:pStyle w:val="ListBullet"/>
        <w:rPr>
          <w:lang w:eastAsia="ja-JP"/>
        </w:rPr>
      </w:pPr>
      <w:r>
        <w:rPr>
          <w:lang w:eastAsia="ja-JP"/>
        </w:rPr>
        <w:t>Study reports of controlled clinical studies other than for the indications proposed:</w:t>
      </w:r>
    </w:p>
    <w:p w:rsidR="0009000F" w:rsidRDefault="0009000F" w:rsidP="00B95C94">
      <w:pPr>
        <w:pStyle w:val="ListBullet2"/>
        <w:rPr>
          <w:lang w:eastAsia="ja-JP"/>
        </w:rPr>
      </w:pPr>
      <w:r>
        <w:rPr>
          <w:lang w:eastAsia="ja-JP"/>
        </w:rPr>
        <w:t>Study 206207-010 (DME)</w:t>
      </w:r>
    </w:p>
    <w:p w:rsidR="0009000F" w:rsidRDefault="0009000F" w:rsidP="00B95C94">
      <w:pPr>
        <w:pStyle w:val="ListBullet2"/>
        <w:rPr>
          <w:lang w:eastAsia="ja-JP"/>
        </w:rPr>
      </w:pPr>
      <w:r>
        <w:rPr>
          <w:lang w:eastAsia="ja-JP"/>
        </w:rPr>
        <w:t>Study 206207-011 (DME)</w:t>
      </w:r>
    </w:p>
    <w:p w:rsidR="0009000F" w:rsidRDefault="0009000F" w:rsidP="00B95C94">
      <w:pPr>
        <w:pStyle w:val="ListBullet2"/>
        <w:rPr>
          <w:lang w:eastAsia="ja-JP"/>
        </w:rPr>
      </w:pPr>
      <w:r>
        <w:rPr>
          <w:lang w:eastAsia="ja-JP"/>
        </w:rPr>
        <w:t>Study DC103-06 (DME)</w:t>
      </w:r>
    </w:p>
    <w:p w:rsidR="0009000F" w:rsidRDefault="0009000F" w:rsidP="00B95C94">
      <w:pPr>
        <w:pStyle w:val="ListBullet2"/>
        <w:rPr>
          <w:lang w:eastAsia="ja-JP"/>
        </w:rPr>
      </w:pPr>
      <w:r>
        <w:rPr>
          <w:lang w:eastAsia="ja-JP"/>
        </w:rPr>
        <w:t>Study 206207-012 (DME and laser photocoagulation)</w:t>
      </w:r>
    </w:p>
    <w:p w:rsidR="0009000F" w:rsidRDefault="0009000F" w:rsidP="00B95C94">
      <w:pPr>
        <w:pStyle w:val="ListBullet2"/>
        <w:rPr>
          <w:lang w:eastAsia="ja-JP"/>
        </w:rPr>
      </w:pPr>
      <w:r>
        <w:rPr>
          <w:lang w:eastAsia="ja-JP"/>
        </w:rPr>
        <w:t>Study 206207-018 (DME in vitrectomised subjects)</w:t>
      </w:r>
    </w:p>
    <w:p w:rsidR="0009000F" w:rsidRPr="00B83A39" w:rsidRDefault="0009000F" w:rsidP="00B95C94">
      <w:pPr>
        <w:pStyle w:val="ListBullet"/>
        <w:rPr>
          <w:lang w:eastAsia="ja-JP"/>
        </w:rPr>
      </w:pPr>
      <w:r w:rsidRPr="00B83A39">
        <w:rPr>
          <w:lang w:eastAsia="ja-JP"/>
        </w:rPr>
        <w:t>Integrated Summary of Safety</w:t>
      </w:r>
      <w:r>
        <w:rPr>
          <w:lang w:eastAsia="ja-JP"/>
        </w:rPr>
        <w:t xml:space="preserve"> (ISS)</w:t>
      </w:r>
      <w:r w:rsidRPr="00B83A39">
        <w:rPr>
          <w:lang w:eastAsia="ja-JP"/>
        </w:rPr>
        <w:t>, Integrated Summary of Efficacy</w:t>
      </w:r>
      <w:r>
        <w:rPr>
          <w:lang w:eastAsia="ja-JP"/>
        </w:rPr>
        <w:t xml:space="preserve"> (ISE) and four </w:t>
      </w:r>
      <w:r w:rsidRPr="00B83A39">
        <w:rPr>
          <w:lang w:eastAsia="ja-JP"/>
        </w:rPr>
        <w:t>PSUR for the period 28 Jan 2012 to 28 Jan 2016</w:t>
      </w:r>
    </w:p>
    <w:p w:rsidR="00586F98" w:rsidRPr="00A77DA3" w:rsidRDefault="00586F98" w:rsidP="00A77DA3">
      <w:pPr>
        <w:pStyle w:val="Heading3"/>
      </w:pPr>
      <w:bookmarkStart w:id="14" w:name="_Toc6313886"/>
      <w:r w:rsidRPr="00A77DA3">
        <w:t>Paediatric data</w:t>
      </w:r>
      <w:bookmarkEnd w:id="14"/>
    </w:p>
    <w:p w:rsidR="00A77DA3" w:rsidRDefault="00A77DA3" w:rsidP="00A77DA3">
      <w:pPr>
        <w:rPr>
          <w:lang w:eastAsia="ja-JP"/>
        </w:rPr>
      </w:pPr>
      <w:r>
        <w:rPr>
          <w:lang w:eastAsia="ja-JP"/>
        </w:rPr>
        <w:t>No paediatric data was supplied. No paediatric development plan has been submitted in the EU or the US. This is appropriate as this condition is rare in children.</w:t>
      </w:r>
    </w:p>
    <w:p w:rsidR="00586F98" w:rsidRPr="00A77DA3" w:rsidRDefault="00586F98" w:rsidP="00A77DA3">
      <w:pPr>
        <w:pStyle w:val="Heading3"/>
      </w:pPr>
      <w:bookmarkStart w:id="15" w:name="_Toc6313887"/>
      <w:r w:rsidRPr="00A77DA3">
        <w:t>Good clinical practice</w:t>
      </w:r>
      <w:bookmarkEnd w:id="15"/>
    </w:p>
    <w:p w:rsidR="00A77DA3" w:rsidRDefault="00A77DA3" w:rsidP="00A77DA3">
      <w:bookmarkStart w:id="16" w:name="_Toc355338639"/>
      <w:r>
        <w:t>The s</w:t>
      </w:r>
      <w:r w:rsidRPr="00D82624">
        <w:t xml:space="preserve">ponsor stated in the Clinical Overview that all studies were conducted in accordance with </w:t>
      </w:r>
      <w:r>
        <w:t>International Conference on Harmonisation Good Clinical Practice (</w:t>
      </w:r>
      <w:r w:rsidRPr="00D82624">
        <w:t>ICH GCP</w:t>
      </w:r>
      <w:r>
        <w:t>) guidelines</w:t>
      </w:r>
      <w:r w:rsidRPr="00D82624">
        <w:t xml:space="preserve"> and the Declaration of Helsinki.</w:t>
      </w:r>
    </w:p>
    <w:p w:rsidR="00A77DA3" w:rsidRPr="00A77DA3" w:rsidRDefault="00A77DA3" w:rsidP="00A77DA3">
      <w:pPr>
        <w:pStyle w:val="Heading3"/>
      </w:pPr>
      <w:bookmarkStart w:id="17" w:name="_Toc471225109"/>
      <w:bookmarkStart w:id="18" w:name="_Toc6313888"/>
      <w:r w:rsidRPr="00A77DA3">
        <w:t>Evaluator’s commentary on the clinical dossier</w:t>
      </w:r>
      <w:bookmarkEnd w:id="17"/>
      <w:bookmarkEnd w:id="18"/>
    </w:p>
    <w:p w:rsidR="00A77DA3" w:rsidRPr="00A77DA3" w:rsidRDefault="00A77DA3" w:rsidP="00A77DA3">
      <w:r w:rsidRPr="00A77DA3">
        <w:t>The dossier was adequate.</w:t>
      </w:r>
    </w:p>
    <w:p w:rsidR="00586F98" w:rsidRDefault="00586F98" w:rsidP="00586F98">
      <w:pPr>
        <w:pStyle w:val="Heading2"/>
      </w:pPr>
      <w:bookmarkStart w:id="19" w:name="_Toc6313889"/>
      <w:r>
        <w:t>Pharmacokinetics</w:t>
      </w:r>
      <w:bookmarkEnd w:id="16"/>
      <w:bookmarkEnd w:id="19"/>
    </w:p>
    <w:p w:rsidR="00A77DA3" w:rsidRPr="002B155D" w:rsidRDefault="00A77DA3" w:rsidP="00A77DA3">
      <w:pPr>
        <w:rPr>
          <w:lang w:eastAsia="ja-JP"/>
        </w:rPr>
      </w:pPr>
      <w:r w:rsidRPr="002B155D">
        <w:rPr>
          <w:lang w:eastAsia="ja-JP"/>
        </w:rPr>
        <w:t>As this submission involves an extension of indications for a product currently registered for the indication of the treatment of DME and the drug product and dosage remains the same, most of the pharmacokinetic</w:t>
      </w:r>
      <w:r>
        <w:rPr>
          <w:lang w:eastAsia="ja-JP"/>
        </w:rPr>
        <w:t xml:space="preserve"> (PK)</w:t>
      </w:r>
      <w:r w:rsidRPr="002B155D">
        <w:rPr>
          <w:lang w:eastAsia="ja-JP"/>
        </w:rPr>
        <w:t xml:space="preserve"> data related to this submission was essentially the same and previous conclusions remain valid. </w:t>
      </w:r>
      <w:r>
        <w:rPr>
          <w:lang w:eastAsia="ja-JP"/>
        </w:rPr>
        <w:t>No new studies solely for PK or pharmacodynamics (PD) evaluation were submitted, therefore o</w:t>
      </w:r>
      <w:r w:rsidRPr="002B155D">
        <w:rPr>
          <w:lang w:eastAsia="ja-JP"/>
        </w:rPr>
        <w:t>nly</w:t>
      </w:r>
      <w:r>
        <w:rPr>
          <w:lang w:eastAsia="ja-JP"/>
        </w:rPr>
        <w:t xml:space="preserve"> a brief overview and PK</w:t>
      </w:r>
      <w:r w:rsidRPr="002B155D">
        <w:rPr>
          <w:lang w:eastAsia="ja-JP"/>
        </w:rPr>
        <w:t xml:space="preserve"> </w:t>
      </w:r>
      <w:r>
        <w:rPr>
          <w:lang w:eastAsia="ja-JP"/>
        </w:rPr>
        <w:t>data</w:t>
      </w:r>
      <w:r w:rsidRPr="002B155D">
        <w:rPr>
          <w:lang w:eastAsia="ja-JP"/>
        </w:rPr>
        <w:t xml:space="preserve"> directly</w:t>
      </w:r>
      <w:r>
        <w:rPr>
          <w:lang w:eastAsia="ja-JP"/>
        </w:rPr>
        <w:t xml:space="preserve"> related</w:t>
      </w:r>
      <w:r w:rsidRPr="002B155D">
        <w:rPr>
          <w:lang w:eastAsia="ja-JP"/>
        </w:rPr>
        <w:t xml:space="preserve"> to the pr</w:t>
      </w:r>
      <w:r>
        <w:rPr>
          <w:lang w:eastAsia="ja-JP"/>
        </w:rPr>
        <w:t>oposed indications is included.</w:t>
      </w:r>
    </w:p>
    <w:p w:rsidR="00A77DA3" w:rsidRPr="009A141C" w:rsidRDefault="00A77DA3" w:rsidP="00A77DA3">
      <w:pPr>
        <w:pStyle w:val="Heading3"/>
        <w:tabs>
          <w:tab w:val="clear" w:pos="1135"/>
          <w:tab w:val="num" w:pos="1022"/>
        </w:tabs>
      </w:pPr>
      <w:bookmarkStart w:id="20" w:name="_Toc471225111"/>
      <w:bookmarkStart w:id="21" w:name="_Toc6313890"/>
      <w:r>
        <w:lastRenderedPageBreak/>
        <w:t>Studies providing pharmacokinetic information</w:t>
      </w:r>
      <w:bookmarkEnd w:id="20"/>
      <w:bookmarkEnd w:id="21"/>
    </w:p>
    <w:p w:rsidR="00A77DA3" w:rsidRPr="006E016D" w:rsidRDefault="00A77DA3" w:rsidP="001512E2">
      <w:pPr>
        <w:pStyle w:val="ListBullet"/>
        <w:ind w:left="284" w:hanging="284"/>
        <w:rPr>
          <w:lang w:eastAsia="ja-JP"/>
        </w:rPr>
      </w:pPr>
      <w:r w:rsidRPr="006E016D">
        <w:rPr>
          <w:lang w:eastAsia="ja-JP"/>
        </w:rPr>
        <w:t>RVO Study 206207-008 (Report CPK-08-028)</w:t>
      </w:r>
    </w:p>
    <w:p w:rsidR="00A77DA3" w:rsidRPr="006E016D" w:rsidRDefault="00A77DA3" w:rsidP="001512E2">
      <w:pPr>
        <w:pStyle w:val="ListBullet"/>
        <w:ind w:left="284" w:hanging="284"/>
        <w:rPr>
          <w:lang w:eastAsia="ja-JP"/>
        </w:rPr>
      </w:pPr>
      <w:r w:rsidRPr="006E016D">
        <w:rPr>
          <w:lang w:eastAsia="ja-JP"/>
        </w:rPr>
        <w:t>RVO Study 206207-009 (Report CPK-08-042)</w:t>
      </w:r>
    </w:p>
    <w:p w:rsidR="00A77DA3" w:rsidRPr="006E016D" w:rsidRDefault="00A77DA3" w:rsidP="001512E2">
      <w:pPr>
        <w:pStyle w:val="ListBullet"/>
        <w:ind w:left="284" w:hanging="284"/>
        <w:rPr>
          <w:lang w:eastAsia="ja-JP"/>
        </w:rPr>
      </w:pPr>
      <w:r w:rsidRPr="006E016D">
        <w:rPr>
          <w:lang w:eastAsia="ja-JP"/>
        </w:rPr>
        <w:t>DME Studies 206207-010/011 (Report PK12158; Report PK12159)</w:t>
      </w:r>
    </w:p>
    <w:p w:rsidR="00A77DA3" w:rsidRDefault="00A77DA3" w:rsidP="00A77DA3">
      <w:pPr>
        <w:pStyle w:val="Heading3"/>
        <w:tabs>
          <w:tab w:val="clear" w:pos="1135"/>
          <w:tab w:val="num" w:pos="1022"/>
        </w:tabs>
      </w:pPr>
      <w:bookmarkStart w:id="22" w:name="_Toc471225112"/>
      <w:bookmarkStart w:id="23" w:name="_Toc6313891"/>
      <w:r w:rsidRPr="002B74F6">
        <w:t>Summary of pharmacokinetics</w:t>
      </w:r>
      <w:bookmarkEnd w:id="22"/>
      <w:bookmarkEnd w:id="23"/>
    </w:p>
    <w:p w:rsidR="00A77DA3" w:rsidRDefault="00A77DA3" w:rsidP="00A77DA3">
      <w:pPr>
        <w:rPr>
          <w:lang w:eastAsia="ja-JP"/>
        </w:rPr>
      </w:pPr>
      <w:r>
        <w:rPr>
          <w:lang w:eastAsia="ja-JP"/>
        </w:rPr>
        <w:t>There were no PK/PD studies with DEX PS DDS in healthy subjects. The implant has to be inserted into the posterior segment of the eye. As such, this is an invasive administration procedure with no tangible benefit to healthy subjects. This is acceptable</w:t>
      </w:r>
    </w:p>
    <w:p w:rsidR="00A77DA3" w:rsidRDefault="00A77DA3" w:rsidP="00A77DA3">
      <w:pPr>
        <w:rPr>
          <w:lang w:eastAsia="ja-JP"/>
        </w:rPr>
      </w:pPr>
      <w:r>
        <w:rPr>
          <w:lang w:eastAsia="ja-JP"/>
        </w:rPr>
        <w:t>No specific ocular PK/PD studies were performed in patients.</w:t>
      </w:r>
      <w:r w:rsidRPr="002E6A27">
        <w:t xml:space="preserve"> </w:t>
      </w:r>
      <w:r w:rsidRPr="002E6A27">
        <w:rPr>
          <w:lang w:eastAsia="ja-JP"/>
        </w:rPr>
        <w:t>While human ocular tissue concentrations could be clinically relevant, obtaining this data in humans is not feasible.</w:t>
      </w:r>
    </w:p>
    <w:p w:rsidR="00A77DA3" w:rsidRDefault="00A77DA3" w:rsidP="00A77DA3">
      <w:pPr>
        <w:rPr>
          <w:lang w:eastAsia="ja-JP"/>
        </w:rPr>
      </w:pPr>
      <w:r>
        <w:rPr>
          <w:lang w:eastAsia="ja-JP"/>
        </w:rPr>
        <w:t>Some PK/PD was obtained in the context of clinical trials. In Study 008 samples were obtained from 16 patients (6 Sham, 6 DEX 700 and 4 DEX 350 treated patients). In Study</w:t>
      </w:r>
      <w:r w:rsidR="001E2A95">
        <w:rPr>
          <w:lang w:eastAsia="ja-JP"/>
        </w:rPr>
        <w:t xml:space="preserve"> </w:t>
      </w:r>
      <w:r>
        <w:rPr>
          <w:lang w:eastAsia="ja-JP"/>
        </w:rPr>
        <w:t xml:space="preserve">009, samples were obtained from 17 patients (6 Sham, 7 DEX 700 and 4 DEX 350 treated patients). Only samples from patients receiving active treatment were included in the PK analysis. In both studies, the majority of plasma dexamethasone concentrations were below the level of quantitation (BLQ). In the pooled studies, plasma dexamethasone concentrations from 10 of 73 samples in the DEX 700 group and from 2 of 42 samples in the DEX 350 group were above the lower limit of quantification (LLOQ) and ranged </w:t>
      </w:r>
      <w:proofErr w:type="gramStart"/>
      <w:r>
        <w:rPr>
          <w:lang w:eastAsia="ja-JP"/>
        </w:rPr>
        <w:t>from 0.0521 ng/mL</w:t>
      </w:r>
      <w:proofErr w:type="gramEnd"/>
      <w:r>
        <w:rPr>
          <w:lang w:eastAsia="ja-JP"/>
        </w:rPr>
        <w:t xml:space="preserve"> to 0.0940 ng/mL. There were no apparent correlations between plasma dexamethasone concentration and age, body weight, or sex.</w:t>
      </w:r>
    </w:p>
    <w:p w:rsidR="00A77DA3" w:rsidRDefault="00A77DA3" w:rsidP="00A77DA3">
      <w:pPr>
        <w:rPr>
          <w:lang w:eastAsia="ja-JP"/>
        </w:rPr>
      </w:pPr>
      <w:r>
        <w:rPr>
          <w:lang w:eastAsia="ja-JP"/>
        </w:rPr>
        <w:t>The single highest plasma dexamethasone concentration observed in the Phase III RVO studies was lower that was reported in a study where multiple ocular applications of 1 drop of dexamethasone disodium phosphate (0.1%) were administered into one eye were every 1.5 hours.  The PK results of Studies 008 and 009 show that systemic exposure of dexamethasone was minimal but dose dependent in RVO patients who received DEX 700 or DEX 350.</w:t>
      </w:r>
    </w:p>
    <w:p w:rsidR="00A77DA3" w:rsidRDefault="00A77DA3" w:rsidP="00A77DA3">
      <w:pPr>
        <w:rPr>
          <w:lang w:eastAsia="ja-JP"/>
        </w:rPr>
      </w:pPr>
      <w:r>
        <w:rPr>
          <w:lang w:eastAsia="ja-JP"/>
        </w:rPr>
        <w:t xml:space="preserve">In the Phase III DME studies, blood samples were collected in a subgroup of patients at the pre-dose visit, qualification/Baseline visit (4 to 14 days prior to the randomisation (Day 0) visit), post-dose at Days 1, 7, and 21, and at Months 1.5 and 3 after the initial treatment to determine plasma dexamethasone concentrations. The majority of concentrations were below the LLOQ </w:t>
      </w:r>
      <w:proofErr w:type="gramStart"/>
      <w:r>
        <w:rPr>
          <w:lang w:eastAsia="ja-JP"/>
        </w:rPr>
        <w:t>of 0.05 ng/mL</w:t>
      </w:r>
      <w:proofErr w:type="gramEnd"/>
      <w:r>
        <w:rPr>
          <w:lang w:eastAsia="ja-JP"/>
        </w:rPr>
        <w:t xml:space="preserve">. Dexamethasone concentrations in 5 of the 52 samples in the DEX 700 group and 0 of the 60 samples in the DEX 350 group were above the LLOQ, ranging from 0.0599 </w:t>
      </w:r>
      <w:proofErr w:type="gramStart"/>
      <w:r>
        <w:rPr>
          <w:lang w:eastAsia="ja-JP"/>
        </w:rPr>
        <w:t>to 0.102 ng/mL</w:t>
      </w:r>
      <w:proofErr w:type="gramEnd"/>
      <w:r>
        <w:rPr>
          <w:lang w:eastAsia="ja-JP"/>
        </w:rPr>
        <w:t xml:space="preserve">. The single highest plasma dexamethasone concentration observed in either of the phase 3 studies was 0.102 ng/mL at Day 7, which again is only 14.6% of the serum concentration value observed following multiple ocular applications of 1 drop of 0.1% dexamethasone disodium phosphate every 1.5 hours. All pharmacokinetic samples were below the LLOQ by Month 3. There were no apparent correlations between plasma dexamethasone concentration and age, body weight, or sex. </w:t>
      </w:r>
    </w:p>
    <w:p w:rsidR="00A77DA3" w:rsidRDefault="00A77DA3" w:rsidP="00A77DA3">
      <w:pPr>
        <w:pStyle w:val="Heading3"/>
        <w:tabs>
          <w:tab w:val="clear" w:pos="1135"/>
          <w:tab w:val="num" w:pos="1022"/>
        </w:tabs>
      </w:pPr>
      <w:bookmarkStart w:id="24" w:name="_Toc241374296"/>
      <w:bookmarkStart w:id="25" w:name="_Ref269982040"/>
      <w:bookmarkStart w:id="26" w:name="_Ref271018704"/>
      <w:bookmarkStart w:id="27" w:name="_Ref271018755"/>
      <w:bookmarkStart w:id="28" w:name="_Toc272414635"/>
      <w:bookmarkStart w:id="29" w:name="_Toc290888484"/>
      <w:bookmarkStart w:id="30" w:name="_Toc416353681"/>
      <w:bookmarkStart w:id="31" w:name="_Toc421005250"/>
      <w:bookmarkStart w:id="32" w:name="_Toc432079132"/>
      <w:bookmarkStart w:id="33" w:name="_Toc432080705"/>
      <w:bookmarkStart w:id="34" w:name="_Toc471225113"/>
      <w:bookmarkStart w:id="35" w:name="_Toc6313892"/>
      <w:r w:rsidRPr="00545B14">
        <w:t>Evaluator’s overall conclusions on pharmacokinetics</w:t>
      </w:r>
      <w:bookmarkEnd w:id="24"/>
      <w:bookmarkEnd w:id="25"/>
      <w:bookmarkEnd w:id="26"/>
      <w:bookmarkEnd w:id="27"/>
      <w:bookmarkEnd w:id="28"/>
      <w:bookmarkEnd w:id="29"/>
      <w:bookmarkEnd w:id="30"/>
      <w:bookmarkEnd w:id="31"/>
      <w:bookmarkEnd w:id="32"/>
      <w:bookmarkEnd w:id="33"/>
      <w:bookmarkEnd w:id="34"/>
      <w:bookmarkEnd w:id="35"/>
    </w:p>
    <w:p w:rsidR="00A77DA3" w:rsidRDefault="00A77DA3" w:rsidP="00A77DA3">
      <w:r>
        <w:rPr>
          <w:lang w:eastAsia="ja-JP"/>
        </w:rPr>
        <w:t>Systemic absorption and exposure (both predicted and as measure above) after intravitreal injection of dexamethasone is very low. There is no data on the local concentration of dexamethasone in the posterior chamber, nor how this correlates with efficacy. Data specific to the RVO indication is confirmatory of the PK findings related the already approved indication of DME. In conclusion, the evidence submitted by the sponsor is acceptable.</w:t>
      </w:r>
    </w:p>
    <w:p w:rsidR="00586F98" w:rsidRDefault="00586F98" w:rsidP="00586F98">
      <w:pPr>
        <w:pStyle w:val="Heading2"/>
      </w:pPr>
      <w:bookmarkStart w:id="36" w:name="_Toc6313893"/>
      <w:r>
        <w:lastRenderedPageBreak/>
        <w:t>Pharmacodynamics</w:t>
      </w:r>
      <w:bookmarkEnd w:id="36"/>
    </w:p>
    <w:p w:rsidR="00A77DA3" w:rsidRPr="005F11BA" w:rsidRDefault="00A77DA3" w:rsidP="00A77DA3">
      <w:pPr>
        <w:rPr>
          <w:lang w:eastAsia="ja-JP"/>
        </w:rPr>
      </w:pPr>
      <w:r>
        <w:rPr>
          <w:lang w:eastAsia="ja-JP"/>
        </w:rPr>
        <w:t xml:space="preserve">No new data was submitted. </w:t>
      </w:r>
    </w:p>
    <w:p w:rsidR="00586F98" w:rsidRDefault="00C22678" w:rsidP="00586F98">
      <w:pPr>
        <w:pStyle w:val="Heading2"/>
      </w:pPr>
      <w:bookmarkStart w:id="37" w:name="_Toc6313894"/>
      <w:r>
        <w:t>Dosage selection for the pivotal studies</w:t>
      </w:r>
      <w:bookmarkEnd w:id="37"/>
    </w:p>
    <w:p w:rsidR="00A77DA3" w:rsidRPr="00B47042" w:rsidRDefault="00A77DA3" w:rsidP="00B47042">
      <w:r w:rsidRPr="00B47042">
        <w:t xml:space="preserve">The dose and dosage form used in the pivotal studies was the same as that currently commercially available and currently used in clinical practice for the approved indication of treatment of diabetic macular oedema: DEX 700 (700 </w:t>
      </w:r>
      <w:r w:rsidR="001E2A95" w:rsidRPr="00B47042">
        <w:t>µ</w:t>
      </w:r>
      <w:r w:rsidRPr="00B47042">
        <w:t>g dexamethasone in a solid polymer drug delivery system (DDS)) delivered by intravitreal injection).</w:t>
      </w:r>
    </w:p>
    <w:p w:rsidR="001512E2" w:rsidRPr="00B47042" w:rsidRDefault="00A77DA3" w:rsidP="00B47042">
      <w:r w:rsidRPr="00B47042">
        <w:t>In addition some studies used a DEX 350 dose. This is not a commercially available dose, but was used as a comparator in the evaluation of the safety and efficacy of dexamethasone in a vitreous implant.</w:t>
      </w:r>
    </w:p>
    <w:p w:rsidR="00A77DA3" w:rsidRPr="00B47042" w:rsidRDefault="00A77DA3" w:rsidP="00B47042">
      <w:r w:rsidRPr="00B47042">
        <w:t xml:space="preserve">Due to the intimate and delicate nature of eyes direct experimentation using volunteers was considered unethical and potentially dangerous. In place of preclinical human-eye experimentation, preclinical studies were largely based around a rabbit model of VEGF-induced vascular retinopathy. The final dose selection evaluated tableted and extruded dose forms of dexamethasone at both 350 </w:t>
      </w:r>
      <w:r w:rsidR="001E2A95" w:rsidRPr="00B47042">
        <w:t>µ</w:t>
      </w:r>
      <w:r w:rsidRPr="00B47042">
        <w:t xml:space="preserve">g and 700 </w:t>
      </w:r>
      <w:r w:rsidR="001E2A95" w:rsidRPr="00B47042">
        <w:t>µ</w:t>
      </w:r>
      <w:r w:rsidRPr="00B47042">
        <w:t>g in two rabbit studies. Analyses were performed at 72 hours or 84 days post</w:t>
      </w:r>
      <w:r w:rsidRPr="00B47042">
        <w:noBreakHyphen/>
        <w:t>implantation. Dexamethasone release profiles were demonstrated to be similar with mean intraocular dexamethasone concentrations consistent with the administered dose level. Complete degradation of the biodegradable polymer-matrix was confirmed via necropsy. Ocular toxicity, including evidence of cataract formation was observable at both doses.</w:t>
      </w:r>
    </w:p>
    <w:p w:rsidR="00A77DA3" w:rsidRPr="00B47042" w:rsidRDefault="00A77DA3" w:rsidP="00B47042">
      <w:r w:rsidRPr="00B47042">
        <w:t xml:space="preserve">Based on the above, 700 </w:t>
      </w:r>
      <w:r w:rsidR="001E2A95" w:rsidRPr="00B47042">
        <w:t>µ</w:t>
      </w:r>
      <w:r w:rsidRPr="00B47042">
        <w:t xml:space="preserve">g and 350 </w:t>
      </w:r>
      <w:r w:rsidR="001E2A95" w:rsidRPr="00B47042">
        <w:t>µ</w:t>
      </w:r>
      <w:r w:rsidRPr="00B47042">
        <w:t>g dexamethasone doses were used for the first dose ranging study in humans (Study 06) involving patients with macular oedema of any cause. Analyses of the treatment-response favoured the higher dose.</w:t>
      </w:r>
    </w:p>
    <w:p w:rsidR="00A77DA3" w:rsidRDefault="00A77DA3" w:rsidP="00A77DA3">
      <w:pPr>
        <w:pStyle w:val="Heading3"/>
        <w:tabs>
          <w:tab w:val="clear" w:pos="1135"/>
          <w:tab w:val="num" w:pos="1022"/>
        </w:tabs>
      </w:pPr>
      <w:bookmarkStart w:id="38" w:name="_Toc416353713"/>
      <w:bookmarkStart w:id="39" w:name="_Toc421005266"/>
      <w:bookmarkStart w:id="40" w:name="_Toc432079148"/>
      <w:bookmarkStart w:id="41" w:name="_Toc432080721"/>
      <w:bookmarkStart w:id="42" w:name="_Toc471225116"/>
      <w:bookmarkStart w:id="43" w:name="_Toc6313895"/>
      <w:r>
        <w:t>Evaluator’s conclusions on dos</w:t>
      </w:r>
      <w:r w:rsidRPr="00670FF0">
        <w:t>e finding for the pivotal studies</w:t>
      </w:r>
      <w:bookmarkEnd w:id="38"/>
      <w:bookmarkEnd w:id="39"/>
      <w:bookmarkEnd w:id="40"/>
      <w:bookmarkEnd w:id="41"/>
      <w:bookmarkEnd w:id="42"/>
      <w:bookmarkEnd w:id="43"/>
    </w:p>
    <w:p w:rsidR="00A77DA3" w:rsidRPr="00B47042" w:rsidRDefault="00A77DA3" w:rsidP="00B47042">
      <w:r w:rsidRPr="00B47042">
        <w:t xml:space="preserve">The rationale for the doses selected is reasonable. However, consideration of different doses and dose frequencies would have strengthened the drug investigation program. </w:t>
      </w:r>
    </w:p>
    <w:p w:rsidR="00C22678" w:rsidRDefault="00C22678" w:rsidP="00BE6513">
      <w:pPr>
        <w:pStyle w:val="Heading2"/>
        <w:keepLines w:val="0"/>
        <w:widowControl w:val="0"/>
      </w:pPr>
      <w:bookmarkStart w:id="44" w:name="_Toc6313896"/>
      <w:r>
        <w:t>Clinical efficacy</w:t>
      </w:r>
      <w:bookmarkEnd w:id="44"/>
    </w:p>
    <w:p w:rsidR="0001022F" w:rsidRPr="0001022F" w:rsidRDefault="0001022F" w:rsidP="0001022F">
      <w:r w:rsidRPr="0001022F">
        <w:t>For the indication of macular oedema secondary to RVO, 3 pivotal Phase III randomised sham-control trials were submitted:</w:t>
      </w:r>
    </w:p>
    <w:p w:rsidR="0001022F" w:rsidRPr="0001022F" w:rsidRDefault="0001022F" w:rsidP="0001022F">
      <w:pPr>
        <w:pStyle w:val="ListBullet"/>
      </w:pPr>
      <w:r w:rsidRPr="0001022F">
        <w:t>Study 206207-008</w:t>
      </w:r>
    </w:p>
    <w:p w:rsidR="0001022F" w:rsidRPr="0001022F" w:rsidRDefault="0001022F" w:rsidP="0001022F">
      <w:pPr>
        <w:pStyle w:val="ListBullet"/>
      </w:pPr>
      <w:r w:rsidRPr="0001022F">
        <w:t>Study 206207-009</w:t>
      </w:r>
    </w:p>
    <w:p w:rsidR="00774227" w:rsidRDefault="0001022F" w:rsidP="00774227">
      <w:pPr>
        <w:pStyle w:val="ListBullet"/>
      </w:pPr>
      <w:r w:rsidRPr="0001022F">
        <w:t>Study 206207-020</w:t>
      </w:r>
    </w:p>
    <w:p w:rsidR="00774227" w:rsidRDefault="00774227" w:rsidP="004C3275">
      <w:pPr>
        <w:pStyle w:val="Heading3"/>
        <w:numPr>
          <w:ilvl w:val="1"/>
          <w:numId w:val="5"/>
        </w:numPr>
        <w:ind w:left="907" w:hanging="794"/>
      </w:pPr>
      <w:bookmarkStart w:id="45" w:name="_Toc471225118"/>
      <w:bookmarkStart w:id="46" w:name="_Ref243301615"/>
      <w:bookmarkStart w:id="47" w:name="_Ref271040927"/>
      <w:bookmarkStart w:id="48" w:name="_Ref271040932"/>
      <w:bookmarkStart w:id="49" w:name="_Toc272414653"/>
      <w:bookmarkStart w:id="50" w:name="_Toc290888501"/>
      <w:bookmarkStart w:id="51" w:name="_Toc416353717"/>
      <w:bookmarkStart w:id="52" w:name="_Toc6313897"/>
      <w:r w:rsidRPr="009E20C2">
        <w:lastRenderedPageBreak/>
        <w:t>Macular oedema due to branch retinal vein occlusion (BRVO) or central retinal vein occlusion (CRVO)</w:t>
      </w:r>
      <w:bookmarkEnd w:id="45"/>
      <w:bookmarkEnd w:id="52"/>
    </w:p>
    <w:p w:rsidR="00774227" w:rsidRDefault="00774227" w:rsidP="004C3275">
      <w:pPr>
        <w:pStyle w:val="Heading4"/>
        <w:numPr>
          <w:ilvl w:val="2"/>
          <w:numId w:val="5"/>
        </w:numPr>
      </w:pPr>
      <w:r>
        <w:t>Study 206207-009</w:t>
      </w:r>
    </w:p>
    <w:p w:rsidR="00774227" w:rsidRPr="00FE032B" w:rsidRDefault="00774227" w:rsidP="00A45E9B">
      <w:pPr>
        <w:pStyle w:val="Heading5"/>
      </w:pPr>
      <w:r w:rsidRPr="00937C23">
        <w:t>Study</w:t>
      </w:r>
      <w:r>
        <w:t xml:space="preserve"> design, objectives, locations and dates</w:t>
      </w:r>
    </w:p>
    <w:p w:rsidR="00774227" w:rsidRPr="00B47042" w:rsidRDefault="00774227" w:rsidP="00B47042">
      <w:r w:rsidRPr="00B47042">
        <w:t xml:space="preserve">Studies 206207-009 (along with 206207-008) were Phase III multicentre, masked, sham-controlled trials of the </w:t>
      </w:r>
      <w:r w:rsidR="00747662" w:rsidRPr="00B47042">
        <w:t>Ozurdex</w:t>
      </w:r>
      <w:r w:rsidRPr="00B47042">
        <w:t xml:space="preserve"> (</w:t>
      </w:r>
      <w:r w:rsidR="00B47042" w:rsidRPr="00B47042">
        <w:t>d</w:t>
      </w:r>
      <w:r w:rsidRPr="00B47042">
        <w:t xml:space="preserve">examethasone) Posterior Segment Drug Delivery System (DEX PS DDS) in patients with macula oedema secondary to BRVO or CRVO. The trials were run in parallel with a 6 month initial treatment (IT) period with an additional six-month open-label (OL) extension. The aims of the study were to assess the safety and efficacy of 700 </w:t>
      </w:r>
      <w:r w:rsidR="001E2A95" w:rsidRPr="00B47042">
        <w:t>µ</w:t>
      </w:r>
      <w:r w:rsidRPr="00B47042">
        <w:t>g DEX PS DDS (DEX 700) and 350 </w:t>
      </w:r>
      <w:r w:rsidR="001E2A95" w:rsidRPr="00B47042">
        <w:t>µ</w:t>
      </w:r>
      <w:r w:rsidRPr="00B47042">
        <w:t>g DEX PS DDS (DEX 350) implants compared with Sham DEX PS DDS with patients randomised in a 1:1:1 ratio between treatment groups.</w:t>
      </w:r>
    </w:p>
    <w:p w:rsidR="00774227" w:rsidRPr="00B47042" w:rsidRDefault="00774227" w:rsidP="00B47042">
      <w:r w:rsidRPr="00B47042">
        <w:t>In the OL extension, all eligible patients (regardless of IT randomised treatment group) were treated with DEX 700 and followed up for an addition 6-month period with the primary objective of the OL extension being collection of longer term safety data.</w:t>
      </w:r>
    </w:p>
    <w:p w:rsidR="00774227" w:rsidRPr="00613D2D" w:rsidRDefault="00774227" w:rsidP="00774227">
      <w:pPr>
        <w:pStyle w:val="Heading6"/>
      </w:pPr>
      <w:r w:rsidRPr="00613D2D">
        <w:t>Study objectives</w:t>
      </w:r>
    </w:p>
    <w:p w:rsidR="00774227" w:rsidRPr="00BB1BEE" w:rsidRDefault="00774227" w:rsidP="004C3275">
      <w:pPr>
        <w:pStyle w:val="ListBullet"/>
        <w:numPr>
          <w:ilvl w:val="0"/>
          <w:numId w:val="1"/>
        </w:numPr>
      </w:pPr>
      <w:r w:rsidRPr="00BB1BEE">
        <w:t>To eva</w:t>
      </w:r>
      <w:r>
        <w:t xml:space="preserve">luate the safety and efficacy of </w:t>
      </w:r>
      <w:r w:rsidRPr="00BB1BEE">
        <w:t xml:space="preserve">700 DEX and 350 DEX compared with Sham-control in the treatment of patients with macular </w:t>
      </w:r>
      <w:r>
        <w:t>o</w:t>
      </w:r>
      <w:r w:rsidRPr="00BB1BEE">
        <w:t>edema due to</w:t>
      </w:r>
      <w:r>
        <w:t xml:space="preserve"> BRVO</w:t>
      </w:r>
      <w:r w:rsidRPr="00BB1BEE">
        <w:t xml:space="preserve"> or </w:t>
      </w:r>
      <w:r>
        <w:t>CRVO</w:t>
      </w:r>
      <w:r w:rsidRPr="00BB1BEE">
        <w:t>.</w:t>
      </w:r>
    </w:p>
    <w:p w:rsidR="00774227" w:rsidRPr="00BB1BEE" w:rsidRDefault="00774227" w:rsidP="004C3275">
      <w:pPr>
        <w:pStyle w:val="ListBullet"/>
        <w:numPr>
          <w:ilvl w:val="0"/>
          <w:numId w:val="1"/>
        </w:numPr>
      </w:pPr>
      <w:r w:rsidRPr="00BB1BEE">
        <w:t xml:space="preserve">To evaluate the safety and efficacy of the DEX PS DDS applicator system in patients with macular </w:t>
      </w:r>
      <w:r>
        <w:t>o</w:t>
      </w:r>
      <w:r w:rsidRPr="00BB1BEE">
        <w:t>edema due to BRVO or CRVO.</w:t>
      </w:r>
    </w:p>
    <w:p w:rsidR="00774227" w:rsidRPr="00BB1BEE" w:rsidRDefault="00774227" w:rsidP="004C3275">
      <w:pPr>
        <w:pStyle w:val="ListBullet"/>
        <w:numPr>
          <w:ilvl w:val="0"/>
          <w:numId w:val="1"/>
        </w:numPr>
      </w:pPr>
      <w:r w:rsidRPr="00BB1BEE">
        <w:t xml:space="preserve">To assess the safety of 700 DEX via the DEX PS DDS applicator system for an additional 6 months in patients who qualify for treatment </w:t>
      </w:r>
      <w:r>
        <w:t xml:space="preserve">in the OL </w:t>
      </w:r>
      <w:r w:rsidRPr="00BB1BEE">
        <w:t>extension.</w:t>
      </w:r>
    </w:p>
    <w:p w:rsidR="00774227" w:rsidRDefault="00774227" w:rsidP="00774227">
      <w:pPr>
        <w:pStyle w:val="Heading6"/>
        <w:rPr>
          <w:lang w:eastAsia="ja-JP"/>
        </w:rPr>
      </w:pPr>
      <w:r w:rsidRPr="00613D2D">
        <w:t>Locations</w:t>
      </w:r>
    </w:p>
    <w:p w:rsidR="00774227" w:rsidRDefault="00774227" w:rsidP="00774227">
      <w:pPr>
        <w:rPr>
          <w:lang w:eastAsia="ja-JP"/>
        </w:rPr>
      </w:pPr>
      <w:r w:rsidRPr="001753B0">
        <w:rPr>
          <w:lang w:eastAsia="ja-JP"/>
        </w:rPr>
        <w:t>82 study centres in a total of 13 countries each randomised at least one patient. Countries included UK, New Zealand, Spain, Brazil, USA, South Korea and Hong Kong.</w:t>
      </w:r>
    </w:p>
    <w:p w:rsidR="00774227" w:rsidRDefault="00774227" w:rsidP="00774227">
      <w:pPr>
        <w:pStyle w:val="Heading6"/>
        <w:rPr>
          <w:lang w:eastAsia="ja-JP"/>
        </w:rPr>
      </w:pPr>
      <w:r w:rsidRPr="00613D2D">
        <w:rPr>
          <w:lang w:eastAsia="ja-JP"/>
        </w:rPr>
        <w:t>Dates</w:t>
      </w:r>
    </w:p>
    <w:p w:rsidR="00774227" w:rsidRPr="00AA6F8E" w:rsidRDefault="00774227" w:rsidP="00774227">
      <w:r w:rsidRPr="00AA6F8E">
        <w:t xml:space="preserve">The study initiation date (date first patient enrolled) was 18 November 2004 with completion </w:t>
      </w:r>
      <w:r>
        <w:t>(</w:t>
      </w:r>
      <w:r w:rsidRPr="00AA6F8E">
        <w:t xml:space="preserve">date </w:t>
      </w:r>
      <w:r>
        <w:t>the last patient c</w:t>
      </w:r>
      <w:r w:rsidRPr="00AA6F8E">
        <w:t xml:space="preserve">ompleted </w:t>
      </w:r>
      <w:r>
        <w:t>the 12-month visit) was</w:t>
      </w:r>
      <w:r w:rsidRPr="00AA6F8E">
        <w:t xml:space="preserve"> 5 September 2008</w:t>
      </w:r>
      <w:r>
        <w:t>.</w:t>
      </w:r>
    </w:p>
    <w:p w:rsidR="00774227" w:rsidRPr="00613D2D" w:rsidRDefault="00774227" w:rsidP="00A45E9B">
      <w:pPr>
        <w:pStyle w:val="Heading5"/>
      </w:pPr>
      <w:r w:rsidRPr="00613D2D">
        <w:t>Inclusion and exclusion criteria</w:t>
      </w:r>
    </w:p>
    <w:p w:rsidR="00774227" w:rsidRPr="00613D2D" w:rsidRDefault="00774227" w:rsidP="00774227">
      <w:pPr>
        <w:pStyle w:val="Heading6"/>
      </w:pPr>
      <w:r>
        <w:t>I</w:t>
      </w:r>
      <w:r w:rsidRPr="00613D2D">
        <w:t>nclusion criteria</w:t>
      </w:r>
    </w:p>
    <w:p w:rsidR="00774227" w:rsidRPr="00613D2D" w:rsidRDefault="00774227" w:rsidP="001512E2">
      <w:pPr>
        <w:pStyle w:val="ListBullet"/>
        <w:rPr>
          <w:lang w:eastAsia="ja-JP"/>
        </w:rPr>
      </w:pPr>
      <w:r w:rsidRPr="00613D2D">
        <w:rPr>
          <w:lang w:eastAsia="ja-JP"/>
        </w:rPr>
        <w:t>≥ 18 years of age</w:t>
      </w:r>
    </w:p>
    <w:p w:rsidR="00774227" w:rsidRPr="00613D2D" w:rsidRDefault="00774227" w:rsidP="001512E2">
      <w:pPr>
        <w:pStyle w:val="ListBullet"/>
        <w:rPr>
          <w:lang w:eastAsia="ja-JP"/>
        </w:rPr>
      </w:pPr>
      <w:r w:rsidRPr="00613D2D">
        <w:rPr>
          <w:lang w:eastAsia="ja-JP"/>
        </w:rPr>
        <w:t xml:space="preserve">Macular </w:t>
      </w:r>
      <w:r>
        <w:rPr>
          <w:lang w:eastAsia="ja-JP"/>
        </w:rPr>
        <w:t>oedema in study-</w:t>
      </w:r>
      <w:r w:rsidRPr="00613D2D">
        <w:rPr>
          <w:lang w:eastAsia="ja-JP"/>
        </w:rPr>
        <w:t>eye involving the centre of the macula due to BRVO (6 weeks to 12 months duration) or CRVO (6 weeks to 9 months duration)</w:t>
      </w:r>
    </w:p>
    <w:p w:rsidR="00774227" w:rsidRPr="00613D2D" w:rsidRDefault="00774227" w:rsidP="001512E2">
      <w:pPr>
        <w:pStyle w:val="ListBullet"/>
        <w:rPr>
          <w:lang w:eastAsia="ja-JP"/>
        </w:rPr>
      </w:pPr>
      <w:r w:rsidRPr="00613D2D">
        <w:rPr>
          <w:lang w:eastAsia="ja-JP"/>
        </w:rPr>
        <w:t xml:space="preserve">Visual acuity </w:t>
      </w:r>
      <w:r>
        <w:rPr>
          <w:lang w:eastAsia="ja-JP"/>
        </w:rPr>
        <w:t>decrease attributable to oedema, with b</w:t>
      </w:r>
      <w:r w:rsidRPr="00613D2D">
        <w:rPr>
          <w:lang w:eastAsia="ja-JP"/>
        </w:rPr>
        <w:t>est-corrected visual acuity (BCVA) score between 34 and 68 letters by Early Treatment of Diabetic Retinopathy Study (ETDRS)</w:t>
      </w:r>
      <w:r>
        <w:rPr>
          <w:lang w:eastAsia="ja-JP"/>
        </w:rPr>
        <w:t xml:space="preserve"> method</w:t>
      </w:r>
    </w:p>
    <w:p w:rsidR="00774227" w:rsidRPr="00613D2D" w:rsidRDefault="00774227" w:rsidP="001512E2">
      <w:pPr>
        <w:pStyle w:val="ListBullet"/>
        <w:rPr>
          <w:lang w:eastAsia="ja-JP"/>
        </w:rPr>
      </w:pPr>
      <w:r w:rsidRPr="00613D2D">
        <w:rPr>
          <w:lang w:eastAsia="ja-JP"/>
        </w:rPr>
        <w:t xml:space="preserve">Retinal thickness of ≥ 300 </w:t>
      </w:r>
      <w:r w:rsidR="001E2A95">
        <w:rPr>
          <w:lang w:eastAsia="ja-JP"/>
        </w:rPr>
        <w:t>µ</w:t>
      </w:r>
      <w:r w:rsidRPr="00613D2D">
        <w:rPr>
          <w:lang w:eastAsia="ja-JP"/>
        </w:rPr>
        <w:t>m by optical coherence tomography (OCT)</w:t>
      </w:r>
    </w:p>
    <w:p w:rsidR="00774227" w:rsidRPr="00613D2D" w:rsidRDefault="00774227" w:rsidP="001512E2">
      <w:pPr>
        <w:pStyle w:val="ListBullet"/>
        <w:rPr>
          <w:lang w:eastAsia="ja-JP"/>
        </w:rPr>
      </w:pPr>
      <w:r w:rsidRPr="00613D2D">
        <w:rPr>
          <w:lang w:eastAsia="ja-JP"/>
        </w:rPr>
        <w:t>Negative urine pregnancy test for females of child-bearing potential.</w:t>
      </w:r>
    </w:p>
    <w:p w:rsidR="00774227" w:rsidRPr="00613D2D" w:rsidRDefault="00774227" w:rsidP="001512E2">
      <w:pPr>
        <w:pStyle w:val="ListBullet"/>
        <w:rPr>
          <w:lang w:eastAsia="ja-JP"/>
        </w:rPr>
      </w:pPr>
      <w:r>
        <w:rPr>
          <w:lang w:eastAsia="ja-JP"/>
        </w:rPr>
        <w:t>E</w:t>
      </w:r>
      <w:r w:rsidRPr="00613D2D">
        <w:rPr>
          <w:lang w:eastAsia="ja-JP"/>
        </w:rPr>
        <w:t>xclusion criteria</w:t>
      </w:r>
    </w:p>
    <w:p w:rsidR="00774227" w:rsidRPr="00613D2D" w:rsidRDefault="00774227" w:rsidP="001512E2">
      <w:pPr>
        <w:pStyle w:val="ListBullet"/>
        <w:rPr>
          <w:lang w:eastAsia="ja-JP"/>
        </w:rPr>
      </w:pPr>
      <w:r w:rsidRPr="00613D2D">
        <w:rPr>
          <w:lang w:eastAsia="ja-JP"/>
        </w:rPr>
        <w:t>Uncontrolled systemic disease</w:t>
      </w:r>
    </w:p>
    <w:p w:rsidR="00774227" w:rsidRPr="00613D2D" w:rsidRDefault="00774227" w:rsidP="001512E2">
      <w:pPr>
        <w:pStyle w:val="ListBullet"/>
        <w:rPr>
          <w:lang w:eastAsia="ja-JP"/>
        </w:rPr>
      </w:pPr>
      <w:r w:rsidRPr="00613D2D">
        <w:rPr>
          <w:lang w:eastAsia="ja-JP"/>
        </w:rPr>
        <w:t>Any ocular condition that would prevent a 15-letter improvement in visual acuity</w:t>
      </w:r>
    </w:p>
    <w:p w:rsidR="00774227" w:rsidRPr="001512E2" w:rsidRDefault="00774227" w:rsidP="001512E2">
      <w:pPr>
        <w:pStyle w:val="ListBullet"/>
      </w:pPr>
      <w:r w:rsidRPr="001512E2">
        <w:lastRenderedPageBreak/>
        <w:t>Presence of epiretinal membrane, ocular hypertension, aphakia or anterior chamber intraocular lens, diabetic retinopathy, presence of retinal, disc or choroidal neovascularization or rubeosis iridis</w:t>
      </w:r>
    </w:p>
    <w:p w:rsidR="00774227" w:rsidRPr="001512E2" w:rsidRDefault="00774227" w:rsidP="001512E2">
      <w:pPr>
        <w:pStyle w:val="ListBullet"/>
      </w:pPr>
      <w:r w:rsidRPr="001512E2">
        <w:t>Active ocular infection or toxoplasmosis</w:t>
      </w:r>
    </w:p>
    <w:p w:rsidR="00774227" w:rsidRPr="001512E2" w:rsidRDefault="00774227" w:rsidP="001512E2">
      <w:pPr>
        <w:pStyle w:val="ListBullet"/>
      </w:pPr>
      <w:r w:rsidRPr="001512E2">
        <w:t>Visible scleral thinning or ectasia</w:t>
      </w:r>
    </w:p>
    <w:p w:rsidR="00774227" w:rsidRPr="001512E2" w:rsidRDefault="00774227" w:rsidP="001512E2">
      <w:pPr>
        <w:pStyle w:val="ListBullet"/>
      </w:pPr>
      <w:r w:rsidRPr="001512E2">
        <w:t>Media opacity</w:t>
      </w:r>
    </w:p>
    <w:p w:rsidR="00774227" w:rsidRPr="001512E2" w:rsidRDefault="00774227" w:rsidP="001512E2">
      <w:pPr>
        <w:pStyle w:val="ListBullet"/>
      </w:pPr>
      <w:r w:rsidRPr="001512E2">
        <w:t>Past intraocular surgery or need for ocular surgery or laser</w:t>
      </w:r>
    </w:p>
    <w:p w:rsidR="00774227" w:rsidRPr="001512E2" w:rsidRDefault="00774227" w:rsidP="001512E2">
      <w:pPr>
        <w:pStyle w:val="ListBullet"/>
      </w:pPr>
      <w:r w:rsidRPr="001512E2">
        <w:t>Haemodilution</w:t>
      </w:r>
    </w:p>
    <w:p w:rsidR="00774227" w:rsidRPr="001512E2" w:rsidRDefault="00774227" w:rsidP="001512E2">
      <w:pPr>
        <w:pStyle w:val="ListBullet"/>
      </w:pPr>
      <w:r w:rsidRPr="001512E2">
        <w:t>Use of specific medicines: Periocular depot or systemic steroids, carbonic anhydrase inhibitors, immunosuppressants/modulators, antimetabolites, alkylating agents, topical ophthalmic steroids or topical non-steroidal anti-inflammatory drugs, warfarin, heparin and enoxaparin</w:t>
      </w:r>
    </w:p>
    <w:p w:rsidR="00774227" w:rsidRPr="00613D2D" w:rsidRDefault="00774227" w:rsidP="001512E2">
      <w:pPr>
        <w:pStyle w:val="ListBullet"/>
        <w:rPr>
          <w:lang w:eastAsia="ja-JP"/>
        </w:rPr>
      </w:pPr>
      <w:r w:rsidRPr="00613D2D">
        <w:rPr>
          <w:lang w:eastAsia="ja-JP"/>
        </w:rPr>
        <w:t>BCVA &lt; 34 letters in non-study eye</w:t>
      </w:r>
    </w:p>
    <w:p w:rsidR="00774227" w:rsidRPr="00613D2D" w:rsidRDefault="00774227" w:rsidP="001512E2">
      <w:pPr>
        <w:pStyle w:val="ListBullet"/>
        <w:rPr>
          <w:lang w:eastAsia="ja-JP"/>
        </w:rPr>
      </w:pPr>
      <w:r w:rsidRPr="00613D2D">
        <w:rPr>
          <w:lang w:eastAsia="ja-JP"/>
        </w:rPr>
        <w:t>History of intraocular pressure (IOP) elevation  in response to steroids</w:t>
      </w:r>
    </w:p>
    <w:p w:rsidR="00774227" w:rsidRPr="00613D2D" w:rsidRDefault="00774227" w:rsidP="001512E2">
      <w:pPr>
        <w:pStyle w:val="ListBullet"/>
        <w:rPr>
          <w:lang w:eastAsia="ja-JP"/>
        </w:rPr>
      </w:pPr>
      <w:r w:rsidRPr="00613D2D">
        <w:rPr>
          <w:lang w:eastAsia="ja-JP"/>
        </w:rPr>
        <w:t>Glaucoma or optic nerve head change</w:t>
      </w:r>
    </w:p>
    <w:p w:rsidR="00774227" w:rsidRPr="00613D2D" w:rsidRDefault="00774227" w:rsidP="001512E2">
      <w:pPr>
        <w:pStyle w:val="ListBullet"/>
        <w:rPr>
          <w:lang w:eastAsia="ja-JP"/>
        </w:rPr>
      </w:pPr>
      <w:r w:rsidRPr="00613D2D">
        <w:rPr>
          <w:lang w:eastAsia="ja-JP"/>
        </w:rPr>
        <w:t>Herpetic infection or adnexa</w:t>
      </w:r>
    </w:p>
    <w:p w:rsidR="00774227" w:rsidRPr="00613D2D" w:rsidRDefault="00774227" w:rsidP="001512E2">
      <w:pPr>
        <w:pStyle w:val="ListBullet"/>
        <w:rPr>
          <w:lang w:eastAsia="ja-JP"/>
        </w:rPr>
      </w:pPr>
      <w:r w:rsidRPr="00613D2D">
        <w:rPr>
          <w:lang w:eastAsia="ja-JP"/>
        </w:rPr>
        <w:t>Central serous chorioretinopathy</w:t>
      </w:r>
    </w:p>
    <w:p w:rsidR="00774227" w:rsidRPr="00613D2D" w:rsidRDefault="00774227" w:rsidP="001512E2">
      <w:pPr>
        <w:pStyle w:val="ListBullet"/>
        <w:rPr>
          <w:lang w:eastAsia="ja-JP"/>
        </w:rPr>
      </w:pPr>
      <w:r w:rsidRPr="00613D2D">
        <w:rPr>
          <w:lang w:eastAsia="ja-JP"/>
        </w:rPr>
        <w:t>Pars plana vitrectomy</w:t>
      </w:r>
    </w:p>
    <w:p w:rsidR="00774227" w:rsidRPr="00613D2D" w:rsidRDefault="00774227" w:rsidP="001512E2">
      <w:pPr>
        <w:pStyle w:val="ListBullet"/>
        <w:rPr>
          <w:lang w:eastAsia="ja-JP"/>
        </w:rPr>
      </w:pPr>
      <w:r w:rsidRPr="00613D2D">
        <w:rPr>
          <w:lang w:eastAsia="ja-JP"/>
        </w:rPr>
        <w:t>Use of other intravitreal steroids.</w:t>
      </w:r>
    </w:p>
    <w:p w:rsidR="00774227" w:rsidRPr="00613D2D" w:rsidRDefault="00774227" w:rsidP="001512E2">
      <w:pPr>
        <w:pStyle w:val="ListBullet"/>
        <w:rPr>
          <w:lang w:eastAsia="ja-JP"/>
        </w:rPr>
      </w:pPr>
      <w:r w:rsidRPr="00613D2D">
        <w:rPr>
          <w:lang w:eastAsia="ja-JP"/>
        </w:rPr>
        <w:t xml:space="preserve">Eligibility criteria </w:t>
      </w:r>
      <w:r>
        <w:rPr>
          <w:lang w:eastAsia="ja-JP"/>
        </w:rPr>
        <w:t>(Open label</w:t>
      </w:r>
      <w:r w:rsidRPr="00613D2D">
        <w:rPr>
          <w:lang w:eastAsia="ja-JP"/>
        </w:rPr>
        <w:t xml:space="preserve"> extension</w:t>
      </w:r>
      <w:r>
        <w:rPr>
          <w:lang w:eastAsia="ja-JP"/>
        </w:rPr>
        <w:t>)</w:t>
      </w:r>
    </w:p>
    <w:p w:rsidR="00774227" w:rsidRPr="00AA6F8E" w:rsidRDefault="00774227" w:rsidP="00774227">
      <w:pPr>
        <w:rPr>
          <w:lang w:eastAsia="ja-JP"/>
        </w:rPr>
      </w:pPr>
      <w:r w:rsidRPr="00613D2D">
        <w:t xml:space="preserve">Patients were eligible for the 6-month </w:t>
      </w:r>
      <w:r>
        <w:t>OL extension</w:t>
      </w:r>
      <w:r w:rsidRPr="00613D2D">
        <w:t xml:space="preserve"> </w:t>
      </w:r>
      <w:r>
        <w:t>provided</w:t>
      </w:r>
      <w:r>
        <w:rPr>
          <w:lang w:eastAsia="ja-JP"/>
        </w:rPr>
        <w:t xml:space="preserve"> </w:t>
      </w:r>
      <w:r w:rsidRPr="00AA6F8E">
        <w:t xml:space="preserve">BCVA was &lt; 84 letters (approximately 20/20 Snellen equivalent) or retinal thickness by OCT was &gt; 250 </w:t>
      </w:r>
      <w:r w:rsidR="001E2A95">
        <w:t>µ</w:t>
      </w:r>
      <w:r w:rsidRPr="00AA6F8E">
        <w:t>m in the central 1 mm macular subfield</w:t>
      </w:r>
      <w:r>
        <w:rPr>
          <w:lang w:eastAsia="ja-JP"/>
        </w:rPr>
        <w:t xml:space="preserve"> and </w:t>
      </w:r>
      <w:r>
        <w:t>i</w:t>
      </w:r>
      <w:r w:rsidRPr="00AA6F8E">
        <w:t>n the investigator’s opinion, the procedure would not put the patient at significant risk.</w:t>
      </w:r>
    </w:p>
    <w:p w:rsidR="00774227" w:rsidRPr="00AA6F8E" w:rsidRDefault="00774227" w:rsidP="00774227">
      <w:r w:rsidRPr="00AA6F8E">
        <w:t xml:space="preserve">Patients were not informed of their </w:t>
      </w:r>
      <w:r>
        <w:t>IT randomised</w:t>
      </w:r>
      <w:r w:rsidRPr="00AA6F8E">
        <w:t xml:space="preserve"> when recruited at IT visit Day 180.</w:t>
      </w:r>
    </w:p>
    <w:p w:rsidR="00774227" w:rsidRPr="00416CB7" w:rsidRDefault="00774227" w:rsidP="00A45E9B">
      <w:pPr>
        <w:pStyle w:val="Heading5"/>
      </w:pPr>
      <w:r w:rsidRPr="00416CB7">
        <w:t>Study treatments</w:t>
      </w:r>
    </w:p>
    <w:p w:rsidR="00774227" w:rsidRPr="00613D2D" w:rsidRDefault="00774227" w:rsidP="00774227">
      <w:r w:rsidRPr="00416CB7">
        <w:t xml:space="preserve">The three study treatment groups </w:t>
      </w:r>
      <w:r>
        <w:t xml:space="preserve">in the IT period </w:t>
      </w:r>
      <w:r w:rsidRPr="00416CB7">
        <w:t xml:space="preserve">were: </w:t>
      </w:r>
      <w:r>
        <w:t>DEX 700 (</w:t>
      </w:r>
      <w:r w:rsidRPr="005F4079">
        <w:t xml:space="preserve">700 </w:t>
      </w:r>
      <w:r w:rsidR="001E2A95">
        <w:t>µ</w:t>
      </w:r>
      <w:r>
        <w:t>g dexamethasone)</w:t>
      </w:r>
      <w:r w:rsidRPr="00416CB7">
        <w:t xml:space="preserve">, </w:t>
      </w:r>
      <w:r>
        <w:t xml:space="preserve">DEX </w:t>
      </w:r>
      <w:r w:rsidRPr="00416CB7">
        <w:t>350</w:t>
      </w:r>
      <w:r>
        <w:t xml:space="preserve"> (350</w:t>
      </w:r>
      <w:r w:rsidRPr="005F4079">
        <w:t xml:space="preserve"> </w:t>
      </w:r>
      <w:r w:rsidR="001E2A95">
        <w:t>µ</w:t>
      </w:r>
      <w:r>
        <w:t>g dexamethasone)</w:t>
      </w:r>
      <w:r w:rsidRPr="00416CB7">
        <w:t xml:space="preserve"> </w:t>
      </w:r>
      <w:r>
        <w:t>and Sham-treatment</w:t>
      </w:r>
      <w:r w:rsidRPr="00416CB7">
        <w:t xml:space="preserve"> (control). All treatments were given following randomisation on Day 0 via th</w:t>
      </w:r>
      <w:r>
        <w:t>e DEX PS DDS applicator system.</w:t>
      </w:r>
    </w:p>
    <w:p w:rsidR="00774227" w:rsidRPr="00F26B50" w:rsidRDefault="00774227" w:rsidP="00774227">
      <w:pPr>
        <w:pStyle w:val="Heading6"/>
      </w:pPr>
      <w:r w:rsidRPr="00613D2D">
        <w:t>Tr</w:t>
      </w:r>
      <w:r>
        <w:t>eatment procedure</w:t>
      </w:r>
    </w:p>
    <w:p w:rsidR="00774227" w:rsidRDefault="00774227" w:rsidP="00774227">
      <w:r w:rsidRPr="00613D2D">
        <w:t>Study treatment was inserted into the vitreous through the pars plana into t</w:t>
      </w:r>
      <w:r>
        <w:t>he study eye</w:t>
      </w:r>
      <w:r w:rsidRPr="00613D2D">
        <w:t xml:space="preserve"> using t</w:t>
      </w:r>
      <w:r>
        <w:t>he DEX PS DDS applicator system. I</w:t>
      </w:r>
      <w:r w:rsidRPr="00613D2D">
        <w:t>n th</w:t>
      </w:r>
      <w:r>
        <w:t xml:space="preserve">e case of sham-treatment, </w:t>
      </w:r>
      <w:r w:rsidRPr="00613D2D">
        <w:t>a needleless DDS applicator pushed against the conjunctiva. This was conducted by the treating investigator (either an ophthalmic surgeon or suitably trained doctor qualified to give ophthalmic injections) in a surgical</w:t>
      </w:r>
      <w:r>
        <w:t xml:space="preserve"> suite or</w:t>
      </w:r>
      <w:r w:rsidRPr="00613D2D">
        <w:t xml:space="preserve"> office using</w:t>
      </w:r>
      <w:r>
        <w:t xml:space="preserve"> a standard</w:t>
      </w:r>
      <w:r w:rsidRPr="00613D2D">
        <w:t xml:space="preserve"> sterile technique. All patients, including the needleless Sham-control group, received a combination of subconjunctival</w:t>
      </w:r>
      <w:r>
        <w:t xml:space="preserve"> and topical local anaesthesia.</w:t>
      </w:r>
    </w:p>
    <w:p w:rsidR="00774227" w:rsidRDefault="00774227" w:rsidP="00774227">
      <w:pPr>
        <w:pStyle w:val="Heading6"/>
      </w:pPr>
      <w:r>
        <w:t>Pre- and post-treatment care</w:t>
      </w:r>
    </w:p>
    <w:p w:rsidR="00774227" w:rsidRDefault="00774227" w:rsidP="00774227">
      <w:r>
        <w:t>At the visit preceding the study treatment procedure, the patient was given a bottle of gatifloxacin or ofloxacin as an ophthalmic solution (where available) or otherwise an ophthalmic fluoroquinolone (such as ciprofloxacin) or an ophthalmic aminoglycoside (such as gentamicin or tobramycin). Patients were directed to instil one drop</w:t>
      </w:r>
      <w:r w:rsidRPr="00F26B50">
        <w:t xml:space="preserve"> four times </w:t>
      </w:r>
      <w:r w:rsidRPr="00F26B50">
        <w:lastRenderedPageBreak/>
        <w:t>daily</w:t>
      </w:r>
      <w:r>
        <w:t xml:space="preserve"> (QDS)</w:t>
      </w:r>
      <w:r w:rsidRPr="00F26B50">
        <w:t xml:space="preserve"> for the period of 3 days pre-proced</w:t>
      </w:r>
      <w:r>
        <w:t>ure until 3 days post-procedure (to include the day of study procedure itself).</w:t>
      </w:r>
    </w:p>
    <w:p w:rsidR="00774227" w:rsidRPr="002A29F9" w:rsidRDefault="00774227" w:rsidP="00774227">
      <w:pPr>
        <w:pStyle w:val="Heading6"/>
      </w:pPr>
      <w:r>
        <w:t>Open label extension</w:t>
      </w:r>
    </w:p>
    <w:p w:rsidR="00774227" w:rsidRDefault="00774227" w:rsidP="00774227">
      <w:r w:rsidRPr="00613D2D">
        <w:t xml:space="preserve">Beyond the 6-month IT period, all patients qualifying and entering into the </w:t>
      </w:r>
      <w:r>
        <w:t>OL extension</w:t>
      </w:r>
      <w:r w:rsidRPr="00613D2D">
        <w:t xml:space="preserve"> rec</w:t>
      </w:r>
      <w:r>
        <w:t>eived DEX 700 at visit IT Day 180, and were followed up for a further 6 months.</w:t>
      </w:r>
    </w:p>
    <w:p w:rsidR="00774227" w:rsidRDefault="00774227" w:rsidP="00774227">
      <w:pPr>
        <w:pStyle w:val="Heading6"/>
      </w:pPr>
      <w:r>
        <w:t>Prior and concomitant therapy</w:t>
      </w:r>
    </w:p>
    <w:p w:rsidR="00DB5741" w:rsidRDefault="00774227" w:rsidP="001A6390">
      <w:r>
        <w:t xml:space="preserve">Therapy necessary for the patient's welfare could be given at the discretion of the investigator. Dosages were to remain constant throughout the course of the trial for those concurrent medications that may have affected the study outcomes. </w:t>
      </w:r>
      <w:r w:rsidRPr="007F5880">
        <w:t>The decision to administer a prohibited medication/treatment was done with the safety of the patient as the primary consideration. When possible, Allergan</w:t>
      </w:r>
      <w:r>
        <w:t xml:space="preserve"> (the sponsor)</w:t>
      </w:r>
      <w:r w:rsidRPr="007F5880">
        <w:t xml:space="preserve"> was to be notified before the prohibited medication/treatment was administered.</w:t>
      </w:r>
    </w:p>
    <w:p w:rsidR="00DB5741" w:rsidRDefault="00DB5741" w:rsidP="004E2C51">
      <w:pPr>
        <w:pStyle w:val="Tabletitle"/>
        <w:numPr>
          <w:ilvl w:val="0"/>
          <w:numId w:val="21"/>
        </w:numPr>
        <w:spacing w:after="120" w:line="240" w:lineRule="auto"/>
        <w:ind w:left="1134" w:hanging="1134"/>
      </w:pPr>
      <w:r w:rsidRPr="00233A20">
        <w:t>Approved concomitant medication and surgical interventions (Study 009)</w:t>
      </w:r>
    </w:p>
    <w:tbl>
      <w:tblPr>
        <w:tblStyle w:val="TableTGAblue"/>
        <w:tblW w:w="0" w:type="auto"/>
        <w:tblInd w:w="108" w:type="dxa"/>
        <w:tblLook w:val="04A0" w:firstRow="1" w:lastRow="0" w:firstColumn="1" w:lastColumn="0" w:noHBand="0" w:noVBand="1"/>
        <w:tblDescription w:val="Approved concomitant medication and surgical interventions (Study 009)"/>
      </w:tblPr>
      <w:tblGrid>
        <w:gridCol w:w="2837"/>
        <w:gridCol w:w="5775"/>
      </w:tblGrid>
      <w:tr w:rsidR="001E2A95" w:rsidTr="00AB599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7" w:type="dxa"/>
          </w:tcPr>
          <w:p w:rsidR="001E2A95" w:rsidRDefault="001E2A95" w:rsidP="00233A20">
            <w:r>
              <w:t>Indication or treatment</w:t>
            </w:r>
          </w:p>
        </w:tc>
        <w:tc>
          <w:tcPr>
            <w:tcW w:w="5775" w:type="dxa"/>
          </w:tcPr>
          <w:p w:rsidR="001E2A95" w:rsidRDefault="001E2A95" w:rsidP="00233A20">
            <w:pPr>
              <w:cnfStyle w:val="100000000000" w:firstRow="1" w:lastRow="0" w:firstColumn="0" w:lastColumn="0" w:oddVBand="0" w:evenVBand="0" w:oddHBand="0" w:evenHBand="0" w:firstRowFirstColumn="0" w:firstRowLastColumn="0" w:lastRowFirstColumn="0" w:lastRowLastColumn="0"/>
            </w:pPr>
            <w:r>
              <w:t>Use in study</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Treatment of elevated lOP</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 xml:space="preserve">For elevated lOP </w:t>
            </w:r>
            <w:r>
              <w:rPr>
                <w:sz w:val="20"/>
              </w:rPr>
              <w:t xml:space="preserve">≤ </w:t>
            </w:r>
            <w:r w:rsidRPr="00AA6F8E">
              <w:rPr>
                <w:sz w:val="20"/>
              </w:rPr>
              <w:t>30 mm Hg, treatment was at the investigator’s discretion based on risk factors for optic nerve damage. If lOP &gt; 30 mm Hg consultation with a glaucoma specialist was recommended.</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Cataract surgery</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 xml:space="preserve">The decision to perform cataract surgery was left to the discretion of the investigator and the patient. Efforts were to be made to avoid cataract surgery within 30 days prior to the </w:t>
            </w:r>
            <w:r>
              <w:rPr>
                <w:sz w:val="20"/>
              </w:rPr>
              <w:t>IT Day 180</w:t>
            </w:r>
            <w:r w:rsidRPr="00AA6F8E">
              <w:rPr>
                <w:sz w:val="20"/>
              </w:rPr>
              <w:t xml:space="preserve"> visit (open-label treatment study medication procedure). Topical steroids or NSAIDs were allowed up to 6 weeks following cataract surgeries.</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Non-study eye inflammation</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Topical steroids and periocular or intravitreal steroid injections could be used for an inflammatory condition in the non-study eye.</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NSAIDs (systemic)</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If systemic NSAIDs were regularly used prior to enrolment, these medications may have continued during the study.</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Carbonic anhydrase inhibitors</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CA inhibitors were permitted if needed to treat elevated lOP that developed during the course of the study.</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Prohibited medications</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 xml:space="preserve">Intravitreal (other than study medication), periocular or topical steroids or ophthalmic NSAIDs in the study eye (topical ophthalmic NSAIDS or steroids were only permitted post-cataract surgery) </w:t>
            </w:r>
          </w:p>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Systemic steroids</w:t>
            </w:r>
          </w:p>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Dexamethasone during the first 90 days of study for any patients participating in therapeutic drug monitoring</w:t>
            </w:r>
          </w:p>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 xml:space="preserve">Immunosuppressants (such as cyclosporine) or immunomodulators (such as </w:t>
            </w:r>
            <w:r>
              <w:rPr>
                <w:sz w:val="20"/>
              </w:rPr>
              <w:t>γ-</w:t>
            </w:r>
            <w:r w:rsidRPr="00AA6F8E">
              <w:rPr>
                <w:sz w:val="20"/>
              </w:rPr>
              <w:t>interferon)</w:t>
            </w:r>
          </w:p>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Anti</w:t>
            </w:r>
            <w:r>
              <w:rPr>
                <w:sz w:val="20"/>
              </w:rPr>
              <w:t>-</w:t>
            </w:r>
            <w:r w:rsidRPr="00AA6F8E">
              <w:rPr>
                <w:sz w:val="20"/>
              </w:rPr>
              <w:t>metabolites and alkylating agents (such as 5-FU or cyclophosphamide)</w:t>
            </w:r>
          </w:p>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Warfarin, heparin, enoxaparin or similar anticoagulants</w:t>
            </w:r>
          </w:p>
        </w:tc>
      </w:tr>
      <w:tr w:rsidR="001E2A95" w:rsidRPr="00AA6F8E" w:rsidTr="001E2A95">
        <w:tc>
          <w:tcPr>
            <w:cnfStyle w:val="001000000000" w:firstRow="0" w:lastRow="0" w:firstColumn="1" w:lastColumn="0" w:oddVBand="0" w:evenVBand="0" w:oddHBand="0" w:evenHBand="0" w:firstRowFirstColumn="0" w:firstRowLastColumn="0" w:lastRowFirstColumn="0" w:lastRowLastColumn="0"/>
            <w:tcW w:w="2837" w:type="dxa"/>
          </w:tcPr>
          <w:p w:rsidR="001E2A95" w:rsidRPr="00AA6F8E" w:rsidRDefault="001E2A95" w:rsidP="00233A20">
            <w:pPr>
              <w:spacing w:before="0" w:after="0" w:line="240" w:lineRule="auto"/>
              <w:rPr>
                <w:sz w:val="20"/>
              </w:rPr>
            </w:pPr>
            <w:r w:rsidRPr="00AA6F8E">
              <w:rPr>
                <w:sz w:val="20"/>
              </w:rPr>
              <w:t>Prohibited procedures</w:t>
            </w:r>
          </w:p>
        </w:tc>
        <w:tc>
          <w:tcPr>
            <w:tcW w:w="5775" w:type="dxa"/>
          </w:tcPr>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Laser or surgical treatment for macular oedema in the study-eye</w:t>
            </w:r>
            <w:r w:rsidR="00AB599E">
              <w:rPr>
                <w:sz w:val="20"/>
              </w:rPr>
              <w:t>.</w:t>
            </w:r>
          </w:p>
          <w:p w:rsidR="001E2A95" w:rsidRPr="00AA6F8E" w:rsidRDefault="001E2A95" w:rsidP="00233A20">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AA6F8E">
              <w:rPr>
                <w:sz w:val="20"/>
              </w:rPr>
              <w:t>Any additional non-study procedure or surgery in the study-eye</w:t>
            </w:r>
            <w:r w:rsidR="00AB599E">
              <w:rPr>
                <w:sz w:val="20"/>
              </w:rPr>
              <w:t>.</w:t>
            </w:r>
          </w:p>
        </w:tc>
      </w:tr>
    </w:tbl>
    <w:p w:rsidR="00774227" w:rsidRPr="00613D2D" w:rsidRDefault="00774227" w:rsidP="00AB599E">
      <w:pPr>
        <w:pStyle w:val="Heading5"/>
        <w:pageBreakBefore/>
      </w:pPr>
      <w:r w:rsidRPr="00613D2D">
        <w:lastRenderedPageBreak/>
        <w:t xml:space="preserve">Efficacy </w:t>
      </w:r>
      <w:r w:rsidRPr="001F7E39">
        <w:t>variable</w:t>
      </w:r>
      <w:r>
        <w:t>s</w:t>
      </w:r>
      <w:r w:rsidRPr="00613D2D">
        <w:t xml:space="preserve"> and outcomes</w:t>
      </w:r>
    </w:p>
    <w:p w:rsidR="00774227" w:rsidRPr="00613D2D" w:rsidRDefault="00774227" w:rsidP="00774227">
      <w:r>
        <w:t>The efficacy variables</w:t>
      </w:r>
      <w:r w:rsidRPr="00613D2D">
        <w:t xml:space="preserve"> were the same for both the</w:t>
      </w:r>
      <w:r>
        <w:t xml:space="preserve"> IT period</w:t>
      </w:r>
      <w:r w:rsidRPr="00613D2D">
        <w:t xml:space="preserve"> and </w:t>
      </w:r>
      <w:r>
        <w:t>the OL extension</w:t>
      </w:r>
      <w:r w:rsidRPr="00613D2D">
        <w:t>.</w:t>
      </w:r>
    </w:p>
    <w:p w:rsidR="00774227" w:rsidRPr="001F7E39" w:rsidRDefault="00774227" w:rsidP="00774227">
      <w:pPr>
        <w:pStyle w:val="Heading6"/>
      </w:pPr>
      <w:r>
        <w:t xml:space="preserve">Primary efficacy </w:t>
      </w:r>
      <w:r w:rsidRPr="0078392C">
        <w:t>variable</w:t>
      </w:r>
      <w:r>
        <w:t xml:space="preserve"> and outcome</w:t>
      </w:r>
    </w:p>
    <w:p w:rsidR="00774227" w:rsidRDefault="00774227" w:rsidP="00774227">
      <w:r>
        <w:t>The primary efficacy variable was BCVA measured using the ETDRS in the study-eye.</w:t>
      </w:r>
    </w:p>
    <w:p w:rsidR="00774227" w:rsidRDefault="00774227" w:rsidP="00774227">
      <w:r w:rsidRPr="00613D2D">
        <w:t xml:space="preserve">The primary efficacy </w:t>
      </w:r>
      <w:r>
        <w:t xml:space="preserve">outcome </w:t>
      </w:r>
      <w:r w:rsidRPr="00613D2D">
        <w:t xml:space="preserve">was the proportion of patients </w:t>
      </w:r>
      <w:r>
        <w:t xml:space="preserve">from the ITT population </w:t>
      </w:r>
      <w:r w:rsidRPr="00613D2D">
        <w:t xml:space="preserve">with a ≥ 15 letter improvement from </w:t>
      </w:r>
      <w:r>
        <w:t xml:space="preserve">Baseline </w:t>
      </w:r>
      <w:r w:rsidRPr="00613D2D">
        <w:t xml:space="preserve">BCVA </w:t>
      </w:r>
      <w:r>
        <w:t>at the primary efficacy time point of IT Day 180.</w:t>
      </w:r>
    </w:p>
    <w:p w:rsidR="00774227" w:rsidRDefault="00774227" w:rsidP="00774227">
      <w:pPr>
        <w:pStyle w:val="Heading6"/>
      </w:pPr>
      <w:r>
        <w:t>Other outcomes for the primary efficacy variable</w:t>
      </w:r>
    </w:p>
    <w:p w:rsidR="00774227" w:rsidRPr="008B2B9A" w:rsidRDefault="00774227" w:rsidP="00774227">
      <w:r>
        <w:t>Additional efficacy analyses for the primary efficacy variable included:</w:t>
      </w:r>
    </w:p>
    <w:p w:rsidR="00774227" w:rsidRDefault="00774227" w:rsidP="004C3275">
      <w:pPr>
        <w:pStyle w:val="ListBullet"/>
        <w:numPr>
          <w:ilvl w:val="0"/>
          <w:numId w:val="1"/>
        </w:numPr>
      </w:pPr>
      <w:r>
        <w:t>Proportion of patients from the</w:t>
      </w:r>
      <w:r w:rsidRPr="005E0C3F">
        <w:t xml:space="preserve"> ITT population with a ≥ 15 letter im</w:t>
      </w:r>
      <w:r>
        <w:t xml:space="preserve">provement from Baseline BCVA </w:t>
      </w:r>
      <w:r w:rsidRPr="005E0C3F">
        <w:t>of IT Day 180</w:t>
      </w:r>
      <w:r>
        <w:t xml:space="preserve"> according to diagnostic subgroups (BRVO or CVRO)</w:t>
      </w:r>
    </w:p>
    <w:p w:rsidR="00774227" w:rsidRDefault="00774227" w:rsidP="004C3275">
      <w:pPr>
        <w:pStyle w:val="ListBullet"/>
        <w:numPr>
          <w:ilvl w:val="0"/>
          <w:numId w:val="1"/>
        </w:numPr>
      </w:pPr>
      <w:r w:rsidRPr="008B2B9A">
        <w:t xml:space="preserve">Proportion of patients from the ITT population with a ≥ 15 letter improvement from Baseline BCVA of IT Day 180 </w:t>
      </w:r>
      <w:r>
        <w:t>with macular oedema ≥ 3 months (ad hoc analysis)</w:t>
      </w:r>
    </w:p>
    <w:p w:rsidR="00774227" w:rsidRDefault="00774227" w:rsidP="004C3275">
      <w:pPr>
        <w:pStyle w:val="ListBullet"/>
        <w:numPr>
          <w:ilvl w:val="0"/>
          <w:numId w:val="1"/>
        </w:numPr>
      </w:pPr>
      <w:r w:rsidRPr="0078392C">
        <w:t>Time to a treatment response of ≥ 15 letters improvement from Baseline BCVA</w:t>
      </w:r>
    </w:p>
    <w:p w:rsidR="00774227" w:rsidRDefault="00774227" w:rsidP="004C3275">
      <w:pPr>
        <w:pStyle w:val="ListBullet"/>
        <w:numPr>
          <w:ilvl w:val="0"/>
          <w:numId w:val="1"/>
        </w:numPr>
      </w:pPr>
      <w:r>
        <w:t>Categorical change from Baseline BCVA</w:t>
      </w:r>
    </w:p>
    <w:p w:rsidR="00774227" w:rsidRDefault="00774227" w:rsidP="004C3275">
      <w:pPr>
        <w:pStyle w:val="ListBullet"/>
        <w:numPr>
          <w:ilvl w:val="0"/>
          <w:numId w:val="1"/>
        </w:numPr>
      </w:pPr>
      <w:r>
        <w:t>Raw BCVA scores</w:t>
      </w:r>
    </w:p>
    <w:p w:rsidR="00774227" w:rsidRDefault="00774227" w:rsidP="004C3275">
      <w:pPr>
        <w:pStyle w:val="ListBullet"/>
        <w:numPr>
          <w:ilvl w:val="0"/>
          <w:numId w:val="1"/>
        </w:numPr>
      </w:pPr>
      <w:r>
        <w:t>Mean change in letters correctly read from Baseline BCVA</w:t>
      </w:r>
    </w:p>
    <w:p w:rsidR="00774227" w:rsidRDefault="00774227" w:rsidP="00774227">
      <w:pPr>
        <w:pStyle w:val="Heading6"/>
      </w:pPr>
      <w:r w:rsidRPr="001F7E39">
        <w:t xml:space="preserve">Secondary efficacy </w:t>
      </w:r>
      <w:r>
        <w:t>variables</w:t>
      </w:r>
    </w:p>
    <w:p w:rsidR="00774227" w:rsidRDefault="00774227" w:rsidP="00774227">
      <w:r>
        <w:t>The secondary efficacy variables were:</w:t>
      </w:r>
    </w:p>
    <w:p w:rsidR="00774227" w:rsidRPr="00A97947" w:rsidRDefault="00774227" w:rsidP="004C3275">
      <w:pPr>
        <w:pStyle w:val="ListBullet"/>
        <w:numPr>
          <w:ilvl w:val="0"/>
          <w:numId w:val="1"/>
        </w:numPr>
      </w:pPr>
      <w:r w:rsidRPr="00A97947">
        <w:t>Contrast sensitivity using the Pelli-Robson chart</w:t>
      </w:r>
    </w:p>
    <w:p w:rsidR="00774227" w:rsidRPr="00A97947" w:rsidRDefault="00774227" w:rsidP="004C3275">
      <w:pPr>
        <w:pStyle w:val="ListBullet"/>
        <w:numPr>
          <w:ilvl w:val="0"/>
          <w:numId w:val="1"/>
        </w:numPr>
      </w:pPr>
      <w:r>
        <w:t>Optical coherence tomography (</w:t>
      </w:r>
      <w:r w:rsidRPr="00A97947">
        <w:t>OCT</w:t>
      </w:r>
      <w:r>
        <w:t>)</w:t>
      </w:r>
      <w:r w:rsidRPr="00A97947">
        <w:t xml:space="preserve"> capturing the mean retinal thickness in the 1 mm central subfield</w:t>
      </w:r>
      <w:r>
        <w:t xml:space="preserve"> and central retinal thickening</w:t>
      </w:r>
    </w:p>
    <w:p w:rsidR="00774227" w:rsidRPr="00A97947" w:rsidRDefault="00774227" w:rsidP="004C3275">
      <w:pPr>
        <w:pStyle w:val="ListBullet"/>
        <w:numPr>
          <w:ilvl w:val="0"/>
          <w:numId w:val="1"/>
        </w:numPr>
      </w:pPr>
      <w:r w:rsidRPr="00A97947">
        <w:t>Fundus photography</w:t>
      </w:r>
    </w:p>
    <w:p w:rsidR="00774227" w:rsidRDefault="00774227" w:rsidP="004C3275">
      <w:pPr>
        <w:pStyle w:val="ListBullet"/>
        <w:numPr>
          <w:ilvl w:val="0"/>
          <w:numId w:val="1"/>
        </w:numPr>
      </w:pPr>
      <w:r w:rsidRPr="00A97947">
        <w:t>Fluorescein angiography.</w:t>
      </w:r>
    </w:p>
    <w:p w:rsidR="00774227" w:rsidRDefault="00774227" w:rsidP="00774227">
      <w:pPr>
        <w:pStyle w:val="Heading6"/>
      </w:pPr>
      <w:r>
        <w:t>Secondary efficacy outcomes</w:t>
      </w:r>
    </w:p>
    <w:p w:rsidR="00774227" w:rsidRDefault="00774227" w:rsidP="00774227">
      <w:r>
        <w:t>Secondary efficacy outcomes included:</w:t>
      </w:r>
    </w:p>
    <w:p w:rsidR="00774227" w:rsidRDefault="00774227" w:rsidP="004C3275">
      <w:pPr>
        <w:pStyle w:val="ListBullet"/>
        <w:numPr>
          <w:ilvl w:val="0"/>
          <w:numId w:val="1"/>
        </w:numPr>
      </w:pPr>
      <w:r>
        <w:t>Change from Baseline in numbers of letters read (contrast sensitivity)</w:t>
      </w:r>
    </w:p>
    <w:p w:rsidR="00774227" w:rsidRDefault="00774227" w:rsidP="004C3275">
      <w:pPr>
        <w:pStyle w:val="ListBullet"/>
        <w:numPr>
          <w:ilvl w:val="0"/>
          <w:numId w:val="1"/>
        </w:numPr>
      </w:pPr>
      <w:r>
        <w:t>Change from Baseline in central retinal thickness and retinal volume assessed by OCT</w:t>
      </w:r>
    </w:p>
    <w:p w:rsidR="00774227" w:rsidRDefault="00774227" w:rsidP="004C3275">
      <w:pPr>
        <w:pStyle w:val="ListBullet"/>
        <w:numPr>
          <w:ilvl w:val="0"/>
          <w:numId w:val="1"/>
        </w:numPr>
      </w:pPr>
      <w:r>
        <w:t>Change from Baseline in central retinal thickening assessed by fundus photography</w:t>
      </w:r>
    </w:p>
    <w:p w:rsidR="00774227" w:rsidRDefault="00774227" w:rsidP="00774227">
      <w:r w:rsidRPr="00BC6D3B">
        <w:t>In addition, the primary efficacy outcome and other analyses of the primary efficacy variable were performed for the PP population.</w:t>
      </w:r>
    </w:p>
    <w:p w:rsidR="00774227" w:rsidRDefault="00774227" w:rsidP="00A45E9B">
      <w:pPr>
        <w:pStyle w:val="Heading5"/>
      </w:pPr>
      <w:r w:rsidRPr="00613D2D">
        <w:t>Randomisation and blinding methods</w:t>
      </w:r>
    </w:p>
    <w:p w:rsidR="00774227" w:rsidRDefault="00774227" w:rsidP="00774227">
      <w:pPr>
        <w:pStyle w:val="Heading6"/>
      </w:pPr>
      <w:r>
        <w:t>Randomisation methods</w:t>
      </w:r>
    </w:p>
    <w:p w:rsidR="00774227" w:rsidRDefault="00774227" w:rsidP="00774227">
      <w:r>
        <w:t xml:space="preserve">On the randomisation visit (Day 0) prior to the study treatment procedure, each patient who qualified for entry was assigned a patient number also used as a randomisation number for study treatment assignment and on all study-related documentation for that patient. A series of patient numbers were provided to the site. </w:t>
      </w:r>
    </w:p>
    <w:p w:rsidR="00774227" w:rsidRDefault="00774227" w:rsidP="00774227">
      <w:r>
        <w:t xml:space="preserve">Numbers were to be assigned in ascending order and numbers should not have been omitted. On Day 0, patients were randomised in a 1:1:1 ratio to DEX 700, DEX 350 or Sham. </w:t>
      </w:r>
    </w:p>
    <w:p w:rsidR="00774227" w:rsidRDefault="00774227" w:rsidP="00774227">
      <w:r>
        <w:lastRenderedPageBreak/>
        <w:t>Once the patient was randomised, assigned personnel accessed a validated remote automated system either by phone (IVRS) or a website through the internet (IWRS) to obtain the study medication kit numbers that corresponded to the patient's treatment assignment.</w:t>
      </w:r>
    </w:p>
    <w:p w:rsidR="00774227" w:rsidRDefault="00774227" w:rsidP="00774227">
      <w:r>
        <w:t>The DEX PS DDS placement (DEX 700 or DEX 350) or Sham procedure was performed on randomisation Day 0 and again at IT visit Day 180 if patients qualified to receive open-label DEX 700 whilst remaining unaware of their IT period randomisation allocation (see the ‘inclusion and exclusion criteria: eligibility criteria (open-label extension)’ above).</w:t>
      </w:r>
    </w:p>
    <w:p w:rsidR="00774227" w:rsidRDefault="00774227" w:rsidP="00774227">
      <w:pPr>
        <w:pStyle w:val="Heading6"/>
      </w:pPr>
      <w:r>
        <w:t>Patients</w:t>
      </w:r>
    </w:p>
    <w:p w:rsidR="00774227" w:rsidRDefault="00774227" w:rsidP="00774227">
      <w:r>
        <w:t>Patients were masked as to their initial randomised treatment assignment for the trial duration.</w:t>
      </w:r>
    </w:p>
    <w:p w:rsidR="00774227" w:rsidRDefault="00774227" w:rsidP="00774227">
      <w:pPr>
        <w:pStyle w:val="Heading6"/>
      </w:pPr>
      <w:r>
        <w:t>Treating investigator</w:t>
      </w:r>
    </w:p>
    <w:p w:rsidR="00774227" w:rsidRDefault="00774227" w:rsidP="00774227">
      <w:r>
        <w:t>The treating investigator evaluated the quality of OCT, fundus and fluorescein angiogram imaging taken at qualification/Baseline. The treating investigator was responsible for overall patient safety and was excluded from efficacy procedures. Details of study medication assignment were to be kept confidential unless for pressing safety concerns.</w:t>
      </w:r>
    </w:p>
    <w:p w:rsidR="00774227" w:rsidRDefault="00774227" w:rsidP="00774227">
      <w:pPr>
        <w:pStyle w:val="Heading6"/>
      </w:pPr>
      <w:r>
        <w:t>Follow-up investigator</w:t>
      </w:r>
    </w:p>
    <w:p w:rsidR="00774227" w:rsidRDefault="00774227" w:rsidP="00774227">
      <w:r>
        <w:t>The follow-up investigator did not participate in study treatment procedures with treating investigators and follow-up investigators required to strictly maintain their separate roles throughout the study. Only at necessary unscheduled visits in the first 30 days (IT period) and at point of re-treatment (OL extension) did the treating investigator have any contact with patients with all other unscheduled necessary visits being conducted by the follow-up investigator.</w:t>
      </w:r>
    </w:p>
    <w:p w:rsidR="00774227" w:rsidRDefault="00774227" w:rsidP="00774227">
      <w:pPr>
        <w:pStyle w:val="Heading6"/>
      </w:pPr>
      <w:r>
        <w:t>Collection of</w:t>
      </w:r>
      <w:r w:rsidRPr="00A31292">
        <w:t xml:space="preserve"> efficacy data</w:t>
      </w:r>
    </w:p>
    <w:p w:rsidR="00774227" w:rsidRDefault="00774227" w:rsidP="00774227">
      <w:r>
        <w:t>Individuals responsible for collection of BCVA data, contrast sensitivity, OCT, fundus photography and fluorescein angiography were masked to study treatment assignment and not present during the treatment procedure. BCVA technicians were only to collect BCVA, manifest refraction and contrast sensitivity data and had no access to other study data.</w:t>
      </w:r>
    </w:p>
    <w:p w:rsidR="00774227" w:rsidRDefault="00774227" w:rsidP="00774227">
      <w:pPr>
        <w:pStyle w:val="Heading6"/>
      </w:pPr>
      <w:r>
        <w:t>Central reading facility</w:t>
      </w:r>
    </w:p>
    <w:p w:rsidR="00774227" w:rsidRPr="00B47042" w:rsidRDefault="00774227" w:rsidP="00B47042">
      <w:r w:rsidRPr="00B47042">
        <w:t>Evaluator’s responsibilities were to process and analyse fundus photography and OCT imaging and had no knowledge of study treatment assignment.</w:t>
      </w:r>
    </w:p>
    <w:p w:rsidR="00774227" w:rsidRDefault="00774227" w:rsidP="00774227">
      <w:pPr>
        <w:pStyle w:val="Heading6"/>
      </w:pPr>
      <w:r>
        <w:t>DDS applicator</w:t>
      </w:r>
    </w:p>
    <w:p w:rsidR="00774227" w:rsidRPr="00B47042" w:rsidRDefault="00774227" w:rsidP="00B47042">
      <w:r w:rsidRPr="00B47042">
        <w:t xml:space="preserve">The DEX PS DDS applicator system and the needleless DDS applicator without DEX were individually and identically foil packaged. Each had a 2 part peel-off label and unique identifier. Only if needed, such as in circumstances for patient safety, could the medication be unmasked by comparing the unique identifier with information on the Investigator Emergency Treatment Disclosure </w:t>
      </w:r>
      <w:proofErr w:type="gramStart"/>
      <w:r w:rsidRPr="00B47042">
        <w:t>Sheet.</w:t>
      </w:r>
      <w:proofErr w:type="gramEnd"/>
      <w:r w:rsidRPr="00B47042">
        <w:t xml:space="preserve"> This information in turn protected by a scrape-off silver coating, and the individual who broke the code was required to document (sign and date) that they broke the code.</w:t>
      </w:r>
    </w:p>
    <w:p w:rsidR="00774227" w:rsidRDefault="00774227" w:rsidP="00A45E9B">
      <w:pPr>
        <w:pStyle w:val="Heading5"/>
        <w:rPr>
          <w:rFonts w:eastAsia="Cambria"/>
        </w:rPr>
      </w:pPr>
      <w:r w:rsidRPr="001F7E39">
        <w:rPr>
          <w:rFonts w:eastAsia="Cambria"/>
        </w:rPr>
        <w:t>Analysis populations</w:t>
      </w:r>
    </w:p>
    <w:p w:rsidR="00774227" w:rsidRPr="00AA523A" w:rsidRDefault="00774227" w:rsidP="00774227">
      <w:pPr>
        <w:rPr>
          <w:lang w:eastAsia="ja-JP"/>
        </w:rPr>
      </w:pPr>
      <w:r>
        <w:rPr>
          <w:lang w:eastAsia="ja-JP"/>
        </w:rPr>
        <w:t xml:space="preserve">Analysis populations for Study 206207-009 are summarised </w:t>
      </w:r>
      <w:r w:rsidR="005D7198">
        <w:rPr>
          <w:lang w:eastAsia="ja-JP"/>
        </w:rPr>
        <w:t>b</w:t>
      </w:r>
      <w:r>
        <w:rPr>
          <w:lang w:eastAsia="ja-JP"/>
        </w:rPr>
        <w:t>elow.</w:t>
      </w:r>
    </w:p>
    <w:p w:rsidR="00774227" w:rsidRPr="001E2A95" w:rsidRDefault="00774227" w:rsidP="004E2C51">
      <w:pPr>
        <w:pStyle w:val="Tabletitle"/>
        <w:numPr>
          <w:ilvl w:val="0"/>
          <w:numId w:val="21"/>
        </w:numPr>
        <w:spacing w:after="120" w:line="240" w:lineRule="auto"/>
        <w:ind w:left="1134" w:hanging="1134"/>
      </w:pPr>
      <w:bookmarkStart w:id="53" w:name="_Toc462652629"/>
      <w:r w:rsidRPr="001E2A95">
        <w:lastRenderedPageBreak/>
        <w:t>Summary of analysis populations (Study 009)</w:t>
      </w:r>
      <w:bookmarkEnd w:id="53"/>
    </w:p>
    <w:tbl>
      <w:tblPr>
        <w:tblStyle w:val="TableTGAblue"/>
        <w:tblW w:w="0" w:type="auto"/>
        <w:tblLook w:val="04A0" w:firstRow="1" w:lastRow="0" w:firstColumn="1" w:lastColumn="0" w:noHBand="0" w:noVBand="1"/>
        <w:tblDescription w:val="Summary of analysis populations (Study 009)"/>
      </w:tblPr>
      <w:tblGrid>
        <w:gridCol w:w="2443"/>
        <w:gridCol w:w="6277"/>
      </w:tblGrid>
      <w:tr w:rsidR="00774227" w:rsidTr="00233A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774227" w:rsidRDefault="00774227" w:rsidP="00774227">
            <w:pPr>
              <w:rPr>
                <w:lang w:eastAsia="ja-JP"/>
              </w:rPr>
            </w:pPr>
            <w:r>
              <w:rPr>
                <w:lang w:eastAsia="ja-JP"/>
              </w:rPr>
              <w:t>Analysis population</w:t>
            </w:r>
          </w:p>
        </w:tc>
        <w:tc>
          <w:tcPr>
            <w:tcW w:w="6724" w:type="dxa"/>
          </w:tcPr>
          <w:p w:rsidR="00774227" w:rsidRDefault="00774227" w:rsidP="0077422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Definition and use in analyses</w:t>
            </w:r>
          </w:p>
        </w:tc>
      </w:tr>
      <w:tr w:rsidR="00774227" w:rsidTr="00233A20">
        <w:tc>
          <w:tcPr>
            <w:cnfStyle w:val="001000000000" w:firstRow="0" w:lastRow="0" w:firstColumn="1" w:lastColumn="0" w:oddVBand="0" w:evenVBand="0" w:oddHBand="0" w:evenHBand="0" w:firstRowFirstColumn="0" w:firstRowLastColumn="0" w:lastRowFirstColumn="0" w:lastRowLastColumn="0"/>
            <w:tcW w:w="2518" w:type="dxa"/>
          </w:tcPr>
          <w:p w:rsidR="00774227" w:rsidRDefault="00774227" w:rsidP="00774227">
            <w:pPr>
              <w:rPr>
                <w:lang w:eastAsia="ja-JP"/>
              </w:rPr>
            </w:pPr>
            <w:r>
              <w:rPr>
                <w:lang w:eastAsia="ja-JP"/>
              </w:rPr>
              <w:t>Intent-to-treat (ITT)</w:t>
            </w:r>
          </w:p>
        </w:tc>
        <w:tc>
          <w:tcPr>
            <w:tcW w:w="6724" w:type="dxa"/>
          </w:tcPr>
          <w:p w:rsidR="00774227" w:rsidRDefault="00774227" w:rsidP="0077422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All randomised patients in the IT period, with a separate ITT population (Re-treatment population) comprised of patients from the IT period ITT that went on to receive OL extension treatment.</w:t>
            </w:r>
          </w:p>
          <w:p w:rsidR="00774227" w:rsidRDefault="00774227" w:rsidP="0077422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Used for all analyses except safety</w:t>
            </w:r>
          </w:p>
        </w:tc>
      </w:tr>
      <w:tr w:rsidR="00774227" w:rsidTr="00233A20">
        <w:tc>
          <w:tcPr>
            <w:cnfStyle w:val="001000000000" w:firstRow="0" w:lastRow="0" w:firstColumn="1" w:lastColumn="0" w:oddVBand="0" w:evenVBand="0" w:oddHBand="0" w:evenHBand="0" w:firstRowFirstColumn="0" w:firstRowLastColumn="0" w:lastRowFirstColumn="0" w:lastRowLastColumn="0"/>
            <w:tcW w:w="2518" w:type="dxa"/>
          </w:tcPr>
          <w:p w:rsidR="00774227" w:rsidRDefault="00774227" w:rsidP="00774227">
            <w:pPr>
              <w:rPr>
                <w:lang w:eastAsia="ja-JP"/>
              </w:rPr>
            </w:pPr>
            <w:r>
              <w:rPr>
                <w:lang w:eastAsia="ja-JP"/>
              </w:rPr>
              <w:t>Per protocol (PP)</w:t>
            </w:r>
          </w:p>
        </w:tc>
        <w:tc>
          <w:tcPr>
            <w:tcW w:w="6724" w:type="dxa"/>
          </w:tcPr>
          <w:p w:rsidR="00774227" w:rsidRDefault="00774227" w:rsidP="0077422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All randomised patients who received study treatment and had no major protocol violations</w:t>
            </w:r>
          </w:p>
        </w:tc>
      </w:tr>
      <w:tr w:rsidR="00774227" w:rsidTr="00233A20">
        <w:tc>
          <w:tcPr>
            <w:cnfStyle w:val="001000000000" w:firstRow="0" w:lastRow="0" w:firstColumn="1" w:lastColumn="0" w:oddVBand="0" w:evenVBand="0" w:oddHBand="0" w:evenHBand="0" w:firstRowFirstColumn="0" w:firstRowLastColumn="0" w:lastRowFirstColumn="0" w:lastRowLastColumn="0"/>
            <w:tcW w:w="2518" w:type="dxa"/>
          </w:tcPr>
          <w:p w:rsidR="00774227" w:rsidRDefault="00774227" w:rsidP="00774227">
            <w:pPr>
              <w:rPr>
                <w:lang w:eastAsia="ja-JP"/>
              </w:rPr>
            </w:pPr>
            <w:r>
              <w:rPr>
                <w:lang w:eastAsia="ja-JP"/>
              </w:rPr>
              <w:t>Safety</w:t>
            </w:r>
          </w:p>
        </w:tc>
        <w:tc>
          <w:tcPr>
            <w:tcW w:w="6724" w:type="dxa"/>
          </w:tcPr>
          <w:p w:rsidR="00774227" w:rsidRDefault="00774227" w:rsidP="0077422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All randomised patients who received study treatment based on the actual treatment received</w:t>
            </w:r>
          </w:p>
          <w:p w:rsidR="00774227" w:rsidRDefault="00774227" w:rsidP="0077422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Used in all safety analyses</w:t>
            </w:r>
          </w:p>
        </w:tc>
      </w:tr>
    </w:tbl>
    <w:p w:rsidR="00774227" w:rsidRPr="001F7E39" w:rsidRDefault="00774227" w:rsidP="00AB599E">
      <w:pPr>
        <w:pStyle w:val="Heading5"/>
        <w:rPr>
          <w:lang w:eastAsia="ja-JP"/>
        </w:rPr>
      </w:pPr>
      <w:r w:rsidRPr="001F7E39" w:rsidDel="0081373E">
        <w:rPr>
          <w:lang w:eastAsia="ja-JP"/>
        </w:rPr>
        <w:t>S</w:t>
      </w:r>
      <w:r w:rsidRPr="001F7E39">
        <w:rPr>
          <w:lang w:eastAsia="ja-JP"/>
        </w:rPr>
        <w:t>ample size</w:t>
      </w:r>
    </w:p>
    <w:p w:rsidR="00774227" w:rsidRPr="001F7E39" w:rsidRDefault="00774227" w:rsidP="00774227">
      <w:pPr>
        <w:rPr>
          <w:lang w:eastAsia="ja-JP"/>
        </w:rPr>
      </w:pPr>
      <w:r w:rsidRPr="001F7E39">
        <w:rPr>
          <w:lang w:eastAsia="ja-JP"/>
        </w:rPr>
        <w:t>For this 3-arm study with a 1:1:1 ratio for treatment allocation, a total of 495 patients (165 per group) were needed based on calculations assuming a 9% improvement rate for Sham (according to the primary efficacy variable) and an α-value = 0.05 giving an 81% power to detect an 11 percentage point absolute difference in the i</w:t>
      </w:r>
      <w:r>
        <w:rPr>
          <w:lang w:eastAsia="ja-JP"/>
        </w:rPr>
        <w:t xml:space="preserve">mprovement rate between groups. </w:t>
      </w:r>
      <w:r w:rsidRPr="001F7E39">
        <w:rPr>
          <w:lang w:eastAsia="ja-JP"/>
        </w:rPr>
        <w:t>The power calculation, using the nQuery Advisor 6.0, was based on a 2-sided chi-square test comparing 2 proportions. The 9% improvement rate for the Sham was estimated from the Phase II study DC103-06 and literature on</w:t>
      </w:r>
      <w:r>
        <w:rPr>
          <w:lang w:eastAsia="ja-JP"/>
        </w:rPr>
        <w:t xml:space="preserve"> </w:t>
      </w:r>
      <w:r w:rsidRPr="001F7E39">
        <w:rPr>
          <w:lang w:eastAsia="ja-JP"/>
        </w:rPr>
        <w:t>vein occlusion studies.</w:t>
      </w:r>
      <w:r w:rsidRPr="001F7E39">
        <w:rPr>
          <w:vertAlign w:val="superscript"/>
          <w:lang w:eastAsia="ja-JP"/>
        </w:rPr>
        <w:footnoteReference w:id="1"/>
      </w:r>
      <w:r>
        <w:rPr>
          <w:vertAlign w:val="superscript"/>
          <w:lang w:eastAsia="ja-JP"/>
        </w:rPr>
        <w:t>,</w:t>
      </w:r>
      <w:r w:rsidRPr="001F7E39">
        <w:rPr>
          <w:vertAlign w:val="superscript"/>
          <w:lang w:eastAsia="ja-JP"/>
        </w:rPr>
        <w:footnoteReference w:id="2"/>
      </w:r>
      <w:r>
        <w:rPr>
          <w:lang w:eastAsia="ja-JP"/>
        </w:rPr>
        <w:t xml:space="preserve"> </w:t>
      </w:r>
      <w:r w:rsidRPr="001F7E39">
        <w:rPr>
          <w:lang w:eastAsia="ja-JP"/>
        </w:rPr>
        <w:t>Accounting for approximately 10% dropout rate, approximately 550 patients were to be enrolled.</w:t>
      </w:r>
    </w:p>
    <w:p w:rsidR="00774227" w:rsidRPr="001F7E39" w:rsidRDefault="00774227" w:rsidP="00A45E9B">
      <w:pPr>
        <w:pStyle w:val="Heading5"/>
        <w:rPr>
          <w:lang w:eastAsia="ja-JP"/>
        </w:rPr>
      </w:pPr>
      <w:r w:rsidRPr="001F7E39">
        <w:rPr>
          <w:lang w:eastAsia="ja-JP"/>
        </w:rPr>
        <w:t>Statistical methods</w:t>
      </w:r>
    </w:p>
    <w:p w:rsidR="00774227" w:rsidRDefault="00774227" w:rsidP="00774227">
      <w:pPr>
        <w:pStyle w:val="Heading6"/>
        <w:rPr>
          <w:lang w:eastAsia="ja-JP"/>
        </w:rPr>
      </w:pPr>
      <w:r w:rsidRPr="001F7E39">
        <w:rPr>
          <w:lang w:eastAsia="ja-JP"/>
        </w:rPr>
        <w:t>Primary efficacy analyses</w:t>
      </w:r>
    </w:p>
    <w:p w:rsidR="00774227" w:rsidRDefault="00774227" w:rsidP="00774227">
      <w:pPr>
        <w:rPr>
          <w:lang w:eastAsia="ja-JP"/>
        </w:rPr>
      </w:pPr>
      <w:r>
        <w:rPr>
          <w:lang w:eastAsia="ja-JP"/>
        </w:rPr>
        <w:t>The primary efficacy analyses included a comparison between DEX 700 and Sham and a comparison between DEX 350 and Sham at IT Day 180 in the ITT population.</w:t>
      </w:r>
    </w:p>
    <w:p w:rsidR="00774227" w:rsidRDefault="00774227" w:rsidP="00774227">
      <w:pPr>
        <w:rPr>
          <w:lang w:eastAsia="ja-JP"/>
        </w:rPr>
      </w:pPr>
      <w:r>
        <w:rPr>
          <w:lang w:eastAsia="ja-JP"/>
        </w:rPr>
        <w:t>For the primary efficacy analysis, a Pearson’s chi-square test was performed for each pairwise comparison. A gate-keeping procedure was used to control the overall type I error at 5% for the multiple between-treatment comparisons (ie, DEX 700 versus Sham and DEX 350 versus Sham). The comparison of DEX 700 versus Sham was considered significant if the p-value was ≤ 0.05.</w:t>
      </w:r>
    </w:p>
    <w:p w:rsidR="00774227" w:rsidRDefault="00774227" w:rsidP="00774227">
      <w:pPr>
        <w:rPr>
          <w:lang w:eastAsia="ja-JP"/>
        </w:rPr>
      </w:pPr>
      <w:r>
        <w:rPr>
          <w:lang w:eastAsia="ja-JP"/>
        </w:rPr>
        <w:t>Only if the comparison of DEX 700 versus Sham was significant at the 0.05 level was the comparison of DEX 350 versus Sham to be performed at the significance level of 0.05. If the comparison of DEX 700 versus Sham was not statistically significant, the comparison of DEX 350 versus Sham was not to be considered statistically significant regardless of its p-value. In addition, a 2-sided 95% confidence interval (CI) for the treatment difference in the proportion of patients with BCVA improvement of 15 or more letters from baseline was constructed using the normal approximation for a binary variable.</w:t>
      </w:r>
    </w:p>
    <w:p w:rsidR="00774227" w:rsidRDefault="00774227" w:rsidP="00774227">
      <w:pPr>
        <w:pStyle w:val="Heading6"/>
        <w:rPr>
          <w:lang w:eastAsia="ja-JP"/>
        </w:rPr>
      </w:pPr>
      <w:r>
        <w:rPr>
          <w:lang w:eastAsia="ja-JP"/>
        </w:rPr>
        <w:lastRenderedPageBreak/>
        <w:t>Other analyses for the primary efficacy variable</w:t>
      </w:r>
    </w:p>
    <w:p w:rsidR="00774227" w:rsidRDefault="00774227" w:rsidP="00774227">
      <w:pPr>
        <w:rPr>
          <w:lang w:eastAsia="ja-JP"/>
        </w:rPr>
      </w:pPr>
      <w:r>
        <w:rPr>
          <w:lang w:eastAsia="ja-JP"/>
        </w:rPr>
        <w:t xml:space="preserve">For the analysis of the primary efficacy outcome in diagnostic subgroups a Pearson’s chi-square test was used for between-group comparisons. The same gate-keeping procedure as specified for the primary efficacy analysis was applied with the comparison of DEX 700 versus Sham as the gate-keeper using 0.05 as the significance level. </w:t>
      </w:r>
    </w:p>
    <w:p w:rsidR="00774227" w:rsidRDefault="00774227" w:rsidP="00774227">
      <w:pPr>
        <w:rPr>
          <w:lang w:eastAsia="ja-JP"/>
        </w:rPr>
      </w:pPr>
      <w:r>
        <w:rPr>
          <w:lang w:eastAsia="ja-JP"/>
        </w:rPr>
        <w:t>Unless otherwise stated, all other efficacy analyses were performed using the ITT population based on the 2-sided hypothesis test with an unadjusted significance level of 0.05. Analyses for BCVA (and retinal thickness – see below) for the ITT population used the LOCF method for missing data. The PP analyses of BCVA and retinal thickness, and the ITT analyses of other efficacy variables, were done on observed data without missing data imputation. BCVA scores at each scheduled visit were analysed using a 1-way ANOVA model with treatment as the fixed effect. Between-group comparisons were performed in a pairwise fashion using contrasts from the ANOVA model. In addition, a 2-sided 95% CI was constructed for the difference in least-square means of BCVA for each of the 3 between-group comparisons. For BCVA categorical change, the distribution of the 5 categories was summarised by frequency tabulations for each treatment group and pairwise between-group comparisons were performed using the Wilcoxon rank-sum test.</w:t>
      </w:r>
    </w:p>
    <w:p w:rsidR="00774227" w:rsidRDefault="00774227" w:rsidP="00774227">
      <w:pPr>
        <w:pStyle w:val="Heading6"/>
        <w:rPr>
          <w:lang w:eastAsia="ja-JP"/>
        </w:rPr>
      </w:pPr>
      <w:r>
        <w:rPr>
          <w:lang w:eastAsia="ja-JP"/>
        </w:rPr>
        <w:t>Secondary efficacy analyses</w:t>
      </w:r>
    </w:p>
    <w:p w:rsidR="00774227" w:rsidRPr="00E02884" w:rsidRDefault="00774227" w:rsidP="00774227">
      <w:r>
        <w:t>Contrast sensitivity and central retinal volume were analysed using pairwise between-group comparisons performed using contrasts from the 1-way ANOVA model with treatment as the fixed effect. Least square means and the corresponding 95% CIs for the between-group differences were calculated and reported. Central retinal thickening was analysed with the Wilcoxon rank-sum test with Pearson’s chi-square test was used to compare the proportion of patients with at least 1-grade improvement from baseline between groups for each scheduled follow-up visit.</w:t>
      </w:r>
    </w:p>
    <w:p w:rsidR="00774227" w:rsidRPr="007D54F3" w:rsidRDefault="00774227" w:rsidP="001A6420">
      <w:r w:rsidRPr="007D54F3">
        <w:t>All BCVA analyses using the PP population, any ITT analyses not involving the primary efficacy outcome (that is, other analyses of the primary efficacy variable) were performed on observed data and didn’t use LOCF or missing data imputation methods.</w:t>
      </w:r>
    </w:p>
    <w:p w:rsidR="00774227" w:rsidRDefault="00774227" w:rsidP="00A45E9B">
      <w:pPr>
        <w:pStyle w:val="Heading5"/>
      </w:pPr>
      <w:r w:rsidRPr="001F7E39">
        <w:t xml:space="preserve">Participant </w:t>
      </w:r>
      <w:r w:rsidRPr="00DE43A7">
        <w:t>flow</w:t>
      </w:r>
    </w:p>
    <w:p w:rsidR="00774227" w:rsidRDefault="00774227" w:rsidP="00774227">
      <w:pPr>
        <w:rPr>
          <w:lang w:eastAsia="ja-JP"/>
        </w:rPr>
      </w:pPr>
      <w:r>
        <w:rPr>
          <w:lang w:eastAsia="ja-JP"/>
        </w:rPr>
        <w:t xml:space="preserve">Participant flow is summarised in </w:t>
      </w:r>
      <w:r w:rsidR="00564D59">
        <w:rPr>
          <w:lang w:eastAsia="ja-JP"/>
        </w:rPr>
        <w:t>the figures</w:t>
      </w:r>
      <w:r w:rsidRPr="009315C7">
        <w:t xml:space="preserve"> below. 996 patients were initially screened with 33% (328/996) failing </w:t>
      </w:r>
      <w:r>
        <w:rPr>
          <w:lang w:eastAsia="ja-JP"/>
        </w:rPr>
        <w:t>to meet the entry criteria with a</w:t>
      </w:r>
      <w:r w:rsidRPr="001F7E39">
        <w:rPr>
          <w:lang w:eastAsia="ja-JP"/>
        </w:rPr>
        <w:t xml:space="preserve"> total of 668 patients were randomised and enrolled in the study</w:t>
      </w:r>
      <w:r>
        <w:rPr>
          <w:lang w:eastAsia="ja-JP"/>
        </w:rPr>
        <w:t xml:space="preserve"> (ITT population). Seven patients (7/668) of the ITT population did not receive treatment, 1 patient was in the DEX 700 group with 3 patients in the DEX 350 and 3 in the Sham group. In total, 99.0% (661/668) received at least one dose of study medication (safety population).</w:t>
      </w:r>
    </w:p>
    <w:p w:rsidR="00AB599E" w:rsidRDefault="00774227" w:rsidP="00593F09">
      <w:pPr>
        <w:rPr>
          <w:lang w:eastAsia="ja-JP"/>
        </w:rPr>
      </w:pPr>
      <w:r>
        <w:rPr>
          <w:lang w:eastAsia="ja-JP"/>
        </w:rPr>
        <w:t>For the ITT population, 94.2% (629/668) completed IT Day 180 with completion rates similar across the three treatment groups. For the safety population, 95.2% (629/668) completed IT Day 180, with completion rates similar across the three groups at 95.1% (214/225), 95.8% (206/215) and 94.6% (209/221) for DEX 700,</w:t>
      </w:r>
      <w:r w:rsidR="00AB599E">
        <w:rPr>
          <w:lang w:eastAsia="ja-JP"/>
        </w:rPr>
        <w:t xml:space="preserve"> DEX 350 and Sham respectively.</w:t>
      </w:r>
    </w:p>
    <w:p w:rsidR="00747662" w:rsidRDefault="00774227" w:rsidP="00593F09">
      <w:pPr>
        <w:rPr>
          <w:lang w:eastAsia="ja-JP"/>
        </w:rPr>
      </w:pPr>
      <w:r>
        <w:rPr>
          <w:lang w:eastAsia="ja-JP"/>
        </w:rPr>
        <w:t>The PP population comprised all enrolled patients with no major protocol violations or 93.3% (629/668) of the starting ITT population. 95.2% (593/623) of the PP population completed IT Day 180 with comparable rates across the three groups at 95.8% (204/213), 95.5% (192/201) and 94.3% (197/209) for DEX 700, DEX 350 and Sham respectively.</w:t>
      </w:r>
    </w:p>
    <w:p w:rsidR="00774227" w:rsidRDefault="00774227" w:rsidP="00593F09">
      <w:pPr>
        <w:pStyle w:val="FigureTitle"/>
        <w:numPr>
          <w:ilvl w:val="0"/>
          <w:numId w:val="20"/>
        </w:numPr>
        <w:ind w:left="1134" w:hanging="1134"/>
      </w:pPr>
      <w:bookmarkStart w:id="54" w:name="_Toc462652394"/>
      <w:r w:rsidRPr="001F7E39">
        <w:lastRenderedPageBreak/>
        <w:t>Disposition of patients (IT</w:t>
      </w:r>
      <w:r>
        <w:t>T and Re-treatment populations; Study 009)</w:t>
      </w:r>
      <w:bookmarkEnd w:id="54"/>
    </w:p>
    <w:p w:rsidR="00AB599E" w:rsidRDefault="008512D0" w:rsidP="00AB599E">
      <w:r>
        <w:rPr>
          <w:noProof/>
          <w:lang w:eastAsia="en-AU"/>
        </w:rPr>
        <w:drawing>
          <wp:inline distT="0" distB="0" distL="0" distR="0" wp14:anchorId="7E597EC1" wp14:editId="4A60AC52">
            <wp:extent cx="3808730" cy="4874260"/>
            <wp:effectExtent l="0" t="0" r="1270" b="2540"/>
            <wp:docPr id="15" name="Picture 15" descr="Figure 1: Disposition of patients (ITT and Re-treatment populations;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dmin\original documents\2019 04\Janet\3467 - auspar dexamethasone ozurdex\auspar-dexamethasone-intravitreal-implant-19022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4874260"/>
                    </a:xfrm>
                    <a:prstGeom prst="rect">
                      <a:avLst/>
                    </a:prstGeom>
                    <a:noFill/>
                    <a:ln>
                      <a:noFill/>
                    </a:ln>
                  </pic:spPr>
                </pic:pic>
              </a:graphicData>
            </a:graphic>
          </wp:inline>
        </w:drawing>
      </w:r>
    </w:p>
    <w:p w:rsidR="00774227" w:rsidRDefault="00774227" w:rsidP="004E2C51">
      <w:pPr>
        <w:pStyle w:val="Tabletitle"/>
        <w:numPr>
          <w:ilvl w:val="0"/>
          <w:numId w:val="21"/>
        </w:numPr>
        <w:spacing w:after="120" w:line="240" w:lineRule="auto"/>
        <w:ind w:left="1134" w:hanging="1134"/>
      </w:pPr>
      <w:bookmarkStart w:id="55" w:name="_Toc462652630"/>
      <w:r>
        <w:t>Summary of study populations (Study 009)</w:t>
      </w:r>
      <w:bookmarkEnd w:id="55"/>
    </w:p>
    <w:tbl>
      <w:tblPr>
        <w:tblStyle w:val="TableTGAblue"/>
        <w:tblW w:w="0" w:type="auto"/>
        <w:tblLook w:val="04A0" w:firstRow="1" w:lastRow="0" w:firstColumn="1" w:lastColumn="0" w:noHBand="0" w:noVBand="1"/>
        <w:tblDescription w:val="Summary of study populations (Study 009)"/>
      </w:tblPr>
      <w:tblGrid>
        <w:gridCol w:w="4219"/>
        <w:gridCol w:w="1418"/>
        <w:gridCol w:w="1417"/>
        <w:gridCol w:w="1418"/>
      </w:tblGrid>
      <w:tr w:rsidR="00774227"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74227" w:rsidRDefault="00774227" w:rsidP="00774227">
            <w:pPr>
              <w:spacing w:before="60" w:after="60" w:line="240" w:lineRule="auto"/>
              <w:ind w:left="57" w:right="57"/>
              <w:rPr>
                <w:lang w:eastAsia="ja-JP"/>
              </w:rPr>
            </w:pPr>
            <w:r>
              <w:rPr>
                <w:lang w:eastAsia="ja-JP"/>
              </w:rPr>
              <w:t>Study population</w:t>
            </w:r>
          </w:p>
        </w:tc>
        <w:tc>
          <w:tcPr>
            <w:tcW w:w="1418" w:type="dxa"/>
          </w:tcPr>
          <w:p w:rsidR="00774227" w:rsidRDefault="00774227" w:rsidP="00774227">
            <w:pPr>
              <w:spacing w:before="60" w:after="60" w:line="240" w:lineRule="auto"/>
              <w:ind w:left="57" w:right="57"/>
              <w:cnfStyle w:val="100000000000" w:firstRow="1" w:lastRow="0" w:firstColumn="0" w:lastColumn="0" w:oddVBand="0" w:evenVBand="0" w:oddHBand="0" w:evenHBand="0" w:firstRowFirstColumn="0" w:firstRowLastColumn="0" w:lastRowFirstColumn="0" w:lastRowLastColumn="0"/>
              <w:rPr>
                <w:lang w:eastAsia="ja-JP"/>
              </w:rPr>
            </w:pPr>
            <w:r>
              <w:rPr>
                <w:lang w:eastAsia="ja-JP"/>
              </w:rPr>
              <w:t>DEX 700</w:t>
            </w:r>
          </w:p>
        </w:tc>
        <w:tc>
          <w:tcPr>
            <w:tcW w:w="1417" w:type="dxa"/>
          </w:tcPr>
          <w:p w:rsidR="00774227" w:rsidRDefault="00774227" w:rsidP="00774227">
            <w:pPr>
              <w:spacing w:before="60" w:after="60" w:line="240" w:lineRule="auto"/>
              <w:ind w:left="57" w:right="57"/>
              <w:cnfStyle w:val="100000000000" w:firstRow="1" w:lastRow="0" w:firstColumn="0" w:lastColumn="0" w:oddVBand="0" w:evenVBand="0" w:oddHBand="0" w:evenHBand="0" w:firstRowFirstColumn="0" w:firstRowLastColumn="0" w:lastRowFirstColumn="0" w:lastRowLastColumn="0"/>
              <w:rPr>
                <w:lang w:eastAsia="ja-JP"/>
              </w:rPr>
            </w:pPr>
            <w:r>
              <w:rPr>
                <w:lang w:eastAsia="ja-JP"/>
              </w:rPr>
              <w:t>DEX 350</w:t>
            </w:r>
          </w:p>
        </w:tc>
        <w:tc>
          <w:tcPr>
            <w:tcW w:w="1418" w:type="dxa"/>
          </w:tcPr>
          <w:p w:rsidR="00774227" w:rsidRDefault="00774227" w:rsidP="00774227">
            <w:pPr>
              <w:spacing w:before="60" w:after="60" w:line="240" w:lineRule="auto"/>
              <w:ind w:left="57" w:right="57"/>
              <w:cnfStyle w:val="100000000000" w:firstRow="1" w:lastRow="0" w:firstColumn="0" w:lastColumn="0" w:oddVBand="0" w:evenVBand="0" w:oddHBand="0" w:evenHBand="0" w:firstRowFirstColumn="0" w:firstRowLastColumn="0" w:lastRowFirstColumn="0" w:lastRowLastColumn="0"/>
              <w:rPr>
                <w:lang w:eastAsia="ja-JP"/>
              </w:rPr>
            </w:pPr>
            <w:r>
              <w:rPr>
                <w:lang w:eastAsia="ja-JP"/>
              </w:rPr>
              <w:t>Sham</w:t>
            </w:r>
          </w:p>
        </w:tc>
      </w:tr>
      <w:tr w:rsidR="00774227" w:rsidTr="00774227">
        <w:tc>
          <w:tcPr>
            <w:cnfStyle w:val="001000000000" w:firstRow="0" w:lastRow="0" w:firstColumn="1" w:lastColumn="0" w:oddVBand="0" w:evenVBand="0" w:oddHBand="0" w:evenHBand="0" w:firstRowFirstColumn="0" w:firstRowLastColumn="0" w:lastRowFirstColumn="0" w:lastRowLastColumn="0"/>
            <w:tcW w:w="4219" w:type="dxa"/>
          </w:tcPr>
          <w:p w:rsidR="00774227" w:rsidRPr="00505072" w:rsidRDefault="00774227" w:rsidP="00774227">
            <w:pPr>
              <w:spacing w:before="60" w:after="0" w:line="240" w:lineRule="auto"/>
              <w:ind w:left="57" w:right="57"/>
              <w:rPr>
                <w:sz w:val="20"/>
                <w:lang w:eastAsia="ja-JP"/>
              </w:rPr>
            </w:pPr>
            <w:r w:rsidRPr="00505072">
              <w:rPr>
                <w:sz w:val="20"/>
                <w:lang w:eastAsia="ja-JP"/>
              </w:rPr>
              <w:t>ITT population</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226</w:t>
            </w:r>
          </w:p>
        </w:tc>
        <w:tc>
          <w:tcPr>
            <w:tcW w:w="1417"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218</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224</w:t>
            </w:r>
          </w:p>
        </w:tc>
      </w:tr>
      <w:tr w:rsidR="00774227" w:rsidTr="00774227">
        <w:tc>
          <w:tcPr>
            <w:cnfStyle w:val="001000000000" w:firstRow="0" w:lastRow="0" w:firstColumn="1" w:lastColumn="0" w:oddVBand="0" w:evenVBand="0" w:oddHBand="0" w:evenHBand="0" w:firstRowFirstColumn="0" w:firstRowLastColumn="0" w:lastRowFirstColumn="0" w:lastRowLastColumn="0"/>
            <w:tcW w:w="4219" w:type="dxa"/>
          </w:tcPr>
          <w:p w:rsidR="00774227" w:rsidRPr="00505072" w:rsidRDefault="00774227" w:rsidP="00774227">
            <w:pPr>
              <w:spacing w:before="60" w:after="0" w:line="240" w:lineRule="auto"/>
              <w:ind w:left="57" w:right="57"/>
              <w:rPr>
                <w:sz w:val="20"/>
                <w:lang w:eastAsia="ja-JP"/>
              </w:rPr>
            </w:pPr>
            <w:r w:rsidRPr="00505072">
              <w:rPr>
                <w:sz w:val="20"/>
                <w:lang w:eastAsia="ja-JP"/>
              </w:rPr>
              <w:t>Safety population (as % of ITT population)</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225 (99.6%)</w:t>
            </w:r>
          </w:p>
        </w:tc>
        <w:tc>
          <w:tcPr>
            <w:tcW w:w="1417"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215 (98.6%)</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221 (98.7%)</w:t>
            </w:r>
          </w:p>
        </w:tc>
      </w:tr>
      <w:tr w:rsidR="00774227" w:rsidTr="00774227">
        <w:tc>
          <w:tcPr>
            <w:cnfStyle w:val="001000000000" w:firstRow="0" w:lastRow="0" w:firstColumn="1" w:lastColumn="0" w:oddVBand="0" w:evenVBand="0" w:oddHBand="0" w:evenHBand="0" w:firstRowFirstColumn="0" w:firstRowLastColumn="0" w:lastRowFirstColumn="0" w:lastRowLastColumn="0"/>
            <w:tcW w:w="4219" w:type="dxa"/>
          </w:tcPr>
          <w:p w:rsidR="00774227" w:rsidRPr="00505072" w:rsidRDefault="00774227" w:rsidP="00774227">
            <w:pPr>
              <w:spacing w:before="60" w:after="0" w:line="240" w:lineRule="auto"/>
              <w:ind w:left="57" w:right="57"/>
              <w:rPr>
                <w:sz w:val="20"/>
                <w:lang w:eastAsia="ja-JP"/>
              </w:rPr>
            </w:pPr>
            <w:r w:rsidRPr="00505072">
              <w:rPr>
                <w:sz w:val="20"/>
                <w:lang w:eastAsia="ja-JP"/>
              </w:rPr>
              <w:t>Per protocol population (as % of ITT pop.)</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213 (94.2%)</w:t>
            </w:r>
          </w:p>
        </w:tc>
        <w:tc>
          <w:tcPr>
            <w:tcW w:w="1417"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201 (92.2%)</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209 (93.3%)</w:t>
            </w:r>
          </w:p>
        </w:tc>
      </w:tr>
      <w:tr w:rsidR="00774227" w:rsidTr="00774227">
        <w:tc>
          <w:tcPr>
            <w:cnfStyle w:val="001000000000" w:firstRow="0" w:lastRow="0" w:firstColumn="1" w:lastColumn="0" w:oddVBand="0" w:evenVBand="0" w:oddHBand="0" w:evenHBand="0" w:firstRowFirstColumn="0" w:firstRowLastColumn="0" w:lastRowFirstColumn="0" w:lastRowLastColumn="0"/>
            <w:tcW w:w="4219" w:type="dxa"/>
          </w:tcPr>
          <w:p w:rsidR="00774227" w:rsidRPr="00505072" w:rsidRDefault="00774227" w:rsidP="00774227">
            <w:pPr>
              <w:spacing w:before="60" w:after="0" w:line="240" w:lineRule="auto"/>
              <w:ind w:left="57" w:right="57"/>
              <w:rPr>
                <w:sz w:val="20"/>
                <w:lang w:eastAsia="ja-JP"/>
              </w:rPr>
            </w:pPr>
            <w:r w:rsidRPr="00505072">
              <w:rPr>
                <w:sz w:val="20"/>
                <w:lang w:eastAsia="ja-JP"/>
              </w:rPr>
              <w:t>ITT population completing IT period</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214 (94.7%)</w:t>
            </w:r>
          </w:p>
        </w:tc>
        <w:tc>
          <w:tcPr>
            <w:tcW w:w="1417"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206 (94.5%)</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209 (93.3%)</w:t>
            </w:r>
          </w:p>
        </w:tc>
      </w:tr>
      <w:tr w:rsidR="00774227" w:rsidTr="00774227">
        <w:tc>
          <w:tcPr>
            <w:cnfStyle w:val="001000000000" w:firstRow="0" w:lastRow="0" w:firstColumn="1" w:lastColumn="0" w:oddVBand="0" w:evenVBand="0" w:oddHBand="0" w:evenHBand="0" w:firstRowFirstColumn="0" w:firstRowLastColumn="0" w:lastRowFirstColumn="0" w:lastRowLastColumn="0"/>
            <w:tcW w:w="4219" w:type="dxa"/>
          </w:tcPr>
          <w:p w:rsidR="00774227" w:rsidRPr="00505072" w:rsidRDefault="00774227" w:rsidP="00774227">
            <w:pPr>
              <w:spacing w:before="60" w:after="0" w:line="240" w:lineRule="auto"/>
              <w:ind w:left="57" w:right="57"/>
              <w:rPr>
                <w:sz w:val="20"/>
                <w:lang w:eastAsia="ja-JP"/>
              </w:rPr>
            </w:pPr>
            <w:r w:rsidRPr="00505072">
              <w:rPr>
                <w:sz w:val="20"/>
                <w:lang w:eastAsia="ja-JP"/>
              </w:rPr>
              <w:t>Re-treated population</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179</w:t>
            </w:r>
          </w:p>
        </w:tc>
        <w:tc>
          <w:tcPr>
            <w:tcW w:w="1417"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173</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168</w:t>
            </w:r>
          </w:p>
        </w:tc>
      </w:tr>
      <w:tr w:rsidR="00774227" w:rsidTr="00774227">
        <w:tc>
          <w:tcPr>
            <w:cnfStyle w:val="001000000000" w:firstRow="0" w:lastRow="0" w:firstColumn="1" w:lastColumn="0" w:oddVBand="0" w:evenVBand="0" w:oddHBand="0" w:evenHBand="0" w:firstRowFirstColumn="0" w:firstRowLastColumn="0" w:lastRowFirstColumn="0" w:lastRowLastColumn="0"/>
            <w:tcW w:w="4219" w:type="dxa"/>
          </w:tcPr>
          <w:p w:rsidR="00774227" w:rsidRPr="00505072" w:rsidRDefault="00774227" w:rsidP="00774227">
            <w:pPr>
              <w:spacing w:before="60" w:after="0" w:line="240" w:lineRule="auto"/>
              <w:ind w:left="57" w:right="57"/>
              <w:rPr>
                <w:sz w:val="20"/>
                <w:lang w:eastAsia="ja-JP"/>
              </w:rPr>
            </w:pPr>
            <w:r w:rsidRPr="00505072">
              <w:rPr>
                <w:sz w:val="20"/>
                <w:lang w:eastAsia="ja-JP"/>
              </w:rPr>
              <w:t>Re-treated population completing OL extension</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172 (96.1%)</w:t>
            </w:r>
          </w:p>
        </w:tc>
        <w:tc>
          <w:tcPr>
            <w:tcW w:w="1417"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168 (97.1%)</w:t>
            </w:r>
          </w:p>
        </w:tc>
        <w:tc>
          <w:tcPr>
            <w:tcW w:w="1418" w:type="dxa"/>
          </w:tcPr>
          <w:p w:rsidR="00774227" w:rsidRPr="00505072" w:rsidRDefault="00774227" w:rsidP="00774227">
            <w:pPr>
              <w:spacing w:before="60" w:after="0" w:line="240" w:lineRule="auto"/>
              <w:ind w:left="57" w:right="57"/>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168 (100%)</w:t>
            </w:r>
          </w:p>
        </w:tc>
      </w:tr>
    </w:tbl>
    <w:p w:rsidR="00774227" w:rsidRDefault="00774227" w:rsidP="00774227">
      <w:pPr>
        <w:rPr>
          <w:lang w:eastAsia="ja-JP"/>
        </w:rPr>
      </w:pPr>
      <w:r>
        <w:rPr>
          <w:lang w:eastAsia="ja-JP"/>
        </w:rPr>
        <w:t>For the re-treatment population, 96.2% (500</w:t>
      </w:r>
      <w:r w:rsidRPr="001F7E39">
        <w:rPr>
          <w:lang w:eastAsia="ja-JP"/>
        </w:rPr>
        <w:t>/</w:t>
      </w:r>
      <w:r>
        <w:rPr>
          <w:lang w:eastAsia="ja-JP"/>
        </w:rPr>
        <w:t>520) completed OL Day 180 with completion rates similar across the three groups at 96.1% (172</w:t>
      </w:r>
      <w:r w:rsidRPr="001F7E39">
        <w:rPr>
          <w:lang w:eastAsia="ja-JP"/>
        </w:rPr>
        <w:t>/</w:t>
      </w:r>
      <w:r>
        <w:rPr>
          <w:lang w:eastAsia="ja-JP"/>
        </w:rPr>
        <w:t>179), 97.1% (168</w:t>
      </w:r>
      <w:r w:rsidRPr="001F7E39">
        <w:rPr>
          <w:lang w:eastAsia="ja-JP"/>
        </w:rPr>
        <w:t>/</w:t>
      </w:r>
      <w:r>
        <w:rPr>
          <w:lang w:eastAsia="ja-JP"/>
        </w:rPr>
        <w:t>173) and 95.2% (160</w:t>
      </w:r>
      <w:r w:rsidRPr="001F7E39">
        <w:rPr>
          <w:lang w:eastAsia="ja-JP"/>
        </w:rPr>
        <w:t>/</w:t>
      </w:r>
      <w:r>
        <w:rPr>
          <w:lang w:eastAsia="ja-JP"/>
        </w:rPr>
        <w:t>168) in the DEX 700</w:t>
      </w:r>
      <w:r w:rsidRPr="001F7E39">
        <w:rPr>
          <w:lang w:eastAsia="ja-JP"/>
        </w:rPr>
        <w:t>/</w:t>
      </w:r>
      <w:r>
        <w:rPr>
          <w:lang w:eastAsia="ja-JP"/>
        </w:rPr>
        <w:t>700, DEX 350</w:t>
      </w:r>
      <w:r w:rsidRPr="001F7E39">
        <w:rPr>
          <w:lang w:eastAsia="ja-JP"/>
        </w:rPr>
        <w:t>/</w:t>
      </w:r>
      <w:r>
        <w:rPr>
          <w:lang w:eastAsia="ja-JP"/>
        </w:rPr>
        <w:t>700 and Sham</w:t>
      </w:r>
      <w:r w:rsidRPr="001F7E39">
        <w:rPr>
          <w:lang w:eastAsia="ja-JP"/>
        </w:rPr>
        <w:t>/</w:t>
      </w:r>
      <w:r>
        <w:rPr>
          <w:lang w:eastAsia="ja-JP"/>
        </w:rPr>
        <w:t>DEX 700 groups respectively. 16.3% (109</w:t>
      </w:r>
      <w:r w:rsidRPr="001F7E39">
        <w:rPr>
          <w:lang w:eastAsia="ja-JP"/>
        </w:rPr>
        <w:t>/</w:t>
      </w:r>
      <w:r>
        <w:rPr>
          <w:lang w:eastAsia="ja-JP"/>
        </w:rPr>
        <w:t>668) of the ITT population didn’t receive the</w:t>
      </w:r>
      <w:r w:rsidR="00171B5A">
        <w:rPr>
          <w:lang w:eastAsia="ja-JP"/>
        </w:rPr>
        <w:t xml:space="preserve"> second</w:t>
      </w:r>
      <w:r>
        <w:rPr>
          <w:lang w:eastAsia="ja-JP"/>
        </w:rPr>
        <w:t xml:space="preserve"> injection with rates and reasons for not receiving the </w:t>
      </w:r>
      <w:r w:rsidR="00171B5A">
        <w:rPr>
          <w:lang w:eastAsia="ja-JP"/>
        </w:rPr>
        <w:t xml:space="preserve">second </w:t>
      </w:r>
      <w:r>
        <w:rPr>
          <w:lang w:eastAsia="ja-JP"/>
        </w:rPr>
        <w:t xml:space="preserve">injection were comparable between treatment arms as summarised in </w:t>
      </w:r>
      <w:r w:rsidR="00171B5A">
        <w:rPr>
          <w:lang w:eastAsia="ja-JP"/>
        </w:rPr>
        <w:t xml:space="preserve">the table </w:t>
      </w:r>
      <w:r>
        <w:rPr>
          <w:lang w:eastAsia="ja-JP"/>
        </w:rPr>
        <w:t>below.</w:t>
      </w:r>
    </w:p>
    <w:p w:rsidR="00774227" w:rsidRPr="00D122C1" w:rsidRDefault="00774227" w:rsidP="003F160E">
      <w:pPr>
        <w:pStyle w:val="Tabletitle"/>
        <w:pageBreakBefore/>
        <w:numPr>
          <w:ilvl w:val="0"/>
          <w:numId w:val="21"/>
        </w:numPr>
        <w:spacing w:after="120" w:line="240" w:lineRule="auto"/>
        <w:ind w:left="1134" w:hanging="1134"/>
      </w:pPr>
      <w:bookmarkStart w:id="56" w:name="_Toc462652631"/>
      <w:r w:rsidRPr="00D122C1">
        <w:lastRenderedPageBreak/>
        <w:t>Exit status (Study 009)</w:t>
      </w:r>
      <w:bookmarkEnd w:id="56"/>
    </w:p>
    <w:tbl>
      <w:tblPr>
        <w:tblStyle w:val="TableTGAblue"/>
        <w:tblW w:w="8330" w:type="dxa"/>
        <w:tblLayout w:type="fixed"/>
        <w:tblLook w:val="04A0" w:firstRow="1" w:lastRow="0" w:firstColumn="1" w:lastColumn="0" w:noHBand="0" w:noVBand="1"/>
        <w:tblDescription w:val="Exit status (Study 009)"/>
      </w:tblPr>
      <w:tblGrid>
        <w:gridCol w:w="1526"/>
        <w:gridCol w:w="1701"/>
        <w:gridCol w:w="1559"/>
        <w:gridCol w:w="2126"/>
        <w:gridCol w:w="1418"/>
      </w:tblGrid>
      <w:tr w:rsidR="00774227" w:rsidRPr="003B5B5D" w:rsidTr="003F1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74227" w:rsidRPr="003B5B5D" w:rsidRDefault="00774227" w:rsidP="008512D0">
            <w:pPr>
              <w:rPr>
                <w:lang w:eastAsia="ja-JP"/>
              </w:rPr>
            </w:pPr>
          </w:p>
        </w:tc>
        <w:tc>
          <w:tcPr>
            <w:tcW w:w="1701" w:type="dxa"/>
          </w:tcPr>
          <w:p w:rsidR="00774227" w:rsidRPr="00DE43A7"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DE43A7">
              <w:rPr>
                <w:lang w:eastAsia="ja-JP"/>
              </w:rPr>
              <w:t>DEX 700/700</w:t>
            </w:r>
            <w:r w:rsidR="008512D0">
              <w:rPr>
                <w:lang w:eastAsia="ja-JP"/>
              </w:rPr>
              <w:t xml:space="preserve"> </w:t>
            </w:r>
            <w:r w:rsidRPr="00DE43A7">
              <w:rPr>
                <w:lang w:eastAsia="ja-JP"/>
              </w:rPr>
              <w:t>(N = 179)</w:t>
            </w:r>
          </w:p>
        </w:tc>
        <w:tc>
          <w:tcPr>
            <w:tcW w:w="1559" w:type="dxa"/>
          </w:tcPr>
          <w:p w:rsidR="00774227" w:rsidRPr="00DE43A7"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DE43A7">
              <w:rPr>
                <w:lang w:eastAsia="ja-JP"/>
              </w:rPr>
              <w:t>DEX 350/700</w:t>
            </w:r>
            <w:r w:rsidR="003F160E">
              <w:rPr>
                <w:lang w:eastAsia="ja-JP"/>
              </w:rPr>
              <w:t xml:space="preserve"> </w:t>
            </w:r>
            <w:r w:rsidRPr="00DE43A7">
              <w:rPr>
                <w:lang w:eastAsia="ja-JP"/>
              </w:rPr>
              <w:t>(N = 173)</w:t>
            </w:r>
          </w:p>
        </w:tc>
        <w:tc>
          <w:tcPr>
            <w:tcW w:w="2126" w:type="dxa"/>
          </w:tcPr>
          <w:p w:rsidR="00774227" w:rsidRPr="00DE43A7"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DE43A7">
              <w:rPr>
                <w:lang w:eastAsia="ja-JP"/>
              </w:rPr>
              <w:t>Sham/DEX 700</w:t>
            </w:r>
            <w:r w:rsidR="003F160E">
              <w:rPr>
                <w:lang w:eastAsia="ja-JP"/>
              </w:rPr>
              <w:t xml:space="preserve"> </w:t>
            </w:r>
            <w:r w:rsidRPr="00DE43A7">
              <w:rPr>
                <w:lang w:eastAsia="ja-JP"/>
              </w:rPr>
              <w:t>(N = 168)</w:t>
            </w:r>
          </w:p>
        </w:tc>
        <w:tc>
          <w:tcPr>
            <w:tcW w:w="1418" w:type="dxa"/>
          </w:tcPr>
          <w:p w:rsidR="003F160E"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DE43A7">
              <w:rPr>
                <w:lang w:eastAsia="ja-JP"/>
              </w:rPr>
              <w:t>Total</w:t>
            </w:r>
            <w:r w:rsidR="003F160E">
              <w:rPr>
                <w:lang w:eastAsia="ja-JP"/>
              </w:rPr>
              <w:t xml:space="preserve"> </w:t>
            </w:r>
          </w:p>
          <w:p w:rsidR="00774227" w:rsidRPr="00DE43A7"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DE43A7">
              <w:rPr>
                <w:lang w:eastAsia="ja-JP"/>
              </w:rPr>
              <w:t>(N = 520)</w:t>
            </w:r>
          </w:p>
        </w:tc>
      </w:tr>
      <w:tr w:rsidR="00774227" w:rsidRPr="003B5B5D" w:rsidTr="003F160E">
        <w:tc>
          <w:tcPr>
            <w:cnfStyle w:val="001000000000" w:firstRow="0" w:lastRow="0" w:firstColumn="1" w:lastColumn="0" w:oddVBand="0" w:evenVBand="0" w:oddHBand="0" w:evenHBand="0" w:firstRowFirstColumn="0" w:firstRowLastColumn="0" w:lastRowFirstColumn="0" w:lastRowLastColumn="0"/>
            <w:tcW w:w="1526" w:type="dxa"/>
          </w:tcPr>
          <w:p w:rsidR="00774227" w:rsidRPr="00505072" w:rsidRDefault="00774227" w:rsidP="008512D0">
            <w:pPr>
              <w:rPr>
                <w:sz w:val="20"/>
                <w:lang w:eastAsia="ja-JP"/>
              </w:rPr>
            </w:pPr>
            <w:r w:rsidRPr="00505072">
              <w:rPr>
                <w:sz w:val="20"/>
                <w:lang w:eastAsia="ja-JP"/>
              </w:rPr>
              <w:t>ITT population</w:t>
            </w:r>
          </w:p>
        </w:tc>
        <w:tc>
          <w:tcPr>
            <w:tcW w:w="1701"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226 (100%)</w:t>
            </w:r>
          </w:p>
        </w:tc>
        <w:tc>
          <w:tcPr>
            <w:tcW w:w="1559"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218 (100%)</w:t>
            </w:r>
          </w:p>
        </w:tc>
        <w:tc>
          <w:tcPr>
            <w:tcW w:w="2126"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224 (100%)</w:t>
            </w:r>
          </w:p>
        </w:tc>
        <w:tc>
          <w:tcPr>
            <w:tcW w:w="1418"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668</w:t>
            </w:r>
          </w:p>
        </w:tc>
      </w:tr>
      <w:tr w:rsidR="00774227" w:rsidRPr="003B5B5D" w:rsidTr="003F160E">
        <w:tc>
          <w:tcPr>
            <w:cnfStyle w:val="001000000000" w:firstRow="0" w:lastRow="0" w:firstColumn="1" w:lastColumn="0" w:oddVBand="0" w:evenVBand="0" w:oddHBand="0" w:evenHBand="0" w:firstRowFirstColumn="0" w:firstRowLastColumn="0" w:lastRowFirstColumn="0" w:lastRowLastColumn="0"/>
            <w:tcW w:w="1526" w:type="dxa"/>
          </w:tcPr>
          <w:p w:rsidR="00774227" w:rsidRPr="00505072" w:rsidRDefault="00774227" w:rsidP="008512D0">
            <w:pPr>
              <w:rPr>
                <w:sz w:val="20"/>
                <w:lang w:eastAsia="ja-JP"/>
              </w:rPr>
            </w:pPr>
            <w:r w:rsidRPr="00505072">
              <w:rPr>
                <w:sz w:val="20"/>
                <w:lang w:eastAsia="ja-JP"/>
              </w:rPr>
              <w:t>Did not receive</w:t>
            </w:r>
            <w:r w:rsidR="008A6DBC">
              <w:rPr>
                <w:sz w:val="20"/>
                <w:lang w:eastAsia="ja-JP"/>
              </w:rPr>
              <w:t xml:space="preserve"> second</w:t>
            </w:r>
            <w:r w:rsidRPr="00505072">
              <w:rPr>
                <w:sz w:val="20"/>
                <w:lang w:eastAsia="ja-JP"/>
              </w:rPr>
              <w:t xml:space="preserve"> injection</w:t>
            </w:r>
          </w:p>
        </w:tc>
        <w:tc>
          <w:tcPr>
            <w:tcW w:w="1701"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35 (15.5%)</w:t>
            </w:r>
          </w:p>
        </w:tc>
        <w:tc>
          <w:tcPr>
            <w:tcW w:w="1559"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33 (15.1%)</w:t>
            </w:r>
          </w:p>
        </w:tc>
        <w:tc>
          <w:tcPr>
            <w:tcW w:w="2126"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41 (18.3%)</w:t>
            </w:r>
          </w:p>
        </w:tc>
        <w:tc>
          <w:tcPr>
            <w:tcW w:w="1418"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109 (16.3%)</w:t>
            </w:r>
          </w:p>
        </w:tc>
      </w:tr>
      <w:tr w:rsidR="00774227" w:rsidRPr="003B5B5D" w:rsidTr="003F160E">
        <w:tc>
          <w:tcPr>
            <w:cnfStyle w:val="001000000000" w:firstRow="0" w:lastRow="0" w:firstColumn="1" w:lastColumn="0" w:oddVBand="0" w:evenVBand="0" w:oddHBand="0" w:evenHBand="0" w:firstRowFirstColumn="0" w:firstRowLastColumn="0" w:lastRowFirstColumn="0" w:lastRowLastColumn="0"/>
            <w:tcW w:w="1526" w:type="dxa"/>
          </w:tcPr>
          <w:p w:rsidR="00774227" w:rsidRPr="00505072" w:rsidRDefault="00774227" w:rsidP="008512D0">
            <w:pPr>
              <w:rPr>
                <w:sz w:val="20"/>
                <w:lang w:eastAsia="ja-JP"/>
              </w:rPr>
            </w:pPr>
            <w:r w:rsidRPr="00505072">
              <w:rPr>
                <w:sz w:val="20"/>
                <w:lang w:eastAsia="ja-JP"/>
              </w:rPr>
              <w:t>Discontinued during IT period</w:t>
            </w:r>
          </w:p>
        </w:tc>
        <w:tc>
          <w:tcPr>
            <w:tcW w:w="1701"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 (1.3%)</w:t>
            </w:r>
          </w:p>
        </w:tc>
        <w:tc>
          <w:tcPr>
            <w:tcW w:w="1559"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 (1.4%)</w:t>
            </w:r>
          </w:p>
        </w:tc>
        <w:tc>
          <w:tcPr>
            <w:tcW w:w="2126"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4 (1.8%)</w:t>
            </w:r>
          </w:p>
        </w:tc>
        <w:tc>
          <w:tcPr>
            <w:tcW w:w="1418"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10 (1.5%)</w:t>
            </w:r>
          </w:p>
        </w:tc>
      </w:tr>
      <w:tr w:rsidR="00774227" w:rsidRPr="003B5B5D" w:rsidTr="003F160E">
        <w:tc>
          <w:tcPr>
            <w:cnfStyle w:val="001000000000" w:firstRow="0" w:lastRow="0" w:firstColumn="1" w:lastColumn="0" w:oddVBand="0" w:evenVBand="0" w:oddHBand="0" w:evenHBand="0" w:firstRowFirstColumn="0" w:firstRowLastColumn="0" w:lastRowFirstColumn="0" w:lastRowLastColumn="0"/>
            <w:tcW w:w="1526" w:type="dxa"/>
          </w:tcPr>
          <w:p w:rsidR="00774227" w:rsidRPr="00505072" w:rsidRDefault="00774227" w:rsidP="008512D0">
            <w:pPr>
              <w:rPr>
                <w:sz w:val="20"/>
                <w:lang w:eastAsia="ja-JP"/>
              </w:rPr>
            </w:pPr>
            <w:r w:rsidRPr="00505072">
              <w:rPr>
                <w:sz w:val="20"/>
                <w:lang w:eastAsia="ja-JP"/>
              </w:rPr>
              <w:t xml:space="preserve">Ineligible (BCVA/OCT criteria) </w:t>
            </w:r>
          </w:p>
        </w:tc>
        <w:tc>
          <w:tcPr>
            <w:tcW w:w="1701"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18 (8.0%)</w:t>
            </w:r>
          </w:p>
        </w:tc>
        <w:tc>
          <w:tcPr>
            <w:tcW w:w="1559"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19 (8.7%)</w:t>
            </w:r>
          </w:p>
        </w:tc>
        <w:tc>
          <w:tcPr>
            <w:tcW w:w="2126"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23 (10.3%)</w:t>
            </w:r>
          </w:p>
        </w:tc>
        <w:tc>
          <w:tcPr>
            <w:tcW w:w="1418"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60 (9.0%)</w:t>
            </w:r>
          </w:p>
        </w:tc>
      </w:tr>
      <w:tr w:rsidR="00774227" w:rsidRPr="003B5B5D" w:rsidTr="003F160E">
        <w:tc>
          <w:tcPr>
            <w:cnfStyle w:val="001000000000" w:firstRow="0" w:lastRow="0" w:firstColumn="1" w:lastColumn="0" w:oddVBand="0" w:evenVBand="0" w:oddHBand="0" w:evenHBand="0" w:firstRowFirstColumn="0" w:firstRowLastColumn="0" w:lastRowFirstColumn="0" w:lastRowLastColumn="0"/>
            <w:tcW w:w="1526" w:type="dxa"/>
          </w:tcPr>
          <w:p w:rsidR="00774227" w:rsidRPr="00505072" w:rsidRDefault="00774227" w:rsidP="008512D0">
            <w:pPr>
              <w:rPr>
                <w:sz w:val="20"/>
                <w:lang w:eastAsia="ja-JP"/>
              </w:rPr>
            </w:pPr>
            <w:r w:rsidRPr="00505072">
              <w:rPr>
                <w:sz w:val="20"/>
                <w:lang w:eastAsia="ja-JP"/>
              </w:rPr>
              <w:t>Safety concerns</w:t>
            </w:r>
          </w:p>
        </w:tc>
        <w:tc>
          <w:tcPr>
            <w:tcW w:w="1701"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7 (3.1%)</w:t>
            </w:r>
          </w:p>
        </w:tc>
        <w:tc>
          <w:tcPr>
            <w:tcW w:w="1559"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7 (3.2%)</w:t>
            </w:r>
          </w:p>
        </w:tc>
        <w:tc>
          <w:tcPr>
            <w:tcW w:w="2126"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8 (3.6%)</w:t>
            </w:r>
          </w:p>
        </w:tc>
        <w:tc>
          <w:tcPr>
            <w:tcW w:w="1418" w:type="dxa"/>
          </w:tcPr>
          <w:p w:rsidR="00774227" w:rsidRPr="00505072" w:rsidRDefault="00774227" w:rsidP="008512D0">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 (3.3%)</w:t>
            </w:r>
          </w:p>
        </w:tc>
      </w:tr>
    </w:tbl>
    <w:p w:rsidR="00774227" w:rsidRDefault="00774227" w:rsidP="003F160E">
      <w:r w:rsidRPr="00DE43A7">
        <w:t>Reasons given for randomised patients not receiving treatment included concurrent vitreous haemorrhage and retinal tear, concurrent ocular infection, severe hypertension, panic attack at time of procedure, use of prohibited medications at IT day 0 and new disclosure</w:t>
      </w:r>
      <w:r>
        <w:t xml:space="preserve"> of ineligible medical history.</w:t>
      </w:r>
    </w:p>
    <w:p w:rsidR="00774227" w:rsidRDefault="00774227" w:rsidP="001A6390">
      <w:r w:rsidRPr="00DE43A7">
        <w:t>For the IT period, the attrition rate was small at 5.8% (39/668) of the ITT population discontinuing before completion of IT Day 180, with rates and reasons for discontinuation across treatment groups being similar. Discontinuation rates and reasons for the other analysis populations were also similar both between groups and between populations. For the re-treatment population, the attrition rate was even smaller at 3.8% (20/520) of patients discontinued prior to OL Day 360, again a high completion rate with little variation in distribution between the three treatment groups.</w:t>
      </w:r>
    </w:p>
    <w:p w:rsidR="00774227" w:rsidRDefault="00774227" w:rsidP="00A45E9B">
      <w:pPr>
        <w:pStyle w:val="Heading5"/>
        <w:rPr>
          <w:lang w:eastAsia="ja-JP"/>
        </w:rPr>
      </w:pPr>
      <w:r>
        <w:rPr>
          <w:lang w:eastAsia="ja-JP"/>
        </w:rPr>
        <w:t>Baseline data</w:t>
      </w:r>
    </w:p>
    <w:p w:rsidR="00774227" w:rsidRPr="003B5B5D" w:rsidRDefault="00774227" w:rsidP="00774227">
      <w:pPr>
        <w:pStyle w:val="Heading6"/>
        <w:rPr>
          <w:lang w:eastAsia="ja-JP"/>
        </w:rPr>
      </w:pPr>
      <w:r w:rsidRPr="003B5B5D">
        <w:rPr>
          <w:lang w:eastAsia="ja-JP"/>
        </w:rPr>
        <w:t>Demographic characteristics</w:t>
      </w:r>
    </w:p>
    <w:p w:rsidR="00774227" w:rsidRPr="003B5B5D" w:rsidRDefault="00774227" w:rsidP="00774227">
      <w:pPr>
        <w:rPr>
          <w:lang w:eastAsia="ja-JP"/>
        </w:rPr>
      </w:pPr>
      <w:r w:rsidRPr="003B5B5D">
        <w:rPr>
          <w:lang w:eastAsia="ja-JP"/>
        </w:rPr>
        <w:t xml:space="preserve">For the ITT population, overall, the mean (range) age was 63.6 years (31 to </w:t>
      </w:r>
      <w:r>
        <w:rPr>
          <w:lang w:eastAsia="ja-JP"/>
        </w:rPr>
        <w:t xml:space="preserve">96), 52.4% (350/668) were male and </w:t>
      </w:r>
      <w:r w:rsidRPr="003B5B5D">
        <w:rPr>
          <w:lang w:eastAsia="ja-JP"/>
        </w:rPr>
        <w:t>67.2% (449/668) were Caucasian. 34.7% (232/668) were diagnosed with CRVO and 65.3% (436/668) with BRVO. There were no statistically significant differences among the treatment groups in the demographic and baseline characteristics in the ITT population</w:t>
      </w:r>
      <w:r w:rsidR="001A6390">
        <w:rPr>
          <w:lang w:eastAsia="ja-JP"/>
        </w:rPr>
        <w:t>.</w:t>
      </w:r>
    </w:p>
    <w:p w:rsidR="00774227" w:rsidRPr="003B5B5D" w:rsidRDefault="00774227" w:rsidP="004E2C51">
      <w:pPr>
        <w:pStyle w:val="Tabletitle"/>
        <w:numPr>
          <w:ilvl w:val="0"/>
          <w:numId w:val="21"/>
        </w:numPr>
        <w:spacing w:after="120" w:line="240" w:lineRule="auto"/>
        <w:ind w:left="1134" w:hanging="1134"/>
      </w:pPr>
      <w:bookmarkStart w:id="57" w:name="_Toc462652632"/>
      <w:r w:rsidRPr="003B5B5D">
        <w:lastRenderedPageBreak/>
        <w:t>Baseline demographic characteristics</w:t>
      </w:r>
      <w:r>
        <w:t xml:space="preserve"> (ITT population; Study 009)</w:t>
      </w:r>
      <w:bookmarkEnd w:id="57"/>
    </w:p>
    <w:p w:rsidR="00774227" w:rsidRPr="003B5B5D" w:rsidRDefault="00774227" w:rsidP="00774227">
      <w:pPr>
        <w:rPr>
          <w:lang w:eastAsia="ja-JP"/>
        </w:rPr>
      </w:pPr>
      <w:r w:rsidRPr="003B5B5D">
        <w:rPr>
          <w:noProof/>
          <w:lang w:eastAsia="en-AU"/>
        </w:rPr>
        <w:drawing>
          <wp:inline distT="0" distB="0" distL="0" distR="0" wp14:anchorId="15FEDAC1" wp14:editId="6D1ACAEB">
            <wp:extent cx="3322320" cy="3505103"/>
            <wp:effectExtent l="0" t="0" r="0" b="635"/>
            <wp:docPr id="105" name="Picture 105" descr="Baseline demographic characteristics (ITT population;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33854" cy="3517271"/>
                    </a:xfrm>
                    <a:prstGeom prst="rect">
                      <a:avLst/>
                    </a:prstGeom>
                  </pic:spPr>
                </pic:pic>
              </a:graphicData>
            </a:graphic>
          </wp:inline>
        </w:drawing>
      </w:r>
    </w:p>
    <w:p w:rsidR="00774227" w:rsidRPr="00761375" w:rsidRDefault="00774227" w:rsidP="001A6420">
      <w:r w:rsidRPr="00761375">
        <w:t>The Baseline demographic characteristics were well balanced and similar across the treatment groups. The mean age and age range reflects the rise in incidence of RVO with increasing age, as does the roughly equal proportions of male and female patients in the study, with the prevalence of RVO being approximately equal between genders. The ratio of BRVO to CRVO was roughly 2:1 and adequate enough to assess the efficacy and safety in (and any difference between) the diagnostic subgroups.</w:t>
      </w:r>
    </w:p>
    <w:p w:rsidR="00774227" w:rsidRPr="003B5B5D" w:rsidRDefault="00774227" w:rsidP="00774227">
      <w:pPr>
        <w:pStyle w:val="Heading6"/>
        <w:rPr>
          <w:lang w:eastAsia="ja-JP"/>
        </w:rPr>
      </w:pPr>
      <w:r w:rsidRPr="003B5B5D">
        <w:rPr>
          <w:lang w:eastAsia="ja-JP"/>
        </w:rPr>
        <w:t>Medical and ophthalmic history</w:t>
      </w:r>
    </w:p>
    <w:p w:rsidR="00774227" w:rsidRPr="003B5B5D" w:rsidRDefault="00774227" w:rsidP="00774227">
      <w:pPr>
        <w:rPr>
          <w:lang w:eastAsia="ja-JP"/>
        </w:rPr>
      </w:pPr>
      <w:r>
        <w:rPr>
          <w:lang w:eastAsia="ja-JP"/>
        </w:rPr>
        <w:t xml:space="preserve">Overall, treatment groups were comparable in terms of history. Other than macular oedema (in the study eye), findings in the ophthalmic history as </w:t>
      </w:r>
      <w:r w:rsidRPr="003B5B5D">
        <w:rPr>
          <w:lang w:eastAsia="ja-JP"/>
        </w:rPr>
        <w:t xml:space="preserve">reported under </w:t>
      </w:r>
      <w:r>
        <w:rPr>
          <w:lang w:eastAsia="ja-JP"/>
        </w:rPr>
        <w:t>SOC:</w:t>
      </w:r>
      <w:r w:rsidRPr="003B5B5D">
        <w:rPr>
          <w:lang w:eastAsia="ja-JP"/>
        </w:rPr>
        <w:t xml:space="preserve"> ‘Eye disorders’ </w:t>
      </w:r>
      <w:r>
        <w:rPr>
          <w:lang w:eastAsia="ja-JP"/>
        </w:rPr>
        <w:t>was positive for</w:t>
      </w:r>
      <w:r w:rsidRPr="003B5B5D">
        <w:rPr>
          <w:lang w:eastAsia="ja-JP"/>
        </w:rPr>
        <w:t xml:space="preserve"> 99.9% (667/668) of patients. The most common findings were RVO 99.1% (662/668), cataract 57.2% (382/668), retinal haemorrhage 17.5% (117/668), </w:t>
      </w:r>
      <w:proofErr w:type="gramStart"/>
      <w:r w:rsidRPr="003B5B5D">
        <w:rPr>
          <w:lang w:eastAsia="ja-JP"/>
        </w:rPr>
        <w:t>refraction</w:t>
      </w:r>
      <w:proofErr w:type="gramEnd"/>
      <w:r w:rsidRPr="003B5B5D">
        <w:rPr>
          <w:lang w:eastAsia="ja-JP"/>
        </w:rPr>
        <w:t xml:space="preserve"> disorder 12.0% (80/668), and vitreous detachment 10.5% (70/668).</w:t>
      </w:r>
    </w:p>
    <w:p w:rsidR="00774227" w:rsidRPr="003B5B5D" w:rsidRDefault="00774227" w:rsidP="00774227">
      <w:pPr>
        <w:rPr>
          <w:lang w:eastAsia="ja-JP"/>
        </w:rPr>
      </w:pPr>
      <w:r>
        <w:rPr>
          <w:lang w:eastAsia="ja-JP"/>
        </w:rPr>
        <w:t>In the general medical history</w:t>
      </w:r>
      <w:r w:rsidRPr="003B5B5D">
        <w:rPr>
          <w:lang w:eastAsia="ja-JP"/>
        </w:rPr>
        <w:t xml:space="preserve"> the most common findings were vascular disorders </w:t>
      </w:r>
      <w:r>
        <w:rPr>
          <w:lang w:eastAsia="ja-JP"/>
        </w:rPr>
        <w:t xml:space="preserve">at </w:t>
      </w:r>
      <w:r w:rsidRPr="003B5B5D">
        <w:rPr>
          <w:lang w:eastAsia="ja-JP"/>
        </w:rPr>
        <w:t>65.4% (437/668), musculoskeletal/connective tissue disorders 35.6% (238/668), metabolism/nutrition disorders 33.8% (226/668), social circumstances 28.0% (187/668), gastrointestinal disorders 25.1% (168/668), and infections/infestations 22.2% (148/668). There were statistically significant among-group differences for hepatobiliary disorders (12.8%, 3.7%, and 9.4% in the DEX 700, DEX 350, and Sham groups, respectively); and endocrine disorders (6.2%, 9.6%, and 13.8% in the DEX 700, DEX 350, and Sham groups, respectively).</w:t>
      </w:r>
    </w:p>
    <w:p w:rsidR="00774227" w:rsidRPr="003B5B5D" w:rsidRDefault="00774227" w:rsidP="00774227">
      <w:pPr>
        <w:pStyle w:val="Heading6"/>
        <w:rPr>
          <w:lang w:eastAsia="ja-JP"/>
        </w:rPr>
      </w:pPr>
      <w:r w:rsidRPr="003B5B5D">
        <w:rPr>
          <w:lang w:eastAsia="ja-JP"/>
        </w:rPr>
        <w:t>Prior medications and procedures</w:t>
      </w:r>
    </w:p>
    <w:p w:rsidR="00774227" w:rsidRPr="003B5B5D" w:rsidRDefault="00774227" w:rsidP="00774227">
      <w:pPr>
        <w:rPr>
          <w:lang w:eastAsia="ja-JP"/>
        </w:rPr>
      </w:pPr>
      <w:r>
        <w:rPr>
          <w:lang w:eastAsia="ja-JP"/>
        </w:rPr>
        <w:t xml:space="preserve">Use of prior medication for macular oedema was similar among diagnostic subgroups at </w:t>
      </w:r>
      <w:r w:rsidRPr="003B5B5D">
        <w:rPr>
          <w:lang w:eastAsia="ja-JP"/>
        </w:rPr>
        <w:t>5.5% (24/436) of the BRVO subgroup and 6.5% (15/232) of the CRVO subgroup. 8.5% (57/668) of patients reported prior procedures for the treatment of macular oedema in the study eye. All these patients had retinal laser coagulation, except one patient, who had intra-ocular injection.</w:t>
      </w:r>
    </w:p>
    <w:p w:rsidR="00774227" w:rsidRPr="003B5B5D" w:rsidRDefault="00774227" w:rsidP="00774227">
      <w:pPr>
        <w:rPr>
          <w:lang w:eastAsia="ja-JP"/>
        </w:rPr>
      </w:pPr>
      <w:r w:rsidRPr="003B5B5D">
        <w:rPr>
          <w:lang w:eastAsia="ja-JP"/>
        </w:rPr>
        <w:lastRenderedPageBreak/>
        <w:t>17.5% (117/668) of patients reported medications for ophthalmological conditions other than the treatment of macular oedema prior to study entry. The most common prior medications (reported by greater than 2% of patients) were other ophthalmologicals (5.4%), other ophthalmological anti-infectives (4.2%), and ophthalmic beta blocking agents (2.4%).</w:t>
      </w:r>
    </w:p>
    <w:p w:rsidR="00774227" w:rsidRPr="003B5B5D" w:rsidRDefault="006918A3" w:rsidP="001A6420">
      <w:pPr>
        <w:rPr>
          <w:lang w:eastAsia="ja-JP"/>
        </w:rPr>
      </w:pPr>
      <w:r>
        <w:t>T</w:t>
      </w:r>
      <w:r w:rsidR="00774227" w:rsidRPr="00761375">
        <w:t>he proportion of patients having received prior medication for macular oedema was low and comparable across the three groups as were the proportions having received laser coagulation</w:t>
      </w:r>
      <w:r w:rsidR="00774227" w:rsidRPr="003B5B5D">
        <w:rPr>
          <w:lang w:eastAsia="ja-JP"/>
        </w:rPr>
        <w:t xml:space="preserve">. </w:t>
      </w:r>
    </w:p>
    <w:p w:rsidR="00774227" w:rsidRPr="003B5B5D" w:rsidRDefault="00774227" w:rsidP="00774227">
      <w:pPr>
        <w:pStyle w:val="Heading6"/>
        <w:rPr>
          <w:lang w:eastAsia="ja-JP"/>
        </w:rPr>
      </w:pPr>
      <w:r w:rsidRPr="003B5B5D">
        <w:rPr>
          <w:lang w:eastAsia="ja-JP"/>
        </w:rPr>
        <w:t>Concurrent medications and procedures</w:t>
      </w:r>
    </w:p>
    <w:p w:rsidR="00774227" w:rsidRDefault="00774227" w:rsidP="00774227">
      <w:pPr>
        <w:rPr>
          <w:lang w:eastAsia="ja-JP"/>
        </w:rPr>
      </w:pPr>
      <w:r w:rsidRPr="003B5B5D">
        <w:rPr>
          <w:lang w:eastAsia="ja-JP"/>
        </w:rPr>
        <w:t>Concurrent use of ocular medications in the study eye were reported for 46.5% (105/226) of patients in the DEX 700 group, 44.0% (96/218) in the DEX 350 group, and 22.3% (50/224) in the Sham group. The most frequently reported drug classes (more than 10% in any treatment group) were: ophthalmic beta blocking agents (25.7% in the DEX 700 group, 21.6% in the DEX 350 group, and 2.7% in the Sham group), sympathomimetics in glaucoma therapy (12.8% in the DEX 700 group, 12.8% in the DEX 350 group, and 1.3% in the Sham group), ophthalmic prostaglandin analogues (9.7% in the DEX 700 group, 11.5% in the DEX 350 group, and 1.3% in the Sham group), and other ophthalmologicals (9.7% in the DEX 700 group, 11.0% in the DEX 350 group, and 9.8% in the Sham group). The higher incidence of IOP-lowering medications is to be expected in the patients receiving intravitreal steroid injections.</w:t>
      </w:r>
      <w:r w:rsidRPr="001A2BBE">
        <w:t xml:space="preserve"> </w:t>
      </w:r>
      <w:r w:rsidRPr="001A2BBE">
        <w:rPr>
          <w:lang w:eastAsia="ja-JP"/>
        </w:rPr>
        <w:t>The proportion of patients requiring concurrent procedures was low overall and comparable at 3.5% (8 patients) in the DEX 700 group versus 2.65% (6 patients) in the Sham group.</w:t>
      </w:r>
    </w:p>
    <w:p w:rsidR="00774227" w:rsidRPr="00761375" w:rsidRDefault="00774227" w:rsidP="001A6420">
      <w:r w:rsidRPr="00761375">
        <w:t xml:space="preserve">Comment: Concurrent ophthalmological medication use was approximately double that in the DEX 700 group compared with the Sham group. As reported, the majority of this difference is made up from the much higher rates of IOP lower medication use in the DEX 700 group. </w:t>
      </w:r>
    </w:p>
    <w:p w:rsidR="00774227" w:rsidRPr="003B5B5D" w:rsidRDefault="00774227" w:rsidP="00774227">
      <w:pPr>
        <w:pStyle w:val="Heading6"/>
        <w:rPr>
          <w:lang w:eastAsia="ja-JP"/>
        </w:rPr>
      </w:pPr>
      <w:r w:rsidRPr="003B5B5D">
        <w:rPr>
          <w:lang w:eastAsia="ja-JP"/>
        </w:rPr>
        <w:t>Re-treatment population</w:t>
      </w:r>
    </w:p>
    <w:p w:rsidR="00774227" w:rsidRDefault="00774227" w:rsidP="00774227">
      <w:pPr>
        <w:rPr>
          <w:lang w:eastAsia="ja-JP"/>
        </w:rPr>
      </w:pPr>
      <w:r w:rsidRPr="003B5B5D">
        <w:rPr>
          <w:lang w:eastAsia="ja-JP"/>
        </w:rPr>
        <w:t xml:space="preserve">For the 520 patients in the re-treated population, overall, the mean (range) age was 64.4 (31 to 96) years, 51.5% were male, and 68.7% were Caucasian. The diagnosis was CRVO for 35.0% and BRVO for 65.0% of patients. Demographics and baseline characteristics were similar among the 3 treatment groups in the re-treated population as summarised </w:t>
      </w:r>
      <w:r w:rsidR="00171B5A">
        <w:rPr>
          <w:lang w:eastAsia="ja-JP"/>
        </w:rPr>
        <w:t>below</w:t>
      </w:r>
      <w:r w:rsidRPr="00EE16D3">
        <w:rPr>
          <w:lang w:eastAsia="ja-JP"/>
        </w:rPr>
        <w:t>.</w:t>
      </w:r>
    </w:p>
    <w:p w:rsidR="00774227" w:rsidRPr="00171B5A" w:rsidRDefault="00774227" w:rsidP="001A6420">
      <w:r w:rsidRPr="00171B5A">
        <w:rPr>
          <w:b/>
        </w:rPr>
        <w:t>Comment</w:t>
      </w:r>
      <w:r w:rsidRPr="00171B5A">
        <w:t>: The Baseline demographics of the ITT population and re-treatment population were very similar possibly in part due to the overall low attrition rate that was comparable across all 3 IT groups.</w:t>
      </w:r>
    </w:p>
    <w:p w:rsidR="00774227" w:rsidRPr="003B5B5D" w:rsidRDefault="00774227" w:rsidP="004E2C51">
      <w:pPr>
        <w:pStyle w:val="Tabletitle"/>
        <w:numPr>
          <w:ilvl w:val="0"/>
          <w:numId w:val="21"/>
        </w:numPr>
        <w:spacing w:after="120" w:line="240" w:lineRule="auto"/>
        <w:ind w:left="1134" w:hanging="1134"/>
      </w:pPr>
      <w:bookmarkStart w:id="58" w:name="_Toc462652633"/>
      <w:r w:rsidRPr="003B5B5D">
        <w:lastRenderedPageBreak/>
        <w:t xml:space="preserve">Baseline </w:t>
      </w:r>
      <w:r>
        <w:t xml:space="preserve">demographic </w:t>
      </w:r>
      <w:r w:rsidRPr="003B5B5D">
        <w:t>characteristics (</w:t>
      </w:r>
      <w:r>
        <w:t>Re-treatment population</w:t>
      </w:r>
      <w:r w:rsidRPr="003B5B5D">
        <w:t>)</w:t>
      </w:r>
      <w:bookmarkEnd w:id="58"/>
    </w:p>
    <w:p w:rsidR="00774227" w:rsidRPr="003B5B5D" w:rsidRDefault="00774227" w:rsidP="00774227">
      <w:pPr>
        <w:rPr>
          <w:lang w:eastAsia="ja-JP"/>
        </w:rPr>
      </w:pPr>
      <w:r w:rsidRPr="003B5B5D">
        <w:rPr>
          <w:noProof/>
          <w:lang w:eastAsia="en-AU"/>
        </w:rPr>
        <w:drawing>
          <wp:inline distT="0" distB="0" distL="0" distR="0" wp14:anchorId="37E78B0A" wp14:editId="48CDC73D">
            <wp:extent cx="3893127" cy="3964667"/>
            <wp:effectExtent l="0" t="0" r="0" b="0"/>
            <wp:docPr id="107" name="Picture 107" descr="Baseline demographic characteristics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97805" cy="3969431"/>
                    </a:xfrm>
                    <a:prstGeom prst="rect">
                      <a:avLst/>
                    </a:prstGeom>
                  </pic:spPr>
                </pic:pic>
              </a:graphicData>
            </a:graphic>
          </wp:inline>
        </w:drawing>
      </w:r>
    </w:p>
    <w:p w:rsidR="00774227" w:rsidRPr="003B5B5D" w:rsidRDefault="00774227" w:rsidP="00761375">
      <w:pPr>
        <w:rPr>
          <w:lang w:eastAsia="ja-JP"/>
        </w:rPr>
      </w:pPr>
      <w:r w:rsidRPr="003B5B5D">
        <w:rPr>
          <w:lang w:eastAsia="ja-JP"/>
        </w:rPr>
        <w:t xml:space="preserve">During the </w:t>
      </w:r>
      <w:r>
        <w:rPr>
          <w:lang w:eastAsia="ja-JP"/>
        </w:rPr>
        <w:t>OL extension</w:t>
      </w:r>
      <w:r w:rsidRPr="003B5B5D">
        <w:rPr>
          <w:lang w:eastAsia="ja-JP"/>
        </w:rPr>
        <w:t>, ocular concomitant medications in the study eye of the re-treated population were reported for 48.0% in the DEX 700/700 group, 50.9% in the DEX 350/700 group, and 48.2% in</w:t>
      </w:r>
      <w:r>
        <w:rPr>
          <w:lang w:eastAsia="ja-JP"/>
        </w:rPr>
        <w:t xml:space="preserve"> the Sham/DEX 700 group. </w:t>
      </w:r>
      <w:r w:rsidRPr="003B5B5D">
        <w:rPr>
          <w:lang w:eastAsia="ja-JP"/>
        </w:rPr>
        <w:t>Use of ocular concomitan</w:t>
      </w:r>
      <w:r>
        <w:rPr>
          <w:lang w:eastAsia="ja-JP"/>
        </w:rPr>
        <w:t>t medications doubled in the OL extension</w:t>
      </w:r>
      <w:r w:rsidRPr="003B5B5D">
        <w:rPr>
          <w:lang w:eastAsia="ja-JP"/>
        </w:rPr>
        <w:t xml:space="preserve"> for patients who had received Sham in the IT period. The most frequently reported drug classes (more than 10% in any treatment group) during the OL extension were: ophthalmic beta blocking agents (29.1% in the DEX 700/700 group, 29.5% in the DEX 350/700 group, and 28.0% in the Sham/DEX 700 group), sympathomimetics in glaucoma therapy (14.5% in the DEX 700/700 group, 15.6% in the DEX 350/700 group, and 11.9% in the Sham/DEX 700 group), ophthalmic </w:t>
      </w:r>
      <w:r>
        <w:rPr>
          <w:lang w:eastAsia="ja-JP"/>
        </w:rPr>
        <w:t>prostaglandin analogues (15.1% (27/179)</w:t>
      </w:r>
      <w:r w:rsidRPr="003B5B5D">
        <w:rPr>
          <w:lang w:eastAsia="ja-JP"/>
        </w:rPr>
        <w:t xml:space="preserve"> in the DEX 700/700 group, 12.7% in the DEX 350/700 group, and 8.3% in the Sham/DEX 700 group), and other ophthalmologicals (11.2%  in the DEX 700/700 group, 12.1%  in the DEX 350/700 group, and 14.3% in the Sham/DEX 700 group).</w:t>
      </w:r>
    </w:p>
    <w:p w:rsidR="00774227" w:rsidRDefault="00774227" w:rsidP="00774227">
      <w:pPr>
        <w:rPr>
          <w:lang w:eastAsia="ja-JP"/>
        </w:rPr>
      </w:pPr>
      <w:r>
        <w:rPr>
          <w:lang w:eastAsia="ja-JP"/>
        </w:rPr>
        <w:t xml:space="preserve">The number of concurrent ocular procedures in the retreatment population were 4 and 8; 4 and 8; 1 and 8 in the IT and OL period for the DEX 700/700, DEX 350/700 and Sham/DEX 700 groups respectively. </w:t>
      </w:r>
      <w:r w:rsidRPr="003B5B5D">
        <w:rPr>
          <w:lang w:eastAsia="ja-JP"/>
        </w:rPr>
        <w:t xml:space="preserve">Retinal laser coagulation </w:t>
      </w:r>
      <w:r>
        <w:rPr>
          <w:lang w:eastAsia="ja-JP"/>
        </w:rPr>
        <w:t>was the most common with 4, 3 and 4 procedures carried out across the three groups (12-month cumulative period) followed by eye laser surgery (0, 4 and 2 procedures) and intraocular injection (2, 0 and 1 procedures).</w:t>
      </w:r>
    </w:p>
    <w:p w:rsidR="00774227" w:rsidRPr="00761375" w:rsidRDefault="00774227" w:rsidP="001A6420">
      <w:r w:rsidRPr="00761375">
        <w:t>IOP lowering ophthalmic medications were there most commonly used class and the doubling in use is unsurprising considering elevated IOP was the most common AE across all studies. Numerically, concurrent ocular were higher in the DEX groups and following re-treatment, there were no significant differences.</w:t>
      </w:r>
    </w:p>
    <w:p w:rsidR="00774227" w:rsidRPr="00761375" w:rsidRDefault="00774227" w:rsidP="00A45E9B">
      <w:pPr>
        <w:pStyle w:val="Heading5"/>
      </w:pPr>
      <w:r w:rsidRPr="00761375">
        <w:lastRenderedPageBreak/>
        <w:t>Major protocol violations/deviations</w:t>
      </w:r>
    </w:p>
    <w:p w:rsidR="00774227" w:rsidRPr="0014235C" w:rsidRDefault="00774227" w:rsidP="0014235C">
      <w:r w:rsidRPr="0014235C">
        <w:t>Using pre-specified guidelines, each deviation in the master list was classified as ‘unimportant’ or ‘important’. Unimportant deviations were related to use of selected concomitant medications or therapies (for example warfarin or heparin, immunosuppressants, topical ophthalmic steroids or NSAIDs, procedures for reasons other than macular oedema), timing/roles for study procedures related to secondary endpoints, out-of-visit windows, and documentation of serious adverse event reporting discrepancies.</w:t>
      </w:r>
    </w:p>
    <w:p w:rsidR="00774227" w:rsidRPr="0014235C" w:rsidRDefault="00774227" w:rsidP="0014235C">
      <w:r w:rsidRPr="0014235C">
        <w:t>Important deviations were related to patient eligibility, amended informed consent/privacy documents or ethics committee approval, any study drug issues, use of prohibited concomitant medications or therapies (such as intravitreal, periocular or systemic steroids, laser/surgical treatment for macular edema in the study eye), or missing/incomplete BCVA at key visits.</w:t>
      </w:r>
    </w:p>
    <w:p w:rsidR="00774227" w:rsidRDefault="00774227" w:rsidP="00774227">
      <w:pPr>
        <w:pStyle w:val="Heading6"/>
        <w:rPr>
          <w:lang w:eastAsia="ja-JP"/>
        </w:rPr>
      </w:pPr>
      <w:r>
        <w:rPr>
          <w:lang w:eastAsia="ja-JP"/>
        </w:rPr>
        <w:t>IT period (ITT population)</w:t>
      </w:r>
    </w:p>
    <w:p w:rsidR="00774227" w:rsidRPr="0014235C" w:rsidRDefault="00774227" w:rsidP="0014235C">
      <w:r w:rsidRPr="0014235C">
        <w:t>A total of 49 patients were excluded from the PP population: 14 patients in the DEX 700 group, 18 patients in the DEX 350 group, and 17 patients in the Sham group.</w:t>
      </w:r>
    </w:p>
    <w:p w:rsidR="00774227" w:rsidRPr="0014235C" w:rsidRDefault="00774227" w:rsidP="0014235C">
      <w:r w:rsidRPr="0014235C">
        <w:t xml:space="preserve">Patients and visits/measurements were excluded from analyses of the PP population due to the following reasons: Duration of macular oedema in the study eye at enrolment was outside of the window: 4 weeks to 9 months for CRVO patients and 4 weeks to 12 months for BRVO patients prior to the qualification/baseline visit; Baseline retinal thickness of the study eye was less than 275 </w:t>
      </w:r>
      <w:r w:rsidR="001E2A95" w:rsidRPr="0014235C">
        <w:t>µ</w:t>
      </w:r>
      <w:r w:rsidRPr="0014235C">
        <w:t>m; reported history or existing condition of neovascularization or diabetic retinopathy in the study eye; Baseline BCVA in the study eye was outside the range of 32-70 letters; history of anterior chamber intra-ocular lens in the study eye; missing partial or full information for baseline BCVA calculation; received a study treatment other than that being assigned by randomisation; did not receive any treatment following enrolment and randomisation; injection of the study medication failed; Received intravitreal injection drugs (such as triamcinolone, ranibizumab, bevacizumab, dexamethasone) in the study eye within 3 months prior to qualification/baseline visit or intraocular laser surgery of the study eye within 80 days prior to qualification/baseline visit.</w:t>
      </w:r>
    </w:p>
    <w:p w:rsidR="00774227" w:rsidRPr="003B5B5D" w:rsidRDefault="00774227" w:rsidP="00774227">
      <w:pPr>
        <w:pStyle w:val="Heading6"/>
        <w:rPr>
          <w:lang w:eastAsia="ja-JP"/>
        </w:rPr>
      </w:pPr>
      <w:r w:rsidRPr="003B5B5D">
        <w:rPr>
          <w:lang w:eastAsia="ja-JP"/>
        </w:rPr>
        <w:t>12-month study (</w:t>
      </w:r>
      <w:r>
        <w:rPr>
          <w:lang w:eastAsia="ja-JP"/>
        </w:rPr>
        <w:t>R</w:t>
      </w:r>
      <w:r w:rsidRPr="003B5B5D">
        <w:rPr>
          <w:lang w:eastAsia="ja-JP"/>
        </w:rPr>
        <w:t>e-treatment population)</w:t>
      </w:r>
    </w:p>
    <w:p w:rsidR="00774227" w:rsidRPr="0014235C" w:rsidRDefault="00774227" w:rsidP="0014235C">
      <w:r w:rsidRPr="0014235C">
        <w:t>There were 186 patients with 238 important protocol deviations during the 12-month study. These included: 7 patients were randomised but not treated; 6 patients were treated with expired open label study medication; 1 patient was treated with a</w:t>
      </w:r>
      <w:r w:rsidR="0011500E" w:rsidRPr="0014235C">
        <w:t xml:space="preserve"> Posurdex</w:t>
      </w:r>
      <w:r w:rsidRPr="0014235C">
        <w:t xml:space="preserve"> injection from another ongoing Allergan trial instead of the RVO open label study medication at the re-treatment visit; 56 protocol inclusion/exclusion violations occurred; 53 patients were noted to have informed consent issues (majority not signing updated version of informed consent form); 52 patients received prohibited medications.</w:t>
      </w:r>
    </w:p>
    <w:p w:rsidR="00774227" w:rsidRPr="003B5B5D" w:rsidRDefault="00774227" w:rsidP="00A30924">
      <w:pPr>
        <w:pStyle w:val="Heading5"/>
      </w:pPr>
      <w:r w:rsidRPr="003B5B5D">
        <w:lastRenderedPageBreak/>
        <w:t>Results for the primary efficacy outcome</w:t>
      </w:r>
    </w:p>
    <w:p w:rsidR="00774227" w:rsidRDefault="00774227" w:rsidP="00774227">
      <w:pPr>
        <w:pStyle w:val="Heading6"/>
      </w:pPr>
      <w:r w:rsidRPr="003B5B5D">
        <w:t>BCVA improvement of 15 or more letters from Bas</w:t>
      </w:r>
      <w:r>
        <w:t>eline</w:t>
      </w:r>
    </w:p>
    <w:p w:rsidR="00774227" w:rsidRPr="0014235C" w:rsidRDefault="00774227" w:rsidP="004E2C51">
      <w:pPr>
        <w:pStyle w:val="Tabletitle"/>
        <w:numPr>
          <w:ilvl w:val="0"/>
          <w:numId w:val="21"/>
        </w:numPr>
        <w:spacing w:after="120" w:line="240" w:lineRule="auto"/>
        <w:ind w:left="1134" w:hanging="1134"/>
      </w:pPr>
      <w:bookmarkStart w:id="59" w:name="_Toc462652634"/>
      <w:r w:rsidRPr="0014235C">
        <w:t>Proportion of patients with ≥ 15 letters improvement from Baseline BCVA (Study 009)</w:t>
      </w:r>
      <w:bookmarkEnd w:id="59"/>
    </w:p>
    <w:p w:rsidR="00774227" w:rsidRPr="00DE43A7" w:rsidRDefault="00774227" w:rsidP="00774227">
      <w:pPr>
        <w:rPr>
          <w:lang w:eastAsia="ja-JP"/>
        </w:rPr>
      </w:pPr>
      <w:r w:rsidRPr="003B5B5D">
        <w:rPr>
          <w:noProof/>
          <w:lang w:eastAsia="en-AU"/>
        </w:rPr>
        <w:drawing>
          <wp:inline distT="0" distB="0" distL="0" distR="0" wp14:anchorId="19614960" wp14:editId="4448B606">
            <wp:extent cx="3623181" cy="1719072"/>
            <wp:effectExtent l="0" t="0" r="0" b="0"/>
            <wp:docPr id="109" name="Picture 109" descr="Proportion of patients with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2312" cy="1723404"/>
                    </a:xfrm>
                    <a:prstGeom prst="rect">
                      <a:avLst/>
                    </a:prstGeom>
                  </pic:spPr>
                </pic:pic>
              </a:graphicData>
            </a:graphic>
          </wp:inline>
        </w:drawing>
      </w:r>
    </w:p>
    <w:p w:rsidR="00774227" w:rsidRPr="00B47042" w:rsidRDefault="00774227" w:rsidP="00B47042">
      <w:r w:rsidRPr="00B47042">
        <w:t xml:space="preserve">The proportion of patients from the ITT population with ≥ 15 letters BCVA improvement from Baseline was significantly higher with DEX 700 compared to Sham at IT visit Days 30, 60 (both p &lt; 0.001) and Day 90 (p = 0.039) as summarised in </w:t>
      </w:r>
      <w:r w:rsidR="0011500E" w:rsidRPr="00B47042">
        <w:t>the</w:t>
      </w:r>
      <w:r w:rsidR="00B94CC2" w:rsidRPr="00B47042">
        <w:t xml:space="preserve"> table </w:t>
      </w:r>
      <w:r w:rsidRPr="00B47042">
        <w:t>above. At IT Day 180 (primary time point) the comparison of response rates between DEX 700 versus Sham was 23.5% versus 17.0%, a difference of 6.5% and not significant (p &gt; 0.087). The greatest differences between DEX 700 and Sham were seen at Day 30 (15.0%) and Day 60 (17.6%). There were no differences between the 2 doses of DEX and results for the PP population were similar to those for the ITT population.</w:t>
      </w:r>
    </w:p>
    <w:p w:rsidR="00774227" w:rsidRPr="00B47042" w:rsidRDefault="00774227" w:rsidP="00B47042">
      <w:r w:rsidRPr="00B47042">
        <w:t>Evaluator’s comment: Note that the primary efficacy outcome at IT Day 180 was not met. The difference between DEX 700 and Sham was 6.5% (CI 95%: -0.9% to 13.9%) and wasn’t statistically significant (p = 0.087).</w:t>
      </w:r>
    </w:p>
    <w:p w:rsidR="00774227" w:rsidRPr="001F7E39" w:rsidRDefault="00774227" w:rsidP="00A45E9B">
      <w:pPr>
        <w:pStyle w:val="Heading5"/>
      </w:pPr>
      <w:r w:rsidRPr="001F7E39">
        <w:t xml:space="preserve">Results </w:t>
      </w:r>
      <w:r>
        <w:t xml:space="preserve">of </w:t>
      </w:r>
      <w:r w:rsidRPr="001F7E39">
        <w:t xml:space="preserve">other analyses of </w:t>
      </w:r>
      <w:r>
        <w:t>the primary efficacy outcome</w:t>
      </w:r>
    </w:p>
    <w:p w:rsidR="00774227" w:rsidRPr="001F7E39" w:rsidRDefault="00774227" w:rsidP="00774227">
      <w:pPr>
        <w:pStyle w:val="Heading6"/>
        <w:rPr>
          <w:lang w:eastAsia="ja-JP"/>
        </w:rPr>
      </w:pPr>
      <w:r>
        <w:rPr>
          <w:lang w:eastAsia="ja-JP"/>
        </w:rPr>
        <w:t xml:space="preserve">Proportion of patients with BCVA improvement ≥ </w:t>
      </w:r>
      <w:r w:rsidRPr="001F7E39">
        <w:rPr>
          <w:lang w:eastAsia="ja-JP"/>
        </w:rPr>
        <w:t>15 letters from Baseline in diagnostic subgroups</w:t>
      </w:r>
    </w:p>
    <w:p w:rsidR="00774227" w:rsidRPr="0014235C" w:rsidRDefault="00774227" w:rsidP="004E2C51">
      <w:pPr>
        <w:pStyle w:val="Tabletitle"/>
        <w:numPr>
          <w:ilvl w:val="0"/>
          <w:numId w:val="21"/>
        </w:numPr>
        <w:spacing w:after="120" w:line="240" w:lineRule="auto"/>
        <w:ind w:left="1134" w:hanging="1134"/>
      </w:pPr>
      <w:bookmarkStart w:id="60" w:name="_Toc462652635"/>
      <w:r w:rsidRPr="0014235C">
        <w:t>Proportion with BCVA improvement ≥ 15 letters from Baseline by diagnosis (Study 009)</w:t>
      </w:r>
      <w:bookmarkEnd w:id="60"/>
    </w:p>
    <w:tbl>
      <w:tblPr>
        <w:tblStyle w:val="TableTGAblue"/>
        <w:tblW w:w="0" w:type="auto"/>
        <w:tblLayout w:type="fixed"/>
        <w:tblLook w:val="04A0" w:firstRow="1" w:lastRow="0" w:firstColumn="1" w:lastColumn="0" w:noHBand="0" w:noVBand="1"/>
        <w:tblDescription w:val="Proportion with BCVA improvement ≥ 15 letters from Baseline by diagnosis (Study 009)"/>
      </w:tblPr>
      <w:tblGrid>
        <w:gridCol w:w="1101"/>
        <w:gridCol w:w="1057"/>
        <w:gridCol w:w="1220"/>
        <w:gridCol w:w="1451"/>
        <w:gridCol w:w="1220"/>
        <w:gridCol w:w="1220"/>
        <w:gridCol w:w="1451"/>
      </w:tblGrid>
      <w:tr w:rsidR="00774227" w:rsidTr="003F16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rsidR="00774227" w:rsidRPr="0014235C" w:rsidRDefault="00774227" w:rsidP="003F160E">
            <w:pPr>
              <w:rPr>
                <w:lang w:eastAsia="ja-JP"/>
              </w:rPr>
            </w:pPr>
            <w:r w:rsidRPr="0014235C">
              <w:rPr>
                <w:lang w:eastAsia="ja-JP"/>
              </w:rPr>
              <w:t>Visit</w:t>
            </w:r>
          </w:p>
        </w:tc>
        <w:tc>
          <w:tcPr>
            <w:tcW w:w="3728" w:type="dxa"/>
            <w:gridSpan w:val="3"/>
          </w:tcPr>
          <w:p w:rsidR="00774227"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Diagnosis: BRVO</w:t>
            </w:r>
          </w:p>
        </w:tc>
        <w:tc>
          <w:tcPr>
            <w:tcW w:w="3891" w:type="dxa"/>
            <w:gridSpan w:val="3"/>
          </w:tcPr>
          <w:p w:rsidR="00774227"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Diagnosis: CRVO</w:t>
            </w:r>
          </w:p>
        </w:tc>
      </w:tr>
      <w:tr w:rsidR="00774227" w:rsidTr="003F160E">
        <w:tc>
          <w:tcPr>
            <w:cnfStyle w:val="001000000000" w:firstRow="0" w:lastRow="0" w:firstColumn="1" w:lastColumn="0" w:oddVBand="0" w:evenVBand="0" w:oddHBand="0" w:evenHBand="0" w:firstRowFirstColumn="0" w:firstRowLastColumn="0" w:lastRowFirstColumn="0" w:lastRowLastColumn="0"/>
            <w:tcW w:w="1101" w:type="dxa"/>
          </w:tcPr>
          <w:p w:rsidR="00774227" w:rsidRPr="00F24890" w:rsidRDefault="00774227" w:rsidP="003F160E">
            <w:pPr>
              <w:rPr>
                <w:lang w:eastAsia="ja-JP"/>
              </w:rPr>
            </w:pPr>
          </w:p>
        </w:tc>
        <w:tc>
          <w:tcPr>
            <w:tcW w:w="1057"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DEX 700</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Sham</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Difference; P</w:t>
            </w:r>
            <w:r>
              <w:rPr>
                <w:lang w:eastAsia="ja-JP"/>
              </w:rPr>
              <w:noBreakHyphen/>
              <w:t>value</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DEX 700</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Sham</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Difference; P</w:t>
            </w:r>
            <w:r>
              <w:rPr>
                <w:lang w:eastAsia="ja-JP"/>
              </w:rPr>
              <w:noBreakHyphen/>
              <w:t>value</w:t>
            </w:r>
          </w:p>
        </w:tc>
      </w:tr>
      <w:tr w:rsidR="00774227" w:rsidTr="003F160E">
        <w:tc>
          <w:tcPr>
            <w:cnfStyle w:val="001000000000" w:firstRow="0" w:lastRow="0" w:firstColumn="1" w:lastColumn="0" w:oddVBand="0" w:evenVBand="0" w:oddHBand="0" w:evenHBand="0" w:firstRowFirstColumn="0" w:firstRowLastColumn="0" w:lastRowFirstColumn="0" w:lastRowLastColumn="0"/>
            <w:tcW w:w="1101" w:type="dxa"/>
          </w:tcPr>
          <w:p w:rsidR="00774227" w:rsidRPr="00F24890" w:rsidRDefault="00774227" w:rsidP="003F160E">
            <w:pPr>
              <w:rPr>
                <w:lang w:eastAsia="ja-JP"/>
              </w:rPr>
            </w:pPr>
            <w:r w:rsidRPr="00F24890">
              <w:rPr>
                <w:lang w:eastAsia="ja-JP"/>
              </w:rPr>
              <w:t>IT Day 30</w:t>
            </w:r>
          </w:p>
        </w:tc>
        <w:tc>
          <w:tcPr>
            <w:tcW w:w="1057"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32/151 (21.2%)</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13/149 (8.7%)</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12.5%; 0.002</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19/75 (25.3%)</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4/75 (</w:t>
            </w:r>
            <w:r w:rsidRPr="00B73179">
              <w:rPr>
                <w:lang w:eastAsia="ja-JP"/>
              </w:rPr>
              <w:t>5.3%)</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20.0%; &lt; 0.001</w:t>
            </w:r>
          </w:p>
        </w:tc>
      </w:tr>
      <w:tr w:rsidR="00774227" w:rsidTr="003F160E">
        <w:tc>
          <w:tcPr>
            <w:cnfStyle w:val="001000000000" w:firstRow="0" w:lastRow="0" w:firstColumn="1" w:lastColumn="0" w:oddVBand="0" w:evenVBand="0" w:oddHBand="0" w:evenHBand="0" w:firstRowFirstColumn="0" w:firstRowLastColumn="0" w:lastRowFirstColumn="0" w:lastRowLastColumn="0"/>
            <w:tcW w:w="1101" w:type="dxa"/>
          </w:tcPr>
          <w:p w:rsidR="00774227" w:rsidRPr="00F24890" w:rsidRDefault="00774227" w:rsidP="003F160E">
            <w:pPr>
              <w:rPr>
                <w:lang w:eastAsia="ja-JP"/>
              </w:rPr>
            </w:pPr>
            <w:r w:rsidRPr="00F24890">
              <w:rPr>
                <w:lang w:eastAsia="ja-JP"/>
              </w:rPr>
              <w:t>IT Day 60</w:t>
            </w:r>
          </w:p>
        </w:tc>
        <w:tc>
          <w:tcPr>
            <w:tcW w:w="1057"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42/151 (27.8%)</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23/149 (15.4%)</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12.4%; 0.009</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25/75 (33.3%)</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4/75 (</w:t>
            </w:r>
            <w:r w:rsidRPr="00B73179">
              <w:rPr>
                <w:lang w:eastAsia="ja-JP"/>
              </w:rPr>
              <w:t>5.3%)</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28.0%; &lt; 0.001</w:t>
            </w:r>
          </w:p>
        </w:tc>
      </w:tr>
      <w:tr w:rsidR="00774227" w:rsidTr="003F160E">
        <w:tc>
          <w:tcPr>
            <w:cnfStyle w:val="001000000000" w:firstRow="0" w:lastRow="0" w:firstColumn="1" w:lastColumn="0" w:oddVBand="0" w:evenVBand="0" w:oddHBand="0" w:evenHBand="0" w:firstRowFirstColumn="0" w:firstRowLastColumn="0" w:lastRowFirstColumn="0" w:lastRowLastColumn="0"/>
            <w:tcW w:w="1101" w:type="dxa"/>
          </w:tcPr>
          <w:p w:rsidR="00774227" w:rsidRPr="00F24890" w:rsidRDefault="00774227" w:rsidP="003F160E">
            <w:pPr>
              <w:rPr>
                <w:lang w:eastAsia="ja-JP"/>
              </w:rPr>
            </w:pPr>
            <w:r w:rsidRPr="00F24890">
              <w:rPr>
                <w:lang w:eastAsia="ja-JP"/>
              </w:rPr>
              <w:t xml:space="preserve">IT Day </w:t>
            </w:r>
            <w:r w:rsidRPr="00F24890">
              <w:rPr>
                <w:lang w:eastAsia="ja-JP"/>
              </w:rPr>
              <w:lastRenderedPageBreak/>
              <w:t>90</w:t>
            </w:r>
          </w:p>
        </w:tc>
        <w:tc>
          <w:tcPr>
            <w:tcW w:w="1057"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lastRenderedPageBreak/>
              <w:t xml:space="preserve">34/151 </w:t>
            </w:r>
            <w:r w:rsidRPr="00F24890">
              <w:rPr>
                <w:lang w:eastAsia="ja-JP"/>
              </w:rPr>
              <w:lastRenderedPageBreak/>
              <w:t>(22.5%)</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lastRenderedPageBreak/>
              <w:t xml:space="preserve">23/149 </w:t>
            </w:r>
            <w:r w:rsidRPr="00F24890">
              <w:rPr>
                <w:lang w:eastAsia="ja-JP"/>
              </w:rPr>
              <w:lastRenderedPageBreak/>
              <w:t>(15.4%)</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lastRenderedPageBreak/>
              <w:t xml:space="preserve">7.1%; </w:t>
            </w:r>
            <w:r>
              <w:rPr>
                <w:lang w:eastAsia="ja-JP"/>
              </w:rPr>
              <w:lastRenderedPageBreak/>
              <w:t>0.118</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lastRenderedPageBreak/>
              <w:t>14/75 (18.7</w:t>
            </w:r>
            <w:r w:rsidRPr="00F24890">
              <w:rPr>
                <w:lang w:eastAsia="ja-JP"/>
              </w:rPr>
              <w:lastRenderedPageBreak/>
              <w:t>%)</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B73179">
              <w:rPr>
                <w:lang w:eastAsia="ja-JP"/>
              </w:rPr>
              <w:lastRenderedPageBreak/>
              <w:t>8/75 (10.7</w:t>
            </w:r>
            <w:r w:rsidRPr="00B73179">
              <w:rPr>
                <w:lang w:eastAsia="ja-JP"/>
              </w:rPr>
              <w:lastRenderedPageBreak/>
              <w:t>%)</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lastRenderedPageBreak/>
              <w:t>8.0%</w:t>
            </w:r>
            <w:r w:rsidR="003F160E">
              <w:rPr>
                <w:lang w:eastAsia="ja-JP"/>
              </w:rPr>
              <w:t xml:space="preserve"> </w:t>
            </w:r>
            <w:r>
              <w:rPr>
                <w:lang w:eastAsia="ja-JP"/>
              </w:rPr>
              <w:lastRenderedPageBreak/>
              <w:t>0.166</w:t>
            </w:r>
          </w:p>
        </w:tc>
      </w:tr>
      <w:tr w:rsidR="00774227" w:rsidTr="003F160E">
        <w:tc>
          <w:tcPr>
            <w:cnfStyle w:val="001000000000" w:firstRow="0" w:lastRow="0" w:firstColumn="1" w:lastColumn="0" w:oddVBand="0" w:evenVBand="0" w:oddHBand="0" w:evenHBand="0" w:firstRowFirstColumn="0" w:firstRowLastColumn="0" w:lastRowFirstColumn="0" w:lastRowLastColumn="0"/>
            <w:tcW w:w="1101" w:type="dxa"/>
          </w:tcPr>
          <w:p w:rsidR="00774227" w:rsidRPr="00F24890" w:rsidRDefault="00774227" w:rsidP="003F160E">
            <w:pPr>
              <w:rPr>
                <w:lang w:eastAsia="ja-JP"/>
              </w:rPr>
            </w:pPr>
            <w:r w:rsidRPr="00F24890">
              <w:rPr>
                <w:lang w:eastAsia="ja-JP"/>
              </w:rPr>
              <w:lastRenderedPageBreak/>
              <w:t>IT Day 180</w:t>
            </w:r>
          </w:p>
        </w:tc>
        <w:tc>
          <w:tcPr>
            <w:tcW w:w="1057"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35/151 (23.2%)</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30/149 (20.1%</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3.0%; 0.522</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F24890">
              <w:rPr>
                <w:lang w:eastAsia="ja-JP"/>
              </w:rPr>
              <w:t>18/75 (24.0%)</w:t>
            </w:r>
          </w:p>
        </w:tc>
        <w:tc>
          <w:tcPr>
            <w:tcW w:w="1220"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B73179">
              <w:rPr>
                <w:lang w:eastAsia="ja-JP"/>
              </w:rPr>
              <w:t>8/75 (10.7%)</w:t>
            </w:r>
          </w:p>
        </w:tc>
        <w:tc>
          <w:tcPr>
            <w:tcW w:w="1451" w:type="dxa"/>
          </w:tcPr>
          <w:p w:rsidR="00774227" w:rsidRPr="00F24890"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13.3%</w:t>
            </w:r>
            <w:r w:rsidR="003F160E">
              <w:rPr>
                <w:lang w:eastAsia="ja-JP"/>
              </w:rPr>
              <w:t xml:space="preserve"> </w:t>
            </w:r>
            <w:r>
              <w:rPr>
                <w:lang w:eastAsia="ja-JP"/>
              </w:rPr>
              <w:t>0.031</w:t>
            </w:r>
          </w:p>
        </w:tc>
      </w:tr>
    </w:tbl>
    <w:p w:rsidR="00774227" w:rsidRDefault="00774227" w:rsidP="00774227">
      <w:pPr>
        <w:rPr>
          <w:lang w:eastAsia="ja-JP"/>
        </w:rPr>
      </w:pPr>
      <w:r w:rsidRPr="00372022">
        <w:t>As summarised in above, for the BRVO subgroup, the difference between DEX 700 and Sham was 12.5% at Day 30 (p = 0.002) and 12.4% at Day 60 (p = 0.009). Comparisons at Day 90 and 180 were non-significant. In comparison the CRVO subgroup showed a better</w:t>
      </w:r>
      <w:r>
        <w:rPr>
          <w:lang w:eastAsia="ja-JP"/>
        </w:rPr>
        <w:t xml:space="preserve"> treatment response with a</w:t>
      </w:r>
      <w:r w:rsidRPr="00115D25">
        <w:rPr>
          <w:lang w:eastAsia="ja-JP"/>
        </w:rPr>
        <w:t xml:space="preserve"> difference between DEX 700 and Sham</w:t>
      </w:r>
      <w:r>
        <w:rPr>
          <w:lang w:eastAsia="ja-JP"/>
        </w:rPr>
        <w:t xml:space="preserve"> of 20.0% at Day 30 and 28.0% at Day 60 (both p &lt; 0.001) due to less spontaneous improvement in the sham group. Comparisons at Day 90 were non-significant, but response improved at Day 180, with a difference of 13.3% (p = 0.031).</w:t>
      </w:r>
    </w:p>
    <w:p w:rsidR="00774227" w:rsidRPr="0014235C" w:rsidRDefault="00774227" w:rsidP="001A6420">
      <w:r w:rsidRPr="0014235C">
        <w:rPr>
          <w:b/>
        </w:rPr>
        <w:t>Evaluator’s comment:</w:t>
      </w:r>
      <w:r w:rsidRPr="0014235C">
        <w:t xml:space="preserve"> The primary efficacy outcome in diagnostic subgroups was only met in those with CRVO. Differences between DEX 700 and Sham were non-significant in the BRVO subgroup beyond IT Day 60.</w:t>
      </w:r>
    </w:p>
    <w:p w:rsidR="00774227" w:rsidRPr="00451F13" w:rsidRDefault="00774227" w:rsidP="00774227">
      <w:pPr>
        <w:pStyle w:val="Heading6"/>
        <w:rPr>
          <w:lang w:eastAsia="ja-JP"/>
        </w:rPr>
      </w:pPr>
      <w:r w:rsidRPr="00B73179">
        <w:rPr>
          <w:lang w:eastAsia="ja-JP"/>
        </w:rPr>
        <w:t xml:space="preserve">Proportion of patients with BCVA improvement ≥ 15 letters </w:t>
      </w:r>
      <w:r>
        <w:rPr>
          <w:lang w:eastAsia="ja-JP"/>
        </w:rPr>
        <w:t>(macular oedema ≥ 90 days duration)</w:t>
      </w:r>
    </w:p>
    <w:p w:rsidR="00774227" w:rsidRPr="0014235C" w:rsidRDefault="00774227" w:rsidP="004E2C51">
      <w:pPr>
        <w:pStyle w:val="Tabletitle"/>
        <w:numPr>
          <w:ilvl w:val="0"/>
          <w:numId w:val="21"/>
        </w:numPr>
        <w:spacing w:after="120" w:line="240" w:lineRule="auto"/>
        <w:ind w:left="1134" w:hanging="1134"/>
      </w:pPr>
      <w:bookmarkStart w:id="61" w:name="_Toc462652636"/>
      <w:r w:rsidRPr="0014235C">
        <w:t>Proportions with &gt; 15 letter BCVA improvement (macular oedema ≥ 90 days duration)</w:t>
      </w:r>
      <w:bookmarkEnd w:id="61"/>
    </w:p>
    <w:tbl>
      <w:tblPr>
        <w:tblStyle w:val="TableTGAblue"/>
        <w:tblW w:w="0" w:type="auto"/>
        <w:tblLook w:val="04A0" w:firstRow="1" w:lastRow="0" w:firstColumn="1" w:lastColumn="0" w:noHBand="0" w:noVBand="1"/>
        <w:tblDescription w:val="Proportions with &gt; 15 letter BCVA improvement (macular oedema ≥ 90 days duration)"/>
      </w:tblPr>
      <w:tblGrid>
        <w:gridCol w:w="1242"/>
        <w:gridCol w:w="1701"/>
        <w:gridCol w:w="1701"/>
        <w:gridCol w:w="1985"/>
      </w:tblGrid>
      <w:tr w:rsidR="00774227" w:rsidTr="003F16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2" w:type="dxa"/>
          </w:tcPr>
          <w:p w:rsidR="00774227" w:rsidRPr="00075E94" w:rsidRDefault="00774227" w:rsidP="003F160E">
            <w:pPr>
              <w:rPr>
                <w:lang w:eastAsia="ja-JP"/>
              </w:rPr>
            </w:pPr>
            <w:r w:rsidRPr="00075E94">
              <w:rPr>
                <w:lang w:eastAsia="ja-JP"/>
              </w:rPr>
              <w:t xml:space="preserve">Visit </w:t>
            </w:r>
          </w:p>
        </w:tc>
        <w:tc>
          <w:tcPr>
            <w:tcW w:w="1701" w:type="dxa"/>
          </w:tcPr>
          <w:p w:rsidR="00774227" w:rsidRPr="00075E94"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075E94">
              <w:rPr>
                <w:lang w:eastAsia="ja-JP"/>
              </w:rPr>
              <w:t>DEX 700</w:t>
            </w:r>
          </w:p>
        </w:tc>
        <w:tc>
          <w:tcPr>
            <w:tcW w:w="1701" w:type="dxa"/>
          </w:tcPr>
          <w:p w:rsidR="00774227" w:rsidRPr="00075E94"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075E94">
              <w:rPr>
                <w:lang w:eastAsia="ja-JP"/>
              </w:rPr>
              <w:t>Sham</w:t>
            </w:r>
          </w:p>
        </w:tc>
        <w:tc>
          <w:tcPr>
            <w:tcW w:w="1985" w:type="dxa"/>
          </w:tcPr>
          <w:p w:rsidR="00774227" w:rsidRPr="00075E94" w:rsidRDefault="00774227" w:rsidP="003F160E">
            <w:pPr>
              <w:cnfStyle w:val="100000000000" w:firstRow="1" w:lastRow="0" w:firstColumn="0" w:lastColumn="0" w:oddVBand="0" w:evenVBand="0" w:oddHBand="0" w:evenHBand="0" w:firstRowFirstColumn="0" w:firstRowLastColumn="0" w:lastRowFirstColumn="0" w:lastRowLastColumn="0"/>
              <w:rPr>
                <w:lang w:eastAsia="ja-JP"/>
              </w:rPr>
            </w:pPr>
            <w:r w:rsidRPr="00075E94">
              <w:rPr>
                <w:lang w:eastAsia="ja-JP"/>
              </w:rPr>
              <w:t>Difference; p value</w:t>
            </w:r>
          </w:p>
        </w:tc>
      </w:tr>
      <w:tr w:rsidR="00774227" w:rsidTr="003F160E">
        <w:tc>
          <w:tcPr>
            <w:cnfStyle w:val="001000000000" w:firstRow="0" w:lastRow="0" w:firstColumn="1" w:lastColumn="0" w:oddVBand="0" w:evenVBand="0" w:oddHBand="0" w:evenHBand="0" w:firstRowFirstColumn="0" w:firstRowLastColumn="0" w:lastRowFirstColumn="0" w:lastRowLastColumn="0"/>
            <w:tcW w:w="1242" w:type="dxa"/>
          </w:tcPr>
          <w:p w:rsidR="00774227" w:rsidRPr="00DF5F3A" w:rsidRDefault="00774227" w:rsidP="003F160E">
            <w:pPr>
              <w:rPr>
                <w:lang w:eastAsia="ja-JP"/>
              </w:rPr>
            </w:pPr>
            <w:r w:rsidRPr="00DF5F3A">
              <w:rPr>
                <w:lang w:eastAsia="ja-JP"/>
              </w:rPr>
              <w:t>IT Day 30</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42/184 (22.8%)</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11/183 (6.0%)</w:t>
            </w:r>
          </w:p>
        </w:tc>
        <w:tc>
          <w:tcPr>
            <w:tcW w:w="1985"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16.8%; &lt;0.001</w:t>
            </w:r>
          </w:p>
        </w:tc>
      </w:tr>
      <w:tr w:rsidR="00774227" w:rsidTr="003F160E">
        <w:tc>
          <w:tcPr>
            <w:cnfStyle w:val="001000000000" w:firstRow="0" w:lastRow="0" w:firstColumn="1" w:lastColumn="0" w:oddVBand="0" w:evenVBand="0" w:oddHBand="0" w:evenHBand="0" w:firstRowFirstColumn="0" w:firstRowLastColumn="0" w:lastRowFirstColumn="0" w:lastRowLastColumn="0"/>
            <w:tcW w:w="1242" w:type="dxa"/>
          </w:tcPr>
          <w:p w:rsidR="00774227" w:rsidRPr="00DF5F3A" w:rsidRDefault="00774227" w:rsidP="003F160E">
            <w:pPr>
              <w:rPr>
                <w:lang w:eastAsia="ja-JP"/>
              </w:rPr>
            </w:pPr>
            <w:r w:rsidRPr="00DF5F3A">
              <w:rPr>
                <w:lang w:eastAsia="ja-JP"/>
              </w:rPr>
              <w:t>IT Day 60</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51/184 (27.7%)</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21/183 (11.5%)</w:t>
            </w:r>
          </w:p>
        </w:tc>
        <w:tc>
          <w:tcPr>
            <w:tcW w:w="1985"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16.2%; &lt;0.001</w:t>
            </w:r>
          </w:p>
        </w:tc>
      </w:tr>
      <w:tr w:rsidR="00774227" w:rsidTr="003F160E">
        <w:tc>
          <w:tcPr>
            <w:cnfStyle w:val="001000000000" w:firstRow="0" w:lastRow="0" w:firstColumn="1" w:lastColumn="0" w:oddVBand="0" w:evenVBand="0" w:oddHBand="0" w:evenHBand="0" w:firstRowFirstColumn="0" w:firstRowLastColumn="0" w:lastRowFirstColumn="0" w:lastRowLastColumn="0"/>
            <w:tcW w:w="1242" w:type="dxa"/>
          </w:tcPr>
          <w:p w:rsidR="00774227" w:rsidRPr="00DF5F3A" w:rsidRDefault="00774227" w:rsidP="003F160E">
            <w:pPr>
              <w:rPr>
                <w:lang w:eastAsia="ja-JP"/>
              </w:rPr>
            </w:pPr>
            <w:r w:rsidRPr="00DF5F3A">
              <w:rPr>
                <w:lang w:eastAsia="ja-JP"/>
              </w:rPr>
              <w:t>IT Day 90</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40/184 (21.7%)</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24/183 (13.1%)</w:t>
            </w:r>
          </w:p>
        </w:tc>
        <w:tc>
          <w:tcPr>
            <w:tcW w:w="1985"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8.6%; 0.029</w:t>
            </w:r>
          </w:p>
        </w:tc>
      </w:tr>
      <w:tr w:rsidR="00774227" w:rsidTr="003F160E">
        <w:tc>
          <w:tcPr>
            <w:cnfStyle w:val="001000000000" w:firstRow="0" w:lastRow="0" w:firstColumn="1" w:lastColumn="0" w:oddVBand="0" w:evenVBand="0" w:oddHBand="0" w:evenHBand="0" w:firstRowFirstColumn="0" w:firstRowLastColumn="0" w:lastRowFirstColumn="0" w:lastRowLastColumn="0"/>
            <w:tcW w:w="1242" w:type="dxa"/>
          </w:tcPr>
          <w:p w:rsidR="00774227" w:rsidRPr="00DF5F3A" w:rsidRDefault="00774227" w:rsidP="003F160E">
            <w:pPr>
              <w:rPr>
                <w:lang w:eastAsia="ja-JP"/>
              </w:rPr>
            </w:pPr>
            <w:r w:rsidRPr="00DF5F3A">
              <w:rPr>
                <w:lang w:eastAsia="ja-JP"/>
              </w:rPr>
              <w:t>IT Day 180</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45/184 (24.5%)</w:t>
            </w:r>
          </w:p>
        </w:tc>
        <w:tc>
          <w:tcPr>
            <w:tcW w:w="1701"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26/183 (14.2%)</w:t>
            </w:r>
          </w:p>
        </w:tc>
        <w:tc>
          <w:tcPr>
            <w:tcW w:w="1985" w:type="dxa"/>
          </w:tcPr>
          <w:p w:rsidR="00774227" w:rsidRPr="00DF5F3A" w:rsidRDefault="00774227" w:rsidP="003F160E">
            <w:pPr>
              <w:cnfStyle w:val="000000000000" w:firstRow="0" w:lastRow="0" w:firstColumn="0" w:lastColumn="0" w:oddVBand="0" w:evenVBand="0" w:oddHBand="0" w:evenHBand="0" w:firstRowFirstColumn="0" w:firstRowLastColumn="0" w:lastRowFirstColumn="0" w:lastRowLastColumn="0"/>
              <w:rPr>
                <w:lang w:eastAsia="ja-JP"/>
              </w:rPr>
            </w:pPr>
            <w:r w:rsidRPr="00DF5F3A">
              <w:rPr>
                <w:lang w:eastAsia="ja-JP"/>
              </w:rPr>
              <w:t>10.2%; 0.013</w:t>
            </w:r>
          </w:p>
        </w:tc>
      </w:tr>
    </w:tbl>
    <w:p w:rsidR="00774227" w:rsidRPr="002873D6" w:rsidRDefault="00774227" w:rsidP="002873D6">
      <w:r w:rsidRPr="002873D6">
        <w:t xml:space="preserve">Excluding patients with &lt; 90 days, the proportion of patients with BCVA improvement of ≥ 15 letters from Baseline was significantly higher with DEX 700 compared to Sham at IT Days 30 and 60 (p &lt; 0.001), Day 90 (p = 0.029) and Day 180 (p = 0.013). </w:t>
      </w:r>
    </w:p>
    <w:p w:rsidR="00774227" w:rsidRPr="002873D6" w:rsidRDefault="00774227" w:rsidP="001A6420">
      <w:r w:rsidRPr="002873D6">
        <w:t>Evaluator’s comment: Note this analysis was defined a posteriori. This is reasonable as it recognises the high rates of spontaneous improvement in BCVA found in this and later studies. In contrast to findings in the ITT population, this analysis of the primary efficacy outcome demonstrated that at the primary time point (IT Day 180) the difference (10.2%) between DEX 700 and Sham was significant (CI 95%: 2.2% to 18.3%; p = 0.013).</w:t>
      </w:r>
    </w:p>
    <w:p w:rsidR="00774227" w:rsidRDefault="00774227" w:rsidP="00A45E9B">
      <w:pPr>
        <w:pStyle w:val="Heading5"/>
        <w:rPr>
          <w:lang w:eastAsia="ja-JP"/>
        </w:rPr>
      </w:pPr>
      <w:r>
        <w:rPr>
          <w:lang w:eastAsia="ja-JP"/>
        </w:rPr>
        <w:lastRenderedPageBreak/>
        <w:t>Results of other analyses of the primary efficacy variable</w:t>
      </w:r>
    </w:p>
    <w:p w:rsidR="00774227" w:rsidRPr="00B94690" w:rsidRDefault="00774227" w:rsidP="00774227">
      <w:pPr>
        <w:pStyle w:val="Heading6"/>
        <w:rPr>
          <w:lang w:eastAsia="ja-JP"/>
        </w:rPr>
      </w:pPr>
      <w:r w:rsidRPr="00B94690">
        <w:rPr>
          <w:lang w:eastAsia="ja-JP"/>
        </w:rPr>
        <w:t xml:space="preserve">Proportion of patients with BCVA improvement ≥ 10 letters from </w:t>
      </w:r>
      <w:r w:rsidR="003F160E">
        <w:rPr>
          <w:lang w:eastAsia="ja-JP"/>
        </w:rPr>
        <w:t>b</w:t>
      </w:r>
      <w:r w:rsidRPr="00B94690">
        <w:rPr>
          <w:lang w:eastAsia="ja-JP"/>
        </w:rPr>
        <w:t>aseline</w:t>
      </w:r>
    </w:p>
    <w:p w:rsidR="00774227" w:rsidRDefault="00774227" w:rsidP="004E2C51">
      <w:pPr>
        <w:pStyle w:val="Tabletitle"/>
        <w:numPr>
          <w:ilvl w:val="0"/>
          <w:numId w:val="21"/>
        </w:numPr>
        <w:spacing w:after="120" w:line="240" w:lineRule="auto"/>
        <w:ind w:left="1134" w:hanging="1134"/>
      </w:pPr>
      <w:bookmarkStart w:id="62" w:name="_Toc462652637"/>
      <w:r>
        <w:t>Improvement of ≥ 10 letters from Baseline BCVA</w:t>
      </w:r>
      <w:bookmarkEnd w:id="62"/>
    </w:p>
    <w:p w:rsidR="00774227" w:rsidRDefault="00774227" w:rsidP="00774227">
      <w:r>
        <w:rPr>
          <w:noProof/>
          <w:lang w:eastAsia="en-AU"/>
        </w:rPr>
        <w:drawing>
          <wp:inline distT="0" distB="0" distL="0" distR="0" wp14:anchorId="49045F68" wp14:editId="47CCEFEC">
            <wp:extent cx="3757259" cy="1767840"/>
            <wp:effectExtent l="0" t="0" r="0" b="3810"/>
            <wp:docPr id="113" name="Picture 113" descr="Improvement of ≥ 10 letters from Baseline B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75587" cy="1776464"/>
                    </a:xfrm>
                    <a:prstGeom prst="rect">
                      <a:avLst/>
                    </a:prstGeom>
                  </pic:spPr>
                </pic:pic>
              </a:graphicData>
            </a:graphic>
          </wp:inline>
        </w:drawing>
      </w:r>
    </w:p>
    <w:p w:rsidR="00774227" w:rsidRPr="00761375" w:rsidRDefault="00774227" w:rsidP="00761375">
      <w:r w:rsidRPr="00761375">
        <w:t>The proportion of patients with a BCVA improvement ≥ 10 letters from Baseline is summarised in</w:t>
      </w:r>
      <w:r w:rsidR="00761375">
        <w:t xml:space="preserve"> the table.</w:t>
      </w:r>
      <w:r w:rsidRPr="00761375">
        <w:t xml:space="preserve"> The comparison between DEX 700 versus Sham showed significantly higher response rates favouring DEX 700 at all study visits (p ≤ 0.021). As with the primary efficacy outcome, differences in response rates were highest at early visits (Day 30; Day 60: 29.1% and 26.3% respectively) compared to later visits (Day 90; Day 180: 17.9% and 10.4%).</w:t>
      </w:r>
    </w:p>
    <w:p w:rsidR="00774227" w:rsidRDefault="00774227" w:rsidP="004E2C51">
      <w:pPr>
        <w:pStyle w:val="Tabletitle"/>
        <w:numPr>
          <w:ilvl w:val="0"/>
          <w:numId w:val="21"/>
        </w:numPr>
        <w:spacing w:after="120" w:line="240" w:lineRule="auto"/>
        <w:ind w:left="1134" w:hanging="1134"/>
      </w:pPr>
      <w:bookmarkStart w:id="63" w:name="_Toc462652638"/>
      <w:r>
        <w:t>BVCA &gt; 10 letter improvement over Baseline (BRVO subgroup)</w:t>
      </w:r>
      <w:bookmarkEnd w:id="63"/>
    </w:p>
    <w:tbl>
      <w:tblPr>
        <w:tblStyle w:val="TableTGAblue"/>
        <w:tblW w:w="0" w:type="auto"/>
        <w:tblLook w:val="04A0" w:firstRow="1" w:lastRow="0" w:firstColumn="1" w:lastColumn="0" w:noHBand="0" w:noVBand="1"/>
        <w:tblDescription w:val="BVCA &gt; 10 letter improvement over Baseline (BRVO subgroup)"/>
      </w:tblPr>
      <w:tblGrid>
        <w:gridCol w:w="1242"/>
        <w:gridCol w:w="1701"/>
        <w:gridCol w:w="1701"/>
        <w:gridCol w:w="2410"/>
      </w:tblGrid>
      <w:tr w:rsidR="00774227"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74227" w:rsidRPr="000F49EE" w:rsidRDefault="00774227" w:rsidP="00F86F50"/>
        </w:tc>
        <w:tc>
          <w:tcPr>
            <w:tcW w:w="1701" w:type="dxa"/>
          </w:tcPr>
          <w:p w:rsidR="00774227" w:rsidRPr="000F49EE" w:rsidRDefault="00774227" w:rsidP="00F86F50">
            <w:pPr>
              <w:cnfStyle w:val="100000000000" w:firstRow="1" w:lastRow="0" w:firstColumn="0" w:lastColumn="0" w:oddVBand="0" w:evenVBand="0" w:oddHBand="0" w:evenHBand="0" w:firstRowFirstColumn="0" w:firstRowLastColumn="0" w:lastRowFirstColumn="0" w:lastRowLastColumn="0"/>
            </w:pPr>
            <w:r w:rsidRPr="000F49EE">
              <w:t>DEX 700</w:t>
            </w:r>
          </w:p>
        </w:tc>
        <w:tc>
          <w:tcPr>
            <w:tcW w:w="1701" w:type="dxa"/>
          </w:tcPr>
          <w:p w:rsidR="00774227" w:rsidRPr="000F49EE" w:rsidRDefault="00774227" w:rsidP="00F86F50">
            <w:pPr>
              <w:cnfStyle w:val="100000000000" w:firstRow="1" w:lastRow="0" w:firstColumn="0" w:lastColumn="0" w:oddVBand="0" w:evenVBand="0" w:oddHBand="0" w:evenHBand="0" w:firstRowFirstColumn="0" w:firstRowLastColumn="0" w:lastRowFirstColumn="0" w:lastRowLastColumn="0"/>
            </w:pPr>
            <w:r w:rsidRPr="000F49EE">
              <w:t>Sham</w:t>
            </w:r>
          </w:p>
        </w:tc>
        <w:tc>
          <w:tcPr>
            <w:tcW w:w="2410" w:type="dxa"/>
          </w:tcPr>
          <w:p w:rsidR="00774227" w:rsidRPr="000F49EE" w:rsidRDefault="00774227" w:rsidP="00F86F50">
            <w:pPr>
              <w:cnfStyle w:val="100000000000" w:firstRow="1" w:lastRow="0" w:firstColumn="0" w:lastColumn="0" w:oddVBand="0" w:evenVBand="0" w:oddHBand="0" w:evenHBand="0" w:firstRowFirstColumn="0" w:firstRowLastColumn="0" w:lastRowFirstColumn="0" w:lastRowLastColumn="0"/>
            </w:pPr>
            <w:r w:rsidRPr="000F49EE">
              <w:t>Difference; p-value</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424B9" w:rsidRDefault="00774227" w:rsidP="00F86F50">
            <w:pPr>
              <w:rPr>
                <w:szCs w:val="20"/>
                <w:lang w:eastAsia="ja-JP"/>
              </w:rPr>
            </w:pPr>
            <w:r w:rsidRPr="00F424B9">
              <w:rPr>
                <w:szCs w:val="20"/>
                <w:lang w:eastAsia="ja-JP"/>
              </w:rPr>
              <w:t>IT Day 30</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64/151 (42.4%)</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30/149 (20.1%)</w:t>
            </w:r>
          </w:p>
        </w:tc>
        <w:tc>
          <w:tcPr>
            <w:tcW w:w="2410"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22.2%; &lt; 0.001</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424B9" w:rsidRDefault="00774227" w:rsidP="00F86F50">
            <w:pPr>
              <w:rPr>
                <w:szCs w:val="20"/>
                <w:lang w:eastAsia="ja-JP"/>
              </w:rPr>
            </w:pPr>
            <w:r w:rsidRPr="00F424B9">
              <w:rPr>
                <w:szCs w:val="20"/>
                <w:lang w:eastAsia="ja-JP"/>
              </w:rPr>
              <w:t>IT Day 60</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79/151 (52.3%)</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45/149 (30.2%)</w:t>
            </w:r>
          </w:p>
        </w:tc>
        <w:tc>
          <w:tcPr>
            <w:tcW w:w="2410"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22.1%; &lt; 0.001</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424B9" w:rsidRDefault="00774227" w:rsidP="00F86F50">
            <w:pPr>
              <w:rPr>
                <w:szCs w:val="20"/>
                <w:lang w:eastAsia="ja-JP"/>
              </w:rPr>
            </w:pPr>
            <w:r w:rsidRPr="00F424B9">
              <w:rPr>
                <w:szCs w:val="20"/>
                <w:lang w:eastAsia="ja-JP"/>
              </w:rPr>
              <w:t>IT Day 90</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77/151 (51.0%)</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50/149 (33.6%)</w:t>
            </w:r>
          </w:p>
        </w:tc>
        <w:tc>
          <w:tcPr>
            <w:tcW w:w="2410"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17.4%; 0.002</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424B9" w:rsidRDefault="00774227" w:rsidP="00F86F50">
            <w:pPr>
              <w:rPr>
                <w:szCs w:val="20"/>
                <w:lang w:eastAsia="ja-JP"/>
              </w:rPr>
            </w:pPr>
            <w:r w:rsidRPr="00F424B9">
              <w:rPr>
                <w:szCs w:val="20"/>
                <w:lang w:eastAsia="ja-JP"/>
              </w:rPr>
              <w:t>IT Day 180</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67/151 (44.4%)</w:t>
            </w:r>
          </w:p>
        </w:tc>
        <w:tc>
          <w:tcPr>
            <w:tcW w:w="1701"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49/149 (32.9%)</w:t>
            </w:r>
          </w:p>
        </w:tc>
        <w:tc>
          <w:tcPr>
            <w:tcW w:w="2410" w:type="dxa"/>
          </w:tcPr>
          <w:p w:rsidR="00774227" w:rsidRPr="00F424B9" w:rsidRDefault="00774227" w:rsidP="00F86F50">
            <w:pPr>
              <w:cnfStyle w:val="000000000000" w:firstRow="0" w:lastRow="0" w:firstColumn="0" w:lastColumn="0" w:oddVBand="0" w:evenVBand="0" w:oddHBand="0" w:evenHBand="0" w:firstRowFirstColumn="0" w:firstRowLastColumn="0" w:lastRowFirstColumn="0" w:lastRowLastColumn="0"/>
              <w:rPr>
                <w:szCs w:val="20"/>
              </w:rPr>
            </w:pPr>
            <w:r w:rsidRPr="00F424B9">
              <w:rPr>
                <w:szCs w:val="20"/>
              </w:rPr>
              <w:t>11.5%; 0.041</w:t>
            </w:r>
          </w:p>
        </w:tc>
      </w:tr>
    </w:tbl>
    <w:p w:rsidR="00774227" w:rsidRDefault="00774227" w:rsidP="00774227">
      <w:r w:rsidRPr="000F49EE">
        <w:t xml:space="preserve">The proportion of BRVO patients with a BCVA improvement of 10 or more letters from Baseline was significantly higher with DEX 700 and DEX 350 compared to Sham at the early visits, and with DEX 700 compared to Sham at </w:t>
      </w:r>
      <w:r>
        <w:t>IT Day 180.  As with the ITT, the difference was greatest at the early visits (Day 30 and 60). At</w:t>
      </w:r>
      <w:r w:rsidRPr="000F49EE">
        <w:t xml:space="preserve"> Day 180 the difference (95% CI) between DEX 700 compared with Sham was 11.5% (0.5% to 22.4%); p = 0.041.</w:t>
      </w:r>
    </w:p>
    <w:p w:rsidR="00774227" w:rsidRPr="0014235C" w:rsidRDefault="00774227" w:rsidP="001A6420">
      <w:r w:rsidRPr="0014235C">
        <w:t>Evaluator’s comment: An improvement of ≥ 10 letters BCVA represents the minimally clinical relevant outcome in terms of visual gain. At the primary time point (Day 180) for an improvement of ≥ 15 letters, applying this lower criterion for VA response demonstrated a difference in the ITT between DEX 700 versus Sham of 10.4%. Note that the BRVO subgroup responded poorly compared to CRVO, with differences between DEX 700 and Sham non-significant at the Day 90 and 180 visits. No analysis for the CRVO subgroup was given, with the analysis in the BRVO subgroup included in the study prior to database lock. Also of note, in the PP analysis, the comparison of DEX 700 versus Sham at Day 180 was 9.8% and non-significant (p = 0.100).</w:t>
      </w:r>
    </w:p>
    <w:p w:rsidR="00774227" w:rsidRDefault="00774227" w:rsidP="00774227">
      <w:pPr>
        <w:pStyle w:val="Heading6"/>
        <w:rPr>
          <w:lang w:eastAsia="ja-JP"/>
        </w:rPr>
      </w:pPr>
      <w:r>
        <w:rPr>
          <w:lang w:eastAsia="ja-JP"/>
        </w:rPr>
        <w:lastRenderedPageBreak/>
        <w:t xml:space="preserve">≥ 3-line vision loss from </w:t>
      </w:r>
      <w:r w:rsidR="00F86F50">
        <w:rPr>
          <w:lang w:eastAsia="ja-JP"/>
        </w:rPr>
        <w:t>b</w:t>
      </w:r>
      <w:r>
        <w:rPr>
          <w:lang w:eastAsia="ja-JP"/>
        </w:rPr>
        <w:t>aseline</w:t>
      </w:r>
    </w:p>
    <w:p w:rsidR="00774227" w:rsidRPr="00715E1B" w:rsidRDefault="00774227" w:rsidP="00774227">
      <w:pPr>
        <w:rPr>
          <w:lang w:eastAsia="ja-JP"/>
        </w:rPr>
      </w:pPr>
      <w:r>
        <w:rPr>
          <w:lang w:eastAsia="ja-JP"/>
        </w:rPr>
        <w:t>At Day 90 and 180 (but not earlier visits) the comparison of DEX 700 and Sham was 3.5% versus 8.0% (difference 4.5%; p = 0.041) and 6.6% versus 12.1% (difference 5.5%; p = 0.048).</w:t>
      </w:r>
    </w:p>
    <w:p w:rsidR="00774227" w:rsidRPr="003B5B5D" w:rsidRDefault="00774227" w:rsidP="00774227">
      <w:pPr>
        <w:pStyle w:val="Heading6"/>
      </w:pPr>
      <w:r w:rsidRPr="003B5B5D">
        <w:t xml:space="preserve">Time to </w:t>
      </w:r>
      <w:r>
        <w:t>a treatment response</w:t>
      </w:r>
    </w:p>
    <w:p w:rsidR="00774227" w:rsidRPr="003B5B5D" w:rsidRDefault="00774227" w:rsidP="00774227">
      <w:r w:rsidRPr="003B5B5D">
        <w:t xml:space="preserve">The cumulative response rates </w:t>
      </w:r>
      <w:r>
        <w:t xml:space="preserve">are depicted in </w:t>
      </w:r>
      <w:r>
        <w:fldChar w:fldCharType="begin"/>
      </w:r>
      <w:r>
        <w:instrText xml:space="preserve"> REF _Ref462645324 \h </w:instrText>
      </w:r>
      <w:r>
        <w:fldChar w:fldCharType="separate"/>
      </w:r>
      <w:r w:rsidR="00DC483E" w:rsidRPr="003B5B5D">
        <w:rPr>
          <w:b/>
          <w:szCs w:val="18"/>
        </w:rPr>
        <w:t xml:space="preserve">Figure </w:t>
      </w:r>
      <w:r w:rsidR="00DC483E">
        <w:rPr>
          <w:b/>
          <w:noProof/>
          <w:szCs w:val="18"/>
        </w:rPr>
        <w:t>2</w:t>
      </w:r>
      <w:r>
        <w:fldChar w:fldCharType="end"/>
      </w:r>
      <w:r>
        <w:t xml:space="preserve"> below. The cumulative response rates were consistently higher throughout the 180 day IT period for DEX 700 and DEX 350 compared to Sham (p &lt; 0.001). Patients receiving DEX achieved the treatment response much earlier than Sham patients. </w:t>
      </w:r>
      <w:r w:rsidRPr="003B5B5D">
        <w:t>Overall, the cumulative response rate curves were significantly different for the DEX 700 and DEX 350 groups compared to the Sham group (p &lt; 0.001). Cumulative response rates were consistently higher with DEX 700 and DEX 350 than with Sham from IT visit Day 30 to the end of the IT period. There was a separation of curves as early as Day 30 which was consistent over time without any crossover at any visit. There were no differences between the 2 doses of DEX.</w:t>
      </w:r>
    </w:p>
    <w:p w:rsidR="00774227" w:rsidRPr="00747662" w:rsidRDefault="00774227" w:rsidP="00593F09">
      <w:pPr>
        <w:pStyle w:val="FigureTitle"/>
        <w:numPr>
          <w:ilvl w:val="0"/>
          <w:numId w:val="20"/>
        </w:numPr>
        <w:ind w:left="1134" w:hanging="1134"/>
      </w:pPr>
      <w:bookmarkStart w:id="64" w:name="_Ref462645319"/>
      <w:bookmarkStart w:id="65" w:name="_Toc462652395"/>
      <w:r w:rsidRPr="00747662">
        <w:t>Time to ≥ 15 letters improvement from Baseline BCVA (Study 009)</w:t>
      </w:r>
      <w:bookmarkEnd w:id="64"/>
      <w:bookmarkEnd w:id="65"/>
    </w:p>
    <w:p w:rsidR="00774227" w:rsidRDefault="00774227" w:rsidP="00774227">
      <w:r w:rsidRPr="003B5B5D">
        <w:rPr>
          <w:noProof/>
          <w:lang w:eastAsia="en-AU"/>
        </w:rPr>
        <w:drawing>
          <wp:inline distT="0" distB="0" distL="0" distR="0" wp14:anchorId="29B1BF0C" wp14:editId="22FB07DA">
            <wp:extent cx="3779520" cy="1943464"/>
            <wp:effectExtent l="0" t="0" r="0" b="0"/>
            <wp:docPr id="112" name="Picture 112" descr="Time to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94109" cy="1950966"/>
                    </a:xfrm>
                    <a:prstGeom prst="rect">
                      <a:avLst/>
                    </a:prstGeom>
                  </pic:spPr>
                </pic:pic>
              </a:graphicData>
            </a:graphic>
          </wp:inline>
        </w:drawing>
      </w:r>
    </w:p>
    <w:p w:rsidR="00774227" w:rsidRPr="00761375" w:rsidRDefault="00774227" w:rsidP="001A6420">
      <w:r w:rsidRPr="00761375">
        <w:t>Evaluator’s comment: Note this analysis was included after database lock and included as the primary efficacy endpoint in later studies. Although a significant difference is seen, it fails to reflect the lack of efficacy later in the study period at Day 90 and 180 as seen in other analyses of efficacy.</w:t>
      </w:r>
    </w:p>
    <w:p w:rsidR="00774227" w:rsidRDefault="00774227" w:rsidP="00774227">
      <w:pPr>
        <w:pStyle w:val="Heading6"/>
      </w:pPr>
      <w:r>
        <w:t>Mean change from Baseline BVCA</w:t>
      </w:r>
    </w:p>
    <w:p w:rsidR="00774227" w:rsidRPr="001F7E39" w:rsidRDefault="00774227" w:rsidP="004E2C51">
      <w:pPr>
        <w:pStyle w:val="Tabletitle"/>
        <w:numPr>
          <w:ilvl w:val="0"/>
          <w:numId w:val="21"/>
        </w:numPr>
        <w:spacing w:after="120" w:line="240" w:lineRule="auto"/>
        <w:ind w:left="1134" w:hanging="1134"/>
      </w:pPr>
      <w:bookmarkStart w:id="66" w:name="_Toc462652639"/>
      <w:r w:rsidRPr="0014235C">
        <w:t>Mean</w:t>
      </w:r>
      <w:r w:rsidRPr="001F7E39">
        <w:t xml:space="preserve"> change </w:t>
      </w:r>
      <w:r>
        <w:t xml:space="preserve">in letters </w:t>
      </w:r>
      <w:r w:rsidRPr="001F7E39">
        <w:t xml:space="preserve">from </w:t>
      </w:r>
      <w:r>
        <w:t xml:space="preserve">Baseline BCVA </w:t>
      </w:r>
      <w:r w:rsidRPr="001F7E39">
        <w:t>(</w:t>
      </w:r>
      <w:r>
        <w:t>Study 009</w:t>
      </w:r>
      <w:r w:rsidRPr="001F7E39">
        <w:t>)</w:t>
      </w:r>
      <w:bookmarkEnd w:id="66"/>
    </w:p>
    <w:p w:rsidR="00774227" w:rsidRPr="001F7E39" w:rsidRDefault="00774227" w:rsidP="00774227">
      <w:pPr>
        <w:rPr>
          <w:lang w:eastAsia="ja-JP"/>
        </w:rPr>
      </w:pPr>
      <w:r w:rsidRPr="001F7E39">
        <w:rPr>
          <w:noProof/>
          <w:lang w:eastAsia="en-AU"/>
        </w:rPr>
        <w:drawing>
          <wp:inline distT="0" distB="0" distL="0" distR="0" wp14:anchorId="13690BEB" wp14:editId="3FFAE20E">
            <wp:extent cx="4102608" cy="1855618"/>
            <wp:effectExtent l="0" t="0" r="0" b="0"/>
            <wp:docPr id="114" name="Picture 114" descr="Mean change in letters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22610" cy="1864665"/>
                    </a:xfrm>
                    <a:prstGeom prst="rect">
                      <a:avLst/>
                    </a:prstGeom>
                  </pic:spPr>
                </pic:pic>
              </a:graphicData>
            </a:graphic>
          </wp:inline>
        </w:drawing>
      </w:r>
      <w:r w:rsidRPr="001F7E39">
        <w:rPr>
          <w:lang w:eastAsia="ja-JP"/>
        </w:rPr>
        <w:t xml:space="preserve"> </w:t>
      </w:r>
    </w:p>
    <w:p w:rsidR="00774227" w:rsidRDefault="00774227" w:rsidP="00774227">
      <w:pPr>
        <w:rPr>
          <w:lang w:eastAsia="ja-JP"/>
        </w:rPr>
      </w:pPr>
      <w:r w:rsidRPr="001F7E39">
        <w:rPr>
          <w:lang w:eastAsia="ja-JP"/>
        </w:rPr>
        <w:t xml:space="preserve">In the ITT population, </w:t>
      </w:r>
      <w:r>
        <w:rPr>
          <w:lang w:eastAsia="ja-JP"/>
        </w:rPr>
        <w:t xml:space="preserve">the </w:t>
      </w:r>
      <w:r w:rsidRPr="001F7E39">
        <w:rPr>
          <w:lang w:eastAsia="ja-JP"/>
        </w:rPr>
        <w:t xml:space="preserve">mean change from Baseline BCVA </w:t>
      </w:r>
      <w:r>
        <w:rPr>
          <w:lang w:eastAsia="ja-JP"/>
        </w:rPr>
        <w:t xml:space="preserve">in </w:t>
      </w:r>
      <w:r w:rsidRPr="001F7E39">
        <w:rPr>
          <w:lang w:eastAsia="ja-JP"/>
        </w:rPr>
        <w:t xml:space="preserve">number of letters read correctly </w:t>
      </w:r>
      <w:r>
        <w:rPr>
          <w:lang w:eastAsia="ja-JP"/>
        </w:rPr>
        <w:t>is</w:t>
      </w:r>
      <w:r w:rsidRPr="001F7E39">
        <w:rPr>
          <w:lang w:eastAsia="ja-JP"/>
        </w:rPr>
        <w:t xml:space="preserve"> summarised in </w:t>
      </w:r>
      <w:r w:rsidR="0014235C">
        <w:rPr>
          <w:lang w:eastAsia="ja-JP"/>
        </w:rPr>
        <w:t xml:space="preserve">the table </w:t>
      </w:r>
      <w:r>
        <w:rPr>
          <w:lang w:eastAsia="ja-JP"/>
        </w:rPr>
        <w:t>above</w:t>
      </w:r>
      <w:r w:rsidRPr="001F7E39">
        <w:rPr>
          <w:lang w:eastAsia="ja-JP"/>
        </w:rPr>
        <w:t xml:space="preserve">. </w:t>
      </w:r>
      <w:r>
        <w:rPr>
          <w:lang w:eastAsia="ja-JP"/>
        </w:rPr>
        <w:t xml:space="preserve">Mean change peaked at IT Day 60, and were significantly greater with DEX 700 compared to Sham at all study visits (p ≤ 0.016). At the </w:t>
      </w:r>
      <w:r>
        <w:rPr>
          <w:lang w:eastAsia="ja-JP"/>
        </w:rPr>
        <w:lastRenderedPageBreak/>
        <w:t>primary time point for the primary efficacy analysis (Day 180) the difference between DEX 700 versus sham was 3.0 (p = 0.016).</w:t>
      </w:r>
    </w:p>
    <w:p w:rsidR="00774227" w:rsidRDefault="00774227" w:rsidP="00774227">
      <w:pPr>
        <w:rPr>
          <w:lang w:eastAsia="ja-JP"/>
        </w:rPr>
      </w:pPr>
      <w:r>
        <w:rPr>
          <w:lang w:eastAsia="ja-JP"/>
        </w:rPr>
        <w:t xml:space="preserve">For BRVO patients, differences between DEX 700 and Sham in mean change in letters read correctly were significant at IT Days 30, 60, 90, and 180 (p ≤ 0.018). For CRVO patients, differences were significant at IT Days 30, 60, and 90 (p ≤ 0.044). </w:t>
      </w:r>
    </w:p>
    <w:p w:rsidR="00774227" w:rsidRDefault="00774227" w:rsidP="004E2C51">
      <w:pPr>
        <w:pStyle w:val="Tabletitle"/>
        <w:numPr>
          <w:ilvl w:val="0"/>
          <w:numId w:val="21"/>
        </w:numPr>
        <w:spacing w:after="120" w:line="240" w:lineRule="auto"/>
        <w:ind w:left="1134" w:hanging="1134"/>
      </w:pPr>
      <w:bookmarkStart w:id="67" w:name="_Toc462652640"/>
      <w:r>
        <w:t>Mean change from Baseline BCVA according to diagnostic subgroups</w:t>
      </w:r>
      <w:bookmarkEnd w:id="67"/>
    </w:p>
    <w:tbl>
      <w:tblPr>
        <w:tblStyle w:val="TableTGAblue"/>
        <w:tblpPr w:leftFromText="180" w:rightFromText="180" w:vertAnchor="text" w:horzAnchor="margin" w:tblpY="218"/>
        <w:tblW w:w="0" w:type="auto"/>
        <w:tblLook w:val="04A0" w:firstRow="1" w:lastRow="0" w:firstColumn="1" w:lastColumn="0" w:noHBand="0" w:noVBand="1"/>
        <w:tblDescription w:val="Mean change from Baseline BCVA according to diagnostic subgroups"/>
      </w:tblPr>
      <w:tblGrid>
        <w:gridCol w:w="1279"/>
        <w:gridCol w:w="1008"/>
        <w:gridCol w:w="1030"/>
        <w:gridCol w:w="1682"/>
        <w:gridCol w:w="1009"/>
        <w:gridCol w:w="1030"/>
        <w:gridCol w:w="1682"/>
      </w:tblGrid>
      <w:tr w:rsidR="00774227" w:rsidTr="001423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774227" w:rsidRDefault="00774227" w:rsidP="009B7947">
            <w:pPr>
              <w:rPr>
                <w:lang w:eastAsia="ja-JP"/>
              </w:rPr>
            </w:pPr>
            <w:r>
              <w:rPr>
                <w:lang w:eastAsia="ja-JP"/>
              </w:rPr>
              <w:t>Visit</w:t>
            </w:r>
          </w:p>
        </w:tc>
        <w:tc>
          <w:tcPr>
            <w:tcW w:w="3968" w:type="dxa"/>
            <w:gridSpan w:val="3"/>
          </w:tcPr>
          <w:p w:rsidR="00774227" w:rsidRDefault="00774227" w:rsidP="009B794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BRVO (N = 151)</w:t>
            </w:r>
          </w:p>
        </w:tc>
        <w:tc>
          <w:tcPr>
            <w:tcW w:w="3969" w:type="dxa"/>
            <w:gridSpan w:val="3"/>
          </w:tcPr>
          <w:p w:rsidR="00774227" w:rsidRDefault="00774227" w:rsidP="009B794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CRVO</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24890" w:rsidRDefault="00774227" w:rsidP="009B7947">
            <w:pPr>
              <w:rPr>
                <w:sz w:val="20"/>
                <w:lang w:eastAsia="ja-JP"/>
              </w:rPr>
            </w:pP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sidRPr="00F24890">
              <w:rPr>
                <w:sz w:val="20"/>
                <w:lang w:eastAsia="ja-JP"/>
              </w:rPr>
              <w:t>DEX 700</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sidRPr="00F24890">
              <w:rPr>
                <w:sz w:val="20"/>
                <w:lang w:eastAsia="ja-JP"/>
              </w:rPr>
              <w:t>Sham</w:t>
            </w:r>
          </w:p>
        </w:tc>
        <w:tc>
          <w:tcPr>
            <w:tcW w:w="1983"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Difference; p</w:t>
            </w:r>
            <w:r>
              <w:rPr>
                <w:sz w:val="20"/>
                <w:lang w:eastAsia="ja-JP"/>
              </w:rPr>
              <w:noBreakHyphen/>
              <w:t>value</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sidRPr="00F24890">
              <w:rPr>
                <w:sz w:val="20"/>
                <w:lang w:eastAsia="ja-JP"/>
              </w:rPr>
              <w:t>DEX 700</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sidRPr="00F24890">
              <w:rPr>
                <w:sz w:val="20"/>
                <w:lang w:eastAsia="ja-JP"/>
              </w:rPr>
              <w:t>Sham</w:t>
            </w:r>
          </w:p>
        </w:tc>
        <w:tc>
          <w:tcPr>
            <w:tcW w:w="198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Difference; p</w:t>
            </w:r>
            <w:r>
              <w:rPr>
                <w:sz w:val="20"/>
                <w:lang w:eastAsia="ja-JP"/>
              </w:rPr>
              <w:noBreakHyphen/>
              <w:t>value</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24890" w:rsidRDefault="00774227" w:rsidP="009B7947">
            <w:pPr>
              <w:rPr>
                <w:sz w:val="20"/>
                <w:lang w:eastAsia="ja-JP"/>
              </w:rPr>
            </w:pPr>
            <w:r>
              <w:rPr>
                <w:sz w:val="20"/>
                <w:lang w:eastAsia="ja-JP"/>
              </w:rPr>
              <w:t>Baseline</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55.4</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56.3</w:t>
            </w:r>
          </w:p>
        </w:tc>
        <w:tc>
          <w:tcPr>
            <w:tcW w:w="1983" w:type="dxa"/>
          </w:tcPr>
          <w:p w:rsidR="00774227"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-1.0; 0.360</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51.6</w:t>
            </w:r>
          </w:p>
        </w:tc>
        <w:tc>
          <w:tcPr>
            <w:tcW w:w="851" w:type="dxa"/>
          </w:tcPr>
          <w:p w:rsidR="00774227"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52.4</w:t>
            </w:r>
          </w:p>
        </w:tc>
        <w:tc>
          <w:tcPr>
            <w:tcW w:w="1984" w:type="dxa"/>
          </w:tcPr>
          <w:p w:rsidR="00774227"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-0.9; 0.630</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24890" w:rsidRDefault="00774227" w:rsidP="009B7947">
            <w:pPr>
              <w:rPr>
                <w:sz w:val="20"/>
                <w:lang w:eastAsia="ja-JP"/>
              </w:rPr>
            </w:pPr>
            <w:r w:rsidRPr="00F24890">
              <w:rPr>
                <w:sz w:val="20"/>
                <w:lang w:eastAsia="ja-JP"/>
              </w:rPr>
              <w:t>IT Day 30</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8.6</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4.2</w:t>
            </w:r>
          </w:p>
        </w:tc>
        <w:tc>
          <w:tcPr>
            <w:tcW w:w="1983"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4.5; &lt; 0.001</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8.3</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-0.1</w:t>
            </w:r>
          </w:p>
        </w:tc>
        <w:tc>
          <w:tcPr>
            <w:tcW w:w="198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8.5; &lt; 0.001</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24890" w:rsidRDefault="00774227" w:rsidP="009B7947">
            <w:pPr>
              <w:rPr>
                <w:sz w:val="20"/>
                <w:lang w:eastAsia="ja-JP"/>
              </w:rPr>
            </w:pPr>
            <w:r w:rsidRPr="00F24890">
              <w:rPr>
                <w:sz w:val="20"/>
                <w:lang w:eastAsia="ja-JP"/>
              </w:rPr>
              <w:t>IT Day 60</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10.6</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5.6</w:t>
            </w:r>
          </w:p>
        </w:tc>
        <w:tc>
          <w:tcPr>
            <w:tcW w:w="1983"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5.0; &lt; 0.001</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9.2</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-1.6</w:t>
            </w:r>
          </w:p>
        </w:tc>
        <w:tc>
          <w:tcPr>
            <w:tcW w:w="198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10.8; &lt; 0.001</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24890" w:rsidRDefault="00774227" w:rsidP="009B7947">
            <w:pPr>
              <w:rPr>
                <w:sz w:val="20"/>
                <w:lang w:eastAsia="ja-JP"/>
              </w:rPr>
            </w:pPr>
            <w:r w:rsidRPr="00F24890">
              <w:rPr>
                <w:sz w:val="20"/>
                <w:lang w:eastAsia="ja-JP"/>
              </w:rPr>
              <w:t>IT Day 90</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9.2</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5.8</w:t>
            </w:r>
          </w:p>
        </w:tc>
        <w:tc>
          <w:tcPr>
            <w:tcW w:w="1983"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3.4; 0.001</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3.5</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-1.2</w:t>
            </w:r>
          </w:p>
        </w:tc>
        <w:tc>
          <w:tcPr>
            <w:tcW w:w="198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4.7; 0.044</w:t>
            </w:r>
          </w:p>
        </w:tc>
      </w:tr>
      <w:tr w:rsidR="00774227"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24890" w:rsidRDefault="00774227" w:rsidP="009B7947">
            <w:pPr>
              <w:rPr>
                <w:sz w:val="20"/>
                <w:lang w:eastAsia="ja-JP"/>
              </w:rPr>
            </w:pPr>
            <w:r w:rsidRPr="00F24890">
              <w:rPr>
                <w:sz w:val="20"/>
                <w:lang w:eastAsia="ja-JP"/>
              </w:rPr>
              <w:t>IT Day 180</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8.0</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5.0</w:t>
            </w:r>
          </w:p>
        </w:tc>
        <w:tc>
          <w:tcPr>
            <w:tcW w:w="1983"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2.9; 0.018</w:t>
            </w:r>
          </w:p>
        </w:tc>
        <w:tc>
          <w:tcPr>
            <w:tcW w:w="113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0.4</w:t>
            </w:r>
          </w:p>
        </w:tc>
        <w:tc>
          <w:tcPr>
            <w:tcW w:w="851"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-2.7</w:t>
            </w:r>
          </w:p>
        </w:tc>
        <w:tc>
          <w:tcPr>
            <w:tcW w:w="1984" w:type="dxa"/>
          </w:tcPr>
          <w:p w:rsidR="00774227" w:rsidRPr="00F24890" w:rsidRDefault="00774227" w:rsidP="009B7947">
            <w:pPr>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3.1; 0.242</w:t>
            </w:r>
          </w:p>
        </w:tc>
      </w:tr>
      <w:tr w:rsidR="00774227" w:rsidTr="00774227">
        <w:tc>
          <w:tcPr>
            <w:cnfStyle w:val="001000000000" w:firstRow="0" w:lastRow="0" w:firstColumn="1" w:lastColumn="0" w:oddVBand="0" w:evenVBand="0" w:oddHBand="0" w:evenHBand="0" w:firstRowFirstColumn="0" w:firstRowLastColumn="0" w:lastRowFirstColumn="0" w:lastRowLastColumn="0"/>
            <w:tcW w:w="9179" w:type="dxa"/>
            <w:gridSpan w:val="7"/>
          </w:tcPr>
          <w:p w:rsidR="00774227" w:rsidRPr="00E5093E" w:rsidRDefault="00774227" w:rsidP="009B7947">
            <w:pPr>
              <w:rPr>
                <w:sz w:val="19"/>
                <w:lang w:eastAsia="ja-JP"/>
              </w:rPr>
            </w:pPr>
            <w:r w:rsidRPr="001F7E39">
              <w:rPr>
                <w:sz w:val="19"/>
                <w:lang w:eastAsia="ja-JP"/>
              </w:rPr>
              <w:t xml:space="preserve">P-values for difference in mean change compared to Baseline between DEX 700/700 versus Sham/DEX 700 were: IT Days 30, 60 and 90 (p &lt; 0.001); IT Day 180 (p = 0.002); </w:t>
            </w:r>
            <w:r>
              <w:rPr>
                <w:sz w:val="19"/>
                <w:lang w:eastAsia="ja-JP"/>
              </w:rPr>
              <w:t>OL extension</w:t>
            </w:r>
            <w:r w:rsidRPr="001F7E39">
              <w:rPr>
                <w:sz w:val="19"/>
                <w:lang w:eastAsia="ja-JP"/>
              </w:rPr>
              <w:t xml:space="preserve"> Days 30 and 60 (p = 0.003); </w:t>
            </w:r>
            <w:r>
              <w:rPr>
                <w:sz w:val="19"/>
                <w:lang w:eastAsia="ja-JP"/>
              </w:rPr>
              <w:t>OL extension</w:t>
            </w:r>
            <w:r w:rsidRPr="001F7E39">
              <w:rPr>
                <w:sz w:val="19"/>
                <w:lang w:eastAsia="ja-JP"/>
              </w:rPr>
              <w:t xml:space="preserve"> Day 90 (p = 0.211); </w:t>
            </w:r>
            <w:r>
              <w:rPr>
                <w:sz w:val="19"/>
                <w:lang w:eastAsia="ja-JP"/>
              </w:rPr>
              <w:t>OL extension Day 180 (p = 0.632).</w:t>
            </w:r>
          </w:p>
        </w:tc>
      </w:tr>
    </w:tbl>
    <w:p w:rsidR="00774227" w:rsidRPr="001F7E39" w:rsidRDefault="00774227" w:rsidP="004C3275">
      <w:pPr>
        <w:keepNext/>
        <w:keepLines/>
        <w:numPr>
          <w:ilvl w:val="3"/>
          <w:numId w:val="5"/>
        </w:numPr>
        <w:tabs>
          <w:tab w:val="num" w:pos="3885"/>
        </w:tabs>
        <w:spacing w:line="220" w:lineRule="atLeast"/>
        <w:ind w:left="1304" w:hanging="1077"/>
        <w:outlineLvl w:val="4"/>
        <w:rPr>
          <w:rFonts w:eastAsia="Times New Roman"/>
          <w:b/>
          <w:bCs/>
          <w:i/>
          <w:szCs w:val="21"/>
        </w:rPr>
      </w:pPr>
      <w:r w:rsidRPr="001F7E39">
        <w:rPr>
          <w:rFonts w:eastAsia="Times New Roman"/>
          <w:b/>
          <w:bCs/>
          <w:i/>
          <w:szCs w:val="21"/>
        </w:rPr>
        <w:t xml:space="preserve">Results for </w:t>
      </w:r>
      <w:r>
        <w:rPr>
          <w:rFonts w:eastAsia="Times New Roman"/>
          <w:b/>
          <w:bCs/>
          <w:i/>
          <w:szCs w:val="21"/>
        </w:rPr>
        <w:t>secondary efficacy outcomes</w:t>
      </w:r>
    </w:p>
    <w:p w:rsidR="00774227" w:rsidRDefault="00774227" w:rsidP="00774227">
      <w:pPr>
        <w:pStyle w:val="Heading6"/>
        <w:rPr>
          <w:lang w:eastAsia="ja-JP"/>
        </w:rPr>
      </w:pPr>
      <w:r w:rsidRPr="001F7E39">
        <w:rPr>
          <w:lang w:eastAsia="ja-JP"/>
        </w:rPr>
        <w:t>Retinal thickness measured by OCT</w:t>
      </w:r>
    </w:p>
    <w:p w:rsidR="00774227" w:rsidRDefault="00774227" w:rsidP="00774227">
      <w:r>
        <w:t>At Baseline in the ITT population the mean central retinal thickness in the 1 mm subfield of the study eye measured by OCT was comparable and not significantly different between DEX 700 and Sham. At IT Day 90 the mean decrease in retinal thickness was significantly greater with DEX 700 (-215.6 microns) compared to Sham (-91.1 microns), p &lt; 0.001. At Day 180 there were no significant differences between DEX 700 and Sham. Results for the PP population were similar to those of the ITT population.</w:t>
      </w:r>
    </w:p>
    <w:p w:rsidR="00774227" w:rsidRDefault="00774227" w:rsidP="00774227">
      <w:r>
        <w:t>For BRVO patients, mean decrease in retinal thickness was significantly greater at Day 90 with DEX 700 (-206.2 microns) and DEX 350 (-190.3 microns) compared to Sham (-93.4 microns) (p &lt; 0.001). For CRVO patients, mean central retinal thickness in the 1 mm subfield in the study eye measured by OCT was significantly less with DEX 700 (-234.9 microns) compared to Sham (-86.5 microns) (p &lt; 0.001) At Day 180 there were no significant differences between DEX 700 and Sham for either diagnostic subgroup.</w:t>
      </w:r>
    </w:p>
    <w:p w:rsidR="00774227" w:rsidRDefault="00774227" w:rsidP="00774227">
      <w:pPr>
        <w:pStyle w:val="Heading6"/>
      </w:pPr>
      <w:r>
        <w:t>Other outcomes</w:t>
      </w:r>
    </w:p>
    <w:p w:rsidR="00774227" w:rsidRDefault="00774227" w:rsidP="00774227">
      <w:pPr>
        <w:rPr>
          <w:lang w:eastAsia="ja-JP"/>
        </w:rPr>
      </w:pPr>
      <w:r w:rsidRPr="00FC4729">
        <w:rPr>
          <w:lang w:eastAsia="ja-JP"/>
        </w:rPr>
        <w:t>At Baseline, central retinal thickening in the study eye on fundus photography was graded as definite for &gt; 90% of patients in each treatment group. There were no statistically significant pairwise differences between DEX 700 and Sham.</w:t>
      </w:r>
    </w:p>
    <w:p w:rsidR="00774227" w:rsidRPr="00FC4729" w:rsidRDefault="00774227" w:rsidP="00774227">
      <w:pPr>
        <w:rPr>
          <w:lang w:eastAsia="ja-JP"/>
        </w:rPr>
      </w:pPr>
      <w:r>
        <w:rPr>
          <w:lang w:eastAsia="ja-JP"/>
        </w:rPr>
        <w:t xml:space="preserve">For contrast sensitivity, there were no statistically significant differences between </w:t>
      </w:r>
      <w:proofErr w:type="gramStart"/>
      <w:r>
        <w:rPr>
          <w:lang w:eastAsia="ja-JP"/>
        </w:rPr>
        <w:t>treatment</w:t>
      </w:r>
      <w:proofErr w:type="gramEnd"/>
      <w:r>
        <w:rPr>
          <w:lang w:eastAsia="ja-JP"/>
        </w:rPr>
        <w:t xml:space="preserve"> groups at Baseline or IT Day 180 in mean number of letters read correctly. </w:t>
      </w:r>
    </w:p>
    <w:p w:rsidR="00774227" w:rsidRDefault="00774227" w:rsidP="00774227">
      <w:r>
        <w:lastRenderedPageBreak/>
        <w:t>Change from baseline in fluorescein leakage at the macula was improved from Baseline for approximately 50% across all 3 treatment groups. There were no statistically significant differences between the treatment groups in the distribution of change from baseline fluorescein leakage.</w:t>
      </w:r>
    </w:p>
    <w:p w:rsidR="00774227" w:rsidRDefault="00774227" w:rsidP="00A45E9B">
      <w:pPr>
        <w:pStyle w:val="Heading5"/>
      </w:pPr>
      <w:r>
        <w:t>Efficacy for the re-treated population</w:t>
      </w:r>
    </w:p>
    <w:p w:rsidR="00774227" w:rsidRDefault="00774227" w:rsidP="00774227">
      <w:pPr>
        <w:pStyle w:val="Heading6"/>
        <w:rPr>
          <w:lang w:eastAsia="ja-JP"/>
        </w:rPr>
      </w:pPr>
      <w:r w:rsidRPr="007A7770">
        <w:rPr>
          <w:lang w:eastAsia="ja-JP"/>
        </w:rPr>
        <w:t xml:space="preserve">BCVA improvement of 15 or more letters from </w:t>
      </w:r>
      <w:r w:rsidR="009B7947">
        <w:rPr>
          <w:lang w:eastAsia="ja-JP"/>
        </w:rPr>
        <w:t>b</w:t>
      </w:r>
      <w:r w:rsidRPr="007A7770">
        <w:rPr>
          <w:lang w:eastAsia="ja-JP"/>
        </w:rPr>
        <w:t>aseline</w:t>
      </w:r>
    </w:p>
    <w:p w:rsidR="00774227" w:rsidRDefault="00761375" w:rsidP="00774227">
      <w:pPr>
        <w:rPr>
          <w:lang w:eastAsia="ja-JP"/>
        </w:rPr>
      </w:pPr>
      <w:r>
        <w:rPr>
          <w:lang w:eastAsia="ja-JP"/>
        </w:rPr>
        <w:t xml:space="preserve">The table </w:t>
      </w:r>
      <w:r w:rsidR="00774227">
        <w:rPr>
          <w:lang w:eastAsia="ja-JP"/>
        </w:rPr>
        <w:t xml:space="preserve">below summarises the proportions of the patients in the re-treatment population according to initial treatment randomisation with a BCVA improvement of 15 or more letters from Baseline. At the end of the IT period (IT Day 180) 17.9% (32/179) of the DEX 700/700 group and 11.3% (19/168) of the Sham group achieved an improvement of ≥ 15 letters from Baseline BCVA. The difference in response rates (6.6%) was not statistically significant. </w:t>
      </w:r>
      <w:r w:rsidR="00774227" w:rsidRPr="002565C3">
        <w:rPr>
          <w:lang w:eastAsia="ja-JP"/>
        </w:rPr>
        <w:t xml:space="preserve">Following retreatment with DEX 700 response rates increased by 2 to 2.5 fold at the visit with peak response in each of the 3 treatment groups compared to the second Baseline at IT Day 180. No statistically significant differences between </w:t>
      </w:r>
      <w:r w:rsidR="00774227">
        <w:rPr>
          <w:lang w:eastAsia="ja-JP"/>
        </w:rPr>
        <w:t xml:space="preserve">DEX 700/700 and Sham/DEX 700 </w:t>
      </w:r>
      <w:r w:rsidR="00774227" w:rsidRPr="002565C3">
        <w:rPr>
          <w:lang w:eastAsia="ja-JP"/>
        </w:rPr>
        <w:t>except at OL Day 30 (p = 0.035). At the end of the OL extension, a non-significant difference of 0.9% was seen in response rates favouring the Sham</w:t>
      </w:r>
      <w:r w:rsidR="00774227">
        <w:rPr>
          <w:lang w:eastAsia="ja-JP"/>
        </w:rPr>
        <w:t>/</w:t>
      </w:r>
      <w:r w:rsidR="00774227" w:rsidRPr="002565C3">
        <w:rPr>
          <w:lang w:eastAsia="ja-JP"/>
        </w:rPr>
        <w:t>DEX</w:t>
      </w:r>
      <w:r w:rsidR="00774227">
        <w:rPr>
          <w:lang w:eastAsia="ja-JP"/>
        </w:rPr>
        <w:t xml:space="preserve"> 700 group. Compared the IT Day 180</w:t>
      </w:r>
      <w:r w:rsidR="00774227" w:rsidRPr="002565C3">
        <w:rPr>
          <w:lang w:eastAsia="ja-JP"/>
        </w:rPr>
        <w:t xml:space="preserve"> the difference in response rates at t</w:t>
      </w:r>
      <w:r w:rsidR="00774227">
        <w:rPr>
          <w:lang w:eastAsia="ja-JP"/>
        </w:rPr>
        <w:t xml:space="preserve">he end of the OL extension was </w:t>
      </w:r>
      <w:r w:rsidR="00774227" w:rsidRPr="002565C3">
        <w:rPr>
          <w:lang w:eastAsia="ja-JP"/>
        </w:rPr>
        <w:t>4.4% for DEX700</w:t>
      </w:r>
      <w:r w:rsidR="00774227">
        <w:rPr>
          <w:lang w:eastAsia="ja-JP"/>
        </w:rPr>
        <w:t>/700 and 11.9% for Sham/</w:t>
      </w:r>
      <w:r w:rsidR="00774227" w:rsidRPr="002565C3">
        <w:rPr>
          <w:lang w:eastAsia="ja-JP"/>
        </w:rPr>
        <w:t>DEX</w:t>
      </w:r>
      <w:r w:rsidR="00774227">
        <w:rPr>
          <w:lang w:eastAsia="ja-JP"/>
        </w:rPr>
        <w:t xml:space="preserve"> </w:t>
      </w:r>
      <w:r w:rsidR="00774227" w:rsidRPr="002565C3">
        <w:rPr>
          <w:lang w:eastAsia="ja-JP"/>
        </w:rPr>
        <w:t>700.</w:t>
      </w:r>
    </w:p>
    <w:p w:rsidR="00774227" w:rsidRPr="0014235C" w:rsidRDefault="00774227" w:rsidP="004E2C51">
      <w:pPr>
        <w:pStyle w:val="Tabletitle"/>
        <w:numPr>
          <w:ilvl w:val="0"/>
          <w:numId w:val="21"/>
        </w:numPr>
        <w:spacing w:after="120" w:line="240" w:lineRule="auto"/>
        <w:ind w:left="1134" w:hanging="1134"/>
      </w:pPr>
      <w:bookmarkStart w:id="68" w:name="_Toc462652641"/>
      <w:r w:rsidRPr="0014235C">
        <w:t>Proportions with ≥ 15 letters improvement from Baseline BCVA (Study 009)</w:t>
      </w:r>
      <w:bookmarkEnd w:id="68"/>
    </w:p>
    <w:p w:rsidR="00774227" w:rsidRDefault="00774227" w:rsidP="00774227">
      <w:r w:rsidRPr="00D43D17">
        <w:rPr>
          <w:noProof/>
          <w:lang w:eastAsia="en-AU"/>
        </w:rPr>
        <w:drawing>
          <wp:inline distT="0" distB="0" distL="0" distR="0" wp14:anchorId="7F03ABFD" wp14:editId="4AEA001F">
            <wp:extent cx="3249168" cy="1723169"/>
            <wp:effectExtent l="0" t="0" r="8890" b="0"/>
            <wp:docPr id="110" name="Picture 110" descr="Proportions with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54460" cy="1725976"/>
                    </a:xfrm>
                    <a:prstGeom prst="rect">
                      <a:avLst/>
                    </a:prstGeom>
                  </pic:spPr>
                </pic:pic>
              </a:graphicData>
            </a:graphic>
          </wp:inline>
        </w:drawing>
      </w:r>
    </w:p>
    <w:p w:rsidR="00774227" w:rsidRPr="00761375" w:rsidRDefault="00774227" w:rsidP="001A6420">
      <w:r w:rsidRPr="00761375">
        <w:t>Evaluator’s comment: Patients in all three groups responded to treatment with maximal gain in VA greatest in the DEX 700/700 group, but at OL Day 180 there was no evidence of a sustained accumulative gain in VA twice two consecutive implants compared to one. It seems that a comparison in proportions with a ≥ 10 letter improvement in BCVA wasn’t available.</w:t>
      </w:r>
    </w:p>
    <w:p w:rsidR="00774227" w:rsidRDefault="00774227" w:rsidP="00774227">
      <w:pPr>
        <w:pStyle w:val="Heading6"/>
      </w:pPr>
      <w:r>
        <w:t xml:space="preserve">Mean change in letters read correctly from </w:t>
      </w:r>
      <w:r w:rsidR="009B7947">
        <w:t>b</w:t>
      </w:r>
      <w:r w:rsidRPr="00451F13">
        <w:t>aseline</w:t>
      </w:r>
      <w:r>
        <w:t xml:space="preserve"> BCVA</w:t>
      </w:r>
    </w:p>
    <w:p w:rsidR="00774227" w:rsidRPr="00F00537" w:rsidRDefault="00774227" w:rsidP="00774227">
      <w:r w:rsidRPr="00F00537">
        <w:t>In the re-treat</w:t>
      </w:r>
      <w:r>
        <w:t>ment population, the mean change</w:t>
      </w:r>
      <w:r w:rsidRPr="00F00537">
        <w:t xml:space="preserve"> from Baseline BCVA are summari</w:t>
      </w:r>
      <w:r>
        <w:t>s</w:t>
      </w:r>
      <w:r w:rsidRPr="00F00537">
        <w:t>ed below. M</w:t>
      </w:r>
      <w:r>
        <w:t xml:space="preserve">ean gain was </w:t>
      </w:r>
      <w:r w:rsidRPr="00F00537">
        <w:t>greater in the DEX 700/700 compared to Sham/DEX 700 at every time</w:t>
      </w:r>
      <w:r>
        <w:t xml:space="preserve"> </w:t>
      </w:r>
      <w:r w:rsidRPr="00F00537">
        <w:t>point during the 12-month study</w:t>
      </w:r>
      <w:r>
        <w:t xml:space="preserve"> and differences were significant at the IT visits (p ≤ 0.002) and at OL Days 30 and 60 (p = 0.003) but not Days 90 and 180</w:t>
      </w:r>
      <w:r w:rsidRPr="00F00537">
        <w:t>.</w:t>
      </w:r>
      <w:r>
        <w:t xml:space="preserve"> For the DEX 700/700 group maximal mean gain in letters read correctly in the OL extension (10.5 at OL Day 60) was essentially the same but not greater than the maximal mean gain in letters in the IT period (10.6 letters at IT Day 60).</w:t>
      </w:r>
    </w:p>
    <w:p w:rsidR="00774227" w:rsidRDefault="00774227" w:rsidP="004E2C51">
      <w:pPr>
        <w:pStyle w:val="Tabletitle"/>
        <w:numPr>
          <w:ilvl w:val="0"/>
          <w:numId w:val="21"/>
        </w:numPr>
        <w:spacing w:after="120" w:line="240" w:lineRule="auto"/>
        <w:ind w:left="1134" w:hanging="1134"/>
      </w:pPr>
      <w:bookmarkStart w:id="69" w:name="_Toc462652642"/>
      <w:r>
        <w:lastRenderedPageBreak/>
        <w:t>Mean change from first Baseline BCVA (Study 009)</w:t>
      </w:r>
      <w:bookmarkEnd w:id="69"/>
    </w:p>
    <w:p w:rsidR="00774227" w:rsidRDefault="00774227" w:rsidP="00774227">
      <w:r>
        <w:rPr>
          <w:noProof/>
          <w:lang w:eastAsia="en-AU"/>
        </w:rPr>
        <w:drawing>
          <wp:inline distT="0" distB="0" distL="0" distR="0" wp14:anchorId="0E137ECE" wp14:editId="1CF45AA3">
            <wp:extent cx="2974848" cy="1876760"/>
            <wp:effectExtent l="0" t="0" r="0" b="9525"/>
            <wp:docPr id="116" name="Picture 116" descr="Mean change from first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6407" cy="1877744"/>
                    </a:xfrm>
                    <a:prstGeom prst="rect">
                      <a:avLst/>
                    </a:prstGeom>
                  </pic:spPr>
                </pic:pic>
              </a:graphicData>
            </a:graphic>
          </wp:inline>
        </w:drawing>
      </w:r>
    </w:p>
    <w:p w:rsidR="00774227" w:rsidRDefault="00774227" w:rsidP="001A6420">
      <w:r w:rsidRPr="00372022">
        <w:rPr>
          <w:b/>
        </w:rPr>
        <w:t>Evaluator’s comment</w:t>
      </w:r>
      <w:r w:rsidRPr="00761375">
        <w:t xml:space="preserve">: All treatment groups experience an improvement in the OL extension. Compared to the mean gain in letters read correctly at IT Day 180, at the end of the OL extension, a -0.2 letter decrease was seen in the DEX 700/700 group contrasted with a 3.2 letter gain for Sham/DEX 700 group. Although the DEX 700/700 group outperformed the Sham/DEX 700 group, with no improvement in letters gained in the maximal number of letters gained and no improvement at OL Day 180 compared with IT Day 180 there was </w:t>
      </w:r>
      <w:proofErr w:type="gramStart"/>
      <w:r w:rsidRPr="00761375">
        <w:t>no</w:t>
      </w:r>
      <w:proofErr w:type="gramEnd"/>
      <w:r w:rsidRPr="00761375">
        <w:t xml:space="preserve"> evidence of an accumulative effect in efficacy in the DEX 700/700 group</w:t>
      </w:r>
      <w:r>
        <w:t>.</w:t>
      </w:r>
    </w:p>
    <w:p w:rsidR="00774227" w:rsidRDefault="00774227" w:rsidP="00774227">
      <w:pPr>
        <w:pStyle w:val="Heading6"/>
      </w:pPr>
      <w:r>
        <w:t>Retinal thickness measured by optical coherence tomography</w:t>
      </w:r>
    </w:p>
    <w:p w:rsidR="00774227" w:rsidRDefault="00774227" w:rsidP="00774227">
      <w:r>
        <w:t>As with the ITT population, the DEX 700/700 group had a significantly greater mean decrease in retinal thickness at IT Day 90 but not IT Day 180 compared with Sham/DEX 700. Following re-treatment the mean decrease at OL Day 90 was -267.8 microns and -262.2 microns for DEX 700/700 and Sham/DEX 700 respectively and -170.4 and -179.2 microns at OL Day 180. Neither comparison was significant.</w:t>
      </w:r>
    </w:p>
    <w:p w:rsidR="00774227" w:rsidRDefault="00774227" w:rsidP="00774227">
      <w:pPr>
        <w:pStyle w:val="Heading6"/>
      </w:pPr>
      <w:r>
        <w:t>Single treatment population (12-month data)</w:t>
      </w:r>
    </w:p>
    <w:p w:rsidR="00774227" w:rsidRDefault="00774227" w:rsidP="00774227">
      <w:r>
        <w:t>The single treatment population was comprised of patients randomised in the IT period and followed up in the OL extension, but who didn’t receive treatment for the OL extension. During the OL extension however when neither group was receiving treatment, differences between DEX 700 and Sham in the proportions with a BCVA improvement of ≥ 15 letters all favoured the Sham group at every visit, and at OL Day 180</w:t>
      </w:r>
      <w:proofErr w:type="gramStart"/>
      <w:r>
        <w:t>,  8.3</w:t>
      </w:r>
      <w:proofErr w:type="gramEnd"/>
      <w:r>
        <w:t>% more Sham patients counted as responders. Likewise, in terms of mean number of letters read correctly compared to BCVA Baseline, response rates were greater in the DEX 700 group in the IT period, and static in the OL extension whereas letters gained in the Sham group steadily increased over the 12-month period and were numerically greater than DEX 700 at OL Days 30, 60 and 180.</w:t>
      </w:r>
    </w:p>
    <w:p w:rsidR="00774227" w:rsidRDefault="00774227" w:rsidP="004E2C51">
      <w:pPr>
        <w:pStyle w:val="Tabletitle"/>
        <w:numPr>
          <w:ilvl w:val="0"/>
          <w:numId w:val="21"/>
        </w:numPr>
        <w:spacing w:after="120" w:line="240" w:lineRule="auto"/>
        <w:ind w:left="1134" w:hanging="1134"/>
      </w:pPr>
      <w:bookmarkStart w:id="70" w:name="_Toc462652643"/>
      <w:r>
        <w:lastRenderedPageBreak/>
        <w:t>≥ 15 letter BCVA from Baseline (left) and mean change in BCVA (letters) from Baseline (right)</w:t>
      </w:r>
      <w:bookmarkEnd w:id="70"/>
      <w:r>
        <w:t xml:space="preserve"> </w:t>
      </w:r>
    </w:p>
    <w:p w:rsidR="00774227" w:rsidRDefault="00774227" w:rsidP="00774227">
      <w:r>
        <w:rPr>
          <w:noProof/>
          <w:lang w:eastAsia="en-AU"/>
        </w:rPr>
        <w:drawing>
          <wp:inline distT="0" distB="0" distL="0" distR="0" wp14:anchorId="6545E2B9" wp14:editId="4517C64C">
            <wp:extent cx="5730240" cy="1840865"/>
            <wp:effectExtent l="0" t="0" r="3810" b="6985"/>
            <wp:docPr id="35" name="Picture 35" descr="≥ 15 letter BCVA from Baseline (left) and mean change in BCVA (letters) from Baselin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1840865"/>
                    </a:xfrm>
                    <a:prstGeom prst="rect">
                      <a:avLst/>
                    </a:prstGeom>
                    <a:noFill/>
                    <a:ln>
                      <a:noFill/>
                    </a:ln>
                  </pic:spPr>
                </pic:pic>
              </a:graphicData>
            </a:graphic>
          </wp:inline>
        </w:drawing>
      </w:r>
    </w:p>
    <w:p w:rsidR="00774227" w:rsidRDefault="00774227" w:rsidP="00774227">
      <w:r>
        <w:t>Mean change in retinal thickness from Baseline between DEX 700 and Sham progressively shrank up to OL Day 180. At this time point, comparison was -260.6 versus -215.4 (p = 0.345)</w:t>
      </w:r>
    </w:p>
    <w:p w:rsidR="00774227" w:rsidRDefault="00774227" w:rsidP="00A45E9B">
      <w:pPr>
        <w:pStyle w:val="Heading5"/>
      </w:pPr>
      <w:r>
        <w:t>Evaluator’s commentary</w:t>
      </w:r>
    </w:p>
    <w:p w:rsidR="00774227" w:rsidRDefault="00774227" w:rsidP="00774227">
      <w:pPr>
        <w:rPr>
          <w:lang w:eastAsia="ja-JP"/>
        </w:rPr>
      </w:pPr>
      <w:r>
        <w:rPr>
          <w:lang w:eastAsia="ja-JP"/>
        </w:rPr>
        <w:t xml:space="preserve">The primary efficacy analysis demonstrated a non-significant difference (6.5%; p = 0.087) between proportions in the DEX 700 and Sham treatment groups with an improvement of ≥ 15 letters BCVA from Baseline at the primary time point of IT Day 180. </w:t>
      </w:r>
    </w:p>
    <w:p w:rsidR="00774227" w:rsidRDefault="00774227" w:rsidP="00774227">
      <w:pPr>
        <w:rPr>
          <w:lang w:eastAsia="ja-JP"/>
        </w:rPr>
      </w:pPr>
      <w:r>
        <w:rPr>
          <w:lang w:eastAsia="ja-JP"/>
        </w:rPr>
        <w:t xml:space="preserve">On analysis of the secondary endpoints, DEX 700 treatment was associated with an early benefit when between-group comparisons between DEX 700 and Sham demonstrated a difference of 15.0% at IT Day 30 and 17.6% difference at IT Day 60 (both p &lt; 0.001). The between-group DEX 700 versus Sham differences in the individual diagnostic subgroups were both insignificant at IT Day 90 (BRVO: 7.1%; p = 0.118; CRVO: 8.0%; p = 0.166). Overall the CRVO subgroup had a better treatment response with a significant difference at IT Day 180 compared with no clinical benefit in the BRVO subgroup (CRVO: 13.3%; p = 0.031; BRVO: 3.0%; p = 0.522). When a post hoc analysis of patients with macula oedema of &lt; 90 days history were excluded to theoretically eliminate the effect of spontaneous improvement in patients, a significant difference in response rates between DEX 700 and Sham was seen at every study visit and at IT Day 180 the difference was 10.2% </w:t>
      </w:r>
      <w:r>
        <w:t>(p = 0.013)</w:t>
      </w:r>
      <w:r w:rsidRPr="00491960">
        <w:t>.</w:t>
      </w:r>
      <w:r>
        <w:t xml:space="preserve"> Applying a lower criterion to qualify as a responder, at a BCVA improvement of ≥ 10 letters, the DEX 700 versus Sham difference at IT Day 180 was </w:t>
      </w:r>
      <w:r>
        <w:rPr>
          <w:lang w:eastAsia="ja-JP"/>
        </w:rPr>
        <w:t>9.7% (p = 0.044). Categorical change from Baseline BCVA demonstrated a significant difference in distribution between DEX 700 versus Sham at IT Day 180 but the importance of this is unclear – a small difference between groups (-5.5%) was seen in the number of patients with ≥ 15 letter deterioration in BCVA compared with Baseline (p = 0.016), although the implant was still associated with 8.0% having a ≥ 5 and &lt; 15 letter deterioration and 6.6% having a ≥ 15-letter deterioration at IT Day 180. Difference in mean change in BCVA from Baseline peaked at IT Day 60 at 6.9 letters (p &lt; 0.001) falling to 3.0 letters (p = 0.016) at Day 180. Whilst significant, the clinical meaningfulness of a 3.0 letter gain is questionable. In keeping with the results for the primary efficacy variable, retinal thickness and mean change was significantly different at IT Day 90 but numerically and significantly, differences were non-existent at Day 180.</w:t>
      </w:r>
    </w:p>
    <w:p w:rsidR="00774227" w:rsidRDefault="00774227" w:rsidP="00774227">
      <w:pPr>
        <w:rPr>
          <w:lang w:eastAsia="ja-JP"/>
        </w:rPr>
      </w:pPr>
      <w:r>
        <w:rPr>
          <w:lang w:eastAsia="ja-JP"/>
        </w:rPr>
        <w:t xml:space="preserve">Following re-treatment, response rates (≥ 15 letter </w:t>
      </w:r>
      <w:proofErr w:type="gramStart"/>
      <w:r>
        <w:rPr>
          <w:lang w:eastAsia="ja-JP"/>
        </w:rPr>
        <w:t>improvement</w:t>
      </w:r>
      <w:proofErr w:type="gramEnd"/>
      <w:r>
        <w:rPr>
          <w:lang w:eastAsia="ja-JP"/>
        </w:rPr>
        <w:t xml:space="preserve"> in BCVA from 1</w:t>
      </w:r>
      <w:r w:rsidRPr="008872F8">
        <w:rPr>
          <w:vertAlign w:val="superscript"/>
          <w:lang w:eastAsia="ja-JP"/>
        </w:rPr>
        <w:t>st</w:t>
      </w:r>
      <w:r>
        <w:rPr>
          <w:lang w:eastAsia="ja-JP"/>
        </w:rPr>
        <w:t xml:space="preserve"> Baseline) increased for all treatment groups but with no significant differences between DEX700700 and ShamDEX 700 with a numerically better response rate in the ShamDEX 700 group than the DEX 700700 group at the end of the OL extension. Compared to the 2</w:t>
      </w:r>
      <w:r w:rsidRPr="003C2502">
        <w:rPr>
          <w:vertAlign w:val="superscript"/>
          <w:lang w:eastAsia="ja-JP"/>
        </w:rPr>
        <w:t>nd</w:t>
      </w:r>
      <w:r>
        <w:rPr>
          <w:lang w:eastAsia="ja-JP"/>
        </w:rPr>
        <w:t xml:space="preserve"> Baseline (IT Day 180), the change in proportion of responders at OL Day 180 was 4.4% with the DEX 700700 treated group and 11.9% with ShamDEX, and the change from 2</w:t>
      </w:r>
      <w:r w:rsidRPr="003C2502">
        <w:rPr>
          <w:vertAlign w:val="superscript"/>
          <w:lang w:eastAsia="ja-JP"/>
        </w:rPr>
        <w:t>nd</w:t>
      </w:r>
      <w:r>
        <w:rPr>
          <w:lang w:eastAsia="ja-JP"/>
        </w:rPr>
        <w:t xml:space="preserve"> </w:t>
      </w:r>
      <w:r>
        <w:rPr>
          <w:lang w:eastAsia="ja-JP"/>
        </w:rPr>
        <w:lastRenderedPageBreak/>
        <w:t xml:space="preserve">Baseline to peak response rates was 16.2% in the DEX 700700 group and 16.7% in the ShamDEX 700 group. Overall, there was no evidence of accumulative efficacy in the DEX 700700 group compared with the ShamDEX 700 treated group when injections were performed after 6 months. </w:t>
      </w:r>
    </w:p>
    <w:p w:rsidR="00774227" w:rsidRDefault="00774227" w:rsidP="004C3275">
      <w:pPr>
        <w:pStyle w:val="Heading4"/>
        <w:numPr>
          <w:ilvl w:val="2"/>
          <w:numId w:val="5"/>
        </w:numPr>
      </w:pPr>
      <w:r w:rsidRPr="001F7E39">
        <w:t>Study 206207-008</w:t>
      </w:r>
    </w:p>
    <w:p w:rsidR="00774227" w:rsidRPr="009B6FA3" w:rsidRDefault="00774227" w:rsidP="001A6420">
      <w:r w:rsidRPr="009B6FA3">
        <w:t>Evaluator’s comment: Studies 206207-008 and 009 were run with the same protocol and methodology with Study 009 completing first in September 2008 and Study 008 completing in October 2008. Due to these similarities, where the study design and methodology is identical please refer to the relevant sections for Study 009 above. Despite the identical nature of protocols and methodology, following completion of Study 009 and approximately one month before completion and Database lock of Study 008 major amendments to the statistical analysis plans including changes to the primary efficacy endpoint and time points of Study 008 were made. According to the CSR, these changes were made in consultation with the following regulatory agencies:</w:t>
      </w:r>
      <w:r w:rsidRPr="009B6FA3">
        <w:br/>
        <w:t>FDA: The ‘proportion of patients with a ≥ 15 letter improvement in BCVA from Baseline at IT visit Day 180 in the ITT population’ was amended to the ‘time to achieve a treatment response of ≥ 15 letter improvement in BCVA from Baseline.’</w:t>
      </w:r>
      <w:r w:rsidRPr="009B6FA3">
        <w:br/>
        <w:t>EMEA: the ‘proportion of patients with a ≥ 15 letter improvement in BCVA from Baseline at IT visit Day 180 in the ITT population’ was amended so that the new primary time point was at IT visit Day 90 opposed to Day 180.</w:t>
      </w:r>
      <w:r w:rsidRPr="009B6FA3">
        <w:br/>
        <w:t>For the purposes of this efficacy evaluation, the primary efficacy endpoint has remained at the proportion of patients with a BCVA improvement of ≥ 15 letters from Baseline in the ITT population IT Day 180.</w:t>
      </w:r>
    </w:p>
    <w:p w:rsidR="00774227" w:rsidRPr="001F7E39" w:rsidRDefault="00774227" w:rsidP="00A45E9B">
      <w:pPr>
        <w:pStyle w:val="Heading5"/>
      </w:pPr>
      <w:r w:rsidRPr="00B602FC">
        <w:t>Study</w:t>
      </w:r>
      <w:r w:rsidRPr="001F7E39">
        <w:t xml:space="preserve"> design, objectives, locations and dates</w:t>
      </w:r>
    </w:p>
    <w:p w:rsidR="00774227" w:rsidRDefault="00774227" w:rsidP="00774227">
      <w:pPr>
        <w:pStyle w:val="Heading6"/>
      </w:pPr>
      <w:r w:rsidRPr="00243B36">
        <w:t>Primary</w:t>
      </w:r>
      <w:r w:rsidRPr="001F7E39">
        <w:t xml:space="preserve"> </w:t>
      </w:r>
      <w:r w:rsidRPr="00BC0C9C">
        <w:t>objectives</w:t>
      </w:r>
    </w:p>
    <w:p w:rsidR="00774227" w:rsidRPr="00BC0C9C" w:rsidRDefault="00774227" w:rsidP="00774227">
      <w:r>
        <w:t>As for Study 206207-009</w:t>
      </w:r>
    </w:p>
    <w:p w:rsidR="00774227" w:rsidRPr="00BC0C9C" w:rsidRDefault="00774227" w:rsidP="00774227">
      <w:pPr>
        <w:pStyle w:val="Heading6"/>
        <w:rPr>
          <w:lang w:eastAsia="ja-JP"/>
        </w:rPr>
      </w:pPr>
      <w:r w:rsidRPr="00243B36">
        <w:t>Locations</w:t>
      </w:r>
    </w:p>
    <w:p w:rsidR="00774227" w:rsidRPr="001F7E39" w:rsidRDefault="00774227" w:rsidP="00774227">
      <w:pPr>
        <w:rPr>
          <w:lang w:eastAsia="ja-JP"/>
        </w:rPr>
      </w:pPr>
      <w:r w:rsidRPr="001F7E39">
        <w:rPr>
          <w:lang w:eastAsia="ja-JP"/>
        </w:rPr>
        <w:t>85 study centres randomised at least one patient across 13 countries. These included Australia, USA, France, Germany, South Africa and Canada.</w:t>
      </w:r>
    </w:p>
    <w:p w:rsidR="00774227" w:rsidRPr="009B6FA3" w:rsidRDefault="00774227" w:rsidP="00774227">
      <w:pPr>
        <w:pStyle w:val="Heading6"/>
        <w:rPr>
          <w:lang w:eastAsia="ja-JP"/>
        </w:rPr>
      </w:pPr>
      <w:r w:rsidRPr="009B6FA3">
        <w:rPr>
          <w:lang w:eastAsia="ja-JP"/>
        </w:rPr>
        <w:t>Dates</w:t>
      </w:r>
    </w:p>
    <w:p w:rsidR="00774227" w:rsidRPr="002873D6" w:rsidRDefault="00774227" w:rsidP="002873D6">
      <w:r w:rsidRPr="002873D6">
        <w:t>Study initiation date (first patient enrolled): 22 October 2004</w:t>
      </w:r>
    </w:p>
    <w:p w:rsidR="00774227" w:rsidRPr="002873D6" w:rsidRDefault="00774227" w:rsidP="002873D6">
      <w:r w:rsidRPr="002873D6">
        <w:t>Study completion date (last patient completed OL extension visit Day 180): 09 October 2008.</w:t>
      </w:r>
    </w:p>
    <w:p w:rsidR="00774227" w:rsidRDefault="00774227" w:rsidP="00A45E9B">
      <w:pPr>
        <w:pStyle w:val="Heading5"/>
      </w:pPr>
      <w:r w:rsidRPr="001F7E39">
        <w:t>Inclusion and exclusion criteria</w:t>
      </w:r>
    </w:p>
    <w:p w:rsidR="00774227" w:rsidRPr="00BC0C9C" w:rsidRDefault="00774227" w:rsidP="00774227">
      <w:r>
        <w:t>As for Study 206207-008</w:t>
      </w:r>
    </w:p>
    <w:p w:rsidR="00774227" w:rsidRPr="005D7198" w:rsidRDefault="00774227" w:rsidP="00A45E9B">
      <w:pPr>
        <w:pStyle w:val="Heading5"/>
      </w:pPr>
      <w:r w:rsidRPr="005D7198">
        <w:t>Study treatments</w:t>
      </w:r>
    </w:p>
    <w:p w:rsidR="00774227" w:rsidRPr="00BC0C9C" w:rsidRDefault="00774227" w:rsidP="00774227">
      <w:r w:rsidRPr="00BC0C9C">
        <w:t>As for Study 206207-008</w:t>
      </w:r>
    </w:p>
    <w:p w:rsidR="00774227" w:rsidRPr="001F7E39" w:rsidRDefault="00774227" w:rsidP="00A45E9B">
      <w:pPr>
        <w:pStyle w:val="Heading5"/>
      </w:pPr>
      <w:r w:rsidRPr="001F7E39">
        <w:t>Efficacy variable and outcomes</w:t>
      </w:r>
    </w:p>
    <w:p w:rsidR="00774227" w:rsidRPr="001F7E39" w:rsidRDefault="00774227" w:rsidP="00774227">
      <w:r w:rsidRPr="001F7E39">
        <w:t>The efficacy variables and outcomes measured were the same for both the initial 6-month trial and the 6-month open-label extension.</w:t>
      </w:r>
    </w:p>
    <w:p w:rsidR="00774227" w:rsidRPr="001F7E39" w:rsidRDefault="00774227" w:rsidP="00774227">
      <w:pPr>
        <w:pStyle w:val="Heading6"/>
      </w:pPr>
      <w:r w:rsidRPr="001F7E39">
        <w:t>Primary efficacy variable and outcomes</w:t>
      </w:r>
    </w:p>
    <w:p w:rsidR="00774227" w:rsidRDefault="00774227" w:rsidP="001A6420">
      <w:r>
        <w:t>Please note evaluator’s comments at the introduction of this study evaluation.</w:t>
      </w:r>
    </w:p>
    <w:p w:rsidR="00774227" w:rsidRDefault="00774227" w:rsidP="00774227">
      <w:pPr>
        <w:pStyle w:val="Heading6"/>
        <w:rPr>
          <w:lang w:eastAsia="en-AU"/>
        </w:rPr>
      </w:pPr>
      <w:r>
        <w:rPr>
          <w:lang w:eastAsia="en-AU"/>
        </w:rPr>
        <w:t>Other outcomes for the primary efficacy variable</w:t>
      </w:r>
    </w:p>
    <w:p w:rsidR="00774227" w:rsidRDefault="00774227" w:rsidP="00774227">
      <w:pPr>
        <w:rPr>
          <w:lang w:eastAsia="en-AU"/>
        </w:rPr>
      </w:pPr>
      <w:r w:rsidRPr="00415AE6">
        <w:rPr>
          <w:lang w:eastAsia="en-AU"/>
        </w:rPr>
        <w:t>Additional efficacy analyses for the primary efficacy variable included:</w:t>
      </w:r>
    </w:p>
    <w:p w:rsidR="00774227" w:rsidRPr="009B6FA3" w:rsidRDefault="00774227" w:rsidP="009B6FA3">
      <w:pPr>
        <w:pStyle w:val="ListBullet"/>
      </w:pPr>
      <w:r w:rsidRPr="009B6FA3">
        <w:lastRenderedPageBreak/>
        <w:t>Time to a treatment response of ≥ 15 letters improvement from Baseline BCVA</w:t>
      </w:r>
    </w:p>
    <w:p w:rsidR="00774227" w:rsidRPr="009B6FA3" w:rsidRDefault="00774227" w:rsidP="009B6FA3">
      <w:pPr>
        <w:pStyle w:val="ListBullet"/>
      </w:pPr>
      <w:r w:rsidRPr="009B6FA3">
        <w:t>Proportion of patients from the ITT population with a ≥ 15 letter improvement from Baseline BCVA of IT Day 180 according to diagnostic subgroups (BRVO or CVRO)</w:t>
      </w:r>
    </w:p>
    <w:p w:rsidR="00774227" w:rsidRPr="009B6FA3" w:rsidRDefault="00774227" w:rsidP="009B6FA3">
      <w:pPr>
        <w:pStyle w:val="ListBullet"/>
      </w:pPr>
      <w:r w:rsidRPr="009B6FA3">
        <w:t>Proportion of patients from the ITT population with a ≥ 15 letter improvement from Baseline BCVA of IT Day 180 with macular oedema ≥ 3 months (ad hoc analysis)</w:t>
      </w:r>
    </w:p>
    <w:p w:rsidR="00774227" w:rsidRPr="009B6FA3" w:rsidRDefault="00774227" w:rsidP="009B6FA3">
      <w:pPr>
        <w:pStyle w:val="ListBullet"/>
      </w:pPr>
      <w:r w:rsidRPr="009B6FA3">
        <w:t>Categorical change from Baseline BCVA</w:t>
      </w:r>
    </w:p>
    <w:p w:rsidR="00774227" w:rsidRPr="009B6FA3" w:rsidRDefault="00774227" w:rsidP="009B6FA3">
      <w:pPr>
        <w:pStyle w:val="ListBullet"/>
      </w:pPr>
      <w:r w:rsidRPr="009B6FA3">
        <w:t>Raw BCVA scores</w:t>
      </w:r>
    </w:p>
    <w:p w:rsidR="00774227" w:rsidRPr="009B6FA3" w:rsidRDefault="00774227" w:rsidP="009B6FA3">
      <w:pPr>
        <w:pStyle w:val="ListBullet"/>
      </w:pPr>
      <w:r w:rsidRPr="009B6FA3">
        <w:t>Mean change in letters correctly read from Baseline BCVA</w:t>
      </w:r>
    </w:p>
    <w:p w:rsidR="00774227" w:rsidRPr="009B6FA3" w:rsidRDefault="00774227" w:rsidP="009B6FA3">
      <w:pPr>
        <w:pStyle w:val="ListBullet"/>
      </w:pPr>
      <w:r w:rsidRPr="009B6FA3">
        <w:t>Other exploratory analyses for the primary efficacy variable in BRVO and CRVO subpopulations</w:t>
      </w:r>
    </w:p>
    <w:p w:rsidR="00774227" w:rsidRDefault="00774227" w:rsidP="00774227">
      <w:pPr>
        <w:pStyle w:val="Heading6"/>
      </w:pPr>
      <w:r w:rsidRPr="001F7E39">
        <w:t xml:space="preserve">Secondary efficacy </w:t>
      </w:r>
      <w:r>
        <w:t>variables</w:t>
      </w:r>
    </w:p>
    <w:p w:rsidR="00774227" w:rsidRDefault="00774227" w:rsidP="00774227">
      <w:r>
        <w:t>The secondary efficacy variables were:</w:t>
      </w:r>
    </w:p>
    <w:p w:rsidR="00774227" w:rsidRPr="00A97947" w:rsidRDefault="00774227" w:rsidP="004C3275">
      <w:pPr>
        <w:pStyle w:val="ListBullet"/>
        <w:numPr>
          <w:ilvl w:val="0"/>
          <w:numId w:val="1"/>
        </w:numPr>
      </w:pPr>
      <w:r w:rsidRPr="00A97947">
        <w:t>Contrast sensitivity using the Pelli-Robson chart</w:t>
      </w:r>
    </w:p>
    <w:p w:rsidR="00774227" w:rsidRPr="00A97947" w:rsidRDefault="00774227" w:rsidP="004C3275">
      <w:pPr>
        <w:pStyle w:val="ListBullet"/>
        <w:numPr>
          <w:ilvl w:val="0"/>
          <w:numId w:val="1"/>
        </w:numPr>
      </w:pPr>
      <w:r>
        <w:t>Optical coherence tomography (</w:t>
      </w:r>
      <w:r w:rsidRPr="00A97947">
        <w:t>OCT</w:t>
      </w:r>
      <w:r>
        <w:t>)</w:t>
      </w:r>
      <w:r w:rsidRPr="00A97947">
        <w:t xml:space="preserve"> capturing the mean retinal thickness in the 1 mm central subfield</w:t>
      </w:r>
    </w:p>
    <w:p w:rsidR="00774227" w:rsidRPr="00A97947" w:rsidRDefault="00774227" w:rsidP="004C3275">
      <w:pPr>
        <w:pStyle w:val="ListBullet"/>
        <w:numPr>
          <w:ilvl w:val="0"/>
          <w:numId w:val="1"/>
        </w:numPr>
      </w:pPr>
      <w:r w:rsidRPr="00A97947">
        <w:t>Fundus photography</w:t>
      </w:r>
    </w:p>
    <w:p w:rsidR="00774227" w:rsidRDefault="00774227" w:rsidP="004C3275">
      <w:pPr>
        <w:pStyle w:val="ListBullet"/>
        <w:numPr>
          <w:ilvl w:val="0"/>
          <w:numId w:val="1"/>
        </w:numPr>
      </w:pPr>
      <w:r w:rsidRPr="00A97947">
        <w:t>Fluorescein angiography.</w:t>
      </w:r>
    </w:p>
    <w:p w:rsidR="00774227" w:rsidRDefault="00774227" w:rsidP="00774227">
      <w:pPr>
        <w:pStyle w:val="Heading6"/>
      </w:pPr>
      <w:r>
        <w:t>Secondary efficacy outcomes</w:t>
      </w:r>
    </w:p>
    <w:p w:rsidR="00774227" w:rsidRDefault="00774227" w:rsidP="00774227">
      <w:r>
        <w:t>Secondary efficacy outcomes included:</w:t>
      </w:r>
    </w:p>
    <w:p w:rsidR="00774227" w:rsidRDefault="00774227" w:rsidP="004C3275">
      <w:pPr>
        <w:pStyle w:val="ListBullet"/>
        <w:numPr>
          <w:ilvl w:val="0"/>
          <w:numId w:val="1"/>
        </w:numPr>
      </w:pPr>
      <w:r>
        <w:t>Change from Baseline in numbers of letters read (contrast sensitivity)</w:t>
      </w:r>
    </w:p>
    <w:p w:rsidR="00774227" w:rsidRDefault="00774227" w:rsidP="004C3275">
      <w:pPr>
        <w:pStyle w:val="ListBullet"/>
        <w:numPr>
          <w:ilvl w:val="0"/>
          <w:numId w:val="1"/>
        </w:numPr>
      </w:pPr>
      <w:r>
        <w:t>Change from Baseline in central retinal thickness and retinal volume assessed by OCT</w:t>
      </w:r>
    </w:p>
    <w:p w:rsidR="00774227" w:rsidRDefault="00774227" w:rsidP="004C3275">
      <w:pPr>
        <w:pStyle w:val="ListBullet"/>
        <w:numPr>
          <w:ilvl w:val="0"/>
          <w:numId w:val="1"/>
        </w:numPr>
      </w:pPr>
      <w:r>
        <w:t>Change from Baseline in central retinal thickening assessed by fundus photography</w:t>
      </w:r>
    </w:p>
    <w:p w:rsidR="00774227" w:rsidRPr="00BC6D3B" w:rsidRDefault="00774227" w:rsidP="00774227">
      <w:r w:rsidRPr="00BC6D3B">
        <w:t>In addition, the primary efficacy outcome and other analyses of the primary efficacy variable were performed for the PP population.</w:t>
      </w:r>
    </w:p>
    <w:p w:rsidR="00774227" w:rsidRDefault="00774227" w:rsidP="004C3275">
      <w:pPr>
        <w:keepNext/>
        <w:keepLines/>
        <w:numPr>
          <w:ilvl w:val="3"/>
          <w:numId w:val="5"/>
        </w:numPr>
        <w:tabs>
          <w:tab w:val="num" w:pos="3885"/>
        </w:tabs>
        <w:spacing w:line="220" w:lineRule="atLeast"/>
        <w:ind w:left="1304" w:hanging="1077"/>
        <w:outlineLvl w:val="4"/>
        <w:rPr>
          <w:rFonts w:eastAsia="Times New Roman"/>
          <w:b/>
          <w:bCs/>
          <w:i/>
          <w:szCs w:val="21"/>
        </w:rPr>
      </w:pPr>
      <w:r w:rsidRPr="001F7E39">
        <w:rPr>
          <w:rFonts w:eastAsia="Times New Roman"/>
          <w:b/>
          <w:bCs/>
          <w:i/>
          <w:szCs w:val="21"/>
        </w:rPr>
        <w:t>Randomisation and blinding methods</w:t>
      </w:r>
    </w:p>
    <w:p w:rsidR="00774227" w:rsidRPr="00411DFC" w:rsidRDefault="00774227" w:rsidP="00774227">
      <w:r>
        <w:t>These were as for Study 009 above.</w:t>
      </w:r>
    </w:p>
    <w:p w:rsidR="00774227" w:rsidRDefault="00774227" w:rsidP="004C3275">
      <w:pPr>
        <w:keepNext/>
        <w:keepLines/>
        <w:numPr>
          <w:ilvl w:val="3"/>
          <w:numId w:val="5"/>
        </w:numPr>
        <w:tabs>
          <w:tab w:val="num" w:pos="3885"/>
        </w:tabs>
        <w:spacing w:line="220" w:lineRule="atLeast"/>
        <w:ind w:left="1304" w:hanging="1077"/>
        <w:outlineLvl w:val="4"/>
        <w:rPr>
          <w:rFonts w:eastAsia="Times New Roman"/>
          <w:b/>
          <w:bCs/>
          <w:i/>
          <w:szCs w:val="21"/>
        </w:rPr>
      </w:pPr>
      <w:r w:rsidRPr="001F7E39">
        <w:rPr>
          <w:rFonts w:eastAsia="Times New Roman"/>
          <w:b/>
          <w:bCs/>
          <w:i/>
          <w:szCs w:val="21"/>
        </w:rPr>
        <w:t>Analysis populations</w:t>
      </w:r>
    </w:p>
    <w:p w:rsidR="00774227" w:rsidRPr="00411DFC" w:rsidDel="0081373E" w:rsidRDefault="00774227" w:rsidP="00774227">
      <w:r w:rsidRPr="00411DFC">
        <w:t>These were as for Study 009 above.</w:t>
      </w:r>
    </w:p>
    <w:p w:rsidR="00774227" w:rsidRDefault="00774227" w:rsidP="004C3275">
      <w:pPr>
        <w:keepNext/>
        <w:keepLines/>
        <w:numPr>
          <w:ilvl w:val="3"/>
          <w:numId w:val="5"/>
        </w:numPr>
        <w:tabs>
          <w:tab w:val="num" w:pos="3885"/>
        </w:tabs>
        <w:spacing w:line="220" w:lineRule="atLeast"/>
        <w:ind w:left="1304" w:hanging="1077"/>
        <w:outlineLvl w:val="4"/>
        <w:rPr>
          <w:rFonts w:eastAsia="Times New Roman"/>
          <w:b/>
          <w:bCs/>
          <w:i/>
          <w:szCs w:val="21"/>
        </w:rPr>
      </w:pPr>
      <w:r w:rsidRPr="001F7E39" w:rsidDel="0081373E">
        <w:rPr>
          <w:rFonts w:eastAsia="Times New Roman"/>
          <w:b/>
          <w:bCs/>
          <w:i/>
          <w:szCs w:val="21"/>
        </w:rPr>
        <w:t>S</w:t>
      </w:r>
      <w:r w:rsidRPr="001F7E39">
        <w:rPr>
          <w:rFonts w:eastAsia="Times New Roman"/>
          <w:b/>
          <w:bCs/>
          <w:i/>
          <w:szCs w:val="21"/>
        </w:rPr>
        <w:t>ample size</w:t>
      </w:r>
    </w:p>
    <w:p w:rsidR="00774227" w:rsidRPr="00A80A1A" w:rsidRDefault="00774227" w:rsidP="00774227">
      <w:r>
        <w:t>This was calculated as for Study 009 above.</w:t>
      </w:r>
    </w:p>
    <w:p w:rsidR="00774227" w:rsidRPr="001F7E39" w:rsidRDefault="00774227" w:rsidP="004C3275">
      <w:pPr>
        <w:keepNext/>
        <w:keepLines/>
        <w:numPr>
          <w:ilvl w:val="3"/>
          <w:numId w:val="5"/>
        </w:numPr>
        <w:tabs>
          <w:tab w:val="num" w:pos="3885"/>
        </w:tabs>
        <w:spacing w:line="220" w:lineRule="atLeast"/>
        <w:ind w:left="1304" w:hanging="1077"/>
        <w:outlineLvl w:val="4"/>
        <w:rPr>
          <w:rFonts w:eastAsia="Times New Roman"/>
          <w:b/>
          <w:bCs/>
          <w:i/>
          <w:szCs w:val="21"/>
        </w:rPr>
      </w:pPr>
      <w:r w:rsidRPr="001F7E39">
        <w:rPr>
          <w:rFonts w:eastAsia="Times New Roman"/>
          <w:b/>
          <w:bCs/>
          <w:i/>
          <w:szCs w:val="21"/>
        </w:rPr>
        <w:t>Statistical methods</w:t>
      </w:r>
    </w:p>
    <w:p w:rsidR="00774227" w:rsidRPr="001F7E39" w:rsidRDefault="00774227" w:rsidP="00774227">
      <w:pPr>
        <w:pStyle w:val="Heading6"/>
      </w:pPr>
      <w:r>
        <w:rPr>
          <w:lang w:eastAsia="ja-JP"/>
        </w:rPr>
        <w:t>P</w:t>
      </w:r>
      <w:r w:rsidRPr="001F7E39">
        <w:rPr>
          <w:lang w:eastAsia="ja-JP"/>
        </w:rPr>
        <w:t xml:space="preserve">rimary efficacy </w:t>
      </w:r>
      <w:r w:rsidRPr="001F7E39">
        <w:t>analyses</w:t>
      </w:r>
    </w:p>
    <w:p w:rsidR="00774227" w:rsidRDefault="00774227" w:rsidP="00774227">
      <w:r w:rsidRPr="003F2928">
        <w:t>The primary</w:t>
      </w:r>
      <w:r>
        <w:t xml:space="preserve"> </w:t>
      </w:r>
      <w:r w:rsidRPr="003F2928">
        <w:t xml:space="preserve">efficacy analysis was the comparison between DEX 700 </w:t>
      </w:r>
      <w:r>
        <w:t xml:space="preserve">and Sham in the ITT population. </w:t>
      </w:r>
      <w:r w:rsidRPr="003F2928">
        <w:t>A Kaplan-Meier survival analysis using a 2-sided log-rank test at the 0.05 signif</w:t>
      </w:r>
      <w:r>
        <w:t xml:space="preserve">icance level was </w:t>
      </w:r>
      <w:r w:rsidRPr="003F2928">
        <w:t>performed. The cumulative response rates were calculated us</w:t>
      </w:r>
      <w:r>
        <w:t xml:space="preserve">ing the Kaplan-Meier method for </w:t>
      </w:r>
      <w:r w:rsidRPr="003F2928">
        <w:t>each treatment group.</w:t>
      </w:r>
      <w:r>
        <w:t xml:space="preserve"> For the EMA submission a Pearson’s chi-square test at the 0.05 significance level was performed, and a 2-sided 95% CI for the treatment difference in the proportion of patients with a BCVA improvement of 15 or more letters from Baseline was constructed using the normal approximation for a binary variable.</w:t>
      </w:r>
    </w:p>
    <w:p w:rsidR="00774227" w:rsidRDefault="00774227" w:rsidP="00774227">
      <w:pPr>
        <w:pStyle w:val="Heading6"/>
      </w:pPr>
      <w:r>
        <w:lastRenderedPageBreak/>
        <w:t>Other analyses for the primary efficacy variable</w:t>
      </w:r>
    </w:p>
    <w:p w:rsidR="00774227" w:rsidRDefault="00774227" w:rsidP="00774227">
      <w:r>
        <w:t>Secondary analyses include comparisons of DEX 700 versus Sham or DEX 350 versus Sham for specific variables. A gate-keeping procedure with a pre-specified sequence for controlling the overall experiment-wise type I error at 5% level was used with between-group comparisons performed and the statistical significance was assessed sequentially. A serial gate-keeping procedure was applied for statistical inferences. In the event that a non-significant result (p-value &gt; 0.05) was obtained from any of the above comparisons, none of the subsequent tests were considered as significant at the 0.05 significance level. For the EMA submission all secondary efficacy analyses were done with a nominal significance level of 0.05 and no gate-keeping procedure was applied.</w:t>
      </w:r>
    </w:p>
    <w:p w:rsidR="00774227" w:rsidRDefault="00774227" w:rsidP="00774227">
      <w:r>
        <w:t>Unless otherwise stated, all other efficacy analyses were performed using the ITT population based on the 2-sided hypothesis test with an unadjusted significance level of 0.05. Analyses for BCVA and retinal thickness in the ITT population used the last observation carried forward (LOCF) method for missing data. The PP analyses of BCVA and retinal thickness and the ITT analyses of other efficacy variables were done on observed data without missing data imputation.</w:t>
      </w:r>
    </w:p>
    <w:p w:rsidR="00774227" w:rsidRPr="003F2928" w:rsidRDefault="00774227" w:rsidP="00774227">
      <w:r w:rsidRPr="00386CAD">
        <w:t>For BCVA improvement from Baseline, analyses used the Pearson’s chi-square test for between group comparisons. BCVA scores at each scheduled visit and change from Baseline was analysed using a 1-way ANOVA model with treatment as the fixed effect. Between-group comparisons were performed in a pairwise fashion using contrasts from the ANOVA model.</w:t>
      </w:r>
    </w:p>
    <w:p w:rsidR="00774227" w:rsidRPr="001F7E39" w:rsidRDefault="00774227" w:rsidP="00774227">
      <w:pPr>
        <w:pStyle w:val="Heading6"/>
      </w:pPr>
      <w:r w:rsidRPr="001F7E39">
        <w:t>Secondary efficacy analyses</w:t>
      </w:r>
    </w:p>
    <w:p w:rsidR="00774227" w:rsidRPr="001F7E39" w:rsidRDefault="00774227" w:rsidP="00774227">
      <w:r w:rsidRPr="00386CAD">
        <w:t xml:space="preserve">Contrast sensitivity </w:t>
      </w:r>
      <w:r>
        <w:t>and central retinal thickness (OCT) was</w:t>
      </w:r>
      <w:r w:rsidRPr="00386CAD">
        <w:t xml:space="preserve"> analysed using pairwise between-group comparisons performed using contrasts from the 1-way ANOVA model with treatment as the fixed</w:t>
      </w:r>
      <w:r>
        <w:t xml:space="preserve"> effect. Least square means and the corresponding 95% CIs for the between-group differences were calculated and reported. Central retinal thickening</w:t>
      </w:r>
      <w:r w:rsidRPr="00386CAD">
        <w:t xml:space="preserve"> was analysed with the Wilcoxon rank-sum test with Pearson’s chi-square test was used to compare the proportion of patients with at least 1-grade improvement from baseline between groups for each scheduled follow-up visit.</w:t>
      </w:r>
    </w:p>
    <w:p w:rsidR="00774227" w:rsidRPr="001F7E39" w:rsidRDefault="00774227" w:rsidP="00A30924">
      <w:pPr>
        <w:pStyle w:val="Heading5"/>
      </w:pPr>
      <w:r w:rsidRPr="001F7E39">
        <w:t xml:space="preserve">Participant flow </w:t>
      </w:r>
    </w:p>
    <w:p w:rsidR="00774227" w:rsidRDefault="00774227" w:rsidP="00774227">
      <w:r w:rsidRPr="00BF0EC3">
        <w:t xml:space="preserve">Participant flow is summarised below. </w:t>
      </w:r>
      <w:r w:rsidRPr="001F7E39">
        <w:t xml:space="preserve">872 patients were </w:t>
      </w:r>
      <w:r>
        <w:t>screened with 32% (275/872) failing</w:t>
      </w:r>
      <w:r w:rsidRPr="001F7E39">
        <w:t xml:space="preserve"> to meet the entry criteria</w:t>
      </w:r>
      <w:r>
        <w:t xml:space="preserve">. A total of </w:t>
      </w:r>
      <w:r w:rsidRPr="001F7E39">
        <w:t>599 patie</w:t>
      </w:r>
      <w:r>
        <w:t xml:space="preserve">nts were randomised and enrolled (defining the </w:t>
      </w:r>
      <w:r w:rsidRPr="001F7E39">
        <w:t>ITT population</w:t>
      </w:r>
      <w:r>
        <w:t xml:space="preserve">). </w:t>
      </w:r>
      <w:r w:rsidRPr="001F7E39">
        <w:t>201</w:t>
      </w:r>
      <w:r>
        <w:t xml:space="preserve"> patients were randomised to the DEX 700 group, 196 to the DEX 350 group, and 202 to</w:t>
      </w:r>
      <w:r w:rsidRPr="001F7E39">
        <w:t xml:space="preserve"> the Sham group. 94.7% (567/599) of participants completed the 180 day IT period (similar across the three randomised groups).</w:t>
      </w:r>
      <w:r>
        <w:t xml:space="preserve"> </w:t>
      </w:r>
    </w:p>
    <w:p w:rsidR="00774227" w:rsidRDefault="0014235C" w:rsidP="00774227">
      <w:r>
        <w:t xml:space="preserve">Four </w:t>
      </w:r>
      <w:r w:rsidR="00774227">
        <w:t>patients (0.7%, 4/599) were randomised but did not receive treatment, 3 patients in the DEX 700 group and 1 patient in the Sham group. Reasons given were active uveitis, severe influenza, withdrawal of consent and not meeting inclusion criteria on day of treatment. 1 patient randomised to the DEX 700 group was treated with DEX 350, and 1 patient randomised to DEX 700 received Sham.</w:t>
      </w:r>
    </w:p>
    <w:p w:rsidR="00774227" w:rsidRDefault="00774227" w:rsidP="004E2C51">
      <w:pPr>
        <w:pStyle w:val="Tabletitle"/>
        <w:numPr>
          <w:ilvl w:val="0"/>
          <w:numId w:val="21"/>
        </w:numPr>
        <w:spacing w:after="120" w:line="240" w:lineRule="auto"/>
        <w:ind w:left="1134" w:hanging="1134"/>
      </w:pPr>
      <w:bookmarkStart w:id="71" w:name="_Toc462652644"/>
      <w:r w:rsidRPr="001F1421">
        <w:t>Summary of study populations (St</w:t>
      </w:r>
      <w:r>
        <w:t>udy 008</w:t>
      </w:r>
      <w:r w:rsidRPr="001F1421">
        <w:t>)</w:t>
      </w:r>
      <w:bookmarkEnd w:id="71"/>
    </w:p>
    <w:tbl>
      <w:tblPr>
        <w:tblStyle w:val="TableTGAblue"/>
        <w:tblW w:w="0" w:type="auto"/>
        <w:tblLook w:val="04A0" w:firstRow="1" w:lastRow="0" w:firstColumn="1" w:lastColumn="0" w:noHBand="0" w:noVBand="1"/>
        <w:tblDescription w:val="Summary of study populations (Study 008)"/>
      </w:tblPr>
      <w:tblGrid>
        <w:gridCol w:w="2447"/>
        <w:gridCol w:w="1383"/>
        <w:gridCol w:w="1741"/>
        <w:gridCol w:w="1606"/>
        <w:gridCol w:w="1543"/>
      </w:tblGrid>
      <w:tr w:rsidR="00774227" w:rsidTr="009B79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tcPr>
          <w:p w:rsidR="00774227" w:rsidRDefault="00774227" w:rsidP="009B7947">
            <w:r>
              <w:t>Study population</w:t>
            </w:r>
          </w:p>
        </w:tc>
        <w:tc>
          <w:tcPr>
            <w:tcW w:w="1417" w:type="dxa"/>
          </w:tcPr>
          <w:p w:rsidR="00774227" w:rsidRDefault="00774227" w:rsidP="009B7947">
            <w:pPr>
              <w:cnfStyle w:val="100000000000" w:firstRow="1" w:lastRow="0" w:firstColumn="0" w:lastColumn="0" w:oddVBand="0" w:evenVBand="0" w:oddHBand="0" w:evenHBand="0" w:firstRowFirstColumn="0" w:firstRowLastColumn="0" w:lastRowFirstColumn="0" w:lastRowLastColumn="0"/>
            </w:pPr>
            <w:r>
              <w:t>DEX 700</w:t>
            </w:r>
          </w:p>
        </w:tc>
        <w:tc>
          <w:tcPr>
            <w:tcW w:w="1843" w:type="dxa"/>
          </w:tcPr>
          <w:p w:rsidR="00774227" w:rsidRDefault="00774227" w:rsidP="009B7947">
            <w:pPr>
              <w:cnfStyle w:val="100000000000" w:firstRow="1" w:lastRow="0" w:firstColumn="0" w:lastColumn="0" w:oddVBand="0" w:evenVBand="0" w:oddHBand="0" w:evenHBand="0" w:firstRowFirstColumn="0" w:firstRowLastColumn="0" w:lastRowFirstColumn="0" w:lastRowLastColumn="0"/>
            </w:pPr>
            <w:r>
              <w:t>DEX 350</w:t>
            </w:r>
          </w:p>
        </w:tc>
        <w:tc>
          <w:tcPr>
            <w:tcW w:w="1701" w:type="dxa"/>
          </w:tcPr>
          <w:p w:rsidR="00774227" w:rsidRDefault="00774227" w:rsidP="009B7947">
            <w:pPr>
              <w:cnfStyle w:val="100000000000" w:firstRow="1" w:lastRow="0" w:firstColumn="0" w:lastColumn="0" w:oddVBand="0" w:evenVBand="0" w:oddHBand="0" w:evenHBand="0" w:firstRowFirstColumn="0" w:firstRowLastColumn="0" w:lastRowFirstColumn="0" w:lastRowLastColumn="0"/>
            </w:pPr>
            <w:r>
              <w:t>Sham</w:t>
            </w:r>
          </w:p>
        </w:tc>
        <w:tc>
          <w:tcPr>
            <w:tcW w:w="1621" w:type="dxa"/>
          </w:tcPr>
          <w:p w:rsidR="00774227" w:rsidRDefault="00774227" w:rsidP="009B7947">
            <w:pPr>
              <w:cnfStyle w:val="100000000000" w:firstRow="1" w:lastRow="0" w:firstColumn="0" w:lastColumn="0" w:oddVBand="0" w:evenVBand="0" w:oddHBand="0" w:evenHBand="0" w:firstRowFirstColumn="0" w:firstRowLastColumn="0" w:lastRowFirstColumn="0" w:lastRowLastColumn="0"/>
            </w:pPr>
            <w:r>
              <w:t>Total</w:t>
            </w:r>
          </w:p>
        </w:tc>
      </w:tr>
      <w:tr w:rsidR="00774227" w:rsidTr="009B7947">
        <w:tc>
          <w:tcPr>
            <w:cnfStyle w:val="001000000000" w:firstRow="0" w:lastRow="0" w:firstColumn="1" w:lastColumn="0" w:oddVBand="0" w:evenVBand="0" w:oddHBand="0" w:evenHBand="0" w:firstRowFirstColumn="0" w:firstRowLastColumn="0" w:lastRowFirstColumn="0" w:lastRowLastColumn="0"/>
            <w:tcW w:w="2660" w:type="dxa"/>
          </w:tcPr>
          <w:p w:rsidR="00774227" w:rsidRPr="000C0C41" w:rsidRDefault="00774227" w:rsidP="009B7947">
            <w:pPr>
              <w:rPr>
                <w:sz w:val="20"/>
              </w:rPr>
            </w:pPr>
            <w:r w:rsidRPr="000C0C41">
              <w:rPr>
                <w:sz w:val="20"/>
              </w:rPr>
              <w:t>ITT population</w:t>
            </w:r>
          </w:p>
        </w:tc>
        <w:tc>
          <w:tcPr>
            <w:tcW w:w="1417"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201</w:t>
            </w:r>
          </w:p>
        </w:tc>
        <w:tc>
          <w:tcPr>
            <w:tcW w:w="1843"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196</w:t>
            </w:r>
          </w:p>
        </w:tc>
        <w:tc>
          <w:tcPr>
            <w:tcW w:w="170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202</w:t>
            </w:r>
          </w:p>
        </w:tc>
        <w:tc>
          <w:tcPr>
            <w:tcW w:w="162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599</w:t>
            </w:r>
          </w:p>
        </w:tc>
      </w:tr>
      <w:tr w:rsidR="00774227" w:rsidTr="009B7947">
        <w:tc>
          <w:tcPr>
            <w:cnfStyle w:val="001000000000" w:firstRow="0" w:lastRow="0" w:firstColumn="1" w:lastColumn="0" w:oddVBand="0" w:evenVBand="0" w:oddHBand="0" w:evenHBand="0" w:firstRowFirstColumn="0" w:firstRowLastColumn="0" w:lastRowFirstColumn="0" w:lastRowLastColumn="0"/>
            <w:tcW w:w="2660" w:type="dxa"/>
          </w:tcPr>
          <w:p w:rsidR="00774227" w:rsidRPr="000C0C41" w:rsidRDefault="00774227" w:rsidP="009B7947">
            <w:pPr>
              <w:rPr>
                <w:sz w:val="20"/>
              </w:rPr>
            </w:pPr>
            <w:r w:rsidRPr="000C0C41">
              <w:rPr>
                <w:sz w:val="20"/>
              </w:rPr>
              <w:t xml:space="preserve">ITT population completing IT Day </w:t>
            </w:r>
            <w:r w:rsidRPr="000C0C41">
              <w:rPr>
                <w:sz w:val="20"/>
              </w:rPr>
              <w:lastRenderedPageBreak/>
              <w:t>180</w:t>
            </w:r>
          </w:p>
        </w:tc>
        <w:tc>
          <w:tcPr>
            <w:tcW w:w="1417"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lastRenderedPageBreak/>
              <w:t>189 (94.0%)</w:t>
            </w:r>
          </w:p>
        </w:tc>
        <w:tc>
          <w:tcPr>
            <w:tcW w:w="1843"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189 (96.4%)</w:t>
            </w:r>
          </w:p>
        </w:tc>
        <w:tc>
          <w:tcPr>
            <w:tcW w:w="170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189 (93.6%)</w:t>
            </w:r>
          </w:p>
        </w:tc>
        <w:tc>
          <w:tcPr>
            <w:tcW w:w="162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567 (94.7%)</w:t>
            </w:r>
          </w:p>
        </w:tc>
      </w:tr>
      <w:tr w:rsidR="00774227" w:rsidTr="009B7947">
        <w:tc>
          <w:tcPr>
            <w:cnfStyle w:val="001000000000" w:firstRow="0" w:lastRow="0" w:firstColumn="1" w:lastColumn="0" w:oddVBand="0" w:evenVBand="0" w:oddHBand="0" w:evenHBand="0" w:firstRowFirstColumn="0" w:firstRowLastColumn="0" w:lastRowFirstColumn="0" w:lastRowLastColumn="0"/>
            <w:tcW w:w="2660" w:type="dxa"/>
          </w:tcPr>
          <w:p w:rsidR="00774227" w:rsidRPr="000C0C41" w:rsidRDefault="00774227" w:rsidP="009B7947">
            <w:pPr>
              <w:rPr>
                <w:sz w:val="20"/>
              </w:rPr>
            </w:pPr>
            <w:r w:rsidRPr="000C0C41">
              <w:rPr>
                <w:sz w:val="20"/>
              </w:rPr>
              <w:lastRenderedPageBreak/>
              <w:t>Safety population</w:t>
            </w:r>
          </w:p>
        </w:tc>
        <w:tc>
          <w:tcPr>
            <w:tcW w:w="1417"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196 (97.5%)</w:t>
            </w:r>
          </w:p>
        </w:tc>
        <w:tc>
          <w:tcPr>
            <w:tcW w:w="1843"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197 (100.5%)</w:t>
            </w:r>
          </w:p>
        </w:tc>
        <w:tc>
          <w:tcPr>
            <w:tcW w:w="170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202 (100%)</w:t>
            </w:r>
          </w:p>
        </w:tc>
        <w:tc>
          <w:tcPr>
            <w:tcW w:w="162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595 (99.3%)</w:t>
            </w:r>
          </w:p>
        </w:tc>
      </w:tr>
      <w:tr w:rsidR="00774227" w:rsidTr="009B7947">
        <w:tc>
          <w:tcPr>
            <w:cnfStyle w:val="001000000000" w:firstRow="0" w:lastRow="0" w:firstColumn="1" w:lastColumn="0" w:oddVBand="0" w:evenVBand="0" w:oddHBand="0" w:evenHBand="0" w:firstRowFirstColumn="0" w:firstRowLastColumn="0" w:lastRowFirstColumn="0" w:lastRowLastColumn="0"/>
            <w:tcW w:w="2660" w:type="dxa"/>
          </w:tcPr>
          <w:p w:rsidR="00774227" w:rsidRPr="000C0C41" w:rsidRDefault="00774227" w:rsidP="009B7947">
            <w:pPr>
              <w:rPr>
                <w:sz w:val="20"/>
              </w:rPr>
            </w:pPr>
            <w:r w:rsidRPr="000C0C41">
              <w:rPr>
                <w:sz w:val="20"/>
              </w:rPr>
              <w:t>PP population</w:t>
            </w:r>
          </w:p>
        </w:tc>
        <w:tc>
          <w:tcPr>
            <w:tcW w:w="1417"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189 (94.0%)</w:t>
            </w:r>
          </w:p>
        </w:tc>
        <w:tc>
          <w:tcPr>
            <w:tcW w:w="1843"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181 (92.3%)</w:t>
            </w:r>
          </w:p>
        </w:tc>
        <w:tc>
          <w:tcPr>
            <w:tcW w:w="170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185 (91.6%)</w:t>
            </w:r>
          </w:p>
        </w:tc>
        <w:tc>
          <w:tcPr>
            <w:tcW w:w="162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555 (92.7%)</w:t>
            </w:r>
          </w:p>
        </w:tc>
      </w:tr>
      <w:tr w:rsidR="00774227" w:rsidTr="009B7947">
        <w:tc>
          <w:tcPr>
            <w:cnfStyle w:val="001000000000" w:firstRow="0" w:lastRow="0" w:firstColumn="1" w:lastColumn="0" w:oddVBand="0" w:evenVBand="0" w:oddHBand="0" w:evenHBand="0" w:firstRowFirstColumn="0" w:firstRowLastColumn="0" w:lastRowFirstColumn="0" w:lastRowLastColumn="0"/>
            <w:tcW w:w="2660" w:type="dxa"/>
          </w:tcPr>
          <w:p w:rsidR="00774227" w:rsidRPr="000C0C41" w:rsidRDefault="00774227" w:rsidP="009B7947">
            <w:pPr>
              <w:rPr>
                <w:sz w:val="20"/>
              </w:rPr>
            </w:pPr>
            <w:r w:rsidRPr="000C0C41">
              <w:rPr>
                <w:sz w:val="20"/>
              </w:rPr>
              <w:t>Re-treatment population</w:t>
            </w:r>
          </w:p>
        </w:tc>
        <w:tc>
          <w:tcPr>
            <w:tcW w:w="1417"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162</w:t>
            </w:r>
          </w:p>
        </w:tc>
        <w:tc>
          <w:tcPr>
            <w:tcW w:w="1843"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156</w:t>
            </w:r>
          </w:p>
        </w:tc>
        <w:tc>
          <w:tcPr>
            <w:tcW w:w="170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159</w:t>
            </w:r>
          </w:p>
        </w:tc>
        <w:tc>
          <w:tcPr>
            <w:tcW w:w="162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477</w:t>
            </w:r>
          </w:p>
        </w:tc>
      </w:tr>
      <w:tr w:rsidR="00774227" w:rsidTr="009B7947">
        <w:tc>
          <w:tcPr>
            <w:cnfStyle w:val="001000000000" w:firstRow="0" w:lastRow="0" w:firstColumn="1" w:lastColumn="0" w:oddVBand="0" w:evenVBand="0" w:oddHBand="0" w:evenHBand="0" w:firstRowFirstColumn="0" w:firstRowLastColumn="0" w:lastRowFirstColumn="0" w:lastRowLastColumn="0"/>
            <w:tcW w:w="2660" w:type="dxa"/>
          </w:tcPr>
          <w:p w:rsidR="00774227" w:rsidRPr="000C0C41" w:rsidRDefault="00774227" w:rsidP="009B7947">
            <w:pPr>
              <w:rPr>
                <w:sz w:val="20"/>
              </w:rPr>
            </w:pPr>
            <w:r w:rsidRPr="000C0C41">
              <w:rPr>
                <w:sz w:val="20"/>
              </w:rPr>
              <w:t>Re-treatment population completing OL Day 180</w:t>
            </w:r>
          </w:p>
        </w:tc>
        <w:tc>
          <w:tcPr>
            <w:tcW w:w="1417"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158 (97.5%)</w:t>
            </w:r>
          </w:p>
        </w:tc>
        <w:tc>
          <w:tcPr>
            <w:tcW w:w="1843"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148 (94.9%)</w:t>
            </w:r>
          </w:p>
        </w:tc>
        <w:tc>
          <w:tcPr>
            <w:tcW w:w="170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153 (96.2%)</w:t>
            </w:r>
          </w:p>
        </w:tc>
        <w:tc>
          <w:tcPr>
            <w:tcW w:w="1621" w:type="dxa"/>
          </w:tcPr>
          <w:p w:rsidR="00774227" w:rsidRPr="000C0C41" w:rsidRDefault="00774227" w:rsidP="009B7947">
            <w:pPr>
              <w:cnfStyle w:val="000000000000" w:firstRow="0" w:lastRow="0" w:firstColumn="0" w:lastColumn="0" w:oddVBand="0" w:evenVBand="0" w:oddHBand="0" w:evenHBand="0" w:firstRowFirstColumn="0" w:firstRowLastColumn="0" w:lastRowFirstColumn="0" w:lastRowLastColumn="0"/>
              <w:rPr>
                <w:sz w:val="20"/>
              </w:rPr>
            </w:pPr>
            <w:r w:rsidRPr="000C0C41">
              <w:rPr>
                <w:sz w:val="20"/>
              </w:rPr>
              <w:t>459 (96.2%)</w:t>
            </w:r>
          </w:p>
        </w:tc>
      </w:tr>
    </w:tbl>
    <w:p w:rsidR="00774227" w:rsidRPr="001F7E39" w:rsidRDefault="00774227" w:rsidP="00593F09">
      <w:pPr>
        <w:pStyle w:val="FigureTitle"/>
        <w:numPr>
          <w:ilvl w:val="0"/>
          <w:numId w:val="20"/>
        </w:numPr>
        <w:ind w:left="1134" w:hanging="1134"/>
      </w:pPr>
      <w:bookmarkStart w:id="72" w:name="_Toc462652396"/>
      <w:r w:rsidRPr="001F7E39">
        <w:t>Disposition of patients (Study 206207-008: ITT and re-treatment population)</w:t>
      </w:r>
      <w:bookmarkEnd w:id="72"/>
    </w:p>
    <w:p w:rsidR="00774227" w:rsidRDefault="00774227" w:rsidP="00774227">
      <w:r w:rsidRPr="001F7E39">
        <w:rPr>
          <w:noProof/>
          <w:lang w:eastAsia="en-AU"/>
        </w:rPr>
        <w:drawing>
          <wp:inline distT="0" distB="0" distL="0" distR="0" wp14:anchorId="3C1F2B73" wp14:editId="12D2AC74">
            <wp:extent cx="2911246" cy="3834384"/>
            <wp:effectExtent l="19050" t="19050" r="22860" b="13970"/>
            <wp:docPr id="70" name="Picture 70" descr="Disposition of patients (Study 206207-008: ITT and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grayscl/>
                    </a:blip>
                    <a:stretch>
                      <a:fillRect/>
                    </a:stretch>
                  </pic:blipFill>
                  <pic:spPr>
                    <a:xfrm>
                      <a:off x="0" y="0"/>
                      <a:ext cx="2917392" cy="3842479"/>
                    </a:xfrm>
                    <a:prstGeom prst="rect">
                      <a:avLst/>
                    </a:prstGeom>
                    <a:ln w="3175">
                      <a:solidFill>
                        <a:sysClr val="windowText" lastClr="000000"/>
                      </a:solidFill>
                    </a:ln>
                  </pic:spPr>
                </pic:pic>
              </a:graphicData>
            </a:graphic>
          </wp:inline>
        </w:drawing>
      </w:r>
    </w:p>
    <w:p w:rsidR="00774227" w:rsidRDefault="00774227" w:rsidP="00774227">
      <w:r w:rsidRPr="00584FEC">
        <w:t>Of the 599 patients (ITT population) 477 (79.6%) were retreated at IT Day 180. 96.2% (459/477) of the re-treatment population completed OL Day 180.</w:t>
      </w:r>
      <w:r>
        <w:t xml:space="preserve"> Of the 18 patients (3.8%, 18/477) discontinued after IT day 180 but prior to OL day 180, 6 were due to adverse events, 6 due to administrative reasons, and 6 due to protocol violations.</w:t>
      </w:r>
    </w:p>
    <w:p w:rsidR="00774227" w:rsidRDefault="00774227" w:rsidP="00A45E9B">
      <w:pPr>
        <w:pStyle w:val="Heading5"/>
      </w:pPr>
      <w:r w:rsidRPr="001F7E39">
        <w:lastRenderedPageBreak/>
        <w:t>Major protocol violations/deviations</w:t>
      </w:r>
    </w:p>
    <w:p w:rsidR="00774227" w:rsidRDefault="00774227" w:rsidP="00774227">
      <w:pPr>
        <w:pStyle w:val="Heading6"/>
      </w:pPr>
      <w:r>
        <w:t>IT period</w:t>
      </w:r>
    </w:p>
    <w:p w:rsidR="00774227" w:rsidRDefault="00774227" w:rsidP="00774227">
      <w:r>
        <w:t>The PP population includes patients who had no major protocol violations determined prior to database lock. The PP population included 92.7% (555/599) of enrolled patients. Forty-four patients (12 patients in the DEX 700 group, 15 patients in the DEX 350 group, and 17 patients in the Sham group) were excluded from the PP population and all by-visit analyses.</w:t>
      </w:r>
    </w:p>
    <w:p w:rsidR="00774227" w:rsidRPr="00243B36" w:rsidRDefault="00774227" w:rsidP="00774227">
      <w:r>
        <w:t xml:space="preserve">Patients and visits/measurements were excluded from analyses of the PP population due to the following reasons: </w:t>
      </w:r>
      <w:r w:rsidRPr="00243B36">
        <w:t xml:space="preserve">Duration of macular </w:t>
      </w:r>
      <w:r>
        <w:t>o</w:t>
      </w:r>
      <w:r w:rsidRPr="00243B36">
        <w:t>edema was outside the following window period at enrolment: 4 weeks to 9 months for CRVO patients and 4 weeks to 12 months for BRVO patients prior to the qualification/</w:t>
      </w:r>
      <w:r>
        <w:t>B</w:t>
      </w:r>
      <w:r w:rsidRPr="00243B36">
        <w:t>aseline visit</w:t>
      </w:r>
      <w:r>
        <w:t xml:space="preserve">; </w:t>
      </w:r>
      <w:r w:rsidRPr="00243B36">
        <w:t>Baseline BCVA in the study eye was out</w:t>
      </w:r>
      <w:r>
        <w:t xml:space="preserve">side the range of 32-70 letters; </w:t>
      </w:r>
      <w:r w:rsidRPr="00243B36">
        <w:t>Baseline retinal thickness of</w:t>
      </w:r>
      <w:r>
        <w:t xml:space="preserve"> the study eye was below 275 </w:t>
      </w:r>
      <w:r w:rsidR="001E2A95">
        <w:t>µ</w:t>
      </w:r>
      <w:r>
        <w:t>m; r</w:t>
      </w:r>
      <w:r w:rsidRPr="00243B36">
        <w:t>eported history or existing condition of retinal neovascularization or diabetic ret</w:t>
      </w:r>
      <w:r>
        <w:t>inopathy (DME) in the study eye; i</w:t>
      </w:r>
      <w:r w:rsidRPr="00243B36">
        <w:t xml:space="preserve">ntraocular laser surgery of the study eye within 80 days prior </w:t>
      </w:r>
      <w:r>
        <w:t>to qualification/Baseline visit; u</w:t>
      </w:r>
      <w:r w:rsidRPr="00243B36">
        <w:t xml:space="preserve">se of intravitreal injectable drug (such as triamcinolone, ranibizumab, bevacizumab, or dexamethasone) in the study eye within 3 months prior </w:t>
      </w:r>
      <w:r>
        <w:t>to qualification/Baseline visit; h</w:t>
      </w:r>
      <w:r w:rsidRPr="00243B36">
        <w:t>istory of anterior chamber int</w:t>
      </w:r>
      <w:r>
        <w:t>ra-ocular lens in the study eye; m</w:t>
      </w:r>
      <w:r w:rsidRPr="00243B36">
        <w:t>issing partial or full informatio</w:t>
      </w:r>
      <w:r>
        <w:t>n for baseline BCVA calculation; r</w:t>
      </w:r>
      <w:r w:rsidRPr="00243B36">
        <w:t>eceived a study treatment other than that being assigned by randomi</w:t>
      </w:r>
      <w:r>
        <w:t>sation; d</w:t>
      </w:r>
      <w:r w:rsidRPr="00243B36">
        <w:t>id not receive any treatment following enrolment and rando</w:t>
      </w:r>
      <w:r>
        <w:t>mization; t</w:t>
      </w:r>
      <w:r w:rsidRPr="00243B36">
        <w:t>he treatment procedure was performed but the injection of the study medication failed</w:t>
      </w:r>
      <w:r>
        <w:t>.</w:t>
      </w:r>
    </w:p>
    <w:p w:rsidR="00774227" w:rsidRDefault="00774227" w:rsidP="00774227">
      <w:pPr>
        <w:pStyle w:val="ListBullet"/>
        <w:numPr>
          <w:ilvl w:val="0"/>
          <w:numId w:val="0"/>
        </w:numPr>
      </w:pPr>
      <w:r>
        <w:t>Three patients were excluded from the IT Day 180 PP analyses due to on-study violations during follow-up as they received protocol-prohibited procedures during the study.</w:t>
      </w:r>
    </w:p>
    <w:p w:rsidR="00774227" w:rsidRDefault="00774227" w:rsidP="00774227">
      <w:pPr>
        <w:pStyle w:val="Heading6"/>
      </w:pPr>
      <w:r>
        <w:t>Retreatment population</w:t>
      </w:r>
    </w:p>
    <w:p w:rsidR="00774227" w:rsidRPr="00965A49" w:rsidRDefault="00774227" w:rsidP="00774227">
      <w:r w:rsidRPr="001F7E39">
        <w:t>There were 138 patients with 168 important protocol deviations during the 12-month study</w:t>
      </w:r>
      <w:r>
        <w:t xml:space="preserve">: </w:t>
      </w:r>
      <w:r w:rsidRPr="00965A49">
        <w:t>4 patients were randomized but not treated</w:t>
      </w:r>
      <w:r>
        <w:t xml:space="preserve">; </w:t>
      </w:r>
      <w:r w:rsidRPr="00965A49">
        <w:t>2 patients were treated with a different study medication kit number to the one assigned by the IVRS system</w:t>
      </w:r>
      <w:r>
        <w:t xml:space="preserve">; </w:t>
      </w:r>
      <w:r w:rsidRPr="00965A49">
        <w:t>2 patients were treated with expired open-label study medication</w:t>
      </w:r>
      <w:r>
        <w:t xml:space="preserve">; </w:t>
      </w:r>
      <w:r w:rsidRPr="00965A49">
        <w:t xml:space="preserve">4 patients were treated with an injection from the masked portion of the study at the re-treatment visit; although the treatment was masked, all patients received DEX 700 as verified from the study drug kit </w:t>
      </w:r>
      <w:r>
        <w:t xml:space="preserve">numbers; </w:t>
      </w:r>
      <w:r w:rsidRPr="00965A49">
        <w:t>52 protocol inclusio</w:t>
      </w:r>
      <w:r>
        <w:t xml:space="preserve">n/exclusion violations occurred; </w:t>
      </w:r>
      <w:r w:rsidRPr="00965A49">
        <w:t>32 patients were noted to have informed consent issues (majority: not signing updated version of informed consent form)</w:t>
      </w:r>
      <w:r>
        <w:t xml:space="preserve">; </w:t>
      </w:r>
      <w:r w:rsidRPr="00965A49">
        <w:t>47 patients received prohibited medications.</w:t>
      </w:r>
    </w:p>
    <w:p w:rsidR="00774227" w:rsidRPr="001F7E39" w:rsidRDefault="00774227" w:rsidP="00A45E9B">
      <w:pPr>
        <w:pStyle w:val="Heading5"/>
      </w:pPr>
      <w:r w:rsidRPr="001F7E39">
        <w:t>Baseline data</w:t>
      </w:r>
    </w:p>
    <w:p w:rsidR="00774227" w:rsidRPr="001F7E39" w:rsidRDefault="00774227" w:rsidP="00774227">
      <w:pPr>
        <w:pStyle w:val="Heading6"/>
      </w:pPr>
      <w:r>
        <w:t>Demographic characteristics</w:t>
      </w:r>
    </w:p>
    <w:p w:rsidR="00774227" w:rsidRPr="001F7E39" w:rsidRDefault="00774227" w:rsidP="00774227">
      <w:r w:rsidRPr="001F7E39">
        <w:t xml:space="preserve">There were no statistically significant differences among the treatment groups in the demographic and baseline characteristics in the ITT population. </w:t>
      </w:r>
      <w:r>
        <w:t>The m</w:t>
      </w:r>
      <w:r w:rsidRPr="001F7E39">
        <w:t xml:space="preserve">ean age </w:t>
      </w:r>
      <w:r>
        <w:t>was 65.5 years (range:</w:t>
      </w:r>
      <w:r w:rsidRPr="001F7E39">
        <w:t xml:space="preserve"> 32 to 91) with</w:t>
      </w:r>
      <w:r>
        <w:t xml:space="preserve"> &gt; 95% aged ≥ 45 years. 54.6% were male</w:t>
      </w:r>
      <w:r w:rsidRPr="001F7E39">
        <w:t xml:space="preserve"> and 83.8% Caucasian. 34.2% </w:t>
      </w:r>
      <w:r>
        <w:t>had been diagnosed with CRVO and 65.8% with</w:t>
      </w:r>
      <w:r w:rsidRPr="001F7E39">
        <w:t xml:space="preserve"> BRVO. </w:t>
      </w:r>
      <w:r w:rsidR="005D248C">
        <w:t xml:space="preserve">The table </w:t>
      </w:r>
      <w:proofErr w:type="gramStart"/>
      <w:r w:rsidRPr="001F7E39">
        <w:t>below  summarises</w:t>
      </w:r>
      <w:proofErr w:type="gramEnd"/>
      <w:r w:rsidRPr="001F7E39">
        <w:t xml:space="preserve"> the demographic and baseline characteristics of the ITT population.</w:t>
      </w:r>
    </w:p>
    <w:p w:rsidR="00774227" w:rsidRPr="001F7E39" w:rsidRDefault="00774227" w:rsidP="004E2C51">
      <w:pPr>
        <w:pStyle w:val="Tabletitle"/>
        <w:numPr>
          <w:ilvl w:val="0"/>
          <w:numId w:val="21"/>
        </w:numPr>
        <w:spacing w:after="120" w:line="240" w:lineRule="auto"/>
        <w:ind w:left="1134" w:hanging="1134"/>
      </w:pPr>
      <w:bookmarkStart w:id="73" w:name="_Toc462652645"/>
      <w:r w:rsidRPr="001F7E39">
        <w:lastRenderedPageBreak/>
        <w:t>Demographic and Baseline ch</w:t>
      </w:r>
      <w:r>
        <w:t>aracteristics (</w:t>
      </w:r>
      <w:r w:rsidRPr="001F7E39">
        <w:t>ITT population)</w:t>
      </w:r>
      <w:bookmarkEnd w:id="73"/>
    </w:p>
    <w:p w:rsidR="00774227" w:rsidRDefault="00774227" w:rsidP="00774227">
      <w:pPr>
        <w:rPr>
          <w:lang w:eastAsia="ja-JP"/>
        </w:rPr>
      </w:pPr>
      <w:r w:rsidRPr="001F7E39">
        <w:rPr>
          <w:noProof/>
          <w:lang w:eastAsia="en-AU"/>
        </w:rPr>
        <w:drawing>
          <wp:inline distT="0" distB="0" distL="0" distR="0" wp14:anchorId="372E912B" wp14:editId="1083ECD9">
            <wp:extent cx="4864608" cy="4628134"/>
            <wp:effectExtent l="0" t="0" r="0" b="1270"/>
            <wp:docPr id="71" name="Picture 71" descr="Demographic and Baselin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349" cy="4630742"/>
                    </a:xfrm>
                    <a:prstGeom prst="rect">
                      <a:avLst/>
                    </a:prstGeom>
                  </pic:spPr>
                </pic:pic>
              </a:graphicData>
            </a:graphic>
          </wp:inline>
        </w:drawing>
      </w:r>
    </w:p>
    <w:p w:rsidR="00774227" w:rsidRPr="001F7E39" w:rsidRDefault="00774227" w:rsidP="00774227">
      <w:pPr>
        <w:pStyle w:val="Heading6"/>
      </w:pPr>
      <w:r w:rsidRPr="001F7E39">
        <w:t>Medical and ophthalmic history</w:t>
      </w:r>
    </w:p>
    <w:p w:rsidR="00774227" w:rsidRDefault="00774227" w:rsidP="00774227">
      <w:pPr>
        <w:rPr>
          <w:lang w:eastAsia="ja-JP"/>
        </w:rPr>
      </w:pPr>
      <w:r w:rsidRPr="001F7E39">
        <w:rPr>
          <w:lang w:eastAsia="ja-JP"/>
        </w:rPr>
        <w:t xml:space="preserve">Ophthalmic history, other than macular oedema in the study eye, was reported by 99.2% (594/599) of patients </w:t>
      </w:r>
      <w:r>
        <w:rPr>
          <w:lang w:eastAsia="ja-JP"/>
        </w:rPr>
        <w:t>under the SOC: ‘E</w:t>
      </w:r>
      <w:r w:rsidRPr="001F7E39">
        <w:rPr>
          <w:lang w:eastAsia="ja-JP"/>
        </w:rPr>
        <w:t>ye disorders</w:t>
      </w:r>
      <w:r>
        <w:rPr>
          <w:lang w:eastAsia="ja-JP"/>
        </w:rPr>
        <w:t>’. The most common findings were RVO at</w:t>
      </w:r>
      <w:r w:rsidRPr="001F7E39">
        <w:rPr>
          <w:lang w:eastAsia="ja-JP"/>
        </w:rPr>
        <w:t xml:space="preserve"> 98.5% (590/599), cataract 54.1% (324/599), retinal haemorrhage 12.7% (76/599), and cataract nuclear </w:t>
      </w:r>
      <w:r>
        <w:rPr>
          <w:lang w:eastAsia="ja-JP"/>
        </w:rPr>
        <w:t xml:space="preserve">10.5% (63/599). </w:t>
      </w:r>
      <w:r w:rsidRPr="001F7E39">
        <w:rPr>
          <w:lang w:eastAsia="ja-JP"/>
        </w:rPr>
        <w:t>Other than ophthalmic</w:t>
      </w:r>
      <w:r>
        <w:rPr>
          <w:lang w:eastAsia="ja-JP"/>
        </w:rPr>
        <w:t xml:space="preserve"> history</w:t>
      </w:r>
      <w:r w:rsidRPr="001F7E39">
        <w:rPr>
          <w:lang w:eastAsia="ja-JP"/>
        </w:rPr>
        <w:t xml:space="preserve">, the most common findings on medical history were vascular disorders 64.8% (388/599), metabolism/nutrition disorders 47.2% (283/599), musculoskeletal/connective tissue disorders 29.7% (178/599), social </w:t>
      </w:r>
      <w:r w:rsidRPr="001F7E39">
        <w:t>circumstances 25.2% (151/599), and gastrointestinal disorders 22.4% (134/599). There were no statistically significant among-group differences for any of the findings.</w:t>
      </w:r>
    </w:p>
    <w:p w:rsidR="00774227" w:rsidRDefault="00774227" w:rsidP="00774227">
      <w:pPr>
        <w:pStyle w:val="Heading6"/>
      </w:pPr>
      <w:r>
        <w:t>Prior medications and procedures</w:t>
      </w:r>
    </w:p>
    <w:p w:rsidR="00774227" w:rsidRDefault="00774227" w:rsidP="00774227">
      <w:r>
        <w:t>In BRVO patients, 5.6% (22/394) used medications prior to study entry for the treatment of macular oedema in the study eye whilst in CRVO patients, 8.8% (18/205) used medications prior to study entry for the treatment of macular oedema in the study eye.</w:t>
      </w:r>
    </w:p>
    <w:p w:rsidR="00774227" w:rsidRDefault="00774227" w:rsidP="00774227">
      <w:r>
        <w:t xml:space="preserve">Overall, 12.5% (75/599) of patients reported prior procedures for the treatment of macular edema in the study eye. 11.5% (69/599) reported retinal laser coagulation, 5.4% (4/599) haemodilution, and 1 patient had intra-ocular injections. 18.2% (109/599) of patient reported medications for other than the treatment of macular oedema prior to study entry. The most common prior medications (reported by greater than 2% of patients) were other ophthalmologicals 5.0% (30/599), other anti-infectives 3.3% </w:t>
      </w:r>
      <w:r>
        <w:lastRenderedPageBreak/>
        <w:t>(20/599), platelet aggregation inhibitors excluding heparin 2.7% (16/599), and beta blocking agents 2.7% (16/599).</w:t>
      </w:r>
    </w:p>
    <w:p w:rsidR="00774227" w:rsidRDefault="00774227" w:rsidP="00774227">
      <w:pPr>
        <w:pStyle w:val="Heading6"/>
      </w:pPr>
      <w:r>
        <w:t>Concurrent medications and procedures</w:t>
      </w:r>
    </w:p>
    <w:p w:rsidR="00774227" w:rsidRDefault="00774227" w:rsidP="00774227">
      <w:r w:rsidRPr="00826EBF">
        <w:t>Ocular concomitant medications in the study eye were reported for 40.8% (82/201) of patients in the DEX 700 group, 39.8% (78/196) in the DEX 350 group, and 19</w:t>
      </w:r>
      <w:r>
        <w:t>.8% (40/202) in the Sham group.</w:t>
      </w:r>
    </w:p>
    <w:p w:rsidR="00774227" w:rsidRDefault="00774227" w:rsidP="004E2C51">
      <w:pPr>
        <w:pStyle w:val="Tabletitle"/>
        <w:numPr>
          <w:ilvl w:val="0"/>
          <w:numId w:val="21"/>
        </w:numPr>
        <w:spacing w:after="120" w:line="240" w:lineRule="auto"/>
        <w:ind w:left="1134" w:hanging="1134"/>
      </w:pPr>
      <w:bookmarkStart w:id="74" w:name="_Toc462652646"/>
      <w:r w:rsidRPr="00986CFF">
        <w:t>Concurrent ophthalmic medication use (Study 2008)</w:t>
      </w:r>
      <w:bookmarkEnd w:id="74"/>
    </w:p>
    <w:tbl>
      <w:tblPr>
        <w:tblStyle w:val="TableTGAblue"/>
        <w:tblW w:w="0" w:type="auto"/>
        <w:tblLook w:val="04A0" w:firstRow="1" w:lastRow="0" w:firstColumn="1" w:lastColumn="0" w:noHBand="0" w:noVBand="1"/>
        <w:tblDescription w:val="Concurrent ophthalmic medication use (Study 2008)"/>
      </w:tblPr>
      <w:tblGrid>
        <w:gridCol w:w="2866"/>
        <w:gridCol w:w="1485"/>
        <w:gridCol w:w="1486"/>
        <w:gridCol w:w="1351"/>
        <w:gridCol w:w="1532"/>
      </w:tblGrid>
      <w:tr w:rsidR="00774227"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774227" w:rsidRPr="005A42FB" w:rsidRDefault="00774227" w:rsidP="00774227">
            <w:pPr>
              <w:spacing w:before="0" w:after="0"/>
              <w:rPr>
                <w:sz w:val="20"/>
              </w:rPr>
            </w:pPr>
            <w:r w:rsidRPr="005A42FB">
              <w:rPr>
                <w:sz w:val="20"/>
              </w:rPr>
              <w:t>Drug class</w:t>
            </w:r>
          </w:p>
        </w:tc>
        <w:tc>
          <w:tcPr>
            <w:tcW w:w="1559" w:type="dxa"/>
          </w:tcPr>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 xml:space="preserve">DEX 700 </w:t>
            </w:r>
          </w:p>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N = 201</w:t>
            </w:r>
          </w:p>
        </w:tc>
        <w:tc>
          <w:tcPr>
            <w:tcW w:w="1560" w:type="dxa"/>
          </w:tcPr>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DEX 350</w:t>
            </w:r>
          </w:p>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N = 196</w:t>
            </w:r>
          </w:p>
        </w:tc>
        <w:tc>
          <w:tcPr>
            <w:tcW w:w="1417" w:type="dxa"/>
          </w:tcPr>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Sham</w:t>
            </w:r>
          </w:p>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N = 202</w:t>
            </w:r>
          </w:p>
        </w:tc>
        <w:tc>
          <w:tcPr>
            <w:tcW w:w="1621" w:type="dxa"/>
          </w:tcPr>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Total</w:t>
            </w:r>
          </w:p>
          <w:p w:rsidR="00774227" w:rsidRPr="005A42FB" w:rsidRDefault="00774227" w:rsidP="00774227">
            <w:pPr>
              <w:spacing w:before="0" w:after="0"/>
              <w:cnfStyle w:val="100000000000" w:firstRow="1" w:lastRow="0" w:firstColumn="0" w:lastColumn="0" w:oddVBand="0" w:evenVBand="0" w:oddHBand="0" w:evenHBand="0" w:firstRowFirstColumn="0" w:firstRowLastColumn="0" w:lastRowFirstColumn="0" w:lastRowLastColumn="0"/>
              <w:rPr>
                <w:sz w:val="20"/>
              </w:rPr>
            </w:pPr>
            <w:r w:rsidRPr="005A42FB">
              <w:rPr>
                <w:sz w:val="20"/>
              </w:rPr>
              <w:t>N = 599</w:t>
            </w:r>
          </w:p>
        </w:tc>
      </w:tr>
      <w:tr w:rsidR="00774227" w:rsidTr="00774227">
        <w:tc>
          <w:tcPr>
            <w:cnfStyle w:val="001000000000" w:firstRow="0" w:lastRow="0" w:firstColumn="1" w:lastColumn="0" w:oddVBand="0" w:evenVBand="0" w:oddHBand="0" w:evenHBand="0" w:firstRowFirstColumn="0" w:firstRowLastColumn="0" w:lastRowFirstColumn="0" w:lastRowLastColumn="0"/>
            <w:tcW w:w="3085" w:type="dxa"/>
          </w:tcPr>
          <w:p w:rsidR="00774227" w:rsidRPr="00826EBF" w:rsidRDefault="00774227" w:rsidP="00774227">
            <w:pPr>
              <w:spacing w:before="0" w:after="0"/>
              <w:rPr>
                <w:sz w:val="20"/>
              </w:rPr>
            </w:pPr>
            <w:r w:rsidRPr="00826EBF">
              <w:rPr>
                <w:sz w:val="20"/>
              </w:rPr>
              <w:t>Beta-blocking agents</w:t>
            </w:r>
          </w:p>
        </w:tc>
        <w:tc>
          <w:tcPr>
            <w:tcW w:w="1559"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 xml:space="preserve">39 (19.4%)   </w:t>
            </w:r>
          </w:p>
        </w:tc>
        <w:tc>
          <w:tcPr>
            <w:tcW w:w="1560"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50 (25.5%)</w:t>
            </w:r>
          </w:p>
        </w:tc>
        <w:tc>
          <w:tcPr>
            <w:tcW w:w="1417"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7 (3.5%)</w:t>
            </w:r>
          </w:p>
        </w:tc>
        <w:tc>
          <w:tcPr>
            <w:tcW w:w="1621"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96 (16.0%)</w:t>
            </w:r>
          </w:p>
        </w:tc>
      </w:tr>
      <w:tr w:rsidR="00774227" w:rsidTr="00774227">
        <w:tc>
          <w:tcPr>
            <w:cnfStyle w:val="001000000000" w:firstRow="0" w:lastRow="0" w:firstColumn="1" w:lastColumn="0" w:oddVBand="0" w:evenVBand="0" w:oddHBand="0" w:evenHBand="0" w:firstRowFirstColumn="0" w:firstRowLastColumn="0" w:lastRowFirstColumn="0" w:lastRowLastColumn="0"/>
            <w:tcW w:w="3085" w:type="dxa"/>
          </w:tcPr>
          <w:p w:rsidR="00774227" w:rsidRPr="00826EBF" w:rsidRDefault="00774227" w:rsidP="00774227">
            <w:pPr>
              <w:spacing w:before="0" w:after="0"/>
              <w:rPr>
                <w:sz w:val="20"/>
              </w:rPr>
            </w:pPr>
            <w:r w:rsidRPr="00826EBF">
              <w:rPr>
                <w:sz w:val="20"/>
              </w:rPr>
              <w:t>Sympathomimetics</w:t>
            </w:r>
          </w:p>
        </w:tc>
        <w:tc>
          <w:tcPr>
            <w:tcW w:w="1559"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 xml:space="preserve">21 (10.4%)  </w:t>
            </w:r>
          </w:p>
        </w:tc>
        <w:tc>
          <w:tcPr>
            <w:tcW w:w="1560"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22 (11.2%)</w:t>
            </w:r>
          </w:p>
        </w:tc>
        <w:tc>
          <w:tcPr>
            <w:tcW w:w="1417"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1 (0.5%)</w:t>
            </w:r>
          </w:p>
        </w:tc>
        <w:tc>
          <w:tcPr>
            <w:tcW w:w="1621"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44 (7.3%)</w:t>
            </w:r>
          </w:p>
        </w:tc>
      </w:tr>
      <w:tr w:rsidR="00774227" w:rsidTr="00774227">
        <w:tc>
          <w:tcPr>
            <w:cnfStyle w:val="001000000000" w:firstRow="0" w:lastRow="0" w:firstColumn="1" w:lastColumn="0" w:oddVBand="0" w:evenVBand="0" w:oddHBand="0" w:evenHBand="0" w:firstRowFirstColumn="0" w:firstRowLastColumn="0" w:lastRowFirstColumn="0" w:lastRowLastColumn="0"/>
            <w:tcW w:w="3085" w:type="dxa"/>
          </w:tcPr>
          <w:p w:rsidR="00774227" w:rsidRPr="00826EBF" w:rsidRDefault="00774227" w:rsidP="00774227">
            <w:pPr>
              <w:spacing w:before="0" w:after="0"/>
              <w:rPr>
                <w:sz w:val="20"/>
              </w:rPr>
            </w:pPr>
            <w:r w:rsidRPr="00826EBF">
              <w:rPr>
                <w:sz w:val="20"/>
              </w:rPr>
              <w:t>Other ophthalmologicals</w:t>
            </w:r>
          </w:p>
        </w:tc>
        <w:tc>
          <w:tcPr>
            <w:tcW w:w="1559"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 xml:space="preserve">16 (8.0%)   </w:t>
            </w:r>
          </w:p>
        </w:tc>
        <w:tc>
          <w:tcPr>
            <w:tcW w:w="1560"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11 (5.6%)</w:t>
            </w:r>
          </w:p>
        </w:tc>
        <w:tc>
          <w:tcPr>
            <w:tcW w:w="1417"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15 (7.4%)</w:t>
            </w:r>
          </w:p>
        </w:tc>
        <w:tc>
          <w:tcPr>
            <w:tcW w:w="1621"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42 (7.0%)</w:t>
            </w:r>
          </w:p>
        </w:tc>
      </w:tr>
      <w:tr w:rsidR="00774227" w:rsidTr="00774227">
        <w:tc>
          <w:tcPr>
            <w:cnfStyle w:val="001000000000" w:firstRow="0" w:lastRow="0" w:firstColumn="1" w:lastColumn="0" w:oddVBand="0" w:evenVBand="0" w:oddHBand="0" w:evenHBand="0" w:firstRowFirstColumn="0" w:firstRowLastColumn="0" w:lastRowFirstColumn="0" w:lastRowLastColumn="0"/>
            <w:tcW w:w="3085" w:type="dxa"/>
          </w:tcPr>
          <w:p w:rsidR="00774227" w:rsidRPr="00826EBF" w:rsidRDefault="00774227" w:rsidP="00774227">
            <w:pPr>
              <w:spacing w:before="0" w:after="0"/>
              <w:rPr>
                <w:sz w:val="20"/>
              </w:rPr>
            </w:pPr>
            <w:r w:rsidRPr="00826EBF">
              <w:rPr>
                <w:sz w:val="20"/>
              </w:rPr>
              <w:t>Prostaglandin analogues</w:t>
            </w:r>
          </w:p>
        </w:tc>
        <w:tc>
          <w:tcPr>
            <w:tcW w:w="1559"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 xml:space="preserve">15 (7.5%)   </w:t>
            </w:r>
          </w:p>
        </w:tc>
        <w:tc>
          <w:tcPr>
            <w:tcW w:w="1560"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22 (11.2%)</w:t>
            </w:r>
          </w:p>
        </w:tc>
        <w:tc>
          <w:tcPr>
            <w:tcW w:w="1417"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3 (1.5%)</w:t>
            </w:r>
          </w:p>
        </w:tc>
        <w:tc>
          <w:tcPr>
            <w:tcW w:w="1621"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40 (6.7%)</w:t>
            </w:r>
          </w:p>
        </w:tc>
      </w:tr>
      <w:tr w:rsidR="00774227" w:rsidTr="00774227">
        <w:tc>
          <w:tcPr>
            <w:cnfStyle w:val="001000000000" w:firstRow="0" w:lastRow="0" w:firstColumn="1" w:lastColumn="0" w:oddVBand="0" w:evenVBand="0" w:oddHBand="0" w:evenHBand="0" w:firstRowFirstColumn="0" w:firstRowLastColumn="0" w:lastRowFirstColumn="0" w:lastRowLastColumn="0"/>
            <w:tcW w:w="3085" w:type="dxa"/>
          </w:tcPr>
          <w:p w:rsidR="00774227" w:rsidRPr="00826EBF" w:rsidRDefault="00774227" w:rsidP="00774227">
            <w:pPr>
              <w:spacing w:before="0" w:after="0"/>
              <w:rPr>
                <w:sz w:val="20"/>
              </w:rPr>
            </w:pPr>
            <w:r w:rsidRPr="00826EBF">
              <w:rPr>
                <w:sz w:val="20"/>
              </w:rPr>
              <w:t>Other anti-infectives</w:t>
            </w:r>
          </w:p>
        </w:tc>
        <w:tc>
          <w:tcPr>
            <w:tcW w:w="1559"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 xml:space="preserve">8 (4.0%)  </w:t>
            </w:r>
          </w:p>
        </w:tc>
        <w:tc>
          <w:tcPr>
            <w:tcW w:w="1560"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11 (5.6%)</w:t>
            </w:r>
          </w:p>
        </w:tc>
        <w:tc>
          <w:tcPr>
            <w:tcW w:w="1417"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12 (5.9%)</w:t>
            </w:r>
          </w:p>
        </w:tc>
        <w:tc>
          <w:tcPr>
            <w:tcW w:w="1621"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31 (5.2%)</w:t>
            </w:r>
          </w:p>
        </w:tc>
      </w:tr>
      <w:tr w:rsidR="00774227" w:rsidTr="00774227">
        <w:tc>
          <w:tcPr>
            <w:cnfStyle w:val="001000000000" w:firstRow="0" w:lastRow="0" w:firstColumn="1" w:lastColumn="0" w:oddVBand="0" w:evenVBand="0" w:oddHBand="0" w:evenHBand="0" w:firstRowFirstColumn="0" w:firstRowLastColumn="0" w:lastRowFirstColumn="0" w:lastRowLastColumn="0"/>
            <w:tcW w:w="3085" w:type="dxa"/>
          </w:tcPr>
          <w:p w:rsidR="00774227" w:rsidRPr="00826EBF" w:rsidRDefault="00774227" w:rsidP="00774227">
            <w:pPr>
              <w:spacing w:before="0" w:after="0"/>
              <w:rPr>
                <w:sz w:val="20"/>
              </w:rPr>
            </w:pPr>
            <w:r w:rsidRPr="00826EBF">
              <w:rPr>
                <w:sz w:val="20"/>
              </w:rPr>
              <w:t>Carbonic anhydrase inhibitors</w:t>
            </w:r>
          </w:p>
        </w:tc>
        <w:tc>
          <w:tcPr>
            <w:tcW w:w="1559"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 xml:space="preserve">13 (6.5%)  </w:t>
            </w:r>
          </w:p>
        </w:tc>
        <w:tc>
          <w:tcPr>
            <w:tcW w:w="1560"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11 (5.6%)</w:t>
            </w:r>
          </w:p>
        </w:tc>
        <w:tc>
          <w:tcPr>
            <w:tcW w:w="1417"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0 (0.0%)</w:t>
            </w:r>
          </w:p>
        </w:tc>
        <w:tc>
          <w:tcPr>
            <w:tcW w:w="1621" w:type="dxa"/>
          </w:tcPr>
          <w:p w:rsidR="00774227" w:rsidRPr="00826EBF" w:rsidRDefault="00774227" w:rsidP="00774227">
            <w:pPr>
              <w:spacing w:before="0" w:after="0"/>
              <w:cnfStyle w:val="000000000000" w:firstRow="0" w:lastRow="0" w:firstColumn="0" w:lastColumn="0" w:oddVBand="0" w:evenVBand="0" w:oddHBand="0" w:evenHBand="0" w:firstRowFirstColumn="0" w:firstRowLastColumn="0" w:lastRowFirstColumn="0" w:lastRowLastColumn="0"/>
              <w:rPr>
                <w:sz w:val="20"/>
              </w:rPr>
            </w:pPr>
            <w:r w:rsidRPr="00826EBF">
              <w:rPr>
                <w:sz w:val="20"/>
              </w:rPr>
              <w:t>24 (4.0%)</w:t>
            </w:r>
          </w:p>
        </w:tc>
      </w:tr>
    </w:tbl>
    <w:p w:rsidR="00774227" w:rsidRPr="00DC133B" w:rsidRDefault="00774227" w:rsidP="00774227">
      <w:r>
        <w:t xml:space="preserve">A total of 6, 8 and 7 concurrent procedures were carried out in the study-eye for the DEX 700, DEX 350 and Sham groups respectively. The most common procedure was retinal laser coagulation at 2, 3 and 5 procedures and laser eye surgery at 2, 0 and 1 </w:t>
      </w:r>
      <w:proofErr w:type="gramStart"/>
      <w:r>
        <w:t>procedures</w:t>
      </w:r>
      <w:proofErr w:type="gramEnd"/>
      <w:r>
        <w:t xml:space="preserve"> across groups.</w:t>
      </w:r>
    </w:p>
    <w:p w:rsidR="00774227" w:rsidRPr="00826EBF" w:rsidRDefault="00774227" w:rsidP="00774227">
      <w:r>
        <w:t>Concomitant medications during the initial treatment period were reported for 95.5% (192/201) of patients in the DEX 700 group, 95.4% (187/196) of patients in the DEX 350 group, and 87.1% (176/202) of patients in the Sham group. There were no notable differences among the treatment groups in the types or frequencies of medication use with the exception of ophthalmic beta blocking agents, sympathomimetics in glaucoma therapy, and ophthalmic prostaglandin analogues as discussed above. The most common medications (reported by greater than 10% of patients in any treatment group) were proton pump inhibitors, biguanides, platelet aggregation inhibitors excluding heparin, plain thiazides, selective beta blocking agents, dihydropyridine derivatives, plain ACE inhibitors, plain angiotensin II antagonists, HMG CoA reductase inhibitors, thyroid hormones, ophthalmic beta blocking agents, sympathomimetics in glaucoma therapy, and ophthalmic prostaglandin analogues.</w:t>
      </w:r>
    </w:p>
    <w:p w:rsidR="00774227" w:rsidRPr="001F7E39" w:rsidRDefault="00774227" w:rsidP="00774227">
      <w:pPr>
        <w:pStyle w:val="Heading6"/>
      </w:pPr>
      <w:r>
        <w:t>Re-treatment population</w:t>
      </w:r>
    </w:p>
    <w:p w:rsidR="00774227" w:rsidRDefault="00774227" w:rsidP="00774227">
      <w:r w:rsidRPr="001F7E39">
        <w:t>For the 477 patients in the re-treated population, overall, the mean (range) age was 66.0 (32 to 91) years, 54.7% (261/477) were male, and 85.5% (408/477) were Caucasian. The diagnosis was CRVO for 35.6% (170/477) and BRVO for 64.4% (307/477) of patients. There were no significant differences between re-treatment population groups.</w:t>
      </w:r>
    </w:p>
    <w:p w:rsidR="00774227" w:rsidRPr="001F7E39" w:rsidRDefault="00774227" w:rsidP="00774227">
      <w:r w:rsidRPr="005A42FB">
        <w:t>In the retreat</w:t>
      </w:r>
      <w:r>
        <w:t>ment</w:t>
      </w:r>
      <w:r w:rsidRPr="005A42FB">
        <w:t xml:space="preserve"> population, cataracts (comprising the MedDRA terms cataract, cataract nuclear, cataract cortical and cataracts subcapsular) in the study eye, were noted at Baseline for 68.8% (328/477) of patients overall. Cataracts in the non-study eye were noted at Baseline for 48.4% (231/477) of patients, and cataracts in both eyes were noted at baseline for 20.3% (97/477) of patients overall. There were no differences in proportion of patients with a cataract history between treatment groups.</w:t>
      </w:r>
    </w:p>
    <w:p w:rsidR="00774227" w:rsidRPr="001F7E39" w:rsidRDefault="00774227" w:rsidP="004E2C51">
      <w:pPr>
        <w:pStyle w:val="Tabletitle"/>
        <w:numPr>
          <w:ilvl w:val="0"/>
          <w:numId w:val="21"/>
        </w:numPr>
        <w:spacing w:after="120" w:line="240" w:lineRule="auto"/>
        <w:ind w:left="1134" w:hanging="1134"/>
      </w:pPr>
      <w:bookmarkStart w:id="75" w:name="_Toc462652647"/>
      <w:r w:rsidRPr="001F7E39">
        <w:lastRenderedPageBreak/>
        <w:t>Demographic and Baseline charac</w:t>
      </w:r>
      <w:r>
        <w:t>teristics (Study 008: Re-treatment</w:t>
      </w:r>
      <w:r w:rsidRPr="001F7E39">
        <w:t xml:space="preserve"> population</w:t>
      </w:r>
      <w:r>
        <w:t>)</w:t>
      </w:r>
      <w:bookmarkEnd w:id="75"/>
    </w:p>
    <w:p w:rsidR="00774227" w:rsidRDefault="00774227" w:rsidP="00774227">
      <w:pPr>
        <w:rPr>
          <w:lang w:eastAsia="ja-JP"/>
        </w:rPr>
      </w:pPr>
      <w:r w:rsidRPr="001F7E39">
        <w:rPr>
          <w:noProof/>
          <w:lang w:eastAsia="en-AU"/>
        </w:rPr>
        <w:drawing>
          <wp:inline distT="0" distB="0" distL="0" distR="0" wp14:anchorId="30220C96" wp14:editId="2549A279">
            <wp:extent cx="3553968" cy="3102508"/>
            <wp:effectExtent l="0" t="0" r="8890" b="3175"/>
            <wp:docPr id="92" name="Picture 92" descr="Demographic and Baseline characteristics (Study 008: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53429" cy="3102038"/>
                    </a:xfrm>
                    <a:prstGeom prst="rect">
                      <a:avLst/>
                    </a:prstGeom>
                  </pic:spPr>
                </pic:pic>
              </a:graphicData>
            </a:graphic>
          </wp:inline>
        </w:drawing>
      </w:r>
    </w:p>
    <w:p w:rsidR="00774227" w:rsidRDefault="00774227" w:rsidP="00774227">
      <w:pPr>
        <w:pStyle w:val="Heading6"/>
        <w:rPr>
          <w:lang w:eastAsia="ja-JP"/>
        </w:rPr>
      </w:pPr>
      <w:r>
        <w:rPr>
          <w:lang w:eastAsia="ja-JP"/>
        </w:rPr>
        <w:t>Ocular concomitant medications and procedures (re-treatment population)</w:t>
      </w:r>
    </w:p>
    <w:p w:rsidR="00774227" w:rsidRDefault="00774227" w:rsidP="00774227">
      <w:pPr>
        <w:rPr>
          <w:lang w:eastAsia="ja-JP"/>
        </w:rPr>
      </w:pPr>
      <w:r>
        <w:rPr>
          <w:lang w:eastAsia="ja-JP"/>
        </w:rPr>
        <w:t>For the re-treated population, ocular concomitant medications in the study eye were reported for 40.9% (67/164) of patients in the DEX 700/700 group, 38.1% (59/155) in the DEX 350/700 group, and 20.3% (32/158) in the Sham/DEX 700 group during the IT period. Similarly during the OL extension, ocular concomitant medications in the study eye were reported for 46.3% (76/164) of patients in the DEX 700/700 group, and 38.1% (59/155) in the DEX 350/700 group. Use of ocular concomitant medications in the study eye in the Sham/DEX 700 group increased to 39.9% (63/158) during the OL extension compared to the IT period.</w:t>
      </w:r>
    </w:p>
    <w:p w:rsidR="00774227" w:rsidRDefault="00774227" w:rsidP="00774227">
      <w:pPr>
        <w:rPr>
          <w:lang w:eastAsia="ja-JP"/>
        </w:rPr>
      </w:pPr>
      <w:r>
        <w:rPr>
          <w:lang w:eastAsia="ja-JP"/>
        </w:rPr>
        <w:t>The most frequent drug classes (more than 10% in any treatment group) during the OL extension were:</w:t>
      </w:r>
    </w:p>
    <w:p w:rsidR="00774227" w:rsidRDefault="00774227" w:rsidP="004C3275">
      <w:pPr>
        <w:pStyle w:val="ListBullet"/>
        <w:numPr>
          <w:ilvl w:val="0"/>
          <w:numId w:val="1"/>
        </w:numPr>
        <w:rPr>
          <w:lang w:eastAsia="ja-JP"/>
        </w:rPr>
      </w:pPr>
      <w:r>
        <w:rPr>
          <w:lang w:eastAsia="ja-JP"/>
        </w:rPr>
        <w:t xml:space="preserve">Ophthalmic beta blocking agents (28.0% </w:t>
      </w:r>
      <w:r w:rsidR="001A6420">
        <w:rPr>
          <w:lang w:eastAsia="ja-JP"/>
        </w:rPr>
        <w:t>(</w:t>
      </w:r>
      <w:r>
        <w:rPr>
          <w:lang w:eastAsia="ja-JP"/>
        </w:rPr>
        <w:t>46/164</w:t>
      </w:r>
      <w:r w:rsidR="001A6420">
        <w:rPr>
          <w:lang w:eastAsia="ja-JP"/>
        </w:rPr>
        <w:t>)</w:t>
      </w:r>
      <w:r>
        <w:rPr>
          <w:lang w:eastAsia="ja-JP"/>
        </w:rPr>
        <w:t xml:space="preserve"> in the DEX 700/700 group, 23.9% </w:t>
      </w:r>
      <w:r w:rsidR="001A6420">
        <w:rPr>
          <w:lang w:eastAsia="ja-JP"/>
        </w:rPr>
        <w:t>(</w:t>
      </w:r>
      <w:r>
        <w:rPr>
          <w:lang w:eastAsia="ja-JP"/>
        </w:rPr>
        <w:t>37/155</w:t>
      </w:r>
      <w:r w:rsidR="001A6420">
        <w:rPr>
          <w:lang w:eastAsia="ja-JP"/>
        </w:rPr>
        <w:t>)</w:t>
      </w:r>
      <w:r>
        <w:rPr>
          <w:lang w:eastAsia="ja-JP"/>
        </w:rPr>
        <w:t xml:space="preserve"> in the DEX 350/700 group, and 20.3% </w:t>
      </w:r>
      <w:r w:rsidR="001A6420">
        <w:rPr>
          <w:lang w:eastAsia="ja-JP"/>
        </w:rPr>
        <w:t>(</w:t>
      </w:r>
      <w:r>
        <w:rPr>
          <w:lang w:eastAsia="ja-JP"/>
        </w:rPr>
        <w:t>32/158</w:t>
      </w:r>
      <w:r w:rsidR="001A6420">
        <w:rPr>
          <w:lang w:eastAsia="ja-JP"/>
        </w:rPr>
        <w:t>)</w:t>
      </w:r>
      <w:r>
        <w:rPr>
          <w:lang w:eastAsia="ja-JP"/>
        </w:rPr>
        <w:t xml:space="preserve"> in the Sham/DEX 700 group)</w:t>
      </w:r>
    </w:p>
    <w:p w:rsidR="00774227" w:rsidRDefault="00774227" w:rsidP="004C3275">
      <w:pPr>
        <w:pStyle w:val="ListBullet"/>
        <w:numPr>
          <w:ilvl w:val="0"/>
          <w:numId w:val="1"/>
        </w:numPr>
        <w:rPr>
          <w:lang w:eastAsia="ja-JP"/>
        </w:rPr>
      </w:pPr>
      <w:r>
        <w:rPr>
          <w:lang w:eastAsia="ja-JP"/>
        </w:rPr>
        <w:t xml:space="preserve">Sympathomimetics in glaucoma therapy (10.4% </w:t>
      </w:r>
      <w:r w:rsidR="001A6420">
        <w:rPr>
          <w:lang w:eastAsia="ja-JP"/>
        </w:rPr>
        <w:t>(</w:t>
      </w:r>
      <w:r>
        <w:rPr>
          <w:lang w:eastAsia="ja-JP"/>
        </w:rPr>
        <w:t>17/164</w:t>
      </w:r>
      <w:r w:rsidR="001A6420">
        <w:rPr>
          <w:lang w:eastAsia="ja-JP"/>
        </w:rPr>
        <w:t>)</w:t>
      </w:r>
      <w:r>
        <w:rPr>
          <w:lang w:eastAsia="ja-JP"/>
        </w:rPr>
        <w:t xml:space="preserve"> in the DEX 700/700 group, 9.7% </w:t>
      </w:r>
      <w:r w:rsidR="001A6420">
        <w:rPr>
          <w:lang w:eastAsia="ja-JP"/>
        </w:rPr>
        <w:t>(</w:t>
      </w:r>
      <w:r>
        <w:rPr>
          <w:lang w:eastAsia="ja-JP"/>
        </w:rPr>
        <w:t>15/155</w:t>
      </w:r>
      <w:r w:rsidR="001A6420">
        <w:rPr>
          <w:lang w:eastAsia="ja-JP"/>
        </w:rPr>
        <w:t>)</w:t>
      </w:r>
      <w:r>
        <w:rPr>
          <w:lang w:eastAsia="ja-JP"/>
        </w:rPr>
        <w:t xml:space="preserve"> in the DEX 350/700 group, and 9.5% </w:t>
      </w:r>
      <w:r w:rsidR="001A6420">
        <w:rPr>
          <w:lang w:eastAsia="ja-JP"/>
        </w:rPr>
        <w:t>(</w:t>
      </w:r>
      <w:r>
        <w:rPr>
          <w:lang w:eastAsia="ja-JP"/>
        </w:rPr>
        <w:t>15/158</w:t>
      </w:r>
      <w:r w:rsidR="001A6420">
        <w:rPr>
          <w:lang w:eastAsia="ja-JP"/>
        </w:rPr>
        <w:t>)</w:t>
      </w:r>
      <w:r>
        <w:rPr>
          <w:lang w:eastAsia="ja-JP"/>
        </w:rPr>
        <w:t xml:space="preserve"> in the Sham/DEX 700 group)</w:t>
      </w:r>
    </w:p>
    <w:p w:rsidR="00774227" w:rsidRDefault="00774227" w:rsidP="004C3275">
      <w:pPr>
        <w:pStyle w:val="ListBullet"/>
        <w:numPr>
          <w:ilvl w:val="0"/>
          <w:numId w:val="1"/>
        </w:numPr>
        <w:rPr>
          <w:lang w:eastAsia="ja-JP"/>
        </w:rPr>
      </w:pPr>
      <w:r>
        <w:rPr>
          <w:lang w:eastAsia="ja-JP"/>
        </w:rPr>
        <w:t xml:space="preserve">Ophthalmic prostaglandin analogues (8.5% </w:t>
      </w:r>
      <w:r w:rsidR="001A6420">
        <w:rPr>
          <w:lang w:eastAsia="ja-JP"/>
        </w:rPr>
        <w:t>(</w:t>
      </w:r>
      <w:r>
        <w:rPr>
          <w:lang w:eastAsia="ja-JP"/>
        </w:rPr>
        <w:t>14/164</w:t>
      </w:r>
      <w:r w:rsidR="001A6420">
        <w:rPr>
          <w:lang w:eastAsia="ja-JP"/>
        </w:rPr>
        <w:t>)</w:t>
      </w:r>
      <w:r>
        <w:rPr>
          <w:lang w:eastAsia="ja-JP"/>
        </w:rPr>
        <w:t xml:space="preserve"> in the DEX 700/700 group, 11.0% </w:t>
      </w:r>
      <w:r w:rsidR="001A6420">
        <w:rPr>
          <w:lang w:eastAsia="ja-JP"/>
        </w:rPr>
        <w:t>(</w:t>
      </w:r>
      <w:r>
        <w:rPr>
          <w:lang w:eastAsia="ja-JP"/>
        </w:rPr>
        <w:t>17/155</w:t>
      </w:r>
      <w:r w:rsidR="001A6420">
        <w:rPr>
          <w:lang w:eastAsia="ja-JP"/>
        </w:rPr>
        <w:t>)</w:t>
      </w:r>
      <w:r>
        <w:rPr>
          <w:lang w:eastAsia="ja-JP"/>
        </w:rPr>
        <w:t xml:space="preserve"> in the DEX 350/700 group, and 13.9% </w:t>
      </w:r>
      <w:r w:rsidR="001A6420">
        <w:rPr>
          <w:lang w:eastAsia="ja-JP"/>
        </w:rPr>
        <w:t>(</w:t>
      </w:r>
      <w:r>
        <w:rPr>
          <w:lang w:eastAsia="ja-JP"/>
        </w:rPr>
        <w:t>22/158</w:t>
      </w:r>
      <w:r w:rsidR="001A6420">
        <w:rPr>
          <w:lang w:eastAsia="ja-JP"/>
        </w:rPr>
        <w:t>)</w:t>
      </w:r>
      <w:r>
        <w:rPr>
          <w:lang w:eastAsia="ja-JP"/>
        </w:rPr>
        <w:t xml:space="preserve"> in the Sham/DEX 700 group).</w:t>
      </w:r>
    </w:p>
    <w:p w:rsidR="00774227" w:rsidRDefault="00774227" w:rsidP="00774227">
      <w:pPr>
        <w:rPr>
          <w:lang w:eastAsia="ja-JP"/>
        </w:rPr>
      </w:pPr>
      <w:r>
        <w:rPr>
          <w:lang w:eastAsia="ja-JP"/>
        </w:rPr>
        <w:t>There was a high incidence of IOP-lowering medications in all 3 treatment groups following the administration of DEX 700, which is to be expected in patients receiving intravitreal steroid injections.</w:t>
      </w:r>
    </w:p>
    <w:p w:rsidR="00774227" w:rsidRDefault="00774227" w:rsidP="00774227">
      <w:pPr>
        <w:rPr>
          <w:lang w:eastAsia="ja-JP"/>
        </w:rPr>
      </w:pPr>
      <w:r>
        <w:rPr>
          <w:lang w:eastAsia="ja-JP"/>
        </w:rPr>
        <w:t xml:space="preserve">There were 3 (9), 4 (5) and 5 (5) procedures in the IT (OL) periods for the DEX 700/700, DEX 350/700 and Sham/DEX 700 groups respectively. For the cumulative 12-month period, the most common procedures were retinal laser coagulation at 6, 3 and 5 procedures and cataract surgery at 2, 3 and 0 procedures in the </w:t>
      </w:r>
      <w:r w:rsidRPr="00FC07FF">
        <w:rPr>
          <w:lang w:eastAsia="ja-JP"/>
        </w:rPr>
        <w:t xml:space="preserve">DEX 700/700, DEX </w:t>
      </w:r>
      <w:r>
        <w:rPr>
          <w:lang w:eastAsia="ja-JP"/>
        </w:rPr>
        <w:t>350/700 and Sham/DEX 700 group respectively.</w:t>
      </w:r>
    </w:p>
    <w:p w:rsidR="00774227" w:rsidRPr="001F7E39" w:rsidRDefault="00774227" w:rsidP="00235CD2">
      <w:pPr>
        <w:pStyle w:val="Heading5"/>
      </w:pPr>
      <w:r w:rsidRPr="00235CD2">
        <w:lastRenderedPageBreak/>
        <w:t>R</w:t>
      </w:r>
      <w:r w:rsidRPr="001F7E39">
        <w:t>esults for the primary efficacy outcome</w:t>
      </w:r>
    </w:p>
    <w:p w:rsidR="00774227" w:rsidRPr="001F7E39" w:rsidRDefault="00774227" w:rsidP="00774227">
      <w:pPr>
        <w:pStyle w:val="Heading6"/>
      </w:pPr>
      <w:r w:rsidRPr="001F7E39">
        <w:t>BCVA improvement of 1</w:t>
      </w:r>
      <w:r>
        <w:t xml:space="preserve">5 or more letters from </w:t>
      </w:r>
      <w:r w:rsidR="005B5F1B">
        <w:t>b</w:t>
      </w:r>
      <w:r>
        <w:t>aseline</w:t>
      </w:r>
    </w:p>
    <w:p w:rsidR="00774227" w:rsidRPr="001F7E39" w:rsidRDefault="00774227" w:rsidP="00774227">
      <w:r>
        <w:t>In the ITT population t</w:t>
      </w:r>
      <w:r w:rsidRPr="00E83578">
        <w:t>he proportion of patients with 15 or more letters improvement from Baseline was significantly higher with DEX 700 compared to Sham at IT Days 30,</w:t>
      </w:r>
      <w:r>
        <w:t xml:space="preserve"> 60, and 90 (p ≤ 0.008). At the</w:t>
      </w:r>
      <w:r w:rsidRPr="00E83578">
        <w:t xml:space="preserve"> unamended </w:t>
      </w:r>
      <w:r>
        <w:t xml:space="preserve">primary </w:t>
      </w:r>
      <w:r w:rsidRPr="00E83578">
        <w:t>time</w:t>
      </w:r>
      <w:r>
        <w:t xml:space="preserve"> </w:t>
      </w:r>
      <w:r w:rsidRPr="00E83578">
        <w:t xml:space="preserve">point (IT Day 180) the comparison between DEX 700 Sham was 19.4% versus 18.3%, a difference of 1.1% and non-significant (p = 0.780). </w:t>
      </w:r>
      <w:r>
        <w:t xml:space="preserve">The greatest difference in response rates between DEX 700 versus Sham was 18.5% at Day 90 (p &lt; 0.001). </w:t>
      </w:r>
      <w:r w:rsidRPr="00E83578">
        <w:t>For the PP population, the comparison was similar: at IT Day 180 proportions were 19.4% versus 17.8% (a difference of 1.7% (p = 0.685).</w:t>
      </w:r>
    </w:p>
    <w:p w:rsidR="00774227" w:rsidRPr="001F7E39" w:rsidRDefault="00774227" w:rsidP="004E2C51">
      <w:pPr>
        <w:pStyle w:val="Tabletitle"/>
        <w:numPr>
          <w:ilvl w:val="0"/>
          <w:numId w:val="21"/>
        </w:numPr>
        <w:spacing w:after="120" w:line="240" w:lineRule="auto"/>
        <w:ind w:left="1134" w:hanging="1134"/>
      </w:pPr>
      <w:bookmarkStart w:id="76" w:name="_Toc462652648"/>
      <w:r w:rsidRPr="001F7E39">
        <w:t xml:space="preserve">Proportion </w:t>
      </w:r>
      <w:r>
        <w:t>of patients with ≥ 15 letter</w:t>
      </w:r>
      <w:r w:rsidRPr="001F7E39">
        <w:t xml:space="preserve"> improvement </w:t>
      </w:r>
      <w:r>
        <w:t>from</w:t>
      </w:r>
      <w:r w:rsidRPr="001F7E39">
        <w:t xml:space="preserve"> </w:t>
      </w:r>
      <w:r>
        <w:t xml:space="preserve">Baseline </w:t>
      </w:r>
      <w:r w:rsidRPr="001F7E39">
        <w:t>BCVA (Study 00</w:t>
      </w:r>
      <w:r>
        <w:t>8</w:t>
      </w:r>
      <w:r w:rsidRPr="001F7E39">
        <w:t>)</w:t>
      </w:r>
      <w:bookmarkEnd w:id="76"/>
    </w:p>
    <w:p w:rsidR="00774227" w:rsidRDefault="00774227" w:rsidP="00774227">
      <w:pPr>
        <w:spacing w:line="220" w:lineRule="atLeast"/>
        <w:rPr>
          <w:b/>
        </w:rPr>
      </w:pPr>
      <w:r w:rsidRPr="001F7E39">
        <w:rPr>
          <w:b/>
          <w:noProof/>
          <w:lang w:eastAsia="en-AU"/>
        </w:rPr>
        <w:drawing>
          <wp:inline distT="0" distB="0" distL="0" distR="0" wp14:anchorId="14EAB67B" wp14:editId="0B673AD8">
            <wp:extent cx="3610470" cy="1676400"/>
            <wp:effectExtent l="0" t="0" r="9525" b="0"/>
            <wp:docPr id="93" name="Picture 93" descr="Proportion of patients with ≥ 15 letter improvement from Baseline BCVA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616752" cy="1679317"/>
                    </a:xfrm>
                    <a:prstGeom prst="rect">
                      <a:avLst/>
                    </a:prstGeom>
                  </pic:spPr>
                </pic:pic>
              </a:graphicData>
            </a:graphic>
          </wp:inline>
        </w:drawing>
      </w:r>
    </w:p>
    <w:p w:rsidR="00774227" w:rsidRPr="001F7E39" w:rsidRDefault="00774227" w:rsidP="00A45E9B">
      <w:pPr>
        <w:pStyle w:val="Heading5"/>
      </w:pPr>
      <w:r>
        <w:t>Results of other analyses of the primary efficacy outcome</w:t>
      </w:r>
    </w:p>
    <w:p w:rsidR="00774227" w:rsidRPr="001F7E39" w:rsidRDefault="00774227" w:rsidP="00774227">
      <w:pPr>
        <w:pStyle w:val="Heading6"/>
        <w:rPr>
          <w:lang w:eastAsia="ja-JP"/>
        </w:rPr>
      </w:pPr>
      <w:r>
        <w:rPr>
          <w:lang w:eastAsia="ja-JP"/>
        </w:rPr>
        <w:t xml:space="preserve">Proportion of patients with BCVA improvement ≥ </w:t>
      </w:r>
      <w:r w:rsidRPr="001F7E39">
        <w:rPr>
          <w:lang w:eastAsia="ja-JP"/>
        </w:rPr>
        <w:t xml:space="preserve">15 letters from </w:t>
      </w:r>
      <w:r w:rsidR="005B5F1B">
        <w:rPr>
          <w:lang w:eastAsia="ja-JP"/>
        </w:rPr>
        <w:t>b</w:t>
      </w:r>
      <w:r w:rsidRPr="001F7E39">
        <w:rPr>
          <w:lang w:eastAsia="ja-JP"/>
        </w:rPr>
        <w:t>aseline in diagnostic subgroups</w:t>
      </w:r>
    </w:p>
    <w:p w:rsidR="00774227" w:rsidRPr="001F7E39" w:rsidRDefault="00774227" w:rsidP="00774227">
      <w:r w:rsidRPr="001F7E39">
        <w:t xml:space="preserve">The proportion of </w:t>
      </w:r>
      <w:r>
        <w:t xml:space="preserve">BRVO diagnosed </w:t>
      </w:r>
      <w:r w:rsidRPr="001F7E39">
        <w:t>patients with BCVA improvement of 15 or more letters fr</w:t>
      </w:r>
      <w:r>
        <w:t>om B</w:t>
      </w:r>
      <w:r w:rsidRPr="001F7E39">
        <w:t xml:space="preserve">aseline was significantly higher with DEX 700 compared to Sham at IT visit Days 30, 60, and 90 (p ≤ 0.021) </w:t>
      </w:r>
      <w:r>
        <w:t xml:space="preserve">but with no statistically significant difference </w:t>
      </w:r>
      <w:r w:rsidRPr="001F7E39">
        <w:t>at IT Day 180</w:t>
      </w:r>
      <w:r>
        <w:t xml:space="preserve"> (2.1%; p = 0.678). Results were similar for the PP population.</w:t>
      </w:r>
    </w:p>
    <w:p w:rsidR="00774227" w:rsidRPr="001F7E39" w:rsidRDefault="00774227" w:rsidP="004E2C51">
      <w:pPr>
        <w:pStyle w:val="Tabletitle"/>
        <w:numPr>
          <w:ilvl w:val="0"/>
          <w:numId w:val="21"/>
        </w:numPr>
        <w:spacing w:after="120" w:line="240" w:lineRule="auto"/>
        <w:ind w:left="1134" w:hanging="1134"/>
      </w:pPr>
      <w:bookmarkStart w:id="77" w:name="_Toc462652649"/>
      <w:r>
        <w:t>Proportion with ≥ 15 letters from Baseline BCVA (BRVO subgroup) (Study 008)</w:t>
      </w:r>
      <w:bookmarkEnd w:id="77"/>
    </w:p>
    <w:p w:rsidR="00774227" w:rsidRPr="001F7E39" w:rsidRDefault="00774227" w:rsidP="00774227">
      <w:pPr>
        <w:spacing w:line="220" w:lineRule="atLeast"/>
        <w:rPr>
          <w:b/>
        </w:rPr>
      </w:pPr>
      <w:r w:rsidRPr="001F7E39">
        <w:rPr>
          <w:b/>
          <w:noProof/>
          <w:lang w:eastAsia="en-AU"/>
        </w:rPr>
        <w:drawing>
          <wp:inline distT="0" distB="0" distL="0" distR="0" wp14:anchorId="12491FC0" wp14:editId="1A53D3D5">
            <wp:extent cx="4078224" cy="1289258"/>
            <wp:effectExtent l="19050" t="19050" r="17780" b="25400"/>
            <wp:docPr id="97" name="Picture 97" descr="Proportion with ≥ 15 letters from Baseline BCVA (BRVO subgroup)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48000"/>
                              </a14:imgEffect>
                              <a14:imgEffect>
                                <a14:brightnessContrast contrast="49000"/>
                              </a14:imgEffect>
                            </a14:imgLayer>
                          </a14:imgProps>
                        </a:ext>
                      </a:extLst>
                    </a:blip>
                    <a:stretch>
                      <a:fillRect/>
                    </a:stretch>
                  </pic:blipFill>
                  <pic:spPr>
                    <a:xfrm>
                      <a:off x="0" y="0"/>
                      <a:ext cx="4082595" cy="1290640"/>
                    </a:xfrm>
                    <a:prstGeom prst="rect">
                      <a:avLst/>
                    </a:prstGeom>
                    <a:ln w="3175">
                      <a:solidFill>
                        <a:sysClr val="windowText" lastClr="000000"/>
                      </a:solidFill>
                    </a:ln>
                  </pic:spPr>
                </pic:pic>
              </a:graphicData>
            </a:graphic>
          </wp:inline>
        </w:drawing>
      </w:r>
    </w:p>
    <w:p w:rsidR="00774227" w:rsidRPr="001F7E39" w:rsidRDefault="00774227" w:rsidP="00774227">
      <w:r w:rsidRPr="001F7E39">
        <w:t>Amongst CRVO patients</w:t>
      </w:r>
      <w:r>
        <w:t xml:space="preserve"> comparisons between DEX 700 and Sham were non-significant at every IT visit. Results for the PP population were worse than the ITT population.</w:t>
      </w:r>
    </w:p>
    <w:p w:rsidR="00774227" w:rsidRPr="001F7E39" w:rsidRDefault="00774227" w:rsidP="004E2C51">
      <w:pPr>
        <w:pStyle w:val="Tabletitle"/>
        <w:numPr>
          <w:ilvl w:val="0"/>
          <w:numId w:val="21"/>
        </w:numPr>
        <w:spacing w:after="120" w:line="240" w:lineRule="auto"/>
        <w:ind w:left="1134" w:hanging="1134"/>
      </w:pPr>
      <w:bookmarkStart w:id="78" w:name="_Toc462652650"/>
      <w:r>
        <w:lastRenderedPageBreak/>
        <w:t>Proportion</w:t>
      </w:r>
      <w:r w:rsidRPr="001F7E39">
        <w:t xml:space="preserve"> </w:t>
      </w:r>
      <w:r>
        <w:t>≥ 15 letters improvement from Baseline BCVA (CRVO subgroup) (Study 009)</w:t>
      </w:r>
      <w:bookmarkEnd w:id="78"/>
    </w:p>
    <w:p w:rsidR="00774227" w:rsidRDefault="00774227" w:rsidP="00774227">
      <w:pPr>
        <w:spacing w:line="220" w:lineRule="atLeast"/>
        <w:rPr>
          <w:b/>
        </w:rPr>
      </w:pPr>
      <w:r w:rsidRPr="001F7E39">
        <w:rPr>
          <w:b/>
          <w:noProof/>
          <w:lang w:eastAsia="en-AU"/>
        </w:rPr>
        <w:drawing>
          <wp:inline distT="0" distB="0" distL="0" distR="0" wp14:anchorId="1CF24602" wp14:editId="157473FA">
            <wp:extent cx="4078224" cy="1213445"/>
            <wp:effectExtent l="19050" t="19050" r="17780" b="25400"/>
            <wp:docPr id="98" name="Picture 98" descr="Proportion ≥ 15 letters improvement from Baseline BCVA (CRVO subgroup)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084248" cy="1215237"/>
                    </a:xfrm>
                    <a:prstGeom prst="rect">
                      <a:avLst/>
                    </a:prstGeom>
                    <a:ln w="3175">
                      <a:solidFill>
                        <a:sysClr val="windowText" lastClr="000000"/>
                      </a:solidFill>
                    </a:ln>
                  </pic:spPr>
                </pic:pic>
              </a:graphicData>
            </a:graphic>
          </wp:inline>
        </w:drawing>
      </w:r>
    </w:p>
    <w:p w:rsidR="00774227" w:rsidRPr="004818A0" w:rsidRDefault="00774227" w:rsidP="001A6420">
      <w:r w:rsidRPr="004818A0">
        <w:t>Comment: The BRVO diagnostic subgroup showed a similar albeit slightly better response to the results of the overall ITT population. For the CRVO diagnostic subgroup there was no significant difference in response rate between DEX 700 and Sham at any IT visit although the comparison of DEX 350 and Sham was significant at IT Day 60 and 90.</w:t>
      </w:r>
      <w:r w:rsidRPr="004818A0">
        <w:br/>
        <w:t xml:space="preserve">These results are the inverse of those found in Study 206207-009 where the CRVO subgroup responded better and the BRVO subgroup responded worse than the overall DEX 700 treatment group. </w:t>
      </w:r>
    </w:p>
    <w:p w:rsidR="00774227" w:rsidRPr="00451F13" w:rsidRDefault="00774227" w:rsidP="00774227">
      <w:pPr>
        <w:pStyle w:val="Heading6"/>
        <w:rPr>
          <w:lang w:eastAsia="ja-JP"/>
        </w:rPr>
      </w:pPr>
      <w:r w:rsidRPr="00B73179">
        <w:rPr>
          <w:lang w:eastAsia="ja-JP"/>
        </w:rPr>
        <w:t xml:space="preserve">Proportion of patients with BCVA improvement ≥ 15 letters </w:t>
      </w:r>
      <w:r>
        <w:rPr>
          <w:lang w:eastAsia="ja-JP"/>
        </w:rPr>
        <w:t>(macular oedema ≥ 90 days duration)</w:t>
      </w:r>
    </w:p>
    <w:p w:rsidR="00774227" w:rsidRPr="001F7E39" w:rsidRDefault="00774227" w:rsidP="00774227">
      <w:r>
        <w:t>Excluding patients with &lt; 90 days history of macular oedema, differences between DEX 700 and Sham were significant at Days 30, 60 and 90 (p ≤ 0.013) with maximal difference at Day 60 (18.7%; p &lt; 0.001). At IT Day 180 there was effectively no numerical difference between DEX 700 and Sham (p = 0.985). Results are summarised in below.</w:t>
      </w:r>
    </w:p>
    <w:p w:rsidR="00774227" w:rsidRDefault="00774227" w:rsidP="004E2C51">
      <w:pPr>
        <w:pStyle w:val="Tabletitle"/>
        <w:numPr>
          <w:ilvl w:val="0"/>
          <w:numId w:val="21"/>
        </w:numPr>
        <w:spacing w:after="120" w:line="240" w:lineRule="auto"/>
        <w:ind w:left="1134" w:hanging="1134"/>
      </w:pPr>
      <w:bookmarkStart w:id="79" w:name="_Toc462652651"/>
      <w:r w:rsidRPr="00F04B9C">
        <w:t>Proportions with &gt; 15 letter BCVA improvement (macular oedema ≥ 90 days duration)</w:t>
      </w:r>
      <w:r>
        <w:t xml:space="preserve"> (Study 008)</w:t>
      </w:r>
      <w:bookmarkEnd w:id="79"/>
    </w:p>
    <w:p w:rsidR="00774227" w:rsidRDefault="00774227" w:rsidP="00774227">
      <w:pPr>
        <w:spacing w:line="220" w:lineRule="atLeast"/>
        <w:rPr>
          <w:b/>
        </w:rPr>
      </w:pPr>
      <w:r w:rsidRPr="001F7E39">
        <w:rPr>
          <w:b/>
          <w:noProof/>
          <w:lang w:eastAsia="en-AU"/>
        </w:rPr>
        <w:drawing>
          <wp:inline distT="0" distB="0" distL="0" distR="0" wp14:anchorId="2F91E89B" wp14:editId="0B955149">
            <wp:extent cx="4705441" cy="1402080"/>
            <wp:effectExtent l="19050" t="19050" r="19050" b="26670"/>
            <wp:docPr id="99" name="Picture 99" descr="Proportions with &gt; 15 letter BCVA improvement (macular oedema ≥ 90 days duration)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717006" cy="1405526"/>
                    </a:xfrm>
                    <a:prstGeom prst="rect">
                      <a:avLst/>
                    </a:prstGeom>
                    <a:ln w="3175">
                      <a:solidFill>
                        <a:sysClr val="windowText" lastClr="000000"/>
                      </a:solidFill>
                    </a:ln>
                  </pic:spPr>
                </pic:pic>
              </a:graphicData>
            </a:graphic>
          </wp:inline>
        </w:drawing>
      </w:r>
    </w:p>
    <w:p w:rsidR="00774227" w:rsidRDefault="00774227" w:rsidP="00A45E9B">
      <w:pPr>
        <w:pStyle w:val="Heading5"/>
      </w:pPr>
      <w:r>
        <w:t>Results of other analyses of the primary efficacy variable</w:t>
      </w:r>
    </w:p>
    <w:p w:rsidR="00774227" w:rsidRDefault="00774227" w:rsidP="00774227">
      <w:pPr>
        <w:pStyle w:val="Heading6"/>
      </w:pPr>
      <w:r>
        <w:t xml:space="preserve">Proportion of patients with BCVA improvement of ≥ 10 letters from </w:t>
      </w:r>
      <w:r w:rsidR="005B5F1B">
        <w:t>b</w:t>
      </w:r>
      <w:r>
        <w:t>aseline</w:t>
      </w:r>
    </w:p>
    <w:p w:rsidR="00774227" w:rsidRDefault="00774227" w:rsidP="00774227">
      <w:r>
        <w:t xml:space="preserve">The proportion of patients with ≥ 10 letters improvement from Baseline was significantly higher with DEX 700 to Sham at IT Days 30, 60, and 90 (p ≤ 0.010) as summarised </w:t>
      </w:r>
      <w:r w:rsidR="005D248C">
        <w:t xml:space="preserve">below </w:t>
      </w:r>
      <w:r>
        <w:t>but not at IT Day 180 where a 2.6% difference between DEX 700 and Sham (p = 0.567). Results were similar for the PP population.</w:t>
      </w:r>
    </w:p>
    <w:p w:rsidR="00774227" w:rsidRDefault="00774227" w:rsidP="004E2C51">
      <w:pPr>
        <w:pStyle w:val="Tabletitle"/>
        <w:numPr>
          <w:ilvl w:val="0"/>
          <w:numId w:val="21"/>
        </w:numPr>
        <w:spacing w:after="120" w:line="240" w:lineRule="auto"/>
        <w:ind w:left="1134" w:hanging="1134"/>
      </w:pPr>
      <w:bookmarkStart w:id="80" w:name="_Toc462652652"/>
      <w:r>
        <w:lastRenderedPageBreak/>
        <w:t>Proportion with BCVA improvement &gt; 10 letters from Baseline (Study 008)</w:t>
      </w:r>
      <w:bookmarkEnd w:id="80"/>
    </w:p>
    <w:p w:rsidR="00774227" w:rsidRDefault="00774227" w:rsidP="00774227">
      <w:r>
        <w:rPr>
          <w:noProof/>
          <w:lang w:eastAsia="en-AU"/>
        </w:rPr>
        <w:drawing>
          <wp:inline distT="0" distB="0" distL="0" distR="0" wp14:anchorId="7A5C223A" wp14:editId="3B99FA90">
            <wp:extent cx="4124716" cy="1938528"/>
            <wp:effectExtent l="0" t="0" r="0" b="5080"/>
            <wp:docPr id="10" name="Picture 10" descr="Proportion with BCVA improvement &gt; 10 letters from Baseline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25356" cy="1938829"/>
                    </a:xfrm>
                    <a:prstGeom prst="rect">
                      <a:avLst/>
                    </a:prstGeom>
                  </pic:spPr>
                </pic:pic>
              </a:graphicData>
            </a:graphic>
          </wp:inline>
        </w:drawing>
      </w:r>
    </w:p>
    <w:p w:rsidR="00774227" w:rsidRDefault="00774227" w:rsidP="00774227">
      <w:r>
        <w:t>In the BRVO subgroup differences between DEX 700 and Sham were significant at Days 30, 60 and 90 (p ≤ 0.014) but not at Day 180 where the comparison in response rates was 37.9% versus 33.1% (difference 4.8%; p = 0.412). Rates in the DEX 700 group and differences versus Sham were maximal at IT Day 60 (51.4% versus 28.5%, difference 23.0%; p &lt; 0.001).  Findings were similar in the PP population to the ITT population.</w:t>
      </w:r>
    </w:p>
    <w:p w:rsidR="00774227" w:rsidRPr="009B6FA3" w:rsidRDefault="00774227" w:rsidP="001A6420">
      <w:r w:rsidRPr="009B6FA3">
        <w:t>Evaluator’s comment: Note, as with Study 009 separate data was not given for the CRVO subgroup.</w:t>
      </w:r>
    </w:p>
    <w:p w:rsidR="00774227" w:rsidRDefault="00774227" w:rsidP="00774227">
      <w:pPr>
        <w:pStyle w:val="Heading6"/>
      </w:pPr>
      <w:r>
        <w:t xml:space="preserve">Mean change from </w:t>
      </w:r>
      <w:r w:rsidR="005B5F1B">
        <w:t>b</w:t>
      </w:r>
      <w:r>
        <w:t>aseline BCVA</w:t>
      </w:r>
    </w:p>
    <w:p w:rsidR="00774227" w:rsidRPr="00552F86" w:rsidRDefault="00774227" w:rsidP="00774227">
      <w:r>
        <w:t xml:space="preserve">In the ITT population, the mean changes from Baseline BCVA number of letters read correctly in are summarised in the </w:t>
      </w:r>
      <w:r w:rsidR="005D248C">
        <w:t>table</w:t>
      </w:r>
      <w:r>
        <w:t>. Changes were significantly greater with DEX compared to Sham at IT Days 30, 60, and 90 (p ≤ 0.003), and peaked at Day 60 with a difference of 6.4 letters between DEX 700 and Sham (p &lt; 0.001). At IT Day 180 there was 1.9 letters difference between groups (p = 0.154)</w:t>
      </w:r>
    </w:p>
    <w:p w:rsidR="00774227" w:rsidRPr="009B6FA3" w:rsidRDefault="00774227" w:rsidP="004E2C51">
      <w:pPr>
        <w:pStyle w:val="Tabletitle"/>
        <w:numPr>
          <w:ilvl w:val="0"/>
          <w:numId w:val="21"/>
        </w:numPr>
        <w:spacing w:after="120" w:line="240" w:lineRule="auto"/>
        <w:ind w:left="1134" w:hanging="1134"/>
      </w:pPr>
      <w:bookmarkStart w:id="81" w:name="_Toc462652653"/>
      <w:r w:rsidRPr="009B6FA3">
        <w:t>Mean change in letters from Baseline BCVA (Study 008)</w:t>
      </w:r>
      <w:bookmarkEnd w:id="81"/>
    </w:p>
    <w:p w:rsidR="00774227" w:rsidRPr="001F7E39" w:rsidRDefault="00774227" w:rsidP="00774227">
      <w:r w:rsidRPr="001F7E39">
        <w:rPr>
          <w:noProof/>
          <w:lang w:eastAsia="en-AU"/>
        </w:rPr>
        <w:drawing>
          <wp:inline distT="0" distB="0" distL="0" distR="0" wp14:anchorId="1D2E4AF2" wp14:editId="13FDD738">
            <wp:extent cx="3951798" cy="1674870"/>
            <wp:effectExtent l="0" t="0" r="0" b="1905"/>
            <wp:docPr id="102" name="Picture 102" descr="Mean change in letters from Baseline BCVA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52593" cy="1675207"/>
                    </a:xfrm>
                    <a:prstGeom prst="rect">
                      <a:avLst/>
                    </a:prstGeom>
                  </pic:spPr>
                </pic:pic>
              </a:graphicData>
            </a:graphic>
          </wp:inline>
        </w:drawing>
      </w:r>
    </w:p>
    <w:p w:rsidR="00774227" w:rsidRDefault="00774227" w:rsidP="00774227">
      <w:r w:rsidRPr="001F7E39">
        <w:t>In the BRVO subgroup, mean change from Baseline BCVA in the number of letters read correctly in the study eye were sign</w:t>
      </w:r>
      <w:r>
        <w:t xml:space="preserve">ificantly greater with DEX 700 </w:t>
      </w:r>
      <w:r w:rsidRPr="001F7E39">
        <w:t>compared to Sham at IT visit D</w:t>
      </w:r>
      <w:r>
        <w:t xml:space="preserve">ays 30, 60, and 90 (p ≤ 0.018). </w:t>
      </w:r>
      <w:r w:rsidRPr="001F7E39">
        <w:t xml:space="preserve">Results were similar for the CRVO subgroup with </w:t>
      </w:r>
      <w:r>
        <w:t xml:space="preserve">comparisons between DEX 700 and Sham significant at </w:t>
      </w:r>
      <w:r w:rsidRPr="001F7E39">
        <w:t>IT visit Days 30</w:t>
      </w:r>
      <w:r>
        <w:t>, 60, and 90 (p ≤ 0.046) as summarised below.</w:t>
      </w:r>
    </w:p>
    <w:p w:rsidR="00774227" w:rsidRDefault="00774227" w:rsidP="005B5F1B">
      <w:pPr>
        <w:pStyle w:val="Tabletitle"/>
        <w:pageBreakBefore/>
        <w:numPr>
          <w:ilvl w:val="0"/>
          <w:numId w:val="21"/>
        </w:numPr>
        <w:spacing w:after="120" w:line="240" w:lineRule="auto"/>
        <w:ind w:left="1134" w:hanging="1134"/>
      </w:pPr>
      <w:bookmarkStart w:id="82" w:name="_Toc462652654"/>
      <w:r>
        <w:lastRenderedPageBreak/>
        <w:t>Mean change in letters from Baseline BCVA according to diagnostic subgroup (Study 008)</w:t>
      </w:r>
      <w:bookmarkEnd w:id="82"/>
    </w:p>
    <w:tbl>
      <w:tblPr>
        <w:tblStyle w:val="TableTGAblue"/>
        <w:tblW w:w="0" w:type="auto"/>
        <w:tblLook w:val="04A0" w:firstRow="1" w:lastRow="0" w:firstColumn="1" w:lastColumn="0" w:noHBand="0" w:noVBand="1"/>
        <w:tblDescription w:val="Mean change in letters from Baseline BCVA according to diagnostic subgroup (Study 008)"/>
      </w:tblPr>
      <w:tblGrid>
        <w:gridCol w:w="1279"/>
        <w:gridCol w:w="1276"/>
        <w:gridCol w:w="1162"/>
        <w:gridCol w:w="1248"/>
        <w:gridCol w:w="1276"/>
        <w:gridCol w:w="1064"/>
        <w:gridCol w:w="1248"/>
      </w:tblGrid>
      <w:tr w:rsidR="00774227" w:rsidRPr="00F64F8C" w:rsidTr="00C16F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2" w:type="dxa"/>
          </w:tcPr>
          <w:p w:rsidR="00774227" w:rsidRPr="00F64F8C" w:rsidRDefault="00774227" w:rsidP="00F64F8C">
            <w:pPr>
              <w:rPr>
                <w:sz w:val="20"/>
                <w:szCs w:val="20"/>
              </w:rPr>
            </w:pPr>
            <w:r w:rsidRPr="00F64F8C">
              <w:rPr>
                <w:sz w:val="20"/>
                <w:szCs w:val="20"/>
              </w:rPr>
              <w:t>Visit</w:t>
            </w:r>
          </w:p>
        </w:tc>
        <w:tc>
          <w:tcPr>
            <w:tcW w:w="1276"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BRVO</w:t>
            </w:r>
          </w:p>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DEX 700</w:t>
            </w:r>
          </w:p>
        </w:tc>
        <w:tc>
          <w:tcPr>
            <w:tcW w:w="1162"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Sham</w:t>
            </w:r>
          </w:p>
        </w:tc>
        <w:tc>
          <w:tcPr>
            <w:tcW w:w="1248"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P-value</w:t>
            </w:r>
          </w:p>
        </w:tc>
        <w:tc>
          <w:tcPr>
            <w:tcW w:w="1276"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CRVO</w:t>
            </w:r>
            <w:r w:rsidR="00F64F8C" w:rsidRPr="00F64F8C">
              <w:rPr>
                <w:sz w:val="20"/>
                <w:szCs w:val="20"/>
              </w:rPr>
              <w:t xml:space="preserve"> </w:t>
            </w:r>
            <w:r w:rsidRPr="00F64F8C">
              <w:rPr>
                <w:sz w:val="20"/>
                <w:szCs w:val="20"/>
              </w:rPr>
              <w:t>DEX 700</w:t>
            </w:r>
          </w:p>
        </w:tc>
        <w:tc>
          <w:tcPr>
            <w:tcW w:w="1020"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Sham</w:t>
            </w:r>
          </w:p>
        </w:tc>
        <w:tc>
          <w:tcPr>
            <w:tcW w:w="1248"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P-value</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64F8C" w:rsidRDefault="00774227" w:rsidP="00F64F8C">
            <w:pPr>
              <w:rPr>
                <w:sz w:val="20"/>
                <w:szCs w:val="20"/>
              </w:rPr>
            </w:pPr>
            <w:r w:rsidRPr="00F64F8C">
              <w:rPr>
                <w:sz w:val="20"/>
                <w:szCs w:val="20"/>
              </w:rPr>
              <w:t>Baseline</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54.9</w:t>
            </w:r>
          </w:p>
        </w:tc>
        <w:tc>
          <w:tcPr>
            <w:tcW w:w="1162"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54.6</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0.826</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53.6</w:t>
            </w:r>
          </w:p>
        </w:tc>
        <w:tc>
          <w:tcPr>
            <w:tcW w:w="102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54.2</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0.765</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64F8C" w:rsidRDefault="00774227" w:rsidP="00F64F8C">
            <w:pPr>
              <w:rPr>
                <w:sz w:val="20"/>
                <w:szCs w:val="20"/>
              </w:rPr>
            </w:pPr>
            <w:r w:rsidRPr="00F64F8C">
              <w:rPr>
                <w:sz w:val="20"/>
                <w:szCs w:val="20"/>
              </w:rPr>
              <w:t>Day 30</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8.4</w:t>
            </w:r>
          </w:p>
        </w:tc>
        <w:tc>
          <w:tcPr>
            <w:tcW w:w="1162"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3.4</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&lt; 0.001</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5.9</w:t>
            </w:r>
          </w:p>
        </w:tc>
        <w:tc>
          <w:tcPr>
            <w:tcW w:w="102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0.9</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0.006</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64F8C" w:rsidRDefault="00774227" w:rsidP="00F64F8C">
            <w:pPr>
              <w:rPr>
                <w:sz w:val="20"/>
                <w:szCs w:val="20"/>
              </w:rPr>
            </w:pPr>
            <w:r w:rsidRPr="00F64F8C">
              <w:rPr>
                <w:sz w:val="20"/>
                <w:szCs w:val="20"/>
              </w:rPr>
              <w:t>Day 60</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10.0</w:t>
            </w:r>
          </w:p>
        </w:tc>
        <w:tc>
          <w:tcPr>
            <w:tcW w:w="1162"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4.4</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&lt; 0.001</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8.2</w:t>
            </w:r>
          </w:p>
        </w:tc>
        <w:tc>
          <w:tcPr>
            <w:tcW w:w="102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0.7</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&lt; 0.001</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64F8C" w:rsidRDefault="00774227" w:rsidP="00F64F8C">
            <w:pPr>
              <w:rPr>
                <w:sz w:val="20"/>
                <w:szCs w:val="20"/>
              </w:rPr>
            </w:pPr>
            <w:r w:rsidRPr="00F64F8C">
              <w:rPr>
                <w:sz w:val="20"/>
                <w:szCs w:val="20"/>
              </w:rPr>
              <w:t>Day 90</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8.0</w:t>
            </w:r>
          </w:p>
        </w:tc>
        <w:tc>
          <w:tcPr>
            <w:tcW w:w="1162"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4.1</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&lt; 0.001</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5.2</w:t>
            </w:r>
          </w:p>
        </w:tc>
        <w:tc>
          <w:tcPr>
            <w:tcW w:w="102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4.9</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0.046</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242" w:type="dxa"/>
          </w:tcPr>
          <w:p w:rsidR="00774227" w:rsidRPr="00F64F8C" w:rsidRDefault="00774227" w:rsidP="00F64F8C">
            <w:pPr>
              <w:rPr>
                <w:sz w:val="20"/>
                <w:szCs w:val="20"/>
              </w:rPr>
            </w:pPr>
            <w:r w:rsidRPr="00F64F8C">
              <w:rPr>
                <w:sz w:val="20"/>
                <w:szCs w:val="20"/>
              </w:rPr>
              <w:t>Day 180</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6.8</w:t>
            </w:r>
          </w:p>
        </w:tc>
        <w:tc>
          <w:tcPr>
            <w:tcW w:w="1162"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4.8</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0.157</w:t>
            </w:r>
          </w:p>
        </w:tc>
        <w:tc>
          <w:tcPr>
            <w:tcW w:w="1276"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-0.3</w:t>
            </w:r>
          </w:p>
        </w:tc>
        <w:tc>
          <w:tcPr>
            <w:tcW w:w="102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-0.9</w:t>
            </w:r>
          </w:p>
        </w:tc>
        <w:tc>
          <w:tcPr>
            <w:tcW w:w="124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0.807</w:t>
            </w:r>
          </w:p>
        </w:tc>
      </w:tr>
    </w:tbl>
    <w:p w:rsidR="00774227" w:rsidRPr="001F7E39" w:rsidRDefault="00774227" w:rsidP="00774227">
      <w:pPr>
        <w:pStyle w:val="Heading6"/>
      </w:pPr>
      <w:r w:rsidRPr="001F7E39">
        <w:t xml:space="preserve">Time to </w:t>
      </w:r>
      <w:r>
        <w:t>treatment response analysis</w:t>
      </w:r>
    </w:p>
    <w:p w:rsidR="00774227" w:rsidRDefault="00774227" w:rsidP="00774227">
      <w:r>
        <w:t xml:space="preserve">The cumulative response rates are depicted in </w:t>
      </w:r>
      <w:r>
        <w:fldChar w:fldCharType="begin"/>
      </w:r>
      <w:r>
        <w:instrText xml:space="preserve"> REF _Ref462645969 \h </w:instrText>
      </w:r>
      <w:r>
        <w:fldChar w:fldCharType="separate"/>
      </w:r>
      <w:r w:rsidR="00DC483E" w:rsidRPr="001F7E39">
        <w:rPr>
          <w:b/>
          <w:szCs w:val="18"/>
        </w:rPr>
        <w:t xml:space="preserve">Figure </w:t>
      </w:r>
      <w:r w:rsidR="00DC483E">
        <w:rPr>
          <w:b/>
          <w:noProof/>
          <w:szCs w:val="18"/>
        </w:rPr>
        <w:t>4</w:t>
      </w:r>
      <w:r>
        <w:fldChar w:fldCharType="end"/>
      </w:r>
      <w:r>
        <w:t xml:space="preserve"> below. Overall, cumulative response rate curves were significantly different in the DEX 700 group compared to the Sham group (p = 0.001). Cumulative response rates were consistently higher with DEX 700 compared with Sham, with separation of curves as early as IT Day 30 and no crossover during the initial treatment period. Similar results were also found in the PP population (DEX 700 and DEX 350 groups compared to the Sham group (p ≤ 0.007)).</w:t>
      </w:r>
    </w:p>
    <w:p w:rsidR="00774227" w:rsidRPr="001F7E39" w:rsidRDefault="00774227" w:rsidP="00593F09">
      <w:pPr>
        <w:pStyle w:val="FigureTitle"/>
        <w:numPr>
          <w:ilvl w:val="0"/>
          <w:numId w:val="20"/>
        </w:numPr>
        <w:ind w:left="1134" w:hanging="1134"/>
      </w:pPr>
      <w:bookmarkStart w:id="83" w:name="_Toc462652397"/>
      <w:r w:rsidRPr="001F7E39">
        <w:t xml:space="preserve">Time to ≥ 15 letters improvement in BCVA </w:t>
      </w:r>
      <w:r>
        <w:t>(Study 008)</w:t>
      </w:r>
      <w:bookmarkEnd w:id="83"/>
    </w:p>
    <w:p w:rsidR="00774227" w:rsidRDefault="00774227" w:rsidP="00F64F8C">
      <w:r w:rsidRPr="001F7E39">
        <w:rPr>
          <w:noProof/>
          <w:lang w:eastAsia="en-AU"/>
        </w:rPr>
        <w:drawing>
          <wp:inline distT="0" distB="0" distL="0" distR="0" wp14:anchorId="612AEA28" wp14:editId="4665F352">
            <wp:extent cx="4395216" cy="1375674"/>
            <wp:effectExtent l="0" t="0" r="5715" b="0"/>
            <wp:docPr id="95" name="Picture 95" descr="Time to ≥ 15 letters improvement in BCVA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17179" cy="1382548"/>
                    </a:xfrm>
                    <a:prstGeom prst="rect">
                      <a:avLst/>
                    </a:prstGeom>
                  </pic:spPr>
                </pic:pic>
              </a:graphicData>
            </a:graphic>
          </wp:inline>
        </w:drawing>
      </w:r>
    </w:p>
    <w:p w:rsidR="00774227" w:rsidRPr="009B6FA3" w:rsidRDefault="00774227" w:rsidP="001A6420">
      <w:r w:rsidRPr="009B6FA3">
        <w:t>Evaluator’s comment: The time to 15 or more letters improvement in BCVA from Baseline was one of two major protocol amendments and replaced the original (as per protocol) primary efficacy endpoint reportedly in agreement with the FDA. For the EMEA submission it served as a secondary efficacy analysis. In this evaluation, it is considered a poor primary efficacy endpoint and is misleading – although it captures the early differences in treatment-response that occurred at the Day 30 and 60 visits, it fails to describe changes in efficacy from Day 90 to Day 180 nor the long term placebo response.</w:t>
      </w:r>
    </w:p>
    <w:p w:rsidR="00774227" w:rsidRDefault="00774227" w:rsidP="00A45E9B">
      <w:pPr>
        <w:pStyle w:val="Heading5"/>
      </w:pPr>
      <w:r>
        <w:t>Results for other efficacy outcomes</w:t>
      </w:r>
    </w:p>
    <w:p w:rsidR="00774227" w:rsidRPr="001F7E39" w:rsidRDefault="00774227" w:rsidP="00774227">
      <w:pPr>
        <w:pStyle w:val="Heading6"/>
      </w:pPr>
      <w:r w:rsidRPr="001F7E39">
        <w:t>Retin</w:t>
      </w:r>
      <w:r>
        <w:t>al thickness measured by OCT</w:t>
      </w:r>
    </w:p>
    <w:p w:rsidR="00774227" w:rsidRDefault="00774227" w:rsidP="00774227">
      <w:r>
        <w:t>In</w:t>
      </w:r>
      <w:r w:rsidRPr="001F7E39">
        <w:t xml:space="preserve"> ITT population, mean central retinal thickness </w:t>
      </w:r>
      <w:r>
        <w:t>at Baseline was comparable between DEX 700 and Sham at</w:t>
      </w:r>
      <w:r w:rsidRPr="001F7E39">
        <w:t xml:space="preserve"> 548.9 microns and 534.4 microns </w:t>
      </w:r>
      <w:r>
        <w:t xml:space="preserve">respectively. </w:t>
      </w:r>
      <w:r w:rsidRPr="001F7E39">
        <w:t>At IT visit Day 90 the mean decrease in retinal thickness was significantly greater with DEX 700 (-199.3 microns</w:t>
      </w:r>
      <w:r>
        <w:t xml:space="preserve">) </w:t>
      </w:r>
      <w:r w:rsidRPr="001F7E39">
        <w:t>compared to S</w:t>
      </w:r>
      <w:r>
        <w:t>ham (-78.2 microns), a difference of -121.1 microns (p &lt; 0.001). At IT Day 180, mean decrease was -105.0 versus -110.3 microns in the DEX 700 and Sham groups respectively with effectively no difference between groups (5.4 microns; p = 0.779). Results were similar for the PP population.</w:t>
      </w:r>
    </w:p>
    <w:p w:rsidR="00774227" w:rsidRDefault="00774227" w:rsidP="00774227">
      <w:r w:rsidRPr="001F7E39">
        <w:lastRenderedPageBreak/>
        <w:t xml:space="preserve">For BRVO patients, mean central retinal thickness was significantly less at Day 90 </w:t>
      </w:r>
      <w:r>
        <w:t>in the</w:t>
      </w:r>
      <w:r w:rsidRPr="001F7E39">
        <w:t xml:space="preserve"> DEX 700</w:t>
      </w:r>
      <w:r>
        <w:t xml:space="preserve"> group</w:t>
      </w:r>
      <w:r w:rsidRPr="001F7E39">
        <w:t xml:space="preserve"> (-160.5 microns) c</w:t>
      </w:r>
      <w:r>
        <w:t>ompared to Sham (-71.4 microns)</w:t>
      </w:r>
      <w:r w:rsidRPr="001F7E39">
        <w:t xml:space="preserve"> </w:t>
      </w:r>
      <w:r>
        <w:t>(</w:t>
      </w:r>
      <w:r w:rsidRPr="001F7E39">
        <w:t>p ≤ 0.003</w:t>
      </w:r>
      <w:r>
        <w:t>)</w:t>
      </w:r>
      <w:r w:rsidRPr="001F7E39">
        <w:t xml:space="preserve">. </w:t>
      </w:r>
      <w:r>
        <w:t xml:space="preserve">At </w:t>
      </w:r>
      <w:r w:rsidRPr="001F7E39">
        <w:t>IT visit Day 180</w:t>
      </w:r>
      <w:r>
        <w:t xml:space="preserve"> there effectively no difference between groups with a -6.6 micron difference between DEX 700 and Sham favouring Sham (p = 0.731)</w:t>
      </w:r>
      <w:r w:rsidRPr="001F7E39">
        <w:t>.</w:t>
      </w:r>
      <w:r>
        <w:t xml:space="preserve"> </w:t>
      </w:r>
      <w:r w:rsidRPr="001F7E39">
        <w:t xml:space="preserve">For CRVO patients, mean central retinal thickness was significantly less with DEX 700 compared to Sham (p </w:t>
      </w:r>
      <w:r>
        <w:t xml:space="preserve">&lt; 0.001) </w:t>
      </w:r>
      <w:r w:rsidRPr="001F7E39">
        <w:t>at IT visit Day 90</w:t>
      </w:r>
      <w:r>
        <w:t xml:space="preserve"> with mean decrease of -288.5 microns versus </w:t>
      </w:r>
      <w:r w:rsidRPr="001F7E39">
        <w:t>90.8 microns</w:t>
      </w:r>
      <w:r>
        <w:t xml:space="preserve"> in the DEX 700  versus Sham groups (</w:t>
      </w:r>
      <w:r w:rsidRPr="001F7E39">
        <w:t>p ≤ 0.0</w:t>
      </w:r>
      <w:r>
        <w:t xml:space="preserve">01). At IT Day 180 there was only a -1.3 difference between groups favouring Sham (p = 0.977) </w:t>
      </w:r>
    </w:p>
    <w:p w:rsidR="00774227" w:rsidRDefault="00774227" w:rsidP="00774227">
      <w:pPr>
        <w:pStyle w:val="Heading6"/>
      </w:pPr>
      <w:r>
        <w:t>Other outcomes</w:t>
      </w:r>
    </w:p>
    <w:p w:rsidR="00774227" w:rsidRPr="001F7E39" w:rsidRDefault="00774227" w:rsidP="00774227">
      <w:r>
        <w:t xml:space="preserve">At Baseline, central retinal thickening in the study eye assessed by fundus photography was graded as definite for approximately 90% of patients in each treatment group. At IT Day 90 proportions of patients with central retinal thinking graded as ‘present’ was significantly different for the DEX 700 group (71.6%) compared to Sham (82.1%) (p = 0.004). At Day 180 there were no significant differences between DEX 700 and Sham with central retinal thickening was graded ‘present’ for 77.6% of Sham versus 74.1% of DEX 700 (p = 0.934). </w:t>
      </w:r>
    </w:p>
    <w:p w:rsidR="00774227" w:rsidRDefault="00774227" w:rsidP="00774227">
      <w:r>
        <w:t>Fluorescein leakage at the macula was graded as improved, unchanged, or worsening from Baseline. At IT day 180, change from Baseline in fluorescein leakage at the macula was improved from Baseline for 50.8% (91/179) of patients in the DEX 700 group, 46.4% (85/183) in the DEX 350 group, and 40.2% (74/184) in the Sham group. The difference between the DEX 700 group and the Sham group was statistically significant (p = 0.023).</w:t>
      </w:r>
    </w:p>
    <w:p w:rsidR="00774227" w:rsidRDefault="00774227" w:rsidP="00774227">
      <w:r w:rsidRPr="00054FF6">
        <w:t xml:space="preserve">There were no statistically significant differences between treatment groups at Baseline or IT Day 180 in either the mean number of letters read correctly or </w:t>
      </w:r>
      <w:proofErr w:type="gramStart"/>
      <w:r w:rsidRPr="00054FF6">
        <w:t>mean</w:t>
      </w:r>
      <w:proofErr w:type="gramEnd"/>
      <w:r w:rsidRPr="00054FF6">
        <w:t xml:space="preserve"> change from Baseline in the number of letters read correctly in the study </w:t>
      </w:r>
      <w:r>
        <w:t>eye using contrast sensitivity.</w:t>
      </w:r>
    </w:p>
    <w:p w:rsidR="00774227" w:rsidRDefault="00774227" w:rsidP="00A45E9B">
      <w:pPr>
        <w:pStyle w:val="Heading5"/>
      </w:pPr>
      <w:r>
        <w:t>Efficacy in the re-treatment population</w:t>
      </w:r>
    </w:p>
    <w:p w:rsidR="00774227" w:rsidRPr="001F7E39" w:rsidRDefault="00774227" w:rsidP="00774227">
      <w:pPr>
        <w:pStyle w:val="Heading6"/>
      </w:pPr>
      <w:r w:rsidRPr="001F7E39">
        <w:t>BCVA improvement of 1</w:t>
      </w:r>
      <w:r>
        <w:t xml:space="preserve">5 or more letters from </w:t>
      </w:r>
      <w:r w:rsidR="00F64F8C">
        <w:t>b</w:t>
      </w:r>
      <w:r>
        <w:t>aseline</w:t>
      </w:r>
    </w:p>
    <w:p w:rsidR="00774227" w:rsidRDefault="00774227" w:rsidP="00774227">
      <w:r>
        <w:t xml:space="preserve">Proportions with a BCVA improvement of ≥ 15 letters from Baseline in the re-treatment population are summarised </w:t>
      </w:r>
      <w:r w:rsidR="005D248C">
        <w:t>below</w:t>
      </w:r>
      <w:r>
        <w:t>. In the IT period, findings for the ITT population and the re-treatment population were generally similar. For the re-treatment population during the IT period differences were 10.4% at Day 30 (p = 0.005), 19.0% at Day 60 (p &lt; 0.001), 8.5% at Day 90 (p = 0.027) and -1.5% at Day 180 (p = 0.702).</w:t>
      </w:r>
    </w:p>
    <w:p w:rsidR="00774227" w:rsidRDefault="00774227" w:rsidP="00774227">
      <w:r>
        <w:t xml:space="preserve">Following re-treatment, rates achieving a ≥ 15 letter </w:t>
      </w:r>
      <w:proofErr w:type="gramStart"/>
      <w:r>
        <w:t>improvement</w:t>
      </w:r>
      <w:proofErr w:type="gramEnd"/>
      <w:r>
        <w:t xml:space="preserve"> in BCVA rose for all treatment groups with maximal rates in the DEX 700/700 group of 31.5% at OL Day 90 and rates of 26.4% at OL Days 60 and 90 for Sham/DEX 700. At the end of the OL extension at Day 180, 11.4% more DEX 700/700 and 3.2 % more Sham/DEX 700 patients were responders compared to IT Day 180. </w:t>
      </w:r>
      <w:r w:rsidRPr="002D6BE7">
        <w:t>At OL Day 180 there was a</w:t>
      </w:r>
      <w:r>
        <w:t xml:space="preserve"> </w:t>
      </w:r>
      <w:r w:rsidRPr="002D6BE7">
        <w:t>6.4% difference between</w:t>
      </w:r>
      <w:r>
        <w:t xml:space="preserve"> response rates in the DEX 700/700 and Sham/DEX 700 group, but comparisons at this and all other OL study visits were non-significant.</w:t>
      </w:r>
    </w:p>
    <w:p w:rsidR="00774227" w:rsidRPr="001F7E39" w:rsidRDefault="00774227" w:rsidP="004E2C51">
      <w:pPr>
        <w:pStyle w:val="Tabletitle"/>
        <w:numPr>
          <w:ilvl w:val="0"/>
          <w:numId w:val="21"/>
        </w:numPr>
        <w:spacing w:after="120" w:line="240" w:lineRule="auto"/>
        <w:ind w:left="1134" w:hanging="1134"/>
      </w:pPr>
      <w:bookmarkStart w:id="84" w:name="_Toc462652655"/>
      <w:r w:rsidRPr="001F7E39">
        <w:lastRenderedPageBreak/>
        <w:t>Proportion with ≥ 15 letters improvement in BCVA from Baseline (Study 008: Re-treatment population)</w:t>
      </w:r>
      <w:bookmarkEnd w:id="84"/>
    </w:p>
    <w:p w:rsidR="00774227" w:rsidRDefault="00C16FE2" w:rsidP="00774227">
      <w:pPr>
        <w:spacing w:line="220" w:lineRule="atLeast"/>
        <w:rPr>
          <w:b/>
        </w:rPr>
      </w:pPr>
      <w:r>
        <w:rPr>
          <w:noProof/>
          <w:lang w:eastAsia="en-AU"/>
        </w:rPr>
        <w:drawing>
          <wp:inline distT="0" distB="0" distL="0" distR="0" wp14:anchorId="09BF84AD" wp14:editId="13519FA4">
            <wp:extent cx="3619500" cy="1691640"/>
            <wp:effectExtent l="0" t="0" r="0" b="3810"/>
            <wp:docPr id="14" name="Picture 14" descr="Table 28: Proportion with ≥ 15 letters improvement in BCVA from Baseline (Study 008: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1691640"/>
                    </a:xfrm>
                    <a:prstGeom prst="rect">
                      <a:avLst/>
                    </a:prstGeom>
                  </pic:spPr>
                </pic:pic>
              </a:graphicData>
            </a:graphic>
          </wp:inline>
        </w:drawing>
      </w:r>
    </w:p>
    <w:p w:rsidR="00774227" w:rsidRDefault="00774227" w:rsidP="00774227">
      <w:r>
        <w:t>Overall, the results for the mean change in letters read correctly from BCVA Baseline during IT period was comparable between the ITT population and retreatment population. Differences between of the DEX 700/700 and Sham/DEX 700 groups were 4.9, 6.5, 4.3 and 2.1 letters at the same IT visits. Differences at IT Days 30 to 90 were significant (p &lt; 0.001) whereas the difference at IT Day 180 wasn’t (p = 0.124).</w:t>
      </w:r>
    </w:p>
    <w:p w:rsidR="00774227" w:rsidRPr="002D6BE7" w:rsidRDefault="00774227" w:rsidP="00774227">
      <w:r>
        <w:t xml:space="preserve">Following retreatment, all groups saw an improvement in mean number of letters read correctly compared to Baseline. Comparing DEX 700/700 and Sham/DEX 700, none of the differences were significant at any OL visit. The improvement in mean number of letters read correctly peaked on OL Day 60 at 8.7 and 7.3 letters for the DEX 700/700 and Sham/DEX 700 groups respectively. At the end of the OL extension, the change from IT Day 180 to OL Day 180 was 2.2 letters for DEX 700/700 and 1.8 letters for Sham/DEX 700. </w:t>
      </w:r>
    </w:p>
    <w:p w:rsidR="00774227" w:rsidRDefault="00774227" w:rsidP="004E2C51">
      <w:pPr>
        <w:pStyle w:val="Tabletitle"/>
        <w:numPr>
          <w:ilvl w:val="0"/>
          <w:numId w:val="21"/>
        </w:numPr>
        <w:spacing w:after="120" w:line="240" w:lineRule="auto"/>
        <w:ind w:left="1134" w:hanging="1134"/>
      </w:pPr>
      <w:bookmarkStart w:id="85" w:name="_Toc462652656"/>
      <w:r>
        <w:t>Mean change from Baseline (Re-treatment population)</w:t>
      </w:r>
      <w:bookmarkEnd w:id="85"/>
    </w:p>
    <w:p w:rsidR="00774227" w:rsidRDefault="00774227" w:rsidP="00774227">
      <w:pPr>
        <w:spacing w:line="220" w:lineRule="atLeast"/>
        <w:rPr>
          <w:b/>
        </w:rPr>
      </w:pPr>
      <w:r>
        <w:rPr>
          <w:noProof/>
          <w:lang w:eastAsia="en-AU"/>
        </w:rPr>
        <w:drawing>
          <wp:inline distT="0" distB="0" distL="0" distR="0" wp14:anchorId="3D66124C" wp14:editId="0FD8BE89">
            <wp:extent cx="2980944" cy="1944600"/>
            <wp:effectExtent l="0" t="0" r="0" b="0"/>
            <wp:docPr id="19" name="Picture 19" descr="Mean change from Baseline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2163" cy="1945395"/>
                    </a:xfrm>
                    <a:prstGeom prst="rect">
                      <a:avLst/>
                    </a:prstGeom>
                  </pic:spPr>
                </pic:pic>
              </a:graphicData>
            </a:graphic>
          </wp:inline>
        </w:drawing>
      </w:r>
    </w:p>
    <w:p w:rsidR="00774227" w:rsidRDefault="00774227" w:rsidP="00774227">
      <w:r>
        <w:t>Mean</w:t>
      </w:r>
      <w:r w:rsidRPr="00155B39">
        <w:t xml:space="preserve"> central retinal thickness at Baseline was comparable between </w:t>
      </w:r>
      <w:r>
        <w:t xml:space="preserve">the ITT and re-treatment populations. </w:t>
      </w:r>
      <w:r w:rsidRPr="00155B39">
        <w:t xml:space="preserve">At IT visit Day 90 the mean decrease in retinal thickness </w:t>
      </w:r>
      <w:r>
        <w:t xml:space="preserve">in </w:t>
      </w:r>
      <w:proofErr w:type="gramStart"/>
      <w:r>
        <w:t>the for</w:t>
      </w:r>
      <w:proofErr w:type="gramEnd"/>
      <w:r>
        <w:t xml:space="preserve"> the ITT population </w:t>
      </w:r>
      <w:r w:rsidRPr="00155B39">
        <w:t>was significantly greater with DEX 700 (-199.3 microns) compared to Sham (-78.2 microns)</w:t>
      </w:r>
      <w:r>
        <w:t>, a difference of -121.1 microns</w:t>
      </w:r>
      <w:r w:rsidRPr="00155B39">
        <w:t xml:space="preserve"> (p &lt; 0.001). At IT Day 180, mean decrease was -105.0 versus -110.3 microns in the DEX 700 and Sham groups respectively with effectively no difference between g</w:t>
      </w:r>
      <w:r>
        <w:t xml:space="preserve">roups (5.4 microns; p = 0.779). In the re-treatment population, mean decrease in central retinal thickness at IT Day 90 was -205.3 and -71.6 microns for DEX 700/700 and Sham/DEX respectively, with a difference of -133.7 microns (p &lt; 0.001). At IT Day 180, mean decrease was -99.1 versus -98.9 microns, a -0.2 micron difference (p = 0.994). Following re-treatment mean changes from Baseline were similar for both DEX 700/700 and Sham/DEX 700 at </w:t>
      </w:r>
      <w:r w:rsidRPr="00155B39">
        <w:t xml:space="preserve">-258.5 </w:t>
      </w:r>
      <w:r>
        <w:t xml:space="preserve">and </w:t>
      </w:r>
      <w:r w:rsidRPr="00155B39">
        <w:t>-271.3</w:t>
      </w:r>
      <w:r>
        <w:t xml:space="preserve"> microns on OL Day 90 (p = 0.575) and -160.3 and </w:t>
      </w:r>
      <w:r w:rsidRPr="00155B39">
        <w:t>-1</w:t>
      </w:r>
      <w:r>
        <w:t>66</w:t>
      </w:r>
      <w:r w:rsidRPr="00155B39">
        <w:t>.2</w:t>
      </w:r>
      <w:r>
        <w:t xml:space="preserve"> microns on OL Day 180 (p = 0.971).</w:t>
      </w:r>
    </w:p>
    <w:p w:rsidR="00774227" w:rsidRDefault="00774227" w:rsidP="00774227">
      <w:pPr>
        <w:pStyle w:val="Heading6"/>
      </w:pPr>
      <w:r>
        <w:lastRenderedPageBreak/>
        <w:t>Single-treatment population</w:t>
      </w:r>
    </w:p>
    <w:p w:rsidR="00774227" w:rsidRPr="00603282" w:rsidRDefault="00774227" w:rsidP="00774227">
      <w:r w:rsidRPr="00CC48C4">
        <w:t>Results for the single-treatment population are summarised</w:t>
      </w:r>
      <w:r w:rsidR="005D248C">
        <w:t xml:space="preserve"> </w:t>
      </w:r>
      <w:r w:rsidRPr="00CC48C4">
        <w:t>below.</w:t>
      </w:r>
      <w:r>
        <w:t xml:space="preserve"> During the OL extension, the response rates in the DEX 700 treated group remained static at 41.2% to 44.2% finishing 0.1% higher at the end of the OL extension compared to IT Day 180. In comparison, the Sham group continued to spontaneously improve throughout the OL extension finishing 7.0% higher at OL Day 180 compared to IT Day 180. Similar findings were also seen in terms of mean change in letters read correctly from BCVA at Baseline. The DEX 700 treated group showed a greater improvement at the early visits with comparisons between DEX 700 and Sham significant at IT Days 30 and 60 (p ≤ 0.022) with the mean change plateauing from IT Day 90 until the end of the OL extension. The Sham group continued to improve up until OL Day 30 and remaining comparable to the DEX 700 group except at OL Day 180.</w:t>
      </w:r>
    </w:p>
    <w:p w:rsidR="00774227" w:rsidRDefault="00774227" w:rsidP="004E2C51">
      <w:pPr>
        <w:pStyle w:val="Tabletitle"/>
        <w:numPr>
          <w:ilvl w:val="0"/>
          <w:numId w:val="21"/>
        </w:numPr>
        <w:spacing w:after="120" w:line="240" w:lineRule="auto"/>
        <w:ind w:left="1134" w:hanging="1134"/>
      </w:pPr>
      <w:bookmarkStart w:id="86" w:name="_Toc462652657"/>
      <w:r w:rsidRPr="00603282">
        <w:t>≥ 15 letter BCVA from Baseline (left) and mean change in BCVA (letters) from Baseline (right)</w:t>
      </w:r>
      <w:bookmarkEnd w:id="86"/>
    </w:p>
    <w:p w:rsidR="00774227" w:rsidRDefault="00774227" w:rsidP="00774227">
      <w:r>
        <w:rPr>
          <w:noProof/>
          <w:lang w:eastAsia="en-AU"/>
        </w:rPr>
        <w:drawing>
          <wp:inline distT="0" distB="0" distL="0" distR="0" wp14:anchorId="091247D8" wp14:editId="1D5AD42E">
            <wp:extent cx="5419344" cy="1685203"/>
            <wp:effectExtent l="0" t="0" r="0" b="0"/>
            <wp:docPr id="42" name="Picture 42" descr="≥ 15 letter BCVA from Baseline (left) and mean change in BCVA (letters) from Baselin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104" cy="1685128"/>
                    </a:xfrm>
                    <a:prstGeom prst="rect">
                      <a:avLst/>
                    </a:prstGeom>
                    <a:noFill/>
                    <a:ln>
                      <a:noFill/>
                    </a:ln>
                  </pic:spPr>
                </pic:pic>
              </a:graphicData>
            </a:graphic>
          </wp:inline>
        </w:drawing>
      </w:r>
    </w:p>
    <w:p w:rsidR="00774227" w:rsidRPr="00603282" w:rsidRDefault="00774227" w:rsidP="00774227">
      <w:r>
        <w:t xml:space="preserve">The mean change in retinal thickness at IT Day 90 was -179.2 microns versus -105.9 microns in the DEX 700 and Sham groups respectively, with the difference between groups -73.3 microns (p = 0.050). At IT Day 180 and OL Days 90 and 180, the difference between DEX 700 versus Sham remained between 17.3 and 18.7 microns at all 3 visits, favouring Sham but otherwise non-significant. At OL Day 180, the difference from Baseline was -126.5 and -145.2 microns for the DEX 700 and Sham groups respectively (p = 0.669). </w:t>
      </w:r>
    </w:p>
    <w:p w:rsidR="00774227" w:rsidRDefault="00774227" w:rsidP="00A45E9B">
      <w:pPr>
        <w:pStyle w:val="Heading5"/>
      </w:pPr>
      <w:r>
        <w:t>Evaluator’s commentary</w:t>
      </w:r>
    </w:p>
    <w:p w:rsidR="00774227" w:rsidRDefault="00774227" w:rsidP="00774227">
      <w:r w:rsidRPr="00E83578">
        <w:t>At the original and unamended time</w:t>
      </w:r>
      <w:r>
        <w:t xml:space="preserve"> </w:t>
      </w:r>
      <w:r w:rsidRPr="00E83578">
        <w:t xml:space="preserve">point (IT Day 180) the </w:t>
      </w:r>
      <w:r>
        <w:t xml:space="preserve">primary efficacy analysis revealed </w:t>
      </w:r>
      <w:r w:rsidRPr="00E83578">
        <w:t xml:space="preserve">a difference of 1.1% </w:t>
      </w:r>
      <w:r>
        <w:t xml:space="preserve">between proportions of DEX 700 and Sham treated patients with a ≥ 15-letter improvement from Baseline BCVA which is </w:t>
      </w:r>
      <w:r w:rsidRPr="00E83578">
        <w:t>non-significant (p = 0.780)</w:t>
      </w:r>
      <w:r>
        <w:t xml:space="preserve"> and represents no clinical benefit</w:t>
      </w:r>
      <w:r w:rsidRPr="00E83578">
        <w:t>.</w:t>
      </w:r>
      <w:r>
        <w:t xml:space="preserve"> This difference is even smaller than the 6.5% found in Study 009. </w:t>
      </w:r>
    </w:p>
    <w:p w:rsidR="00774227" w:rsidRDefault="00774227" w:rsidP="00774227">
      <w:r w:rsidRPr="002A54A8">
        <w:t>Using the EMA-agreed ame</w:t>
      </w:r>
      <w:r>
        <w:t>nded primary efficacy endpoint (the comparison at IT Day 90 as opposed to IT Day 180)</w:t>
      </w:r>
      <w:r w:rsidRPr="002A54A8">
        <w:t xml:space="preserve"> the primary efficacy analysis </w:t>
      </w:r>
      <w:r>
        <w:t xml:space="preserve">gives </w:t>
      </w:r>
      <w:r w:rsidRPr="002A54A8">
        <w:t>difference of 10.0% (p = 0.0</w:t>
      </w:r>
      <w:r>
        <w:t xml:space="preserve">08) with an NTT of 10 patients (in comparison, the same comparison at Day 90 was 7.4% in Study 009). As with that Study 009, DEX 700 treatment was associated with a clearly higher </w:t>
      </w:r>
      <w:r w:rsidRPr="002A54A8">
        <w:t>response rate than Sham treatment at earlier visits (Day 30</w:t>
      </w:r>
      <w:r>
        <w:t xml:space="preserve"> difference: 12.5%; Day 60: 18.5%; both </w:t>
      </w:r>
      <w:r w:rsidRPr="002A54A8">
        <w:t>p</w:t>
      </w:r>
      <w:r>
        <w:t xml:space="preserve"> &lt; 0.001). In Study 009, DEX 700 versus Sham differences for diagnostic subgroups </w:t>
      </w:r>
      <w:proofErr w:type="gramStart"/>
      <w:r>
        <w:t>were</w:t>
      </w:r>
      <w:proofErr w:type="gramEnd"/>
      <w:r>
        <w:t xml:space="preserve"> insignificant at IT Day 90 but results were generally more favourable for CRVO. In contrast, in Study 008 between-group results were better for the BRVO group</w:t>
      </w:r>
      <w:r>
        <w:rPr>
          <w:lang w:eastAsia="ja-JP"/>
        </w:rPr>
        <w:t xml:space="preserve"> (BRVO: 11.2%; p = 0.021; CRVO: 6.7%; p = 0.251). At Day 180 differences in the BRVO subgroup were small and non-significant (2.1%; p = 0.678) and response rates were numerically worse for CRVO patients in the DEX 700 group (difference: -2.4%; p = 0.678).</w:t>
      </w:r>
      <w:r>
        <w:t xml:space="preserve"> E</w:t>
      </w:r>
      <w:r w:rsidRPr="00B0729C">
        <w:t>xclud</w:t>
      </w:r>
      <w:r>
        <w:t xml:space="preserve">ing </w:t>
      </w:r>
      <w:r w:rsidRPr="00B0729C">
        <w:t xml:space="preserve">patients with duration of macular oedema of </w:t>
      </w:r>
      <w:r>
        <w:t>&lt;</w:t>
      </w:r>
      <w:r w:rsidRPr="00B0729C">
        <w:t xml:space="preserve"> 90 days in order to reduce the interfere</w:t>
      </w:r>
      <w:r>
        <w:t xml:space="preserve">nce of spontaneous improvement, compared with results the overall Study 008 ITT population, the difference between DEX 700 at Sham at IT Day 90 and 180 </w:t>
      </w:r>
      <w:r>
        <w:lastRenderedPageBreak/>
        <w:t>was worse (9.6% and -0.1%) than in the overall ITT population (10.0% and 1.1%). This is the reverse to the Study 009 where the DEX 700 and Sham comparison in (ITT population) at IT Day 90 and 180 was 7.4% and 6.5% improving to 8.6% and 10.2% after excluding such patients.</w:t>
      </w:r>
    </w:p>
    <w:p w:rsidR="00774227" w:rsidRDefault="00774227" w:rsidP="00774227">
      <w:pPr>
        <w:rPr>
          <w:lang w:eastAsia="ja-JP"/>
        </w:rPr>
      </w:pPr>
      <w:r>
        <w:t xml:space="preserve">At a response criterion of ≥ 10 letters, the difference in response rates was 23.5% (p &lt; 0.001) at Day 60, 12.1% (p = 0.010) at Day 90 but non-significant at 2.6% (p = 0.567) at Day 180. In the BRVO subgroup, differences were 14.4% (p = 0.014) at Day 90 but unlike Study 009, the difference between results at Day 180 were non-significant at 4.8% (p = 0.412). Comparing categorical distributions, differences between DEX 700 and Sham were also non-significant at Day 180. At this time point, the proportions with </w:t>
      </w:r>
      <w:r>
        <w:rPr>
          <w:lang w:eastAsia="ja-JP"/>
        </w:rPr>
        <w:t>≥ 5 and &lt; 15 letter deterioration were 10.9% and 14.9% (DEX 700 and Sham respectively; difference: -4.0%) and at ≥ 15-letter deterioration at IT Day 180, proportions were 5.5% and 8.9% (difference: -3.4%). Differences in mean change in letters read correctly from Baseline BCVA was significant (p &lt; 0.001) at Days 30, 60 and 90 (-5.2, -6.4 and -4.3 respectively) but not at Day 180 (-1.9 letters; p = 0.154) all favouring DEX 700. In diagnostic subgroups, at IT Day 180 in the BRVO subgroup the difference (DEX 700 versus Sham) was -2.0 letters (p = 0.157), and for CRVO the difference was -0.6 letters (p = 0.807). At IT Day 180, the mean change from Baseline in letters read correctly was negative at -0.3 letters. Comparison in retinal thickness (specifically mean change from Baseline) between DEX 700 and Sham was significant for the overall ITT population and BRVO and CRVO subpopulations at IT Day 90, but at IT Day 180 there were no significant differences of any kind between DEX 700 and Sham.</w:t>
      </w:r>
    </w:p>
    <w:p w:rsidR="00774227" w:rsidRPr="002A54A8" w:rsidRDefault="00774227" w:rsidP="00774227">
      <w:r>
        <w:rPr>
          <w:lang w:eastAsia="ja-JP"/>
        </w:rPr>
        <w:t xml:space="preserve">Following re-treatment, the twice DEX 700 treated group demonstrated a much stronger improvement compared with Study 009 – peak improvement in the OL extension was 31.5% and the response rate at OL Day 180 was 11.1% higher than the response rate at IT Day 180. In comparison, the peak response rate for Sham/DEX 700 was 26.4% and final response rate at OL extension Day 180 was 3.2% higher than that seen at IT Day 180. </w:t>
      </w:r>
    </w:p>
    <w:p w:rsidR="00774227" w:rsidRPr="00C35DB7" w:rsidRDefault="00774227" w:rsidP="004C3275">
      <w:pPr>
        <w:pStyle w:val="Heading4"/>
        <w:numPr>
          <w:ilvl w:val="2"/>
          <w:numId w:val="5"/>
        </w:numPr>
      </w:pPr>
      <w:bookmarkStart w:id="87" w:name="_Ref271037188"/>
      <w:bookmarkStart w:id="88" w:name="_Ref271037210"/>
      <w:bookmarkStart w:id="89" w:name="_Toc272414655"/>
      <w:bookmarkStart w:id="90" w:name="_Toc290888503"/>
      <w:bookmarkStart w:id="91" w:name="_Toc416353719"/>
      <w:bookmarkStart w:id="92" w:name="_Toc421005270"/>
      <w:bookmarkStart w:id="93" w:name="_Toc432079152"/>
      <w:bookmarkStart w:id="94" w:name="_Toc432080725"/>
      <w:bookmarkStart w:id="95" w:name="_Toc241374311"/>
      <w:bookmarkStart w:id="96" w:name="_Ref243294291"/>
      <w:bookmarkStart w:id="97" w:name="_Toc241374312"/>
      <w:bookmarkStart w:id="98" w:name="_Toc272414656"/>
      <w:bookmarkStart w:id="99" w:name="_Toc290888507"/>
      <w:bookmarkStart w:id="100" w:name="_Toc416353723"/>
      <w:bookmarkStart w:id="101" w:name="_Toc421005271"/>
      <w:bookmarkStart w:id="102" w:name="_Toc432079153"/>
      <w:bookmarkStart w:id="103" w:name="_Toc432080726"/>
      <w:bookmarkEnd w:id="46"/>
      <w:bookmarkEnd w:id="47"/>
      <w:bookmarkEnd w:id="48"/>
      <w:bookmarkEnd w:id="49"/>
      <w:bookmarkEnd w:id="50"/>
      <w:bookmarkEnd w:id="51"/>
      <w:r>
        <w:t xml:space="preserve">Supportive </w:t>
      </w:r>
      <w:r w:rsidRPr="005632DC">
        <w:t xml:space="preserve">Study </w:t>
      </w:r>
      <w:r>
        <w:t>206207-020</w:t>
      </w:r>
    </w:p>
    <w:p w:rsidR="00774227" w:rsidRPr="005632DC" w:rsidRDefault="00774227" w:rsidP="00A45E9B">
      <w:pPr>
        <w:pStyle w:val="Heading5"/>
      </w:pPr>
      <w:r w:rsidRPr="005632DC">
        <w:t>Study design, objectives, locations and dates</w:t>
      </w:r>
    </w:p>
    <w:p w:rsidR="00774227" w:rsidRDefault="00774227" w:rsidP="00774227">
      <w:pPr>
        <w:rPr>
          <w:lang w:eastAsia="ja-JP"/>
        </w:rPr>
      </w:pPr>
      <w:r>
        <w:rPr>
          <w:lang w:eastAsia="ja-JP"/>
        </w:rPr>
        <w:t>Study 206207-020 was a six-month, P</w:t>
      </w:r>
      <w:r w:rsidRPr="00820A29">
        <w:rPr>
          <w:lang w:eastAsia="ja-JP"/>
        </w:rPr>
        <w:t xml:space="preserve">hase </w:t>
      </w:r>
      <w:r>
        <w:rPr>
          <w:lang w:eastAsia="ja-JP"/>
        </w:rPr>
        <w:t>III</w:t>
      </w:r>
      <w:r w:rsidRPr="00820A29">
        <w:rPr>
          <w:lang w:eastAsia="ja-JP"/>
        </w:rPr>
        <w:t xml:space="preserve">, </w:t>
      </w:r>
      <w:r>
        <w:rPr>
          <w:lang w:eastAsia="ja-JP"/>
        </w:rPr>
        <w:t xml:space="preserve">masked and </w:t>
      </w:r>
      <w:r w:rsidRPr="00820A29">
        <w:rPr>
          <w:lang w:eastAsia="ja-JP"/>
        </w:rPr>
        <w:t>randomi</w:t>
      </w:r>
      <w:r>
        <w:rPr>
          <w:lang w:eastAsia="ja-JP"/>
        </w:rPr>
        <w:t xml:space="preserve">sed </w:t>
      </w:r>
      <w:r w:rsidRPr="00820A29">
        <w:rPr>
          <w:lang w:eastAsia="ja-JP"/>
        </w:rPr>
        <w:t>sham-contro</w:t>
      </w:r>
      <w:r>
        <w:rPr>
          <w:lang w:eastAsia="ja-JP"/>
        </w:rPr>
        <w:t>lled trial with a two-month OL extension</w:t>
      </w:r>
      <w:r w:rsidRPr="00820A29">
        <w:rPr>
          <w:lang w:eastAsia="ja-JP"/>
        </w:rPr>
        <w:t xml:space="preserve"> to assess</w:t>
      </w:r>
      <w:r>
        <w:rPr>
          <w:lang w:eastAsia="ja-JP"/>
        </w:rPr>
        <w:t xml:space="preserve"> the safety and efficacy of DEX 700 via the DEX PS DDS </w:t>
      </w:r>
      <w:r w:rsidRPr="00820A29">
        <w:rPr>
          <w:lang w:eastAsia="ja-JP"/>
        </w:rPr>
        <w:t xml:space="preserve">in the treatment of patients with macular </w:t>
      </w:r>
      <w:r>
        <w:rPr>
          <w:lang w:eastAsia="ja-JP"/>
        </w:rPr>
        <w:t>o</w:t>
      </w:r>
      <w:r w:rsidRPr="00820A29">
        <w:rPr>
          <w:lang w:eastAsia="ja-JP"/>
        </w:rPr>
        <w:t xml:space="preserve">edema following </w:t>
      </w:r>
      <w:r>
        <w:rPr>
          <w:lang w:eastAsia="ja-JP"/>
        </w:rPr>
        <w:t xml:space="preserve">CRVO </w:t>
      </w:r>
      <w:r w:rsidRPr="00820A29">
        <w:rPr>
          <w:lang w:eastAsia="ja-JP"/>
        </w:rPr>
        <w:t>or</w:t>
      </w:r>
      <w:r>
        <w:rPr>
          <w:lang w:eastAsia="ja-JP"/>
        </w:rPr>
        <w:t xml:space="preserve"> BRVO. All patients were to be followed up for 8 months after the initial study treatment with a 6-month masked IT period for safety and efficacy analysis and a 2-month OL extension when all qualifying patients from both arms received DEX 700 at the IT Month 6/OL Day 1 visit.</w:t>
      </w:r>
    </w:p>
    <w:p w:rsidR="00774227" w:rsidRPr="009B6FA3" w:rsidRDefault="00774227" w:rsidP="001A6420">
      <w:r w:rsidRPr="009B6FA3">
        <w:t xml:space="preserve">Evaluator’s comment: Study 020 was submitted as a pivotal study and has been reviewed as such, however in comparison with Studies 008/009 where a combined 997 patients received DEX 700 in a 6-month OL extension, in this study 203 patients received DEX 700 for a 2-month OL extension and as such evaluation of efficacy relies more heavily on the other pivotal studies both in terms of numbers but also in terms of the duration of the OL extension. Although the 2 month OL extension revealed short term gain in efficacy, considering </w:t>
      </w:r>
      <w:r w:rsidR="00747662">
        <w:t>Ozurdex</w:t>
      </w:r>
      <w:r w:rsidRPr="009B6FA3">
        <w:t xml:space="preserve"> is a product intended to give around 6-months of therapeutic coverage, the duration of the OL extension only covers a third of the expected or intended duration of clinical benefit.</w:t>
      </w:r>
    </w:p>
    <w:p w:rsidR="00774227" w:rsidRPr="009B6FA3" w:rsidRDefault="00774227" w:rsidP="00F64F8C">
      <w:pPr>
        <w:pStyle w:val="Heading6"/>
      </w:pPr>
      <w:r w:rsidRPr="009B6FA3">
        <w:t>Objectives</w:t>
      </w:r>
    </w:p>
    <w:p w:rsidR="00774227" w:rsidRPr="00820A29" w:rsidRDefault="00774227" w:rsidP="00774227">
      <w:pPr>
        <w:rPr>
          <w:lang w:eastAsia="ja-JP"/>
        </w:rPr>
      </w:pPr>
      <w:r>
        <w:rPr>
          <w:lang w:eastAsia="ja-JP"/>
        </w:rPr>
        <w:t>Evaluation of the safety and efficacy of DEX 700 via PS DDS applicator system compared with Sham treatment via the needleless DEX PS DDS applicator system in patients with macular oedema secondary to BRVO or CRVO.</w:t>
      </w:r>
    </w:p>
    <w:p w:rsidR="00774227" w:rsidRDefault="00774227" w:rsidP="00774227">
      <w:pPr>
        <w:pStyle w:val="Heading6"/>
        <w:rPr>
          <w:lang w:eastAsia="ja-JP"/>
        </w:rPr>
      </w:pPr>
      <w:r>
        <w:rPr>
          <w:lang w:eastAsia="ja-JP"/>
        </w:rPr>
        <w:lastRenderedPageBreak/>
        <w:t>Locations and dates</w:t>
      </w:r>
    </w:p>
    <w:p w:rsidR="00774227" w:rsidRPr="00D21D77" w:rsidRDefault="00774227" w:rsidP="00774227">
      <w:pPr>
        <w:rPr>
          <w:lang w:eastAsia="ja-JP"/>
        </w:rPr>
      </w:pPr>
      <w:r>
        <w:rPr>
          <w:lang w:eastAsia="ja-JP"/>
        </w:rPr>
        <w:t>All enrolled patients were Chinese and all investigating centres were based in China. The protocol was submitted and reviewed by Chinese Food and Drug Administration (CFDA) under a Clinical Trial Application (CTA). The CTA was approved 23 May 2012. The study initiation date (first patient enrolled) on 06 September 2012 completing on 20 May 2014.</w:t>
      </w:r>
    </w:p>
    <w:p w:rsidR="00774227" w:rsidRPr="005632DC" w:rsidRDefault="00774227" w:rsidP="00A45E9B">
      <w:pPr>
        <w:pStyle w:val="Heading5"/>
      </w:pPr>
      <w:r w:rsidRPr="005632DC">
        <w:t>Inclusion and exclusion criteria</w:t>
      </w:r>
    </w:p>
    <w:p w:rsidR="00774227" w:rsidRDefault="00774227" w:rsidP="00774227">
      <w:pPr>
        <w:pStyle w:val="Heading6"/>
        <w:rPr>
          <w:lang w:eastAsia="ja-JP"/>
        </w:rPr>
      </w:pPr>
      <w:r w:rsidRPr="006E3294">
        <w:rPr>
          <w:lang w:eastAsia="ja-JP"/>
        </w:rPr>
        <w:t>Inclusion criteria</w:t>
      </w:r>
    </w:p>
    <w:p w:rsidR="00774227" w:rsidRPr="00836B1A" w:rsidRDefault="00774227" w:rsidP="00774227">
      <w:pPr>
        <w:rPr>
          <w:lang w:eastAsia="ja-JP"/>
        </w:rPr>
      </w:pPr>
      <w:r>
        <w:rPr>
          <w:lang w:eastAsia="ja-JP"/>
        </w:rPr>
        <w:t xml:space="preserve">Male or female; at least 18 years of age; presence of macular oedema defined as macular thickening by optical coherence tomography (OCT) in the study eye of 6 weeks to 9 months duration prior to screening for CRVO patients and 6 weeks to 12 months for BRVO patients; best-corrected visual acuity (BCVA) score ≥ 34 and ≤ 68 letters; retinal thickness ≥ 320 </w:t>
      </w:r>
      <w:r w:rsidR="001E2A95">
        <w:rPr>
          <w:lang w:eastAsia="ja-JP"/>
        </w:rPr>
        <w:t>µ</w:t>
      </w:r>
      <w:r>
        <w:rPr>
          <w:lang w:eastAsia="ja-JP"/>
        </w:rPr>
        <w:t xml:space="preserve">m (Spectralis OCT) or ≥ 300 </w:t>
      </w:r>
      <w:r w:rsidR="001E2A95">
        <w:rPr>
          <w:lang w:eastAsia="ja-JP"/>
        </w:rPr>
        <w:t>µ</w:t>
      </w:r>
      <w:r>
        <w:rPr>
          <w:lang w:eastAsia="ja-JP"/>
        </w:rPr>
        <w:t>m (Cirrus OCT); negative pregnancy test for females of childbearing potential</w:t>
      </w:r>
    </w:p>
    <w:p w:rsidR="00774227" w:rsidRPr="006E3294" w:rsidRDefault="00774227" w:rsidP="00774227">
      <w:pPr>
        <w:pStyle w:val="Heading6"/>
        <w:rPr>
          <w:lang w:eastAsia="ja-JP"/>
        </w:rPr>
      </w:pPr>
      <w:r w:rsidRPr="006E3294">
        <w:rPr>
          <w:lang w:eastAsia="ja-JP"/>
        </w:rPr>
        <w:t>Exclusion criteria</w:t>
      </w:r>
    </w:p>
    <w:p w:rsidR="00774227" w:rsidRPr="00836B1A" w:rsidRDefault="00774227" w:rsidP="00774227">
      <w:r>
        <w:t>Uncontrolled systemic disease; ocular condition that would prevent a 15-letter improvement in visual acuity; epiretinal membrane in the study eye; history of glaucoma or intraocular pressure (IOP) elevation; ocular hypertension (IOP &gt; 21 mg Hg); active retinal, choroidal, or disc neovascularization; diabetic retinopathy; active ocular infection; visible scleral thinning or ectasia; media opacity; intraocular surgery within 3 months prior to IT Day 1; history of chorioretinopathy or pars plana vitrectomy; use of systemic carbonic anhydrase inhibitors, use of intravitreal steroids, systemic steroids, or prescribed Chinese herbal medicines; use of immunosuppressants, immunomodulators, antimetabolites, alkylating agents, or topical ophthalmic corticosteroids; BCVA score &lt; 34 letters in non-study eye.</w:t>
      </w:r>
    </w:p>
    <w:p w:rsidR="00774227" w:rsidRDefault="00774227" w:rsidP="00774227">
      <w:pPr>
        <w:pStyle w:val="Heading6"/>
        <w:rPr>
          <w:lang w:eastAsia="ja-JP"/>
        </w:rPr>
      </w:pPr>
      <w:r>
        <w:rPr>
          <w:lang w:eastAsia="ja-JP"/>
        </w:rPr>
        <w:t>Open label extension</w:t>
      </w:r>
    </w:p>
    <w:p w:rsidR="00774227" w:rsidRPr="00855924" w:rsidRDefault="00774227" w:rsidP="00774227">
      <w:pPr>
        <w:rPr>
          <w:lang w:eastAsia="ja-JP"/>
        </w:rPr>
      </w:pPr>
      <w:r>
        <w:rPr>
          <w:lang w:eastAsia="ja-JP"/>
        </w:rPr>
        <w:t xml:space="preserve">While remaining unaware of the initial randomised treatment, patients were eligible to receive an OL extension treatment with DEX 700 at IT Month 6 if the following criteria were met: BCVA was &lt; 84 letters (approximately 20/20 or worse Snellen equivalent; retinal thickness in the 1 mm central macula subfield by OCT was &gt; 250 </w:t>
      </w:r>
      <w:r w:rsidR="001E2A95">
        <w:rPr>
          <w:lang w:eastAsia="ja-JP"/>
        </w:rPr>
        <w:t>µ</w:t>
      </w:r>
      <w:r>
        <w:rPr>
          <w:lang w:eastAsia="ja-JP"/>
        </w:rPr>
        <w:t>m (determined by the site, not the central reading centre) OR evidence, upon investigator interpretation of the OCT, of residual retinal oedema consisting of intraretinal cysts or any regions of increased retinal thickening (within or outside of the centre subfield); the procedure would not put the patient at significant risk.</w:t>
      </w:r>
    </w:p>
    <w:p w:rsidR="00774227" w:rsidRPr="005632DC" w:rsidRDefault="00774227" w:rsidP="00A45E9B">
      <w:pPr>
        <w:pStyle w:val="Heading5"/>
      </w:pPr>
      <w:r w:rsidRPr="005632DC">
        <w:t>Study treatments</w:t>
      </w:r>
    </w:p>
    <w:p w:rsidR="00774227" w:rsidRDefault="00774227" w:rsidP="00774227">
      <w:pPr>
        <w:rPr>
          <w:lang w:eastAsia="ja-JP"/>
        </w:rPr>
      </w:pPr>
      <w:r>
        <w:rPr>
          <w:lang w:eastAsia="ja-JP"/>
        </w:rPr>
        <w:t xml:space="preserve">The two study treatment groups in the IT period were DEX 700 and Sham-treatment (control). All treatments were given following randomisation at the IT period Day 1 visit via the DEX PS DDS applicator system. </w:t>
      </w:r>
      <w:r w:rsidRPr="006E3294">
        <w:rPr>
          <w:lang w:eastAsia="ja-JP"/>
        </w:rPr>
        <w:t>Patients randomi</w:t>
      </w:r>
      <w:r>
        <w:rPr>
          <w:lang w:eastAsia="ja-JP"/>
        </w:rPr>
        <w:t>s</w:t>
      </w:r>
      <w:r w:rsidRPr="006E3294">
        <w:rPr>
          <w:lang w:eastAsia="ja-JP"/>
        </w:rPr>
        <w:t>ed to active</w:t>
      </w:r>
      <w:r>
        <w:rPr>
          <w:lang w:eastAsia="ja-JP"/>
        </w:rPr>
        <w:t xml:space="preserve"> (DEX 700)</w:t>
      </w:r>
      <w:r w:rsidRPr="006E3294">
        <w:rPr>
          <w:lang w:eastAsia="ja-JP"/>
        </w:rPr>
        <w:t xml:space="preserve"> treatment had the study drug </w:t>
      </w:r>
      <w:r>
        <w:rPr>
          <w:lang w:eastAsia="ja-JP"/>
        </w:rPr>
        <w:t>inserte</w:t>
      </w:r>
      <w:r w:rsidRPr="006E3294">
        <w:rPr>
          <w:lang w:eastAsia="ja-JP"/>
        </w:rPr>
        <w:t>d into the vitreous through the pars plana using the DEX PS DDS Applicator System. Patients randomized to Sham treatment had the needleless applicator pressed against the conjunctiva.</w:t>
      </w:r>
      <w:r>
        <w:rPr>
          <w:lang w:eastAsia="ja-JP"/>
        </w:rPr>
        <w:t xml:space="preserve"> Patients were treated with topical ophthalmic antibiotics 3 days pre and post-procedure. </w:t>
      </w:r>
      <w:r w:rsidRPr="006E3294">
        <w:rPr>
          <w:lang w:eastAsia="ja-JP"/>
        </w:rPr>
        <w:t>Prior to study treatment, the study eye of each patient was anesthetised with a topical or subconjunctival anaesthetic (or both) and prepared according to a standard protocol.</w:t>
      </w:r>
    </w:p>
    <w:p w:rsidR="00774227" w:rsidRDefault="00774227" w:rsidP="00774227">
      <w:pPr>
        <w:rPr>
          <w:lang w:eastAsia="ja-JP"/>
        </w:rPr>
      </w:pPr>
      <w:r>
        <w:rPr>
          <w:lang w:eastAsia="ja-JP"/>
        </w:rPr>
        <w:t xml:space="preserve">Therapy considered necessary for the patient’s welfare was given at the discretion of the investigator. Concurrent medications were recorded in the eCRF. If the permissibility of a specific medication/treatment was in question, Allergan was to be contacted. Specifically, elevated IOP </w:t>
      </w:r>
      <w:r w:rsidRPr="0081470E">
        <w:rPr>
          <w:lang w:eastAsia="ja-JP"/>
        </w:rPr>
        <w:t xml:space="preserve">eye up to 30 mm Hg, the need for treatment was at the discretion of the investigator, based on the patient’s risk factors for optic nerve damage. For IOP &gt; 30 mm </w:t>
      </w:r>
      <w:r w:rsidRPr="0081470E">
        <w:rPr>
          <w:lang w:eastAsia="ja-JP"/>
        </w:rPr>
        <w:lastRenderedPageBreak/>
        <w:t>Hg, consultation with a glaucoma specialist was to be considered.</w:t>
      </w:r>
      <w:r>
        <w:rPr>
          <w:lang w:eastAsia="ja-JP"/>
        </w:rPr>
        <w:t xml:space="preserve"> Inflammatory conditions in the non-study eye was treatable with </w:t>
      </w:r>
      <w:r w:rsidRPr="0081470E">
        <w:rPr>
          <w:lang w:eastAsia="ja-JP"/>
        </w:rPr>
        <w:t>topical steroids, periocular or intravitreal steroid injections</w:t>
      </w:r>
      <w:r>
        <w:rPr>
          <w:lang w:eastAsia="ja-JP"/>
        </w:rPr>
        <w:t>. NSAIDs were permitted if regularly used at stable doses prior to study enrolment.</w:t>
      </w:r>
    </w:p>
    <w:p w:rsidR="00774227" w:rsidRPr="0081699D" w:rsidRDefault="00774227" w:rsidP="00774227">
      <w:pPr>
        <w:rPr>
          <w:lang w:eastAsia="ja-JP"/>
        </w:rPr>
      </w:pPr>
      <w:r w:rsidRPr="00372022">
        <w:t>Specific prohibited medications included intravitreal injections of any sort other than the study medication (study eye), Sub-Tenon or subconjunctival corticosteroids (study eye); systemic corticosteroids (such as oral, intravenous, intramuscular, epidural, rectal, or extensive dermal); additional invasive ocular procedures or intraocular surgery; systemic immunosuppressants or immunomodulators (note topical cyclosporine was permitted); systemic medication known to be toxic to the lens, including psoralen, risedronic acid, and tamoxifen; prescribed Chinese herbal medicines that in the opinion of the investigator could influence the interpretation of the study results, for example ones with blood</w:t>
      </w:r>
      <w:r>
        <w:rPr>
          <w:lang w:eastAsia="ja-JP"/>
        </w:rPr>
        <w:t xml:space="preserve"> thinning effect. Over-the-counter herbal medications were allowed but the dose regimen was to remain the same during the study period.</w:t>
      </w:r>
    </w:p>
    <w:p w:rsidR="00774227" w:rsidRPr="005632DC" w:rsidRDefault="00774227" w:rsidP="00A45E9B">
      <w:pPr>
        <w:pStyle w:val="Heading5"/>
      </w:pPr>
      <w:r w:rsidRPr="005632DC">
        <w:t>Efficacy variables and outcomes</w:t>
      </w:r>
    </w:p>
    <w:p w:rsidR="00774227" w:rsidRDefault="00774227" w:rsidP="00774227">
      <w:pPr>
        <w:pStyle w:val="Heading6"/>
        <w:rPr>
          <w:lang w:eastAsia="ja-JP"/>
        </w:rPr>
      </w:pPr>
      <w:r>
        <w:rPr>
          <w:lang w:eastAsia="ja-JP"/>
        </w:rPr>
        <w:t>Primary efficacy variable and outcomes</w:t>
      </w:r>
    </w:p>
    <w:p w:rsidR="00774227" w:rsidRDefault="00774227" w:rsidP="00774227">
      <w:r>
        <w:t>The primary efficacy variable was BCVA measured using the ETDRS in the study-eye.</w:t>
      </w:r>
    </w:p>
    <w:p w:rsidR="00774227" w:rsidRDefault="00774227" w:rsidP="00774227">
      <w:r w:rsidRPr="00BB7D5F">
        <w:t>The primary efficacy endpoint was the time to achieve a treatment response of ≥ 15 letters</w:t>
      </w:r>
      <w:r>
        <w:t xml:space="preserve"> improvement from Baseline BCVA from the date of treatment (IT Day 1) to the Month 6 visit.</w:t>
      </w:r>
    </w:p>
    <w:p w:rsidR="00774227" w:rsidRDefault="00774227" w:rsidP="00774227">
      <w:pPr>
        <w:pStyle w:val="Heading6"/>
      </w:pPr>
      <w:r>
        <w:t>Other outcomes for the primary efficacy variable</w:t>
      </w:r>
    </w:p>
    <w:p w:rsidR="00774227" w:rsidRDefault="00774227" w:rsidP="00774227">
      <w:r>
        <w:t>Additional efficacy analyses for the primary efficacy variable included:</w:t>
      </w:r>
    </w:p>
    <w:p w:rsidR="00774227" w:rsidRDefault="00774227" w:rsidP="004C3275">
      <w:pPr>
        <w:pStyle w:val="ListBullet"/>
        <w:numPr>
          <w:ilvl w:val="0"/>
          <w:numId w:val="1"/>
        </w:numPr>
      </w:pPr>
      <w:r>
        <w:t>BCVA improvement of ≥ 15 letters from Baseline</w:t>
      </w:r>
    </w:p>
    <w:p w:rsidR="00774227" w:rsidRDefault="00774227" w:rsidP="004C3275">
      <w:pPr>
        <w:pStyle w:val="ListBullet"/>
        <w:numPr>
          <w:ilvl w:val="0"/>
          <w:numId w:val="1"/>
        </w:numPr>
      </w:pPr>
      <w:r>
        <w:t>BCVA improvement of ≥ 10 letters from Baseline</w:t>
      </w:r>
    </w:p>
    <w:p w:rsidR="00774227" w:rsidRDefault="00774227" w:rsidP="004C3275">
      <w:pPr>
        <w:pStyle w:val="ListBullet"/>
        <w:numPr>
          <w:ilvl w:val="0"/>
          <w:numId w:val="1"/>
        </w:numPr>
      </w:pPr>
      <w:r>
        <w:t>BCVA average change from Baseline</w:t>
      </w:r>
    </w:p>
    <w:p w:rsidR="00774227" w:rsidRDefault="00774227" w:rsidP="004C3275">
      <w:pPr>
        <w:pStyle w:val="ListBullet"/>
        <w:numPr>
          <w:ilvl w:val="0"/>
          <w:numId w:val="1"/>
        </w:numPr>
      </w:pPr>
      <w:r>
        <w:t>BCVA change from Baseline by visit</w:t>
      </w:r>
    </w:p>
    <w:p w:rsidR="00774227" w:rsidRDefault="00774227" w:rsidP="004C3275">
      <w:pPr>
        <w:pStyle w:val="ListBullet"/>
        <w:numPr>
          <w:ilvl w:val="0"/>
          <w:numId w:val="1"/>
        </w:numPr>
      </w:pPr>
      <w:r>
        <w:t>BCVA categorical change from Baseline by visit</w:t>
      </w:r>
    </w:p>
    <w:p w:rsidR="00774227" w:rsidRPr="00AD43BC" w:rsidRDefault="00774227" w:rsidP="004C3275">
      <w:pPr>
        <w:pStyle w:val="ListBullet"/>
        <w:numPr>
          <w:ilvl w:val="0"/>
          <w:numId w:val="1"/>
        </w:numPr>
      </w:pPr>
      <w:r>
        <w:t>Subgroup analyses for the primary efficacy variable</w:t>
      </w:r>
    </w:p>
    <w:p w:rsidR="00774227" w:rsidRPr="00AD43BC" w:rsidRDefault="00774227" w:rsidP="00774227">
      <w:pPr>
        <w:pStyle w:val="Heading6"/>
        <w:rPr>
          <w:lang w:eastAsia="ja-JP"/>
        </w:rPr>
      </w:pPr>
      <w:r>
        <w:rPr>
          <w:lang w:eastAsia="ja-JP"/>
        </w:rPr>
        <w:t>Secondary efficacy variables and outcomes</w:t>
      </w:r>
    </w:p>
    <w:p w:rsidR="00774227" w:rsidRDefault="00774227" w:rsidP="00774227">
      <w:pPr>
        <w:rPr>
          <w:lang w:eastAsia="ja-JP"/>
        </w:rPr>
      </w:pPr>
      <w:r>
        <w:rPr>
          <w:lang w:eastAsia="ja-JP"/>
        </w:rPr>
        <w:t>The secondary efficacy variables were central retinal thickness and retinal volume assessed by OCT and fluorescein leakage assessed by fluorescein angiography. The secondary efficacy outcomes were:</w:t>
      </w:r>
    </w:p>
    <w:p w:rsidR="00774227" w:rsidRDefault="00774227" w:rsidP="004C3275">
      <w:pPr>
        <w:pStyle w:val="ListBullet"/>
        <w:numPr>
          <w:ilvl w:val="0"/>
          <w:numId w:val="1"/>
        </w:numPr>
        <w:rPr>
          <w:lang w:eastAsia="ja-JP"/>
        </w:rPr>
      </w:pPr>
      <w:r>
        <w:rPr>
          <w:lang w:eastAsia="ja-JP"/>
        </w:rPr>
        <w:t>Change from Baseline in central retinal thickness (OCT)</w:t>
      </w:r>
    </w:p>
    <w:p w:rsidR="00774227" w:rsidRDefault="00774227" w:rsidP="004C3275">
      <w:pPr>
        <w:pStyle w:val="ListBullet"/>
        <w:numPr>
          <w:ilvl w:val="0"/>
          <w:numId w:val="1"/>
        </w:numPr>
        <w:rPr>
          <w:lang w:eastAsia="ja-JP"/>
        </w:rPr>
      </w:pPr>
      <w:r>
        <w:rPr>
          <w:lang w:eastAsia="ja-JP"/>
        </w:rPr>
        <w:t>Change from Baseline in retinal volume (OCT)</w:t>
      </w:r>
    </w:p>
    <w:p w:rsidR="00774227" w:rsidRDefault="00774227" w:rsidP="004C3275">
      <w:pPr>
        <w:pStyle w:val="ListBullet"/>
        <w:numPr>
          <w:ilvl w:val="0"/>
          <w:numId w:val="1"/>
        </w:numPr>
        <w:rPr>
          <w:lang w:eastAsia="ja-JP"/>
        </w:rPr>
      </w:pPr>
      <w:r>
        <w:rPr>
          <w:lang w:eastAsia="ja-JP"/>
        </w:rPr>
        <w:t>Change from Baseline in fluorescein leakage</w:t>
      </w:r>
    </w:p>
    <w:p w:rsidR="00774227" w:rsidRDefault="00774227" w:rsidP="004C3275">
      <w:pPr>
        <w:pStyle w:val="ListBullet"/>
        <w:numPr>
          <w:ilvl w:val="0"/>
          <w:numId w:val="1"/>
        </w:numPr>
        <w:rPr>
          <w:lang w:eastAsia="ja-JP"/>
        </w:rPr>
      </w:pPr>
      <w:r>
        <w:rPr>
          <w:lang w:eastAsia="ja-JP"/>
        </w:rPr>
        <w:t xml:space="preserve">Subgroup analyses for secondary efficacy variables </w:t>
      </w:r>
    </w:p>
    <w:p w:rsidR="00774227" w:rsidRDefault="00774227" w:rsidP="00A45E9B">
      <w:pPr>
        <w:pStyle w:val="Heading5"/>
      </w:pPr>
      <w:r w:rsidRPr="005632DC">
        <w:t>Randomisation and blinding methods</w:t>
      </w:r>
    </w:p>
    <w:p w:rsidR="00774227" w:rsidRDefault="00774227" w:rsidP="00774227">
      <w:r>
        <w:t xml:space="preserve">An IVRS/IWRS allocated study treatment kit numbers that corresponded to the patient’s treatment assignment. The assigned staff member accessed the IVRS/IWRS after patient randomisation had been completed. At the Month 6 visit, after a patient qualified to receive open-label treatment, an authorised assigned staff member accessed the IVRS/IWRS system to receive a kit number for the OL treatment. This kit was then dispensed from the open-label supply. When necessary for the safety and proper </w:t>
      </w:r>
      <w:r>
        <w:lastRenderedPageBreak/>
        <w:t xml:space="preserve">treatment of the patient, the investigator could unmask the patient’s treatment assignment to determine which treatment had been assigned, and institute appropriate follow-up care. The investigator was to inform Allergan of the unmasking if there had been no notification prior to the unmasking. </w:t>
      </w:r>
      <w:r w:rsidRPr="00E60270">
        <w:t>The treating investigators were responsible for performing the implant insertion treatment or Sham-treatment procedure and IT Day 2 visit procedures except BCVA measurement. If any unscheduled visit was required between IT Day 1 and the Month 1 visit, the visit was to be performed by the treating investigator. Follow-up investigators did not participate in study-injection (or sham) procedures or any scheduled or unscheduled visits until the Month 1 visit. Individuals collecting efficacy data (BCVA, OCT, and FA) were not to assist or be present during the treatment procedure as they needed to remain unaware of patient treatment assignments.</w:t>
      </w:r>
    </w:p>
    <w:p w:rsidR="00774227" w:rsidRPr="000653E3" w:rsidRDefault="00774227" w:rsidP="00774227">
      <w:r>
        <w:t>All patients were to remain unaware of treatment randomisation. Patients entering the OL extension were to remain unaware of the IT randomisation at the Month 6 visit.</w:t>
      </w:r>
    </w:p>
    <w:p w:rsidR="00774227" w:rsidRPr="005632DC" w:rsidDel="0081373E" w:rsidRDefault="00774227" w:rsidP="00A45E9B">
      <w:pPr>
        <w:pStyle w:val="Heading5"/>
      </w:pPr>
      <w:r w:rsidRPr="005632DC">
        <w:t>Analysis populations</w:t>
      </w:r>
    </w:p>
    <w:p w:rsidR="00774227" w:rsidRDefault="00774227" w:rsidP="00774227">
      <w:pPr>
        <w:rPr>
          <w:lang w:eastAsia="ja-JP"/>
        </w:rPr>
      </w:pPr>
      <w:r>
        <w:rPr>
          <w:lang w:eastAsia="ja-JP"/>
        </w:rPr>
        <w:t>Four populations were used for statistical analyses: modified intent-to-treat (mITT), per-protocol (PP), safety, and retreated. The mITT population included all randomized and treated patients. The PP population included patients who had no major protocol deviations. The safety population included all treated patients. The retreated population included all patients who entered the open-label extension and received the second treatment. The mITT analysis was based on the treatment as randomised; analyses for PP and safety populations were based on the treatment that the patient actually received.</w:t>
      </w:r>
    </w:p>
    <w:p w:rsidR="00774227" w:rsidRPr="005632DC" w:rsidRDefault="00774227" w:rsidP="00A45E9B">
      <w:pPr>
        <w:pStyle w:val="Heading5"/>
      </w:pPr>
      <w:r w:rsidRPr="005632DC" w:rsidDel="0081373E">
        <w:t>S</w:t>
      </w:r>
      <w:r w:rsidRPr="005632DC">
        <w:t>ample size</w:t>
      </w:r>
    </w:p>
    <w:p w:rsidR="00774227" w:rsidRDefault="00774227" w:rsidP="00774227">
      <w:pPr>
        <w:rPr>
          <w:lang w:eastAsia="ja-JP"/>
        </w:rPr>
      </w:pPr>
      <w:r>
        <w:rPr>
          <w:lang w:eastAsia="ja-JP"/>
        </w:rPr>
        <w:t>Approximately 130 patients for each treatment group (260 patients for the study) were to be enrolled in the study. This sample size would provide 85% power for a 2-sided log-rank test to detect a treatment difference in the time to achieve a ≥ 15 letters improvement from Baseline in BCVA. This calculation was based on a 6-month analysis, assuming a cumulative response rate of 22.5% for the Sham group and a constant hazard ratio of 2 for DEX 700 versus Sham.</w:t>
      </w:r>
    </w:p>
    <w:p w:rsidR="00774227" w:rsidRDefault="00774227" w:rsidP="00A45E9B">
      <w:pPr>
        <w:pStyle w:val="Heading5"/>
        <w:rPr>
          <w:lang w:eastAsia="ja-JP"/>
        </w:rPr>
      </w:pPr>
      <w:r>
        <w:rPr>
          <w:lang w:eastAsia="ja-JP"/>
        </w:rPr>
        <w:t>Statistical methods</w:t>
      </w:r>
    </w:p>
    <w:p w:rsidR="00774227" w:rsidRDefault="00774227" w:rsidP="00774227">
      <w:pPr>
        <w:pStyle w:val="Heading6"/>
        <w:rPr>
          <w:lang w:eastAsia="ja-JP"/>
        </w:rPr>
      </w:pPr>
      <w:r>
        <w:rPr>
          <w:lang w:eastAsia="ja-JP"/>
        </w:rPr>
        <w:t>Primary efficacy analysis</w:t>
      </w:r>
    </w:p>
    <w:p w:rsidR="00774227" w:rsidRPr="002B62DE" w:rsidRDefault="00774227" w:rsidP="00774227">
      <w:pPr>
        <w:rPr>
          <w:lang w:eastAsia="ja-JP"/>
        </w:rPr>
      </w:pPr>
      <w:r>
        <w:rPr>
          <w:lang w:eastAsia="ja-JP"/>
        </w:rPr>
        <w:t>The primary efficacy analysis was a time-to-event analysis using the Kaplan-Meier method and log-rank test in the mITT population. Patients who did not achieve the 15-letter improvement in BCVA prior to receiving the first rescue treatment were censored at the time of the first rescue treatment.</w:t>
      </w:r>
    </w:p>
    <w:p w:rsidR="00774227" w:rsidRDefault="00774227" w:rsidP="00774227">
      <w:pPr>
        <w:pStyle w:val="Heading6"/>
        <w:rPr>
          <w:lang w:eastAsia="ja-JP"/>
        </w:rPr>
      </w:pPr>
      <w:r>
        <w:rPr>
          <w:lang w:eastAsia="ja-JP"/>
        </w:rPr>
        <w:t>Other analyses for the primary efficacy variable</w:t>
      </w:r>
    </w:p>
    <w:p w:rsidR="00774227" w:rsidRPr="00372022" w:rsidRDefault="00774227" w:rsidP="00372022">
      <w:r w:rsidRPr="00372022">
        <w:t xml:space="preserve">The average BCVA was calculated as the area under the curve (AUC approach) divided by the study days at the last BCVA measurement. AUC was estimated using the trapezoidal method based on observed data. Between-group comparisons were done using a 2-way analysis of variance (ANOVA) with treatment group and RVO diagnosis as fixed effects. Change from Baseline in BCVA scores (number of letters read correctly) was analysed using a 2-way ANOVA with treatment group and RVO diagnosis as fixed effects. BCVA improvement of ≥ 15 letters from baseline at each post-Baseline visit was calculated for each treatment group. Between-group comparisons were done using a Cochran-Mantel-Haenszel test stratified by the RVO diagnosis. Raw data of BCVA by visit were analysed using the same 2-way ANOVA as used for the change from baseline. The proportion of patients with a BCVA improvement of 10 or more letters from baseline in the study eye at each post-baseline visit was calculated for each treatment group using the mITT population. </w:t>
      </w:r>
      <w:proofErr w:type="gramStart"/>
      <w:r w:rsidRPr="00372022">
        <w:t>Group comparisons was</w:t>
      </w:r>
      <w:proofErr w:type="gramEnd"/>
      <w:r w:rsidRPr="00372022">
        <w:t xml:space="preserve"> done using a Cochran-Mantel-Haenszel test stratified by the RVO diagnosis.</w:t>
      </w:r>
    </w:p>
    <w:p w:rsidR="00774227" w:rsidRDefault="00774227" w:rsidP="00774227">
      <w:pPr>
        <w:pStyle w:val="Heading6"/>
        <w:rPr>
          <w:lang w:eastAsia="ja-JP"/>
        </w:rPr>
      </w:pPr>
      <w:r>
        <w:rPr>
          <w:lang w:eastAsia="ja-JP"/>
        </w:rPr>
        <w:lastRenderedPageBreak/>
        <w:t>Secondary efficacy analysis</w:t>
      </w:r>
    </w:p>
    <w:p w:rsidR="00774227" w:rsidRPr="00372022" w:rsidRDefault="00774227" w:rsidP="00372022">
      <w:r w:rsidRPr="00372022">
        <w:t>CRT raw data and change from baseline in the study eye were analyzed using a 2-way ANOVA, with treatment group and RVO diagnosis as fixed effects. In addition, within-group changes from Baseline in CRT were analysed using a paired t-test at each scheduled follow-up visit. Retinal volume raw data and change from baseline in the study eye based on the central reading centre’s evaluations of OCT images were analyzed at each scheduled visit using the same methods as for the CRT.</w:t>
      </w:r>
    </w:p>
    <w:p w:rsidR="00774227" w:rsidRPr="004F6315" w:rsidRDefault="00774227" w:rsidP="00A45E9B">
      <w:pPr>
        <w:pStyle w:val="Heading5"/>
      </w:pPr>
      <w:r>
        <w:t>Participant flow</w:t>
      </w:r>
    </w:p>
    <w:p w:rsidR="00774227" w:rsidRDefault="00774227" w:rsidP="00774227">
      <w:pPr>
        <w:rPr>
          <w:lang w:eastAsia="ja-JP"/>
        </w:rPr>
      </w:pPr>
      <w:r>
        <w:rPr>
          <w:lang w:eastAsia="ja-JP"/>
        </w:rPr>
        <w:t xml:space="preserve">328 patients were screened for the study, of which 262 were randomised, 129 to the DEX 700 group and 130 to the Sham group. Three patients were enrolled and randomised but not treated. Two patients were enrolled and randomized, but had been incorrectly classified as ‘screen failure’. Approximately 96% of patients in the mITT population completed the initial 6-month treatment period. Patient disposition and exit status at Month 6 for the PP and safety populations (initial treatment) were similar to the mITT population, and no differences were noted between the 2 treatment groups. </w:t>
      </w:r>
    </w:p>
    <w:p w:rsidR="00774227" w:rsidRDefault="00774227" w:rsidP="00774227">
      <w:pPr>
        <w:rPr>
          <w:lang w:eastAsia="ja-JP"/>
        </w:rPr>
      </w:pPr>
      <w:r>
        <w:rPr>
          <w:lang w:eastAsia="ja-JP"/>
        </w:rPr>
        <w:t>The re-treatment population consisted of 107/126 of the DEX 700 group and 96/123 of the Sham group completing IT Month 6. 17.8% (46/259) of patients did not receive open-label treatment. The reasons were as follows: BCVA ≥ 84 letters (3.5%); retinal thickness by OCT ≤ 250 microns (9.7%) investigator OCT interpretation of no residual retinal edema (7.7%); in the investigator’s opinion, procedure would place patient at significant risk (10.8%); other (0.8%).</w:t>
      </w:r>
    </w:p>
    <w:p w:rsidR="00774227" w:rsidRDefault="00774227" w:rsidP="00593F09">
      <w:pPr>
        <w:pStyle w:val="FigureTitle"/>
        <w:numPr>
          <w:ilvl w:val="0"/>
          <w:numId w:val="20"/>
        </w:numPr>
        <w:ind w:left="1134" w:hanging="1134"/>
      </w:pPr>
      <w:bookmarkStart w:id="104" w:name="_Toc462652398"/>
      <w:r w:rsidRPr="004E1318">
        <w:t xml:space="preserve">Patient disposition and exit status at </w:t>
      </w:r>
      <w:r>
        <w:t>M</w:t>
      </w:r>
      <w:r w:rsidRPr="004E1318">
        <w:t>onth 6 (</w:t>
      </w:r>
      <w:r>
        <w:t>Study 020: mITT population; IT period)</w:t>
      </w:r>
      <w:bookmarkEnd w:id="104"/>
    </w:p>
    <w:p w:rsidR="00774227" w:rsidRDefault="00774227" w:rsidP="00774227">
      <w:pPr>
        <w:rPr>
          <w:lang w:eastAsia="ja-JP"/>
        </w:rPr>
      </w:pPr>
      <w:r>
        <w:rPr>
          <w:noProof/>
          <w:lang w:eastAsia="en-AU"/>
        </w:rPr>
        <w:drawing>
          <wp:inline distT="0" distB="0" distL="0" distR="0" wp14:anchorId="408AB0B8" wp14:editId="23AA4BAD">
            <wp:extent cx="3928262" cy="3393163"/>
            <wp:effectExtent l="0" t="0" r="0" b="0"/>
            <wp:docPr id="23" name="Picture 23" descr="Patient disposition and exit status at Month 6 (Study 020: mITT population; I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31853" cy="3396265"/>
                    </a:xfrm>
                    <a:prstGeom prst="rect">
                      <a:avLst/>
                    </a:prstGeom>
                  </pic:spPr>
                </pic:pic>
              </a:graphicData>
            </a:graphic>
          </wp:inline>
        </w:drawing>
      </w:r>
    </w:p>
    <w:p w:rsidR="00774227" w:rsidRPr="00EC3AE0" w:rsidRDefault="00774227" w:rsidP="00A45E9B">
      <w:pPr>
        <w:pStyle w:val="Heading5"/>
      </w:pPr>
      <w:r w:rsidRPr="00EC3AE0">
        <w:t>Major protocol violations/deviations</w:t>
      </w:r>
    </w:p>
    <w:p w:rsidR="00774227" w:rsidRDefault="00774227" w:rsidP="00774227">
      <w:pPr>
        <w:rPr>
          <w:lang w:eastAsia="ja-JP"/>
        </w:rPr>
      </w:pPr>
      <w:r>
        <w:rPr>
          <w:lang w:eastAsia="ja-JP"/>
        </w:rPr>
        <w:t xml:space="preserve">Overall, 3.9% (5/129) of patients in the DEX 700 group and 0.0% (0/130) in the Sham group had protocol deviations leading to data exclusion from the PP analysis. The reasons were patient had an exclusionary intraocular surgical history (n = 1), patient had a history of use of intravitreal steroid or any intravitreal injectable drug in the study eye within 3 </w:t>
      </w:r>
      <w:r>
        <w:rPr>
          <w:lang w:eastAsia="ja-JP"/>
        </w:rPr>
        <w:lastRenderedPageBreak/>
        <w:t>months prior to day 1 (n = 3), or patients’ BCVA score was not between 34 and 68 letters in the study eye at the screening visit (n = 1).</w:t>
      </w:r>
    </w:p>
    <w:p w:rsidR="00774227" w:rsidRDefault="00774227" w:rsidP="00774227">
      <w:pPr>
        <w:rPr>
          <w:lang w:eastAsia="ja-JP"/>
        </w:rPr>
      </w:pPr>
      <w:r>
        <w:rPr>
          <w:lang w:eastAsia="ja-JP"/>
        </w:rPr>
        <w:t>Overall, 8.5% (11/129) patients in the DEX 700 group and 3.8% (5/130) in the Sham group had significant protocol deviations. The most frequently reported deviations were data related: 6.2% (8/129) of patients in the DEX 700 group and 1.5% (2/130) in the Sham group. Informed consent/patient privacy deviations were reported for 2.3% (3/129) of patients in the DEX 700 group and 1.5% (2/130) in the Sham group. Subject safety deviations were reported for 1 patient (0.8%) in each treatment group.</w:t>
      </w:r>
    </w:p>
    <w:p w:rsidR="00774227" w:rsidRDefault="00774227" w:rsidP="00A45E9B">
      <w:pPr>
        <w:pStyle w:val="Heading5"/>
      </w:pPr>
      <w:r w:rsidRPr="00EC3AE0">
        <w:t>Baseline data</w:t>
      </w:r>
    </w:p>
    <w:p w:rsidR="00774227" w:rsidRPr="001374BE" w:rsidRDefault="00774227" w:rsidP="00774227">
      <w:pPr>
        <w:pStyle w:val="Heading6"/>
      </w:pPr>
      <w:r>
        <w:t>Demographic characteristics</w:t>
      </w:r>
    </w:p>
    <w:p w:rsidR="00774227" w:rsidRPr="00965739" w:rsidRDefault="00774227" w:rsidP="00774227">
      <w:pPr>
        <w:rPr>
          <w:lang w:eastAsia="ja-JP"/>
        </w:rPr>
      </w:pPr>
      <w:r>
        <w:rPr>
          <w:lang w:eastAsia="ja-JP"/>
        </w:rPr>
        <w:t xml:space="preserve">For the mITT population, overall, the mean (range) age was 54.7 (19 to 78) years, 47.5% (123/259) were male, and all patients were Asian. The diagnosis was CRVO for 50.6% (131/259) and BRVO for 49.4% (128/259). There were no statistically significant differences between the treatment groups in the demographic and baseline characteristics in the mITT population aside from younger patients in the Sham group (3.4 years average difference). </w:t>
      </w:r>
      <w:r w:rsidRPr="00E51463">
        <w:rPr>
          <w:lang w:eastAsia="ja-JP"/>
        </w:rPr>
        <w:t>Demographics were similar in the PP and retreated populations.</w:t>
      </w:r>
    </w:p>
    <w:p w:rsidR="00774227" w:rsidRPr="00CF552A" w:rsidRDefault="00774227" w:rsidP="004E2C51">
      <w:pPr>
        <w:pStyle w:val="Tabletitle"/>
        <w:numPr>
          <w:ilvl w:val="0"/>
          <w:numId w:val="21"/>
        </w:numPr>
        <w:spacing w:after="120" w:line="240" w:lineRule="auto"/>
        <w:ind w:left="1134" w:hanging="1134"/>
      </w:pPr>
      <w:bookmarkStart w:id="105" w:name="_Toc462652658"/>
      <w:r w:rsidRPr="00CF552A">
        <w:t>Demographic and Baseline characteristics (Study 020: mITT population; IT period)</w:t>
      </w:r>
      <w:bookmarkEnd w:id="105"/>
    </w:p>
    <w:p w:rsidR="00774227" w:rsidRDefault="00774227" w:rsidP="00774227">
      <w:pPr>
        <w:rPr>
          <w:lang w:eastAsia="ja-JP"/>
        </w:rPr>
      </w:pPr>
      <w:r>
        <w:rPr>
          <w:noProof/>
          <w:lang w:eastAsia="en-AU"/>
        </w:rPr>
        <w:drawing>
          <wp:inline distT="0" distB="0" distL="0" distR="0" wp14:anchorId="5725F49A" wp14:editId="6625A018">
            <wp:extent cx="4114800" cy="4316142"/>
            <wp:effectExtent l="0" t="0" r="0" b="8255"/>
            <wp:docPr id="32" name="Picture 32" descr="Demographic and Baseline characteristics (Study 020: mITT population; I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22000"/>
                              </a14:imgEffect>
                              <a14:imgEffect>
                                <a14:brightnessContrast bright="-2000" contrast="-5000"/>
                              </a14:imgEffect>
                            </a14:imgLayer>
                          </a14:imgProps>
                        </a:ext>
                      </a:extLst>
                    </a:blip>
                    <a:stretch>
                      <a:fillRect/>
                    </a:stretch>
                  </pic:blipFill>
                  <pic:spPr>
                    <a:xfrm>
                      <a:off x="0" y="0"/>
                      <a:ext cx="4115844" cy="4317237"/>
                    </a:xfrm>
                    <a:prstGeom prst="rect">
                      <a:avLst/>
                    </a:prstGeom>
                  </pic:spPr>
                </pic:pic>
              </a:graphicData>
            </a:graphic>
          </wp:inline>
        </w:drawing>
      </w:r>
    </w:p>
    <w:p w:rsidR="00774227" w:rsidRDefault="00774227" w:rsidP="009B6FA3">
      <w:pPr>
        <w:pStyle w:val="TableDescription"/>
        <w:rPr>
          <w:lang w:eastAsia="ja-JP"/>
        </w:rPr>
      </w:pPr>
      <w:proofErr w:type="gramStart"/>
      <w:r w:rsidRPr="001374BE">
        <w:rPr>
          <w:vertAlign w:val="superscript"/>
          <w:lang w:eastAsia="ja-JP"/>
        </w:rPr>
        <w:t>a</w:t>
      </w:r>
      <w:proofErr w:type="gramEnd"/>
      <w:r>
        <w:rPr>
          <w:lang w:eastAsia="ja-JP"/>
        </w:rPr>
        <w:t xml:space="preserve"> P-value based on 2-sample t-test. </w:t>
      </w:r>
      <w:proofErr w:type="gramStart"/>
      <w:r w:rsidRPr="001374BE">
        <w:rPr>
          <w:vertAlign w:val="superscript"/>
          <w:lang w:eastAsia="ja-JP"/>
        </w:rPr>
        <w:t>b</w:t>
      </w:r>
      <w:proofErr w:type="gramEnd"/>
      <w:r>
        <w:rPr>
          <w:lang w:eastAsia="ja-JP"/>
        </w:rPr>
        <w:t xml:space="preserve"> P-value based on Pearson's chi square or Fisher's exact test. </w:t>
      </w:r>
      <w:proofErr w:type="gramStart"/>
      <w:r w:rsidRPr="001374BE">
        <w:rPr>
          <w:vertAlign w:val="superscript"/>
          <w:lang w:eastAsia="ja-JP"/>
        </w:rPr>
        <w:t>c</w:t>
      </w:r>
      <w:proofErr w:type="gramEnd"/>
      <w:r>
        <w:rPr>
          <w:lang w:eastAsia="ja-JP"/>
        </w:rPr>
        <w:t xml:space="preserve"> P-value based on Wilcoxon rank sum test.</w:t>
      </w:r>
    </w:p>
    <w:p w:rsidR="00774227" w:rsidRDefault="00774227" w:rsidP="00774227">
      <w:pPr>
        <w:pStyle w:val="Heading6"/>
      </w:pPr>
      <w:r>
        <w:lastRenderedPageBreak/>
        <w:t>Medical and ophthalmic history</w:t>
      </w:r>
    </w:p>
    <w:p w:rsidR="00774227" w:rsidRDefault="00774227" w:rsidP="00774227">
      <w:r>
        <w:t>According to the medical history of patients, vascular disorders (36.3%), social circumstances (33.2%), metabolic disorders (11.2%) infections and infestations (6.2%), surgical (5.8%) and neoplastic disorders (5.4%) were most commonly reported classes by SOC. There were no significant differences between the treatment arms. RVO (77.2%), macular oedema (38.2%) and cystoid macular oedema (6.9%) were the most commonly reported ocular conditions in medical history. In general, patients were comparable between the treatment groups. Regarding lens status, the lens of the study eye was classified as phakic for 98.5% (225/259) of patients, and pseudophakic for 1.5% (4/259).</w:t>
      </w:r>
    </w:p>
    <w:p w:rsidR="00774227" w:rsidRDefault="00774227" w:rsidP="00774227">
      <w:pPr>
        <w:pStyle w:val="Heading6"/>
      </w:pPr>
      <w:r>
        <w:t>Prior medications and procedures</w:t>
      </w:r>
    </w:p>
    <w:p w:rsidR="00774227" w:rsidRDefault="00774227" w:rsidP="00774227">
      <w:r>
        <w:t>99.6% (258/259) of patients received medications prior to the first day of study treatment. The most common prior medications were for conditions in the following SOCs: Surgical and Medical Procedures (98.8%), Vascular Disorders (30.1%), Cardiac Disorders (24.3%), Investigations (17.8%), and Eye Disorders (17.0%).</w:t>
      </w:r>
    </w:p>
    <w:p w:rsidR="00774227" w:rsidRDefault="00774227" w:rsidP="00774227">
      <w:r>
        <w:t xml:space="preserve">98.8% (256/259) of patients received ophthalmic medications in the study eye prior to first day of study treatment. The most common prior ophthalmic medications were for conditions in the following SOCs: Surgical and Medical Procedures (98.5%), Investigations (15.8%) and Eye Disorders (13.5%). Within SOC: Eye Disorders, more of the DEX 700 group (17.1%) than Sham group (10.0%) were likely to have received medications prior to the study. The use of ranibizumab was 1.9% overall, 3.1% (DEX) and 0.8% (Sham)) for HLT retinal, choroid and vitreous infections and inflammations were the most common prior medications. </w:t>
      </w:r>
      <w:r w:rsidRPr="002960AB">
        <w:t>Approximately 10.8%</w:t>
      </w:r>
      <w:r>
        <w:t xml:space="preserve"> overall (28/259)</w:t>
      </w:r>
      <w:r w:rsidRPr="002960AB">
        <w:t xml:space="preserve"> had had </w:t>
      </w:r>
      <w:r>
        <w:t xml:space="preserve">prior </w:t>
      </w:r>
      <w:r w:rsidRPr="002960AB">
        <w:t xml:space="preserve">surgery or ocular procedures (including </w:t>
      </w:r>
      <w:r>
        <w:t xml:space="preserve">laser) for the treatment of RVO, similar in both the DEX 700 group (11.6% or 15/129) and Sham group (10.0% or 13/130). Other ocular procedures had been for cataracts (2.3% versus 0.8%), cystoid macular oedema (2.3% versus </w:t>
      </w:r>
      <w:r w:rsidRPr="001B7C5F">
        <w:t>0.8%)</w:t>
      </w:r>
      <w:r>
        <w:t>, macular oedema (</w:t>
      </w:r>
      <w:r w:rsidRPr="001B7C5F">
        <w:t>1.6%</w:t>
      </w:r>
      <w:r>
        <w:t xml:space="preserve"> versus 3.8%) and borderline glaucoma (0.8% versus 0.0%) in the DEX 700 versus Sham groups respectively.</w:t>
      </w:r>
    </w:p>
    <w:p w:rsidR="00774227" w:rsidRDefault="00774227" w:rsidP="00774227">
      <w:pPr>
        <w:pStyle w:val="Heading6"/>
      </w:pPr>
      <w:r>
        <w:t xml:space="preserve">Concomitant medications and </w:t>
      </w:r>
      <w:r w:rsidRPr="006224DE">
        <w:t>procedures</w:t>
      </w:r>
    </w:p>
    <w:p w:rsidR="00774227" w:rsidRDefault="00774227" w:rsidP="00774227">
      <w:r>
        <w:t xml:space="preserve">100% (129/129) of DEX 700 patients and </w:t>
      </w:r>
      <w:r w:rsidRPr="00312D8C">
        <w:t xml:space="preserve">99.2% (129/130) of Sham patients </w:t>
      </w:r>
      <w:r>
        <w:t>and received concomitant medications during the study with SOCs Surgical and Medical Procedures (99.6%), Investigations (34.7%), Vascular Disorders (30.9%), and Eye Disorders (13.1%) .</w:t>
      </w:r>
    </w:p>
    <w:p w:rsidR="00774227" w:rsidRDefault="00774227" w:rsidP="00774227">
      <w:r>
        <w:t>100.0% (129/129) of DEX 700 patients and 99.2% (129/130) of Sham patients received concomitant ophthalmic medications during the study eye. Of note, medications required for study procedure are collected as concomitant medications. The most common concomitant ophthalmic medications were for conditions in the following SOCs: Surgical and Medical Procedures, including oxybuprocaine, proxymetacaine, ofloxacin, and levofloxacin (99.6%); Investigations, including phenylephrine with tropicamide, carteolol, and timolol (33.2%); and Eye Disorders, including calcium dobesilate, brinzolamide, and timolol (11.2%). Concomitant ophthalmic medications used for managing IOP elevations (used for treatment of IOP as an AE) were reported for 34.9% (45/129) of patients in the DEX 700 group, and 13.8% (18/130) in the Sham group.</w:t>
      </w:r>
    </w:p>
    <w:p w:rsidR="00774227" w:rsidRDefault="00774227" w:rsidP="00774227">
      <w:r>
        <w:t>11.6% (15/129) of patients in the DEX 700 group and 11.5% (15/130) in the Sham group had concurrent procedures (ocular or non-ocular) during the study. The most common procedure was retinal laser coagulation: 10.9% (14/129) in the DEX 700 group and 8.5% (11/130) in the Sham group. Other procedures were reported for at most 1 patient in either treatment group.</w:t>
      </w:r>
    </w:p>
    <w:p w:rsidR="00774227" w:rsidRPr="00EC3AE0" w:rsidRDefault="00774227" w:rsidP="00A45E9B">
      <w:pPr>
        <w:pStyle w:val="Heading5"/>
      </w:pPr>
      <w:r w:rsidRPr="00EC3AE0">
        <w:lastRenderedPageBreak/>
        <w:t>Results for the primary efficacy outcome</w:t>
      </w:r>
    </w:p>
    <w:p w:rsidR="00774227" w:rsidRDefault="00774227" w:rsidP="00774227">
      <w:pPr>
        <w:pStyle w:val="Heading6"/>
        <w:rPr>
          <w:lang w:eastAsia="ja-JP"/>
        </w:rPr>
      </w:pPr>
      <w:r>
        <w:rPr>
          <w:lang w:eastAsia="ja-JP"/>
        </w:rPr>
        <w:t>Time-to-treatment response</w:t>
      </w:r>
    </w:p>
    <w:p w:rsidR="00774227" w:rsidRDefault="00774227" w:rsidP="00774227">
      <w:pPr>
        <w:rPr>
          <w:lang w:eastAsia="ja-JP"/>
        </w:rPr>
      </w:pPr>
      <w:r>
        <w:rPr>
          <w:lang w:eastAsia="ja-JP"/>
        </w:rPr>
        <w:t xml:space="preserve">For the primary efficacy endpoint (time to achieve a treatment response of 15 or more letters improvement from Baseline BCVA in the mITT population), the cumulative response rates were consistently higher with DEX 700 than with Sham (p &lt; 0.001) from the Month 1 visit until the end of the IT period. The cumulative response curves are depicted </w:t>
      </w:r>
      <w:r w:rsidR="00747662">
        <w:rPr>
          <w:lang w:eastAsia="ja-JP"/>
        </w:rPr>
        <w:t>in the figure</w:t>
      </w:r>
      <w:r>
        <w:rPr>
          <w:lang w:eastAsia="ja-JP"/>
        </w:rPr>
        <w:t xml:space="preserve"> below. </w:t>
      </w:r>
      <w:r w:rsidRPr="00B24F23">
        <w:rPr>
          <w:lang w:eastAsia="ja-JP"/>
        </w:rPr>
        <w:t>The results of for the PP population were similar to those for the mITT population</w:t>
      </w:r>
    </w:p>
    <w:p w:rsidR="00774227" w:rsidRDefault="00774227" w:rsidP="00774227">
      <w:pPr>
        <w:rPr>
          <w:lang w:eastAsia="ja-JP"/>
        </w:rPr>
      </w:pPr>
      <w:r>
        <w:rPr>
          <w:lang w:eastAsia="ja-JP"/>
        </w:rPr>
        <w:t>The significant treatment difference was confirmed after adjusting for the Baseline factors/covariates of RVO diagnosis, age, and sex using the Cox regression model. The estimated hazard ratio (95% confidence interval) for time to 15 or more letters improvement was 2.4 (1.6 to 3.7) for DEX 700 versus Sham.</w:t>
      </w:r>
    </w:p>
    <w:p w:rsidR="00774227" w:rsidRPr="00925DA8" w:rsidRDefault="00774227" w:rsidP="001A6420">
      <w:r w:rsidRPr="00925DA8">
        <w:t>Evaluator’s comment: As previously discussed, time-to-treatment response is deceptive for use as the primary efficacy endpoint as the results of all other analyses show a transient increase in response rates associated with DEX 700 treatment. In this scenario, time-to-treatment response will detect and consider a patient who responded once at an early study visit as being a responder throughout the study and not capture loss of efficacy as time progresses.</w:t>
      </w:r>
    </w:p>
    <w:p w:rsidR="00774227" w:rsidRPr="009B6FA3" w:rsidRDefault="00774227" w:rsidP="00593F09">
      <w:pPr>
        <w:pStyle w:val="FigureTitle"/>
        <w:numPr>
          <w:ilvl w:val="0"/>
          <w:numId w:val="20"/>
        </w:numPr>
        <w:ind w:left="1134" w:hanging="1134"/>
      </w:pPr>
      <w:bookmarkStart w:id="106" w:name="_Toc462652399"/>
      <w:r w:rsidRPr="009B6FA3">
        <w:t>Time to achieve ≥ 15 letter improvement in BCVA from Baseline (Study 020)</w:t>
      </w:r>
      <w:bookmarkEnd w:id="106"/>
    </w:p>
    <w:p w:rsidR="00F64F8C" w:rsidRDefault="00774227" w:rsidP="00F64F8C">
      <w:pPr>
        <w:rPr>
          <w:noProof/>
          <w:lang w:eastAsia="en-AU"/>
        </w:rPr>
      </w:pPr>
      <w:r w:rsidRPr="00072B53">
        <w:rPr>
          <w:noProof/>
          <w:lang w:eastAsia="en-AU"/>
        </w:rPr>
        <w:drawing>
          <wp:inline distT="0" distB="0" distL="0" distR="0" wp14:anchorId="73A1D044" wp14:editId="21BFAE66">
            <wp:extent cx="5670318" cy="3442854"/>
            <wp:effectExtent l="0" t="0" r="6985" b="5715"/>
            <wp:docPr id="36" name="Picture 36" descr="Time to achieve ≥ 15 letter improvement in BCVA from Baseline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70318" cy="3442854"/>
                    </a:xfrm>
                    <a:prstGeom prst="rect">
                      <a:avLst/>
                    </a:prstGeom>
                  </pic:spPr>
                </pic:pic>
              </a:graphicData>
            </a:graphic>
          </wp:inline>
        </w:drawing>
      </w:r>
    </w:p>
    <w:p w:rsidR="00774227" w:rsidRDefault="00774227" w:rsidP="00F64F8C">
      <w:pPr>
        <w:pStyle w:val="Heading5"/>
        <w:rPr>
          <w:lang w:eastAsia="ja-JP"/>
        </w:rPr>
      </w:pPr>
      <w:r>
        <w:rPr>
          <w:noProof/>
          <w:lang w:eastAsia="en-AU"/>
        </w:rPr>
        <w:t>Secondary efficacy analyses</w:t>
      </w:r>
    </w:p>
    <w:p w:rsidR="00774227" w:rsidRPr="00011813" w:rsidRDefault="00774227" w:rsidP="00774227">
      <w:pPr>
        <w:pStyle w:val="Heading6"/>
        <w:rPr>
          <w:lang w:eastAsia="ja-JP"/>
        </w:rPr>
      </w:pPr>
      <w:r>
        <w:rPr>
          <w:lang w:eastAsia="ja-JP"/>
        </w:rPr>
        <w:t xml:space="preserve">Proportion of patients with BCVA improvement of 15 or more letters from </w:t>
      </w:r>
      <w:r w:rsidR="00F64F8C">
        <w:rPr>
          <w:lang w:eastAsia="ja-JP"/>
        </w:rPr>
        <w:t>b</w:t>
      </w:r>
      <w:r>
        <w:rPr>
          <w:lang w:eastAsia="ja-JP"/>
        </w:rPr>
        <w:t>aseline</w:t>
      </w:r>
    </w:p>
    <w:p w:rsidR="00774227" w:rsidRDefault="00774227" w:rsidP="00774227">
      <w:r>
        <w:t xml:space="preserve">As summarised in </w:t>
      </w:r>
      <w:r w:rsidR="005D248C">
        <w:t xml:space="preserve">the table </w:t>
      </w:r>
      <w:r>
        <w:t xml:space="preserve">below, the </w:t>
      </w:r>
      <w:r w:rsidRPr="00011813">
        <w:t xml:space="preserve">proportion of patients with 15 or more letters improvement from </w:t>
      </w:r>
      <w:r>
        <w:t xml:space="preserve">Baseline was significantly </w:t>
      </w:r>
      <w:r w:rsidRPr="00011813">
        <w:t xml:space="preserve">higher </w:t>
      </w:r>
      <w:r>
        <w:t xml:space="preserve">in the early visits the comparison between </w:t>
      </w:r>
      <w:r w:rsidRPr="00011813">
        <w:t xml:space="preserve">DEX 700 </w:t>
      </w:r>
      <w:r>
        <w:t>and Sham significant at</w:t>
      </w:r>
      <w:r w:rsidRPr="00011813">
        <w:t xml:space="preserve"> </w:t>
      </w:r>
      <w:r>
        <w:t>IT Months 1, 2, and 3 (</w:t>
      </w:r>
      <w:r w:rsidRPr="00011813">
        <w:t>p &lt; 0.001</w:t>
      </w:r>
      <w:r>
        <w:t xml:space="preserve">). Maximal response rates were seen at Month 2 in the DEX 700 group, with a comparison versus Sham of 34.9% versus 11.5%. The maximal difference of 23.3% in responder rates </w:t>
      </w:r>
      <w:r>
        <w:lastRenderedPageBreak/>
        <w:t>between DEX 700 and Sham was recorded at the Month 1 and 2 visits (p &lt; 0.001). Results were similar for the PP population.</w:t>
      </w:r>
    </w:p>
    <w:p w:rsidR="00774227" w:rsidRDefault="00774227" w:rsidP="004E2C51">
      <w:pPr>
        <w:pStyle w:val="Tabletitle"/>
        <w:numPr>
          <w:ilvl w:val="0"/>
          <w:numId w:val="21"/>
        </w:numPr>
        <w:spacing w:after="120" w:line="240" w:lineRule="auto"/>
        <w:ind w:left="1134" w:hanging="1134"/>
      </w:pPr>
      <w:bookmarkStart w:id="107" w:name="_Toc462652659"/>
      <w:r>
        <w:t>Patients with ≥ 15 letters improvement from Baseline BCVA (Study 009)</w:t>
      </w:r>
      <w:bookmarkEnd w:id="107"/>
    </w:p>
    <w:p w:rsidR="00774227" w:rsidRDefault="00774227" w:rsidP="00774227">
      <w:r>
        <w:rPr>
          <w:noProof/>
          <w:lang w:eastAsia="en-AU"/>
        </w:rPr>
        <w:drawing>
          <wp:inline distT="0" distB="0" distL="0" distR="0" wp14:anchorId="3968F341" wp14:editId="0A48E247">
            <wp:extent cx="4731327" cy="3532321"/>
            <wp:effectExtent l="0" t="0" r="0" b="0"/>
            <wp:docPr id="44" name="Picture 44" descr="Patients with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43802" cy="3541634"/>
                    </a:xfrm>
                    <a:prstGeom prst="rect">
                      <a:avLst/>
                    </a:prstGeom>
                  </pic:spPr>
                </pic:pic>
              </a:graphicData>
            </a:graphic>
          </wp:inline>
        </w:drawing>
      </w:r>
    </w:p>
    <w:p w:rsidR="00774227" w:rsidRDefault="00774227" w:rsidP="00774227">
      <w:pPr>
        <w:pStyle w:val="Heading6"/>
      </w:pPr>
      <w:r>
        <w:t xml:space="preserve">BCVA improvement of 10 or more letters from </w:t>
      </w:r>
      <w:r w:rsidR="00F64F8C">
        <w:t>b</w:t>
      </w:r>
      <w:r>
        <w:t>aseline</w:t>
      </w:r>
    </w:p>
    <w:p w:rsidR="00774227" w:rsidRDefault="00774227" w:rsidP="00774227">
      <w:r w:rsidRPr="002F32ED">
        <w:t xml:space="preserve">The proportion of patients with a BCVA improvement of 10 or more letters from </w:t>
      </w:r>
      <w:r>
        <w:t>B</w:t>
      </w:r>
      <w:r w:rsidRPr="002F32ED">
        <w:t>aseline for the mITT population is presented in</w:t>
      </w:r>
      <w:r w:rsidR="005D248C">
        <w:t xml:space="preserve"> the table</w:t>
      </w:r>
      <w:r>
        <w:t xml:space="preserve"> below</w:t>
      </w:r>
      <w:r w:rsidRPr="002F32ED">
        <w:t>. The proportion of patients with</w:t>
      </w:r>
      <w:r>
        <w:t xml:space="preserve"> 10 or more letters improvement from Baseline was significantly higher with DEX 700 compared to Sham early in the study at Months of 1, 2, and 3, p ≤ 0.024. The maximal response rate in the DEX 700 group was 48.8% at Month 2, with the greatest difference in response rates 31.9% at Month 1. </w:t>
      </w:r>
    </w:p>
    <w:p w:rsidR="00774227" w:rsidRDefault="00774227" w:rsidP="004E2C51">
      <w:pPr>
        <w:pStyle w:val="Tabletitle"/>
        <w:numPr>
          <w:ilvl w:val="0"/>
          <w:numId w:val="21"/>
        </w:numPr>
        <w:spacing w:after="120" w:line="240" w:lineRule="auto"/>
        <w:ind w:left="1134" w:hanging="1134"/>
      </w:pPr>
      <w:bookmarkStart w:id="108" w:name="_Toc462652660"/>
      <w:r>
        <w:t>Patients with ≥ 10 letters improvement from Baseline BCVA (Study 020)</w:t>
      </w:r>
      <w:bookmarkEnd w:id="108"/>
    </w:p>
    <w:tbl>
      <w:tblPr>
        <w:tblStyle w:val="TableTGAblue"/>
        <w:tblW w:w="0" w:type="auto"/>
        <w:tblLook w:val="04A0" w:firstRow="1" w:lastRow="0" w:firstColumn="1" w:lastColumn="0" w:noHBand="0" w:noVBand="1"/>
        <w:tblDescription w:val="Patients with ≥ 10 letters improvement from Baseline BCVA (Study 020)"/>
      </w:tblPr>
      <w:tblGrid>
        <w:gridCol w:w="1559"/>
        <w:gridCol w:w="1417"/>
        <w:gridCol w:w="1290"/>
        <w:gridCol w:w="1545"/>
        <w:gridCol w:w="1418"/>
      </w:tblGrid>
      <w:tr w:rsidR="00774227" w:rsidRPr="00F64F8C"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Visit</w:t>
            </w:r>
          </w:p>
        </w:tc>
        <w:tc>
          <w:tcPr>
            <w:tcW w:w="1417"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DEX 700</w:t>
            </w:r>
          </w:p>
        </w:tc>
        <w:tc>
          <w:tcPr>
            <w:tcW w:w="1290"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Sham</w:t>
            </w:r>
          </w:p>
        </w:tc>
        <w:tc>
          <w:tcPr>
            <w:tcW w:w="1545"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Difference</w:t>
            </w:r>
          </w:p>
        </w:tc>
        <w:tc>
          <w:tcPr>
            <w:tcW w:w="1418"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P-value</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Month 1</w:t>
            </w:r>
          </w:p>
        </w:tc>
        <w:tc>
          <w:tcPr>
            <w:tcW w:w="141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46.5%</w:t>
            </w:r>
          </w:p>
        </w:tc>
        <w:tc>
          <w:tcPr>
            <w:tcW w:w="129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14.6%</w:t>
            </w:r>
          </w:p>
        </w:tc>
        <w:tc>
          <w:tcPr>
            <w:tcW w:w="1545"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31.9%</w:t>
            </w:r>
          </w:p>
        </w:tc>
        <w:tc>
          <w:tcPr>
            <w:tcW w:w="141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&lt;0.001</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Month 2</w:t>
            </w:r>
          </w:p>
        </w:tc>
        <w:tc>
          <w:tcPr>
            <w:tcW w:w="141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48.8%</w:t>
            </w:r>
          </w:p>
        </w:tc>
        <w:tc>
          <w:tcPr>
            <w:tcW w:w="129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21.5%</w:t>
            </w:r>
          </w:p>
        </w:tc>
        <w:tc>
          <w:tcPr>
            <w:tcW w:w="1545"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27.3%</w:t>
            </w:r>
          </w:p>
        </w:tc>
        <w:tc>
          <w:tcPr>
            <w:tcW w:w="141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&lt;0.001</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Month 3</w:t>
            </w:r>
          </w:p>
        </w:tc>
        <w:tc>
          <w:tcPr>
            <w:tcW w:w="141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43.4%</w:t>
            </w:r>
          </w:p>
        </w:tc>
        <w:tc>
          <w:tcPr>
            <w:tcW w:w="129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30.0%</w:t>
            </w:r>
          </w:p>
        </w:tc>
        <w:tc>
          <w:tcPr>
            <w:tcW w:w="1545"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13.4%</w:t>
            </w:r>
          </w:p>
        </w:tc>
        <w:tc>
          <w:tcPr>
            <w:tcW w:w="141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0.024</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Month 4</w:t>
            </w:r>
          </w:p>
        </w:tc>
        <w:tc>
          <w:tcPr>
            <w:tcW w:w="141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33.3%</w:t>
            </w:r>
          </w:p>
        </w:tc>
        <w:tc>
          <w:tcPr>
            <w:tcW w:w="129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31.5%</w:t>
            </w:r>
          </w:p>
        </w:tc>
        <w:tc>
          <w:tcPr>
            <w:tcW w:w="1545"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1.8%</w:t>
            </w:r>
          </w:p>
        </w:tc>
        <w:tc>
          <w:tcPr>
            <w:tcW w:w="141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0.745</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Month 5</w:t>
            </w:r>
          </w:p>
        </w:tc>
        <w:tc>
          <w:tcPr>
            <w:tcW w:w="141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34.9%</w:t>
            </w:r>
          </w:p>
        </w:tc>
        <w:tc>
          <w:tcPr>
            <w:tcW w:w="129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33.8%</w:t>
            </w:r>
          </w:p>
        </w:tc>
        <w:tc>
          <w:tcPr>
            <w:tcW w:w="1545"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1.0%</w:t>
            </w:r>
          </w:p>
        </w:tc>
        <w:tc>
          <w:tcPr>
            <w:tcW w:w="141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0.849</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59" w:type="dxa"/>
          </w:tcPr>
          <w:p w:rsidR="00774227" w:rsidRPr="00F64F8C" w:rsidRDefault="00774227" w:rsidP="00F64F8C">
            <w:pPr>
              <w:rPr>
                <w:sz w:val="20"/>
                <w:szCs w:val="20"/>
              </w:rPr>
            </w:pPr>
            <w:r w:rsidRPr="00F64F8C">
              <w:rPr>
                <w:sz w:val="20"/>
                <w:szCs w:val="20"/>
              </w:rPr>
              <w:t>Month 6</w:t>
            </w:r>
          </w:p>
        </w:tc>
        <w:tc>
          <w:tcPr>
            <w:tcW w:w="141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36.4%</w:t>
            </w:r>
          </w:p>
        </w:tc>
        <w:tc>
          <w:tcPr>
            <w:tcW w:w="1290"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33.8%</w:t>
            </w:r>
          </w:p>
        </w:tc>
        <w:tc>
          <w:tcPr>
            <w:tcW w:w="1545"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2.6%</w:t>
            </w:r>
          </w:p>
        </w:tc>
        <w:tc>
          <w:tcPr>
            <w:tcW w:w="1418"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0.644</w:t>
            </w:r>
          </w:p>
        </w:tc>
      </w:tr>
    </w:tbl>
    <w:p w:rsidR="00774227" w:rsidRDefault="00774227" w:rsidP="00774227">
      <w:pPr>
        <w:pStyle w:val="Heading6"/>
        <w:rPr>
          <w:lang w:eastAsia="ja-JP"/>
        </w:rPr>
      </w:pPr>
      <w:r>
        <w:rPr>
          <w:lang w:eastAsia="ja-JP"/>
        </w:rPr>
        <w:t xml:space="preserve">Mean change in letters from BCVA </w:t>
      </w:r>
      <w:r w:rsidR="00F64F8C">
        <w:rPr>
          <w:lang w:eastAsia="ja-JP"/>
        </w:rPr>
        <w:t>b</w:t>
      </w:r>
      <w:r>
        <w:rPr>
          <w:lang w:eastAsia="ja-JP"/>
        </w:rPr>
        <w:t>aseline</w:t>
      </w:r>
    </w:p>
    <w:p w:rsidR="00774227" w:rsidRDefault="00774227" w:rsidP="00774227">
      <w:pPr>
        <w:rPr>
          <w:lang w:eastAsia="ja-JP"/>
        </w:rPr>
      </w:pPr>
      <w:r>
        <w:rPr>
          <w:lang w:eastAsia="ja-JP"/>
        </w:rPr>
        <w:t>In the mITT population, the mean changes from Baseline BCVA in the number of letters read correctly in the study eye are summarised</w:t>
      </w:r>
      <w:r w:rsidR="005D248C">
        <w:rPr>
          <w:lang w:eastAsia="ja-JP"/>
        </w:rPr>
        <w:t xml:space="preserve">. </w:t>
      </w:r>
      <w:r>
        <w:rPr>
          <w:lang w:eastAsia="ja-JP"/>
        </w:rPr>
        <w:t xml:space="preserve">Changes from Baseline peaked at Month 2 </w:t>
      </w:r>
      <w:r>
        <w:rPr>
          <w:lang w:eastAsia="ja-JP"/>
        </w:rPr>
        <w:lastRenderedPageBreak/>
        <w:t>in the DEX 700 group with a mean improvement of 10.6 letters versus 1.7 letters in the Sham group (difference 8.9 letters; p &lt; 0.001). Differences between DEX 700 and Sham were significant at IT Months 1, 2, and 3 (p &lt; 0.001).</w:t>
      </w:r>
    </w:p>
    <w:p w:rsidR="00774227" w:rsidRDefault="00774227" w:rsidP="004E2C51">
      <w:pPr>
        <w:pStyle w:val="Tabletitle"/>
        <w:numPr>
          <w:ilvl w:val="0"/>
          <w:numId w:val="21"/>
        </w:numPr>
        <w:spacing w:after="120" w:line="240" w:lineRule="auto"/>
        <w:ind w:left="1134" w:hanging="1134"/>
      </w:pPr>
      <w:bookmarkStart w:id="109" w:name="_Toc462652661"/>
      <w:r w:rsidRPr="00AF3477">
        <w:t xml:space="preserve">Mean </w:t>
      </w:r>
      <w:r>
        <w:t xml:space="preserve">(SD) </w:t>
      </w:r>
      <w:r w:rsidRPr="00AF3477">
        <w:t xml:space="preserve">change from Baseline BCVA </w:t>
      </w:r>
      <w:r>
        <w:t>by visit (Study 020)</w:t>
      </w:r>
      <w:bookmarkEnd w:id="109"/>
    </w:p>
    <w:p w:rsidR="00774227" w:rsidRDefault="00774227" w:rsidP="00774227">
      <w:pPr>
        <w:rPr>
          <w:lang w:eastAsia="ja-JP"/>
        </w:rPr>
      </w:pPr>
      <w:r>
        <w:rPr>
          <w:noProof/>
          <w:lang w:eastAsia="en-AU"/>
        </w:rPr>
        <w:drawing>
          <wp:inline distT="0" distB="0" distL="0" distR="0" wp14:anchorId="291D7338" wp14:editId="69D9F260">
            <wp:extent cx="3165227" cy="2465222"/>
            <wp:effectExtent l="19050" t="19050" r="16510" b="11430"/>
            <wp:docPr id="39" name="Picture 39" descr="Mean (SD) change from Baseline BCVA by visit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81076" cy="2477566"/>
                    </a:xfrm>
                    <a:prstGeom prst="rect">
                      <a:avLst/>
                    </a:prstGeom>
                    <a:ln w="3175">
                      <a:solidFill>
                        <a:schemeClr val="tx1"/>
                      </a:solidFill>
                    </a:ln>
                  </pic:spPr>
                </pic:pic>
              </a:graphicData>
            </a:graphic>
          </wp:inline>
        </w:drawing>
      </w:r>
    </w:p>
    <w:p w:rsidR="00774227" w:rsidRDefault="00774227" w:rsidP="00593F09">
      <w:pPr>
        <w:pStyle w:val="FigureTitle"/>
        <w:numPr>
          <w:ilvl w:val="0"/>
          <w:numId w:val="20"/>
        </w:numPr>
        <w:ind w:left="1134" w:hanging="1134"/>
      </w:pPr>
      <w:bookmarkStart w:id="110" w:name="_Toc462652400"/>
      <w:r w:rsidRPr="008B73B4">
        <w:t xml:space="preserve">Mean change from Baseline BCVA </w:t>
      </w:r>
      <w:r>
        <w:t>by visit (Study 020)</w:t>
      </w:r>
      <w:bookmarkEnd w:id="110"/>
    </w:p>
    <w:p w:rsidR="00774227" w:rsidRDefault="00774227" w:rsidP="00774227">
      <w:pPr>
        <w:rPr>
          <w:lang w:eastAsia="ja-JP"/>
        </w:rPr>
      </w:pPr>
      <w:r>
        <w:rPr>
          <w:noProof/>
          <w:lang w:eastAsia="en-AU"/>
        </w:rPr>
        <w:drawing>
          <wp:inline distT="0" distB="0" distL="0" distR="0" wp14:anchorId="69342E34" wp14:editId="11DD7F39">
            <wp:extent cx="3151632" cy="2049570"/>
            <wp:effectExtent l="0" t="0" r="0" b="8255"/>
            <wp:docPr id="40" name="Picture 40" descr="Mean change from Baseline BCVA by visit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53951" cy="2051078"/>
                    </a:xfrm>
                    <a:prstGeom prst="rect">
                      <a:avLst/>
                    </a:prstGeom>
                  </pic:spPr>
                </pic:pic>
              </a:graphicData>
            </a:graphic>
          </wp:inline>
        </w:drawing>
      </w:r>
    </w:p>
    <w:p w:rsidR="00774227" w:rsidRDefault="00774227" w:rsidP="00774227">
      <w:pPr>
        <w:pStyle w:val="Heading6"/>
        <w:rPr>
          <w:lang w:eastAsia="ja-JP"/>
        </w:rPr>
      </w:pPr>
      <w:r>
        <w:rPr>
          <w:lang w:eastAsia="ja-JP"/>
        </w:rPr>
        <w:t xml:space="preserve">Change from </w:t>
      </w:r>
      <w:r w:rsidR="00F64F8C">
        <w:rPr>
          <w:lang w:eastAsia="ja-JP"/>
        </w:rPr>
        <w:t>b</w:t>
      </w:r>
      <w:r>
        <w:rPr>
          <w:lang w:eastAsia="ja-JP"/>
        </w:rPr>
        <w:t>aseline retinal thickness by OCT</w:t>
      </w:r>
    </w:p>
    <w:p w:rsidR="00774227" w:rsidRDefault="00774227" w:rsidP="00774227">
      <w:pPr>
        <w:rPr>
          <w:lang w:eastAsia="ja-JP"/>
        </w:rPr>
      </w:pPr>
      <w:r>
        <w:rPr>
          <w:lang w:eastAsia="ja-JP"/>
        </w:rPr>
        <w:t xml:space="preserve">In the mITT population, the mean changes from Baseline CRT in the 1-mm subfield of the study eye measured by OCT. Decreases were significant with DEX 700 compared to Sham at initial treatment Months 1, 2, and 3 (p &lt; 0.001). </w:t>
      </w:r>
    </w:p>
    <w:p w:rsidR="00774227" w:rsidRDefault="00774227" w:rsidP="004E2C51">
      <w:pPr>
        <w:pStyle w:val="Tabletitle"/>
        <w:numPr>
          <w:ilvl w:val="0"/>
          <w:numId w:val="21"/>
        </w:numPr>
        <w:spacing w:after="120" w:line="240" w:lineRule="auto"/>
        <w:ind w:left="1134" w:hanging="1134"/>
      </w:pPr>
      <w:bookmarkStart w:id="111" w:name="_Toc462652662"/>
      <w:r>
        <w:lastRenderedPageBreak/>
        <w:t>Mean (SD) change from Baseline central retinal thickness (microns) by OCT (Study 020)</w:t>
      </w:r>
      <w:bookmarkEnd w:id="111"/>
    </w:p>
    <w:p w:rsidR="00774227" w:rsidRDefault="00774227" w:rsidP="00774227">
      <w:pPr>
        <w:rPr>
          <w:lang w:eastAsia="ja-JP"/>
        </w:rPr>
      </w:pPr>
      <w:r>
        <w:rPr>
          <w:noProof/>
          <w:lang w:eastAsia="en-AU"/>
        </w:rPr>
        <w:drawing>
          <wp:inline distT="0" distB="0" distL="0" distR="0" wp14:anchorId="79666A9F" wp14:editId="69154973">
            <wp:extent cx="3245560" cy="2688336"/>
            <wp:effectExtent l="0" t="0" r="0" b="0"/>
            <wp:docPr id="119" name="Picture 119" descr="Mean (SD) change from Baseline central retinal thickness (microns) by OCT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45386" cy="2688192"/>
                    </a:xfrm>
                    <a:prstGeom prst="rect">
                      <a:avLst/>
                    </a:prstGeom>
                  </pic:spPr>
                </pic:pic>
              </a:graphicData>
            </a:graphic>
          </wp:inline>
        </w:drawing>
      </w:r>
    </w:p>
    <w:p w:rsidR="00774227" w:rsidRDefault="00774227" w:rsidP="00A45E9B">
      <w:pPr>
        <w:pStyle w:val="Heading5"/>
      </w:pPr>
      <w:r w:rsidRPr="005632DC">
        <w:t>Results for other efficacy outcomes</w:t>
      </w:r>
    </w:p>
    <w:p w:rsidR="00774227" w:rsidRDefault="00774227" w:rsidP="00774227">
      <w:pPr>
        <w:pStyle w:val="Heading6"/>
        <w:rPr>
          <w:lang w:eastAsia="ja-JP"/>
        </w:rPr>
      </w:pPr>
      <w:r w:rsidRPr="00A5494F">
        <w:rPr>
          <w:lang w:eastAsia="ja-JP"/>
        </w:rPr>
        <w:t>BRVO</w:t>
      </w:r>
      <w:r>
        <w:rPr>
          <w:lang w:eastAsia="ja-JP"/>
        </w:rPr>
        <w:t xml:space="preserve"> and CRVO subgroup analyses </w:t>
      </w:r>
    </w:p>
    <w:p w:rsidR="00774227" w:rsidRDefault="00774227" w:rsidP="00774227">
      <w:pPr>
        <w:rPr>
          <w:lang w:eastAsia="ja-JP"/>
        </w:rPr>
      </w:pPr>
      <w:r>
        <w:rPr>
          <w:lang w:eastAsia="ja-JP"/>
        </w:rPr>
        <w:t>Results from the BRVO and CRVO subgroup analyses are summarised below.</w:t>
      </w:r>
    </w:p>
    <w:p w:rsidR="00774227" w:rsidRDefault="00774227" w:rsidP="00774227">
      <w:pPr>
        <w:rPr>
          <w:lang w:eastAsia="ja-JP"/>
        </w:rPr>
      </w:pPr>
      <w:r>
        <w:rPr>
          <w:lang w:eastAsia="ja-JP"/>
        </w:rPr>
        <w:t>The difference between mean change in letters read correctly from Baseline BCVA (DEX 700 versus Sham) was significant (p &lt; 0.001) at Month 1 (5.5 letters) and Month 2 (7.3 letters) visits but not beyond. Numerically, from Month 4 to Month 6 the Sham group outperformed the DEX group. Similarly, comparison between DEX 700 and Sham treated BRVO patients revealed a statistical difference in early treatment (Month 1 and 2; p ≤ 0.007) in the proportion of patients with a ≥ 15 letter improvement from BCVA at Baseline but spontaneous improvement in the Sham group resulted in a numerically greater proportion of Sham patients with a ≥ 15 letter improvement from Month 4 to 6. Comparison of DEX 700 versus Sham demonstrated that differences between the mean change from Baseline in central retinal thickness measured by OCT were significant at Month 1 to 3 (p ≤ 0.025) favouring DEX 700, however the mean change in central retinal thickness decreased in the DEX 700 group over the 6-month period. In comparison, spontaneous improvement in the Sham group resulted in a statistically significant difference at Month 5 for the difference between DEX 700 versus Sham, favouring the Sham group (p = 0.028).</w:t>
      </w:r>
    </w:p>
    <w:p w:rsidR="00774227" w:rsidRDefault="00774227" w:rsidP="00774227">
      <w:pPr>
        <w:rPr>
          <w:lang w:eastAsia="ja-JP"/>
        </w:rPr>
      </w:pPr>
      <w:r>
        <w:rPr>
          <w:lang w:eastAsia="ja-JP"/>
        </w:rPr>
        <w:t>Comparison of the mean change in letters read correctly from Baseline BCVA for CRVO patients in the DEX 700 versus Sham groups demonstrated a significant difference at Month 1 to 3 (p &lt; 0.001). In contrast to the BRVO patients, no pattern of spontaneous change in the number of letters read correctly compared to Baseline was seen in the CRVO cohort. Significant differences in the proportions of patients with a ≥ 15 letter improvement in BCVA from Baseline was also seen at the Month 1 to 4 visits (p &lt; 0.001), with a pattern of improvement in the DEX 700 treated with response rising from Baseline to Month 3 (peak response rate of 34.8%) falling to 21.2% at Month 6. In comparison, no spontaneous improvement was seen in the Sham treated group from Month 1 until Month 5 with response rates static between 4.6 and 6.2%. Comparison of mean change from Baseline in central retinal thickness showed a significant difference in the DEX 700 group compared to Sham at Months 1 to 3. Mean decreases from Baseline in the DEX 700 group were over 10-fold the decreases seen in Months 1 and 2, however by Month 5 and 6 the differences between DEX 700 and Sham had reduced to approximately -20 microns.</w:t>
      </w:r>
    </w:p>
    <w:p w:rsidR="00774227" w:rsidRDefault="00774227" w:rsidP="004E2C51">
      <w:pPr>
        <w:pStyle w:val="Tabletitle"/>
        <w:numPr>
          <w:ilvl w:val="0"/>
          <w:numId w:val="21"/>
        </w:numPr>
        <w:spacing w:after="120" w:line="240" w:lineRule="auto"/>
        <w:ind w:left="1134" w:hanging="1134"/>
      </w:pPr>
      <w:bookmarkStart w:id="112" w:name="_Toc462652663"/>
      <w:r>
        <w:lastRenderedPageBreak/>
        <w:t>Key efficacy parameters in BRVO (Left) and CVRO (Right) subgroups (Study 020)</w:t>
      </w:r>
      <w:bookmarkEnd w:id="112"/>
    </w:p>
    <w:p w:rsidR="00774227" w:rsidRDefault="005D5015" w:rsidP="00774227">
      <w:r>
        <w:rPr>
          <w:noProof/>
          <w:lang w:eastAsia="en-AU"/>
        </w:rPr>
        <w:drawing>
          <wp:inline distT="0" distB="0" distL="0" distR="0" wp14:anchorId="70AFABFF" wp14:editId="1E665312">
            <wp:extent cx="5297763" cy="2913888"/>
            <wp:effectExtent l="0" t="0" r="0" b="1270"/>
            <wp:docPr id="16" name="Picture 16" descr="Key efficacy parameters in BRVO (Left) and CVRO (Right) subgroups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93280" cy="2911422"/>
                    </a:xfrm>
                    <a:prstGeom prst="rect">
                      <a:avLst/>
                    </a:prstGeom>
                    <a:noFill/>
                    <a:ln>
                      <a:noFill/>
                    </a:ln>
                  </pic:spPr>
                </pic:pic>
              </a:graphicData>
            </a:graphic>
          </wp:inline>
        </w:drawing>
      </w:r>
    </w:p>
    <w:p w:rsidR="00774227" w:rsidRPr="005D5015" w:rsidRDefault="00774227" w:rsidP="005D5015">
      <w:pPr>
        <w:pStyle w:val="TableDescription"/>
      </w:pPr>
      <w:proofErr w:type="gramStart"/>
      <w:r w:rsidRPr="005D5015">
        <w:t>a</w:t>
      </w:r>
      <w:proofErr w:type="gramEnd"/>
      <w:r w:rsidRPr="005D5015">
        <w:t xml:space="preserve"> Difference (DEX 700 versus Sham) p-value &lt; 0.001 b p-value = 0.007 c p-</w:t>
      </w:r>
      <w:r w:rsidR="005D248C">
        <w:t>value = 0.025 d p-value = 0.028</w:t>
      </w:r>
    </w:p>
    <w:p w:rsidR="00774227" w:rsidRDefault="00774227" w:rsidP="00A45E9B">
      <w:pPr>
        <w:pStyle w:val="Heading5"/>
      </w:pPr>
      <w:r w:rsidRPr="00EC3AE0">
        <w:t xml:space="preserve">Evaluator </w:t>
      </w:r>
      <w:r>
        <w:t>c</w:t>
      </w:r>
      <w:r w:rsidRPr="00EC3AE0">
        <w:t>ommentary</w:t>
      </w:r>
    </w:p>
    <w:p w:rsidR="00774227" w:rsidRPr="00D87A80" w:rsidRDefault="00774227" w:rsidP="00774227">
      <w:r>
        <w:t>The primary efficacy outcome (the time to a ≥ 15 letter improvement in Baseline BCVA) was met. At the Month 1, 2 and 3 visits the difference between proportions meeting the improvement criteria between DEX 700 and Sham were significant (p &lt; 0.001). The peak improvement was seen at the Month 2 (or Day 60) visit, when the improvement was seen in 34.9% for the DEX 700 group versus 13.1% of Sham-treated group. The biggest decrease from this peak was seen at the Month 4 visit, where the proportion of the DEX 700 with such an improvement fell from 33.3% at Month 3 to 23.3% at Month 4.</w:t>
      </w:r>
    </w:p>
    <w:bookmarkEnd w:id="87"/>
    <w:bookmarkEnd w:id="88"/>
    <w:bookmarkEnd w:id="89"/>
    <w:bookmarkEnd w:id="90"/>
    <w:bookmarkEnd w:id="91"/>
    <w:bookmarkEnd w:id="92"/>
    <w:bookmarkEnd w:id="93"/>
    <w:bookmarkEnd w:id="94"/>
    <w:bookmarkEnd w:id="95"/>
    <w:bookmarkEnd w:id="96"/>
    <w:p w:rsidR="00774227" w:rsidRPr="009D3458" w:rsidRDefault="00774227" w:rsidP="004C3275">
      <w:pPr>
        <w:pStyle w:val="Heading4"/>
        <w:numPr>
          <w:ilvl w:val="2"/>
          <w:numId w:val="5"/>
        </w:numPr>
      </w:pPr>
      <w:r w:rsidRPr="005632DC">
        <w:t>Analyses performed</w:t>
      </w:r>
      <w:r>
        <w:t xml:space="preserve"> across trials: </w:t>
      </w:r>
      <w:bookmarkStart w:id="113" w:name="_Ref271126605"/>
      <w:bookmarkStart w:id="114" w:name="_Toc272414657"/>
      <w:bookmarkStart w:id="115" w:name="_Toc290888508"/>
      <w:bookmarkStart w:id="116" w:name="_Toc416353724"/>
      <w:bookmarkStart w:id="117" w:name="_Toc421005272"/>
      <w:bookmarkStart w:id="118" w:name="_Toc432079154"/>
      <w:bookmarkStart w:id="119" w:name="_Toc432080727"/>
      <w:bookmarkEnd w:id="97"/>
      <w:bookmarkEnd w:id="98"/>
      <w:bookmarkEnd w:id="99"/>
      <w:bookmarkEnd w:id="100"/>
      <w:bookmarkEnd w:id="101"/>
      <w:bookmarkEnd w:id="102"/>
      <w:bookmarkEnd w:id="103"/>
      <w:r>
        <w:t>Integrated summary of efficacy (Studies 206207-008/009)</w:t>
      </w:r>
    </w:p>
    <w:p w:rsidR="00774227" w:rsidRDefault="00774227" w:rsidP="00774227">
      <w:pPr>
        <w:rPr>
          <w:lang w:eastAsia="ja-JP"/>
        </w:rPr>
      </w:pPr>
      <w:r>
        <w:rPr>
          <w:lang w:eastAsia="ja-JP"/>
        </w:rPr>
        <w:t>These 2 studies were identical in protocol, methodology and duration (except for changes to the primary efficacy time point) and are described in detail above with comparable numbers of participants with similar Baseline characteristics. Unless otherwise mentioned, the ITT population (IT period) and re-treatment populations (OL extension) were used for the ISE analysis.</w:t>
      </w:r>
    </w:p>
    <w:p w:rsidR="00774227" w:rsidRDefault="00774227" w:rsidP="00A45E9B">
      <w:pPr>
        <w:pStyle w:val="Heading5"/>
        <w:rPr>
          <w:lang w:eastAsia="ja-JP"/>
        </w:rPr>
      </w:pPr>
      <w:r>
        <w:rPr>
          <w:lang w:eastAsia="ja-JP"/>
        </w:rPr>
        <w:t>Patient disposition and baseline characteristics</w:t>
      </w:r>
    </w:p>
    <w:p w:rsidR="00774227" w:rsidRPr="00A74913" w:rsidRDefault="00774227" w:rsidP="00774227">
      <w:pPr>
        <w:rPr>
          <w:lang w:eastAsia="ja-JP"/>
        </w:rPr>
      </w:pPr>
      <w:r>
        <w:rPr>
          <w:lang w:eastAsia="ja-JP"/>
        </w:rPr>
        <w:t xml:space="preserve">For the IT period, 1267 patients were randomised (forming the ITT population) of which 1196 (94.4%) completed IT Day 180. The three pooled treatment groups were similar in size (n = 427, n = 414 and n = 426 (DEX 700, DEX 300 and Sham respectively)) as were the proportions of each pooled randomisation group completing the IT phase (94.4%, 95.4% and 93.4%). The PP population was similar to that of the ITT population. </w:t>
      </w:r>
      <w:r>
        <w:t xml:space="preserve">Baseline demographic characteristics were similar and balanced across the pooled treatment arms; for the pooled ITT population the mean age of the DEX 700, DEX 350 and Sham groups respectively was similar (p = 0.453) at 64.7, 64.9 and 63.9 years respectively; 50.8%, 53.1% and 56.3% were male (p = 0.268) and 75.2%, 75.4% and 74.6% were Caucasian (p = 0.970). The PP population was similar to the ITT population. </w:t>
      </w:r>
      <w:r w:rsidRPr="008433B6">
        <w:rPr>
          <w:lang w:eastAsia="ja-JP"/>
        </w:rPr>
        <w:t xml:space="preserve">34.5% of the total (n = </w:t>
      </w:r>
      <w:r w:rsidRPr="008433B6">
        <w:rPr>
          <w:lang w:eastAsia="ja-JP"/>
        </w:rPr>
        <w:lastRenderedPageBreak/>
        <w:t>1267) ITT population had CRVO,</w:t>
      </w:r>
      <w:r>
        <w:rPr>
          <w:lang w:eastAsia="ja-JP"/>
        </w:rPr>
        <w:t xml:space="preserve"> with 65.5% diagnosed with BRVO with</w:t>
      </w:r>
      <w:r w:rsidRPr="008433B6">
        <w:rPr>
          <w:lang w:eastAsia="ja-JP"/>
        </w:rPr>
        <w:t xml:space="preserve"> no significant difference between pooled randomised treatment groups (p = 0.264).</w:t>
      </w:r>
    </w:p>
    <w:p w:rsidR="00774227" w:rsidRDefault="00774227" w:rsidP="00A45E9B">
      <w:pPr>
        <w:pStyle w:val="Heading5"/>
        <w:rPr>
          <w:lang w:eastAsia="ja-JP"/>
        </w:rPr>
      </w:pPr>
      <w:r>
        <w:rPr>
          <w:lang w:eastAsia="ja-JP"/>
        </w:rPr>
        <w:t>Primary efficacy analysis</w:t>
      </w:r>
    </w:p>
    <w:p w:rsidR="00774227" w:rsidRDefault="00774227" w:rsidP="00774227">
      <w:pPr>
        <w:pStyle w:val="Heading6"/>
        <w:rPr>
          <w:lang w:eastAsia="ja-JP"/>
        </w:rPr>
      </w:pPr>
      <w:r>
        <w:rPr>
          <w:lang w:eastAsia="ja-JP"/>
        </w:rPr>
        <w:t>Proportion with ≥ 15 letters of improvement in BCVA from Baseline</w:t>
      </w:r>
    </w:p>
    <w:p w:rsidR="00774227" w:rsidRDefault="00774227" w:rsidP="00774227">
      <w:pPr>
        <w:rPr>
          <w:lang w:eastAsia="ja-JP"/>
        </w:rPr>
      </w:pPr>
      <w:r>
        <w:rPr>
          <w:lang w:eastAsia="ja-JP"/>
        </w:rPr>
        <w:t xml:space="preserve">Response rates with DEX 700 versus Sham were significantly higher at IT Days 30, 60 and 90 (p &lt; 0.001), with peak response rates at IT Day 60 of 29.3% versus 11.3% (DEX 700 versus Sham, difference 18.0%; p &lt; 0.001). By IT Day 180, the difference between DEX 700 and Sham was 3.9% and not significant (p = 0.147). </w:t>
      </w:r>
    </w:p>
    <w:p w:rsidR="00774227" w:rsidRDefault="00774227" w:rsidP="004E2C51">
      <w:pPr>
        <w:pStyle w:val="Tabletitle"/>
        <w:numPr>
          <w:ilvl w:val="0"/>
          <w:numId w:val="21"/>
        </w:numPr>
        <w:spacing w:after="120" w:line="240" w:lineRule="auto"/>
        <w:ind w:left="1134" w:hanging="1134"/>
      </w:pPr>
      <w:bookmarkStart w:id="120" w:name="_Toc462652664"/>
      <w:r w:rsidRPr="00AB6EF6">
        <w:t xml:space="preserve">Patients with ≥ 15 letters improvement from </w:t>
      </w:r>
      <w:r>
        <w:t>Baseline BCVA (ISE</w:t>
      </w:r>
      <w:r w:rsidRPr="00AB6EF6">
        <w:t>)</w:t>
      </w:r>
      <w:bookmarkEnd w:id="120"/>
    </w:p>
    <w:p w:rsidR="00774227" w:rsidRDefault="00774227" w:rsidP="00774227">
      <w:pPr>
        <w:rPr>
          <w:lang w:eastAsia="ja-JP"/>
        </w:rPr>
      </w:pPr>
      <w:r>
        <w:rPr>
          <w:noProof/>
          <w:lang w:eastAsia="en-AU"/>
        </w:rPr>
        <w:drawing>
          <wp:inline distT="0" distB="0" distL="0" distR="0" wp14:anchorId="568D8F90" wp14:editId="0FC95FBB">
            <wp:extent cx="4828032" cy="1798320"/>
            <wp:effectExtent l="19050" t="19050" r="10795" b="11430"/>
            <wp:docPr id="53" name="Picture 53" descr="Patients with ≥ 15 letters improvement from Baseline BCVA (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28032" cy="1798320"/>
                    </a:xfrm>
                    <a:prstGeom prst="rect">
                      <a:avLst/>
                    </a:prstGeom>
                    <a:noFill/>
                    <a:ln w="3175">
                      <a:solidFill>
                        <a:schemeClr val="tx1"/>
                      </a:solidFill>
                    </a:ln>
                  </pic:spPr>
                </pic:pic>
              </a:graphicData>
            </a:graphic>
          </wp:inline>
        </w:drawing>
      </w:r>
    </w:p>
    <w:p w:rsidR="00774227" w:rsidRPr="00FE1049" w:rsidRDefault="00774227" w:rsidP="00774227">
      <w:pPr>
        <w:pStyle w:val="Heading6"/>
        <w:rPr>
          <w:rStyle w:val="Heading6Char"/>
          <w:bCs/>
          <w:i/>
          <w:lang w:eastAsia="ja-JP"/>
        </w:rPr>
      </w:pPr>
      <w:r>
        <w:rPr>
          <w:lang w:eastAsia="ja-JP"/>
        </w:rPr>
        <w:t xml:space="preserve">Proportion </w:t>
      </w:r>
      <w:r w:rsidRPr="009A5D9B">
        <w:rPr>
          <w:lang w:eastAsia="ja-JP"/>
        </w:rPr>
        <w:t>wi</w:t>
      </w:r>
      <w:r>
        <w:rPr>
          <w:lang w:eastAsia="ja-JP"/>
        </w:rPr>
        <w:t>th ≥ 15 letters improvement in BCVA from Baseline by diagnostic subgroups</w:t>
      </w:r>
    </w:p>
    <w:p w:rsidR="00774227" w:rsidRDefault="00774227" w:rsidP="004E2C51">
      <w:pPr>
        <w:pStyle w:val="Tabletitle"/>
        <w:numPr>
          <w:ilvl w:val="0"/>
          <w:numId w:val="21"/>
        </w:numPr>
        <w:spacing w:after="120" w:line="240" w:lineRule="auto"/>
        <w:ind w:left="1134" w:hanging="1134"/>
      </w:pPr>
      <w:bookmarkStart w:id="121" w:name="_Toc462652665"/>
      <w:r w:rsidRPr="00346232">
        <w:t>P</w:t>
      </w:r>
      <w:r>
        <w:t>roportions with ≥ 15 letter</w:t>
      </w:r>
      <w:r w:rsidRPr="00346232">
        <w:t xml:space="preserve"> improvement in BCVA from Baseline by </w:t>
      </w:r>
      <w:r>
        <w:t>diagnosis (ISE</w:t>
      </w:r>
      <w:r w:rsidRPr="00346232">
        <w:t>)</w:t>
      </w:r>
      <w:bookmarkEnd w:id="121"/>
    </w:p>
    <w:p w:rsidR="00774227" w:rsidRDefault="00774227" w:rsidP="00774227">
      <w:r>
        <w:rPr>
          <w:noProof/>
          <w:lang w:eastAsia="en-AU"/>
        </w:rPr>
        <w:drawing>
          <wp:inline distT="0" distB="0" distL="0" distR="0" wp14:anchorId="3B6A494C" wp14:editId="778AC392">
            <wp:extent cx="4488145" cy="2816352"/>
            <wp:effectExtent l="19050" t="19050" r="27305" b="22225"/>
            <wp:docPr id="29" name="Picture 29" descr="Table 38: Proportions with ≥ 15 letter improvement in BCVA from Baseline by diagnosis (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34000"/>
                              </a14:imgEffect>
                              <a14:imgEffect>
                                <a14:brightnessContrast contrast="-53000"/>
                              </a14:imgEffect>
                            </a14:imgLayer>
                          </a14:imgProps>
                        </a:ext>
                      </a:extLst>
                    </a:blip>
                    <a:stretch>
                      <a:fillRect/>
                    </a:stretch>
                  </pic:blipFill>
                  <pic:spPr>
                    <a:xfrm>
                      <a:off x="0" y="0"/>
                      <a:ext cx="4506136" cy="2827641"/>
                    </a:xfrm>
                    <a:prstGeom prst="rect">
                      <a:avLst/>
                    </a:prstGeom>
                    <a:ln w="3175">
                      <a:solidFill>
                        <a:schemeClr val="tx1"/>
                      </a:solidFill>
                    </a:ln>
                  </pic:spPr>
                </pic:pic>
              </a:graphicData>
            </a:graphic>
          </wp:inline>
        </w:drawing>
      </w:r>
    </w:p>
    <w:p w:rsidR="00774227" w:rsidRDefault="00774227" w:rsidP="00774227">
      <w:r w:rsidRPr="00FE1049">
        <w:t>Respons</w:t>
      </w:r>
      <w:r>
        <w:t xml:space="preserve">e rates for both BRVO and CRVO are summarised. Patients in the BRVO subgroup had better response rates than both the overall ITT population and the CRVO subgroup regardless of randomisation to DEX 700 or Sham treatment. Differences between the DEX 700 and Sham response rates were greatest in the early period of the studies, with a difference of 13.4% and 17.0% at Day 30 and 60 (both p &lt; 0.001) but falling at Day 90 to 9.0% (p = 0.006). The DEX 700 treatment group was characterised by a maximal response rate of 29.6% at Day 60, falling to 23.7% at Day 90 and remaining static at 23.0% at Day 180. In contrast, the spontaneous improvement rate in the Sham group rose steadily from </w:t>
      </w:r>
      <w:r>
        <w:lastRenderedPageBreak/>
        <w:t>7.9% at Day 30 to 20.4% at Day 180 so that at the end of the IT period, the difference between responder rates in the DEX 700 and Sham groups was small at 2.6% (p = 0.453).</w:t>
      </w:r>
    </w:p>
    <w:p w:rsidR="00774227" w:rsidRDefault="00774227" w:rsidP="00774227">
      <w:r>
        <w:t>The response pattern in CRVO patients was similar, with a maximal response rate of 28.7% at Day 60, falling to approximately 18.0% at Day 90 and 180. Although response rates for the DEX 700 CRVO treated group were slightly lower, differences with Sham were greater at Day 30 (14.5%) and Day 60 (19.8%) (</w:t>
      </w:r>
      <w:proofErr w:type="gramStart"/>
      <w:r>
        <w:t>both</w:t>
      </w:r>
      <w:proofErr w:type="gramEnd"/>
      <w:r>
        <w:t xml:space="preserve"> p &lt; 0.001) in part due to a slower rate of spontaneous improvement in the Sham CRVO group. At Day 90, the difference between DEX 700 versus Sham was 7.4% (p = 0.070) and 6.1% at the end of the IT period (p = 0.151). In contrast to the BRVO subgroup, the difference at IT Day 180 was more than double (6.1% versus 2.6%) again related to lower rate of spontaneous improvement at 12.2% versus 20.4% in the Sham group of CRVO patients versus BRVO patients respectively.</w:t>
      </w:r>
    </w:p>
    <w:p w:rsidR="00774227" w:rsidRDefault="00774227" w:rsidP="00774227">
      <w:pPr>
        <w:pStyle w:val="Heading6"/>
      </w:pPr>
      <w:r>
        <w:t xml:space="preserve">Proportion of patients with ≥ 10 letters improvement in BCVA from </w:t>
      </w:r>
      <w:r w:rsidR="00F64F8C">
        <w:t>b</w:t>
      </w:r>
      <w:r>
        <w:t>aseline</w:t>
      </w:r>
    </w:p>
    <w:p w:rsidR="00774227" w:rsidRPr="00455A79" w:rsidRDefault="00774227" w:rsidP="00774227">
      <w:r>
        <w:t>With a response of ≥ 10 letters improvement, DEX 700 outperformed Sham with statistically significant between-pair differences at every study visit. Peak response in the DEX 700 group was seen at IT Day 60 (as it was for ≥ 15 letters improvement) with roughly half of DEX 700 patients responding (51.1%; p &lt; 0.001).At each consecutive study visit the difference in response rates between DEX 700 and Sham decreased due to falling efficacy and the effect of spontaneous response rates in the Sham group, with a response rate rising progressively to 29.8% at IT Day 180. At the end of the IT period, the comparison between DEX 700 and Sham was 36.5% and 29.8% (difference 6.7%; p &lt; 0.037).</w:t>
      </w:r>
    </w:p>
    <w:p w:rsidR="00774227" w:rsidRDefault="00774227" w:rsidP="004E2C51">
      <w:pPr>
        <w:pStyle w:val="Tabletitle"/>
        <w:numPr>
          <w:ilvl w:val="0"/>
          <w:numId w:val="21"/>
        </w:numPr>
        <w:spacing w:after="120" w:line="240" w:lineRule="auto"/>
        <w:ind w:left="1134" w:hanging="1134"/>
      </w:pPr>
      <w:bookmarkStart w:id="122" w:name="_Toc462652666"/>
      <w:r>
        <w:t>Patients with ≥ 10 letters improvement in BCVA from Baseline (ISE)</w:t>
      </w:r>
      <w:bookmarkEnd w:id="122"/>
    </w:p>
    <w:p w:rsidR="00774227" w:rsidRDefault="00774227" w:rsidP="00774227">
      <w:r>
        <w:rPr>
          <w:noProof/>
          <w:lang w:eastAsia="en-AU"/>
        </w:rPr>
        <w:drawing>
          <wp:inline distT="0" distB="0" distL="0" distR="0" wp14:anchorId="217DA583" wp14:editId="6C435499">
            <wp:extent cx="5731510" cy="1734762"/>
            <wp:effectExtent l="19050" t="19050" r="21590" b="18415"/>
            <wp:docPr id="4" name="Picture 4" descr="Table 39: Patients with ≥ 10 letters improvement in BCVA from Baseline (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1734762"/>
                    </a:xfrm>
                    <a:prstGeom prst="rect">
                      <a:avLst/>
                    </a:prstGeom>
                    <a:ln w="3175">
                      <a:solidFill>
                        <a:schemeClr val="tx1"/>
                      </a:solidFill>
                    </a:ln>
                  </pic:spPr>
                </pic:pic>
              </a:graphicData>
            </a:graphic>
          </wp:inline>
        </w:drawing>
      </w:r>
    </w:p>
    <w:p w:rsidR="00774227" w:rsidRDefault="00774227" w:rsidP="00774227">
      <w:pPr>
        <w:pStyle w:val="Heading6"/>
        <w:rPr>
          <w:lang w:eastAsia="ja-JP"/>
        </w:rPr>
      </w:pPr>
      <w:r>
        <w:rPr>
          <w:lang w:eastAsia="ja-JP"/>
        </w:rPr>
        <w:t xml:space="preserve">Mean </w:t>
      </w:r>
      <w:r w:rsidRPr="004422FF">
        <w:rPr>
          <w:lang w:eastAsia="ja-JP"/>
        </w:rPr>
        <w:t xml:space="preserve">change from </w:t>
      </w:r>
      <w:r w:rsidR="00F64F8C">
        <w:rPr>
          <w:lang w:eastAsia="ja-JP"/>
        </w:rPr>
        <w:t>b</w:t>
      </w:r>
      <w:r w:rsidRPr="004422FF">
        <w:rPr>
          <w:lang w:eastAsia="ja-JP"/>
        </w:rPr>
        <w:t>aseline</w:t>
      </w:r>
      <w:r>
        <w:rPr>
          <w:lang w:eastAsia="ja-JP"/>
        </w:rPr>
        <w:t xml:space="preserve"> BCVA</w:t>
      </w:r>
      <w:r w:rsidRPr="004422FF">
        <w:rPr>
          <w:lang w:eastAsia="ja-JP"/>
        </w:rPr>
        <w:t xml:space="preserve"> in number of letters read correctly</w:t>
      </w:r>
    </w:p>
    <w:p w:rsidR="00774227" w:rsidRDefault="00774227" w:rsidP="00774227">
      <w:pPr>
        <w:rPr>
          <w:lang w:eastAsia="ja-JP"/>
        </w:rPr>
      </w:pPr>
      <w:r>
        <w:rPr>
          <w:lang w:eastAsia="ja-JP"/>
        </w:rPr>
        <w:t>At Baseline, DEX 700 and Sham groups were comparable (mean BCVA in letters (min/max): 54.3 (34 to 68) and 54.8 (28 to 80) for DEX 700 and Sham respectively (p = 0.493). The highest mean change from BCVA Baseline in letters read correctly (min/max) was at IT Day 60 at 9.8 (-39 to 41) versus 3.1 (-42 to 38) with a difference of 6.7 letters between DEX 700 versus Sham (CI95: 5.3 to 8.1; p &lt; 0.001).  At IT Day 180, the response rate was 5.1 (-56 to 41) versus 2.6 (-55 to 44); difference: 2.5 (CI95: 0.7 to 4.3; p &lt; 0.006).</w:t>
      </w:r>
    </w:p>
    <w:p w:rsidR="00774227" w:rsidRDefault="00774227" w:rsidP="00774227">
      <w:pPr>
        <w:pStyle w:val="Heading6"/>
        <w:rPr>
          <w:lang w:eastAsia="ja-JP"/>
        </w:rPr>
      </w:pPr>
      <w:r>
        <w:rPr>
          <w:lang w:eastAsia="ja-JP"/>
        </w:rPr>
        <w:t xml:space="preserve">Vision loss of ≥ 15 letters from </w:t>
      </w:r>
      <w:r w:rsidR="00F64F8C">
        <w:rPr>
          <w:lang w:eastAsia="ja-JP"/>
        </w:rPr>
        <w:t>b</w:t>
      </w:r>
      <w:r>
        <w:rPr>
          <w:lang w:eastAsia="ja-JP"/>
        </w:rPr>
        <w:t>aseline BCVA</w:t>
      </w:r>
    </w:p>
    <w:p w:rsidR="00774227" w:rsidRPr="00FC75F4" w:rsidRDefault="00774227" w:rsidP="00774227">
      <w:pPr>
        <w:rPr>
          <w:lang w:eastAsia="ja-JP"/>
        </w:rPr>
      </w:pPr>
      <w:r>
        <w:rPr>
          <w:lang w:eastAsia="ja-JP"/>
        </w:rPr>
        <w:t xml:space="preserve">DEX 700 </w:t>
      </w:r>
      <w:proofErr w:type="gramStart"/>
      <w:r>
        <w:rPr>
          <w:lang w:eastAsia="ja-JP"/>
        </w:rPr>
        <w:t>treatment</w:t>
      </w:r>
      <w:proofErr w:type="gramEnd"/>
      <w:r>
        <w:rPr>
          <w:lang w:eastAsia="ja-JP"/>
        </w:rPr>
        <w:t xml:space="preserve"> was consistently associated with fewer patients reporting VA loss ≥ 15 letters than Sham with the difference statistically significant at all IT visits. The incidence of VA loss in the DEX 700 group was 1.2% (5/427), 1.4% (6/427), 3.5% (15/427) and 6.1% (26/427) at IT Days 30, 60, 90 and 180 respectively. Incidence for the Sham group was 3.3% (14/426), 4.9% (21/426), 6.8% (29/426) and 10.6% (45/426), with a greater difference in incidence (DEX 700 versus Sham) at IT Day 180 (-4.5%, CI95: -8.2% to -0.8%; </w:t>
      </w:r>
      <w:r>
        <w:rPr>
          <w:lang w:eastAsia="ja-JP"/>
        </w:rPr>
        <w:lastRenderedPageBreak/>
        <w:t>p = 0.018) than at IT Day 60 (-3.5%, CI95: -6.3% to -0.3%; p = 0.003) which was the study visit otherwise associated with greatest peak effect on BCVA improvement.</w:t>
      </w:r>
    </w:p>
    <w:p w:rsidR="00774227" w:rsidRDefault="00774227" w:rsidP="00A45E9B">
      <w:pPr>
        <w:pStyle w:val="Heading5"/>
        <w:rPr>
          <w:lang w:eastAsia="ja-JP"/>
        </w:rPr>
      </w:pPr>
      <w:r>
        <w:rPr>
          <w:lang w:eastAsia="ja-JP"/>
        </w:rPr>
        <w:t>Secondary efficacy analysis</w:t>
      </w:r>
    </w:p>
    <w:p w:rsidR="00774227" w:rsidRPr="00441E5F" w:rsidRDefault="00774227" w:rsidP="00774227">
      <w:pPr>
        <w:pStyle w:val="Heading6"/>
        <w:rPr>
          <w:lang w:eastAsia="ja-JP"/>
        </w:rPr>
      </w:pPr>
      <w:r>
        <w:rPr>
          <w:lang w:eastAsia="ja-JP"/>
        </w:rPr>
        <w:t>OCT retinal thickness</w:t>
      </w:r>
    </w:p>
    <w:p w:rsidR="00774227" w:rsidRDefault="00774227" w:rsidP="00774227">
      <w:pPr>
        <w:rPr>
          <w:lang w:eastAsia="ja-JP"/>
        </w:rPr>
      </w:pPr>
      <w:r>
        <w:rPr>
          <w:lang w:eastAsia="ja-JP"/>
        </w:rPr>
        <w:t xml:space="preserve">At Baseline, mean retinal thickness of the central 1 mm subfield in microns was </w:t>
      </w:r>
      <w:r w:rsidRPr="00441E5F">
        <w:rPr>
          <w:lang w:eastAsia="ja-JP"/>
        </w:rPr>
        <w:t xml:space="preserve">562.0 </w:t>
      </w:r>
      <w:r>
        <w:rPr>
          <w:lang w:eastAsia="ja-JP"/>
        </w:rPr>
        <w:t xml:space="preserve">and </w:t>
      </w:r>
      <w:r w:rsidRPr="00441E5F">
        <w:rPr>
          <w:lang w:eastAsia="ja-JP"/>
        </w:rPr>
        <w:t xml:space="preserve">538.6 </w:t>
      </w:r>
      <w:r>
        <w:rPr>
          <w:lang w:eastAsia="ja-JP"/>
        </w:rPr>
        <w:t xml:space="preserve">for DEX 700 and Sham respectively (difference: </w:t>
      </w:r>
      <w:r w:rsidRPr="00441E5F">
        <w:rPr>
          <w:lang w:eastAsia="ja-JP"/>
        </w:rPr>
        <w:t>23.3</w:t>
      </w:r>
      <w:r>
        <w:rPr>
          <w:lang w:eastAsia="ja-JP"/>
        </w:rPr>
        <w:t xml:space="preserve">; CI95: -2.7 to 49.4). At IT Day 90 the comparison was 355.8 and 455.5 microns (difference: -99.7; CI95: -124.1 to -75.2; p &lt; 0.001). By IT Day 180 the comparison was 443.6 and 421.0 (difference: 22.6; -4.1 to 49.3; p = 0.097). DEX 700 </w:t>
      </w:r>
      <w:proofErr w:type="gramStart"/>
      <w:r>
        <w:rPr>
          <w:lang w:eastAsia="ja-JP"/>
        </w:rPr>
        <w:t>treatment</w:t>
      </w:r>
      <w:proofErr w:type="gramEnd"/>
      <w:r>
        <w:rPr>
          <w:lang w:eastAsia="ja-JP"/>
        </w:rPr>
        <w:t xml:space="preserve"> was associated with a mean (min/max) reduction in retinal thickness from Baseline of -207.9 (-1144 to 337) versus -85.0 microns (-931 to 569) for Sham at IT Day 90 (difference: -122.9; CI95: -148.8 to -97.1; p &lt; 0.001). At IT Day 180, there was no difference in mean change from Baseline between DEX 700 versus Sham (mean decrease from Baseline of -119.3 microns for both groups, p &gt; 0.999).</w:t>
      </w:r>
    </w:p>
    <w:p w:rsidR="00774227" w:rsidRDefault="00774227" w:rsidP="00A45E9B">
      <w:pPr>
        <w:pStyle w:val="Heading5"/>
        <w:rPr>
          <w:lang w:eastAsia="ja-JP"/>
        </w:rPr>
      </w:pPr>
      <w:r>
        <w:rPr>
          <w:lang w:eastAsia="ja-JP"/>
        </w:rPr>
        <w:t>Re-treatment population analysis</w:t>
      </w:r>
    </w:p>
    <w:p w:rsidR="00774227" w:rsidRPr="00B87CE2" w:rsidRDefault="005D248C" w:rsidP="00774227">
      <w:pPr>
        <w:rPr>
          <w:lang w:eastAsia="ja-JP"/>
        </w:rPr>
      </w:pPr>
      <w:r>
        <w:rPr>
          <w:lang w:eastAsia="ja-JP"/>
        </w:rPr>
        <w:t>The table b</w:t>
      </w:r>
      <w:r w:rsidR="00774227">
        <w:rPr>
          <w:lang w:eastAsia="ja-JP"/>
        </w:rPr>
        <w:t xml:space="preserve">elow summarises the response rate in terms of proportions with improvement of ≥ 15 letters in BCVA from Baseline. In the retreatment population, significant differences in the IT period between DEX 700 versus Sham were seen at IT Days 30, 60 and 90 (p ≤ 0.003), but not beyond. Following re-treatment, Sham/DEX 700 response was similar in magnitude to that seen for DEX 700 and DEX 350 treatment in the IT period, but the visit with peak response was delayed to 90 days post insertion opposed to 60 days in the IT period. Response rates for the DEX 700/700 group were numerically greater following re-treatment (that is, after 2 consecutive implants) than for the same group in the IT period, with peak response being 29.9% and 31.7% at IT Day 60 and OL Day 60 respectively. </w:t>
      </w:r>
      <w:r w:rsidR="00774227" w:rsidRPr="001C6141">
        <w:rPr>
          <w:lang w:eastAsia="ja-JP"/>
        </w:rPr>
        <w:t xml:space="preserve">In the re-treatment population there were no significant differences in proportions with ≥ 15 letter BCVA </w:t>
      </w:r>
      <w:proofErr w:type="gramStart"/>
      <w:r w:rsidR="00774227" w:rsidRPr="001C6141">
        <w:rPr>
          <w:lang w:eastAsia="ja-JP"/>
        </w:rPr>
        <w:t>improvement</w:t>
      </w:r>
      <w:proofErr w:type="gramEnd"/>
      <w:r w:rsidR="00774227" w:rsidRPr="001C6141">
        <w:rPr>
          <w:lang w:eastAsia="ja-JP"/>
        </w:rPr>
        <w:t xml:space="preserve"> between the DEX 700/700 and Sham/DEX 700 groups at any OL visit. The peak response was 31.7% in the DEX 700/700 group (OL Day 60) and 27.2% for Sham/DEX 700 (OL Day 90). At OL Day 180 the difference in response rates between the two groups was 2.7% (p = 0.411). Compared with the 2nd Baseline (IT Day 180), essentially the same proportions for both groups demonstrated an improvement at ≥ 15 letters improvement in BCVA over Baseline (7.7% more DEX 700/700 and 7.6% more Sham/DEX patients).</w:t>
      </w:r>
    </w:p>
    <w:p w:rsidR="00774227" w:rsidRDefault="00774227" w:rsidP="004E2C51">
      <w:pPr>
        <w:pStyle w:val="Tabletitle"/>
        <w:numPr>
          <w:ilvl w:val="0"/>
          <w:numId w:val="21"/>
        </w:numPr>
        <w:spacing w:after="120" w:line="240" w:lineRule="auto"/>
        <w:ind w:left="1134" w:hanging="1134"/>
      </w:pPr>
      <w:bookmarkStart w:id="123" w:name="_Toc462652667"/>
      <w:r>
        <w:t>Proportion ≥ 15 letter BCVA improvement from Baseline (Retreatment population)</w:t>
      </w:r>
      <w:bookmarkEnd w:id="123"/>
    </w:p>
    <w:p w:rsidR="00774227" w:rsidRDefault="00774227" w:rsidP="00774227">
      <w:pPr>
        <w:rPr>
          <w:lang w:eastAsia="ja-JP"/>
        </w:rPr>
      </w:pPr>
      <w:r>
        <w:rPr>
          <w:noProof/>
          <w:lang w:eastAsia="en-AU"/>
        </w:rPr>
        <w:drawing>
          <wp:inline distT="0" distB="0" distL="0" distR="0" wp14:anchorId="6E1172C2" wp14:editId="2E6C5C03">
            <wp:extent cx="4071068" cy="2115999"/>
            <wp:effectExtent l="0" t="0" r="5715" b="0"/>
            <wp:docPr id="5" name="Picture 5" descr="Table 40: Proportion ≥ 15 letter BCVA improvement from Baseline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76870" cy="2119014"/>
                    </a:xfrm>
                    <a:prstGeom prst="rect">
                      <a:avLst/>
                    </a:prstGeom>
                  </pic:spPr>
                </pic:pic>
              </a:graphicData>
            </a:graphic>
          </wp:inline>
        </w:drawing>
      </w:r>
    </w:p>
    <w:p w:rsidR="00774227" w:rsidRDefault="00774227" w:rsidP="00774227">
      <w:pPr>
        <w:rPr>
          <w:lang w:eastAsia="ja-JP"/>
        </w:rPr>
      </w:pPr>
      <w:r>
        <w:rPr>
          <w:lang w:eastAsia="ja-JP"/>
        </w:rPr>
        <w:t xml:space="preserve">In the BRVO subgroup, maximal improvement rate in the IT period was 29.5% versus 11.9% at IT Day 60 (difference 17.6%; p &lt; 0.001) for DEX 700 versus Sham respectively. At IT Day 180 the comparison was 16.7% versus 16.2% (p = 0.877). Following re-treatment, response rates for the DEX 700/700 group were 31.7%, 33.9%, 32.2% and </w:t>
      </w:r>
      <w:r>
        <w:rPr>
          <w:lang w:eastAsia="ja-JP"/>
        </w:rPr>
        <w:lastRenderedPageBreak/>
        <w:t>27.8% at OL Days 30, 60, 90 and 180 respectively and 25.7%, 28.6%, 28.6% and 23</w:t>
      </w:r>
      <w:r w:rsidR="00F64F8C">
        <w:rPr>
          <w:lang w:eastAsia="ja-JP"/>
        </w:rPr>
        <w:t>.3% for the Sham/DEX 700 group.</w:t>
      </w:r>
    </w:p>
    <w:p w:rsidR="00774227" w:rsidRDefault="00774227" w:rsidP="00774227">
      <w:pPr>
        <w:rPr>
          <w:lang w:eastAsia="ja-JP"/>
        </w:rPr>
      </w:pPr>
      <w:r w:rsidRPr="00FF266C">
        <w:rPr>
          <w:lang w:eastAsia="ja-JP"/>
        </w:rPr>
        <w:t xml:space="preserve">In the </w:t>
      </w:r>
      <w:r>
        <w:rPr>
          <w:lang w:eastAsia="ja-JP"/>
        </w:rPr>
        <w:t>C</w:t>
      </w:r>
      <w:r w:rsidRPr="00FF266C">
        <w:rPr>
          <w:lang w:eastAsia="ja-JP"/>
        </w:rPr>
        <w:t xml:space="preserve">RVO subgroup, maximal improvement rate in the IT period was </w:t>
      </w:r>
      <w:r>
        <w:rPr>
          <w:lang w:eastAsia="ja-JP"/>
        </w:rPr>
        <w:t>30.7</w:t>
      </w:r>
      <w:r w:rsidRPr="00FF266C">
        <w:rPr>
          <w:lang w:eastAsia="ja-JP"/>
        </w:rPr>
        <w:t>% versus 11.9</w:t>
      </w:r>
      <w:r>
        <w:rPr>
          <w:lang w:eastAsia="ja-JP"/>
        </w:rPr>
        <w:t xml:space="preserve"> at IT Day 60 (difference 24.7</w:t>
      </w:r>
      <w:r w:rsidRPr="00FF266C">
        <w:rPr>
          <w:lang w:eastAsia="ja-JP"/>
        </w:rPr>
        <w:t>%; p &lt; 0.001) for DEX 700 versus Sham respectively. At IT</w:t>
      </w:r>
      <w:r>
        <w:rPr>
          <w:lang w:eastAsia="ja-JP"/>
        </w:rPr>
        <w:t xml:space="preserve"> Day 180 the comparison was 14.9</w:t>
      </w:r>
      <w:r w:rsidRPr="00FF266C">
        <w:rPr>
          <w:lang w:eastAsia="ja-JP"/>
        </w:rPr>
        <w:t xml:space="preserve">% versus </w:t>
      </w:r>
      <w:r>
        <w:rPr>
          <w:lang w:eastAsia="ja-JP"/>
        </w:rPr>
        <w:t>8.5% (p = 0.132</w:t>
      </w:r>
      <w:r w:rsidRPr="00FF266C">
        <w:rPr>
          <w:lang w:eastAsia="ja-JP"/>
        </w:rPr>
        <w:t xml:space="preserve">). Following re-treatment, response rates for the DEX 700/700 group were </w:t>
      </w:r>
      <w:r>
        <w:rPr>
          <w:lang w:eastAsia="ja-JP"/>
        </w:rPr>
        <w:t>17.5%, 27.2%, 23.7% and 15.8%</w:t>
      </w:r>
      <w:r w:rsidRPr="00FF266C">
        <w:rPr>
          <w:lang w:eastAsia="ja-JP"/>
        </w:rPr>
        <w:t xml:space="preserve"> at OL Days 30, 60, 90 and 180 respectively and </w:t>
      </w:r>
      <w:r>
        <w:rPr>
          <w:lang w:eastAsia="ja-JP"/>
        </w:rPr>
        <w:t>16.2%, 20.5%, 24.8% and 17.1%</w:t>
      </w:r>
      <w:r w:rsidRPr="00FF266C">
        <w:rPr>
          <w:lang w:eastAsia="ja-JP"/>
        </w:rPr>
        <w:t xml:space="preserve"> for the Sham/DEX 700 group. Response rates with two consecutive implants were numerically greater but not statistically significant at any point.</w:t>
      </w:r>
    </w:p>
    <w:p w:rsidR="00774227" w:rsidRDefault="00774227" w:rsidP="00774227">
      <w:pPr>
        <w:rPr>
          <w:lang w:eastAsia="ja-JP"/>
        </w:rPr>
      </w:pPr>
      <w:r>
        <w:rPr>
          <w:lang w:eastAsia="ja-JP"/>
        </w:rPr>
        <w:t>For the re-treatment population, proportions with ≥ 10 letters improvement over Baseline at IT Day 180 were 30.8% for DEX 700/700 and 24.2% for Sham/DEX 700 (difference: 6.6%, p = 0.055). Following re-treatment this peaked at 54.5% in the DEX 700/700 group at OL Day 60 and in Sham/DEX 700 group peaked at 46.2% on OL Day 90. Two consecutive DEX 700 treatments were associated with statistically significant differences in the early visits of the OL extension to those only treated once, with a difference in response rates between DEX 700/700 and Sham/DEX 700 at OL Day 30 of 9.8% (p = 0.011) and at OL Day 60 of 8.7% (p = 0.025). At OL Day 180 both the DEX 700/700 and Sham/DEX 700 groups were the same with roughly 39% of both groups responding, an improvement of approximately 8% and 15% for the DEX 700/700 and Sham/DEX 700 group compared with IT Day 180 (2</w:t>
      </w:r>
      <w:r w:rsidRPr="00873873">
        <w:rPr>
          <w:vertAlign w:val="superscript"/>
          <w:lang w:eastAsia="ja-JP"/>
        </w:rPr>
        <w:t>nd</w:t>
      </w:r>
      <w:r>
        <w:rPr>
          <w:lang w:eastAsia="ja-JP"/>
        </w:rPr>
        <w:t xml:space="preserve"> Baseline).</w:t>
      </w:r>
    </w:p>
    <w:p w:rsidR="00774227" w:rsidRDefault="00774227" w:rsidP="004E2C51">
      <w:pPr>
        <w:pStyle w:val="Tabletitle"/>
        <w:numPr>
          <w:ilvl w:val="0"/>
          <w:numId w:val="21"/>
        </w:numPr>
        <w:spacing w:after="120" w:line="240" w:lineRule="auto"/>
        <w:ind w:left="1134" w:hanging="1134"/>
      </w:pPr>
      <w:bookmarkStart w:id="124" w:name="_Toc462652668"/>
      <w:r>
        <w:t>Proportions with ≥ 10 letter BCVA improvement from Baseline (OL extension)</w:t>
      </w:r>
      <w:bookmarkEnd w:id="124"/>
    </w:p>
    <w:p w:rsidR="00774227" w:rsidRDefault="00774227" w:rsidP="00774227">
      <w:pPr>
        <w:rPr>
          <w:lang w:eastAsia="ja-JP"/>
        </w:rPr>
      </w:pPr>
      <w:r>
        <w:rPr>
          <w:noProof/>
          <w:lang w:eastAsia="en-AU"/>
        </w:rPr>
        <w:drawing>
          <wp:inline distT="0" distB="0" distL="0" distR="0" wp14:anchorId="0E12A959" wp14:editId="7CF76F07">
            <wp:extent cx="5741213" cy="1510748"/>
            <wp:effectExtent l="0" t="0" r="0" b="0"/>
            <wp:docPr id="12" name="Picture 12" descr="Proportions with ≥ 10 letter BCVA improvement from Baseline (OL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9831" cy="1510384"/>
                    </a:xfrm>
                    <a:prstGeom prst="rect">
                      <a:avLst/>
                    </a:prstGeom>
                  </pic:spPr>
                </pic:pic>
              </a:graphicData>
            </a:graphic>
          </wp:inline>
        </w:drawing>
      </w:r>
    </w:p>
    <w:p w:rsidR="00774227" w:rsidRDefault="00774227" w:rsidP="00774227">
      <w:r>
        <w:t>P</w:t>
      </w:r>
      <w:r w:rsidRPr="003F0CD0">
        <w:t>atients treated with 2 doses of</w:t>
      </w:r>
      <w:r>
        <w:t xml:space="preserve"> </w:t>
      </w:r>
      <w:r w:rsidRPr="003F0CD0">
        <w:t xml:space="preserve">DEX showed significantly greater </w:t>
      </w:r>
      <w:r>
        <w:t>mean change from BCVA B</w:t>
      </w:r>
      <w:r w:rsidRPr="003F0CD0">
        <w:t xml:space="preserve">aseline in both the </w:t>
      </w:r>
      <w:r>
        <w:t xml:space="preserve">IT period </w:t>
      </w:r>
      <w:r w:rsidRPr="003F0CD0">
        <w:t xml:space="preserve">and </w:t>
      </w:r>
      <w:r>
        <w:t xml:space="preserve">OL extension </w:t>
      </w:r>
      <w:r w:rsidRPr="003F0CD0">
        <w:t>than patients initially receiving Sham. The</w:t>
      </w:r>
      <w:r>
        <w:t xml:space="preserve"> </w:t>
      </w:r>
      <w:r w:rsidRPr="003F0CD0">
        <w:t xml:space="preserve">treatment group differences peaked at </w:t>
      </w:r>
      <w:r>
        <w:t xml:space="preserve">IT Day 60, with a difference of </w:t>
      </w:r>
      <w:r w:rsidRPr="003F0CD0">
        <w:t>appro</w:t>
      </w:r>
      <w:r>
        <w:t>ximately 7 letters. Differences between DEX 700/700 and Sham/DEX 700 were 2.8, 2.7, 1.8 and 1.5 letters at OL Days 30, 60, 90 and 180 respectively and significant at the first 2 OL visits (p ≤ 0.004).</w:t>
      </w:r>
    </w:p>
    <w:p w:rsidR="00774227" w:rsidRDefault="00774227" w:rsidP="00774227">
      <w:r w:rsidRPr="00FF266C">
        <w:t xml:space="preserve">Mean retinal thickness was significantly less with DEX 700/700 compared to Sham/DEX 700 at IT Day 90 (p &lt; 0.001). At IT Day 180, mean retinal thickness was 473.0 and 452.0 microns for DEX 700 and Sham respectively (difference: 21.0 microns; p = 0.158). During the OL extension mean thickness decreased to 308.2 and 287.8 microns at OL Day 90 (difference: 20.4; p = 0.099) and 405.1 and 382.9 at OL Day 180 (difference: 22.2; p = 0.139. Considering the mean retinal thickness at IT Day 180 (2nd Baseline) decreases were uniform between the DEX 700/700 and Sham/DEX 700 groups. </w:t>
      </w:r>
    </w:p>
    <w:p w:rsidR="00774227" w:rsidRDefault="00774227" w:rsidP="00A45E9B">
      <w:pPr>
        <w:pStyle w:val="Heading5"/>
      </w:pPr>
      <w:r>
        <w:t>Evaluator’s commentary</w:t>
      </w:r>
    </w:p>
    <w:p w:rsidR="00774227" w:rsidRDefault="00774227" w:rsidP="00774227">
      <w:r>
        <w:t xml:space="preserve">As per the individual studies, for the ITT population a statistically significant difference was seen at the early visits but not at IT Day 180. At this time point the difference in response rates (≥ 15 letters improvement in BCVA from Baseline) was 3.9% (p = 0.147). Peak response rate in the DEX 700 group was at Day 60, with a difference versus Sham of </w:t>
      </w:r>
      <w:r>
        <w:lastRenderedPageBreak/>
        <w:t xml:space="preserve">18.0% (p &lt; 0.001), falling to 8.6% at IT Day 90 (p &lt; 0.001). Both the BRVO and CRVO subgroups had peak response at Day 60. At this time point, the difference with DEX 700 versus Sham was 17.0% for BRVO and 19.8% for CRVO (both p &lt; 0.001). Differences were significant at Day 90 for BRVO (9.0%, p = 0.006) but not CRVO (7.4%, p = 0.070). At Day 180 differences (2.6% for BRVO and 6.1% for CRVO) were insignificant for both subgroups (p = 0.453 and p = 0.151 respectively). At a reduced threshold for response (≥ 10 letters BCVA improvement), comparisons with Sham were significant at all IT visits. The peak response for DEX 700 was at Day 60 with a difference versus Sham of 25.0%, falling to 15.2% at Day 90 (p &lt; 0.001). At Day 180 the difference was 6.7% (p = 0.037). Similarly, the biggest difference in mean letters read correctly over Baseline (all favouring DEX 700) was 6.7 letters at </w:t>
      </w:r>
      <w:r w:rsidR="005D7431">
        <w:t>d</w:t>
      </w:r>
      <w:r>
        <w:t>ay 60, falling to 2.6 letters at Day 90 (p &lt; 0.001). At Day 180, the difference was 2.5 letters (p = 0.006). Mean change in retinal thickness was significantly different and lower in the DEX 700 treatment group at Day 90, but numerically both DEX 700 and Sham groups were identical at Day 180.</w:t>
      </w:r>
    </w:p>
    <w:p w:rsidR="00774227" w:rsidRDefault="00774227" w:rsidP="00774227">
      <w:r>
        <w:t xml:space="preserve">In the re-treatment population there were no significant differences in proportions with ≥ 15 letter BCVA </w:t>
      </w:r>
      <w:proofErr w:type="gramStart"/>
      <w:r>
        <w:t>improvement</w:t>
      </w:r>
      <w:proofErr w:type="gramEnd"/>
      <w:r>
        <w:t xml:space="preserve"> between the DEX 700/700 and Sham/DEX 700 groups at any OL visit. The peak response was 31.7% in the DEX 700/700 group (OL Day 60) and 27.2% for Sham/DEX 700 (OL Day 90). At OL Day 180, responder proportions in both the DEX 700/700 and Sham/DEX 700 were essentially the same with the difference in response rates between the two groups being 2.7% (p = 0.411). Compared with the 2</w:t>
      </w:r>
      <w:r w:rsidRPr="001C6141">
        <w:rPr>
          <w:vertAlign w:val="superscript"/>
        </w:rPr>
        <w:t>nd</w:t>
      </w:r>
      <w:r>
        <w:t xml:space="preserve"> Baseline (IT Day 180), essentially the same proportions for both groups demonstrated an improvement at ≥ 15 letters improvement in BCVA over Baseline (7.7% more DEX 700/700 and 7.6% more Sham/DEX patients). BRVO patients in both the DEX 700/700 and Sham/DEX 700 group demonstrate a greater rate of improvement compared with CRVO patients, however in the OL extension there were no significant differences between the two treatment arms for either diagnosis at any study visit.</w:t>
      </w:r>
    </w:p>
    <w:p w:rsidR="00774227" w:rsidRPr="00D43A7E" w:rsidRDefault="00774227" w:rsidP="00774227">
      <w:r>
        <w:t>With a lower threshold for response (≥ 10 letters improvement), a significant difference was seen in early visits between DEX 700/700 versus Sham/DEX 700 with 9.8% and 8.7% more DEX 700/700 counted as responders at OL Day 30 and 60 (p ≤ 0.025), however by the end of the OL extension the difference was non-existent. Similarly, significant differences were seen between the DEX 700/700 and Sham/DEX 700 groups at the OL Day 30 and 60 visits between groups in mean change (letters) from Baseline BCVA at 2.8 and 2.7 letters difference (favouring DEX 700/700). At OL Day 180 the comparison in mean change between groups was 1.5 letters and not significant.</w:t>
      </w:r>
    </w:p>
    <w:p w:rsidR="00774227" w:rsidRDefault="00774227" w:rsidP="004C3275">
      <w:pPr>
        <w:pStyle w:val="Heading4"/>
        <w:numPr>
          <w:ilvl w:val="2"/>
          <w:numId w:val="5"/>
        </w:numPr>
      </w:pPr>
      <w:r w:rsidRPr="005632DC">
        <w:t>Evaluator’s conclusions on clinical efficac</w:t>
      </w:r>
      <w:bookmarkEnd w:id="113"/>
      <w:bookmarkEnd w:id="114"/>
      <w:bookmarkEnd w:id="115"/>
      <w:bookmarkEnd w:id="116"/>
      <w:bookmarkEnd w:id="117"/>
      <w:bookmarkEnd w:id="118"/>
      <w:bookmarkEnd w:id="119"/>
      <w:r>
        <w:t>y for RVO</w:t>
      </w:r>
    </w:p>
    <w:p w:rsidR="00774227" w:rsidRDefault="00774227" w:rsidP="00774227">
      <w:r>
        <w:t>Using the original primary efficacy endpoint/analysis (as per protocol) for Studies 008 and 009, the primary efficacy results failed to demonstrate a statistically significant difference between the proportion of DEX 700 and Sham-treated patients with a ≥ 15 letter improvement in BCVA from Baseline at IT Day 180. Between-group differences of 6.5% (p = 0.087) in Study 009 and 1.1% (p = 0.780) in Study 008 were neither statistically significant nor clinically meaningful. Results were no better in the pooled-analysis with a between-group difference of 3.9% (p = 0.147). In Study 020 (where this efficacy endpoint was considered secondary as per protocol) the between-group difference at the same time point was 2.5% (p = 0.617).</w:t>
      </w:r>
    </w:p>
    <w:p w:rsidR="00774227" w:rsidRDefault="00774227" w:rsidP="00774227">
      <w:r>
        <w:t xml:space="preserve">DEX 700 </w:t>
      </w:r>
      <w:proofErr w:type="gramStart"/>
      <w:r>
        <w:t>treatment</w:t>
      </w:r>
      <w:proofErr w:type="gramEnd"/>
      <w:r>
        <w:t xml:space="preserve"> was associated with an early gain in VA compared with Sham, with statistically significant between-group differences across all studies at the Day 30 visit. BCVA improvement was well characterised and consistent across studies with maximal between-group differences at Day 60. Considering the much smaller above-group differences at Day 90 compared to Day 60, it may be considered that any statistically significant difference was lost early in following 90 Day study interval. As there were no visits for the second half of Studies 008 and 009, there is no evidence either way, but as </w:t>
      </w:r>
      <w:r>
        <w:lastRenderedPageBreak/>
        <w:t>demonstrated in Study 020 with visits on Days 120 and 150, between-group differences had fallen to 8.6% (p = 0.073) on Day 120 and 0.2% (p = 0.921) on Day 150. Also of note is that in Study 020, between-group differences at Day 90 already higher at over double (20.3%) those seen in the other studies (approximately 8.6%).</w:t>
      </w:r>
    </w:p>
    <w:p w:rsidR="00774227" w:rsidRDefault="00774227" w:rsidP="00774227">
      <w:r>
        <w:t>Applying a lower criterion for improvement of ≥ 10 letters from BCVA at Baseline, at Day 180 between-group differences were  statistically significant for 2 of the 3 studies at 10.4% (p = 0.021) in Study 009, 2.6% (p = 0.567) in Study 008, 2.6% (p = 0.644) in Study 020 and 6.7% (p = 0.037) in the pooled analysis. Maximal between-group differences at this level of improvement were 29.1% in Study 009, 23.5% in Study 008, 31.9% in Study 020 and 26.2% in the pooled analysis (all p &lt; 0.001). Between-group differences across studies were all statistically significant at Day 90, but as for with a ≥ 15 letter improvement, in Study 020, between-group differences had fallen from 13.4% at Day 90 (p = 0.024) to 1.8% at Day 120 (p = 0.745) suggesting loss of efficacy compared to Sham shortly after 3-months of treatment.</w:t>
      </w:r>
    </w:p>
    <w:p w:rsidR="00774227" w:rsidRDefault="00774227" w:rsidP="00774227">
      <w:r>
        <w:t xml:space="preserve">Data from the diagnostic subgroups was conflicting, particularly amongst those diagnosed with CRVO. In the BRVO cohort, statistically significant differences (≥ 15 letters) were demonstrated at Days 30 and 60 in Studies 009 and 020 and Days 30 to 90 in Study 008 and the pooled analysis. In the CRVO cohort, statistically significant between group differences were seen at Days 30, 60 and 180 (but not Day 90) in Study 009; </w:t>
      </w:r>
      <w:r w:rsidRPr="002B1BC6">
        <w:t xml:space="preserve">at Days 30 to 120 in Study 020;  </w:t>
      </w:r>
      <w:r>
        <w:t>and no statistically significant differences were seen at any visit in Study 008 with the pooled analysis revealing significant differences at Days 30 to 60. Results for a ≥ 10 letter improvement were supplied but only for the BRVO subgroup.</w:t>
      </w:r>
    </w:p>
    <w:p w:rsidR="00774227" w:rsidRDefault="00774227" w:rsidP="00774227">
      <w:r>
        <w:t>Changes from mean retinal thickness at Baseline were more uniform, with statistically significant between-group differences at Day 90 in all studies with strong loss of significance at Day 180. Studies 008 and 009 only performed OCT readings at Baseline, Day 90 and Day 180 so Study 020 was useful in that OCT readings were conducted at all visits with loss of statistical significance for between group differences at Day 120 and beyond.</w:t>
      </w:r>
    </w:p>
    <w:p w:rsidR="00774227" w:rsidRDefault="00774227" w:rsidP="00774227">
      <w:r>
        <w:t>One common finding throughout the studies was the rate of spontaneous improvement in the Sham treatment group which saw proportions of responders increase steadily from Baseline to Day 180. Between-group differences by Day 90 were statistically significant but numerically (thus clinically) much reduced partly due to declining response rates in the DEX 700 treated groups after maximal response at Day 60 but also due to a pattern of steady spontaneous improvement in the Sham group throughout the study period. Spontaneous improvement is relatively common in RVO and as can be seen from the data on single-treatment patients receiving Sham in the IT period, spontaneous improvement continued throughout the OL extension, therefore treatment needs to be able to show efficacy exceeding spontaneous improvement rates to be regarded as clinically relevant with gains in VA for Sham replicated by findings for mean change in retinal thickness. Considering steady and sustained improvements in the Sham group (both in the 6-month IT period and in the 12-month period for the single-treatment group), an active comparator group could (and ethically perhaps should) have been included for BRVO patients. Grid laser photocoagulation had been considered standard care for some years prior to study initiation and remain the case today with studies for other treatments for macular oedema including laser as an active comparator. Inclusion could have extended the comparison with DEX 700 for 12-months opposed to six without ethical concerns for patient welfare. No explanation was given for non-inclusion of laser in the study.</w:t>
      </w:r>
    </w:p>
    <w:p w:rsidR="00774227" w:rsidRDefault="00774227" w:rsidP="00774227">
      <w:r>
        <w:t xml:space="preserve">Regarding amendments to the protocol for Study 008, changing the primary efficacy outcome analysis from between-group differences in proportions of patients with a BCVA gain of ≥ 15 letters from Baseline to a time-to-treatment response analysis was of concern. A time-to-treatment response does not capture efficacy and clinically relevant outcomes, </w:t>
      </w:r>
      <w:r>
        <w:lastRenderedPageBreak/>
        <w:t>particularly an early improvement but subsequent deterioration in vision. With this kind of outcome analysis, patients with a ≥ 15 letter visual gain at Day 30 or Day 60 (when response rates were highest) were counted as responders for duration of the study period despite the reduction in response rates at later visits. Secondly, no scientific or clinical explanation is given for changing the primary efficacy outcome analysis for Study 008. The major and critical protocol amendment occurred soon after completion of Study 009 and not long before the completion date of Study 008. This is of concern g</w:t>
      </w:r>
      <w:r w:rsidRPr="00F60807">
        <w:t xml:space="preserve">iven that the results for </w:t>
      </w:r>
      <w:r>
        <w:t xml:space="preserve">the primary efficacy outcome analysis in </w:t>
      </w:r>
      <w:r w:rsidRPr="00F60807">
        <w:t xml:space="preserve">Study 009 failed to demonstrate a significant difference </w:t>
      </w:r>
      <w:r>
        <w:t xml:space="preserve">between DEX 700 and Sham, and unamended, the outcome analysis for Study 008 would have also failed. As for the protocol amendment to change primary efficacy time point from Day 180 to Day 90, this again is unexplained. Given that </w:t>
      </w:r>
      <w:r w:rsidR="00747662">
        <w:t>Ozurdex</w:t>
      </w:r>
      <w:r>
        <w:t xml:space="preserve"> is given at 6 month intervals, the primary efficacy endpoint at Day 90 would suggest re-treatment at 3 month intervals, however the safety data available for both RVO and DME relates to treatment at 6 monthly intervals</w:t>
      </w:r>
    </w:p>
    <w:p w:rsidR="00774227" w:rsidRPr="009E20C2" w:rsidRDefault="00774227" w:rsidP="004C3275">
      <w:pPr>
        <w:pStyle w:val="Heading3"/>
        <w:numPr>
          <w:ilvl w:val="1"/>
          <w:numId w:val="5"/>
        </w:numPr>
        <w:ind w:left="907" w:hanging="794"/>
      </w:pPr>
      <w:bookmarkStart w:id="125" w:name="_Toc471225119"/>
      <w:bookmarkStart w:id="126" w:name="_Toc6313898"/>
      <w:r w:rsidRPr="009E20C2">
        <w:t>Studies providing evaluable efficacy data (uveitis)</w:t>
      </w:r>
      <w:bookmarkEnd w:id="125"/>
      <w:bookmarkEnd w:id="126"/>
    </w:p>
    <w:p w:rsidR="00774227" w:rsidRPr="00FC4729" w:rsidRDefault="00774227" w:rsidP="00774227">
      <w:pPr>
        <w:rPr>
          <w:lang w:eastAsia="ja-JP"/>
        </w:rPr>
      </w:pPr>
      <w:r w:rsidRPr="00FC4729">
        <w:rPr>
          <w:lang w:eastAsia="ja-JP"/>
        </w:rPr>
        <w:t xml:space="preserve">For the indication of non-infectious uveitis affecting the posterior segment of the eye, the sponsor submitted one pivotal </w:t>
      </w:r>
      <w:r>
        <w:rPr>
          <w:lang w:eastAsia="ja-JP"/>
        </w:rPr>
        <w:t>study: Study 206207-014.</w:t>
      </w:r>
    </w:p>
    <w:p w:rsidR="00774227" w:rsidRDefault="00774227" w:rsidP="004C3275">
      <w:pPr>
        <w:pStyle w:val="Heading4"/>
        <w:numPr>
          <w:ilvl w:val="2"/>
          <w:numId w:val="5"/>
        </w:numPr>
      </w:pPr>
      <w:r>
        <w:t>Pivotal or main efficacy Study 206207-014</w:t>
      </w:r>
    </w:p>
    <w:p w:rsidR="00774227" w:rsidRDefault="00774227" w:rsidP="00774227">
      <w:r>
        <w:t>Study 206207-014 assessed the efficacy and safety of DEX 700 via DEX PS DDS for the treatment of non-infectious ocular inflammation of the posterior segment in patients with intermediate or posterior uveitis. It was an 8-week, multicentre, masked and randomised Sham-controlled trial using a comparative DEX 350 dose. Following the 8-week IT period, qualifying patients could enter into an 18-week masked OL extension.</w:t>
      </w:r>
    </w:p>
    <w:p w:rsidR="00774227" w:rsidRPr="00503A37" w:rsidRDefault="00774227" w:rsidP="001A6420">
      <w:r w:rsidRPr="00503A37">
        <w:t>Evaluator’s comment: In comparison with the studies submitted for the RVO indication, the OL extension of Study 206207-014 did not involve retreatment of patients, but rather the Study had two time points, the first and primary efficacy timepoint was the Week 8 visit when patients could exit (early exit) and the first database lock occurred. Those entering the masked OL extension were in fact consenting to extended follow-up until the OL extension time point of the Week 26 visit.</w:t>
      </w:r>
    </w:p>
    <w:p w:rsidR="00774227" w:rsidRPr="00B20F6A" w:rsidRDefault="00774227" w:rsidP="00A45E9B">
      <w:pPr>
        <w:pStyle w:val="Heading5"/>
      </w:pPr>
      <w:r w:rsidRPr="00B20F6A">
        <w:t>Study design, objectives, locations and dates</w:t>
      </w:r>
    </w:p>
    <w:p w:rsidR="00774227" w:rsidRPr="005D7B5E" w:rsidRDefault="00774227" w:rsidP="00774227">
      <w:r>
        <w:t>After screening, patients meeting study criteria were randomised in a 1:1:1 ratio to receive DEX 700, DEX 350 or Sham at Baseline. Patients were stratified at randomisation according to their Baseline scores for vitreous separated as those having Baseline scores of +1.5 or +2 and patients with Baseline scores of either +3 or +4. Treatment either occurred on the same day as the Baseline visit or a maximum of 4 days later, and this visit was designated as the IT Day 0 visit. Patients then had masked outcome visits at Weeks 3, 6, 8, 12, 16, 20 and 26. Study completion (or a patient considered exited from the study) was upon completion or IT visit Week 26, with an early exit date of IT visit Week 8.</w:t>
      </w:r>
    </w:p>
    <w:p w:rsidR="00774227" w:rsidRDefault="00774227" w:rsidP="00774227">
      <w:pPr>
        <w:pStyle w:val="Heading6"/>
      </w:pPr>
      <w:r w:rsidRPr="00B20F6A">
        <w:t>Primary objectives</w:t>
      </w:r>
    </w:p>
    <w:p w:rsidR="00774227" w:rsidRDefault="00774227" w:rsidP="00503A37">
      <w:pPr>
        <w:pStyle w:val="ListBullet"/>
      </w:pPr>
      <w:r>
        <w:t>To evaluate the safety and efficacy of DEX 700 and DEX 350 compared with Sham in the treatment of non-infectious ocular inflammation of the posterior segment in patients with intermediate or posterior uveitis.</w:t>
      </w:r>
    </w:p>
    <w:p w:rsidR="00774227" w:rsidRPr="00BB403C" w:rsidRDefault="00774227" w:rsidP="00503A37">
      <w:pPr>
        <w:pStyle w:val="ListBullet"/>
      </w:pPr>
      <w:r>
        <w:t>To evaluate the safety and efficacy of DEX 700 with DEX 350 in the treatment of non-infectious ocular inflammation of the posterior segment in patients with intermediate or posterior uveitis.</w:t>
      </w:r>
    </w:p>
    <w:p w:rsidR="00774227" w:rsidRPr="00B20F6A" w:rsidRDefault="00774227" w:rsidP="00774227">
      <w:pPr>
        <w:pStyle w:val="Heading6"/>
        <w:rPr>
          <w:lang w:eastAsia="ja-JP"/>
        </w:rPr>
      </w:pPr>
      <w:r w:rsidRPr="00B20F6A">
        <w:rPr>
          <w:lang w:eastAsia="ja-JP"/>
        </w:rPr>
        <w:lastRenderedPageBreak/>
        <w:t>Locations</w:t>
      </w:r>
    </w:p>
    <w:p w:rsidR="00774227" w:rsidRPr="00B20F6A" w:rsidRDefault="00774227" w:rsidP="00774227">
      <w:pPr>
        <w:rPr>
          <w:lang w:eastAsia="ja-JP"/>
        </w:rPr>
      </w:pPr>
      <w:r>
        <w:rPr>
          <w:lang w:eastAsia="ja-JP"/>
        </w:rPr>
        <w:t>46</w:t>
      </w:r>
      <w:r w:rsidRPr="00B20F6A">
        <w:rPr>
          <w:lang w:eastAsia="ja-JP"/>
        </w:rPr>
        <w:t xml:space="preserve"> study centres randomised at least </w:t>
      </w:r>
      <w:r>
        <w:rPr>
          <w:lang w:eastAsia="ja-JP"/>
        </w:rPr>
        <w:t>one patient, with 16 centres in North America, 15 in Europe, 6 in Israel/ and South Africa, 5 in Asia Pacific and 4 in Latin America.</w:t>
      </w:r>
    </w:p>
    <w:p w:rsidR="00774227" w:rsidRPr="00B20F6A" w:rsidRDefault="00774227" w:rsidP="00774227">
      <w:pPr>
        <w:pStyle w:val="Heading6"/>
        <w:rPr>
          <w:lang w:eastAsia="ja-JP"/>
        </w:rPr>
      </w:pPr>
      <w:r w:rsidRPr="00B20F6A">
        <w:rPr>
          <w:lang w:eastAsia="ja-JP"/>
        </w:rPr>
        <w:t>Dates</w:t>
      </w:r>
    </w:p>
    <w:p w:rsidR="00774227" w:rsidRPr="00B20F6A" w:rsidRDefault="00774227" w:rsidP="00774227">
      <w:pPr>
        <w:rPr>
          <w:lang w:eastAsia="ja-JP"/>
        </w:rPr>
      </w:pPr>
      <w:r w:rsidRPr="00B20F6A">
        <w:rPr>
          <w:lang w:eastAsia="ja-JP"/>
        </w:rPr>
        <w:t xml:space="preserve">Study initiation date (first patient enrolled): </w:t>
      </w:r>
      <w:r>
        <w:rPr>
          <w:lang w:eastAsia="ja-JP"/>
        </w:rPr>
        <w:t>10 May 2006</w:t>
      </w:r>
    </w:p>
    <w:p w:rsidR="00774227" w:rsidRPr="00B20F6A" w:rsidRDefault="00774227" w:rsidP="00774227">
      <w:pPr>
        <w:rPr>
          <w:lang w:eastAsia="ja-JP"/>
        </w:rPr>
      </w:pPr>
      <w:r w:rsidRPr="00B20F6A">
        <w:rPr>
          <w:lang w:eastAsia="ja-JP"/>
        </w:rPr>
        <w:t>Study completion date (last patient completed open-label day 1</w:t>
      </w:r>
      <w:r>
        <w:rPr>
          <w:lang w:eastAsia="ja-JP"/>
        </w:rPr>
        <w:t xml:space="preserve">80 </w:t>
      </w:r>
      <w:proofErr w:type="gramStart"/>
      <w:r>
        <w:rPr>
          <w:lang w:eastAsia="ja-JP"/>
        </w:rPr>
        <w:t>visit</w:t>
      </w:r>
      <w:proofErr w:type="gramEnd"/>
      <w:r>
        <w:rPr>
          <w:lang w:eastAsia="ja-JP"/>
        </w:rPr>
        <w:t>): 28 April 2009</w:t>
      </w:r>
      <w:r w:rsidRPr="00B20F6A">
        <w:rPr>
          <w:lang w:eastAsia="ja-JP"/>
        </w:rPr>
        <w:t>.</w:t>
      </w:r>
    </w:p>
    <w:p w:rsidR="00774227" w:rsidRPr="00B20F6A" w:rsidRDefault="00774227" w:rsidP="00A45E9B">
      <w:pPr>
        <w:pStyle w:val="Heading5"/>
      </w:pPr>
      <w:r w:rsidRPr="00B20F6A">
        <w:t>Inclusion and exclusion criteria</w:t>
      </w:r>
    </w:p>
    <w:p w:rsidR="00774227" w:rsidRDefault="00774227" w:rsidP="00774227">
      <w:pPr>
        <w:pStyle w:val="Heading6"/>
        <w:rPr>
          <w:lang w:eastAsia="ja-JP"/>
        </w:rPr>
      </w:pPr>
      <w:r>
        <w:rPr>
          <w:lang w:eastAsia="ja-JP"/>
        </w:rPr>
        <w:t>Key inclusion criteria</w:t>
      </w:r>
    </w:p>
    <w:p w:rsidR="00774227" w:rsidRDefault="00774227" w:rsidP="004C3275">
      <w:pPr>
        <w:pStyle w:val="ListBullet"/>
        <w:numPr>
          <w:ilvl w:val="0"/>
          <w:numId w:val="1"/>
        </w:numPr>
      </w:pPr>
      <w:r w:rsidRPr="00F323B9">
        <w:t>Male</w:t>
      </w:r>
      <w:r w:rsidRPr="00F11047">
        <w:t xml:space="preserve"> or </w:t>
      </w:r>
      <w:r>
        <w:t>female at least 18 years of age</w:t>
      </w:r>
    </w:p>
    <w:p w:rsidR="00774227" w:rsidRPr="00F11047" w:rsidRDefault="00774227" w:rsidP="004C3275">
      <w:pPr>
        <w:pStyle w:val="ListBullet"/>
        <w:numPr>
          <w:ilvl w:val="0"/>
          <w:numId w:val="1"/>
        </w:numPr>
      </w:pPr>
      <w:r>
        <w:t xml:space="preserve">Diagnosis of intermediate or posterior uveitis in at least one eye based on the standardisation of uveitis nomenclature for reporting clinical data workshop (SUN Working Group 2005). </w:t>
      </w:r>
    </w:p>
    <w:p w:rsidR="00774227" w:rsidRPr="00CA3B19" w:rsidRDefault="00774227" w:rsidP="004C3275">
      <w:pPr>
        <w:pStyle w:val="ListBullet"/>
        <w:numPr>
          <w:ilvl w:val="0"/>
          <w:numId w:val="1"/>
        </w:numPr>
      </w:pPr>
      <w:r w:rsidRPr="00CA3B19">
        <w:t>Vitreous haze (VH) ≥ +1.5 at both the screening and baseline visits in the study eye, otherwise  media clarity</w:t>
      </w:r>
    </w:p>
    <w:p w:rsidR="00774227" w:rsidRPr="00F11047" w:rsidRDefault="00774227" w:rsidP="004C3275">
      <w:pPr>
        <w:pStyle w:val="ListBullet"/>
        <w:numPr>
          <w:ilvl w:val="0"/>
          <w:numId w:val="1"/>
        </w:numPr>
      </w:pPr>
      <w:r>
        <w:t>BCVA</w:t>
      </w:r>
      <w:r w:rsidRPr="00F11047">
        <w:t xml:space="preserve"> in the study eye of 10 to 75 letters using the </w:t>
      </w:r>
      <w:r>
        <w:t>ETDRS method</w:t>
      </w:r>
    </w:p>
    <w:p w:rsidR="00774227" w:rsidRPr="00F323B9" w:rsidRDefault="00774227" w:rsidP="004C3275">
      <w:pPr>
        <w:pStyle w:val="ListBullet"/>
        <w:numPr>
          <w:ilvl w:val="0"/>
          <w:numId w:val="1"/>
        </w:numPr>
      </w:pPr>
      <w:r w:rsidRPr="00F323B9">
        <w:t>Allowable treatments at screening, Baseline and treatment (Day 0) visit were:</w:t>
      </w:r>
    </w:p>
    <w:p w:rsidR="00774227" w:rsidRDefault="00774227" w:rsidP="004C3275">
      <w:pPr>
        <w:pStyle w:val="ListBullet2"/>
        <w:numPr>
          <w:ilvl w:val="1"/>
          <w:numId w:val="1"/>
        </w:numPr>
      </w:pPr>
      <w:r>
        <w:t>t</w:t>
      </w:r>
      <w:r w:rsidRPr="00F11047">
        <w:t>opical corticosteroids, non</w:t>
      </w:r>
      <w:r>
        <w:t>-</w:t>
      </w:r>
      <w:r w:rsidRPr="00F11047">
        <w:t>steroidal ant</w:t>
      </w:r>
      <w:r>
        <w:t>i-inflammatory drugs (NSAIDs) if doses were stable for at least 2 weeks prior to screening and to remain stable through treatment (Day 0)</w:t>
      </w:r>
    </w:p>
    <w:p w:rsidR="00774227" w:rsidRDefault="00774227" w:rsidP="004C3275">
      <w:pPr>
        <w:pStyle w:val="ListBullet2"/>
        <w:numPr>
          <w:ilvl w:val="1"/>
          <w:numId w:val="1"/>
        </w:numPr>
      </w:pPr>
      <w:r>
        <w:t>systemic immunosuppression (such as cyclosporine, methotrexate) if doses were stable for at least 3 months prior to screening and to remain stable through treatment (Day 0)</w:t>
      </w:r>
    </w:p>
    <w:p w:rsidR="00774227" w:rsidRDefault="00774227" w:rsidP="004C3275">
      <w:pPr>
        <w:pStyle w:val="ListBullet2"/>
        <w:numPr>
          <w:ilvl w:val="1"/>
          <w:numId w:val="1"/>
        </w:numPr>
      </w:pPr>
      <w:r>
        <w:t>systemic corticosteroids if doses were ≤ 20 mg/day of prednisone (or its equivalent) and were stable for at least 1 month prior to screening and to remain stable through treatment (Day 0)</w:t>
      </w:r>
    </w:p>
    <w:p w:rsidR="00774227" w:rsidRDefault="00774227" w:rsidP="004C3275">
      <w:pPr>
        <w:pStyle w:val="ListBullet2"/>
        <w:numPr>
          <w:ilvl w:val="1"/>
          <w:numId w:val="1"/>
        </w:numPr>
      </w:pPr>
      <w:r>
        <w:t>topical cycloplegia (such as homatropine, atropine) at the investigator’s discretion</w:t>
      </w:r>
    </w:p>
    <w:p w:rsidR="00774227" w:rsidRDefault="00774227" w:rsidP="004C3275">
      <w:pPr>
        <w:pStyle w:val="ListBullet"/>
        <w:numPr>
          <w:ilvl w:val="0"/>
          <w:numId w:val="1"/>
        </w:numPr>
      </w:pPr>
      <w:r>
        <w:t>Female patients of childbearing potential must have had a negative pregnancy test at the treatment visit</w:t>
      </w:r>
    </w:p>
    <w:p w:rsidR="00774227" w:rsidRDefault="00774227" w:rsidP="004C3275">
      <w:pPr>
        <w:pStyle w:val="ListBullet"/>
        <w:numPr>
          <w:ilvl w:val="0"/>
          <w:numId w:val="1"/>
        </w:numPr>
      </w:pPr>
      <w:r>
        <w:t>Written informed consent had been obtained, in the US written authorisation for use and release of health and research study information had been obtained and for the EU sites only, written data protection consent had been obtained</w:t>
      </w:r>
    </w:p>
    <w:p w:rsidR="00774227" w:rsidRDefault="00774227" w:rsidP="004C3275">
      <w:pPr>
        <w:pStyle w:val="ListBullet"/>
        <w:numPr>
          <w:ilvl w:val="0"/>
          <w:numId w:val="1"/>
        </w:numPr>
      </w:pPr>
      <w:r>
        <w:t>All patients were required to have the ability to understand the informed consent and willingness to follow instructions and likely to complete all required visits and procedures.</w:t>
      </w:r>
    </w:p>
    <w:p w:rsidR="00774227" w:rsidRDefault="00774227" w:rsidP="00774227">
      <w:pPr>
        <w:pStyle w:val="Heading6"/>
      </w:pPr>
      <w:r>
        <w:t>Key exclusion criteria</w:t>
      </w:r>
    </w:p>
    <w:p w:rsidR="00774227" w:rsidRDefault="00774227" w:rsidP="004C3275">
      <w:pPr>
        <w:pStyle w:val="ListBullet"/>
        <w:numPr>
          <w:ilvl w:val="0"/>
          <w:numId w:val="1"/>
        </w:numPr>
      </w:pPr>
      <w:r>
        <w:t>Female patients who were pregnant, nursing, or planning a pregnancy, or who were of childbearing potential and not using a reliable means of contraception</w:t>
      </w:r>
    </w:p>
    <w:p w:rsidR="00774227" w:rsidRDefault="00774227" w:rsidP="004C3275">
      <w:pPr>
        <w:pStyle w:val="ListBullet"/>
        <w:numPr>
          <w:ilvl w:val="0"/>
          <w:numId w:val="1"/>
        </w:numPr>
      </w:pPr>
      <w:r>
        <w:t>Uncontrolled systemic disease or known human immunodeficiency virus (HIV) infection</w:t>
      </w:r>
    </w:p>
    <w:p w:rsidR="00774227" w:rsidRDefault="00774227" w:rsidP="004C3275">
      <w:pPr>
        <w:pStyle w:val="ListBullet"/>
        <w:numPr>
          <w:ilvl w:val="0"/>
          <w:numId w:val="1"/>
        </w:numPr>
      </w:pPr>
      <w:r>
        <w:t>Participation in an investigational trial within 30 days of study entry</w:t>
      </w:r>
    </w:p>
    <w:p w:rsidR="00774227" w:rsidRDefault="00774227" w:rsidP="004C3275">
      <w:pPr>
        <w:pStyle w:val="ListBullet"/>
        <w:numPr>
          <w:ilvl w:val="0"/>
          <w:numId w:val="1"/>
        </w:numPr>
      </w:pPr>
      <w:r>
        <w:t>Use of warfarin/heparin/enoxaparin or similar anticoagulant agent ≤ 2 weeks prior to the treatment (IT Day 0) visit</w:t>
      </w:r>
    </w:p>
    <w:p w:rsidR="00774227" w:rsidRDefault="00774227" w:rsidP="004C3275">
      <w:pPr>
        <w:pStyle w:val="ListBullet"/>
        <w:numPr>
          <w:ilvl w:val="0"/>
          <w:numId w:val="1"/>
        </w:numPr>
      </w:pPr>
      <w:r>
        <w:lastRenderedPageBreak/>
        <w:t>Known allergy or sensitivity to the study medication(s), any component of the delivery vehicle, any corticosteroids or any diagnostic agents used during the study (such as fluorescein, dilation drops)</w:t>
      </w:r>
    </w:p>
    <w:p w:rsidR="00774227" w:rsidRDefault="00774227" w:rsidP="004C3275">
      <w:pPr>
        <w:pStyle w:val="ListBullet"/>
        <w:numPr>
          <w:ilvl w:val="0"/>
          <w:numId w:val="1"/>
        </w:numPr>
      </w:pPr>
      <w:r>
        <w:t>Anticipated need to initiate or change doses of current systemic immunosuppression or systemic corticosteroids during the first 8 weeks of the study</w:t>
      </w:r>
    </w:p>
    <w:p w:rsidR="00774227" w:rsidRDefault="00774227" w:rsidP="004C3275">
      <w:pPr>
        <w:pStyle w:val="ListBullet"/>
        <w:numPr>
          <w:ilvl w:val="0"/>
          <w:numId w:val="1"/>
        </w:numPr>
      </w:pPr>
      <w:r>
        <w:t>Any condition (including inability to read visual acuity charts or language barrier) that precluded the patient’s ability to comply with study requirements including completion of the study</w:t>
      </w:r>
    </w:p>
    <w:p w:rsidR="00774227" w:rsidRDefault="00774227" w:rsidP="004C3275">
      <w:pPr>
        <w:pStyle w:val="ListBullet"/>
        <w:numPr>
          <w:ilvl w:val="0"/>
          <w:numId w:val="1"/>
        </w:numPr>
      </w:pPr>
      <w:r>
        <w:t>Patient had a condition or was in a situation that in the investigator's opinion may have put the patient at significant risk, may have confounded the study results, or may have interfered significantly with the patient's participation in the study</w:t>
      </w:r>
    </w:p>
    <w:p w:rsidR="00774227" w:rsidRDefault="00774227" w:rsidP="004C3275">
      <w:pPr>
        <w:pStyle w:val="ListBullet"/>
        <w:numPr>
          <w:ilvl w:val="0"/>
          <w:numId w:val="1"/>
        </w:numPr>
      </w:pPr>
      <w:r>
        <w:t>Previous enrollment in a DEX PS DDS clinical trial</w:t>
      </w:r>
    </w:p>
    <w:p w:rsidR="00774227" w:rsidRDefault="00774227" w:rsidP="004C3275">
      <w:pPr>
        <w:pStyle w:val="ListBullet"/>
        <w:numPr>
          <w:ilvl w:val="0"/>
          <w:numId w:val="1"/>
        </w:numPr>
      </w:pPr>
      <w:r>
        <w:t>IOP &gt; 21 mm Hg at screening or baseline</w:t>
      </w:r>
    </w:p>
    <w:p w:rsidR="00774227" w:rsidRDefault="00774227" w:rsidP="004C3275">
      <w:pPr>
        <w:pStyle w:val="ListBullet"/>
        <w:numPr>
          <w:ilvl w:val="0"/>
          <w:numId w:val="1"/>
        </w:numPr>
      </w:pPr>
      <w:r>
        <w:t>History of clinically significant IOP elevation in response to corticosteroid treatment in either eye (defined as an increase of &gt; 10 mm Hg and an absolute IOP of ≥ 25 mm Hg without the use of antiglaucoma medications) unless there was a functioning trabeculectomy or seton (with IOP &lt; 18 mm Hg at screening and baseline) and there was no significant visual field loss in the investigator’s opinion</w:t>
      </w:r>
    </w:p>
    <w:p w:rsidR="00774227" w:rsidRDefault="00774227" w:rsidP="004C3275">
      <w:pPr>
        <w:pStyle w:val="ListBullet"/>
        <w:numPr>
          <w:ilvl w:val="0"/>
          <w:numId w:val="1"/>
        </w:numPr>
      </w:pPr>
      <w:r>
        <w:t xml:space="preserve">History, diagnosis, or clinical findings of ocular hypertension or glaucoma (such as elevated IOP, optic nerve head change consistent with glaucoma, glaucomatous visual field loss) in the study eye unless there was a functioning trabeculectomy or </w:t>
      </w:r>
      <w:proofErr w:type="gramStart"/>
      <w:r>
        <w:t>seton</w:t>
      </w:r>
      <w:proofErr w:type="gramEnd"/>
      <w:r>
        <w:t xml:space="preserve"> (with IOP &lt; 18 mm Hg at screening and baseline) and there was no significant visual field loss in the investigator’s opinion. Patients with a history of episodic increases in IOP due to inflammation and not due to corticosteroids may have been eligible if they met all other IOP and glaucoma medication exclusions.</w:t>
      </w:r>
    </w:p>
    <w:p w:rsidR="00774227" w:rsidRDefault="00774227" w:rsidP="004C3275">
      <w:pPr>
        <w:pStyle w:val="ListBullet"/>
        <w:numPr>
          <w:ilvl w:val="0"/>
          <w:numId w:val="1"/>
        </w:numPr>
      </w:pPr>
      <w:r>
        <w:t>Use of antiglaucoma medications in the study eye within 4 weeks prior to the screening visit or any use between screening and treatment visits</w:t>
      </w:r>
    </w:p>
    <w:p w:rsidR="00774227" w:rsidRDefault="00774227" w:rsidP="004C3275">
      <w:pPr>
        <w:pStyle w:val="ListBullet"/>
        <w:numPr>
          <w:ilvl w:val="0"/>
          <w:numId w:val="1"/>
        </w:numPr>
      </w:pPr>
      <w:r>
        <w:t>History of central serous chorioretinopathy in either eye</w:t>
      </w:r>
    </w:p>
    <w:p w:rsidR="00774227" w:rsidRDefault="00774227" w:rsidP="004C3275">
      <w:pPr>
        <w:pStyle w:val="ListBullet"/>
        <w:numPr>
          <w:ilvl w:val="0"/>
          <w:numId w:val="1"/>
        </w:numPr>
      </w:pPr>
      <w:r>
        <w:t>Any active ocular infection (for example bacterial, viral, parasitic, or fungal) in either eye at screening, baseline, or treatment visits</w:t>
      </w:r>
    </w:p>
    <w:p w:rsidR="00774227" w:rsidRDefault="00774227" w:rsidP="004C3275">
      <w:pPr>
        <w:pStyle w:val="ListBullet"/>
        <w:numPr>
          <w:ilvl w:val="0"/>
          <w:numId w:val="1"/>
        </w:numPr>
      </w:pPr>
      <w:r>
        <w:t>Presence of active or inactive toxoplasmosis in either eye</w:t>
      </w:r>
    </w:p>
    <w:p w:rsidR="00774227" w:rsidRDefault="00774227" w:rsidP="004C3275">
      <w:pPr>
        <w:pStyle w:val="ListBullet"/>
        <w:numPr>
          <w:ilvl w:val="0"/>
          <w:numId w:val="1"/>
        </w:numPr>
      </w:pPr>
      <w:r>
        <w:t>Contraindication to pupil dilation in either eye</w:t>
      </w:r>
    </w:p>
    <w:p w:rsidR="00774227" w:rsidRDefault="00774227" w:rsidP="004C3275">
      <w:pPr>
        <w:pStyle w:val="ListBullet"/>
        <w:numPr>
          <w:ilvl w:val="0"/>
          <w:numId w:val="1"/>
        </w:numPr>
      </w:pPr>
      <w:r>
        <w:t>Any other ocular disease (such as choroidal neovascularization, media opacity) in the study eye that could have interfered with the diagnosis or the assessment of disease progression</w:t>
      </w:r>
    </w:p>
    <w:p w:rsidR="00774227" w:rsidRDefault="00774227" w:rsidP="004C3275">
      <w:pPr>
        <w:pStyle w:val="ListBullet"/>
        <w:numPr>
          <w:ilvl w:val="0"/>
          <w:numId w:val="1"/>
        </w:numPr>
      </w:pPr>
      <w:r>
        <w:t>Periocular corticosteroid injections to the study eye ≤ 8 weeks prior to the treatment visit</w:t>
      </w:r>
    </w:p>
    <w:p w:rsidR="00774227" w:rsidRDefault="00774227" w:rsidP="004C3275">
      <w:pPr>
        <w:pStyle w:val="ListBullet"/>
        <w:numPr>
          <w:ilvl w:val="0"/>
          <w:numId w:val="1"/>
        </w:numPr>
      </w:pPr>
      <w:r>
        <w:t>History of any intravitreal drug injection to the study eye ≤ 26 weeks prior to the treatment visit</w:t>
      </w:r>
    </w:p>
    <w:p w:rsidR="00774227" w:rsidRDefault="00774227" w:rsidP="004C3275">
      <w:pPr>
        <w:pStyle w:val="ListBullet"/>
        <w:numPr>
          <w:ilvl w:val="0"/>
          <w:numId w:val="1"/>
        </w:numPr>
      </w:pPr>
      <w:r>
        <w:t>History of any intravitreal corticosteroid injection to the study eye unless all of the following criteria were met: The only corticosteroid injected intravitreally was triamcinolone acetonide; The most recent dose was &gt; 26 weeks prior to the treatment visit; all doses were ≤ 4 mg</w:t>
      </w:r>
    </w:p>
    <w:p w:rsidR="00774227" w:rsidRDefault="00774227" w:rsidP="004C3275">
      <w:pPr>
        <w:pStyle w:val="ListBullet"/>
        <w:numPr>
          <w:ilvl w:val="0"/>
          <w:numId w:val="1"/>
        </w:numPr>
      </w:pPr>
      <w:r>
        <w:t>Any previous use of fluocinolone acetonide intravitreal implant in the study eye</w:t>
      </w:r>
    </w:p>
    <w:p w:rsidR="00774227" w:rsidRDefault="00774227" w:rsidP="004C3275">
      <w:pPr>
        <w:pStyle w:val="ListBullet"/>
        <w:numPr>
          <w:ilvl w:val="0"/>
          <w:numId w:val="1"/>
        </w:numPr>
      </w:pPr>
      <w:r>
        <w:lastRenderedPageBreak/>
        <w:t>Intraocular surgery, including cataract surgery, and/or laser of any type in the study eye ≤ 90 days prior to the treatment</w:t>
      </w:r>
    </w:p>
    <w:p w:rsidR="00774227" w:rsidRDefault="00774227" w:rsidP="004C3275">
      <w:pPr>
        <w:pStyle w:val="ListBullet"/>
        <w:numPr>
          <w:ilvl w:val="0"/>
          <w:numId w:val="1"/>
        </w:numPr>
      </w:pPr>
      <w:r>
        <w:t>Aphakia or anterior chamber intraocular lens in the study eye (posterior chamber intraocular lens (IOL) was acceptable)</w:t>
      </w:r>
    </w:p>
    <w:p w:rsidR="00774227" w:rsidRDefault="00774227" w:rsidP="004C3275">
      <w:pPr>
        <w:pStyle w:val="ListBullet"/>
        <w:numPr>
          <w:ilvl w:val="0"/>
          <w:numId w:val="1"/>
        </w:numPr>
      </w:pPr>
      <w:r>
        <w:t>History of pars plana vitrectomy in the study eye</w:t>
      </w:r>
    </w:p>
    <w:p w:rsidR="00774227" w:rsidRDefault="00774227" w:rsidP="004C3275">
      <w:pPr>
        <w:pStyle w:val="ListBullet"/>
        <w:numPr>
          <w:ilvl w:val="0"/>
          <w:numId w:val="1"/>
        </w:numPr>
      </w:pPr>
      <w:r>
        <w:t>History of herpetic infection in the study eye or adnexa</w:t>
      </w:r>
    </w:p>
    <w:p w:rsidR="00774227" w:rsidRDefault="00774227" w:rsidP="004C3275">
      <w:pPr>
        <w:pStyle w:val="ListBullet"/>
        <w:numPr>
          <w:ilvl w:val="0"/>
          <w:numId w:val="1"/>
        </w:numPr>
      </w:pPr>
      <w:r>
        <w:t>Presence of visible scleral thinning or ectasia in the study eye at screening, Baseline, or treatment visits</w:t>
      </w:r>
    </w:p>
    <w:p w:rsidR="00774227" w:rsidRDefault="00774227" w:rsidP="004C3275">
      <w:pPr>
        <w:pStyle w:val="ListBullet"/>
        <w:numPr>
          <w:ilvl w:val="0"/>
          <w:numId w:val="1"/>
        </w:numPr>
      </w:pPr>
      <w:r>
        <w:t>Best-corrected ETDRS visual acuity score &lt; 34 letters (approximately 20/200 on the Snellen scale) in the non-study eye using the ETDRS method at the screening or baseline visit</w:t>
      </w:r>
    </w:p>
    <w:p w:rsidR="00774227" w:rsidRDefault="00774227" w:rsidP="004C3275">
      <w:pPr>
        <w:pStyle w:val="ListBullet"/>
        <w:numPr>
          <w:ilvl w:val="0"/>
          <w:numId w:val="1"/>
        </w:numPr>
      </w:pPr>
      <w:r>
        <w:t>Uveitis expected to be unresponsive to corticosteroids or uveitis unresponsive to prior corticosteroids</w:t>
      </w:r>
    </w:p>
    <w:p w:rsidR="00774227" w:rsidRDefault="00774227" w:rsidP="004C3275">
      <w:pPr>
        <w:pStyle w:val="ListBullet"/>
        <w:numPr>
          <w:ilvl w:val="0"/>
          <w:numId w:val="1"/>
        </w:numPr>
      </w:pPr>
      <w:r>
        <w:t>Hypotony (IOP &lt; 5 mm Hg or clinical signs such as choroidals, choroidal or corneal folds) or prephthisis (such as scleral thickening on ultrasonography, decreasing globe size)</w:t>
      </w:r>
    </w:p>
    <w:p w:rsidR="00774227" w:rsidRPr="00F323B9" w:rsidRDefault="00774227" w:rsidP="001A6420">
      <w:r w:rsidRPr="00086C24">
        <w:t>Evaluator’s comment: The SUN Working Group (2005) standard for diagnosis and methods of reporting clinical data for uveitis are well established and are in widespread current clinical and research use.</w:t>
      </w:r>
      <w:r w:rsidRPr="00086C24">
        <w:footnoteReference w:id="3"/>
      </w:r>
      <w:r w:rsidRPr="00086C24">
        <w:t xml:space="preserve"> The criteria for diagnosis of intermediate or posterior uveitis were described in detail: For diagnosis of intermediate uveitis (such as pars planitis, posterior cyclitis or hyalitis), the vitreous must have been the primary site of inflammation. The presence of peripheral vascular sheathing and macular edema was acceptable as long as the vitreous remained the main site of inflammation. For diagnosis of</w:t>
      </w:r>
      <w:r w:rsidRPr="006A6560">
        <w:t xml:space="preserve"> posterior uveitis, the retina or choroid must have been the primary site of inflammation. Suspected masquerade syndromes should have been ruled out by the investigator prior to patient entry into the study.</w:t>
      </w:r>
      <w:r>
        <w:t xml:space="preserve"> The use validated and peer-reviewed diagnostic criteria allow the applicability of potential research findings from this study population to other populations including those in clinical practice.</w:t>
      </w:r>
      <w:r>
        <w:br/>
      </w:r>
      <w:r>
        <w:br/>
        <w:t>The original inclusion criteria required patients with a vitreous haze score of ≥ +2.0 at Screening and Baseline. This was amended to ≥ +1.5 in order to increased participant recruitment in the study, hence the reason that a modification was made to the vitreous haze grading scale (to include a +1.5 grade).</w:t>
      </w:r>
      <w:r>
        <w:br/>
      </w:r>
    </w:p>
    <w:p w:rsidR="00774227" w:rsidRPr="00B20F6A" w:rsidRDefault="00774227" w:rsidP="00A45E9B">
      <w:pPr>
        <w:pStyle w:val="Heading5"/>
      </w:pPr>
      <w:r w:rsidRPr="00B20F6A">
        <w:t>Study treatments</w:t>
      </w:r>
    </w:p>
    <w:p w:rsidR="00774227" w:rsidRPr="00B20F6A" w:rsidRDefault="00774227" w:rsidP="00774227">
      <w:r>
        <w:t>Only one eye was treated with the study drug as a single dose. Patients received DEX 700, DEX 350 or Sham on the randomisation Day 0 visit. Study treatment procedure was carried out by the treating investigator in a surgical suite or office using a standard sterile technique. A combination of topical and subconjunctival anaesthetics were used during the procedure with patients being prescribed ophthalmic antibiotics (such as floxacins, quinolones or aminoglycosides) to use prior and post-procedure. Patients randomised to active treatment underwent insertion of the study drug (DEX 700 or DEX 350) into the vitreous via the pars plana using the DEX PD DDS applicator system. Those randomised to Sham treatment had a needleless applicator pressed against the conjunctiva.</w:t>
      </w:r>
    </w:p>
    <w:p w:rsidR="00774227" w:rsidRPr="00B20F6A" w:rsidRDefault="00774227" w:rsidP="00A45E9B">
      <w:pPr>
        <w:pStyle w:val="Heading5"/>
      </w:pPr>
      <w:r w:rsidRPr="00B20F6A">
        <w:lastRenderedPageBreak/>
        <w:t>Efficacy variable</w:t>
      </w:r>
      <w:r>
        <w:t>s</w:t>
      </w:r>
      <w:r w:rsidRPr="00B20F6A">
        <w:t xml:space="preserve"> and outcomes</w:t>
      </w:r>
    </w:p>
    <w:p w:rsidR="00774227" w:rsidRDefault="00774227" w:rsidP="00774227">
      <w:pPr>
        <w:pStyle w:val="Heading6"/>
      </w:pPr>
      <w:r>
        <w:t>Primary efficacy variable and outcome</w:t>
      </w:r>
    </w:p>
    <w:p w:rsidR="00774227" w:rsidRDefault="00774227" w:rsidP="00774227">
      <w:r>
        <w:t xml:space="preserve">The primary efficacy variable was </w:t>
      </w:r>
      <w:r w:rsidRPr="0018722B">
        <w:t>vitreous haze</w:t>
      </w:r>
      <w:r>
        <w:t xml:space="preserve"> score with the primary efficacy endpoint was the proportion of patients with a vitreous haze score of 0 at Week 8 (primary time point) in the ITT population.</w:t>
      </w:r>
    </w:p>
    <w:p w:rsidR="00774227" w:rsidRDefault="00774227" w:rsidP="00774227">
      <w:r>
        <w:t xml:space="preserve">The </w:t>
      </w:r>
      <w:r w:rsidRPr="0018722B">
        <w:t xml:space="preserve">published photographic standardised scale </w:t>
      </w:r>
      <w:r>
        <w:t xml:space="preserve">used </w:t>
      </w:r>
      <w:r w:rsidRPr="0018722B">
        <w:t xml:space="preserve">which was modified to include a +1.5 grade </w:t>
      </w:r>
      <w:r>
        <w:t>vitreous haze scoring system and is displayed below</w:t>
      </w:r>
      <w:r w:rsidRPr="0018722B">
        <w:t>.</w:t>
      </w:r>
      <w:r w:rsidRPr="0018722B">
        <w:rPr>
          <w:vertAlign w:val="superscript"/>
        </w:rPr>
        <w:footnoteReference w:id="4"/>
      </w:r>
      <w:r w:rsidRPr="0018722B">
        <w:t xml:space="preserve"> </w:t>
      </w:r>
    </w:p>
    <w:p w:rsidR="00774227" w:rsidRDefault="00774227" w:rsidP="004E2C51">
      <w:pPr>
        <w:pStyle w:val="Tabletitle"/>
        <w:numPr>
          <w:ilvl w:val="0"/>
          <w:numId w:val="21"/>
        </w:numPr>
        <w:spacing w:after="120" w:line="240" w:lineRule="auto"/>
        <w:ind w:left="1134" w:hanging="1134"/>
      </w:pPr>
      <w:bookmarkStart w:id="127" w:name="_Toc462652669"/>
      <w:r>
        <w:t>Vitreous haze grading</w:t>
      </w:r>
      <w:bookmarkEnd w:id="127"/>
    </w:p>
    <w:tbl>
      <w:tblPr>
        <w:tblStyle w:val="TableTGAblue"/>
        <w:tblW w:w="0" w:type="auto"/>
        <w:tblLook w:val="04A0" w:firstRow="1" w:lastRow="0" w:firstColumn="1" w:lastColumn="0" w:noHBand="0" w:noVBand="1"/>
      </w:tblPr>
      <w:tblGrid>
        <w:gridCol w:w="1526"/>
        <w:gridCol w:w="7087"/>
      </w:tblGrid>
      <w:tr w:rsidR="00774227" w:rsidRPr="00F64F8C"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Grading</w:t>
            </w:r>
          </w:p>
        </w:tc>
        <w:tc>
          <w:tcPr>
            <w:tcW w:w="7087" w:type="dxa"/>
          </w:tcPr>
          <w:p w:rsidR="00774227" w:rsidRPr="00F64F8C" w:rsidRDefault="00774227" w:rsidP="00F64F8C">
            <w:pPr>
              <w:cnfStyle w:val="100000000000" w:firstRow="1" w:lastRow="0" w:firstColumn="0" w:lastColumn="0" w:oddVBand="0" w:evenVBand="0" w:oddHBand="0" w:evenHBand="0" w:firstRowFirstColumn="0" w:firstRowLastColumn="0" w:lastRowFirstColumn="0" w:lastRowLastColumn="0"/>
              <w:rPr>
                <w:sz w:val="20"/>
                <w:szCs w:val="20"/>
              </w:rPr>
            </w:pPr>
            <w:r w:rsidRPr="00F64F8C">
              <w:rPr>
                <w:sz w:val="20"/>
                <w:szCs w:val="20"/>
              </w:rPr>
              <w:t>Findings</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0</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No inflammation</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+0.5</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Trace inflammation (slight blurring of the optic disc margins and/or loss of the nerve fibre layer (NFL) reflex)</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+1.0</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Mild blurring of retinal vessels and the optic nerve</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+1.5</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Optic nerve head and posterior retina view obscuration greater than +1, but less than +2</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+2.0</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Moderate blurring of optic nerve head</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+3.0</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Marked blurring of optic nerve head</w:t>
            </w:r>
          </w:p>
        </w:tc>
      </w:tr>
      <w:tr w:rsidR="00774227" w:rsidRPr="00F64F8C" w:rsidTr="00774227">
        <w:tc>
          <w:tcPr>
            <w:cnfStyle w:val="001000000000" w:firstRow="0" w:lastRow="0" w:firstColumn="1" w:lastColumn="0" w:oddVBand="0" w:evenVBand="0" w:oddHBand="0" w:evenHBand="0" w:firstRowFirstColumn="0" w:firstRowLastColumn="0" w:lastRowFirstColumn="0" w:lastRowLastColumn="0"/>
            <w:tcW w:w="1526" w:type="dxa"/>
          </w:tcPr>
          <w:p w:rsidR="00774227" w:rsidRPr="00F64F8C" w:rsidRDefault="00774227" w:rsidP="00F64F8C">
            <w:pPr>
              <w:rPr>
                <w:sz w:val="20"/>
                <w:szCs w:val="20"/>
              </w:rPr>
            </w:pPr>
            <w:r w:rsidRPr="00F64F8C">
              <w:rPr>
                <w:sz w:val="20"/>
                <w:szCs w:val="20"/>
              </w:rPr>
              <w:t>+4.0</w:t>
            </w:r>
          </w:p>
        </w:tc>
        <w:tc>
          <w:tcPr>
            <w:tcW w:w="7087" w:type="dxa"/>
          </w:tcPr>
          <w:p w:rsidR="00774227" w:rsidRPr="00F64F8C" w:rsidRDefault="00774227" w:rsidP="00F64F8C">
            <w:pPr>
              <w:cnfStyle w:val="000000000000" w:firstRow="0" w:lastRow="0" w:firstColumn="0" w:lastColumn="0" w:oddVBand="0" w:evenVBand="0" w:oddHBand="0" w:evenHBand="0" w:firstRowFirstColumn="0" w:firstRowLastColumn="0" w:lastRowFirstColumn="0" w:lastRowLastColumn="0"/>
              <w:rPr>
                <w:sz w:val="20"/>
                <w:szCs w:val="20"/>
              </w:rPr>
            </w:pPr>
            <w:r w:rsidRPr="00F64F8C">
              <w:rPr>
                <w:sz w:val="20"/>
                <w:szCs w:val="20"/>
              </w:rPr>
              <w:t>Optic nerve head not visible</w:t>
            </w:r>
          </w:p>
        </w:tc>
      </w:tr>
    </w:tbl>
    <w:p w:rsidR="00774227" w:rsidRDefault="00774227" w:rsidP="001A6420">
      <w:r w:rsidRPr="00503A37">
        <w:t>Evaluator’s comment: Vitreous haze is a suitable, standardised and well-accepted marker of ocular inflammation with a high rate of interobserver agreement.</w:t>
      </w:r>
      <w:r w:rsidRPr="00503A37">
        <w:footnoteReference w:id="5"/>
      </w:r>
      <w:r>
        <w:t xml:space="preserve"> Assessment is generally faster, more practical and may be considered non-inferior to alternatives such as vitreous cell count.</w:t>
      </w:r>
      <w:r>
        <w:rPr>
          <w:rStyle w:val="FootnoteReference"/>
        </w:rPr>
        <w:footnoteReference w:id="6"/>
      </w:r>
      <w:r>
        <w:br/>
        <w:t>Note that +1.5 is not a grade on the accepted grading system. As noted under comments on inclusion and exclusion criteria above, inclusion criteria was widened to from a vitreous haze score of ≥ +2.0 to ≥ +1.5 to increase patient recruitment.</w:t>
      </w:r>
    </w:p>
    <w:p w:rsidR="00774227" w:rsidRDefault="00774227" w:rsidP="00774227">
      <w:pPr>
        <w:pStyle w:val="Heading6"/>
      </w:pPr>
      <w:r>
        <w:t>Other analyses for the primary efficacy variable</w:t>
      </w:r>
    </w:p>
    <w:p w:rsidR="00774227" w:rsidRDefault="00774227" w:rsidP="00503A37">
      <w:pPr>
        <w:pStyle w:val="ListBullet"/>
      </w:pPr>
      <w:r>
        <w:t>Time to vitreous haze score of zero</w:t>
      </w:r>
    </w:p>
    <w:p w:rsidR="00774227" w:rsidRDefault="00774227" w:rsidP="00503A37">
      <w:pPr>
        <w:pStyle w:val="ListBullet"/>
      </w:pPr>
      <w:r>
        <w:t>Vitreous haze score at least 1-unit improvement from Baseline</w:t>
      </w:r>
    </w:p>
    <w:p w:rsidR="00774227" w:rsidRDefault="00774227" w:rsidP="00503A37">
      <w:pPr>
        <w:pStyle w:val="ListBullet"/>
      </w:pPr>
      <w:r>
        <w:t>Mean vitreous haze score</w:t>
      </w:r>
    </w:p>
    <w:p w:rsidR="00774227" w:rsidRDefault="00774227" w:rsidP="00503A37">
      <w:pPr>
        <w:pStyle w:val="ListBullet"/>
      </w:pPr>
      <w:r>
        <w:t>Change from Baseline in vitreous haze score</w:t>
      </w:r>
    </w:p>
    <w:p w:rsidR="00774227" w:rsidRDefault="00774227" w:rsidP="00503A37">
      <w:pPr>
        <w:pStyle w:val="ListBullet"/>
      </w:pPr>
      <w:r>
        <w:t>Proportion of patients with at least 2-unit improvement from Baseline vitreous haze score</w:t>
      </w:r>
    </w:p>
    <w:p w:rsidR="00774227" w:rsidRDefault="00774227" w:rsidP="00503A37">
      <w:pPr>
        <w:pStyle w:val="ListBullet"/>
      </w:pPr>
      <w:r>
        <w:lastRenderedPageBreak/>
        <w:t>Proportion of patients with at least 1-unit deterioration from baseline vitreous haze score</w:t>
      </w:r>
    </w:p>
    <w:p w:rsidR="00774227" w:rsidRPr="0018722B" w:rsidRDefault="00774227" w:rsidP="00503A37">
      <w:pPr>
        <w:pStyle w:val="ListBullet"/>
      </w:pPr>
      <w:r>
        <w:t>Proportion of patients with at least 2-unit deterioration from baseline vitreous haze score</w:t>
      </w:r>
    </w:p>
    <w:p w:rsidR="00774227" w:rsidRDefault="00774227" w:rsidP="00503A37">
      <w:pPr>
        <w:pStyle w:val="ListBullet"/>
      </w:pPr>
      <w:r>
        <w:t>Secondary efficacy variables</w:t>
      </w:r>
    </w:p>
    <w:p w:rsidR="00774227" w:rsidRDefault="00774227" w:rsidP="00503A37">
      <w:pPr>
        <w:pStyle w:val="ListBullet"/>
      </w:pPr>
      <w:r w:rsidRPr="0018722B">
        <w:t>BCVA</w:t>
      </w:r>
      <w:r>
        <w:t xml:space="preserve"> as measured by the EDTRS method</w:t>
      </w:r>
    </w:p>
    <w:p w:rsidR="00774227" w:rsidRDefault="00774227" w:rsidP="00503A37">
      <w:pPr>
        <w:pStyle w:val="ListBullet"/>
      </w:pPr>
      <w:r>
        <w:t>OCT of retina and retinal thickening</w:t>
      </w:r>
    </w:p>
    <w:p w:rsidR="00774227" w:rsidRDefault="00774227" w:rsidP="00503A37">
      <w:pPr>
        <w:pStyle w:val="ListBullet"/>
      </w:pPr>
      <w:r w:rsidRPr="007E7763">
        <w:t>Secondary efficacy outcomes</w:t>
      </w:r>
    </w:p>
    <w:p w:rsidR="00774227" w:rsidRPr="007E7763" w:rsidRDefault="00774227" w:rsidP="00503A37">
      <w:pPr>
        <w:pStyle w:val="ListBullet"/>
      </w:pPr>
      <w:r w:rsidRPr="007E7763">
        <w:t>Proportion of patients with a ≥ 15 letter improvement from Baseline BCVA</w:t>
      </w:r>
    </w:p>
    <w:p w:rsidR="00774227" w:rsidRDefault="00774227" w:rsidP="00503A37">
      <w:pPr>
        <w:pStyle w:val="ListBullet"/>
      </w:pPr>
      <w:r w:rsidRPr="007E7763">
        <w:t>Proportion of patients with a ≥ 10 letter improvement from Baseline BCVA</w:t>
      </w:r>
    </w:p>
    <w:p w:rsidR="00774227" w:rsidRPr="007E7763" w:rsidRDefault="00774227" w:rsidP="00503A37">
      <w:pPr>
        <w:pStyle w:val="ListBullet"/>
      </w:pPr>
      <w:r>
        <w:t>Average change in thickness in 1.0 mm central macula (OCT)</w:t>
      </w:r>
    </w:p>
    <w:p w:rsidR="00774227" w:rsidRDefault="00774227" w:rsidP="00A45E9B">
      <w:pPr>
        <w:pStyle w:val="Heading5"/>
      </w:pPr>
      <w:r w:rsidRPr="00B20F6A">
        <w:t xml:space="preserve">Randomisation </w:t>
      </w:r>
      <w:r w:rsidRPr="00F11047">
        <w:t>and</w:t>
      </w:r>
      <w:r w:rsidRPr="00B20F6A">
        <w:t xml:space="preserve"> blinding methods</w:t>
      </w:r>
    </w:p>
    <w:p w:rsidR="00774227" w:rsidRDefault="00774227" w:rsidP="00774227">
      <w:r w:rsidRPr="003309F2">
        <w:t>Patients were randomi</w:t>
      </w:r>
      <w:r>
        <w:t>s</w:t>
      </w:r>
      <w:r w:rsidRPr="003309F2">
        <w:t xml:space="preserve">ed in a 1:1:1 ratio to receive </w:t>
      </w:r>
      <w:r>
        <w:t>DEX 700, DEX 350 or Sham and stratified at randomisation according to Baseline scores for vitreous haze into 2 strata, the first containing patients with Baseline scores of +1.5 and +2.0 and the second containing patients with scores of +3.0 or +4.0.</w:t>
      </w:r>
    </w:p>
    <w:p w:rsidR="00774227" w:rsidRDefault="00774227" w:rsidP="00774227">
      <w:r>
        <w:t>At screening, patients qualifying were assigned unique patient numbers to be used on patient documentation. Patients were then randomised via IVRS within their stratum on IT Day 0 to one of the 3 treatment groups in a 1:1:1 ratio. The method of randomisation has been developed and validated by the MAH.</w:t>
      </w:r>
    </w:p>
    <w:p w:rsidR="00774227" w:rsidRDefault="00774227" w:rsidP="00774227">
      <w:r>
        <w:t>Throughout the duration of the trial (including the OL extension) patients were masked to the randomised study treatment. The treating investigator who carried out the insertion procedure was not permitted to participate in the measurement of any of the efficacy variables; all efficacy variables (including BCVA, which was considered both an efficacy and safety variable) were measured by an independent follow-up investigator.</w:t>
      </w:r>
    </w:p>
    <w:p w:rsidR="00774227" w:rsidRDefault="00774227" w:rsidP="00A45E9B">
      <w:pPr>
        <w:pStyle w:val="Heading5"/>
      </w:pPr>
      <w:r w:rsidRPr="00B20F6A">
        <w:t>Analysis populations</w:t>
      </w:r>
    </w:p>
    <w:p w:rsidR="00774227" w:rsidRDefault="00774227" w:rsidP="004E2C51">
      <w:pPr>
        <w:pStyle w:val="Tabletitle"/>
        <w:numPr>
          <w:ilvl w:val="0"/>
          <w:numId w:val="21"/>
        </w:numPr>
        <w:spacing w:after="120" w:line="240" w:lineRule="auto"/>
        <w:ind w:left="1134" w:hanging="1134"/>
      </w:pPr>
      <w:bookmarkStart w:id="128" w:name="_Toc462652670"/>
      <w:r>
        <w:t>Analysis populations (Study 014)</w:t>
      </w:r>
      <w:bookmarkEnd w:id="128"/>
    </w:p>
    <w:tbl>
      <w:tblPr>
        <w:tblStyle w:val="TableTGAblue"/>
        <w:tblW w:w="0" w:type="auto"/>
        <w:tblLook w:val="04A0" w:firstRow="1" w:lastRow="0" w:firstColumn="1" w:lastColumn="0" w:noHBand="0" w:noVBand="1"/>
      </w:tblPr>
      <w:tblGrid>
        <w:gridCol w:w="2443"/>
        <w:gridCol w:w="6277"/>
      </w:tblGrid>
      <w:tr w:rsidR="00774227" w:rsidRPr="00BA77F6"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74227" w:rsidRPr="00BA77F6" w:rsidRDefault="00774227" w:rsidP="00F64F8C">
            <w:pPr>
              <w:rPr>
                <w:lang w:eastAsia="ja-JP"/>
              </w:rPr>
            </w:pPr>
            <w:r w:rsidRPr="00BA77F6">
              <w:rPr>
                <w:lang w:eastAsia="ja-JP"/>
              </w:rPr>
              <w:t>Analysis population</w:t>
            </w:r>
          </w:p>
        </w:tc>
        <w:tc>
          <w:tcPr>
            <w:tcW w:w="6724" w:type="dxa"/>
          </w:tcPr>
          <w:p w:rsidR="00774227" w:rsidRPr="00BA77F6" w:rsidRDefault="00774227" w:rsidP="00F64F8C">
            <w:pPr>
              <w:cnfStyle w:val="100000000000" w:firstRow="1" w:lastRow="0" w:firstColumn="0" w:lastColumn="0" w:oddVBand="0" w:evenVBand="0" w:oddHBand="0" w:evenHBand="0" w:firstRowFirstColumn="0" w:firstRowLastColumn="0" w:lastRowFirstColumn="0" w:lastRowLastColumn="0"/>
              <w:rPr>
                <w:lang w:eastAsia="ja-JP"/>
              </w:rPr>
            </w:pPr>
            <w:r w:rsidRPr="00BA77F6">
              <w:rPr>
                <w:lang w:eastAsia="ja-JP"/>
              </w:rPr>
              <w:t>Definition and use in analyses</w:t>
            </w:r>
          </w:p>
        </w:tc>
      </w:tr>
      <w:tr w:rsidR="00774227" w:rsidRPr="00BA77F6" w:rsidTr="00774227">
        <w:tc>
          <w:tcPr>
            <w:cnfStyle w:val="001000000000" w:firstRow="0" w:lastRow="0" w:firstColumn="1" w:lastColumn="0" w:oddVBand="0" w:evenVBand="0" w:oddHBand="0" w:evenHBand="0" w:firstRowFirstColumn="0" w:firstRowLastColumn="0" w:lastRowFirstColumn="0" w:lastRowLastColumn="0"/>
            <w:tcW w:w="2518" w:type="dxa"/>
          </w:tcPr>
          <w:p w:rsidR="00774227" w:rsidRPr="00BA77F6" w:rsidRDefault="00774227" w:rsidP="00F64F8C">
            <w:pPr>
              <w:rPr>
                <w:lang w:eastAsia="ja-JP"/>
              </w:rPr>
            </w:pPr>
            <w:r>
              <w:rPr>
                <w:lang w:eastAsia="ja-JP"/>
              </w:rPr>
              <w:t>Intent</w:t>
            </w:r>
            <w:r w:rsidRPr="00BA77F6">
              <w:rPr>
                <w:lang w:eastAsia="ja-JP"/>
              </w:rPr>
              <w:t>-to-treat (</w:t>
            </w:r>
            <w:r>
              <w:rPr>
                <w:lang w:eastAsia="ja-JP"/>
              </w:rPr>
              <w:t>m</w:t>
            </w:r>
            <w:r w:rsidRPr="00BA77F6">
              <w:rPr>
                <w:lang w:eastAsia="ja-JP"/>
              </w:rPr>
              <w:t>ITT)</w:t>
            </w:r>
          </w:p>
        </w:tc>
        <w:tc>
          <w:tcPr>
            <w:tcW w:w="6724" w:type="dxa"/>
          </w:tcPr>
          <w:p w:rsidR="00774227" w:rsidRPr="00BA77F6" w:rsidRDefault="00774227" w:rsidP="00F64F8C">
            <w:pPr>
              <w:cnfStyle w:val="000000000000" w:firstRow="0" w:lastRow="0" w:firstColumn="0" w:lastColumn="0" w:oddVBand="0" w:evenVBand="0" w:oddHBand="0" w:evenHBand="0" w:firstRowFirstColumn="0" w:firstRowLastColumn="0" w:lastRowFirstColumn="0" w:lastRowLastColumn="0"/>
              <w:rPr>
                <w:lang w:eastAsia="ja-JP"/>
              </w:rPr>
            </w:pPr>
            <w:r w:rsidRPr="00BA77F6">
              <w:rPr>
                <w:lang w:eastAsia="ja-JP"/>
              </w:rPr>
              <w:t xml:space="preserve">All randomised </w:t>
            </w:r>
            <w:r>
              <w:rPr>
                <w:lang w:eastAsia="ja-JP"/>
              </w:rPr>
              <w:t xml:space="preserve">and treated </w:t>
            </w:r>
            <w:r w:rsidRPr="00BA77F6">
              <w:rPr>
                <w:lang w:eastAsia="ja-JP"/>
              </w:rPr>
              <w:t>patients</w:t>
            </w:r>
            <w:r>
              <w:rPr>
                <w:lang w:eastAsia="ja-JP"/>
              </w:rPr>
              <w:t xml:space="preserve"> regardless of the actual treatment received.</w:t>
            </w:r>
          </w:p>
          <w:p w:rsidR="00774227" w:rsidRPr="00BA77F6" w:rsidRDefault="00774227" w:rsidP="00F64F8C">
            <w:pPr>
              <w:cnfStyle w:val="000000000000" w:firstRow="0" w:lastRow="0" w:firstColumn="0" w:lastColumn="0" w:oddVBand="0" w:evenVBand="0" w:oddHBand="0" w:evenHBand="0" w:firstRowFirstColumn="0" w:firstRowLastColumn="0" w:lastRowFirstColumn="0" w:lastRowLastColumn="0"/>
              <w:rPr>
                <w:lang w:eastAsia="ja-JP"/>
              </w:rPr>
            </w:pPr>
            <w:r w:rsidRPr="00BA77F6">
              <w:rPr>
                <w:lang w:eastAsia="ja-JP"/>
              </w:rPr>
              <w:t>Used for all analyses except safety</w:t>
            </w:r>
            <w:r>
              <w:rPr>
                <w:lang w:eastAsia="ja-JP"/>
              </w:rPr>
              <w:t>.</w:t>
            </w:r>
          </w:p>
        </w:tc>
      </w:tr>
      <w:tr w:rsidR="00774227" w:rsidRPr="00BA77F6" w:rsidTr="00774227">
        <w:tc>
          <w:tcPr>
            <w:cnfStyle w:val="001000000000" w:firstRow="0" w:lastRow="0" w:firstColumn="1" w:lastColumn="0" w:oddVBand="0" w:evenVBand="0" w:oddHBand="0" w:evenHBand="0" w:firstRowFirstColumn="0" w:firstRowLastColumn="0" w:lastRowFirstColumn="0" w:lastRowLastColumn="0"/>
            <w:tcW w:w="2518" w:type="dxa"/>
          </w:tcPr>
          <w:p w:rsidR="00774227" w:rsidRPr="00BA77F6" w:rsidRDefault="00774227" w:rsidP="00F64F8C">
            <w:pPr>
              <w:rPr>
                <w:lang w:eastAsia="ja-JP"/>
              </w:rPr>
            </w:pPr>
            <w:r w:rsidRPr="00BA77F6">
              <w:rPr>
                <w:lang w:eastAsia="ja-JP"/>
              </w:rPr>
              <w:t>Per protocol (PP)</w:t>
            </w:r>
          </w:p>
        </w:tc>
        <w:tc>
          <w:tcPr>
            <w:tcW w:w="6724" w:type="dxa"/>
          </w:tcPr>
          <w:p w:rsidR="00774227" w:rsidRPr="00BA77F6" w:rsidRDefault="00774227" w:rsidP="00F64F8C">
            <w:pPr>
              <w:cnfStyle w:val="000000000000" w:firstRow="0" w:lastRow="0" w:firstColumn="0" w:lastColumn="0" w:oddVBand="0" w:evenVBand="0" w:oddHBand="0" w:evenHBand="0" w:firstRowFirstColumn="0" w:firstRowLastColumn="0" w:lastRowFirstColumn="0" w:lastRowLastColumn="0"/>
              <w:rPr>
                <w:lang w:eastAsia="ja-JP"/>
              </w:rPr>
            </w:pPr>
            <w:r w:rsidRPr="00BA77F6">
              <w:rPr>
                <w:lang w:eastAsia="ja-JP"/>
              </w:rPr>
              <w:t>All randomised patients who received study treatment and had no major protocol violations</w:t>
            </w:r>
            <w:r>
              <w:rPr>
                <w:lang w:eastAsia="ja-JP"/>
              </w:rPr>
              <w:t xml:space="preserve"> at enrolment.</w:t>
            </w:r>
          </w:p>
        </w:tc>
      </w:tr>
      <w:tr w:rsidR="00774227" w:rsidRPr="00BA77F6" w:rsidTr="00774227">
        <w:tc>
          <w:tcPr>
            <w:cnfStyle w:val="001000000000" w:firstRow="0" w:lastRow="0" w:firstColumn="1" w:lastColumn="0" w:oddVBand="0" w:evenVBand="0" w:oddHBand="0" w:evenHBand="0" w:firstRowFirstColumn="0" w:firstRowLastColumn="0" w:lastRowFirstColumn="0" w:lastRowLastColumn="0"/>
            <w:tcW w:w="2518" w:type="dxa"/>
          </w:tcPr>
          <w:p w:rsidR="00774227" w:rsidRPr="00BA77F6" w:rsidRDefault="00774227" w:rsidP="00F64F8C">
            <w:pPr>
              <w:rPr>
                <w:lang w:eastAsia="ja-JP"/>
              </w:rPr>
            </w:pPr>
            <w:r w:rsidRPr="00BA77F6">
              <w:rPr>
                <w:lang w:eastAsia="ja-JP"/>
              </w:rPr>
              <w:t>Safety</w:t>
            </w:r>
          </w:p>
        </w:tc>
        <w:tc>
          <w:tcPr>
            <w:tcW w:w="6724" w:type="dxa"/>
          </w:tcPr>
          <w:p w:rsidR="00774227" w:rsidRPr="00BA77F6" w:rsidRDefault="00774227" w:rsidP="00F64F8C">
            <w:pPr>
              <w:cnfStyle w:val="000000000000" w:firstRow="0" w:lastRow="0" w:firstColumn="0" w:lastColumn="0" w:oddVBand="0" w:evenVBand="0" w:oddHBand="0" w:evenHBand="0" w:firstRowFirstColumn="0" w:firstRowLastColumn="0" w:lastRowFirstColumn="0" w:lastRowLastColumn="0"/>
              <w:rPr>
                <w:lang w:eastAsia="ja-JP"/>
              </w:rPr>
            </w:pPr>
            <w:r w:rsidRPr="00BA77F6">
              <w:rPr>
                <w:lang w:eastAsia="ja-JP"/>
              </w:rPr>
              <w:t>All randomised patients who received study treatment based on the actual treatment received</w:t>
            </w:r>
            <w:r>
              <w:rPr>
                <w:lang w:eastAsia="ja-JP"/>
              </w:rPr>
              <w:t>.</w:t>
            </w:r>
          </w:p>
          <w:p w:rsidR="00774227" w:rsidRPr="00BA77F6" w:rsidRDefault="00774227" w:rsidP="00F64F8C">
            <w:pPr>
              <w:cnfStyle w:val="000000000000" w:firstRow="0" w:lastRow="0" w:firstColumn="0" w:lastColumn="0" w:oddVBand="0" w:evenVBand="0" w:oddHBand="0" w:evenHBand="0" w:firstRowFirstColumn="0" w:firstRowLastColumn="0" w:lastRowFirstColumn="0" w:lastRowLastColumn="0"/>
              <w:rPr>
                <w:lang w:eastAsia="ja-JP"/>
              </w:rPr>
            </w:pPr>
            <w:r w:rsidRPr="00BA77F6">
              <w:rPr>
                <w:lang w:eastAsia="ja-JP"/>
              </w:rPr>
              <w:t>Used in all safety analyses</w:t>
            </w:r>
          </w:p>
        </w:tc>
      </w:tr>
    </w:tbl>
    <w:p w:rsidR="00774227" w:rsidRDefault="00774227" w:rsidP="00A45E9B">
      <w:pPr>
        <w:pStyle w:val="Heading5"/>
      </w:pPr>
      <w:r w:rsidRPr="00B20F6A" w:rsidDel="0081373E">
        <w:t>S</w:t>
      </w:r>
      <w:r w:rsidRPr="00B20F6A">
        <w:t>ample size</w:t>
      </w:r>
    </w:p>
    <w:p w:rsidR="00774227" w:rsidRDefault="00774227" w:rsidP="00774227">
      <w:r>
        <w:t xml:space="preserve">Assuming 10% of patients in the Sham group had a vitreous haze score of zero, a sample size of 73 patients for each treatment group would have had a 93% power to detect a </w:t>
      </w:r>
      <w:r>
        <w:lastRenderedPageBreak/>
        <w:t>between-group difference of 23% (DEX PS DDS minus Sham) in the proportion of patients with a vitreous haze score of zero. The power calculation was based on a 2-sided Pearson's chi-square test as implemented using the PTTO procedure in the commercial software nQuery Advisor® 6.0 (Elashoff, 2005) at a 2-sided significance level of 0.05.</w:t>
      </w:r>
    </w:p>
    <w:p w:rsidR="00774227" w:rsidRDefault="00774227" w:rsidP="00774227">
      <w:r>
        <w:t>The assumption that 10% of patients in the Sham group would have a vitreous haze score of zero was estimated based on the natural history of uveitis.</w:t>
      </w:r>
    </w:p>
    <w:p w:rsidR="00774227" w:rsidRPr="00661B86" w:rsidRDefault="00774227" w:rsidP="00774227">
      <w:r>
        <w:t>Based on an anticipated dropout rate of 5%, approximately 231 patients were to be randomized to the 3 treatment groups in a 1:1:1 ratio to have 219 patients complete the study at Week 8.</w:t>
      </w:r>
    </w:p>
    <w:p w:rsidR="00774227" w:rsidRPr="00B20F6A" w:rsidRDefault="00774227" w:rsidP="00A45E9B">
      <w:pPr>
        <w:pStyle w:val="Heading5"/>
      </w:pPr>
      <w:r w:rsidRPr="00B20F6A">
        <w:t>Statistical methods</w:t>
      </w:r>
    </w:p>
    <w:p w:rsidR="00774227" w:rsidRDefault="00774227" w:rsidP="00774227">
      <w:pPr>
        <w:pStyle w:val="Heading6"/>
        <w:rPr>
          <w:lang w:eastAsia="ja-JP"/>
        </w:rPr>
      </w:pPr>
      <w:r>
        <w:rPr>
          <w:lang w:eastAsia="ja-JP"/>
        </w:rPr>
        <w:t>Primary efficacy analysis</w:t>
      </w:r>
    </w:p>
    <w:p w:rsidR="00774227" w:rsidRDefault="00774227" w:rsidP="00774227">
      <w:pPr>
        <w:rPr>
          <w:lang w:eastAsia="ja-JP"/>
        </w:rPr>
      </w:pPr>
      <w:r>
        <w:rPr>
          <w:lang w:eastAsia="ja-JP"/>
        </w:rPr>
        <w:t>The primary efficacy analysis was performed using the ITT population based on scheduled visits with Week 8 being the primary timepoint. Missing data were imputed using the last observation (scheduled or unscheduled) carried forward (LOCF) method. All available data were used for imputation. The primary analysis was performed using Pearson’s chi-square test, and the primary comparisons of interest were DEX 700 versus Sham and DEX 350 versus Sham. A gate-keeping procedure was used to control the overall type I error rate at 5% for the 2 between-treatment comparisons with the comparison between DEX 700 and Sham performed first at the significance level of 0.05. If the comparison was statistically significant, the comparison between DEX 350 and Sham was performed at the same significance level. 2-sided 95% confidence intervals (CIs) were constructed for the between-group difference in the proportion of patients with a vitreous haze score of 0 using the normal approximation of binary variables.</w:t>
      </w:r>
    </w:p>
    <w:p w:rsidR="00774227" w:rsidRDefault="00774227" w:rsidP="00774227">
      <w:pPr>
        <w:pStyle w:val="Heading6"/>
        <w:rPr>
          <w:lang w:eastAsia="ja-JP"/>
        </w:rPr>
      </w:pPr>
      <w:r>
        <w:rPr>
          <w:lang w:eastAsia="ja-JP"/>
        </w:rPr>
        <w:t>Other efficacy analyses of the primary efficacy variable</w:t>
      </w:r>
    </w:p>
    <w:p w:rsidR="00774227" w:rsidRPr="00E61E48" w:rsidRDefault="00774227" w:rsidP="00774227">
      <w:pPr>
        <w:rPr>
          <w:lang w:eastAsia="ja-JP"/>
        </w:rPr>
      </w:pPr>
      <w:r w:rsidRPr="00E61E48">
        <w:rPr>
          <w:lang w:eastAsia="ja-JP"/>
        </w:rPr>
        <w:t xml:space="preserve">Time to a vitreous haze score of zero was calculated from IT Day 0 to the </w:t>
      </w:r>
      <w:r>
        <w:rPr>
          <w:lang w:eastAsia="ja-JP"/>
        </w:rPr>
        <w:t xml:space="preserve">Week 8 visit with the </w:t>
      </w:r>
      <w:r w:rsidRPr="00E61E48">
        <w:rPr>
          <w:lang w:eastAsia="ja-JP"/>
        </w:rPr>
        <w:t>first occu</w:t>
      </w:r>
      <w:r>
        <w:rPr>
          <w:lang w:eastAsia="ja-JP"/>
        </w:rPr>
        <w:t xml:space="preserve">rrence of vitreous haze score 0. Patients not achieving a </w:t>
      </w:r>
      <w:r w:rsidRPr="00E61E48">
        <w:rPr>
          <w:lang w:eastAsia="ja-JP"/>
        </w:rPr>
        <w:t>score 0 in the study eye at these visits, their time to vitreous haze score 0 was censored at the last vitreous haze examination performed amongst these visits. Treatment group comparisons were analysed by the log-rank test. In addition, the cumulative rates of achieving vitreous haze score 0 were calculated by the life-table method for weeks 3, 6, and 8. A 2-sided Z-test and 95% CI were constructed to compare the cumulative rates at those scheduled visits using the normal approximation.</w:t>
      </w:r>
      <w:r>
        <w:rPr>
          <w:lang w:eastAsia="ja-JP"/>
        </w:rPr>
        <w:t xml:space="preserve"> 1-unit and 2-unit improvement from Baseline was analysed with between-group difference was compared with a Pearson’s chi-square test at the significance level of 0.05. Missing data were imputed using the LOCF (scheduled or unscheduled) method. Vitreous haze score at each scheduled visit and change from Baseline was analysed using a 1-way analysis of variance (ANOVA) model with fixed effect of treatment. Between-group comparisons were performed in a pairwise fashion using contrasts from the ANOVA model. In addition, a 2-sided 95% CI was constructed for the between-group difference in mean vitreous haze scores for each of the 3 comparisons.</w:t>
      </w:r>
    </w:p>
    <w:p w:rsidR="00774227" w:rsidRPr="00E61E48" w:rsidRDefault="00774227" w:rsidP="00774227">
      <w:pPr>
        <w:pStyle w:val="Heading6"/>
      </w:pPr>
      <w:r w:rsidRPr="00B20F6A">
        <w:t>Secondary efficacy analyses</w:t>
      </w:r>
    </w:p>
    <w:p w:rsidR="00774227" w:rsidRDefault="00774227" w:rsidP="00774227">
      <w:r>
        <w:t>BCVA change between-group comparisons were performed using Pearson’s chi-square or Fisher’s exact test in all responder analyses. Change from Baseline in retinal thickness on OCT was analysed using a 1-way ANOVA model with fixed effect of treatment. Between-group comparisons were performed in a pairwise fashion using contrasts from the ANOVA model. In addition, a 2-sided 95% CI was constructed for the between-group difference in mean vitreous haze scores for each of the 3 comparisons.</w:t>
      </w:r>
    </w:p>
    <w:p w:rsidR="00774227" w:rsidRDefault="00774227" w:rsidP="004C3275">
      <w:pPr>
        <w:keepNext/>
        <w:keepLines/>
        <w:numPr>
          <w:ilvl w:val="3"/>
          <w:numId w:val="5"/>
        </w:numPr>
        <w:tabs>
          <w:tab w:val="num" w:pos="360"/>
          <w:tab w:val="num" w:pos="3885"/>
        </w:tabs>
        <w:spacing w:line="220" w:lineRule="atLeast"/>
        <w:ind w:left="1304" w:hanging="1077"/>
        <w:outlineLvl w:val="4"/>
        <w:rPr>
          <w:rFonts w:eastAsia="Times New Roman"/>
          <w:b/>
          <w:bCs/>
          <w:i/>
          <w:szCs w:val="21"/>
        </w:rPr>
      </w:pPr>
      <w:r>
        <w:rPr>
          <w:rFonts w:eastAsia="Times New Roman"/>
          <w:b/>
          <w:bCs/>
          <w:i/>
          <w:szCs w:val="21"/>
        </w:rPr>
        <w:lastRenderedPageBreak/>
        <w:t>Participant flow</w:t>
      </w:r>
    </w:p>
    <w:p w:rsidR="00774227" w:rsidRDefault="00774227" w:rsidP="00774227">
      <w:r>
        <w:t xml:space="preserve">331 patients were screened, of which 102 (30.8%) failed to meet the entry criteria with 21.1% due to inclusion criteria, 6.6% due to exclusion criteria and 4.8% due to other reasons. A total of 229 patients were enrolled and randomised. &gt; 97% in each randomised treatment arm completed the IT Week 8 visit and &gt; 94% completed the entire 26-week study. Proportions completing the study were similar across the treatment groups. Participant flow for the ITT population is summarised </w:t>
      </w:r>
      <w:r w:rsidR="00747662">
        <w:t>figure below</w:t>
      </w:r>
      <w:r>
        <w:t xml:space="preserve"> below.</w:t>
      </w:r>
    </w:p>
    <w:p w:rsidR="00774227" w:rsidRDefault="00774227" w:rsidP="00593F09">
      <w:pPr>
        <w:pStyle w:val="FigureTitle"/>
        <w:numPr>
          <w:ilvl w:val="0"/>
          <w:numId w:val="20"/>
        </w:numPr>
        <w:ind w:left="1134" w:hanging="1134"/>
      </w:pPr>
      <w:bookmarkStart w:id="129" w:name="_Toc462652401"/>
      <w:r>
        <w:t xml:space="preserve">Figure </w:t>
      </w:r>
      <w:r w:rsidR="008512D0">
        <w:fldChar w:fldCharType="begin"/>
      </w:r>
      <w:r w:rsidR="008512D0">
        <w:instrText xml:space="preserve"> SEQ Figure \* ARABIC </w:instrText>
      </w:r>
      <w:r w:rsidR="008512D0">
        <w:fldChar w:fldCharType="separate"/>
      </w:r>
      <w:r w:rsidR="00DC483E">
        <w:rPr>
          <w:noProof/>
        </w:rPr>
        <w:t>8</w:t>
      </w:r>
      <w:r w:rsidR="008512D0">
        <w:rPr>
          <w:noProof/>
        </w:rPr>
        <w:fldChar w:fldCharType="end"/>
      </w:r>
      <w:r>
        <w:t>: Participant flow (Study 206207-014)</w:t>
      </w:r>
      <w:bookmarkEnd w:id="129"/>
    </w:p>
    <w:p w:rsidR="00774227" w:rsidRDefault="00774227" w:rsidP="00774227">
      <w:r>
        <w:rPr>
          <w:noProof/>
          <w:lang w:eastAsia="en-AU"/>
        </w:rPr>
        <w:drawing>
          <wp:inline distT="0" distB="0" distL="0" distR="0" wp14:anchorId="3B6B6C7C" wp14:editId="232D9E26">
            <wp:extent cx="3244132" cy="3605631"/>
            <wp:effectExtent l="0" t="0" r="0" b="0"/>
            <wp:docPr id="79" name="Picture 79" descr="Figure 8: Figure 8: Participant flow (Study 2062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3244737" cy="3606304"/>
                    </a:xfrm>
                    <a:prstGeom prst="rect">
                      <a:avLst/>
                    </a:prstGeom>
                  </pic:spPr>
                </pic:pic>
              </a:graphicData>
            </a:graphic>
          </wp:inline>
        </w:drawing>
      </w:r>
    </w:p>
    <w:p w:rsidR="00774227" w:rsidRDefault="00774227" w:rsidP="004E2C51">
      <w:pPr>
        <w:pStyle w:val="Tabletitle"/>
        <w:numPr>
          <w:ilvl w:val="0"/>
          <w:numId w:val="21"/>
        </w:numPr>
        <w:spacing w:after="120" w:line="240" w:lineRule="auto"/>
        <w:ind w:left="1134" w:hanging="1134"/>
      </w:pPr>
      <w:bookmarkStart w:id="130" w:name="_Toc462652671"/>
      <w:r>
        <w:t>Summary of analysis population size (Study 014)</w:t>
      </w:r>
      <w:bookmarkEnd w:id="130"/>
    </w:p>
    <w:tbl>
      <w:tblPr>
        <w:tblStyle w:val="TableTGAblue"/>
        <w:tblW w:w="0" w:type="auto"/>
        <w:tblLayout w:type="fixed"/>
        <w:tblLook w:val="04A0" w:firstRow="1" w:lastRow="0" w:firstColumn="1" w:lastColumn="0" w:noHBand="0" w:noVBand="1"/>
      </w:tblPr>
      <w:tblGrid>
        <w:gridCol w:w="2235"/>
        <w:gridCol w:w="1417"/>
        <w:gridCol w:w="1418"/>
        <w:gridCol w:w="1134"/>
        <w:gridCol w:w="1134"/>
      </w:tblGrid>
      <w:tr w:rsidR="00774227" w:rsidTr="00774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74227" w:rsidRDefault="00774227" w:rsidP="00F64F8C">
            <w:r>
              <w:t>Population</w:t>
            </w:r>
          </w:p>
        </w:tc>
        <w:tc>
          <w:tcPr>
            <w:tcW w:w="1417" w:type="dxa"/>
          </w:tcPr>
          <w:p w:rsidR="00774227" w:rsidRDefault="00774227" w:rsidP="00F64F8C">
            <w:pPr>
              <w:cnfStyle w:val="100000000000" w:firstRow="1" w:lastRow="0" w:firstColumn="0" w:lastColumn="0" w:oddVBand="0" w:evenVBand="0" w:oddHBand="0" w:evenHBand="0" w:firstRowFirstColumn="0" w:firstRowLastColumn="0" w:lastRowFirstColumn="0" w:lastRowLastColumn="0"/>
            </w:pPr>
            <w:r>
              <w:t>DEX 700</w:t>
            </w:r>
          </w:p>
        </w:tc>
        <w:tc>
          <w:tcPr>
            <w:tcW w:w="1418" w:type="dxa"/>
          </w:tcPr>
          <w:p w:rsidR="00774227" w:rsidRDefault="00774227" w:rsidP="00F64F8C">
            <w:pPr>
              <w:cnfStyle w:val="100000000000" w:firstRow="1" w:lastRow="0" w:firstColumn="0" w:lastColumn="0" w:oddVBand="0" w:evenVBand="0" w:oddHBand="0" w:evenHBand="0" w:firstRowFirstColumn="0" w:firstRowLastColumn="0" w:lastRowFirstColumn="0" w:lastRowLastColumn="0"/>
            </w:pPr>
            <w:r>
              <w:t>DEX 350</w:t>
            </w:r>
          </w:p>
        </w:tc>
        <w:tc>
          <w:tcPr>
            <w:tcW w:w="1134" w:type="dxa"/>
          </w:tcPr>
          <w:p w:rsidR="00774227" w:rsidRDefault="00774227" w:rsidP="00F64F8C">
            <w:pPr>
              <w:cnfStyle w:val="100000000000" w:firstRow="1" w:lastRow="0" w:firstColumn="0" w:lastColumn="0" w:oddVBand="0" w:evenVBand="0" w:oddHBand="0" w:evenHBand="0" w:firstRowFirstColumn="0" w:firstRowLastColumn="0" w:lastRowFirstColumn="0" w:lastRowLastColumn="0"/>
            </w:pPr>
            <w:r>
              <w:t>Sham</w:t>
            </w:r>
          </w:p>
        </w:tc>
        <w:tc>
          <w:tcPr>
            <w:tcW w:w="1134" w:type="dxa"/>
          </w:tcPr>
          <w:p w:rsidR="00774227" w:rsidRDefault="00774227" w:rsidP="00F64F8C">
            <w:pPr>
              <w:cnfStyle w:val="100000000000" w:firstRow="1" w:lastRow="0" w:firstColumn="0" w:lastColumn="0" w:oddVBand="0" w:evenVBand="0" w:oddHBand="0" w:evenHBand="0" w:firstRowFirstColumn="0" w:firstRowLastColumn="0" w:lastRowFirstColumn="0" w:lastRowLastColumn="0"/>
            </w:pPr>
            <w:r>
              <w:t>Total</w:t>
            </w:r>
          </w:p>
        </w:tc>
      </w:tr>
      <w:tr w:rsidR="00774227" w:rsidTr="00774227">
        <w:tc>
          <w:tcPr>
            <w:cnfStyle w:val="001000000000" w:firstRow="0" w:lastRow="0" w:firstColumn="1" w:lastColumn="0" w:oddVBand="0" w:evenVBand="0" w:oddHBand="0" w:evenHBand="0" w:firstRowFirstColumn="0" w:firstRowLastColumn="0" w:lastRowFirstColumn="0" w:lastRowLastColumn="0"/>
            <w:tcW w:w="2235" w:type="dxa"/>
          </w:tcPr>
          <w:p w:rsidR="00774227" w:rsidRDefault="00774227" w:rsidP="00F64F8C">
            <w:r>
              <w:t>ITT population</w:t>
            </w:r>
          </w:p>
        </w:tc>
        <w:tc>
          <w:tcPr>
            <w:tcW w:w="1417"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77</w:t>
            </w:r>
          </w:p>
        </w:tc>
        <w:tc>
          <w:tcPr>
            <w:tcW w:w="1418"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76</w:t>
            </w:r>
          </w:p>
        </w:tc>
        <w:tc>
          <w:tcPr>
            <w:tcW w:w="1134"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76</w:t>
            </w:r>
          </w:p>
        </w:tc>
        <w:tc>
          <w:tcPr>
            <w:tcW w:w="1134"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229</w:t>
            </w:r>
          </w:p>
        </w:tc>
      </w:tr>
      <w:tr w:rsidR="00774227" w:rsidTr="00774227">
        <w:tc>
          <w:tcPr>
            <w:cnfStyle w:val="001000000000" w:firstRow="0" w:lastRow="0" w:firstColumn="1" w:lastColumn="0" w:oddVBand="0" w:evenVBand="0" w:oddHBand="0" w:evenHBand="0" w:firstRowFirstColumn="0" w:firstRowLastColumn="0" w:lastRowFirstColumn="0" w:lastRowLastColumn="0"/>
            <w:tcW w:w="2235" w:type="dxa"/>
          </w:tcPr>
          <w:p w:rsidR="00774227" w:rsidRDefault="00774227" w:rsidP="00F64F8C">
            <w:r>
              <w:t>PP population</w:t>
            </w:r>
          </w:p>
        </w:tc>
        <w:tc>
          <w:tcPr>
            <w:tcW w:w="1417"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70</w:t>
            </w:r>
          </w:p>
        </w:tc>
        <w:tc>
          <w:tcPr>
            <w:tcW w:w="1418"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66</w:t>
            </w:r>
          </w:p>
        </w:tc>
        <w:tc>
          <w:tcPr>
            <w:tcW w:w="1134"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71</w:t>
            </w:r>
          </w:p>
        </w:tc>
        <w:tc>
          <w:tcPr>
            <w:tcW w:w="1134"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207</w:t>
            </w:r>
          </w:p>
        </w:tc>
      </w:tr>
      <w:tr w:rsidR="00774227" w:rsidTr="00774227">
        <w:tc>
          <w:tcPr>
            <w:cnfStyle w:val="001000000000" w:firstRow="0" w:lastRow="0" w:firstColumn="1" w:lastColumn="0" w:oddVBand="0" w:evenVBand="0" w:oddHBand="0" w:evenHBand="0" w:firstRowFirstColumn="0" w:firstRowLastColumn="0" w:lastRowFirstColumn="0" w:lastRowLastColumn="0"/>
            <w:tcW w:w="2235" w:type="dxa"/>
          </w:tcPr>
          <w:p w:rsidR="00774227" w:rsidRDefault="00774227" w:rsidP="00F64F8C">
            <w:r>
              <w:t>Safety population</w:t>
            </w:r>
          </w:p>
        </w:tc>
        <w:tc>
          <w:tcPr>
            <w:tcW w:w="1417"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76</w:t>
            </w:r>
          </w:p>
        </w:tc>
        <w:tc>
          <w:tcPr>
            <w:tcW w:w="1418"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74</w:t>
            </w:r>
          </w:p>
        </w:tc>
        <w:tc>
          <w:tcPr>
            <w:tcW w:w="1134"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75</w:t>
            </w:r>
          </w:p>
        </w:tc>
        <w:tc>
          <w:tcPr>
            <w:tcW w:w="1134" w:type="dxa"/>
          </w:tcPr>
          <w:p w:rsidR="00774227" w:rsidRDefault="00774227" w:rsidP="00F64F8C">
            <w:pPr>
              <w:cnfStyle w:val="000000000000" w:firstRow="0" w:lastRow="0" w:firstColumn="0" w:lastColumn="0" w:oddVBand="0" w:evenVBand="0" w:oddHBand="0" w:evenHBand="0" w:firstRowFirstColumn="0" w:firstRowLastColumn="0" w:lastRowFirstColumn="0" w:lastRowLastColumn="0"/>
            </w:pPr>
            <w:r>
              <w:t>225</w:t>
            </w:r>
          </w:p>
        </w:tc>
      </w:tr>
    </w:tbl>
    <w:p w:rsidR="00774227" w:rsidRPr="00E43137" w:rsidRDefault="00774227" w:rsidP="00A45E9B">
      <w:pPr>
        <w:pStyle w:val="Heading5"/>
      </w:pPr>
      <w:r w:rsidRPr="00E43137">
        <w:t>Major protocol violations/deviations</w:t>
      </w:r>
    </w:p>
    <w:p w:rsidR="00774227" w:rsidRDefault="00774227" w:rsidP="00774227">
      <w:r>
        <w:t>Changes to the study methodology included widening the original population during recruitment to include patients with posterior uveitis (versus intermediate uveitis).</w:t>
      </w:r>
    </w:p>
    <w:p w:rsidR="00774227" w:rsidRDefault="00774227" w:rsidP="00774227">
      <w:r>
        <w:t>There were 68 important protocol deviations in patients, summarised as: use of prohibited medications (n = 52), vitrectomy (n = 5), randomisation but not receiving treatment (n =4), informed consent after screening but before study treatment date (n = 4), treating investigator performed screening, Baseline or outcome assessment (n = 2) and injection into the sclera (n = 1). Protocol deviations were documented and investigators were of the opinion few deviations/violations were major and did not affect patient safety, the study conduct or interpretation of the study results.</w:t>
      </w:r>
    </w:p>
    <w:p w:rsidR="00774227" w:rsidRPr="00E701D7" w:rsidRDefault="00774227" w:rsidP="00774227">
      <w:r>
        <w:lastRenderedPageBreak/>
        <w:t>The PP population consisted of 90.4% (207/229) of the ITT population; that is patients in the ITT population with no major protocol variations. 22 patients were excluded, 7 in the DEX 700 group, 10 in the DEX 350 group and 5 in the Sham group. The major reason for exclusion was due to the use of medications prohibited according to study protocol (n = 18) with the remainder (n = 4) excluded as they didn’t received randomised treatment.</w:t>
      </w:r>
    </w:p>
    <w:p w:rsidR="00774227" w:rsidRDefault="00774227" w:rsidP="004C3275">
      <w:pPr>
        <w:keepNext/>
        <w:keepLines/>
        <w:numPr>
          <w:ilvl w:val="3"/>
          <w:numId w:val="5"/>
        </w:numPr>
        <w:tabs>
          <w:tab w:val="num" w:pos="360"/>
          <w:tab w:val="num" w:pos="3885"/>
        </w:tabs>
        <w:spacing w:line="220" w:lineRule="atLeast"/>
        <w:ind w:left="1304" w:hanging="1077"/>
        <w:outlineLvl w:val="4"/>
        <w:rPr>
          <w:rFonts w:eastAsia="Times New Roman"/>
          <w:b/>
          <w:bCs/>
          <w:i/>
          <w:szCs w:val="21"/>
        </w:rPr>
      </w:pPr>
      <w:r w:rsidRPr="00B20F6A">
        <w:rPr>
          <w:rFonts w:eastAsia="Times New Roman"/>
          <w:b/>
          <w:bCs/>
          <w:i/>
          <w:szCs w:val="21"/>
        </w:rPr>
        <w:t>Baseline data</w:t>
      </w:r>
    </w:p>
    <w:p w:rsidR="00774227" w:rsidRPr="00B20F6A" w:rsidRDefault="00774227" w:rsidP="00774227">
      <w:pPr>
        <w:pStyle w:val="Heading6"/>
      </w:pPr>
      <w:r w:rsidRPr="00D30566">
        <w:t>Demographic and Baseline characteristics</w:t>
      </w:r>
    </w:p>
    <w:p w:rsidR="00774227" w:rsidRPr="00B20F6A" w:rsidRDefault="00774227" w:rsidP="00774227">
      <w:r>
        <w:t xml:space="preserve">Demographic and Baseline characteristics data for the ITT population is summarised below, with no statistical differences among the randomised treatment groups. The mean age was 44.8 years (range: 18 to 82 years), the majority were female (63.3%) and Caucasian (60.7%). 80.8% were diagnosed with intermediate uveitis and 19.2% with posterior uveitis. </w:t>
      </w:r>
    </w:p>
    <w:p w:rsidR="00774227" w:rsidRDefault="00774227" w:rsidP="004E2C51">
      <w:pPr>
        <w:pStyle w:val="Tabletitle"/>
        <w:numPr>
          <w:ilvl w:val="0"/>
          <w:numId w:val="21"/>
        </w:numPr>
        <w:spacing w:after="120" w:line="240" w:lineRule="auto"/>
        <w:ind w:left="1134" w:hanging="1134"/>
      </w:pPr>
      <w:bookmarkStart w:id="131" w:name="_Toc462652672"/>
      <w:r w:rsidRPr="00A0530A">
        <w:t>Demographic and Baseline characteristics (</w:t>
      </w:r>
      <w:r>
        <w:t>014)</w:t>
      </w:r>
      <w:bookmarkEnd w:id="131"/>
    </w:p>
    <w:p w:rsidR="00774227" w:rsidRDefault="00774227" w:rsidP="00774227">
      <w:pPr>
        <w:rPr>
          <w:lang w:eastAsia="ja-JP"/>
        </w:rPr>
      </w:pPr>
      <w:r>
        <w:rPr>
          <w:noProof/>
          <w:lang w:eastAsia="en-AU"/>
        </w:rPr>
        <w:drawing>
          <wp:inline distT="0" distB="0" distL="0" distR="0" wp14:anchorId="2818EE20" wp14:editId="5F73FEB1">
            <wp:extent cx="3822192" cy="3360565"/>
            <wp:effectExtent l="0" t="0" r="6985" b="0"/>
            <wp:docPr id="80" name="Picture 80" descr="Table 45: Demographic and Baseline characteristics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4518"/>
                    <a:stretch/>
                  </pic:blipFill>
                  <pic:spPr bwMode="auto">
                    <a:xfrm>
                      <a:off x="0" y="0"/>
                      <a:ext cx="3828099" cy="3365759"/>
                    </a:xfrm>
                    <a:prstGeom prst="rect">
                      <a:avLst/>
                    </a:prstGeom>
                    <a:ln>
                      <a:noFill/>
                    </a:ln>
                    <a:extLst>
                      <a:ext uri="{53640926-AAD7-44D8-BBD7-CCE9431645EC}">
                        <a14:shadowObscured xmlns:a14="http://schemas.microsoft.com/office/drawing/2010/main"/>
                      </a:ext>
                    </a:extLst>
                  </pic:spPr>
                </pic:pic>
              </a:graphicData>
            </a:graphic>
          </wp:inline>
        </w:drawing>
      </w:r>
    </w:p>
    <w:p w:rsidR="00774227" w:rsidRDefault="00774227" w:rsidP="00774227">
      <w:pPr>
        <w:pStyle w:val="Heading6"/>
        <w:rPr>
          <w:lang w:eastAsia="ja-JP"/>
        </w:rPr>
      </w:pPr>
      <w:r>
        <w:rPr>
          <w:lang w:eastAsia="ja-JP"/>
        </w:rPr>
        <w:t>Medical and ophthalmic history</w:t>
      </w:r>
    </w:p>
    <w:p w:rsidR="00774227" w:rsidRDefault="00774227" w:rsidP="00774227">
      <w:r>
        <w:t>The most frequently reported conditions (&gt; 10% in any treatment group) in the ophthalmic history (other than ocular inflammation in the study eye) were cataract (37.6%), uveitis (24.5%), macular oedema (17.5%), intermediate uveitis (10.5%), maculopathy (7.0%) and refraction disorder (9.6%). There were no statistically significant differences among the 3 treatment groups. Cataracts were most commonly reported and at reported at Baseline for 28.6% (22/77) of patients in the DEX 700 group, 43.4% (33/76) in the DEX 350 group, and 40.8% (31/76) in the Sham group (among-group p = 0.128). There were no statistically significant differences among the 3 treatment groups.</w:t>
      </w:r>
    </w:p>
    <w:p w:rsidR="00774227" w:rsidRDefault="00774227" w:rsidP="00774227">
      <w:r>
        <w:t>The most frequently reported conditions or states (&gt; 10% in any treatment group) in the medical history (other than ophthalmic) were hypertension, contraception, depression, menopause, sarcoidosis, and post-menopause. Frequency of reported gastritis was statistically (but not meaningfully) greater at 6.6% (5/76) of patients in the DEX 350 group compared to 1.3% (1/77) in the DEX 700 group and 0.0% (0/76) in the Sham group (p = 0.034). There were no other statistically significant differences among the 3 treatment groups.</w:t>
      </w:r>
    </w:p>
    <w:p w:rsidR="00774227" w:rsidRDefault="00774227" w:rsidP="00774227">
      <w:pPr>
        <w:pStyle w:val="Heading6"/>
      </w:pPr>
      <w:r>
        <w:lastRenderedPageBreak/>
        <w:t>Prior medications and procedures</w:t>
      </w:r>
    </w:p>
    <w:p w:rsidR="00774227" w:rsidRDefault="00774227" w:rsidP="00774227">
      <w:r>
        <w:t>Over 40% of patients in each treatment group had received medications for the treatment of ocular inflammation in the study eye prior to the trial. The most frequently reported (&gt; 10% in any treatment group) drug classes were ophthalmic anti-cholinergics (such as atropine), ophthalmic corticosteroids - plain (such as triamcinolone) and glucocorticoids for systemic use (such as prednisolone).</w:t>
      </w:r>
    </w:p>
    <w:p w:rsidR="00774227" w:rsidRDefault="00774227" w:rsidP="00774227">
      <w:r>
        <w:t>Prior triamcinolone in the study eye were reported for 15.6% (12/77) of patients in the DEX 700 group (5 intravitreal, 7 periocular), 18.4% (14/76) in the DEX 350 group (14 periocular), and 23.7% (18/76) in the Sham group (5 intravitreal, 12 periocular, 1 intracameral).</w:t>
      </w:r>
    </w:p>
    <w:p w:rsidR="00774227" w:rsidRDefault="00774227" w:rsidP="004E2C51">
      <w:pPr>
        <w:pStyle w:val="Tabletitle"/>
        <w:numPr>
          <w:ilvl w:val="0"/>
          <w:numId w:val="21"/>
        </w:numPr>
        <w:spacing w:after="120" w:line="240" w:lineRule="auto"/>
        <w:ind w:left="1134" w:hanging="1134"/>
      </w:pPr>
      <w:bookmarkStart w:id="132" w:name="_Toc462652673"/>
      <w:r>
        <w:t>Prior ophthalmic and corticosteroid use (Study 206207-014)</w:t>
      </w:r>
      <w:bookmarkEnd w:id="132"/>
    </w:p>
    <w:tbl>
      <w:tblPr>
        <w:tblStyle w:val="TableTGAblue"/>
        <w:tblW w:w="0" w:type="auto"/>
        <w:tblLook w:val="04A0" w:firstRow="1" w:lastRow="0" w:firstColumn="1" w:lastColumn="0" w:noHBand="0" w:noVBand="1"/>
      </w:tblPr>
      <w:tblGrid>
        <w:gridCol w:w="2602"/>
        <w:gridCol w:w="1503"/>
        <w:gridCol w:w="1609"/>
        <w:gridCol w:w="1503"/>
        <w:gridCol w:w="1503"/>
      </w:tblGrid>
      <w:tr w:rsidR="00774227" w:rsidRPr="00647B5E" w:rsidTr="00E521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dxa"/>
          </w:tcPr>
          <w:p w:rsidR="00774227" w:rsidRPr="00E43137" w:rsidRDefault="00774227" w:rsidP="00E52119">
            <w:r w:rsidRPr="00E43137">
              <w:t>Drug Class</w:t>
            </w:r>
          </w:p>
        </w:tc>
        <w:tc>
          <w:tcPr>
            <w:tcW w:w="1559" w:type="dxa"/>
          </w:tcPr>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DEX 700</w:t>
            </w:r>
          </w:p>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(N = 77)</w:t>
            </w:r>
          </w:p>
        </w:tc>
        <w:tc>
          <w:tcPr>
            <w:tcW w:w="1701" w:type="dxa"/>
          </w:tcPr>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DEX 350</w:t>
            </w:r>
          </w:p>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(N = 76)</w:t>
            </w:r>
          </w:p>
        </w:tc>
        <w:tc>
          <w:tcPr>
            <w:tcW w:w="1559" w:type="dxa"/>
          </w:tcPr>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Sham</w:t>
            </w:r>
          </w:p>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(N = 76)</w:t>
            </w:r>
          </w:p>
        </w:tc>
        <w:tc>
          <w:tcPr>
            <w:tcW w:w="1559" w:type="dxa"/>
          </w:tcPr>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Total</w:t>
            </w:r>
          </w:p>
          <w:p w:rsidR="00774227" w:rsidRPr="00E43137" w:rsidRDefault="00774227" w:rsidP="00E52119">
            <w:pPr>
              <w:cnfStyle w:val="100000000000" w:firstRow="1" w:lastRow="0" w:firstColumn="0" w:lastColumn="0" w:oddVBand="0" w:evenVBand="0" w:oddHBand="0" w:evenHBand="0" w:firstRowFirstColumn="0" w:firstRowLastColumn="0" w:lastRowFirstColumn="0" w:lastRowLastColumn="0"/>
            </w:pPr>
            <w:r w:rsidRPr="00E43137">
              <w:t>(N = 229)</w:t>
            </w:r>
          </w:p>
        </w:tc>
      </w:tr>
      <w:tr w:rsidR="00774227" w:rsidRPr="00647B5E" w:rsidTr="00774227">
        <w:tc>
          <w:tcPr>
            <w:cnfStyle w:val="001000000000" w:firstRow="0" w:lastRow="0" w:firstColumn="1" w:lastColumn="0" w:oddVBand="0" w:evenVBand="0" w:oddHBand="0" w:evenHBand="0" w:firstRowFirstColumn="0" w:firstRowLastColumn="0" w:lastRowFirstColumn="0" w:lastRowLastColumn="0"/>
            <w:tcW w:w="2802" w:type="dxa"/>
          </w:tcPr>
          <w:p w:rsidR="00774227" w:rsidRPr="00E43137" w:rsidRDefault="00774227" w:rsidP="00E52119">
            <w:r w:rsidRPr="00E43137">
              <w:t>Overall (ophthalmic)</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31 (40.3%)</w:t>
            </w:r>
          </w:p>
        </w:tc>
        <w:tc>
          <w:tcPr>
            <w:tcW w:w="1701"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33 (43.4%)</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36 (47.4%)</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100 (43.7%)</w:t>
            </w:r>
          </w:p>
        </w:tc>
      </w:tr>
      <w:tr w:rsidR="00774227" w:rsidRPr="00647B5E" w:rsidTr="00774227">
        <w:tc>
          <w:tcPr>
            <w:cnfStyle w:val="001000000000" w:firstRow="0" w:lastRow="0" w:firstColumn="1" w:lastColumn="0" w:oddVBand="0" w:evenVBand="0" w:oddHBand="0" w:evenHBand="0" w:firstRowFirstColumn="0" w:firstRowLastColumn="0" w:lastRowFirstColumn="0" w:lastRowLastColumn="0"/>
            <w:tcW w:w="2802" w:type="dxa"/>
          </w:tcPr>
          <w:p w:rsidR="00774227" w:rsidRPr="00E43137" w:rsidRDefault="00774227" w:rsidP="00E52119">
            <w:r w:rsidRPr="00E43137">
              <w:t>Ophthalmic corticosteroids</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24 (31.2%)</w:t>
            </w:r>
          </w:p>
        </w:tc>
        <w:tc>
          <w:tcPr>
            <w:tcW w:w="1701"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26 (34.2%)</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30 (39.5%)</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80 (34.9%)</w:t>
            </w:r>
          </w:p>
        </w:tc>
      </w:tr>
      <w:tr w:rsidR="00774227" w:rsidRPr="00647B5E" w:rsidTr="00774227">
        <w:tc>
          <w:tcPr>
            <w:cnfStyle w:val="001000000000" w:firstRow="0" w:lastRow="0" w:firstColumn="1" w:lastColumn="0" w:oddVBand="0" w:evenVBand="0" w:oddHBand="0" w:evenHBand="0" w:firstRowFirstColumn="0" w:firstRowLastColumn="0" w:lastRowFirstColumn="0" w:lastRowLastColumn="0"/>
            <w:tcW w:w="2802" w:type="dxa"/>
          </w:tcPr>
          <w:p w:rsidR="00774227" w:rsidRPr="00E43137" w:rsidRDefault="00774227" w:rsidP="00E52119">
            <w:r w:rsidRPr="00E43137">
              <w:t>Ophthalmic NSAIDs</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2 (2.6%)</w:t>
            </w:r>
          </w:p>
        </w:tc>
        <w:tc>
          <w:tcPr>
            <w:tcW w:w="1701"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7 (9.2%)</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5 (6.6%)</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14 (6.1%)</w:t>
            </w:r>
          </w:p>
        </w:tc>
      </w:tr>
      <w:tr w:rsidR="00774227" w:rsidRPr="00647B5E" w:rsidTr="00774227">
        <w:tc>
          <w:tcPr>
            <w:cnfStyle w:val="001000000000" w:firstRow="0" w:lastRow="0" w:firstColumn="1" w:lastColumn="0" w:oddVBand="0" w:evenVBand="0" w:oddHBand="0" w:evenHBand="0" w:firstRowFirstColumn="0" w:firstRowLastColumn="0" w:lastRowFirstColumn="0" w:lastRowLastColumn="0"/>
            <w:tcW w:w="2802" w:type="dxa"/>
          </w:tcPr>
          <w:p w:rsidR="00774227" w:rsidRPr="00E43137" w:rsidRDefault="00774227" w:rsidP="00E52119">
            <w:r w:rsidRPr="00E43137">
              <w:t>Ophthalmic anti-cholinergics</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6 (7.8%)</w:t>
            </w:r>
          </w:p>
        </w:tc>
        <w:tc>
          <w:tcPr>
            <w:tcW w:w="1701"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5 (6.6%)</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8 (10.5%)</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19 (8.3%)</w:t>
            </w:r>
          </w:p>
        </w:tc>
      </w:tr>
      <w:tr w:rsidR="00774227" w:rsidRPr="00647B5E" w:rsidTr="00774227">
        <w:tc>
          <w:tcPr>
            <w:cnfStyle w:val="001000000000" w:firstRow="0" w:lastRow="0" w:firstColumn="1" w:lastColumn="0" w:oddVBand="0" w:evenVBand="0" w:oddHBand="0" w:evenHBand="0" w:firstRowFirstColumn="0" w:firstRowLastColumn="0" w:lastRowFirstColumn="0" w:lastRowLastColumn="0"/>
            <w:tcW w:w="2802" w:type="dxa"/>
          </w:tcPr>
          <w:p w:rsidR="00774227" w:rsidRPr="00E43137" w:rsidRDefault="00774227" w:rsidP="00E52119">
            <w:r w:rsidRPr="00E43137">
              <w:t>Corticosteroids (systemic)</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12 (15.6%)</w:t>
            </w:r>
          </w:p>
        </w:tc>
        <w:tc>
          <w:tcPr>
            <w:tcW w:w="1701"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12 (15.8%)</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10 (13.2%)</w:t>
            </w:r>
          </w:p>
        </w:tc>
        <w:tc>
          <w:tcPr>
            <w:tcW w:w="1559" w:type="dxa"/>
          </w:tcPr>
          <w:p w:rsidR="00774227" w:rsidRPr="00E43137" w:rsidRDefault="00774227" w:rsidP="00E52119">
            <w:pPr>
              <w:cnfStyle w:val="000000000000" w:firstRow="0" w:lastRow="0" w:firstColumn="0" w:lastColumn="0" w:oddVBand="0" w:evenVBand="0" w:oddHBand="0" w:evenHBand="0" w:firstRowFirstColumn="0" w:firstRowLastColumn="0" w:lastRowFirstColumn="0" w:lastRowLastColumn="0"/>
            </w:pPr>
            <w:r w:rsidRPr="00E43137">
              <w:t>34 (14.8%)</w:t>
            </w:r>
          </w:p>
        </w:tc>
      </w:tr>
    </w:tbl>
    <w:p w:rsidR="00774227" w:rsidRDefault="00774227" w:rsidP="00774227">
      <w:pPr>
        <w:pStyle w:val="Heading6"/>
      </w:pPr>
      <w:r>
        <w:t>Use of concomitant and escape medications</w:t>
      </w:r>
    </w:p>
    <w:p w:rsidR="00774227" w:rsidRDefault="00774227" w:rsidP="00774227">
      <w:r>
        <w:t>Over 90% of patients received concomitant medications during the trial. The most frequently reported (&gt; 10% in any treatment group) of drug classes were PPIs, H</w:t>
      </w:r>
      <w:r w:rsidRPr="00647B5E">
        <w:rPr>
          <w:vertAlign w:val="subscript"/>
        </w:rPr>
        <w:t>2</w:t>
      </w:r>
      <w:r>
        <w:t>receptor antagonists, calcium and FDCs, statins,  glucocorticoids for systemic use, immunosuppressants (such as methotrexate), NSAIDs, paracetamol, ophthalmic corticosteroids, ophthalmic anticholinergics, ophthalmic beta blocking agents, ophthalmic NSAIDs, other ophthalmologicals (such as ciclosporin), other ophthalmic anti-infectives and ophthalmic carbonic anhydrase inhibitors (namely, acetazolamide).</w:t>
      </w:r>
    </w:p>
    <w:p w:rsidR="00774227" w:rsidRDefault="00774227" w:rsidP="00774227">
      <w:r>
        <w:t xml:space="preserve">Rates of concomitant ocular medication use were similar among and between the 3 treatment groups at 81.8%, 77.6% and 82.9% for DEX 700, DEX 350 and Sham-treatment groups respectively. The most frequently reported (&gt; 10% in any treatment group) drug classes were glucocorticoids for systemic use ophthalmic corticosteroids, ophthalmic anticholinergics ophthalmic beta blocking agents ophthalmic anti-inflammatory agents non-, other ophthalmologicals ophthalmic carbonic anhydrase inhibitors), and other ophthalmic anti-infectives </w:t>
      </w:r>
    </w:p>
    <w:p w:rsidR="00774227" w:rsidRPr="00803657" w:rsidRDefault="00774227" w:rsidP="00774227">
      <w:r>
        <w:t>There were no notable differences among the treatment groups for the reported drug classes of the concomitant medications used to treat the study eye with the following exceptions (all rates for DEX 700, DEX 350 and Sham respectively): Systemic glucocorticoids, 31.2% (24/77), 22.4% (17/76), 31.6% (24/76); ophthalmic corticosteroids, plain: 50.6% (39/77), 50.0% (38/76), 65.8% (50/76); ophthalmic beta-</w:t>
      </w:r>
      <w:r>
        <w:lastRenderedPageBreak/>
        <w:t>blocking agents: 27.3% (21/77), 21.1% (16/76), 6.6% (5/76); ophthalmic anti-inflammatory agents, non-steroidal: 7.8% (6/77), 15.8% (12/76), 21.1% (16/76); other ophthalmic anti-infectives: 3.9% (3/77), 7.9% (6/76), 13.2% (10/76).</w:t>
      </w:r>
    </w:p>
    <w:p w:rsidR="00774227" w:rsidRPr="00B20F6A" w:rsidRDefault="00774227" w:rsidP="00A45E9B">
      <w:pPr>
        <w:pStyle w:val="Heading5"/>
      </w:pPr>
      <w:r w:rsidRPr="00B20F6A">
        <w:t>Results for the primary efficacy outcome</w:t>
      </w:r>
    </w:p>
    <w:p w:rsidR="00774227" w:rsidRDefault="00774227" w:rsidP="00774227">
      <w:pPr>
        <w:pStyle w:val="Heading6"/>
      </w:pPr>
      <w:r>
        <w:t>Vitreous haze score of zero</w:t>
      </w:r>
    </w:p>
    <w:p w:rsidR="00774227" w:rsidRDefault="00774227" w:rsidP="00774227">
      <w:r>
        <w:t xml:space="preserve">The results for the primary efficacy endpoint (proportion of patients with a vitreous haze score at the Week 8 visit) were 46.8%, 35.5% and 11.7% of DEX 700, DEX 350 and Sham groups respectively. The comparison of DEX 700 versus Sham found a difference of 34.9% (CI95% 21.6% to </w:t>
      </w:r>
      <w:r w:rsidRPr="00161C0C">
        <w:t>48.2%</w:t>
      </w:r>
      <w:r>
        <w:t>; p &lt; 0.001). The results for the primary efficacy outcome across study visits are summarised below.</w:t>
      </w:r>
    </w:p>
    <w:p w:rsidR="00774227" w:rsidRDefault="00774227" w:rsidP="00774227">
      <w:r w:rsidRPr="00117922">
        <w:t>Response rates were consistently higher with DEX 700 compared to Sham, with the treatment effect apparent and significant from the Week 6 visit, peaking at Week 8, and persisting throughout the 26-week study. At the final visit, the response rate with DEX 700 remained twice as high as that with Sham. Similar results were observed in the per protocol population. The percent of patients with vitreous haze score of 0 was significantly higher with DEX 700 compared to Sham at Weeks 6, 8, and 12 (p &lt; 0.001) and Weeks 20 (p = 0.036) but not Weeks 16 or 26. Note missing values (LOCF) were not imputed in this analysis.</w:t>
      </w:r>
    </w:p>
    <w:p w:rsidR="00774227" w:rsidRDefault="00774227" w:rsidP="004E2C51">
      <w:pPr>
        <w:pStyle w:val="Tabletitle"/>
        <w:numPr>
          <w:ilvl w:val="0"/>
          <w:numId w:val="21"/>
        </w:numPr>
        <w:spacing w:after="120" w:line="240" w:lineRule="auto"/>
        <w:ind w:left="1134" w:hanging="1134"/>
      </w:pPr>
      <w:bookmarkStart w:id="133" w:name="_Toc462652674"/>
      <w:r>
        <w:t xml:space="preserve">Proportion </w:t>
      </w:r>
      <w:r w:rsidRPr="001574E3">
        <w:t>of patients achieving a vitreous haze score of zero (Study 014)</w:t>
      </w:r>
      <w:bookmarkEnd w:id="133"/>
    </w:p>
    <w:p w:rsidR="00774227" w:rsidRDefault="00774227" w:rsidP="00774227">
      <w:r>
        <w:rPr>
          <w:noProof/>
          <w:lang w:eastAsia="en-AU"/>
        </w:rPr>
        <w:drawing>
          <wp:inline distT="0" distB="0" distL="0" distR="0" wp14:anchorId="7FFEA78F" wp14:editId="676F224A">
            <wp:extent cx="4143421" cy="2846832"/>
            <wp:effectExtent l="0" t="0" r="0" b="0"/>
            <wp:docPr id="81" name="Picture 81" descr="Proportion of patients achieving a vitreous haze score of zero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59166" cy="2857650"/>
                    </a:xfrm>
                    <a:prstGeom prst="rect">
                      <a:avLst/>
                    </a:prstGeom>
                  </pic:spPr>
                </pic:pic>
              </a:graphicData>
            </a:graphic>
          </wp:inline>
        </w:drawing>
      </w:r>
    </w:p>
    <w:p w:rsidR="00774227" w:rsidRDefault="00774227" w:rsidP="00A45E9B">
      <w:pPr>
        <w:pStyle w:val="Heading5"/>
        <w:rPr>
          <w:lang w:eastAsia="ja-JP"/>
        </w:rPr>
      </w:pPr>
      <w:r>
        <w:rPr>
          <w:lang w:eastAsia="ja-JP"/>
        </w:rPr>
        <w:t>Results for other analyses of the primary efficacy outcome</w:t>
      </w:r>
    </w:p>
    <w:p w:rsidR="00774227" w:rsidRDefault="00774227" w:rsidP="00774227">
      <w:pPr>
        <w:pStyle w:val="Heading6"/>
      </w:pPr>
      <w:r>
        <w:t>Proportion of patients with a 1-unit or more improvement in vitreous haze score</w:t>
      </w:r>
    </w:p>
    <w:p w:rsidR="00774227" w:rsidRDefault="00774227" w:rsidP="00774227">
      <w:r>
        <w:t xml:space="preserve">At the primary time point (Week 8) 95% of DEX 700 compared with 46.1% with Sham had ≥ 1-unit improvement (difference: 50.1% (CI95% 37.8% to </w:t>
      </w:r>
      <w:r w:rsidRPr="002C49B5">
        <w:t>62.3%</w:t>
      </w:r>
      <w:r>
        <w:t>; p &lt; 0.001)) representing a &gt; 2-fold higher response rate with DEX 700 compared to Sham. Results are summarised below. At visits before and after Week 8, the proportion with ≥ 1-unit improvement was significantly higher (p &lt; 0.001) with DEX 700 compared to Sham throughout the 26-week study period.</w:t>
      </w:r>
    </w:p>
    <w:p w:rsidR="00774227" w:rsidRDefault="00774227" w:rsidP="004E2C51">
      <w:pPr>
        <w:pStyle w:val="Tabletitle"/>
        <w:numPr>
          <w:ilvl w:val="0"/>
          <w:numId w:val="21"/>
        </w:numPr>
        <w:spacing w:after="120" w:line="240" w:lineRule="auto"/>
        <w:ind w:left="1134" w:hanging="1134"/>
      </w:pPr>
      <w:bookmarkStart w:id="134" w:name="_Toc462652675"/>
      <w:r w:rsidRPr="009D06F3">
        <w:lastRenderedPageBreak/>
        <w:t xml:space="preserve">Proportion with </w:t>
      </w:r>
      <w:r>
        <w:t>≥</w:t>
      </w:r>
      <w:r w:rsidRPr="009D06F3">
        <w:t xml:space="preserve"> 1-unit improvement in vitreous haze score (Study</w:t>
      </w:r>
      <w:r>
        <w:t xml:space="preserve"> 014</w:t>
      </w:r>
      <w:r w:rsidRPr="009D06F3">
        <w:t>)</w:t>
      </w:r>
      <w:bookmarkEnd w:id="134"/>
    </w:p>
    <w:p w:rsidR="00774227" w:rsidRDefault="00774227" w:rsidP="00774227">
      <w:r>
        <w:rPr>
          <w:noProof/>
          <w:lang w:eastAsia="en-AU"/>
        </w:rPr>
        <w:drawing>
          <wp:inline distT="0" distB="0" distL="0" distR="0" wp14:anchorId="2D836F23" wp14:editId="264B6E07">
            <wp:extent cx="4096512" cy="2805848"/>
            <wp:effectExtent l="0" t="0" r="0" b="0"/>
            <wp:docPr id="83" name="Picture 83" descr="Proportion with ≥ 1-unit improvement in vitreous haze score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04167" cy="2811091"/>
                    </a:xfrm>
                    <a:prstGeom prst="rect">
                      <a:avLst/>
                    </a:prstGeom>
                  </pic:spPr>
                </pic:pic>
              </a:graphicData>
            </a:graphic>
          </wp:inline>
        </w:drawing>
      </w:r>
    </w:p>
    <w:p w:rsidR="00774227" w:rsidRDefault="00774227" w:rsidP="00774227">
      <w:pPr>
        <w:pStyle w:val="Heading6"/>
      </w:pPr>
      <w:r>
        <w:t>Proportion of patients with a 2-unit or more improvement in vitreous haze scores</w:t>
      </w:r>
    </w:p>
    <w:p w:rsidR="00774227" w:rsidRDefault="00774227" w:rsidP="00774227">
      <w:r>
        <w:t>Proportions with ≥ 2-unit improvement were significantly higher with DEX 700 versus Sham at every study visit and significant at Week 3 (p = 0.023) and at Weeks 6 to 26 (p ≤ 0.002). Response rates were between 2 and 4 times higher with DEX 700 versus Sham.</w:t>
      </w:r>
    </w:p>
    <w:p w:rsidR="00774227" w:rsidRDefault="00774227" w:rsidP="004E2C51">
      <w:pPr>
        <w:pStyle w:val="Tabletitle"/>
        <w:numPr>
          <w:ilvl w:val="0"/>
          <w:numId w:val="21"/>
        </w:numPr>
        <w:spacing w:after="120" w:line="240" w:lineRule="auto"/>
        <w:ind w:left="1134" w:hanging="1134"/>
      </w:pPr>
      <w:bookmarkStart w:id="135" w:name="_Toc462652676"/>
      <w:r w:rsidRPr="0084561F">
        <w:t>Proportion</w:t>
      </w:r>
      <w:r>
        <w:t>s</w:t>
      </w:r>
      <w:r w:rsidRPr="0084561F">
        <w:t xml:space="preserve"> </w:t>
      </w:r>
      <w:r>
        <w:t>with ≥</w:t>
      </w:r>
      <w:r w:rsidRPr="0084561F">
        <w:t xml:space="preserve"> </w:t>
      </w:r>
      <w:r>
        <w:t>2</w:t>
      </w:r>
      <w:r w:rsidRPr="0084561F">
        <w:t xml:space="preserve">-unit improvement in vitreous haze score (Study </w:t>
      </w:r>
      <w:r>
        <w:t>014</w:t>
      </w:r>
      <w:r w:rsidRPr="0084561F">
        <w:t>)</w:t>
      </w:r>
      <w:bookmarkEnd w:id="135"/>
    </w:p>
    <w:tbl>
      <w:tblPr>
        <w:tblStyle w:val="TableTGAblue"/>
        <w:tblW w:w="0" w:type="auto"/>
        <w:tblLook w:val="04A0" w:firstRow="1" w:lastRow="0" w:firstColumn="1" w:lastColumn="0" w:noHBand="0" w:noVBand="1"/>
        <w:tblDescription w:val="Proportions with ≥ 2-unit improvement in vitreous haze score (Study 014)"/>
      </w:tblPr>
      <w:tblGrid>
        <w:gridCol w:w="1384"/>
        <w:gridCol w:w="1418"/>
        <w:gridCol w:w="1134"/>
        <w:gridCol w:w="1612"/>
        <w:gridCol w:w="1364"/>
      </w:tblGrid>
      <w:tr w:rsidR="00774227" w:rsidTr="00E52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r w:rsidRPr="008D2DB8">
              <w:t>Visit</w:t>
            </w:r>
          </w:p>
        </w:tc>
        <w:tc>
          <w:tcPr>
            <w:tcW w:w="1418" w:type="dxa"/>
          </w:tcPr>
          <w:p w:rsidR="00774227" w:rsidRPr="008D2DB8" w:rsidRDefault="00774227" w:rsidP="00E52119">
            <w:pPr>
              <w:cnfStyle w:val="100000000000" w:firstRow="1" w:lastRow="0" w:firstColumn="0" w:lastColumn="0" w:oddVBand="0" w:evenVBand="0" w:oddHBand="0" w:evenHBand="0" w:firstRowFirstColumn="0" w:firstRowLastColumn="0" w:lastRowFirstColumn="0" w:lastRowLastColumn="0"/>
            </w:pPr>
            <w:r w:rsidRPr="008D2DB8">
              <w:t>DEX 700</w:t>
            </w:r>
          </w:p>
        </w:tc>
        <w:tc>
          <w:tcPr>
            <w:tcW w:w="1134" w:type="dxa"/>
          </w:tcPr>
          <w:p w:rsidR="00774227" w:rsidRPr="008D2DB8" w:rsidRDefault="00774227" w:rsidP="00E52119">
            <w:pPr>
              <w:cnfStyle w:val="100000000000" w:firstRow="1" w:lastRow="0" w:firstColumn="0" w:lastColumn="0" w:oddVBand="0" w:evenVBand="0" w:oddHBand="0" w:evenHBand="0" w:firstRowFirstColumn="0" w:firstRowLastColumn="0" w:lastRowFirstColumn="0" w:lastRowLastColumn="0"/>
            </w:pPr>
            <w:r w:rsidRPr="008D2DB8">
              <w:t>Sham</w:t>
            </w:r>
          </w:p>
        </w:tc>
        <w:tc>
          <w:tcPr>
            <w:tcW w:w="1612" w:type="dxa"/>
          </w:tcPr>
          <w:p w:rsidR="00774227" w:rsidRPr="008D2DB8" w:rsidRDefault="00774227" w:rsidP="00E52119">
            <w:pPr>
              <w:cnfStyle w:val="100000000000" w:firstRow="1" w:lastRow="0" w:firstColumn="0" w:lastColumn="0" w:oddVBand="0" w:evenVBand="0" w:oddHBand="0" w:evenHBand="0" w:firstRowFirstColumn="0" w:firstRowLastColumn="0" w:lastRowFirstColumn="0" w:lastRowLastColumn="0"/>
            </w:pPr>
            <w:r w:rsidRPr="008D2DB8">
              <w:t>Difference</w:t>
            </w:r>
          </w:p>
        </w:tc>
        <w:tc>
          <w:tcPr>
            <w:tcW w:w="1364" w:type="dxa"/>
          </w:tcPr>
          <w:p w:rsidR="00774227" w:rsidRPr="008D2DB8" w:rsidRDefault="00774227" w:rsidP="00E52119">
            <w:pPr>
              <w:cnfStyle w:val="100000000000" w:firstRow="1" w:lastRow="0" w:firstColumn="0" w:lastColumn="0" w:oddVBand="0" w:evenVBand="0" w:oddHBand="0" w:evenHBand="0" w:firstRowFirstColumn="0" w:firstRowLastColumn="0" w:lastRowFirstColumn="0" w:lastRowLastColumn="0"/>
            </w:pPr>
            <w:r w:rsidRPr="008D2DB8">
              <w:t>P-value</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3</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20.8%</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7.9%</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12.9%</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0.023</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6</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40.3%</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11.8%</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28.4%</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&lt; 0.001</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8</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44.2%</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11.8%</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32.3%</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&lt; 0.001</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12</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41.6%</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13.2%</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28.4%</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&lt; 0.001</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16</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40.3%</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17.1%</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23.2%</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0.002</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20</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41.6%</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14.5%</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27.1%</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&lt;0.001</w:t>
            </w:r>
          </w:p>
        </w:tc>
      </w:tr>
      <w:tr w:rsidR="00774227" w:rsidTr="00E52119">
        <w:tc>
          <w:tcPr>
            <w:cnfStyle w:val="001000000000" w:firstRow="0" w:lastRow="0" w:firstColumn="1" w:lastColumn="0" w:oddVBand="0" w:evenVBand="0" w:oddHBand="0" w:evenHBand="0" w:firstRowFirstColumn="0" w:firstRowLastColumn="0" w:lastRowFirstColumn="0" w:lastRowLastColumn="0"/>
            <w:tcW w:w="1384" w:type="dxa"/>
          </w:tcPr>
          <w:p w:rsidR="00774227" w:rsidRPr="008D2DB8" w:rsidRDefault="00774227" w:rsidP="00E52119">
            <w:pPr>
              <w:rPr>
                <w:sz w:val="18"/>
              </w:rPr>
            </w:pPr>
            <w:r w:rsidRPr="008D2DB8">
              <w:rPr>
                <w:sz w:val="18"/>
              </w:rPr>
              <w:t>Week 26</w:t>
            </w:r>
          </w:p>
        </w:tc>
        <w:tc>
          <w:tcPr>
            <w:tcW w:w="1418"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33.8%</w:t>
            </w:r>
          </w:p>
        </w:tc>
        <w:tc>
          <w:tcPr>
            <w:tcW w:w="113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11.8%</w:t>
            </w:r>
          </w:p>
        </w:tc>
        <w:tc>
          <w:tcPr>
            <w:tcW w:w="1612"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21.9%</w:t>
            </w:r>
          </w:p>
        </w:tc>
        <w:tc>
          <w:tcPr>
            <w:tcW w:w="1364" w:type="dxa"/>
          </w:tcPr>
          <w:p w:rsidR="00774227" w:rsidRPr="008D2DB8" w:rsidRDefault="00774227" w:rsidP="00E52119">
            <w:pPr>
              <w:cnfStyle w:val="000000000000" w:firstRow="0" w:lastRow="0" w:firstColumn="0" w:lastColumn="0" w:oddVBand="0" w:evenVBand="0" w:oddHBand="0" w:evenHBand="0" w:firstRowFirstColumn="0" w:firstRowLastColumn="0" w:lastRowFirstColumn="0" w:lastRowLastColumn="0"/>
              <w:rPr>
                <w:sz w:val="18"/>
              </w:rPr>
            </w:pPr>
            <w:r w:rsidRPr="008D2DB8">
              <w:rPr>
                <w:sz w:val="18"/>
              </w:rPr>
              <w:t>0.001</w:t>
            </w:r>
          </w:p>
        </w:tc>
      </w:tr>
    </w:tbl>
    <w:p w:rsidR="00774227" w:rsidRDefault="00774227" w:rsidP="00774227">
      <w:r>
        <w:t>As is summarized</w:t>
      </w:r>
      <w:r w:rsidRPr="002F6401">
        <w:t xml:space="preserve"> in</w:t>
      </w:r>
      <w:r w:rsidR="00B94CC2">
        <w:t xml:space="preserve"> the table</w:t>
      </w:r>
      <w:r>
        <w:t xml:space="preserve"> above, </w:t>
      </w:r>
      <w:r w:rsidRPr="002F6401">
        <w:t>treatment with DEX</w:t>
      </w:r>
      <w:r>
        <w:t xml:space="preserve"> 700</w:t>
      </w:r>
      <w:r w:rsidRPr="002F6401">
        <w:t xml:space="preserve"> demonstrated similar efficacy regardless of the Baseline vitreous haze severity</w:t>
      </w:r>
      <w:r>
        <w:t xml:space="preserve"> although none of the comparisons for the Baseline score of +3/+4 were significant due to the small population size in the latter category</w:t>
      </w:r>
      <w:r w:rsidRPr="002F6401">
        <w:t xml:space="preserve">. </w:t>
      </w:r>
      <w:r>
        <w:t>The overall trend and magnitude of response was</w:t>
      </w:r>
      <w:r w:rsidRPr="002F6401">
        <w:t xml:space="preserve"> similar</w:t>
      </w:r>
      <w:r>
        <w:t xml:space="preserve"> with DEX 700 resulting in similar or greater improvement compared to the +1.5/+2.0 category</w:t>
      </w:r>
      <w:r w:rsidRPr="002F6401">
        <w:t xml:space="preserve"> at most study visits,</w:t>
      </w:r>
      <w:r>
        <w:t xml:space="preserve"> except at Week 26.</w:t>
      </w:r>
    </w:p>
    <w:p w:rsidR="00774227" w:rsidRDefault="00774227" w:rsidP="00774227">
      <w:pPr>
        <w:pStyle w:val="Heading6"/>
      </w:pPr>
      <w:r w:rsidRPr="003818BD">
        <w:t>Vitreous haze score of zero</w:t>
      </w:r>
      <w:r>
        <w:t xml:space="preserve"> by </w:t>
      </w:r>
      <w:r w:rsidR="00E52119">
        <w:t>b</w:t>
      </w:r>
      <w:r>
        <w:t>aseline demographic subgroups</w:t>
      </w:r>
    </w:p>
    <w:p w:rsidR="00774227" w:rsidRDefault="00774227" w:rsidP="00774227">
      <w:r w:rsidRPr="00613D3F">
        <w:t xml:space="preserve">Overall, treatment with DEX demonstrated the same or similar efficacy for patients aged &lt; 45 years and 45 to 65 years. </w:t>
      </w:r>
      <w:r>
        <w:t xml:space="preserve">Although the population size for the &gt; 65 year subgroup was </w:t>
      </w:r>
      <w:r>
        <w:lastRenderedPageBreak/>
        <w:t>too small to record differences of any significance, patterns of change were generally comparable to the other age groups.</w:t>
      </w:r>
    </w:p>
    <w:p w:rsidR="00774227" w:rsidRDefault="00774227" w:rsidP="004E2C51">
      <w:pPr>
        <w:pStyle w:val="Tabletitle"/>
        <w:numPr>
          <w:ilvl w:val="0"/>
          <w:numId w:val="21"/>
        </w:numPr>
        <w:spacing w:after="120" w:line="240" w:lineRule="auto"/>
        <w:ind w:left="1134" w:hanging="1134"/>
      </w:pPr>
      <w:bookmarkStart w:id="136" w:name="_Toc462652677"/>
      <w:r>
        <w:t>Vitreous haze score of zero by gender (Study 014)</w:t>
      </w:r>
      <w:bookmarkEnd w:id="136"/>
    </w:p>
    <w:p w:rsidR="00774227" w:rsidRDefault="00774227" w:rsidP="00774227">
      <w:r>
        <w:rPr>
          <w:noProof/>
          <w:lang w:eastAsia="en-AU"/>
        </w:rPr>
        <w:drawing>
          <wp:inline distT="0" distB="0" distL="0" distR="0" wp14:anchorId="36C8D3FE" wp14:editId="51797BC2">
            <wp:extent cx="3457076" cy="1883664"/>
            <wp:effectExtent l="0" t="0" r="0" b="2540"/>
            <wp:docPr id="17" name="Picture 17" descr="Vitreous haze score of zero by gender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64200" cy="1887546"/>
                    </a:xfrm>
                    <a:prstGeom prst="rect">
                      <a:avLst/>
                    </a:prstGeom>
                  </pic:spPr>
                </pic:pic>
              </a:graphicData>
            </a:graphic>
          </wp:inline>
        </w:drawing>
      </w:r>
    </w:p>
    <w:p w:rsidR="00774227" w:rsidRDefault="00774227" w:rsidP="00774227">
      <w:r>
        <w:t>The proportion of patients whose baseline vitreous haze score decreased to zero is summarised by sex in</w:t>
      </w:r>
      <w:r w:rsidR="00B94CC2">
        <w:t xml:space="preserve"> the table </w:t>
      </w:r>
      <w:r>
        <w:t>above. Comparing the difference between DEX 700 and Sham at Week 8, the difference in response rate was almost double in male patients (50.1% versus 25.4%) compared with female patients, with a 2.4 X difference at Week 12 (50.8% versus 21.5%) and 2.9 X difference at Week 16. This was in part due to lower response rates amongst female patients (DEX 700) but also due to higher rates of spontaneous improvement in the Sham group. The size of the female subgroup (145/229) was also larger than the male subgroup (84/228). Nevertheless, the results for both groups were significant and followed a similar pattern of response and a numerical benefit was clear for both male and female patients at every visit with comparison of response rates reaching significance at Weeks 6, 8, 12, 16 and 26 for males and Weeks 6, 8 and 12 for females.</w:t>
      </w:r>
    </w:p>
    <w:p w:rsidR="00774227" w:rsidRDefault="00774227" w:rsidP="00774227">
      <w:r>
        <w:t>Treatment with DEX demonstrated the same or similar efficacy regardless of race. The results from the analysis of the 2 subgroups (Caucasian, non-Caucasian) and the overall population were similar in that treatment with DEX compared to Sham resulted in the same or similar many-fold improvements at most study visits.</w:t>
      </w:r>
    </w:p>
    <w:p w:rsidR="00774227" w:rsidRDefault="00774227" w:rsidP="00774227">
      <w:pPr>
        <w:pStyle w:val="Heading6"/>
      </w:pPr>
      <w:r>
        <w:t xml:space="preserve">Deterioration from </w:t>
      </w:r>
      <w:r w:rsidR="00E52119">
        <w:t>b</w:t>
      </w:r>
      <w:r>
        <w:t>aseline in vitreous haze scores</w:t>
      </w:r>
    </w:p>
    <w:p w:rsidR="00774227" w:rsidRDefault="00774227" w:rsidP="00774227">
      <w:r>
        <w:t xml:space="preserve">At each visit, the proportion of patients with ≥ 1-unit deterioration (increased severity score) from Baseline vitreous haze score was less in the DEX treatment groups than with Sham. This difference was statistically significant for DEX 700 compared to Sham  at Weeks 3, 6, 8 and 26 (p ≤ 0.028).  At any visit, 0 to 1 patient for DEX 700, 0 to 4 patients for DEX 350, and 5 to 6 patients for Sham had at least 1-unit deterioration from Baseline. There were no patients in any treatment group with </w:t>
      </w:r>
      <w:proofErr w:type="gramStart"/>
      <w:r>
        <w:t>a 2</w:t>
      </w:r>
      <w:proofErr w:type="gramEnd"/>
      <w:r>
        <w:t>-unit deterioration from Baseline vitreous haze score at any visit aside from 1 patient who received DEX 700. The patient with 2-unit deterioration had a Baseline vitreous haze score of 2 that deteriorated to a score of 4 at Weeks 12 and 20.At week 26, the patient’s vitreous haze score was 1.5.</w:t>
      </w:r>
    </w:p>
    <w:p w:rsidR="00774227" w:rsidRDefault="00774227" w:rsidP="00774227">
      <w:pPr>
        <w:pStyle w:val="Heading6"/>
      </w:pPr>
      <w:r>
        <w:lastRenderedPageBreak/>
        <w:t xml:space="preserve">Change from </w:t>
      </w:r>
      <w:r w:rsidR="00E52119">
        <w:t>b</w:t>
      </w:r>
      <w:r>
        <w:t>aseline vitreous haze score</w:t>
      </w:r>
    </w:p>
    <w:p w:rsidR="00E52119" w:rsidRDefault="00774227" w:rsidP="004E2C51">
      <w:pPr>
        <w:pStyle w:val="Tabletitle"/>
        <w:numPr>
          <w:ilvl w:val="0"/>
          <w:numId w:val="21"/>
        </w:numPr>
        <w:spacing w:after="120" w:line="240" w:lineRule="auto"/>
        <w:ind w:left="1134" w:hanging="1134"/>
      </w:pPr>
      <w:bookmarkStart w:id="137" w:name="_Toc462652678"/>
      <w:r w:rsidRPr="00113ED8">
        <w:t>Mean vitreous haze raw sc</w:t>
      </w:r>
      <w:r>
        <w:t>ore (Study 014)</w:t>
      </w:r>
    </w:p>
    <w:p w:rsidR="00774227" w:rsidRPr="00F80DB3" w:rsidRDefault="00774227" w:rsidP="00E52119">
      <w:r w:rsidRPr="00F80DB3">
        <w:rPr>
          <w:noProof/>
          <w:lang w:eastAsia="en-AU"/>
        </w:rPr>
        <w:drawing>
          <wp:inline distT="0" distB="0" distL="0" distR="0" wp14:anchorId="06C5B4BA" wp14:editId="69B30654">
            <wp:extent cx="3266710" cy="2468880"/>
            <wp:effectExtent l="0" t="0" r="0" b="7620"/>
            <wp:docPr id="86" name="Picture 86" descr="Mean vitreous haze raw score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274821" cy="2475010"/>
                    </a:xfrm>
                    <a:prstGeom prst="rect">
                      <a:avLst/>
                    </a:prstGeom>
                  </pic:spPr>
                </pic:pic>
              </a:graphicData>
            </a:graphic>
          </wp:inline>
        </w:drawing>
      </w:r>
      <w:bookmarkEnd w:id="137"/>
    </w:p>
    <w:p w:rsidR="00774227" w:rsidRDefault="00774227" w:rsidP="00774227">
      <w:r>
        <w:t xml:space="preserve">Patients treated with DEX 700 demonstrated a greater than 1-unit mean decrease from Baseline vitreous haze score throughout the study, from weeks 3 through 26. Mean decreases from Baseline score were numerically greater for DEX 700 (range 1.13 to 1.60) compared to DEX 350 (range 1.09 to 1.51) at each visit. </w:t>
      </w:r>
    </w:p>
    <w:p w:rsidR="00774227" w:rsidRPr="00B20F6A" w:rsidRDefault="00774227" w:rsidP="004C3275">
      <w:pPr>
        <w:keepNext/>
        <w:keepLines/>
        <w:numPr>
          <w:ilvl w:val="3"/>
          <w:numId w:val="5"/>
        </w:numPr>
        <w:tabs>
          <w:tab w:val="num" w:pos="360"/>
          <w:tab w:val="num" w:pos="3885"/>
        </w:tabs>
        <w:spacing w:line="220" w:lineRule="atLeast"/>
        <w:ind w:left="1304" w:hanging="1077"/>
        <w:outlineLvl w:val="4"/>
        <w:rPr>
          <w:rFonts w:eastAsia="Times New Roman"/>
          <w:b/>
          <w:bCs/>
          <w:i/>
          <w:szCs w:val="21"/>
        </w:rPr>
      </w:pPr>
      <w:r w:rsidRPr="00B20F6A">
        <w:rPr>
          <w:rFonts w:eastAsia="Times New Roman"/>
          <w:b/>
          <w:bCs/>
          <w:i/>
          <w:szCs w:val="21"/>
        </w:rPr>
        <w:t xml:space="preserve">Results for </w:t>
      </w:r>
      <w:r>
        <w:rPr>
          <w:rFonts w:eastAsia="Times New Roman"/>
          <w:b/>
          <w:bCs/>
          <w:i/>
          <w:szCs w:val="21"/>
        </w:rPr>
        <w:t>the secondary efficacy outcomes</w:t>
      </w:r>
    </w:p>
    <w:p w:rsidR="00774227" w:rsidRDefault="00774227" w:rsidP="00774227">
      <w:pPr>
        <w:pStyle w:val="Heading6"/>
      </w:pPr>
      <w:r>
        <w:t xml:space="preserve">BCVA improvement of 15 or more letters from </w:t>
      </w:r>
      <w:r w:rsidR="00E52119">
        <w:t>b</w:t>
      </w:r>
      <w:r>
        <w:t>aseline</w:t>
      </w:r>
    </w:p>
    <w:p w:rsidR="00774227" w:rsidRDefault="00774227" w:rsidP="00774227">
      <w:r>
        <w:t>The proportion of patients able to read ≥ 15 letters compared to Baseline was significantly greater at every visit (p &lt; 0.001) in the DEX 700 versus Sham group, with the treatment effect with DEX apparent at Week 3, and peaking at Week 8 with more than 6-fold the effect of Sham. Rates of improvement are summarised in</w:t>
      </w:r>
      <w:r w:rsidR="00B94CC2">
        <w:t xml:space="preserve"> the table </w:t>
      </w:r>
      <w:r>
        <w:t>below.</w:t>
      </w:r>
    </w:p>
    <w:p w:rsidR="00774227" w:rsidRDefault="00774227" w:rsidP="004E2C51">
      <w:pPr>
        <w:pStyle w:val="Tabletitle"/>
        <w:numPr>
          <w:ilvl w:val="0"/>
          <w:numId w:val="21"/>
        </w:numPr>
        <w:spacing w:after="120" w:line="240" w:lineRule="auto"/>
        <w:ind w:left="1134" w:hanging="1134"/>
      </w:pPr>
      <w:bookmarkStart w:id="138" w:name="_Toc462652679"/>
      <w:r w:rsidRPr="009A051C">
        <w:t>Proportion of patients with a BCVA improvement of ≥ 15 from Baseline</w:t>
      </w:r>
      <w:bookmarkEnd w:id="138"/>
    </w:p>
    <w:p w:rsidR="00774227" w:rsidRDefault="00774227" w:rsidP="00774227">
      <w:r>
        <w:rPr>
          <w:noProof/>
          <w:lang w:eastAsia="en-AU"/>
        </w:rPr>
        <w:drawing>
          <wp:inline distT="0" distB="0" distL="0" distR="0" wp14:anchorId="31DD6F61" wp14:editId="1706AE36">
            <wp:extent cx="3529584" cy="2419047"/>
            <wp:effectExtent l="0" t="0" r="0" b="635"/>
            <wp:docPr id="84" name="Picture 84" descr="Proportion of patients with a BCVA improvement of ≥ 15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31640" cy="2420456"/>
                    </a:xfrm>
                    <a:prstGeom prst="rect">
                      <a:avLst/>
                    </a:prstGeom>
                  </pic:spPr>
                </pic:pic>
              </a:graphicData>
            </a:graphic>
          </wp:inline>
        </w:drawing>
      </w:r>
    </w:p>
    <w:p w:rsidR="00774227" w:rsidRDefault="00774227" w:rsidP="00774227">
      <w:r>
        <w:t>Improvements persisted throughout the 26-week study, and at the final visit, the response with DEX 700 remained nearly 3 times that of Sham. Response rates were numerically superior with DEX 700 compa</w:t>
      </w:r>
      <w:r w:rsidR="00E52119">
        <w:t>red with DEX 350 at each visit.</w:t>
      </w:r>
    </w:p>
    <w:p w:rsidR="00774227" w:rsidRDefault="00774227" w:rsidP="00774227">
      <w:pPr>
        <w:pStyle w:val="Heading6"/>
      </w:pPr>
      <w:r>
        <w:lastRenderedPageBreak/>
        <w:t>Central macular thickness using OCT</w:t>
      </w:r>
    </w:p>
    <w:p w:rsidR="00774227" w:rsidRPr="00EE3C12" w:rsidRDefault="00774227" w:rsidP="00774227">
      <w:r w:rsidRPr="00EE3C12">
        <w:t xml:space="preserve">Central macular thickness using OCT was assessed at selected sites. At </w:t>
      </w:r>
      <w:r>
        <w:t>B</w:t>
      </w:r>
      <w:r w:rsidRPr="00EE3C12">
        <w:t>aseline, the mean</w:t>
      </w:r>
      <w:r>
        <w:t xml:space="preserve"> </w:t>
      </w:r>
      <w:r w:rsidRPr="00EE3C12">
        <w:t>thickness was 344.</w:t>
      </w:r>
      <w:r>
        <w:t xml:space="preserve">0 microns in the DEX 700 group </w:t>
      </w:r>
      <w:r w:rsidRPr="00EE3C12">
        <w:t xml:space="preserve">and </w:t>
      </w:r>
      <w:r>
        <w:t xml:space="preserve">324.6 microns in the Sham group. </w:t>
      </w:r>
      <w:r w:rsidRPr="00EE3C12">
        <w:t xml:space="preserve">At </w:t>
      </w:r>
      <w:r>
        <w:t>W</w:t>
      </w:r>
      <w:r w:rsidRPr="00EE3C12">
        <w:t>e</w:t>
      </w:r>
      <w:r>
        <w:t xml:space="preserve">ek 8, there was a significantly </w:t>
      </w:r>
      <w:r w:rsidRPr="00EE3C12">
        <w:t>greater mean decrease with DEX 700 (-99.4 microns) co</w:t>
      </w:r>
      <w:r>
        <w:t>mpared to Sham (-12.4 microns) (</w:t>
      </w:r>
      <w:r w:rsidRPr="00EE3C12">
        <w:t>p = 0.004</w:t>
      </w:r>
      <w:r>
        <w:t>)</w:t>
      </w:r>
      <w:r w:rsidRPr="00EE3C12">
        <w:t xml:space="preserve">. At </w:t>
      </w:r>
      <w:r>
        <w:t>W</w:t>
      </w:r>
      <w:r w:rsidRPr="00EE3C12">
        <w:t xml:space="preserve">eek </w:t>
      </w:r>
      <w:r>
        <w:t xml:space="preserve">26 however, there were no statistically </w:t>
      </w:r>
      <w:r w:rsidRPr="00EE3C12">
        <w:t>signif</w:t>
      </w:r>
      <w:r>
        <w:t>icant differences (DEX 700: -50.2 microns; Sham: -35.5 microns (p = 0.605)).</w:t>
      </w:r>
    </w:p>
    <w:p w:rsidR="00774227" w:rsidRDefault="00774227" w:rsidP="00774227">
      <w:pPr>
        <w:pStyle w:val="Heading6"/>
      </w:pPr>
      <w:r>
        <w:t>Escape medication use</w:t>
      </w:r>
    </w:p>
    <w:p w:rsidR="00774227" w:rsidRDefault="00774227" w:rsidP="00774227">
      <w:r>
        <w:t xml:space="preserve">Escape medications were defined as intravitreal or periocular injections of corticosteroids in the study eye or systemic medications (such as via the oral or intravenous route) taken for uveitis or ocular inflammation which were newly started or increased in dose from treatment Day 0. </w:t>
      </w:r>
      <w:r w:rsidRPr="00294400">
        <w:t xml:space="preserve">Throughout the study, use of escape medications was higher for patients receiving Sham than for those treated with DEX. As shown </w:t>
      </w:r>
      <w:r>
        <w:t>below</w:t>
      </w:r>
      <w:r w:rsidRPr="00294400">
        <w:t xml:space="preserve">, </w:t>
      </w:r>
    </w:p>
    <w:p w:rsidR="00774227" w:rsidRPr="00774227" w:rsidRDefault="00774227" w:rsidP="004E2C51">
      <w:pPr>
        <w:pStyle w:val="Tabletitle"/>
        <w:numPr>
          <w:ilvl w:val="0"/>
          <w:numId w:val="21"/>
        </w:numPr>
        <w:spacing w:after="120" w:line="240" w:lineRule="auto"/>
        <w:ind w:left="1134" w:hanging="1134"/>
      </w:pPr>
      <w:bookmarkStart w:id="139" w:name="_Toc462652680"/>
      <w:r w:rsidRPr="00774227">
        <w:t>Summary of escape medication use from Baseline to each visit (Study 014)</w:t>
      </w:r>
      <w:bookmarkEnd w:id="139"/>
    </w:p>
    <w:p w:rsidR="00774227" w:rsidRDefault="00774227" w:rsidP="00774227">
      <w:r w:rsidRPr="00294400">
        <w:rPr>
          <w:noProof/>
          <w:lang w:eastAsia="en-AU"/>
        </w:rPr>
        <w:drawing>
          <wp:inline distT="0" distB="0" distL="0" distR="0" wp14:anchorId="76561C84" wp14:editId="6090D80E">
            <wp:extent cx="3816096" cy="1749043"/>
            <wp:effectExtent l="0" t="0" r="0" b="3810"/>
            <wp:docPr id="85" name="Picture 85" descr="Summary of escape medication use from Baseline to each visit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21836" cy="1751674"/>
                    </a:xfrm>
                    <a:prstGeom prst="rect">
                      <a:avLst/>
                    </a:prstGeom>
                  </pic:spPr>
                </pic:pic>
              </a:graphicData>
            </a:graphic>
          </wp:inline>
        </w:drawing>
      </w:r>
    </w:p>
    <w:p w:rsidR="00774227" w:rsidRDefault="00774227" w:rsidP="001A6420">
      <w:r w:rsidRPr="0051099A">
        <w:rPr>
          <w:b/>
        </w:rPr>
        <w:t>Evaluator’s comment</w:t>
      </w:r>
      <w:r>
        <w:t>: By the Week 3 visit, Sham patients were already 14 X more likely to require the use of escape medications than DEX 700 treated patients. At the primary efficacy variable timepoint (Week 8) Sham patients were 2.9 X more likely to have required escape medication than the DEX 700 treated group, with the comparison being 7.8% (DEX 700) versus 22.4% (Sham), a difference of 14.6%. Even at Week 26, the difference in escape medication use was 16.1% between the DEX 700 and Sham treatment groups. The results suggest not only was there a lower requirement for escape medication use in the DEX 700 treatment group, but also that the lower rates of escape medication use in the DEX treatment are less likely to confound the results of efficacy analysis at either the primary timepoint (Week 8) or at other visits throughout the study.</w:t>
      </w:r>
    </w:p>
    <w:p w:rsidR="00774227" w:rsidRDefault="00774227" w:rsidP="004C3275">
      <w:pPr>
        <w:keepNext/>
        <w:keepLines/>
        <w:numPr>
          <w:ilvl w:val="3"/>
          <w:numId w:val="5"/>
        </w:numPr>
        <w:tabs>
          <w:tab w:val="num" w:pos="3885"/>
        </w:tabs>
        <w:spacing w:line="220" w:lineRule="atLeast"/>
        <w:ind w:left="1304" w:hanging="1077"/>
        <w:outlineLvl w:val="4"/>
        <w:rPr>
          <w:rFonts w:eastAsia="Times New Roman"/>
          <w:b/>
          <w:bCs/>
          <w:i/>
          <w:color w:val="001523"/>
          <w:szCs w:val="21"/>
        </w:rPr>
      </w:pPr>
      <w:bookmarkStart w:id="140" w:name="11.1.10_Central_Macular_Thickness_Using_"/>
      <w:bookmarkStart w:id="141" w:name="11.1.11_Escape_Medication_Use"/>
      <w:bookmarkStart w:id="142" w:name="Table_11–5_Summary_of_Escape_Medication_"/>
      <w:bookmarkStart w:id="143" w:name="bookmark0"/>
      <w:bookmarkEnd w:id="140"/>
      <w:bookmarkEnd w:id="141"/>
      <w:bookmarkEnd w:id="142"/>
      <w:bookmarkEnd w:id="143"/>
      <w:r w:rsidRPr="00B20F6A">
        <w:rPr>
          <w:rFonts w:eastAsia="Times New Roman"/>
          <w:b/>
          <w:bCs/>
          <w:i/>
          <w:color w:val="001523"/>
          <w:szCs w:val="21"/>
        </w:rPr>
        <w:t>Evaluator commentary</w:t>
      </w:r>
    </w:p>
    <w:p w:rsidR="00774227" w:rsidRPr="00730371" w:rsidRDefault="00774227" w:rsidP="00774227">
      <w:r>
        <w:t>See Section below.</w:t>
      </w:r>
    </w:p>
    <w:p w:rsidR="00774227" w:rsidRDefault="00774227" w:rsidP="004C3275">
      <w:pPr>
        <w:pStyle w:val="Heading4"/>
        <w:numPr>
          <w:ilvl w:val="2"/>
          <w:numId w:val="5"/>
        </w:numPr>
      </w:pPr>
      <w:r>
        <w:t>Evaluator’s conclusions on clinical efficacy for uveitis</w:t>
      </w:r>
    </w:p>
    <w:p w:rsidR="00774227" w:rsidRDefault="00774227" w:rsidP="00774227">
      <w:pPr>
        <w:rPr>
          <w:lang w:eastAsia="ja-JP"/>
        </w:rPr>
      </w:pPr>
      <w:r>
        <w:rPr>
          <w:lang w:eastAsia="ja-JP"/>
        </w:rPr>
        <w:t xml:space="preserve">Only 1 pivotal study was submitted for evaluation of efficacy. Study 014 was a Sham-controlled trial with adequate methods of randomisation and masking of both patients and investigators and randomisation procedures. The choice of Sham-control was appropriate considering none of the included patients had received intravitreal implants previously and due to nature of a single treatment procedure, compliance was 100%. The length of the trial (26 weeks) was adequate for assessing efficacy as the primary time point was the Week 8 visit and efficacy was clear before this point and differences between DEX 700 and Sham statistically significant present up to and including the final study visit. The selection criteria were adequate and reflective of population for the proposed indication. The </w:t>
      </w:r>
      <w:r>
        <w:rPr>
          <w:lang w:eastAsia="ja-JP"/>
        </w:rPr>
        <w:lastRenderedPageBreak/>
        <w:t>definition of study populations (ITT, PP and safety) were all acceptable as were methods of statistical analysis.</w:t>
      </w:r>
    </w:p>
    <w:p w:rsidR="00774227" w:rsidRDefault="00774227" w:rsidP="00774227">
      <w:pPr>
        <w:rPr>
          <w:lang w:eastAsia="ja-JP"/>
        </w:rPr>
      </w:pPr>
      <w:r>
        <w:rPr>
          <w:lang w:eastAsia="ja-JP"/>
        </w:rPr>
        <w:t xml:space="preserve">At Baseline, demographic characteristics were well-balanced across groups and again reflective of the target population. There were low a relatively low attrition rate. The primary efficacy outcome (the proportion of patients with a vitreous haze score of zero at Week 8) was 46.8% for the DEX 700 treated group versus 11.8% for Sham. DEX 700 </w:t>
      </w:r>
      <w:proofErr w:type="gramStart"/>
      <w:r>
        <w:rPr>
          <w:lang w:eastAsia="ja-JP"/>
        </w:rPr>
        <w:t>treatment</w:t>
      </w:r>
      <w:proofErr w:type="gramEnd"/>
      <w:r>
        <w:rPr>
          <w:lang w:eastAsia="ja-JP"/>
        </w:rPr>
        <w:t xml:space="preserve"> demonstrated a clear difference (DEX 700 versus Sham) of 35.0% (p &lt; 0.001) with a NNT of 2.88. Differences in response rates between DEX 700 and Sham were evident at Week 3 and significant (p &lt; 0.001) at Week 6, with persistence in difference at Week 26 </w:t>
      </w:r>
    </w:p>
    <w:p w:rsidR="00774227" w:rsidRDefault="00774227" w:rsidP="00774227">
      <w:pPr>
        <w:rPr>
          <w:lang w:eastAsia="ja-JP"/>
        </w:rPr>
      </w:pPr>
      <w:r>
        <w:rPr>
          <w:lang w:eastAsia="ja-JP"/>
        </w:rPr>
        <w:t>The most patient-relevant clinical outcome (a secondary outcome analysis) at Week 8 was the proportion of patients with 15 letters improvement from Baseline BCVA. This is considered a very important outcome and complements the primary efficacy outcome well. The results of 42.9% for DEX 700 compared to 6.6% for Sham (a difference of 36.3%; p &lt; 0.001) were considered strongly clinically relevant with a NNT of 2.8. The difference between DEX 700 and Sham was statistically significantly (p &lt; 0.001) at every study visit, evidence of strong clinical benefit in terms of visual acuity, that persisted throughout the study with the comparison at Week 26 being 37.7% versus 13.2% (difference 24.5%; NNT = 4.1). All other measures of efficacy outcomes were favourable for DEX 700 including use of escape medication which was significantly lower in the DEX 700 group at every visit except Week 16. In addition, amongst subgroups, either a clear statistically significant benefit was seen, or in the case of subgroup size too small for significance, trends in efficacy favoured DEX 700 over Sham.</w:t>
      </w:r>
    </w:p>
    <w:p w:rsidR="00774227" w:rsidRDefault="00774227" w:rsidP="00774227">
      <w:pPr>
        <w:rPr>
          <w:lang w:eastAsia="ja-JP"/>
        </w:rPr>
      </w:pPr>
      <w:r>
        <w:rPr>
          <w:lang w:eastAsia="ja-JP"/>
        </w:rPr>
        <w:t xml:space="preserve">Despite no data available beyond 6 month covering possible retreatment of patients but there was no evidence of loss of efficacy at the 6 month period (either due to sustained active drug effect or due to disease remission) .   </w:t>
      </w:r>
    </w:p>
    <w:p w:rsidR="00C22678" w:rsidRDefault="00C22678" w:rsidP="00C22678">
      <w:pPr>
        <w:pStyle w:val="Heading2"/>
      </w:pPr>
      <w:bookmarkStart w:id="144" w:name="_Toc6313899"/>
      <w:r>
        <w:t>Clinical safety</w:t>
      </w:r>
      <w:bookmarkEnd w:id="144"/>
    </w:p>
    <w:p w:rsidR="00DD5AB0" w:rsidRDefault="00DD5AB0" w:rsidP="004C3275">
      <w:pPr>
        <w:pStyle w:val="Heading3"/>
        <w:numPr>
          <w:ilvl w:val="1"/>
          <w:numId w:val="5"/>
        </w:numPr>
        <w:ind w:left="907" w:hanging="794"/>
      </w:pPr>
      <w:bookmarkStart w:id="145" w:name="_Toc272414659"/>
      <w:bookmarkStart w:id="146" w:name="_Toc290888510"/>
      <w:bookmarkStart w:id="147" w:name="_Toc416353726"/>
      <w:bookmarkStart w:id="148" w:name="_Toc421005274"/>
      <w:bookmarkStart w:id="149" w:name="_Toc432079156"/>
      <w:bookmarkStart w:id="150" w:name="_Toc432080729"/>
      <w:bookmarkStart w:id="151" w:name="_Toc471225121"/>
      <w:bookmarkStart w:id="152" w:name="_Toc6313900"/>
      <w:r w:rsidRPr="00545B14">
        <w:t>Studies providing evaluable safety data</w:t>
      </w:r>
      <w:bookmarkEnd w:id="145"/>
      <w:bookmarkEnd w:id="146"/>
      <w:bookmarkEnd w:id="147"/>
      <w:bookmarkEnd w:id="148"/>
      <w:bookmarkEnd w:id="149"/>
      <w:bookmarkEnd w:id="150"/>
      <w:bookmarkEnd w:id="151"/>
      <w:bookmarkEnd w:id="152"/>
    </w:p>
    <w:p w:rsidR="00DD5AB0" w:rsidRPr="00C3572A" w:rsidRDefault="00DD5AB0" w:rsidP="004C3275">
      <w:pPr>
        <w:pStyle w:val="Heading4"/>
        <w:numPr>
          <w:ilvl w:val="2"/>
          <w:numId w:val="5"/>
        </w:numPr>
      </w:pPr>
      <w:bookmarkStart w:id="153" w:name="_Toc421005275"/>
      <w:bookmarkStart w:id="154" w:name="_Toc432079157"/>
      <w:bookmarkStart w:id="155" w:name="_Toc432080730"/>
      <w:r>
        <w:t>P</w:t>
      </w:r>
      <w:r w:rsidRPr="00C3572A">
        <w:t>ivotal studies that assessed safety as the sole primary outcome</w:t>
      </w:r>
      <w:bookmarkEnd w:id="153"/>
      <w:bookmarkEnd w:id="154"/>
      <w:bookmarkEnd w:id="155"/>
    </w:p>
    <w:p w:rsidR="00DD5AB0" w:rsidRPr="00E166B2" w:rsidRDefault="00DD5AB0" w:rsidP="00DD5AB0">
      <w:pPr>
        <w:rPr>
          <w:lang w:eastAsia="ja-JP"/>
        </w:rPr>
      </w:pPr>
      <w:r>
        <w:rPr>
          <w:lang w:eastAsia="ja-JP"/>
        </w:rPr>
        <w:t>N/A</w:t>
      </w:r>
    </w:p>
    <w:p w:rsidR="00DD5AB0" w:rsidRDefault="00DD5AB0" w:rsidP="004C3275">
      <w:pPr>
        <w:pStyle w:val="Heading4"/>
        <w:numPr>
          <w:ilvl w:val="2"/>
          <w:numId w:val="5"/>
        </w:numPr>
      </w:pPr>
      <w:bookmarkStart w:id="156" w:name="_Ref268776745"/>
      <w:bookmarkStart w:id="157" w:name="_Toc421005276"/>
      <w:bookmarkStart w:id="158" w:name="_Toc432079158"/>
      <w:bookmarkStart w:id="159" w:name="_Toc432080731"/>
      <w:r w:rsidRPr="00545B14">
        <w:t xml:space="preserve">Pivotal </w:t>
      </w:r>
      <w:r>
        <w:t xml:space="preserve">and/or main </w:t>
      </w:r>
      <w:r w:rsidRPr="00545B14">
        <w:t>efficacy studies</w:t>
      </w:r>
      <w:bookmarkEnd w:id="156"/>
      <w:bookmarkEnd w:id="157"/>
      <w:bookmarkEnd w:id="158"/>
      <w:bookmarkEnd w:id="159"/>
    </w:p>
    <w:p w:rsidR="00DD5AB0" w:rsidRDefault="00DD5AB0" w:rsidP="00DD5AB0">
      <w:pPr>
        <w:rPr>
          <w:lang w:eastAsia="ja-JP"/>
        </w:rPr>
      </w:pPr>
      <w:r>
        <w:rPr>
          <w:lang w:eastAsia="ja-JP"/>
        </w:rPr>
        <w:t>The following pivotal efficacy and safety studies were submitted for evaluation:</w:t>
      </w:r>
    </w:p>
    <w:p w:rsidR="00DD5AB0" w:rsidRPr="00E166B2" w:rsidRDefault="00DD5AB0" w:rsidP="004C3275">
      <w:pPr>
        <w:pStyle w:val="ListBullet"/>
        <w:numPr>
          <w:ilvl w:val="0"/>
          <w:numId w:val="1"/>
        </w:numPr>
      </w:pPr>
      <w:r w:rsidRPr="00E166B2">
        <w:t>Study 206207-008 (RVO)</w:t>
      </w:r>
    </w:p>
    <w:p w:rsidR="00DD5AB0" w:rsidRPr="00E166B2" w:rsidRDefault="00DD5AB0" w:rsidP="004C3275">
      <w:pPr>
        <w:pStyle w:val="ListBullet"/>
        <w:numPr>
          <w:ilvl w:val="0"/>
          <w:numId w:val="1"/>
        </w:numPr>
      </w:pPr>
      <w:r w:rsidRPr="00E166B2">
        <w:t>Study 206207-009 (RVO)</w:t>
      </w:r>
    </w:p>
    <w:p w:rsidR="00DD5AB0" w:rsidRPr="00E166B2" w:rsidRDefault="00DD5AB0" w:rsidP="004C3275">
      <w:pPr>
        <w:pStyle w:val="ListBullet"/>
        <w:numPr>
          <w:ilvl w:val="0"/>
          <w:numId w:val="1"/>
        </w:numPr>
      </w:pPr>
      <w:r w:rsidRPr="00E166B2">
        <w:t>Study 206207-020 (RVO)</w:t>
      </w:r>
    </w:p>
    <w:p w:rsidR="00DD5AB0" w:rsidRDefault="00DD5AB0" w:rsidP="004C3275">
      <w:pPr>
        <w:pStyle w:val="ListBullet"/>
        <w:numPr>
          <w:ilvl w:val="0"/>
          <w:numId w:val="1"/>
        </w:numPr>
      </w:pPr>
      <w:r w:rsidRPr="00E166B2">
        <w:t>Study 206207-014 (Uveitis)</w:t>
      </w:r>
    </w:p>
    <w:p w:rsidR="00DD5AB0" w:rsidRPr="00E166B2" w:rsidRDefault="00DD5AB0" w:rsidP="004C3275">
      <w:pPr>
        <w:pStyle w:val="ListBullet"/>
        <w:numPr>
          <w:ilvl w:val="0"/>
          <w:numId w:val="1"/>
        </w:numPr>
      </w:pPr>
      <w:r>
        <w:t xml:space="preserve">A pooled Integrated Summary of Safety (ISS) was presented for individual studies 008/009. Due to the similarity of such studies, pooled data is considered appropriate for evaluation and useful as the safety/re-treatment population for analysis as approximately double. In this assessment differences between study safety outcomes of the individual studies are highlighted. </w:t>
      </w:r>
    </w:p>
    <w:p w:rsidR="00DD5AB0" w:rsidRDefault="00DD5AB0" w:rsidP="00DD5AB0">
      <w:pPr>
        <w:rPr>
          <w:lang w:eastAsia="ja-JP"/>
        </w:rPr>
      </w:pPr>
      <w:r>
        <w:rPr>
          <w:lang w:eastAsia="ja-JP"/>
        </w:rPr>
        <w:t>Safety data was collected as follows:</w:t>
      </w:r>
    </w:p>
    <w:p w:rsidR="00DD5AB0" w:rsidRDefault="00DD5AB0" w:rsidP="004C3275">
      <w:pPr>
        <w:pStyle w:val="ListBullet"/>
        <w:numPr>
          <w:ilvl w:val="0"/>
          <w:numId w:val="1"/>
        </w:numPr>
        <w:rPr>
          <w:lang w:eastAsia="ja-JP"/>
        </w:rPr>
      </w:pPr>
      <w:r>
        <w:lastRenderedPageBreak/>
        <w:t xml:space="preserve">AEs were recorded and summarised </w:t>
      </w:r>
      <w:r>
        <w:rPr>
          <w:lang w:eastAsia="ja-JP"/>
        </w:rPr>
        <w:t xml:space="preserve">using </w:t>
      </w:r>
      <w:r>
        <w:t>preferred terms (PT) according to frequency, system organ class (SOC), severity and for events leading to discontinuation</w:t>
      </w:r>
      <w:r>
        <w:rPr>
          <w:lang w:eastAsia="ja-JP"/>
        </w:rPr>
        <w:t xml:space="preserve">  Adverse events (AEs), non-ocular AEs and ocular AEs were assessed using MedDRA coding.</w:t>
      </w:r>
    </w:p>
    <w:p w:rsidR="00DD5AB0" w:rsidRDefault="00DD5AB0" w:rsidP="004C3275">
      <w:pPr>
        <w:pStyle w:val="ListBullet"/>
        <w:numPr>
          <w:ilvl w:val="0"/>
          <w:numId w:val="1"/>
        </w:numPr>
        <w:rPr>
          <w:lang w:eastAsia="ja-JP"/>
        </w:rPr>
      </w:pPr>
      <w:r>
        <w:rPr>
          <w:lang w:eastAsia="ja-JP"/>
        </w:rPr>
        <w:t>Ocular AEs were summarised as in the study eye or non-study eye. AEs reported in the non-study eye for all 3 treatment groups (or 2 treatment groups in Study 206207-020) were combined into a single group in each study.</w:t>
      </w:r>
    </w:p>
    <w:p w:rsidR="00DD5AB0" w:rsidRDefault="00DD5AB0" w:rsidP="004C3275">
      <w:pPr>
        <w:pStyle w:val="ListBullet"/>
        <w:numPr>
          <w:ilvl w:val="0"/>
          <w:numId w:val="1"/>
        </w:numPr>
        <w:rPr>
          <w:lang w:eastAsia="ja-JP"/>
        </w:rPr>
      </w:pPr>
      <w:r>
        <w:rPr>
          <w:lang w:eastAsia="ja-JP"/>
        </w:rPr>
        <w:t xml:space="preserve">AE severity was investigator graded by </w:t>
      </w:r>
      <w:r>
        <w:t>clinical determination of the intensity of an AE (mild, moderate or severe. Not applicable was used for all or none type events).</w:t>
      </w:r>
    </w:p>
    <w:p w:rsidR="00DD5AB0" w:rsidRDefault="00DD5AB0" w:rsidP="004C3275">
      <w:pPr>
        <w:pStyle w:val="ListBullet"/>
        <w:numPr>
          <w:ilvl w:val="0"/>
          <w:numId w:val="1"/>
        </w:numPr>
        <w:rPr>
          <w:lang w:eastAsia="ja-JP"/>
        </w:rPr>
      </w:pPr>
      <w:r>
        <w:rPr>
          <w:lang w:eastAsia="ja-JP"/>
        </w:rPr>
        <w:t>Treatment-related ocular AEs were further summarised according to relationship to applicator/insertion or to DEX PS DDS (study drug) itself.</w:t>
      </w:r>
    </w:p>
    <w:p w:rsidR="00DD5AB0" w:rsidRDefault="00DD5AB0" w:rsidP="004C3275">
      <w:pPr>
        <w:pStyle w:val="ListBullet"/>
        <w:numPr>
          <w:ilvl w:val="0"/>
          <w:numId w:val="1"/>
        </w:numPr>
        <w:rPr>
          <w:lang w:eastAsia="ja-JP"/>
        </w:rPr>
      </w:pPr>
      <w:r>
        <w:rPr>
          <w:lang w:eastAsia="ja-JP"/>
        </w:rPr>
        <w:t>Ocular AEs and treatment-related ocular AEs of note included ‘IOP Increased’ coded under Investigations SOC or Eye Disorders SOC. ‘Cataract’ including subtypes such as ‘Cataract subscapular’ were coded under Eye Disorders SOC.</w:t>
      </w:r>
    </w:p>
    <w:p w:rsidR="00DD5AB0" w:rsidRDefault="00DD5AB0" w:rsidP="004C3275">
      <w:pPr>
        <w:pStyle w:val="ListBullet"/>
        <w:numPr>
          <w:ilvl w:val="0"/>
          <w:numId w:val="1"/>
        </w:numPr>
        <w:rPr>
          <w:lang w:eastAsia="ja-JP"/>
        </w:rPr>
      </w:pPr>
      <w:r>
        <w:rPr>
          <w:lang w:eastAsia="ja-JP"/>
        </w:rPr>
        <w:t xml:space="preserve">IOP measurement was recorded for the study eye and non-study eye at Baseline and each follow-up </w:t>
      </w:r>
      <w:proofErr w:type="gramStart"/>
      <w:r>
        <w:rPr>
          <w:lang w:eastAsia="ja-JP"/>
        </w:rPr>
        <w:t xml:space="preserve">visit  </w:t>
      </w:r>
      <w:r>
        <w:t>into</w:t>
      </w:r>
      <w:proofErr w:type="gramEnd"/>
      <w:r>
        <w:t xml:space="preserve"> categories with target IOP of ≥ 10 mm Hg,  ≥ 25 mm Hg and IOP≥ 35 mm Hg from Baseline IOP.</w:t>
      </w:r>
    </w:p>
    <w:p w:rsidR="00DD5AB0" w:rsidRDefault="00DD5AB0" w:rsidP="004C3275">
      <w:pPr>
        <w:pStyle w:val="ListBullet"/>
        <w:numPr>
          <w:ilvl w:val="0"/>
          <w:numId w:val="1"/>
        </w:numPr>
        <w:rPr>
          <w:lang w:eastAsia="ja-JP"/>
        </w:rPr>
      </w:pPr>
      <w:r>
        <w:rPr>
          <w:lang w:eastAsia="ja-JP"/>
        </w:rPr>
        <w:t>Biomicroscopic and ophthalmoscopic findings were recorded and tabulated for any finding with at</w:t>
      </w:r>
      <w:r w:rsidRPr="002205D7">
        <w:rPr>
          <w:lang w:eastAsia="ja-JP"/>
        </w:rPr>
        <w:t xml:space="preserve"> least </w:t>
      </w:r>
      <w:r>
        <w:rPr>
          <w:lang w:eastAsia="ja-JP"/>
        </w:rPr>
        <w:t>1 severity grade increase from B</w:t>
      </w:r>
      <w:r w:rsidRPr="002205D7">
        <w:rPr>
          <w:lang w:eastAsia="ja-JP"/>
        </w:rPr>
        <w:t>aseline or a status change from absent to present at any of the follow-up visits were generated for each MedDRA PT</w:t>
      </w:r>
      <w:r>
        <w:rPr>
          <w:lang w:eastAsia="ja-JP"/>
        </w:rPr>
        <w:t xml:space="preserve">. Severity increase  was graded as follows: </w:t>
      </w:r>
      <w:r>
        <w:t>0 = none, 0.5 = trace, 1 = mild, 2 = moderate, and 3 = severe.</w:t>
      </w:r>
    </w:p>
    <w:p w:rsidR="00DD5AB0" w:rsidRDefault="00DD5AB0" w:rsidP="004C3275">
      <w:pPr>
        <w:pStyle w:val="ListBullet"/>
        <w:numPr>
          <w:ilvl w:val="0"/>
          <w:numId w:val="1"/>
        </w:numPr>
        <w:rPr>
          <w:lang w:eastAsia="ja-JP"/>
        </w:rPr>
      </w:pPr>
      <w:r>
        <w:t>Retinal tear, lattice degeneration and round (atrophic) retinal holes were evaluated during the fundus examination as present or absent. Lattice degeneration was evaluated during the fundus examination and assessed as present or absent.</w:t>
      </w:r>
    </w:p>
    <w:p w:rsidR="00DD5AB0" w:rsidRDefault="00DD5AB0" w:rsidP="004C3275">
      <w:pPr>
        <w:pStyle w:val="ListBullet"/>
        <w:numPr>
          <w:ilvl w:val="0"/>
          <w:numId w:val="1"/>
        </w:numPr>
        <w:rPr>
          <w:lang w:eastAsia="ja-JP"/>
        </w:rPr>
      </w:pPr>
      <w:r w:rsidRPr="002205D7">
        <w:rPr>
          <w:lang w:eastAsia="ja-JP"/>
        </w:rPr>
        <w:t xml:space="preserve">The presence and severity of nuclear, cortical, and posterior subcapsular lens opacities in phakic eyes only were graded using one standardised </w:t>
      </w:r>
      <w:r>
        <w:rPr>
          <w:lang w:eastAsia="ja-JP"/>
        </w:rPr>
        <w:t xml:space="preserve">retroillumination </w:t>
      </w:r>
      <w:r w:rsidRPr="002205D7">
        <w:rPr>
          <w:lang w:eastAsia="ja-JP"/>
        </w:rPr>
        <w:t>photograph for each category of lens opacity and following a standardised clinical lens grading protocol.</w:t>
      </w:r>
    </w:p>
    <w:p w:rsidR="00DD5AB0" w:rsidRPr="002205D7" w:rsidRDefault="00DD5AB0" w:rsidP="004C3275">
      <w:pPr>
        <w:pStyle w:val="ListBullet"/>
        <w:numPr>
          <w:ilvl w:val="0"/>
          <w:numId w:val="1"/>
        </w:numPr>
      </w:pPr>
      <w:r w:rsidRPr="008E6519">
        <w:t xml:space="preserve">The number and percent of patients with reported iris neovascularization or retinal neovascularisation were tabulated for the study eye and non-study eye by treatment group at each visit. </w:t>
      </w:r>
    </w:p>
    <w:p w:rsidR="00DD5AB0" w:rsidRDefault="00DD5AB0" w:rsidP="004C3275">
      <w:pPr>
        <w:pStyle w:val="ListBullet"/>
        <w:numPr>
          <w:ilvl w:val="0"/>
          <w:numId w:val="1"/>
        </w:numPr>
      </w:pPr>
      <w:bookmarkStart w:id="160" w:name="_Toc421005277"/>
      <w:bookmarkStart w:id="161" w:name="_Toc432079159"/>
      <w:bookmarkStart w:id="162" w:name="_Toc432080732"/>
      <w:r>
        <w:t>Vital signs including blood pressure, pulse rate and body temperature were collected at Baseline and follow-up</w:t>
      </w:r>
    </w:p>
    <w:p w:rsidR="00DD5AB0" w:rsidRDefault="00DD5AB0" w:rsidP="004C3275">
      <w:pPr>
        <w:pStyle w:val="ListBullet"/>
        <w:numPr>
          <w:ilvl w:val="0"/>
          <w:numId w:val="1"/>
        </w:numPr>
      </w:pPr>
      <w:r>
        <w:t xml:space="preserve">Plasma concentrations of dexamethasone were measured using a validated liquid chromatography-tandem mass spectrometry method (LC-MS/MS) with a lower limit of quantitation (LLOQ) </w:t>
      </w:r>
      <w:proofErr w:type="gramStart"/>
      <w:r>
        <w:t>of 0.05 ng/mL</w:t>
      </w:r>
      <w:proofErr w:type="gramEnd"/>
      <w:r>
        <w:t xml:space="preserve"> for dexamethasone.</w:t>
      </w:r>
    </w:p>
    <w:p w:rsidR="00DD5AB0" w:rsidRDefault="00DD5AB0" w:rsidP="004C3275">
      <w:pPr>
        <w:pStyle w:val="ListBullet"/>
        <w:numPr>
          <w:ilvl w:val="0"/>
          <w:numId w:val="1"/>
        </w:numPr>
      </w:pPr>
      <w:r>
        <w:t>Unless otherwise indicated all safety analyses in the IT period involve the safety population. In the OL extension, the re-treatment population was used.</w:t>
      </w:r>
    </w:p>
    <w:p w:rsidR="00DD5AB0" w:rsidRDefault="00DD5AB0" w:rsidP="004C3275">
      <w:pPr>
        <w:pStyle w:val="Heading4"/>
        <w:numPr>
          <w:ilvl w:val="2"/>
          <w:numId w:val="5"/>
        </w:numPr>
      </w:pPr>
      <w:r>
        <w:t>Other</w:t>
      </w:r>
      <w:r w:rsidRPr="00545B14">
        <w:t xml:space="preserve"> studies</w:t>
      </w:r>
      <w:bookmarkEnd w:id="160"/>
      <w:bookmarkEnd w:id="161"/>
      <w:bookmarkEnd w:id="162"/>
    </w:p>
    <w:p w:rsidR="00DD5AB0" w:rsidRDefault="00DD5AB0" w:rsidP="00DD5AB0">
      <w:pPr>
        <w:rPr>
          <w:lang w:eastAsia="ja-JP"/>
        </w:rPr>
      </w:pPr>
      <w:r>
        <w:rPr>
          <w:lang w:eastAsia="ja-JP"/>
        </w:rPr>
        <w:t xml:space="preserve">Studies 206207-010 and 011 for the indication of diabetic macular oedema (DME) were evaluable for safety outcomes. </w:t>
      </w:r>
    </w:p>
    <w:p w:rsidR="00DD5AB0" w:rsidRDefault="00DD5AB0" w:rsidP="00A45E9B">
      <w:pPr>
        <w:pStyle w:val="Heading5"/>
      </w:pPr>
      <w:r>
        <w:t>Other efficacy studies</w:t>
      </w:r>
    </w:p>
    <w:p w:rsidR="00DD5AB0" w:rsidRDefault="00DD5AB0" w:rsidP="00DD5AB0">
      <w:r>
        <w:t>Studies 206207-010/011 (ISS)</w:t>
      </w:r>
    </w:p>
    <w:p w:rsidR="00DD5AB0" w:rsidRDefault="00DD5AB0" w:rsidP="00DD5AB0">
      <w:r>
        <w:lastRenderedPageBreak/>
        <w:t>These 3-Year, masked and randomised Phase III studies were identical in protocol and methodology, with similar patient populations at Baseline. They were conducted to evaluate the efficacy and safety of DEX 700 and 350 versus Sham in the treatment of DME. They are included here only for analysis of safety, particularly long-term safety. As multiple cycles of treatment were conducted (approximately once every 6-months) it can contribute towards analysis of the safety of multiple rounds of DEX PS DDS therapy and contribute towards the evaluation of the exposure-adjusted safety of the study treatments, for instance AE incidence by number of treatment cycles, by year of treatment course and by patient-years.</w:t>
      </w:r>
    </w:p>
    <w:p w:rsidR="00DD5AB0" w:rsidRDefault="00DD5AB0" w:rsidP="004C3275">
      <w:pPr>
        <w:pStyle w:val="Heading3"/>
        <w:numPr>
          <w:ilvl w:val="1"/>
          <w:numId w:val="5"/>
        </w:numPr>
        <w:ind w:left="907" w:hanging="794"/>
      </w:pPr>
      <w:bookmarkStart w:id="163" w:name="_Toc471225122"/>
      <w:bookmarkStart w:id="164" w:name="_Toc6313901"/>
      <w:r>
        <w:t>Studies that assessed safety as the sole primary outcome</w:t>
      </w:r>
      <w:bookmarkEnd w:id="163"/>
      <w:bookmarkEnd w:id="164"/>
    </w:p>
    <w:p w:rsidR="00DD5AB0" w:rsidRPr="003714C8" w:rsidRDefault="00DD5AB0" w:rsidP="00DD5AB0">
      <w:pPr>
        <w:rPr>
          <w:lang w:eastAsia="ja-JP"/>
        </w:rPr>
      </w:pPr>
      <w:r>
        <w:rPr>
          <w:lang w:eastAsia="ja-JP"/>
        </w:rPr>
        <w:t>Not applicable</w:t>
      </w:r>
    </w:p>
    <w:p w:rsidR="00DD5AB0" w:rsidRPr="00545B14" w:rsidRDefault="00DD5AB0" w:rsidP="004C3275">
      <w:pPr>
        <w:pStyle w:val="Heading3"/>
        <w:numPr>
          <w:ilvl w:val="1"/>
          <w:numId w:val="5"/>
        </w:numPr>
        <w:ind w:left="907" w:hanging="794"/>
      </w:pPr>
      <w:bookmarkStart w:id="165" w:name="_Toc241374318"/>
      <w:bookmarkStart w:id="166" w:name="_Ref271196630"/>
      <w:bookmarkStart w:id="167" w:name="_Toc272414662"/>
      <w:bookmarkStart w:id="168" w:name="_Toc290888526"/>
      <w:bookmarkStart w:id="169" w:name="_Toc416353742"/>
      <w:bookmarkStart w:id="170" w:name="_Toc421005285"/>
      <w:bookmarkStart w:id="171" w:name="_Toc432079162"/>
      <w:bookmarkStart w:id="172" w:name="_Toc432080735"/>
      <w:bookmarkStart w:id="173" w:name="_Toc471225123"/>
      <w:bookmarkStart w:id="174" w:name="_Toc6313902"/>
      <w:r w:rsidRPr="00545B14">
        <w:t>Patient exposure</w:t>
      </w:r>
      <w:bookmarkEnd w:id="165"/>
      <w:bookmarkEnd w:id="166"/>
      <w:bookmarkEnd w:id="167"/>
      <w:bookmarkEnd w:id="168"/>
      <w:bookmarkEnd w:id="169"/>
      <w:bookmarkEnd w:id="170"/>
      <w:bookmarkEnd w:id="171"/>
      <w:bookmarkEnd w:id="172"/>
      <w:bookmarkEnd w:id="173"/>
      <w:bookmarkEnd w:id="174"/>
    </w:p>
    <w:p w:rsidR="00DD5AB0" w:rsidRDefault="00DD5AB0" w:rsidP="004C3275">
      <w:pPr>
        <w:pStyle w:val="Heading4"/>
        <w:numPr>
          <w:ilvl w:val="2"/>
          <w:numId w:val="5"/>
        </w:numPr>
      </w:pPr>
      <w:bookmarkStart w:id="175" w:name="_Toc241374319"/>
      <w:bookmarkStart w:id="176" w:name="_Ref271044764"/>
      <w:bookmarkStart w:id="177" w:name="_Toc272414663"/>
      <w:bookmarkStart w:id="178" w:name="_Toc290888527"/>
      <w:bookmarkStart w:id="179" w:name="_Toc416353743"/>
      <w:bookmarkStart w:id="180" w:name="_Toc421005286"/>
      <w:bookmarkStart w:id="181" w:name="_Toc432079163"/>
      <w:bookmarkStart w:id="182" w:name="_Toc432080736"/>
      <w:r>
        <w:t>Pivotal studies</w:t>
      </w:r>
    </w:p>
    <w:p w:rsidR="00DD5AB0" w:rsidRDefault="00DD5AB0" w:rsidP="00A45E9B">
      <w:pPr>
        <w:pStyle w:val="Heading5"/>
        <w:rPr>
          <w:lang w:eastAsia="ja-JP"/>
        </w:rPr>
      </w:pPr>
      <w:r>
        <w:rPr>
          <w:lang w:eastAsia="ja-JP"/>
        </w:rPr>
        <w:t>Study 206207-008/009- RVO</w:t>
      </w:r>
    </w:p>
    <w:p w:rsidR="00DD5AB0" w:rsidRPr="005D7431" w:rsidRDefault="00DD5AB0" w:rsidP="005D7431">
      <w:r w:rsidRPr="005D7431">
        <w:t>For the 6-month IT period, exposure for the safety population was similar between the 3 groups with approximately 95% of each study group completing at least 150 days. The mean (range) duration was 176.1 (7 to 215) days for patients in the DEX 700 group (n = 421), 177.2 (22 to 270) days in the DEX 350 group (n = 412) and 174.8 (0 to 259 days) in the Sham group (n = 423).</w:t>
      </w:r>
    </w:p>
    <w:p w:rsidR="00DD5AB0" w:rsidRPr="005D7431" w:rsidRDefault="00DD5AB0" w:rsidP="005D7431">
      <w:r w:rsidRPr="005D7431">
        <w:t>For the IT period plus the OL extension, overall exposure for the re-treatment population was similar, with approximately 96% of each study group completing 330 days or more. The mean (range) duration was 362.3 (258 to 473) for the DEX 700/700 group (n = 341), 361.3 (206 to 484) for the DEX 350/700 group (n = 329) and 361.4 (210 to 582) for the Sham/DEX 700 group (n = 327).</w:t>
      </w:r>
    </w:p>
    <w:p w:rsidR="00DD5AB0" w:rsidRDefault="00DD5AB0" w:rsidP="00A45E9B">
      <w:pPr>
        <w:pStyle w:val="Heading5"/>
        <w:rPr>
          <w:lang w:eastAsia="ja-JP"/>
        </w:rPr>
      </w:pPr>
      <w:r>
        <w:rPr>
          <w:lang w:eastAsia="ja-JP"/>
        </w:rPr>
        <w:t>Study 206207-020-RVO</w:t>
      </w:r>
    </w:p>
    <w:p w:rsidR="00DD5AB0" w:rsidRPr="005D7431" w:rsidRDefault="00DD5AB0" w:rsidP="005D7431">
      <w:r w:rsidRPr="005D7431">
        <w:t>For the safety population, exposure was similar between the 2 treatment groups. Approximately 95% of patients in each treatment group remained in the study at least 150 days. The mean (range) duration was 239.5 (66 to 255) days for patients in the DEX 700 group, and 232.7 (2 to 288) days in the Sham group.</w:t>
      </w:r>
    </w:p>
    <w:p w:rsidR="00DD5AB0" w:rsidRDefault="00DD5AB0" w:rsidP="00A45E9B">
      <w:pPr>
        <w:pStyle w:val="Heading5"/>
        <w:rPr>
          <w:lang w:eastAsia="ja-JP"/>
        </w:rPr>
      </w:pPr>
      <w:r>
        <w:rPr>
          <w:lang w:eastAsia="ja-JP"/>
        </w:rPr>
        <w:t>Study 206208-014-Uveitis</w:t>
      </w:r>
    </w:p>
    <w:p w:rsidR="00DD5AB0" w:rsidRPr="00554B52" w:rsidRDefault="00DD5AB0" w:rsidP="00DD5AB0">
      <w:pPr>
        <w:rPr>
          <w:lang w:eastAsia="ja-JP"/>
        </w:rPr>
      </w:pPr>
      <w:r>
        <w:rPr>
          <w:lang w:eastAsia="ja-JP"/>
        </w:rPr>
        <w:t>The 77 patients randomised to the DEX 700 group, of whom 1 patient was randomised but not treated. 76 patients randomised to the DEX 350 group; 2 patients were randomized but not treated. The 76 patients randomised to the Sham group were to receive no active treatment; 1 patient was randomised but not treated.  The safety analyses are based on a total of 225 patients who received treatment of the 229 patients randomised. Exposure was similar across the 3 treatment groups. The mean (range) duration was 181.3 (49 to 225) days for patients in the DEX 700 group, 183.1 (140 to 216) days in the DEX 350 group, and 181.0 (22 to 262) days in the Sham group.</w:t>
      </w:r>
    </w:p>
    <w:p w:rsidR="00DD5AB0" w:rsidRDefault="00DD5AB0" w:rsidP="004C3275">
      <w:pPr>
        <w:pStyle w:val="Heading4"/>
        <w:numPr>
          <w:ilvl w:val="2"/>
          <w:numId w:val="5"/>
        </w:numPr>
      </w:pPr>
      <w:r>
        <w:t>Other studies</w:t>
      </w:r>
    </w:p>
    <w:p w:rsidR="00DD5AB0" w:rsidRDefault="00DD5AB0" w:rsidP="00A45E9B">
      <w:pPr>
        <w:pStyle w:val="Heading5"/>
      </w:pPr>
      <w:r>
        <w:t>Study 206207-010/011-DME</w:t>
      </w:r>
    </w:p>
    <w:p w:rsidR="00DD5AB0" w:rsidRDefault="00DD5AB0" w:rsidP="00DD5AB0">
      <w:r w:rsidRPr="00124682">
        <w:t>Overall 1040 with DME received at least 1 study treatment, and thus were included in the safety population: n = 347 in the DEX 700 subgroup, n = 343 in the DEX 350 subgroup and n = 350 in the Sham group.</w:t>
      </w:r>
      <w:r>
        <w:t xml:space="preserve"> Cumulative exposure was 22% less in the Sham group due to more patient discontinuations, primarily driven by a reported lack of efficacy.</w:t>
      </w:r>
    </w:p>
    <w:p w:rsidR="00DD5AB0" w:rsidRPr="00902743" w:rsidRDefault="00DD5AB0" w:rsidP="00DD5AB0">
      <w:r>
        <w:lastRenderedPageBreak/>
        <w:t>The pooled data from the Phase III studies represents a total of 853.9, 880.2 and 665.5 years of treatment exposure for the DEX 700, DEX 350 and Sham groups respectively with a total of 1427, 1501 and 1149 treatments for the three groups. The mean number of treatments given per patient was 4.1, 4.4 and 3.3 over 3 years (up to 7) across the DEX 700, DEX 350 and Sham groups.</w:t>
      </w:r>
    </w:p>
    <w:p w:rsidR="00DD5AB0" w:rsidRPr="00545B14" w:rsidRDefault="00DD5AB0" w:rsidP="004C3275">
      <w:pPr>
        <w:pStyle w:val="Heading3"/>
        <w:numPr>
          <w:ilvl w:val="1"/>
          <w:numId w:val="5"/>
        </w:numPr>
        <w:ind w:left="907" w:hanging="794"/>
      </w:pPr>
      <w:bookmarkStart w:id="183" w:name="_Toc471225124"/>
      <w:bookmarkStart w:id="184" w:name="_Toc6313903"/>
      <w:r w:rsidRPr="00545B14">
        <w:t>Adverse events</w:t>
      </w:r>
      <w:bookmarkEnd w:id="175"/>
      <w:bookmarkEnd w:id="176"/>
      <w:bookmarkEnd w:id="177"/>
      <w:bookmarkEnd w:id="178"/>
      <w:bookmarkEnd w:id="179"/>
      <w:bookmarkEnd w:id="180"/>
      <w:bookmarkEnd w:id="181"/>
      <w:bookmarkEnd w:id="182"/>
      <w:bookmarkEnd w:id="183"/>
      <w:bookmarkEnd w:id="184"/>
    </w:p>
    <w:p w:rsidR="00DD5AB0" w:rsidRPr="00545B14" w:rsidRDefault="00DD5AB0" w:rsidP="004C3275">
      <w:pPr>
        <w:pStyle w:val="Heading4"/>
        <w:numPr>
          <w:ilvl w:val="2"/>
          <w:numId w:val="5"/>
        </w:numPr>
      </w:pPr>
      <w:bookmarkStart w:id="185" w:name="_Ref272317284"/>
      <w:bookmarkStart w:id="186" w:name="_Ref272333565"/>
      <w:bookmarkStart w:id="187" w:name="_Toc272414664"/>
      <w:bookmarkStart w:id="188" w:name="_Toc290888528"/>
      <w:bookmarkStart w:id="189" w:name="_Toc416353744"/>
      <w:bookmarkStart w:id="190" w:name="_Toc421005287"/>
      <w:bookmarkStart w:id="191" w:name="_Toc432079164"/>
      <w:bookmarkStart w:id="192" w:name="_Toc432080737"/>
      <w:r w:rsidRPr="00545B14">
        <w:t xml:space="preserve">All </w:t>
      </w:r>
      <w:r w:rsidRPr="006D14CE">
        <w:t>adverse</w:t>
      </w:r>
      <w:r w:rsidRPr="00545B14">
        <w:t xml:space="preserve"> events (irrespective of relationship to study treatment)</w:t>
      </w:r>
      <w:bookmarkEnd w:id="185"/>
      <w:bookmarkEnd w:id="186"/>
      <w:bookmarkEnd w:id="187"/>
      <w:bookmarkEnd w:id="188"/>
      <w:bookmarkEnd w:id="189"/>
      <w:bookmarkEnd w:id="190"/>
      <w:bookmarkEnd w:id="191"/>
      <w:bookmarkEnd w:id="192"/>
    </w:p>
    <w:p w:rsidR="00DD5AB0" w:rsidRDefault="00DD5AB0" w:rsidP="00A45E9B">
      <w:pPr>
        <w:pStyle w:val="Heading5"/>
      </w:pPr>
      <w:r w:rsidRPr="00073FEC">
        <w:t>Pivotal studies</w:t>
      </w:r>
    </w:p>
    <w:p w:rsidR="00DD5AB0" w:rsidRPr="007E312F" w:rsidRDefault="00DD5AB0" w:rsidP="00DD5AB0">
      <w:pPr>
        <w:pStyle w:val="Heading6"/>
      </w:pPr>
      <w:r>
        <w:t>RVO indication</w:t>
      </w:r>
    </w:p>
    <w:p w:rsidR="00DD5AB0" w:rsidRDefault="00DD5AB0" w:rsidP="00DD5AB0">
      <w:r>
        <w:t xml:space="preserve">In Study 009 (IT period) AEs were reported for 73.3%, 72.1% and 62.9% of DEX 700, DEX 350 and Sham patients respectively and were significantly higher in the DEX groups versus Sham (p ≤ 0.040). </w:t>
      </w:r>
      <w:r w:rsidRPr="007D18CD">
        <w:t>Non-ocular AEs were reported for approximately 30% of each group (p ≥ 0.459). The most common</w:t>
      </w:r>
      <w:r>
        <w:t>ly reported</w:t>
      </w:r>
      <w:r w:rsidRPr="007D18CD">
        <w:t xml:space="preserve"> </w:t>
      </w:r>
      <w:r>
        <w:t xml:space="preserve">non-ocular AEs </w:t>
      </w:r>
      <w:r w:rsidRPr="007D18CD">
        <w:t>(&gt; 2% patients) were hypertension (5.3%, 4.2% a</w:t>
      </w:r>
      <w:r>
        <w:t xml:space="preserve">nd 5.0%), headache (3.1%, 4.2% and </w:t>
      </w:r>
      <w:r w:rsidRPr="007D18CD">
        <w:t>1.4%), nasopharyngitis (2.7%, 2.8% and 2.7%) and URTI (0.9%, 1.9% and 3.2%) of DEX 700, DEX 350 and Sham respectively.</w:t>
      </w:r>
      <w:r>
        <w:t xml:space="preserve"> </w:t>
      </w:r>
      <w:r w:rsidRPr="008C2D4F">
        <w:t>All ocular AEs were</w:t>
      </w:r>
      <w:r>
        <w:t xml:space="preserve"> reported for 68.0%, 65.6% and 51.1% and significantly higher in the DEX groups versus Sham (p ≤ 0.002). IOP increased was the most common ocular AE (</w:t>
      </w:r>
      <w:r w:rsidRPr="00C64E2E">
        <w:t>26.7%</w:t>
      </w:r>
      <w:r>
        <w:t xml:space="preserve">, 26.0% and </w:t>
      </w:r>
      <w:r w:rsidRPr="00C64E2E">
        <w:t>2.3%)</w:t>
      </w:r>
      <w:r>
        <w:t xml:space="preserve"> and significantly higher with DEX than Sham (p &lt; 0.001).</w:t>
      </w:r>
    </w:p>
    <w:p w:rsidR="00DD5AB0" w:rsidRDefault="00DD5AB0" w:rsidP="00DD5AB0">
      <w:r>
        <w:t xml:space="preserve">In the OL extension, </w:t>
      </w:r>
      <w:r w:rsidRPr="00750D5D">
        <w:t xml:space="preserve">AEs were reported </w:t>
      </w:r>
      <w:r>
        <w:t xml:space="preserve">for 82.1%, 85.0% and </w:t>
      </w:r>
      <w:r w:rsidRPr="00750D5D">
        <w:t>79.2%</w:t>
      </w:r>
      <w:r>
        <w:t xml:space="preserve"> of DEX 700/700, DEX 350/700 and Sham/DEX 700 patients respectively</w:t>
      </w:r>
      <w:r w:rsidRPr="00750D5D">
        <w:t xml:space="preserve">. </w:t>
      </w:r>
      <w:r>
        <w:t>N</w:t>
      </w:r>
      <w:r w:rsidRPr="00B201CA">
        <w:t xml:space="preserve">on-ocular AEs reported </w:t>
      </w:r>
      <w:r>
        <w:t xml:space="preserve">for 30.2%, 32.9% and 33.9% and ocular AEs for 78.8%, 77.5% and 76.2% </w:t>
      </w:r>
      <w:r w:rsidRPr="00B201CA">
        <w:t>DEX 700/700, DEX 350/700 and Sham/DEX 700 patients respectively</w:t>
      </w:r>
      <w:r>
        <w:t>. Common non-ocular AEs were</w:t>
      </w:r>
      <w:r w:rsidRPr="00B201CA">
        <w:t xml:space="preserve"> hypertension (5.6%, 5.2% and 7.7%), nasopharyngitis (3.4%, 2.3% and 1.8%) and headache (1.7%, 2.9% and 0.0%). In addition (under Neoplasms SOC), choroidal naevus was reported in 2.2% (4/179) of DEX 700/700 but none of the other two groups.</w:t>
      </w:r>
    </w:p>
    <w:p w:rsidR="00DD5AB0" w:rsidRDefault="00DD5AB0" w:rsidP="00DD5AB0">
      <w:r w:rsidRPr="00750D5D">
        <w:t xml:space="preserve">The 12-month cumulative period incidence of all AEs was 86.0% (154/179), 88.4% (153/173) and 85.7% (144/168) of DEX 700/700, DEX 350/700 and Sham/DEX 700 </w:t>
      </w:r>
      <w:r>
        <w:t xml:space="preserve">patients </w:t>
      </w:r>
      <w:r w:rsidRPr="00750D5D">
        <w:t>respectively. The most frequently reported adverse events (incidence &gt; 10% in any treatment group) ove</w:t>
      </w:r>
      <w:r>
        <w:t xml:space="preserve">r the 12-month period were IOP </w:t>
      </w:r>
      <w:r w:rsidRPr="00750D5D">
        <w:t>increased</w:t>
      </w:r>
      <w:r>
        <w:t xml:space="preserve"> (34.1%, 36.4% and 30.4%)</w:t>
      </w:r>
      <w:r w:rsidRPr="00750D5D">
        <w:t>, conjunctival haemorrhage, cataracts, subcapsular cataracts, conjunctival hyperaemia and eye pain.</w:t>
      </w:r>
      <w:r>
        <w:t xml:space="preserve"> Overall t</w:t>
      </w:r>
      <w:r w:rsidRPr="00750D5D">
        <w:t xml:space="preserve">he </w:t>
      </w:r>
      <w:r>
        <w:t xml:space="preserve">ocular </w:t>
      </w:r>
      <w:r w:rsidRPr="00750D5D">
        <w:t xml:space="preserve">AE profile </w:t>
      </w:r>
      <w:r>
        <w:t>was similar between all three groups but t</w:t>
      </w:r>
      <w:r w:rsidRPr="00750D5D">
        <w:t xml:space="preserve">he incidence of cataracts was higher in patients who had received 2 doses of DEX compared to patients who had received Sham in the IT period at 15.6%, 9.8% and 5.4% of DEX 700/700, DEX 350/700 and Sham/DEX 700 respectively and ‘cataract subscapsular’ at 13.4%, 5.2% and 6.0%. </w:t>
      </w:r>
      <w:r>
        <w:t xml:space="preserve"> </w:t>
      </w:r>
    </w:p>
    <w:p w:rsidR="00DD5AB0" w:rsidRDefault="00DD5AB0" w:rsidP="00DD5AB0">
      <w:r>
        <w:t xml:space="preserve">For Study 008 (IT period), the incidence of AEs was 71.4%, 71.6% and 51.0% of DEX 700, DEX 350 and Sham patients (p = &lt; 0.001). </w:t>
      </w:r>
      <w:r w:rsidRPr="00C64E2E">
        <w:t>Non-ocular AEs were reported for approximately 29% of each group</w:t>
      </w:r>
      <w:r>
        <w:t xml:space="preserve"> (</w:t>
      </w:r>
      <w:r w:rsidRPr="00C64E2E">
        <w:t>p ≥ 0.800).</w:t>
      </w:r>
      <w:r>
        <w:t xml:space="preserve"> </w:t>
      </w:r>
      <w:r w:rsidRPr="00C64E2E">
        <w:t>The most common (&gt; 2% patients) non-ocular AEs were hypertension (2.6%, 2.0% and 2.0%), headache (3.6%, 0.5%, 2.0%) and influenza (2.6%, 1.0% and 1.0%) of DEX 700, DEX 350 and Sham respectively.</w:t>
      </w:r>
      <w:r>
        <w:t xml:space="preserve"> Ocular AEs were reported for </w:t>
      </w:r>
      <w:r w:rsidRPr="00784A6E">
        <w:t>59.7%, 63.5% and 40.1%</w:t>
      </w:r>
      <w:r>
        <w:t xml:space="preserve"> and significantly higher with DEX treatment than Sham (p ≤ 0.001). The profile of all ocular AEs in Study 008 (IT period) was significantly higher with both DEX 700 (26.7%) and DEX 350 (26.0%) compared to Sham (2.3%) with ‘IOP increased’ responsible for the majority of this difference and  was significantly higher with both DEX 700 (23.5%) and DEX 350 (23.4%) compared to Sham (3.0%) (</w:t>
      </w:r>
      <w:proofErr w:type="gramStart"/>
      <w:r>
        <w:t>p</w:t>
      </w:r>
      <w:proofErr w:type="gramEnd"/>
      <w:r>
        <w:t xml:space="preserve"> &lt; 0.001).</w:t>
      </w:r>
    </w:p>
    <w:p w:rsidR="00DD5AB0" w:rsidRDefault="00DD5AB0" w:rsidP="00DD5AB0">
      <w:r>
        <w:lastRenderedPageBreak/>
        <w:t xml:space="preserve">In the OL extension AEs were reported for 79.0% 71.2% and 69.8% of the DEX 700/700, DEX 350/700 group and Sham/DEX 700 group respectively. Non-ocular AEs occurred in 29.6%, 28.2% and </w:t>
      </w:r>
      <w:r w:rsidRPr="00125FEB">
        <w:t>28.9%</w:t>
      </w:r>
      <w:r>
        <w:t xml:space="preserve"> and ocular AEs in 59.7%, 63.5% and </w:t>
      </w:r>
      <w:r w:rsidRPr="007A352E">
        <w:t>40.1%</w:t>
      </w:r>
      <w:r>
        <w:t xml:space="preserve">. Incidence of all ocular AE comparison between both DEX re-treatment groups and Sham/DEX 700 was significant (p &lt; 0.001). The most notable difference was in the incidence of AEs in the Sham/DEX 700 group during the OL extension from the IT period. During the OL extension, the adverse event profile was similar between the 3 treatment groups, each of whom had received DEX 700 as their second injection. The incidences of subcapsular cataracts and cataracts (not otherwise specified) were however higher in patients who had received 2 doses of DEX 700 (12.3% and 6.2%, respectively) compared to patients who had received Sham as initial treatment followed by DEX 700 in the OL extension (1.3% and 0.6%, respectively). Similarly in the DEX 350/700 group, 7.1% and 6.4% of patients reported subcapsular cataracts and cataracts, respectively. </w:t>
      </w:r>
    </w:p>
    <w:p w:rsidR="00DD5AB0" w:rsidRDefault="00DD5AB0" w:rsidP="00DD5AB0">
      <w:r>
        <w:t xml:space="preserve">The cumulative 12-month AE incidence of adverse events was 84.6% for patients in the DEX 700/700 group, 85.9% in the DEX 350/700 group and 74.2% in the Sham/DEX 700 group. The most frequently reported adverse events (incidence &gt; 10% in any treatment group) over the 12-month period were </w:t>
      </w:r>
      <w:proofErr w:type="gramStart"/>
      <w:r>
        <w:t>IOP  increased</w:t>
      </w:r>
      <w:proofErr w:type="gramEnd"/>
      <w:r>
        <w:t>, conjunctival haemorrhage, and subcapsular cataracts. IOP increased was reported for 30.9% of patients in the DEX 700/700 group, 35.9% in the DEX 350/700 group, and 25.8% in the Sham/DEX 700 group. Conjunctival haemorrhage was reported for 24.7% of patients in the DEX 700/700 group, 21.8% in the DEX 350/700 group, and 18.2% in the Sham/DEX 700 group. The incidence of subcapsular cataracts was higher in the DEX 700/700 (12.3%) and DEX 350/700 (7.1%) groups compared with the Sham/DEX 700 group (1.3%).</w:t>
      </w:r>
    </w:p>
    <w:p w:rsidR="00DD5AB0" w:rsidRDefault="00DD5AB0" w:rsidP="00DD5AB0">
      <w:r>
        <w:t xml:space="preserve">For the pooled safety population of Studies 008 and 009, all AEs (IT period) were reported for 72.4%, 71.8% and 57.0% of DEX 700, DEX 350 and Sham respectively and significantly higher with DEX than Sham (p &lt; 0.001). Non-ocular AEs were occurred for approximately 30.5% of each group (p = 0.793). The incidence of ocular AEs was 64.1%, 64.6% and 45.4% for DEX 700 and Sham, significantly higher with DEX than Sham (p &lt; 0.001). IOP increased was more common in both the DEX 700 and DEX 350 groups versus Sham (p &lt; 0.001) and cataracts more common in the DEX 700 group versus Sham (p = 0.014). </w:t>
      </w:r>
    </w:p>
    <w:p w:rsidR="00DD5AB0" w:rsidRDefault="00DD5AB0" w:rsidP="00DD5AB0">
      <w:r>
        <w:t xml:space="preserve">In the 12-month cumulative period for the retreatment population, the incidence of all AEs rose to 85.3%, 87.2% and 80.1% in the DEX 700/700, DEX 350/700 and Sham/DEX 700 groups respectively. (DEX 700/700 versus Sham/DEX 700: p = 0.074; DEX 350/700 versus Sham: p = </w:t>
      </w:r>
      <w:r w:rsidRPr="002663D4">
        <w:t>0.014</w:t>
      </w:r>
      <w:r>
        <w:t>). All ocular AEs were reported in 77.7%, 79.6% and 71.9%. Of non-ocular AEs,</w:t>
      </w:r>
      <w:r w:rsidRPr="00805A36">
        <w:t xml:space="preserve"> </w:t>
      </w:r>
      <w:r>
        <w:t>b</w:t>
      </w:r>
      <w:r w:rsidRPr="00805A36">
        <w:t>ronchitis and osteoarthritis were also more common in</w:t>
      </w:r>
      <w:r>
        <w:t xml:space="preserve"> the</w:t>
      </w:r>
      <w:r w:rsidRPr="00805A36">
        <w:t xml:space="preserve"> Sham/DEX 700</w:t>
      </w:r>
      <w:r>
        <w:t xml:space="preserve"> group versus DEX 700/700</w:t>
      </w:r>
      <w:r w:rsidRPr="00805A36">
        <w:t xml:space="preserve"> (p = 0.009 and p = 0.028 respectively).</w:t>
      </w:r>
      <w:r>
        <w:t xml:space="preserve"> Cataracts and cataracts subscapsular were significantly more common in the </w:t>
      </w:r>
      <w:r w:rsidRPr="002663D4">
        <w:t xml:space="preserve">DEX 700/700 </w:t>
      </w:r>
      <w:r>
        <w:t xml:space="preserve">group (11.7% and 12.9%) </w:t>
      </w:r>
      <w:r w:rsidRPr="002663D4">
        <w:t>versus Sham/DEX 700</w:t>
      </w:r>
      <w:r>
        <w:t xml:space="preserve"> (3.4% and 4.0%) (</w:t>
      </w:r>
      <w:proofErr w:type="gramStart"/>
      <w:r>
        <w:t>p</w:t>
      </w:r>
      <w:proofErr w:type="gramEnd"/>
      <w:r>
        <w:t xml:space="preserve"> &lt; 0.001) as were cataract subscapular with DEX 700/700 (12.9%) versus DEX 350/700 (6.1%) (p = 0.003). </w:t>
      </w:r>
    </w:p>
    <w:p w:rsidR="00DD5AB0" w:rsidRDefault="00DD5AB0" w:rsidP="00DD5AB0">
      <w:r>
        <w:t xml:space="preserve">In </w:t>
      </w:r>
      <w:r w:rsidRPr="00750D5D">
        <w:t>Study 020, AEs were reported for 53.5% (69/129) of DEX 700 and 31.5% (41/130) of Sham patients. Ocular AEs (in either eye) were reported for 48.8% of DEX 700 and 26.2% of Sham (p &lt;0.001) with non-ocular events reported for 14.0% and 10.0% (p = 0.327). The only non-ocula</w:t>
      </w:r>
      <w:r>
        <w:t xml:space="preserve">r AE reported in &gt; 2% patients </w:t>
      </w:r>
      <w:r w:rsidRPr="00750D5D">
        <w:t xml:space="preserve">was headache in 2.3% and 0.8% of DEX 700 and </w:t>
      </w:r>
      <w:r>
        <w:t xml:space="preserve">Sham, with no significant differences between treatment groups. Of ocular AEs, IOP increased (29.5% versus 3.1%) conjunctival haemorrhage (18.6% versus 3.8%) and conjunctival </w:t>
      </w:r>
      <w:proofErr w:type="gramStart"/>
      <w:r>
        <w:t>hyperaemia (13.2% versus 4.6%) were</w:t>
      </w:r>
      <w:proofErr w:type="gramEnd"/>
      <w:r>
        <w:t xml:space="preserve"> all significantly higher with DEX 700 versus Sham.</w:t>
      </w:r>
    </w:p>
    <w:p w:rsidR="00DD5AB0" w:rsidRDefault="00DD5AB0" w:rsidP="00DD5AB0">
      <w:pPr>
        <w:pStyle w:val="Heading6"/>
      </w:pPr>
      <w:r>
        <w:t>Uveitis indication</w:t>
      </w:r>
    </w:p>
    <w:p w:rsidR="00DD5AB0" w:rsidRDefault="00DD5AB0" w:rsidP="00DD5AB0">
      <w:r>
        <w:t xml:space="preserve">There was no statistically significant difference in Study 206207-014 in the rate of adverse events among the 3 treatment groups (p = 0.170) at 80.3% (61/76) in the DEX 700 group, </w:t>
      </w:r>
      <w:r>
        <w:lastRenderedPageBreak/>
        <w:t xml:space="preserve">78.4% (58/74) in the DEX 350 group, and 68.0% (51/75) in the Sham group, however there were numerically more AE in the group treated with dexamethasone. Non-ocular AEs were reported for 42.1%, 35.1% and 34.7%, and ocular AEs (in the study eye) reported for 75.0%, 66.2% and 60.0% of DEX 700, DEX 350 and Sham respectively. IOP increased was higher with DEX 700 (30%) compared to Sham (7%) (p = 0.002) and DEX 350 compared to Sham (p = 0.005) as was ocular hypertension was higher with DEX 700 (8%) compared to Sham (0%) (p = 0.028) and DEX 350 compared to Sham (p = 0.006) In addition, vitreous detachment, reported for 3 patients in the DEX 350 group compared to 0 patients in the DEX 700 and Sham groups, was statistically significant in among-group comparison (p = 0.035). </w:t>
      </w:r>
    </w:p>
    <w:p w:rsidR="00DD5AB0" w:rsidRDefault="00DD5AB0" w:rsidP="00DD5AB0">
      <w:r>
        <w:t>The most commonly reported non-ocular AEs were headache (6.6% DEX 700, 8.1% DEX 350, 6.7% Sham), sinusitis (3.9%, 0.0% and 1.3% respectively), and nasopharyngitis (2.6%, 4.1% and 1.3% respectively). None of the non-ocular AEs were considered related to study treatment.</w:t>
      </w:r>
    </w:p>
    <w:p w:rsidR="00DD5AB0" w:rsidRPr="00073FEC" w:rsidRDefault="00DD5AB0" w:rsidP="00A45E9B">
      <w:pPr>
        <w:pStyle w:val="Heading5"/>
      </w:pPr>
      <w:r w:rsidRPr="00073FEC">
        <w:t>Other studies</w:t>
      </w:r>
    </w:p>
    <w:p w:rsidR="00DD5AB0" w:rsidRDefault="00DD5AB0" w:rsidP="00DD5AB0">
      <w:pPr>
        <w:pStyle w:val="Heading6"/>
      </w:pPr>
      <w:r>
        <w:t>Studies 206207-010/011 (Diabetic macular oedema)</w:t>
      </w:r>
    </w:p>
    <w:p w:rsidR="00DD5AB0" w:rsidRDefault="00DD5AB0" w:rsidP="00DD5AB0">
      <w:r>
        <w:t xml:space="preserve">The overall incidence of AEs regardless of causality was 96.0% (333/347), 97.4 (334/343) and 80.3% (281/350) across the DEX 700, DEX 350 and Sham groups respectively.  The overall incidence of non-ocular adverse events was higher in the DEX 700 group (69.5%) and DEX 350 group (69.1%) compared to Sham (59.1%) but adjusted for study exposure, the rates (per 100 patient years) were similar between the groups: 28.2, 26.9, and 31.1 in the DEX 700, DEX 350, and Sham groups, respectively. The overall incidence of all ocular adverse events in the study eye was higher in the DEX 700 group (85.3%) and DEX 350 groups (88.3%) compared to Sham (58.0%). Adjusted for study exposure, the rates (per 100 patient years) were only slightly higher in the DEX groups: 34.7, 34.4, and </w:t>
      </w:r>
      <w:r w:rsidRPr="00D47FE2">
        <w:t>30.5 in the DEX 700, DEX 350, and Sham groups, respectively</w:t>
      </w:r>
      <w:r>
        <w:t>.</w:t>
      </w:r>
    </w:p>
    <w:p w:rsidR="00DD5AB0" w:rsidRDefault="00DD5AB0" w:rsidP="004C3275">
      <w:pPr>
        <w:pStyle w:val="Heading4"/>
        <w:numPr>
          <w:ilvl w:val="2"/>
          <w:numId w:val="5"/>
        </w:numPr>
      </w:pPr>
      <w:bookmarkStart w:id="193" w:name="_Ref272333567"/>
      <w:bookmarkStart w:id="194" w:name="_Toc272414665"/>
      <w:bookmarkStart w:id="195" w:name="_Toc290888529"/>
      <w:bookmarkStart w:id="196" w:name="_Toc416353745"/>
      <w:bookmarkStart w:id="197" w:name="_Toc421005288"/>
      <w:bookmarkStart w:id="198" w:name="_Toc432079165"/>
      <w:bookmarkStart w:id="199" w:name="_Toc432080738"/>
      <w:r w:rsidRPr="00545B14">
        <w:t>Treatment</w:t>
      </w:r>
      <w:r>
        <w:t xml:space="preserve"> </w:t>
      </w:r>
      <w:r w:rsidRPr="00545B14">
        <w:t>related adverse events (adverse drug reactions)</w:t>
      </w:r>
      <w:bookmarkEnd w:id="193"/>
      <w:bookmarkEnd w:id="194"/>
      <w:bookmarkEnd w:id="195"/>
      <w:bookmarkEnd w:id="196"/>
      <w:bookmarkEnd w:id="197"/>
      <w:bookmarkEnd w:id="198"/>
      <w:bookmarkEnd w:id="199"/>
    </w:p>
    <w:p w:rsidR="00DD5AB0" w:rsidRPr="00AA6A9C" w:rsidRDefault="00DD5AB0" w:rsidP="00A45E9B">
      <w:pPr>
        <w:pStyle w:val="Heading5"/>
        <w:rPr>
          <w:lang w:eastAsia="ja-JP"/>
        </w:rPr>
      </w:pPr>
      <w:r>
        <w:rPr>
          <w:lang w:eastAsia="ja-JP"/>
        </w:rPr>
        <w:t>Pivotal studies</w:t>
      </w:r>
    </w:p>
    <w:p w:rsidR="00DD5AB0" w:rsidRDefault="00DD5AB0" w:rsidP="00DD5AB0">
      <w:pPr>
        <w:rPr>
          <w:lang w:eastAsia="ja-JP"/>
        </w:rPr>
      </w:pPr>
      <w:r>
        <w:rPr>
          <w:lang w:eastAsia="ja-JP"/>
        </w:rPr>
        <w:t xml:space="preserve">Across all the submitted pivotal studies very few (&lt; 0.5%) of treatment-related AEs were non-ocular, and were listed as headache (mild severity). </w:t>
      </w:r>
    </w:p>
    <w:p w:rsidR="00DD5AB0" w:rsidRPr="008D70F9" w:rsidRDefault="00DD5AB0" w:rsidP="00DD5AB0">
      <w:pPr>
        <w:rPr>
          <w:lang w:eastAsia="ja-JP"/>
        </w:rPr>
      </w:pPr>
      <w:r>
        <w:rPr>
          <w:lang w:eastAsia="ja-JP"/>
        </w:rPr>
        <w:t xml:space="preserve">A distinction was made between treatment-related AEs that were related to DEX PS DDS (ocular dexamethasone toxicity) itself and those related to the insertion technique itself. The logic behind this is that insertion related AEs generally appeared rapidly following insertion and were largely considered to be a consequence of localised irritation or trauma related to needle procedure. These AEs were acute, generally mild in severity and short lived. AEs related to DEX PS DDS itself were seen as due to DEX toxicity or reaction to the implant, and were time-dependent increasing with the duration of dexamethasone exposure. Common insertion-related AEs included conjunctival haemorrhage, conjunctival hyperaemia, eye pain, vitreous haemorrhage, and conjunctival oedema whereas treatment-related AEs associated with DEX PS DDS that were common across studies were IOP </w:t>
      </w:r>
      <w:proofErr w:type="gramStart"/>
      <w:r>
        <w:rPr>
          <w:lang w:eastAsia="ja-JP"/>
        </w:rPr>
        <w:t>increased,</w:t>
      </w:r>
      <w:proofErr w:type="gramEnd"/>
      <w:r>
        <w:rPr>
          <w:lang w:eastAsia="ja-JP"/>
        </w:rPr>
        <w:t xml:space="preserve"> ocular hypertension, cataract and cataract subscapular. </w:t>
      </w:r>
    </w:p>
    <w:p w:rsidR="00DD5AB0" w:rsidRDefault="00DD5AB0" w:rsidP="00DD5AB0">
      <w:pPr>
        <w:pStyle w:val="Heading6"/>
      </w:pPr>
      <w:r>
        <w:t>RVO indication</w:t>
      </w:r>
    </w:p>
    <w:p w:rsidR="00DD5AB0" w:rsidRPr="009422A7" w:rsidRDefault="00DD5AB0" w:rsidP="00DD5AB0">
      <w:r w:rsidRPr="009422A7">
        <w:t xml:space="preserve">In Study 206207-008 (IT period) the incidence of treatment-related AEs was significantly higher for the DEX 700 group (43.9% (86/196)) and the DEX 350 group (45.7% (90/197)) compared to Sham (14.9% (30/202)) (both DEX doses versus Sham comparisons: p &lt; 0.001) with no difference in incidence between the 2 DEX doses (p = 0.719). For the DEX 700, DEX 350 and Sham groups respectively, the incidence of AEs due to applicator/insertion was 20.4%, 21.3% and 13.9% (p = 0.111); incidence of AEs due to </w:t>
      </w:r>
      <w:r w:rsidRPr="009422A7">
        <w:lastRenderedPageBreak/>
        <w:t>DEX PS DDS itself was 30.6%, 30.5% and 3.0% (p &lt; 0.001) and the incidence of AEs due to both the applicator and DEX PS DDS was 7.1%, 6.1% and 2.0% (p &lt; 0.030).</w:t>
      </w:r>
    </w:p>
    <w:p w:rsidR="00DD5AB0" w:rsidRPr="009422A7" w:rsidRDefault="00DD5AB0" w:rsidP="00DD5AB0">
      <w:r w:rsidRPr="009422A7">
        <w:t>The increased incidence of IOP increased between both DEX 700 (23.0%) and DEX 350 (23.4%) versus Sham (14.9%) was statistically significant (both comparisons: p &lt; 0.001). Ocular hypertension was reported for 3.1% of DEX 700 and 4.1% of DEX 350 patients versus 0.5% of Sham patients (DEX 700 and DEX 350 versus Sham, p = 0.064 and p = 0.019 respectively). Other common treatment-related AEs included conjunctival haemorrhage in 15.8%, 13.7% and 9.4% of DEX 700, DEX 350 and Sham patients respectively; eye pain in 4.6%, 2.5% and 2.5% and conjunctival oedema in 1.5%, 4.1% and 2 1.0% with no significant differences in incidence between groups.</w:t>
      </w:r>
    </w:p>
    <w:p w:rsidR="00DD5AB0" w:rsidRDefault="00DD5AB0" w:rsidP="00DD5AB0">
      <w:pPr>
        <w:rPr>
          <w:lang w:eastAsia="ja-JP"/>
        </w:rPr>
      </w:pPr>
      <w:r w:rsidRPr="009422A7">
        <w:t>Following re-treatment in Study 008 (OL extension),</w:t>
      </w:r>
      <w:r>
        <w:rPr>
          <w:lang w:eastAsia="ja-JP"/>
        </w:rPr>
        <w:t xml:space="preserve"> the cumulative (12-month) incidence of treatment-related AEs was 58.6%, 58.3% and 42.1% for the DEX 700/700, DEX 350/700 group, Sham/DEX 700 groups respectively, significantly higher in both DEX/DEX treated versus Sham/DEX 700 (p ≤ 0.004). IOP increased</w:t>
      </w:r>
      <w:r w:rsidRPr="002C6600">
        <w:t xml:space="preserve"> </w:t>
      </w:r>
      <w:r>
        <w:t>(</w:t>
      </w:r>
      <w:r>
        <w:rPr>
          <w:lang w:eastAsia="ja-JP"/>
        </w:rPr>
        <w:t xml:space="preserve">28.4%, 32.7% and </w:t>
      </w:r>
      <w:r w:rsidRPr="002C6600">
        <w:rPr>
          <w:lang w:eastAsia="ja-JP"/>
        </w:rPr>
        <w:t>22.6%)</w:t>
      </w:r>
      <w:r>
        <w:rPr>
          <w:lang w:eastAsia="ja-JP"/>
        </w:rPr>
        <w:t xml:space="preserve"> conjunctival haemorrhage (18.5%,</w:t>
      </w:r>
      <w:r w:rsidRPr="00E70B46">
        <w:rPr>
          <w:lang w:eastAsia="ja-JP"/>
        </w:rPr>
        <w:t xml:space="preserve"> 17.3%) </w:t>
      </w:r>
      <w:r>
        <w:rPr>
          <w:lang w:eastAsia="ja-JP"/>
        </w:rPr>
        <w:t>and</w:t>
      </w:r>
      <w:r w:rsidRPr="00E70B46">
        <w:rPr>
          <w:lang w:eastAsia="ja-JP"/>
        </w:rPr>
        <w:t xml:space="preserve"> 13.8%)</w:t>
      </w:r>
      <w:r>
        <w:rPr>
          <w:lang w:eastAsia="ja-JP"/>
        </w:rPr>
        <w:t xml:space="preserve"> cataract subscapular (</w:t>
      </w:r>
      <w:r w:rsidRPr="00E70B46">
        <w:rPr>
          <w:lang w:eastAsia="ja-JP"/>
        </w:rPr>
        <w:t>9.3%</w:t>
      </w:r>
      <w:r>
        <w:rPr>
          <w:lang w:eastAsia="ja-JP"/>
        </w:rPr>
        <w:t xml:space="preserve">, 6.4% and </w:t>
      </w:r>
      <w:r w:rsidRPr="00E70B46">
        <w:rPr>
          <w:lang w:eastAsia="ja-JP"/>
        </w:rPr>
        <w:t>0.6%)</w:t>
      </w:r>
      <w:r>
        <w:rPr>
          <w:lang w:eastAsia="ja-JP"/>
        </w:rPr>
        <w:t xml:space="preserve">, cataract (6.2%, 4.5%, </w:t>
      </w:r>
      <w:r w:rsidRPr="00E70B46">
        <w:rPr>
          <w:lang w:eastAsia="ja-JP"/>
        </w:rPr>
        <w:t>0.0%)</w:t>
      </w:r>
      <w:r>
        <w:rPr>
          <w:lang w:eastAsia="ja-JP"/>
        </w:rPr>
        <w:t xml:space="preserve">, eye pain (5.6%, 3.2% and </w:t>
      </w:r>
      <w:r w:rsidRPr="00E70B46">
        <w:rPr>
          <w:lang w:eastAsia="ja-JP"/>
        </w:rPr>
        <w:t>5.0%)</w:t>
      </w:r>
      <w:r>
        <w:rPr>
          <w:lang w:eastAsia="ja-JP"/>
        </w:rPr>
        <w:t>, conjunctival hyperaemia (4.3%,</w:t>
      </w:r>
      <w:r w:rsidRPr="00E70B46">
        <w:rPr>
          <w:lang w:eastAsia="ja-JP"/>
        </w:rPr>
        <w:t xml:space="preserve"> 4.5%</w:t>
      </w:r>
      <w:r>
        <w:rPr>
          <w:lang w:eastAsia="ja-JP"/>
        </w:rPr>
        <w:t xml:space="preserve"> and </w:t>
      </w:r>
      <w:r w:rsidRPr="00E70B46">
        <w:rPr>
          <w:lang w:eastAsia="ja-JP"/>
        </w:rPr>
        <w:t>3.1%)</w:t>
      </w:r>
      <w:r>
        <w:rPr>
          <w:lang w:eastAsia="ja-JP"/>
        </w:rPr>
        <w:t xml:space="preserve"> and ocular hypertension (3.7%, 3.2% and</w:t>
      </w:r>
      <w:r w:rsidRPr="00E70B46">
        <w:rPr>
          <w:lang w:eastAsia="ja-JP"/>
        </w:rPr>
        <w:t xml:space="preserve"> 4.4%)</w:t>
      </w:r>
      <w:r>
        <w:rPr>
          <w:lang w:eastAsia="ja-JP"/>
        </w:rPr>
        <w:t xml:space="preserve"> were the most common 12-month AEs in the DEX 700/700, </w:t>
      </w:r>
      <w:r w:rsidRPr="00E70B46">
        <w:rPr>
          <w:lang w:eastAsia="ja-JP"/>
        </w:rPr>
        <w:t xml:space="preserve">DEX 350/700 </w:t>
      </w:r>
      <w:r>
        <w:rPr>
          <w:lang w:eastAsia="ja-JP"/>
        </w:rPr>
        <w:t xml:space="preserve">and </w:t>
      </w:r>
      <w:r w:rsidRPr="00E70B46">
        <w:rPr>
          <w:lang w:eastAsia="ja-JP"/>
        </w:rPr>
        <w:t>Sham/DEX 700</w:t>
      </w:r>
      <w:r>
        <w:rPr>
          <w:lang w:eastAsia="ja-JP"/>
        </w:rPr>
        <w:t xml:space="preserve"> groups respectively. Only cataract subscapular (p ≤ 0.005) and cataract (p ≤ 0.007) were statistically more common in the DEX/DEX treatment groups than Sham/DEX 700.</w:t>
      </w:r>
    </w:p>
    <w:p w:rsidR="00DD5AB0" w:rsidRDefault="00DD5AB0" w:rsidP="00DD5AB0">
      <w:pPr>
        <w:rPr>
          <w:lang w:eastAsia="ja-JP"/>
        </w:rPr>
      </w:pPr>
      <w:r w:rsidRPr="009422A7">
        <w:t>In Study 009 (IT period)</w:t>
      </w:r>
      <w:r>
        <w:rPr>
          <w:lang w:eastAsia="ja-JP"/>
        </w:rPr>
        <w:t xml:space="preserve"> the incidence of all treatment-related AEs was higher for both the DEX 700 group (50.2% (113/225)) and the DEX 350 group at (47.4% (102/215)) compared with Sham at (19.9% (44/221)) (both DEX groups versus Sham, p &lt; 0.001) however differences in treatment-related AE incidence between DEX dose groups was non-significant (p = 0.560). For the DEX 700, DEX 350 and Sham groups respectively, the incidence of AEs due to applicator/insertion was 24.9%, 24.2% and 16.3% (p = 0.052); incidence of AEs due to DEX PS DDS itself was 36.0%, 32.6% and 5.4% (p &lt; 0.001) and the incidence of AEs due to both the applicator and DEX PS DDS was 10.7%, 9.8% and 1.8% (p &lt; 0.001). </w:t>
      </w:r>
      <w:r w:rsidRPr="00D2508F">
        <w:rPr>
          <w:lang w:eastAsia="ja-JP"/>
        </w:rPr>
        <w:t>The most common treatment-related adverse events were IOP increased (24.9%, 24.2% and 0.5%), conjunctival haemorrhage (13.8%, 12.6% and 10.0%), conjunctival hyperaemia (5.3%, 4.2% and 4.1%), ocular hypertension (4.0%, 3.3% and 0.5%), eye pain (4.0%, 2.8% and 2.7%), conjunctival oedema (2.7%, 1.9% and 1.8%), cataract (2.7%, 1.4% and 1.8%) and vitreous haemorrhage (2.2%, 2.8% and 1.8%). Numerically, almost all common treatment-related AEs were greater in the DEX groups versus Sham. In pairwise comparisons, statistically significant higher incidence of  ‘IOP increased’ for both DEX 700 and DEX 350 versus Sham (both p &lt; 0.001) and ocular hypertension for both DEX 700 and DEX 350 versus Sham (p = 0.020;</w:t>
      </w:r>
      <w:r>
        <w:rPr>
          <w:lang w:eastAsia="ja-JP"/>
        </w:rPr>
        <w:t xml:space="preserve"> </w:t>
      </w:r>
      <w:r w:rsidRPr="00D2508F">
        <w:rPr>
          <w:lang w:eastAsia="ja-JP"/>
        </w:rPr>
        <w:t>p = 0.035 respectively).</w:t>
      </w:r>
    </w:p>
    <w:p w:rsidR="00DD5AB0" w:rsidRDefault="00DD5AB0" w:rsidP="00DD5AB0">
      <w:pPr>
        <w:rPr>
          <w:lang w:eastAsia="ja-JP"/>
        </w:rPr>
      </w:pPr>
      <w:r>
        <w:rPr>
          <w:lang w:eastAsia="ja-JP"/>
        </w:rPr>
        <w:t xml:space="preserve">Following re-treatment in </w:t>
      </w:r>
      <w:r w:rsidRPr="009422A7">
        <w:t>Study 009 (OL extension),</w:t>
      </w:r>
      <w:r>
        <w:rPr>
          <w:lang w:eastAsia="ja-JP"/>
        </w:rPr>
        <w:t xml:space="preserve"> the cumulative (12-month) incidence of treatment-related AEs was 67.6%, 65.9% and 56.5% for the DEX 700/700, DEX 350/700 group, Sham/DEX 700 groups respectively (amongst group p = 0.073). The most common treatment related AEs were as for Study 008. The incidence of cataract (11.7%, 6.9% and 3.6%) and cataract subscapular (10.6%, 5.2% and</w:t>
      </w:r>
      <w:r w:rsidRPr="00D2508F">
        <w:rPr>
          <w:lang w:eastAsia="ja-JP"/>
        </w:rPr>
        <w:t xml:space="preserve"> 3.0%)</w:t>
      </w:r>
      <w:r>
        <w:rPr>
          <w:lang w:eastAsia="ja-JP"/>
        </w:rPr>
        <w:t xml:space="preserve"> were more common </w:t>
      </w:r>
      <w:r w:rsidRPr="00D2508F">
        <w:rPr>
          <w:lang w:eastAsia="ja-JP"/>
        </w:rPr>
        <w:t>DEX 700/700, DEX 350/700 and Sham/DEX 700 groups respectively</w:t>
      </w:r>
      <w:r>
        <w:rPr>
          <w:lang w:eastAsia="ja-JP"/>
        </w:rPr>
        <w:t xml:space="preserve"> with the incidence in the DEX 700/700 versus Sham DEX 700 statistically significant (both p = 0.005).</w:t>
      </w:r>
    </w:p>
    <w:p w:rsidR="00DD5AB0" w:rsidRDefault="00DD5AB0" w:rsidP="00DD5AB0">
      <w:r>
        <w:rPr>
          <w:lang w:eastAsia="ja-JP"/>
        </w:rPr>
        <w:t xml:space="preserve">For the </w:t>
      </w:r>
      <w:r w:rsidRPr="00476F42">
        <w:rPr>
          <w:lang w:eastAsia="ja-JP"/>
        </w:rPr>
        <w:t>pooled safety population</w:t>
      </w:r>
      <w:r>
        <w:rPr>
          <w:lang w:eastAsia="ja-JP"/>
        </w:rPr>
        <w:t xml:space="preserve"> (IT period ISS 008/009) the incidence of treatment-related AEs was 47.3%, 46.6% and 17.5% in the DEX 700, DEX 350 and Sham group respectively and significantly higher for both DEX doses versus Sham (p &lt; 0.001). </w:t>
      </w:r>
      <w:r>
        <w:t xml:space="preserve">In the pooled population, </w:t>
      </w:r>
      <w:r w:rsidRPr="009B12D4">
        <w:t>five statistically significant pairwise differences in the incidence of such events w</w:t>
      </w:r>
      <w:r>
        <w:t>ere</w:t>
      </w:r>
      <w:r w:rsidRPr="009B12D4">
        <w:t xml:space="preserve"> found:</w:t>
      </w:r>
      <w:r>
        <w:t xml:space="preserve"> IOP increased for</w:t>
      </w:r>
      <w:r w:rsidRPr="009B12D4">
        <w:t xml:space="preserve"> </w:t>
      </w:r>
      <w:r>
        <w:t xml:space="preserve">both </w:t>
      </w:r>
      <w:r w:rsidRPr="009B12D4">
        <w:t>DEX 700 (24.0%) and DEX 350 (</w:t>
      </w:r>
      <w:r>
        <w:t>23.8%) compared to Sham (0.5%) (</w:t>
      </w:r>
      <w:proofErr w:type="gramStart"/>
      <w:r w:rsidRPr="009B12D4">
        <w:t>p</w:t>
      </w:r>
      <w:proofErr w:type="gramEnd"/>
      <w:r w:rsidRPr="009B12D4">
        <w:t xml:space="preserve"> &lt; 0.001</w:t>
      </w:r>
      <w:r>
        <w:t>), o</w:t>
      </w:r>
      <w:r w:rsidRPr="009B12D4">
        <w:t xml:space="preserve">cular hypertension </w:t>
      </w:r>
      <w:r>
        <w:t>for</w:t>
      </w:r>
      <w:r w:rsidRPr="009B12D4">
        <w:t xml:space="preserve"> both DEX 700 (3.6%) and DEX 350 </w:t>
      </w:r>
      <w:r>
        <w:t>(3.6%) compared to Sham (0.5%) (</w:t>
      </w:r>
      <w:r w:rsidRPr="009B12D4">
        <w:t>p = 0.001</w:t>
      </w:r>
      <w:r>
        <w:t xml:space="preserve">), </w:t>
      </w:r>
      <w:r w:rsidRPr="009B12D4">
        <w:t xml:space="preserve">visual disturbance with DEX 700 </w:t>
      </w:r>
      <w:r w:rsidRPr="009B12D4">
        <w:lastRenderedPageBreak/>
        <w:t>(1.2%) co</w:t>
      </w:r>
      <w:r>
        <w:t xml:space="preserve">mpared to Sham (0.0%) (p = </w:t>
      </w:r>
      <w:r w:rsidRPr="009B12D4">
        <w:t>0.031</w:t>
      </w:r>
      <w:r>
        <w:t xml:space="preserve">), </w:t>
      </w:r>
      <w:r w:rsidRPr="009B12D4">
        <w:t xml:space="preserve">anterior chamber cell with DEX 350 </w:t>
      </w:r>
      <w:r>
        <w:t>(1.7%) compared to Sham (0.0%) (</w:t>
      </w:r>
      <w:r w:rsidRPr="009B12D4">
        <w:t>p = 0.007</w:t>
      </w:r>
      <w:r>
        <w:t xml:space="preserve">) and </w:t>
      </w:r>
      <w:r w:rsidRPr="009B12D4">
        <w:t xml:space="preserve">vitreous detachment with DEX 350 </w:t>
      </w:r>
      <w:r>
        <w:t>(1.2%) compared to Sham (0.0%) (</w:t>
      </w:r>
      <w:r w:rsidRPr="009B12D4">
        <w:t>p = 0.029</w:t>
      </w:r>
      <w:r>
        <w:t>)</w:t>
      </w:r>
      <w:r w:rsidRPr="009B12D4">
        <w:t>.</w:t>
      </w:r>
      <w:r>
        <w:t xml:space="preserve"> In the pooled re-treatment population (IT period) the overall rate of treatment-related AEs was similar to the pooled safety population (as is summarised below) but the only statistically significant difference between any AE was IOP increased, (DEX 700/700 and DEX 350/700 versus Sham/DEX 700: p &lt; 0.001)</w:t>
      </w:r>
    </w:p>
    <w:p w:rsidR="00DD5AB0" w:rsidRPr="005D7431" w:rsidRDefault="00DD5AB0" w:rsidP="004E2C51">
      <w:pPr>
        <w:pStyle w:val="Tabletitle"/>
        <w:numPr>
          <w:ilvl w:val="0"/>
          <w:numId w:val="21"/>
        </w:numPr>
        <w:spacing w:after="120" w:line="240" w:lineRule="auto"/>
        <w:ind w:left="1134" w:hanging="1134"/>
      </w:pPr>
      <w:bookmarkStart w:id="200" w:name="_Toc462652681"/>
      <w:r w:rsidRPr="005D7431">
        <w:t>Treatment-related adverse events (Re-treatment population; IT period ISS 008/009)</w:t>
      </w:r>
      <w:bookmarkEnd w:id="200"/>
    </w:p>
    <w:p w:rsidR="00DD5AB0" w:rsidRDefault="00DD5AB0" w:rsidP="00DD5AB0">
      <w:r>
        <w:rPr>
          <w:noProof/>
          <w:lang w:eastAsia="en-AU"/>
        </w:rPr>
        <w:drawing>
          <wp:inline distT="0" distB="0" distL="0" distR="0" wp14:anchorId="2FBD84B4" wp14:editId="1498AB49">
            <wp:extent cx="5731510" cy="2467733"/>
            <wp:effectExtent l="0" t="0" r="2540" b="8890"/>
            <wp:docPr id="21" name="Picture 21" descr="Treatment-related adverse events (Re-treatment population; IT period ISS 0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2467733"/>
                    </a:xfrm>
                    <a:prstGeom prst="rect">
                      <a:avLst/>
                    </a:prstGeom>
                  </pic:spPr>
                </pic:pic>
              </a:graphicData>
            </a:graphic>
          </wp:inline>
        </w:drawing>
      </w:r>
    </w:p>
    <w:p w:rsidR="00DD5AB0" w:rsidRDefault="00DD5AB0" w:rsidP="00DD5AB0">
      <w:pPr>
        <w:rPr>
          <w:lang w:eastAsia="ja-JP"/>
        </w:rPr>
      </w:pPr>
      <w:r>
        <w:rPr>
          <w:lang w:eastAsia="ja-JP"/>
        </w:rPr>
        <w:t xml:space="preserve">As summarised, in the OL extension, the incidence of treatment-related AEs rose in all 3 re-treatment groups, rising most in the Sham/DEX 700 group with an incidence of 54.0%,  51.7% and </w:t>
      </w:r>
      <w:r w:rsidRPr="00360378">
        <w:rPr>
          <w:lang w:eastAsia="ja-JP"/>
        </w:rPr>
        <w:t>47.7</w:t>
      </w:r>
      <w:r>
        <w:rPr>
          <w:lang w:eastAsia="ja-JP"/>
        </w:rPr>
        <w:t xml:space="preserve">% in the </w:t>
      </w:r>
      <w:r w:rsidRPr="00360378">
        <w:rPr>
          <w:lang w:eastAsia="ja-JP"/>
        </w:rPr>
        <w:t>DEX 700/700, DEX 350/700 and Sham/DEX 700 groups respectively</w:t>
      </w:r>
      <w:r>
        <w:rPr>
          <w:lang w:eastAsia="ja-JP"/>
        </w:rPr>
        <w:t xml:space="preserve"> (amongst-group p-value = 0.264). The incidence of most AEs in the twice treated DEX groups rose modestly or stayed similar to the incidence in the IT period and the incidence of IOP increased (differences significant in the IT period) were </w:t>
      </w:r>
      <w:r w:rsidRPr="00360378">
        <w:rPr>
          <w:lang w:eastAsia="ja-JP"/>
        </w:rPr>
        <w:t>24.9%</w:t>
      </w:r>
      <w:r>
        <w:rPr>
          <w:lang w:eastAsia="ja-JP"/>
        </w:rPr>
        <w:t xml:space="preserve">, 26.1% and 25.1% with differences non-significant (amongst-group p-value = </w:t>
      </w:r>
      <w:r w:rsidRPr="00360378">
        <w:rPr>
          <w:lang w:eastAsia="ja-JP"/>
        </w:rPr>
        <w:t>0.926</w:t>
      </w:r>
      <w:r>
        <w:rPr>
          <w:lang w:eastAsia="ja-JP"/>
        </w:rPr>
        <w:t xml:space="preserve">). The incidence of cataract and cataract subscapular however rose in the OL extension in the </w:t>
      </w:r>
      <w:r w:rsidRPr="00360378">
        <w:rPr>
          <w:lang w:eastAsia="ja-JP"/>
        </w:rPr>
        <w:t>DEX 700/700</w:t>
      </w:r>
      <w:r>
        <w:rPr>
          <w:lang w:eastAsia="ja-JP"/>
        </w:rPr>
        <w:t xml:space="preserve"> and</w:t>
      </w:r>
      <w:r w:rsidRPr="00360378">
        <w:rPr>
          <w:lang w:eastAsia="ja-JP"/>
        </w:rPr>
        <w:t xml:space="preserve"> DEX 350/700</w:t>
      </w:r>
      <w:r>
        <w:rPr>
          <w:lang w:eastAsia="ja-JP"/>
        </w:rPr>
        <w:t xml:space="preserve"> re-treatment groups, from 3.2% and 1.5% to 7.7% and 5.8% (cataract) and 2.1% and 0.6% to 10.0% and 5.8% (cataract subscapular) for the</w:t>
      </w:r>
      <w:r w:rsidRPr="00B849D7">
        <w:t xml:space="preserve"> </w:t>
      </w:r>
      <w:r w:rsidRPr="00B849D7">
        <w:rPr>
          <w:lang w:eastAsia="ja-JP"/>
        </w:rPr>
        <w:t>DEX 700/700 and DEX 350/700 re-treatment groups</w:t>
      </w:r>
      <w:r>
        <w:rPr>
          <w:lang w:eastAsia="ja-JP"/>
        </w:rPr>
        <w:t xml:space="preserve"> respectively. The difference in incidence of both cataract and cataract subscapular between both DEX re-treatment groups versus Sham/DEX 700 was significant (p ≤ 0.008) and comparison between </w:t>
      </w:r>
      <w:r w:rsidRPr="00B849D7">
        <w:rPr>
          <w:lang w:eastAsia="ja-JP"/>
        </w:rPr>
        <w:t xml:space="preserve">DEX 700/700 </w:t>
      </w:r>
      <w:r>
        <w:rPr>
          <w:lang w:eastAsia="ja-JP"/>
        </w:rPr>
        <w:t>versus</w:t>
      </w:r>
      <w:r w:rsidRPr="00B849D7">
        <w:rPr>
          <w:lang w:eastAsia="ja-JP"/>
        </w:rPr>
        <w:t xml:space="preserve"> DEX 350/700</w:t>
      </w:r>
      <w:r>
        <w:rPr>
          <w:lang w:eastAsia="ja-JP"/>
        </w:rPr>
        <w:t xml:space="preserve"> for cataract subcapsular also significant (p = 0.044).</w:t>
      </w:r>
    </w:p>
    <w:p w:rsidR="00DD5AB0" w:rsidRDefault="00DD5AB0" w:rsidP="004E2C51">
      <w:pPr>
        <w:pStyle w:val="Tabletitle"/>
        <w:numPr>
          <w:ilvl w:val="0"/>
          <w:numId w:val="21"/>
        </w:numPr>
        <w:spacing w:after="120" w:line="240" w:lineRule="auto"/>
        <w:ind w:left="1134" w:hanging="1134"/>
      </w:pPr>
      <w:bookmarkStart w:id="201" w:name="_Toc462652682"/>
      <w:r>
        <w:lastRenderedPageBreak/>
        <w:t>Treatment-related adverse events (Re-treatment population; OL extension ISS 008/009)</w:t>
      </w:r>
      <w:bookmarkEnd w:id="201"/>
    </w:p>
    <w:p w:rsidR="00DD5AB0" w:rsidRDefault="00DD5AB0" w:rsidP="00DD5AB0">
      <w:pPr>
        <w:rPr>
          <w:lang w:eastAsia="ja-JP"/>
        </w:rPr>
      </w:pPr>
      <w:r>
        <w:rPr>
          <w:noProof/>
          <w:lang w:eastAsia="en-AU"/>
        </w:rPr>
        <w:drawing>
          <wp:inline distT="0" distB="0" distL="0" distR="0" wp14:anchorId="3FEFC458" wp14:editId="6C4C3FFA">
            <wp:extent cx="5731510" cy="2442015"/>
            <wp:effectExtent l="0" t="0" r="2540" b="0"/>
            <wp:docPr id="33" name="Picture 33" descr="Treatment-related adverse events (Re-treatment population; OL extension ISS 0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2442015"/>
                    </a:xfrm>
                    <a:prstGeom prst="rect">
                      <a:avLst/>
                    </a:prstGeom>
                  </pic:spPr>
                </pic:pic>
              </a:graphicData>
            </a:graphic>
          </wp:inline>
        </w:drawing>
      </w:r>
    </w:p>
    <w:p w:rsidR="00DD5AB0" w:rsidRDefault="00DD5AB0" w:rsidP="00DD5AB0">
      <w:pPr>
        <w:rPr>
          <w:lang w:eastAsia="ja-JP"/>
        </w:rPr>
      </w:pPr>
      <w:r>
        <w:rPr>
          <w:lang w:eastAsia="ja-JP"/>
        </w:rPr>
        <w:t>Over the 12-month cumulative period, the overall treatment-related AE rate was significantly higher for DEX 700/700 and DEX 350/700 versus Sham/DEX 700 (p &lt; 0.001) at 63.3%, 62.3% and 49.8% respectively. Over this time period, IOP increased (the most common AE) was numerically higher in the twice treated groups, but amongst-group differences not significant (p = 0.090). The incidence of cataract subscapular was 10.0%, 5.8% and 1.8%, and cataract was 9.1%, 5.8% and 1.8% in the DEX 700/700, DEX 350/700 and Sham/DEX 700 group respectively. Pairwise comparison between DEX 700/700 versus Sham/DEX 700 for both cataract forms was significant (p &lt; 0.001) and for DEX 350/700 versus Sham/DEX 700 (p = 0.008).</w:t>
      </w:r>
    </w:p>
    <w:p w:rsidR="00DD5AB0" w:rsidRDefault="00DD5AB0" w:rsidP="004E2C51">
      <w:pPr>
        <w:pStyle w:val="Tabletitle"/>
        <w:numPr>
          <w:ilvl w:val="0"/>
          <w:numId w:val="21"/>
        </w:numPr>
        <w:spacing w:after="120" w:line="240" w:lineRule="auto"/>
        <w:ind w:left="1134" w:hanging="1134"/>
      </w:pPr>
      <w:bookmarkStart w:id="202" w:name="_Toc462652683"/>
      <w:r>
        <w:t>Treatment-related adverse events (Re-treatment pop. 12-month ISS 008/009)</w:t>
      </w:r>
      <w:bookmarkEnd w:id="202"/>
    </w:p>
    <w:p w:rsidR="00DD5AB0" w:rsidRDefault="00DD5AB0" w:rsidP="00DD5AB0">
      <w:r>
        <w:rPr>
          <w:noProof/>
          <w:lang w:eastAsia="en-AU"/>
        </w:rPr>
        <w:drawing>
          <wp:inline distT="0" distB="0" distL="0" distR="0" wp14:anchorId="443F5C1F" wp14:editId="4DBDE64E">
            <wp:extent cx="5731510" cy="2439566"/>
            <wp:effectExtent l="0" t="0" r="2540" b="0"/>
            <wp:docPr id="34" name="Picture 34" descr="Treatment-related adverse events (Re-treatment pop. 12-month ISS 0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2439566"/>
                    </a:xfrm>
                    <a:prstGeom prst="rect">
                      <a:avLst/>
                    </a:prstGeom>
                  </pic:spPr>
                </pic:pic>
              </a:graphicData>
            </a:graphic>
          </wp:inline>
        </w:drawing>
      </w:r>
    </w:p>
    <w:p w:rsidR="00DD5AB0" w:rsidRPr="00040FE2" w:rsidRDefault="00DD5AB0" w:rsidP="00DD5AB0">
      <w:r w:rsidRPr="00040FE2">
        <w:t>Treatment-adverse AEs according to diagnostic RVO subgroups were similar overall</w:t>
      </w:r>
      <w:r>
        <w:t xml:space="preserve"> although CVRO patients tended to have a higher overall incidence of AEs largely due to increased reports of IOP increased</w:t>
      </w:r>
      <w:r w:rsidRPr="00040FE2">
        <w:t>. Amongst patients with BRVO, 75.3% (171/227) of DEX 700/700 patients versus 69.0% (145/210) of Sham/DEX 700 patients were reported as having a treatment-adverse AE at some point over the 12-months. For the CRVO diagnostic subgroup the comparison was higher at 82.5% (94/114</w:t>
      </w:r>
      <w:r>
        <w:t>) versus 76.9% (90/117).</w:t>
      </w:r>
    </w:p>
    <w:p w:rsidR="00DD5AB0" w:rsidRDefault="00DD5AB0" w:rsidP="00DD5AB0">
      <w:r>
        <w:lastRenderedPageBreak/>
        <w:t xml:space="preserve">In </w:t>
      </w:r>
      <w:r w:rsidRPr="009422A7">
        <w:t>Study 206207-020</w:t>
      </w:r>
      <w:r>
        <w:t xml:space="preserve"> the overall incidence of treatment-related AEs during the </w:t>
      </w:r>
      <w:r w:rsidRPr="00690008">
        <w:t>IT period was higher in the DEX 700 gro</w:t>
      </w:r>
      <w:r>
        <w:t>up at 44.2% (57/129) versus Sham at 10.0% (13/130) (p &lt; 0.001). Treatment-related AEs with a significantly higher incidence in the DEX 700 group were: IOP increased at 28.7% (37/129) versus 1.5% (2/130) (p &lt; 0.001) and conjunctival haemorrhage at 15.5% (20/129) versus 1.5% (2/130) (p &lt; 0.001). Ocular hypertension was more common in the DEX 700 treated group (absent in the Sham treatment group) but was just outside of significance (p = 0.06).  A summary of the treatment-related AEs is given below.</w:t>
      </w:r>
    </w:p>
    <w:p w:rsidR="00DD5AB0" w:rsidRDefault="00DD5AB0" w:rsidP="004E2C51">
      <w:pPr>
        <w:pStyle w:val="Tabletitle"/>
        <w:numPr>
          <w:ilvl w:val="0"/>
          <w:numId w:val="21"/>
        </w:numPr>
        <w:spacing w:after="120" w:line="240" w:lineRule="auto"/>
        <w:ind w:left="1134" w:hanging="1134"/>
      </w:pPr>
      <w:bookmarkStart w:id="203" w:name="_Toc462652684"/>
      <w:r w:rsidRPr="00407321">
        <w:t xml:space="preserve">Treatment-related adverse </w:t>
      </w:r>
      <w:r>
        <w:t>events (Study 206207-020</w:t>
      </w:r>
      <w:r w:rsidRPr="00407321">
        <w:t>)</w:t>
      </w:r>
      <w:bookmarkEnd w:id="203"/>
    </w:p>
    <w:p w:rsidR="00DD5AB0" w:rsidRDefault="00DD5AB0" w:rsidP="00DD5AB0">
      <w:r>
        <w:rPr>
          <w:noProof/>
          <w:lang w:eastAsia="en-AU"/>
        </w:rPr>
        <w:drawing>
          <wp:inline distT="0" distB="0" distL="0" distR="0" wp14:anchorId="09391E66" wp14:editId="6F4FDD48">
            <wp:extent cx="4089600" cy="2402388"/>
            <wp:effectExtent l="0" t="0" r="6350" b="0"/>
            <wp:docPr id="67" name="Picture 67" descr="Treatment-related adverse events (Study 20620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t="4086"/>
                    <a:stretch/>
                  </pic:blipFill>
                  <pic:spPr bwMode="auto">
                    <a:xfrm>
                      <a:off x="0" y="0"/>
                      <a:ext cx="4094417" cy="2405217"/>
                    </a:xfrm>
                    <a:prstGeom prst="rect">
                      <a:avLst/>
                    </a:prstGeom>
                    <a:noFill/>
                    <a:ln>
                      <a:noFill/>
                    </a:ln>
                    <a:extLst>
                      <a:ext uri="{53640926-AAD7-44D8-BBD7-CCE9431645EC}">
                        <a14:shadowObscured xmlns:a14="http://schemas.microsoft.com/office/drawing/2010/main"/>
                      </a:ext>
                    </a:extLst>
                  </pic:spPr>
                </pic:pic>
              </a:graphicData>
            </a:graphic>
          </wp:inline>
        </w:drawing>
      </w:r>
    </w:p>
    <w:p w:rsidR="00DD5AB0" w:rsidRDefault="00DD5AB0" w:rsidP="00DD5AB0">
      <w:pPr>
        <w:rPr>
          <w:lang w:eastAsia="ja-JP"/>
        </w:rPr>
      </w:pPr>
      <w:r>
        <w:rPr>
          <w:lang w:eastAsia="ja-JP"/>
        </w:rPr>
        <w:t>Similar to the findings of Studies 206207-008 and 009, comparing diagnostic subgroups, CVRO patients had a higher incidence of treatment-related AEs than their BRVO counterparts. In the BRVO subgroup (n = 128), treatment-related AEs in the IT period were more common in the DEX 700 versus Sham group (39.7% (25/63) versus 20.0% (13/65), p = 0.015). The most common treatment-related AE was increase in IOP (22.2% (14/63) versus 3.1% (2/65), p = 0.001). In the CRVO diagnosed population (n = 131), treatment related AEs in the IT period were more common in the DEX 700 versus Sham-treated patients (57.6% (38/66) versus 27.7% (18/65), p &lt; 0.001). The most common AEs were increased IOP (36.4% (24/66) versus 1.5 (1/65) (p &lt; 0.001); conjunctival haemorrhage (27.3% (18/66) versus 4.6% (3/65) (p &lt; 0.001) and conjunctival hyperaemia (15.2% (10/66) versus 4.6% (3/65) (p = 0.044).</w:t>
      </w:r>
    </w:p>
    <w:p w:rsidR="00DD5AB0" w:rsidRDefault="00DD5AB0" w:rsidP="00DD5AB0">
      <w:pPr>
        <w:rPr>
          <w:lang w:eastAsia="ja-JP"/>
        </w:rPr>
      </w:pPr>
      <w:r>
        <w:rPr>
          <w:lang w:eastAsia="ja-JP"/>
        </w:rPr>
        <w:t>In the OL extension, at Month 6, all patients qualifying for treatment received DEX 700 regardless of initial treatment randomisation. By the end of the OL extention (end of Month 8 from start of IT period) the overall rate of AEs were similar between groups (DEX 700/700: 39.3% (42/107) versus Sham/DEX 700: 34.4% (33/96) (p = 0.472)) with no significant differences between the incidence of any AE following re-treatment: IOP increased was reported for 23.4% and 22.9%, conjunctival haemorrhage for 9.3% and 10.4%, conjunctival haemorrhage 5.6% and 5.2% and ocular hypertension for 2.8% and 0.0% (all DEX 700/700 and Sham/DEX 700 respectively). Also of note, cataracts of any kind, as were common in Studies 008/009, were only reported (as ‘lenticular opacities’ for 1.6% (2/129) of the DEX 700 group (IT 6-month period) and a further 2 patients in the DEX 700/700 group in the 2-month OL extension.</w:t>
      </w:r>
    </w:p>
    <w:p w:rsidR="00DD5AB0" w:rsidRDefault="00DD5AB0" w:rsidP="00DD5AB0">
      <w:pPr>
        <w:pStyle w:val="Heading6"/>
        <w:rPr>
          <w:lang w:eastAsia="ja-JP"/>
        </w:rPr>
      </w:pPr>
      <w:r>
        <w:rPr>
          <w:lang w:eastAsia="ja-JP"/>
        </w:rPr>
        <w:t>Uveitis indication</w:t>
      </w:r>
    </w:p>
    <w:p w:rsidR="00DD5AB0" w:rsidRDefault="00DD5AB0" w:rsidP="00DD5AB0">
      <w:pPr>
        <w:rPr>
          <w:lang w:eastAsia="ja-JP"/>
        </w:rPr>
      </w:pPr>
      <w:r>
        <w:rPr>
          <w:lang w:eastAsia="ja-JP"/>
        </w:rPr>
        <w:t>The overall incidence of all treatment-related AEs in Study 206207-014 was significantly higher in the DEX 700 group and DEX 350 group compared to Sham (28.0%) (</w:t>
      </w:r>
      <w:proofErr w:type="gramStart"/>
      <w:r>
        <w:rPr>
          <w:lang w:eastAsia="ja-JP"/>
        </w:rPr>
        <w:t>p</w:t>
      </w:r>
      <w:proofErr w:type="gramEnd"/>
      <w:r>
        <w:rPr>
          <w:lang w:eastAsia="ja-JP"/>
        </w:rPr>
        <w:t xml:space="preserve"> ≤ 0.001). Results are summarised in below.</w:t>
      </w:r>
    </w:p>
    <w:p w:rsidR="00DD5AB0" w:rsidRDefault="00DD5AB0" w:rsidP="004E2C51">
      <w:pPr>
        <w:pStyle w:val="Tabletitle"/>
        <w:numPr>
          <w:ilvl w:val="0"/>
          <w:numId w:val="21"/>
        </w:numPr>
        <w:spacing w:after="120" w:line="240" w:lineRule="auto"/>
        <w:ind w:left="1134" w:hanging="1134"/>
      </w:pPr>
      <w:bookmarkStart w:id="204" w:name="_Toc462652685"/>
      <w:r>
        <w:lastRenderedPageBreak/>
        <w:t>Treatment-related adverse events (Study 014)</w:t>
      </w:r>
      <w:bookmarkEnd w:id="204"/>
    </w:p>
    <w:tbl>
      <w:tblPr>
        <w:tblStyle w:val="TableTGAblue"/>
        <w:tblW w:w="0" w:type="auto"/>
        <w:tblLook w:val="04A0" w:firstRow="1" w:lastRow="0" w:firstColumn="1" w:lastColumn="0" w:noHBand="0" w:noVBand="1"/>
        <w:tblDescription w:val="Treatment-related adverse events (Study 014)"/>
      </w:tblPr>
      <w:tblGrid>
        <w:gridCol w:w="2730"/>
        <w:gridCol w:w="1489"/>
        <w:gridCol w:w="1559"/>
        <w:gridCol w:w="1560"/>
        <w:gridCol w:w="1275"/>
      </w:tblGrid>
      <w:tr w:rsidR="00DD5AB0" w:rsidRPr="00E52119" w:rsidTr="002A4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DD5AB0" w:rsidRPr="00E52119" w:rsidRDefault="00DD5AB0" w:rsidP="00E52119">
            <w:pPr>
              <w:rPr>
                <w:sz w:val="20"/>
                <w:szCs w:val="20"/>
                <w:lang w:eastAsia="ja-JP"/>
              </w:rPr>
            </w:pPr>
            <w:r w:rsidRPr="00E52119">
              <w:rPr>
                <w:sz w:val="20"/>
                <w:szCs w:val="20"/>
                <w:lang w:eastAsia="ja-JP"/>
              </w:rPr>
              <w:t>Relationship</w:t>
            </w:r>
          </w:p>
        </w:tc>
        <w:tc>
          <w:tcPr>
            <w:tcW w:w="1489"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750</w:t>
            </w:r>
            <w:r w:rsidR="00E52119" w:rsidRPr="00E52119">
              <w:rPr>
                <w:sz w:val="20"/>
                <w:szCs w:val="20"/>
                <w:lang w:eastAsia="ja-JP"/>
              </w:rPr>
              <w:t xml:space="preserve"> </w:t>
            </w:r>
            <w:r w:rsidRPr="00E52119">
              <w:rPr>
                <w:sz w:val="20"/>
                <w:szCs w:val="20"/>
                <w:lang w:eastAsia="ja-JP"/>
              </w:rPr>
              <w:t>(N = 76)</w:t>
            </w:r>
          </w:p>
        </w:tc>
        <w:tc>
          <w:tcPr>
            <w:tcW w:w="1559"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350</w:t>
            </w:r>
            <w:r w:rsidR="00E52119" w:rsidRPr="00E52119">
              <w:rPr>
                <w:sz w:val="20"/>
                <w:szCs w:val="20"/>
                <w:lang w:eastAsia="ja-JP"/>
              </w:rPr>
              <w:t xml:space="preserve"> </w:t>
            </w:r>
            <w:r w:rsidRPr="00E52119">
              <w:rPr>
                <w:sz w:val="20"/>
                <w:szCs w:val="20"/>
                <w:lang w:eastAsia="ja-JP"/>
              </w:rPr>
              <w:t>(N = 74)</w:t>
            </w:r>
          </w:p>
        </w:tc>
        <w:tc>
          <w:tcPr>
            <w:tcW w:w="1560"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Sham</w:t>
            </w:r>
            <w:r w:rsidR="00E52119" w:rsidRPr="00E52119">
              <w:rPr>
                <w:sz w:val="20"/>
                <w:szCs w:val="20"/>
                <w:lang w:eastAsia="ja-JP"/>
              </w:rPr>
              <w:t xml:space="preserve"> </w:t>
            </w:r>
            <w:r w:rsidRPr="00E52119">
              <w:rPr>
                <w:sz w:val="20"/>
                <w:szCs w:val="20"/>
                <w:lang w:eastAsia="ja-JP"/>
              </w:rPr>
              <w:t>(N = 75)</w:t>
            </w:r>
          </w:p>
        </w:tc>
        <w:tc>
          <w:tcPr>
            <w:tcW w:w="1275"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P-value</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Pr>
          <w:p w:rsidR="00DD5AB0" w:rsidRPr="00E52119" w:rsidRDefault="00DD5AB0" w:rsidP="00E52119">
            <w:pPr>
              <w:rPr>
                <w:sz w:val="20"/>
                <w:szCs w:val="20"/>
                <w:lang w:eastAsia="ja-JP"/>
              </w:rPr>
            </w:pPr>
            <w:r w:rsidRPr="00E52119">
              <w:rPr>
                <w:sz w:val="20"/>
                <w:szCs w:val="20"/>
                <w:lang w:eastAsia="ja-JP"/>
              </w:rPr>
              <w:t>All Adverse Events</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61 (80.3%)</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58 (78.4%)</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51 (68.0%)</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0.170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Borders>
              <w:bottom w:val="single" w:sz="8" w:space="0" w:color="000000" w:themeColor="text1"/>
            </w:tcBorders>
          </w:tcPr>
          <w:p w:rsidR="00DD5AB0" w:rsidRPr="00E52119" w:rsidRDefault="00DD5AB0" w:rsidP="00E52119">
            <w:pPr>
              <w:rPr>
                <w:sz w:val="20"/>
                <w:szCs w:val="20"/>
                <w:lang w:eastAsia="ja-JP"/>
              </w:rPr>
            </w:pPr>
            <w:r w:rsidRPr="00E52119">
              <w:rPr>
                <w:sz w:val="20"/>
                <w:szCs w:val="20"/>
                <w:lang w:eastAsia="ja-JP"/>
              </w:rPr>
              <w:t>Ocular</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59 (77.6%)</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54 (73.0%)</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48 (64.0%)</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0.169</w:t>
            </w:r>
          </w:p>
        </w:tc>
      </w:tr>
      <w:tr w:rsidR="00DD5AB0" w:rsidRPr="00E52119" w:rsidTr="002A468E">
        <w:trPr>
          <w:trHeight w:val="473"/>
        </w:trPr>
        <w:tc>
          <w:tcPr>
            <w:cnfStyle w:val="001000000000" w:firstRow="0" w:lastRow="0" w:firstColumn="1" w:lastColumn="0" w:oddVBand="0" w:evenVBand="0" w:oddHBand="0" w:evenHBand="0" w:firstRowFirstColumn="0" w:firstRowLastColumn="0" w:lastRowFirstColumn="0" w:lastRowLastColumn="0"/>
            <w:tcW w:w="2730" w:type="dxa"/>
            <w:tcBorders>
              <w:bottom w:val="single" w:sz="12" w:space="0" w:color="auto"/>
            </w:tcBorders>
          </w:tcPr>
          <w:p w:rsidR="00DD5AB0" w:rsidRPr="00E52119" w:rsidRDefault="00DD5AB0" w:rsidP="00E52119">
            <w:pPr>
              <w:rPr>
                <w:sz w:val="20"/>
                <w:szCs w:val="20"/>
                <w:lang w:eastAsia="ja-JP"/>
              </w:rPr>
            </w:pPr>
            <w:r w:rsidRPr="00E52119">
              <w:rPr>
                <w:sz w:val="20"/>
                <w:szCs w:val="20"/>
                <w:lang w:eastAsia="ja-JP"/>
              </w:rPr>
              <w:t>Non-ocular</w:t>
            </w:r>
          </w:p>
        </w:tc>
        <w:tc>
          <w:tcPr>
            <w:tcW w:w="1489" w:type="dxa"/>
            <w:tcBorders>
              <w:bottom w:val="single" w:sz="12" w:space="0" w:color="auto"/>
            </w:tcBorders>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32 (42.1%)</w:t>
            </w:r>
          </w:p>
        </w:tc>
        <w:tc>
          <w:tcPr>
            <w:tcW w:w="1559" w:type="dxa"/>
            <w:tcBorders>
              <w:bottom w:val="single" w:sz="12" w:space="0" w:color="auto"/>
            </w:tcBorders>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26 (35.1%)</w:t>
            </w:r>
          </w:p>
        </w:tc>
        <w:tc>
          <w:tcPr>
            <w:tcW w:w="1560" w:type="dxa"/>
            <w:tcBorders>
              <w:bottom w:val="single" w:sz="12" w:space="0" w:color="auto"/>
            </w:tcBorders>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26 (34.7%)</w:t>
            </w:r>
          </w:p>
        </w:tc>
        <w:tc>
          <w:tcPr>
            <w:tcW w:w="1275" w:type="dxa"/>
            <w:tcBorders>
              <w:bottom w:val="single" w:sz="12" w:space="0" w:color="auto"/>
            </w:tcBorders>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0.571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Borders>
              <w:top w:val="nil"/>
            </w:tcBorders>
          </w:tcPr>
          <w:p w:rsidR="00DD5AB0" w:rsidRPr="00E52119" w:rsidRDefault="00DD5AB0" w:rsidP="00E52119">
            <w:pPr>
              <w:rPr>
                <w:sz w:val="20"/>
                <w:szCs w:val="20"/>
                <w:lang w:eastAsia="ja-JP"/>
              </w:rPr>
            </w:pPr>
            <w:r w:rsidRPr="00E52119">
              <w:rPr>
                <w:sz w:val="20"/>
                <w:szCs w:val="20"/>
                <w:lang w:eastAsia="ja-JP"/>
              </w:rPr>
              <w:t>All Treatment-Related</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46 (60.5%)</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35 (47.3%)</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21 (28.0%)</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&lt; 0.001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Pr>
          <w:p w:rsidR="00DD5AB0" w:rsidRPr="00E52119" w:rsidRDefault="00DD5AB0" w:rsidP="00E52119">
            <w:pPr>
              <w:rPr>
                <w:sz w:val="20"/>
                <w:szCs w:val="20"/>
                <w:lang w:eastAsia="ja-JP"/>
              </w:rPr>
            </w:pPr>
            <w:r w:rsidRPr="00E52119">
              <w:rPr>
                <w:sz w:val="20"/>
                <w:szCs w:val="20"/>
                <w:lang w:eastAsia="ja-JP"/>
              </w:rPr>
              <w:t>Ocular</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45 (59.2%)</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34 (45.9%)</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21 (28.0%)</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&lt; 0.001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Pr>
          <w:p w:rsidR="00DD5AB0" w:rsidRPr="00E52119" w:rsidRDefault="00DD5AB0" w:rsidP="00E52119">
            <w:pPr>
              <w:rPr>
                <w:sz w:val="20"/>
                <w:szCs w:val="20"/>
                <w:lang w:eastAsia="ja-JP"/>
              </w:rPr>
            </w:pPr>
            <w:r w:rsidRPr="00E52119">
              <w:rPr>
                <w:sz w:val="20"/>
                <w:szCs w:val="20"/>
                <w:lang w:eastAsia="ja-JP"/>
              </w:rPr>
              <w:t>Applicator/Insertion</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28 (36.8%)</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21 (28.4%)</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15 (20.0%)</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0.072</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Pr>
          <w:p w:rsidR="00DD5AB0" w:rsidRPr="00E52119" w:rsidRDefault="00DD5AB0" w:rsidP="00E52119">
            <w:pPr>
              <w:rPr>
                <w:sz w:val="20"/>
                <w:szCs w:val="20"/>
                <w:lang w:eastAsia="ja-JP"/>
              </w:rPr>
            </w:pPr>
            <w:r w:rsidRPr="00E52119">
              <w:rPr>
                <w:sz w:val="20"/>
                <w:szCs w:val="20"/>
                <w:lang w:eastAsia="ja-JP"/>
              </w:rPr>
              <w:t>DEX PPS DDS</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32 (42.1%)</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23 (31.1%)</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7 (9.3%)</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&lt; 0.001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730" w:type="dxa"/>
          </w:tcPr>
          <w:p w:rsidR="00DD5AB0" w:rsidRPr="00E52119" w:rsidRDefault="00DD5AB0" w:rsidP="00E52119">
            <w:pPr>
              <w:rPr>
                <w:sz w:val="20"/>
                <w:szCs w:val="20"/>
                <w:lang w:eastAsia="ja-JP"/>
              </w:rPr>
            </w:pPr>
            <w:r w:rsidRPr="00E52119">
              <w:rPr>
                <w:sz w:val="20"/>
                <w:szCs w:val="20"/>
                <w:lang w:eastAsia="ja-JP"/>
              </w:rPr>
              <w:t>Non-ocular</w:t>
            </w:r>
          </w:p>
        </w:tc>
        <w:tc>
          <w:tcPr>
            <w:tcW w:w="148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2 (2.6%)</w:t>
            </w:r>
          </w:p>
        </w:tc>
        <w:tc>
          <w:tcPr>
            <w:tcW w:w="1559"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 (1.4%)</w:t>
            </w:r>
          </w:p>
        </w:tc>
        <w:tc>
          <w:tcPr>
            <w:tcW w:w="1560"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 (0.0%)</w:t>
            </w:r>
          </w:p>
        </w:tc>
        <w:tc>
          <w:tcPr>
            <w:tcW w:w="127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0.661</w:t>
            </w:r>
          </w:p>
        </w:tc>
      </w:tr>
    </w:tbl>
    <w:p w:rsidR="00DD5AB0" w:rsidRDefault="00DD5AB0" w:rsidP="00DD5AB0">
      <w:pPr>
        <w:rPr>
          <w:lang w:eastAsia="ja-JP"/>
        </w:rPr>
      </w:pPr>
      <w:r>
        <w:rPr>
          <w:lang w:eastAsia="ja-JP"/>
        </w:rPr>
        <w:t>The most frequently reported (&gt; 2% in any treatment group) treatment-related AEs in the study eye are summarized in the following table. There were no statistically significant pairwise differences in the incidence of any individual related event with the following 3 exceptions: IOP increased was higher with DEX 700 and DEX 350 compared to Sham (p ≤ 0.001), ocular discomfort was higher with DEX 700 compared to DEX 350 (p = 0.018) and ocular hypertension was higher with DEX 350 compared to Sham (p ≤ 0.05)</w:t>
      </w:r>
    </w:p>
    <w:p w:rsidR="00DD5AB0" w:rsidRDefault="00DD5AB0" w:rsidP="00DD5AB0">
      <w:r w:rsidRPr="00230CED">
        <w:t>In addition, the among-group p-value for reported rates of eye swelling was 0</w:t>
      </w:r>
      <w:r>
        <w:t>.023, with no cases reported in the DEX treatment groups as compared to 5.3% (4/75) for the Sham group.</w:t>
      </w:r>
    </w:p>
    <w:p w:rsidR="00DD5AB0" w:rsidRDefault="00DD5AB0" w:rsidP="004E2C51">
      <w:pPr>
        <w:pStyle w:val="Tabletitle"/>
        <w:numPr>
          <w:ilvl w:val="0"/>
          <w:numId w:val="21"/>
        </w:numPr>
        <w:spacing w:after="120" w:line="240" w:lineRule="auto"/>
        <w:ind w:left="1134" w:hanging="1134"/>
      </w:pPr>
      <w:bookmarkStart w:id="205" w:name="_Toc462652686"/>
      <w:r w:rsidRPr="006D1786">
        <w:lastRenderedPageBreak/>
        <w:t xml:space="preserve">Common treatment-related adverse events </w:t>
      </w:r>
      <w:r>
        <w:t xml:space="preserve">(≥ </w:t>
      </w:r>
      <w:r w:rsidRPr="006D1786">
        <w:t>2% of patients</w:t>
      </w:r>
      <w:r>
        <w:t>) (Study 206207-014)</w:t>
      </w:r>
      <w:bookmarkEnd w:id="205"/>
    </w:p>
    <w:p w:rsidR="00DD5AB0" w:rsidRDefault="00DD5AB0" w:rsidP="00DD5AB0">
      <w:pPr>
        <w:rPr>
          <w:lang w:eastAsia="ja-JP"/>
        </w:rPr>
      </w:pPr>
      <w:r>
        <w:rPr>
          <w:noProof/>
          <w:lang w:eastAsia="en-AU"/>
        </w:rPr>
        <w:drawing>
          <wp:inline distT="0" distB="0" distL="0" distR="0" wp14:anchorId="65E91621" wp14:editId="3A02DD4F">
            <wp:extent cx="3584448" cy="3593255"/>
            <wp:effectExtent l="0" t="0" r="0" b="7620"/>
            <wp:docPr id="89" name="Picture 89" descr="Common treatment-related adverse events (≥ 2% of patients) (Study 2062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91282" cy="3600106"/>
                    </a:xfrm>
                    <a:prstGeom prst="rect">
                      <a:avLst/>
                    </a:prstGeom>
                  </pic:spPr>
                </pic:pic>
              </a:graphicData>
            </a:graphic>
          </wp:inline>
        </w:drawing>
      </w:r>
    </w:p>
    <w:p w:rsidR="00DD5AB0" w:rsidRDefault="00DD5AB0" w:rsidP="00DD5AB0">
      <w:pPr>
        <w:rPr>
          <w:lang w:eastAsia="ja-JP"/>
        </w:rPr>
      </w:pPr>
      <w:r>
        <w:rPr>
          <w:lang w:eastAsia="ja-JP"/>
        </w:rPr>
        <w:t>Treatment-related AEs in the DEX 700 group only that occurred in &lt; 2 patients (that is 1 patient only or 1.3%) were: anterior chamber flare, endophthalmitis, intermediate uveitis, macular oedema, medical device complication, pupils unequal and visual impairment.</w:t>
      </w:r>
    </w:p>
    <w:p w:rsidR="00DD5AB0" w:rsidRPr="00C85BAD" w:rsidRDefault="00DD5AB0" w:rsidP="001A6420">
      <w:pPr>
        <w:rPr>
          <w:lang w:eastAsia="ja-JP"/>
        </w:rPr>
      </w:pPr>
      <w:r w:rsidRPr="00AA6A9C">
        <w:rPr>
          <w:b/>
          <w:lang w:eastAsia="ja-JP"/>
        </w:rPr>
        <w:t>Evaluator’s comment</w:t>
      </w:r>
      <w:r>
        <w:rPr>
          <w:lang w:eastAsia="ja-JP"/>
        </w:rPr>
        <w:t>: Elevated IOP was the most obvious treatment-related AE as were cataracts, subcapsular cataracts and ocular hypertension. These are discussed under the relevant headings of section 8.5 as rare but potentially serious AEs of note including retinal tears and detachments.</w:t>
      </w:r>
      <w:r>
        <w:rPr>
          <w:lang w:eastAsia="ja-JP"/>
        </w:rPr>
        <w:br/>
        <w:t>Conjunctival haemorrhage and conjunctival hyperaemia, conjunctival oedema, eye pain and eye discomfort were the other most common treatment-related AEs. These were reported to be generally mild in severity with a temporal relation to insertion itself, easing over the days or week following insertion. This seems plausible as all these treatment-related AEs were present for Sham groups in each study as well as DEX 700 or DEX 350 treated patients. Of these AEs, conjunctival haemorrhage showed the greatest variation across studies and subpopulations with comparisons of 14.7% versus 13.8% (DEX 700/700 versus Sham/DEX 700) in Studies 008/009 (IT period), 15.5% versus 1.5% (DEX 700 versus Sham) in Study 020 and 25.0% versus 13.3% (DEX 700 versus Sham) in Study 014 (uveitis).</w:t>
      </w:r>
      <w:r>
        <w:rPr>
          <w:lang w:eastAsia="ja-JP"/>
        </w:rPr>
        <w:br/>
        <w:t>In Study 014 (uveitis) ocular discomfort was notably higher with DEX 700 (11.8%) versus Sham (4.0%) but was even lower in the DEX 350 group (1.4%). As with the almost double rates of conjunctival haemorrhage in DEX 700 versus DEX 350, the incidence of different treatment-related AEs (other than IOP increased and cataracts) was more variable without clear patterns than in RVO studies. This may be due to the more varied background pathologies of uveitis and/or related to the much smaller study populations.</w:t>
      </w:r>
    </w:p>
    <w:p w:rsidR="00DD5AB0" w:rsidRDefault="00DD5AB0" w:rsidP="00A45E9B">
      <w:pPr>
        <w:pStyle w:val="Heading5"/>
      </w:pPr>
      <w:r w:rsidRPr="00073FEC">
        <w:lastRenderedPageBreak/>
        <w:t>Other studies</w:t>
      </w:r>
    </w:p>
    <w:p w:rsidR="00DD5AB0" w:rsidRPr="00E302AB" w:rsidRDefault="00DD5AB0" w:rsidP="00DD5AB0">
      <w:pPr>
        <w:pStyle w:val="Heading6"/>
      </w:pPr>
      <w:r w:rsidRPr="00E302AB">
        <w:t>Studies 206207-010/011</w:t>
      </w:r>
      <w:r>
        <w:t xml:space="preserve"> </w:t>
      </w:r>
      <w:r w:rsidRPr="002560AC">
        <w:t>(</w:t>
      </w:r>
      <w:r>
        <w:t>DME</w:t>
      </w:r>
      <w:r w:rsidRPr="002560AC">
        <w:t>)</w:t>
      </w:r>
    </w:p>
    <w:p w:rsidR="00DD5AB0" w:rsidRDefault="00DD5AB0" w:rsidP="00DD5AB0">
      <w:r>
        <w:t>The most common ocular adverse events (&gt; 8% in any treatment group) were cataract, intraocular pressure increased, conjunctival haemorrhage, cataract subcapsular, visual acuity reduced, vitreous haemorrhage, macular fibrosis, and conjunctival hyperaemia. In the pooled Phase 3 studies, the incidence of treatment-related ocular AEs in the study eye was higher in the DEX 700 group (70.3%) and DEX 350 group (65.9%) compared to Sham (25.4%). The most common treatment-related ocular adverse events (&gt; 5% in any treatment group) were cataract, intraocular pressure increased, conjunctival haemorrhage, cataract subcapsular, ocular hypertension, and conjunctival hyperaemia.</w:t>
      </w:r>
    </w:p>
    <w:p w:rsidR="00DD5AB0" w:rsidRDefault="00DD5AB0" w:rsidP="00DD5AB0">
      <w:r>
        <w:t>The incidences of intraocular pressure increased and ocular hypertension were higher in the DEX 700 and DEX 350 groups compared with Sham, even with the data normalised for exposure. The rate per 100 patient years for intraocular pressure increased was 12.5 and 11.7 in the DEX 700 and DEX 350 groups, respectively, compared with 1.8 in the Sham group. Although IOP elevation is an expected adverse event of DEX implant as intravitreal injection of corticosteroids are known to increase IOP, the overall incidence of elevated IOP adverse events did not increase over time in the DEX groups, the magnitude of the IOP elevation following DEX treatment did not increase upon repeated injection, and the proportion of patients using IOP-lowering medications in the study eye remained similar from year to year. These data suggest that there is no cumulative effect of DEX on IOP. Similarly, it was expected that the incidence of cataracts would be higher in the DEX treatment groups compared with Sham because the ocular use of corticosteroids are known to induce cataract formation. The rate per 100 patient years for cataract adverse events was 27.1 and 25.3 in the DEX 700 and DEX 350 groups, respectively, compared with 10.9 in the Sham group. In the DEX 700 and DEX 350 groups, the rates of conjunctival haemorrhage were higher than in the Sham group (21.0% and 25.9% versus 12.9%). This event, along with events of conjunctival oedema, anterior chamber cell, and anterior chamber inflammation (that occurred in ≤ 5% of patients across treatment groups), are associated with the intravitreal injection procedure.</w:t>
      </w:r>
    </w:p>
    <w:p w:rsidR="00DD5AB0" w:rsidRDefault="00DD5AB0" w:rsidP="00DD5AB0">
      <w:r>
        <w:t xml:space="preserve">In the exposure-adjusted data, the rates per 100 patient years for visual acuity reduced were 3.4, 3.2, and 2.1 in the DEX 700, DEX 350, and Sham groups, respectively. Review of individual cases showed that majority of patients in the DEX groups who reported visual acuity reduced also reported cataracts. The incidence of visual acuity reduced in patients who reported a cataract adverse event was 13.1%, 12.0%, and 5.6% in the DEX 700, DEX 350, and Sham groups, respectively. For patients with no cataract adverse event, visual acuity reduced was similar among the 3 treatment groups: 3.0%, 4.5%, and 3.7% in the DEX 700, DEX 350, and Sham groups, respectively. Most of the patients who had severe vision loss had cataracts/lens opacity, macular oedema, or vitreous/retinal haemorrhage reported. </w:t>
      </w:r>
    </w:p>
    <w:p w:rsidR="00DD5AB0" w:rsidRPr="00D47FE2" w:rsidRDefault="00DD5AB0" w:rsidP="00DD5AB0">
      <w:r>
        <w:t>Within each treatment group, the overall incidence of ocular adverse events in the study eye did not appear to increase with repeat treatment as followed for up to 3 years. In the pooled phase 3 studies, ocular adverse events in the study eye were reported during year 1 for 66.6% of patients in the DEX 700 group, 71.7% in the DEX 350 group, and 45.1% in the Sham group. The incidence did not increase during years 2 and 3 in the DEX 700 group (62.6% and 54.0%, respectively), DEX 350 group (62.1% and 56.9%, respectively) or Sham group (39.8% and 32.4%, respectively).  .</w:t>
      </w:r>
    </w:p>
    <w:p w:rsidR="00DD5AB0" w:rsidRDefault="00DD5AB0" w:rsidP="004C3275">
      <w:pPr>
        <w:pStyle w:val="Heading4"/>
        <w:numPr>
          <w:ilvl w:val="2"/>
          <w:numId w:val="5"/>
        </w:numPr>
      </w:pPr>
      <w:bookmarkStart w:id="206" w:name="_Toc241374320"/>
      <w:bookmarkStart w:id="207" w:name="_Ref272333507"/>
      <w:bookmarkStart w:id="208" w:name="_Toc272414666"/>
      <w:bookmarkStart w:id="209" w:name="_Toc290888530"/>
      <w:bookmarkStart w:id="210" w:name="_Toc416353746"/>
      <w:bookmarkStart w:id="211" w:name="_Toc421005289"/>
      <w:bookmarkStart w:id="212" w:name="_Toc432079166"/>
      <w:bookmarkStart w:id="213" w:name="_Toc432080739"/>
      <w:r w:rsidRPr="00545B14">
        <w:lastRenderedPageBreak/>
        <w:t>Deaths and other serious adverse events</w:t>
      </w:r>
      <w:bookmarkEnd w:id="206"/>
      <w:bookmarkEnd w:id="207"/>
      <w:bookmarkEnd w:id="208"/>
      <w:bookmarkEnd w:id="209"/>
      <w:bookmarkEnd w:id="210"/>
      <w:bookmarkEnd w:id="211"/>
      <w:bookmarkEnd w:id="212"/>
      <w:bookmarkEnd w:id="213"/>
    </w:p>
    <w:p w:rsidR="00DD5AB0" w:rsidRPr="00B4423C" w:rsidRDefault="00DD5AB0" w:rsidP="00A45E9B">
      <w:pPr>
        <w:pStyle w:val="Heading5"/>
        <w:rPr>
          <w:lang w:eastAsia="ja-JP"/>
        </w:rPr>
      </w:pPr>
      <w:r>
        <w:rPr>
          <w:lang w:eastAsia="ja-JP"/>
        </w:rPr>
        <w:t>Deaths</w:t>
      </w:r>
    </w:p>
    <w:p w:rsidR="00DD5AB0" w:rsidRPr="00467CDB" w:rsidRDefault="00DD5AB0" w:rsidP="00DD5AB0">
      <w:r>
        <w:t xml:space="preserve">Deaths in any of the studies are listed </w:t>
      </w:r>
      <w:r w:rsidR="00B94CC2">
        <w:t xml:space="preserve">the table </w:t>
      </w:r>
      <w:r>
        <w:t>below. There were no deaths in Study 206207-020 or Study 206207-014 and for Study 206207-008/009. None of the deaths reported below were attributed to study treatment.</w:t>
      </w:r>
    </w:p>
    <w:p w:rsidR="00DD5AB0" w:rsidRDefault="00DD5AB0" w:rsidP="004E2C51">
      <w:pPr>
        <w:pStyle w:val="Tabletitle"/>
        <w:numPr>
          <w:ilvl w:val="0"/>
          <w:numId w:val="21"/>
        </w:numPr>
        <w:spacing w:after="120" w:line="240" w:lineRule="auto"/>
        <w:ind w:left="1134" w:hanging="1134"/>
      </w:pPr>
      <w:bookmarkStart w:id="214" w:name="_Toc462652687"/>
      <w:r>
        <w:t>Deaths during submitted studies</w:t>
      </w:r>
      <w:bookmarkEnd w:id="214"/>
    </w:p>
    <w:tbl>
      <w:tblPr>
        <w:tblStyle w:val="TableTGAblue"/>
        <w:tblW w:w="9180" w:type="dxa"/>
        <w:tblLayout w:type="fixed"/>
        <w:tblLook w:val="04A0" w:firstRow="1" w:lastRow="0" w:firstColumn="1" w:lastColumn="0" w:noHBand="0" w:noVBand="1"/>
        <w:tblDescription w:val="Deaths during submitted studies"/>
      </w:tblPr>
      <w:tblGrid>
        <w:gridCol w:w="2943"/>
        <w:gridCol w:w="1985"/>
        <w:gridCol w:w="2551"/>
        <w:gridCol w:w="1701"/>
      </w:tblGrid>
      <w:tr w:rsidR="00DD5AB0" w:rsidRPr="00E52119" w:rsidTr="00E52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rsidR="00DD5AB0" w:rsidRPr="00E52119" w:rsidRDefault="00DD5AB0" w:rsidP="00E52119">
            <w:pPr>
              <w:rPr>
                <w:sz w:val="20"/>
                <w:szCs w:val="20"/>
              </w:rPr>
            </w:pPr>
            <w:r w:rsidRPr="00E52119">
              <w:rPr>
                <w:sz w:val="20"/>
                <w:szCs w:val="20"/>
              </w:rPr>
              <w:t>Study (Study period)</w:t>
            </w:r>
          </w:p>
        </w:tc>
        <w:tc>
          <w:tcPr>
            <w:tcW w:w="1985"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Demographics</w:t>
            </w:r>
          </w:p>
        </w:tc>
        <w:tc>
          <w:tcPr>
            <w:tcW w:w="2551"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Cause</w:t>
            </w:r>
          </w:p>
        </w:tc>
        <w:tc>
          <w:tcPr>
            <w:tcW w:w="1701"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Treatment related</w:t>
            </w:r>
          </w:p>
        </w:tc>
      </w:tr>
      <w:tr w:rsidR="00DD5AB0" w:rsidRPr="00E52119" w:rsidTr="00E52119">
        <w:tc>
          <w:tcPr>
            <w:cnfStyle w:val="001000000000" w:firstRow="0" w:lastRow="0" w:firstColumn="1" w:lastColumn="0" w:oddVBand="0" w:evenVBand="0" w:oddHBand="0" w:evenHBand="0" w:firstRowFirstColumn="0" w:firstRowLastColumn="0" w:lastRowFirstColumn="0" w:lastRowLastColumn="0"/>
            <w:tcW w:w="2943" w:type="dxa"/>
            <w:vMerge w:val="restart"/>
          </w:tcPr>
          <w:p w:rsidR="00DD5AB0" w:rsidRPr="00E52119" w:rsidRDefault="00DD5AB0" w:rsidP="00E52119">
            <w:pPr>
              <w:rPr>
                <w:sz w:val="20"/>
                <w:szCs w:val="20"/>
              </w:rPr>
            </w:pPr>
            <w:r w:rsidRPr="00E52119">
              <w:rPr>
                <w:sz w:val="20"/>
                <w:szCs w:val="20"/>
              </w:rPr>
              <w:t>Study 206207-008 (IT period)</w:t>
            </w:r>
          </w:p>
        </w:tc>
        <w:tc>
          <w:tcPr>
            <w:tcW w:w="198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71 M</w:t>
            </w:r>
          </w:p>
        </w:tc>
        <w:tc>
          <w:tcPr>
            <w:tcW w:w="255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Accidental drowning</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w:t>
            </w:r>
          </w:p>
        </w:tc>
      </w:tr>
      <w:tr w:rsidR="00DD5AB0" w:rsidRPr="00E52119" w:rsidTr="00E52119">
        <w:tc>
          <w:tcPr>
            <w:cnfStyle w:val="001000000000" w:firstRow="0" w:lastRow="0" w:firstColumn="1" w:lastColumn="0" w:oddVBand="0" w:evenVBand="0" w:oddHBand="0" w:evenHBand="0" w:firstRowFirstColumn="0" w:firstRowLastColumn="0" w:lastRowFirstColumn="0" w:lastRowLastColumn="0"/>
            <w:tcW w:w="2943" w:type="dxa"/>
            <w:vMerge/>
          </w:tcPr>
          <w:p w:rsidR="00DD5AB0" w:rsidRPr="00E52119" w:rsidRDefault="00DD5AB0" w:rsidP="00E52119">
            <w:pPr>
              <w:rPr>
                <w:sz w:val="20"/>
                <w:szCs w:val="20"/>
              </w:rPr>
            </w:pPr>
          </w:p>
        </w:tc>
        <w:tc>
          <w:tcPr>
            <w:tcW w:w="198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80 M</w:t>
            </w:r>
          </w:p>
        </w:tc>
        <w:tc>
          <w:tcPr>
            <w:tcW w:w="255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Myocardial infarction</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w:t>
            </w:r>
          </w:p>
        </w:tc>
      </w:tr>
      <w:tr w:rsidR="00DD5AB0" w:rsidRPr="00E52119" w:rsidTr="00E52119">
        <w:tc>
          <w:tcPr>
            <w:cnfStyle w:val="001000000000" w:firstRow="0" w:lastRow="0" w:firstColumn="1" w:lastColumn="0" w:oddVBand="0" w:evenVBand="0" w:oddHBand="0" w:evenHBand="0" w:firstRowFirstColumn="0" w:firstRowLastColumn="0" w:lastRowFirstColumn="0" w:lastRowLastColumn="0"/>
            <w:tcW w:w="2943" w:type="dxa"/>
            <w:vMerge/>
          </w:tcPr>
          <w:p w:rsidR="00DD5AB0" w:rsidRPr="00E52119" w:rsidRDefault="00DD5AB0" w:rsidP="00E52119">
            <w:pPr>
              <w:rPr>
                <w:sz w:val="20"/>
                <w:szCs w:val="20"/>
              </w:rPr>
            </w:pPr>
          </w:p>
        </w:tc>
        <w:tc>
          <w:tcPr>
            <w:tcW w:w="198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74 M</w:t>
            </w:r>
          </w:p>
        </w:tc>
        <w:tc>
          <w:tcPr>
            <w:tcW w:w="255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Myocardial infarction</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w:t>
            </w:r>
          </w:p>
        </w:tc>
      </w:tr>
      <w:tr w:rsidR="00DD5AB0" w:rsidRPr="00E52119" w:rsidTr="00E52119">
        <w:tc>
          <w:tcPr>
            <w:cnfStyle w:val="001000000000" w:firstRow="0" w:lastRow="0" w:firstColumn="1" w:lastColumn="0" w:oddVBand="0" w:evenVBand="0" w:oddHBand="0" w:evenHBand="0" w:firstRowFirstColumn="0" w:firstRowLastColumn="0" w:lastRowFirstColumn="0" w:lastRowLastColumn="0"/>
            <w:tcW w:w="2943" w:type="dxa"/>
          </w:tcPr>
          <w:p w:rsidR="00DD5AB0" w:rsidRPr="00E52119" w:rsidRDefault="00DD5AB0" w:rsidP="00E52119">
            <w:pPr>
              <w:rPr>
                <w:sz w:val="20"/>
                <w:szCs w:val="20"/>
              </w:rPr>
            </w:pPr>
            <w:r w:rsidRPr="00E52119">
              <w:rPr>
                <w:sz w:val="20"/>
                <w:szCs w:val="20"/>
              </w:rPr>
              <w:t>Study 206207-008 (OL extension)</w:t>
            </w:r>
          </w:p>
        </w:tc>
        <w:tc>
          <w:tcPr>
            <w:tcW w:w="198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78 M</w:t>
            </w:r>
          </w:p>
        </w:tc>
        <w:tc>
          <w:tcPr>
            <w:tcW w:w="255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Myocardial infarction</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w:t>
            </w:r>
          </w:p>
        </w:tc>
      </w:tr>
      <w:tr w:rsidR="00DD5AB0" w:rsidRPr="00E52119" w:rsidTr="00E52119">
        <w:tc>
          <w:tcPr>
            <w:cnfStyle w:val="001000000000" w:firstRow="0" w:lastRow="0" w:firstColumn="1" w:lastColumn="0" w:oddVBand="0" w:evenVBand="0" w:oddHBand="0" w:evenHBand="0" w:firstRowFirstColumn="0" w:firstRowLastColumn="0" w:lastRowFirstColumn="0" w:lastRowLastColumn="0"/>
            <w:tcW w:w="2943" w:type="dxa"/>
          </w:tcPr>
          <w:p w:rsidR="00DD5AB0" w:rsidRPr="00E52119" w:rsidRDefault="00DD5AB0" w:rsidP="00E52119">
            <w:pPr>
              <w:rPr>
                <w:sz w:val="20"/>
                <w:szCs w:val="20"/>
              </w:rPr>
            </w:pPr>
            <w:r w:rsidRPr="00E52119">
              <w:rPr>
                <w:sz w:val="20"/>
                <w:szCs w:val="20"/>
              </w:rPr>
              <w:t>Study 206207-009 (IT period)</w:t>
            </w:r>
          </w:p>
        </w:tc>
        <w:tc>
          <w:tcPr>
            <w:tcW w:w="198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60 M</w:t>
            </w:r>
          </w:p>
        </w:tc>
        <w:tc>
          <w:tcPr>
            <w:tcW w:w="255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Cardiac arrest</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w:t>
            </w:r>
          </w:p>
        </w:tc>
      </w:tr>
      <w:tr w:rsidR="00DD5AB0" w:rsidRPr="00E52119" w:rsidTr="00E52119">
        <w:tc>
          <w:tcPr>
            <w:cnfStyle w:val="001000000000" w:firstRow="0" w:lastRow="0" w:firstColumn="1" w:lastColumn="0" w:oddVBand="0" w:evenVBand="0" w:oddHBand="0" w:evenHBand="0" w:firstRowFirstColumn="0" w:firstRowLastColumn="0" w:lastRowFirstColumn="0" w:lastRowLastColumn="0"/>
            <w:tcW w:w="2943" w:type="dxa"/>
          </w:tcPr>
          <w:p w:rsidR="00DD5AB0" w:rsidRPr="00E52119" w:rsidRDefault="00DD5AB0" w:rsidP="00E52119">
            <w:pPr>
              <w:rPr>
                <w:sz w:val="20"/>
                <w:szCs w:val="20"/>
              </w:rPr>
            </w:pPr>
            <w:r w:rsidRPr="00E52119">
              <w:rPr>
                <w:sz w:val="20"/>
                <w:szCs w:val="20"/>
              </w:rPr>
              <w:t>Study 206207-009 (OL extension)</w:t>
            </w:r>
          </w:p>
        </w:tc>
        <w:tc>
          <w:tcPr>
            <w:tcW w:w="1985"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84 F</w:t>
            </w:r>
          </w:p>
        </w:tc>
        <w:tc>
          <w:tcPr>
            <w:tcW w:w="255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Aspiration pneumonia</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w:t>
            </w:r>
          </w:p>
        </w:tc>
      </w:tr>
    </w:tbl>
    <w:p w:rsidR="00DD5AB0" w:rsidRDefault="00DD5AB0" w:rsidP="00A45E9B">
      <w:pPr>
        <w:pStyle w:val="Heading5"/>
      </w:pPr>
      <w:r>
        <w:t>Serious adverse events</w:t>
      </w:r>
    </w:p>
    <w:p w:rsidR="00DD5AB0" w:rsidRDefault="00B94CC2" w:rsidP="00DD5AB0">
      <w:r>
        <w:t xml:space="preserve">The table </w:t>
      </w:r>
      <w:r w:rsidR="00DD5AB0">
        <w:t>below summarises the incidence of serious adverse events (SAE) reported across studies, dividing SAEs into non-ocular and ocular in nature. All treatment-related SAEs (TR-SAE) were ocular in nature. Not including Studies 206207-010/011 (listed for reference, with a duration of &gt; 3 years), overall, the incidence rates of all SAEs varied from 0.0% to 11.2% across pivotal studies and study periods, however except for Study 206207-014 (uveitis) only a small proportion of all reported SAEs were ocular in nature, with an even smaller proportion being deemed treatment-related. In terms of treatment-related SAEs, DEX treatment was relatively well tolerated.</w:t>
      </w:r>
    </w:p>
    <w:p w:rsidR="00DD5AB0" w:rsidRDefault="00DD5AB0" w:rsidP="00DD5AB0">
      <w:r>
        <w:t>For Study 014 in uveitis patients, a generally higher rate of all SAEs was reported, with a higher proportion of these being ocular in nature. Note that this was not a re-treatment study, therefore all patients were treated only once at the start of the study and there was a much higher rate of treatment-related SAEs reported for the Sham treatment group compared with the IT period of other studies.</w:t>
      </w:r>
    </w:p>
    <w:p w:rsidR="00DD5AB0" w:rsidRDefault="00DD5AB0" w:rsidP="00DD5AB0">
      <w:r>
        <w:t>For pooled Studies 010/011, considering the duration of study treatment, the overall rate of treatment-related SAEs in the DEX 700 group (4.9%) was not much higher than the DEX 700 group (3.9%) of Study 014 that was 6 months in study duration. This however may be attributed to the smaller population size of Study 014, or the underlying diagnosis.</w:t>
      </w:r>
    </w:p>
    <w:p w:rsidR="00DD5AB0" w:rsidRDefault="00DD5AB0" w:rsidP="004E2C51">
      <w:pPr>
        <w:pStyle w:val="Tabletitle"/>
        <w:numPr>
          <w:ilvl w:val="0"/>
          <w:numId w:val="21"/>
        </w:numPr>
        <w:spacing w:after="120" w:line="240" w:lineRule="auto"/>
        <w:ind w:left="1134" w:hanging="1134"/>
      </w:pPr>
      <w:bookmarkStart w:id="215" w:name="_Toc462652688"/>
      <w:r>
        <w:t>Summary of serious adverse events rates across studies</w:t>
      </w:r>
      <w:bookmarkEnd w:id="215"/>
    </w:p>
    <w:tbl>
      <w:tblPr>
        <w:tblStyle w:val="TableTGAblue"/>
        <w:tblW w:w="0" w:type="auto"/>
        <w:tblLook w:val="04A0" w:firstRow="1" w:lastRow="0" w:firstColumn="1" w:lastColumn="0" w:noHBand="0" w:noVBand="1"/>
        <w:tblDescription w:val="Summary of serious adverse events rates across studies"/>
      </w:tblPr>
      <w:tblGrid>
        <w:gridCol w:w="1668"/>
        <w:gridCol w:w="1417"/>
        <w:gridCol w:w="1843"/>
        <w:gridCol w:w="1843"/>
        <w:gridCol w:w="1842"/>
      </w:tblGrid>
      <w:tr w:rsidR="00DD5AB0" w:rsidRPr="00E52119" w:rsidTr="009707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DD5AB0" w:rsidRPr="00E52119" w:rsidRDefault="00DD5AB0" w:rsidP="00E52119">
            <w:pPr>
              <w:rPr>
                <w:sz w:val="20"/>
                <w:szCs w:val="20"/>
              </w:rPr>
            </w:pPr>
            <w:r w:rsidRPr="00E52119">
              <w:rPr>
                <w:sz w:val="20"/>
                <w:szCs w:val="20"/>
              </w:rPr>
              <w:t>Study</w:t>
            </w:r>
          </w:p>
        </w:tc>
        <w:tc>
          <w:tcPr>
            <w:tcW w:w="1417"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Event</w:t>
            </w:r>
          </w:p>
        </w:tc>
        <w:tc>
          <w:tcPr>
            <w:tcW w:w="1843"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DEX 700</w:t>
            </w:r>
            <w:r w:rsidR="00E52119" w:rsidRPr="00E52119">
              <w:rPr>
                <w:sz w:val="20"/>
                <w:szCs w:val="20"/>
              </w:rPr>
              <w:t xml:space="preserve"> </w:t>
            </w:r>
            <w:r w:rsidRPr="00E52119">
              <w:rPr>
                <w:sz w:val="20"/>
                <w:szCs w:val="20"/>
              </w:rPr>
              <w:t>(DEX 700/700)</w:t>
            </w:r>
          </w:p>
        </w:tc>
        <w:tc>
          <w:tcPr>
            <w:tcW w:w="1843"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DEX 350</w:t>
            </w:r>
            <w:r w:rsidR="00E52119" w:rsidRPr="00E52119">
              <w:rPr>
                <w:sz w:val="20"/>
                <w:szCs w:val="20"/>
              </w:rPr>
              <w:t xml:space="preserve"> </w:t>
            </w:r>
            <w:r w:rsidRPr="00E52119">
              <w:rPr>
                <w:sz w:val="20"/>
                <w:szCs w:val="20"/>
              </w:rPr>
              <w:t>(DEX 350/700)</w:t>
            </w:r>
          </w:p>
        </w:tc>
        <w:tc>
          <w:tcPr>
            <w:tcW w:w="1842"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rPr>
            </w:pPr>
            <w:r w:rsidRPr="00E52119">
              <w:rPr>
                <w:sz w:val="20"/>
                <w:szCs w:val="20"/>
              </w:rPr>
              <w:t>Sham</w:t>
            </w:r>
            <w:r w:rsidR="00E52119" w:rsidRPr="00E52119">
              <w:rPr>
                <w:sz w:val="20"/>
                <w:szCs w:val="20"/>
              </w:rPr>
              <w:t xml:space="preserve"> </w:t>
            </w:r>
            <w:r w:rsidRPr="00E52119">
              <w:rPr>
                <w:sz w:val="20"/>
                <w:szCs w:val="20"/>
              </w:rPr>
              <w:t>(Sham/DEX 700)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 xml:space="preserve">206207-009 </w:t>
            </w:r>
          </w:p>
          <w:p w:rsidR="00DD5AB0" w:rsidRPr="00E52119" w:rsidRDefault="00DD5AB0" w:rsidP="00E52119">
            <w:pPr>
              <w:rPr>
                <w:sz w:val="20"/>
                <w:szCs w:val="20"/>
              </w:rPr>
            </w:pPr>
            <w:r w:rsidRPr="00E52119">
              <w:rPr>
                <w:sz w:val="20"/>
                <w:szCs w:val="20"/>
              </w:rPr>
              <w:lastRenderedPageBreak/>
              <w:t>(IT period)</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lastRenderedPageBreak/>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 xml:space="preserve">4.9% </w:t>
            </w:r>
            <w:r w:rsidRPr="00E52119">
              <w:rPr>
                <w:sz w:val="20"/>
                <w:szCs w:val="20"/>
              </w:rPr>
              <w:lastRenderedPageBreak/>
              <w:t>(11/225)</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lastRenderedPageBreak/>
              <w:t>2.3% (5/215)</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 xml:space="preserve">5.4% </w:t>
            </w:r>
            <w:r w:rsidRPr="00E52119">
              <w:rPr>
                <w:sz w:val="20"/>
                <w:szCs w:val="20"/>
              </w:rPr>
              <w:lastRenderedPageBreak/>
              <w:t>(12/221)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4.5% (10/225)</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2.3% (5/215)</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5.4% (12/221)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0.9% (2/225)</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(0/215)</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(0/221)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0.4% (1/225)</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(0/215)</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(0/221)</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 xml:space="preserve">206207-009 </w:t>
            </w:r>
          </w:p>
          <w:p w:rsidR="00DD5AB0" w:rsidRPr="00E52119" w:rsidRDefault="00DD5AB0" w:rsidP="00E52119">
            <w:pPr>
              <w:rPr>
                <w:sz w:val="20"/>
                <w:szCs w:val="20"/>
              </w:rPr>
            </w:pPr>
            <w:r w:rsidRPr="00E52119">
              <w:rPr>
                <w:sz w:val="20"/>
                <w:szCs w:val="20"/>
              </w:rPr>
              <w:t>(OL extension)</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3.9% (7/179)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4.0% (7/173)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4.8% (8/168)</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2.8% (5/179)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4.0% (7/173)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4.8% (8/168)</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1.1% (2/179)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(0/173)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(0/168)</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1.1% (2/179)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(0/173)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(0/168)</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 xml:space="preserve">206207-008 </w:t>
            </w:r>
          </w:p>
          <w:p w:rsidR="00DD5AB0" w:rsidRPr="00E52119" w:rsidRDefault="00DD5AB0" w:rsidP="00E52119">
            <w:pPr>
              <w:rPr>
                <w:sz w:val="20"/>
                <w:szCs w:val="20"/>
              </w:rPr>
            </w:pPr>
            <w:r w:rsidRPr="00E52119">
              <w:rPr>
                <w:sz w:val="20"/>
                <w:szCs w:val="20"/>
              </w:rPr>
              <w:t>(IT period)</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5.1% (10/196)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11.2% (22/197)</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6.4% (13/202)</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4.6% (9/196)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8.6% (17/197)</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6.4% (13/202)</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0.5% (1/196)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2.5% (5/197)</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(0/202)</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0.5% (1/196)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1.5% (3/197)</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(0/202)</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 xml:space="preserve">206207-008 </w:t>
            </w:r>
          </w:p>
          <w:p w:rsidR="00DD5AB0" w:rsidRPr="00E52119" w:rsidRDefault="00DD5AB0" w:rsidP="00E52119">
            <w:pPr>
              <w:rPr>
                <w:sz w:val="20"/>
                <w:szCs w:val="20"/>
              </w:rPr>
            </w:pPr>
            <w:r w:rsidRPr="00E52119">
              <w:rPr>
                <w:sz w:val="20"/>
                <w:szCs w:val="20"/>
              </w:rPr>
              <w:t>(OL extension)</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8.0% (13/162)</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4.5% (7/156)</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6.3% (10/159)</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6.2% (10/162)</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3.8% (6/156)</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4.4% (7/159)</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1.9% (3/162)</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0.6% (1/156)</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1.9% (3/159)</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(0/162)</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0.6% (1/156)</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0.6% (1/159)</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 xml:space="preserve">206207-020 </w:t>
            </w:r>
          </w:p>
          <w:p w:rsidR="00DD5AB0" w:rsidRPr="00E52119" w:rsidRDefault="00DD5AB0" w:rsidP="00E52119">
            <w:pPr>
              <w:rPr>
                <w:sz w:val="20"/>
                <w:szCs w:val="20"/>
              </w:rPr>
            </w:pPr>
            <w:r w:rsidRPr="00E52119">
              <w:rPr>
                <w:sz w:val="20"/>
                <w:szCs w:val="20"/>
              </w:rPr>
              <w:t>(IT period)</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0.8% (1/129)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1.5% (2/130)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0.8% (1/129)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0.8% (1/130)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(0/129)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0.8% (1/130)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(0/129)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206207-020</w:t>
            </w:r>
          </w:p>
          <w:p w:rsidR="00DD5AB0" w:rsidRPr="00E52119" w:rsidRDefault="00DD5AB0" w:rsidP="00E52119">
            <w:pPr>
              <w:rPr>
                <w:sz w:val="20"/>
                <w:szCs w:val="20"/>
              </w:rPr>
            </w:pPr>
            <w:r w:rsidRPr="00E52119">
              <w:rPr>
                <w:sz w:val="20"/>
                <w:szCs w:val="20"/>
              </w:rPr>
              <w:t>(OL extension)</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(0/107)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1.0% (1/96)</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(0/107)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1.0% (1/96)</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(0/107)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(0/96)</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(0/107)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0.0% (0/96)</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206207-014 (Uveitis indication)</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9.2% (7/76)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8.1% (6/74)</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6.7% (5/75)</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3.9% (3/76)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4.1% (3/74)</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2.7% (2/75)</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5.3% (4/76)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4.1% (3/74)</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4.0% (3/75)</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3.9% (3/76)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1.4% (1/74)</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4.0% (3/75)</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val="restart"/>
          </w:tcPr>
          <w:p w:rsidR="00DD5AB0" w:rsidRPr="00E52119" w:rsidRDefault="00DD5AB0" w:rsidP="00E52119">
            <w:pPr>
              <w:rPr>
                <w:sz w:val="20"/>
                <w:szCs w:val="20"/>
              </w:rPr>
            </w:pPr>
            <w:r w:rsidRPr="00E52119">
              <w:rPr>
                <w:sz w:val="20"/>
                <w:szCs w:val="20"/>
              </w:rPr>
              <w:t>206207-010/011</w:t>
            </w:r>
          </w:p>
          <w:p w:rsidR="00DD5AB0" w:rsidRPr="00E52119" w:rsidRDefault="00DD5AB0" w:rsidP="00E52119">
            <w:pPr>
              <w:rPr>
                <w:sz w:val="20"/>
                <w:szCs w:val="20"/>
              </w:rPr>
            </w:pPr>
            <w:r w:rsidRPr="00E52119">
              <w:rPr>
                <w:sz w:val="20"/>
                <w:szCs w:val="20"/>
              </w:rPr>
              <w:t>(Pooled DME studies)</w:t>
            </w: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All 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33.1% (115/347)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35.0% (120/343)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23.7% (83/350)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Non-ocular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27.1% (94/347)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31.5% (108/343)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20.0% (70/350)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Ocular</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9.5% (33/347)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5.5% (19/343)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4.6% (16/350)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1668" w:type="dxa"/>
            <w:vMerge/>
          </w:tcPr>
          <w:p w:rsidR="00DD5AB0" w:rsidRPr="00E52119" w:rsidRDefault="00DD5AB0" w:rsidP="00E52119">
            <w:pPr>
              <w:rPr>
                <w:sz w:val="20"/>
                <w:szCs w:val="20"/>
              </w:rPr>
            </w:pPr>
          </w:p>
        </w:tc>
        <w:tc>
          <w:tcPr>
            <w:tcW w:w="1417"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TR-SAE</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4.6% (16/347)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2.9% (10/343)</w:t>
            </w:r>
          </w:p>
        </w:tc>
        <w:tc>
          <w:tcPr>
            <w:tcW w:w="1842"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rPr>
            </w:pPr>
            <w:r w:rsidRPr="00E52119">
              <w:rPr>
                <w:sz w:val="20"/>
                <w:szCs w:val="20"/>
              </w:rPr>
              <w:t>0.3% (1/350)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8613" w:type="dxa"/>
            <w:gridSpan w:val="5"/>
          </w:tcPr>
          <w:p w:rsidR="00DD5AB0" w:rsidRPr="00E52119" w:rsidRDefault="00DD5AB0" w:rsidP="00E52119">
            <w:pPr>
              <w:rPr>
                <w:sz w:val="20"/>
                <w:szCs w:val="20"/>
              </w:rPr>
            </w:pPr>
            <w:r w:rsidRPr="00E52119">
              <w:rPr>
                <w:sz w:val="20"/>
                <w:szCs w:val="20"/>
              </w:rPr>
              <w:t>For the IT period of listed studies, the safety population is used, whilst for the OL extension, the re-treatment population for the OL extension is used.</w:t>
            </w:r>
          </w:p>
        </w:tc>
      </w:tr>
    </w:tbl>
    <w:p w:rsidR="00DD5AB0" w:rsidRDefault="00DD5AB0" w:rsidP="00DD5AB0">
      <w:r>
        <w:t>The overall incidence of SAE in the IT period for both studies pooled was 5.0% (21/421) in the DEX 700 group, 6.6% (27/412) in the DEX 350 group and 5.9% (25/423) in the Sham group. The rates of ocular SAEs and non-ocular SAEs were similar among the 3 treatment groups.</w:t>
      </w:r>
    </w:p>
    <w:p w:rsidR="00DD5AB0" w:rsidRDefault="00DD5AB0" w:rsidP="00DD5AB0">
      <w:r>
        <w:t>For the pooled safety population of Study 008/009, most SAEs occurred in only one patient per treatment group. SAEs in ≥ 2 patients in any one treatment group were: myocardial infarction, angina pectoris, congestive cardiac failure, chest pain, urinary tract infection, IOP increased, cerebrovascular accident and syncope. IOP increased was reported in 0.5% and 0.7% of the DEX 700 and DEX 350 groups respectively. The only SAE with statistically significant differences in incidence was myocardial infarction between DEX 350 (1.2%) versus Sham (0.0%) (p = 0.029), however none of the non-ocular SAEs were considered treatment-related.</w:t>
      </w:r>
    </w:p>
    <w:p w:rsidR="00DD5AB0" w:rsidRDefault="00DD5AB0" w:rsidP="00DD5AB0">
      <w:r>
        <w:t xml:space="preserve">All ocular SAEs for the pooled safety population of Studies 008/009 are summarised in </w:t>
      </w:r>
      <w:r w:rsidR="00B94CC2">
        <w:t>the table below</w:t>
      </w:r>
      <w:r>
        <w:t>. Overall there were 10 reports of ocular SAEs, 5 of which were reported as being related to study treatment, with four treatment-related reports of IOP increased, 1 in the DEX 700 treatment group, and 3 reports in IOP increased in the DEX 350 group. The 5</w:t>
      </w:r>
      <w:r w:rsidRPr="00E963F1">
        <w:rPr>
          <w:vertAlign w:val="superscript"/>
        </w:rPr>
        <w:t>th</w:t>
      </w:r>
      <w:r>
        <w:t xml:space="preserve"> report of a treatment-related SAE was ocular hypertension (DEX 700 group).</w:t>
      </w:r>
    </w:p>
    <w:p w:rsidR="00DD5AB0" w:rsidRPr="009075AF" w:rsidRDefault="00DD5AB0" w:rsidP="004E2C51">
      <w:pPr>
        <w:pStyle w:val="Tabletitle"/>
        <w:numPr>
          <w:ilvl w:val="0"/>
          <w:numId w:val="21"/>
        </w:numPr>
        <w:spacing w:after="120" w:line="240" w:lineRule="auto"/>
        <w:ind w:left="1134" w:hanging="1134"/>
      </w:pPr>
      <w:bookmarkStart w:id="216" w:name="_Toc462652689"/>
      <w:r w:rsidRPr="009075AF">
        <w:lastRenderedPageBreak/>
        <w:t>Serious ocular adverse events occurring in any treatment group (Studies 008/009)</w:t>
      </w:r>
      <w:bookmarkEnd w:id="216"/>
    </w:p>
    <w:p w:rsidR="00DD5AB0" w:rsidRDefault="0097071F" w:rsidP="00DD5AB0">
      <w:r>
        <w:rPr>
          <w:noProof/>
          <w:lang w:eastAsia="en-AU"/>
        </w:rPr>
        <w:drawing>
          <wp:inline distT="0" distB="0" distL="0" distR="0" wp14:anchorId="1AF0FA11" wp14:editId="29B613E7">
            <wp:extent cx="5400040" cy="3147716"/>
            <wp:effectExtent l="0" t="0" r="0" b="0"/>
            <wp:docPr id="9" name="Picture 9" descr="Table 62: Serious ocular adverse events occurring in any treatment group (Studies 0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00040" cy="3147716"/>
                    </a:xfrm>
                    <a:prstGeom prst="rect">
                      <a:avLst/>
                    </a:prstGeom>
                  </pic:spPr>
                </pic:pic>
              </a:graphicData>
            </a:graphic>
          </wp:inline>
        </w:drawing>
      </w:r>
    </w:p>
    <w:p w:rsidR="00DD5AB0" w:rsidRDefault="00DD5AB0" w:rsidP="00DD5AB0">
      <w:r>
        <w:t>The pooled 12-month cumulative SAE rate for the re-treatment population was 9.4% (32</w:t>
      </w:r>
      <w:r w:rsidRPr="009C1B3B">
        <w:t>/</w:t>
      </w:r>
      <w:r>
        <w:t>341), 8.3% (27</w:t>
      </w:r>
      <w:r w:rsidRPr="009C1B3B">
        <w:t>/</w:t>
      </w:r>
      <w:r>
        <w:t>329) and 10.7% (35</w:t>
      </w:r>
      <w:r w:rsidRPr="009C1B3B">
        <w:t>/</w:t>
      </w:r>
      <w:r>
        <w:t>327) for the DEX 700</w:t>
      </w:r>
      <w:r w:rsidRPr="009C1B3B">
        <w:t>/</w:t>
      </w:r>
      <w:r>
        <w:t>700, DEX 350</w:t>
      </w:r>
      <w:r w:rsidRPr="009C1B3B">
        <w:t>/</w:t>
      </w:r>
      <w:r>
        <w:t>700 and Sham</w:t>
      </w:r>
      <w:r w:rsidRPr="009C1B3B">
        <w:t>/</w:t>
      </w:r>
      <w:r>
        <w:t>DEX 700 groups respectively, as summarised in the following. Overall, the majority of reported SAEs were non-ocular in nature, and there was no specific pattern to the rates of SAE reported according to SOC. In the OL extension 4 ocular SAEs were reported for the DEX 700</w:t>
      </w:r>
      <w:r w:rsidRPr="001A2F14">
        <w:t>/</w:t>
      </w:r>
      <w:r>
        <w:t>700 treatment group – 3 were in the study-eye and considered treatment related with 1 case of glaucoma, 1 case of retinal detachment and 1 case of retinal neovascularisation. The other DEX 700/700 case was a cataract in the non-study eye.</w:t>
      </w:r>
    </w:p>
    <w:p w:rsidR="00CF552A" w:rsidRPr="00C21CFC" w:rsidRDefault="00DD5AB0" w:rsidP="00DD5AB0">
      <w:r>
        <w:t>In the Sham</w:t>
      </w:r>
      <w:r w:rsidRPr="009C1B3B">
        <w:t>/</w:t>
      </w:r>
      <w:r>
        <w:t>DEX 700, there were 2 reports of glaucoma (one case in the study eye and considered treatment-related, and one case in the non-study eye). Under the category of investigations, IOP increased was reported for 0.3% (or one patient) in each of the 3 treatment groups and was related to study treatment.</w:t>
      </w:r>
    </w:p>
    <w:p w:rsidR="00CF552A" w:rsidRDefault="00DD5AB0" w:rsidP="004E2C51">
      <w:pPr>
        <w:pStyle w:val="Tabletitle"/>
        <w:numPr>
          <w:ilvl w:val="0"/>
          <w:numId w:val="21"/>
        </w:numPr>
        <w:spacing w:after="120" w:line="240" w:lineRule="auto"/>
        <w:ind w:left="1134" w:hanging="1134"/>
        <w:rPr>
          <w:noProof/>
          <w:lang w:eastAsia="en-AU"/>
        </w:rPr>
      </w:pPr>
      <w:bookmarkStart w:id="217" w:name="_Toc462652690"/>
      <w:r w:rsidRPr="009075AF">
        <w:lastRenderedPageBreak/>
        <w:t>Serious adverse events over 12 month period (Studies 008/009: Retreated</w:t>
      </w:r>
      <w:r>
        <w:t xml:space="preserve"> population</w:t>
      </w:r>
      <w:r w:rsidRPr="00125C18">
        <w:t>)</w:t>
      </w:r>
      <w:r w:rsidRPr="00C21CFC">
        <w:rPr>
          <w:noProof/>
          <w:lang w:val="en-US"/>
        </w:rPr>
        <w:t xml:space="preserve"> </w:t>
      </w:r>
      <w:bookmarkEnd w:id="217"/>
    </w:p>
    <w:p w:rsidR="009075AF" w:rsidRPr="009075AF" w:rsidRDefault="009075AF" w:rsidP="009075AF">
      <w:pPr>
        <w:rPr>
          <w:lang w:eastAsia="en-AU"/>
        </w:rPr>
      </w:pPr>
      <w:r>
        <w:rPr>
          <w:noProof/>
          <w:lang w:eastAsia="en-AU"/>
        </w:rPr>
        <w:drawing>
          <wp:inline distT="0" distB="0" distL="0" distR="0" wp14:anchorId="49264176" wp14:editId="5BAA1CB7">
            <wp:extent cx="4549140" cy="4892040"/>
            <wp:effectExtent l="0" t="0" r="3810" b="3810"/>
            <wp:docPr id="1" name="Picture 1" descr="Serious adverse events over 12 month period (Studies 008/009: Re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49140" cy="4892040"/>
                    </a:xfrm>
                    <a:prstGeom prst="rect">
                      <a:avLst/>
                    </a:prstGeom>
                  </pic:spPr>
                </pic:pic>
              </a:graphicData>
            </a:graphic>
          </wp:inline>
        </w:drawing>
      </w:r>
    </w:p>
    <w:p w:rsidR="00DD5AB0" w:rsidRPr="00407BC5" w:rsidRDefault="00DD5AB0" w:rsidP="00DD5AB0">
      <w:pPr>
        <w:rPr>
          <w:lang w:eastAsia="ja-JP"/>
        </w:rPr>
      </w:pPr>
      <w:r>
        <w:rPr>
          <w:lang w:eastAsia="ja-JP"/>
        </w:rPr>
        <w:t>In Study 206207-020, SAEs were reported during the initial treatment phase for 0.8% (1/129) of patients in the DEX 700 group (one report of atrioventricular block), and 2.5% (3/130) in the Sham group (1 SAE of cerebral infarction, vitreous haemorrhage and cholecystitis).</w:t>
      </w:r>
    </w:p>
    <w:p w:rsidR="00DD5AB0" w:rsidRPr="001E2FCE" w:rsidRDefault="00DD5AB0" w:rsidP="00DD5AB0">
      <w:r>
        <w:t xml:space="preserve">A higher rate of all SAEs and treatment-related ocular SAEs was reported for uveitis Study 206207-014 as compared with the studies for the indication of RVO above.  A summary of SAEs with severity and relationship to treatment is given in </w:t>
      </w:r>
      <w:r w:rsidR="0095165D">
        <w:t xml:space="preserve">the table </w:t>
      </w:r>
      <w:r>
        <w:t>below.</w:t>
      </w:r>
    </w:p>
    <w:p w:rsidR="00DD5AB0" w:rsidRPr="00F02DE7" w:rsidRDefault="00DD5AB0" w:rsidP="004E2C51">
      <w:pPr>
        <w:pStyle w:val="Tabletitle"/>
        <w:numPr>
          <w:ilvl w:val="0"/>
          <w:numId w:val="21"/>
        </w:numPr>
        <w:spacing w:after="120" w:line="240" w:lineRule="auto"/>
        <w:ind w:left="1134" w:hanging="1134"/>
      </w:pPr>
      <w:bookmarkStart w:id="218" w:name="_Toc462652691"/>
      <w:r w:rsidRPr="00F02DE7">
        <w:lastRenderedPageBreak/>
        <w:t>Summary of SAEs (206207-014)</w:t>
      </w:r>
      <w:bookmarkEnd w:id="218"/>
    </w:p>
    <w:p w:rsidR="00E52119" w:rsidRDefault="00814545" w:rsidP="00DD5AB0">
      <w:r>
        <w:rPr>
          <w:noProof/>
          <w:lang w:eastAsia="en-AU"/>
        </w:rPr>
        <w:drawing>
          <wp:inline distT="0" distB="0" distL="0" distR="0" wp14:anchorId="281C71F2" wp14:editId="664C261B">
            <wp:extent cx="4000500" cy="5090160"/>
            <wp:effectExtent l="0" t="0" r="0" b="0"/>
            <wp:docPr id="8" name="Picture 8" descr="Table 64: Summary of SAEs (2062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000500" cy="5090160"/>
                    </a:xfrm>
                    <a:prstGeom prst="rect">
                      <a:avLst/>
                    </a:prstGeom>
                  </pic:spPr>
                </pic:pic>
              </a:graphicData>
            </a:graphic>
          </wp:inline>
        </w:drawing>
      </w:r>
    </w:p>
    <w:p w:rsidR="00DD5AB0" w:rsidRDefault="00DD5AB0" w:rsidP="00DD5AB0">
      <w:r>
        <w:t>There was no difference among treatments in the incidence of SAEs. Overall, a total of 18 patients overall were reported as having SAEs, 7 in the DEX 700 group, 6 in the DEX 350 group and 5 in the Sham group.</w:t>
      </w:r>
    </w:p>
    <w:p w:rsidR="00DD5AB0" w:rsidRDefault="00DD5AB0" w:rsidP="00DD5AB0">
      <w:r>
        <w:t>Seven AEs reported for 5 patients were related to either DEX 700 (drug) or the drug administration procedure: Retinal detachment (4 events: 2 with DEX700, 2 with Sham (see also comments under retinal detachment that follow)), Cataract (2 events: 1 DEX350, and 1 Sham), Endophthalmitis (1 case with DEX700).</w:t>
      </w:r>
    </w:p>
    <w:p w:rsidR="00DD5AB0" w:rsidRPr="00C2074B" w:rsidRDefault="00DD5AB0" w:rsidP="00A45E9B">
      <w:pPr>
        <w:pStyle w:val="Heading5"/>
      </w:pPr>
      <w:r w:rsidRPr="00C2074B">
        <w:t>Other studies</w:t>
      </w:r>
    </w:p>
    <w:p w:rsidR="00DD5AB0" w:rsidRDefault="00DD5AB0" w:rsidP="00DD5AB0">
      <w:pPr>
        <w:pStyle w:val="Heading6"/>
        <w:rPr>
          <w:lang w:eastAsia="ja-JP"/>
        </w:rPr>
      </w:pPr>
      <w:bookmarkStart w:id="219" w:name="_Toc241374325"/>
      <w:bookmarkStart w:id="220" w:name="_Ref272333477"/>
      <w:bookmarkStart w:id="221" w:name="_Toc272414667"/>
      <w:bookmarkStart w:id="222" w:name="_Toc290888531"/>
      <w:bookmarkStart w:id="223" w:name="_Toc416353747"/>
      <w:bookmarkStart w:id="224" w:name="_Toc421005290"/>
      <w:bookmarkStart w:id="225" w:name="_Toc432079167"/>
      <w:bookmarkStart w:id="226" w:name="_Toc432080740"/>
      <w:r>
        <w:rPr>
          <w:lang w:eastAsia="ja-JP"/>
        </w:rPr>
        <w:t>Studies 207208-010/011</w:t>
      </w:r>
    </w:p>
    <w:p w:rsidR="00DD5AB0" w:rsidRDefault="00DD5AB0" w:rsidP="00DD5AB0">
      <w:pPr>
        <w:rPr>
          <w:lang w:eastAsia="ja-JP"/>
        </w:rPr>
      </w:pPr>
      <w:r>
        <w:rPr>
          <w:lang w:eastAsia="ja-JP"/>
        </w:rPr>
        <w:t>Over the 3 years, there were 29 deaths in these Phase III DME studies (9 in the DEX 700, 15 in the DEX 350 and 5 in the Sham groups). None were considered related to study treatment.</w:t>
      </w:r>
    </w:p>
    <w:p w:rsidR="00DD5AB0" w:rsidRDefault="00DD5AB0" w:rsidP="00DD5AB0">
      <w:pPr>
        <w:rPr>
          <w:lang w:eastAsia="ja-JP"/>
        </w:rPr>
      </w:pPr>
      <w:r>
        <w:rPr>
          <w:lang w:eastAsia="ja-JP"/>
        </w:rPr>
        <w:t xml:space="preserve">Regarding SAEs, the overall incidence of SAEs was higher with DEX 700 </w:t>
      </w:r>
      <w:r w:rsidRPr="009F28CE">
        <w:rPr>
          <w:lang w:eastAsia="ja-JP"/>
        </w:rPr>
        <w:t>(33.1%) and DEX 350 (35.0%) compared with Sham (23.7%)</w:t>
      </w:r>
      <w:r>
        <w:rPr>
          <w:lang w:eastAsia="ja-JP"/>
        </w:rPr>
        <w:t xml:space="preserve"> however, the exposure-adjusted data show that serious adverse data was similar across all 3 treatment groups: 13.5%, 13.6%, and 12.5% in the DEX 700, DEX 350, and Sham groups, respectively.</w:t>
      </w:r>
    </w:p>
    <w:p w:rsidR="00DD5AB0" w:rsidRDefault="00DD5AB0" w:rsidP="00DD5AB0">
      <w:pPr>
        <w:rPr>
          <w:lang w:eastAsia="ja-JP"/>
        </w:rPr>
      </w:pPr>
      <w:r>
        <w:rPr>
          <w:lang w:eastAsia="ja-JP"/>
        </w:rPr>
        <w:lastRenderedPageBreak/>
        <w:t>Serious ocular adverse events in the study eye were reported for 6.9% of patients in the DEX 700 group, 4.1% in the DEX 350 group, and 1.1% in the Sham group. Treatment-related serious ocular adverse events all occurred in the study eye, and included cataract (8, 8, and 1 patients in the DEX 700, DEX 350, and Sham groups respectively); and subcapsular cataract (2, 2, and 0 patients in the DEX 700, DEX 350, and Sham groups, respectively) lens dislocation, macular oedema, necrotising retinitis, retinal detachment, vitreous adhesions, and endophthalmitis were reported in the DEX 700 group for 1 patient each.</w:t>
      </w:r>
    </w:p>
    <w:p w:rsidR="00DD5AB0" w:rsidRDefault="00DD5AB0" w:rsidP="001A6420">
      <w:r w:rsidRPr="00614020">
        <w:rPr>
          <w:b/>
        </w:rPr>
        <w:t>Evaluator’s comment</w:t>
      </w:r>
      <w:r>
        <w:t xml:space="preserve">: In the RVO studies, ocular SAEs were rare and generally occurred in ≤ 1.0% of each treatment group in the different study periods of each study. There were generally either no or a single reported treatment-related SAE for each study period, except for the IT period of Study 008 (DEX 350) at 1.5% (3/197) and the OL extension of Study 009 (DEX 700) at 1.1% (2/179). Of the 9 reported treatment-related SAEs, 7 were related to </w:t>
      </w:r>
      <w:proofErr w:type="gramStart"/>
      <w:r>
        <w:t>increased</w:t>
      </w:r>
      <w:proofErr w:type="gramEnd"/>
      <w:r>
        <w:t xml:space="preserve"> IOP (either increased IOP, ocular hypertension (1 report) or glaucoma (1 report)) with the other two being one each for retinal detachment and neo-vascularisation.</w:t>
      </w:r>
      <w:r>
        <w:br/>
        <w:t>In the uveitis study (014), all SAEs, all ocular SAEs and treatment-related SAEs were all more common, including treatment-related SAEs in the Sham group. All ocular SAEs occurred for 5.3%, 4.1% and 4.0% (DEX 700, DEX 350 and Sham respectively) and treatment-related SAEs occurred for 3.9%, 1.4% and 4.0%. In contrast to the RVO studies, the SAE profile was very different with no reports of IOP increased. Instead retinal detachments, cataracts and endophthalmitis were reported as treatment-related SAEs.</w:t>
      </w:r>
    </w:p>
    <w:p w:rsidR="00DD5AB0" w:rsidRDefault="00DD5AB0" w:rsidP="004C3275">
      <w:pPr>
        <w:pStyle w:val="Heading4"/>
        <w:numPr>
          <w:ilvl w:val="2"/>
          <w:numId w:val="5"/>
        </w:numPr>
      </w:pPr>
      <w:r w:rsidRPr="00545B14">
        <w:t>Discontinuation</w:t>
      </w:r>
      <w:r>
        <w:t>s</w:t>
      </w:r>
      <w:r w:rsidRPr="00545B14">
        <w:t xml:space="preserve"> due to adverse events</w:t>
      </w:r>
      <w:bookmarkEnd w:id="219"/>
      <w:bookmarkEnd w:id="220"/>
      <w:bookmarkEnd w:id="221"/>
      <w:bookmarkEnd w:id="222"/>
      <w:bookmarkEnd w:id="223"/>
      <w:bookmarkEnd w:id="224"/>
      <w:bookmarkEnd w:id="225"/>
      <w:bookmarkEnd w:id="226"/>
    </w:p>
    <w:p w:rsidR="00DD5AB0" w:rsidRPr="00D93262" w:rsidRDefault="00DD5AB0" w:rsidP="00A45E9B">
      <w:pPr>
        <w:pStyle w:val="Heading5"/>
        <w:rPr>
          <w:lang w:eastAsia="ja-JP"/>
        </w:rPr>
      </w:pPr>
      <w:r>
        <w:rPr>
          <w:lang w:eastAsia="ja-JP"/>
        </w:rPr>
        <w:t>Pivotal studies</w:t>
      </w:r>
    </w:p>
    <w:p w:rsidR="00DD5AB0" w:rsidRPr="00011693" w:rsidRDefault="0095165D" w:rsidP="00DD5AB0">
      <w:pPr>
        <w:rPr>
          <w:lang w:eastAsia="ja-JP"/>
        </w:rPr>
      </w:pPr>
      <w:r>
        <w:rPr>
          <w:lang w:eastAsia="ja-JP"/>
        </w:rPr>
        <w:t xml:space="preserve">The table </w:t>
      </w:r>
      <w:r w:rsidR="00DD5AB0">
        <w:rPr>
          <w:lang w:eastAsia="ja-JP"/>
        </w:rPr>
        <w:t xml:space="preserve">below summarises discontinuation due to any AE of any SOC. </w:t>
      </w:r>
      <w:r w:rsidR="00DD5AB0" w:rsidRPr="0017405E">
        <w:rPr>
          <w:lang w:eastAsia="ja-JP"/>
        </w:rPr>
        <w:t xml:space="preserve">Overall </w:t>
      </w:r>
      <w:r w:rsidR="00DD5AB0">
        <w:rPr>
          <w:lang w:eastAsia="ja-JP"/>
        </w:rPr>
        <w:t>discontinuations</w:t>
      </w:r>
      <w:r w:rsidR="00DD5AB0" w:rsidRPr="0017405E">
        <w:rPr>
          <w:lang w:eastAsia="ja-JP"/>
        </w:rPr>
        <w:t xml:space="preserve"> due to AEs were low across studies and across treatment groups</w:t>
      </w:r>
    </w:p>
    <w:p w:rsidR="00DD5AB0" w:rsidRDefault="00DD5AB0" w:rsidP="004E2C51">
      <w:pPr>
        <w:pStyle w:val="Tabletitle"/>
        <w:numPr>
          <w:ilvl w:val="0"/>
          <w:numId w:val="21"/>
        </w:numPr>
        <w:spacing w:after="120" w:line="240" w:lineRule="auto"/>
        <w:ind w:left="1134" w:hanging="1134"/>
      </w:pPr>
      <w:bookmarkStart w:id="227" w:name="_Toc462652692"/>
      <w:r>
        <w:t>Discontinuations across studies due to adverse events</w:t>
      </w:r>
      <w:bookmarkEnd w:id="227"/>
    </w:p>
    <w:tbl>
      <w:tblPr>
        <w:tblStyle w:val="TableTGAblue"/>
        <w:tblW w:w="0" w:type="auto"/>
        <w:tblLook w:val="04A0" w:firstRow="1" w:lastRow="0" w:firstColumn="1" w:lastColumn="0" w:noHBand="0" w:noVBand="1"/>
        <w:tblDescription w:val="Discontinuations across studies due to adverse events"/>
      </w:tblPr>
      <w:tblGrid>
        <w:gridCol w:w="3144"/>
        <w:gridCol w:w="1684"/>
        <w:gridCol w:w="1801"/>
        <w:gridCol w:w="2091"/>
      </w:tblGrid>
      <w:tr w:rsidR="00DD5AB0" w:rsidRPr="00E52119" w:rsidTr="002A4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DD5AB0" w:rsidRPr="00E52119" w:rsidRDefault="00DD5AB0" w:rsidP="00E52119">
            <w:pPr>
              <w:rPr>
                <w:sz w:val="20"/>
                <w:szCs w:val="20"/>
                <w:lang w:eastAsia="ja-JP"/>
              </w:rPr>
            </w:pPr>
            <w:r w:rsidRPr="00E52119">
              <w:rPr>
                <w:sz w:val="20"/>
                <w:szCs w:val="20"/>
                <w:lang w:eastAsia="ja-JP"/>
              </w:rPr>
              <w:t>Study (period)</w:t>
            </w:r>
          </w:p>
        </w:tc>
        <w:tc>
          <w:tcPr>
            <w:tcW w:w="1701"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700 (700/700)</w:t>
            </w:r>
            <w:r w:rsidRPr="00E52119">
              <w:rPr>
                <w:sz w:val="20"/>
                <w:szCs w:val="20"/>
                <w:vertAlign w:val="superscript"/>
                <w:lang w:eastAsia="ja-JP"/>
              </w:rPr>
              <w:t>a</w:t>
            </w:r>
          </w:p>
        </w:tc>
        <w:tc>
          <w:tcPr>
            <w:tcW w:w="1843"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350 (350/700)</w:t>
            </w:r>
            <w:r w:rsidRPr="00E52119">
              <w:rPr>
                <w:sz w:val="20"/>
                <w:szCs w:val="20"/>
                <w:vertAlign w:val="superscript"/>
                <w:lang w:eastAsia="ja-JP"/>
              </w:rPr>
              <w:t>a</w:t>
            </w:r>
          </w:p>
        </w:tc>
        <w:tc>
          <w:tcPr>
            <w:tcW w:w="2188"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Sham (Sham/DEX 700)</w:t>
            </w:r>
            <w:r w:rsidRPr="00E52119">
              <w:rPr>
                <w:sz w:val="20"/>
                <w:szCs w:val="20"/>
                <w:vertAlign w:val="superscript"/>
                <w:lang w:eastAsia="ja-JP"/>
              </w:rPr>
              <w:t>a</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3510" w:type="dxa"/>
          </w:tcPr>
          <w:p w:rsidR="00DD5AB0" w:rsidRPr="00E52119" w:rsidRDefault="00DD5AB0" w:rsidP="00E52119">
            <w:pPr>
              <w:rPr>
                <w:sz w:val="20"/>
                <w:szCs w:val="20"/>
                <w:lang w:eastAsia="ja-JP"/>
              </w:rPr>
            </w:pPr>
            <w:r w:rsidRPr="00E52119">
              <w:rPr>
                <w:sz w:val="20"/>
                <w:szCs w:val="20"/>
                <w:lang w:eastAsia="ja-JP"/>
              </w:rPr>
              <w:t>206207-008/009 - IT period</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1.7% (7/421)</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1.9% (8/412)</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1.9% (8/423)</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3510" w:type="dxa"/>
          </w:tcPr>
          <w:p w:rsidR="00DD5AB0" w:rsidRPr="00E52119" w:rsidRDefault="00DD5AB0" w:rsidP="00E52119">
            <w:pPr>
              <w:rPr>
                <w:sz w:val="20"/>
                <w:szCs w:val="20"/>
                <w:lang w:eastAsia="ja-JP"/>
              </w:rPr>
            </w:pPr>
            <w:r w:rsidRPr="00E52119">
              <w:rPr>
                <w:sz w:val="20"/>
                <w:szCs w:val="20"/>
                <w:lang w:eastAsia="ja-JP"/>
              </w:rPr>
              <w:t>206207-008/009 - OL extension</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1.2% (4/341)</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0.9% (3/329)</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0.9% (3/327)</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3510" w:type="dxa"/>
          </w:tcPr>
          <w:p w:rsidR="00DD5AB0" w:rsidRPr="00E52119" w:rsidRDefault="00DD5AB0" w:rsidP="00E52119">
            <w:pPr>
              <w:rPr>
                <w:sz w:val="20"/>
                <w:szCs w:val="20"/>
                <w:lang w:eastAsia="ja-JP"/>
              </w:rPr>
            </w:pPr>
            <w:r w:rsidRPr="00E52119">
              <w:rPr>
                <w:sz w:val="20"/>
                <w:szCs w:val="20"/>
                <w:lang w:eastAsia="ja-JP"/>
              </w:rPr>
              <w:t>206207-020 – IT period</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(0/129)</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0.8% (1/130)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3510" w:type="dxa"/>
          </w:tcPr>
          <w:p w:rsidR="00DD5AB0" w:rsidRPr="00E52119" w:rsidRDefault="00DD5AB0" w:rsidP="00E52119">
            <w:pPr>
              <w:rPr>
                <w:sz w:val="20"/>
                <w:szCs w:val="20"/>
                <w:lang w:eastAsia="ja-JP"/>
              </w:rPr>
            </w:pPr>
            <w:r w:rsidRPr="00E52119">
              <w:rPr>
                <w:sz w:val="20"/>
                <w:szCs w:val="20"/>
                <w:lang w:eastAsia="ja-JP"/>
              </w:rPr>
              <w:t>206207-020 - OL extension</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(0/107)</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(0/97)</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3510" w:type="dxa"/>
          </w:tcPr>
          <w:p w:rsidR="00DD5AB0" w:rsidRPr="00E52119" w:rsidRDefault="00DD5AB0" w:rsidP="00E52119">
            <w:pPr>
              <w:rPr>
                <w:sz w:val="20"/>
                <w:szCs w:val="20"/>
                <w:lang w:eastAsia="ja-JP"/>
              </w:rPr>
            </w:pPr>
            <w:r w:rsidRPr="00E52119">
              <w:rPr>
                <w:sz w:val="20"/>
                <w:szCs w:val="20"/>
                <w:lang w:eastAsia="ja-JP"/>
              </w:rPr>
              <w:t>206207-014</w:t>
            </w:r>
          </w:p>
        </w:tc>
        <w:tc>
          <w:tcPr>
            <w:tcW w:w="1701"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3.9%  (3/76)</w:t>
            </w:r>
          </w:p>
        </w:tc>
        <w:tc>
          <w:tcPr>
            <w:tcW w:w="1843"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(0/74)</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(0/75)</w:t>
            </w:r>
          </w:p>
        </w:tc>
      </w:tr>
    </w:tbl>
    <w:p w:rsidR="00DD5AB0" w:rsidRDefault="00DD5AB0" w:rsidP="00E52119">
      <w:pPr>
        <w:pStyle w:val="TableDescription"/>
        <w:rPr>
          <w:lang w:eastAsia="ja-JP"/>
        </w:rPr>
      </w:pPr>
      <w:proofErr w:type="gramStart"/>
      <w:r w:rsidRPr="00B72DA5">
        <w:rPr>
          <w:vertAlign w:val="superscript"/>
          <w:lang w:eastAsia="ja-JP"/>
        </w:rPr>
        <w:t>a</w:t>
      </w:r>
      <w:proofErr w:type="gramEnd"/>
      <w:r>
        <w:rPr>
          <w:lang w:eastAsia="ja-JP"/>
        </w:rPr>
        <w:t xml:space="preserve"> refers to re-treatment population with initial randomisation treatment</w:t>
      </w:r>
    </w:p>
    <w:p w:rsidR="00DD5AB0" w:rsidRPr="00011693" w:rsidRDefault="00B94CC2" w:rsidP="00DD5AB0">
      <w:pPr>
        <w:rPr>
          <w:lang w:eastAsia="ja-JP"/>
        </w:rPr>
      </w:pPr>
      <w:r>
        <w:rPr>
          <w:lang w:eastAsia="ja-JP"/>
        </w:rPr>
        <w:t xml:space="preserve">The table </w:t>
      </w:r>
      <w:r w:rsidR="00DD5AB0">
        <w:rPr>
          <w:lang w:eastAsia="ja-JP"/>
        </w:rPr>
        <w:t>below summarises discontinuations due to ocular AEs and the relationship between ocular AE and treatment.</w:t>
      </w:r>
    </w:p>
    <w:p w:rsidR="00DD5AB0" w:rsidRDefault="00DD5AB0" w:rsidP="004E2C51">
      <w:pPr>
        <w:pStyle w:val="Tabletitle"/>
        <w:numPr>
          <w:ilvl w:val="0"/>
          <w:numId w:val="21"/>
        </w:numPr>
        <w:spacing w:after="120" w:line="240" w:lineRule="auto"/>
        <w:ind w:left="1134" w:hanging="1134"/>
      </w:pPr>
      <w:bookmarkStart w:id="228" w:name="_Toc462652693"/>
      <w:r>
        <w:lastRenderedPageBreak/>
        <w:t>Discontinuations</w:t>
      </w:r>
      <w:bookmarkEnd w:id="228"/>
    </w:p>
    <w:tbl>
      <w:tblPr>
        <w:tblStyle w:val="TableTGAblue"/>
        <w:tblW w:w="0" w:type="auto"/>
        <w:tblLook w:val="04A0" w:firstRow="1" w:lastRow="0" w:firstColumn="1" w:lastColumn="0" w:noHBand="0" w:noVBand="1"/>
        <w:tblDescription w:val="Discontinuations "/>
      </w:tblPr>
      <w:tblGrid>
        <w:gridCol w:w="2348"/>
        <w:gridCol w:w="2137"/>
        <w:gridCol w:w="2137"/>
        <w:gridCol w:w="2098"/>
      </w:tblGrid>
      <w:tr w:rsidR="00DD5AB0" w:rsidRPr="00E52119" w:rsidTr="002A46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Event type</w:t>
            </w:r>
          </w:p>
        </w:tc>
        <w:tc>
          <w:tcPr>
            <w:tcW w:w="2268"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700</w:t>
            </w:r>
            <w:r w:rsidR="00E52119">
              <w:rPr>
                <w:sz w:val="20"/>
                <w:szCs w:val="20"/>
                <w:lang w:eastAsia="ja-JP"/>
              </w:rPr>
              <w:t xml:space="preserve"> </w:t>
            </w:r>
          </w:p>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700/700)</w:t>
            </w:r>
          </w:p>
        </w:tc>
        <w:tc>
          <w:tcPr>
            <w:tcW w:w="2268"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350</w:t>
            </w:r>
          </w:p>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(DEX 350/700)</w:t>
            </w:r>
          </w:p>
        </w:tc>
        <w:tc>
          <w:tcPr>
            <w:tcW w:w="2188" w:type="dxa"/>
          </w:tcPr>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Sham</w:t>
            </w:r>
          </w:p>
          <w:p w:rsidR="00DD5AB0" w:rsidRPr="00E52119" w:rsidRDefault="00DD5AB0" w:rsidP="00E5211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(Sham/DEX 700)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9242" w:type="dxa"/>
            <w:gridSpan w:val="4"/>
          </w:tcPr>
          <w:p w:rsidR="00DD5AB0" w:rsidRPr="00E52119" w:rsidRDefault="00DD5AB0" w:rsidP="00E52119">
            <w:pPr>
              <w:rPr>
                <w:sz w:val="20"/>
                <w:szCs w:val="20"/>
                <w:lang w:eastAsia="ja-JP"/>
              </w:rPr>
            </w:pPr>
            <w:r w:rsidRPr="00E52119">
              <w:rPr>
                <w:sz w:val="20"/>
                <w:szCs w:val="20"/>
                <w:lang w:eastAsia="ja-JP"/>
              </w:rPr>
              <w:t>Study 206207-008/009 (Pooled) – IT period</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All ocular AEs</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1.0% (4/421)</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1.2% (5/412)</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1.4% (6/423)</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Treatment related</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(0/421)</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0.5% (2/412)</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(0/423)</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9242" w:type="dxa"/>
            <w:gridSpan w:val="4"/>
          </w:tcPr>
          <w:p w:rsidR="00DD5AB0" w:rsidRPr="00E52119" w:rsidRDefault="00DD5AB0" w:rsidP="00E52119">
            <w:pPr>
              <w:rPr>
                <w:sz w:val="20"/>
                <w:szCs w:val="20"/>
                <w:lang w:eastAsia="ja-JP"/>
              </w:rPr>
            </w:pPr>
            <w:r w:rsidRPr="00E52119">
              <w:rPr>
                <w:sz w:val="20"/>
                <w:szCs w:val="20"/>
                <w:lang w:eastAsia="ja-JP"/>
              </w:rPr>
              <w:t>Study 206207-008/009 (Pooled) – OL extension</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All ocular AEs</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0.9% (3/341)</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0.3% (1/329)</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0.3% (1/327)</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Treatment related</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0.3% (1/341)</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(0/329)</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(0/327)</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9242" w:type="dxa"/>
            <w:gridSpan w:val="4"/>
          </w:tcPr>
          <w:p w:rsidR="00DD5AB0" w:rsidRPr="00E52119" w:rsidRDefault="00DD5AB0" w:rsidP="00E52119">
            <w:pPr>
              <w:rPr>
                <w:sz w:val="20"/>
                <w:szCs w:val="20"/>
                <w:lang w:eastAsia="ja-JP"/>
              </w:rPr>
            </w:pPr>
            <w:r w:rsidRPr="00E52119">
              <w:rPr>
                <w:sz w:val="20"/>
                <w:szCs w:val="20"/>
                <w:lang w:eastAsia="ja-JP"/>
              </w:rPr>
              <w:t>Study 206207-020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All ocular AEs</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(0/129)</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0.8% (1/130)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Treatment related</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(0/129)</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(0/130)</w:t>
            </w:r>
          </w:p>
        </w:tc>
      </w:tr>
      <w:tr w:rsidR="00DD5AB0" w:rsidRPr="00E52119" w:rsidTr="002A468E">
        <w:tc>
          <w:tcPr>
            <w:cnfStyle w:val="001000000000" w:firstRow="0" w:lastRow="0" w:firstColumn="1" w:lastColumn="0" w:oddVBand="0" w:evenVBand="0" w:oddHBand="0" w:evenHBand="0" w:firstRowFirstColumn="0" w:firstRowLastColumn="0" w:lastRowFirstColumn="0" w:lastRowLastColumn="0"/>
            <w:tcW w:w="9242" w:type="dxa"/>
            <w:gridSpan w:val="4"/>
          </w:tcPr>
          <w:p w:rsidR="00DD5AB0" w:rsidRPr="00E52119" w:rsidRDefault="00DD5AB0" w:rsidP="00E52119">
            <w:pPr>
              <w:rPr>
                <w:sz w:val="20"/>
                <w:szCs w:val="20"/>
                <w:lang w:eastAsia="ja-JP"/>
              </w:rPr>
            </w:pPr>
            <w:r w:rsidRPr="00E52119">
              <w:rPr>
                <w:sz w:val="20"/>
                <w:szCs w:val="20"/>
                <w:lang w:eastAsia="ja-JP"/>
              </w:rPr>
              <w:t>Study 206207-014</w:t>
            </w:r>
          </w:p>
        </w:tc>
      </w:tr>
      <w:tr w:rsidR="00DD5AB0" w:rsidRPr="00E52119" w:rsidTr="002A468E">
        <w:trPr>
          <w:trHeight w:val="398"/>
        </w:trPr>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All ocular AEs</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3.9% (3/76)</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(0/74)</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(0/75)</w:t>
            </w:r>
          </w:p>
        </w:tc>
      </w:tr>
      <w:tr w:rsidR="00DD5AB0" w:rsidRPr="00E52119" w:rsidTr="002A468E">
        <w:trPr>
          <w:trHeight w:val="397"/>
        </w:trPr>
        <w:tc>
          <w:tcPr>
            <w:cnfStyle w:val="001000000000" w:firstRow="0" w:lastRow="0" w:firstColumn="1" w:lastColumn="0" w:oddVBand="0" w:evenVBand="0" w:oddHBand="0" w:evenHBand="0" w:firstRowFirstColumn="0" w:firstRowLastColumn="0" w:lastRowFirstColumn="0" w:lastRowLastColumn="0"/>
            <w:tcW w:w="2518" w:type="dxa"/>
          </w:tcPr>
          <w:p w:rsidR="00DD5AB0" w:rsidRPr="00E52119" w:rsidRDefault="00DD5AB0" w:rsidP="00E52119">
            <w:pPr>
              <w:rPr>
                <w:sz w:val="20"/>
                <w:szCs w:val="20"/>
                <w:lang w:eastAsia="ja-JP"/>
              </w:rPr>
            </w:pPr>
            <w:r w:rsidRPr="00E52119">
              <w:rPr>
                <w:sz w:val="20"/>
                <w:szCs w:val="20"/>
                <w:lang w:eastAsia="ja-JP"/>
              </w:rPr>
              <w:t>Treatment related</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1.3% (1/76)</w:t>
            </w:r>
          </w:p>
        </w:tc>
        <w:tc>
          <w:tcPr>
            <w:tcW w:w="226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(0/74)</w:t>
            </w:r>
          </w:p>
        </w:tc>
        <w:tc>
          <w:tcPr>
            <w:tcW w:w="2188" w:type="dxa"/>
          </w:tcPr>
          <w:p w:rsidR="00DD5AB0" w:rsidRPr="00E52119" w:rsidRDefault="00DD5AB0" w:rsidP="00E5211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52119">
              <w:rPr>
                <w:sz w:val="20"/>
                <w:szCs w:val="20"/>
                <w:lang w:eastAsia="ja-JP"/>
              </w:rPr>
              <w:t>0.0% (0/75)</w:t>
            </w:r>
          </w:p>
        </w:tc>
      </w:tr>
    </w:tbl>
    <w:p w:rsidR="00DD5AB0" w:rsidRDefault="00DD5AB0" w:rsidP="00DD5AB0">
      <w:pPr>
        <w:pStyle w:val="Heading6"/>
        <w:rPr>
          <w:lang w:eastAsia="ja-JP"/>
        </w:rPr>
      </w:pPr>
      <w:r>
        <w:rPr>
          <w:lang w:eastAsia="ja-JP"/>
        </w:rPr>
        <w:t>RVO indication</w:t>
      </w:r>
    </w:p>
    <w:p w:rsidR="00DD5AB0" w:rsidRDefault="00DD5AB0" w:rsidP="00DD5AB0">
      <w:pPr>
        <w:rPr>
          <w:lang w:eastAsia="ja-JP"/>
        </w:rPr>
      </w:pPr>
      <w:r w:rsidRPr="00C630EB">
        <w:rPr>
          <w:lang w:eastAsia="ja-JP"/>
        </w:rPr>
        <w:t xml:space="preserve">Few patients withdrew from IT period of studies 008 and 009 due to AEs with discontinuation rates </w:t>
      </w:r>
      <w:r>
        <w:rPr>
          <w:lang w:eastAsia="ja-JP"/>
        </w:rPr>
        <w:t>for the pooled safety population of</w:t>
      </w:r>
      <w:r w:rsidRPr="00C630EB">
        <w:rPr>
          <w:lang w:eastAsia="ja-JP"/>
        </w:rPr>
        <w:t xml:space="preserve"> 1.7% (7/421) in the DEX 700 group, 1.9% (8/412) in the DEX 350 group, and 1.9% (8/423) in the Sham group for the pooled study population. 2 patients (0.5%) of the </w:t>
      </w:r>
      <w:r>
        <w:rPr>
          <w:lang w:eastAsia="ja-JP"/>
        </w:rPr>
        <w:t>DEX</w:t>
      </w:r>
      <w:r w:rsidRPr="00C630EB">
        <w:rPr>
          <w:lang w:eastAsia="ja-JP"/>
        </w:rPr>
        <w:t xml:space="preserve"> 350 group discontinued due to increased IOP, and this was considered treatment-related. 3 Sham patients withdrew due to retinal or iris neovascularisation.</w:t>
      </w:r>
    </w:p>
    <w:p w:rsidR="00DD5AB0" w:rsidRDefault="00DD5AB0" w:rsidP="00DD5AB0">
      <w:pPr>
        <w:rPr>
          <w:lang w:eastAsia="ja-JP"/>
        </w:rPr>
      </w:pPr>
      <w:r>
        <w:rPr>
          <w:lang w:eastAsia="ja-JP"/>
        </w:rPr>
        <w:t xml:space="preserve">Adverse events leading to discontinuation from the IT period of Study 206207-008 were reported for 1.5% (3/196) of patients in the DEX 700 group, 3.0% (6/197) in the DEX 350 group, and 1.5% (3/202) in the Sham group. One patient (DEX 350) discontinued due to IOP increased attributed to treatment. 6 patients withdrew due to ocular AEs: 2 patients from the DEX 700 group (1 patient due to macular oedema/retinal haemorrhage, 1 patient with VA reduced) 2 patients from the DEX 350 group (1 patient due to blindness, 1 patient due to increased IOP that was considered related to treatment) and 2 patients from the Sham group (1 patient with iris neovascularisation and 1 patient with VA reduced. </w:t>
      </w:r>
    </w:p>
    <w:p w:rsidR="00DD5AB0" w:rsidRDefault="00DD5AB0" w:rsidP="00DD5AB0">
      <w:pPr>
        <w:rPr>
          <w:lang w:eastAsia="ja-JP"/>
        </w:rPr>
      </w:pPr>
      <w:r>
        <w:rPr>
          <w:lang w:eastAsia="ja-JP"/>
        </w:rPr>
        <w:t>In the IT period of Study 206207-009 1.8% (4/225) of patients in the DEX 700 group, 0.9% (2/215) in the DEX 350 group, and 2.3% (5/221) in the Sham group discontinued the study. 8 patients withdrew due to ocular AEs, 2 patients from the DEX 700 group (1 patient due to IOP increased, 1 patient due to RVO), 2 patients from the DEX 350 group (1 patient with vitreous haemorrhage, 1 patient due to IOP increased that was considered treatment-related) and 4 Sham patients (one each with retinal neovascularisation, macular cyst, maculopathy and iris/retinal neovascularisation).</w:t>
      </w:r>
    </w:p>
    <w:p w:rsidR="00DD5AB0" w:rsidRDefault="00DD5AB0" w:rsidP="00DD5AB0">
      <w:pPr>
        <w:rPr>
          <w:lang w:eastAsia="ja-JP"/>
        </w:rPr>
      </w:pPr>
      <w:r>
        <w:rPr>
          <w:lang w:eastAsia="ja-JP"/>
        </w:rPr>
        <w:lastRenderedPageBreak/>
        <w:t>In the re-treated population (OL extension) for both studies, pooled discontinuation rates due to AEs were 1.2% (4/341) in the DEX 700/700 group, 0.9% (3/329) in the DEX 350/700 group, and 0.9% (3/327) in the Sham/DEX 700 group. One withdrawal due to macular oedema was considered related to the study treatment (DEX 700/700).</w:t>
      </w:r>
    </w:p>
    <w:p w:rsidR="00DD5AB0" w:rsidRDefault="00DD5AB0" w:rsidP="00DD5AB0">
      <w:pPr>
        <w:rPr>
          <w:lang w:eastAsia="ja-JP"/>
        </w:rPr>
      </w:pPr>
      <w:r>
        <w:rPr>
          <w:lang w:eastAsia="ja-JP"/>
        </w:rPr>
        <w:t>In the OL extension of Study 206207-008, 6 patients discontinued in total, 2 patients in each of the DEX 700/700 (1.2%, 2/162), DEX 350/700 (1.3%, 2/156), and Sham/DEX 700 (1.3%, 2/159) groups. 3 patients discontinued due to ocular AEs, one from each treatment arm, 1 patient due to VA reduced (DEX 700/700), 1 patient due to maculopathy (DEX 350/700) and 1 patient due to macular oedema (Sham/DEX 700). None of these were considered treatment-related. 4 OL extension patients in Study 206207-009 discontinued, with 2 due to ocular AEs both in the DEX 700/700 group. 1 patient discontinued due to macular oedema (considered treatment related) and 1 due to vitreous haemorrhage.</w:t>
      </w:r>
    </w:p>
    <w:p w:rsidR="00DD5AB0" w:rsidRDefault="00DD5AB0" w:rsidP="00DD5AB0">
      <w:pPr>
        <w:rPr>
          <w:lang w:eastAsia="ja-JP"/>
        </w:rPr>
      </w:pPr>
      <w:r>
        <w:rPr>
          <w:lang w:eastAsia="ja-JP"/>
        </w:rPr>
        <w:t>For Study 206207-020, AEs leading to discontinuation during the IT period were reported for 0.0% (0/129) of patients in the DEX 700 group versus 0.8% (1/130) in the Sham group. This was due to cystoid macula oedema and considered unrelated to Sham-treatment. No patients discontinued due to AEs in the 2 month OL extension.</w:t>
      </w:r>
    </w:p>
    <w:p w:rsidR="00DD5AB0" w:rsidRDefault="00DD5AB0" w:rsidP="00DD5AB0">
      <w:pPr>
        <w:pStyle w:val="Heading6"/>
        <w:rPr>
          <w:lang w:eastAsia="ja-JP"/>
        </w:rPr>
      </w:pPr>
      <w:r>
        <w:rPr>
          <w:lang w:eastAsia="ja-JP"/>
        </w:rPr>
        <w:t>Uveitis indication</w:t>
      </w:r>
    </w:p>
    <w:p w:rsidR="00DD5AB0" w:rsidRPr="006A2CBF" w:rsidRDefault="00DD5AB0" w:rsidP="00DD5AB0">
      <w:pPr>
        <w:rPr>
          <w:lang w:eastAsia="ja-JP"/>
        </w:rPr>
      </w:pPr>
      <w:r>
        <w:rPr>
          <w:lang w:eastAsia="ja-JP"/>
        </w:rPr>
        <w:t>In Study 206207-014, 3 patients in the DEX 700 group discontinued the study due to AEs (one patient each due to retinal detachment, cerebellar infarction and vitreous opacities all in the DEX 700 group) with no discontinuations in the DEX 350 or Sham groups. The case of retinal detachment was considered by the investigator as being related to study treatment and was rated as severe. Neither of the other cases (cerebellar infarction or vitreous opacities in the study eye, both graded as moderate severity) were considered as treatment related.</w:t>
      </w:r>
    </w:p>
    <w:p w:rsidR="00DD5AB0" w:rsidRDefault="00DD5AB0" w:rsidP="00A45E9B">
      <w:pPr>
        <w:pStyle w:val="Heading5"/>
      </w:pPr>
      <w:r w:rsidRPr="00C2074B">
        <w:t>Other studies</w:t>
      </w:r>
    </w:p>
    <w:p w:rsidR="00DD5AB0" w:rsidRDefault="00DD5AB0" w:rsidP="00DD5AB0">
      <w:pPr>
        <w:rPr>
          <w:lang w:eastAsia="ja-JP"/>
        </w:rPr>
      </w:pPr>
      <w:bookmarkStart w:id="229" w:name="_Toc241374321"/>
      <w:bookmarkStart w:id="230" w:name="_Ref271044780"/>
      <w:bookmarkStart w:id="231" w:name="_Ref271196640"/>
      <w:bookmarkStart w:id="232" w:name="_Ref272333085"/>
      <w:bookmarkStart w:id="233" w:name="_Toc272414668"/>
      <w:bookmarkStart w:id="234" w:name="_Toc290888532"/>
      <w:bookmarkStart w:id="235" w:name="_Toc416353748"/>
      <w:bookmarkStart w:id="236" w:name="_Toc421005291"/>
      <w:bookmarkStart w:id="237" w:name="_Toc432079168"/>
      <w:bookmarkStart w:id="238" w:name="_Toc432080741"/>
      <w:r>
        <w:rPr>
          <w:lang w:eastAsia="ja-JP"/>
        </w:rPr>
        <w:t>There was no among-group difference in adverse events leading to discontinuation from the Phase III studies: 13.0% in the DEX 700 group, 13.7% in the DEX 350 group, and 11.4% in the Sham group. The most common events were visual acuity reduced (1.4%, 1.5%, and 1.1% in the DEX 700, DEX 350, and Sham groups, respectively and macular oedema (1.4%, 0.9%, and 2.9%, respectively). Treatment-related adverse events leading to discontinuation from the studies were cataract, endophthalmitis, lens dislocation, necrotising retinitis, open angle glaucoma, retinal detachment, vitreous adhesions, macular fibrosis, and ocular hypertension</w:t>
      </w:r>
    </w:p>
    <w:p w:rsidR="00DD5AB0" w:rsidRPr="008C1FBA" w:rsidRDefault="00DD5AB0" w:rsidP="001A6420">
      <w:r w:rsidRPr="008C1FBA">
        <w:rPr>
          <w:b/>
        </w:rPr>
        <w:t>Evaluator’s comment:</w:t>
      </w:r>
      <w:r w:rsidRPr="008C1FBA">
        <w:t xml:space="preserve"> Overall treatment appeared well tolerated according to discontinuation rates for ocular AEs. There was no pattern for discontinuation rates across treatment groups with retreatment.</w:t>
      </w:r>
      <w:r w:rsidRPr="008C1FBA">
        <w:br/>
        <w:t>In the RVO studies, the highest discontinuation rate was 1.4% (6/423) in the pooled Sham groups of Studies 008/009 – none of these were considered treatment related. Only 2 discontinuations in the IT period (0.5% or 2/412) in the DEX 350 group (both IOP related) and 1 discontinuation in the OL extension (0.3% or 1/341) were considered treatment-related (DEX 700/700 – macular oedema). Only 1 patient (0.8%) discontinued from Study 020, in the Sham group.</w:t>
      </w:r>
      <w:r w:rsidRPr="008C1FBA">
        <w:br/>
        <w:t>In Study 014, 2.6% (2/76) overall – both from the DEX 700 group discontinued due to ocular AEs – one case was reported as treatment-related (retinal detachment).</w:t>
      </w:r>
    </w:p>
    <w:p w:rsidR="00DD5AB0" w:rsidRPr="00545B14" w:rsidRDefault="00DD5AB0" w:rsidP="004C3275">
      <w:pPr>
        <w:pStyle w:val="Heading3"/>
        <w:numPr>
          <w:ilvl w:val="1"/>
          <w:numId w:val="5"/>
        </w:numPr>
        <w:ind w:left="907" w:hanging="794"/>
      </w:pPr>
      <w:bookmarkStart w:id="239" w:name="_Toc471225125"/>
      <w:bookmarkStart w:id="240" w:name="_Toc6313904"/>
      <w:r>
        <w:t xml:space="preserve">Evaluation of issues </w:t>
      </w:r>
      <w:bookmarkEnd w:id="229"/>
      <w:bookmarkEnd w:id="230"/>
      <w:bookmarkEnd w:id="231"/>
      <w:bookmarkEnd w:id="232"/>
      <w:bookmarkEnd w:id="233"/>
      <w:bookmarkEnd w:id="234"/>
      <w:bookmarkEnd w:id="235"/>
      <w:bookmarkEnd w:id="236"/>
      <w:r>
        <w:t>with possible regulatory impact</w:t>
      </w:r>
      <w:bookmarkEnd w:id="237"/>
      <w:bookmarkEnd w:id="238"/>
      <w:bookmarkEnd w:id="239"/>
      <w:bookmarkEnd w:id="240"/>
    </w:p>
    <w:p w:rsidR="00DD5AB0" w:rsidRDefault="00DD5AB0" w:rsidP="004C3275">
      <w:pPr>
        <w:pStyle w:val="Heading4"/>
        <w:numPr>
          <w:ilvl w:val="2"/>
          <w:numId w:val="5"/>
        </w:numPr>
      </w:pPr>
      <w:bookmarkStart w:id="241" w:name="_Toc272414669"/>
      <w:bookmarkStart w:id="242" w:name="_Toc290888533"/>
      <w:bookmarkStart w:id="243" w:name="_Toc416353749"/>
      <w:bookmarkStart w:id="244" w:name="_Toc421005292"/>
      <w:bookmarkStart w:id="245" w:name="_Toc432079169"/>
      <w:bookmarkStart w:id="246" w:name="_Toc432080742"/>
      <w:r w:rsidRPr="00545B14">
        <w:t>Liver function</w:t>
      </w:r>
      <w:bookmarkEnd w:id="241"/>
      <w:bookmarkEnd w:id="242"/>
      <w:bookmarkEnd w:id="243"/>
      <w:bookmarkEnd w:id="244"/>
      <w:r>
        <w:t xml:space="preserve"> and liver toxicity</w:t>
      </w:r>
      <w:bookmarkEnd w:id="245"/>
      <w:bookmarkEnd w:id="246"/>
    </w:p>
    <w:p w:rsidR="00DD5AB0" w:rsidRPr="004F278E" w:rsidRDefault="00DD5AB0" w:rsidP="00DD5AB0">
      <w:pPr>
        <w:rPr>
          <w:lang w:eastAsia="ja-JP"/>
        </w:rPr>
      </w:pPr>
      <w:r>
        <w:rPr>
          <w:lang w:eastAsia="ja-JP"/>
        </w:rPr>
        <w:t>There were no issues identified.</w:t>
      </w:r>
    </w:p>
    <w:p w:rsidR="00DD5AB0" w:rsidRDefault="00DD5AB0" w:rsidP="004C3275">
      <w:pPr>
        <w:pStyle w:val="Heading4"/>
        <w:numPr>
          <w:ilvl w:val="2"/>
          <w:numId w:val="5"/>
        </w:numPr>
      </w:pPr>
      <w:bookmarkStart w:id="247" w:name="_Toc272414670"/>
      <w:bookmarkStart w:id="248" w:name="_Toc290888534"/>
      <w:bookmarkStart w:id="249" w:name="_Toc416353750"/>
      <w:bookmarkStart w:id="250" w:name="_Toc421005293"/>
      <w:bookmarkStart w:id="251" w:name="_Toc432079170"/>
      <w:bookmarkStart w:id="252" w:name="_Toc432080743"/>
      <w:r>
        <w:lastRenderedPageBreak/>
        <w:t xml:space="preserve">Renal </w:t>
      </w:r>
      <w:r w:rsidRPr="00545B14">
        <w:t>function</w:t>
      </w:r>
      <w:bookmarkEnd w:id="247"/>
      <w:bookmarkEnd w:id="248"/>
      <w:bookmarkEnd w:id="249"/>
      <w:bookmarkEnd w:id="250"/>
      <w:r>
        <w:t xml:space="preserve"> and renal toxicity</w:t>
      </w:r>
      <w:bookmarkEnd w:id="251"/>
      <w:bookmarkEnd w:id="252"/>
    </w:p>
    <w:p w:rsidR="00DD5AB0" w:rsidRPr="004F278E" w:rsidRDefault="00DD5AB0" w:rsidP="00DD5AB0">
      <w:pPr>
        <w:rPr>
          <w:lang w:eastAsia="ja-JP"/>
        </w:rPr>
      </w:pPr>
      <w:bookmarkStart w:id="253" w:name="_Toc272414671"/>
      <w:bookmarkStart w:id="254" w:name="_Toc290888535"/>
      <w:bookmarkStart w:id="255" w:name="_Toc416353751"/>
      <w:bookmarkStart w:id="256" w:name="_Toc421005294"/>
      <w:bookmarkStart w:id="257" w:name="_Toc432079171"/>
      <w:bookmarkStart w:id="258" w:name="_Toc432080744"/>
      <w:r>
        <w:rPr>
          <w:lang w:eastAsia="ja-JP"/>
        </w:rPr>
        <w:t>There were no issues identified.</w:t>
      </w:r>
    </w:p>
    <w:p w:rsidR="00DD5AB0" w:rsidRDefault="00DD5AB0" w:rsidP="004C3275">
      <w:pPr>
        <w:pStyle w:val="Heading4"/>
        <w:numPr>
          <w:ilvl w:val="2"/>
          <w:numId w:val="5"/>
        </w:numPr>
      </w:pPr>
      <w:r w:rsidRPr="00545B14">
        <w:t>Other clinical chemistry</w:t>
      </w:r>
      <w:bookmarkEnd w:id="253"/>
      <w:bookmarkEnd w:id="254"/>
      <w:bookmarkEnd w:id="255"/>
      <w:bookmarkEnd w:id="256"/>
      <w:bookmarkEnd w:id="257"/>
      <w:bookmarkEnd w:id="258"/>
    </w:p>
    <w:p w:rsidR="00DD5AB0" w:rsidRDefault="00DD5AB0" w:rsidP="00DD5AB0">
      <w:pPr>
        <w:rPr>
          <w:lang w:eastAsia="ja-JP"/>
        </w:rPr>
      </w:pPr>
      <w:r>
        <w:rPr>
          <w:lang w:eastAsia="ja-JP"/>
        </w:rPr>
        <w:t>According to protocol, standard clinical laboratory data were not collected in the clinical safety and efficacy Studies 206207-008 and 009. In Study 206207-020, blood samples were collected at screening, Month 8, and the early exit visit for routine haematology and chemistry analysis. The results were reviewed by qualified site personnel, and kept in patients’ source documents at study site for reference. No issues were identified.</w:t>
      </w:r>
    </w:p>
    <w:p w:rsidR="00DD5AB0" w:rsidRDefault="00DD5AB0" w:rsidP="004C3275">
      <w:pPr>
        <w:pStyle w:val="Heading4"/>
        <w:numPr>
          <w:ilvl w:val="2"/>
          <w:numId w:val="5"/>
        </w:numPr>
      </w:pPr>
      <w:bookmarkStart w:id="259" w:name="_Toc272414672"/>
      <w:bookmarkStart w:id="260" w:name="_Toc290888536"/>
      <w:bookmarkStart w:id="261" w:name="_Toc416353752"/>
      <w:bookmarkStart w:id="262" w:name="_Toc421005295"/>
      <w:bookmarkStart w:id="263" w:name="_Toc432079172"/>
      <w:bookmarkStart w:id="264" w:name="_Toc432080745"/>
      <w:r w:rsidRPr="00545B14">
        <w:t>Haematology</w:t>
      </w:r>
      <w:bookmarkEnd w:id="259"/>
      <w:bookmarkEnd w:id="260"/>
      <w:bookmarkEnd w:id="261"/>
      <w:bookmarkEnd w:id="262"/>
      <w:r>
        <w:t xml:space="preserve"> and haematological toxicity</w:t>
      </w:r>
      <w:bookmarkEnd w:id="263"/>
      <w:bookmarkEnd w:id="264"/>
    </w:p>
    <w:p w:rsidR="00DD5AB0" w:rsidRPr="004F278E" w:rsidRDefault="00DD5AB0" w:rsidP="00DD5AB0">
      <w:pPr>
        <w:rPr>
          <w:lang w:eastAsia="ja-JP"/>
        </w:rPr>
      </w:pPr>
      <w:bookmarkStart w:id="265" w:name="_Toc272414674"/>
      <w:bookmarkStart w:id="266" w:name="_Toc290888538"/>
      <w:bookmarkStart w:id="267" w:name="_Toc416353753"/>
      <w:bookmarkStart w:id="268" w:name="_Toc421005296"/>
      <w:bookmarkStart w:id="269" w:name="_Toc432079173"/>
      <w:bookmarkStart w:id="270" w:name="_Toc432080746"/>
      <w:r>
        <w:rPr>
          <w:lang w:eastAsia="ja-JP"/>
        </w:rPr>
        <w:t>There were no issues identified.</w:t>
      </w:r>
    </w:p>
    <w:p w:rsidR="00DD5AB0" w:rsidRDefault="00DD5AB0" w:rsidP="004C3275">
      <w:pPr>
        <w:pStyle w:val="Heading4"/>
        <w:numPr>
          <w:ilvl w:val="2"/>
          <w:numId w:val="5"/>
        </w:numPr>
      </w:pPr>
      <w:r w:rsidRPr="00545B14">
        <w:t>Other laboratory test</w:t>
      </w:r>
      <w:bookmarkEnd w:id="265"/>
      <w:bookmarkEnd w:id="266"/>
      <w:bookmarkEnd w:id="267"/>
      <w:bookmarkEnd w:id="268"/>
      <w:bookmarkEnd w:id="269"/>
      <w:bookmarkEnd w:id="270"/>
      <w:r>
        <w:t>s</w:t>
      </w:r>
    </w:p>
    <w:p w:rsidR="00DD5AB0" w:rsidRPr="004F278E" w:rsidRDefault="00DD5AB0" w:rsidP="00DD5AB0">
      <w:pPr>
        <w:rPr>
          <w:lang w:eastAsia="ja-JP"/>
        </w:rPr>
      </w:pPr>
      <w:bookmarkStart w:id="271" w:name="_Toc272414675"/>
      <w:bookmarkStart w:id="272" w:name="_Toc290888539"/>
      <w:bookmarkStart w:id="273" w:name="_Toc416353754"/>
      <w:bookmarkStart w:id="274" w:name="_Toc421005297"/>
      <w:bookmarkStart w:id="275" w:name="_Toc432079174"/>
      <w:bookmarkStart w:id="276" w:name="_Toc432080747"/>
      <w:r>
        <w:rPr>
          <w:lang w:eastAsia="ja-JP"/>
        </w:rPr>
        <w:t>There were no issues identified.</w:t>
      </w:r>
    </w:p>
    <w:p w:rsidR="00DD5AB0" w:rsidRDefault="00DD5AB0" w:rsidP="004C3275">
      <w:pPr>
        <w:pStyle w:val="Heading4"/>
        <w:numPr>
          <w:ilvl w:val="2"/>
          <w:numId w:val="5"/>
        </w:numPr>
      </w:pPr>
      <w:r w:rsidRPr="00545B14">
        <w:t>Electrocardiograph</w:t>
      </w:r>
      <w:bookmarkEnd w:id="271"/>
      <w:bookmarkEnd w:id="272"/>
      <w:bookmarkEnd w:id="273"/>
      <w:bookmarkEnd w:id="274"/>
      <w:r>
        <w:t xml:space="preserve"> findings and cardiovascular safety</w:t>
      </w:r>
      <w:bookmarkEnd w:id="275"/>
      <w:bookmarkEnd w:id="276"/>
    </w:p>
    <w:p w:rsidR="00DD5AB0" w:rsidRDefault="00DD5AB0" w:rsidP="00DD5AB0">
      <w:pPr>
        <w:rPr>
          <w:lang w:eastAsia="ja-JP"/>
        </w:rPr>
      </w:pPr>
      <w:r>
        <w:rPr>
          <w:lang w:eastAsia="ja-JP"/>
        </w:rPr>
        <w:t xml:space="preserve">There were no issues identified. Vital signs from the RVO and uveitis studies demonstrated no difference to blood pressure or pulse rate between DEX treated groups and Sham. </w:t>
      </w:r>
      <w:r w:rsidRPr="008208B5">
        <w:rPr>
          <w:lang w:eastAsia="ja-JP"/>
        </w:rPr>
        <w:t>No ECG data was reported from the submitted studies.</w:t>
      </w:r>
    </w:p>
    <w:p w:rsidR="00DD5AB0" w:rsidRPr="00545B14" w:rsidRDefault="00DD5AB0" w:rsidP="004C3275">
      <w:pPr>
        <w:pStyle w:val="Heading4"/>
        <w:numPr>
          <w:ilvl w:val="2"/>
          <w:numId w:val="5"/>
        </w:numPr>
      </w:pPr>
      <w:bookmarkStart w:id="277" w:name="_Toc272414676"/>
      <w:bookmarkStart w:id="278" w:name="_Toc290888540"/>
      <w:bookmarkStart w:id="279" w:name="_Toc416353755"/>
      <w:bookmarkStart w:id="280" w:name="_Toc421005298"/>
      <w:bookmarkStart w:id="281" w:name="_Toc432079175"/>
      <w:bookmarkStart w:id="282" w:name="_Toc432080748"/>
      <w:r w:rsidRPr="00545B14">
        <w:t>Vital signs</w:t>
      </w:r>
      <w:bookmarkEnd w:id="277"/>
      <w:bookmarkEnd w:id="278"/>
      <w:bookmarkEnd w:id="279"/>
      <w:bookmarkEnd w:id="280"/>
      <w:r>
        <w:t xml:space="preserve"> and clinical examination findings</w:t>
      </w:r>
      <w:bookmarkEnd w:id="281"/>
      <w:bookmarkEnd w:id="282"/>
    </w:p>
    <w:p w:rsidR="00DD5AB0" w:rsidRDefault="00DD5AB0" w:rsidP="00DD5AB0">
      <w:r>
        <w:t>Studies 206207-008, 009, 014 and 020 all assessed diastolic and systolic blood pressure and pulse rate. In addition Study 020 assessed body temperature.</w:t>
      </w:r>
    </w:p>
    <w:p w:rsidR="00DD5AB0" w:rsidRDefault="00DD5AB0" w:rsidP="00DD5AB0">
      <w:r>
        <w:t xml:space="preserve">There were </w:t>
      </w:r>
      <w:proofErr w:type="gramStart"/>
      <w:r>
        <w:t>no statistically significant between-group differences in any of the studies nor</w:t>
      </w:r>
      <w:proofErr w:type="gramEnd"/>
      <w:r>
        <w:t xml:space="preserve"> differences between Baseline and subsequent measurements throughout the trials.</w:t>
      </w:r>
    </w:p>
    <w:p w:rsidR="00DD5AB0" w:rsidRDefault="00DD5AB0" w:rsidP="004C3275">
      <w:pPr>
        <w:pStyle w:val="Heading4"/>
        <w:numPr>
          <w:ilvl w:val="2"/>
          <w:numId w:val="5"/>
        </w:numPr>
      </w:pPr>
      <w:bookmarkStart w:id="283" w:name="_Toc432079176"/>
      <w:bookmarkStart w:id="284" w:name="_Toc432080749"/>
      <w:r>
        <w:t>Immunogenicity and immunological events</w:t>
      </w:r>
      <w:bookmarkStart w:id="285" w:name="_Toc432079177"/>
      <w:bookmarkStart w:id="286" w:name="_Toc432080750"/>
      <w:bookmarkEnd w:id="283"/>
      <w:bookmarkEnd w:id="284"/>
    </w:p>
    <w:p w:rsidR="00DD5AB0" w:rsidRDefault="00DD5AB0" w:rsidP="00DD5AB0">
      <w:pPr>
        <w:rPr>
          <w:lang w:eastAsia="ja-JP"/>
        </w:rPr>
      </w:pPr>
      <w:r>
        <w:rPr>
          <w:lang w:eastAsia="ja-JP"/>
        </w:rPr>
        <w:t xml:space="preserve">Retinitis secondary to reactivation of latent viral or other ophthalmic infection is an uncommon ADR, with one reported incident in Study 014 (uveitis) and one from the DME studies (010/011). Both incidents were reported as necrotising retinitis. The incident from the uveitis study was in a 40 year old male with previously undiagnosed HIV infection developed worsening panuveitis and retinal necrosis 86 days following treatment with study medication (DEX 350). An aetiologic agent was not identified. The outcome was reported as improved/ongoing. In the DME incident, the subject was a 58-year-old diabetic (type II) male developed acute retinal necrosis 98 days after treatment with dexamethasone 700 </w:t>
      </w:r>
      <w:r w:rsidR="001E2A95">
        <w:rPr>
          <w:lang w:eastAsia="ja-JP"/>
        </w:rPr>
        <w:t>µ</w:t>
      </w:r>
      <w:r>
        <w:rPr>
          <w:lang w:eastAsia="ja-JP"/>
        </w:rPr>
        <w:t>g for DME. The subject had no known history of human immunodeficiency virus (HIV) or herpes virus infection. Polymerase chain reaction (PCR) assay was positive for cytomegalovirus infection. Outcome was reported as ongoing.</w:t>
      </w:r>
    </w:p>
    <w:p w:rsidR="00DD5AB0" w:rsidRDefault="00DD5AB0" w:rsidP="00DD5AB0">
      <w:pPr>
        <w:rPr>
          <w:lang w:eastAsia="ja-JP"/>
        </w:rPr>
      </w:pPr>
      <w:r>
        <w:rPr>
          <w:lang w:eastAsia="ja-JP"/>
        </w:rPr>
        <w:t>C</w:t>
      </w:r>
      <w:r w:rsidRPr="005726A9">
        <w:rPr>
          <w:lang w:eastAsia="ja-JP"/>
        </w:rPr>
        <w:t xml:space="preserve">onsidering </w:t>
      </w:r>
      <w:r>
        <w:rPr>
          <w:lang w:eastAsia="ja-JP"/>
        </w:rPr>
        <w:t xml:space="preserve">the </w:t>
      </w:r>
      <w:r w:rsidRPr="005726A9">
        <w:rPr>
          <w:lang w:eastAsia="ja-JP"/>
        </w:rPr>
        <w:t>immunosuppressive mechanism</w:t>
      </w:r>
      <w:r>
        <w:rPr>
          <w:lang w:eastAsia="ja-JP"/>
        </w:rPr>
        <w:t>s</w:t>
      </w:r>
      <w:r w:rsidRPr="005726A9">
        <w:rPr>
          <w:lang w:eastAsia="ja-JP"/>
        </w:rPr>
        <w:t xml:space="preserve"> of action behind corticosteroids, </w:t>
      </w:r>
      <w:r>
        <w:rPr>
          <w:lang w:eastAsia="ja-JP"/>
        </w:rPr>
        <w:t xml:space="preserve">reactivation of latent viral or ophthalmic infection remains a rare but serious possibility. </w:t>
      </w:r>
    </w:p>
    <w:p w:rsidR="00DD5AB0" w:rsidRDefault="00DD5AB0" w:rsidP="00DD5AB0">
      <w:pPr>
        <w:rPr>
          <w:lang w:eastAsia="ja-JP"/>
        </w:rPr>
      </w:pPr>
      <w:r>
        <w:rPr>
          <w:lang w:eastAsia="ja-JP"/>
        </w:rPr>
        <w:t xml:space="preserve">Of note, to minimise this risk, Section 6 (Contraindications) of the US CCDS includes the following information: DEX 700 is contraindicated in patients with active or suspected ocular or periocular infection, including most viral diseases of the cornea and conjunctiva, including active epithelial herpes simplex keratitis (dendritic keratitis), vaccinia, varicella, mycobacterial infections, and fungal diseases. Additionally, the Warnings and Precautions (Section 7) states </w:t>
      </w:r>
      <w:r w:rsidR="00B90ACD">
        <w:rPr>
          <w:lang w:eastAsia="ja-JP"/>
        </w:rPr>
        <w:t>‘</w:t>
      </w:r>
      <w:r>
        <w:rPr>
          <w:lang w:eastAsia="ja-JP"/>
        </w:rPr>
        <w:t>Corticosteroids should be used cautiously in patients with a history of ocular herpes simplex. Corticosteroids should not be used in active ocular herpes simplex</w:t>
      </w:r>
      <w:r w:rsidR="00B90ACD">
        <w:rPr>
          <w:lang w:eastAsia="ja-JP"/>
        </w:rPr>
        <w:t>’</w:t>
      </w:r>
      <w:r>
        <w:rPr>
          <w:lang w:eastAsia="ja-JP"/>
        </w:rPr>
        <w:t>.</w:t>
      </w:r>
    </w:p>
    <w:p w:rsidR="00DD5AB0" w:rsidRPr="001D544B" w:rsidRDefault="00DD5AB0" w:rsidP="00DD5AB0">
      <w:pPr>
        <w:rPr>
          <w:lang w:eastAsia="ja-JP"/>
        </w:rPr>
      </w:pPr>
      <w:r>
        <w:rPr>
          <w:lang w:eastAsia="ja-JP"/>
        </w:rPr>
        <w:t xml:space="preserve">Since the international birth date of </w:t>
      </w:r>
      <w:r w:rsidR="00747662">
        <w:rPr>
          <w:lang w:eastAsia="ja-JP"/>
        </w:rPr>
        <w:t>Ozurdex</w:t>
      </w:r>
      <w:r>
        <w:rPr>
          <w:lang w:eastAsia="ja-JP"/>
        </w:rPr>
        <w:t xml:space="preserve"> there have been 2 cases reporting the PT Retinitis and 3 cases reporting other adverse events (including hypotony, vitreous loss, </w:t>
      </w:r>
      <w:r>
        <w:rPr>
          <w:lang w:eastAsia="ja-JP"/>
        </w:rPr>
        <w:lastRenderedPageBreak/>
        <w:t>complication of device insertion and necrotising retinitis) in patients with medical history of retinitis.</w:t>
      </w:r>
    </w:p>
    <w:p w:rsidR="00DD5AB0" w:rsidRDefault="00DD5AB0" w:rsidP="004C3275">
      <w:pPr>
        <w:pStyle w:val="Heading4"/>
        <w:numPr>
          <w:ilvl w:val="2"/>
          <w:numId w:val="5"/>
        </w:numPr>
      </w:pPr>
      <w:r w:rsidRPr="00E7113A">
        <w:t>Serious skin reactions</w:t>
      </w:r>
      <w:bookmarkStart w:id="287" w:name="_Toc272414678"/>
      <w:bookmarkStart w:id="288" w:name="_Toc290888542"/>
      <w:bookmarkStart w:id="289" w:name="_Toc416353757"/>
      <w:bookmarkStart w:id="290" w:name="_Toc421005300"/>
      <w:bookmarkStart w:id="291" w:name="_Toc432079178"/>
      <w:bookmarkStart w:id="292" w:name="_Toc432080751"/>
      <w:bookmarkEnd w:id="285"/>
      <w:bookmarkEnd w:id="286"/>
    </w:p>
    <w:p w:rsidR="00DD5AB0" w:rsidRPr="00D34F2B" w:rsidRDefault="00DD5AB0" w:rsidP="00DD5AB0">
      <w:pPr>
        <w:rPr>
          <w:lang w:eastAsia="ja-JP"/>
        </w:rPr>
      </w:pPr>
      <w:r>
        <w:rPr>
          <w:lang w:eastAsia="ja-JP"/>
        </w:rPr>
        <w:t>Other than mild injection related reactions such as peri-orbital oedema and conjunctival erythema, no skin reactions were reported.</w:t>
      </w:r>
    </w:p>
    <w:bookmarkEnd w:id="287"/>
    <w:bookmarkEnd w:id="288"/>
    <w:bookmarkEnd w:id="289"/>
    <w:bookmarkEnd w:id="290"/>
    <w:bookmarkEnd w:id="291"/>
    <w:bookmarkEnd w:id="292"/>
    <w:p w:rsidR="00DD5AB0" w:rsidRDefault="00DD5AB0" w:rsidP="004C3275">
      <w:pPr>
        <w:pStyle w:val="Heading4"/>
        <w:numPr>
          <w:ilvl w:val="2"/>
          <w:numId w:val="5"/>
        </w:numPr>
      </w:pPr>
      <w:r>
        <w:t>Increased i</w:t>
      </w:r>
      <w:r w:rsidRPr="008C35AF">
        <w:t xml:space="preserve">ntraocular </w:t>
      </w:r>
      <w:r w:rsidRPr="00583672">
        <w:t>pressure</w:t>
      </w:r>
    </w:p>
    <w:p w:rsidR="00DD5AB0" w:rsidRDefault="00DD5AB0" w:rsidP="00A45E9B">
      <w:pPr>
        <w:pStyle w:val="Heading5"/>
        <w:rPr>
          <w:lang w:eastAsia="ja-JP"/>
        </w:rPr>
      </w:pPr>
      <w:r>
        <w:rPr>
          <w:lang w:eastAsia="ja-JP"/>
        </w:rPr>
        <w:t>Pivotal studies</w:t>
      </w:r>
    </w:p>
    <w:p w:rsidR="00DD5AB0" w:rsidRPr="00A62B3D" w:rsidRDefault="00DD5AB0" w:rsidP="00DD5AB0">
      <w:pPr>
        <w:pStyle w:val="Heading6"/>
        <w:rPr>
          <w:lang w:eastAsia="ja-JP"/>
        </w:rPr>
      </w:pPr>
      <w:r>
        <w:rPr>
          <w:lang w:eastAsia="ja-JP"/>
        </w:rPr>
        <w:t xml:space="preserve">IOP </w:t>
      </w:r>
      <w:r w:rsidRPr="004525D7">
        <w:t>increased</w:t>
      </w:r>
    </w:p>
    <w:p w:rsidR="00DD5AB0" w:rsidRDefault="00DD5AB0" w:rsidP="00DD5AB0">
      <w:pPr>
        <w:rPr>
          <w:lang w:eastAsia="ja-JP"/>
        </w:rPr>
      </w:pPr>
      <w:r>
        <w:rPr>
          <w:lang w:eastAsia="ja-JP"/>
        </w:rPr>
        <w:t xml:space="preserve">Elevation in IOP compared with Baseline IOP (reported as ‘IOP increased’) was the most common finding across all pivotal studies with statistically significant differences between DEX treated groups and Sham </w:t>
      </w:r>
      <w:r w:rsidRPr="00052471">
        <w:rPr>
          <w:lang w:eastAsia="ja-JP"/>
        </w:rPr>
        <w:t>across all studies</w:t>
      </w:r>
      <w:r>
        <w:rPr>
          <w:lang w:eastAsia="ja-JP"/>
        </w:rPr>
        <w:t xml:space="preserve">. </w:t>
      </w:r>
      <w:r w:rsidRPr="001C597A">
        <w:rPr>
          <w:lang w:eastAsia="ja-JP"/>
        </w:rPr>
        <w:t>At Baseline, there were no differences in statistically significant among or between-group differences for mean IOP in the study-eye in any of the submitted studies.</w:t>
      </w:r>
    </w:p>
    <w:p w:rsidR="00DD5AB0" w:rsidRDefault="00DD5AB0" w:rsidP="00DD5AB0">
      <w:pPr>
        <w:rPr>
          <w:lang w:eastAsia="ja-JP"/>
        </w:rPr>
      </w:pPr>
      <w:r>
        <w:rPr>
          <w:lang w:eastAsia="ja-JP"/>
        </w:rPr>
        <w:t>In Study 008 and 009 (pooled safety population; IT period) DEX administration was consistently associated with elevations in IOP over Baseline. Maximal effect was seen at IT Day 60: For DEX 700, DEX 350 and Sham respectively, 15.7%, 14.7% and 0.2% had an IOP ≥ 10 mm Hg another 15.7%, 15.9 and 0.2% had an IOP ≥ 25 mm Hg, and a further 3.2%, 3.8% and 0.0% had an IOP ≥ 35 mm Hg, with all comparisons between either DEX dose versus Sham significant (p &lt; 0.001). From Day 7 up to and including Day 90, DEX 700 versus Sham was associated with elevated IOP at ≥ 10 and ≥25 mm Hg over Baseline that was statistically significant (p &lt; 0.001). By Day 180 however, IOP had returned to normal or within 10 mm Hg of Baseline for &gt; 97% and there were no statistically significant differences between either DEX dose group and Sham.</w:t>
      </w:r>
    </w:p>
    <w:p w:rsidR="00DD5AB0" w:rsidRDefault="00DD5AB0" w:rsidP="00DD5AB0">
      <w:pPr>
        <w:rPr>
          <w:lang w:eastAsia="ja-JP"/>
        </w:rPr>
      </w:pPr>
      <w:r w:rsidRPr="003814FD">
        <w:rPr>
          <w:lang w:eastAsia="ja-JP"/>
        </w:rPr>
        <w:t>In the re-treatment population, the pattern of IOP response with DEX was similar to that in the overall safety population (IT period)</w:t>
      </w:r>
      <w:r w:rsidR="002C06FF">
        <w:rPr>
          <w:lang w:eastAsia="ja-JP"/>
        </w:rPr>
        <w:t>.</w:t>
      </w:r>
      <w:r w:rsidRPr="003814FD">
        <w:rPr>
          <w:lang w:eastAsia="ja-JP"/>
        </w:rPr>
        <w:t xml:space="preserve"> Following re-treatment, the proportion of patients with IOP increase ≥ 10, ≥ 25 or ≥ 35 mm Hg from the first Baseline peaked at OL Day 60 but declined to levels comparable to 1st and 2nd Baseline levels </w:t>
      </w:r>
      <w:r>
        <w:rPr>
          <w:lang w:eastAsia="ja-JP"/>
        </w:rPr>
        <w:t>by the end of the 1-year study.</w:t>
      </w:r>
    </w:p>
    <w:p w:rsidR="00DD5AB0" w:rsidRDefault="00DD5AB0" w:rsidP="00DD5AB0">
      <w:pPr>
        <w:rPr>
          <w:lang w:eastAsia="ja-JP"/>
        </w:rPr>
      </w:pPr>
      <w:r>
        <w:rPr>
          <w:lang w:eastAsia="ja-JP"/>
        </w:rPr>
        <w:t xml:space="preserve">At IT Day 60, peak increase in mean IOP (from Baseline) was IT Day 60, at 4.3, 3.7 and -0.3 mm Hg for DEX 700/700, DEX 350/700 and Sham/DEX 700 respectively and OL Day 60, the increase was 4.5, 4.0 and </w:t>
      </w:r>
      <w:r w:rsidRPr="00E374C1">
        <w:rPr>
          <w:lang w:eastAsia="ja-JP"/>
        </w:rPr>
        <w:t>4.4</w:t>
      </w:r>
      <w:r>
        <w:rPr>
          <w:lang w:eastAsia="ja-JP"/>
        </w:rPr>
        <w:t xml:space="preserve"> mm Hg with IT and OL peak values comparable. Mean change from Baseline was also comparable at the end of each study period at 0.2, </w:t>
      </w:r>
      <w:r w:rsidRPr="00E374C1">
        <w:rPr>
          <w:lang w:eastAsia="ja-JP"/>
        </w:rPr>
        <w:t xml:space="preserve">-0.5 </w:t>
      </w:r>
      <w:r>
        <w:rPr>
          <w:lang w:eastAsia="ja-JP"/>
        </w:rPr>
        <w:t xml:space="preserve">and </w:t>
      </w:r>
      <w:r w:rsidRPr="00E374C1">
        <w:rPr>
          <w:lang w:eastAsia="ja-JP"/>
        </w:rPr>
        <w:t>0.2</w:t>
      </w:r>
      <w:r>
        <w:rPr>
          <w:lang w:eastAsia="ja-JP"/>
        </w:rPr>
        <w:t xml:space="preserve"> mm Hg (IT Day 180) and 0.4, 0.1 and </w:t>
      </w:r>
      <w:r w:rsidRPr="00E374C1">
        <w:rPr>
          <w:lang w:eastAsia="ja-JP"/>
        </w:rPr>
        <w:t>0.3</w:t>
      </w:r>
      <w:r>
        <w:rPr>
          <w:lang w:eastAsia="ja-JP"/>
        </w:rPr>
        <w:t xml:space="preserve"> (OL Day 180). Overall, there was no evidence of increased magnitude in mean IOP increase associated with re-treatment.</w:t>
      </w:r>
    </w:p>
    <w:p w:rsidR="00DD5AB0" w:rsidRPr="006920D4" w:rsidRDefault="00DD5AB0" w:rsidP="00DD5AB0">
      <w:pPr>
        <w:rPr>
          <w:lang w:eastAsia="ja-JP"/>
        </w:rPr>
      </w:pPr>
      <w:r w:rsidRPr="00E710B3">
        <w:rPr>
          <w:lang w:eastAsia="ja-JP"/>
        </w:rPr>
        <w:t>Overall, the incidence of IOP increased for each treatment group was similar across demographic sub-groups but was more commonly reported in CRVO than BRVO with the incidence in the IT period being 26.3% versus 1.7% of DEX 700/700 and Sham/DEX 700 CRVO patients and 21.1% and 1.0% of BRVO patients. In addition, despite the small size of the RVO population &lt; 45 years of age (5% or 67/1256 of the pooled population of Studies 206207-008/009) in this age-group 60.9% (14/23), 45.5% (10/22) and 0.0% (0/22) of DEX 700, DEX 350 and Sham patients had IOP increased as an AE, with comparisons of DEX 700 and DEX 350 versus Sham both significant (p</w:t>
      </w:r>
      <w:r w:rsidR="009075AF">
        <w:rPr>
          <w:lang w:eastAsia="ja-JP"/>
        </w:rPr>
        <w:t xml:space="preserve"> </w:t>
      </w:r>
      <w:r w:rsidRPr="00E710B3">
        <w:rPr>
          <w:lang w:eastAsia="ja-JP"/>
        </w:rPr>
        <w:t>&lt; 0.001). In contrast, the incidence of IOP increased as an AE in those aged between 45 and 65 was 24.9% (47/189) 26.7% (51/191) and 0.5% (1/199).</w:t>
      </w:r>
    </w:p>
    <w:p w:rsidR="00DD5AB0" w:rsidRDefault="00DD5AB0" w:rsidP="004E2C51">
      <w:pPr>
        <w:pStyle w:val="Tabletitle"/>
        <w:numPr>
          <w:ilvl w:val="0"/>
          <w:numId w:val="21"/>
        </w:numPr>
        <w:spacing w:after="120" w:line="240" w:lineRule="auto"/>
        <w:ind w:left="1134" w:hanging="1134"/>
      </w:pPr>
      <w:bookmarkStart w:id="293" w:name="_Toc462652694"/>
      <w:r w:rsidRPr="0026625C">
        <w:lastRenderedPageBreak/>
        <w:t>Proportion of patients with IOP</w:t>
      </w:r>
      <w:r>
        <w:t xml:space="preserve"> ≥ 10 mm Hg (above)</w:t>
      </w:r>
      <w:r w:rsidRPr="0026625C">
        <w:t xml:space="preserve"> ≥ 25 or ≥ 35 mm Hg</w:t>
      </w:r>
      <w:r>
        <w:t xml:space="preserve"> (below) (Studies 008/009, Re-treatment population</w:t>
      </w:r>
      <w:r w:rsidRPr="0026625C">
        <w:t>)</w:t>
      </w:r>
      <w:bookmarkEnd w:id="293"/>
    </w:p>
    <w:p w:rsidR="00DD5AB0" w:rsidRDefault="00DD5AB0" w:rsidP="00DD5AB0">
      <w:pPr>
        <w:rPr>
          <w:lang w:eastAsia="ja-JP"/>
        </w:rPr>
      </w:pPr>
      <w:r>
        <w:rPr>
          <w:noProof/>
          <w:lang w:eastAsia="en-AU"/>
        </w:rPr>
        <w:drawing>
          <wp:inline distT="0" distB="0" distL="0" distR="0" wp14:anchorId="125EC7CE" wp14:editId="5923F630">
            <wp:extent cx="3967701" cy="7197528"/>
            <wp:effectExtent l="0" t="0" r="0" b="3810"/>
            <wp:docPr id="6" name="Picture 6" descr="Table 67: Proportion of patients with IOP ≥ 10 mm Hg (above) ≥ 25 or ≥ 35 mm Hg (below) (Studies 008/009,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5353" cy="7211409"/>
                    </a:xfrm>
                    <a:prstGeom prst="rect">
                      <a:avLst/>
                    </a:prstGeom>
                    <a:noFill/>
                    <a:ln>
                      <a:noFill/>
                    </a:ln>
                  </pic:spPr>
                </pic:pic>
              </a:graphicData>
            </a:graphic>
          </wp:inline>
        </w:drawing>
      </w:r>
    </w:p>
    <w:p w:rsidR="001D3D0C" w:rsidRDefault="00DD5AB0" w:rsidP="00E52119">
      <w:pPr>
        <w:pStyle w:val="TableDescription"/>
        <w:rPr>
          <w:lang w:eastAsia="ja-JP"/>
        </w:rPr>
      </w:pPr>
      <w:r w:rsidRPr="0026625C">
        <w:rPr>
          <w:lang w:eastAsia="ja-JP"/>
        </w:rPr>
        <w:t xml:space="preserve">DEX 700 = 700 </w:t>
      </w:r>
      <w:r w:rsidR="001E2A95">
        <w:rPr>
          <w:lang w:eastAsia="ja-JP"/>
        </w:rPr>
        <w:t>µ</w:t>
      </w:r>
      <w:r w:rsidRPr="0026625C">
        <w:rPr>
          <w:lang w:eastAsia="ja-JP"/>
        </w:rPr>
        <w:t xml:space="preserve">g DEX PS DDS applicator system, DEX 350 = 350 </w:t>
      </w:r>
      <w:r w:rsidR="001E2A95">
        <w:rPr>
          <w:lang w:eastAsia="ja-JP"/>
        </w:rPr>
        <w:t>µ</w:t>
      </w:r>
      <w:r w:rsidRPr="0026625C">
        <w:rPr>
          <w:lang w:eastAsia="ja-JP"/>
        </w:rPr>
        <w:t>g DEX PS DDS applicator syste</w:t>
      </w:r>
      <w:r>
        <w:rPr>
          <w:lang w:eastAsia="ja-JP"/>
        </w:rPr>
        <w:t xml:space="preserve">m  </w:t>
      </w:r>
      <w:r w:rsidRPr="0026625C">
        <w:rPr>
          <w:vertAlign w:val="superscript"/>
          <w:lang w:eastAsia="ja-JP"/>
        </w:rPr>
        <w:t xml:space="preserve">a </w:t>
      </w:r>
      <w:r w:rsidRPr="0026625C">
        <w:rPr>
          <w:lang w:eastAsia="ja-JP"/>
        </w:rPr>
        <w:t xml:space="preserve">Patients with IOP ≥ 25 mm Hg or ≥ 35 mm Hg at any post-baseline visit during the initial treatment </w:t>
      </w:r>
      <w:r>
        <w:rPr>
          <w:lang w:eastAsia="ja-JP"/>
        </w:rPr>
        <w:t xml:space="preserve">period or </w:t>
      </w:r>
      <w:r w:rsidR="00C671AC">
        <w:rPr>
          <w:lang w:eastAsia="ja-JP"/>
        </w:rPr>
        <w:t>open-label extension.</w:t>
      </w:r>
    </w:p>
    <w:p w:rsidR="00DD5AB0" w:rsidRDefault="00DD5AB0" w:rsidP="00DD5AB0">
      <w:pPr>
        <w:autoSpaceDE w:val="0"/>
        <w:autoSpaceDN w:val="0"/>
        <w:adjustRightInd w:val="0"/>
        <w:spacing w:before="0" w:after="0" w:line="240" w:lineRule="auto"/>
      </w:pPr>
      <w:r>
        <w:t xml:space="preserve">There were 6 procedures performed in the study eye for high ocular pressure during the IT period of Studies 008/009 as summarised in </w:t>
      </w:r>
      <w:r w:rsidR="0011500E">
        <w:t xml:space="preserve">the table </w:t>
      </w:r>
      <w:r>
        <w:t xml:space="preserve">below. In addition, one </w:t>
      </w:r>
      <w:proofErr w:type="gramStart"/>
      <w:r>
        <w:t>patient  underwent</w:t>
      </w:r>
      <w:proofErr w:type="gramEnd"/>
      <w:r>
        <w:t xml:space="preserve"> an iridotomy with laser for narrow angle anterior chamber and ocular </w:t>
      </w:r>
      <w:r>
        <w:lastRenderedPageBreak/>
        <w:t xml:space="preserve">hypertension. Two patients from the single treatment population also required procedures for managing IOP post-IT period exit. </w:t>
      </w:r>
      <w:r w:rsidR="001755D1">
        <w:t>One p</w:t>
      </w:r>
      <w:r>
        <w:t xml:space="preserve">atient </w:t>
      </w:r>
      <w:r w:rsidR="001755D1">
        <w:t>[identity redacted]</w:t>
      </w:r>
      <w:r>
        <w:t xml:space="preserve"> (DEX 700) required tube shunt insertion with scleral reinforcement and panretinal photocoagulation for elevated intraocular pressure (and also rubeosis) and </w:t>
      </w:r>
      <w:r w:rsidR="001755D1">
        <w:t xml:space="preserve">another </w:t>
      </w:r>
      <w:r>
        <w:t xml:space="preserve">patient </w:t>
      </w:r>
      <w:r w:rsidR="001755D1">
        <w:t>[identity redacted]</w:t>
      </w:r>
      <w:r>
        <w:t xml:space="preserve"> (DEX 350) required laser photocoagulation, drainage tube implant OS and intravitreal triamcinolone for the </w:t>
      </w:r>
      <w:r w:rsidRPr="001841B7">
        <w:t>treatment of neovascular</w:t>
      </w:r>
      <w:r>
        <w:t xml:space="preserve"> glaucoma and</w:t>
      </w:r>
      <w:r w:rsidRPr="001841B7">
        <w:t xml:space="preserve"> increase</w:t>
      </w:r>
      <w:r>
        <w:t>d</w:t>
      </w:r>
      <w:r w:rsidRPr="001841B7">
        <w:t xml:space="preserve"> intraocular pressure</w:t>
      </w:r>
      <w:r>
        <w:t>.</w:t>
      </w:r>
    </w:p>
    <w:p w:rsidR="0011500E" w:rsidRPr="001841B7" w:rsidRDefault="0011500E" w:rsidP="00DD5AB0">
      <w:pPr>
        <w:autoSpaceDE w:val="0"/>
        <w:autoSpaceDN w:val="0"/>
        <w:adjustRightInd w:val="0"/>
        <w:spacing w:before="0" w:after="0" w:line="240" w:lineRule="auto"/>
        <w:rPr>
          <w:rFonts w:ascii="TimesNewRomanPSMT" w:eastAsiaTheme="minorHAnsi" w:hAnsi="TimesNewRomanPSMT" w:cs="TimesNewRomanPSMT"/>
          <w:sz w:val="20"/>
          <w:szCs w:val="20"/>
        </w:rPr>
      </w:pPr>
    </w:p>
    <w:p w:rsidR="00DD5AB0" w:rsidRDefault="00DD5AB0" w:rsidP="004E2C51">
      <w:pPr>
        <w:pStyle w:val="Tabletitle"/>
        <w:numPr>
          <w:ilvl w:val="0"/>
          <w:numId w:val="21"/>
        </w:numPr>
        <w:spacing w:after="120" w:line="240" w:lineRule="auto"/>
        <w:ind w:left="1134" w:hanging="1134"/>
      </w:pPr>
      <w:bookmarkStart w:id="294" w:name="_Toc462652695"/>
      <w:r>
        <w:t>Concurrent Procedures in the for management of elevated IOP</w:t>
      </w:r>
      <w:bookmarkEnd w:id="294"/>
    </w:p>
    <w:p w:rsidR="00DD5AB0" w:rsidRDefault="00134E1F" w:rsidP="00DD5AB0">
      <w:r>
        <w:rPr>
          <w:noProof/>
          <w:lang w:eastAsia="en-AU"/>
        </w:rPr>
        <w:drawing>
          <wp:inline distT="0" distB="0" distL="0" distR="0" wp14:anchorId="53A86CCC" wp14:editId="7F62B462">
            <wp:extent cx="5400040" cy="2976368"/>
            <wp:effectExtent l="0" t="0" r="0" b="0"/>
            <wp:docPr id="28" name="Picture 28" descr="Table 68: Concurrent Procedures in the for management of elevated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40" cy="2976368"/>
                    </a:xfrm>
                    <a:prstGeom prst="rect">
                      <a:avLst/>
                    </a:prstGeom>
                  </pic:spPr>
                </pic:pic>
              </a:graphicData>
            </a:graphic>
          </wp:inline>
        </w:drawing>
      </w:r>
    </w:p>
    <w:p w:rsidR="00DD5AB0" w:rsidRDefault="00DD5AB0" w:rsidP="00DD5AB0">
      <w:r>
        <w:t xml:space="preserve">Overall, 7.5% of re-treated patients in Studies 008/009 underwent ocular concurrent procedures related to </w:t>
      </w:r>
      <w:proofErr w:type="gramStart"/>
      <w:r>
        <w:t>increased</w:t>
      </w:r>
      <w:proofErr w:type="gramEnd"/>
      <w:r>
        <w:t xml:space="preserve"> IOP as summarised in</w:t>
      </w:r>
      <w:r w:rsidR="000A5848">
        <w:t xml:space="preserve"> the table </w:t>
      </w:r>
      <w:r>
        <w:t>below.</w:t>
      </w:r>
    </w:p>
    <w:p w:rsidR="00DD5AB0" w:rsidRPr="009075AF" w:rsidRDefault="0011500E" w:rsidP="004E2C51">
      <w:pPr>
        <w:pStyle w:val="Tabletitle"/>
        <w:numPr>
          <w:ilvl w:val="0"/>
          <w:numId w:val="21"/>
        </w:numPr>
        <w:spacing w:after="120" w:line="240" w:lineRule="auto"/>
        <w:ind w:left="1134" w:hanging="1134"/>
      </w:pPr>
      <w:bookmarkStart w:id="295" w:name="_Toc462652696"/>
      <w:r w:rsidRPr="009075AF">
        <w:lastRenderedPageBreak/>
        <w:t>Procedures for elevated IOP or neovascular glaucoma</w:t>
      </w:r>
      <w:bookmarkEnd w:id="295"/>
    </w:p>
    <w:p w:rsidR="00DD5AB0" w:rsidRDefault="00134E1F" w:rsidP="00DD5AB0">
      <w:r>
        <w:rPr>
          <w:noProof/>
          <w:lang w:eastAsia="en-AU"/>
        </w:rPr>
        <w:drawing>
          <wp:inline distT="0" distB="0" distL="0" distR="0" wp14:anchorId="08AF117C" wp14:editId="3F3E7B84">
            <wp:extent cx="5400040" cy="4075415"/>
            <wp:effectExtent l="0" t="0" r="0" b="1905"/>
            <wp:docPr id="37" name="Picture 37" descr="Procedures for elevated IOP or neovascular glau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00040" cy="4075415"/>
                    </a:xfrm>
                    <a:prstGeom prst="rect">
                      <a:avLst/>
                    </a:prstGeom>
                  </pic:spPr>
                </pic:pic>
              </a:graphicData>
            </a:graphic>
          </wp:inline>
        </w:drawing>
      </w:r>
    </w:p>
    <w:p w:rsidR="00DD5AB0" w:rsidRDefault="00DD5AB0" w:rsidP="00DD5AB0">
      <w:r>
        <w:t xml:space="preserve">The concomitant use of IOP lowering medications was common and significantly higher in the DEX treated groups during the IT periods of both Study 008 and 009 as summarised </w:t>
      </w:r>
      <w:r w:rsidR="00ED0BE3">
        <w:t>below</w:t>
      </w:r>
      <w:r>
        <w:t xml:space="preserve">. Following re-treatment, the use of such medications in the Sham/DEX 700 group rose to rates either similar or slightly lower but comparable to rates in the twice treated groups. </w:t>
      </w:r>
    </w:p>
    <w:p w:rsidR="00DD5AB0" w:rsidRDefault="00DD5AB0" w:rsidP="004E2C51">
      <w:pPr>
        <w:pStyle w:val="Tabletitle"/>
        <w:numPr>
          <w:ilvl w:val="0"/>
          <w:numId w:val="21"/>
        </w:numPr>
        <w:spacing w:after="120" w:line="240" w:lineRule="auto"/>
        <w:ind w:left="1134" w:hanging="1134"/>
      </w:pPr>
      <w:bookmarkStart w:id="296" w:name="_Toc462652697"/>
      <w:r>
        <w:t>Concomitant use of IOP lowering medications (Study 008/009)</w:t>
      </w:r>
      <w:bookmarkEnd w:id="296"/>
    </w:p>
    <w:tbl>
      <w:tblPr>
        <w:tblStyle w:val="TableTGAblue"/>
        <w:tblW w:w="8897" w:type="dxa"/>
        <w:tblLayout w:type="fixed"/>
        <w:tblLook w:val="04A0" w:firstRow="1" w:lastRow="0" w:firstColumn="1" w:lastColumn="0" w:noHBand="0" w:noVBand="1"/>
        <w:tblDescription w:val="Concomitant use of IOP lowering medications (Study 008/009)"/>
      </w:tblPr>
      <w:tblGrid>
        <w:gridCol w:w="1668"/>
        <w:gridCol w:w="1275"/>
        <w:gridCol w:w="1265"/>
        <w:gridCol w:w="1128"/>
        <w:gridCol w:w="1128"/>
        <w:gridCol w:w="1128"/>
        <w:gridCol w:w="1305"/>
      </w:tblGrid>
      <w:tr w:rsidR="00DD5AB0" w:rsidRPr="00535947" w:rsidTr="00535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DD5AB0" w:rsidRPr="00535947" w:rsidRDefault="00DD5AB0" w:rsidP="00535947">
            <w:pPr>
              <w:rPr>
                <w:sz w:val="20"/>
                <w:szCs w:val="20"/>
              </w:rPr>
            </w:pPr>
            <w:r w:rsidRPr="00535947">
              <w:rPr>
                <w:sz w:val="20"/>
                <w:szCs w:val="20"/>
              </w:rPr>
              <w:t>Drug Class</w:t>
            </w:r>
          </w:p>
        </w:tc>
        <w:tc>
          <w:tcPr>
            <w:tcW w:w="3668" w:type="dxa"/>
            <w:gridSpan w:val="3"/>
          </w:tcPr>
          <w:p w:rsidR="00DD5AB0" w:rsidRPr="00535947"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535947">
              <w:rPr>
                <w:sz w:val="20"/>
                <w:szCs w:val="20"/>
              </w:rPr>
              <w:t>Study 206207-008</w:t>
            </w:r>
          </w:p>
        </w:tc>
        <w:tc>
          <w:tcPr>
            <w:tcW w:w="3561" w:type="dxa"/>
            <w:gridSpan w:val="3"/>
          </w:tcPr>
          <w:p w:rsidR="00DD5AB0" w:rsidRPr="00535947"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535947">
              <w:rPr>
                <w:sz w:val="20"/>
                <w:szCs w:val="20"/>
              </w:rPr>
              <w:t>Study 206207-009</w:t>
            </w:r>
          </w:p>
        </w:tc>
      </w:tr>
      <w:tr w:rsidR="00DD5AB0" w:rsidRPr="00535947" w:rsidTr="00535947">
        <w:tc>
          <w:tcPr>
            <w:cnfStyle w:val="001000000000" w:firstRow="0" w:lastRow="0" w:firstColumn="1" w:lastColumn="0" w:oddVBand="0" w:evenVBand="0" w:oddHBand="0" w:evenHBand="0" w:firstRowFirstColumn="0" w:firstRowLastColumn="0" w:lastRowFirstColumn="0" w:lastRowLastColumn="0"/>
            <w:tcW w:w="1668" w:type="dxa"/>
          </w:tcPr>
          <w:p w:rsidR="00DD5AB0" w:rsidRPr="00535947" w:rsidRDefault="00DD5AB0" w:rsidP="00535947">
            <w:pPr>
              <w:rPr>
                <w:sz w:val="20"/>
                <w:szCs w:val="20"/>
              </w:rPr>
            </w:pPr>
          </w:p>
        </w:tc>
        <w:tc>
          <w:tcPr>
            <w:tcW w:w="127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DEX 700 (700)</w:t>
            </w:r>
          </w:p>
        </w:tc>
        <w:tc>
          <w:tcPr>
            <w:tcW w:w="126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DEX 350 (700)</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Sham (DEX 700)</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DEX 700 (700)</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DEX 350 (700)</w:t>
            </w:r>
          </w:p>
        </w:tc>
        <w:tc>
          <w:tcPr>
            <w:tcW w:w="130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Sham (DEX 700)</w:t>
            </w:r>
          </w:p>
        </w:tc>
      </w:tr>
      <w:tr w:rsidR="00DD5AB0" w:rsidRPr="00535947" w:rsidTr="00535947">
        <w:tc>
          <w:tcPr>
            <w:cnfStyle w:val="001000000000" w:firstRow="0" w:lastRow="0" w:firstColumn="1" w:lastColumn="0" w:oddVBand="0" w:evenVBand="0" w:oddHBand="0" w:evenHBand="0" w:firstRowFirstColumn="0" w:firstRowLastColumn="0" w:lastRowFirstColumn="0" w:lastRowLastColumn="0"/>
            <w:tcW w:w="1668" w:type="dxa"/>
          </w:tcPr>
          <w:p w:rsidR="00DD5AB0" w:rsidRPr="00535947" w:rsidRDefault="00DD5AB0" w:rsidP="00535947">
            <w:pPr>
              <w:rPr>
                <w:sz w:val="20"/>
                <w:szCs w:val="20"/>
              </w:rPr>
            </w:pPr>
            <w:r w:rsidRPr="00535947">
              <w:rPr>
                <w:sz w:val="20"/>
                <w:szCs w:val="20"/>
              </w:rPr>
              <w:t>Ophthalmic beta blocking agents</w:t>
            </w:r>
          </w:p>
        </w:tc>
        <w:tc>
          <w:tcPr>
            <w:tcW w:w="127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19.4% (28.0%)</w:t>
            </w:r>
          </w:p>
        </w:tc>
        <w:tc>
          <w:tcPr>
            <w:tcW w:w="126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25.5%</w:t>
            </w:r>
            <w:r w:rsidR="00535947" w:rsidRPr="00535947">
              <w:rPr>
                <w:sz w:val="20"/>
                <w:szCs w:val="20"/>
              </w:rPr>
              <w:t xml:space="preserve"> </w:t>
            </w:r>
            <w:r w:rsidRPr="00535947">
              <w:rPr>
                <w:sz w:val="20"/>
                <w:szCs w:val="20"/>
              </w:rPr>
              <w:t>(23.9%)</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3.5%</w:t>
            </w:r>
            <w:r w:rsidR="00535947" w:rsidRPr="00535947">
              <w:rPr>
                <w:sz w:val="20"/>
                <w:szCs w:val="20"/>
              </w:rPr>
              <w:t xml:space="preserve"> </w:t>
            </w:r>
            <w:r w:rsidRPr="00535947">
              <w:rPr>
                <w:sz w:val="20"/>
                <w:szCs w:val="20"/>
              </w:rPr>
              <w:t>(20.3%)</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25.7%</w:t>
            </w:r>
            <w:r w:rsidR="00535947" w:rsidRPr="00535947">
              <w:rPr>
                <w:sz w:val="20"/>
                <w:szCs w:val="20"/>
              </w:rPr>
              <w:t xml:space="preserve"> </w:t>
            </w:r>
            <w:r w:rsidRPr="00535947">
              <w:rPr>
                <w:sz w:val="20"/>
                <w:szCs w:val="20"/>
              </w:rPr>
              <w:t>(29.1%)</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21.6%</w:t>
            </w:r>
            <w:r w:rsidR="00535947" w:rsidRPr="00535947">
              <w:rPr>
                <w:sz w:val="20"/>
                <w:szCs w:val="20"/>
              </w:rPr>
              <w:t xml:space="preserve"> </w:t>
            </w:r>
            <w:r w:rsidRPr="00535947">
              <w:rPr>
                <w:sz w:val="20"/>
                <w:szCs w:val="20"/>
              </w:rPr>
              <w:t>(29.5%)</w:t>
            </w:r>
          </w:p>
        </w:tc>
        <w:tc>
          <w:tcPr>
            <w:tcW w:w="130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2.7%</w:t>
            </w:r>
            <w:r w:rsidR="00535947" w:rsidRPr="00535947">
              <w:rPr>
                <w:sz w:val="20"/>
                <w:szCs w:val="20"/>
              </w:rPr>
              <w:t xml:space="preserve"> </w:t>
            </w:r>
            <w:r w:rsidRPr="00535947">
              <w:rPr>
                <w:sz w:val="20"/>
                <w:szCs w:val="20"/>
              </w:rPr>
              <w:t>(28.0%)</w:t>
            </w:r>
          </w:p>
        </w:tc>
      </w:tr>
      <w:tr w:rsidR="00DD5AB0" w:rsidRPr="00535947" w:rsidTr="00535947">
        <w:tc>
          <w:tcPr>
            <w:cnfStyle w:val="001000000000" w:firstRow="0" w:lastRow="0" w:firstColumn="1" w:lastColumn="0" w:oddVBand="0" w:evenVBand="0" w:oddHBand="0" w:evenHBand="0" w:firstRowFirstColumn="0" w:firstRowLastColumn="0" w:lastRowFirstColumn="0" w:lastRowLastColumn="0"/>
            <w:tcW w:w="1668" w:type="dxa"/>
          </w:tcPr>
          <w:p w:rsidR="00DD5AB0" w:rsidRPr="00535947" w:rsidRDefault="00DD5AB0" w:rsidP="00535947">
            <w:pPr>
              <w:rPr>
                <w:sz w:val="20"/>
                <w:szCs w:val="20"/>
              </w:rPr>
            </w:pPr>
            <w:r w:rsidRPr="00535947">
              <w:rPr>
                <w:sz w:val="20"/>
                <w:szCs w:val="20"/>
              </w:rPr>
              <w:t>Sympathomimetics for glaucoma</w:t>
            </w:r>
          </w:p>
        </w:tc>
        <w:tc>
          <w:tcPr>
            <w:tcW w:w="127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10.4%</w:t>
            </w:r>
            <w:r w:rsidR="00535947" w:rsidRPr="00535947">
              <w:rPr>
                <w:sz w:val="20"/>
                <w:szCs w:val="20"/>
              </w:rPr>
              <w:t xml:space="preserve"> </w:t>
            </w:r>
            <w:r w:rsidRPr="00535947">
              <w:rPr>
                <w:sz w:val="20"/>
                <w:szCs w:val="20"/>
              </w:rPr>
              <w:t>(10.4%)</w:t>
            </w:r>
          </w:p>
        </w:tc>
        <w:tc>
          <w:tcPr>
            <w:tcW w:w="126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11.2%</w:t>
            </w:r>
            <w:r w:rsidR="00535947" w:rsidRPr="00535947">
              <w:rPr>
                <w:sz w:val="20"/>
                <w:szCs w:val="20"/>
              </w:rPr>
              <w:t xml:space="preserve"> </w:t>
            </w:r>
            <w:r w:rsidRPr="00535947">
              <w:rPr>
                <w:sz w:val="20"/>
                <w:szCs w:val="20"/>
              </w:rPr>
              <w:t>(9.7%)</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0.5%</w:t>
            </w:r>
            <w:r w:rsidR="00535947" w:rsidRPr="00535947">
              <w:rPr>
                <w:sz w:val="20"/>
                <w:szCs w:val="20"/>
              </w:rPr>
              <w:t xml:space="preserve"> </w:t>
            </w:r>
            <w:r w:rsidRPr="00535947">
              <w:rPr>
                <w:sz w:val="20"/>
                <w:szCs w:val="20"/>
              </w:rPr>
              <w:t>(9.5%)</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12.8%</w:t>
            </w:r>
            <w:r w:rsidR="00535947" w:rsidRPr="00535947">
              <w:rPr>
                <w:sz w:val="20"/>
                <w:szCs w:val="20"/>
              </w:rPr>
              <w:t xml:space="preserve"> </w:t>
            </w:r>
            <w:r w:rsidRPr="00535947">
              <w:rPr>
                <w:sz w:val="20"/>
                <w:szCs w:val="20"/>
              </w:rPr>
              <w:t>(14.5%)</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12.8%</w:t>
            </w:r>
            <w:r w:rsidR="00535947" w:rsidRPr="00535947">
              <w:rPr>
                <w:sz w:val="20"/>
                <w:szCs w:val="20"/>
              </w:rPr>
              <w:t xml:space="preserve"> </w:t>
            </w:r>
            <w:r w:rsidRPr="00535947">
              <w:rPr>
                <w:sz w:val="20"/>
                <w:szCs w:val="20"/>
              </w:rPr>
              <w:t>(15.6%)</w:t>
            </w:r>
          </w:p>
        </w:tc>
        <w:tc>
          <w:tcPr>
            <w:tcW w:w="130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1.3%</w:t>
            </w:r>
            <w:r w:rsidR="00535947" w:rsidRPr="00535947">
              <w:rPr>
                <w:sz w:val="20"/>
                <w:szCs w:val="20"/>
              </w:rPr>
              <w:t xml:space="preserve"> </w:t>
            </w:r>
            <w:r w:rsidRPr="00535947">
              <w:rPr>
                <w:sz w:val="20"/>
                <w:szCs w:val="20"/>
              </w:rPr>
              <w:t>(11.9%)</w:t>
            </w:r>
          </w:p>
        </w:tc>
      </w:tr>
      <w:tr w:rsidR="00DD5AB0" w:rsidRPr="00535947" w:rsidTr="00535947">
        <w:tc>
          <w:tcPr>
            <w:cnfStyle w:val="001000000000" w:firstRow="0" w:lastRow="0" w:firstColumn="1" w:lastColumn="0" w:oddVBand="0" w:evenVBand="0" w:oddHBand="0" w:evenHBand="0" w:firstRowFirstColumn="0" w:firstRowLastColumn="0" w:lastRowFirstColumn="0" w:lastRowLastColumn="0"/>
            <w:tcW w:w="1668" w:type="dxa"/>
          </w:tcPr>
          <w:p w:rsidR="00DD5AB0" w:rsidRPr="00535947" w:rsidRDefault="00DD5AB0" w:rsidP="00535947">
            <w:pPr>
              <w:rPr>
                <w:sz w:val="20"/>
                <w:szCs w:val="20"/>
              </w:rPr>
            </w:pPr>
            <w:r w:rsidRPr="00535947">
              <w:rPr>
                <w:sz w:val="20"/>
                <w:szCs w:val="20"/>
              </w:rPr>
              <w:t>Prostaglandin analogues</w:t>
            </w:r>
          </w:p>
        </w:tc>
        <w:tc>
          <w:tcPr>
            <w:tcW w:w="127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7.5%</w:t>
            </w:r>
            <w:r w:rsidR="00535947" w:rsidRPr="00535947">
              <w:rPr>
                <w:sz w:val="20"/>
                <w:szCs w:val="20"/>
              </w:rPr>
              <w:t xml:space="preserve"> </w:t>
            </w:r>
            <w:r w:rsidRPr="00535947">
              <w:rPr>
                <w:sz w:val="20"/>
                <w:szCs w:val="20"/>
              </w:rPr>
              <w:t>(8.5%)</w:t>
            </w:r>
          </w:p>
        </w:tc>
        <w:tc>
          <w:tcPr>
            <w:tcW w:w="126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11.2%</w:t>
            </w:r>
            <w:r w:rsidR="00535947" w:rsidRPr="00535947">
              <w:rPr>
                <w:sz w:val="20"/>
                <w:szCs w:val="20"/>
              </w:rPr>
              <w:t xml:space="preserve"> </w:t>
            </w:r>
            <w:r w:rsidRPr="00535947">
              <w:rPr>
                <w:sz w:val="20"/>
                <w:szCs w:val="20"/>
              </w:rPr>
              <w:t>(11.0%)</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1.5%</w:t>
            </w:r>
            <w:r w:rsidR="00535947" w:rsidRPr="00535947">
              <w:rPr>
                <w:sz w:val="20"/>
                <w:szCs w:val="20"/>
              </w:rPr>
              <w:t xml:space="preserve"> </w:t>
            </w:r>
            <w:r w:rsidRPr="00535947">
              <w:rPr>
                <w:sz w:val="20"/>
                <w:szCs w:val="20"/>
              </w:rPr>
              <w:t>(13.9%)</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9.7%</w:t>
            </w:r>
            <w:r w:rsidR="00535947" w:rsidRPr="00535947">
              <w:rPr>
                <w:sz w:val="20"/>
                <w:szCs w:val="20"/>
              </w:rPr>
              <w:t xml:space="preserve"> </w:t>
            </w:r>
            <w:r w:rsidRPr="00535947">
              <w:rPr>
                <w:sz w:val="20"/>
                <w:szCs w:val="20"/>
              </w:rPr>
              <w:t>(15.1%)</w:t>
            </w:r>
          </w:p>
        </w:tc>
        <w:tc>
          <w:tcPr>
            <w:tcW w:w="1128"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11.5%</w:t>
            </w:r>
            <w:r w:rsidR="00535947" w:rsidRPr="00535947">
              <w:rPr>
                <w:sz w:val="20"/>
                <w:szCs w:val="20"/>
              </w:rPr>
              <w:t xml:space="preserve"> </w:t>
            </w:r>
            <w:r w:rsidRPr="00535947">
              <w:rPr>
                <w:sz w:val="20"/>
                <w:szCs w:val="20"/>
              </w:rPr>
              <w:t>(12.7%)</w:t>
            </w:r>
          </w:p>
        </w:tc>
        <w:tc>
          <w:tcPr>
            <w:tcW w:w="1305" w:type="dxa"/>
          </w:tcPr>
          <w:p w:rsidR="00DD5AB0" w:rsidRPr="00535947"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535947">
              <w:rPr>
                <w:sz w:val="20"/>
                <w:szCs w:val="20"/>
              </w:rPr>
              <w:t>1.3%</w:t>
            </w:r>
            <w:r w:rsidR="00535947" w:rsidRPr="00535947">
              <w:rPr>
                <w:sz w:val="20"/>
                <w:szCs w:val="20"/>
              </w:rPr>
              <w:t xml:space="preserve"> </w:t>
            </w:r>
            <w:r w:rsidRPr="00535947">
              <w:rPr>
                <w:sz w:val="20"/>
                <w:szCs w:val="20"/>
              </w:rPr>
              <w:t>(8.3%)</w:t>
            </w:r>
          </w:p>
        </w:tc>
      </w:tr>
    </w:tbl>
    <w:p w:rsidR="00DD5AB0" w:rsidRDefault="00DD5AB0" w:rsidP="00DD5AB0">
      <w:r>
        <w:t>Note: numbers in brackets refer to OL extension rates of IOP lowering medication use</w:t>
      </w:r>
    </w:p>
    <w:p w:rsidR="00DD5AB0" w:rsidRDefault="00DD5AB0" w:rsidP="00DD5AB0">
      <w:r w:rsidRPr="00B8632A">
        <w:lastRenderedPageBreak/>
        <w:t>Changes in IOP were similar in Study 020 to those seen in Studies 008/009. Elevated intraocular pressure (IOP) adverse events were reported for 32.6% of patients in the DEX 700 group, and 2.3% in the Sham group. The mean change from Baseline IOP was significantly greater with DEX 700 compared to Sham at the Month 1, 2, and 3 visits, (p &lt; 0.001). Values returned to levels comparable to Baseline and between groups by IT Day 180. The peak proportion of patients with elevated IOP in each of the 3 IOP categories was at the Month 2 visit, with 17.1%, 15.5% and 4.7% of the DEX 700 group having IOP elevations of ≥ 10, 25 and 35 mm Hg respectively. In comparison, none of the Sham group recorded elevation of IOP at this timepoint. The percent of patients with increases from Baseline IOP ≥ 10 mm Hg in the study eye was greater with DEX 700 (27.1% at any visit) compared to Sham (1.5% at any visit). At a target IOP ≥ 25 mm Hg 23.3% of the DEX 700 group compared to 0.8% of Sham had a positive finding at any visit and at ≥ 35 the proportion was 6.2% for DEX 700 and 0.0% for Sham.</w:t>
      </w:r>
    </w:p>
    <w:p w:rsidR="00DD5AB0" w:rsidRPr="00B8632A" w:rsidRDefault="00DD5AB0" w:rsidP="00DD5AB0">
      <w:r w:rsidRPr="002A1EDF">
        <w:t>In Study 206207-020, one patient (1/129) required a trabeculoplasty for increased IOP, with one Sham patient (1/130) requiring iridectomy for glaucoma.</w:t>
      </w:r>
      <w:r>
        <w:t xml:space="preserve"> Concomitant ophthalmic medications used for managing IOP elevations were reported for 34.9% (45/129) of patients in the DEX 700 group, and 13.8% (18/130) in the Sham group.</w:t>
      </w:r>
    </w:p>
    <w:p w:rsidR="00DD5AB0" w:rsidRDefault="00DD5AB0" w:rsidP="001A6420">
      <w:pPr>
        <w:rPr>
          <w:lang w:eastAsia="ja-JP"/>
        </w:rPr>
      </w:pPr>
      <w:r w:rsidRPr="0074273A">
        <w:rPr>
          <w:b/>
          <w:lang w:eastAsia="ja-JP"/>
        </w:rPr>
        <w:t>Evaluator’s comment</w:t>
      </w:r>
      <w:r>
        <w:rPr>
          <w:lang w:eastAsia="ja-JP"/>
        </w:rPr>
        <w:t>: The pivotal studies for the RVO indication demonstrated a very similar rise and fall in IOP compared with Baseline both in terms of timepoints and proportions of patients with elevated IOP at each measurement level.</w:t>
      </w:r>
      <w:r>
        <w:rPr>
          <w:lang w:eastAsia="ja-JP"/>
        </w:rPr>
        <w:br/>
        <w:t>From Studies 008/009, the proportions in each IOP category were almost identical between DEX 350 and DEX 700 at each timepoint despite effectively doubling the dose of dexamethasone.</w:t>
      </w:r>
    </w:p>
    <w:p w:rsidR="00DD5AB0" w:rsidRPr="006F0733" w:rsidRDefault="00DD5AB0" w:rsidP="001A6420">
      <w:pPr>
        <w:rPr>
          <w:lang w:eastAsia="ja-JP"/>
        </w:rPr>
      </w:pPr>
      <w:r w:rsidRPr="005D7D72">
        <w:rPr>
          <w:b/>
          <w:lang w:eastAsia="ja-JP"/>
        </w:rPr>
        <w:t>Evaluator’s comment</w:t>
      </w:r>
      <w:r>
        <w:rPr>
          <w:lang w:eastAsia="ja-JP"/>
        </w:rPr>
        <w:t xml:space="preserve">:  </w:t>
      </w:r>
      <w:r w:rsidRPr="00E710B3">
        <w:rPr>
          <w:lang w:eastAsia="ja-JP"/>
        </w:rPr>
        <w:t>DEX treatment was unequivocally associated with higher incidence of elevated IOP compared with Sham with IOP increased responsible for the majority of the increased incidence of all ocular AEs and treatment-related AEs in the DEX groups versus Sham. Rates of IOP increased (DEX 700 versus Sham) were 36-fold in Studies 008/009 (I</w:t>
      </w:r>
      <w:r>
        <w:rPr>
          <w:lang w:eastAsia="ja-JP"/>
        </w:rPr>
        <w:t xml:space="preserve">T period) and 19-fold in Study 020. </w:t>
      </w:r>
      <w:r w:rsidRPr="00E710B3">
        <w:rPr>
          <w:lang w:eastAsia="ja-JP"/>
        </w:rPr>
        <w:t xml:space="preserve">Comparing DEX 700 with DEX 350, there was no significant difference in incidence of IOP increased despite an effective doubling of dose and following re-treatment (Studies 008/009) the incidence </w:t>
      </w:r>
      <w:r>
        <w:rPr>
          <w:lang w:eastAsia="ja-JP"/>
        </w:rPr>
        <w:t>of IOP increased was comparable in the OL extension to the IT period.</w:t>
      </w:r>
      <w:r>
        <w:rPr>
          <w:lang w:eastAsia="ja-JP"/>
        </w:rPr>
        <w:br/>
        <w:t>As may be expected, use of IOP lowering medications was high across all studies with over a third of DEX treated patients using such medications. Overall rates of use stayed relatively constant following the second consecutive injection, with rates of use in the Sham/DEX 700 group (OL extension) reaching levels similar to those treated twice. A relatively high proportion of treated patients required procedures for lowering IOP.</w:t>
      </w:r>
    </w:p>
    <w:p w:rsidR="00DD5AB0" w:rsidRPr="00023050" w:rsidRDefault="00DD5AB0" w:rsidP="00DD5AB0">
      <w:pPr>
        <w:pStyle w:val="Heading6"/>
        <w:rPr>
          <w:lang w:eastAsia="ja-JP"/>
        </w:rPr>
      </w:pPr>
      <w:r>
        <w:rPr>
          <w:lang w:eastAsia="ja-JP"/>
        </w:rPr>
        <w:t>Uveitis</w:t>
      </w:r>
    </w:p>
    <w:p w:rsidR="00DD5AB0" w:rsidRDefault="00DD5AB0" w:rsidP="00DD5AB0">
      <w:r w:rsidRPr="00AF3CC2">
        <w:t xml:space="preserve">In Study 206207-014, </w:t>
      </w:r>
      <w:r>
        <w:t>Day 7 visit (7 days post-plant)</w:t>
      </w:r>
      <w:r w:rsidRPr="00AF3CC2">
        <w:t xml:space="preserve"> mean</w:t>
      </w:r>
      <w:r>
        <w:t xml:space="preserve"> change from Baseline IOP was significantly higher</w:t>
      </w:r>
      <w:r w:rsidRPr="00AF3CC2">
        <w:t xml:space="preserve"> compared with Sham for both DEX 700 and DEX 350</w:t>
      </w:r>
      <w:r>
        <w:t xml:space="preserve"> (p &lt; 0.001)</w:t>
      </w:r>
      <w:r w:rsidRPr="00AF3CC2">
        <w:t xml:space="preserve">. At </w:t>
      </w:r>
      <w:r>
        <w:t xml:space="preserve">Week 8 the greatest mean change over Baseline IOP was seen at </w:t>
      </w:r>
      <w:r w:rsidRPr="00AF3698">
        <w:t>3.8</w:t>
      </w:r>
      <w:r>
        <w:t xml:space="preserve"> and </w:t>
      </w:r>
      <w:r w:rsidRPr="00AF3698">
        <w:t>2.9</w:t>
      </w:r>
      <w:r>
        <w:t xml:space="preserve"> mm Hg for DEX 700 and DEX 350 respectively compared with -0.3 mm Hg for Sham, with the difference between both DEX groups versus Sham significant (p &lt; 0.001). From the Week 12 visit, differences between DEX 350 versus Sham were non-significant (mean change in IOP compared with Baseline 1.0  versus -0.2 mm Hg, p = 0.166) and from Week 16 differences between DEX 700 versus Sham were non-significant (0.9 versus 0.3 mm Hg). At study conclusion (Week 26) mean change from Baseline IOP was </w:t>
      </w:r>
      <w:r w:rsidRPr="00885163">
        <w:t>0.1</w:t>
      </w:r>
      <w:r>
        <w:t>,</w:t>
      </w:r>
      <w:r w:rsidRPr="00885163">
        <w:t xml:space="preserve"> -0.6</w:t>
      </w:r>
      <w:r>
        <w:t>, and</w:t>
      </w:r>
      <w:r w:rsidRPr="00885163">
        <w:t xml:space="preserve"> 0.5</w:t>
      </w:r>
      <w:r>
        <w:t xml:space="preserve"> mm Hg in DEX 700, DEX 350 and Sham respectively.</w:t>
      </w:r>
    </w:p>
    <w:p w:rsidR="00DD5AB0" w:rsidRDefault="00DD5AB0" w:rsidP="00DD5AB0">
      <w:r>
        <w:t xml:space="preserve">Overall, 43 </w:t>
      </w:r>
      <w:proofErr w:type="gramStart"/>
      <w:r>
        <w:t>patients</w:t>
      </w:r>
      <w:proofErr w:type="gramEnd"/>
      <w:r>
        <w:t xml:space="preserve"> experienced IOP ≥ 25 mm Hg in the study eye, the majority at a single visit only and which returned to baseline by the end of the study. 10 patients experienced IOP ≥ 35 mm Hg in the study eye, 7 patients at a single visit only and all which returned to </w:t>
      </w:r>
      <w:r>
        <w:lastRenderedPageBreak/>
        <w:t xml:space="preserve">Baseline by the end of the study. At an IOP of ≥ 10 mm Hg the peak incidence at any one visit was 11.3% for DEX 700 (versus 1.5% (Sham) at Week 6) and 9.7% for DEX 350 (compared with 9.6% (DEX 700) and 0.0% (Sham) at Week 8). The amongst-group p-value for Week 6 was 0.053, and at Week 8 both DEX groups versus Sham were significant (p = 0.013). None of the amongst-group differences for </w:t>
      </w:r>
      <w:r w:rsidRPr="00885163">
        <w:t xml:space="preserve">IOP of ≥ </w:t>
      </w:r>
      <w:r>
        <w:t xml:space="preserve">25 or </w:t>
      </w:r>
      <w:r w:rsidRPr="00885163">
        <w:t>≥</w:t>
      </w:r>
      <w:r>
        <w:t xml:space="preserve"> 35</w:t>
      </w:r>
      <w:r w:rsidRPr="00885163">
        <w:t xml:space="preserve"> mm Hg</w:t>
      </w:r>
      <w:r>
        <w:t xml:space="preserve"> were significant, but peak incidence at ≥ 25 mm Hg for both DEX 700 and DEX 350 versus Sham was 7.1% and 8.7% at Week 3, and at ≥ 35 mm Hg, peak incidence was 2.7% for DEX 700 (Week 8) and 2.9% for DEX 350 (Week 3). At Week 26 1.4% of DEX 700 and 2.8% of Sham had an IOP ≥ 10 mm Hg over Baseline and 4.2% of Sham and none of the DEX groups had an IOP ≥ 25 mm Hg.</w:t>
      </w:r>
    </w:p>
    <w:p w:rsidR="00DD5AB0" w:rsidRDefault="00DD5AB0" w:rsidP="00DD5AB0">
      <w:r>
        <w:t>I</w:t>
      </w:r>
      <w:r w:rsidRPr="00023050">
        <w:t>n those &lt; 45 years, 30.2% (13/43), 28.9% (11/38) and 7.5 (3/40) of DEX 700, DEX 350 and Sham respectively were reported as having IOP increased as an AE. The findings were significant for DEX 700 versus Sham (p = 0.009) and DEX 350 versus Sham (p = 0.007) and reported rates were higher than for those aged 45 to 65 at 21.4% (6/28), 19.5% (6/31) and 7.4% (2/27) for DEX 700, DEX 350 and Sham respectively. In this age group there were no significant differences between treatment groups. The incidence of ocular hypertension was also higher in those &lt; 45 years at 9.3% (4/43), 13.2% (5/38) and 0.0% (0/40) (among-group p-value = 0.056).</w:t>
      </w:r>
    </w:p>
    <w:p w:rsidR="00DD5AB0" w:rsidRDefault="00DD5AB0" w:rsidP="00DD5AB0">
      <w:r>
        <w:t xml:space="preserve">Three patients required laser iridotomies in the study eye for the following reported reasons: pupillary block (Patient </w:t>
      </w:r>
      <w:r w:rsidR="00B0711D">
        <w:t>[information redacted]</w:t>
      </w:r>
      <w:r>
        <w:t xml:space="preserve"> (DEX 350)), iris bombe (Patient </w:t>
      </w:r>
      <w:r w:rsidR="00B0711D">
        <w:t xml:space="preserve">[information redacted] </w:t>
      </w:r>
      <w:r>
        <w:t xml:space="preserve">(DEX 700)), and raised IOP </w:t>
      </w:r>
      <w:r w:rsidR="00B0711D">
        <w:t>[information redacted</w:t>
      </w:r>
      <w:proofErr w:type="gramStart"/>
      <w:r w:rsidR="00B0711D">
        <w:t>]</w:t>
      </w:r>
      <w:r>
        <w:t>(</w:t>
      </w:r>
      <w:proofErr w:type="gramEnd"/>
      <w:r>
        <w:t>DEX 700)). Ophthalmic beta-blocking agents were used by 27.3% (21/77) DEX 700, 21.1% (16/76) DEX 350 and 6.6% (5/76) of Sham patients, with sympathomimetics (for glaucoma therapy) used by 9.1%, 5.3% and 5.3%, carbonic anhydrase inhibitiors by 13.0%, 7.9% and 6.6% and prostaglandin analogues used by 5.2%, 3.9% and 3.9% of the DEX 700, DEX 350 and Sham group respectively.</w:t>
      </w:r>
    </w:p>
    <w:p w:rsidR="00DD5AB0" w:rsidRDefault="00DD5AB0" w:rsidP="001A6420">
      <w:r w:rsidRPr="006F0733">
        <w:rPr>
          <w:b/>
        </w:rPr>
        <w:t>Evaluator’s comment</w:t>
      </w:r>
      <w:r>
        <w:t>: Due to the population size none of the comparisons for ≥ 25 or ≥ 35 mm Hg Baseline IOP were significant. Approximately 8% to 10% of DEX treated patients experienced an IOP increase ≥ 10 mm Hg, 4% to 7% ≥ 25 mm Hg and 1.4% to 4% ≥ 35 mm Hg. Compared with the RVO trials, proportions with clinically significant elevations in IOP (≥ 25 or 35 mm Hg) were comparable. IOP increased reported as an AE was 22.4% (DEX 700) versus 4.0% (Sham) which is lower than that seen in RVO Studies 008/009 (IT period: 27.7% versus 0.6%) representing a 5.6 fold increase as an AE, compared to the 36 fold increase in the RVO studies. Perhaps due to the underlying pathologies involved in uveitis, 3 Sham patients (3/72, 4.2%) recorded an IOP ≥ 25 mm Hg and 1 Sham patient recorded an IOP ≥ 35 mm Hg (1/72, 1.4%). In contrast only 1 Sham patient (1/323, 0.3%) in Studies 008/009 recorded an IOP increase ≥ 25 mm Hg and none had an IOP increase ≥ 35 mm Hg. Regarding patient age, both RVO and uveitis studies showed that higher incidence of IOP increased as an AE was statistically significant for younger patients, however unlike RVO which is more common in older adults, non-infectious uveitis is more likely to occur in younger populations.</w:t>
      </w:r>
    </w:p>
    <w:p w:rsidR="00DD5AB0" w:rsidRDefault="00DD5AB0" w:rsidP="00A45E9B">
      <w:pPr>
        <w:pStyle w:val="Heading5"/>
      </w:pPr>
      <w:r>
        <w:t>Other studies</w:t>
      </w:r>
    </w:p>
    <w:p w:rsidR="00DD5AB0" w:rsidRDefault="00DD5AB0" w:rsidP="00DD5AB0">
      <w:r w:rsidRPr="004525D7">
        <w:t>In Study 010</w:t>
      </w:r>
      <w:r>
        <w:t xml:space="preserve"> (indication of DME)</w:t>
      </w:r>
      <w:r w:rsidRPr="004525D7">
        <w:t xml:space="preserve"> elevated IOP AEs during the whole study period were reported in 40.6%, 36.4% and 3.0% of the DEX 700, DEX 350 and Sham groups, respectively. Mean IOP in the study eye increased following each injection of DEX 700 </w:t>
      </w:r>
      <w:proofErr w:type="gramStart"/>
      <w:r w:rsidRPr="004525D7">
        <w:t>by  3.0</w:t>
      </w:r>
      <w:proofErr w:type="gramEnd"/>
      <w:r w:rsidRPr="004525D7">
        <w:t xml:space="preserve"> to 4.5 mm Hg across all visits from baseline. However, the magnitude of change in mean IOP did not increase with repeated injections. Similar changes in mean IOP were recorded in the DEX 350 group. Mean changes from baseline ranged from -2.0 to 5.0 mm Hg across all visits. During the course of the study, 43.8%, 39.4% and 6.7% of patients required IOP lowering medications in the DEX 700, DEX 350 and Sham groups, respectively. In Study 011, elevated IOP AEs during the whole study period were reported </w:t>
      </w:r>
      <w:r w:rsidRPr="004525D7">
        <w:lastRenderedPageBreak/>
        <w:t xml:space="preserve">in 32.1%, 32.0% and 7.0% of the DEX 700, DEX 350 and Sham groups, respectively. Mean IOP in the study eye increased following each injection of DEX 700 by -4.0 to 3.0 mm Hg across all visits from baseline. However, the magnitude of change in mean IOP did not increase with repeated injections. Similar changes in mean IOP were recorded in the DEX 350 group. Mean changes from baseline ranged </w:t>
      </w:r>
      <w:proofErr w:type="gramStart"/>
      <w:r w:rsidRPr="004525D7">
        <w:t>from  3.0</w:t>
      </w:r>
      <w:proofErr w:type="gramEnd"/>
      <w:r w:rsidRPr="004525D7">
        <w:t xml:space="preserve"> to 6.0 mm Hg across all visits. During the course of the study, 39.6%, 36.0% and 11.3% of patients required IOP lowering medications in the DEX 700, DEX 350 and Sham groups, respectively.</w:t>
      </w:r>
    </w:p>
    <w:p w:rsidR="00DD5AB0" w:rsidRDefault="00DD5AB0" w:rsidP="004C3275">
      <w:pPr>
        <w:pStyle w:val="Heading4"/>
        <w:numPr>
          <w:ilvl w:val="2"/>
          <w:numId w:val="5"/>
        </w:numPr>
      </w:pPr>
      <w:r>
        <w:t>Cataracts</w:t>
      </w:r>
    </w:p>
    <w:p w:rsidR="00DD5AB0" w:rsidRPr="004525D7" w:rsidRDefault="00DD5AB0" w:rsidP="00A45E9B">
      <w:pPr>
        <w:pStyle w:val="Heading5"/>
        <w:rPr>
          <w:lang w:eastAsia="ja-JP"/>
        </w:rPr>
      </w:pPr>
      <w:r>
        <w:rPr>
          <w:lang w:eastAsia="ja-JP"/>
        </w:rPr>
        <w:t>Pivotal studies</w:t>
      </w:r>
    </w:p>
    <w:p w:rsidR="00DD5AB0" w:rsidRDefault="00DD5AB0" w:rsidP="00DD5AB0">
      <w:pPr>
        <w:pStyle w:val="Heading6"/>
      </w:pPr>
      <w:r>
        <w:t>RVO</w:t>
      </w:r>
    </w:p>
    <w:p w:rsidR="00DD5AB0" w:rsidRDefault="00DD5AB0" w:rsidP="00DD5AB0">
      <w:r>
        <w:t xml:space="preserve">The combined incidence of cataract AEs (including cortical, nuclear, subcapsular) in Studies 008/009 (IT period; Safety population) was 7.4% (31/421) of patients in the DEX 700 group, 4.1% (17/412) in the DEX 350 group, and 4.5% (19/423) in the Sham group. </w:t>
      </w:r>
      <w:r w:rsidRPr="009C7985">
        <w:t>For the re-treatment population in the IT period, the combined cataract incidence was comparable to the overall safety population at 8.8%, 4.6% and 4.6% for the DEX 700/700, DEX 350/700 and Sham/DEX 700 groups respectively</w:t>
      </w:r>
      <w:r>
        <w:t>.</w:t>
      </w:r>
      <w:r w:rsidRPr="009C7985">
        <w:t xml:space="preserve"> </w:t>
      </w:r>
    </w:p>
    <w:p w:rsidR="00DD5AB0" w:rsidRDefault="00DD5AB0" w:rsidP="00DD5AB0">
      <w:r w:rsidRPr="009C7985">
        <w:t>At the end of the OL extension, the overall rates of reported cataract AEs in the study eye was 26.4%, 17.0% and 9.5% for the DEX 700/700, DEX 350/700 and Sham/DEX 700 groups respectively. For comparison, cataract events in the non-study eye for the 12 month period for the same population were 6.2%, 4.3% and 6.4% across the three groups.</w:t>
      </w:r>
    </w:p>
    <w:p w:rsidR="00DD5AB0" w:rsidRDefault="00DD5AB0" w:rsidP="004E2C51">
      <w:pPr>
        <w:pStyle w:val="Tabletitle"/>
        <w:numPr>
          <w:ilvl w:val="0"/>
          <w:numId w:val="21"/>
        </w:numPr>
        <w:spacing w:after="120" w:line="240" w:lineRule="auto"/>
        <w:ind w:left="1134" w:hanging="1134"/>
      </w:pPr>
      <w:bookmarkStart w:id="297" w:name="_Toc462652698"/>
      <w:r>
        <w:t>Incidence of cataract in the study eye</w:t>
      </w:r>
      <w:r>
        <w:rPr>
          <w:noProof/>
        </w:rPr>
        <w:t xml:space="preserve"> (Re-treated population 008/009)</w:t>
      </w:r>
      <w:bookmarkEnd w:id="297"/>
    </w:p>
    <w:tbl>
      <w:tblPr>
        <w:tblStyle w:val="TableTGAblue"/>
        <w:tblW w:w="0" w:type="auto"/>
        <w:tblLayout w:type="fixed"/>
        <w:tblLook w:val="04A0" w:firstRow="1" w:lastRow="0" w:firstColumn="1" w:lastColumn="0" w:noHBand="0" w:noVBand="1"/>
        <w:tblDescription w:val="Incidence of cataract in the study eye (Re-treated population 008/009)"/>
      </w:tblPr>
      <w:tblGrid>
        <w:gridCol w:w="1809"/>
        <w:gridCol w:w="1104"/>
        <w:gridCol w:w="850"/>
        <w:gridCol w:w="1104"/>
        <w:gridCol w:w="850"/>
        <w:gridCol w:w="992"/>
        <w:gridCol w:w="912"/>
        <w:gridCol w:w="1559"/>
      </w:tblGrid>
      <w:tr w:rsidR="00DD5AB0" w:rsidRPr="00721F9E" w:rsidTr="00B071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DD5AB0" w:rsidRPr="00D84404" w:rsidRDefault="00DD5AB0" w:rsidP="002A468E">
            <w:pPr>
              <w:spacing w:before="0" w:after="0"/>
              <w:rPr>
                <w:sz w:val="20"/>
              </w:rPr>
            </w:pPr>
            <w:r w:rsidRPr="00D84404">
              <w:rPr>
                <w:sz w:val="20"/>
              </w:rPr>
              <w:t>Study Period</w:t>
            </w:r>
          </w:p>
        </w:tc>
        <w:tc>
          <w:tcPr>
            <w:tcW w:w="1954" w:type="dxa"/>
            <w:gridSpan w:val="2"/>
            <w:tcBorders>
              <w:top w:val="nil"/>
              <w:bottom w:val="nil"/>
            </w:tcBorders>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sz w:val="20"/>
              </w:rPr>
            </w:pPr>
            <w:r w:rsidRPr="00D84404">
              <w:rPr>
                <w:sz w:val="20"/>
              </w:rPr>
              <w:t>DEX 700/700 (N = 341)</w:t>
            </w:r>
          </w:p>
        </w:tc>
        <w:tc>
          <w:tcPr>
            <w:tcW w:w="1954" w:type="dxa"/>
            <w:gridSpan w:val="2"/>
            <w:tcBorders>
              <w:top w:val="nil"/>
              <w:bottom w:val="nil"/>
            </w:tcBorders>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sz w:val="20"/>
              </w:rPr>
            </w:pPr>
            <w:r w:rsidRPr="00D84404">
              <w:rPr>
                <w:sz w:val="20"/>
              </w:rPr>
              <w:t>DEX 350/700 (N = 329)</w:t>
            </w:r>
          </w:p>
        </w:tc>
        <w:tc>
          <w:tcPr>
            <w:tcW w:w="1904" w:type="dxa"/>
            <w:gridSpan w:val="2"/>
            <w:tcBorders>
              <w:top w:val="nil"/>
              <w:bottom w:val="nil"/>
            </w:tcBorders>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sz w:val="20"/>
              </w:rPr>
            </w:pPr>
            <w:r w:rsidRPr="00D84404">
              <w:rPr>
                <w:sz w:val="20"/>
              </w:rPr>
              <w:t>Sham/DEX 700 (N = 327)</w:t>
            </w:r>
          </w:p>
        </w:tc>
        <w:tc>
          <w:tcPr>
            <w:tcW w:w="1559" w:type="dxa"/>
            <w:vMerge w:val="restart"/>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sz w:val="20"/>
              </w:rPr>
            </w:pPr>
            <w:r w:rsidRPr="00D84404">
              <w:rPr>
                <w:sz w:val="20"/>
              </w:rPr>
              <w:t>P-value</w:t>
            </w:r>
          </w:p>
        </w:tc>
      </w:tr>
      <w:tr w:rsidR="00DD5AB0" w:rsidRPr="00721F9E" w:rsidTr="00B071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vMerge/>
          </w:tcPr>
          <w:p w:rsidR="00DD5AB0" w:rsidRPr="00721F9E" w:rsidRDefault="00DD5AB0" w:rsidP="002A468E">
            <w:pPr>
              <w:spacing w:before="0" w:after="0"/>
            </w:pPr>
          </w:p>
        </w:tc>
        <w:tc>
          <w:tcPr>
            <w:tcW w:w="1104" w:type="dxa"/>
            <w:tcBorders>
              <w:top w:val="nil"/>
              <w:bottom w:val="nil"/>
            </w:tcBorders>
            <w:shd w:val="clear" w:color="auto" w:fill="006DA7" w:themeFill="accent3"/>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b w:val="0"/>
                <w:sz w:val="20"/>
              </w:rPr>
            </w:pPr>
            <w:r w:rsidRPr="00D84404">
              <w:rPr>
                <w:b w:val="0"/>
                <w:sz w:val="20"/>
              </w:rPr>
              <w:t>%</w:t>
            </w:r>
          </w:p>
        </w:tc>
        <w:tc>
          <w:tcPr>
            <w:tcW w:w="850" w:type="dxa"/>
            <w:tcBorders>
              <w:top w:val="nil"/>
              <w:bottom w:val="nil"/>
            </w:tcBorders>
            <w:shd w:val="clear" w:color="auto" w:fill="006DA7" w:themeFill="accent3"/>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b w:val="0"/>
                <w:sz w:val="20"/>
              </w:rPr>
            </w:pPr>
            <w:r w:rsidRPr="00D84404">
              <w:rPr>
                <w:b w:val="0"/>
                <w:sz w:val="20"/>
              </w:rPr>
              <w:t>N =</w:t>
            </w:r>
          </w:p>
        </w:tc>
        <w:tc>
          <w:tcPr>
            <w:tcW w:w="1104" w:type="dxa"/>
            <w:tcBorders>
              <w:top w:val="nil"/>
              <w:bottom w:val="nil"/>
            </w:tcBorders>
            <w:shd w:val="clear" w:color="auto" w:fill="006DA7" w:themeFill="accent3"/>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b w:val="0"/>
                <w:sz w:val="20"/>
              </w:rPr>
            </w:pPr>
            <w:r w:rsidRPr="00D84404">
              <w:rPr>
                <w:b w:val="0"/>
                <w:sz w:val="20"/>
              </w:rPr>
              <w:t>%</w:t>
            </w:r>
          </w:p>
        </w:tc>
        <w:tc>
          <w:tcPr>
            <w:tcW w:w="850" w:type="dxa"/>
            <w:tcBorders>
              <w:top w:val="nil"/>
              <w:bottom w:val="nil"/>
            </w:tcBorders>
            <w:shd w:val="clear" w:color="auto" w:fill="006DA7" w:themeFill="accent3"/>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b w:val="0"/>
                <w:sz w:val="20"/>
              </w:rPr>
            </w:pPr>
            <w:r w:rsidRPr="00D84404">
              <w:rPr>
                <w:b w:val="0"/>
                <w:sz w:val="20"/>
              </w:rPr>
              <w:t>N =</w:t>
            </w:r>
          </w:p>
        </w:tc>
        <w:tc>
          <w:tcPr>
            <w:tcW w:w="992" w:type="dxa"/>
            <w:tcBorders>
              <w:top w:val="nil"/>
              <w:bottom w:val="nil"/>
            </w:tcBorders>
            <w:shd w:val="clear" w:color="auto" w:fill="006DA7" w:themeFill="accent3"/>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b w:val="0"/>
                <w:sz w:val="20"/>
              </w:rPr>
            </w:pPr>
            <w:r w:rsidRPr="00D84404">
              <w:rPr>
                <w:b w:val="0"/>
                <w:sz w:val="20"/>
              </w:rPr>
              <w:t>%</w:t>
            </w:r>
          </w:p>
        </w:tc>
        <w:tc>
          <w:tcPr>
            <w:tcW w:w="912" w:type="dxa"/>
            <w:tcBorders>
              <w:top w:val="nil"/>
              <w:bottom w:val="nil"/>
            </w:tcBorders>
            <w:shd w:val="clear" w:color="auto" w:fill="006DA7" w:themeFill="accent3"/>
          </w:tcPr>
          <w:p w:rsidR="00DD5AB0" w:rsidRPr="00D84404" w:rsidRDefault="00DD5AB0" w:rsidP="002A468E">
            <w:pPr>
              <w:spacing w:before="0" w:after="0"/>
              <w:cnfStyle w:val="100000000000" w:firstRow="1" w:lastRow="0" w:firstColumn="0" w:lastColumn="0" w:oddVBand="0" w:evenVBand="0" w:oddHBand="0" w:evenHBand="0" w:firstRowFirstColumn="0" w:firstRowLastColumn="0" w:lastRowFirstColumn="0" w:lastRowLastColumn="0"/>
              <w:rPr>
                <w:b w:val="0"/>
                <w:sz w:val="20"/>
              </w:rPr>
            </w:pPr>
            <w:r w:rsidRPr="00D84404">
              <w:rPr>
                <w:b w:val="0"/>
                <w:sz w:val="20"/>
              </w:rPr>
              <w:t>N =</w:t>
            </w:r>
          </w:p>
        </w:tc>
        <w:tc>
          <w:tcPr>
            <w:tcW w:w="1559" w:type="dxa"/>
            <w:vMerge/>
          </w:tcPr>
          <w:p w:rsidR="00DD5AB0" w:rsidRPr="00721F9E" w:rsidRDefault="00DD5AB0" w:rsidP="002A468E">
            <w:pPr>
              <w:spacing w:before="0" w:after="0"/>
              <w:cnfStyle w:val="100000000000" w:firstRow="1" w:lastRow="0" w:firstColumn="0" w:lastColumn="0" w:oddVBand="0" w:evenVBand="0" w:oddHBand="0" w:evenHBand="0" w:firstRowFirstColumn="0" w:firstRowLastColumn="0" w:lastRowFirstColumn="0" w:lastRowLastColumn="0"/>
            </w:pPr>
          </w:p>
        </w:tc>
      </w:tr>
      <w:tr w:rsidR="00DD5AB0" w:rsidRPr="00721F9E" w:rsidTr="002A468E">
        <w:tc>
          <w:tcPr>
            <w:cnfStyle w:val="001000000000" w:firstRow="0" w:lastRow="0" w:firstColumn="1" w:lastColumn="0" w:oddVBand="0" w:evenVBand="0" w:oddHBand="0" w:evenHBand="0" w:firstRowFirstColumn="0" w:firstRowLastColumn="0" w:lastRowFirstColumn="0" w:lastRowLastColumn="0"/>
            <w:tcW w:w="1809" w:type="dxa"/>
          </w:tcPr>
          <w:p w:rsidR="00DD5AB0" w:rsidRPr="00721F9E" w:rsidRDefault="00DD5AB0" w:rsidP="002A468E">
            <w:pPr>
              <w:spacing w:before="0" w:after="0"/>
            </w:pPr>
            <w:r w:rsidRPr="00721F9E">
              <w:t>IT</w:t>
            </w:r>
            <w:r>
              <w:t xml:space="preserve"> period</w:t>
            </w:r>
          </w:p>
        </w:tc>
        <w:tc>
          <w:tcPr>
            <w:tcW w:w="1104" w:type="dxa"/>
            <w:tcBorders>
              <w:top w:val="nil"/>
            </w:tcBorders>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 xml:space="preserve">8.8% </w:t>
            </w:r>
          </w:p>
        </w:tc>
        <w:tc>
          <w:tcPr>
            <w:tcW w:w="850" w:type="dxa"/>
            <w:tcBorders>
              <w:top w:val="nil"/>
            </w:tcBorders>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30</w:t>
            </w:r>
          </w:p>
        </w:tc>
        <w:tc>
          <w:tcPr>
            <w:tcW w:w="1104" w:type="dxa"/>
            <w:tcBorders>
              <w:top w:val="nil"/>
            </w:tcBorders>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4.6%</w:t>
            </w:r>
          </w:p>
        </w:tc>
        <w:tc>
          <w:tcPr>
            <w:tcW w:w="850" w:type="dxa"/>
            <w:tcBorders>
              <w:top w:val="nil"/>
            </w:tcBorders>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15</w:t>
            </w:r>
          </w:p>
        </w:tc>
        <w:tc>
          <w:tcPr>
            <w:tcW w:w="992" w:type="dxa"/>
            <w:tcBorders>
              <w:top w:val="nil"/>
            </w:tcBorders>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4.6%</w:t>
            </w:r>
          </w:p>
        </w:tc>
        <w:tc>
          <w:tcPr>
            <w:tcW w:w="912" w:type="dxa"/>
            <w:tcBorders>
              <w:top w:val="nil"/>
            </w:tcBorders>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15</w:t>
            </w:r>
          </w:p>
        </w:tc>
        <w:tc>
          <w:tcPr>
            <w:tcW w:w="1559"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0.029</w:t>
            </w:r>
          </w:p>
        </w:tc>
      </w:tr>
      <w:tr w:rsidR="00DD5AB0" w:rsidRPr="00721F9E" w:rsidTr="002A468E">
        <w:tc>
          <w:tcPr>
            <w:cnfStyle w:val="001000000000" w:firstRow="0" w:lastRow="0" w:firstColumn="1" w:lastColumn="0" w:oddVBand="0" w:evenVBand="0" w:oddHBand="0" w:evenHBand="0" w:firstRowFirstColumn="0" w:firstRowLastColumn="0" w:lastRowFirstColumn="0" w:lastRowLastColumn="0"/>
            <w:tcW w:w="1809" w:type="dxa"/>
          </w:tcPr>
          <w:p w:rsidR="00DD5AB0" w:rsidRPr="00721F9E" w:rsidRDefault="00DD5AB0" w:rsidP="002A468E">
            <w:pPr>
              <w:spacing w:before="0" w:after="0"/>
            </w:pPr>
            <w:r w:rsidRPr="00721F9E">
              <w:t>OL</w:t>
            </w:r>
            <w:r>
              <w:t xml:space="preserve"> extension</w:t>
            </w:r>
          </w:p>
        </w:tc>
        <w:tc>
          <w:tcPr>
            <w:tcW w:w="1104"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25.8%</w:t>
            </w:r>
          </w:p>
        </w:tc>
        <w:tc>
          <w:tcPr>
            <w:tcW w:w="850"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88</w:t>
            </w:r>
          </w:p>
        </w:tc>
        <w:tc>
          <w:tcPr>
            <w:tcW w:w="1104"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17.0%</w:t>
            </w:r>
          </w:p>
        </w:tc>
        <w:tc>
          <w:tcPr>
            <w:tcW w:w="850"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56</w:t>
            </w:r>
          </w:p>
        </w:tc>
        <w:tc>
          <w:tcPr>
            <w:tcW w:w="992"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8.9%</w:t>
            </w:r>
          </w:p>
        </w:tc>
        <w:tc>
          <w:tcPr>
            <w:tcW w:w="912"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29</w:t>
            </w:r>
          </w:p>
        </w:tc>
        <w:tc>
          <w:tcPr>
            <w:tcW w:w="1559"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&lt;0.001</w:t>
            </w:r>
          </w:p>
        </w:tc>
      </w:tr>
      <w:tr w:rsidR="00DD5AB0" w:rsidRPr="00721F9E" w:rsidTr="002A468E">
        <w:tc>
          <w:tcPr>
            <w:cnfStyle w:val="001000000000" w:firstRow="0" w:lastRow="0" w:firstColumn="1" w:lastColumn="0" w:oddVBand="0" w:evenVBand="0" w:oddHBand="0" w:evenHBand="0" w:firstRowFirstColumn="0" w:firstRowLastColumn="0" w:lastRowFirstColumn="0" w:lastRowLastColumn="0"/>
            <w:tcW w:w="1809" w:type="dxa"/>
          </w:tcPr>
          <w:p w:rsidR="00DD5AB0" w:rsidRPr="00721F9E" w:rsidRDefault="00DD5AB0" w:rsidP="002A468E">
            <w:pPr>
              <w:spacing w:before="0" w:after="0"/>
            </w:pPr>
            <w:r>
              <w:t xml:space="preserve">IT plus </w:t>
            </w:r>
            <w:r w:rsidRPr="00721F9E">
              <w:t>OL</w:t>
            </w:r>
          </w:p>
        </w:tc>
        <w:tc>
          <w:tcPr>
            <w:tcW w:w="1104"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26.4%</w:t>
            </w:r>
          </w:p>
        </w:tc>
        <w:tc>
          <w:tcPr>
            <w:tcW w:w="850"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90</w:t>
            </w:r>
          </w:p>
        </w:tc>
        <w:tc>
          <w:tcPr>
            <w:tcW w:w="1104"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17.0%</w:t>
            </w:r>
          </w:p>
        </w:tc>
        <w:tc>
          <w:tcPr>
            <w:tcW w:w="850"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56</w:t>
            </w:r>
          </w:p>
        </w:tc>
        <w:tc>
          <w:tcPr>
            <w:tcW w:w="992"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9.5%</w:t>
            </w:r>
          </w:p>
        </w:tc>
        <w:tc>
          <w:tcPr>
            <w:tcW w:w="912"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31</w:t>
            </w:r>
          </w:p>
        </w:tc>
        <w:tc>
          <w:tcPr>
            <w:tcW w:w="1559" w:type="dxa"/>
          </w:tcPr>
          <w:p w:rsidR="00DD5AB0" w:rsidRPr="00721F9E" w:rsidRDefault="00DD5AB0" w:rsidP="002A468E">
            <w:pPr>
              <w:spacing w:before="0" w:after="0"/>
              <w:cnfStyle w:val="000000000000" w:firstRow="0" w:lastRow="0" w:firstColumn="0" w:lastColumn="0" w:oddVBand="0" w:evenVBand="0" w:oddHBand="0" w:evenHBand="0" w:firstRowFirstColumn="0" w:firstRowLastColumn="0" w:lastRowFirstColumn="0" w:lastRowLastColumn="0"/>
            </w:pPr>
            <w:r w:rsidRPr="00721F9E">
              <w:t>&lt;0.001</w:t>
            </w:r>
          </w:p>
        </w:tc>
      </w:tr>
    </w:tbl>
    <w:p w:rsidR="00DD5AB0" w:rsidRDefault="00DD5AB0" w:rsidP="00DD5AB0">
      <w:pPr>
        <w:pStyle w:val="TableDescription"/>
      </w:pPr>
      <w:r>
        <w:t>(ISS Analysis Plan 008/009 12M) Note: Included all reported adverse events with a MedDRA term that contained cataract: cataract, cataract cortical, cataract subscapsular</w:t>
      </w:r>
    </w:p>
    <w:p w:rsidR="00DD5AB0" w:rsidRDefault="00DD5AB0" w:rsidP="00DD5AB0">
      <w:r>
        <w:t xml:space="preserve">On retro illumination photography </w:t>
      </w:r>
      <w:r w:rsidRPr="009C7985">
        <w:t xml:space="preserve">cortical opacities and posterior subcapsular opacities in the study eye were absent at </w:t>
      </w:r>
      <w:r w:rsidR="00ED0BE3">
        <w:t>b</w:t>
      </w:r>
      <w:r w:rsidRPr="009C7985">
        <w:t>aseline for approximately 55% and 92% of patients resp</w:t>
      </w:r>
      <w:r>
        <w:t>ectively in each treatment group</w:t>
      </w:r>
      <w:r w:rsidRPr="009C7985">
        <w:t>. At IT Day 180 approximately 15% of patients in each treatment group had new or progressed cortical opacities at IT Day 180. There were no statistically significant among-group differences. Posterior subcapsular opacities were questionable or present for a higher percentage of DEX patients compared to Sham at IT Day 180 (among-group p = 0.006). There was a higher incidence of new or progressed posterior subcapsular opacities in the study eye at IT Day 180 with DEX 700 (11.5%) and DEX 350 (6.9%) compared to Sham (3.9%) (</w:t>
      </w:r>
      <w:proofErr w:type="gramStart"/>
      <w:r w:rsidRPr="009C7985">
        <w:t>among-group</w:t>
      </w:r>
      <w:proofErr w:type="gramEnd"/>
      <w:r w:rsidRPr="009C7985">
        <w:t xml:space="preserve"> p = 0.001).</w:t>
      </w:r>
    </w:p>
    <w:p w:rsidR="00DD5AB0" w:rsidRDefault="00DD5AB0" w:rsidP="004E2C51">
      <w:pPr>
        <w:pStyle w:val="Tabletitle"/>
        <w:numPr>
          <w:ilvl w:val="0"/>
          <w:numId w:val="21"/>
        </w:numPr>
        <w:spacing w:after="120" w:line="240" w:lineRule="auto"/>
        <w:ind w:left="1134" w:hanging="1134"/>
      </w:pPr>
      <w:bookmarkStart w:id="298" w:name="_Toc462652699"/>
      <w:r>
        <w:lastRenderedPageBreak/>
        <w:t>Retroillumination photography in the study eye (Studies 008 and 009, IT Period)</w:t>
      </w:r>
      <w:bookmarkEnd w:id="298"/>
    </w:p>
    <w:p w:rsidR="00DD5AB0" w:rsidRDefault="00B0711D" w:rsidP="00DD5AB0">
      <w:r>
        <w:rPr>
          <w:noProof/>
          <w:lang w:eastAsia="en-AU"/>
        </w:rPr>
        <w:drawing>
          <wp:inline distT="0" distB="0" distL="0" distR="0" wp14:anchorId="5B155D01" wp14:editId="5D9DD856">
            <wp:extent cx="5400040" cy="3493295"/>
            <wp:effectExtent l="0" t="0" r="0" b="0"/>
            <wp:docPr id="18" name="Picture 18" descr="Retroillumination photography in the study eye (Studies 008 and 009, I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0040" cy="3493295"/>
                    </a:xfrm>
                    <a:prstGeom prst="rect">
                      <a:avLst/>
                    </a:prstGeom>
                  </pic:spPr>
                </pic:pic>
              </a:graphicData>
            </a:graphic>
          </wp:inline>
        </w:drawing>
      </w:r>
    </w:p>
    <w:p w:rsidR="00DD5AB0" w:rsidRDefault="00DD5AB0" w:rsidP="00DD5AB0">
      <w:r w:rsidRPr="009C7985">
        <w:t xml:space="preserve">In the re-treated population (cumulative 12-month period) there were no significant differences in the numbers of patients reported with cortical opacities between treatment groups and although rates were slightly higher than Baseline (IT period), these were no higher at the end of the OL extension compared with IT Day 180 with all 3 groups hovering around 50% at Baseline, IT Day 180 and OL Day 180. In contrast, the rates of posterior subcapsular opacities as found on retroillumination photography increased in the DEX 700/700 </w:t>
      </w:r>
      <w:r w:rsidR="00272185">
        <w:t xml:space="preserve">study </w:t>
      </w:r>
      <w:r w:rsidRPr="009C7985">
        <w:t xml:space="preserve">group from 1.4% (4/341) at Baseline to 2.9% (8/341) at IT Day 180 to 12.3% (33/341) at OL Day 180 following the second implant. A similar increased rate was seen in the DEX 350/700 </w:t>
      </w:r>
      <w:r w:rsidR="00272185">
        <w:t xml:space="preserve">study </w:t>
      </w:r>
      <w:r w:rsidRPr="009C7985">
        <w:t>group following the second DEX implant. In contrast reported the rates of posterior subcapsular opacities in the Sham treatment group remained the same from Baseline to IT Day 180 before doubling at OL Day 180 when re-treated with their 1st DEX 700 implant.</w:t>
      </w:r>
    </w:p>
    <w:p w:rsidR="00DD5AB0" w:rsidRDefault="00DD5AB0" w:rsidP="004E2C51">
      <w:pPr>
        <w:pStyle w:val="Tabletitle"/>
        <w:numPr>
          <w:ilvl w:val="0"/>
          <w:numId w:val="21"/>
        </w:numPr>
        <w:spacing w:after="120" w:line="240" w:lineRule="auto"/>
        <w:ind w:left="1134" w:hanging="1134"/>
      </w:pPr>
      <w:bookmarkStart w:id="299" w:name="_Toc462652700"/>
      <w:r>
        <w:t>Posterior subcapsular opacities (Studies 206207-008/009; Re-treatment population)</w:t>
      </w:r>
      <w:bookmarkEnd w:id="299"/>
    </w:p>
    <w:tbl>
      <w:tblPr>
        <w:tblStyle w:val="TableTGAblue"/>
        <w:tblW w:w="9180" w:type="dxa"/>
        <w:tblLayout w:type="fixed"/>
        <w:tblLook w:val="04A0" w:firstRow="1" w:lastRow="0" w:firstColumn="1" w:lastColumn="0" w:noHBand="0" w:noVBand="1"/>
        <w:tblDescription w:val="Posterior subcapsular opacities (Studies 206207-008/009; Re-treatment population)"/>
      </w:tblPr>
      <w:tblGrid>
        <w:gridCol w:w="1242"/>
        <w:gridCol w:w="1701"/>
        <w:gridCol w:w="1701"/>
        <w:gridCol w:w="1701"/>
        <w:gridCol w:w="1701"/>
        <w:gridCol w:w="1134"/>
      </w:tblGrid>
      <w:tr w:rsidR="00DD5AB0" w:rsidRPr="00F73584" w:rsidTr="005359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r w:rsidRPr="00F73584">
              <w:rPr>
                <w:sz w:val="20"/>
                <w:szCs w:val="20"/>
              </w:rPr>
              <w:t>Visit</w:t>
            </w:r>
          </w:p>
        </w:tc>
        <w:tc>
          <w:tcPr>
            <w:tcW w:w="1701" w:type="dxa"/>
          </w:tcPr>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Status</w:t>
            </w:r>
          </w:p>
        </w:tc>
        <w:tc>
          <w:tcPr>
            <w:tcW w:w="1701" w:type="dxa"/>
          </w:tcPr>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DEX 700/700</w:t>
            </w:r>
            <w:r w:rsidR="00535947" w:rsidRPr="00F73584">
              <w:rPr>
                <w:sz w:val="20"/>
                <w:szCs w:val="20"/>
              </w:rPr>
              <w:t xml:space="preserve"> </w:t>
            </w:r>
          </w:p>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(N = 341)</w:t>
            </w:r>
          </w:p>
        </w:tc>
        <w:tc>
          <w:tcPr>
            <w:tcW w:w="1701" w:type="dxa"/>
          </w:tcPr>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DEX 350/700</w:t>
            </w:r>
          </w:p>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(N = 329)</w:t>
            </w:r>
          </w:p>
        </w:tc>
        <w:tc>
          <w:tcPr>
            <w:tcW w:w="1701" w:type="dxa"/>
          </w:tcPr>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Sham/DEX 700</w:t>
            </w:r>
          </w:p>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(N = 327)</w:t>
            </w:r>
          </w:p>
        </w:tc>
        <w:tc>
          <w:tcPr>
            <w:tcW w:w="1134" w:type="dxa"/>
          </w:tcPr>
          <w:p w:rsidR="00DD5AB0" w:rsidRPr="00F73584" w:rsidRDefault="00DD5AB0" w:rsidP="00535947">
            <w:pPr>
              <w:cnfStyle w:val="100000000000" w:firstRow="1" w:lastRow="0" w:firstColumn="0" w:lastColumn="0" w:oddVBand="0" w:evenVBand="0" w:oddHBand="0" w:evenHBand="0" w:firstRowFirstColumn="0" w:firstRowLastColumn="0" w:lastRowFirstColumn="0" w:lastRowLastColumn="0"/>
              <w:rPr>
                <w:sz w:val="20"/>
                <w:szCs w:val="20"/>
              </w:rPr>
            </w:pPr>
            <w:r w:rsidRPr="00F73584">
              <w:rPr>
                <w:sz w:val="20"/>
                <w:szCs w:val="20"/>
              </w:rPr>
              <w:t>P-value</w:t>
            </w: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9180" w:type="dxa"/>
            <w:gridSpan w:val="6"/>
          </w:tcPr>
          <w:p w:rsidR="00DD5AB0" w:rsidRPr="00F73584" w:rsidRDefault="00DD5AB0" w:rsidP="00535947">
            <w:pPr>
              <w:rPr>
                <w:sz w:val="20"/>
                <w:szCs w:val="20"/>
              </w:rPr>
            </w:pPr>
            <w:r w:rsidRPr="00F73584">
              <w:rPr>
                <w:sz w:val="20"/>
                <w:szCs w:val="20"/>
              </w:rPr>
              <w:t>Posterior subcapsular opacities</w:t>
            </w: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r w:rsidRPr="00F73584">
              <w:rPr>
                <w:sz w:val="20"/>
                <w:szCs w:val="20"/>
              </w:rPr>
              <w:t>Baseline</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Absent</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254 (90.7)</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249 (93.6%)</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248 (91.2%)</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0.430</w:t>
            </w: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Questionable</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22 (7.9%)</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13 (4.9%)</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19 (7.0%)</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Present</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4 (1.4%)</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4 (1.5%)</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5 (1.8%)</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r w:rsidRPr="00F73584">
              <w:rPr>
                <w:sz w:val="20"/>
                <w:szCs w:val="20"/>
              </w:rPr>
              <w:lastRenderedPageBreak/>
              <w:t>IT Day 180</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Absent</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239 (87.2%)</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240 (91.6%)</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252 (93.0%)</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0.065</w:t>
            </w: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Questionable</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27 (9.9%)</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10 (3.8%)</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14 (5.2%)</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Present</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8 (2.9%)</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12 (4.6%)</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5 (1.8%)</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r w:rsidRPr="00F73584">
              <w:rPr>
                <w:sz w:val="20"/>
                <w:szCs w:val="20"/>
              </w:rPr>
              <w:t>OL Day 180</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Absent</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195 (72.8%)</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187 (76.0%)</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234 (90.7%)</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&lt; 0.001</w:t>
            </w: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Questionable</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40 (14.9%)</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24 (9.8%)</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15 (5.8%)</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p>
        </w:tc>
      </w:tr>
      <w:tr w:rsidR="00DD5AB0" w:rsidRPr="00F73584" w:rsidTr="00535947">
        <w:tc>
          <w:tcPr>
            <w:cnfStyle w:val="001000000000" w:firstRow="0" w:lastRow="0" w:firstColumn="1" w:lastColumn="0" w:oddVBand="0" w:evenVBand="0" w:oddHBand="0" w:evenHBand="0" w:firstRowFirstColumn="0" w:firstRowLastColumn="0" w:lastRowFirstColumn="0" w:lastRowLastColumn="0"/>
            <w:tcW w:w="1242" w:type="dxa"/>
          </w:tcPr>
          <w:p w:rsidR="00DD5AB0" w:rsidRPr="00F73584" w:rsidRDefault="00DD5AB0" w:rsidP="00535947">
            <w:pPr>
              <w:rPr>
                <w:sz w:val="20"/>
                <w:szCs w:val="20"/>
              </w:rPr>
            </w:pP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Present</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33 (12.3%)</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35 (14.2%)</w:t>
            </w:r>
          </w:p>
        </w:tc>
        <w:tc>
          <w:tcPr>
            <w:tcW w:w="1701"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r w:rsidRPr="00F73584">
              <w:rPr>
                <w:sz w:val="20"/>
                <w:szCs w:val="20"/>
              </w:rPr>
              <w:t>9 (3.5%)</w:t>
            </w:r>
          </w:p>
        </w:tc>
        <w:tc>
          <w:tcPr>
            <w:tcW w:w="1134" w:type="dxa"/>
          </w:tcPr>
          <w:p w:rsidR="00DD5AB0" w:rsidRPr="00F73584" w:rsidRDefault="00DD5AB0" w:rsidP="00535947">
            <w:pPr>
              <w:cnfStyle w:val="000000000000" w:firstRow="0" w:lastRow="0" w:firstColumn="0" w:lastColumn="0" w:oddVBand="0" w:evenVBand="0" w:oddHBand="0" w:evenHBand="0" w:firstRowFirstColumn="0" w:firstRowLastColumn="0" w:lastRowFirstColumn="0" w:lastRowLastColumn="0"/>
              <w:rPr>
                <w:sz w:val="20"/>
                <w:szCs w:val="20"/>
              </w:rPr>
            </w:pPr>
          </w:p>
        </w:tc>
      </w:tr>
    </w:tbl>
    <w:p w:rsidR="00DD5AB0" w:rsidRDefault="00DD5AB0" w:rsidP="00DD5AB0">
      <w:r w:rsidRPr="009C7985">
        <w:t>In the re-treated population of Studies 008/009, the rates overall rates of cataract surgery for the 12-month study period were 0.9% (3/341), 1.5% (5/329) and 0.0% (0/327) for the DEX 700/700, DEX 350/700 and Sham/DEX 700 groups respectively. In the single treatment population (one implant, IT period plus 6 month follow up) rates were 0.0% (0/80), 1.2% (1/83) and 1.0% (1/96) for the DEX 700, DEX 350</w:t>
      </w:r>
      <w:r>
        <w:t xml:space="preserve"> </w:t>
      </w:r>
      <w:r w:rsidRPr="009C7985">
        <w:t>and Sham groups respectively.</w:t>
      </w:r>
    </w:p>
    <w:p w:rsidR="00DD5AB0" w:rsidRPr="009C7985" w:rsidRDefault="00DD5AB0" w:rsidP="00DD5AB0">
      <w:r w:rsidRPr="008751E2">
        <w:t xml:space="preserve">In the 6 month IT period of </w:t>
      </w:r>
      <w:r w:rsidR="003D565D">
        <w:t>S</w:t>
      </w:r>
      <w:r w:rsidRPr="008751E2">
        <w:t xml:space="preserve">tudy 206207-020, the incidence of cataract AEs were was 1.6% (2/126) of patients in the DEX 700 group, and 0.0% (0/129) of patients in the Sham group with only ‘lenticular opacities’ reported. No patient had surgery for cataracts in the study eye. In the following 2 month OL extension ‘lenticular opacities’ were reported a further 2 DEX 700/700 </w:t>
      </w:r>
      <w:r w:rsidR="003D565D">
        <w:t xml:space="preserve">study </w:t>
      </w:r>
      <w:r w:rsidRPr="008751E2">
        <w:t>patients (1.9% or 2/107) following the second implant.</w:t>
      </w:r>
    </w:p>
    <w:p w:rsidR="00DD5AB0" w:rsidRPr="003D565D" w:rsidRDefault="00DD5AB0" w:rsidP="001A6420">
      <w:r w:rsidRPr="003D565D">
        <w:rPr>
          <w:b/>
        </w:rPr>
        <w:t>Evaluator’s comment:</w:t>
      </w:r>
      <w:r w:rsidRPr="003D565D">
        <w:t xml:space="preserve"> Cataract is a well-known potential AE arising from use of corticosteroids in any dose from. From Studies 008/009 there is strong evidence that re-treatment (2 consecutive implants) is associated with an increased rate of cataract AE reporting. In the IT period, cataracts in the DEX 700/700 group were reported for 1.9 fold more than in the Sham/DEX 700 group. In the OL extension, the difference was 2.9 fold. This is supported by the changes in retroillumination findings over the IT period and OL extension. Considering that multiple implants may be required (as evidenced by BCVA efficacy results), the incidence of cataract in patients is also likely to increase with time as would the need for corrective surgery. From the 8 procedures to correct cataracts (re-treatment population) 3 were in DEX 700/700 patients and 5 were in DEX 350/700 patients.</w:t>
      </w:r>
    </w:p>
    <w:p w:rsidR="00DD5AB0" w:rsidRDefault="00DD5AB0" w:rsidP="00DD5AB0">
      <w:pPr>
        <w:pStyle w:val="Heading6"/>
      </w:pPr>
      <w:r>
        <w:t>Uveitis</w:t>
      </w:r>
    </w:p>
    <w:p w:rsidR="00DD5AB0" w:rsidRDefault="00DD5AB0" w:rsidP="00DD5AB0">
      <w:r w:rsidRPr="009C7985">
        <w:t>In Study 014</w:t>
      </w:r>
      <w:r>
        <w:rPr>
          <w:b/>
        </w:rPr>
        <w:t xml:space="preserve"> </w:t>
      </w:r>
      <w:r>
        <w:t xml:space="preserve">approximately 35% to 50% of patients across groups had some report of ‘cataract’ in the ophthalmic history. At the end of the study ‘cataract’ formation as an AE was reported for approximately double the DEX 700 </w:t>
      </w:r>
      <w:r w:rsidR="003D565D">
        <w:t xml:space="preserve">study </w:t>
      </w:r>
      <w:r>
        <w:t xml:space="preserve">group compared with the Sham group (11.8% (9/76) versus 5.3% (4/75) respectively). ‘Cataract subscapular’ was reported for 2.6% (2/76) and 5.3% (4/75) of the DEX 700 </w:t>
      </w:r>
      <w:r w:rsidR="003D565D">
        <w:t xml:space="preserve">study </w:t>
      </w:r>
      <w:r>
        <w:t xml:space="preserve">and Sham group respectively. There were no statistically significant among-group differences so pairwise comparison was not performed. </w:t>
      </w:r>
    </w:p>
    <w:p w:rsidR="00DD5AB0" w:rsidRDefault="00DD5AB0" w:rsidP="004E2C51">
      <w:pPr>
        <w:pStyle w:val="Tabletitle"/>
        <w:numPr>
          <w:ilvl w:val="0"/>
          <w:numId w:val="21"/>
        </w:numPr>
        <w:spacing w:after="120" w:line="240" w:lineRule="auto"/>
        <w:ind w:left="1134" w:hanging="1134"/>
      </w:pPr>
      <w:bookmarkStart w:id="300" w:name="_Toc462652701"/>
      <w:r>
        <w:lastRenderedPageBreak/>
        <w:t>Cataract adverse events (Study eye; Safety population)</w:t>
      </w:r>
      <w:bookmarkEnd w:id="300"/>
    </w:p>
    <w:p w:rsidR="00DD5AB0" w:rsidRDefault="003D565D" w:rsidP="00DD5AB0">
      <w:r>
        <w:rPr>
          <w:noProof/>
          <w:lang w:eastAsia="en-AU"/>
        </w:rPr>
        <w:drawing>
          <wp:inline distT="0" distB="0" distL="0" distR="0" wp14:anchorId="0B814771" wp14:editId="799E789D">
            <wp:extent cx="4221480" cy="1950720"/>
            <wp:effectExtent l="0" t="0" r="7620" b="0"/>
            <wp:docPr id="22" name="Picture 22" descr="Cataract adverse events (Study ey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221480" cy="1950720"/>
                    </a:xfrm>
                    <a:prstGeom prst="rect">
                      <a:avLst/>
                    </a:prstGeom>
                  </pic:spPr>
                </pic:pic>
              </a:graphicData>
            </a:graphic>
          </wp:inline>
        </w:drawing>
      </w:r>
    </w:p>
    <w:p w:rsidR="003D565D" w:rsidRPr="00C101DA" w:rsidRDefault="003D565D" w:rsidP="00F73584">
      <w:pPr>
        <w:pStyle w:val="TableDescription"/>
      </w:pPr>
      <w:proofErr w:type="gramStart"/>
      <w:r w:rsidRPr="00C101DA">
        <w:t>a</w:t>
      </w:r>
      <w:proofErr w:type="gramEnd"/>
      <w:r w:rsidR="00C101DA" w:rsidRPr="00C101DA">
        <w:t>.</w:t>
      </w:r>
      <w:r w:rsidRPr="00C101DA">
        <w:t xml:space="preserve"> preferred terms from MedDRA, Version 11.1</w:t>
      </w:r>
    </w:p>
    <w:p w:rsidR="00DD5AB0" w:rsidRDefault="00DD5AB0" w:rsidP="00DD5AB0">
      <w:r>
        <w:t>Cortical opacities were absent in phakic eyes for 90.2% (55/61), 76.5% (39/51) and 87.3% (48/55) of DEX 700, DEX 350 and Sham patients respectively. At study conclusion (Week 26), cortical opacities were absent for 81.4% (48/59) 69.4% (34/49) and 86.0% (43/50) respectively. The proportions of patients with a 1-grade increase in cortical opacity grade at any visit during the study were 17.7% (11/62), 15.7% (8/51), and 12.7% (7/55) in the DEX 700, DEX 350, and Sham groups respectively. There were no among-group differences at any visit that reached statistical significance.</w:t>
      </w:r>
    </w:p>
    <w:p w:rsidR="00DD5AB0" w:rsidRDefault="00DD5AB0" w:rsidP="00DD5AB0">
      <w:r>
        <w:t>At Baseline, nuclear opacities were absent in phakic eyes for 72.1% (44/61) 68.6% (35/51) and 83.6% (46/55) of the DEX 700, DEX 350 and Sham patients respectively. During follow-up, there were no statistically significant among-group differences in the distribution of nuclear opacities except at Week 20 (p = 0.047). At Week 26, nuclear opacities were absent for approximately 70% of patients.</w:t>
      </w:r>
    </w:p>
    <w:p w:rsidR="00DD5AB0" w:rsidRPr="00B42FBB" w:rsidRDefault="00DD5AB0" w:rsidP="00DD5AB0">
      <w:r>
        <w:t>There were no statistically significant among or between-group differences for the proportion of patients at least a 1-grade increase from baseline to any follow-up visit for nuclear opacities in phakic eyes, except at weeks 3 and 12. At Week 3, the proportion of patients with ≥ 1-grade increase in nuclear opacities was significantly higher in the Sham group (12.0%) compared to DEX 350 (0.0%), p = 0.027. At Week 12, the proportion of patients with ≥ 1-grade increase in nuclear opacities was significantly higher in the Sham group (15.4%) compared to DEX 700 (3.4%), p = 0.043. The proportions of patients with a 1-grade increase in nuclear opacity grade at any visit during the study were 12.9% (8/62), 15.7% (8/51) and 23.6% (13/55) in the DEX 700, DEX 350, and Sham groups, respectively.</w:t>
      </w:r>
    </w:p>
    <w:p w:rsidR="00DD5AB0" w:rsidRDefault="00DD5AB0" w:rsidP="00DD5AB0">
      <w:r>
        <w:t xml:space="preserve">Five patients had surgical procedures during </w:t>
      </w:r>
      <w:r w:rsidRPr="009C7985">
        <w:t>Study 206207-014</w:t>
      </w:r>
      <w:r w:rsidRPr="00BA6D27">
        <w:rPr>
          <w:b/>
        </w:rPr>
        <w:t xml:space="preserve"> </w:t>
      </w:r>
      <w:r>
        <w:t xml:space="preserve">for cataracts as follows, 3 in the study eye (1 DEX 700 patient and 2 Sham patients) and 2 in the non-study eye. Patient </w:t>
      </w:r>
      <w:r w:rsidR="00C101DA">
        <w:t xml:space="preserve">[information redacted] </w:t>
      </w:r>
      <w:r>
        <w:t xml:space="preserve">(DEX 700) developed a cataract as sequelae of endophthalmitis in the study eye and had a phacoemulsification with an intraocular lens (IOL) procedure performed. Patient </w:t>
      </w:r>
      <w:r w:rsidR="00C101DA">
        <w:t xml:space="preserve">[information redacted] </w:t>
      </w:r>
      <w:r>
        <w:t xml:space="preserve">(Sham) had cataract removal and an IOL placement in the study eye due to decreased vision. Patient </w:t>
      </w:r>
      <w:r w:rsidR="00C101DA">
        <w:t>[information redacted</w:t>
      </w:r>
      <w:proofErr w:type="gramStart"/>
      <w:r w:rsidR="00C101DA">
        <w:t>]</w:t>
      </w:r>
      <w:r>
        <w:t>(</w:t>
      </w:r>
      <w:proofErr w:type="gramEnd"/>
      <w:r>
        <w:t xml:space="preserve">Sham) had cataract surgery in the study eye to remove a dense cataract. In addition 8 days post-study completion, Patient </w:t>
      </w:r>
      <w:r w:rsidR="00C101DA">
        <w:t>[information redacted</w:t>
      </w:r>
      <w:proofErr w:type="gramStart"/>
      <w:r w:rsidR="00C101DA">
        <w:t>]</w:t>
      </w:r>
      <w:r>
        <w:t>(</w:t>
      </w:r>
      <w:proofErr w:type="gramEnd"/>
      <w:r>
        <w:t xml:space="preserve">DEX 350) had cataract extraction and IOL implantation in the study eye due to decreased vision and Patient </w:t>
      </w:r>
      <w:r w:rsidR="00C101DA">
        <w:t xml:space="preserve">[information redacted] </w:t>
      </w:r>
      <w:r>
        <w:t>(DEX 700) had small incision cataract surgery with an IOL placement in the study eye 1 day post-exit.</w:t>
      </w:r>
    </w:p>
    <w:p w:rsidR="00DD5AB0" w:rsidRDefault="00DD5AB0" w:rsidP="001A6420">
      <w:r w:rsidRPr="00D65921">
        <w:rPr>
          <w:b/>
        </w:rPr>
        <w:t>Evaluator’s comment</w:t>
      </w:r>
      <w:r>
        <w:t xml:space="preserve">: By the end of Study 014, cataract AEs (of any type) were reported for 3.8% more DEX 700 treated patients than Sham, with ‘cataract’ reported in 6.5% more DEX 700 treated patients than Sham. Of note, reports of cataract (of any type) at Baseline </w:t>
      </w:r>
      <w:r>
        <w:lastRenderedPageBreak/>
        <w:t>from the ophthalmic history were much lower (approximately 35%) in the DEX 700 group than the DEX 350 and Sham groups (approximately 48 to 50%). In contrast to the reported 14.4% incidence of cataracts in DEX 700 treated patients here, in Studies 008/009 the incidence of cataracts in the DEX 700/700 group during the IT period was 8.8%, increasing by much more in the OL extension.</w:t>
      </w:r>
    </w:p>
    <w:p w:rsidR="00DD5AB0" w:rsidRDefault="00DD5AB0" w:rsidP="00A45E9B">
      <w:pPr>
        <w:pStyle w:val="Heading5"/>
      </w:pPr>
      <w:r>
        <w:t>Other studies</w:t>
      </w:r>
    </w:p>
    <w:p w:rsidR="00DD5AB0" w:rsidRPr="00C101DA" w:rsidRDefault="00DD5AB0" w:rsidP="00C101DA">
      <w:r w:rsidRPr="00C101DA">
        <w:t>In Study 010, patients with a phakic study eye numbered 117, 118 and 115 in the DEX 700</w:t>
      </w:r>
      <w:r w:rsidR="00C101DA" w:rsidRPr="00C101DA">
        <w:t xml:space="preserve"> study</w:t>
      </w:r>
      <w:r w:rsidRPr="00C101DA">
        <w:t xml:space="preserve">, DEX 350 </w:t>
      </w:r>
      <w:r w:rsidR="00C101DA" w:rsidRPr="00C101DA">
        <w:t xml:space="preserve">study </w:t>
      </w:r>
      <w:r w:rsidRPr="00C101DA">
        <w:t>and Sham groups, respectively. In this subgroup, the incidence of cataract AEs was 68.4%, 69.5% and 14.8% in the DEX 700, DEX 350 and Sham groups, respectively. Most cataracts became apparent during Years 2 and 3. In this subgroup of patients with phakic eyes at baseline, 61.5%, 61.0% and 7.0% of patients had cataract surgery during the study period. In Study 011, patients with a phakic study eye numbered 145, 138 and 135 in the DEX 700, DEX 350 and Sham groups, respectively. In this subgroup, the incidence of cataract AEs was 67.6%, 59.4% and 25.2% in the DEX 700, DEX 350 and Sham groups, respectively. Most cataracts became apparent during Years 2 and 3. In this subgroup of patients with phakic eyes at baseline, 57.2%, 44.9% and 7.4% of patients had cataract surgery during the study period.</w:t>
      </w:r>
    </w:p>
    <w:p w:rsidR="00DD5AB0" w:rsidRDefault="00DD5AB0" w:rsidP="004C3275">
      <w:pPr>
        <w:pStyle w:val="Heading4"/>
        <w:numPr>
          <w:ilvl w:val="2"/>
          <w:numId w:val="5"/>
        </w:numPr>
      </w:pPr>
      <w:r>
        <w:t>Retinal detachments</w:t>
      </w:r>
    </w:p>
    <w:p w:rsidR="00DD5AB0" w:rsidRDefault="00DD5AB0" w:rsidP="00DD5AB0">
      <w:pPr>
        <w:pStyle w:val="Heading6"/>
      </w:pPr>
      <w:r>
        <w:t>RVO</w:t>
      </w:r>
    </w:p>
    <w:p w:rsidR="00DD5AB0" w:rsidRPr="00C101DA" w:rsidRDefault="00DD5AB0" w:rsidP="00C101DA">
      <w:r w:rsidRPr="00C101DA">
        <w:t>In Studies 008/009 retinal detachments were reported by 2 patients (0.6%) in each of the treatment groups. The two occurring in the DEX700/700 groups were SAEs related to applicator insertion. Among the four others, two occurred during the OL extension, Day 301 (DEX 350/700) and Day 378 (Sham/DEX 700), and two during the IT phase, on Day 156 (DEX350/700) and Day 100 (Sham/DEX 700). In addition, there was one occurrence of detachment of retinal pigment epithelium (RPE) in the DEX700/700 group during the IT phase. 3 of 4 retinal detachments in the OL extension were found on slit lamp examination (otherwise asymptomatic) and all incidents of detachment in the Studies resolved without sequelae except for one additional patient in the 12-month single-treatment population, one DEX 350 patient had a worsening of a retinal detachment.</w:t>
      </w:r>
    </w:p>
    <w:p w:rsidR="00DD5AB0" w:rsidRDefault="00DD5AB0" w:rsidP="00DD5AB0">
      <w:r>
        <w:t>There were no reports of retinal detachment in Study 020.</w:t>
      </w:r>
    </w:p>
    <w:p w:rsidR="00DD5AB0" w:rsidRDefault="00DD5AB0" w:rsidP="00DD5AB0">
      <w:r>
        <w:t>In Studies 008/ 009 (IT period) retinal tears including retinal holes were reported for 19 patients in the study eye, 5 patients in the non-study eye, and 3 patients in both eyes. Eleven patients (3 in the DEX 700 group, 2 in the DEX 350 group and 6 in the Sham group) had retinal tears in the study eye at Baseline, which continued to be reported during the study. 0.7% (3/421) 1.0% (4/412) and 0.7% (3/423) of the DEX 700, DEX 350 and Sham groups respectively were reported as having at least one grade increase in severity from Baseline. Eight patients (2 DEX 700, 4 DEX 350, and 2 Sham group patients) had retinal tears in the study eye reported post-Baseline. None of the tears were considered serious or progressed to retinal detachments. In the OL extension, 2 patients from the DEX 350/700 group and 1 patient in the DEX 700/700 and Sham/DEX 700 group were reported as having retinal tears.</w:t>
      </w:r>
    </w:p>
    <w:p w:rsidR="00DD5AB0" w:rsidRDefault="00DD5AB0" w:rsidP="00DD5AB0">
      <w:r>
        <w:t xml:space="preserve">In Study 020 for the RVO indication only one patient (Patient </w:t>
      </w:r>
      <w:r w:rsidR="00C101DA">
        <w:t>[information redacted]</w:t>
      </w:r>
      <w:r>
        <w:t>) was report as having a retinal tear or retinal hole at Baseline on ophthalmoscopy. No other retinal tears or holes, new or pre-existing were reported in either the DEX 700 or Sham group.</w:t>
      </w:r>
    </w:p>
    <w:p w:rsidR="00DD5AB0" w:rsidRDefault="00DD5AB0" w:rsidP="00DD5AB0">
      <w:pPr>
        <w:pStyle w:val="Heading6"/>
      </w:pPr>
      <w:r>
        <w:t>Uveitis</w:t>
      </w:r>
    </w:p>
    <w:p w:rsidR="00DD5AB0" w:rsidRDefault="00DD5AB0" w:rsidP="00DD5AB0">
      <w:r>
        <w:t xml:space="preserve">In Study 014 there were 4 retinal detachments, 2 each in the DEX 700 group (one severe, one moderate) and Sham group (both severe) and all were classed as SAEs. Both DEX 700 cases and one Sham case was classed as treatment related. All of the 4 patients required </w:t>
      </w:r>
      <w:r>
        <w:lastRenderedPageBreak/>
        <w:t>pars plana vitrectomy with laser air-gas fluid exchange. 2 patients (1 DEX 700, 1 Sham – both cases judged as treatment-related) had subsequent detachments requiring further surgery. On follow-up the outcomes for the patients with single detachment episodes was generally good and considered resolved, however in both cases that required repeat surgery for further detachments the outcome was poor with both patients reported with the sequelae of poor vision in the study eye of ≤ 20/200 (Snellen). With the exception of pre-existing retinal fibrosis and horseshoe tear seen in one patient (DEX 700, resolved with good outcome) none of the patients had a history or evidence of pre-existing retinal tears or holes.</w:t>
      </w:r>
    </w:p>
    <w:p w:rsidR="00DD5AB0" w:rsidRDefault="00C101DA" w:rsidP="00DD5AB0">
      <w:r>
        <w:t>Two</w:t>
      </w:r>
      <w:r w:rsidR="00DD5AB0">
        <w:t xml:space="preserve"> patients (1 DEX 700, 1 Sham) had retinal tears in the study eye during found on biomicroscopy and/or </w:t>
      </w:r>
      <w:r w:rsidR="00DD5AB0" w:rsidRPr="008656A0">
        <w:t>ophthalmoscopy</w:t>
      </w:r>
      <w:r w:rsidR="00DD5AB0">
        <w:t xml:space="preserve">. The horseshoe tear in the DEX 700 patient (Patient </w:t>
      </w:r>
      <w:r>
        <w:t>[information redacted]</w:t>
      </w:r>
      <w:r w:rsidR="00DD5AB0">
        <w:t xml:space="preserve">) was found at time of diagnosis of retinal detachment and is discussed above. For pre-existing retinal tears, 1.3% (1/76) of the DEX 700 group and 2.7% (2/75) of the Sham group </w:t>
      </w:r>
      <w:r w:rsidR="00DD5AB0" w:rsidRPr="00387FCE">
        <w:t>experienced at least one grade increase in severity from Baseline on b</w:t>
      </w:r>
      <w:r w:rsidR="00DD5AB0">
        <w:t xml:space="preserve">iomicroscopy and ophthalmoscopy and for retinal holes this finding was 3.9% (3/76) for the DEX 700 group and 1.4% (1/74) for the Sham group. </w:t>
      </w:r>
    </w:p>
    <w:p w:rsidR="00DD5AB0" w:rsidRDefault="00DD5AB0" w:rsidP="004C3275">
      <w:pPr>
        <w:pStyle w:val="Heading4"/>
        <w:numPr>
          <w:ilvl w:val="2"/>
          <w:numId w:val="5"/>
        </w:numPr>
      </w:pPr>
      <w:r>
        <w:t>Neovascularisation</w:t>
      </w:r>
    </w:p>
    <w:p w:rsidR="00DD5AB0" w:rsidRPr="00387FCE" w:rsidRDefault="00DD5AB0" w:rsidP="00DD5AB0">
      <w:pPr>
        <w:pStyle w:val="Heading6"/>
        <w:rPr>
          <w:lang w:eastAsia="ja-JP"/>
        </w:rPr>
      </w:pPr>
      <w:r>
        <w:rPr>
          <w:lang w:eastAsia="ja-JP"/>
        </w:rPr>
        <w:t>RVO</w:t>
      </w:r>
    </w:p>
    <w:p w:rsidR="00DD5AB0" w:rsidRDefault="00DD5AB0" w:rsidP="00DD5AB0">
      <w:r>
        <w:t>In Studies 008/009 (IT period; safety population) iris neovascularisation was observed in 0.5% (2/421), 1.0% (4/412) and 1.4% (6/423) of the DEX 700, DEX 350 and Sham group respectively and retinal neovascularisation was reported in 0.7% (3/421), 1.0% (4/412) and 2.6% (11/423). More concurrent procedures for the treatment of rubeosis or retinal neovascularisation were reported in the Sham group (n = 6) than DEX 700 (n = 1) or DEX 350 (n = 3). In patients with retinal neovascularisation at Baseline, 0.7% (3/421), 0.7 (3/412) and 1.7% (7/423) of DEX 700, DEX 350 and Sham patients respectively experienced at least one grade deterioration in severity. For iris neovascularisation existing at Baseline this was 0.2%, 0.7% and 1.2%.</w:t>
      </w:r>
    </w:p>
    <w:p w:rsidR="00DD5AB0" w:rsidRDefault="00DD5AB0" w:rsidP="00DD5AB0">
      <w:r>
        <w:t>Following re-treatment, 1.2% (</w:t>
      </w:r>
      <w:r w:rsidRPr="00FE6E1E">
        <w:t>4</w:t>
      </w:r>
      <w:r>
        <w:t>/341) 0.9% (</w:t>
      </w:r>
      <w:r w:rsidRPr="00FE6E1E">
        <w:t>3</w:t>
      </w:r>
      <w:r>
        <w:t>/329) and 1.5% (</w:t>
      </w:r>
      <w:r w:rsidRPr="00FE6E1E">
        <w:t>5</w:t>
      </w:r>
      <w:r>
        <w:t>/327</w:t>
      </w:r>
      <w:r w:rsidRPr="00FE6E1E">
        <w:t>)</w:t>
      </w:r>
      <w:r>
        <w:t xml:space="preserve"> of DEX 700/700, DEX 350/700 and Sham/DEX 700 patients experienced retinal neovascularisation. Rates for iris neovascularisation were 0.6% (2/341), 0.6% (2/329) for DEX 700/700 and DEX 350/700 patients with no new reports in the Sham/DEX 700 group.</w:t>
      </w:r>
    </w:p>
    <w:p w:rsidR="00DD5AB0" w:rsidRDefault="00DD5AB0" w:rsidP="00DD5AB0">
      <w:r>
        <w:t>In Study 020 there was a single report of a patient from the Sham group in Study 020 with retinal neovascularisation of moderate severity and no reports of rubeosis iridis or iris neovascularisation.</w:t>
      </w:r>
    </w:p>
    <w:p w:rsidR="00DD5AB0" w:rsidRDefault="00DD5AB0" w:rsidP="00DD5AB0">
      <w:pPr>
        <w:pStyle w:val="Heading6"/>
      </w:pPr>
      <w:r>
        <w:t>Uveitis</w:t>
      </w:r>
    </w:p>
    <w:p w:rsidR="00DD5AB0" w:rsidRPr="004817E6" w:rsidRDefault="00DD5AB0" w:rsidP="00DD5AB0">
      <w:r>
        <w:t>There were no reports of neovascularisation.</w:t>
      </w:r>
    </w:p>
    <w:p w:rsidR="00DD5AB0" w:rsidRDefault="00DD5AB0" w:rsidP="001A6420">
      <w:r w:rsidRPr="002801E6">
        <w:rPr>
          <w:b/>
        </w:rPr>
        <w:t>Evaluator’s comment</w:t>
      </w:r>
      <w:r>
        <w:t xml:space="preserve">: </w:t>
      </w:r>
      <w:r w:rsidRPr="001926BF">
        <w:t xml:space="preserve">Neovascularisation of the retina or iris (iris rubeosis) are consequences of </w:t>
      </w:r>
      <w:r>
        <w:t xml:space="preserve">venous occlusion and venous congestion leading to </w:t>
      </w:r>
      <w:r w:rsidRPr="001926BF">
        <w:t>reduced arterial supply</w:t>
      </w:r>
      <w:r>
        <w:t xml:space="preserve"> and tissue hypoxia</w:t>
      </w:r>
      <w:r w:rsidRPr="001926BF">
        <w:t>. Subsequent ischaemia and release of VEGF and other cytokin</w:t>
      </w:r>
      <w:r>
        <w:t xml:space="preserve">es leads to proliferative neovascularisation. Ischaemic-type RVO is more severe than the non-ischaemic counterpart that is characterised as RVO with macular oedema but without ischaemia. In reality, </w:t>
      </w:r>
      <w:r w:rsidRPr="000265FB">
        <w:t>ischemia is not an all or none dichotomy, as those patients classified as non</w:t>
      </w:r>
      <w:r>
        <w:t>-</w:t>
      </w:r>
      <w:r w:rsidRPr="000265FB">
        <w:t>ischemic will still have varying degrees of retinal ischemia</w:t>
      </w:r>
      <w:r>
        <w:t xml:space="preserve"> and macular oedema is not distinct from development of ischaemia itself as tissue oedema itself will impede capillary perfusion itself leading to ischaemia, whilst VEGF release through ischaemia itself leads to increased capillary permeability and subsequent macular oedema.</w:t>
      </w:r>
      <w:r>
        <w:br/>
        <w:t>Overall, DEX 700 treatment was not associated with worse outcomes than Sham and arguably was associated with a small but significant benefit (p = 0.044) in terms of retinal and a positive trend (p = 0.085) in lower rates of iris neovascularisation.</w:t>
      </w:r>
    </w:p>
    <w:p w:rsidR="00DD5AB0" w:rsidRDefault="00DD5AB0" w:rsidP="004C3275">
      <w:pPr>
        <w:pStyle w:val="Heading4"/>
        <w:numPr>
          <w:ilvl w:val="2"/>
          <w:numId w:val="5"/>
        </w:numPr>
      </w:pPr>
      <w:r>
        <w:lastRenderedPageBreak/>
        <w:t>Endophthalmitis and retinitis</w:t>
      </w:r>
    </w:p>
    <w:p w:rsidR="00DD5AB0" w:rsidRPr="004817E6" w:rsidRDefault="00DD5AB0" w:rsidP="00A45E9B">
      <w:pPr>
        <w:pStyle w:val="Heading5"/>
        <w:rPr>
          <w:lang w:eastAsia="ja-JP"/>
        </w:rPr>
      </w:pPr>
      <w:r>
        <w:rPr>
          <w:lang w:eastAsia="ja-JP"/>
        </w:rPr>
        <w:t>Pivotal studies</w:t>
      </w:r>
    </w:p>
    <w:p w:rsidR="00DD5AB0" w:rsidRPr="004817E6" w:rsidRDefault="00DD5AB0" w:rsidP="00DD5AB0">
      <w:pPr>
        <w:pStyle w:val="Heading6"/>
        <w:rPr>
          <w:lang w:eastAsia="ja-JP"/>
        </w:rPr>
      </w:pPr>
      <w:r>
        <w:rPr>
          <w:lang w:eastAsia="ja-JP"/>
        </w:rPr>
        <w:t>RVO</w:t>
      </w:r>
    </w:p>
    <w:p w:rsidR="00DD5AB0" w:rsidRDefault="00DD5AB0" w:rsidP="00DD5AB0">
      <w:r>
        <w:t>There were no reports of endophthalmitis from any of the RVO based studies.</w:t>
      </w:r>
    </w:p>
    <w:p w:rsidR="00DD5AB0" w:rsidRDefault="00DD5AB0" w:rsidP="00DD5AB0">
      <w:pPr>
        <w:pStyle w:val="Heading6"/>
      </w:pPr>
      <w:r>
        <w:t>Uveitis</w:t>
      </w:r>
    </w:p>
    <w:p w:rsidR="00DD5AB0" w:rsidRDefault="00DD5AB0" w:rsidP="00DD5AB0">
      <w:r>
        <w:t xml:space="preserve">In Study 014 there was 1 case of endophthalmitis in a DEX 700 treated patient classed as a SAE, judged to be severe and insertion/applicator related. The patient had a negative vitreous tap and developed a cataract requiring phacoemulsification with an IOL procedure as a consequence. </w:t>
      </w:r>
    </w:p>
    <w:p w:rsidR="00DD5AB0" w:rsidRDefault="00DD5AB0" w:rsidP="00DD5AB0">
      <w:r>
        <w:t>There was a further report of necrotising retinitis due to CMV, HSV or HZV in a DEX 350 treated patient with a background of undiagnosed HIV infection. This was not judged to be treatment related.</w:t>
      </w:r>
    </w:p>
    <w:p w:rsidR="00DD5AB0" w:rsidRDefault="00DD5AB0" w:rsidP="00A45E9B">
      <w:pPr>
        <w:pStyle w:val="Heading5"/>
      </w:pPr>
      <w:r>
        <w:t>Other studies</w:t>
      </w:r>
    </w:p>
    <w:p w:rsidR="00DD5AB0" w:rsidRDefault="00DD5AB0" w:rsidP="00DD5AB0">
      <w:r>
        <w:t>In the Phase 3 DME-indication studies, there were no reports of endophthalmitis across the 1426 cumulative number of DEX injections administered throughout Study 206207-010 (664 DEX 700 injections and 762 DEX 350 injections) and 2 reports of endophthalmitis in Study 011 involving DEX treated patients. Both patients discontinued from the study and required vitrectomy but both cases resolved without sequelae. 1 case occurred 4 days post-insertion and was classed as applicator/insertion related, with the other case presenting 5 days post cataract surgery and therefore judged to be non-treatment related. In addition there was one report of necrotising retinitis from Study 011, judged to be applicator/insertion related, where a patient experienced acute necrotising retinitis due to suspected CMV reactivation.</w:t>
      </w:r>
    </w:p>
    <w:p w:rsidR="00DD5AB0" w:rsidRPr="00BC30D1" w:rsidRDefault="00DD5AB0" w:rsidP="001A6420">
      <w:r>
        <w:t xml:space="preserve">Evaluator’s comment: </w:t>
      </w:r>
      <w:r w:rsidRPr="00D802E1">
        <w:t xml:space="preserve">Endophthalmitis </w:t>
      </w:r>
      <w:r>
        <w:t xml:space="preserve">and retinitis secondary to reactivation of latent viral or other ophthalmic infections are recognised as important identified risks </w:t>
      </w:r>
      <w:r w:rsidRPr="00D802E1">
        <w:t xml:space="preserve">and </w:t>
      </w:r>
      <w:r>
        <w:t xml:space="preserve">are </w:t>
      </w:r>
      <w:r w:rsidRPr="00D802E1">
        <w:t>listed in the PI.</w:t>
      </w:r>
      <w:r>
        <w:t xml:space="preserve"> Overall in the submitted studies, cases of endophthalmitis were rare with no reports from RVO studies, one case in a uveitis patient and one (treatment/insertion-related) case from the DME studies. The onset of Endophthalmitis event ranges from 2 days to 10 days post </w:t>
      </w:r>
      <w:r w:rsidR="00747662">
        <w:t>Ozurdex</w:t>
      </w:r>
      <w:r>
        <w:t xml:space="preserve"> injection with the outcome in most cases was reported as resolved after antibiotic treatment, but as in Study 011, vitrectomy has been indicated in worse case scenarios. The report of endophthalmitis following cataract surgery highlights the fact that any intraocular procedure harbours the risk of infection, but as found in the same study with an insertion related report of endophthalmitis in a patient with a negative vitreous tap, although most cases are infectious in aetiology, non-infectious causes such as allergy and trauma also exist. From the PSUR up to January 2016, the sponsor states that the educational materials for </w:t>
      </w:r>
      <w:r w:rsidR="00747662">
        <w:t>Ozurdex</w:t>
      </w:r>
      <w:r>
        <w:t>® have been updated to provide greater detail of the recommended injection technique, in particular the use of antibiotic before and after the injection. In addition, the RMP educational materials also emphasize the use of povidone iodine to disinfect the ocular surface and surrounding tissues prior to injection to minimize injection-related infection.</w:t>
      </w:r>
      <w:r>
        <w:br/>
      </w:r>
      <w:r>
        <w:br/>
        <w:t xml:space="preserve">Although not judged to be treatment-related, the case of necrotising retinitis is illustrative of the risks that use of corticosteroids may enhance the establishment of secondary ocular infections due to bacteria, fungi, or viruses. Since the IBD (up to January 2016) there have been 5 case reports of retinitis secondary to latent viral or other infective reactivation. </w:t>
      </w:r>
    </w:p>
    <w:p w:rsidR="00DD5AB0" w:rsidRDefault="00DD5AB0" w:rsidP="004C3275">
      <w:pPr>
        <w:pStyle w:val="Heading4"/>
        <w:numPr>
          <w:ilvl w:val="2"/>
          <w:numId w:val="5"/>
        </w:numPr>
      </w:pPr>
      <w:r>
        <w:t>Ocular concurrent surgery</w:t>
      </w:r>
    </w:p>
    <w:p w:rsidR="00DD5AB0" w:rsidRDefault="00DD5AB0" w:rsidP="00DD5AB0">
      <w:r>
        <w:t xml:space="preserve">In the re-treated population of </w:t>
      </w:r>
      <w:r w:rsidRPr="00151196">
        <w:rPr>
          <w:b/>
        </w:rPr>
        <w:t>Studies 206207-008/009</w:t>
      </w:r>
      <w:r>
        <w:rPr>
          <w:b/>
        </w:rPr>
        <w:t xml:space="preserve"> </w:t>
      </w:r>
      <w:r>
        <w:t xml:space="preserve">there was no statistical difference between the overall rates of rates of ocular surgical procedures. In the IT </w:t>
      </w:r>
      <w:r>
        <w:lastRenderedPageBreak/>
        <w:t>period, there were 38 procedures in total with treatment group rates being 3.2% (11/341), 4.9% (16/329) and 3.4% (11/327) for the DEX 700/700, DEX 350/700 and Sham/DEX 700 groups respectively (p = 0.475). Retinal laser coagulation was the most common procedure (8/38 procedures in the IT period, at rates of 0.6%, 0.6% and 1.2% across the three treatment groups) with the majority of the other procedures largely investigative such as OCT (5/38 procedures) or angiogram retina (4/38). The treatment-based procedures for more serious causes were iridotomy (1/38, Sham/DEX 700 patient), cataract operation (2/38, one DEX 700/700 and one DEX 350/700 patient), conjunctival repair (1/38, DEX 350/700 patient), trabeculectomy (1/38, DEX 350/700 patient), vitrectomy (1/38, DEX 350/700 patient) and retinopexy (1/38, DEX 700/700 patient).</w:t>
      </w:r>
    </w:p>
    <w:p w:rsidR="00DD5AB0" w:rsidRDefault="00DD5AB0" w:rsidP="00DD5AB0">
      <w:r>
        <w:t>In the OL extension (re-treatment population) the overall procedure rate was 5.6% (19/341), 4.3% (14/329) and 4.6% (15/327) for the DEX 700/700, DEX 350/700 and Sham/DEX 700 groups respectively (p = 0.709) with a total of 48 procedures performed. Again, retinal laser coagulation was the most common procedure (17/48 procedures) at 2.3%, 1.2% and 1.5% of the for the DEX 700/700, DEX 350/700 and Sham/DEX 700 groups respectively, followed by eye laser surgery (6/48 procedures) at 0.0%, 0.9% and 0.9% across groups. The more serious procedures included trabeculotomy (1/48, Sham/DEX 700 patient), trabeculoplasty (3/48, two DEX 700/700 patients, one DEX 350/700 patient), vitrectomy (1/48, DEX 350/700 patient), iridectomy (1/48, DEX 700/700 patient) and retinopexy (1/48, DEX 700/700 patient).</w:t>
      </w:r>
    </w:p>
    <w:p w:rsidR="00DD5AB0" w:rsidRDefault="00DD5AB0" w:rsidP="00DD5AB0">
      <w:r>
        <w:t xml:space="preserve">In </w:t>
      </w:r>
      <w:r w:rsidRPr="00391058">
        <w:rPr>
          <w:b/>
        </w:rPr>
        <w:t>Study 206207-020</w:t>
      </w:r>
      <w:r>
        <w:t>, ocular concurrent procedure rates across the IT period and OL extension (mITT population) were 11.6% (15/129) and 10.0% (13/130) for the DEX 700 and Sham groups respectively, with among-group difference non-significant (p = 0.673). In total there were 28 reports of procedures in patients. Retinal laser coagulation was the most common (25/28 procedures) at 10.9% (14/129) and 8.5% (11/130) of the DEX 700 and Sham group respectively. The other procedures were trabeculoplasty (1/28, DEX 700 patient), eye laser surgery (1/28, Sham patient) and iridectomy (1/28, Sham patient).</w:t>
      </w:r>
    </w:p>
    <w:p w:rsidR="00DD5AB0" w:rsidRPr="00583672" w:rsidRDefault="00DD5AB0" w:rsidP="00DD5AB0">
      <w:r>
        <w:t>In Study 206207-014, one DEX 700, one DEX 350 and 2 Sham patients required ocular concurrent procedures, all related to cataract. In addition, a further DEX 700 patient required cataract surgery one day post-study exit.</w:t>
      </w:r>
    </w:p>
    <w:p w:rsidR="00DD5AB0" w:rsidRDefault="00DD5AB0" w:rsidP="004C3275">
      <w:pPr>
        <w:pStyle w:val="Heading4"/>
        <w:numPr>
          <w:ilvl w:val="2"/>
          <w:numId w:val="5"/>
        </w:numPr>
      </w:pPr>
      <w:r w:rsidRPr="008C35AF">
        <w:t>Visual acuity loss</w:t>
      </w:r>
    </w:p>
    <w:p w:rsidR="00DD5AB0" w:rsidRDefault="00DD5AB0" w:rsidP="00A45E9B">
      <w:pPr>
        <w:pStyle w:val="Heading5"/>
        <w:rPr>
          <w:lang w:eastAsia="ja-JP"/>
        </w:rPr>
      </w:pPr>
      <w:r>
        <w:rPr>
          <w:lang w:eastAsia="ja-JP"/>
        </w:rPr>
        <w:t>Pivotal studies</w:t>
      </w:r>
    </w:p>
    <w:p w:rsidR="00DD5AB0" w:rsidRPr="004C4F9E" w:rsidRDefault="00DD5AB0" w:rsidP="00DD5AB0">
      <w:pPr>
        <w:pStyle w:val="Heading6"/>
        <w:rPr>
          <w:lang w:eastAsia="ja-JP"/>
        </w:rPr>
      </w:pPr>
      <w:r>
        <w:rPr>
          <w:lang w:eastAsia="ja-JP"/>
        </w:rPr>
        <w:t>RVO</w:t>
      </w:r>
    </w:p>
    <w:p w:rsidR="00DD5AB0" w:rsidRDefault="00DD5AB0" w:rsidP="00DD5AB0">
      <w:r>
        <w:t xml:space="preserve">Severe vision loss was defined as ≥ 30 letters decrease from Baseline, moderate vision loss as ≥ 15 and &lt; 30 letters decrease from Baseline and no or mild vision loss as &lt; 15 letters decrease from Baseline. </w:t>
      </w:r>
    </w:p>
    <w:p w:rsidR="00DD5AB0" w:rsidRDefault="00DD5AB0" w:rsidP="00DD5AB0">
      <w:r>
        <w:t>At IT Day 180 (Studies 008/009; safety population) for the DEX 700 group 1.5%, 3.8% and 94.8% had severe, moderate and no/mild vision loss respectively. For the DEX 350 group, proportions were 2.0%, 4.9% and 93.1% and for Sham proportions were 2.0%, 7.8% and 90.1%. Comparison of DEX 700 and Sham was significant (p = 0.015), with no other pairwise comparisons significant. In the re-treatment population, at OL Day 180 for the DEX 700/700 group 2.5%, 3.7% and 93.8% had severe, moderate and no/mild vision loss respectively. For the DEX 350/700 group proportions were 2.3%, 9.2% and 88.6% and for Sham/DEX 700 proportions were 3.6%, 7.8% and 88.7%, with an amongst-group p-value of 0.044 (no pairwise comparison was given).</w:t>
      </w:r>
    </w:p>
    <w:p w:rsidR="00DD5AB0" w:rsidRDefault="00DD5AB0" w:rsidP="00DD5AB0">
      <w:r>
        <w:t xml:space="preserve">In the re-treatment population at IT Day 180 5.9%, 7.1% and 10.9% of DEX 700/700, DEX 350/700 and Sham/DEX 700 experienced a ≥ 3-line vision loss from BCVA Baseline. At OL Day 180, proportions were 6.2%, 11.4% and 11.3%. Comparison between DEX 700/700 </w:t>
      </w:r>
      <w:r>
        <w:lastRenderedPageBreak/>
        <w:t>versus Sham/DEX 700 was significant at both IT Day 180 and OL Day 180 (p ≤ 0.023) and between DEX 700/700 versus DEX 350/700 at OL Day 180 (p = 0.021).</w:t>
      </w:r>
    </w:p>
    <w:p w:rsidR="00DD5AB0" w:rsidRDefault="00DD5AB0" w:rsidP="00DD5AB0">
      <w:r>
        <w:t>In Study 020 2.5%, 7.4% and 90.2% of DEX 700 patients experienced severe, moderate and no/mild vision loss respectively. In the Sham group proportions were 0.8%, 4.2% and 95.0%. At the end of the OL extension 1.7%, 3.3% and 95.0% of DEX 700/700 and 0.0%, 3.5% and 96.5% of Sham/DEX 700 experienced severe, moderate and mild/no vision loss respectively.</w:t>
      </w:r>
    </w:p>
    <w:p w:rsidR="00DD5AB0" w:rsidRDefault="00DD5AB0" w:rsidP="001A6420">
      <w:r w:rsidRPr="00264EC3">
        <w:rPr>
          <w:b/>
        </w:rPr>
        <w:t>Evaluator’s comment</w:t>
      </w:r>
      <w:r>
        <w:t xml:space="preserve">: Results from Studies 008/009 indicate 4.8% fewer patients treated with DEX 700 experienced a moderate or severe vision loss versus Sham, and re-treatment (two DEX 700 implants) was associated with a 5.1% few patients with moderate or severe vision loss compared to Sham/DEX 700. In terms of a ≥ 3 line BCVA loss, rates with DEX 700 (5.9%) at IT Day 180 were just over half of that seen with Sham (11.3%) with similar findings at OL Day 180 where rates of vision loss with DEX 700/700 (6.2%) were just over half of those seen with Sham/DEX treatment (11.3%). DEX 700 </w:t>
      </w:r>
      <w:proofErr w:type="gramStart"/>
      <w:r>
        <w:t>treatment</w:t>
      </w:r>
      <w:proofErr w:type="gramEnd"/>
      <w:r>
        <w:t xml:space="preserve"> also appeared better in preventing or at least less likely to be associated with vision loss than DEX 350 treatment. In comparison, in (the much smaller) Study 020 DEX 700 treated patients experienced more vision loss (both severe and moderate) than those treated with Sham.  </w:t>
      </w:r>
    </w:p>
    <w:p w:rsidR="00DD5AB0" w:rsidRDefault="00DD5AB0" w:rsidP="00DD5AB0">
      <w:pPr>
        <w:pStyle w:val="Heading6"/>
      </w:pPr>
      <w:r>
        <w:t>Uveitis</w:t>
      </w:r>
    </w:p>
    <w:p w:rsidR="00DD5AB0" w:rsidRDefault="00DD5AB0" w:rsidP="00DD5AB0">
      <w:r>
        <w:t>In Study 014 at the Week 26 visit (final visit) for the DEX 700 group 1.7%, 0.0% and 98.3% experienced severe, moderate and no/mild vision loss. For DEX 350 the proportions were 1.7%, 5.1% and 93.2% and for Sham proportions were 0.0%, 2.2% and 97.8%</w:t>
      </w:r>
    </w:p>
    <w:p w:rsidR="00DD5AB0" w:rsidRDefault="00DD5AB0" w:rsidP="001A6420">
      <w:r w:rsidRPr="00966652">
        <w:rPr>
          <w:b/>
        </w:rPr>
        <w:t>Evaluator’s comment</w:t>
      </w:r>
      <w:r>
        <w:t>: Proportions with vision loss are comparable between DEX 700 and Sham. DEX 700 neither appears to result in nor prevent vision loss.</w:t>
      </w:r>
    </w:p>
    <w:p w:rsidR="00DD5AB0" w:rsidRDefault="00DD5AB0" w:rsidP="00A45E9B">
      <w:pPr>
        <w:pStyle w:val="Heading5"/>
      </w:pPr>
      <w:r>
        <w:t>Other studies</w:t>
      </w:r>
    </w:p>
    <w:p w:rsidR="00DD5AB0" w:rsidRPr="00545B14" w:rsidRDefault="00DD5AB0" w:rsidP="004C3275">
      <w:pPr>
        <w:pStyle w:val="Heading3"/>
        <w:numPr>
          <w:ilvl w:val="1"/>
          <w:numId w:val="5"/>
        </w:numPr>
        <w:ind w:left="907" w:hanging="794"/>
      </w:pPr>
      <w:bookmarkStart w:id="301" w:name="_Toc272414686"/>
      <w:bookmarkStart w:id="302" w:name="_Ref273005527"/>
      <w:bookmarkStart w:id="303" w:name="_Toc290888550"/>
      <w:bookmarkStart w:id="304" w:name="_Toc416353765"/>
      <w:bookmarkStart w:id="305" w:name="_Toc421005308"/>
      <w:bookmarkStart w:id="306" w:name="_Toc432079179"/>
      <w:bookmarkStart w:id="307" w:name="_Toc432080752"/>
      <w:bookmarkStart w:id="308" w:name="_Toc471225126"/>
      <w:bookmarkStart w:id="309" w:name="_Toc6313905"/>
      <w:r w:rsidRPr="00545B14">
        <w:t>Other safety issues</w:t>
      </w:r>
      <w:bookmarkEnd w:id="301"/>
      <w:bookmarkEnd w:id="302"/>
      <w:bookmarkEnd w:id="303"/>
      <w:bookmarkEnd w:id="304"/>
      <w:bookmarkEnd w:id="305"/>
      <w:bookmarkEnd w:id="306"/>
      <w:bookmarkEnd w:id="307"/>
      <w:bookmarkEnd w:id="308"/>
      <w:bookmarkEnd w:id="309"/>
    </w:p>
    <w:p w:rsidR="00DD5AB0" w:rsidRDefault="00DD5AB0" w:rsidP="004C3275">
      <w:pPr>
        <w:pStyle w:val="Heading4"/>
        <w:numPr>
          <w:ilvl w:val="2"/>
          <w:numId w:val="5"/>
        </w:numPr>
      </w:pPr>
      <w:bookmarkStart w:id="310" w:name="_Toc241374322"/>
      <w:bookmarkStart w:id="311" w:name="_Ref272331212"/>
      <w:bookmarkStart w:id="312" w:name="_Toc272414687"/>
      <w:bookmarkStart w:id="313" w:name="_Toc290888551"/>
      <w:bookmarkStart w:id="314" w:name="_Toc416353766"/>
      <w:bookmarkStart w:id="315" w:name="_Toc421005309"/>
      <w:bookmarkStart w:id="316" w:name="_Toc432079180"/>
      <w:bookmarkStart w:id="317" w:name="_Toc432080753"/>
      <w:r w:rsidRPr="00545B14">
        <w:t>Safety in special populations</w:t>
      </w:r>
      <w:bookmarkEnd w:id="310"/>
      <w:bookmarkEnd w:id="311"/>
      <w:bookmarkEnd w:id="312"/>
      <w:bookmarkEnd w:id="313"/>
      <w:bookmarkEnd w:id="314"/>
      <w:bookmarkEnd w:id="315"/>
      <w:bookmarkEnd w:id="316"/>
      <w:bookmarkEnd w:id="317"/>
    </w:p>
    <w:p w:rsidR="00DD5AB0" w:rsidRDefault="00DD5AB0" w:rsidP="00DD5AB0">
      <w:pPr>
        <w:rPr>
          <w:lang w:eastAsia="ja-JP"/>
        </w:rPr>
      </w:pPr>
      <w:r>
        <w:rPr>
          <w:lang w:eastAsia="ja-JP"/>
        </w:rPr>
        <w:t>No specific issues were identified by gender or race, with Study 020 exclusively involving patients of Chinese origin having fewer AEs and treatment-related AEs than the ≥ 75% Caucasian population of Studies 008/009.</w:t>
      </w:r>
    </w:p>
    <w:p w:rsidR="00DD5AB0" w:rsidRDefault="00DD5AB0" w:rsidP="00DD5AB0">
      <w:pPr>
        <w:rPr>
          <w:lang w:eastAsia="ja-JP"/>
        </w:rPr>
      </w:pPr>
      <w:r>
        <w:rPr>
          <w:lang w:eastAsia="ja-JP"/>
        </w:rPr>
        <w:t>As discussed above treatment-related AEs were more common in younger patients (&lt; 45 years age group) principally due to a higher incidence of elevated IOP, as found in Studies 008/009 (RVO) and 014 (uveitis). Studies 010/011 (DME) also found a higher AE rate in patients &lt; 45 years again mainly due to increased incidence of elevated IOP. The size of the &lt; 45 years subgroup in all studies was small however findings were consistent across studies.</w:t>
      </w:r>
    </w:p>
    <w:p w:rsidR="00E2013A" w:rsidRDefault="00DD5AB0" w:rsidP="00E2013A">
      <w:pPr>
        <w:rPr>
          <w:lang w:eastAsia="ja-JP"/>
        </w:rPr>
      </w:pPr>
      <w:r>
        <w:rPr>
          <w:lang w:eastAsia="ja-JP"/>
        </w:rPr>
        <w:t>For the RVO indication, patients with CRVO had a higher incidence of AEs, ocular AEs and treatment-related AEs compared with BRVO as discussed under clinical safety above. Overall despite the increased incidence of AEs, no distinct pattern was seen. The sponsor states that ‘due to the nature of the disease, patients with CRVO are more likely to develop ocular adverse events than patients with BRVO. Potential complications include neovascularisation in the retina or on the surface of iris (rubeosis), retinal or vitreous haemorrhages, etc. As a consequence of rubeosis, neovascular glaucoma also occurs more frequently in CRVO patients because new vessels on the iris can block the outflow channels of the trabecular meshwork in the eye. The findings from these 2 phase 3 studies are consistent with the natural history of the retinal vein occlusion (RVO) disease.’</w:t>
      </w:r>
    </w:p>
    <w:p w:rsidR="00DD5AB0" w:rsidRDefault="00DD5AB0" w:rsidP="00A45E9B">
      <w:pPr>
        <w:pStyle w:val="Heading5"/>
        <w:rPr>
          <w:lang w:eastAsia="ja-JP"/>
        </w:rPr>
      </w:pPr>
      <w:r>
        <w:rPr>
          <w:lang w:eastAsia="ja-JP"/>
        </w:rPr>
        <w:lastRenderedPageBreak/>
        <w:t>Paediatrics</w:t>
      </w:r>
    </w:p>
    <w:p w:rsidR="00DD5AB0" w:rsidRDefault="00DD5AB0" w:rsidP="00DD5AB0">
      <w:pPr>
        <w:rPr>
          <w:lang w:eastAsia="ja-JP"/>
        </w:rPr>
      </w:pPr>
      <w:r>
        <w:rPr>
          <w:lang w:eastAsia="ja-JP"/>
        </w:rPr>
        <w:t xml:space="preserve">Safety and efficacy for paediatric use has not been established. None of the submitted studies involved paediatric populations and to date no studies using </w:t>
      </w:r>
      <w:r w:rsidR="00747662">
        <w:rPr>
          <w:lang w:eastAsia="ja-JP"/>
        </w:rPr>
        <w:t>Ozurdex</w:t>
      </w:r>
      <w:r>
        <w:rPr>
          <w:lang w:eastAsia="ja-JP"/>
        </w:rPr>
        <w:t xml:space="preserve"> in such populations have been conducted.</w:t>
      </w:r>
    </w:p>
    <w:p w:rsidR="00DD5AB0" w:rsidRPr="00E2013A" w:rsidRDefault="00DD5AB0" w:rsidP="001A6420">
      <w:r w:rsidRPr="00E2013A">
        <w:t>Evaluator’s comment: Specific reference to ‘adult’ is neither mentioned in the proposed Australian PI for the proposed indications related to RVO or uveitis, nor is mentioned in the current PI for the approved indication in the treatment of DME. Similar to the treatment of DME, the demographic profile of patients with the macular oedema related to RVO is typically one of middle aged or older adults with a history of CV disease or presence of CV risk factors (or in DME, long-standing diabetes with or without poor glycaemic control). This does not correspond with that of paediatrics. Non-infectious uveitis of the posterior segment however has a much broader and varied demographic make-up including younger populations but does not typically extend to the paediatric population.</w:t>
      </w:r>
    </w:p>
    <w:p w:rsidR="00DD5AB0" w:rsidRDefault="00DD5AB0" w:rsidP="00A45E9B">
      <w:pPr>
        <w:pStyle w:val="Heading5"/>
        <w:rPr>
          <w:lang w:eastAsia="ja-JP"/>
        </w:rPr>
      </w:pPr>
      <w:r>
        <w:rPr>
          <w:lang w:eastAsia="ja-JP"/>
        </w:rPr>
        <w:t>Pregnancy and lactation</w:t>
      </w:r>
    </w:p>
    <w:p w:rsidR="00DD5AB0" w:rsidRDefault="00DD5AB0" w:rsidP="00DD5AB0">
      <w:pPr>
        <w:rPr>
          <w:lang w:eastAsia="ja-JP"/>
        </w:rPr>
      </w:pPr>
      <w:r w:rsidRPr="000D1680">
        <w:rPr>
          <w:lang w:eastAsia="ja-JP"/>
        </w:rPr>
        <w:t>Safety for use in pregnancy and lactation has not been established.</w:t>
      </w:r>
      <w:r>
        <w:rPr>
          <w:lang w:eastAsia="ja-JP"/>
        </w:rPr>
        <w:t xml:space="preserve"> None of the submitted studies involved pregnant or lactating women, and pregnant women were specifically excluded from studies conducted. Although</w:t>
      </w:r>
      <w:r w:rsidRPr="00F2766C">
        <w:rPr>
          <w:lang w:eastAsia="ja-JP"/>
        </w:rPr>
        <w:t xml:space="preserve"> dexamethasone concentrations were generally very low, </w:t>
      </w:r>
      <w:r>
        <w:rPr>
          <w:lang w:eastAsia="ja-JP"/>
        </w:rPr>
        <w:t>and may possibly be lower or comparable to those seen in inhaled corticosteroid therapy for asthma the sponsor also states that ‘corticosteroids are generally teratogenic in laboratory animals when administered systemically at relatively low dosage levels. Studies in animals have shown reproductive toxicity. The potential risk for humans is unknown.’</w:t>
      </w:r>
      <w:r>
        <w:rPr>
          <w:lang w:eastAsia="ja-JP"/>
        </w:rPr>
        <w:br/>
        <w:t>No nonclinical studies were performed by Allergan to investigate effects of DEX PS DDS on fertility and general reproduction due to the well-established use of dexamethasone, and the published literature and clinical experience with the drug.</w:t>
      </w:r>
    </w:p>
    <w:p w:rsidR="00DD5AB0" w:rsidRDefault="00DD5AB0" w:rsidP="001869D2">
      <w:pPr>
        <w:pStyle w:val="Heading4"/>
      </w:pPr>
      <w:r>
        <w:t>Long term and repeated dosing safety</w:t>
      </w:r>
    </w:p>
    <w:p w:rsidR="00DD5AB0" w:rsidRDefault="00DD5AB0" w:rsidP="00DD5AB0">
      <w:pPr>
        <w:rPr>
          <w:lang w:eastAsia="ja-JP"/>
        </w:rPr>
      </w:pPr>
      <w:r>
        <w:rPr>
          <w:lang w:eastAsia="ja-JP"/>
        </w:rPr>
        <w:t xml:space="preserve">There were a maximum of 2 doses given in the submitted studies for the indications of RVO and uveitis. Patients who received </w:t>
      </w:r>
      <w:r w:rsidR="00747662">
        <w:rPr>
          <w:lang w:eastAsia="ja-JP"/>
        </w:rPr>
        <w:t>Ozurdex</w:t>
      </w:r>
      <w:r>
        <w:rPr>
          <w:lang w:eastAsia="ja-JP"/>
        </w:rPr>
        <w:t xml:space="preserve"> (DEX 700) twice saw a benefit in all studies in terms of improved VA with the second administration, along with a decline in efficacy from OL extension visit Days 60 or 90, suggesting that further re-administration may be </w:t>
      </w:r>
      <w:proofErr w:type="gramStart"/>
      <w:r>
        <w:rPr>
          <w:lang w:eastAsia="ja-JP"/>
        </w:rPr>
        <w:t>considered  in</w:t>
      </w:r>
      <w:proofErr w:type="gramEnd"/>
      <w:r>
        <w:rPr>
          <w:lang w:eastAsia="ja-JP"/>
        </w:rPr>
        <w:t xml:space="preserve"> clinical practice.</w:t>
      </w:r>
    </w:p>
    <w:p w:rsidR="00DD5AB0" w:rsidRDefault="00DD5AB0" w:rsidP="00DD5AB0">
      <w:pPr>
        <w:rPr>
          <w:lang w:eastAsia="ja-JP"/>
        </w:rPr>
      </w:pPr>
      <w:r>
        <w:rPr>
          <w:lang w:eastAsia="ja-JP"/>
        </w:rPr>
        <w:t>In the pivotal DME studies (010/011) patients received up to 7 treatments over 3 years with no evidence of incremental AEs associated with re-treatment. Ocular AEs were consistent with other ophthalmic steroid therapy.</w:t>
      </w:r>
    </w:p>
    <w:p w:rsidR="00DD5AB0" w:rsidRDefault="00DD5AB0" w:rsidP="00DD5AB0">
      <w:pPr>
        <w:rPr>
          <w:lang w:eastAsia="ja-JP"/>
        </w:rPr>
      </w:pPr>
      <w:r>
        <w:rPr>
          <w:lang w:eastAsia="ja-JP"/>
        </w:rPr>
        <w:t xml:space="preserve">There was no evidence of a cumulative effect of </w:t>
      </w:r>
      <w:r w:rsidR="00747662">
        <w:rPr>
          <w:lang w:eastAsia="ja-JP"/>
        </w:rPr>
        <w:t>Ozurdex</w:t>
      </w:r>
      <w:r>
        <w:rPr>
          <w:lang w:eastAsia="ja-JP"/>
        </w:rPr>
        <w:t xml:space="preserve"> on increased IOP. IOP increased from the time of each retreatment (roughly every 6 months) before declining from Day 60 post-retreatment and reaching Baseline IOP levels at the next retreatment visit.</w:t>
      </w:r>
    </w:p>
    <w:p w:rsidR="00DD5AB0" w:rsidRPr="00F2766C" w:rsidRDefault="00DD5AB0" w:rsidP="00DD5AB0">
      <w:pPr>
        <w:rPr>
          <w:lang w:eastAsia="ja-JP"/>
        </w:rPr>
      </w:pPr>
      <w:r>
        <w:rPr>
          <w:lang w:eastAsia="ja-JP"/>
        </w:rPr>
        <w:t xml:space="preserve">At Baseline, 87% of patients with a phakic study eye treated with </w:t>
      </w:r>
      <w:r w:rsidR="00747662">
        <w:rPr>
          <w:lang w:eastAsia="ja-JP"/>
        </w:rPr>
        <w:t>Ozurdex</w:t>
      </w:r>
      <w:r>
        <w:rPr>
          <w:lang w:eastAsia="ja-JP"/>
        </w:rPr>
        <w:t xml:space="preserve"> had some degree of lens opacification/early cataract. The incidence of all observed cataract types (cataract cortical, cataract diabetic, cataract nuclear, cataract subcapsular, cataract lenticular, </w:t>
      </w:r>
      <w:proofErr w:type="gramStart"/>
      <w:r>
        <w:rPr>
          <w:lang w:eastAsia="ja-JP"/>
        </w:rPr>
        <w:t>cataract</w:t>
      </w:r>
      <w:proofErr w:type="gramEnd"/>
      <w:r>
        <w:rPr>
          <w:lang w:eastAsia="ja-JP"/>
        </w:rPr>
        <w:t>) was 68% over the 3 year period. It may be argued however that this population group is already at higher risk of cataract formation through diabetes itself, even if rates in the DEX 700 treatment group were substantially higher than the Sham treatment group. Although undesirable, surgery for cataracts is a well-established and relatively safe procedure.</w:t>
      </w:r>
    </w:p>
    <w:p w:rsidR="00DD5AB0" w:rsidRDefault="00DD5AB0" w:rsidP="004C3275">
      <w:pPr>
        <w:pStyle w:val="Heading4"/>
        <w:numPr>
          <w:ilvl w:val="2"/>
          <w:numId w:val="5"/>
        </w:numPr>
      </w:pPr>
      <w:bookmarkStart w:id="318" w:name="_Toc241374324"/>
      <w:bookmarkStart w:id="319" w:name="_Ref272331214"/>
      <w:bookmarkStart w:id="320" w:name="_Toc272414688"/>
      <w:bookmarkStart w:id="321" w:name="_Toc290888552"/>
      <w:bookmarkStart w:id="322" w:name="_Toc416353767"/>
      <w:bookmarkStart w:id="323" w:name="_Toc421005310"/>
      <w:bookmarkStart w:id="324" w:name="_Toc432079181"/>
      <w:bookmarkStart w:id="325" w:name="_Toc432080754"/>
      <w:r w:rsidRPr="00545B14">
        <w:lastRenderedPageBreak/>
        <w:t>Safety related to drug-drug interactions and other interactions</w:t>
      </w:r>
      <w:bookmarkStart w:id="326" w:name="_Toc241374326"/>
      <w:bookmarkStart w:id="327" w:name="_Ref272333048"/>
      <w:bookmarkStart w:id="328" w:name="_Toc272414679"/>
      <w:bookmarkStart w:id="329" w:name="_Toc290888543"/>
      <w:bookmarkStart w:id="330" w:name="_Toc416353758"/>
      <w:bookmarkStart w:id="331" w:name="_Toc421005301"/>
      <w:bookmarkStart w:id="332" w:name="_Toc432079182"/>
      <w:bookmarkStart w:id="333" w:name="_Toc432080755"/>
      <w:bookmarkEnd w:id="318"/>
      <w:bookmarkEnd w:id="319"/>
      <w:bookmarkEnd w:id="320"/>
      <w:bookmarkEnd w:id="321"/>
      <w:bookmarkEnd w:id="322"/>
      <w:bookmarkEnd w:id="323"/>
      <w:bookmarkEnd w:id="324"/>
      <w:bookmarkEnd w:id="325"/>
    </w:p>
    <w:p w:rsidR="00DD5AB0" w:rsidRDefault="00DD5AB0" w:rsidP="00DD5AB0">
      <w:pPr>
        <w:rPr>
          <w:lang w:eastAsia="ja-JP"/>
        </w:rPr>
      </w:pPr>
      <w:r>
        <w:rPr>
          <w:lang w:eastAsia="ja-JP"/>
        </w:rPr>
        <w:t>No drug-drug interaction studies have been performed, however due to the low systemic levels of dexamethasone following DEX 700 treatment; drug-drug interactions are not expected.</w:t>
      </w:r>
    </w:p>
    <w:p w:rsidR="00DD5AB0" w:rsidRDefault="00DD5AB0" w:rsidP="004C3275">
      <w:pPr>
        <w:pStyle w:val="Heading3"/>
        <w:numPr>
          <w:ilvl w:val="1"/>
          <w:numId w:val="5"/>
        </w:numPr>
        <w:ind w:left="907" w:hanging="794"/>
      </w:pPr>
      <w:bookmarkStart w:id="334" w:name="_Toc471225127"/>
      <w:bookmarkStart w:id="335" w:name="_Toc6313906"/>
      <w:r w:rsidRPr="00E4342F">
        <w:t>Post</w:t>
      </w:r>
      <w:r>
        <w:t xml:space="preserve"> </w:t>
      </w:r>
      <w:r w:rsidRPr="00E4342F">
        <w:t>marketing experience</w:t>
      </w:r>
      <w:bookmarkStart w:id="336" w:name="_Toc241374328"/>
      <w:bookmarkStart w:id="337" w:name="_Toc272414691"/>
      <w:bookmarkStart w:id="338" w:name="_Toc290888555"/>
      <w:bookmarkStart w:id="339" w:name="_Toc416353770"/>
      <w:bookmarkStart w:id="340" w:name="_Toc421005312"/>
      <w:bookmarkStart w:id="341" w:name="_Toc432079183"/>
      <w:bookmarkStart w:id="342" w:name="_Toc432080756"/>
      <w:bookmarkEnd w:id="326"/>
      <w:bookmarkEnd w:id="327"/>
      <w:bookmarkEnd w:id="328"/>
      <w:bookmarkEnd w:id="329"/>
      <w:bookmarkEnd w:id="330"/>
      <w:bookmarkEnd w:id="331"/>
      <w:bookmarkEnd w:id="332"/>
      <w:bookmarkEnd w:id="333"/>
      <w:bookmarkEnd w:id="334"/>
      <w:bookmarkEnd w:id="335"/>
    </w:p>
    <w:p w:rsidR="00DD5AB0" w:rsidRDefault="00DD5AB0" w:rsidP="00DD5AB0">
      <w:pPr>
        <w:rPr>
          <w:lang w:eastAsia="ja-JP"/>
        </w:rPr>
      </w:pPr>
      <w:r>
        <w:rPr>
          <w:lang w:eastAsia="ja-JP"/>
        </w:rPr>
        <w:t xml:space="preserve">The DEX PS DDS 700 </w:t>
      </w:r>
      <w:r w:rsidR="001E2A95">
        <w:rPr>
          <w:lang w:eastAsia="ja-JP"/>
        </w:rPr>
        <w:t>µ</w:t>
      </w:r>
      <w:r>
        <w:rPr>
          <w:lang w:eastAsia="ja-JP"/>
        </w:rPr>
        <w:t xml:space="preserve">g (as </w:t>
      </w:r>
      <w:r w:rsidR="00747662">
        <w:rPr>
          <w:lang w:eastAsia="ja-JP"/>
        </w:rPr>
        <w:t>Ozurdex</w:t>
      </w:r>
      <w:r>
        <w:rPr>
          <w:lang w:eastAsia="ja-JP"/>
        </w:rPr>
        <w:t xml:space="preserve">) was first approved on 17 June 2009 in the US, for the treatment of macular oedema following RVO) and is now approved in more than 60 countries for this indication and marketed in more than 50. Cumulatively, between product launch and the end of the most recent PSUR reporting period (27 January 2016) approximately 653,890 units of </w:t>
      </w:r>
      <w:r w:rsidR="00747662">
        <w:rPr>
          <w:lang w:eastAsia="ja-JP"/>
        </w:rPr>
        <w:t>Ozurdex</w:t>
      </w:r>
      <w:r>
        <w:rPr>
          <w:lang w:eastAsia="ja-JP"/>
        </w:rPr>
        <w:t xml:space="preserve"> have been distributed worldwide, resulting in approximately 228,862 patient-years of exposure with approximately 225,227 </w:t>
      </w:r>
      <w:r w:rsidR="00747662">
        <w:rPr>
          <w:lang w:eastAsia="ja-JP"/>
        </w:rPr>
        <w:t>Ozurdex</w:t>
      </w:r>
      <w:r>
        <w:rPr>
          <w:lang w:eastAsia="ja-JP"/>
        </w:rPr>
        <w:t xml:space="preserve"> units distributed in the 12-months prior to 27 January 2016 alone.</w:t>
      </w:r>
    </w:p>
    <w:p w:rsidR="00DD5AB0" w:rsidRDefault="00DD5AB0" w:rsidP="00DD5AB0">
      <w:pPr>
        <w:rPr>
          <w:lang w:eastAsia="ja-JP"/>
        </w:rPr>
      </w:pPr>
      <w:r>
        <w:rPr>
          <w:lang w:eastAsia="ja-JP"/>
        </w:rPr>
        <w:t>For the period of the latest PSUR, one new safety signal was evaluated, being implant dislocation to the macula of the eye.</w:t>
      </w:r>
    </w:p>
    <w:p w:rsidR="00DD5AB0" w:rsidRDefault="00DD5AB0" w:rsidP="00DD5AB0">
      <w:pPr>
        <w:rPr>
          <w:lang w:eastAsia="ja-JP"/>
        </w:rPr>
      </w:pPr>
      <w:r w:rsidRPr="007E312F">
        <w:rPr>
          <w:lang w:eastAsia="ja-JP"/>
        </w:rPr>
        <w:t xml:space="preserve">From the IBD to January 2016 </w:t>
      </w:r>
      <w:r>
        <w:rPr>
          <w:lang w:eastAsia="ja-JP"/>
        </w:rPr>
        <w:t>the following AEs have been reported:</w:t>
      </w:r>
    </w:p>
    <w:p w:rsidR="00DD5AB0" w:rsidRDefault="00DD5AB0" w:rsidP="004C3275">
      <w:pPr>
        <w:pStyle w:val="ListBullet"/>
        <w:numPr>
          <w:ilvl w:val="0"/>
          <w:numId w:val="1"/>
        </w:numPr>
        <w:rPr>
          <w:lang w:eastAsia="ja-JP"/>
        </w:rPr>
      </w:pPr>
      <w:r>
        <w:rPr>
          <w:lang w:eastAsia="ja-JP"/>
        </w:rPr>
        <w:t>R</w:t>
      </w:r>
      <w:r w:rsidRPr="007E312F">
        <w:rPr>
          <w:lang w:eastAsia="ja-JP"/>
        </w:rPr>
        <w:t xml:space="preserve">etinal detachment/injury/tear </w:t>
      </w:r>
      <w:r>
        <w:rPr>
          <w:lang w:eastAsia="ja-JP"/>
        </w:rPr>
        <w:t>– 60 reports</w:t>
      </w:r>
    </w:p>
    <w:p w:rsidR="00DD5AB0" w:rsidRDefault="00DD5AB0" w:rsidP="004C3275">
      <w:pPr>
        <w:pStyle w:val="ListBullet"/>
        <w:numPr>
          <w:ilvl w:val="0"/>
          <w:numId w:val="1"/>
        </w:numPr>
        <w:rPr>
          <w:lang w:eastAsia="ja-JP"/>
        </w:rPr>
      </w:pPr>
      <w:r>
        <w:rPr>
          <w:lang w:eastAsia="ja-JP"/>
        </w:rPr>
        <w:t>Increased IOP or glaucoma – 540 reports, of which 261 (48.3%) were serious and 2 involving fatal outcomes (considered unrelated to treatment)</w:t>
      </w:r>
    </w:p>
    <w:p w:rsidR="00DD5AB0" w:rsidRDefault="00DD5AB0" w:rsidP="004C3275">
      <w:pPr>
        <w:pStyle w:val="ListBullet"/>
        <w:numPr>
          <w:ilvl w:val="0"/>
          <w:numId w:val="1"/>
        </w:numPr>
        <w:rPr>
          <w:lang w:eastAsia="ja-JP"/>
        </w:rPr>
      </w:pPr>
      <w:r>
        <w:rPr>
          <w:lang w:eastAsia="ja-JP"/>
        </w:rPr>
        <w:t xml:space="preserve">Endophthalmitis (general, non-infectious, mycotic or pseudoendophthalmitis) – 161 reports, the majority serious, spontaneous and medically performed. </w:t>
      </w:r>
      <w:r>
        <w:t>Most cases were 2 to 5 days post procedure, range: day of procedure to 45 days post-procedure</w:t>
      </w:r>
    </w:p>
    <w:p w:rsidR="00DD5AB0" w:rsidRDefault="00DD5AB0" w:rsidP="004C3275">
      <w:pPr>
        <w:pStyle w:val="ListBullet"/>
        <w:numPr>
          <w:ilvl w:val="0"/>
          <w:numId w:val="1"/>
        </w:numPr>
        <w:rPr>
          <w:lang w:eastAsia="ja-JP"/>
        </w:rPr>
      </w:pPr>
      <w:r>
        <w:t xml:space="preserve">Device dislocation with associated corneal oedema – 175 reports, is an important identified risk. </w:t>
      </w:r>
      <w:r w:rsidRPr="008707A3">
        <w:t>Patients with a posterior capsule tear such as those with a posterior lens (such as after cataract surgery) or those with an iris opening to the vitreous cavity (such as due to iridectomy) with or without a history of vitrectomy are at risk of implant migration into the anterior chamber. Implant migration into the anterior ch</w:t>
      </w:r>
      <w:r>
        <w:t>amber may lead to corneal oedema</w:t>
      </w:r>
      <w:r w:rsidRPr="008707A3">
        <w:t>, with severe and persistent cases able to progress to the need for corneal transplantation.</w:t>
      </w:r>
    </w:p>
    <w:p w:rsidR="00DD5AB0" w:rsidRDefault="00DD5AB0" w:rsidP="004C3275">
      <w:pPr>
        <w:pStyle w:val="ListBullet"/>
        <w:numPr>
          <w:ilvl w:val="0"/>
          <w:numId w:val="1"/>
        </w:numPr>
        <w:rPr>
          <w:lang w:eastAsia="ja-JP"/>
        </w:rPr>
      </w:pPr>
      <w:r>
        <w:t>Cataract – 227 reports, with 45 in last PSUR. Medical review of all cases reporting cataract, cataract subcapsular, cataract cortical or lenticular opacities have not detected any new safety concerns.</w:t>
      </w:r>
    </w:p>
    <w:p w:rsidR="00DD5AB0" w:rsidRDefault="00DD5AB0" w:rsidP="00DD5AB0">
      <w:r w:rsidRPr="00BA4457">
        <w:t xml:space="preserve">Since June 2009, a total of 101 case reports were received for </w:t>
      </w:r>
      <w:r w:rsidR="00747662">
        <w:t>Ozurdex</w:t>
      </w:r>
      <w:r w:rsidRPr="00BA4457">
        <w:t xml:space="preserve"> (or dexamethasone with unspecified formulation) which included the 26 reports received during this reporting period. Of the 101 cases, 71 were serious medically confirmed reports, 24 were non-serious medically confirmed reports, 3 were serious consumer reports, and 3 were non-serious consumer reports. Many cases reported visual acuity reduced as a secondary event associated with a primary event, including corneal oedema, necrotising retinitis, </w:t>
      </w:r>
      <w:proofErr w:type="gramStart"/>
      <w:r w:rsidRPr="00BA4457">
        <w:t>diabetic retinal oedema, complications of device insertion, retinal detachment, vitreous haemorrhage, vitritis, retinal exudates, and cataract/lenticular</w:t>
      </w:r>
      <w:proofErr w:type="gramEnd"/>
      <w:r w:rsidRPr="00BA4457">
        <w:t xml:space="preserve"> opacities.</w:t>
      </w:r>
    </w:p>
    <w:p w:rsidR="00DD5AB0" w:rsidRDefault="00DD5AB0" w:rsidP="00DD5AB0">
      <w:r w:rsidRPr="000A72FE">
        <w:t xml:space="preserve">The 3-year duration Studies 010 and 011 (treating patients with DME), over the 3 year period 59.2% (155/262) of the DEX 700 treated group required cataract surgery at some point compared with 7.2% (18/250) in the Sham-treatment group, equating to a rate of 15.3 per 100 patient years (DEX 700) versus 5.1 (Sham).  The highest incidence was seen between the 12-month and 18-month, 18-month and 24-month and 24-month and 30-month visits. Although patients with diabetes are at higher risk of cataract formation </w:t>
      </w:r>
      <w:r w:rsidRPr="000A72FE">
        <w:lastRenderedPageBreak/>
        <w:t>anyway, there was a still a significantly higher incidence in DEX treated patients, increasing with duration of treatment.</w:t>
      </w:r>
    </w:p>
    <w:p w:rsidR="00DD5AB0" w:rsidRDefault="00DD5AB0" w:rsidP="004C3275">
      <w:pPr>
        <w:pStyle w:val="Heading3"/>
        <w:numPr>
          <w:ilvl w:val="1"/>
          <w:numId w:val="5"/>
        </w:numPr>
        <w:ind w:left="907" w:hanging="794"/>
      </w:pPr>
      <w:bookmarkStart w:id="343" w:name="_Toc471225128"/>
      <w:bookmarkStart w:id="344" w:name="_Toc6313907"/>
      <w:r w:rsidRPr="00E4342F">
        <w:t>Evaluator’s overall conclusions on clinical safety</w:t>
      </w:r>
      <w:bookmarkEnd w:id="336"/>
      <w:bookmarkEnd w:id="337"/>
      <w:bookmarkEnd w:id="338"/>
      <w:bookmarkEnd w:id="339"/>
      <w:bookmarkEnd w:id="340"/>
      <w:bookmarkEnd w:id="341"/>
      <w:bookmarkEnd w:id="342"/>
      <w:bookmarkEnd w:id="343"/>
      <w:bookmarkEnd w:id="344"/>
    </w:p>
    <w:p w:rsidR="00DD5AB0" w:rsidRDefault="00DD5AB0" w:rsidP="004C3275">
      <w:pPr>
        <w:pStyle w:val="Heading4"/>
        <w:numPr>
          <w:ilvl w:val="2"/>
          <w:numId w:val="5"/>
        </w:numPr>
      </w:pPr>
      <w:r>
        <w:t>RVO</w:t>
      </w:r>
    </w:p>
    <w:p w:rsidR="00DD5AB0" w:rsidRDefault="00DD5AB0" w:rsidP="00DD5AB0">
      <w:pPr>
        <w:rPr>
          <w:lang w:eastAsia="ja-JP"/>
        </w:rPr>
      </w:pPr>
      <w:r>
        <w:rPr>
          <w:lang w:eastAsia="ja-JP"/>
        </w:rPr>
        <w:t>64.1% of DEX 700 treated patients reported at least one ocular AE in following the first implant (IT period; Studies 008/009), significantly higher than Sham (57.0%), with comparison of treatment-related AEs being 47.3% for DEX 700 and 17.5% for Sham. The most frequently reported ocular AEs in the DEX 700 group were elevated IOP (25.2%), conjunctival haemorrhage (20.2%), eye pain (7.4%) conjunctival hyperaemia (6.7%) ocular hypertension (4%) and cataract (3.6%). The biggest difference in ocular AE rates (DEX 700 versus Sham) were due to elevated IOP (25.2% versus 1.2%), conjunctival haemorrhage (20.2% versus 14.9%), eye pain (7.4% versus 3.8%) and ocular hypertension (4.0% versus 0.7%). In general, most ocular AEs were reported as mild and either self-limiting, or in the case of elevated IOP, treatable with topical IOP lowering medications.</w:t>
      </w:r>
    </w:p>
    <w:p w:rsidR="00DD5AB0" w:rsidRDefault="00DD5AB0" w:rsidP="00DD5AB0">
      <w:pPr>
        <w:rPr>
          <w:lang w:eastAsia="ja-JP"/>
        </w:rPr>
      </w:pPr>
      <w:r>
        <w:rPr>
          <w:lang w:eastAsia="ja-JP"/>
        </w:rPr>
        <w:t>The incidence of ocular AEs in patients treated with consecutive DEX 700 implants (12-month cumulative rates) was 77.7% modestly higher (and significant statistically) than the rate of 71.9% for patients randomised to Sham for the first 6 months and then receiving DEX 700 in the OL extension. Overall, the pattern and magnitude of ocular AEs reported in the OL extension and 12-month cumulative period was similar to the IT period, with ocular AEs in the Sham/DEX 700 treated group similar to the IT period and the OL extension for the DEX 700/700 group. The change in IOP following re-treatment showed a similar response to the first implant with IOP rising rapidly following implantation, peaking at Day 60 (in line with peak efficacy) and declining by Day 90. At Month 180, IOP was similar to Baseline. Few SAEs linked with treatment were reported overall but of those that were ocular, elevated IOP (or related SAEs such as glaucoma or ocular hypertension) were the principal SAE reported. Retinal detachment was rare, but is a recognised SAE linked to the insertion procedure itself.</w:t>
      </w:r>
    </w:p>
    <w:p w:rsidR="00DD5AB0" w:rsidRDefault="00DD5AB0" w:rsidP="00DD5AB0">
      <w:pPr>
        <w:rPr>
          <w:lang w:eastAsia="ja-JP"/>
        </w:rPr>
      </w:pPr>
      <w:r>
        <w:rPr>
          <w:lang w:eastAsia="ja-JP"/>
        </w:rPr>
        <w:t>Cataract AEs were reported for 7.4% of DEX 700 patients in the IT period (compared with 4.6% of Sham) and 25.8% of twice-DEX 700 treated patients in the OL extension (compared with 8.9% of Sham/DEX 700 patients). In DME studies similar findings were reported with a greater incidence of cataracts in patients receiving multiple DEX 700 implants.</w:t>
      </w:r>
    </w:p>
    <w:p w:rsidR="00DD5AB0" w:rsidRDefault="00DD5AB0" w:rsidP="00DD5AB0">
      <w:pPr>
        <w:rPr>
          <w:lang w:eastAsia="ja-JP"/>
        </w:rPr>
      </w:pPr>
      <w:r>
        <w:rPr>
          <w:lang w:eastAsia="ja-JP"/>
        </w:rPr>
        <w:t>A greater incidence of ocular AEs was present in CRVO patients compared with BRVO patients although there was no general trend as to increases in specific AEs reported.</w:t>
      </w:r>
    </w:p>
    <w:p w:rsidR="00DD5AB0" w:rsidRDefault="00DD5AB0" w:rsidP="004C3275">
      <w:pPr>
        <w:pStyle w:val="Heading4"/>
        <w:numPr>
          <w:ilvl w:val="2"/>
          <w:numId w:val="5"/>
        </w:numPr>
      </w:pPr>
      <w:r>
        <w:t>Uveitis</w:t>
      </w:r>
    </w:p>
    <w:p w:rsidR="00DD5AB0" w:rsidRDefault="00DD5AB0" w:rsidP="00DD5AB0">
      <w:pPr>
        <w:rPr>
          <w:lang w:eastAsia="ja-JP"/>
        </w:rPr>
      </w:pPr>
      <w:r>
        <w:rPr>
          <w:lang w:eastAsia="ja-JP"/>
        </w:rPr>
        <w:t>Non-infectious uveitis of the posterior segment is a heterogeneous condition with multiple causative pathologies, therefore AE rates, patterns and response to intravitreal corticosteroids is expected to show more variation than with other indications such as DME or macular oedema secondary to RVO.</w:t>
      </w:r>
    </w:p>
    <w:p w:rsidR="00DD5AB0" w:rsidRDefault="00DD5AB0" w:rsidP="00DD5AB0">
      <w:pPr>
        <w:rPr>
          <w:lang w:eastAsia="ja-JP"/>
        </w:rPr>
      </w:pPr>
      <w:r>
        <w:rPr>
          <w:lang w:eastAsia="ja-JP"/>
        </w:rPr>
        <w:t>Ocular AEs in the study eye were reported for 75.0% and 60.0% of DEX 700 and Sham patients respectively (p = 0.2) with the incidence of treatment-related AEs was significantly higher in DEX 700 patients (60.5%) versus Sham (28.0%) (</w:t>
      </w:r>
      <w:proofErr w:type="gramStart"/>
      <w:r>
        <w:rPr>
          <w:lang w:eastAsia="ja-JP"/>
        </w:rPr>
        <w:t>p</w:t>
      </w:r>
      <w:proofErr w:type="gramEnd"/>
      <w:r>
        <w:rPr>
          <w:lang w:eastAsia="ja-JP"/>
        </w:rPr>
        <w:t xml:space="preserve"> &lt; 0.001).</w:t>
      </w:r>
    </w:p>
    <w:p w:rsidR="00DD5AB0" w:rsidRDefault="00DD5AB0" w:rsidP="00DD5AB0">
      <w:pPr>
        <w:rPr>
          <w:lang w:eastAsia="ja-JP"/>
        </w:rPr>
      </w:pPr>
      <w:r>
        <w:rPr>
          <w:lang w:eastAsia="ja-JP"/>
        </w:rPr>
        <w:t xml:space="preserve">The most common treatment-related AEs were IOP increased, conjunctival haemorrhage, ocular discomfort, cataract, ocular hypertension, eye pain, conjunctival hyperaemia, conjunctival oedema and cataract subcapsular with the AEs with greatest between-group differences reported for IOP increased (22.4% versus 4.0%), conjunctival haemorrhage </w:t>
      </w:r>
      <w:r>
        <w:rPr>
          <w:lang w:eastAsia="ja-JP"/>
        </w:rPr>
        <w:lastRenderedPageBreak/>
        <w:t>(25.0% versus 13.3%), cataract (10.5% versus 2.7%), ocular discomfort (11.8% versus 4.0%) and ocular hypertension (6.6% versus 0.0%). All other treatment-related AEs were either the same between treatment arms, more common with Sham, or only occurring in 1 to 2 patients. There were 12 and 14 cases of AEs graded as severe in the DEX 700 and Sham groups respectively with 4 cases of IOP increased, and one case of ocular hypertension and one of endophthalmitis, with none of these AEs reported in the Sham group.</w:t>
      </w:r>
    </w:p>
    <w:p w:rsidR="00DD5AB0" w:rsidRDefault="00DD5AB0" w:rsidP="00DD5AB0">
      <w:pPr>
        <w:rPr>
          <w:lang w:eastAsia="ja-JP"/>
        </w:rPr>
      </w:pPr>
      <w:r>
        <w:rPr>
          <w:lang w:eastAsia="ja-JP"/>
        </w:rPr>
        <w:t xml:space="preserve">4 ocular SAEs occurred in the DEX 700 group with 2 cases of retinal detachment, 1 case of endophthalmitis and 1 case of worsening uveitis, with all but the cases of worsening uveitis being considered as treatment related. Retinal detachment is a recognised potential SAE from intravitreal implantation or injection and rates would appear to be higher for this smaller sized DEX 700 population compared with RVO or DME indications however </w:t>
      </w:r>
      <w:r w:rsidRPr="00E336A6">
        <w:rPr>
          <w:lang w:eastAsia="ja-JP"/>
        </w:rPr>
        <w:t>there were also 2 cases of retinal detachment in the Sham group</w:t>
      </w:r>
      <w:r>
        <w:rPr>
          <w:lang w:eastAsia="ja-JP"/>
        </w:rPr>
        <w:t xml:space="preserve">, with retinal detachment known potential complication of posterior segment uveitis. Of note, the case of endophthalmitis (which wasn’t confirmed as being infectious or not) wasn’t reported from any of the pivotal RVO or DME studies however it is a known potential complication of intravitreal injection and is recognised as such with </w:t>
      </w:r>
      <w:r w:rsidR="00747662">
        <w:rPr>
          <w:lang w:eastAsia="ja-JP"/>
        </w:rPr>
        <w:t>Ozurdex</w:t>
      </w:r>
      <w:r>
        <w:rPr>
          <w:lang w:eastAsia="ja-JP"/>
        </w:rPr>
        <w:t>. There were no deaths in this study in any group. The discontinuation rate was 2.6% (2 patients) for DEX 700 (1 case of severe retinal detachment and 1 case of moderate vitreous opacities approximately 4 months post-treatment) compared to no discontinuations with Sham.</w:t>
      </w:r>
    </w:p>
    <w:p w:rsidR="00DD5AB0" w:rsidRDefault="00DD5AB0" w:rsidP="00DD5AB0">
      <w:pPr>
        <w:rPr>
          <w:lang w:eastAsia="ja-JP"/>
        </w:rPr>
      </w:pPr>
      <w:r>
        <w:rPr>
          <w:lang w:eastAsia="ja-JP"/>
        </w:rPr>
        <w:t>All AE rates of IOP increased (25.0% and 7.0%) and ocular hypertension (8.0% and 0.0%) were statistically higher with DEX 700 compared with Sham (p ≤ 0.001 and p &lt; 0.05 respectively). The temporal pattern of increased IOP up to about 2 to 3 months post-implant insertion followed swift decline at 4 months and return to Baseline by 6 months is similar to that seen in RVO and DME. Although there were no significant differences in proportions of patients with IOP ≥ 25 or ≥ 35 mm Hg over Baseline, the CSR states ‘</w:t>
      </w:r>
      <w:r w:rsidRPr="002F13BF">
        <w:rPr>
          <w:lang w:eastAsia="ja-JP"/>
        </w:rPr>
        <w:t xml:space="preserve">43 patients experienced IOP ≥ 25 mm Hg in the study eye, the majority at a single visit only and which returned to </w:t>
      </w:r>
      <w:r>
        <w:rPr>
          <w:lang w:eastAsia="ja-JP"/>
        </w:rPr>
        <w:t>B</w:t>
      </w:r>
      <w:r w:rsidRPr="002F13BF">
        <w:rPr>
          <w:lang w:eastAsia="ja-JP"/>
        </w:rPr>
        <w:t>aseline by the end of the study. 10 patients experienced IOP ≥ 35 mm Hg in</w:t>
      </w:r>
      <w:r>
        <w:rPr>
          <w:lang w:eastAsia="ja-JP"/>
        </w:rPr>
        <w:t xml:space="preserve"> the study eye, </w:t>
      </w:r>
      <w:r w:rsidRPr="006174DF">
        <w:rPr>
          <w:lang w:eastAsia="ja-JP"/>
        </w:rPr>
        <w:t>7 patients at a single visit only and all which returned to Baseline by the end of the study</w:t>
      </w:r>
      <w:r>
        <w:rPr>
          <w:lang w:eastAsia="ja-JP"/>
        </w:rPr>
        <w:t xml:space="preserve">.’ Despite the pattern of IOP change being well characterised it remains an important concern particularly as IOP ≥ 25 or ≥ 35 mm Hg constitutes a clinically important finding. Of note despite the small population size, the incidence of IOP increased was higher in younger patients (and significant comparing DEX 700 versus Sham) but proportions with IOP ≥ 25 or 35 mm Hg were not given. The higher incidence of IOP increased was also in younger patients was also noted in the overall much larger population of pooled Studies 008/009 for the RVO indication, however the number of patients &lt; 45 years in those studies was small and understandably due to the typically older demographic associated with RVO and consideration must be given that </w:t>
      </w:r>
      <w:r w:rsidR="00747662">
        <w:rPr>
          <w:lang w:eastAsia="ja-JP"/>
        </w:rPr>
        <w:t>Ozurdex</w:t>
      </w:r>
      <w:r>
        <w:rPr>
          <w:lang w:eastAsia="ja-JP"/>
        </w:rPr>
        <w:t xml:space="preserve"> is far more likely to be used in younger patients for this indication due to the typical demographic age being 20 to 50 years as opposed to approximately 50 years or older.</w:t>
      </w:r>
    </w:p>
    <w:p w:rsidR="00DD5AB0" w:rsidRDefault="00DD5AB0" w:rsidP="00DD5AB0">
      <w:pPr>
        <w:rPr>
          <w:lang w:eastAsia="ja-JP"/>
        </w:rPr>
      </w:pPr>
      <w:r w:rsidRPr="005632E8">
        <w:rPr>
          <w:lang w:eastAsia="ja-JP"/>
        </w:rPr>
        <w:t>As with other studies, a higher rate of IOP lowering medication was used in the DEX 700 group as might be expected. Exact proportions of DEX 700 and Sham using any IOP lowering medication (as opposed to rates for use of a specific agent) were not given but beta-blocking agents were used in 27.3% versus 6.6%, carbonic anhydrase inhibitors in 13.0% versus 6.6%, sympathomimetics in glaucoma therapy in 9.1% versus 5.3% and prostaglandin analogues in 5.2% versus 3.9%, again not dissimilar to other indications. Three patients required laser iridotomy to control high lOP due to pupillary block (1 patient), and iris bombe (2 patients)</w:t>
      </w:r>
      <w:r>
        <w:rPr>
          <w:lang w:eastAsia="ja-JP"/>
        </w:rPr>
        <w:t xml:space="preserve"> but no surgical procedures were required</w:t>
      </w:r>
      <w:r w:rsidRPr="005632E8">
        <w:rPr>
          <w:lang w:eastAsia="ja-JP"/>
        </w:rPr>
        <w:t>.</w:t>
      </w:r>
    </w:p>
    <w:p w:rsidR="00DD5AB0" w:rsidRDefault="00DD5AB0" w:rsidP="00DD5AB0">
      <w:pPr>
        <w:rPr>
          <w:lang w:eastAsia="ja-JP"/>
        </w:rPr>
      </w:pPr>
      <w:r>
        <w:rPr>
          <w:lang w:eastAsia="ja-JP"/>
        </w:rPr>
        <w:t xml:space="preserve">All cataracts AEs (that is, cataract AEs plus cataract subcapsular AEs combined) were reported for 11.8% of DEX 700 and 5.3% of Sham patients over the 6 month period (2.2 fold more in the DEX 700 group compared with Sham). In contrast, in Studies 008/009 </w:t>
      </w:r>
      <w:r>
        <w:rPr>
          <w:lang w:eastAsia="ja-JP"/>
        </w:rPr>
        <w:lastRenderedPageBreak/>
        <w:t xml:space="preserve">(RVO) cataracts were reported for 7.4% versus 4.5% (1.6 times more for DEX 700 than Sham) in the first 6-month period. In those RVO studies rates of all cataract events increased to approximately 25% over the following 6 month period. Whilst cataract development from corticosteroid exposure is well characterised and recognised with </w:t>
      </w:r>
      <w:r w:rsidR="00747662">
        <w:rPr>
          <w:lang w:eastAsia="ja-JP"/>
        </w:rPr>
        <w:t>Ozurdex</w:t>
      </w:r>
      <w:r>
        <w:rPr>
          <w:lang w:eastAsia="ja-JP"/>
        </w:rPr>
        <w:t>, higher rates of cataract development for an indication associated with having a younger demographic that may potentially require re-treatment is a concern as these rates only reflect the first 6 months of exposure with evidence from other studies reporting that rates of new cataract reporting increased with extended exposure. This must be balanced with evidence that cataract formation is also a recognised complication of posterior segment uveitis without adequate treatment.</w:t>
      </w:r>
    </w:p>
    <w:p w:rsidR="00DD5AB0" w:rsidRDefault="00DD5AB0" w:rsidP="00DD5AB0">
      <w:r>
        <w:t>Biomicroscopy and ophthalmoscopy revealed similar rates (93% and 88% of DEX 700 and Sham) of new findings or pre-existing</w:t>
      </w:r>
      <w:r w:rsidRPr="009320D5">
        <w:t xml:space="preserve"> </w:t>
      </w:r>
      <w:r>
        <w:t xml:space="preserve">findings at Baseline </w:t>
      </w:r>
      <w:r w:rsidRPr="009320D5">
        <w:t xml:space="preserve">worsening </w:t>
      </w:r>
      <w:r>
        <w:t xml:space="preserve">by ≥ </w:t>
      </w:r>
      <w:r w:rsidRPr="009320D5">
        <w:t>1 gra</w:t>
      </w:r>
      <w:r>
        <w:t>de over the study. Reported deterioration of ≥</w:t>
      </w:r>
      <w:r w:rsidRPr="009320D5">
        <w:t xml:space="preserve"> 2 grades </w:t>
      </w:r>
      <w:r>
        <w:t>was more common with S</w:t>
      </w:r>
      <w:r w:rsidRPr="009320D5">
        <w:t xml:space="preserve">ham </w:t>
      </w:r>
      <w:r>
        <w:t xml:space="preserve">than DEX 700 </w:t>
      </w:r>
      <w:r w:rsidRPr="009320D5">
        <w:t>(55%</w:t>
      </w:r>
      <w:r>
        <w:t xml:space="preserve"> and 47% respectively). Only slightly increased incidences of vision </w:t>
      </w:r>
      <w:r w:rsidRPr="009320D5">
        <w:t xml:space="preserve">reduced, </w:t>
      </w:r>
      <w:r>
        <w:t xml:space="preserve">cataracts and </w:t>
      </w:r>
      <w:r w:rsidRPr="009320D5">
        <w:t>vitreous floaters</w:t>
      </w:r>
      <w:r>
        <w:t xml:space="preserve"> were reported for DEX 700 with no significant between-group differences.</w:t>
      </w:r>
    </w:p>
    <w:p w:rsidR="00DD5AB0" w:rsidRPr="00586F98" w:rsidRDefault="00DD5AB0" w:rsidP="00DD5AB0">
      <w:pPr>
        <w:rPr>
          <w:lang w:eastAsia="ja-JP"/>
        </w:rPr>
      </w:pPr>
      <w:r>
        <w:t xml:space="preserve">In conclusion the overall safety profile of </w:t>
      </w:r>
      <w:r w:rsidR="00747662">
        <w:t>Ozurdex</w:t>
      </w:r>
      <w:r>
        <w:t xml:space="preserve"> for the indication of non-infectious uveitis of the posterior segment was comparable to that demonstrated for the indications of macular oedema secondary to RVO and DME.</w:t>
      </w:r>
    </w:p>
    <w:p w:rsidR="00C22678" w:rsidRDefault="00C22678" w:rsidP="00C22678">
      <w:pPr>
        <w:pStyle w:val="Heading2"/>
      </w:pPr>
      <w:bookmarkStart w:id="345" w:name="_Toc6313908"/>
      <w:r>
        <w:t>First round benefit-risk assessment</w:t>
      </w:r>
      <w:bookmarkEnd w:id="345"/>
    </w:p>
    <w:p w:rsidR="00DD5AB0" w:rsidRDefault="00DD5AB0" w:rsidP="00DD5AB0">
      <w:pPr>
        <w:pStyle w:val="Heading3"/>
        <w:tabs>
          <w:tab w:val="clear" w:pos="1135"/>
          <w:tab w:val="num" w:pos="1022"/>
        </w:tabs>
      </w:pPr>
      <w:bookmarkStart w:id="346" w:name="_Toc471225130"/>
      <w:bookmarkStart w:id="347" w:name="_Toc6313909"/>
      <w:r w:rsidRPr="00545B14">
        <w:t xml:space="preserve">First round assessment of </w:t>
      </w:r>
      <w:r w:rsidRPr="000D5752">
        <w:t>benefits</w:t>
      </w:r>
      <w:bookmarkEnd w:id="346"/>
      <w:bookmarkEnd w:id="347"/>
      <w:r>
        <w:t xml:space="preserve"> </w:t>
      </w:r>
    </w:p>
    <w:p w:rsidR="00AD25F1" w:rsidRDefault="00AD25F1" w:rsidP="00AD25F1">
      <w:pPr>
        <w:rPr>
          <w:lang w:eastAsia="ja-JP"/>
        </w:rPr>
      </w:pPr>
      <w:r>
        <w:rPr>
          <w:lang w:eastAsia="ja-JP"/>
        </w:rPr>
        <w:t>See data</w:t>
      </w:r>
    </w:p>
    <w:p w:rsidR="00AD25F1" w:rsidRPr="00AD25F1" w:rsidRDefault="00AD25F1" w:rsidP="004E2C51">
      <w:pPr>
        <w:pStyle w:val="Tabletitle"/>
        <w:numPr>
          <w:ilvl w:val="0"/>
          <w:numId w:val="21"/>
        </w:numPr>
        <w:spacing w:after="120" w:line="240" w:lineRule="auto"/>
        <w:ind w:left="1134" w:hanging="1134"/>
        <w:rPr>
          <w:lang w:eastAsia="ja-JP"/>
        </w:rPr>
      </w:pPr>
      <w:r w:rsidRPr="00AD25F1">
        <w:t>Indication: RVO</w:t>
      </w:r>
    </w:p>
    <w:tbl>
      <w:tblPr>
        <w:tblStyle w:val="TableGrid"/>
        <w:tblW w:w="0" w:type="auto"/>
        <w:tblInd w:w="108" w:type="dxa"/>
        <w:tblLook w:val="04A0" w:firstRow="1" w:lastRow="0" w:firstColumn="1" w:lastColumn="0" w:noHBand="0" w:noVBand="1"/>
        <w:tblDescription w:val="Indication: RVO"/>
      </w:tblPr>
      <w:tblGrid>
        <w:gridCol w:w="2791"/>
        <w:gridCol w:w="5821"/>
      </w:tblGrid>
      <w:tr w:rsidR="00DD5AB0" w:rsidRPr="00C37A1D" w:rsidTr="00AD25F1">
        <w:trPr>
          <w:tblHeader/>
        </w:trPr>
        <w:tc>
          <w:tcPr>
            <w:tcW w:w="8612" w:type="dxa"/>
            <w:gridSpan w:val="2"/>
            <w:shd w:val="clear" w:color="auto" w:fill="006DA7" w:themeFill="accent3"/>
          </w:tcPr>
          <w:p w:rsidR="00DD5AB0" w:rsidRPr="0013182D" w:rsidRDefault="00DD5AB0" w:rsidP="002A468E">
            <w:pPr>
              <w:rPr>
                <w:rFonts w:asciiTheme="minorHAnsi" w:hAnsiTheme="minorHAnsi"/>
                <w:b/>
                <w:color w:val="FFFFFF" w:themeColor="background1"/>
              </w:rPr>
            </w:pPr>
            <w:r w:rsidRPr="0013182D">
              <w:rPr>
                <w:rFonts w:asciiTheme="minorHAnsi" w:hAnsiTheme="minorHAnsi"/>
                <w:b/>
                <w:color w:val="FFFFFF" w:themeColor="background1"/>
              </w:rPr>
              <w:t>Indication</w:t>
            </w:r>
            <w:r>
              <w:rPr>
                <w:rFonts w:asciiTheme="minorHAnsi" w:hAnsiTheme="minorHAnsi"/>
                <w:b/>
                <w:color w:val="FFFFFF" w:themeColor="background1"/>
              </w:rPr>
              <w:t>: RVO</w:t>
            </w:r>
          </w:p>
        </w:tc>
      </w:tr>
      <w:tr w:rsidR="00DD5AB0" w:rsidRPr="00C37A1D" w:rsidTr="00AD25F1">
        <w:trPr>
          <w:tblHeader/>
        </w:trPr>
        <w:tc>
          <w:tcPr>
            <w:tcW w:w="2791" w:type="dxa"/>
            <w:shd w:val="clear" w:color="auto" w:fill="00517D" w:themeFill="accent3" w:themeFillShade="BF"/>
          </w:tcPr>
          <w:p w:rsidR="00DD5AB0" w:rsidRPr="0013182D" w:rsidRDefault="00DD5AB0" w:rsidP="002A468E">
            <w:pPr>
              <w:rPr>
                <w:rFonts w:asciiTheme="minorHAnsi" w:hAnsiTheme="minorHAnsi"/>
                <w:b/>
                <w:color w:val="FFFFFF" w:themeColor="background1"/>
              </w:rPr>
            </w:pPr>
            <w:r w:rsidRPr="0013182D">
              <w:rPr>
                <w:rFonts w:asciiTheme="minorHAnsi" w:hAnsiTheme="minorHAnsi"/>
                <w:b/>
                <w:color w:val="FFFFFF" w:themeColor="background1"/>
              </w:rPr>
              <w:t>Benefits</w:t>
            </w:r>
            <w:r>
              <w:rPr>
                <w:rFonts w:asciiTheme="minorHAnsi" w:hAnsiTheme="minorHAnsi"/>
                <w:b/>
                <w:color w:val="FFFFFF" w:themeColor="background1"/>
              </w:rPr>
              <w:t xml:space="preserve"> and strengths</w:t>
            </w:r>
          </w:p>
        </w:tc>
        <w:tc>
          <w:tcPr>
            <w:tcW w:w="5821" w:type="dxa"/>
            <w:shd w:val="clear" w:color="auto" w:fill="00517D" w:themeFill="accent3" w:themeFillShade="BF"/>
          </w:tcPr>
          <w:p w:rsidR="00DD5AB0" w:rsidRPr="0013182D" w:rsidRDefault="00DD5AB0" w:rsidP="002A468E">
            <w:pPr>
              <w:rPr>
                <w:rFonts w:asciiTheme="minorHAnsi" w:hAnsiTheme="minorHAnsi"/>
                <w:b/>
                <w:color w:val="FFFFFF" w:themeColor="background1"/>
              </w:rPr>
            </w:pPr>
            <w:r w:rsidRPr="0013182D">
              <w:rPr>
                <w:rFonts w:asciiTheme="minorHAnsi" w:hAnsiTheme="minorHAnsi"/>
                <w:b/>
                <w:color w:val="FFFFFF" w:themeColor="background1"/>
              </w:rPr>
              <w:t>Uncertainties</w:t>
            </w:r>
          </w:p>
        </w:tc>
      </w:tr>
      <w:tr w:rsidR="00DD5AB0" w:rsidRPr="00C37A1D" w:rsidTr="00AD25F1">
        <w:trPr>
          <w:trHeight w:val="1509"/>
          <w:tblHeader/>
        </w:trPr>
        <w:tc>
          <w:tcPr>
            <w:tcW w:w="2791" w:type="dxa"/>
          </w:tcPr>
          <w:p w:rsidR="00DD5AB0" w:rsidRPr="00FD00DC" w:rsidRDefault="00DD5AB0" w:rsidP="002A468E">
            <w:pPr>
              <w:pStyle w:val="ListBullet"/>
            </w:pPr>
            <w:r>
              <w:t>more rapid improvement (at 30 days) in visual acuity than sham group</w:t>
            </w:r>
          </w:p>
          <w:p w:rsidR="00DD5AB0" w:rsidRDefault="00DD5AB0" w:rsidP="002A468E">
            <w:pPr>
              <w:pStyle w:val="ListBullet"/>
            </w:pPr>
            <w:r>
              <w:t>Low systemic exposure</w:t>
            </w:r>
          </w:p>
          <w:p w:rsidR="00DD5AB0" w:rsidRDefault="00DD5AB0" w:rsidP="002A468E">
            <w:pPr>
              <w:pStyle w:val="ListBullet"/>
            </w:pPr>
            <w:r>
              <w:t xml:space="preserve">There is no loss of efficacy with one re-treatment </w:t>
            </w:r>
          </w:p>
          <w:p w:rsidR="00DD5AB0" w:rsidRPr="005A3757" w:rsidRDefault="00DD5AB0" w:rsidP="002A468E">
            <w:pPr>
              <w:pStyle w:val="ListBullet"/>
            </w:pPr>
            <w:r>
              <w:t>low drop out rate in clinical trials- therefore procedure tolerated</w:t>
            </w:r>
          </w:p>
        </w:tc>
        <w:tc>
          <w:tcPr>
            <w:tcW w:w="5821" w:type="dxa"/>
          </w:tcPr>
          <w:p w:rsidR="00DD5AB0" w:rsidRDefault="00DD5AB0" w:rsidP="002A468E">
            <w:pPr>
              <w:pStyle w:val="ListBullet"/>
            </w:pPr>
            <w:r>
              <w:t>questionable generalizability- inclusion criteria based on VA and retinal thickness; excluded patients with other ophthalmological and systemic conditions</w:t>
            </w:r>
          </w:p>
          <w:p w:rsidR="00DD5AB0" w:rsidRDefault="00DD5AB0" w:rsidP="002A468E">
            <w:pPr>
              <w:pStyle w:val="ListBullet"/>
            </w:pPr>
            <w:r>
              <w:t>Concerns that meaningful clinical improvement in visual acuity is reduced by Day 90 and lost by day 180.</w:t>
            </w:r>
          </w:p>
          <w:p w:rsidR="00DD5AB0" w:rsidRDefault="00DD5AB0" w:rsidP="002A468E">
            <w:pPr>
              <w:pStyle w:val="ListBullet"/>
            </w:pPr>
            <w:r>
              <w:t>Decreased efficacy beyond 90 days questions surrounding re-treatment timing.</w:t>
            </w:r>
          </w:p>
          <w:p w:rsidR="00DD5AB0" w:rsidRPr="009D44D2" w:rsidRDefault="00DD5AB0" w:rsidP="002A468E">
            <w:pPr>
              <w:pStyle w:val="ListBullet"/>
            </w:pPr>
            <w:r>
              <w:t xml:space="preserve">No </w:t>
            </w:r>
            <w:r w:rsidRPr="009D44D2">
              <w:t>measure of quality of life or what patients thought of benefits versus risks</w:t>
            </w:r>
          </w:p>
        </w:tc>
      </w:tr>
    </w:tbl>
    <w:p w:rsidR="00DD5AB0" w:rsidRPr="00AD25F1" w:rsidRDefault="00AD25F1" w:rsidP="00F73584">
      <w:pPr>
        <w:pStyle w:val="Tabletitle"/>
        <w:pageBreakBefore/>
        <w:numPr>
          <w:ilvl w:val="0"/>
          <w:numId w:val="21"/>
        </w:numPr>
        <w:spacing w:after="120" w:line="240" w:lineRule="auto"/>
        <w:ind w:left="1134" w:hanging="1134"/>
      </w:pPr>
      <w:bookmarkStart w:id="348" w:name="_Toc236802596"/>
      <w:bookmarkStart w:id="349" w:name="_Toc241374334"/>
      <w:bookmarkStart w:id="350" w:name="_Ref272160964"/>
      <w:bookmarkStart w:id="351" w:name="_Toc272414694"/>
      <w:bookmarkStart w:id="352" w:name="_Toc290888558"/>
      <w:bookmarkStart w:id="353" w:name="_Toc416353773"/>
      <w:bookmarkStart w:id="354" w:name="_Toc421005315"/>
      <w:bookmarkStart w:id="355" w:name="_Toc432079186"/>
      <w:bookmarkStart w:id="356" w:name="_Toc432080759"/>
      <w:r w:rsidRPr="00AD25F1">
        <w:lastRenderedPageBreak/>
        <w:t>Indication:  Non-infectious uveitis affecting the posterior segment of the eye</w:t>
      </w:r>
    </w:p>
    <w:tbl>
      <w:tblPr>
        <w:tblStyle w:val="TableGrid"/>
        <w:tblW w:w="0" w:type="auto"/>
        <w:tblInd w:w="108" w:type="dxa"/>
        <w:tblLook w:val="04A0" w:firstRow="1" w:lastRow="0" w:firstColumn="1" w:lastColumn="0" w:noHBand="0" w:noVBand="1"/>
        <w:tblDescription w:val="Indication:  Non-infectious uveitis affecting the posterior segment of the eye"/>
      </w:tblPr>
      <w:tblGrid>
        <w:gridCol w:w="2798"/>
        <w:gridCol w:w="5814"/>
      </w:tblGrid>
      <w:tr w:rsidR="00DD5AB0" w:rsidRPr="00C37A1D" w:rsidTr="002A468E">
        <w:trPr>
          <w:trHeight w:val="466"/>
          <w:tblHeader/>
        </w:trPr>
        <w:tc>
          <w:tcPr>
            <w:tcW w:w="8858" w:type="dxa"/>
            <w:gridSpan w:val="2"/>
            <w:shd w:val="clear" w:color="auto" w:fill="006DA7" w:themeFill="accent3"/>
          </w:tcPr>
          <w:p w:rsidR="00DD5AB0" w:rsidRPr="0013182D" w:rsidRDefault="00DD5AB0" w:rsidP="002A468E">
            <w:pPr>
              <w:rPr>
                <w:rFonts w:asciiTheme="minorHAnsi" w:hAnsiTheme="minorHAnsi"/>
                <w:b/>
                <w:color w:val="FFFFFF" w:themeColor="background1"/>
              </w:rPr>
            </w:pPr>
            <w:r w:rsidRPr="0013182D">
              <w:rPr>
                <w:rFonts w:asciiTheme="minorHAnsi" w:hAnsiTheme="minorHAnsi"/>
                <w:b/>
                <w:color w:val="FFFFFF" w:themeColor="background1"/>
              </w:rPr>
              <w:t>Indication</w:t>
            </w:r>
            <w:r>
              <w:rPr>
                <w:rFonts w:asciiTheme="minorHAnsi" w:hAnsiTheme="minorHAnsi"/>
                <w:b/>
                <w:color w:val="FFFFFF" w:themeColor="background1"/>
              </w:rPr>
              <w:t xml:space="preserve">:  </w:t>
            </w:r>
            <w:r w:rsidRPr="00051400">
              <w:rPr>
                <w:rFonts w:asciiTheme="minorHAnsi" w:hAnsiTheme="minorHAnsi"/>
                <w:b/>
                <w:color w:val="FFFFFF" w:themeColor="background1"/>
              </w:rPr>
              <w:t>Non-infectious uveitis affecting the posterior segment of the eye</w:t>
            </w:r>
          </w:p>
        </w:tc>
      </w:tr>
      <w:tr w:rsidR="00DD5AB0" w:rsidRPr="00C37A1D" w:rsidTr="002A468E">
        <w:trPr>
          <w:trHeight w:val="553"/>
          <w:tblHeader/>
        </w:trPr>
        <w:tc>
          <w:tcPr>
            <w:tcW w:w="2857" w:type="dxa"/>
            <w:shd w:val="clear" w:color="auto" w:fill="00517D" w:themeFill="accent3" w:themeFillShade="BF"/>
          </w:tcPr>
          <w:p w:rsidR="00DD5AB0" w:rsidRPr="0013182D" w:rsidRDefault="00DD5AB0" w:rsidP="002A468E">
            <w:pPr>
              <w:rPr>
                <w:rFonts w:asciiTheme="minorHAnsi" w:hAnsiTheme="minorHAnsi"/>
                <w:b/>
                <w:color w:val="FFFFFF" w:themeColor="background1"/>
              </w:rPr>
            </w:pPr>
            <w:r w:rsidRPr="0013182D">
              <w:rPr>
                <w:rFonts w:asciiTheme="minorHAnsi" w:hAnsiTheme="minorHAnsi"/>
                <w:b/>
                <w:color w:val="FFFFFF" w:themeColor="background1"/>
              </w:rPr>
              <w:t>Benefits</w:t>
            </w:r>
            <w:r>
              <w:rPr>
                <w:rFonts w:asciiTheme="minorHAnsi" w:hAnsiTheme="minorHAnsi"/>
                <w:b/>
                <w:color w:val="FFFFFF" w:themeColor="background1"/>
              </w:rPr>
              <w:t xml:space="preserve"> and strengths</w:t>
            </w:r>
          </w:p>
        </w:tc>
        <w:tc>
          <w:tcPr>
            <w:tcW w:w="6001" w:type="dxa"/>
            <w:shd w:val="clear" w:color="auto" w:fill="00517D" w:themeFill="accent3" w:themeFillShade="BF"/>
          </w:tcPr>
          <w:p w:rsidR="00DD5AB0" w:rsidRPr="0013182D" w:rsidRDefault="00DD5AB0" w:rsidP="002A468E">
            <w:pPr>
              <w:rPr>
                <w:rFonts w:asciiTheme="minorHAnsi" w:hAnsiTheme="minorHAnsi"/>
                <w:b/>
                <w:color w:val="FFFFFF" w:themeColor="background1"/>
              </w:rPr>
            </w:pPr>
            <w:r w:rsidRPr="0013182D">
              <w:rPr>
                <w:rFonts w:asciiTheme="minorHAnsi" w:hAnsiTheme="minorHAnsi"/>
                <w:b/>
                <w:color w:val="FFFFFF" w:themeColor="background1"/>
              </w:rPr>
              <w:t>Uncertainties</w:t>
            </w:r>
          </w:p>
        </w:tc>
      </w:tr>
      <w:tr w:rsidR="00DD5AB0" w:rsidRPr="00C37A1D" w:rsidTr="002A468E">
        <w:trPr>
          <w:trHeight w:val="2791"/>
          <w:tblHeader/>
        </w:trPr>
        <w:tc>
          <w:tcPr>
            <w:tcW w:w="2857" w:type="dxa"/>
          </w:tcPr>
          <w:p w:rsidR="00DD5AB0" w:rsidRDefault="00DD5AB0" w:rsidP="002A468E">
            <w:pPr>
              <w:pStyle w:val="ListBullet"/>
            </w:pPr>
            <w:r>
              <w:t>Increase in proportions with a vitreous haze score of zero</w:t>
            </w:r>
          </w:p>
          <w:p w:rsidR="00DD5AB0" w:rsidRDefault="00DD5AB0" w:rsidP="002A468E">
            <w:pPr>
              <w:pStyle w:val="ListBullet"/>
            </w:pPr>
            <w:r>
              <w:t>Improved visual acuity</w:t>
            </w:r>
          </w:p>
          <w:p w:rsidR="00DD5AB0" w:rsidRDefault="00DD5AB0" w:rsidP="002A468E">
            <w:pPr>
              <w:pStyle w:val="ListBullet"/>
            </w:pPr>
            <w:r>
              <w:t>Rapid onset of action</w:t>
            </w:r>
          </w:p>
          <w:p w:rsidR="00DD5AB0" w:rsidRDefault="00DD5AB0" w:rsidP="002A468E">
            <w:pPr>
              <w:pStyle w:val="ListBullet"/>
            </w:pPr>
            <w:r>
              <w:t>Low systemic exposure</w:t>
            </w:r>
          </w:p>
          <w:p w:rsidR="00DD5AB0" w:rsidRDefault="00DD5AB0" w:rsidP="002A468E">
            <w:pPr>
              <w:pStyle w:val="ListBullet"/>
            </w:pPr>
            <w:r>
              <w:t>clinically improvement sustained</w:t>
            </w:r>
          </w:p>
          <w:p w:rsidR="00DD5AB0" w:rsidRPr="00111D0E" w:rsidRDefault="00DD5AB0" w:rsidP="002A468E">
            <w:pPr>
              <w:pStyle w:val="ListBullet"/>
              <w:numPr>
                <w:ilvl w:val="0"/>
                <w:numId w:val="0"/>
              </w:numPr>
            </w:pPr>
          </w:p>
        </w:tc>
        <w:tc>
          <w:tcPr>
            <w:tcW w:w="6001" w:type="dxa"/>
          </w:tcPr>
          <w:p w:rsidR="00DD5AB0" w:rsidRDefault="00DD5AB0" w:rsidP="002A468E">
            <w:pPr>
              <w:pStyle w:val="ListBullet"/>
            </w:pPr>
            <w:r>
              <w:t>No follow-up data beyond Week 26 is available (in comparison to RVO studies that had 12-month follow up data in patients that received a single implant and didn’t enter the OL extension).</w:t>
            </w:r>
          </w:p>
          <w:p w:rsidR="00DD5AB0" w:rsidRPr="00111D0E" w:rsidRDefault="00DD5AB0" w:rsidP="002A468E">
            <w:pPr>
              <w:pStyle w:val="ListBullet"/>
            </w:pPr>
            <w:r>
              <w:t xml:space="preserve">No data submitted regarding re-treatment efficacy </w:t>
            </w:r>
            <w:r>
              <w:br/>
            </w:r>
            <w:r>
              <w:br/>
            </w:r>
          </w:p>
        </w:tc>
      </w:tr>
    </w:tbl>
    <w:p w:rsidR="00DD5AB0" w:rsidRDefault="00DD5AB0" w:rsidP="00DD5AB0">
      <w:pPr>
        <w:pStyle w:val="Heading3"/>
        <w:tabs>
          <w:tab w:val="clear" w:pos="1135"/>
          <w:tab w:val="num" w:pos="1022"/>
        </w:tabs>
      </w:pPr>
      <w:bookmarkStart w:id="357" w:name="_Toc471225131"/>
      <w:bookmarkStart w:id="358" w:name="_Toc6313910"/>
      <w:r w:rsidRPr="000D5752">
        <w:t>First round assessment of risks</w:t>
      </w:r>
      <w:bookmarkEnd w:id="348"/>
      <w:bookmarkEnd w:id="349"/>
      <w:bookmarkEnd w:id="350"/>
      <w:bookmarkEnd w:id="351"/>
      <w:bookmarkEnd w:id="352"/>
      <w:bookmarkEnd w:id="353"/>
      <w:bookmarkEnd w:id="354"/>
      <w:bookmarkEnd w:id="355"/>
      <w:bookmarkEnd w:id="356"/>
      <w:bookmarkEnd w:id="357"/>
      <w:bookmarkEnd w:id="358"/>
    </w:p>
    <w:p w:rsidR="00AD25F1" w:rsidRDefault="00AD25F1" w:rsidP="00AD25F1">
      <w:pPr>
        <w:rPr>
          <w:lang w:eastAsia="ja-JP"/>
        </w:rPr>
      </w:pPr>
      <w:r>
        <w:rPr>
          <w:lang w:eastAsia="ja-JP"/>
        </w:rPr>
        <w:t>See data</w:t>
      </w:r>
    </w:p>
    <w:p w:rsidR="00AD25F1" w:rsidRPr="00B90ACD" w:rsidRDefault="00AD25F1" w:rsidP="004E2C51">
      <w:pPr>
        <w:pStyle w:val="Tabletitle"/>
        <w:numPr>
          <w:ilvl w:val="0"/>
          <w:numId w:val="21"/>
        </w:numPr>
        <w:spacing w:after="120" w:line="240" w:lineRule="auto"/>
        <w:ind w:left="1134" w:hanging="1134"/>
      </w:pPr>
      <w:r w:rsidRPr="00B90ACD">
        <w:t xml:space="preserve">Indication:  Non-infectious uveitis affecting the posterior segment of the eye </w:t>
      </w:r>
      <w:r w:rsidR="00066BA1" w:rsidRPr="00B90ACD">
        <w:t xml:space="preserve">or </w:t>
      </w:r>
      <w:r w:rsidRPr="00B90ACD">
        <w:t>RVO</w:t>
      </w:r>
    </w:p>
    <w:tbl>
      <w:tblPr>
        <w:tblStyle w:val="TableGrid"/>
        <w:tblW w:w="0" w:type="auto"/>
        <w:tblInd w:w="108" w:type="dxa"/>
        <w:tblLook w:val="04A0" w:firstRow="1" w:lastRow="0" w:firstColumn="1" w:lastColumn="0" w:noHBand="0" w:noVBand="1"/>
        <w:tblDescription w:val="Indication:  Non-infectious uveitis affecting the posterior segment of the eye or RVO"/>
      </w:tblPr>
      <w:tblGrid>
        <w:gridCol w:w="2792"/>
        <w:gridCol w:w="5820"/>
      </w:tblGrid>
      <w:tr w:rsidR="00DD5AB0" w:rsidRPr="00F73584" w:rsidTr="002A468E">
        <w:trPr>
          <w:tblHeader/>
        </w:trPr>
        <w:tc>
          <w:tcPr>
            <w:tcW w:w="8789" w:type="dxa"/>
            <w:gridSpan w:val="2"/>
            <w:shd w:val="clear" w:color="auto" w:fill="006DA7" w:themeFill="accent3"/>
          </w:tcPr>
          <w:p w:rsidR="00DD5AB0" w:rsidRPr="00F73584" w:rsidRDefault="00DD5AB0" w:rsidP="002A468E">
            <w:pPr>
              <w:rPr>
                <w:rFonts w:asciiTheme="minorHAnsi" w:hAnsiTheme="minorHAnsi"/>
                <w:b/>
                <w:color w:val="FFFFFF" w:themeColor="background1"/>
                <w:sz w:val="20"/>
                <w:szCs w:val="20"/>
              </w:rPr>
            </w:pPr>
            <w:r w:rsidRPr="00F73584">
              <w:rPr>
                <w:rFonts w:asciiTheme="minorHAnsi" w:hAnsiTheme="minorHAnsi"/>
                <w:b/>
                <w:color w:val="FFFFFF" w:themeColor="background1"/>
                <w:sz w:val="20"/>
                <w:szCs w:val="20"/>
              </w:rPr>
              <w:t>Indication:  Non-infectious uveitis affecting the posterior segment of the eye</w:t>
            </w:r>
          </w:p>
        </w:tc>
      </w:tr>
      <w:tr w:rsidR="00DD5AB0" w:rsidRPr="00F73584" w:rsidTr="002A468E">
        <w:trPr>
          <w:tblHeader/>
        </w:trPr>
        <w:tc>
          <w:tcPr>
            <w:tcW w:w="2835" w:type="dxa"/>
            <w:shd w:val="clear" w:color="auto" w:fill="00517D" w:themeFill="accent3" w:themeFillShade="BF"/>
          </w:tcPr>
          <w:p w:rsidR="00DD5AB0" w:rsidRPr="00F73584" w:rsidRDefault="00DD5AB0" w:rsidP="002A468E">
            <w:pPr>
              <w:rPr>
                <w:rFonts w:asciiTheme="minorHAnsi" w:hAnsiTheme="minorHAnsi"/>
                <w:b/>
                <w:color w:val="FFFFFF" w:themeColor="background1"/>
                <w:sz w:val="20"/>
                <w:szCs w:val="20"/>
              </w:rPr>
            </w:pPr>
            <w:r w:rsidRPr="00F73584">
              <w:rPr>
                <w:rFonts w:asciiTheme="minorHAnsi" w:hAnsiTheme="minorHAnsi"/>
                <w:b/>
                <w:color w:val="FFFFFF" w:themeColor="background1"/>
                <w:sz w:val="20"/>
                <w:szCs w:val="20"/>
              </w:rPr>
              <w:t>Risks</w:t>
            </w:r>
          </w:p>
        </w:tc>
        <w:tc>
          <w:tcPr>
            <w:tcW w:w="5954" w:type="dxa"/>
            <w:shd w:val="clear" w:color="auto" w:fill="00517D" w:themeFill="accent3" w:themeFillShade="BF"/>
          </w:tcPr>
          <w:p w:rsidR="00DD5AB0" w:rsidRPr="00F73584" w:rsidRDefault="00DD5AB0" w:rsidP="002A468E">
            <w:pPr>
              <w:rPr>
                <w:rFonts w:asciiTheme="minorHAnsi" w:hAnsiTheme="minorHAnsi"/>
                <w:b/>
                <w:color w:val="FFFFFF" w:themeColor="background1"/>
                <w:sz w:val="20"/>
                <w:szCs w:val="20"/>
              </w:rPr>
            </w:pPr>
            <w:r w:rsidRPr="00F73584">
              <w:rPr>
                <w:rFonts w:asciiTheme="minorHAnsi" w:hAnsiTheme="minorHAnsi"/>
                <w:b/>
                <w:color w:val="FFFFFF" w:themeColor="background1"/>
                <w:sz w:val="20"/>
                <w:szCs w:val="20"/>
              </w:rPr>
              <w:t>Strengths and Uncertainties</w:t>
            </w:r>
          </w:p>
        </w:tc>
      </w:tr>
      <w:tr w:rsidR="00DD5AB0" w:rsidRPr="00F73584" w:rsidTr="002A468E">
        <w:trPr>
          <w:trHeight w:val="2301"/>
        </w:trPr>
        <w:tc>
          <w:tcPr>
            <w:tcW w:w="2835" w:type="dxa"/>
          </w:tcPr>
          <w:p w:rsidR="00DD5AB0" w:rsidRPr="00F73584" w:rsidRDefault="00DD5AB0" w:rsidP="002A468E">
            <w:pPr>
              <w:pStyle w:val="ListBullet"/>
              <w:rPr>
                <w:sz w:val="20"/>
                <w:szCs w:val="20"/>
              </w:rPr>
            </w:pPr>
            <w:r w:rsidRPr="00F73584">
              <w:rPr>
                <w:sz w:val="20"/>
                <w:szCs w:val="20"/>
              </w:rPr>
              <w:t>AE associated with the procedure, including pain</w:t>
            </w:r>
          </w:p>
          <w:p w:rsidR="00DD5AB0" w:rsidRPr="00F73584" w:rsidRDefault="00DD5AB0" w:rsidP="002A468E">
            <w:pPr>
              <w:pStyle w:val="ListBullet"/>
              <w:rPr>
                <w:sz w:val="20"/>
                <w:szCs w:val="20"/>
              </w:rPr>
            </w:pPr>
            <w:r w:rsidRPr="00F73584">
              <w:rPr>
                <w:sz w:val="20"/>
                <w:szCs w:val="20"/>
              </w:rPr>
              <w:t>Increased IOP</w:t>
            </w:r>
          </w:p>
          <w:p w:rsidR="00DD5AB0" w:rsidRPr="00F73584" w:rsidRDefault="00DD5AB0" w:rsidP="002A468E">
            <w:pPr>
              <w:pStyle w:val="ListBullet"/>
              <w:rPr>
                <w:sz w:val="20"/>
                <w:szCs w:val="20"/>
              </w:rPr>
            </w:pPr>
            <w:r w:rsidRPr="00F73584">
              <w:rPr>
                <w:sz w:val="20"/>
                <w:szCs w:val="20"/>
              </w:rPr>
              <w:t>Cataracts</w:t>
            </w:r>
          </w:p>
          <w:p w:rsidR="00DD5AB0" w:rsidRPr="00F73584" w:rsidRDefault="00DD5AB0" w:rsidP="002A468E">
            <w:pPr>
              <w:pStyle w:val="ListBullet"/>
              <w:rPr>
                <w:sz w:val="20"/>
                <w:szCs w:val="20"/>
              </w:rPr>
            </w:pPr>
            <w:r w:rsidRPr="00F73584">
              <w:rPr>
                <w:sz w:val="20"/>
                <w:szCs w:val="20"/>
              </w:rPr>
              <w:t>Retinal detachment</w:t>
            </w:r>
          </w:p>
          <w:p w:rsidR="00DD5AB0" w:rsidRPr="00F73584" w:rsidRDefault="00DD5AB0" w:rsidP="002A468E">
            <w:pPr>
              <w:pStyle w:val="ListBullet"/>
              <w:rPr>
                <w:sz w:val="20"/>
                <w:szCs w:val="20"/>
              </w:rPr>
            </w:pPr>
            <w:r w:rsidRPr="00F73584">
              <w:rPr>
                <w:sz w:val="20"/>
                <w:szCs w:val="20"/>
              </w:rPr>
              <w:t>Infection</w:t>
            </w:r>
          </w:p>
        </w:tc>
        <w:tc>
          <w:tcPr>
            <w:tcW w:w="5954" w:type="dxa"/>
          </w:tcPr>
          <w:p w:rsidR="00DD5AB0" w:rsidRPr="00F73584" w:rsidRDefault="00DD5AB0" w:rsidP="002A468E">
            <w:pPr>
              <w:pStyle w:val="ListBullet"/>
              <w:rPr>
                <w:sz w:val="20"/>
                <w:szCs w:val="20"/>
              </w:rPr>
            </w:pPr>
            <w:r w:rsidRPr="00F73584">
              <w:rPr>
                <w:sz w:val="20"/>
                <w:szCs w:val="20"/>
              </w:rPr>
              <w:t xml:space="preserve">Limited duration of safety data (6-months) </w:t>
            </w:r>
          </w:p>
        </w:tc>
      </w:tr>
      <w:tr w:rsidR="00DD5AB0" w:rsidRPr="00F73584" w:rsidTr="002A468E">
        <w:trPr>
          <w:tblHeader/>
        </w:trPr>
        <w:tc>
          <w:tcPr>
            <w:tcW w:w="8789" w:type="dxa"/>
            <w:gridSpan w:val="2"/>
            <w:shd w:val="clear" w:color="auto" w:fill="006DA7" w:themeFill="accent3"/>
          </w:tcPr>
          <w:p w:rsidR="00DD5AB0" w:rsidRPr="00F73584" w:rsidRDefault="00DD5AB0" w:rsidP="002A468E">
            <w:pPr>
              <w:rPr>
                <w:rFonts w:asciiTheme="minorHAnsi" w:hAnsiTheme="minorHAnsi"/>
                <w:b/>
                <w:color w:val="FFFFFF" w:themeColor="background1"/>
                <w:sz w:val="20"/>
                <w:szCs w:val="20"/>
              </w:rPr>
            </w:pPr>
            <w:r w:rsidRPr="00F73584">
              <w:rPr>
                <w:rFonts w:asciiTheme="minorHAnsi" w:hAnsiTheme="minorHAnsi"/>
                <w:b/>
                <w:color w:val="FFFFFF" w:themeColor="background1"/>
                <w:sz w:val="20"/>
                <w:szCs w:val="20"/>
              </w:rPr>
              <w:t>Indication: RVO</w:t>
            </w:r>
          </w:p>
        </w:tc>
      </w:tr>
      <w:tr w:rsidR="00DD5AB0" w:rsidRPr="00F73584" w:rsidTr="002A468E">
        <w:trPr>
          <w:tblHeader/>
        </w:trPr>
        <w:tc>
          <w:tcPr>
            <w:tcW w:w="2835" w:type="dxa"/>
            <w:shd w:val="clear" w:color="auto" w:fill="00517D" w:themeFill="accent3" w:themeFillShade="BF"/>
          </w:tcPr>
          <w:p w:rsidR="00DD5AB0" w:rsidRPr="00F73584" w:rsidRDefault="00DD5AB0" w:rsidP="002A468E">
            <w:pPr>
              <w:rPr>
                <w:rFonts w:asciiTheme="minorHAnsi" w:hAnsiTheme="minorHAnsi"/>
                <w:b/>
                <w:color w:val="FFFFFF" w:themeColor="background1"/>
                <w:sz w:val="20"/>
                <w:szCs w:val="20"/>
              </w:rPr>
            </w:pPr>
            <w:r w:rsidRPr="00F73584">
              <w:rPr>
                <w:rFonts w:asciiTheme="minorHAnsi" w:hAnsiTheme="minorHAnsi"/>
                <w:b/>
                <w:color w:val="FFFFFF" w:themeColor="background1"/>
                <w:sz w:val="20"/>
                <w:szCs w:val="20"/>
              </w:rPr>
              <w:t>Risks</w:t>
            </w:r>
          </w:p>
        </w:tc>
        <w:tc>
          <w:tcPr>
            <w:tcW w:w="5954" w:type="dxa"/>
            <w:shd w:val="clear" w:color="auto" w:fill="00517D" w:themeFill="accent3" w:themeFillShade="BF"/>
          </w:tcPr>
          <w:p w:rsidR="00DD5AB0" w:rsidRPr="00F73584" w:rsidRDefault="00DD5AB0" w:rsidP="002A468E">
            <w:pPr>
              <w:rPr>
                <w:rFonts w:asciiTheme="minorHAnsi" w:hAnsiTheme="minorHAnsi"/>
                <w:b/>
                <w:color w:val="FFFFFF" w:themeColor="background1"/>
                <w:sz w:val="20"/>
                <w:szCs w:val="20"/>
              </w:rPr>
            </w:pPr>
            <w:r w:rsidRPr="00F73584">
              <w:rPr>
                <w:rFonts w:asciiTheme="minorHAnsi" w:hAnsiTheme="minorHAnsi"/>
                <w:b/>
                <w:color w:val="FFFFFF" w:themeColor="background1"/>
                <w:sz w:val="20"/>
                <w:szCs w:val="20"/>
              </w:rPr>
              <w:t>Strengths and Uncertainties</w:t>
            </w:r>
          </w:p>
        </w:tc>
      </w:tr>
      <w:tr w:rsidR="00DD5AB0" w:rsidRPr="00F73584" w:rsidTr="002A468E">
        <w:tc>
          <w:tcPr>
            <w:tcW w:w="2835" w:type="dxa"/>
          </w:tcPr>
          <w:p w:rsidR="00DD5AB0" w:rsidRPr="00F73584" w:rsidRDefault="00DD5AB0" w:rsidP="002A468E">
            <w:pPr>
              <w:pStyle w:val="ListBullet"/>
              <w:rPr>
                <w:sz w:val="20"/>
                <w:szCs w:val="20"/>
              </w:rPr>
            </w:pPr>
            <w:r w:rsidRPr="00F73584">
              <w:rPr>
                <w:sz w:val="20"/>
                <w:szCs w:val="20"/>
              </w:rPr>
              <w:t>Short term efficacy, therefore need for retreatment</w:t>
            </w:r>
          </w:p>
          <w:p w:rsidR="00DD5AB0" w:rsidRPr="00F73584" w:rsidRDefault="00DD5AB0" w:rsidP="002A468E">
            <w:pPr>
              <w:pStyle w:val="ListBullet"/>
              <w:rPr>
                <w:sz w:val="20"/>
                <w:szCs w:val="20"/>
              </w:rPr>
            </w:pPr>
            <w:r w:rsidRPr="00F73584">
              <w:rPr>
                <w:sz w:val="20"/>
                <w:szCs w:val="20"/>
              </w:rPr>
              <w:t>Invasive procedure- AE related to this</w:t>
            </w:r>
          </w:p>
          <w:p w:rsidR="00DD5AB0" w:rsidRPr="00F73584" w:rsidRDefault="00DD5AB0" w:rsidP="002A468E">
            <w:pPr>
              <w:pStyle w:val="ListBullet"/>
              <w:rPr>
                <w:sz w:val="20"/>
                <w:szCs w:val="20"/>
              </w:rPr>
            </w:pPr>
            <w:r w:rsidRPr="00F73584">
              <w:rPr>
                <w:sz w:val="20"/>
                <w:szCs w:val="20"/>
              </w:rPr>
              <w:t xml:space="preserve">Increased IOP </w:t>
            </w:r>
          </w:p>
          <w:p w:rsidR="00DD5AB0" w:rsidRPr="00F73584" w:rsidRDefault="00DD5AB0" w:rsidP="002A468E">
            <w:pPr>
              <w:pStyle w:val="ListBullet"/>
              <w:rPr>
                <w:sz w:val="20"/>
                <w:szCs w:val="20"/>
              </w:rPr>
            </w:pPr>
            <w:r w:rsidRPr="00F73584">
              <w:rPr>
                <w:sz w:val="20"/>
                <w:szCs w:val="20"/>
              </w:rPr>
              <w:t>Cataract</w:t>
            </w:r>
          </w:p>
          <w:p w:rsidR="00DD5AB0" w:rsidRPr="00F73584" w:rsidRDefault="00DD5AB0" w:rsidP="002A468E">
            <w:pPr>
              <w:pStyle w:val="ListBullet"/>
              <w:rPr>
                <w:sz w:val="20"/>
                <w:szCs w:val="20"/>
              </w:rPr>
            </w:pPr>
            <w:r w:rsidRPr="00F73584">
              <w:rPr>
                <w:sz w:val="20"/>
                <w:szCs w:val="20"/>
              </w:rPr>
              <w:t>infection</w:t>
            </w:r>
          </w:p>
        </w:tc>
        <w:tc>
          <w:tcPr>
            <w:tcW w:w="5954" w:type="dxa"/>
          </w:tcPr>
          <w:p w:rsidR="00DD5AB0" w:rsidRPr="00F73584" w:rsidRDefault="00DD5AB0" w:rsidP="002A468E">
            <w:pPr>
              <w:pStyle w:val="ListBullet"/>
              <w:rPr>
                <w:sz w:val="20"/>
                <w:szCs w:val="20"/>
              </w:rPr>
            </w:pPr>
            <w:r w:rsidRPr="00F73584">
              <w:rPr>
                <w:sz w:val="20"/>
                <w:szCs w:val="20"/>
              </w:rPr>
              <w:t>Lack of data in patients with RVO  requiring &gt; 2 implants or injections more frequently than every 6 months</w:t>
            </w:r>
          </w:p>
          <w:p w:rsidR="00DD5AB0" w:rsidRPr="00F73584" w:rsidRDefault="00DD5AB0" w:rsidP="002A468E">
            <w:pPr>
              <w:rPr>
                <w:sz w:val="20"/>
                <w:szCs w:val="20"/>
              </w:rPr>
            </w:pPr>
          </w:p>
        </w:tc>
      </w:tr>
    </w:tbl>
    <w:p w:rsidR="00DD5AB0" w:rsidRPr="00545B14" w:rsidRDefault="00DD5AB0" w:rsidP="00DD5AB0">
      <w:pPr>
        <w:pStyle w:val="Heading3"/>
        <w:tabs>
          <w:tab w:val="clear" w:pos="1135"/>
          <w:tab w:val="num" w:pos="1022"/>
        </w:tabs>
      </w:pPr>
      <w:bookmarkStart w:id="359" w:name="_Toc236802597"/>
      <w:bookmarkStart w:id="360" w:name="_Toc241374335"/>
      <w:bookmarkStart w:id="361" w:name="_Toc272414695"/>
      <w:bookmarkStart w:id="362" w:name="_Toc290888559"/>
      <w:bookmarkStart w:id="363" w:name="_Toc416353775"/>
      <w:bookmarkStart w:id="364" w:name="_Toc421005316"/>
      <w:bookmarkStart w:id="365" w:name="_Toc432079187"/>
      <w:bookmarkStart w:id="366" w:name="_Toc432080760"/>
      <w:bookmarkStart w:id="367" w:name="_Toc471225132"/>
      <w:bookmarkStart w:id="368" w:name="_Toc6313911"/>
      <w:r w:rsidRPr="00545B14">
        <w:lastRenderedPageBreak/>
        <w:t>First round assessment of benefit-risk</w:t>
      </w:r>
      <w:bookmarkEnd w:id="359"/>
      <w:bookmarkEnd w:id="360"/>
      <w:bookmarkEnd w:id="361"/>
      <w:bookmarkEnd w:id="362"/>
      <w:bookmarkEnd w:id="363"/>
      <w:bookmarkEnd w:id="364"/>
      <w:r>
        <w:t xml:space="preserve"> balance</w:t>
      </w:r>
      <w:bookmarkEnd w:id="365"/>
      <w:bookmarkEnd w:id="366"/>
      <w:bookmarkEnd w:id="367"/>
      <w:bookmarkEnd w:id="368"/>
    </w:p>
    <w:p w:rsidR="00DD5AB0" w:rsidRDefault="00DD5AB0" w:rsidP="00DD5AB0">
      <w:pPr>
        <w:pStyle w:val="Heading4"/>
      </w:pPr>
      <w:r>
        <w:t xml:space="preserve">Indication: </w:t>
      </w:r>
      <w:r w:rsidRPr="00C37D3E">
        <w:t>Macular oedema due to branch retinal vein occlusion (BRVO) or central retinal vein occlusion (CRVO)</w:t>
      </w:r>
    </w:p>
    <w:p w:rsidR="00DD5AB0" w:rsidRDefault="00DD5AB0" w:rsidP="00DD5AB0">
      <w:pPr>
        <w:rPr>
          <w:lang w:eastAsia="ja-JP"/>
        </w:rPr>
      </w:pPr>
      <w:r>
        <w:rPr>
          <w:lang w:eastAsia="ja-JP"/>
        </w:rPr>
        <w:t xml:space="preserve">At this time the benefit-risk balance is unfavourable. </w:t>
      </w:r>
    </w:p>
    <w:p w:rsidR="00DD5AB0" w:rsidRPr="00C37D3E" w:rsidRDefault="00DD5AB0" w:rsidP="00DD5AB0">
      <w:pPr>
        <w:pStyle w:val="Heading4"/>
      </w:pPr>
      <w:r>
        <w:t xml:space="preserve">Indication: </w:t>
      </w:r>
      <w:r w:rsidRPr="00C37D3E">
        <w:t>Non-infectious uveitis affecting the posterior segment of the eye</w:t>
      </w:r>
    </w:p>
    <w:p w:rsidR="00DD5AB0" w:rsidRPr="00586F98" w:rsidRDefault="00DD5AB0" w:rsidP="00DD5AB0">
      <w:pPr>
        <w:rPr>
          <w:lang w:eastAsia="ja-JP"/>
        </w:rPr>
      </w:pPr>
      <w:r>
        <w:rPr>
          <w:lang w:eastAsia="ja-JP"/>
        </w:rPr>
        <w:t xml:space="preserve">Overall, the benefit-risk balance of </w:t>
      </w:r>
      <w:r w:rsidR="00747662">
        <w:rPr>
          <w:lang w:eastAsia="ja-JP"/>
        </w:rPr>
        <w:t>Ozurdex</w:t>
      </w:r>
      <w:r>
        <w:rPr>
          <w:lang w:eastAsia="ja-JP"/>
        </w:rPr>
        <w:t xml:space="preserve"> for this indication is considered favourable.</w:t>
      </w:r>
    </w:p>
    <w:p w:rsidR="00C22678" w:rsidRDefault="00C22678" w:rsidP="00C22678">
      <w:pPr>
        <w:pStyle w:val="Heading2"/>
      </w:pPr>
      <w:bookmarkStart w:id="369" w:name="_Toc6313912"/>
      <w:r>
        <w:t>First round recommendation regarding authorisation</w:t>
      </w:r>
      <w:bookmarkEnd w:id="369"/>
    </w:p>
    <w:p w:rsidR="00887DD3" w:rsidRDefault="00887DD3" w:rsidP="00887DD3">
      <w:pPr>
        <w:pStyle w:val="Heading3"/>
        <w:numPr>
          <w:ilvl w:val="1"/>
          <w:numId w:val="5"/>
        </w:numPr>
        <w:ind w:left="907" w:hanging="794"/>
      </w:pPr>
      <w:bookmarkStart w:id="370" w:name="_Ref290665332"/>
      <w:bookmarkStart w:id="371" w:name="_Toc290888562"/>
      <w:bookmarkStart w:id="372" w:name="_Toc416353778"/>
      <w:bookmarkStart w:id="373" w:name="_Toc421005319"/>
      <w:bookmarkStart w:id="374" w:name="_Toc432079190"/>
      <w:bookmarkStart w:id="375" w:name="_Toc432080763"/>
      <w:bookmarkStart w:id="376" w:name="_Toc471225134"/>
      <w:bookmarkStart w:id="377" w:name="_Toc6313913"/>
      <w:r w:rsidRPr="00E92AEB">
        <w:t xml:space="preserve">First round comments on </w:t>
      </w:r>
      <w:bookmarkEnd w:id="370"/>
      <w:bookmarkEnd w:id="371"/>
      <w:bookmarkEnd w:id="372"/>
      <w:bookmarkEnd w:id="373"/>
      <w:bookmarkEnd w:id="374"/>
      <w:bookmarkEnd w:id="375"/>
      <w:r>
        <w:t>draft PI (clinical aspects)</w:t>
      </w:r>
      <w:bookmarkEnd w:id="376"/>
      <w:bookmarkEnd w:id="377"/>
    </w:p>
    <w:p w:rsidR="00887DD3" w:rsidRPr="002C113A" w:rsidRDefault="00887DD3" w:rsidP="00887DD3">
      <w:pPr>
        <w:pStyle w:val="Heading3"/>
        <w:numPr>
          <w:ilvl w:val="1"/>
          <w:numId w:val="5"/>
        </w:numPr>
        <w:ind w:left="907" w:hanging="794"/>
      </w:pPr>
      <w:bookmarkStart w:id="378" w:name="_Ref290637430"/>
      <w:bookmarkStart w:id="379" w:name="_Toc290888563"/>
      <w:bookmarkStart w:id="380" w:name="_Toc416353779"/>
      <w:bookmarkStart w:id="381" w:name="_Toc421005320"/>
      <w:bookmarkStart w:id="382" w:name="_Toc432079191"/>
      <w:bookmarkStart w:id="383" w:name="_Toc432080764"/>
      <w:bookmarkStart w:id="384" w:name="_Toc471225135"/>
      <w:bookmarkStart w:id="385" w:name="_Toc6313914"/>
      <w:r w:rsidRPr="00E92AEB">
        <w:t xml:space="preserve">First round comments on </w:t>
      </w:r>
      <w:bookmarkEnd w:id="378"/>
      <w:bookmarkEnd w:id="379"/>
      <w:bookmarkEnd w:id="380"/>
      <w:bookmarkEnd w:id="381"/>
      <w:bookmarkEnd w:id="382"/>
      <w:bookmarkEnd w:id="383"/>
      <w:r>
        <w:t>draft CMI (clinical aspects)</w:t>
      </w:r>
      <w:bookmarkEnd w:id="384"/>
      <w:bookmarkEnd w:id="385"/>
    </w:p>
    <w:p w:rsidR="00887DD3" w:rsidRDefault="00887DD3" w:rsidP="00887DD3">
      <w:pPr>
        <w:pStyle w:val="Heading3"/>
        <w:numPr>
          <w:ilvl w:val="1"/>
          <w:numId w:val="5"/>
        </w:numPr>
        <w:ind w:left="907" w:hanging="794"/>
      </w:pPr>
      <w:bookmarkStart w:id="386" w:name="_Ref290645401"/>
      <w:bookmarkStart w:id="387" w:name="_Toc290888564"/>
      <w:bookmarkStart w:id="388" w:name="_Toc416353780"/>
      <w:bookmarkStart w:id="389" w:name="_Toc421005321"/>
      <w:bookmarkStart w:id="390" w:name="_Toc432079192"/>
      <w:bookmarkStart w:id="391" w:name="_Toc432080765"/>
      <w:bookmarkStart w:id="392" w:name="_Toc471225136"/>
      <w:bookmarkStart w:id="393" w:name="_Toc6313915"/>
      <w:r w:rsidRPr="00E92AEB">
        <w:t xml:space="preserve">First </w:t>
      </w:r>
      <w:bookmarkEnd w:id="386"/>
      <w:bookmarkEnd w:id="387"/>
      <w:bookmarkEnd w:id="388"/>
      <w:bookmarkEnd w:id="389"/>
      <w:bookmarkEnd w:id="390"/>
      <w:bookmarkEnd w:id="391"/>
      <w:r w:rsidRPr="00E92AEB">
        <w:t xml:space="preserve">round comments </w:t>
      </w:r>
      <w:r>
        <w:t xml:space="preserve">on </w:t>
      </w:r>
      <w:r w:rsidRPr="00E92AEB">
        <w:t xml:space="preserve">draft </w:t>
      </w:r>
      <w:r>
        <w:t>RMP (Summary of Safety Concerns)</w:t>
      </w:r>
      <w:bookmarkEnd w:id="392"/>
      <w:bookmarkEnd w:id="393"/>
    </w:p>
    <w:p w:rsidR="00887DD3" w:rsidRPr="00B90ACD" w:rsidRDefault="00887DD3" w:rsidP="004E2C51">
      <w:pPr>
        <w:pStyle w:val="Tabletitle"/>
        <w:numPr>
          <w:ilvl w:val="0"/>
          <w:numId w:val="21"/>
        </w:numPr>
        <w:spacing w:after="120" w:line="240" w:lineRule="auto"/>
        <w:ind w:left="1134" w:hanging="1134"/>
      </w:pPr>
      <w:r w:rsidRPr="00B90ACD">
        <w:t>Summary of safety concerns</w:t>
      </w:r>
    </w:p>
    <w:p w:rsidR="00887DD3" w:rsidRDefault="00887DD3" w:rsidP="00887DD3">
      <w:pPr>
        <w:rPr>
          <w:lang w:eastAsia="ja-JP"/>
        </w:rPr>
      </w:pPr>
      <w:r>
        <w:rPr>
          <w:noProof/>
          <w:lang w:eastAsia="en-AU"/>
        </w:rPr>
        <w:drawing>
          <wp:inline distT="0" distB="0" distL="0" distR="0" wp14:anchorId="4F861293" wp14:editId="65836EB0">
            <wp:extent cx="5400040" cy="3077907"/>
            <wp:effectExtent l="0" t="0" r="0" b="8255"/>
            <wp:docPr id="7" name="Picture 7" descr="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00040" cy="3077907"/>
                    </a:xfrm>
                    <a:prstGeom prst="rect">
                      <a:avLst/>
                    </a:prstGeom>
                  </pic:spPr>
                </pic:pic>
              </a:graphicData>
            </a:graphic>
          </wp:inline>
        </w:drawing>
      </w:r>
    </w:p>
    <w:p w:rsidR="00887DD3" w:rsidRPr="00C05FED" w:rsidRDefault="00887DD3" w:rsidP="00887DD3">
      <w:pPr>
        <w:rPr>
          <w:lang w:eastAsia="ja-JP"/>
        </w:rPr>
      </w:pPr>
      <w:r w:rsidRPr="00C05FED">
        <w:rPr>
          <w:lang w:eastAsia="ja-JP"/>
        </w:rPr>
        <w:t>The summary of safety concerns is acceptable</w:t>
      </w:r>
    </w:p>
    <w:p w:rsidR="00C22678" w:rsidRDefault="00C22678" w:rsidP="00C22678">
      <w:pPr>
        <w:pStyle w:val="Heading2"/>
      </w:pPr>
      <w:bookmarkStart w:id="394" w:name="_Toc6313916"/>
      <w:r>
        <w:t>Clinical questions</w:t>
      </w:r>
      <w:bookmarkEnd w:id="394"/>
    </w:p>
    <w:p w:rsidR="00C22678" w:rsidRDefault="00C618F7" w:rsidP="00C618F7">
      <w:pPr>
        <w:pStyle w:val="Heading3"/>
      </w:pPr>
      <w:bookmarkStart w:id="395" w:name="_Toc6313917"/>
      <w:r>
        <w:t>Pharmacokinetics</w:t>
      </w:r>
      <w:bookmarkEnd w:id="395"/>
    </w:p>
    <w:p w:rsidR="00C618F7" w:rsidRPr="00586F98" w:rsidRDefault="00841B97" w:rsidP="00C618F7">
      <w:pPr>
        <w:rPr>
          <w:lang w:eastAsia="ja-JP"/>
        </w:rPr>
      </w:pPr>
      <w:r>
        <w:rPr>
          <w:lang w:eastAsia="ja-JP"/>
        </w:rPr>
        <w:t>No questions</w:t>
      </w:r>
    </w:p>
    <w:p w:rsidR="00C618F7" w:rsidRDefault="00C618F7" w:rsidP="00C618F7">
      <w:pPr>
        <w:pStyle w:val="Heading3"/>
      </w:pPr>
      <w:bookmarkStart w:id="396" w:name="_Toc6313918"/>
      <w:r>
        <w:lastRenderedPageBreak/>
        <w:t>Pharmacodynamics</w:t>
      </w:r>
      <w:bookmarkEnd w:id="396"/>
    </w:p>
    <w:p w:rsidR="00841B97" w:rsidRPr="00586F98" w:rsidRDefault="00841B97" w:rsidP="00841B97">
      <w:pPr>
        <w:rPr>
          <w:lang w:eastAsia="ja-JP"/>
        </w:rPr>
      </w:pPr>
      <w:r>
        <w:rPr>
          <w:lang w:eastAsia="ja-JP"/>
        </w:rPr>
        <w:t>No questions</w:t>
      </w:r>
    </w:p>
    <w:p w:rsidR="00C618F7" w:rsidRDefault="00C618F7" w:rsidP="00C618F7">
      <w:pPr>
        <w:pStyle w:val="Heading3"/>
      </w:pPr>
      <w:bookmarkStart w:id="397" w:name="_Toc6313919"/>
      <w:r>
        <w:t>Efficacy</w:t>
      </w:r>
      <w:bookmarkEnd w:id="397"/>
    </w:p>
    <w:p w:rsidR="00AD18C9" w:rsidRDefault="00AD18C9" w:rsidP="00273A57">
      <w:pPr>
        <w:pStyle w:val="Heading4"/>
      </w:pPr>
      <w:bookmarkStart w:id="398" w:name="_Toc272414705"/>
      <w:bookmarkStart w:id="399" w:name="_Toc290888571"/>
      <w:bookmarkStart w:id="400" w:name="_Toc416353787"/>
      <w:bookmarkStart w:id="401" w:name="_Toc421005327"/>
      <w:bookmarkStart w:id="402" w:name="_Toc432079198"/>
      <w:bookmarkStart w:id="403" w:name="_Toc432080771"/>
      <w:r>
        <w:t>RVO indication</w:t>
      </w:r>
    </w:p>
    <w:p w:rsidR="00AD18C9" w:rsidRPr="00273A57" w:rsidRDefault="00AD18C9" w:rsidP="00315535">
      <w:pPr>
        <w:pStyle w:val="ListBullet"/>
      </w:pPr>
      <w:r w:rsidRPr="00273A57">
        <w:t>For Study 008 (and the pooled pivotal studies) please justify the change the primary efficacy analysis from ‘proportions with BCVA improvement of ≥ 15 letters from Baseline in the ITT population at IT Day 180’ as per the original study protocol to:</w:t>
      </w:r>
    </w:p>
    <w:p w:rsidR="00AD18C9" w:rsidRDefault="00AD18C9" w:rsidP="00315535">
      <w:pPr>
        <w:pStyle w:val="ListBullet2"/>
        <w:rPr>
          <w:lang w:eastAsia="ja-JP"/>
        </w:rPr>
      </w:pPr>
      <w:r>
        <w:rPr>
          <w:lang w:eastAsia="ja-JP"/>
        </w:rPr>
        <w:t xml:space="preserve">‘time-to-achieve ≥ 15 letters improvement from Baseline BCVA’ </w:t>
      </w:r>
    </w:p>
    <w:p w:rsidR="00AD18C9" w:rsidRPr="00747CE9" w:rsidRDefault="00AD18C9" w:rsidP="00315535">
      <w:pPr>
        <w:pStyle w:val="ListBullet2"/>
        <w:rPr>
          <w:u w:val="single"/>
          <w:lang w:eastAsia="ja-JP"/>
        </w:rPr>
      </w:pPr>
      <w:r>
        <w:rPr>
          <w:lang w:eastAsia="ja-JP"/>
        </w:rPr>
        <w:t>‘</w:t>
      </w:r>
      <w:r w:rsidRPr="00CF40B2">
        <w:rPr>
          <w:lang w:eastAsia="ja-JP"/>
        </w:rPr>
        <w:t xml:space="preserve">proportions with BCVA improvement of ≥ 15 letters from Baseline in the ITT population </w:t>
      </w:r>
      <w:r w:rsidRPr="009075AF">
        <w:rPr>
          <w:lang w:eastAsia="ja-JP"/>
        </w:rPr>
        <w:t>at IT Day 90’</w:t>
      </w:r>
    </w:p>
    <w:p w:rsidR="00AD18C9" w:rsidRPr="00747CE9" w:rsidRDefault="00AD18C9" w:rsidP="00315535">
      <w:pPr>
        <w:pStyle w:val="ListBullet"/>
        <w:rPr>
          <w:u w:val="single"/>
          <w:lang w:eastAsia="ja-JP"/>
        </w:rPr>
      </w:pPr>
      <w:r>
        <w:rPr>
          <w:lang w:eastAsia="ja-JP"/>
        </w:rPr>
        <w:t xml:space="preserve">What was the rationale behind the choice of time-to-treatment response as the primary efficacy outcome measure for (amended) Study 008, the pooled analysis and Study </w:t>
      </w:r>
      <w:proofErr w:type="gramStart"/>
      <w:r>
        <w:rPr>
          <w:lang w:eastAsia="ja-JP"/>
        </w:rPr>
        <w:t>020 .</w:t>
      </w:r>
      <w:proofErr w:type="gramEnd"/>
      <w:r>
        <w:rPr>
          <w:lang w:eastAsia="ja-JP"/>
        </w:rPr>
        <w:t xml:space="preserve"> It is noted that in other clinical trials the primary efficacy outcome for RVO were proportions with ≥ 15 letter change in BCVA from Baseline (as in the SCORE study (also studying intravitreal corticosteroid use), COPERNICUS, GALILEO and VIBRANT trials) or mean change in letters read correctly as in the CRUISE and BRAVO. </w:t>
      </w:r>
    </w:p>
    <w:p w:rsidR="00AD18C9" w:rsidRDefault="00AD18C9" w:rsidP="00315535">
      <w:pPr>
        <w:pStyle w:val="ListBullet"/>
        <w:rPr>
          <w:lang w:eastAsia="ja-JP"/>
        </w:rPr>
      </w:pPr>
      <w:r>
        <w:rPr>
          <w:lang w:eastAsia="ja-JP"/>
        </w:rPr>
        <w:t>Given that alternative therapeutic options exist and grid laser photocoagulation was considered standard care for BRVO at the time of the RVO study, justify the lack of active comparator. Were the VEGF inhibitors available at the time of this study? If a study of dexamethasome implants were designed today, what would be the comparator?</w:t>
      </w:r>
    </w:p>
    <w:p w:rsidR="00315535" w:rsidRDefault="00315535" w:rsidP="00315535">
      <w:pPr>
        <w:pStyle w:val="Heading3"/>
      </w:pPr>
      <w:bookmarkStart w:id="404" w:name="_Toc6313920"/>
      <w:r>
        <w:t>Safety</w:t>
      </w:r>
      <w:bookmarkEnd w:id="404"/>
    </w:p>
    <w:bookmarkEnd w:id="398"/>
    <w:bookmarkEnd w:id="399"/>
    <w:bookmarkEnd w:id="400"/>
    <w:bookmarkEnd w:id="401"/>
    <w:bookmarkEnd w:id="402"/>
    <w:bookmarkEnd w:id="403"/>
    <w:p w:rsidR="00AD18C9" w:rsidRPr="008C1FBA" w:rsidRDefault="00AD18C9" w:rsidP="008C1FBA">
      <w:r w:rsidRPr="008C1FBA">
        <w:t xml:space="preserve">Considering the fall in VA at the end of the OL extension, there may be consideration to retreat patients with a </w:t>
      </w:r>
      <w:r w:rsidR="00B90ACD" w:rsidRPr="008C1FBA">
        <w:t>third</w:t>
      </w:r>
      <w:r w:rsidRPr="008C1FBA">
        <w:t xml:space="preserve"> or subsequent implant. Is there any information available in relation to the use of more than 2 implants or implants performed at intervals or less than 6 months?</w:t>
      </w:r>
      <w:bookmarkStart w:id="405" w:name="_Ref272312341"/>
      <w:bookmarkStart w:id="406" w:name="_Toc272414700"/>
      <w:bookmarkStart w:id="407" w:name="_Toc290888566"/>
      <w:bookmarkStart w:id="408" w:name="_Toc416353782"/>
      <w:bookmarkStart w:id="409" w:name="_Toc421005330"/>
      <w:bookmarkStart w:id="410" w:name="_Toc432079200"/>
      <w:bookmarkStart w:id="411" w:name="_Toc432080773"/>
    </w:p>
    <w:bookmarkEnd w:id="405"/>
    <w:bookmarkEnd w:id="406"/>
    <w:bookmarkEnd w:id="407"/>
    <w:bookmarkEnd w:id="408"/>
    <w:bookmarkEnd w:id="409"/>
    <w:bookmarkEnd w:id="410"/>
    <w:bookmarkEnd w:id="411"/>
    <w:p w:rsidR="00C618F7" w:rsidRDefault="00315535" w:rsidP="00DC4E3E">
      <w:pPr>
        <w:pStyle w:val="Heading2"/>
      </w:pPr>
      <w:r>
        <w:t xml:space="preserve"> </w:t>
      </w:r>
      <w:bookmarkStart w:id="412" w:name="_Toc6313921"/>
      <w:r w:rsidR="00C618F7">
        <w:t>Second round evaluation of clinical data</w:t>
      </w:r>
      <w:bookmarkEnd w:id="412"/>
    </w:p>
    <w:p w:rsidR="00E0551B" w:rsidRPr="00DA3CB9" w:rsidRDefault="00E0551B" w:rsidP="00DA3CB9">
      <w:r w:rsidRPr="00DA3CB9">
        <w:t xml:space="preserve">The questions, the sponsor’s response and the evaluator’s comments are included below. </w:t>
      </w:r>
    </w:p>
    <w:p w:rsidR="009075AF" w:rsidRDefault="00E0551B" w:rsidP="00DA3CB9">
      <w:pPr>
        <w:pStyle w:val="Heading3"/>
        <w:rPr>
          <w:rFonts w:eastAsia="TimesNewRoman" w:cs="TimesNewRoman"/>
        </w:rPr>
      </w:pPr>
      <w:bookmarkStart w:id="413" w:name="_Toc6313922"/>
      <w:r w:rsidRPr="00DA3CB9">
        <w:rPr>
          <w:rFonts w:eastAsia="Cambria"/>
        </w:rPr>
        <w:t>Question 1:</w:t>
      </w:r>
      <w:bookmarkEnd w:id="413"/>
      <w:r w:rsidRPr="00AF25D8">
        <w:rPr>
          <w:rFonts w:eastAsia="TimesNewRoman" w:cs="TimesNewRoman"/>
        </w:rPr>
        <w:t xml:space="preserve"> </w:t>
      </w:r>
    </w:p>
    <w:p w:rsidR="00E0551B" w:rsidRPr="008C1FBA" w:rsidRDefault="00E0551B" w:rsidP="008C1FBA">
      <w:r w:rsidRPr="008C1FBA">
        <w:t>For Study 008 (and the pooled pivotal studies) please justify the change in the primary efficacy analysis from ‘proportions with BCVA improvement of ≥ 15 letters from Baseline in the ITT population at IT Day 180’ as per the original study protocol to:</w:t>
      </w:r>
    </w:p>
    <w:p w:rsidR="00E0551B" w:rsidRPr="00E0551B" w:rsidRDefault="00E0551B" w:rsidP="00E0551B">
      <w:pPr>
        <w:pStyle w:val="Numberbullet2"/>
      </w:pPr>
      <w:r w:rsidRPr="00E0551B">
        <w:t>time-to-achieve ≥ 15 letters improvement from Baseline BCVA</w:t>
      </w:r>
    </w:p>
    <w:p w:rsidR="00E0551B" w:rsidRDefault="00E0551B" w:rsidP="00E0551B">
      <w:pPr>
        <w:pStyle w:val="Numberbullet2"/>
        <w:rPr>
          <w:lang w:eastAsia="ja-JP"/>
        </w:rPr>
      </w:pPr>
      <w:r w:rsidRPr="00E0551B">
        <w:t>proportions with BCVA improvement of ≥ 15 letters from Baseline in the ITT population at IT Day 90</w:t>
      </w:r>
      <w:r w:rsidRPr="00E0551B">
        <w:rPr>
          <w:lang w:eastAsia="ja-JP"/>
        </w:rPr>
        <w:t xml:space="preserve"> </w:t>
      </w:r>
    </w:p>
    <w:p w:rsidR="00E0551B" w:rsidRPr="00DA3CB9" w:rsidRDefault="00E0551B" w:rsidP="00DA3CB9">
      <w:r w:rsidRPr="00DA3CB9">
        <w:t xml:space="preserve">Sponsor’s response: The sponsor states that, </w:t>
      </w:r>
      <w:r w:rsidR="00B90ACD" w:rsidRPr="00DA3CB9">
        <w:t>‘</w:t>
      </w:r>
      <w:r w:rsidRPr="00DA3CB9">
        <w:t xml:space="preserve">as the program employed a sustained release intravitreal drug delivery system, as opposed to other treatments that require regular monthly injections¸ prospective timing of the primary efficacy assessment was challenging. Thus analyses of BCVA data at each scheduled visit (days 30, 60, 90, and 180) were all planned prospectively for both the 206207-008 and 206207-009 studies. The </w:t>
      </w:r>
      <w:r w:rsidRPr="00DA3CB9">
        <w:lastRenderedPageBreak/>
        <w:t>initial designation of 180 days as the time point for the primary efficacy endpoint had been based on findings from the phase 2 study DC103-06 where the 3-line improvement rate was significantly higher with DEX 700 compared to Observation at day 180 (p = 0.020)</w:t>
      </w:r>
      <w:r w:rsidR="00B90ACD" w:rsidRPr="00DA3CB9">
        <w:t>’</w:t>
      </w:r>
      <w:r w:rsidRPr="00DA3CB9">
        <w:t>.</w:t>
      </w:r>
    </w:p>
    <w:p w:rsidR="00E0551B" w:rsidRPr="00DA3CB9" w:rsidRDefault="00E0551B" w:rsidP="00DA3CB9">
      <w:r w:rsidRPr="00DA3CB9">
        <w:t xml:space="preserve">The efficacy </w:t>
      </w:r>
      <w:proofErr w:type="gramStart"/>
      <w:r w:rsidRPr="00DA3CB9">
        <w:t>findings from 206207-009 was</w:t>
      </w:r>
      <w:proofErr w:type="gramEnd"/>
      <w:r w:rsidRPr="00DA3CB9">
        <w:t xml:space="preserve"> communicated to the FDA following database lock and treatment unmasking of that study. Based on these findings, the FDA amended the protocol for 206207-008, prior to that study database lock. Similarly, the EU also amended the </w:t>
      </w:r>
      <w:proofErr w:type="gramStart"/>
      <w:r w:rsidRPr="00DA3CB9">
        <w:t>protocol,</w:t>
      </w:r>
      <w:proofErr w:type="gramEnd"/>
      <w:r w:rsidRPr="00DA3CB9">
        <w:t xml:space="preserve"> see the CER Round 1 for details. It is stated, </w:t>
      </w:r>
      <w:r w:rsidR="00B90ACD" w:rsidRPr="00DA3CB9">
        <w:t>‘</w:t>
      </w:r>
      <w:r w:rsidRPr="00DA3CB9">
        <w:t>Allergan subsequently amended the protocol and revised the analysis plan for study 206207-008 prior to database lock and study unmasking</w:t>
      </w:r>
      <w:r w:rsidR="00B90ACD" w:rsidRPr="00DA3CB9">
        <w:t>’</w:t>
      </w:r>
      <w:r w:rsidRPr="00DA3CB9">
        <w:t>.</w:t>
      </w:r>
    </w:p>
    <w:p w:rsidR="00E0551B" w:rsidRPr="00DA3CB9" w:rsidRDefault="00E0551B" w:rsidP="00DA3CB9">
      <w:r w:rsidRPr="00DA3CB9">
        <w:t>Evaluator’s comment: The sponsor’s justification is noted. The evaluator accepts this justification as satisfactory as it was amended prior to study database lock.</w:t>
      </w:r>
    </w:p>
    <w:p w:rsidR="003058D7" w:rsidRPr="00DA3CB9" w:rsidRDefault="00E0551B" w:rsidP="00DA3CB9">
      <w:pPr>
        <w:pStyle w:val="Heading3"/>
        <w:rPr>
          <w:rFonts w:eastAsia="TimesNewRoman"/>
        </w:rPr>
      </w:pPr>
      <w:bookmarkStart w:id="414" w:name="_Toc6313923"/>
      <w:r w:rsidRPr="00DA3CB9">
        <w:rPr>
          <w:rFonts w:eastAsia="TimesNewRoman"/>
        </w:rPr>
        <w:t>Question 2:</w:t>
      </w:r>
      <w:bookmarkEnd w:id="414"/>
    </w:p>
    <w:p w:rsidR="00E0551B" w:rsidRPr="00DA3CB9" w:rsidRDefault="003058D7" w:rsidP="00DA3CB9">
      <w:r w:rsidRPr="00DA3CB9">
        <w:t>W</w:t>
      </w:r>
      <w:r w:rsidR="00E0551B" w:rsidRPr="00DA3CB9">
        <w:t xml:space="preserve">hat was the rationale behind the choice of time-to-treatment response as the primary efficacy outcome measure for (amended) Study 008, the pooled analysis, and Study 020? It is noted that in other clinical trials, the primary efficacy outcome for RVO were proportions with ≥ 15 letter change in BCVA from Baseline (as in the SCORE study </w:t>
      </w:r>
      <w:r w:rsidR="001A6420" w:rsidRPr="00DA3CB9">
        <w:t>(</w:t>
      </w:r>
      <w:r w:rsidR="00E0551B" w:rsidRPr="00DA3CB9">
        <w:t>also studying intravitreal corticosteroid use</w:t>
      </w:r>
      <w:r w:rsidR="001A6420" w:rsidRPr="00DA3CB9">
        <w:t>)</w:t>
      </w:r>
      <w:r w:rsidR="00E0551B" w:rsidRPr="00DA3CB9">
        <w:t>, COPERNICUS, GALILEO and VIBRANT trials), or mean change in letters read correctly as in the CRUISE and BRAVO.</w:t>
      </w:r>
    </w:p>
    <w:p w:rsidR="00E0551B" w:rsidRPr="00DA3CB9" w:rsidRDefault="00E0551B" w:rsidP="00DA3CB9">
      <w:r w:rsidRPr="00DA3CB9">
        <w:t>Sponsor’s response: The sponsor quotes literature to state that various efficacy endpoints have been considered acceptable. Although the analysis of proportion of patients with ≥ 15-letters improvement in BCVA has been considered as the most common endpoint for clinical studies in retina diseases, the time-to-event analysis using the Kaplan-Meier analysis has previously been used in other retina trials….in the landmark study by the BVOS group, the primary efficacy analysis was a Kaplan-Meier analysis, in addition to the mean change from baseline in BCVA and the proportion of patients gaining or losing ≥ 2 lines in vision.</w:t>
      </w:r>
    </w:p>
    <w:p w:rsidR="00E0551B" w:rsidRPr="00DA3CB9" w:rsidRDefault="00E0551B" w:rsidP="00DA3CB9">
      <w:r w:rsidRPr="00DA3CB9">
        <w:t>Evaluator’s response: This response is noted.</w:t>
      </w:r>
    </w:p>
    <w:p w:rsidR="003058D7" w:rsidRPr="00DA3CB9" w:rsidRDefault="00E0551B" w:rsidP="00DA3CB9">
      <w:pPr>
        <w:pStyle w:val="Heading3"/>
        <w:rPr>
          <w:rFonts w:eastAsia="TimesNewRoman"/>
        </w:rPr>
      </w:pPr>
      <w:bookmarkStart w:id="415" w:name="_Toc6313924"/>
      <w:r w:rsidRPr="00DA3CB9">
        <w:rPr>
          <w:rFonts w:eastAsia="TimesNewRoman"/>
        </w:rPr>
        <w:t>Question 3:</w:t>
      </w:r>
      <w:bookmarkEnd w:id="415"/>
    </w:p>
    <w:p w:rsidR="00E0551B" w:rsidRPr="00DA3CB9" w:rsidRDefault="00E0551B" w:rsidP="00DA3CB9">
      <w:r w:rsidRPr="00DA3CB9">
        <w:t>Given that alternative therapeutic options exist, and grid laser photocoagulation was considered standard care for BRVO at the time of the RVO study, justify the lack of active comparator. Were the VEGF inhibitors available at the time of this study? If a study of dexamethasone implants were designed today, what would be the comparator?</w:t>
      </w:r>
    </w:p>
    <w:p w:rsidR="00E0551B" w:rsidRPr="00DA3CB9" w:rsidRDefault="00E0551B" w:rsidP="00DA3CB9">
      <w:r w:rsidRPr="00DA3CB9">
        <w:t xml:space="preserve">Sponsor’s response: The sponsor states that no anti-VEGF drug was registered at that </w:t>
      </w:r>
      <w:proofErr w:type="gramStart"/>
      <w:r w:rsidRPr="00DA3CB9">
        <w:t>time  It</w:t>
      </w:r>
      <w:proofErr w:type="gramEnd"/>
      <w:r w:rsidRPr="00DA3CB9">
        <w:t xml:space="preserve"> also states that, </w:t>
      </w:r>
      <w:r w:rsidR="00B90ACD" w:rsidRPr="00DA3CB9">
        <w:t>‘</w:t>
      </w:r>
      <w:r w:rsidRPr="00DA3CB9">
        <w:t xml:space="preserve">a laser control group would not have been appropriate for all patients with BRVO or CRVO (for example those with oedema near the central subfield or patients who present with macular haemorrhage). Thus the exclusion criteria for the phase 3 studies included </w:t>
      </w:r>
      <w:r w:rsidR="00B90ACD" w:rsidRPr="00DA3CB9">
        <w:t>‘</w:t>
      </w:r>
      <w:r w:rsidRPr="00DA3CB9">
        <w:t>anticipated need for ocular surgery or ophthalmic laser treatment in the study eye during the 12-month study period</w:t>
      </w:r>
      <w:r w:rsidR="00B90ACD" w:rsidRPr="00DA3CB9">
        <w:t>’</w:t>
      </w:r>
      <w:r w:rsidRPr="00DA3CB9">
        <w:t xml:space="preserve">. </w:t>
      </w:r>
    </w:p>
    <w:p w:rsidR="00E0551B" w:rsidRPr="00DA3CB9" w:rsidRDefault="009075AF" w:rsidP="00DA3CB9">
      <w:r w:rsidRPr="00DA3CB9">
        <w:t>Evaluator’s r</w:t>
      </w:r>
      <w:r w:rsidR="00E0551B" w:rsidRPr="00DA3CB9">
        <w:t>esponse:</w:t>
      </w:r>
      <w:r w:rsidR="00C00728" w:rsidRPr="00DA3CB9">
        <w:t xml:space="preserve"> </w:t>
      </w:r>
      <w:r w:rsidR="00E0551B" w:rsidRPr="00DA3CB9">
        <w:t xml:space="preserve">This is acceptable. </w:t>
      </w:r>
    </w:p>
    <w:p w:rsidR="003058D7" w:rsidRPr="00DA3CB9" w:rsidRDefault="00E0551B" w:rsidP="00DA3CB9">
      <w:pPr>
        <w:pStyle w:val="Heading3"/>
        <w:rPr>
          <w:rFonts w:eastAsia="TimesNewRoman"/>
        </w:rPr>
      </w:pPr>
      <w:bookmarkStart w:id="416" w:name="_Toc6313925"/>
      <w:r w:rsidRPr="00DA3CB9">
        <w:rPr>
          <w:rFonts w:eastAsia="TimesNewRoman"/>
        </w:rPr>
        <w:t>Question 4:</w:t>
      </w:r>
      <w:bookmarkEnd w:id="416"/>
    </w:p>
    <w:p w:rsidR="00E0551B" w:rsidRPr="00DA3CB9" w:rsidRDefault="00E0551B" w:rsidP="00DA3CB9">
      <w:r w:rsidRPr="00DA3CB9">
        <w:t>Considering the fall in VA at the end of the OL extension, there may be consideration to retreat patients with a 3rd or subsequent implant. Is there any information available in relation to the use of more than 2 implants or implants performed at intervals of less than 6 months?</w:t>
      </w:r>
    </w:p>
    <w:p w:rsidR="00E0551B" w:rsidRPr="00E0551B" w:rsidRDefault="00E0551B" w:rsidP="00DA3CB9">
      <w:r w:rsidRPr="00DA3CB9">
        <w:lastRenderedPageBreak/>
        <w:t>Sponsor’s response:</w:t>
      </w:r>
      <w:r w:rsidR="00C00728" w:rsidRPr="00DA3CB9">
        <w:t xml:space="preserve"> </w:t>
      </w:r>
      <w:r w:rsidRPr="00DA3CB9">
        <w:t xml:space="preserve">The sponsor states that the safety results of </w:t>
      </w:r>
      <w:r w:rsidR="00747662" w:rsidRPr="00DA3CB9">
        <w:t>Ozurdex</w:t>
      </w:r>
      <w:r w:rsidRPr="00DA3CB9">
        <w:t xml:space="preserve"> in patients who were retreated are consistent with the known safety profile seen in the phase 3 studies.</w:t>
      </w:r>
      <w:r w:rsidRPr="00E0551B">
        <w:t xml:space="preserve"> Two studies in patients who had repeat administration of </w:t>
      </w:r>
      <w:r w:rsidR="00747662">
        <w:t>Ozurdex</w:t>
      </w:r>
      <w:r w:rsidRPr="00E0551B">
        <w:t xml:space="preserve"> (206207-025 and MAF AGN OPH RET-004) have now been completed. </w:t>
      </w:r>
    </w:p>
    <w:p w:rsidR="00E0551B" w:rsidRPr="00DA3CB9" w:rsidRDefault="00E0551B" w:rsidP="00DA3CB9">
      <w:r w:rsidRPr="00DA3CB9">
        <w:t xml:space="preserve">Study 206207-025 was a multicentre, prospective, observational study to evaluate the long-term safety profile and treatment patterns in patients who were treated with </w:t>
      </w:r>
      <w:r w:rsidR="00747662" w:rsidRPr="00DA3CB9">
        <w:t>Ozurdex</w:t>
      </w:r>
      <w:r w:rsidRPr="00DA3CB9">
        <w:t xml:space="preserve"> for macular oedema secondary to RVO, or non-infectious posterior segment uveitis (NIPSU) under conditions of routine medical practice and in accordance with the EU Summary of Product Characteristics (SmPC).</w:t>
      </w:r>
    </w:p>
    <w:p w:rsidR="00E0551B" w:rsidRPr="00DA3CB9" w:rsidRDefault="00E0551B" w:rsidP="00DA3CB9">
      <w:r w:rsidRPr="00DA3CB9">
        <w:t>The table provided in the response is as follows:</w:t>
      </w:r>
    </w:p>
    <w:p w:rsidR="00E0551B" w:rsidRPr="00DA3CB9" w:rsidRDefault="00E0551B" w:rsidP="004E2C51">
      <w:pPr>
        <w:pStyle w:val="Tabletitle"/>
        <w:numPr>
          <w:ilvl w:val="0"/>
          <w:numId w:val="21"/>
        </w:numPr>
        <w:spacing w:after="120" w:line="240" w:lineRule="auto"/>
        <w:ind w:left="1134" w:hanging="1134"/>
      </w:pPr>
      <w:r w:rsidRPr="00DA3CB9">
        <w:t>Notable Increases in adverse events of special interest incidence Study 206207-025</w:t>
      </w:r>
    </w:p>
    <w:p w:rsidR="00E0551B" w:rsidRPr="001A6390" w:rsidRDefault="00E0551B" w:rsidP="001A6390">
      <w:r w:rsidRPr="001A6390">
        <w:rPr>
          <w:noProof/>
          <w:lang w:eastAsia="en-AU"/>
        </w:rPr>
        <w:drawing>
          <wp:inline distT="0" distB="0" distL="0" distR="0" wp14:anchorId="7E3A353E" wp14:editId="1A198D87">
            <wp:extent cx="5400040" cy="3330605"/>
            <wp:effectExtent l="0" t="0" r="0" b="3175"/>
            <wp:docPr id="3" name="Picture 3" descr="Notable Increases in adverse events of special interest incidence Study 20620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00040" cy="3330605"/>
                    </a:xfrm>
                    <a:prstGeom prst="rect">
                      <a:avLst/>
                    </a:prstGeom>
                  </pic:spPr>
                </pic:pic>
              </a:graphicData>
            </a:graphic>
          </wp:inline>
        </w:drawing>
      </w:r>
    </w:p>
    <w:p w:rsidR="00FA41D0" w:rsidRPr="001A6420" w:rsidRDefault="00FA41D0" w:rsidP="001A6420">
      <w:r w:rsidRPr="001A6420">
        <w:t xml:space="preserve">Study MAF-AGN-OPH-RET-004 was a 12-month, multicentre, randomised, parallel-group study to compare the efficacy and safety of </w:t>
      </w:r>
      <w:r w:rsidR="00747662" w:rsidRPr="001A6420">
        <w:t>Ozurdex</w:t>
      </w:r>
      <w:r w:rsidRPr="001A6420">
        <w:t xml:space="preserve"> versus Lucentis® in patients with BRVO. Patients were randomly assigned to receive either </w:t>
      </w:r>
      <w:r w:rsidR="00747662" w:rsidRPr="001A6420">
        <w:t>Ozurdex</w:t>
      </w:r>
      <w:r w:rsidRPr="001A6420">
        <w:t xml:space="preserve"> or Lucentis treatment in a 1:1 ratio. </w:t>
      </w:r>
      <w:r w:rsidR="00747662" w:rsidRPr="001A6420">
        <w:t>Ozurdex</w:t>
      </w:r>
      <w:r w:rsidRPr="001A6420">
        <w:t xml:space="preserve"> was administered at Day 1 and Month 5. Ninety-three (60.4%) patients received the third treatment of </w:t>
      </w:r>
      <w:r w:rsidR="00747662" w:rsidRPr="001A6420">
        <w:t>Ozurdex</w:t>
      </w:r>
      <w:r w:rsidRPr="001A6420">
        <w:t>, and 98 (64.1%) patients received 8 or more treatments of Lucentis.</w:t>
      </w:r>
    </w:p>
    <w:p w:rsidR="00FA41D0" w:rsidRPr="00B90ACD" w:rsidRDefault="008E1FEA" w:rsidP="004E2C51">
      <w:pPr>
        <w:pStyle w:val="Tabletitle"/>
        <w:numPr>
          <w:ilvl w:val="0"/>
          <w:numId w:val="21"/>
        </w:numPr>
        <w:spacing w:after="120" w:line="240" w:lineRule="auto"/>
        <w:ind w:left="1134" w:hanging="1134"/>
      </w:pPr>
      <w:r w:rsidRPr="00B90ACD">
        <w:lastRenderedPageBreak/>
        <w:t>Incidence ocular treatment-emergent adverse events greater than or equal to 6% in any treatment group (Safety population study MAF-AGN-OPH-RET-004</w:t>
      </w:r>
    </w:p>
    <w:p w:rsidR="0002090A" w:rsidRDefault="0002090A" w:rsidP="0002090A">
      <w:r>
        <w:rPr>
          <w:noProof/>
          <w:lang w:eastAsia="en-AU"/>
        </w:rPr>
        <w:drawing>
          <wp:inline distT="0" distB="0" distL="0" distR="0" wp14:anchorId="61572D36" wp14:editId="686E6128">
            <wp:extent cx="5400040" cy="2349825"/>
            <wp:effectExtent l="0" t="0" r="0" b="0"/>
            <wp:docPr id="11" name="Picture 11" descr="Incidence ocular treatment-emergent adverse events greater than or equal to 6% in any treatment group (Safety population study MAF-AGN-OPH-RE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00040" cy="2349825"/>
                    </a:xfrm>
                    <a:prstGeom prst="rect">
                      <a:avLst/>
                    </a:prstGeom>
                  </pic:spPr>
                </pic:pic>
              </a:graphicData>
            </a:graphic>
          </wp:inline>
        </w:drawing>
      </w:r>
    </w:p>
    <w:p w:rsidR="0002090A" w:rsidRPr="001A6420" w:rsidRDefault="0002090A" w:rsidP="001A6420">
      <w:r w:rsidRPr="001A6420">
        <w:t xml:space="preserve">Evaluator’s comment: Please note that the two studies have not </w:t>
      </w:r>
      <w:proofErr w:type="gramStart"/>
      <w:r w:rsidRPr="001A6420">
        <w:t>been  evaluated</w:t>
      </w:r>
      <w:proofErr w:type="gramEnd"/>
      <w:r w:rsidRPr="001A6420">
        <w:t xml:space="preserve"> in the Round 1 report. The current evaluator has only reviewed the sponsor’s response and has not verified these tables for accuracy. The repeat injections have been associated with increased adverse events. The comparator data shows increased ocular adverse events compared with Lucentis. No data are submitted regarding injections less than 6 monthly intervals. </w:t>
      </w:r>
    </w:p>
    <w:p w:rsidR="0002090A" w:rsidRPr="00DA3CB9" w:rsidRDefault="0002090A" w:rsidP="00F22F3A">
      <w:pPr>
        <w:pStyle w:val="Heading4"/>
      </w:pPr>
      <w:r w:rsidRPr="00DA3CB9">
        <w:t>Delegate’s questions</w:t>
      </w:r>
    </w:p>
    <w:p w:rsidR="0002090A" w:rsidRPr="0002090A" w:rsidRDefault="0002090A" w:rsidP="00DA3CB9">
      <w:pPr>
        <w:pStyle w:val="ListBullet"/>
      </w:pPr>
      <w:r w:rsidRPr="0002090A">
        <w:t>What is the benefit of an earlier treatment response when a similar number of the patients in the untreated group also improved but at a later time point?</w:t>
      </w:r>
    </w:p>
    <w:p w:rsidR="0002090A" w:rsidRPr="001A6420" w:rsidRDefault="0002090A" w:rsidP="001A6420">
      <w:r w:rsidRPr="001A6420">
        <w:t xml:space="preserve">Sponsor’s response: It is stated that, </w:t>
      </w:r>
      <w:r w:rsidR="00B90ACD" w:rsidRPr="001A6420">
        <w:t>‘</w:t>
      </w:r>
      <w:r w:rsidRPr="001A6420">
        <w:t>a treatment which only improved vision at day 180 is not as beneficial as one which increased vision more quickly. Longstanding macular oedema results in progressive retinal changes (eg, photoreceptor loss, retinal pigment epithelial atrophy) and loss of retinal function. Therefore, prompt treatment of macular oedema to prevent these changes is advisable. The design of the DEX PS DDS implant and the phase 3 RVO studies sought to reduce oedema as early and maximally as possible, and for as long as possible to minimise the number of intravitreal injections.</w:t>
      </w:r>
    </w:p>
    <w:p w:rsidR="003058D7" w:rsidRDefault="0002090A" w:rsidP="0002090A">
      <w:pPr>
        <w:autoSpaceDE w:val="0"/>
        <w:autoSpaceDN w:val="0"/>
        <w:adjustRightInd w:val="0"/>
        <w:spacing w:before="0" w:after="0" w:line="240" w:lineRule="auto"/>
        <w:rPr>
          <w:rFonts w:eastAsia="TimesNewRoman" w:cs="TimesNewRoman"/>
          <w:color w:val="000000"/>
        </w:rPr>
      </w:pPr>
      <w:r w:rsidRPr="00447DB8">
        <w:rPr>
          <w:rFonts w:eastAsia="TimesNewRoman" w:cs="TimesNewRoman"/>
          <w:color w:val="000000"/>
        </w:rPr>
        <w:t>The cumulative effect of 2 injections of DEX resulted in a greater proportion of responders than for patients who received Sham as the</w:t>
      </w:r>
      <w:r>
        <w:rPr>
          <w:rFonts w:eastAsia="TimesNewRoman" w:cs="TimesNewRoman"/>
          <w:color w:val="000000"/>
        </w:rPr>
        <w:t xml:space="preserve"> </w:t>
      </w:r>
      <w:r w:rsidRPr="00447DB8">
        <w:rPr>
          <w:rFonts w:eastAsia="TimesNewRoman" w:cs="TimesNewRoman"/>
          <w:color w:val="000000"/>
        </w:rPr>
        <w:t>initial treatment as shown in</w:t>
      </w:r>
      <w:r w:rsidR="00747662">
        <w:rPr>
          <w:rFonts w:eastAsia="TimesNewRoman" w:cs="TimesNewRoman"/>
          <w:color w:val="000000"/>
        </w:rPr>
        <w:t xml:space="preserve"> the figure below</w:t>
      </w:r>
      <w:r w:rsidRPr="00447DB8">
        <w:rPr>
          <w:rFonts w:eastAsia="TimesNewRoman" w:cs="TimesNewRoman"/>
          <w:color w:val="000000"/>
        </w:rPr>
        <w:t>.</w:t>
      </w:r>
    </w:p>
    <w:p w:rsidR="003D1F9E" w:rsidRPr="00B90ACD" w:rsidRDefault="003D1F9E" w:rsidP="00593F09">
      <w:pPr>
        <w:pStyle w:val="FigureTitle"/>
        <w:numPr>
          <w:ilvl w:val="0"/>
          <w:numId w:val="20"/>
        </w:numPr>
        <w:ind w:left="1134" w:hanging="1134"/>
      </w:pPr>
      <w:r w:rsidRPr="00B90ACD">
        <w:lastRenderedPageBreak/>
        <w:t>Mean change from baseline best corrected visual acuity during initial treatment and open-label extension (studies 206207-008 and 206207-009, re-treated population, 12-month pooled data)</w:t>
      </w:r>
    </w:p>
    <w:p w:rsidR="003D1F9E" w:rsidRDefault="003D1F9E" w:rsidP="003D1F9E">
      <w:r>
        <w:rPr>
          <w:noProof/>
          <w:lang w:eastAsia="en-AU"/>
        </w:rPr>
        <w:drawing>
          <wp:inline distT="0" distB="0" distL="0" distR="0" wp14:anchorId="6D9234FD" wp14:editId="1D07B89C">
            <wp:extent cx="5400040" cy="4281814"/>
            <wp:effectExtent l="0" t="0" r="0" b="4445"/>
            <wp:docPr id="13" name="Picture 13" descr="Mean change from baseline best corrected visual acuity during initial treatment and open-label extension (studies 206207-008 and 206207-009, re-treated population, 12-month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040" cy="4281814"/>
                    </a:xfrm>
                    <a:prstGeom prst="rect">
                      <a:avLst/>
                    </a:prstGeom>
                  </pic:spPr>
                </pic:pic>
              </a:graphicData>
            </a:graphic>
          </wp:inline>
        </w:drawing>
      </w:r>
    </w:p>
    <w:p w:rsidR="003D1F9E" w:rsidRPr="003D1F9E" w:rsidRDefault="003D1F9E" w:rsidP="003D1F9E">
      <w:pPr>
        <w:spacing w:before="0" w:after="0" w:line="240" w:lineRule="auto"/>
      </w:pPr>
      <w:r w:rsidRPr="003D1F9E">
        <w:t xml:space="preserve">It is stated that, </w:t>
      </w:r>
      <w:r w:rsidR="00B90ACD">
        <w:t>‘</w:t>
      </w:r>
      <w:r w:rsidRPr="003D1F9E">
        <w:t>the duration of macular oedema can influence the visual prognosis, and the visual acuity in patients with long-standing disease may not improve significantly. As there is no way to determine which patients will spontaneously respond, prompt treatment is justified</w:t>
      </w:r>
      <w:r w:rsidR="00B90ACD">
        <w:t>’.</w:t>
      </w:r>
    </w:p>
    <w:p w:rsidR="003D1F9E" w:rsidRPr="003D1F9E" w:rsidRDefault="003D1F9E" w:rsidP="001A6420">
      <w:r w:rsidRPr="003D1F9E">
        <w:t>Evaluator’s response: Accepted.</w:t>
      </w:r>
    </w:p>
    <w:p w:rsidR="003D1F9E" w:rsidRPr="00F22F3A" w:rsidRDefault="003D1F9E" w:rsidP="00F22F3A">
      <w:pPr>
        <w:pStyle w:val="ListBullet"/>
      </w:pPr>
      <w:r w:rsidRPr="00F22F3A">
        <w:t>Does the earlier benefit justify the extra safety concerns? It would seem that a number of eyes would be treated that would have improved spontaneously, and that with treatment these patients have a 20% increased risk of raised IOP and at least 3% risk of cataract, as well as the risks associated with an invasive procedure.</w:t>
      </w:r>
    </w:p>
    <w:p w:rsidR="003D1F9E" w:rsidRPr="00F22F3A" w:rsidRDefault="003D1F9E" w:rsidP="00F22F3A">
      <w:r w:rsidRPr="00F22F3A">
        <w:t>Sponsor’s response: The importance of treating patients with macular oedema to prevent vision loss needs to be balanced by the relatively smaller risk of clinically significant increased IOP. Almost all the increases in IOP either did not require treatment or were managed with standard topical IOP-lowering medications. During the 1-year studies 206207-008 and 206207-009, only 1.0% (13/1256) of patients required concurrent procedures for management of elevated IOP in the study eye.</w:t>
      </w:r>
    </w:p>
    <w:p w:rsidR="003D1F9E" w:rsidRPr="00F22F3A" w:rsidRDefault="003D1F9E" w:rsidP="00F22F3A">
      <w:r w:rsidRPr="00F22F3A">
        <w:t xml:space="preserve">Over 50% of patients entered the phase 3 studies 206207-008 and 206207-009 with a history of cataracts. During the initial treatment period, cataract adverse events in the study eye were reported for more patients in the DEX 700 group (7.4% </w:t>
      </w:r>
      <w:r w:rsidR="001A6420" w:rsidRPr="00F22F3A">
        <w:t>(</w:t>
      </w:r>
      <w:r w:rsidRPr="00F22F3A">
        <w:t>31/421</w:t>
      </w:r>
      <w:r w:rsidR="001A6420" w:rsidRPr="00F22F3A">
        <w:t>)</w:t>
      </w:r>
      <w:r w:rsidRPr="00F22F3A">
        <w:t xml:space="preserve">) compared to Sham (4.5% </w:t>
      </w:r>
      <w:r w:rsidR="001A6420" w:rsidRPr="00F22F3A">
        <w:t>(</w:t>
      </w:r>
      <w:r w:rsidRPr="00F22F3A">
        <w:t>19/423</w:t>
      </w:r>
      <w:r w:rsidR="001A6420" w:rsidRPr="00F22F3A">
        <w:t>)</w:t>
      </w:r>
      <w:r w:rsidRPr="00F22F3A">
        <w:t>. For over 30% (21/67) of patients, the cataract</w:t>
      </w:r>
      <w:r w:rsidRPr="003D1F9E">
        <w:t xml:space="preserve"> adverse events were bilateral (ie, both the study eye and the non-study eye). The impact of </w:t>
      </w:r>
      <w:r w:rsidRPr="00F22F3A">
        <w:lastRenderedPageBreak/>
        <w:t>the cataracts on vision however was generally not clinically significant. Only 2 patients (1 DEX 700 and 1 DEX 350) had surgery for cataracts in the study eye.</w:t>
      </w:r>
    </w:p>
    <w:p w:rsidR="003D1F9E" w:rsidRPr="00F22F3A" w:rsidRDefault="0012261E" w:rsidP="00F22F3A">
      <w:r>
        <w:t>Evaluator’s response: Accepted.</w:t>
      </w:r>
    </w:p>
    <w:p w:rsidR="003D1F9E" w:rsidRPr="00F22F3A" w:rsidRDefault="003D1F9E" w:rsidP="00F22F3A">
      <w:pPr>
        <w:pStyle w:val="ListBullet"/>
      </w:pPr>
      <w:r w:rsidRPr="00F22F3A">
        <w:t>If the greatest efficacy was at 90 days, treatment at this time point may have led to a different efficacy and safety profile, however this information was not provided.</w:t>
      </w:r>
    </w:p>
    <w:p w:rsidR="003D1F9E" w:rsidRPr="00F22F3A" w:rsidRDefault="003D1F9E" w:rsidP="00F22F3A">
      <w:r w:rsidRPr="00F22F3A">
        <w:t>Sponsor’s response: No useful data exist.</w:t>
      </w:r>
    </w:p>
    <w:p w:rsidR="003D1F9E" w:rsidRDefault="0012261E" w:rsidP="00F22F3A">
      <w:r>
        <w:t>Evaluator’s response: Noted.</w:t>
      </w:r>
    </w:p>
    <w:p w:rsidR="003D1F9E" w:rsidRPr="00F22F3A" w:rsidRDefault="003D1F9E" w:rsidP="00F22F3A">
      <w:pPr>
        <w:pStyle w:val="ListBullet"/>
      </w:pPr>
      <w:r w:rsidRPr="00F22F3A">
        <w:t>Please explain how a difference of 15 or 10 letters relates to impairment in functional vision</w:t>
      </w:r>
    </w:p>
    <w:p w:rsidR="003D1F9E" w:rsidRPr="00F22F3A" w:rsidRDefault="003D1F9E" w:rsidP="00F22F3A">
      <w:r w:rsidRPr="00F22F3A">
        <w:t xml:space="preserve">Sponsor’s response: It is stated that, </w:t>
      </w:r>
      <w:r w:rsidR="00B90ACD" w:rsidRPr="00F22F3A">
        <w:t>‘</w:t>
      </w:r>
      <w:r w:rsidRPr="00F22F3A">
        <w:t>a 3-line change of visual acuity is equivalent to a doubling of the visual angle. This translates to a 15-letter change, which is considered clinically significant by experts in the field and reflects a true alteration in visual acuity</w:t>
      </w:r>
      <w:r w:rsidR="00B90ACD" w:rsidRPr="00F22F3A">
        <w:t>’</w:t>
      </w:r>
      <w:r w:rsidRPr="00F22F3A">
        <w:t>.</w:t>
      </w:r>
    </w:p>
    <w:p w:rsidR="003D1F9E" w:rsidRPr="00F22F3A" w:rsidRDefault="003D1F9E" w:rsidP="00F22F3A">
      <w:r w:rsidRPr="00F22F3A">
        <w:t>Regarding the improvement with 10 letters: It is stated that a variety of instruments have been developed to measure vision-related functioning and quality of life, the most prominent of which is the Visual Functioning Questionnaire-25 (VFQ-25). The VFQ-25 is a patient-reported questionnaire consisting of 25 vision-targeted questions that represent 11 vision-related quality of life subscales and one general health item. Included in the vision related subscales are 3-item subscales which measure difficulty with near vision activities, and difficulty with distance vision activities.</w:t>
      </w:r>
    </w:p>
    <w:p w:rsidR="003D1F9E" w:rsidRPr="003D1F9E" w:rsidRDefault="003D1F9E" w:rsidP="003D1F9E">
      <w:pPr>
        <w:autoSpaceDE w:val="0"/>
        <w:autoSpaceDN w:val="0"/>
        <w:adjustRightInd w:val="0"/>
        <w:spacing w:before="0" w:after="0" w:line="240" w:lineRule="auto"/>
        <w:rPr>
          <w:rFonts w:eastAsia="TimesNewRoman" w:cs="TimesNewRoman"/>
        </w:rPr>
      </w:pPr>
      <w:r w:rsidRPr="003D1F9E">
        <w:rPr>
          <w:rFonts w:eastAsia="TimesNewRoman" w:cs="TimesNewRoman"/>
          <w:color w:val="000000"/>
        </w:rPr>
        <w:t>Additional analyses of the study data showed significant and consistent improvements in VFQ-25 difficulties with near and distance vision activities in the DEX 700 and Sham patients who experienced a 10-letter improvement in BCVA compared to the patients without 10-letter improvement. The mean change from baseline in near and distance vision subscale</w:t>
      </w:r>
      <w:r w:rsidR="003058D7">
        <w:rPr>
          <w:rFonts w:eastAsia="TimesNewRoman" w:cs="TimesNewRoman"/>
          <w:color w:val="000000"/>
        </w:rPr>
        <w:t xml:space="preserve"> </w:t>
      </w:r>
      <w:r w:rsidRPr="003D1F9E">
        <w:rPr>
          <w:rFonts w:eastAsia="TimesNewRoman" w:cs="TimesNewRoman"/>
          <w:color w:val="000000"/>
        </w:rPr>
        <w:t>scores as well as the proportion of patients with at least 10 units improvement from baseline, across multiple time points support the</w:t>
      </w:r>
      <w:r w:rsidRPr="003D1F9E">
        <w:rPr>
          <w:rFonts w:ascii="TimesNewRoman" w:eastAsia="TimesNewRoman" w:hAnsiTheme="minorHAnsi" w:cs="TimesNewRoman"/>
          <w:color w:val="000000"/>
        </w:rPr>
        <w:t xml:space="preserve"> </w:t>
      </w:r>
      <w:r w:rsidRPr="003D1F9E">
        <w:rPr>
          <w:rFonts w:eastAsia="TimesNewRoman" w:cs="TimesNewRoman"/>
          <w:color w:val="000000"/>
        </w:rPr>
        <w:t xml:space="preserve">improvement in visual functioning associated with a10-letter improvement in visual acuity. A threshold of 10 units of improvement was chosen based on an analysis of minimally important difference (MID) for these subscales in a validation study of the VFQ-25 in DME. These findings showed </w:t>
      </w:r>
      <w:r w:rsidRPr="003D1F9E">
        <w:rPr>
          <w:rFonts w:eastAsia="TimesNewRoman" w:cs="TimesNewRoman"/>
        </w:rPr>
        <w:t>that patients who experience an improvement in vision (measured by 10-letter gains) also show a significant improvement in visual functioning.</w:t>
      </w:r>
    </w:p>
    <w:p w:rsidR="003D1F9E" w:rsidRPr="00F22F3A" w:rsidRDefault="003D1F9E" w:rsidP="00F22F3A">
      <w:r w:rsidRPr="00F22F3A">
        <w:t xml:space="preserve">Evaluator’s comments: The sponsor’s response with these additional analyses shows that a 10 letter improvement helps with visual functioning. Please see pages 17-19 of the sponsor’s response for the details included in the Tables. </w:t>
      </w:r>
    </w:p>
    <w:p w:rsidR="003D1F9E" w:rsidRPr="003D1F9E" w:rsidRDefault="003D1F9E" w:rsidP="00F22F3A">
      <w:pPr>
        <w:pStyle w:val="ListBullet"/>
      </w:pPr>
      <w:r w:rsidRPr="003D1F9E">
        <w:t>It is noted that at baseline around 60% of patients had cataracts. Are the described rates of cataracts new cataracts?</w:t>
      </w:r>
    </w:p>
    <w:p w:rsidR="003D1F9E" w:rsidRPr="00F22F3A" w:rsidRDefault="003D1F9E" w:rsidP="00F22F3A">
      <w:r w:rsidRPr="00F22F3A">
        <w:t>Sponsor’s response: Ophthalmic history was recorded at baseline, and included eye disorders such as cataract, cataract subcapsular, cataract nuclear, and cataract cortical. Cataract adverse events reported during the study refer to either a newly diagnosed cataract or worsening of an existing cataract.</w:t>
      </w:r>
    </w:p>
    <w:p w:rsidR="003D1F9E" w:rsidRPr="00F22F3A" w:rsidRDefault="003D1F9E" w:rsidP="00F22F3A">
      <w:r w:rsidRPr="00F22F3A">
        <w:t>Evaluato</w:t>
      </w:r>
      <w:r w:rsidR="0012261E">
        <w:t>r’s response: This is accepted.</w:t>
      </w:r>
    </w:p>
    <w:p w:rsidR="003D1F9E" w:rsidRPr="003D1F9E" w:rsidRDefault="003D1F9E" w:rsidP="00F22F3A">
      <w:pPr>
        <w:pStyle w:val="ListBullet"/>
      </w:pPr>
      <w:r w:rsidRPr="003D1F9E">
        <w:t>Please comment on the reason for IOP increase, glaucoma, necrotising retinitis and retinal detachment not being included as a possible treatment related SAE in the clinical trials.</w:t>
      </w:r>
    </w:p>
    <w:p w:rsidR="003D1F9E" w:rsidRPr="00F22F3A" w:rsidRDefault="003D1F9E" w:rsidP="00F22F3A">
      <w:r w:rsidRPr="00F22F3A">
        <w:t xml:space="preserve">Sponsor’s response: The serious adverse event (SAE) relatedness assessments in Tables 62 and 64 of the Clinical Evaluation Report (CER) </w:t>
      </w:r>
      <w:proofErr w:type="gramStart"/>
      <w:r w:rsidRPr="00F22F3A">
        <w:t>was</w:t>
      </w:r>
      <w:proofErr w:type="gramEnd"/>
      <w:r w:rsidRPr="00F22F3A">
        <w:t xml:space="preserve"> made by the study investigators based on their assessment of the patient. The relatedness assessment of single events was determined on a case by case basis. It is also stated that </w:t>
      </w:r>
      <w:r w:rsidR="00B90ACD" w:rsidRPr="00F22F3A">
        <w:t>‘</w:t>
      </w:r>
      <w:r w:rsidRPr="00F22F3A">
        <w:t xml:space="preserve">adverse event was due to </w:t>
      </w:r>
      <w:r w:rsidRPr="00F22F3A">
        <w:lastRenderedPageBreak/>
        <w:t xml:space="preserve">neovascular glaucoma (a common complication of the underlying disease, CRVO), and there was a lack of the temporal relationship with </w:t>
      </w:r>
      <w:r w:rsidR="00747662" w:rsidRPr="00F22F3A">
        <w:t>Ozurdex</w:t>
      </w:r>
      <w:r w:rsidRPr="00F22F3A">
        <w:t xml:space="preserve"> treatment, it was likely not to be assessed by the investigator as related to </w:t>
      </w:r>
      <w:r w:rsidR="00747662" w:rsidRPr="00F22F3A">
        <w:t>Ozurdex</w:t>
      </w:r>
      <w:r w:rsidRPr="00F22F3A">
        <w:t xml:space="preserve">. Similarly, if retinal detachment was not temporally associated with the </w:t>
      </w:r>
      <w:r w:rsidR="00747662" w:rsidRPr="00F22F3A">
        <w:t>Ozurdex</w:t>
      </w:r>
      <w:r w:rsidRPr="00F22F3A">
        <w:t xml:space="preserve"> injection, but rather related to complications of underlying retinal diseases, it may not have been assessed as related to </w:t>
      </w:r>
      <w:r w:rsidR="00747662" w:rsidRPr="00F22F3A">
        <w:t>Ozurdex</w:t>
      </w:r>
      <w:r w:rsidRPr="00F22F3A">
        <w:t xml:space="preserve">. In the uveitis study 206207-014, there was one case of necrotising retinitis which occurred in a HIV positive patient (7410-58605). The investigator did not consider the event related to </w:t>
      </w:r>
      <w:r w:rsidR="00747662" w:rsidRPr="00F22F3A">
        <w:t>Ozurdex</w:t>
      </w:r>
      <w:r w:rsidRPr="00F22F3A">
        <w:t xml:space="preserve"> treatment due to the existence of other confounding factors</w:t>
      </w:r>
      <w:r w:rsidR="00B90ACD" w:rsidRPr="00F22F3A">
        <w:t>’</w:t>
      </w:r>
      <w:r w:rsidRPr="00F22F3A">
        <w:t>.</w:t>
      </w:r>
    </w:p>
    <w:p w:rsidR="003D1F9E" w:rsidRPr="00F22F3A" w:rsidRDefault="003D1F9E" w:rsidP="00F22F3A">
      <w:r w:rsidRPr="00F22F3A">
        <w:t>Evaluator’s response: This is accepted.</w:t>
      </w:r>
    </w:p>
    <w:p w:rsidR="003D1F9E" w:rsidRPr="003D1F9E" w:rsidRDefault="003D1F9E" w:rsidP="00F22F3A">
      <w:pPr>
        <w:pStyle w:val="ListBullet"/>
        <w:rPr>
          <w:rFonts w:cs="TimesNewRoman"/>
        </w:rPr>
      </w:pPr>
      <w:r w:rsidRPr="003D1F9E">
        <w:rPr>
          <w:rFonts w:cs="TimesNewRoman"/>
        </w:rPr>
        <w:t>Please comment on eyelid swelling as an adverse effect.</w:t>
      </w:r>
    </w:p>
    <w:p w:rsidR="003D1F9E" w:rsidRPr="00F22F3A" w:rsidRDefault="003D1F9E" w:rsidP="00F22F3A">
      <w:r w:rsidRPr="00F22F3A">
        <w:t xml:space="preserve">Response: Investigators have reported </w:t>
      </w:r>
      <w:r w:rsidR="00B90ACD" w:rsidRPr="00F22F3A">
        <w:t>‘</w:t>
      </w:r>
      <w:r w:rsidRPr="00F22F3A">
        <w:t>eyelid swelling</w:t>
      </w:r>
      <w:r w:rsidR="00B90ACD" w:rsidRPr="00F22F3A">
        <w:t>’</w:t>
      </w:r>
      <w:r w:rsidRPr="00F22F3A">
        <w:t xml:space="preserve"> as an adverse event in the phase 3 studies of RVO and uveitis. The investigator verbatim terms are coded using the MedDRA as </w:t>
      </w:r>
      <w:r w:rsidR="00B90ACD" w:rsidRPr="00F22F3A">
        <w:t>‘</w:t>
      </w:r>
      <w:r w:rsidRPr="00F22F3A">
        <w:t>eyelid oedema</w:t>
      </w:r>
      <w:r w:rsidR="00B90ACD" w:rsidRPr="00F22F3A">
        <w:t>’</w:t>
      </w:r>
      <w:r w:rsidRPr="00F22F3A">
        <w:t xml:space="preserve">. Additional investigator reports that code to this preferred term include </w:t>
      </w:r>
      <w:r w:rsidR="00B90ACD" w:rsidRPr="00F22F3A">
        <w:t>‘</w:t>
      </w:r>
      <w:r w:rsidRPr="00F22F3A">
        <w:t xml:space="preserve">lids oedema, </w:t>
      </w:r>
      <w:r w:rsidR="00B90ACD" w:rsidRPr="00F22F3A">
        <w:t>‘</w:t>
      </w:r>
      <w:r w:rsidRPr="00F22F3A">
        <w:t>swollen eyelids right/left eye</w:t>
      </w:r>
      <w:r w:rsidR="00B90ACD" w:rsidRPr="00F22F3A">
        <w:t>’</w:t>
      </w:r>
      <w:r w:rsidRPr="00F22F3A">
        <w:t xml:space="preserve">, </w:t>
      </w:r>
      <w:r w:rsidR="00B90ACD" w:rsidRPr="00F22F3A">
        <w:t>‘</w:t>
      </w:r>
      <w:r w:rsidRPr="00F22F3A">
        <w:t>left/right lower eyelid oedema</w:t>
      </w:r>
      <w:r w:rsidR="00B90ACD" w:rsidRPr="00F22F3A">
        <w:t>’</w:t>
      </w:r>
      <w:r w:rsidRPr="00F22F3A">
        <w:t xml:space="preserve">, </w:t>
      </w:r>
      <w:r w:rsidR="00B90ACD" w:rsidRPr="00F22F3A">
        <w:t>‘</w:t>
      </w:r>
      <w:r w:rsidRPr="00F22F3A">
        <w:t>swollen lower eyelid</w:t>
      </w:r>
      <w:r w:rsidR="00B90ACD" w:rsidRPr="00F22F3A">
        <w:t>’</w:t>
      </w:r>
      <w:r w:rsidRPr="00F22F3A">
        <w:t>,</w:t>
      </w:r>
      <w:r w:rsidR="00B90ACD" w:rsidRPr="00F22F3A">
        <w:t>’</w:t>
      </w:r>
      <w:r w:rsidRPr="00F22F3A">
        <w:t>swollen in the upper eyelid</w:t>
      </w:r>
      <w:r w:rsidR="00B90ACD" w:rsidRPr="00F22F3A">
        <w:t>’</w:t>
      </w:r>
      <w:r w:rsidRPr="00F22F3A">
        <w:t xml:space="preserve">, </w:t>
      </w:r>
      <w:r w:rsidR="00B90ACD" w:rsidRPr="00F22F3A">
        <w:t>‘</w:t>
      </w:r>
      <w:r w:rsidRPr="00F22F3A">
        <w:t>puffy eyelid</w:t>
      </w:r>
      <w:r w:rsidR="00B90ACD" w:rsidRPr="00F22F3A">
        <w:t>’</w:t>
      </w:r>
      <w:r w:rsidRPr="00F22F3A">
        <w:t>,</w:t>
      </w:r>
      <w:r w:rsidR="00B90ACD" w:rsidRPr="00F22F3A">
        <w:t>’</w:t>
      </w:r>
      <w:r w:rsidRPr="00F22F3A">
        <w:t>oedema to eyelids</w:t>
      </w:r>
      <w:r w:rsidR="00B90ACD" w:rsidRPr="00F22F3A">
        <w:t>’</w:t>
      </w:r>
      <w:r w:rsidRPr="00F22F3A">
        <w:t xml:space="preserve">. Allergan considers that eyelid oedema is not directly caused by </w:t>
      </w:r>
      <w:r w:rsidR="00747662" w:rsidRPr="00F22F3A">
        <w:t>Ozurdex</w:t>
      </w:r>
      <w:r w:rsidRPr="00F22F3A">
        <w:t>, but likely related to pre-injection preparations such as use of topical antibiotics, topical anesthetics, betadine sterilisation, sterile irrigating, and use of eyelid specula to open the eye, etc. Of the 2 cases reported, one was considered as not related to the study drug (Study 206207-008, Patient 4374-1444) while the other was considered as related to the applicator/insertion (Study 206207-014, Patient 5036-52102).</w:t>
      </w:r>
    </w:p>
    <w:p w:rsidR="003D1F9E" w:rsidRPr="00F22F3A" w:rsidRDefault="003D1F9E" w:rsidP="00F22F3A">
      <w:r w:rsidRPr="00F22F3A">
        <w:t xml:space="preserve">Evaluator’s comment: This is accepted. </w:t>
      </w:r>
    </w:p>
    <w:p w:rsidR="003D1F9E" w:rsidRPr="003D1F9E" w:rsidRDefault="003D1F9E" w:rsidP="00F22F3A">
      <w:pPr>
        <w:pStyle w:val="ListBullet"/>
      </w:pPr>
      <w:r w:rsidRPr="003D1F9E">
        <w:t>Please clarify the difference in terms IOP increase, ocular hypertension and glaucoma.</w:t>
      </w:r>
    </w:p>
    <w:p w:rsidR="003D1F9E" w:rsidRPr="00F22F3A" w:rsidRDefault="003D1F9E" w:rsidP="00F22F3A">
      <w:r w:rsidRPr="00F22F3A">
        <w:t>Sponsor’s response: Intraocular pressure (IOP) is measured in millimeters of mercury (mm Hg), with normal ranges from 10 to 21 mm Hg.</w:t>
      </w:r>
    </w:p>
    <w:p w:rsidR="003D1F9E" w:rsidRPr="00F22F3A" w:rsidRDefault="003D1F9E" w:rsidP="00F22F3A">
      <w:r w:rsidRPr="00F22F3A">
        <w:t>An adverse event of increased IOP was reported when the IOP was higher than the normal range, significantly increased from baseline, or the degree of the increase in IOP was considered clinically significant by the study investigators.</w:t>
      </w:r>
    </w:p>
    <w:p w:rsidR="003D1F9E" w:rsidRPr="003D1F9E" w:rsidRDefault="003D1F9E" w:rsidP="003D1F9E">
      <w:pPr>
        <w:autoSpaceDE w:val="0"/>
        <w:autoSpaceDN w:val="0"/>
        <w:adjustRightInd w:val="0"/>
        <w:spacing w:before="0" w:after="0" w:line="240" w:lineRule="auto"/>
        <w:rPr>
          <w:rFonts w:eastAsia="TimesNewRoman" w:cs="TimesNewRoman"/>
        </w:rPr>
      </w:pPr>
      <w:r w:rsidRPr="003D1F9E">
        <w:rPr>
          <w:rFonts w:eastAsia="TimesNewRoman,Bold" w:cs="TimesNewRoman,Bold"/>
          <w:bCs/>
        </w:rPr>
        <w:t xml:space="preserve">Ocular hypertension </w:t>
      </w:r>
      <w:r w:rsidRPr="003D1F9E">
        <w:rPr>
          <w:rFonts w:eastAsia="TimesNewRoman" w:cs="TimesNewRoman"/>
        </w:rPr>
        <w:t>is commonly defined as a condition with the following criteria:</w:t>
      </w:r>
    </w:p>
    <w:p w:rsidR="003D1F9E" w:rsidRPr="00F126A2" w:rsidRDefault="003D1F9E" w:rsidP="00F22F3A">
      <w:pPr>
        <w:pStyle w:val="ListBullet2"/>
      </w:pPr>
      <w:r w:rsidRPr="00F126A2">
        <w:t>An IOP of greater than 21 mm Hg as measured in one or both eyes on 2 or more occasions</w:t>
      </w:r>
    </w:p>
    <w:p w:rsidR="003D1F9E" w:rsidRPr="00F126A2" w:rsidRDefault="003D1F9E" w:rsidP="00F22F3A">
      <w:pPr>
        <w:pStyle w:val="ListBullet2"/>
      </w:pPr>
      <w:r w:rsidRPr="00F126A2">
        <w:t>The optic nerve appears normal</w:t>
      </w:r>
    </w:p>
    <w:p w:rsidR="003D1F9E" w:rsidRPr="00F126A2" w:rsidRDefault="003D1F9E" w:rsidP="00F22F3A">
      <w:pPr>
        <w:pStyle w:val="ListBullet2"/>
      </w:pPr>
      <w:r w:rsidRPr="00F126A2">
        <w:t>No signs of glaucoma are evident on visual field testing</w:t>
      </w:r>
    </w:p>
    <w:p w:rsidR="003D1F9E" w:rsidRPr="00F126A2" w:rsidRDefault="003D1F9E" w:rsidP="00F22F3A">
      <w:pPr>
        <w:pStyle w:val="ListBullet2"/>
      </w:pPr>
      <w:r w:rsidRPr="00F126A2">
        <w:t>The angle through which the intraocular fluid drains is open</w:t>
      </w:r>
    </w:p>
    <w:p w:rsidR="003D1F9E" w:rsidRPr="00F126A2" w:rsidRDefault="003D1F9E" w:rsidP="00F22F3A">
      <w:pPr>
        <w:pStyle w:val="ListBullet2"/>
      </w:pPr>
      <w:r w:rsidRPr="00F126A2">
        <w:t>No signs of any other ocular disease present that could contribute to elevated IOP</w:t>
      </w:r>
    </w:p>
    <w:p w:rsidR="003D1F9E" w:rsidRPr="00F22F3A" w:rsidRDefault="003D1F9E" w:rsidP="00F22F3A">
      <w:r w:rsidRPr="00F22F3A">
        <w:t xml:space="preserve">If persistent increased IOP is observed without optic nerve damage or visual field loss, it tends to be reported as an adverse event of ocular hypertension. The study protocol did not include the definition of the terms </w:t>
      </w:r>
      <w:r w:rsidR="00B90ACD" w:rsidRPr="00F22F3A">
        <w:t>‘</w:t>
      </w:r>
      <w:r w:rsidRPr="00F22F3A">
        <w:t>increased IOP</w:t>
      </w:r>
      <w:r w:rsidR="00B90ACD" w:rsidRPr="00F22F3A">
        <w:t>’</w:t>
      </w:r>
      <w:r w:rsidRPr="00F22F3A">
        <w:t xml:space="preserve"> or </w:t>
      </w:r>
      <w:r w:rsidR="00B90ACD" w:rsidRPr="00F22F3A">
        <w:t>‘</w:t>
      </w:r>
      <w:r w:rsidRPr="00F22F3A">
        <w:t>ocular hypertension</w:t>
      </w:r>
      <w:r w:rsidR="00B90ACD" w:rsidRPr="00F22F3A">
        <w:t>’</w:t>
      </w:r>
      <w:r w:rsidRPr="00F22F3A">
        <w:t>. The adverse</w:t>
      </w:r>
      <w:r w:rsidR="00B902CD" w:rsidRPr="00F22F3A">
        <w:t xml:space="preserve"> </w:t>
      </w:r>
      <w:r w:rsidRPr="00F22F3A">
        <w:t>event term used in reporting is determined by the investigator.</w:t>
      </w:r>
    </w:p>
    <w:p w:rsidR="003D1F9E" w:rsidRPr="00F22F3A" w:rsidRDefault="003D1F9E" w:rsidP="00F22F3A">
      <w:r w:rsidRPr="00F22F3A">
        <w:t xml:space="preserve">Glaucoma is a highly heterogeneous group of conditions associated with optic nerve damage, resulting in a characteristic optic neuropathy with associated visual field loss. High IOP is one of the factors responsible for the optic nerve damage; however there is also a type of glaucoma with normal range of IOP. The study protocol did not include the definition of the term </w:t>
      </w:r>
      <w:r w:rsidR="00B90ACD" w:rsidRPr="00F22F3A">
        <w:t>‘</w:t>
      </w:r>
      <w:r w:rsidRPr="00F22F3A">
        <w:t>glaucoma</w:t>
      </w:r>
      <w:r w:rsidR="00B90ACD" w:rsidRPr="00F22F3A">
        <w:t>’</w:t>
      </w:r>
      <w:r w:rsidRPr="00F22F3A">
        <w:t>. The adverse event term used in reporting is determined by the investigator.</w:t>
      </w:r>
    </w:p>
    <w:p w:rsidR="003D1F9E" w:rsidRPr="00F22F3A" w:rsidRDefault="003D1F9E" w:rsidP="00F22F3A">
      <w:pPr>
        <w:pStyle w:val="ListBullet"/>
      </w:pPr>
      <w:r w:rsidRPr="00F22F3A">
        <w:t>Where there any measures of quality of life?</w:t>
      </w:r>
    </w:p>
    <w:p w:rsidR="003D1F9E" w:rsidRPr="00F22F3A" w:rsidRDefault="003D1F9E" w:rsidP="00F22F3A">
      <w:r w:rsidRPr="00F22F3A">
        <w:lastRenderedPageBreak/>
        <w:t>Sponsor’s response: yes, they were VFQ-25. The questionnaire was performed at baseline and during follow-up in the global phase 3 studies 206207-009 and 206207-008.</w:t>
      </w:r>
    </w:p>
    <w:p w:rsidR="003D1F9E" w:rsidRPr="00F22F3A" w:rsidRDefault="0012261E" w:rsidP="00F22F3A">
      <w:r>
        <w:t>Evaluator’s comments: Noted.</w:t>
      </w:r>
    </w:p>
    <w:p w:rsidR="003D1F9E" w:rsidRPr="00B902CD" w:rsidRDefault="003D1F9E" w:rsidP="00F22F3A">
      <w:pPr>
        <w:pStyle w:val="ListBullet"/>
      </w:pPr>
      <w:r w:rsidRPr="00B902CD">
        <w:t>Please outline the aetiologies of uveitis in the patients enrolled in the clinical trial.</w:t>
      </w:r>
    </w:p>
    <w:p w:rsidR="003D1F9E" w:rsidRPr="00F22F3A" w:rsidRDefault="003D1F9E" w:rsidP="00F22F3A">
      <w:r w:rsidRPr="00F22F3A">
        <w:t>Sponsor’s response: In the phase 3 study 206207-014, the disease diagnosis at baseline was intermediate uveitis for 80.8% of patients, and posterior uveitis for 19.2</w:t>
      </w:r>
      <w:proofErr w:type="gramStart"/>
      <w:r w:rsidRPr="00F22F3A">
        <w:t>% .</w:t>
      </w:r>
      <w:proofErr w:type="gramEnd"/>
      <w:r w:rsidRPr="00F22F3A">
        <w:t xml:space="preserve"> The aetiologies of uveitis were not specifically recorded. In reviewing the medical history of patients at baseline however, the following conditions that have been associated with uveitis include: sarcoidosis (8.7%), arthritis (6.1%), rheumatoid arthritis (2.6%), Behcet’s syndrome (3.5%), multiple sclerosis (2.2%), spondyloarthropathy (1.3%), juvenile arthritis (0.9%), polyarthritis (0.9%), systemic lupus erythematosus (0.9%), Crohn’s disease (0.4%), ankylosing spondylitis (0.4%), psoriasis (0.4%), and pulmonary sarcoidosis(0.4%).</w:t>
      </w:r>
    </w:p>
    <w:p w:rsidR="003D1F9E" w:rsidRPr="00AD7BAF" w:rsidRDefault="003D1F9E" w:rsidP="001A6420">
      <w:r>
        <w:t>Evaluator’s r</w:t>
      </w:r>
      <w:r w:rsidR="0012261E">
        <w:t>esponse: The response is noted.</w:t>
      </w:r>
    </w:p>
    <w:p w:rsidR="003D1F9E" w:rsidRPr="00F22F3A" w:rsidRDefault="003D1F9E" w:rsidP="00F22F3A">
      <w:pPr>
        <w:pStyle w:val="ListBullet"/>
      </w:pPr>
      <w:r w:rsidRPr="00F22F3A">
        <w:t>Please justify the use of a single pivotal study for this indication.</w:t>
      </w:r>
    </w:p>
    <w:p w:rsidR="003D1F9E" w:rsidRPr="00F22F3A" w:rsidRDefault="003D1F9E" w:rsidP="00F22F3A">
      <w:r w:rsidRPr="00F22F3A">
        <w:t>Sponsor’s response: The sponsor has quoted the TGA accepted EU Guideline Points to Consider on applications with one pivotal study (CPMP/EWP/2330/99, 2001).This   document gives credence to data quality, internal validity with no indication of potential bias, external validity, clinical relevance to primary vari</w:t>
      </w:r>
      <w:r w:rsidR="0012261E">
        <w:t>able and statistical relevance.</w:t>
      </w:r>
    </w:p>
    <w:p w:rsidR="003D1F9E" w:rsidRPr="00F22F3A" w:rsidRDefault="003D1F9E" w:rsidP="00F22F3A">
      <w:r w:rsidRPr="00F22F3A">
        <w:t>Evaluator’s response: The sponsor has addressed these issues satisfactorily.</w:t>
      </w:r>
    </w:p>
    <w:p w:rsidR="00C618F7" w:rsidRDefault="00C618F7" w:rsidP="00C618F7">
      <w:pPr>
        <w:pStyle w:val="Heading2"/>
      </w:pPr>
      <w:bookmarkStart w:id="417" w:name="_Toc6313926"/>
      <w:r>
        <w:t>Second round benefit-risk assessment</w:t>
      </w:r>
      <w:bookmarkEnd w:id="417"/>
    </w:p>
    <w:p w:rsidR="00B902CD" w:rsidRDefault="00B902CD" w:rsidP="00B902CD">
      <w:pPr>
        <w:pStyle w:val="Heading3"/>
      </w:pPr>
      <w:bookmarkStart w:id="418" w:name="_Toc272414709"/>
      <w:bookmarkStart w:id="419" w:name="_Toc290888575"/>
      <w:bookmarkStart w:id="420" w:name="_Toc416353792"/>
      <w:bookmarkStart w:id="421" w:name="_Toc421005334"/>
      <w:bookmarkStart w:id="422" w:name="_Toc432079207"/>
      <w:bookmarkStart w:id="423" w:name="_Toc432080780"/>
      <w:bookmarkStart w:id="424" w:name="_Toc471225145"/>
      <w:bookmarkStart w:id="425" w:name="_Toc6313927"/>
      <w:r w:rsidRPr="00500C5C">
        <w:t>Second round assessment of benefits</w:t>
      </w:r>
      <w:bookmarkEnd w:id="418"/>
      <w:bookmarkEnd w:id="419"/>
      <w:bookmarkEnd w:id="420"/>
      <w:bookmarkEnd w:id="421"/>
      <w:bookmarkEnd w:id="422"/>
      <w:bookmarkEnd w:id="423"/>
      <w:bookmarkEnd w:id="424"/>
      <w:bookmarkEnd w:id="425"/>
    </w:p>
    <w:p w:rsidR="00B902CD" w:rsidRPr="003058D7" w:rsidRDefault="00B902CD" w:rsidP="00F22F3A">
      <w:pPr>
        <w:pStyle w:val="Heading4"/>
      </w:pPr>
      <w:r w:rsidRPr="003058D7">
        <w:t>CRVO and BRVO:</w:t>
      </w:r>
    </w:p>
    <w:p w:rsidR="00B902CD" w:rsidRPr="00F22F3A" w:rsidRDefault="00B902CD" w:rsidP="00F22F3A">
      <w:r w:rsidRPr="00F22F3A">
        <w:t>The benefits are as per Round 1 evaluation.</w:t>
      </w:r>
    </w:p>
    <w:p w:rsidR="00B902CD" w:rsidRPr="00F22F3A" w:rsidRDefault="00B902CD" w:rsidP="00F22F3A">
      <w:r w:rsidRPr="00F22F3A">
        <w:t>Non-infectious uveitis affecting the posterior segment of the eye:</w:t>
      </w:r>
    </w:p>
    <w:p w:rsidR="00B902CD" w:rsidRPr="00F22F3A" w:rsidRDefault="00B902CD" w:rsidP="00F22F3A">
      <w:r w:rsidRPr="00F22F3A">
        <w:t xml:space="preserve">The benefits are as per Round 1 evaluation. The results of the Phase III study demonstrated that the 700 </w:t>
      </w:r>
      <w:r w:rsidR="001E2A95" w:rsidRPr="00F22F3A">
        <w:t>µ</w:t>
      </w:r>
      <w:r w:rsidRPr="00F22F3A">
        <w:t>g implant was efficacious in the treatment of uveitis of the posterior segment of the eye.</w:t>
      </w:r>
    </w:p>
    <w:p w:rsidR="00B902CD" w:rsidRDefault="00B902CD" w:rsidP="00B902CD">
      <w:pPr>
        <w:pStyle w:val="Heading3"/>
      </w:pPr>
      <w:bookmarkStart w:id="426" w:name="_Toc272414710"/>
      <w:bookmarkStart w:id="427" w:name="_Toc290888576"/>
      <w:bookmarkStart w:id="428" w:name="_Toc416353793"/>
      <w:bookmarkStart w:id="429" w:name="_Toc421005335"/>
      <w:bookmarkStart w:id="430" w:name="_Toc432079208"/>
      <w:bookmarkStart w:id="431" w:name="_Toc432080781"/>
      <w:bookmarkStart w:id="432" w:name="_Toc471225146"/>
      <w:bookmarkStart w:id="433" w:name="_Toc6313928"/>
      <w:r w:rsidRPr="00500C5C">
        <w:t>Second round assessment of risks</w:t>
      </w:r>
      <w:bookmarkEnd w:id="426"/>
      <w:bookmarkEnd w:id="427"/>
      <w:bookmarkEnd w:id="428"/>
      <w:bookmarkEnd w:id="429"/>
      <w:bookmarkEnd w:id="430"/>
      <w:bookmarkEnd w:id="431"/>
      <w:bookmarkEnd w:id="432"/>
      <w:bookmarkEnd w:id="433"/>
    </w:p>
    <w:p w:rsidR="00B902CD" w:rsidRPr="00E75F53" w:rsidRDefault="00B902CD" w:rsidP="00F22F3A">
      <w:pPr>
        <w:pStyle w:val="Heading4"/>
      </w:pPr>
      <w:r w:rsidRPr="00E75F53">
        <w:t>CRVO and BRVO</w:t>
      </w:r>
    </w:p>
    <w:p w:rsidR="00B902CD" w:rsidRPr="00F22F3A" w:rsidRDefault="00B902CD" w:rsidP="00F22F3A">
      <w:r w:rsidRPr="00F22F3A">
        <w:t>There is a concern regarding the change of the primary efficacy endpoint in Study 206207-008, from proportion of patients with at least 15 letters of improvement from baseline in BCVA at day 180, to time to respond (achieve at least 15 letters improvement from baseline in BCVA). This concern was allayed as the change was undertaken before the data lock point. It is noted that the latter efficacy end point fa</w:t>
      </w:r>
      <w:r w:rsidR="0012261E">
        <w:t>voured dexamethasone over sham.</w:t>
      </w:r>
    </w:p>
    <w:p w:rsidR="00B902CD" w:rsidRPr="00F22F3A" w:rsidRDefault="0012261E" w:rsidP="00F22F3A">
      <w:r>
        <w:t>F</w:t>
      </w:r>
      <w:r w:rsidR="00B902CD" w:rsidRPr="00F22F3A">
        <w:t xml:space="preserve">ormation on the onset and duration of treatment effect as there were only 4 </w:t>
      </w:r>
      <w:r>
        <w:t>post baseline visits scheduled.</w:t>
      </w:r>
    </w:p>
    <w:p w:rsidR="00B902CD" w:rsidRPr="00B902CD" w:rsidRDefault="00B902CD" w:rsidP="00B902CD">
      <w:pPr>
        <w:spacing w:before="0" w:after="0" w:line="240" w:lineRule="auto"/>
        <w:rPr>
          <w:lang w:eastAsia="ja-JP"/>
        </w:rPr>
      </w:pPr>
    </w:p>
    <w:p w:rsidR="00B902CD" w:rsidRPr="00935304" w:rsidRDefault="00B902CD" w:rsidP="00935304">
      <w:r w:rsidRPr="00935304">
        <w:lastRenderedPageBreak/>
        <w:t>No data are provided in this submission for evaluation on more than 2 injections. However, this is addressed in the draft PI.</w:t>
      </w:r>
    </w:p>
    <w:p w:rsidR="00B902CD" w:rsidRPr="00935304" w:rsidRDefault="00B902CD" w:rsidP="00935304">
      <w:r w:rsidRPr="00935304">
        <w:t>The adverse event profile is that which is expected with corticosteroids and is addressed in the draft PI and CMI documents.</w:t>
      </w:r>
    </w:p>
    <w:p w:rsidR="00B902CD" w:rsidRPr="00E75F53" w:rsidRDefault="0012261E" w:rsidP="00935304">
      <w:pPr>
        <w:pStyle w:val="Heading4"/>
      </w:pPr>
      <w:r>
        <w:t>Uveitis:</w:t>
      </w:r>
    </w:p>
    <w:p w:rsidR="00B902CD" w:rsidRPr="00935304" w:rsidRDefault="00B902CD" w:rsidP="00935304">
      <w:r w:rsidRPr="00935304">
        <w:t>There is lack of data of repeat injections; also on those requiring injections more frequently than 6 monthly dosing.</w:t>
      </w:r>
    </w:p>
    <w:p w:rsidR="00B902CD" w:rsidRPr="00545B14" w:rsidRDefault="00B902CD" w:rsidP="00B902CD">
      <w:pPr>
        <w:pStyle w:val="Heading3"/>
      </w:pPr>
      <w:bookmarkStart w:id="434" w:name="_Toc272414711"/>
      <w:bookmarkStart w:id="435" w:name="_Toc290888577"/>
      <w:bookmarkStart w:id="436" w:name="_Toc416353794"/>
      <w:bookmarkStart w:id="437" w:name="_Toc421005336"/>
      <w:bookmarkStart w:id="438" w:name="_Toc432079209"/>
      <w:bookmarkStart w:id="439" w:name="_Toc432080782"/>
      <w:bookmarkStart w:id="440" w:name="_Toc471225147"/>
      <w:bookmarkStart w:id="441" w:name="_Toc6313929"/>
      <w:r w:rsidRPr="00545B14">
        <w:t xml:space="preserve">Second round assessment of benefit-risk </w:t>
      </w:r>
      <w:bookmarkEnd w:id="434"/>
      <w:bookmarkEnd w:id="435"/>
      <w:bookmarkEnd w:id="436"/>
      <w:bookmarkEnd w:id="437"/>
      <w:r>
        <w:t>balance</w:t>
      </w:r>
      <w:bookmarkEnd w:id="438"/>
      <w:bookmarkEnd w:id="439"/>
      <w:bookmarkEnd w:id="440"/>
      <w:bookmarkEnd w:id="441"/>
    </w:p>
    <w:p w:rsidR="00B902CD" w:rsidRPr="00E75F53" w:rsidRDefault="00B902CD" w:rsidP="00935304">
      <w:pPr>
        <w:pStyle w:val="Heading4"/>
      </w:pPr>
      <w:r w:rsidRPr="00E75F53">
        <w:t>BRVO and CRVO</w:t>
      </w:r>
    </w:p>
    <w:p w:rsidR="00B902CD" w:rsidRPr="00935304" w:rsidRDefault="00B902CD" w:rsidP="00935304">
      <w:r w:rsidRPr="00935304">
        <w:t>Benefit/risk balance is favourable.</w:t>
      </w:r>
    </w:p>
    <w:p w:rsidR="00B902CD" w:rsidRPr="00E75F53" w:rsidRDefault="00B902CD" w:rsidP="00935304">
      <w:pPr>
        <w:pStyle w:val="Heading4"/>
      </w:pPr>
      <w:r w:rsidRPr="00E75F53">
        <w:t>Non-infectious uveitis affecting the posterior segment of the eye</w:t>
      </w:r>
    </w:p>
    <w:p w:rsidR="00B902CD" w:rsidRPr="00B902CD" w:rsidRDefault="00B902CD" w:rsidP="00B902CD">
      <w:pPr>
        <w:rPr>
          <w:lang w:eastAsia="ja-JP"/>
        </w:rPr>
      </w:pPr>
      <w:r w:rsidRPr="00B902CD">
        <w:rPr>
          <w:lang w:eastAsia="ja-JP"/>
        </w:rPr>
        <w:t>Benefit/risk balance is favourable.</w:t>
      </w:r>
    </w:p>
    <w:p w:rsidR="00C618F7" w:rsidRDefault="00C618F7" w:rsidP="00C618F7">
      <w:pPr>
        <w:pStyle w:val="Heading2"/>
      </w:pPr>
      <w:bookmarkStart w:id="442" w:name="_Toc6313930"/>
      <w:r>
        <w:t>Second round recommendation regarding authorisation</w:t>
      </w:r>
      <w:bookmarkEnd w:id="442"/>
    </w:p>
    <w:p w:rsidR="00B902CD" w:rsidRDefault="00B902CD" w:rsidP="00B902CD">
      <w:pPr>
        <w:autoSpaceDE w:val="0"/>
        <w:autoSpaceDN w:val="0"/>
        <w:adjustRightInd w:val="0"/>
        <w:spacing w:before="0" w:after="0" w:line="240" w:lineRule="auto"/>
        <w:rPr>
          <w:rFonts w:eastAsiaTheme="minorHAnsi" w:cs="ArialMT"/>
        </w:rPr>
      </w:pPr>
      <w:r w:rsidRPr="00D060B7">
        <w:rPr>
          <w:lang w:eastAsia="ja-JP"/>
        </w:rPr>
        <w:t xml:space="preserve">I recommend the approval of </w:t>
      </w:r>
      <w:r w:rsidR="00747662">
        <w:rPr>
          <w:rFonts w:eastAsiaTheme="minorHAnsi" w:cs="ArialMT"/>
        </w:rPr>
        <w:t>Ozurdex</w:t>
      </w:r>
      <w:r w:rsidRPr="00D060B7">
        <w:rPr>
          <w:rFonts w:eastAsiaTheme="minorHAnsi" w:cs="ArialMT"/>
          <w:sz w:val="14"/>
          <w:szCs w:val="14"/>
        </w:rPr>
        <w:t xml:space="preserve"> </w:t>
      </w:r>
      <w:r w:rsidRPr="00D060B7">
        <w:rPr>
          <w:rFonts w:eastAsiaTheme="minorHAnsi" w:cs="ArialMT"/>
        </w:rPr>
        <w:t>700</w:t>
      </w:r>
      <w:r w:rsidR="00935304">
        <w:rPr>
          <w:rFonts w:eastAsiaTheme="minorHAnsi" w:cs="ArialMT"/>
        </w:rPr>
        <w:t xml:space="preserve"> </w:t>
      </w:r>
      <w:r w:rsidR="001E2A95">
        <w:rPr>
          <w:rFonts w:eastAsiaTheme="minorHAnsi" w:cs="Arial"/>
        </w:rPr>
        <w:t>µ</w:t>
      </w:r>
      <w:r w:rsidRPr="00D060B7">
        <w:rPr>
          <w:rFonts w:eastAsiaTheme="minorHAnsi" w:cs="ArialMT"/>
        </w:rPr>
        <w:t>g dexamethasone intravitreal implant; for the indications of</w:t>
      </w:r>
      <w:r>
        <w:rPr>
          <w:rFonts w:eastAsiaTheme="minorHAnsi" w:cs="ArialMT"/>
        </w:rPr>
        <w:t xml:space="preserve">: </w:t>
      </w:r>
    </w:p>
    <w:p w:rsidR="00B902CD" w:rsidRPr="00935304" w:rsidRDefault="00935304" w:rsidP="00935304">
      <w:pPr>
        <w:rPr>
          <w:i/>
        </w:rPr>
      </w:pPr>
      <w:proofErr w:type="gramStart"/>
      <w:r>
        <w:rPr>
          <w:i/>
        </w:rPr>
        <w:t>‘</w:t>
      </w:r>
      <w:r w:rsidR="00B902CD" w:rsidRPr="00935304">
        <w:rPr>
          <w:i/>
        </w:rPr>
        <w:t>Treatment of macular oedema due to Branch Retinal Vein Occlusion (BRVO) or Central Retinal Vein Occlusion (CRVO).</w:t>
      </w:r>
      <w:proofErr w:type="gramEnd"/>
    </w:p>
    <w:p w:rsidR="00B902CD" w:rsidRPr="00935304" w:rsidRDefault="00B902CD" w:rsidP="00935304">
      <w:pPr>
        <w:rPr>
          <w:i/>
        </w:rPr>
      </w:pPr>
      <w:proofErr w:type="gramStart"/>
      <w:r w:rsidRPr="00935304">
        <w:rPr>
          <w:i/>
        </w:rPr>
        <w:t>Treatment of non-infectious uveitis affecting the posterior segment of the eye.</w:t>
      </w:r>
      <w:r w:rsidR="00935304">
        <w:rPr>
          <w:i/>
        </w:rPr>
        <w:t>’</w:t>
      </w:r>
      <w:proofErr w:type="gramEnd"/>
    </w:p>
    <w:bookmarkEnd w:id="3"/>
    <w:bookmarkEnd w:id="1"/>
    <w:bookmarkEnd w:id="0"/>
    <w:p w:rsidR="008D770F" w:rsidRPr="00935304" w:rsidRDefault="008D770F" w:rsidP="00935304">
      <w:pPr>
        <w:rPr>
          <w:i/>
        </w:rPr>
      </w:pPr>
    </w:p>
    <w:p w:rsidR="003D1E62" w:rsidRPr="001D043B" w:rsidRDefault="008E7846" w:rsidP="002666AC">
      <w:pPr>
        <w:sectPr w:rsidR="003D1E62" w:rsidRPr="001D043B" w:rsidSect="001A3D82">
          <w:headerReference w:type="even" r:id="rId86"/>
          <w:headerReference w:type="default" r:id="rId87"/>
          <w:headerReference w:type="first" r:id="rId88"/>
          <w:footerReference w:type="first" r:id="rId89"/>
          <w:pgSz w:w="11906" w:h="16838" w:code="9"/>
          <w:pgMar w:top="1440" w:right="1701" w:bottom="1440" w:left="1701" w:header="907" w:footer="215"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74227">
        <w:trPr>
          <w:trHeight w:hRule="exact" w:val="564"/>
        </w:trPr>
        <w:tc>
          <w:tcPr>
            <w:tcW w:w="9175" w:type="dxa"/>
          </w:tcPr>
          <w:p w:rsidR="00B3567E" w:rsidRPr="00487162" w:rsidRDefault="00B3567E" w:rsidP="00774227">
            <w:pPr>
              <w:pStyle w:val="TGASignoff"/>
            </w:pPr>
            <w:r w:rsidRPr="00487162">
              <w:lastRenderedPageBreak/>
              <w:t>Therapeutic Goods Administration</w:t>
            </w:r>
          </w:p>
        </w:tc>
      </w:tr>
      <w:tr w:rsidR="00B3567E" w:rsidRPr="00487162" w:rsidTr="00774227">
        <w:trPr>
          <w:trHeight w:val="1221"/>
        </w:trPr>
        <w:tc>
          <w:tcPr>
            <w:tcW w:w="9175" w:type="dxa"/>
            <w:tcMar>
              <w:top w:w="28" w:type="dxa"/>
            </w:tcMar>
          </w:tcPr>
          <w:p w:rsidR="00B3567E" w:rsidRPr="00487162" w:rsidRDefault="00B3567E" w:rsidP="00774227">
            <w:pPr>
              <w:pStyle w:val="Address"/>
            </w:pPr>
            <w:r w:rsidRPr="00487162">
              <w:t>PO Box 100 Woden ACT 2606 Australia</w:t>
            </w:r>
          </w:p>
          <w:p w:rsidR="00B3567E" w:rsidRPr="00487162" w:rsidRDefault="00B3567E" w:rsidP="00774227">
            <w:pPr>
              <w:pStyle w:val="Address"/>
            </w:pPr>
            <w:r w:rsidRPr="00487162">
              <w:t xml:space="preserve">Email: </w:t>
            </w:r>
            <w:hyperlink r:id="rId90" w:history="1">
              <w:r w:rsidRPr="008D770F">
                <w:rPr>
                  <w:rStyle w:val="Hyperlink"/>
                </w:rPr>
                <w:t>info@tga.gov.au</w:t>
              </w:r>
            </w:hyperlink>
            <w:r w:rsidRPr="00487162">
              <w:t xml:space="preserve">  Phone: 1800 020 653  Fax: 02 6232 8605</w:t>
            </w:r>
          </w:p>
          <w:p w:rsidR="00B3567E" w:rsidRPr="008D770F" w:rsidRDefault="008512D0" w:rsidP="00774227">
            <w:pPr>
              <w:pStyle w:val="Address"/>
              <w:spacing w:line="260" w:lineRule="atLeast"/>
              <w:rPr>
                <w:b/>
                <w:color w:val="0000FF"/>
                <w:u w:val="single"/>
              </w:rPr>
            </w:pPr>
            <w:hyperlink r:id="rId9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2"/>
      <w:headerReference w:type="default" r:id="rId93"/>
      <w:footerReference w:type="default" r:id="rId94"/>
      <w:headerReference w:type="first" r:id="rId95"/>
      <w:footerReference w:type="first" r:id="rId9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2D0" w:rsidRDefault="008512D0" w:rsidP="00C40A36">
      <w:pPr>
        <w:spacing w:after="0"/>
      </w:pPr>
      <w:r>
        <w:separator/>
      </w:r>
    </w:p>
  </w:endnote>
  <w:endnote w:type="continuationSeparator" w:id="0">
    <w:p w:rsidR="008512D0" w:rsidRDefault="008512D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8512D0" w:rsidRPr="00487162" w:rsidTr="00AB599E">
      <w:trPr>
        <w:trHeight w:val="269"/>
      </w:trPr>
      <w:tc>
        <w:tcPr>
          <w:tcW w:w="7513" w:type="dxa"/>
          <w:tcMar>
            <w:top w:w="142" w:type="dxa"/>
            <w:bottom w:w="0" w:type="dxa"/>
          </w:tcMar>
        </w:tcPr>
        <w:p w:rsidR="008512D0" w:rsidRPr="00487162" w:rsidRDefault="008512D0" w:rsidP="00747662">
          <w:pPr>
            <w:pStyle w:val="Footer"/>
          </w:pPr>
          <w:r w:rsidRPr="00475430">
            <w:t xml:space="preserve">Submission PM-2016-00346-1-5 Extract from the Clinical Evaluation Report for </w:t>
          </w:r>
          <w:r>
            <w:t xml:space="preserve">Ozurdex </w:t>
          </w:r>
          <w:r w:rsidRPr="00475430">
            <w:t xml:space="preserve">dexamethasone </w:t>
          </w:r>
          <w:r>
            <w:t xml:space="preserve"> </w:t>
          </w:r>
          <w:r w:rsidRPr="00475430">
            <w:t>Allergan Australia Pty Ltd</w:t>
          </w:r>
          <w:r>
            <w:t xml:space="preserve"> Final 20 February 2019</w:t>
          </w:r>
        </w:p>
      </w:tc>
      <w:tc>
        <w:tcPr>
          <w:tcW w:w="1348" w:type="dxa"/>
          <w:tcMar>
            <w:top w:w="142" w:type="dxa"/>
            <w:bottom w:w="0" w:type="dxa"/>
          </w:tcMar>
        </w:tcPr>
        <w:p w:rsidR="008512D0" w:rsidRPr="00981D66" w:rsidRDefault="008512D0"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2261E">
            <w:rPr>
              <w:noProof/>
            </w:rPr>
            <w:t>3</w:t>
          </w:r>
          <w:r w:rsidRPr="00981D66">
            <w:fldChar w:fldCharType="end"/>
          </w:r>
          <w:r w:rsidRPr="00981D66">
            <w:t xml:space="preserve"> of </w:t>
          </w:r>
          <w:fldSimple w:instr=" NUMPAGES  \* Arabic  \* MERGEFORMAT ">
            <w:r w:rsidR="0012261E">
              <w:rPr>
                <w:noProof/>
              </w:rPr>
              <w:t>134</w:t>
            </w:r>
          </w:fldSimple>
        </w:p>
      </w:tc>
    </w:tr>
  </w:tbl>
  <w:p w:rsidR="008512D0" w:rsidRDefault="008512D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512D0" w:rsidRPr="00487162" w:rsidTr="00E45619">
      <w:trPr>
        <w:trHeight w:val="269"/>
      </w:trPr>
      <w:tc>
        <w:tcPr>
          <w:tcW w:w="4519" w:type="dxa"/>
          <w:tcBorders>
            <w:top w:val="single" w:sz="4" w:space="0" w:color="auto"/>
          </w:tcBorders>
          <w:tcMar>
            <w:top w:w="142" w:type="dxa"/>
            <w:bottom w:w="0" w:type="dxa"/>
          </w:tcMar>
        </w:tcPr>
        <w:p w:rsidR="008512D0" w:rsidRPr="00487162" w:rsidRDefault="008512D0" w:rsidP="00FE1DEE">
          <w:pPr>
            <w:pStyle w:val="Footer"/>
          </w:pPr>
          <w:r w:rsidRPr="00487162">
            <w:t>Document title, Part #, Section # - Section title</w:t>
          </w:r>
        </w:p>
        <w:p w:rsidR="008512D0" w:rsidRPr="00487162" w:rsidRDefault="008512D0" w:rsidP="00FE1DEE">
          <w:pPr>
            <w:pStyle w:val="Footer"/>
          </w:pPr>
          <w:r w:rsidRPr="00487162">
            <w:t>V1.0 October 2010</w:t>
          </w:r>
        </w:p>
      </w:tc>
      <w:tc>
        <w:tcPr>
          <w:tcW w:w="4342" w:type="dxa"/>
          <w:tcBorders>
            <w:top w:val="single" w:sz="4" w:space="0" w:color="auto"/>
          </w:tcBorders>
          <w:tcMar>
            <w:top w:w="142" w:type="dxa"/>
            <w:bottom w:w="0" w:type="dxa"/>
          </w:tcMar>
        </w:tcPr>
        <w:p w:rsidR="008512D0" w:rsidRPr="00487162" w:rsidRDefault="008512D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76</w:t>
          </w:r>
          <w:r>
            <w:rPr>
              <w:noProof/>
            </w:rPr>
            <w:fldChar w:fldCharType="end"/>
          </w:r>
        </w:p>
      </w:tc>
    </w:tr>
  </w:tbl>
  <w:p w:rsidR="008512D0" w:rsidRDefault="008512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512D0" w:rsidTr="0010601F">
      <w:trPr>
        <w:trHeight w:val="108"/>
      </w:trPr>
      <w:tc>
        <w:tcPr>
          <w:tcW w:w="8875" w:type="dxa"/>
          <w:gridSpan w:val="2"/>
          <w:tcBorders>
            <w:bottom w:val="single" w:sz="4" w:space="0" w:color="auto"/>
          </w:tcBorders>
          <w:tcMar>
            <w:right w:w="284" w:type="dxa"/>
          </w:tcMar>
        </w:tcPr>
        <w:p w:rsidR="008512D0" w:rsidRDefault="008512D0" w:rsidP="006E08B3">
          <w:pPr>
            <w:pStyle w:val="Heading3"/>
          </w:pPr>
          <w:r>
            <w:t>Copyright</w:t>
          </w:r>
        </w:p>
        <w:p w:rsidR="008512D0" w:rsidRDefault="008512D0" w:rsidP="006E08B3">
          <w:r>
            <w:rPr>
              <w:rFonts w:cs="Arial"/>
            </w:rPr>
            <w:t>©</w:t>
          </w:r>
          <w:r>
            <w:t xml:space="preserve"> Commonwealth of Australia [add year]</w:t>
          </w:r>
        </w:p>
        <w:p w:rsidR="008512D0" w:rsidRDefault="008512D0" w:rsidP="006E08B3"/>
        <w:p w:rsidR="008512D0" w:rsidRDefault="008512D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512D0" w:rsidRDefault="008512D0" w:rsidP="006E08B3"/>
        <w:p w:rsidR="008512D0" w:rsidRDefault="008512D0" w:rsidP="006E08B3">
          <w:pPr>
            <w:pStyle w:val="Heading3"/>
          </w:pPr>
          <w:r>
            <w:t>Confidentiality</w:t>
          </w:r>
        </w:p>
        <w:p w:rsidR="008512D0" w:rsidRDefault="008512D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512D0" w:rsidRDefault="008512D0" w:rsidP="006E08B3"/>
        <w:p w:rsidR="008512D0" w:rsidRDefault="008512D0" w:rsidP="006E08B3">
          <w:r>
            <w:t>For submission made by individuals, all personal details, other than your name, will be removed from your submission before it is published on the TGA’s Internet site.</w:t>
          </w:r>
        </w:p>
        <w:p w:rsidR="008512D0" w:rsidRDefault="008512D0" w:rsidP="006E08B3"/>
        <w:p w:rsidR="008512D0" w:rsidRDefault="008512D0" w:rsidP="006E08B3">
          <w:r>
            <w:t>In addition, a list of parties making submissions will be published. If you do not wish to be identified with your submission you must specifically request this in the space provided ib the submission coversheet.</w:t>
          </w:r>
        </w:p>
      </w:tc>
    </w:tr>
    <w:tr w:rsidR="008512D0" w:rsidTr="0010601F">
      <w:trPr>
        <w:trHeight w:val="417"/>
      </w:trPr>
      <w:tc>
        <w:tcPr>
          <w:tcW w:w="4519" w:type="dxa"/>
          <w:tcBorders>
            <w:top w:val="single" w:sz="4" w:space="0" w:color="auto"/>
          </w:tcBorders>
          <w:tcMar>
            <w:top w:w="142" w:type="dxa"/>
            <w:bottom w:w="0" w:type="dxa"/>
          </w:tcMar>
        </w:tcPr>
        <w:p w:rsidR="008512D0" w:rsidRDefault="008512D0" w:rsidP="006E08B3">
          <w:r>
            <w:t>Document title, Part #, Section # - Section title</w:t>
          </w:r>
        </w:p>
        <w:p w:rsidR="008512D0" w:rsidRDefault="008512D0" w:rsidP="006E08B3">
          <w:r>
            <w:t>V1.0 October 2010</w:t>
          </w:r>
        </w:p>
      </w:tc>
      <w:tc>
        <w:tcPr>
          <w:tcW w:w="4356" w:type="dxa"/>
          <w:tcBorders>
            <w:top w:val="single" w:sz="4" w:space="0" w:color="auto"/>
          </w:tcBorders>
          <w:tcMar>
            <w:top w:w="142" w:type="dxa"/>
            <w:bottom w:w="0" w:type="dxa"/>
          </w:tcMar>
        </w:tcPr>
        <w:p w:rsidR="008512D0" w:rsidRDefault="008512D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76</w:t>
          </w:r>
          <w:r>
            <w:rPr>
              <w:noProof/>
            </w:rPr>
            <w:fldChar w:fldCharType="end"/>
          </w:r>
          <w:r>
            <w:t xml:space="preserve">  </w:t>
          </w:r>
        </w:p>
      </w:tc>
    </w:tr>
  </w:tbl>
  <w:p w:rsidR="008512D0" w:rsidRDefault="008512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2D0" w:rsidRDefault="008512D0" w:rsidP="00C40A36">
      <w:pPr>
        <w:spacing w:after="0"/>
      </w:pPr>
      <w:r>
        <w:separator/>
      </w:r>
    </w:p>
  </w:footnote>
  <w:footnote w:type="continuationSeparator" w:id="0">
    <w:p w:rsidR="008512D0" w:rsidRDefault="008512D0" w:rsidP="00C40A36">
      <w:pPr>
        <w:spacing w:after="0"/>
      </w:pPr>
      <w:r>
        <w:continuationSeparator/>
      </w:r>
    </w:p>
  </w:footnote>
  <w:footnote w:id="1">
    <w:p w:rsidR="008512D0" w:rsidRDefault="008512D0" w:rsidP="00233A20">
      <w:pPr>
        <w:pStyle w:val="Footer"/>
      </w:pPr>
      <w:r>
        <w:rPr>
          <w:rStyle w:val="FootnoteReference"/>
        </w:rPr>
        <w:footnoteRef/>
      </w:r>
      <w:r>
        <w:t xml:space="preserve"> Branch Vein Occlusion Study Group. Argon laser photocoagulation for macular edema in branch</w:t>
      </w:r>
    </w:p>
    <w:p w:rsidR="008512D0" w:rsidRPr="00D95DE6" w:rsidRDefault="008512D0" w:rsidP="00233A20">
      <w:pPr>
        <w:pStyle w:val="Footer"/>
        <w:rPr>
          <w:lang w:val="en-US"/>
        </w:rPr>
      </w:pPr>
      <w:proofErr w:type="gramStart"/>
      <w:r>
        <w:t>vein</w:t>
      </w:r>
      <w:proofErr w:type="gramEnd"/>
      <w:r>
        <w:t xml:space="preserve"> occlusion. Am J Ophthalmol 1984</w:t>
      </w:r>
      <w:proofErr w:type="gramStart"/>
      <w:r>
        <w:t>;98:271</w:t>
      </w:r>
      <w:proofErr w:type="gramEnd"/>
      <w:r>
        <w:t>-282.</w:t>
      </w:r>
    </w:p>
  </w:footnote>
  <w:footnote w:id="2">
    <w:p w:rsidR="008512D0" w:rsidRDefault="008512D0" w:rsidP="00233A20">
      <w:pPr>
        <w:pStyle w:val="Footer"/>
      </w:pPr>
      <w:r>
        <w:rPr>
          <w:rStyle w:val="FootnoteReference"/>
        </w:rPr>
        <w:footnoteRef/>
      </w:r>
      <w:r>
        <w:t xml:space="preserve"> Central Vein Occlusion Study Group. Evaluation of grid pattern photocoagulation for macular</w:t>
      </w:r>
    </w:p>
    <w:p w:rsidR="008512D0" w:rsidRPr="002D605D" w:rsidRDefault="008512D0" w:rsidP="00233A20">
      <w:pPr>
        <w:pStyle w:val="Footer"/>
        <w:rPr>
          <w:lang w:val="en-US"/>
        </w:rPr>
      </w:pPr>
      <w:proofErr w:type="gramStart"/>
      <w:r>
        <w:t>edema</w:t>
      </w:r>
      <w:proofErr w:type="gramEnd"/>
      <w:r>
        <w:t xml:space="preserve"> in central vein occlusion; Group M Report. Ophthalmology 1995</w:t>
      </w:r>
      <w:proofErr w:type="gramStart"/>
      <w:r>
        <w:t>;102:1425</w:t>
      </w:r>
      <w:proofErr w:type="gramEnd"/>
      <w:r>
        <w:t>-1433.</w:t>
      </w:r>
    </w:p>
  </w:footnote>
  <w:footnote w:id="3">
    <w:p w:rsidR="008512D0" w:rsidRPr="004D5981" w:rsidRDefault="008512D0" w:rsidP="00774227">
      <w:pPr>
        <w:pStyle w:val="FootnoteText"/>
        <w:rPr>
          <w:lang w:val="en-US"/>
        </w:rPr>
      </w:pPr>
      <w:r>
        <w:rPr>
          <w:rStyle w:val="FootnoteReference"/>
        </w:rPr>
        <w:footnoteRef/>
      </w:r>
      <w:r>
        <w:t xml:space="preserve"> SUN Working Group. </w:t>
      </w:r>
      <w:proofErr w:type="gramStart"/>
      <w:r w:rsidRPr="004D5981">
        <w:t>Standardization of Uveitis Nomenclature for Reporting Clinical Data.</w:t>
      </w:r>
      <w:proofErr w:type="gramEnd"/>
      <w:r w:rsidRPr="004D5981">
        <w:t xml:space="preserve"> Results of the First International Workshop AJO 2005</w:t>
      </w:r>
      <w:proofErr w:type="gramStart"/>
      <w:r w:rsidRPr="004D5981">
        <w:t>;140:509</w:t>
      </w:r>
      <w:proofErr w:type="gramEnd"/>
      <w:r w:rsidRPr="004D5981">
        <w:t xml:space="preserve"> 516.</w:t>
      </w:r>
    </w:p>
  </w:footnote>
  <w:footnote w:id="4">
    <w:p w:rsidR="008512D0" w:rsidRPr="00BF793A" w:rsidRDefault="008512D0" w:rsidP="00774227">
      <w:pPr>
        <w:pStyle w:val="FootnoteText"/>
      </w:pPr>
      <w:r>
        <w:rPr>
          <w:rStyle w:val="FootnoteReference"/>
        </w:rPr>
        <w:footnoteRef/>
      </w:r>
      <w:r>
        <w:t xml:space="preserve"> </w:t>
      </w:r>
      <w:proofErr w:type="gramStart"/>
      <w:r>
        <w:t>Nussenblatt et al. Standardization of vitreal inflammatory activity in intermediate and posterior uveitis.</w:t>
      </w:r>
      <w:proofErr w:type="gramEnd"/>
      <w:r>
        <w:t xml:space="preserve"> Ophthalmology 1985</w:t>
      </w:r>
      <w:proofErr w:type="gramStart"/>
      <w:r>
        <w:t>;92:467</w:t>
      </w:r>
      <w:proofErr w:type="gramEnd"/>
      <w:r>
        <w:t>-471.</w:t>
      </w:r>
    </w:p>
  </w:footnote>
  <w:footnote w:id="5">
    <w:p w:rsidR="008512D0" w:rsidRDefault="008512D0" w:rsidP="00774227">
      <w:pPr>
        <w:pStyle w:val="FootnoteText"/>
      </w:pPr>
      <w:r>
        <w:rPr>
          <w:rStyle w:val="FootnoteReference"/>
        </w:rPr>
        <w:footnoteRef/>
      </w:r>
      <w:r>
        <w:t xml:space="preserve"> Interobserver Agreement in Clinical Grading of Vitreous Haze Using Alternative Grading Scales</w:t>
      </w:r>
    </w:p>
    <w:p w:rsidR="008512D0" w:rsidRPr="006D5A4D" w:rsidRDefault="008512D0" w:rsidP="00774227">
      <w:pPr>
        <w:pStyle w:val="FootnoteText"/>
      </w:pPr>
      <w:r>
        <w:t>Hornbeak, Dana M. et al. Ophthalmology , Volume 121 , Issue 8 , 1643 - 1648</w:t>
      </w:r>
    </w:p>
  </w:footnote>
  <w:footnote w:id="6">
    <w:p w:rsidR="008512D0" w:rsidRDefault="008512D0" w:rsidP="00774227">
      <w:pPr>
        <w:pStyle w:val="FootnoteText"/>
      </w:pPr>
      <w:r>
        <w:rPr>
          <w:rStyle w:val="FootnoteReference"/>
        </w:rPr>
        <w:footnoteRef/>
      </w:r>
      <w:r>
        <w:t xml:space="preserve"> Nussenblatt RB, Palestine AG, Chan CC, Roberge F. Standardization of vitreal inflammatory</w:t>
      </w:r>
    </w:p>
    <w:p w:rsidR="008512D0" w:rsidRPr="006D5A4D" w:rsidRDefault="008512D0" w:rsidP="00774227">
      <w:pPr>
        <w:pStyle w:val="FootnoteText"/>
        <w:rPr>
          <w:lang w:val="en-US"/>
        </w:rPr>
      </w:pPr>
      <w:proofErr w:type="gramStart"/>
      <w:r>
        <w:t>activity</w:t>
      </w:r>
      <w:proofErr w:type="gramEnd"/>
      <w:r>
        <w:t xml:space="preserve"> in intermediate and posterior uveitis. Ophthalmology 1985</w:t>
      </w:r>
      <w:proofErr w:type="gramStart"/>
      <w:r>
        <w:t>;92:467</w:t>
      </w:r>
      <w:proofErr w:type="gramEnd"/>
      <w:r>
        <w:t>-471.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pPr>
      <w:rPr>
        <w:noProof/>
        <w:lang w:eastAsia="en-AU"/>
      </w:rPr>
    </w:pPr>
    <w:r w:rsidRPr="002D545C">
      <w:rPr>
        <w:noProof/>
        <w:lang w:eastAsia="en-AU"/>
      </w:rPr>
      <w:drawing>
        <wp:anchor distT="0" distB="0" distL="114300" distR="114300" simplePos="0" relativeHeight="251659264" behindDoc="1" locked="0" layoutInCell="1" allowOverlap="1" wp14:anchorId="4C102086" wp14:editId="21BC9C02">
          <wp:simplePos x="0" y="0"/>
          <wp:positionH relativeFrom="column">
            <wp:posOffset>-1081603</wp:posOffset>
          </wp:positionH>
          <wp:positionV relativeFrom="paragraph">
            <wp:posOffset>-585470</wp:posOffset>
          </wp:positionV>
          <wp:extent cx="7572375" cy="10706100"/>
          <wp:effectExtent l="0" t="0" r="9525" b="0"/>
          <wp:wrapNone/>
          <wp:docPr id="2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8512D0" w:rsidRDefault="008512D0" w:rsidP="00593AD1">
    <w:pPr>
      <w:pStyle w:val="HeaderNoLine"/>
    </w:pPr>
    <w:r>
      <w:rPr>
        <w:noProof/>
        <w:lang w:eastAsia="en-AU"/>
      </w:rPr>
      <w:drawing>
        <wp:inline distT="0" distB="0" distL="0" distR="0" wp14:anchorId="5BB9BEB5" wp14:editId="7FD6189E">
          <wp:extent cx="5400675" cy="7639050"/>
          <wp:effectExtent l="0" t="0" r="9525" b="0"/>
          <wp:docPr id="25" name="Picture 2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D0" w:rsidRDefault="008512D0" w:rsidP="006E08B3">
    <w:r>
      <w:t>Therapeutic Goods Administration</w:t>
    </w:r>
  </w:p>
  <w:p w:rsidR="008512D0" w:rsidRDefault="008512D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D351D"/>
    <w:multiLevelType w:val="hybridMultilevel"/>
    <w:tmpl w:val="9C7A7470"/>
    <w:lvl w:ilvl="0" w:tplc="7A6880A0">
      <w:start w:val="1"/>
      <w:numFmt w:val="decimal"/>
      <w:lvlText w:val="Table %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E346B75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E21421"/>
    <w:multiLevelType w:val="hybridMultilevel"/>
    <w:tmpl w:val="CC743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7FE268E"/>
    <w:multiLevelType w:val="hybridMultilevel"/>
    <w:tmpl w:val="5B509856"/>
    <w:lvl w:ilvl="0" w:tplc="15E07574">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F744921"/>
    <w:multiLevelType w:val="hybridMultilevel"/>
    <w:tmpl w:val="0CEE72D0"/>
    <w:lvl w:ilvl="0" w:tplc="2784649C">
      <w:start w:val="1"/>
      <w:numFmt w:val="decimal"/>
      <w:lvlText w:val="Figure %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nsid w:val="50D553B9"/>
    <w:multiLevelType w:val="hybridMultilevel"/>
    <w:tmpl w:val="5794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2943F9D"/>
    <w:multiLevelType w:val="hybridMultilevel"/>
    <w:tmpl w:val="30B03990"/>
    <w:lvl w:ilvl="0" w:tplc="D764CD5E">
      <w:start w:val="51"/>
      <w:numFmt w:val="bullet"/>
      <w:lvlText w:val="-"/>
      <w:lvlJc w:val="left"/>
      <w:pPr>
        <w:ind w:left="530" w:hanging="360"/>
      </w:pPr>
      <w:rPr>
        <w:rFonts w:ascii="Calibri" w:eastAsia="Cambria" w:hAnsi="Calibri" w:cs="Times New Roman"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9">
    <w:nsid w:val="60A45007"/>
    <w:multiLevelType w:val="hybridMultilevel"/>
    <w:tmpl w:val="B72A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D0B1B75"/>
    <w:multiLevelType w:val="multilevel"/>
    <w:tmpl w:val="D36A4816"/>
    <w:lvl w:ilvl="0">
      <w:start w:val="1"/>
      <w:numFmt w:val="decimal"/>
      <w:pStyle w:val="Heading2"/>
      <w:lvlText w:val="%1."/>
      <w:lvlJc w:val="left"/>
      <w:pPr>
        <w:tabs>
          <w:tab w:val="num" w:pos="6521"/>
        </w:tabs>
        <w:ind w:left="6521"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4736"/>
        </w:tabs>
        <w:ind w:left="4736" w:hanging="119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725F77B2"/>
    <w:multiLevelType w:val="hybridMultilevel"/>
    <w:tmpl w:val="34A4D68E"/>
    <w:lvl w:ilvl="0" w:tplc="6BAC2F40">
      <w:numFmt w:val="bullet"/>
      <w:lvlText w:val="-"/>
      <w:lvlJc w:val="left"/>
      <w:pPr>
        <w:ind w:left="530" w:hanging="360"/>
      </w:pPr>
      <w:rPr>
        <w:rFonts w:ascii="Calibri" w:eastAsia="Cambria" w:hAnsi="Calibri" w:cs="Times New Roman"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11"/>
  </w:num>
  <w:num w:numId="11">
    <w:abstractNumId w:val="7"/>
  </w:num>
  <w:num w:numId="12">
    <w:abstractNumId w:val="8"/>
  </w:num>
  <w:num w:numId="13">
    <w:abstractNumId w:val="12"/>
  </w:num>
  <w:num w:numId="14">
    <w:abstractNumId w:val="10"/>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3"/>
  </w:num>
  <w:num w:numId="19">
    <w:abstractNumId w:val="5"/>
  </w:num>
  <w:num w:numId="20">
    <w:abstractNumId w:val="6"/>
  </w:num>
  <w:num w:numId="2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1022F"/>
    <w:rsid w:val="000109EB"/>
    <w:rsid w:val="0001276A"/>
    <w:rsid w:val="0002090A"/>
    <w:rsid w:val="000246AE"/>
    <w:rsid w:val="00025C67"/>
    <w:rsid w:val="00027E06"/>
    <w:rsid w:val="000326E2"/>
    <w:rsid w:val="00040ACB"/>
    <w:rsid w:val="00044947"/>
    <w:rsid w:val="0005559E"/>
    <w:rsid w:val="00066BA1"/>
    <w:rsid w:val="00077775"/>
    <w:rsid w:val="00086C24"/>
    <w:rsid w:val="0009000F"/>
    <w:rsid w:val="00090471"/>
    <w:rsid w:val="00097B5E"/>
    <w:rsid w:val="000A3AED"/>
    <w:rsid w:val="000A5848"/>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500E"/>
    <w:rsid w:val="0012261E"/>
    <w:rsid w:val="00125318"/>
    <w:rsid w:val="001305A2"/>
    <w:rsid w:val="00133238"/>
    <w:rsid w:val="00134E1F"/>
    <w:rsid w:val="0014197B"/>
    <w:rsid w:val="0014235C"/>
    <w:rsid w:val="001447CD"/>
    <w:rsid w:val="001512E2"/>
    <w:rsid w:val="001516B1"/>
    <w:rsid w:val="00154898"/>
    <w:rsid w:val="00154EBB"/>
    <w:rsid w:val="00156316"/>
    <w:rsid w:val="00165389"/>
    <w:rsid w:val="0017078F"/>
    <w:rsid w:val="00171B5A"/>
    <w:rsid w:val="001755D1"/>
    <w:rsid w:val="0017693F"/>
    <w:rsid w:val="0018110E"/>
    <w:rsid w:val="00181684"/>
    <w:rsid w:val="001843C6"/>
    <w:rsid w:val="001850E0"/>
    <w:rsid w:val="001869D2"/>
    <w:rsid w:val="001A2158"/>
    <w:rsid w:val="001A3D82"/>
    <w:rsid w:val="001A525F"/>
    <w:rsid w:val="001A6390"/>
    <w:rsid w:val="001A6420"/>
    <w:rsid w:val="001B09F9"/>
    <w:rsid w:val="001B5D98"/>
    <w:rsid w:val="001B6448"/>
    <w:rsid w:val="001C657B"/>
    <w:rsid w:val="001D3D0C"/>
    <w:rsid w:val="001E07CF"/>
    <w:rsid w:val="001E2A95"/>
    <w:rsid w:val="001E593B"/>
    <w:rsid w:val="001E59F1"/>
    <w:rsid w:val="001F497A"/>
    <w:rsid w:val="001F49EB"/>
    <w:rsid w:val="001F6CBA"/>
    <w:rsid w:val="00201D4E"/>
    <w:rsid w:val="002076C9"/>
    <w:rsid w:val="00220B8A"/>
    <w:rsid w:val="002257F3"/>
    <w:rsid w:val="00233456"/>
    <w:rsid w:val="002339A5"/>
    <w:rsid w:val="00233A20"/>
    <w:rsid w:val="00235CD2"/>
    <w:rsid w:val="00257848"/>
    <w:rsid w:val="002666AC"/>
    <w:rsid w:val="002668B8"/>
    <w:rsid w:val="0027084A"/>
    <w:rsid w:val="00272185"/>
    <w:rsid w:val="00273A57"/>
    <w:rsid w:val="00281338"/>
    <w:rsid w:val="00286434"/>
    <w:rsid w:val="00286C59"/>
    <w:rsid w:val="002873D6"/>
    <w:rsid w:val="00292113"/>
    <w:rsid w:val="002942D1"/>
    <w:rsid w:val="0029501A"/>
    <w:rsid w:val="00295FA9"/>
    <w:rsid w:val="00296028"/>
    <w:rsid w:val="002A468E"/>
    <w:rsid w:val="002B1638"/>
    <w:rsid w:val="002C06FF"/>
    <w:rsid w:val="002C63ED"/>
    <w:rsid w:val="002D545C"/>
    <w:rsid w:val="002D6161"/>
    <w:rsid w:val="002D7C6E"/>
    <w:rsid w:val="002E4C9A"/>
    <w:rsid w:val="002E5AB2"/>
    <w:rsid w:val="002F11F8"/>
    <w:rsid w:val="002F3F56"/>
    <w:rsid w:val="002F44B5"/>
    <w:rsid w:val="00301CF1"/>
    <w:rsid w:val="003058D7"/>
    <w:rsid w:val="00311AC0"/>
    <w:rsid w:val="00315535"/>
    <w:rsid w:val="0032583B"/>
    <w:rsid w:val="00327883"/>
    <w:rsid w:val="00335504"/>
    <w:rsid w:val="003521E8"/>
    <w:rsid w:val="003709EA"/>
    <w:rsid w:val="00372022"/>
    <w:rsid w:val="003728F3"/>
    <w:rsid w:val="0037496E"/>
    <w:rsid w:val="0037623D"/>
    <w:rsid w:val="003775A8"/>
    <w:rsid w:val="00386150"/>
    <w:rsid w:val="003874CE"/>
    <w:rsid w:val="00390900"/>
    <w:rsid w:val="00396C92"/>
    <w:rsid w:val="003A4C90"/>
    <w:rsid w:val="003A7F6C"/>
    <w:rsid w:val="003B1113"/>
    <w:rsid w:val="003B4D60"/>
    <w:rsid w:val="003B634F"/>
    <w:rsid w:val="003B7E39"/>
    <w:rsid w:val="003C58DC"/>
    <w:rsid w:val="003D0A3B"/>
    <w:rsid w:val="003D1E62"/>
    <w:rsid w:val="003D1F9E"/>
    <w:rsid w:val="003D565D"/>
    <w:rsid w:val="003E1E50"/>
    <w:rsid w:val="003E2486"/>
    <w:rsid w:val="003E3208"/>
    <w:rsid w:val="003E5805"/>
    <w:rsid w:val="003F0B04"/>
    <w:rsid w:val="003F160E"/>
    <w:rsid w:val="0040134E"/>
    <w:rsid w:val="00415D59"/>
    <w:rsid w:val="0043797D"/>
    <w:rsid w:val="00440A2D"/>
    <w:rsid w:val="004564A7"/>
    <w:rsid w:val="004617BF"/>
    <w:rsid w:val="00463658"/>
    <w:rsid w:val="004722CC"/>
    <w:rsid w:val="00475430"/>
    <w:rsid w:val="004818A0"/>
    <w:rsid w:val="004936E4"/>
    <w:rsid w:val="00494E60"/>
    <w:rsid w:val="00497487"/>
    <w:rsid w:val="004A7E13"/>
    <w:rsid w:val="004B7B76"/>
    <w:rsid w:val="004C2DCA"/>
    <w:rsid w:val="004C3275"/>
    <w:rsid w:val="004E2C51"/>
    <w:rsid w:val="004F0F38"/>
    <w:rsid w:val="004F4AF5"/>
    <w:rsid w:val="00501921"/>
    <w:rsid w:val="00503A37"/>
    <w:rsid w:val="00517665"/>
    <w:rsid w:val="00530354"/>
    <w:rsid w:val="00535365"/>
    <w:rsid w:val="00535947"/>
    <w:rsid w:val="0053625B"/>
    <w:rsid w:val="005434C6"/>
    <w:rsid w:val="00543B39"/>
    <w:rsid w:val="00550096"/>
    <w:rsid w:val="00557FF9"/>
    <w:rsid w:val="00564D59"/>
    <w:rsid w:val="00572724"/>
    <w:rsid w:val="00576378"/>
    <w:rsid w:val="00577945"/>
    <w:rsid w:val="00577E38"/>
    <w:rsid w:val="0058298C"/>
    <w:rsid w:val="00585322"/>
    <w:rsid w:val="005857C6"/>
    <w:rsid w:val="00586F98"/>
    <w:rsid w:val="00592F6E"/>
    <w:rsid w:val="00593144"/>
    <w:rsid w:val="00593AD1"/>
    <w:rsid w:val="00593F09"/>
    <w:rsid w:val="005A68B6"/>
    <w:rsid w:val="005B5F1B"/>
    <w:rsid w:val="005C5570"/>
    <w:rsid w:val="005C79A4"/>
    <w:rsid w:val="005D248C"/>
    <w:rsid w:val="005D5015"/>
    <w:rsid w:val="005D5442"/>
    <w:rsid w:val="005D7198"/>
    <w:rsid w:val="005D7431"/>
    <w:rsid w:val="00603F32"/>
    <w:rsid w:val="00604A19"/>
    <w:rsid w:val="006170F0"/>
    <w:rsid w:val="00620406"/>
    <w:rsid w:val="00632398"/>
    <w:rsid w:val="00640FC3"/>
    <w:rsid w:val="00642020"/>
    <w:rsid w:val="00646206"/>
    <w:rsid w:val="00650F87"/>
    <w:rsid w:val="0065205B"/>
    <w:rsid w:val="0065337B"/>
    <w:rsid w:val="0065419D"/>
    <w:rsid w:val="006604D8"/>
    <w:rsid w:val="00664A5B"/>
    <w:rsid w:val="00666FB5"/>
    <w:rsid w:val="006763D2"/>
    <w:rsid w:val="00680C08"/>
    <w:rsid w:val="006918A3"/>
    <w:rsid w:val="006931B1"/>
    <w:rsid w:val="006A15C0"/>
    <w:rsid w:val="006B4C50"/>
    <w:rsid w:val="006C130C"/>
    <w:rsid w:val="006C3E2A"/>
    <w:rsid w:val="006C642F"/>
    <w:rsid w:val="006D03E5"/>
    <w:rsid w:val="006D5D3E"/>
    <w:rsid w:val="006E016D"/>
    <w:rsid w:val="006E08B3"/>
    <w:rsid w:val="006F17AC"/>
    <w:rsid w:val="006F19D5"/>
    <w:rsid w:val="006F1D37"/>
    <w:rsid w:val="006F26D0"/>
    <w:rsid w:val="006F2796"/>
    <w:rsid w:val="006F572E"/>
    <w:rsid w:val="007046D6"/>
    <w:rsid w:val="00705DB0"/>
    <w:rsid w:val="00722B57"/>
    <w:rsid w:val="0074253D"/>
    <w:rsid w:val="0074429B"/>
    <w:rsid w:val="00747662"/>
    <w:rsid w:val="007513B4"/>
    <w:rsid w:val="00761375"/>
    <w:rsid w:val="007614EE"/>
    <w:rsid w:val="007615BC"/>
    <w:rsid w:val="00762F05"/>
    <w:rsid w:val="007652FF"/>
    <w:rsid w:val="00770EF1"/>
    <w:rsid w:val="00773EF7"/>
    <w:rsid w:val="00774227"/>
    <w:rsid w:val="00774E1D"/>
    <w:rsid w:val="0077675A"/>
    <w:rsid w:val="00780355"/>
    <w:rsid w:val="00785721"/>
    <w:rsid w:val="00793A59"/>
    <w:rsid w:val="007B6E9F"/>
    <w:rsid w:val="007C1216"/>
    <w:rsid w:val="007C1AF7"/>
    <w:rsid w:val="007D54F3"/>
    <w:rsid w:val="007D6742"/>
    <w:rsid w:val="007E6E27"/>
    <w:rsid w:val="007F3E00"/>
    <w:rsid w:val="00805D27"/>
    <w:rsid w:val="00814545"/>
    <w:rsid w:val="00821776"/>
    <w:rsid w:val="008321F5"/>
    <w:rsid w:val="00832369"/>
    <w:rsid w:val="00834660"/>
    <w:rsid w:val="00836BC2"/>
    <w:rsid w:val="008414A0"/>
    <w:rsid w:val="00841B97"/>
    <w:rsid w:val="00850FD9"/>
    <w:rsid w:val="008512D0"/>
    <w:rsid w:val="0085641B"/>
    <w:rsid w:val="00857136"/>
    <w:rsid w:val="00863E11"/>
    <w:rsid w:val="00886D15"/>
    <w:rsid w:val="00887DD3"/>
    <w:rsid w:val="00887DD8"/>
    <w:rsid w:val="00896018"/>
    <w:rsid w:val="008960DD"/>
    <w:rsid w:val="0089635C"/>
    <w:rsid w:val="008A2B9D"/>
    <w:rsid w:val="008A5B1E"/>
    <w:rsid w:val="008A5E0B"/>
    <w:rsid w:val="008A6D59"/>
    <w:rsid w:val="008A6DBC"/>
    <w:rsid w:val="008B4B03"/>
    <w:rsid w:val="008B596F"/>
    <w:rsid w:val="008B5A3E"/>
    <w:rsid w:val="008C159F"/>
    <w:rsid w:val="008C1623"/>
    <w:rsid w:val="008C1850"/>
    <w:rsid w:val="008C1FBA"/>
    <w:rsid w:val="008C51A9"/>
    <w:rsid w:val="008D770F"/>
    <w:rsid w:val="008E1FEA"/>
    <w:rsid w:val="008E7265"/>
    <w:rsid w:val="008E7846"/>
    <w:rsid w:val="008F0EA5"/>
    <w:rsid w:val="008F1CCC"/>
    <w:rsid w:val="008F2967"/>
    <w:rsid w:val="008F6943"/>
    <w:rsid w:val="008F69AF"/>
    <w:rsid w:val="00902A21"/>
    <w:rsid w:val="00906445"/>
    <w:rsid w:val="009075AF"/>
    <w:rsid w:val="00920330"/>
    <w:rsid w:val="009219D7"/>
    <w:rsid w:val="00922D53"/>
    <w:rsid w:val="00923B70"/>
    <w:rsid w:val="00924482"/>
    <w:rsid w:val="00925DA8"/>
    <w:rsid w:val="00930237"/>
    <w:rsid w:val="00931356"/>
    <w:rsid w:val="009315C7"/>
    <w:rsid w:val="00935304"/>
    <w:rsid w:val="00937C23"/>
    <w:rsid w:val="009430F8"/>
    <w:rsid w:val="009438E8"/>
    <w:rsid w:val="0094614A"/>
    <w:rsid w:val="00946EA5"/>
    <w:rsid w:val="0095160F"/>
    <w:rsid w:val="0095165D"/>
    <w:rsid w:val="00963C08"/>
    <w:rsid w:val="0097071F"/>
    <w:rsid w:val="00981D66"/>
    <w:rsid w:val="0098585A"/>
    <w:rsid w:val="0098669D"/>
    <w:rsid w:val="00994C95"/>
    <w:rsid w:val="00996BA2"/>
    <w:rsid w:val="009A4CED"/>
    <w:rsid w:val="009A690D"/>
    <w:rsid w:val="009B1D12"/>
    <w:rsid w:val="009B416B"/>
    <w:rsid w:val="009B6FA3"/>
    <w:rsid w:val="009B7947"/>
    <w:rsid w:val="009C4BD5"/>
    <w:rsid w:val="009D04C2"/>
    <w:rsid w:val="009D7B77"/>
    <w:rsid w:val="009E0BB0"/>
    <w:rsid w:val="009E3FBB"/>
    <w:rsid w:val="00A102E4"/>
    <w:rsid w:val="00A12C42"/>
    <w:rsid w:val="00A14DF7"/>
    <w:rsid w:val="00A235D9"/>
    <w:rsid w:val="00A30924"/>
    <w:rsid w:val="00A3168B"/>
    <w:rsid w:val="00A3246D"/>
    <w:rsid w:val="00A36FA7"/>
    <w:rsid w:val="00A45E9B"/>
    <w:rsid w:val="00A475B7"/>
    <w:rsid w:val="00A47AF7"/>
    <w:rsid w:val="00A47C3E"/>
    <w:rsid w:val="00A50226"/>
    <w:rsid w:val="00A60BAD"/>
    <w:rsid w:val="00A776C2"/>
    <w:rsid w:val="00A77DA3"/>
    <w:rsid w:val="00A85E59"/>
    <w:rsid w:val="00A964D1"/>
    <w:rsid w:val="00AA0ED0"/>
    <w:rsid w:val="00AA3499"/>
    <w:rsid w:val="00AB599E"/>
    <w:rsid w:val="00AC2B40"/>
    <w:rsid w:val="00AC2BB2"/>
    <w:rsid w:val="00AC2C3C"/>
    <w:rsid w:val="00AC512D"/>
    <w:rsid w:val="00AD0E91"/>
    <w:rsid w:val="00AD18C9"/>
    <w:rsid w:val="00AD25F1"/>
    <w:rsid w:val="00AE01C2"/>
    <w:rsid w:val="00AE0FEC"/>
    <w:rsid w:val="00AE65EB"/>
    <w:rsid w:val="00AE67A7"/>
    <w:rsid w:val="00AF1D94"/>
    <w:rsid w:val="00AF25D8"/>
    <w:rsid w:val="00AF60C5"/>
    <w:rsid w:val="00B009C6"/>
    <w:rsid w:val="00B01548"/>
    <w:rsid w:val="00B02208"/>
    <w:rsid w:val="00B04FF0"/>
    <w:rsid w:val="00B0711D"/>
    <w:rsid w:val="00B1425E"/>
    <w:rsid w:val="00B21D29"/>
    <w:rsid w:val="00B25034"/>
    <w:rsid w:val="00B275F4"/>
    <w:rsid w:val="00B33588"/>
    <w:rsid w:val="00B33863"/>
    <w:rsid w:val="00B3567E"/>
    <w:rsid w:val="00B37D17"/>
    <w:rsid w:val="00B40F03"/>
    <w:rsid w:val="00B4175E"/>
    <w:rsid w:val="00B452CE"/>
    <w:rsid w:val="00B47042"/>
    <w:rsid w:val="00B505EF"/>
    <w:rsid w:val="00B51B97"/>
    <w:rsid w:val="00B54C25"/>
    <w:rsid w:val="00B602FC"/>
    <w:rsid w:val="00B76B91"/>
    <w:rsid w:val="00B77EB1"/>
    <w:rsid w:val="00B811C6"/>
    <w:rsid w:val="00B85A87"/>
    <w:rsid w:val="00B902CD"/>
    <w:rsid w:val="00B90ACD"/>
    <w:rsid w:val="00B92E08"/>
    <w:rsid w:val="00B94CC2"/>
    <w:rsid w:val="00B95C94"/>
    <w:rsid w:val="00B96EBE"/>
    <w:rsid w:val="00BC622A"/>
    <w:rsid w:val="00BD45E3"/>
    <w:rsid w:val="00BE0A78"/>
    <w:rsid w:val="00BE32A6"/>
    <w:rsid w:val="00BE6252"/>
    <w:rsid w:val="00BE6513"/>
    <w:rsid w:val="00BE79F0"/>
    <w:rsid w:val="00BF046D"/>
    <w:rsid w:val="00BF1190"/>
    <w:rsid w:val="00BF5D04"/>
    <w:rsid w:val="00C00728"/>
    <w:rsid w:val="00C101DA"/>
    <w:rsid w:val="00C1164D"/>
    <w:rsid w:val="00C137CE"/>
    <w:rsid w:val="00C16861"/>
    <w:rsid w:val="00C16FE2"/>
    <w:rsid w:val="00C22678"/>
    <w:rsid w:val="00C404A6"/>
    <w:rsid w:val="00C40A36"/>
    <w:rsid w:val="00C4258C"/>
    <w:rsid w:val="00C42CDE"/>
    <w:rsid w:val="00C44419"/>
    <w:rsid w:val="00C45E7B"/>
    <w:rsid w:val="00C4625F"/>
    <w:rsid w:val="00C471B1"/>
    <w:rsid w:val="00C54C16"/>
    <w:rsid w:val="00C6018F"/>
    <w:rsid w:val="00C618F7"/>
    <w:rsid w:val="00C6316B"/>
    <w:rsid w:val="00C634A9"/>
    <w:rsid w:val="00C64586"/>
    <w:rsid w:val="00C671AC"/>
    <w:rsid w:val="00C70D53"/>
    <w:rsid w:val="00C71AA5"/>
    <w:rsid w:val="00C71F30"/>
    <w:rsid w:val="00C732C8"/>
    <w:rsid w:val="00C73D0B"/>
    <w:rsid w:val="00C76647"/>
    <w:rsid w:val="00C772FF"/>
    <w:rsid w:val="00C801AF"/>
    <w:rsid w:val="00C80256"/>
    <w:rsid w:val="00C811C0"/>
    <w:rsid w:val="00CB6BC0"/>
    <w:rsid w:val="00CC1B7C"/>
    <w:rsid w:val="00CC727F"/>
    <w:rsid w:val="00CF15C3"/>
    <w:rsid w:val="00CF2B6F"/>
    <w:rsid w:val="00CF552A"/>
    <w:rsid w:val="00CF58B6"/>
    <w:rsid w:val="00CF5979"/>
    <w:rsid w:val="00D017ED"/>
    <w:rsid w:val="00D040D3"/>
    <w:rsid w:val="00D04C65"/>
    <w:rsid w:val="00D122C1"/>
    <w:rsid w:val="00D224FE"/>
    <w:rsid w:val="00D43FE8"/>
    <w:rsid w:val="00D53A31"/>
    <w:rsid w:val="00D6493E"/>
    <w:rsid w:val="00D66BAF"/>
    <w:rsid w:val="00D7301E"/>
    <w:rsid w:val="00D83AE1"/>
    <w:rsid w:val="00D855D4"/>
    <w:rsid w:val="00D87961"/>
    <w:rsid w:val="00D93466"/>
    <w:rsid w:val="00DA1124"/>
    <w:rsid w:val="00DA3CB9"/>
    <w:rsid w:val="00DB5741"/>
    <w:rsid w:val="00DB75B7"/>
    <w:rsid w:val="00DC156B"/>
    <w:rsid w:val="00DC483E"/>
    <w:rsid w:val="00DC4E3E"/>
    <w:rsid w:val="00DC6E02"/>
    <w:rsid w:val="00DD5AB0"/>
    <w:rsid w:val="00DE02AE"/>
    <w:rsid w:val="00DF1D7F"/>
    <w:rsid w:val="00DF316C"/>
    <w:rsid w:val="00DF4BE4"/>
    <w:rsid w:val="00E02FB4"/>
    <w:rsid w:val="00E0551B"/>
    <w:rsid w:val="00E07F15"/>
    <w:rsid w:val="00E2013A"/>
    <w:rsid w:val="00E20571"/>
    <w:rsid w:val="00E235F7"/>
    <w:rsid w:val="00E23659"/>
    <w:rsid w:val="00E239D4"/>
    <w:rsid w:val="00E26130"/>
    <w:rsid w:val="00E2741C"/>
    <w:rsid w:val="00E40B22"/>
    <w:rsid w:val="00E45619"/>
    <w:rsid w:val="00E4588F"/>
    <w:rsid w:val="00E46DA3"/>
    <w:rsid w:val="00E51BB1"/>
    <w:rsid w:val="00E52119"/>
    <w:rsid w:val="00E624A5"/>
    <w:rsid w:val="00E65252"/>
    <w:rsid w:val="00E7344E"/>
    <w:rsid w:val="00E75F53"/>
    <w:rsid w:val="00E77B22"/>
    <w:rsid w:val="00E81A17"/>
    <w:rsid w:val="00E936E3"/>
    <w:rsid w:val="00E979F4"/>
    <w:rsid w:val="00EB0798"/>
    <w:rsid w:val="00EB40AD"/>
    <w:rsid w:val="00EB586E"/>
    <w:rsid w:val="00EB5FC8"/>
    <w:rsid w:val="00ED0BE3"/>
    <w:rsid w:val="00ED3CAD"/>
    <w:rsid w:val="00ED5A41"/>
    <w:rsid w:val="00EE1DE8"/>
    <w:rsid w:val="00EE68AF"/>
    <w:rsid w:val="00F02DE7"/>
    <w:rsid w:val="00F033EC"/>
    <w:rsid w:val="00F04F68"/>
    <w:rsid w:val="00F12670"/>
    <w:rsid w:val="00F14B27"/>
    <w:rsid w:val="00F22F3A"/>
    <w:rsid w:val="00F3148D"/>
    <w:rsid w:val="00F325C5"/>
    <w:rsid w:val="00F32FE0"/>
    <w:rsid w:val="00F35298"/>
    <w:rsid w:val="00F47333"/>
    <w:rsid w:val="00F47E37"/>
    <w:rsid w:val="00F52BF4"/>
    <w:rsid w:val="00F53C07"/>
    <w:rsid w:val="00F54B65"/>
    <w:rsid w:val="00F626D8"/>
    <w:rsid w:val="00F640B6"/>
    <w:rsid w:val="00F64F8C"/>
    <w:rsid w:val="00F66CE2"/>
    <w:rsid w:val="00F73584"/>
    <w:rsid w:val="00F80E40"/>
    <w:rsid w:val="00F848D9"/>
    <w:rsid w:val="00F86CAF"/>
    <w:rsid w:val="00F86F50"/>
    <w:rsid w:val="00F92261"/>
    <w:rsid w:val="00FA41D0"/>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652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A45E9B"/>
    <w:pPr>
      <w:keepNext/>
      <w:keepLines/>
      <w:numPr>
        <w:ilvl w:val="3"/>
        <w:numId w:val="6"/>
      </w:numPr>
      <w:tabs>
        <w:tab w:val="clear" w:pos="4736"/>
        <w:tab w:val="left" w:pos="567"/>
        <w:tab w:val="num" w:pos="993"/>
      </w:tabs>
      <w:spacing w:line="220" w:lineRule="atLeast"/>
      <w:ind w:left="227" w:hanging="22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6F5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45E9B"/>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2D7C6E"/>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1"/>
    <w:qFormat/>
    <w:rsid w:val="00A77DA3"/>
    <w:pPr>
      <w:ind w:left="720"/>
      <w:contextualSpacing/>
    </w:pPr>
    <w:rPr>
      <w:rFonts w:ascii="Calibri" w:hAnsi="Calibri"/>
    </w:rPr>
  </w:style>
  <w:style w:type="paragraph" w:customStyle="1" w:styleId="Bullet2">
    <w:name w:val="Bullet 2"/>
    <w:basedOn w:val="Normal"/>
    <w:rsid w:val="00774227"/>
    <w:pPr>
      <w:numPr>
        <w:numId w:val="9"/>
      </w:numPr>
      <w:spacing w:after="0" w:line="240" w:lineRule="auto"/>
    </w:pPr>
    <w:rPr>
      <w:rFonts w:ascii="Calibri" w:eastAsia="Times New Roman" w:hAnsi="Calibri"/>
      <w:kern w:val="24"/>
      <w:szCs w:val="24"/>
      <w:lang w:eastAsia="en-AU"/>
    </w:rPr>
  </w:style>
  <w:style w:type="paragraph" w:customStyle="1" w:styleId="Instructions1">
    <w:name w:val="Instructions 1"/>
    <w:basedOn w:val="Normal"/>
    <w:qFormat/>
    <w:rsid w:val="0077422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74227"/>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4"/>
      <w:lang w:eastAsia="en-AU"/>
    </w:rPr>
  </w:style>
  <w:style w:type="paragraph" w:customStyle="1" w:styleId="Comment1">
    <w:name w:val="Comment 1"/>
    <w:basedOn w:val="Normal"/>
    <w:next w:val="Normal"/>
    <w:rsid w:val="007742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74227"/>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74227"/>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74227"/>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74227"/>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74227"/>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74227"/>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74227"/>
    <w:rPr>
      <w:rFonts w:ascii="Calibri" w:hAnsi="Calibri"/>
      <w:i/>
      <w:color w:val="007099"/>
    </w:rPr>
  </w:style>
  <w:style w:type="paragraph" w:styleId="TableofFigures">
    <w:name w:val="table of figures"/>
    <w:basedOn w:val="Normal"/>
    <w:next w:val="Normal"/>
    <w:uiPriority w:val="99"/>
    <w:unhideWhenUsed/>
    <w:rsid w:val="00774227"/>
    <w:pPr>
      <w:spacing w:after="0"/>
    </w:pPr>
    <w:rPr>
      <w:rFonts w:ascii="Calibri" w:hAnsi="Calibri"/>
    </w:rPr>
  </w:style>
  <w:style w:type="paragraph" w:styleId="FootnoteText">
    <w:name w:val="footnote text"/>
    <w:basedOn w:val="Normal"/>
    <w:link w:val="FootnoteTextChar"/>
    <w:uiPriority w:val="99"/>
    <w:semiHidden/>
    <w:unhideWhenUsed/>
    <w:rsid w:val="00774227"/>
    <w:pPr>
      <w:spacing w:before="0"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774227"/>
    <w:rPr>
      <w:rFonts w:ascii="Calibri" w:eastAsia="Cambria" w:hAnsi="Calibri" w:cs="Times New Roman"/>
      <w:sz w:val="20"/>
      <w:szCs w:val="20"/>
    </w:rPr>
  </w:style>
  <w:style w:type="character" w:styleId="FootnoteReference">
    <w:name w:val="footnote reference"/>
    <w:basedOn w:val="DefaultParagraphFont"/>
    <w:uiPriority w:val="99"/>
    <w:semiHidden/>
    <w:unhideWhenUsed/>
    <w:rsid w:val="00774227"/>
    <w:rPr>
      <w:vertAlign w:val="superscript"/>
    </w:rPr>
  </w:style>
  <w:style w:type="paragraph" w:styleId="BodyText">
    <w:name w:val="Body Text"/>
    <w:basedOn w:val="Normal"/>
    <w:link w:val="BodyTextChar"/>
    <w:uiPriority w:val="1"/>
    <w:qFormat/>
    <w:rsid w:val="00774227"/>
    <w:pPr>
      <w:autoSpaceDE w:val="0"/>
      <w:autoSpaceDN w:val="0"/>
      <w:adjustRightInd w:val="0"/>
      <w:spacing w:before="0" w:after="0" w:line="240" w:lineRule="auto"/>
      <w:ind w:left="39"/>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774227"/>
    <w:rPr>
      <w:rFonts w:ascii="Times New Roman" w:hAnsi="Times New Roman" w:cs="Times New Roman"/>
      <w:sz w:val="24"/>
      <w:szCs w:val="24"/>
    </w:rPr>
  </w:style>
  <w:style w:type="table" w:customStyle="1" w:styleId="TableTGAblue1">
    <w:name w:val="Table TGA blue1"/>
    <w:basedOn w:val="TableNormal"/>
    <w:uiPriority w:val="99"/>
    <w:qFormat/>
    <w:rsid w:val="0077422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77422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DocumentMap">
    <w:name w:val="Document Map"/>
    <w:basedOn w:val="Normal"/>
    <w:link w:val="DocumentMapChar"/>
    <w:uiPriority w:val="99"/>
    <w:semiHidden/>
    <w:unhideWhenUsed/>
    <w:rsid w:val="00774227"/>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74227"/>
    <w:rPr>
      <w:rFonts w:ascii="Lucida Grande" w:eastAsia="Cambria" w:hAnsi="Lucida Grande" w:cs="Lucida Grande"/>
      <w:sz w:val="24"/>
      <w:szCs w:val="24"/>
    </w:rPr>
  </w:style>
  <w:style w:type="numbering" w:customStyle="1" w:styleId="NumberBullet1">
    <w:name w:val="NumberBullet1"/>
    <w:uiPriority w:val="99"/>
    <w:locked/>
    <w:rsid w:val="007742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652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A45E9B"/>
    <w:pPr>
      <w:keepNext/>
      <w:keepLines/>
      <w:numPr>
        <w:ilvl w:val="3"/>
        <w:numId w:val="6"/>
      </w:numPr>
      <w:tabs>
        <w:tab w:val="clear" w:pos="4736"/>
        <w:tab w:val="left" w:pos="567"/>
        <w:tab w:val="num" w:pos="993"/>
      </w:tabs>
      <w:spacing w:line="220" w:lineRule="atLeast"/>
      <w:ind w:left="227" w:hanging="22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6F5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45E9B"/>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2D7C6E"/>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1"/>
    <w:qFormat/>
    <w:rsid w:val="00A77DA3"/>
    <w:pPr>
      <w:ind w:left="720"/>
      <w:contextualSpacing/>
    </w:pPr>
    <w:rPr>
      <w:rFonts w:ascii="Calibri" w:hAnsi="Calibri"/>
    </w:rPr>
  </w:style>
  <w:style w:type="paragraph" w:customStyle="1" w:styleId="Bullet2">
    <w:name w:val="Bullet 2"/>
    <w:basedOn w:val="Normal"/>
    <w:rsid w:val="00774227"/>
    <w:pPr>
      <w:numPr>
        <w:numId w:val="9"/>
      </w:numPr>
      <w:spacing w:after="0" w:line="240" w:lineRule="auto"/>
    </w:pPr>
    <w:rPr>
      <w:rFonts w:ascii="Calibri" w:eastAsia="Times New Roman" w:hAnsi="Calibri"/>
      <w:kern w:val="24"/>
      <w:szCs w:val="24"/>
      <w:lang w:eastAsia="en-AU"/>
    </w:rPr>
  </w:style>
  <w:style w:type="paragraph" w:customStyle="1" w:styleId="Instructions1">
    <w:name w:val="Instructions 1"/>
    <w:basedOn w:val="Normal"/>
    <w:qFormat/>
    <w:rsid w:val="0077422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74227"/>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4"/>
      <w:lang w:eastAsia="en-AU"/>
    </w:rPr>
  </w:style>
  <w:style w:type="paragraph" w:customStyle="1" w:styleId="Comment1">
    <w:name w:val="Comment 1"/>
    <w:basedOn w:val="Normal"/>
    <w:next w:val="Normal"/>
    <w:rsid w:val="007742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74227"/>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74227"/>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74227"/>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74227"/>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74227"/>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74227"/>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74227"/>
    <w:rPr>
      <w:rFonts w:ascii="Calibri" w:hAnsi="Calibri"/>
      <w:i/>
      <w:color w:val="007099"/>
    </w:rPr>
  </w:style>
  <w:style w:type="paragraph" w:styleId="TableofFigures">
    <w:name w:val="table of figures"/>
    <w:basedOn w:val="Normal"/>
    <w:next w:val="Normal"/>
    <w:uiPriority w:val="99"/>
    <w:unhideWhenUsed/>
    <w:rsid w:val="00774227"/>
    <w:pPr>
      <w:spacing w:after="0"/>
    </w:pPr>
    <w:rPr>
      <w:rFonts w:ascii="Calibri" w:hAnsi="Calibri"/>
    </w:rPr>
  </w:style>
  <w:style w:type="paragraph" w:styleId="FootnoteText">
    <w:name w:val="footnote text"/>
    <w:basedOn w:val="Normal"/>
    <w:link w:val="FootnoteTextChar"/>
    <w:uiPriority w:val="99"/>
    <w:semiHidden/>
    <w:unhideWhenUsed/>
    <w:rsid w:val="00774227"/>
    <w:pPr>
      <w:spacing w:before="0"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774227"/>
    <w:rPr>
      <w:rFonts w:ascii="Calibri" w:eastAsia="Cambria" w:hAnsi="Calibri" w:cs="Times New Roman"/>
      <w:sz w:val="20"/>
      <w:szCs w:val="20"/>
    </w:rPr>
  </w:style>
  <w:style w:type="character" w:styleId="FootnoteReference">
    <w:name w:val="footnote reference"/>
    <w:basedOn w:val="DefaultParagraphFont"/>
    <w:uiPriority w:val="99"/>
    <w:semiHidden/>
    <w:unhideWhenUsed/>
    <w:rsid w:val="00774227"/>
    <w:rPr>
      <w:vertAlign w:val="superscript"/>
    </w:rPr>
  </w:style>
  <w:style w:type="paragraph" w:styleId="BodyText">
    <w:name w:val="Body Text"/>
    <w:basedOn w:val="Normal"/>
    <w:link w:val="BodyTextChar"/>
    <w:uiPriority w:val="1"/>
    <w:qFormat/>
    <w:rsid w:val="00774227"/>
    <w:pPr>
      <w:autoSpaceDE w:val="0"/>
      <w:autoSpaceDN w:val="0"/>
      <w:adjustRightInd w:val="0"/>
      <w:spacing w:before="0" w:after="0" w:line="240" w:lineRule="auto"/>
      <w:ind w:left="39"/>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774227"/>
    <w:rPr>
      <w:rFonts w:ascii="Times New Roman" w:hAnsi="Times New Roman" w:cs="Times New Roman"/>
      <w:sz w:val="24"/>
      <w:szCs w:val="24"/>
    </w:rPr>
  </w:style>
  <w:style w:type="table" w:customStyle="1" w:styleId="TableTGAblue1">
    <w:name w:val="Table TGA blue1"/>
    <w:basedOn w:val="TableNormal"/>
    <w:uiPriority w:val="99"/>
    <w:qFormat/>
    <w:rsid w:val="0077422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77422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DocumentMap">
    <w:name w:val="Document Map"/>
    <w:basedOn w:val="Normal"/>
    <w:link w:val="DocumentMapChar"/>
    <w:uiPriority w:val="99"/>
    <w:semiHidden/>
    <w:unhideWhenUsed/>
    <w:rsid w:val="00774227"/>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74227"/>
    <w:rPr>
      <w:rFonts w:ascii="Lucida Grande" w:eastAsia="Cambria" w:hAnsi="Lucida Grande" w:cs="Lucida Grande"/>
      <w:sz w:val="24"/>
      <w:szCs w:val="24"/>
    </w:rPr>
  </w:style>
  <w:style w:type="numbering" w:customStyle="1" w:styleId="NumberBullet1">
    <w:name w:val="NumberBullet1"/>
    <w:uiPriority w:val="99"/>
    <w:locked/>
    <w:rsid w:val="00774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microsoft.com/office/2007/relationships/hdphoto" Target="media/hdphoto8.wdp"/><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footer" Target="footer2.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1.wdp"/><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microsoft.com/office/2007/relationships/hdphoto" Target="media/hdphoto7.wdp"/><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hyperlink" Target="mailto:info@tga.gov.au" TargetMode="External"/><Relationship Id="rId95" Type="http://schemas.openxmlformats.org/officeDocument/2006/relationships/header" Target="header8.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4.wdp"/><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microsoft.com/office/2007/relationships/hdphoto" Target="media/hdphoto10.wdp"/><Relationship Id="rId8" Type="http://schemas.openxmlformats.org/officeDocument/2006/relationships/endnotes" Target="endnotes.xml"/><Relationship Id="rId51" Type="http://schemas.microsoft.com/office/2007/relationships/hdphoto" Target="media/hdphoto6.wdp"/><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header" Target="header7.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hdphoto" Target="media/hdphoto3.wdp"/><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header" Target="header5.xml"/><Relationship Id="rId91" Type="http://schemas.openxmlformats.org/officeDocument/2006/relationships/hyperlink" Target="https://www.tga.gov.au"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hyperlink" Target="https://www.tga.gov.au/product-information-pi" TargetMode="External"/><Relationship Id="rId31" Type="http://schemas.microsoft.com/office/2007/relationships/hdphoto" Target="media/hdphoto2.wdp"/><Relationship Id="rId44" Type="http://schemas.microsoft.com/office/2007/relationships/hdphoto" Target="media/hdphoto5.wdp"/><Relationship Id="rId52" Type="http://schemas.openxmlformats.org/officeDocument/2006/relationships/image" Target="media/image34.png"/><Relationship Id="rId60" Type="http://schemas.microsoft.com/office/2007/relationships/hdphoto" Target="media/hdphoto9.wdp"/><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eader" Target="header3.xml"/><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9417D-EA02-4856-AF61-27FF52F5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215</TotalTime>
  <Pages>134</Pages>
  <Words>48119</Words>
  <Characters>274279</Characters>
  <Application>Microsoft Office Word</Application>
  <DocSecurity>0</DocSecurity>
  <Lines>2285</Lines>
  <Paragraphs>643</Paragraphs>
  <ScaleCrop>false</ScaleCrop>
  <HeadingPairs>
    <vt:vector size="2" baseType="variant">
      <vt:variant>
        <vt:lpstr>Title</vt:lpstr>
      </vt:variant>
      <vt:variant>
        <vt:i4>1</vt:i4>
      </vt:variant>
    </vt:vector>
  </HeadingPairs>
  <TitlesOfParts>
    <vt:vector size="1" baseType="lpstr">
      <vt:lpstr>Attachment: Extract from Clinical Evaluation: dexamethasone (intravitreal implant)</vt:lpstr>
    </vt:vector>
  </TitlesOfParts>
  <Company>Department of Health TGA</Company>
  <LinksUpToDate>false</LinksUpToDate>
  <CharactersWithSpaces>321755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dexamethasone (intravitreal implant)</dc:title>
  <dc:subject>prescription medicines</dc:subject>
  <dc:creator>Therapeutic Goods Administration</dc:creator>
  <cp:keywords>AusPARs</cp:keywords>
  <cp:lastModifiedBy>LACK, Janet</cp:lastModifiedBy>
  <cp:revision>6</cp:revision>
  <cp:lastPrinted>2018-03-26T04:45:00Z</cp:lastPrinted>
  <dcterms:created xsi:type="dcterms:W3CDTF">2019-04-10T05:15:00Z</dcterms:created>
  <dcterms:modified xsi:type="dcterms:W3CDTF">2019-04-16T03:31:00Z</dcterms:modified>
</cp:coreProperties>
</file>