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A877F6" w:rsidP="00096AA7">
            <w:pPr>
              <w:rPr>
                <w:rFonts w:ascii="Arial" w:hAnsi="Arial" w:cs="Arial"/>
                <w:b/>
                <w:color w:val="002C47"/>
                <w:sz w:val="36"/>
                <w:szCs w:val="36"/>
              </w:rPr>
            </w:pPr>
            <w:r>
              <w:rPr>
                <w:rFonts w:ascii="Arial" w:hAnsi="Arial" w:cs="Arial"/>
                <w:b/>
                <w:color w:val="002C47"/>
                <w:sz w:val="36"/>
                <w:szCs w:val="36"/>
              </w:rPr>
              <w:t xml:space="preserve">October </w:t>
            </w:r>
            <w:r w:rsidR="005A222D">
              <w:rPr>
                <w:rFonts w:ascii="Arial" w:hAnsi="Arial" w:cs="Arial"/>
                <w:b/>
                <w:color w:val="002C47"/>
                <w:sz w:val="36"/>
                <w:szCs w:val="36"/>
              </w:rPr>
              <w:t>2016</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5A222D">
            <w:pPr>
              <w:pStyle w:val="Title"/>
              <w:rPr>
                <w:color w:val="FFFFFF" w:themeColor="background1"/>
              </w:rPr>
            </w:pPr>
            <w:r w:rsidRPr="00A964D1">
              <w:rPr>
                <w:color w:val="FFFFFF" w:themeColor="background1"/>
              </w:rPr>
              <w:t xml:space="preserve">Australian Public Assessment Report for </w:t>
            </w:r>
            <w:r w:rsidR="005A222D">
              <w:rPr>
                <w:color w:val="FFFFFF" w:themeColor="background1"/>
              </w:rPr>
              <w:t>dexamethasone</w:t>
            </w:r>
          </w:p>
        </w:tc>
      </w:tr>
      <w:tr w:rsidR="0032583B" w:rsidRPr="00B64760" w:rsidTr="0032583B">
        <w:tc>
          <w:tcPr>
            <w:tcW w:w="9079" w:type="dxa"/>
          </w:tcPr>
          <w:p w:rsidR="0032583B" w:rsidRPr="008E7846" w:rsidRDefault="0032583B" w:rsidP="005A222D">
            <w:pPr>
              <w:pStyle w:val="Subtitle"/>
              <w:rPr>
                <w:color w:val="FFFFFF" w:themeColor="background1"/>
              </w:rPr>
            </w:pPr>
            <w:r w:rsidRPr="008E7846">
              <w:rPr>
                <w:color w:val="FFFFFF" w:themeColor="background1"/>
              </w:rPr>
              <w:t xml:space="preserve">Proprietary Product Name: </w:t>
            </w:r>
            <w:r w:rsidR="005A222D">
              <w:rPr>
                <w:color w:val="FFFFFF" w:themeColor="background1"/>
              </w:rPr>
              <w:t>Ozurdex</w:t>
            </w:r>
          </w:p>
        </w:tc>
      </w:tr>
      <w:tr w:rsidR="0032583B" w:rsidRPr="00B64760" w:rsidTr="0032583B">
        <w:trPr>
          <w:trHeight w:val="486"/>
        </w:trPr>
        <w:tc>
          <w:tcPr>
            <w:tcW w:w="9079" w:type="dxa"/>
          </w:tcPr>
          <w:p w:rsidR="0032583B" w:rsidRPr="008E7846" w:rsidRDefault="0032583B" w:rsidP="005A222D">
            <w:pPr>
              <w:pStyle w:val="Subtitle"/>
              <w:rPr>
                <w:color w:val="FFFFFF" w:themeColor="background1"/>
              </w:rPr>
            </w:pPr>
            <w:r w:rsidRPr="008E7846">
              <w:rPr>
                <w:color w:val="FFFFFF" w:themeColor="background1"/>
              </w:rPr>
              <w:t xml:space="preserve">Sponsor: </w:t>
            </w:r>
            <w:r w:rsidR="005A222D">
              <w:rPr>
                <w:color w:val="FFFFFF" w:themeColor="background1"/>
              </w:rPr>
              <w:t>Allergan Australia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w:t>
      </w:r>
      <w:r w:rsidR="00D57E70">
        <w:t xml:space="preserve"> </w:t>
      </w:r>
      <w:r>
        <w:t>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rsidR="008E7846" w:rsidRDefault="008E7846" w:rsidP="00875A6B">
      <w:pPr>
        <w:pStyle w:val="NonTOCHeading2"/>
      </w:pPr>
      <w:r>
        <w:t xml:space="preserve">About </w:t>
      </w:r>
      <w:proofErr w:type="spellStart"/>
      <w:r>
        <w:t>AusPARs</w:t>
      </w:r>
      <w:proofErr w:type="spellEnd"/>
    </w:p>
    <w:p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rsidR="008E7846" w:rsidRDefault="008E7846" w:rsidP="008E7846">
      <w:pPr>
        <w:pStyle w:val="ListBullet"/>
        <w:numPr>
          <w:ilvl w:val="0"/>
          <w:numId w:val="3"/>
        </w:numPr>
        <w:ind w:left="357" w:hanging="357"/>
      </w:pPr>
      <w:proofErr w:type="spellStart"/>
      <w:r>
        <w:t>AusPARs</w:t>
      </w:r>
      <w:proofErr w:type="spellEnd"/>
      <w:r>
        <w:t xml:space="preserve"> are prepared and published by the TGA.</w:t>
      </w:r>
    </w:p>
    <w:p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EF59DC">
        <w:rPr>
          <w:rFonts w:cs="Arial"/>
          <w:lang w:val="en-GB"/>
        </w:rPr>
        <w:t>6</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w:t>
          </w:r>
          <w:bookmarkStart w:id="2" w:name="_GoBack"/>
          <w:bookmarkEnd w:id="2"/>
          <w:r w:rsidRPr="0010788A">
            <w:t>tents</w:t>
          </w:r>
        </w:p>
        <w:p w:rsidR="00BA14B0"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65939496" w:history="1">
            <w:r w:rsidR="00BA14B0" w:rsidRPr="005852E5">
              <w:rPr>
                <w:rStyle w:val="Hyperlink"/>
                <w:noProof/>
              </w:rPr>
              <w:t>Common abbreviations</w:t>
            </w:r>
            <w:r w:rsidR="00BA14B0">
              <w:rPr>
                <w:noProof/>
                <w:webHidden/>
              </w:rPr>
              <w:tab/>
            </w:r>
            <w:r w:rsidR="00BA14B0">
              <w:rPr>
                <w:noProof/>
                <w:webHidden/>
              </w:rPr>
              <w:fldChar w:fldCharType="begin"/>
            </w:r>
            <w:r w:rsidR="00BA14B0">
              <w:rPr>
                <w:noProof/>
                <w:webHidden/>
              </w:rPr>
              <w:instrText xml:space="preserve"> PAGEREF _Toc465939496 \h </w:instrText>
            </w:r>
            <w:r w:rsidR="00BA14B0">
              <w:rPr>
                <w:noProof/>
                <w:webHidden/>
              </w:rPr>
            </w:r>
            <w:r w:rsidR="00BA14B0">
              <w:rPr>
                <w:noProof/>
                <w:webHidden/>
              </w:rPr>
              <w:fldChar w:fldCharType="separate"/>
            </w:r>
            <w:r w:rsidR="00BA14B0">
              <w:rPr>
                <w:noProof/>
                <w:webHidden/>
              </w:rPr>
              <w:t>5</w:t>
            </w:r>
            <w:r w:rsidR="00BA14B0">
              <w:rPr>
                <w:noProof/>
                <w:webHidden/>
              </w:rPr>
              <w:fldChar w:fldCharType="end"/>
            </w:r>
          </w:hyperlink>
        </w:p>
        <w:p w:rsidR="00BA14B0" w:rsidRDefault="00BA14B0">
          <w:pPr>
            <w:pStyle w:val="TOC2"/>
            <w:rPr>
              <w:rFonts w:asciiTheme="minorHAnsi" w:eastAsiaTheme="minorEastAsia" w:hAnsiTheme="minorHAnsi" w:cstheme="minorBidi"/>
              <w:b w:val="0"/>
              <w:noProof/>
              <w:sz w:val="22"/>
              <w:lang w:eastAsia="en-AU"/>
            </w:rPr>
          </w:pPr>
          <w:hyperlink w:anchor="_Toc465939497" w:history="1">
            <w:r w:rsidRPr="005852E5">
              <w:rPr>
                <w:rStyle w:val="Hyperlink"/>
                <w:noProof/>
              </w:rPr>
              <w:t>I. Introduction to product submission</w:t>
            </w:r>
            <w:r>
              <w:rPr>
                <w:noProof/>
                <w:webHidden/>
              </w:rPr>
              <w:tab/>
            </w:r>
            <w:r>
              <w:rPr>
                <w:noProof/>
                <w:webHidden/>
              </w:rPr>
              <w:fldChar w:fldCharType="begin"/>
            </w:r>
            <w:r>
              <w:rPr>
                <w:noProof/>
                <w:webHidden/>
              </w:rPr>
              <w:instrText xml:space="preserve"> PAGEREF _Toc465939497 \h </w:instrText>
            </w:r>
            <w:r>
              <w:rPr>
                <w:noProof/>
                <w:webHidden/>
              </w:rPr>
            </w:r>
            <w:r>
              <w:rPr>
                <w:noProof/>
                <w:webHidden/>
              </w:rPr>
              <w:fldChar w:fldCharType="separate"/>
            </w:r>
            <w:r>
              <w:rPr>
                <w:noProof/>
                <w:webHidden/>
              </w:rPr>
              <w:t>7</w:t>
            </w:r>
            <w:r>
              <w:rPr>
                <w:noProof/>
                <w:webHidden/>
              </w:rPr>
              <w:fldChar w:fldCharType="end"/>
            </w:r>
          </w:hyperlink>
        </w:p>
        <w:p w:rsidR="00BA14B0" w:rsidRDefault="00BA14B0">
          <w:pPr>
            <w:pStyle w:val="TOC3"/>
            <w:rPr>
              <w:rFonts w:asciiTheme="minorHAnsi" w:eastAsiaTheme="minorEastAsia" w:hAnsiTheme="minorHAnsi" w:cstheme="minorBidi"/>
              <w:noProof/>
              <w:lang w:eastAsia="en-AU"/>
            </w:rPr>
          </w:pPr>
          <w:hyperlink w:anchor="_Toc465939498" w:history="1">
            <w:r w:rsidRPr="005852E5">
              <w:rPr>
                <w:rStyle w:val="Hyperlink"/>
                <w:noProof/>
                <w:lang w:eastAsia="en-AU"/>
              </w:rPr>
              <w:t>Submission details</w:t>
            </w:r>
            <w:r>
              <w:rPr>
                <w:noProof/>
                <w:webHidden/>
              </w:rPr>
              <w:tab/>
            </w:r>
            <w:r>
              <w:rPr>
                <w:noProof/>
                <w:webHidden/>
              </w:rPr>
              <w:fldChar w:fldCharType="begin"/>
            </w:r>
            <w:r>
              <w:rPr>
                <w:noProof/>
                <w:webHidden/>
              </w:rPr>
              <w:instrText xml:space="preserve"> PAGEREF _Toc465939498 \h </w:instrText>
            </w:r>
            <w:r>
              <w:rPr>
                <w:noProof/>
                <w:webHidden/>
              </w:rPr>
            </w:r>
            <w:r>
              <w:rPr>
                <w:noProof/>
                <w:webHidden/>
              </w:rPr>
              <w:fldChar w:fldCharType="separate"/>
            </w:r>
            <w:r>
              <w:rPr>
                <w:noProof/>
                <w:webHidden/>
              </w:rPr>
              <w:t>7</w:t>
            </w:r>
            <w:r>
              <w:rPr>
                <w:noProof/>
                <w:webHidden/>
              </w:rPr>
              <w:fldChar w:fldCharType="end"/>
            </w:r>
          </w:hyperlink>
        </w:p>
        <w:p w:rsidR="00BA14B0" w:rsidRDefault="00BA14B0">
          <w:pPr>
            <w:pStyle w:val="TOC3"/>
            <w:rPr>
              <w:rFonts w:asciiTheme="minorHAnsi" w:eastAsiaTheme="minorEastAsia" w:hAnsiTheme="minorHAnsi" w:cstheme="minorBidi"/>
              <w:noProof/>
              <w:lang w:eastAsia="en-AU"/>
            </w:rPr>
          </w:pPr>
          <w:hyperlink w:anchor="_Toc465939499" w:history="1">
            <w:r w:rsidRPr="005852E5">
              <w:rPr>
                <w:rStyle w:val="Hyperlink"/>
                <w:noProof/>
              </w:rPr>
              <w:t>Product background</w:t>
            </w:r>
            <w:r>
              <w:rPr>
                <w:noProof/>
                <w:webHidden/>
              </w:rPr>
              <w:tab/>
            </w:r>
            <w:r>
              <w:rPr>
                <w:noProof/>
                <w:webHidden/>
              </w:rPr>
              <w:fldChar w:fldCharType="begin"/>
            </w:r>
            <w:r>
              <w:rPr>
                <w:noProof/>
                <w:webHidden/>
              </w:rPr>
              <w:instrText xml:space="preserve"> PAGEREF _Toc465939499 \h </w:instrText>
            </w:r>
            <w:r>
              <w:rPr>
                <w:noProof/>
                <w:webHidden/>
              </w:rPr>
            </w:r>
            <w:r>
              <w:rPr>
                <w:noProof/>
                <w:webHidden/>
              </w:rPr>
              <w:fldChar w:fldCharType="separate"/>
            </w:r>
            <w:r>
              <w:rPr>
                <w:noProof/>
                <w:webHidden/>
              </w:rPr>
              <w:t>7</w:t>
            </w:r>
            <w:r>
              <w:rPr>
                <w:noProof/>
                <w:webHidden/>
              </w:rPr>
              <w:fldChar w:fldCharType="end"/>
            </w:r>
          </w:hyperlink>
        </w:p>
        <w:p w:rsidR="00BA14B0" w:rsidRDefault="00BA14B0">
          <w:pPr>
            <w:pStyle w:val="TOC3"/>
            <w:rPr>
              <w:rFonts w:asciiTheme="minorHAnsi" w:eastAsiaTheme="minorEastAsia" w:hAnsiTheme="minorHAnsi" w:cstheme="minorBidi"/>
              <w:noProof/>
              <w:lang w:eastAsia="en-AU"/>
            </w:rPr>
          </w:pPr>
          <w:hyperlink w:anchor="_Toc465939500" w:history="1">
            <w:r w:rsidRPr="005852E5">
              <w:rPr>
                <w:rStyle w:val="Hyperlink"/>
                <w:noProof/>
              </w:rPr>
              <w:t>Regulatory status</w:t>
            </w:r>
            <w:r>
              <w:rPr>
                <w:noProof/>
                <w:webHidden/>
              </w:rPr>
              <w:tab/>
            </w:r>
            <w:r>
              <w:rPr>
                <w:noProof/>
                <w:webHidden/>
              </w:rPr>
              <w:fldChar w:fldCharType="begin"/>
            </w:r>
            <w:r>
              <w:rPr>
                <w:noProof/>
                <w:webHidden/>
              </w:rPr>
              <w:instrText xml:space="preserve"> PAGEREF _Toc465939500 \h </w:instrText>
            </w:r>
            <w:r>
              <w:rPr>
                <w:noProof/>
                <w:webHidden/>
              </w:rPr>
            </w:r>
            <w:r>
              <w:rPr>
                <w:noProof/>
                <w:webHidden/>
              </w:rPr>
              <w:fldChar w:fldCharType="separate"/>
            </w:r>
            <w:r>
              <w:rPr>
                <w:noProof/>
                <w:webHidden/>
              </w:rPr>
              <w:t>8</w:t>
            </w:r>
            <w:r>
              <w:rPr>
                <w:noProof/>
                <w:webHidden/>
              </w:rPr>
              <w:fldChar w:fldCharType="end"/>
            </w:r>
          </w:hyperlink>
        </w:p>
        <w:p w:rsidR="00BA14B0" w:rsidRDefault="00BA14B0">
          <w:pPr>
            <w:pStyle w:val="TOC3"/>
            <w:rPr>
              <w:rFonts w:asciiTheme="minorHAnsi" w:eastAsiaTheme="minorEastAsia" w:hAnsiTheme="minorHAnsi" w:cstheme="minorBidi"/>
              <w:noProof/>
              <w:lang w:eastAsia="en-AU"/>
            </w:rPr>
          </w:pPr>
          <w:hyperlink w:anchor="_Toc465939501" w:history="1">
            <w:r w:rsidRPr="005852E5">
              <w:rPr>
                <w:rStyle w:val="Hyperlink"/>
                <w:noProof/>
              </w:rPr>
              <w:t>Product Information</w:t>
            </w:r>
            <w:r>
              <w:rPr>
                <w:noProof/>
                <w:webHidden/>
              </w:rPr>
              <w:tab/>
            </w:r>
            <w:r>
              <w:rPr>
                <w:noProof/>
                <w:webHidden/>
              </w:rPr>
              <w:fldChar w:fldCharType="begin"/>
            </w:r>
            <w:r>
              <w:rPr>
                <w:noProof/>
                <w:webHidden/>
              </w:rPr>
              <w:instrText xml:space="preserve"> PAGEREF _Toc465939501 \h </w:instrText>
            </w:r>
            <w:r>
              <w:rPr>
                <w:noProof/>
                <w:webHidden/>
              </w:rPr>
            </w:r>
            <w:r>
              <w:rPr>
                <w:noProof/>
                <w:webHidden/>
              </w:rPr>
              <w:fldChar w:fldCharType="separate"/>
            </w:r>
            <w:r>
              <w:rPr>
                <w:noProof/>
                <w:webHidden/>
              </w:rPr>
              <w:t>9</w:t>
            </w:r>
            <w:r>
              <w:rPr>
                <w:noProof/>
                <w:webHidden/>
              </w:rPr>
              <w:fldChar w:fldCharType="end"/>
            </w:r>
          </w:hyperlink>
        </w:p>
        <w:p w:rsidR="00BA14B0" w:rsidRDefault="00BA14B0">
          <w:pPr>
            <w:pStyle w:val="TOC2"/>
            <w:rPr>
              <w:rFonts w:asciiTheme="minorHAnsi" w:eastAsiaTheme="minorEastAsia" w:hAnsiTheme="minorHAnsi" w:cstheme="minorBidi"/>
              <w:b w:val="0"/>
              <w:noProof/>
              <w:sz w:val="22"/>
              <w:lang w:eastAsia="en-AU"/>
            </w:rPr>
          </w:pPr>
          <w:hyperlink w:anchor="_Toc465939502" w:history="1">
            <w:r w:rsidRPr="005852E5">
              <w:rPr>
                <w:rStyle w:val="Hyperlink"/>
                <w:noProof/>
              </w:rPr>
              <w:t>II. Quality findings</w:t>
            </w:r>
            <w:r>
              <w:rPr>
                <w:noProof/>
                <w:webHidden/>
              </w:rPr>
              <w:tab/>
            </w:r>
            <w:r>
              <w:rPr>
                <w:noProof/>
                <w:webHidden/>
              </w:rPr>
              <w:fldChar w:fldCharType="begin"/>
            </w:r>
            <w:r>
              <w:rPr>
                <w:noProof/>
                <w:webHidden/>
              </w:rPr>
              <w:instrText xml:space="preserve"> PAGEREF _Toc465939502 \h </w:instrText>
            </w:r>
            <w:r>
              <w:rPr>
                <w:noProof/>
                <w:webHidden/>
              </w:rPr>
            </w:r>
            <w:r>
              <w:rPr>
                <w:noProof/>
                <w:webHidden/>
              </w:rPr>
              <w:fldChar w:fldCharType="separate"/>
            </w:r>
            <w:r>
              <w:rPr>
                <w:noProof/>
                <w:webHidden/>
              </w:rPr>
              <w:t>9</w:t>
            </w:r>
            <w:r>
              <w:rPr>
                <w:noProof/>
                <w:webHidden/>
              </w:rPr>
              <w:fldChar w:fldCharType="end"/>
            </w:r>
          </w:hyperlink>
        </w:p>
        <w:p w:rsidR="00BA14B0" w:rsidRDefault="00BA14B0">
          <w:pPr>
            <w:pStyle w:val="TOC3"/>
            <w:rPr>
              <w:rFonts w:asciiTheme="minorHAnsi" w:eastAsiaTheme="minorEastAsia" w:hAnsiTheme="minorHAnsi" w:cstheme="minorBidi"/>
              <w:noProof/>
              <w:lang w:eastAsia="en-AU"/>
            </w:rPr>
          </w:pPr>
          <w:hyperlink w:anchor="_Toc465939503" w:history="1">
            <w:r w:rsidRPr="005852E5">
              <w:rPr>
                <w:rStyle w:val="Hyperlink"/>
                <w:noProof/>
              </w:rPr>
              <w:t>Introduction</w:t>
            </w:r>
            <w:r>
              <w:rPr>
                <w:noProof/>
                <w:webHidden/>
              </w:rPr>
              <w:tab/>
            </w:r>
            <w:r>
              <w:rPr>
                <w:noProof/>
                <w:webHidden/>
              </w:rPr>
              <w:fldChar w:fldCharType="begin"/>
            </w:r>
            <w:r>
              <w:rPr>
                <w:noProof/>
                <w:webHidden/>
              </w:rPr>
              <w:instrText xml:space="preserve"> PAGEREF _Toc465939503 \h </w:instrText>
            </w:r>
            <w:r>
              <w:rPr>
                <w:noProof/>
                <w:webHidden/>
              </w:rPr>
            </w:r>
            <w:r>
              <w:rPr>
                <w:noProof/>
                <w:webHidden/>
              </w:rPr>
              <w:fldChar w:fldCharType="separate"/>
            </w:r>
            <w:r>
              <w:rPr>
                <w:noProof/>
                <w:webHidden/>
              </w:rPr>
              <w:t>9</w:t>
            </w:r>
            <w:r>
              <w:rPr>
                <w:noProof/>
                <w:webHidden/>
              </w:rPr>
              <w:fldChar w:fldCharType="end"/>
            </w:r>
          </w:hyperlink>
        </w:p>
        <w:p w:rsidR="00BA14B0" w:rsidRDefault="00BA14B0">
          <w:pPr>
            <w:pStyle w:val="TOC3"/>
            <w:rPr>
              <w:rFonts w:asciiTheme="minorHAnsi" w:eastAsiaTheme="minorEastAsia" w:hAnsiTheme="minorHAnsi" w:cstheme="minorBidi"/>
              <w:noProof/>
              <w:lang w:eastAsia="en-AU"/>
            </w:rPr>
          </w:pPr>
          <w:hyperlink w:anchor="_Toc465939504" w:history="1">
            <w:r w:rsidRPr="005852E5">
              <w:rPr>
                <w:rStyle w:val="Hyperlink"/>
                <w:noProof/>
              </w:rPr>
              <w:t>Drug substance (active ingredient)</w:t>
            </w:r>
            <w:r>
              <w:rPr>
                <w:noProof/>
                <w:webHidden/>
              </w:rPr>
              <w:tab/>
            </w:r>
            <w:r>
              <w:rPr>
                <w:noProof/>
                <w:webHidden/>
              </w:rPr>
              <w:fldChar w:fldCharType="begin"/>
            </w:r>
            <w:r>
              <w:rPr>
                <w:noProof/>
                <w:webHidden/>
              </w:rPr>
              <w:instrText xml:space="preserve"> PAGEREF _Toc465939504 \h </w:instrText>
            </w:r>
            <w:r>
              <w:rPr>
                <w:noProof/>
                <w:webHidden/>
              </w:rPr>
            </w:r>
            <w:r>
              <w:rPr>
                <w:noProof/>
                <w:webHidden/>
              </w:rPr>
              <w:fldChar w:fldCharType="separate"/>
            </w:r>
            <w:r>
              <w:rPr>
                <w:noProof/>
                <w:webHidden/>
              </w:rPr>
              <w:t>10</w:t>
            </w:r>
            <w:r>
              <w:rPr>
                <w:noProof/>
                <w:webHidden/>
              </w:rPr>
              <w:fldChar w:fldCharType="end"/>
            </w:r>
          </w:hyperlink>
        </w:p>
        <w:p w:rsidR="00BA14B0" w:rsidRDefault="00BA14B0">
          <w:pPr>
            <w:pStyle w:val="TOC3"/>
            <w:rPr>
              <w:rFonts w:asciiTheme="minorHAnsi" w:eastAsiaTheme="minorEastAsia" w:hAnsiTheme="minorHAnsi" w:cstheme="minorBidi"/>
              <w:noProof/>
              <w:lang w:eastAsia="en-AU"/>
            </w:rPr>
          </w:pPr>
          <w:hyperlink w:anchor="_Toc465939505" w:history="1">
            <w:r w:rsidRPr="005852E5">
              <w:rPr>
                <w:rStyle w:val="Hyperlink"/>
                <w:noProof/>
              </w:rPr>
              <w:t>Drug product</w:t>
            </w:r>
            <w:r>
              <w:rPr>
                <w:noProof/>
                <w:webHidden/>
              </w:rPr>
              <w:tab/>
            </w:r>
            <w:r>
              <w:rPr>
                <w:noProof/>
                <w:webHidden/>
              </w:rPr>
              <w:fldChar w:fldCharType="begin"/>
            </w:r>
            <w:r>
              <w:rPr>
                <w:noProof/>
                <w:webHidden/>
              </w:rPr>
              <w:instrText xml:space="preserve"> PAGEREF _Toc465939505 \h </w:instrText>
            </w:r>
            <w:r>
              <w:rPr>
                <w:noProof/>
                <w:webHidden/>
              </w:rPr>
            </w:r>
            <w:r>
              <w:rPr>
                <w:noProof/>
                <w:webHidden/>
              </w:rPr>
              <w:fldChar w:fldCharType="separate"/>
            </w:r>
            <w:r>
              <w:rPr>
                <w:noProof/>
                <w:webHidden/>
              </w:rPr>
              <w:t>10</w:t>
            </w:r>
            <w:r>
              <w:rPr>
                <w:noProof/>
                <w:webHidden/>
              </w:rPr>
              <w:fldChar w:fldCharType="end"/>
            </w:r>
          </w:hyperlink>
        </w:p>
        <w:p w:rsidR="00BA14B0" w:rsidRDefault="00BA14B0">
          <w:pPr>
            <w:pStyle w:val="TOC3"/>
            <w:rPr>
              <w:rFonts w:asciiTheme="minorHAnsi" w:eastAsiaTheme="minorEastAsia" w:hAnsiTheme="minorHAnsi" w:cstheme="minorBidi"/>
              <w:noProof/>
              <w:lang w:eastAsia="en-AU"/>
            </w:rPr>
          </w:pPr>
          <w:hyperlink w:anchor="_Toc465939506" w:history="1">
            <w:r w:rsidRPr="005852E5">
              <w:rPr>
                <w:rStyle w:val="Hyperlink"/>
                <w:noProof/>
              </w:rPr>
              <w:t>Biopharmaceutics</w:t>
            </w:r>
            <w:r>
              <w:rPr>
                <w:noProof/>
                <w:webHidden/>
              </w:rPr>
              <w:tab/>
            </w:r>
            <w:r>
              <w:rPr>
                <w:noProof/>
                <w:webHidden/>
              </w:rPr>
              <w:fldChar w:fldCharType="begin"/>
            </w:r>
            <w:r>
              <w:rPr>
                <w:noProof/>
                <w:webHidden/>
              </w:rPr>
              <w:instrText xml:space="preserve"> PAGEREF _Toc465939506 \h </w:instrText>
            </w:r>
            <w:r>
              <w:rPr>
                <w:noProof/>
                <w:webHidden/>
              </w:rPr>
            </w:r>
            <w:r>
              <w:rPr>
                <w:noProof/>
                <w:webHidden/>
              </w:rPr>
              <w:fldChar w:fldCharType="separate"/>
            </w:r>
            <w:r>
              <w:rPr>
                <w:noProof/>
                <w:webHidden/>
              </w:rPr>
              <w:t>12</w:t>
            </w:r>
            <w:r>
              <w:rPr>
                <w:noProof/>
                <w:webHidden/>
              </w:rPr>
              <w:fldChar w:fldCharType="end"/>
            </w:r>
          </w:hyperlink>
        </w:p>
        <w:p w:rsidR="00BA14B0" w:rsidRDefault="00BA14B0">
          <w:pPr>
            <w:pStyle w:val="TOC3"/>
            <w:rPr>
              <w:rFonts w:asciiTheme="minorHAnsi" w:eastAsiaTheme="minorEastAsia" w:hAnsiTheme="minorHAnsi" w:cstheme="minorBidi"/>
              <w:noProof/>
              <w:lang w:eastAsia="en-AU"/>
            </w:rPr>
          </w:pPr>
          <w:hyperlink w:anchor="_Toc465939507" w:history="1">
            <w:r w:rsidRPr="005852E5">
              <w:rPr>
                <w:rStyle w:val="Hyperlink"/>
                <w:noProof/>
              </w:rPr>
              <w:t>Advisory committee considerations</w:t>
            </w:r>
            <w:r>
              <w:rPr>
                <w:noProof/>
                <w:webHidden/>
              </w:rPr>
              <w:tab/>
            </w:r>
            <w:r>
              <w:rPr>
                <w:noProof/>
                <w:webHidden/>
              </w:rPr>
              <w:fldChar w:fldCharType="begin"/>
            </w:r>
            <w:r>
              <w:rPr>
                <w:noProof/>
                <w:webHidden/>
              </w:rPr>
              <w:instrText xml:space="preserve"> PAGEREF _Toc465939507 \h </w:instrText>
            </w:r>
            <w:r>
              <w:rPr>
                <w:noProof/>
                <w:webHidden/>
              </w:rPr>
            </w:r>
            <w:r>
              <w:rPr>
                <w:noProof/>
                <w:webHidden/>
              </w:rPr>
              <w:fldChar w:fldCharType="separate"/>
            </w:r>
            <w:r>
              <w:rPr>
                <w:noProof/>
                <w:webHidden/>
              </w:rPr>
              <w:t>12</w:t>
            </w:r>
            <w:r>
              <w:rPr>
                <w:noProof/>
                <w:webHidden/>
              </w:rPr>
              <w:fldChar w:fldCharType="end"/>
            </w:r>
          </w:hyperlink>
        </w:p>
        <w:p w:rsidR="00BA14B0" w:rsidRDefault="00BA14B0">
          <w:pPr>
            <w:pStyle w:val="TOC3"/>
            <w:rPr>
              <w:rFonts w:asciiTheme="minorHAnsi" w:eastAsiaTheme="minorEastAsia" w:hAnsiTheme="minorHAnsi" w:cstheme="minorBidi"/>
              <w:noProof/>
              <w:lang w:eastAsia="en-AU"/>
            </w:rPr>
          </w:pPr>
          <w:hyperlink w:anchor="_Toc465939508" w:history="1">
            <w:r w:rsidRPr="005852E5">
              <w:rPr>
                <w:rStyle w:val="Hyperlink"/>
                <w:noProof/>
              </w:rPr>
              <w:t>Quality summary and conclusions</w:t>
            </w:r>
            <w:r>
              <w:rPr>
                <w:noProof/>
                <w:webHidden/>
              </w:rPr>
              <w:tab/>
            </w:r>
            <w:r>
              <w:rPr>
                <w:noProof/>
                <w:webHidden/>
              </w:rPr>
              <w:fldChar w:fldCharType="begin"/>
            </w:r>
            <w:r>
              <w:rPr>
                <w:noProof/>
                <w:webHidden/>
              </w:rPr>
              <w:instrText xml:space="preserve"> PAGEREF _Toc465939508 \h </w:instrText>
            </w:r>
            <w:r>
              <w:rPr>
                <w:noProof/>
                <w:webHidden/>
              </w:rPr>
            </w:r>
            <w:r>
              <w:rPr>
                <w:noProof/>
                <w:webHidden/>
              </w:rPr>
              <w:fldChar w:fldCharType="separate"/>
            </w:r>
            <w:r>
              <w:rPr>
                <w:noProof/>
                <w:webHidden/>
              </w:rPr>
              <w:t>12</w:t>
            </w:r>
            <w:r>
              <w:rPr>
                <w:noProof/>
                <w:webHidden/>
              </w:rPr>
              <w:fldChar w:fldCharType="end"/>
            </w:r>
          </w:hyperlink>
        </w:p>
        <w:p w:rsidR="00BA14B0" w:rsidRDefault="00BA14B0">
          <w:pPr>
            <w:pStyle w:val="TOC2"/>
            <w:rPr>
              <w:rFonts w:asciiTheme="minorHAnsi" w:eastAsiaTheme="minorEastAsia" w:hAnsiTheme="minorHAnsi" w:cstheme="minorBidi"/>
              <w:b w:val="0"/>
              <w:noProof/>
              <w:sz w:val="22"/>
              <w:lang w:eastAsia="en-AU"/>
            </w:rPr>
          </w:pPr>
          <w:hyperlink w:anchor="_Toc465939509" w:history="1">
            <w:r w:rsidRPr="005852E5">
              <w:rPr>
                <w:rStyle w:val="Hyperlink"/>
                <w:noProof/>
              </w:rPr>
              <w:t>III. Nonclinical findings</w:t>
            </w:r>
            <w:r>
              <w:rPr>
                <w:noProof/>
                <w:webHidden/>
              </w:rPr>
              <w:tab/>
            </w:r>
            <w:r>
              <w:rPr>
                <w:noProof/>
                <w:webHidden/>
              </w:rPr>
              <w:fldChar w:fldCharType="begin"/>
            </w:r>
            <w:r>
              <w:rPr>
                <w:noProof/>
                <w:webHidden/>
              </w:rPr>
              <w:instrText xml:space="preserve"> PAGEREF _Toc465939509 \h </w:instrText>
            </w:r>
            <w:r>
              <w:rPr>
                <w:noProof/>
                <w:webHidden/>
              </w:rPr>
            </w:r>
            <w:r>
              <w:rPr>
                <w:noProof/>
                <w:webHidden/>
              </w:rPr>
              <w:fldChar w:fldCharType="separate"/>
            </w:r>
            <w:r>
              <w:rPr>
                <w:noProof/>
                <w:webHidden/>
              </w:rPr>
              <w:t>13</w:t>
            </w:r>
            <w:r>
              <w:rPr>
                <w:noProof/>
                <w:webHidden/>
              </w:rPr>
              <w:fldChar w:fldCharType="end"/>
            </w:r>
          </w:hyperlink>
        </w:p>
        <w:p w:rsidR="00BA14B0" w:rsidRDefault="00BA14B0">
          <w:pPr>
            <w:pStyle w:val="TOC3"/>
            <w:rPr>
              <w:rFonts w:asciiTheme="minorHAnsi" w:eastAsiaTheme="minorEastAsia" w:hAnsiTheme="minorHAnsi" w:cstheme="minorBidi"/>
              <w:noProof/>
              <w:lang w:eastAsia="en-AU"/>
            </w:rPr>
          </w:pPr>
          <w:hyperlink w:anchor="_Toc465939510" w:history="1">
            <w:r w:rsidRPr="005852E5">
              <w:rPr>
                <w:rStyle w:val="Hyperlink"/>
                <w:noProof/>
              </w:rPr>
              <w:t>Introduction</w:t>
            </w:r>
            <w:r>
              <w:rPr>
                <w:noProof/>
                <w:webHidden/>
              </w:rPr>
              <w:tab/>
            </w:r>
            <w:r>
              <w:rPr>
                <w:noProof/>
                <w:webHidden/>
              </w:rPr>
              <w:fldChar w:fldCharType="begin"/>
            </w:r>
            <w:r>
              <w:rPr>
                <w:noProof/>
                <w:webHidden/>
              </w:rPr>
              <w:instrText xml:space="preserve"> PAGEREF _Toc465939510 \h </w:instrText>
            </w:r>
            <w:r>
              <w:rPr>
                <w:noProof/>
                <w:webHidden/>
              </w:rPr>
            </w:r>
            <w:r>
              <w:rPr>
                <w:noProof/>
                <w:webHidden/>
              </w:rPr>
              <w:fldChar w:fldCharType="separate"/>
            </w:r>
            <w:r>
              <w:rPr>
                <w:noProof/>
                <w:webHidden/>
              </w:rPr>
              <w:t>13</w:t>
            </w:r>
            <w:r>
              <w:rPr>
                <w:noProof/>
                <w:webHidden/>
              </w:rPr>
              <w:fldChar w:fldCharType="end"/>
            </w:r>
          </w:hyperlink>
        </w:p>
        <w:p w:rsidR="00BA14B0" w:rsidRDefault="00BA14B0">
          <w:pPr>
            <w:pStyle w:val="TOC3"/>
            <w:rPr>
              <w:rFonts w:asciiTheme="minorHAnsi" w:eastAsiaTheme="minorEastAsia" w:hAnsiTheme="minorHAnsi" w:cstheme="minorBidi"/>
              <w:noProof/>
              <w:lang w:eastAsia="en-AU"/>
            </w:rPr>
          </w:pPr>
          <w:hyperlink w:anchor="_Toc465939511" w:history="1">
            <w:r w:rsidRPr="005852E5">
              <w:rPr>
                <w:rStyle w:val="Hyperlink"/>
                <w:noProof/>
              </w:rPr>
              <w:t>Pharmacology</w:t>
            </w:r>
            <w:r>
              <w:rPr>
                <w:noProof/>
                <w:webHidden/>
              </w:rPr>
              <w:tab/>
            </w:r>
            <w:r>
              <w:rPr>
                <w:noProof/>
                <w:webHidden/>
              </w:rPr>
              <w:fldChar w:fldCharType="begin"/>
            </w:r>
            <w:r>
              <w:rPr>
                <w:noProof/>
                <w:webHidden/>
              </w:rPr>
              <w:instrText xml:space="preserve"> PAGEREF _Toc465939511 \h </w:instrText>
            </w:r>
            <w:r>
              <w:rPr>
                <w:noProof/>
                <w:webHidden/>
              </w:rPr>
            </w:r>
            <w:r>
              <w:rPr>
                <w:noProof/>
                <w:webHidden/>
              </w:rPr>
              <w:fldChar w:fldCharType="separate"/>
            </w:r>
            <w:r>
              <w:rPr>
                <w:noProof/>
                <w:webHidden/>
              </w:rPr>
              <w:t>13</w:t>
            </w:r>
            <w:r>
              <w:rPr>
                <w:noProof/>
                <w:webHidden/>
              </w:rPr>
              <w:fldChar w:fldCharType="end"/>
            </w:r>
          </w:hyperlink>
        </w:p>
        <w:p w:rsidR="00BA14B0" w:rsidRDefault="00BA14B0">
          <w:pPr>
            <w:pStyle w:val="TOC3"/>
            <w:rPr>
              <w:rFonts w:asciiTheme="minorHAnsi" w:eastAsiaTheme="minorEastAsia" w:hAnsiTheme="minorHAnsi" w:cstheme="minorBidi"/>
              <w:noProof/>
              <w:lang w:eastAsia="en-AU"/>
            </w:rPr>
          </w:pPr>
          <w:hyperlink w:anchor="_Toc465939512" w:history="1">
            <w:r w:rsidRPr="005852E5">
              <w:rPr>
                <w:rStyle w:val="Hyperlink"/>
                <w:noProof/>
              </w:rPr>
              <w:t>Pharmacokinetics</w:t>
            </w:r>
            <w:r>
              <w:rPr>
                <w:noProof/>
                <w:webHidden/>
              </w:rPr>
              <w:tab/>
            </w:r>
            <w:r>
              <w:rPr>
                <w:noProof/>
                <w:webHidden/>
              </w:rPr>
              <w:fldChar w:fldCharType="begin"/>
            </w:r>
            <w:r>
              <w:rPr>
                <w:noProof/>
                <w:webHidden/>
              </w:rPr>
              <w:instrText xml:space="preserve"> PAGEREF _Toc465939512 \h </w:instrText>
            </w:r>
            <w:r>
              <w:rPr>
                <w:noProof/>
                <w:webHidden/>
              </w:rPr>
            </w:r>
            <w:r>
              <w:rPr>
                <w:noProof/>
                <w:webHidden/>
              </w:rPr>
              <w:fldChar w:fldCharType="separate"/>
            </w:r>
            <w:r>
              <w:rPr>
                <w:noProof/>
                <w:webHidden/>
              </w:rPr>
              <w:t>14</w:t>
            </w:r>
            <w:r>
              <w:rPr>
                <w:noProof/>
                <w:webHidden/>
              </w:rPr>
              <w:fldChar w:fldCharType="end"/>
            </w:r>
          </w:hyperlink>
        </w:p>
        <w:p w:rsidR="00BA14B0" w:rsidRDefault="00BA14B0">
          <w:pPr>
            <w:pStyle w:val="TOC3"/>
            <w:rPr>
              <w:rFonts w:asciiTheme="minorHAnsi" w:eastAsiaTheme="minorEastAsia" w:hAnsiTheme="minorHAnsi" w:cstheme="minorBidi"/>
              <w:noProof/>
              <w:lang w:eastAsia="en-AU"/>
            </w:rPr>
          </w:pPr>
          <w:hyperlink w:anchor="_Toc465939513" w:history="1">
            <w:r w:rsidRPr="005852E5">
              <w:rPr>
                <w:rStyle w:val="Hyperlink"/>
                <w:noProof/>
              </w:rPr>
              <w:t>Toxicology</w:t>
            </w:r>
            <w:r>
              <w:rPr>
                <w:noProof/>
                <w:webHidden/>
              </w:rPr>
              <w:tab/>
            </w:r>
            <w:r>
              <w:rPr>
                <w:noProof/>
                <w:webHidden/>
              </w:rPr>
              <w:fldChar w:fldCharType="begin"/>
            </w:r>
            <w:r>
              <w:rPr>
                <w:noProof/>
                <w:webHidden/>
              </w:rPr>
              <w:instrText xml:space="preserve"> PAGEREF _Toc465939513 \h </w:instrText>
            </w:r>
            <w:r>
              <w:rPr>
                <w:noProof/>
                <w:webHidden/>
              </w:rPr>
            </w:r>
            <w:r>
              <w:rPr>
                <w:noProof/>
                <w:webHidden/>
              </w:rPr>
              <w:fldChar w:fldCharType="separate"/>
            </w:r>
            <w:r>
              <w:rPr>
                <w:noProof/>
                <w:webHidden/>
              </w:rPr>
              <w:t>16</w:t>
            </w:r>
            <w:r>
              <w:rPr>
                <w:noProof/>
                <w:webHidden/>
              </w:rPr>
              <w:fldChar w:fldCharType="end"/>
            </w:r>
          </w:hyperlink>
        </w:p>
        <w:p w:rsidR="00BA14B0" w:rsidRDefault="00BA14B0">
          <w:pPr>
            <w:pStyle w:val="TOC3"/>
            <w:rPr>
              <w:rFonts w:asciiTheme="minorHAnsi" w:eastAsiaTheme="minorEastAsia" w:hAnsiTheme="minorHAnsi" w:cstheme="minorBidi"/>
              <w:noProof/>
              <w:lang w:eastAsia="en-AU"/>
            </w:rPr>
          </w:pPr>
          <w:hyperlink w:anchor="_Toc465939514" w:history="1">
            <w:r w:rsidRPr="005852E5">
              <w:rPr>
                <w:rStyle w:val="Hyperlink"/>
                <w:noProof/>
              </w:rPr>
              <w:t>Nonclinical summary and conclusions</w:t>
            </w:r>
            <w:r>
              <w:rPr>
                <w:noProof/>
                <w:webHidden/>
              </w:rPr>
              <w:tab/>
            </w:r>
            <w:r>
              <w:rPr>
                <w:noProof/>
                <w:webHidden/>
              </w:rPr>
              <w:fldChar w:fldCharType="begin"/>
            </w:r>
            <w:r>
              <w:rPr>
                <w:noProof/>
                <w:webHidden/>
              </w:rPr>
              <w:instrText xml:space="preserve"> PAGEREF _Toc465939514 \h </w:instrText>
            </w:r>
            <w:r>
              <w:rPr>
                <w:noProof/>
                <w:webHidden/>
              </w:rPr>
            </w:r>
            <w:r>
              <w:rPr>
                <w:noProof/>
                <w:webHidden/>
              </w:rPr>
              <w:fldChar w:fldCharType="separate"/>
            </w:r>
            <w:r>
              <w:rPr>
                <w:noProof/>
                <w:webHidden/>
              </w:rPr>
              <w:t>19</w:t>
            </w:r>
            <w:r>
              <w:rPr>
                <w:noProof/>
                <w:webHidden/>
              </w:rPr>
              <w:fldChar w:fldCharType="end"/>
            </w:r>
          </w:hyperlink>
        </w:p>
        <w:p w:rsidR="00BA14B0" w:rsidRDefault="00BA14B0">
          <w:pPr>
            <w:pStyle w:val="TOC2"/>
            <w:rPr>
              <w:rFonts w:asciiTheme="minorHAnsi" w:eastAsiaTheme="minorEastAsia" w:hAnsiTheme="minorHAnsi" w:cstheme="minorBidi"/>
              <w:b w:val="0"/>
              <w:noProof/>
              <w:sz w:val="22"/>
              <w:lang w:eastAsia="en-AU"/>
            </w:rPr>
          </w:pPr>
          <w:hyperlink w:anchor="_Toc465939515" w:history="1">
            <w:r w:rsidRPr="005852E5">
              <w:rPr>
                <w:rStyle w:val="Hyperlink"/>
                <w:noProof/>
              </w:rPr>
              <w:t>IV. Clinical findings</w:t>
            </w:r>
            <w:r>
              <w:rPr>
                <w:noProof/>
                <w:webHidden/>
              </w:rPr>
              <w:tab/>
            </w:r>
            <w:r>
              <w:rPr>
                <w:noProof/>
                <w:webHidden/>
              </w:rPr>
              <w:fldChar w:fldCharType="begin"/>
            </w:r>
            <w:r>
              <w:rPr>
                <w:noProof/>
                <w:webHidden/>
              </w:rPr>
              <w:instrText xml:space="preserve"> PAGEREF _Toc465939515 \h </w:instrText>
            </w:r>
            <w:r>
              <w:rPr>
                <w:noProof/>
                <w:webHidden/>
              </w:rPr>
            </w:r>
            <w:r>
              <w:rPr>
                <w:noProof/>
                <w:webHidden/>
              </w:rPr>
              <w:fldChar w:fldCharType="separate"/>
            </w:r>
            <w:r>
              <w:rPr>
                <w:noProof/>
                <w:webHidden/>
              </w:rPr>
              <w:t>24</w:t>
            </w:r>
            <w:r>
              <w:rPr>
                <w:noProof/>
                <w:webHidden/>
              </w:rPr>
              <w:fldChar w:fldCharType="end"/>
            </w:r>
          </w:hyperlink>
        </w:p>
        <w:p w:rsidR="00BA14B0" w:rsidRDefault="00BA14B0">
          <w:pPr>
            <w:pStyle w:val="TOC3"/>
            <w:rPr>
              <w:rFonts w:asciiTheme="minorHAnsi" w:eastAsiaTheme="minorEastAsia" w:hAnsiTheme="minorHAnsi" w:cstheme="minorBidi"/>
              <w:noProof/>
              <w:lang w:eastAsia="en-AU"/>
            </w:rPr>
          </w:pPr>
          <w:hyperlink w:anchor="_Toc465939516" w:history="1">
            <w:r w:rsidRPr="005852E5">
              <w:rPr>
                <w:rStyle w:val="Hyperlink"/>
                <w:noProof/>
              </w:rPr>
              <w:t>Introduction</w:t>
            </w:r>
            <w:r>
              <w:rPr>
                <w:noProof/>
                <w:webHidden/>
              </w:rPr>
              <w:tab/>
            </w:r>
            <w:r>
              <w:rPr>
                <w:noProof/>
                <w:webHidden/>
              </w:rPr>
              <w:fldChar w:fldCharType="begin"/>
            </w:r>
            <w:r>
              <w:rPr>
                <w:noProof/>
                <w:webHidden/>
              </w:rPr>
              <w:instrText xml:space="preserve"> PAGEREF _Toc465939516 \h </w:instrText>
            </w:r>
            <w:r>
              <w:rPr>
                <w:noProof/>
                <w:webHidden/>
              </w:rPr>
            </w:r>
            <w:r>
              <w:rPr>
                <w:noProof/>
                <w:webHidden/>
              </w:rPr>
              <w:fldChar w:fldCharType="separate"/>
            </w:r>
            <w:r>
              <w:rPr>
                <w:noProof/>
                <w:webHidden/>
              </w:rPr>
              <w:t>24</w:t>
            </w:r>
            <w:r>
              <w:rPr>
                <w:noProof/>
                <w:webHidden/>
              </w:rPr>
              <w:fldChar w:fldCharType="end"/>
            </w:r>
          </w:hyperlink>
        </w:p>
        <w:p w:rsidR="00BA14B0" w:rsidRDefault="00BA14B0">
          <w:pPr>
            <w:pStyle w:val="TOC3"/>
            <w:rPr>
              <w:rFonts w:asciiTheme="minorHAnsi" w:eastAsiaTheme="minorEastAsia" w:hAnsiTheme="minorHAnsi" w:cstheme="minorBidi"/>
              <w:noProof/>
              <w:lang w:eastAsia="en-AU"/>
            </w:rPr>
          </w:pPr>
          <w:hyperlink w:anchor="_Toc465939517" w:history="1">
            <w:r w:rsidRPr="005852E5">
              <w:rPr>
                <w:rStyle w:val="Hyperlink"/>
                <w:noProof/>
              </w:rPr>
              <w:t>Pharmacokinetics</w:t>
            </w:r>
            <w:r>
              <w:rPr>
                <w:noProof/>
                <w:webHidden/>
              </w:rPr>
              <w:tab/>
            </w:r>
            <w:r>
              <w:rPr>
                <w:noProof/>
                <w:webHidden/>
              </w:rPr>
              <w:fldChar w:fldCharType="begin"/>
            </w:r>
            <w:r>
              <w:rPr>
                <w:noProof/>
                <w:webHidden/>
              </w:rPr>
              <w:instrText xml:space="preserve"> PAGEREF _Toc465939517 \h </w:instrText>
            </w:r>
            <w:r>
              <w:rPr>
                <w:noProof/>
                <w:webHidden/>
              </w:rPr>
            </w:r>
            <w:r>
              <w:rPr>
                <w:noProof/>
                <w:webHidden/>
              </w:rPr>
              <w:fldChar w:fldCharType="separate"/>
            </w:r>
            <w:r>
              <w:rPr>
                <w:noProof/>
                <w:webHidden/>
              </w:rPr>
              <w:t>26</w:t>
            </w:r>
            <w:r>
              <w:rPr>
                <w:noProof/>
                <w:webHidden/>
              </w:rPr>
              <w:fldChar w:fldCharType="end"/>
            </w:r>
          </w:hyperlink>
        </w:p>
        <w:p w:rsidR="00BA14B0" w:rsidRDefault="00BA14B0">
          <w:pPr>
            <w:pStyle w:val="TOC3"/>
            <w:rPr>
              <w:rFonts w:asciiTheme="minorHAnsi" w:eastAsiaTheme="minorEastAsia" w:hAnsiTheme="minorHAnsi" w:cstheme="minorBidi"/>
              <w:noProof/>
              <w:lang w:eastAsia="en-AU"/>
            </w:rPr>
          </w:pPr>
          <w:hyperlink w:anchor="_Toc465939518" w:history="1">
            <w:r w:rsidRPr="005852E5">
              <w:rPr>
                <w:rStyle w:val="Hyperlink"/>
                <w:noProof/>
              </w:rPr>
              <w:t>Pharmacodynamics</w:t>
            </w:r>
            <w:r>
              <w:rPr>
                <w:noProof/>
                <w:webHidden/>
              </w:rPr>
              <w:tab/>
            </w:r>
            <w:r>
              <w:rPr>
                <w:noProof/>
                <w:webHidden/>
              </w:rPr>
              <w:fldChar w:fldCharType="begin"/>
            </w:r>
            <w:r>
              <w:rPr>
                <w:noProof/>
                <w:webHidden/>
              </w:rPr>
              <w:instrText xml:space="preserve"> PAGEREF _Toc465939518 \h </w:instrText>
            </w:r>
            <w:r>
              <w:rPr>
                <w:noProof/>
                <w:webHidden/>
              </w:rPr>
            </w:r>
            <w:r>
              <w:rPr>
                <w:noProof/>
                <w:webHidden/>
              </w:rPr>
              <w:fldChar w:fldCharType="separate"/>
            </w:r>
            <w:r>
              <w:rPr>
                <w:noProof/>
                <w:webHidden/>
              </w:rPr>
              <w:t>26</w:t>
            </w:r>
            <w:r>
              <w:rPr>
                <w:noProof/>
                <w:webHidden/>
              </w:rPr>
              <w:fldChar w:fldCharType="end"/>
            </w:r>
          </w:hyperlink>
        </w:p>
        <w:p w:rsidR="00BA14B0" w:rsidRDefault="00BA14B0">
          <w:pPr>
            <w:pStyle w:val="TOC3"/>
            <w:rPr>
              <w:rFonts w:asciiTheme="minorHAnsi" w:eastAsiaTheme="minorEastAsia" w:hAnsiTheme="minorHAnsi" w:cstheme="minorBidi"/>
              <w:noProof/>
              <w:lang w:eastAsia="en-AU"/>
            </w:rPr>
          </w:pPr>
          <w:hyperlink w:anchor="_Toc465939519" w:history="1">
            <w:r w:rsidRPr="005852E5">
              <w:rPr>
                <w:rStyle w:val="Hyperlink"/>
                <w:noProof/>
              </w:rPr>
              <w:t>Dosage selection for the pivotal studies</w:t>
            </w:r>
            <w:r>
              <w:rPr>
                <w:noProof/>
                <w:webHidden/>
              </w:rPr>
              <w:tab/>
            </w:r>
            <w:r>
              <w:rPr>
                <w:noProof/>
                <w:webHidden/>
              </w:rPr>
              <w:fldChar w:fldCharType="begin"/>
            </w:r>
            <w:r>
              <w:rPr>
                <w:noProof/>
                <w:webHidden/>
              </w:rPr>
              <w:instrText xml:space="preserve"> PAGEREF _Toc465939519 \h </w:instrText>
            </w:r>
            <w:r>
              <w:rPr>
                <w:noProof/>
                <w:webHidden/>
              </w:rPr>
            </w:r>
            <w:r>
              <w:rPr>
                <w:noProof/>
                <w:webHidden/>
              </w:rPr>
              <w:fldChar w:fldCharType="separate"/>
            </w:r>
            <w:r>
              <w:rPr>
                <w:noProof/>
                <w:webHidden/>
              </w:rPr>
              <w:t>26</w:t>
            </w:r>
            <w:r>
              <w:rPr>
                <w:noProof/>
                <w:webHidden/>
              </w:rPr>
              <w:fldChar w:fldCharType="end"/>
            </w:r>
          </w:hyperlink>
        </w:p>
        <w:p w:rsidR="00BA14B0" w:rsidRDefault="00BA14B0">
          <w:pPr>
            <w:pStyle w:val="TOC3"/>
            <w:rPr>
              <w:rFonts w:asciiTheme="minorHAnsi" w:eastAsiaTheme="minorEastAsia" w:hAnsiTheme="minorHAnsi" w:cstheme="minorBidi"/>
              <w:noProof/>
              <w:lang w:eastAsia="en-AU"/>
            </w:rPr>
          </w:pPr>
          <w:hyperlink w:anchor="_Toc465939520" w:history="1">
            <w:r w:rsidRPr="005852E5">
              <w:rPr>
                <w:rStyle w:val="Hyperlink"/>
                <w:noProof/>
              </w:rPr>
              <w:t>Efficacy</w:t>
            </w:r>
            <w:r>
              <w:rPr>
                <w:noProof/>
                <w:webHidden/>
              </w:rPr>
              <w:tab/>
            </w:r>
            <w:r>
              <w:rPr>
                <w:noProof/>
                <w:webHidden/>
              </w:rPr>
              <w:fldChar w:fldCharType="begin"/>
            </w:r>
            <w:r>
              <w:rPr>
                <w:noProof/>
                <w:webHidden/>
              </w:rPr>
              <w:instrText xml:space="preserve"> PAGEREF _Toc465939520 \h </w:instrText>
            </w:r>
            <w:r>
              <w:rPr>
                <w:noProof/>
                <w:webHidden/>
              </w:rPr>
            </w:r>
            <w:r>
              <w:rPr>
                <w:noProof/>
                <w:webHidden/>
              </w:rPr>
              <w:fldChar w:fldCharType="separate"/>
            </w:r>
            <w:r>
              <w:rPr>
                <w:noProof/>
                <w:webHidden/>
              </w:rPr>
              <w:t>26</w:t>
            </w:r>
            <w:r>
              <w:rPr>
                <w:noProof/>
                <w:webHidden/>
              </w:rPr>
              <w:fldChar w:fldCharType="end"/>
            </w:r>
          </w:hyperlink>
        </w:p>
        <w:p w:rsidR="00BA14B0" w:rsidRDefault="00BA14B0">
          <w:pPr>
            <w:pStyle w:val="TOC3"/>
            <w:rPr>
              <w:rFonts w:asciiTheme="minorHAnsi" w:eastAsiaTheme="minorEastAsia" w:hAnsiTheme="minorHAnsi" w:cstheme="minorBidi"/>
              <w:noProof/>
              <w:lang w:eastAsia="en-AU"/>
            </w:rPr>
          </w:pPr>
          <w:hyperlink w:anchor="_Toc465939521" w:history="1">
            <w:r w:rsidRPr="005852E5">
              <w:rPr>
                <w:rStyle w:val="Hyperlink"/>
                <w:noProof/>
              </w:rPr>
              <w:t>Safety</w:t>
            </w:r>
            <w:r>
              <w:rPr>
                <w:noProof/>
                <w:webHidden/>
              </w:rPr>
              <w:tab/>
            </w:r>
            <w:r>
              <w:rPr>
                <w:noProof/>
                <w:webHidden/>
              </w:rPr>
              <w:fldChar w:fldCharType="begin"/>
            </w:r>
            <w:r>
              <w:rPr>
                <w:noProof/>
                <w:webHidden/>
              </w:rPr>
              <w:instrText xml:space="preserve"> PAGEREF _Toc465939521 \h </w:instrText>
            </w:r>
            <w:r>
              <w:rPr>
                <w:noProof/>
                <w:webHidden/>
              </w:rPr>
            </w:r>
            <w:r>
              <w:rPr>
                <w:noProof/>
                <w:webHidden/>
              </w:rPr>
              <w:fldChar w:fldCharType="separate"/>
            </w:r>
            <w:r>
              <w:rPr>
                <w:noProof/>
                <w:webHidden/>
              </w:rPr>
              <w:t>28</w:t>
            </w:r>
            <w:r>
              <w:rPr>
                <w:noProof/>
                <w:webHidden/>
              </w:rPr>
              <w:fldChar w:fldCharType="end"/>
            </w:r>
          </w:hyperlink>
        </w:p>
        <w:p w:rsidR="00BA14B0" w:rsidRDefault="00BA14B0">
          <w:pPr>
            <w:pStyle w:val="TOC3"/>
            <w:rPr>
              <w:rFonts w:asciiTheme="minorHAnsi" w:eastAsiaTheme="minorEastAsia" w:hAnsiTheme="minorHAnsi" w:cstheme="minorBidi"/>
              <w:noProof/>
              <w:lang w:eastAsia="en-AU"/>
            </w:rPr>
          </w:pPr>
          <w:hyperlink w:anchor="_Toc465939522" w:history="1">
            <w:r w:rsidRPr="005852E5">
              <w:rPr>
                <w:rStyle w:val="Hyperlink"/>
                <w:noProof/>
              </w:rPr>
              <w:t>First round benefit risk assessment</w:t>
            </w:r>
            <w:r>
              <w:rPr>
                <w:noProof/>
                <w:webHidden/>
              </w:rPr>
              <w:tab/>
            </w:r>
            <w:r>
              <w:rPr>
                <w:noProof/>
                <w:webHidden/>
              </w:rPr>
              <w:fldChar w:fldCharType="begin"/>
            </w:r>
            <w:r>
              <w:rPr>
                <w:noProof/>
                <w:webHidden/>
              </w:rPr>
              <w:instrText xml:space="preserve"> PAGEREF _Toc465939522 \h </w:instrText>
            </w:r>
            <w:r>
              <w:rPr>
                <w:noProof/>
                <w:webHidden/>
              </w:rPr>
            </w:r>
            <w:r>
              <w:rPr>
                <w:noProof/>
                <w:webHidden/>
              </w:rPr>
              <w:fldChar w:fldCharType="separate"/>
            </w:r>
            <w:r>
              <w:rPr>
                <w:noProof/>
                <w:webHidden/>
              </w:rPr>
              <w:t>29</w:t>
            </w:r>
            <w:r>
              <w:rPr>
                <w:noProof/>
                <w:webHidden/>
              </w:rPr>
              <w:fldChar w:fldCharType="end"/>
            </w:r>
          </w:hyperlink>
        </w:p>
        <w:p w:rsidR="00BA14B0" w:rsidRDefault="00BA14B0">
          <w:pPr>
            <w:pStyle w:val="TOC3"/>
            <w:rPr>
              <w:rFonts w:asciiTheme="minorHAnsi" w:eastAsiaTheme="minorEastAsia" w:hAnsiTheme="minorHAnsi" w:cstheme="minorBidi"/>
              <w:noProof/>
              <w:lang w:eastAsia="en-AU"/>
            </w:rPr>
          </w:pPr>
          <w:hyperlink w:anchor="_Toc465939523" w:history="1">
            <w:r w:rsidRPr="005852E5">
              <w:rPr>
                <w:rStyle w:val="Hyperlink"/>
                <w:noProof/>
              </w:rPr>
              <w:t>First round recommendation regarding authorisation</w:t>
            </w:r>
            <w:r>
              <w:rPr>
                <w:noProof/>
                <w:webHidden/>
              </w:rPr>
              <w:tab/>
            </w:r>
            <w:r>
              <w:rPr>
                <w:noProof/>
                <w:webHidden/>
              </w:rPr>
              <w:fldChar w:fldCharType="begin"/>
            </w:r>
            <w:r>
              <w:rPr>
                <w:noProof/>
                <w:webHidden/>
              </w:rPr>
              <w:instrText xml:space="preserve"> PAGEREF _Toc465939523 \h </w:instrText>
            </w:r>
            <w:r>
              <w:rPr>
                <w:noProof/>
                <w:webHidden/>
              </w:rPr>
            </w:r>
            <w:r>
              <w:rPr>
                <w:noProof/>
                <w:webHidden/>
              </w:rPr>
              <w:fldChar w:fldCharType="separate"/>
            </w:r>
            <w:r>
              <w:rPr>
                <w:noProof/>
                <w:webHidden/>
              </w:rPr>
              <w:t>29</w:t>
            </w:r>
            <w:r>
              <w:rPr>
                <w:noProof/>
                <w:webHidden/>
              </w:rPr>
              <w:fldChar w:fldCharType="end"/>
            </w:r>
          </w:hyperlink>
        </w:p>
        <w:p w:rsidR="00BA14B0" w:rsidRDefault="00BA14B0">
          <w:pPr>
            <w:pStyle w:val="TOC3"/>
            <w:rPr>
              <w:rFonts w:asciiTheme="minorHAnsi" w:eastAsiaTheme="minorEastAsia" w:hAnsiTheme="minorHAnsi" w:cstheme="minorBidi"/>
              <w:noProof/>
              <w:lang w:eastAsia="en-AU"/>
            </w:rPr>
          </w:pPr>
          <w:hyperlink w:anchor="_Toc465939524" w:history="1">
            <w:r w:rsidRPr="005852E5">
              <w:rPr>
                <w:rStyle w:val="Hyperlink"/>
                <w:noProof/>
              </w:rPr>
              <w:t>Clinical questions</w:t>
            </w:r>
            <w:r>
              <w:rPr>
                <w:noProof/>
                <w:webHidden/>
              </w:rPr>
              <w:tab/>
            </w:r>
            <w:r>
              <w:rPr>
                <w:noProof/>
                <w:webHidden/>
              </w:rPr>
              <w:fldChar w:fldCharType="begin"/>
            </w:r>
            <w:r>
              <w:rPr>
                <w:noProof/>
                <w:webHidden/>
              </w:rPr>
              <w:instrText xml:space="preserve"> PAGEREF _Toc465939524 \h </w:instrText>
            </w:r>
            <w:r>
              <w:rPr>
                <w:noProof/>
                <w:webHidden/>
              </w:rPr>
            </w:r>
            <w:r>
              <w:rPr>
                <w:noProof/>
                <w:webHidden/>
              </w:rPr>
              <w:fldChar w:fldCharType="separate"/>
            </w:r>
            <w:r>
              <w:rPr>
                <w:noProof/>
                <w:webHidden/>
              </w:rPr>
              <w:t>30</w:t>
            </w:r>
            <w:r>
              <w:rPr>
                <w:noProof/>
                <w:webHidden/>
              </w:rPr>
              <w:fldChar w:fldCharType="end"/>
            </w:r>
          </w:hyperlink>
        </w:p>
        <w:p w:rsidR="00BA14B0" w:rsidRDefault="00BA14B0">
          <w:pPr>
            <w:pStyle w:val="TOC3"/>
            <w:rPr>
              <w:rFonts w:asciiTheme="minorHAnsi" w:eastAsiaTheme="minorEastAsia" w:hAnsiTheme="minorHAnsi" w:cstheme="minorBidi"/>
              <w:noProof/>
              <w:lang w:eastAsia="en-AU"/>
            </w:rPr>
          </w:pPr>
          <w:hyperlink w:anchor="_Toc465939525" w:history="1">
            <w:r w:rsidRPr="005852E5">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_Toc465939525 \h </w:instrText>
            </w:r>
            <w:r>
              <w:rPr>
                <w:noProof/>
                <w:webHidden/>
              </w:rPr>
            </w:r>
            <w:r>
              <w:rPr>
                <w:noProof/>
                <w:webHidden/>
              </w:rPr>
              <w:fldChar w:fldCharType="separate"/>
            </w:r>
            <w:r>
              <w:rPr>
                <w:noProof/>
                <w:webHidden/>
              </w:rPr>
              <w:t>30</w:t>
            </w:r>
            <w:r>
              <w:rPr>
                <w:noProof/>
                <w:webHidden/>
              </w:rPr>
              <w:fldChar w:fldCharType="end"/>
            </w:r>
          </w:hyperlink>
        </w:p>
        <w:p w:rsidR="00BA14B0" w:rsidRDefault="00BA14B0">
          <w:pPr>
            <w:pStyle w:val="TOC2"/>
            <w:rPr>
              <w:rFonts w:asciiTheme="minorHAnsi" w:eastAsiaTheme="minorEastAsia" w:hAnsiTheme="minorHAnsi" w:cstheme="minorBidi"/>
              <w:b w:val="0"/>
              <w:noProof/>
              <w:sz w:val="22"/>
              <w:lang w:eastAsia="en-AU"/>
            </w:rPr>
          </w:pPr>
          <w:hyperlink w:anchor="_Toc465939526" w:history="1">
            <w:r w:rsidRPr="005852E5">
              <w:rPr>
                <w:rStyle w:val="Hyperlink"/>
                <w:noProof/>
              </w:rPr>
              <w:t>V. Pharmacovigilance findings</w:t>
            </w:r>
            <w:r>
              <w:rPr>
                <w:noProof/>
                <w:webHidden/>
              </w:rPr>
              <w:tab/>
            </w:r>
            <w:r>
              <w:rPr>
                <w:noProof/>
                <w:webHidden/>
              </w:rPr>
              <w:fldChar w:fldCharType="begin"/>
            </w:r>
            <w:r>
              <w:rPr>
                <w:noProof/>
                <w:webHidden/>
              </w:rPr>
              <w:instrText xml:space="preserve"> PAGEREF _Toc465939526 \h </w:instrText>
            </w:r>
            <w:r>
              <w:rPr>
                <w:noProof/>
                <w:webHidden/>
              </w:rPr>
            </w:r>
            <w:r>
              <w:rPr>
                <w:noProof/>
                <w:webHidden/>
              </w:rPr>
              <w:fldChar w:fldCharType="separate"/>
            </w:r>
            <w:r>
              <w:rPr>
                <w:noProof/>
                <w:webHidden/>
              </w:rPr>
              <w:t>30</w:t>
            </w:r>
            <w:r>
              <w:rPr>
                <w:noProof/>
                <w:webHidden/>
              </w:rPr>
              <w:fldChar w:fldCharType="end"/>
            </w:r>
          </w:hyperlink>
        </w:p>
        <w:p w:rsidR="00BA14B0" w:rsidRDefault="00BA14B0">
          <w:pPr>
            <w:pStyle w:val="TOC3"/>
            <w:rPr>
              <w:rFonts w:asciiTheme="minorHAnsi" w:eastAsiaTheme="minorEastAsia" w:hAnsiTheme="minorHAnsi" w:cstheme="minorBidi"/>
              <w:noProof/>
              <w:lang w:eastAsia="en-AU"/>
            </w:rPr>
          </w:pPr>
          <w:hyperlink w:anchor="_Toc465939527" w:history="1">
            <w:r w:rsidRPr="005852E5">
              <w:rPr>
                <w:rStyle w:val="Hyperlink"/>
                <w:noProof/>
                <w:lang w:eastAsia="en-AU"/>
              </w:rPr>
              <w:t>Risk management plan</w:t>
            </w:r>
            <w:r>
              <w:rPr>
                <w:noProof/>
                <w:webHidden/>
              </w:rPr>
              <w:tab/>
            </w:r>
            <w:r>
              <w:rPr>
                <w:noProof/>
                <w:webHidden/>
              </w:rPr>
              <w:fldChar w:fldCharType="begin"/>
            </w:r>
            <w:r>
              <w:rPr>
                <w:noProof/>
                <w:webHidden/>
              </w:rPr>
              <w:instrText xml:space="preserve"> PAGEREF _Toc465939527 \h </w:instrText>
            </w:r>
            <w:r>
              <w:rPr>
                <w:noProof/>
                <w:webHidden/>
              </w:rPr>
            </w:r>
            <w:r>
              <w:rPr>
                <w:noProof/>
                <w:webHidden/>
              </w:rPr>
              <w:fldChar w:fldCharType="separate"/>
            </w:r>
            <w:r>
              <w:rPr>
                <w:noProof/>
                <w:webHidden/>
              </w:rPr>
              <w:t>30</w:t>
            </w:r>
            <w:r>
              <w:rPr>
                <w:noProof/>
                <w:webHidden/>
              </w:rPr>
              <w:fldChar w:fldCharType="end"/>
            </w:r>
          </w:hyperlink>
        </w:p>
        <w:p w:rsidR="00BA14B0" w:rsidRDefault="00BA14B0">
          <w:pPr>
            <w:pStyle w:val="TOC2"/>
            <w:rPr>
              <w:rFonts w:asciiTheme="minorHAnsi" w:eastAsiaTheme="minorEastAsia" w:hAnsiTheme="minorHAnsi" w:cstheme="minorBidi"/>
              <w:b w:val="0"/>
              <w:noProof/>
              <w:sz w:val="22"/>
              <w:lang w:eastAsia="en-AU"/>
            </w:rPr>
          </w:pPr>
          <w:hyperlink w:anchor="_Toc465939528" w:history="1">
            <w:r w:rsidRPr="005852E5">
              <w:rPr>
                <w:rStyle w:val="Hyperlink"/>
                <w:noProof/>
              </w:rPr>
              <w:t>VI. Overall conclusion and risk/benefit assessment</w:t>
            </w:r>
            <w:r>
              <w:rPr>
                <w:noProof/>
                <w:webHidden/>
              </w:rPr>
              <w:tab/>
            </w:r>
            <w:r>
              <w:rPr>
                <w:noProof/>
                <w:webHidden/>
              </w:rPr>
              <w:fldChar w:fldCharType="begin"/>
            </w:r>
            <w:r>
              <w:rPr>
                <w:noProof/>
                <w:webHidden/>
              </w:rPr>
              <w:instrText xml:space="preserve"> PAGEREF _Toc465939528 \h </w:instrText>
            </w:r>
            <w:r>
              <w:rPr>
                <w:noProof/>
                <w:webHidden/>
              </w:rPr>
            </w:r>
            <w:r>
              <w:rPr>
                <w:noProof/>
                <w:webHidden/>
              </w:rPr>
              <w:fldChar w:fldCharType="separate"/>
            </w:r>
            <w:r>
              <w:rPr>
                <w:noProof/>
                <w:webHidden/>
              </w:rPr>
              <w:t>48</w:t>
            </w:r>
            <w:r>
              <w:rPr>
                <w:noProof/>
                <w:webHidden/>
              </w:rPr>
              <w:fldChar w:fldCharType="end"/>
            </w:r>
          </w:hyperlink>
        </w:p>
        <w:p w:rsidR="00BA14B0" w:rsidRDefault="00BA14B0">
          <w:pPr>
            <w:pStyle w:val="TOC3"/>
            <w:rPr>
              <w:rFonts w:asciiTheme="minorHAnsi" w:eastAsiaTheme="minorEastAsia" w:hAnsiTheme="minorHAnsi" w:cstheme="minorBidi"/>
              <w:noProof/>
              <w:lang w:eastAsia="en-AU"/>
            </w:rPr>
          </w:pPr>
          <w:hyperlink w:anchor="_Toc465939529" w:history="1">
            <w:r w:rsidRPr="005852E5">
              <w:rPr>
                <w:rStyle w:val="Hyperlink"/>
                <w:noProof/>
              </w:rPr>
              <w:t>Quality</w:t>
            </w:r>
            <w:r>
              <w:rPr>
                <w:noProof/>
                <w:webHidden/>
              </w:rPr>
              <w:tab/>
            </w:r>
            <w:r>
              <w:rPr>
                <w:noProof/>
                <w:webHidden/>
              </w:rPr>
              <w:fldChar w:fldCharType="begin"/>
            </w:r>
            <w:r>
              <w:rPr>
                <w:noProof/>
                <w:webHidden/>
              </w:rPr>
              <w:instrText xml:space="preserve"> PAGEREF _Toc465939529 \h </w:instrText>
            </w:r>
            <w:r>
              <w:rPr>
                <w:noProof/>
                <w:webHidden/>
              </w:rPr>
            </w:r>
            <w:r>
              <w:rPr>
                <w:noProof/>
                <w:webHidden/>
              </w:rPr>
              <w:fldChar w:fldCharType="separate"/>
            </w:r>
            <w:r>
              <w:rPr>
                <w:noProof/>
                <w:webHidden/>
              </w:rPr>
              <w:t>48</w:t>
            </w:r>
            <w:r>
              <w:rPr>
                <w:noProof/>
                <w:webHidden/>
              </w:rPr>
              <w:fldChar w:fldCharType="end"/>
            </w:r>
          </w:hyperlink>
        </w:p>
        <w:p w:rsidR="00BA14B0" w:rsidRDefault="00BA14B0">
          <w:pPr>
            <w:pStyle w:val="TOC3"/>
            <w:rPr>
              <w:rFonts w:asciiTheme="minorHAnsi" w:eastAsiaTheme="minorEastAsia" w:hAnsiTheme="minorHAnsi" w:cstheme="minorBidi"/>
              <w:noProof/>
              <w:lang w:eastAsia="en-AU"/>
            </w:rPr>
          </w:pPr>
          <w:hyperlink w:anchor="_Toc465939530" w:history="1">
            <w:r w:rsidRPr="005852E5">
              <w:rPr>
                <w:rStyle w:val="Hyperlink"/>
                <w:noProof/>
              </w:rPr>
              <w:t>Nonclinical</w:t>
            </w:r>
            <w:r>
              <w:rPr>
                <w:noProof/>
                <w:webHidden/>
              </w:rPr>
              <w:tab/>
            </w:r>
            <w:r>
              <w:rPr>
                <w:noProof/>
                <w:webHidden/>
              </w:rPr>
              <w:fldChar w:fldCharType="begin"/>
            </w:r>
            <w:r>
              <w:rPr>
                <w:noProof/>
                <w:webHidden/>
              </w:rPr>
              <w:instrText xml:space="preserve"> PAGEREF _Toc465939530 \h </w:instrText>
            </w:r>
            <w:r>
              <w:rPr>
                <w:noProof/>
                <w:webHidden/>
              </w:rPr>
            </w:r>
            <w:r>
              <w:rPr>
                <w:noProof/>
                <w:webHidden/>
              </w:rPr>
              <w:fldChar w:fldCharType="separate"/>
            </w:r>
            <w:r>
              <w:rPr>
                <w:noProof/>
                <w:webHidden/>
              </w:rPr>
              <w:t>48</w:t>
            </w:r>
            <w:r>
              <w:rPr>
                <w:noProof/>
                <w:webHidden/>
              </w:rPr>
              <w:fldChar w:fldCharType="end"/>
            </w:r>
          </w:hyperlink>
        </w:p>
        <w:p w:rsidR="00BA14B0" w:rsidRDefault="00BA14B0">
          <w:pPr>
            <w:pStyle w:val="TOC3"/>
            <w:rPr>
              <w:rFonts w:asciiTheme="minorHAnsi" w:eastAsiaTheme="minorEastAsia" w:hAnsiTheme="minorHAnsi" w:cstheme="minorBidi"/>
              <w:noProof/>
              <w:lang w:eastAsia="en-AU"/>
            </w:rPr>
          </w:pPr>
          <w:hyperlink w:anchor="_Toc465939531" w:history="1">
            <w:r w:rsidRPr="005852E5">
              <w:rPr>
                <w:rStyle w:val="Hyperlink"/>
                <w:noProof/>
              </w:rPr>
              <w:t>Clinical</w:t>
            </w:r>
            <w:r>
              <w:rPr>
                <w:noProof/>
                <w:webHidden/>
              </w:rPr>
              <w:tab/>
            </w:r>
            <w:r>
              <w:rPr>
                <w:noProof/>
                <w:webHidden/>
              </w:rPr>
              <w:fldChar w:fldCharType="begin"/>
            </w:r>
            <w:r>
              <w:rPr>
                <w:noProof/>
                <w:webHidden/>
              </w:rPr>
              <w:instrText xml:space="preserve"> PAGEREF _Toc465939531 \h </w:instrText>
            </w:r>
            <w:r>
              <w:rPr>
                <w:noProof/>
                <w:webHidden/>
              </w:rPr>
            </w:r>
            <w:r>
              <w:rPr>
                <w:noProof/>
                <w:webHidden/>
              </w:rPr>
              <w:fldChar w:fldCharType="separate"/>
            </w:r>
            <w:r>
              <w:rPr>
                <w:noProof/>
                <w:webHidden/>
              </w:rPr>
              <w:t>48</w:t>
            </w:r>
            <w:r>
              <w:rPr>
                <w:noProof/>
                <w:webHidden/>
              </w:rPr>
              <w:fldChar w:fldCharType="end"/>
            </w:r>
          </w:hyperlink>
        </w:p>
        <w:p w:rsidR="00BA14B0" w:rsidRDefault="00BA14B0">
          <w:pPr>
            <w:pStyle w:val="TOC3"/>
            <w:rPr>
              <w:rFonts w:asciiTheme="minorHAnsi" w:eastAsiaTheme="minorEastAsia" w:hAnsiTheme="minorHAnsi" w:cstheme="minorBidi"/>
              <w:noProof/>
              <w:lang w:eastAsia="en-AU"/>
            </w:rPr>
          </w:pPr>
          <w:hyperlink w:anchor="_Toc465939532" w:history="1">
            <w:r w:rsidRPr="005852E5">
              <w:rPr>
                <w:rStyle w:val="Hyperlink"/>
                <w:noProof/>
                <w:lang w:eastAsia="en-AU"/>
              </w:rPr>
              <w:t>Risk management plan</w:t>
            </w:r>
            <w:r>
              <w:rPr>
                <w:noProof/>
                <w:webHidden/>
              </w:rPr>
              <w:tab/>
            </w:r>
            <w:r>
              <w:rPr>
                <w:noProof/>
                <w:webHidden/>
              </w:rPr>
              <w:fldChar w:fldCharType="begin"/>
            </w:r>
            <w:r>
              <w:rPr>
                <w:noProof/>
                <w:webHidden/>
              </w:rPr>
              <w:instrText xml:space="preserve"> PAGEREF _Toc465939532 \h </w:instrText>
            </w:r>
            <w:r>
              <w:rPr>
                <w:noProof/>
                <w:webHidden/>
              </w:rPr>
            </w:r>
            <w:r>
              <w:rPr>
                <w:noProof/>
                <w:webHidden/>
              </w:rPr>
              <w:fldChar w:fldCharType="separate"/>
            </w:r>
            <w:r>
              <w:rPr>
                <w:noProof/>
                <w:webHidden/>
              </w:rPr>
              <w:t>52</w:t>
            </w:r>
            <w:r>
              <w:rPr>
                <w:noProof/>
                <w:webHidden/>
              </w:rPr>
              <w:fldChar w:fldCharType="end"/>
            </w:r>
          </w:hyperlink>
        </w:p>
        <w:p w:rsidR="00BA14B0" w:rsidRDefault="00BA14B0">
          <w:pPr>
            <w:pStyle w:val="TOC3"/>
            <w:rPr>
              <w:rFonts w:asciiTheme="minorHAnsi" w:eastAsiaTheme="minorEastAsia" w:hAnsiTheme="minorHAnsi" w:cstheme="minorBidi"/>
              <w:noProof/>
              <w:lang w:eastAsia="en-AU"/>
            </w:rPr>
          </w:pPr>
          <w:hyperlink w:anchor="_Toc465939533" w:history="1">
            <w:r w:rsidRPr="005852E5">
              <w:rPr>
                <w:rStyle w:val="Hyperlink"/>
                <w:noProof/>
              </w:rPr>
              <w:t>Risk benefit analysis</w:t>
            </w:r>
            <w:r>
              <w:rPr>
                <w:noProof/>
                <w:webHidden/>
              </w:rPr>
              <w:tab/>
            </w:r>
            <w:r>
              <w:rPr>
                <w:noProof/>
                <w:webHidden/>
              </w:rPr>
              <w:fldChar w:fldCharType="begin"/>
            </w:r>
            <w:r>
              <w:rPr>
                <w:noProof/>
                <w:webHidden/>
              </w:rPr>
              <w:instrText xml:space="preserve"> PAGEREF _Toc465939533 \h </w:instrText>
            </w:r>
            <w:r>
              <w:rPr>
                <w:noProof/>
                <w:webHidden/>
              </w:rPr>
            </w:r>
            <w:r>
              <w:rPr>
                <w:noProof/>
                <w:webHidden/>
              </w:rPr>
              <w:fldChar w:fldCharType="separate"/>
            </w:r>
            <w:r>
              <w:rPr>
                <w:noProof/>
                <w:webHidden/>
              </w:rPr>
              <w:t>53</w:t>
            </w:r>
            <w:r>
              <w:rPr>
                <w:noProof/>
                <w:webHidden/>
              </w:rPr>
              <w:fldChar w:fldCharType="end"/>
            </w:r>
          </w:hyperlink>
        </w:p>
        <w:p w:rsidR="00BA14B0" w:rsidRDefault="00BA14B0">
          <w:pPr>
            <w:pStyle w:val="TOC3"/>
            <w:rPr>
              <w:rFonts w:asciiTheme="minorHAnsi" w:eastAsiaTheme="minorEastAsia" w:hAnsiTheme="minorHAnsi" w:cstheme="minorBidi"/>
              <w:noProof/>
              <w:lang w:eastAsia="en-AU"/>
            </w:rPr>
          </w:pPr>
          <w:hyperlink w:anchor="_Toc465939534" w:history="1">
            <w:r w:rsidRPr="005852E5">
              <w:rPr>
                <w:rStyle w:val="Hyperlink"/>
                <w:noProof/>
              </w:rPr>
              <w:t>Outcome</w:t>
            </w:r>
            <w:r>
              <w:rPr>
                <w:noProof/>
                <w:webHidden/>
              </w:rPr>
              <w:tab/>
            </w:r>
            <w:r>
              <w:rPr>
                <w:noProof/>
                <w:webHidden/>
              </w:rPr>
              <w:fldChar w:fldCharType="begin"/>
            </w:r>
            <w:r>
              <w:rPr>
                <w:noProof/>
                <w:webHidden/>
              </w:rPr>
              <w:instrText xml:space="preserve"> PAGEREF _Toc465939534 \h </w:instrText>
            </w:r>
            <w:r>
              <w:rPr>
                <w:noProof/>
                <w:webHidden/>
              </w:rPr>
            </w:r>
            <w:r>
              <w:rPr>
                <w:noProof/>
                <w:webHidden/>
              </w:rPr>
              <w:fldChar w:fldCharType="separate"/>
            </w:r>
            <w:r>
              <w:rPr>
                <w:noProof/>
                <w:webHidden/>
              </w:rPr>
              <w:t>62</w:t>
            </w:r>
            <w:r>
              <w:rPr>
                <w:noProof/>
                <w:webHidden/>
              </w:rPr>
              <w:fldChar w:fldCharType="end"/>
            </w:r>
          </w:hyperlink>
        </w:p>
        <w:p w:rsidR="00BA14B0" w:rsidRDefault="00BA14B0">
          <w:pPr>
            <w:pStyle w:val="TOC2"/>
            <w:rPr>
              <w:rFonts w:asciiTheme="minorHAnsi" w:eastAsiaTheme="minorEastAsia" w:hAnsiTheme="minorHAnsi" w:cstheme="minorBidi"/>
              <w:b w:val="0"/>
              <w:noProof/>
              <w:sz w:val="22"/>
              <w:lang w:eastAsia="en-AU"/>
            </w:rPr>
          </w:pPr>
          <w:hyperlink w:anchor="_Toc465939535" w:history="1">
            <w:r w:rsidRPr="005852E5">
              <w:rPr>
                <w:rStyle w:val="Hyperlink"/>
                <w:noProof/>
              </w:rPr>
              <w:t>Attachment 1. Product Information</w:t>
            </w:r>
            <w:r>
              <w:rPr>
                <w:noProof/>
                <w:webHidden/>
              </w:rPr>
              <w:tab/>
            </w:r>
            <w:r>
              <w:rPr>
                <w:noProof/>
                <w:webHidden/>
              </w:rPr>
              <w:fldChar w:fldCharType="begin"/>
            </w:r>
            <w:r>
              <w:rPr>
                <w:noProof/>
                <w:webHidden/>
              </w:rPr>
              <w:instrText xml:space="preserve"> PAGEREF _Toc465939535 \h </w:instrText>
            </w:r>
            <w:r>
              <w:rPr>
                <w:noProof/>
                <w:webHidden/>
              </w:rPr>
            </w:r>
            <w:r>
              <w:rPr>
                <w:noProof/>
                <w:webHidden/>
              </w:rPr>
              <w:fldChar w:fldCharType="separate"/>
            </w:r>
            <w:r>
              <w:rPr>
                <w:noProof/>
                <w:webHidden/>
              </w:rPr>
              <w:t>62</w:t>
            </w:r>
            <w:r>
              <w:rPr>
                <w:noProof/>
                <w:webHidden/>
              </w:rPr>
              <w:fldChar w:fldCharType="end"/>
            </w:r>
          </w:hyperlink>
        </w:p>
        <w:p w:rsidR="00BA14B0" w:rsidRDefault="00BA14B0">
          <w:pPr>
            <w:pStyle w:val="TOC2"/>
            <w:rPr>
              <w:rFonts w:asciiTheme="minorHAnsi" w:eastAsiaTheme="minorEastAsia" w:hAnsiTheme="minorHAnsi" w:cstheme="minorBidi"/>
              <w:b w:val="0"/>
              <w:noProof/>
              <w:sz w:val="22"/>
              <w:lang w:eastAsia="en-AU"/>
            </w:rPr>
          </w:pPr>
          <w:hyperlink w:anchor="_Toc465939536" w:history="1">
            <w:r w:rsidRPr="005852E5">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_Toc465939536 \h </w:instrText>
            </w:r>
            <w:r>
              <w:rPr>
                <w:noProof/>
                <w:webHidden/>
              </w:rPr>
            </w:r>
            <w:r>
              <w:rPr>
                <w:noProof/>
                <w:webHidden/>
              </w:rPr>
              <w:fldChar w:fldCharType="separate"/>
            </w:r>
            <w:r>
              <w:rPr>
                <w:noProof/>
                <w:webHidden/>
              </w:rPr>
              <w:t>62</w:t>
            </w:r>
            <w:r>
              <w:rPr>
                <w:noProof/>
                <w:webHidden/>
              </w:rPr>
              <w:fldChar w:fldCharType="end"/>
            </w:r>
          </w:hyperlink>
        </w:p>
        <w:p w:rsidR="003A7F6C" w:rsidRPr="00B811C6" w:rsidRDefault="00DB6124" w:rsidP="00B811C6">
          <w:pPr>
            <w:pStyle w:val="TOC2"/>
          </w:pPr>
          <w:r>
            <w:fldChar w:fldCharType="end"/>
          </w:r>
        </w:p>
      </w:sdtContent>
    </w:sdt>
    <w:bookmarkStart w:id="3" w:name="_Toc314842482" w:displacedByCustomXml="prev"/>
    <w:p w:rsidR="00FD119B" w:rsidRDefault="00FD119B">
      <w:pPr>
        <w:spacing w:before="0" w:after="200" w:line="0" w:lineRule="auto"/>
      </w:pPr>
      <w:r>
        <w:br w:type="page"/>
      </w:r>
    </w:p>
    <w:p w:rsidR="00FD119B" w:rsidRPr="00FD119B" w:rsidRDefault="00441C3F" w:rsidP="004F0C4A">
      <w:pPr>
        <w:pStyle w:val="Heading2"/>
      </w:pPr>
      <w:bookmarkStart w:id="4" w:name="_Toc351716269"/>
      <w:bookmarkStart w:id="5" w:name="_Toc351718881"/>
      <w:bookmarkStart w:id="6" w:name="_Toc355338616"/>
      <w:bookmarkStart w:id="7" w:name="_Toc356306144"/>
      <w:bookmarkStart w:id="8" w:name="_Toc465939496"/>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09"/>
        <w:gridCol w:w="6911"/>
      </w:tblGrid>
      <w:tr w:rsidR="00FD119B" w:rsidRPr="00FD119B" w:rsidTr="00FD119B">
        <w:trPr>
          <w:cnfStyle w:val="100000000000" w:firstRow="1" w:lastRow="0" w:firstColumn="0" w:lastColumn="0" w:oddVBand="0" w:evenVBand="0" w:oddHBand="0" w:evenHBand="0" w:firstRowFirstColumn="0" w:firstRowLastColumn="0" w:lastRowFirstColumn="0" w:lastRowLastColumn="0"/>
        </w:trPr>
        <w:tc>
          <w:tcPr>
            <w:tcW w:w="1809" w:type="dxa"/>
          </w:tcPr>
          <w:p w:rsidR="00FD119B" w:rsidRPr="00FD119B" w:rsidRDefault="00FD119B" w:rsidP="00FD119B">
            <w:pPr>
              <w:keepNext w:val="0"/>
              <w:ind w:left="0" w:right="0"/>
              <w:rPr>
                <w:szCs w:val="22"/>
                <w:lang w:eastAsia="en-US"/>
              </w:rPr>
            </w:pPr>
            <w:r w:rsidRPr="00FD119B">
              <w:rPr>
                <w:szCs w:val="22"/>
                <w:lang w:eastAsia="en-US"/>
              </w:rPr>
              <w:t>Abbreviation</w:t>
            </w:r>
          </w:p>
        </w:tc>
        <w:tc>
          <w:tcPr>
            <w:tcW w:w="6911" w:type="dxa"/>
          </w:tcPr>
          <w:p w:rsidR="00FD119B" w:rsidRPr="00FD119B" w:rsidRDefault="00FD119B" w:rsidP="00FD119B">
            <w:pPr>
              <w:keepNext w:val="0"/>
              <w:ind w:left="0" w:right="0"/>
              <w:rPr>
                <w:szCs w:val="22"/>
                <w:lang w:eastAsia="en-US"/>
              </w:rPr>
            </w:pPr>
            <w:r w:rsidRPr="00FD119B">
              <w:rPr>
                <w:szCs w:val="22"/>
                <w:lang w:eastAsia="en-US"/>
              </w:rPr>
              <w:t>Meaning</w:t>
            </w:r>
          </w:p>
        </w:tc>
      </w:tr>
      <w:tr w:rsidR="008A5585" w:rsidRPr="00A36FBB" w:rsidTr="008A5585">
        <w:tc>
          <w:tcPr>
            <w:tcW w:w="1809" w:type="dxa"/>
          </w:tcPr>
          <w:p w:rsidR="008A5585" w:rsidRPr="00A36FBB" w:rsidRDefault="008A5585" w:rsidP="008A5585">
            <w:pPr>
              <w:rPr>
                <w:rFonts w:asciiTheme="minorHAnsi" w:hAnsiTheme="minorHAnsi"/>
                <w:szCs w:val="22"/>
              </w:rPr>
            </w:pPr>
            <w:r w:rsidRPr="00A36FBB">
              <w:rPr>
                <w:rFonts w:asciiTheme="minorHAnsi" w:hAnsiTheme="minorHAnsi"/>
                <w:szCs w:val="22"/>
              </w:rPr>
              <w:t>µm</w:t>
            </w:r>
          </w:p>
        </w:tc>
        <w:tc>
          <w:tcPr>
            <w:tcW w:w="6911" w:type="dxa"/>
          </w:tcPr>
          <w:p w:rsidR="008A5585" w:rsidRPr="00A36FBB" w:rsidRDefault="008A5585" w:rsidP="008A5585">
            <w:pPr>
              <w:rPr>
                <w:rFonts w:asciiTheme="minorHAnsi" w:hAnsiTheme="minorHAnsi"/>
                <w:szCs w:val="22"/>
              </w:rPr>
            </w:pPr>
            <w:r w:rsidRPr="00A36FBB">
              <w:rPr>
                <w:rFonts w:asciiTheme="minorHAnsi" w:hAnsiTheme="minorHAnsi"/>
                <w:szCs w:val="22"/>
              </w:rPr>
              <w:t>micrometre</w:t>
            </w:r>
          </w:p>
        </w:tc>
      </w:tr>
      <w:tr w:rsidR="0057228E" w:rsidRPr="00A36FBB" w:rsidTr="008A5585">
        <w:tc>
          <w:tcPr>
            <w:tcW w:w="1809" w:type="dxa"/>
          </w:tcPr>
          <w:p w:rsidR="0057228E" w:rsidRPr="0098040E" w:rsidRDefault="0057228E" w:rsidP="008A5585">
            <w:r w:rsidRPr="0098040E">
              <w:t>AAN</w:t>
            </w:r>
          </w:p>
        </w:tc>
        <w:tc>
          <w:tcPr>
            <w:tcW w:w="6911" w:type="dxa"/>
          </w:tcPr>
          <w:p w:rsidR="0057228E" w:rsidRPr="0098040E" w:rsidRDefault="0057228E" w:rsidP="0057228E">
            <w:r>
              <w:t>Australian approved name</w:t>
            </w:r>
          </w:p>
        </w:tc>
      </w:tr>
      <w:tr w:rsidR="005B7908" w:rsidRPr="00A36FBB" w:rsidTr="008A5585">
        <w:tc>
          <w:tcPr>
            <w:tcW w:w="1809" w:type="dxa"/>
          </w:tcPr>
          <w:p w:rsidR="005B7908" w:rsidRPr="00A36FBB" w:rsidRDefault="005B7908" w:rsidP="008A5585">
            <w:pPr>
              <w:rPr>
                <w:rFonts w:asciiTheme="minorHAnsi" w:hAnsiTheme="minorHAnsi"/>
              </w:rPr>
            </w:pPr>
            <w:r w:rsidRPr="0098040E">
              <w:t>ACPM</w:t>
            </w:r>
          </w:p>
        </w:tc>
        <w:tc>
          <w:tcPr>
            <w:tcW w:w="6911" w:type="dxa"/>
          </w:tcPr>
          <w:p w:rsidR="005B7908" w:rsidRPr="00A36FBB" w:rsidRDefault="005B7908" w:rsidP="005B7908">
            <w:pPr>
              <w:rPr>
                <w:rFonts w:asciiTheme="minorHAnsi" w:hAnsiTheme="minorHAnsi"/>
              </w:rPr>
            </w:pPr>
            <w:r w:rsidRPr="0098040E">
              <w:t>Advisory Committee on Prescription Me</w:t>
            </w:r>
            <w:r>
              <w:t>dicines</w:t>
            </w:r>
          </w:p>
        </w:tc>
      </w:tr>
      <w:tr w:rsidR="00A66DC2" w:rsidRPr="00A36FBB" w:rsidTr="008A5585">
        <w:tc>
          <w:tcPr>
            <w:tcW w:w="1809" w:type="dxa"/>
          </w:tcPr>
          <w:p w:rsidR="00A66DC2" w:rsidRPr="0098040E" w:rsidRDefault="00A66DC2" w:rsidP="008A5585">
            <w:r w:rsidRPr="00E215F8">
              <w:t>ADRs</w:t>
            </w:r>
          </w:p>
        </w:tc>
        <w:tc>
          <w:tcPr>
            <w:tcW w:w="6911" w:type="dxa"/>
          </w:tcPr>
          <w:p w:rsidR="00A66DC2" w:rsidRPr="0098040E" w:rsidRDefault="00A66DC2" w:rsidP="00A66DC2">
            <w:r>
              <w:t>adverse drug reactions</w:t>
            </w:r>
          </w:p>
        </w:tc>
      </w:tr>
      <w:tr w:rsidR="00A66DC2" w:rsidRPr="00A36FBB" w:rsidTr="008A5585">
        <w:tc>
          <w:tcPr>
            <w:tcW w:w="1809" w:type="dxa"/>
          </w:tcPr>
          <w:p w:rsidR="00A66DC2" w:rsidRPr="00E215F8" w:rsidRDefault="00A66DC2" w:rsidP="008A5585">
            <w:r>
              <w:t>AE</w:t>
            </w:r>
          </w:p>
        </w:tc>
        <w:tc>
          <w:tcPr>
            <w:tcW w:w="6911" w:type="dxa"/>
          </w:tcPr>
          <w:p w:rsidR="00A66DC2" w:rsidRDefault="00A66DC2" w:rsidP="00A66DC2">
            <w:r>
              <w:t>Adverse event</w:t>
            </w:r>
          </w:p>
        </w:tc>
      </w:tr>
      <w:tr w:rsidR="008A5585" w:rsidRPr="00A36FBB" w:rsidTr="008A5585">
        <w:tc>
          <w:tcPr>
            <w:tcW w:w="1809" w:type="dxa"/>
          </w:tcPr>
          <w:p w:rsidR="008A5585" w:rsidRPr="00A36FBB" w:rsidRDefault="008A5585" w:rsidP="008A5585">
            <w:pPr>
              <w:rPr>
                <w:rFonts w:asciiTheme="minorHAnsi" w:hAnsiTheme="minorHAnsi"/>
                <w:szCs w:val="22"/>
              </w:rPr>
            </w:pPr>
            <w:r w:rsidRPr="00A36FBB">
              <w:rPr>
                <w:rFonts w:asciiTheme="minorHAnsi" w:hAnsiTheme="minorHAnsi"/>
                <w:szCs w:val="22"/>
              </w:rPr>
              <w:t>ANCOVA</w:t>
            </w:r>
          </w:p>
        </w:tc>
        <w:tc>
          <w:tcPr>
            <w:tcW w:w="6911" w:type="dxa"/>
          </w:tcPr>
          <w:p w:rsidR="008A5585" w:rsidRPr="00A36FBB" w:rsidRDefault="008A5585" w:rsidP="008A5585">
            <w:pPr>
              <w:rPr>
                <w:rFonts w:asciiTheme="minorHAnsi" w:hAnsiTheme="minorHAnsi"/>
                <w:szCs w:val="22"/>
              </w:rPr>
            </w:pPr>
            <w:r w:rsidRPr="00A36FBB">
              <w:rPr>
                <w:rFonts w:asciiTheme="minorHAnsi" w:hAnsiTheme="minorHAnsi"/>
                <w:szCs w:val="22"/>
              </w:rPr>
              <w:t>analysis of covariance</w:t>
            </w:r>
          </w:p>
        </w:tc>
      </w:tr>
      <w:tr w:rsidR="008A5585" w:rsidRPr="00A36FBB" w:rsidTr="008A5585">
        <w:tc>
          <w:tcPr>
            <w:tcW w:w="1809" w:type="dxa"/>
          </w:tcPr>
          <w:p w:rsidR="008A5585" w:rsidRPr="00A36FBB" w:rsidRDefault="008A5585" w:rsidP="008A5585">
            <w:pPr>
              <w:rPr>
                <w:rFonts w:asciiTheme="minorHAnsi" w:hAnsiTheme="minorHAnsi"/>
                <w:szCs w:val="22"/>
              </w:rPr>
            </w:pPr>
            <w:r w:rsidRPr="00A36FBB">
              <w:rPr>
                <w:rFonts w:asciiTheme="minorHAnsi" w:hAnsiTheme="minorHAnsi"/>
                <w:szCs w:val="22"/>
              </w:rPr>
              <w:t>ANOVA</w:t>
            </w:r>
          </w:p>
        </w:tc>
        <w:tc>
          <w:tcPr>
            <w:tcW w:w="6911" w:type="dxa"/>
          </w:tcPr>
          <w:p w:rsidR="008A5585" w:rsidRPr="00A36FBB" w:rsidRDefault="008A5585" w:rsidP="008A5585">
            <w:pPr>
              <w:rPr>
                <w:rFonts w:asciiTheme="minorHAnsi" w:hAnsiTheme="minorHAnsi"/>
                <w:szCs w:val="22"/>
              </w:rPr>
            </w:pPr>
            <w:r w:rsidRPr="00A36FBB">
              <w:rPr>
                <w:rFonts w:asciiTheme="minorHAnsi" w:hAnsiTheme="minorHAnsi"/>
                <w:szCs w:val="22"/>
              </w:rPr>
              <w:t>analysis of variance</w:t>
            </w:r>
          </w:p>
        </w:tc>
      </w:tr>
      <w:tr w:rsidR="008A5585" w:rsidRPr="00A36FBB" w:rsidTr="008A5585">
        <w:tc>
          <w:tcPr>
            <w:tcW w:w="1809" w:type="dxa"/>
          </w:tcPr>
          <w:p w:rsidR="008A5585" w:rsidRPr="00A36FBB" w:rsidRDefault="008A5585" w:rsidP="008A5585">
            <w:pPr>
              <w:rPr>
                <w:rFonts w:asciiTheme="minorHAnsi" w:hAnsiTheme="minorHAnsi"/>
                <w:szCs w:val="22"/>
              </w:rPr>
            </w:pPr>
            <w:r w:rsidRPr="00A36FBB">
              <w:rPr>
                <w:rFonts w:asciiTheme="minorHAnsi" w:hAnsiTheme="minorHAnsi"/>
                <w:szCs w:val="22"/>
              </w:rPr>
              <w:t>AUC</w:t>
            </w:r>
          </w:p>
        </w:tc>
        <w:tc>
          <w:tcPr>
            <w:tcW w:w="6911" w:type="dxa"/>
          </w:tcPr>
          <w:p w:rsidR="008A5585" w:rsidRPr="00A36FBB" w:rsidRDefault="008A5585" w:rsidP="008A5585">
            <w:pPr>
              <w:rPr>
                <w:rFonts w:asciiTheme="minorHAnsi" w:hAnsiTheme="minorHAnsi"/>
                <w:szCs w:val="22"/>
              </w:rPr>
            </w:pPr>
            <w:r w:rsidRPr="00A36FBB">
              <w:rPr>
                <w:rFonts w:asciiTheme="minorHAnsi" w:hAnsiTheme="minorHAnsi"/>
                <w:szCs w:val="22"/>
              </w:rPr>
              <w:t>area under the curve</w:t>
            </w:r>
          </w:p>
        </w:tc>
      </w:tr>
      <w:tr w:rsidR="008A5585" w:rsidRPr="00A36FBB" w:rsidTr="008A5585">
        <w:tc>
          <w:tcPr>
            <w:tcW w:w="1809" w:type="dxa"/>
          </w:tcPr>
          <w:p w:rsidR="008A5585" w:rsidRPr="00A36FBB" w:rsidRDefault="008A5585" w:rsidP="008A5585">
            <w:pPr>
              <w:rPr>
                <w:rFonts w:asciiTheme="minorHAnsi" w:hAnsiTheme="minorHAnsi"/>
                <w:szCs w:val="22"/>
              </w:rPr>
            </w:pPr>
            <w:r w:rsidRPr="00A36FBB">
              <w:rPr>
                <w:rFonts w:asciiTheme="minorHAnsi" w:hAnsiTheme="minorHAnsi"/>
                <w:szCs w:val="22"/>
              </w:rPr>
              <w:t>BCVA</w:t>
            </w:r>
          </w:p>
        </w:tc>
        <w:tc>
          <w:tcPr>
            <w:tcW w:w="6911" w:type="dxa"/>
          </w:tcPr>
          <w:p w:rsidR="008A5585" w:rsidRPr="00A36FBB" w:rsidRDefault="008A5585" w:rsidP="008A5585">
            <w:pPr>
              <w:rPr>
                <w:rFonts w:asciiTheme="minorHAnsi" w:hAnsiTheme="minorHAnsi"/>
                <w:szCs w:val="22"/>
              </w:rPr>
            </w:pPr>
            <w:r w:rsidRPr="00A36FBB">
              <w:rPr>
                <w:rFonts w:asciiTheme="minorHAnsi" w:hAnsiTheme="minorHAnsi"/>
                <w:szCs w:val="22"/>
              </w:rPr>
              <w:t>best</w:t>
            </w:r>
            <w:r w:rsidR="00D57E70">
              <w:rPr>
                <w:rFonts w:asciiTheme="minorHAnsi" w:hAnsiTheme="minorHAnsi"/>
                <w:szCs w:val="22"/>
              </w:rPr>
              <w:t xml:space="preserve"> </w:t>
            </w:r>
            <w:r w:rsidRPr="00A36FBB">
              <w:rPr>
                <w:rFonts w:asciiTheme="minorHAnsi" w:hAnsiTheme="minorHAnsi"/>
                <w:szCs w:val="22"/>
              </w:rPr>
              <w:t>corrected visual acuity</w:t>
            </w:r>
          </w:p>
        </w:tc>
      </w:tr>
      <w:tr w:rsidR="0057228E" w:rsidRPr="00A36FBB" w:rsidTr="008A5585">
        <w:tc>
          <w:tcPr>
            <w:tcW w:w="1809" w:type="dxa"/>
          </w:tcPr>
          <w:p w:rsidR="0057228E" w:rsidRPr="00A36FBB" w:rsidRDefault="0057228E" w:rsidP="008A5585">
            <w:pPr>
              <w:rPr>
                <w:rFonts w:asciiTheme="minorHAnsi" w:hAnsiTheme="minorHAnsi"/>
              </w:rPr>
            </w:pPr>
            <w:r w:rsidRPr="0098040E">
              <w:t>BP</w:t>
            </w:r>
          </w:p>
        </w:tc>
        <w:tc>
          <w:tcPr>
            <w:tcW w:w="6911" w:type="dxa"/>
          </w:tcPr>
          <w:p w:rsidR="0057228E" w:rsidRPr="00A36FBB" w:rsidRDefault="0057228E" w:rsidP="0057228E">
            <w:pPr>
              <w:rPr>
                <w:rFonts w:asciiTheme="minorHAnsi" w:hAnsiTheme="minorHAnsi"/>
              </w:rPr>
            </w:pPr>
            <w:r w:rsidRPr="0098040E">
              <w:t>British Pharmacopoeia</w:t>
            </w:r>
          </w:p>
        </w:tc>
      </w:tr>
      <w:tr w:rsidR="00D11D52" w:rsidRPr="00A36FBB" w:rsidTr="008A5585">
        <w:tc>
          <w:tcPr>
            <w:tcW w:w="1809" w:type="dxa"/>
          </w:tcPr>
          <w:p w:rsidR="00D11D52" w:rsidRPr="0098040E" w:rsidRDefault="00D11D52" w:rsidP="008A5585">
            <w:r w:rsidRPr="00D11D52">
              <w:t>BRVO</w:t>
            </w:r>
          </w:p>
        </w:tc>
        <w:tc>
          <w:tcPr>
            <w:tcW w:w="6911" w:type="dxa"/>
          </w:tcPr>
          <w:p w:rsidR="00D11D52" w:rsidRPr="00D11D52" w:rsidRDefault="00D11D52" w:rsidP="00D11D52">
            <w:r w:rsidRPr="00D11D52">
              <w:t>Branch Retinal Vein Occlusion</w:t>
            </w:r>
          </w:p>
        </w:tc>
      </w:tr>
      <w:tr w:rsidR="008A5585" w:rsidRPr="00A36FBB" w:rsidTr="008A5585">
        <w:tc>
          <w:tcPr>
            <w:tcW w:w="1809" w:type="dxa"/>
          </w:tcPr>
          <w:p w:rsidR="008A5585" w:rsidRPr="00A36FBB" w:rsidRDefault="008A5585" w:rsidP="008A5585">
            <w:pPr>
              <w:rPr>
                <w:rFonts w:asciiTheme="minorHAnsi" w:hAnsiTheme="minorHAnsi"/>
                <w:szCs w:val="22"/>
              </w:rPr>
            </w:pPr>
            <w:r w:rsidRPr="00A36FBB">
              <w:rPr>
                <w:rFonts w:asciiTheme="minorHAnsi" w:hAnsiTheme="minorHAnsi"/>
                <w:szCs w:val="22"/>
              </w:rPr>
              <w:t>BSE</w:t>
            </w:r>
          </w:p>
        </w:tc>
        <w:tc>
          <w:tcPr>
            <w:tcW w:w="6911" w:type="dxa"/>
          </w:tcPr>
          <w:p w:rsidR="008A5585" w:rsidRPr="00A36FBB" w:rsidRDefault="0057228E" w:rsidP="008A5585">
            <w:pPr>
              <w:rPr>
                <w:rFonts w:asciiTheme="minorHAnsi" w:hAnsiTheme="minorHAnsi"/>
                <w:szCs w:val="22"/>
              </w:rPr>
            </w:pPr>
            <w:r w:rsidRPr="00A36FBB">
              <w:rPr>
                <w:rFonts w:asciiTheme="minorHAnsi" w:hAnsiTheme="minorHAnsi"/>
                <w:szCs w:val="22"/>
              </w:rPr>
              <w:t>B</w:t>
            </w:r>
            <w:r w:rsidR="008A5585" w:rsidRPr="00A36FBB">
              <w:rPr>
                <w:rFonts w:asciiTheme="minorHAnsi" w:hAnsiTheme="minorHAnsi"/>
                <w:szCs w:val="22"/>
              </w:rPr>
              <w:t>etter</w:t>
            </w:r>
            <w:r>
              <w:rPr>
                <w:rFonts w:asciiTheme="minorHAnsi" w:hAnsiTheme="minorHAnsi"/>
                <w:szCs w:val="22"/>
              </w:rPr>
              <w:t xml:space="preserve"> </w:t>
            </w:r>
            <w:r w:rsidR="008A5585" w:rsidRPr="00A36FBB">
              <w:rPr>
                <w:rFonts w:asciiTheme="minorHAnsi" w:hAnsiTheme="minorHAnsi"/>
                <w:szCs w:val="22"/>
              </w:rPr>
              <w:t>seeing eye</w:t>
            </w:r>
          </w:p>
        </w:tc>
      </w:tr>
      <w:tr w:rsidR="00D11D52" w:rsidRPr="00A36FBB" w:rsidTr="008A5585">
        <w:tc>
          <w:tcPr>
            <w:tcW w:w="1809" w:type="dxa"/>
          </w:tcPr>
          <w:p w:rsidR="00D11D52" w:rsidRPr="00A36FBB" w:rsidRDefault="00D11D52" w:rsidP="008A5585">
            <w:pPr>
              <w:rPr>
                <w:rFonts w:asciiTheme="minorHAnsi" w:hAnsiTheme="minorHAnsi"/>
              </w:rPr>
            </w:pPr>
            <w:r w:rsidRPr="00D11D52">
              <w:rPr>
                <w:rFonts w:asciiTheme="minorHAnsi" w:hAnsiTheme="minorHAnsi"/>
              </w:rPr>
              <w:t>CRVO</w:t>
            </w:r>
          </w:p>
        </w:tc>
        <w:tc>
          <w:tcPr>
            <w:tcW w:w="6911" w:type="dxa"/>
          </w:tcPr>
          <w:p w:rsidR="00D11D52" w:rsidRPr="00D11D52" w:rsidRDefault="00D11D52" w:rsidP="00D11D52">
            <w:r w:rsidRPr="00D11D52">
              <w:t>Central Retinal Vein Occlusion</w:t>
            </w:r>
          </w:p>
        </w:tc>
      </w:tr>
      <w:tr w:rsidR="008A5585" w:rsidRPr="00A36FBB" w:rsidTr="008A5585">
        <w:tc>
          <w:tcPr>
            <w:tcW w:w="1809" w:type="dxa"/>
          </w:tcPr>
          <w:p w:rsidR="008A5585" w:rsidRPr="00A36FBB" w:rsidRDefault="008A5585" w:rsidP="008A5585">
            <w:pPr>
              <w:rPr>
                <w:rFonts w:asciiTheme="minorHAnsi" w:hAnsiTheme="minorHAnsi"/>
                <w:szCs w:val="22"/>
              </w:rPr>
            </w:pPr>
            <w:r w:rsidRPr="00A36FBB">
              <w:rPr>
                <w:rFonts w:asciiTheme="minorHAnsi" w:hAnsiTheme="minorHAnsi"/>
                <w:szCs w:val="22"/>
              </w:rPr>
              <w:t>CSME</w:t>
            </w:r>
          </w:p>
        </w:tc>
        <w:tc>
          <w:tcPr>
            <w:tcW w:w="6911" w:type="dxa"/>
          </w:tcPr>
          <w:p w:rsidR="008A5585" w:rsidRPr="00A36FBB" w:rsidRDefault="008A5585" w:rsidP="008A5585">
            <w:pPr>
              <w:rPr>
                <w:rFonts w:asciiTheme="minorHAnsi" w:hAnsiTheme="minorHAnsi"/>
                <w:szCs w:val="22"/>
              </w:rPr>
            </w:pPr>
            <w:r w:rsidRPr="00A36FBB">
              <w:rPr>
                <w:rFonts w:asciiTheme="minorHAnsi" w:hAnsiTheme="minorHAnsi"/>
                <w:szCs w:val="22"/>
              </w:rPr>
              <w:t>clinically significant macular oedema</w:t>
            </w:r>
          </w:p>
        </w:tc>
      </w:tr>
      <w:tr w:rsidR="008A5585" w:rsidRPr="00A36FBB" w:rsidTr="008A5585">
        <w:tc>
          <w:tcPr>
            <w:tcW w:w="1809" w:type="dxa"/>
          </w:tcPr>
          <w:p w:rsidR="008A5585" w:rsidRPr="00A36FBB" w:rsidRDefault="008A5585" w:rsidP="008A5585">
            <w:pPr>
              <w:rPr>
                <w:rFonts w:asciiTheme="minorHAnsi" w:hAnsiTheme="minorHAnsi"/>
                <w:szCs w:val="22"/>
              </w:rPr>
            </w:pPr>
            <w:r w:rsidRPr="00A36FBB">
              <w:rPr>
                <w:rFonts w:asciiTheme="minorHAnsi" w:hAnsiTheme="minorHAnsi"/>
                <w:szCs w:val="22"/>
              </w:rPr>
              <w:t>DDS</w:t>
            </w:r>
          </w:p>
        </w:tc>
        <w:tc>
          <w:tcPr>
            <w:tcW w:w="6911" w:type="dxa"/>
          </w:tcPr>
          <w:p w:rsidR="008A5585" w:rsidRPr="00A36FBB" w:rsidRDefault="008A5585" w:rsidP="008A5585">
            <w:pPr>
              <w:rPr>
                <w:rFonts w:asciiTheme="minorHAnsi" w:hAnsiTheme="minorHAnsi"/>
                <w:szCs w:val="22"/>
              </w:rPr>
            </w:pPr>
            <w:r w:rsidRPr="00A36FBB">
              <w:rPr>
                <w:rFonts w:asciiTheme="minorHAnsi" w:hAnsiTheme="minorHAnsi"/>
                <w:szCs w:val="22"/>
              </w:rPr>
              <w:t>drug delivery system</w:t>
            </w:r>
          </w:p>
        </w:tc>
      </w:tr>
      <w:tr w:rsidR="008A5585" w:rsidRPr="00A36FBB" w:rsidTr="008A5585">
        <w:tc>
          <w:tcPr>
            <w:tcW w:w="1809" w:type="dxa"/>
          </w:tcPr>
          <w:p w:rsidR="008A5585" w:rsidRPr="00A36FBB" w:rsidRDefault="008A5585" w:rsidP="008A5585">
            <w:pPr>
              <w:rPr>
                <w:rFonts w:asciiTheme="minorHAnsi" w:hAnsiTheme="minorHAnsi"/>
                <w:szCs w:val="22"/>
              </w:rPr>
            </w:pPr>
            <w:r w:rsidRPr="00A36FBB">
              <w:rPr>
                <w:rFonts w:asciiTheme="minorHAnsi" w:hAnsiTheme="minorHAnsi"/>
                <w:szCs w:val="22"/>
              </w:rPr>
              <w:t>DEX PS DDS</w:t>
            </w:r>
          </w:p>
        </w:tc>
        <w:tc>
          <w:tcPr>
            <w:tcW w:w="6911" w:type="dxa"/>
          </w:tcPr>
          <w:p w:rsidR="008A5585" w:rsidRPr="00A36FBB" w:rsidRDefault="008A5585" w:rsidP="008A5585">
            <w:pPr>
              <w:rPr>
                <w:rFonts w:asciiTheme="minorHAnsi" w:hAnsiTheme="minorHAnsi"/>
                <w:szCs w:val="22"/>
              </w:rPr>
            </w:pPr>
            <w:r w:rsidRPr="00A36FBB">
              <w:rPr>
                <w:rFonts w:asciiTheme="minorHAnsi" w:hAnsiTheme="minorHAnsi"/>
                <w:szCs w:val="22"/>
              </w:rPr>
              <w:t>Dexamethasone Posterior Segment Drug Delivery System</w:t>
            </w:r>
          </w:p>
        </w:tc>
      </w:tr>
      <w:tr w:rsidR="008A5585" w:rsidRPr="00A36FBB" w:rsidTr="008A5585">
        <w:tc>
          <w:tcPr>
            <w:tcW w:w="1809" w:type="dxa"/>
          </w:tcPr>
          <w:p w:rsidR="008A5585" w:rsidRPr="00A36FBB" w:rsidRDefault="008A5585" w:rsidP="008A5585">
            <w:pPr>
              <w:rPr>
                <w:rFonts w:asciiTheme="minorHAnsi" w:hAnsiTheme="minorHAnsi"/>
                <w:szCs w:val="22"/>
              </w:rPr>
            </w:pPr>
            <w:r w:rsidRPr="00A36FBB">
              <w:rPr>
                <w:rFonts w:asciiTheme="minorHAnsi" w:hAnsiTheme="minorHAnsi"/>
                <w:szCs w:val="22"/>
              </w:rPr>
              <w:t>DME</w:t>
            </w:r>
          </w:p>
        </w:tc>
        <w:tc>
          <w:tcPr>
            <w:tcW w:w="6911" w:type="dxa"/>
          </w:tcPr>
          <w:p w:rsidR="008A5585" w:rsidRPr="00A36FBB" w:rsidRDefault="008A5585" w:rsidP="008A5585">
            <w:pPr>
              <w:rPr>
                <w:rFonts w:asciiTheme="minorHAnsi" w:hAnsiTheme="minorHAnsi"/>
                <w:szCs w:val="22"/>
              </w:rPr>
            </w:pPr>
            <w:r w:rsidRPr="00A36FBB">
              <w:rPr>
                <w:rFonts w:asciiTheme="minorHAnsi" w:hAnsiTheme="minorHAnsi"/>
                <w:szCs w:val="22"/>
              </w:rPr>
              <w:t>diabetic macular oedema</w:t>
            </w:r>
          </w:p>
        </w:tc>
      </w:tr>
      <w:tr w:rsidR="008A5585" w:rsidRPr="00A36FBB" w:rsidTr="008A5585">
        <w:tc>
          <w:tcPr>
            <w:tcW w:w="1809" w:type="dxa"/>
          </w:tcPr>
          <w:p w:rsidR="008A5585" w:rsidRPr="00A36FBB" w:rsidRDefault="008A5585" w:rsidP="008A5585">
            <w:pPr>
              <w:rPr>
                <w:rFonts w:asciiTheme="minorHAnsi" w:hAnsiTheme="minorHAnsi"/>
                <w:szCs w:val="22"/>
              </w:rPr>
            </w:pPr>
            <w:r w:rsidRPr="00A36FBB">
              <w:rPr>
                <w:rFonts w:asciiTheme="minorHAnsi" w:hAnsiTheme="minorHAnsi"/>
                <w:szCs w:val="22"/>
              </w:rPr>
              <w:t>ETDRS</w:t>
            </w:r>
          </w:p>
        </w:tc>
        <w:tc>
          <w:tcPr>
            <w:tcW w:w="6911" w:type="dxa"/>
          </w:tcPr>
          <w:p w:rsidR="008A5585" w:rsidRPr="00A36FBB" w:rsidRDefault="008A5585" w:rsidP="008A5585">
            <w:pPr>
              <w:rPr>
                <w:rFonts w:asciiTheme="minorHAnsi" w:hAnsiTheme="minorHAnsi"/>
                <w:szCs w:val="22"/>
              </w:rPr>
            </w:pPr>
            <w:r w:rsidRPr="00A36FBB">
              <w:rPr>
                <w:rFonts w:asciiTheme="minorHAnsi" w:hAnsiTheme="minorHAnsi"/>
                <w:szCs w:val="22"/>
              </w:rPr>
              <w:t>Early Treatment Diabetic Retinopathy Study</w:t>
            </w:r>
          </w:p>
        </w:tc>
      </w:tr>
      <w:tr w:rsidR="008A5585" w:rsidRPr="00A36FBB" w:rsidTr="008A5585">
        <w:tc>
          <w:tcPr>
            <w:tcW w:w="1809" w:type="dxa"/>
          </w:tcPr>
          <w:p w:rsidR="008A5585" w:rsidRPr="00A36FBB" w:rsidRDefault="008A5585" w:rsidP="008A5585">
            <w:pPr>
              <w:rPr>
                <w:rFonts w:asciiTheme="minorHAnsi" w:hAnsiTheme="minorHAnsi"/>
                <w:szCs w:val="22"/>
              </w:rPr>
            </w:pPr>
            <w:r w:rsidRPr="00A36FBB">
              <w:rPr>
                <w:rFonts w:asciiTheme="minorHAnsi" w:hAnsiTheme="minorHAnsi"/>
                <w:szCs w:val="22"/>
              </w:rPr>
              <w:t>EU</w:t>
            </w:r>
          </w:p>
        </w:tc>
        <w:tc>
          <w:tcPr>
            <w:tcW w:w="6911" w:type="dxa"/>
          </w:tcPr>
          <w:p w:rsidR="008A5585" w:rsidRPr="00A36FBB" w:rsidRDefault="008A5585" w:rsidP="008A5585">
            <w:pPr>
              <w:rPr>
                <w:rFonts w:asciiTheme="minorHAnsi" w:hAnsiTheme="minorHAnsi"/>
                <w:szCs w:val="22"/>
              </w:rPr>
            </w:pPr>
            <w:r w:rsidRPr="00A36FBB">
              <w:rPr>
                <w:rFonts w:asciiTheme="minorHAnsi" w:hAnsiTheme="minorHAnsi"/>
                <w:szCs w:val="22"/>
              </w:rPr>
              <w:t>European Union</w:t>
            </w:r>
          </w:p>
        </w:tc>
      </w:tr>
      <w:tr w:rsidR="008A5585" w:rsidRPr="00A36FBB" w:rsidTr="008A5585">
        <w:tc>
          <w:tcPr>
            <w:tcW w:w="1809" w:type="dxa"/>
          </w:tcPr>
          <w:p w:rsidR="008A5585" w:rsidRPr="00A36FBB" w:rsidRDefault="008A5585" w:rsidP="008A5585">
            <w:pPr>
              <w:rPr>
                <w:rFonts w:asciiTheme="minorHAnsi" w:hAnsiTheme="minorHAnsi"/>
                <w:szCs w:val="22"/>
              </w:rPr>
            </w:pPr>
            <w:r w:rsidRPr="00A36FBB">
              <w:rPr>
                <w:rFonts w:asciiTheme="minorHAnsi" w:hAnsiTheme="minorHAnsi"/>
                <w:szCs w:val="22"/>
              </w:rPr>
              <w:t>FDA</w:t>
            </w:r>
          </w:p>
        </w:tc>
        <w:tc>
          <w:tcPr>
            <w:tcW w:w="6911" w:type="dxa"/>
          </w:tcPr>
          <w:p w:rsidR="008A5585" w:rsidRPr="00A36FBB" w:rsidRDefault="008A5585" w:rsidP="008A5585">
            <w:pPr>
              <w:rPr>
                <w:rFonts w:asciiTheme="minorHAnsi" w:hAnsiTheme="minorHAnsi"/>
                <w:szCs w:val="22"/>
              </w:rPr>
            </w:pPr>
            <w:r w:rsidRPr="00A36FBB">
              <w:rPr>
                <w:rFonts w:asciiTheme="minorHAnsi" w:hAnsiTheme="minorHAnsi"/>
                <w:szCs w:val="22"/>
              </w:rPr>
              <w:t>Food and Drug Administration</w:t>
            </w:r>
          </w:p>
        </w:tc>
      </w:tr>
      <w:tr w:rsidR="008A5585" w:rsidRPr="00A36FBB" w:rsidTr="008A5585">
        <w:tc>
          <w:tcPr>
            <w:tcW w:w="1809" w:type="dxa"/>
          </w:tcPr>
          <w:p w:rsidR="008A5585" w:rsidRPr="00A36FBB" w:rsidRDefault="008A5585" w:rsidP="008A5585">
            <w:pPr>
              <w:rPr>
                <w:rFonts w:asciiTheme="minorHAnsi" w:hAnsiTheme="minorHAnsi"/>
                <w:szCs w:val="22"/>
              </w:rPr>
            </w:pPr>
            <w:r w:rsidRPr="00A36FBB">
              <w:rPr>
                <w:rFonts w:asciiTheme="minorHAnsi" w:hAnsiTheme="minorHAnsi"/>
                <w:szCs w:val="22"/>
              </w:rPr>
              <w:t>GFR</w:t>
            </w:r>
          </w:p>
        </w:tc>
        <w:tc>
          <w:tcPr>
            <w:tcW w:w="6911" w:type="dxa"/>
          </w:tcPr>
          <w:p w:rsidR="008A5585" w:rsidRPr="00A36FBB" w:rsidRDefault="008A5585" w:rsidP="008A5585">
            <w:pPr>
              <w:rPr>
                <w:rFonts w:asciiTheme="minorHAnsi" w:hAnsiTheme="minorHAnsi"/>
                <w:szCs w:val="22"/>
              </w:rPr>
            </w:pPr>
            <w:r w:rsidRPr="00A36FBB">
              <w:rPr>
                <w:rFonts w:asciiTheme="minorHAnsi" w:hAnsiTheme="minorHAnsi"/>
                <w:szCs w:val="22"/>
              </w:rPr>
              <w:t>glomerular filtration rate</w:t>
            </w:r>
          </w:p>
        </w:tc>
      </w:tr>
      <w:tr w:rsidR="008A5585" w:rsidRPr="00A36FBB" w:rsidTr="008A5585">
        <w:tc>
          <w:tcPr>
            <w:tcW w:w="1809" w:type="dxa"/>
          </w:tcPr>
          <w:p w:rsidR="008A5585" w:rsidRPr="00A36FBB" w:rsidRDefault="008A5585" w:rsidP="008A5585">
            <w:pPr>
              <w:rPr>
                <w:rFonts w:asciiTheme="minorHAnsi" w:hAnsiTheme="minorHAnsi"/>
                <w:szCs w:val="22"/>
              </w:rPr>
            </w:pPr>
            <w:r w:rsidRPr="00A36FBB">
              <w:rPr>
                <w:rFonts w:asciiTheme="minorHAnsi" w:hAnsiTheme="minorHAnsi"/>
                <w:szCs w:val="22"/>
              </w:rPr>
              <w:t>HbA1c</w:t>
            </w:r>
          </w:p>
        </w:tc>
        <w:tc>
          <w:tcPr>
            <w:tcW w:w="6911" w:type="dxa"/>
          </w:tcPr>
          <w:p w:rsidR="008A5585" w:rsidRPr="00A36FBB" w:rsidRDefault="008A5585" w:rsidP="008A5585">
            <w:pPr>
              <w:rPr>
                <w:rFonts w:asciiTheme="minorHAnsi" w:hAnsiTheme="minorHAnsi"/>
                <w:szCs w:val="22"/>
              </w:rPr>
            </w:pPr>
            <w:r w:rsidRPr="00A36FBB">
              <w:rPr>
                <w:rFonts w:asciiTheme="minorHAnsi" w:hAnsiTheme="minorHAnsi"/>
                <w:szCs w:val="22"/>
              </w:rPr>
              <w:t>glycosylated haemoglobin</w:t>
            </w:r>
          </w:p>
        </w:tc>
      </w:tr>
      <w:tr w:rsidR="008A5585" w:rsidRPr="00A36FBB" w:rsidTr="008A5585">
        <w:tc>
          <w:tcPr>
            <w:tcW w:w="1809" w:type="dxa"/>
          </w:tcPr>
          <w:p w:rsidR="008A5585" w:rsidRPr="00A36FBB" w:rsidRDefault="008A5585" w:rsidP="008A5585">
            <w:pPr>
              <w:rPr>
                <w:rFonts w:asciiTheme="minorHAnsi" w:hAnsiTheme="minorHAnsi"/>
                <w:szCs w:val="22"/>
              </w:rPr>
            </w:pPr>
            <w:r w:rsidRPr="00A36FBB">
              <w:rPr>
                <w:rFonts w:asciiTheme="minorHAnsi" w:hAnsiTheme="minorHAnsi"/>
                <w:szCs w:val="22"/>
              </w:rPr>
              <w:t>IOP</w:t>
            </w:r>
          </w:p>
        </w:tc>
        <w:tc>
          <w:tcPr>
            <w:tcW w:w="6911" w:type="dxa"/>
          </w:tcPr>
          <w:p w:rsidR="008A5585" w:rsidRPr="00A36FBB" w:rsidRDefault="008A5585" w:rsidP="008A5585">
            <w:pPr>
              <w:rPr>
                <w:rFonts w:asciiTheme="minorHAnsi" w:hAnsiTheme="minorHAnsi"/>
                <w:szCs w:val="22"/>
              </w:rPr>
            </w:pPr>
            <w:r w:rsidRPr="00A36FBB">
              <w:rPr>
                <w:rFonts w:asciiTheme="minorHAnsi" w:hAnsiTheme="minorHAnsi"/>
                <w:szCs w:val="22"/>
              </w:rPr>
              <w:t>intraocular pressure</w:t>
            </w:r>
          </w:p>
        </w:tc>
      </w:tr>
      <w:tr w:rsidR="008A5585" w:rsidRPr="00A36FBB" w:rsidTr="008A5585">
        <w:tc>
          <w:tcPr>
            <w:tcW w:w="1809" w:type="dxa"/>
          </w:tcPr>
          <w:p w:rsidR="008A5585" w:rsidRPr="00A36FBB" w:rsidRDefault="008A5585" w:rsidP="008A5585">
            <w:pPr>
              <w:rPr>
                <w:rFonts w:asciiTheme="minorHAnsi" w:hAnsiTheme="minorHAnsi"/>
                <w:szCs w:val="22"/>
              </w:rPr>
            </w:pPr>
            <w:r w:rsidRPr="00A36FBB">
              <w:rPr>
                <w:rFonts w:asciiTheme="minorHAnsi" w:hAnsiTheme="minorHAnsi"/>
                <w:szCs w:val="22"/>
              </w:rPr>
              <w:t>ISE</w:t>
            </w:r>
          </w:p>
        </w:tc>
        <w:tc>
          <w:tcPr>
            <w:tcW w:w="6911" w:type="dxa"/>
          </w:tcPr>
          <w:p w:rsidR="008A5585" w:rsidRPr="00A36FBB" w:rsidRDefault="008A5585" w:rsidP="008A5585">
            <w:pPr>
              <w:rPr>
                <w:rFonts w:asciiTheme="minorHAnsi" w:hAnsiTheme="minorHAnsi"/>
                <w:szCs w:val="22"/>
              </w:rPr>
            </w:pPr>
            <w:r w:rsidRPr="00A36FBB">
              <w:rPr>
                <w:rFonts w:asciiTheme="minorHAnsi" w:hAnsiTheme="minorHAnsi"/>
                <w:szCs w:val="22"/>
              </w:rPr>
              <w:t>integrated summary of efficacy</w:t>
            </w:r>
          </w:p>
        </w:tc>
      </w:tr>
      <w:tr w:rsidR="008A5585" w:rsidRPr="00A36FBB" w:rsidTr="008A5585">
        <w:tc>
          <w:tcPr>
            <w:tcW w:w="1809" w:type="dxa"/>
          </w:tcPr>
          <w:p w:rsidR="008A5585" w:rsidRPr="00A36FBB" w:rsidRDefault="008A5585" w:rsidP="008A5585">
            <w:pPr>
              <w:rPr>
                <w:rFonts w:asciiTheme="minorHAnsi" w:hAnsiTheme="minorHAnsi"/>
                <w:szCs w:val="22"/>
              </w:rPr>
            </w:pPr>
            <w:r w:rsidRPr="00A36FBB">
              <w:rPr>
                <w:rFonts w:asciiTheme="minorHAnsi" w:hAnsiTheme="minorHAnsi"/>
                <w:szCs w:val="22"/>
              </w:rPr>
              <w:t>ISS</w:t>
            </w:r>
          </w:p>
        </w:tc>
        <w:tc>
          <w:tcPr>
            <w:tcW w:w="6911" w:type="dxa"/>
          </w:tcPr>
          <w:p w:rsidR="008A5585" w:rsidRPr="00A36FBB" w:rsidRDefault="008A5585" w:rsidP="008A5585">
            <w:pPr>
              <w:rPr>
                <w:rFonts w:asciiTheme="minorHAnsi" w:hAnsiTheme="minorHAnsi"/>
                <w:szCs w:val="22"/>
              </w:rPr>
            </w:pPr>
            <w:r w:rsidRPr="00A36FBB">
              <w:rPr>
                <w:rFonts w:asciiTheme="minorHAnsi" w:hAnsiTheme="minorHAnsi"/>
                <w:szCs w:val="22"/>
              </w:rPr>
              <w:t>integrated summary of safety</w:t>
            </w:r>
          </w:p>
        </w:tc>
      </w:tr>
      <w:tr w:rsidR="008A5585" w:rsidRPr="00A36FBB" w:rsidTr="008A5585">
        <w:tc>
          <w:tcPr>
            <w:tcW w:w="1809" w:type="dxa"/>
          </w:tcPr>
          <w:p w:rsidR="008A5585" w:rsidRPr="00A36FBB" w:rsidRDefault="008A5585" w:rsidP="008A5585">
            <w:pPr>
              <w:rPr>
                <w:rFonts w:asciiTheme="minorHAnsi" w:hAnsiTheme="minorHAnsi"/>
                <w:szCs w:val="22"/>
              </w:rPr>
            </w:pPr>
            <w:r w:rsidRPr="00A36FBB">
              <w:rPr>
                <w:rFonts w:asciiTheme="minorHAnsi" w:hAnsiTheme="minorHAnsi"/>
                <w:szCs w:val="22"/>
              </w:rPr>
              <w:lastRenderedPageBreak/>
              <w:t>ITT</w:t>
            </w:r>
          </w:p>
        </w:tc>
        <w:tc>
          <w:tcPr>
            <w:tcW w:w="6911" w:type="dxa"/>
          </w:tcPr>
          <w:p w:rsidR="008A5585" w:rsidRPr="00A36FBB" w:rsidRDefault="008113EC" w:rsidP="008A5585">
            <w:pPr>
              <w:rPr>
                <w:rFonts w:asciiTheme="minorHAnsi" w:hAnsiTheme="minorHAnsi"/>
                <w:szCs w:val="22"/>
              </w:rPr>
            </w:pPr>
            <w:r>
              <w:rPr>
                <w:rFonts w:asciiTheme="minorHAnsi" w:hAnsiTheme="minorHAnsi"/>
                <w:szCs w:val="22"/>
              </w:rPr>
              <w:t>Intent</w:t>
            </w:r>
            <w:r w:rsidR="001436BF">
              <w:rPr>
                <w:rFonts w:asciiTheme="minorHAnsi" w:hAnsiTheme="minorHAnsi"/>
                <w:szCs w:val="22"/>
              </w:rPr>
              <w:t>ion</w:t>
            </w:r>
            <w:r>
              <w:rPr>
                <w:rFonts w:asciiTheme="minorHAnsi" w:hAnsiTheme="minorHAnsi"/>
                <w:szCs w:val="22"/>
              </w:rPr>
              <w:t xml:space="preserve"> to treat</w:t>
            </w:r>
          </w:p>
        </w:tc>
      </w:tr>
      <w:tr w:rsidR="006B4FF9" w:rsidRPr="00A36FBB" w:rsidTr="008A5585">
        <w:tc>
          <w:tcPr>
            <w:tcW w:w="1809" w:type="dxa"/>
          </w:tcPr>
          <w:p w:rsidR="006B4FF9" w:rsidRPr="00A36FBB" w:rsidRDefault="006B4FF9" w:rsidP="008A5585">
            <w:pPr>
              <w:rPr>
                <w:rFonts w:asciiTheme="minorHAnsi" w:hAnsiTheme="minorHAnsi"/>
              </w:rPr>
            </w:pPr>
            <w:r w:rsidRPr="00FB35AC">
              <w:t>IVIVC</w:t>
            </w:r>
          </w:p>
        </w:tc>
        <w:tc>
          <w:tcPr>
            <w:tcW w:w="6911" w:type="dxa"/>
          </w:tcPr>
          <w:p w:rsidR="006B4FF9" w:rsidRPr="00A36FBB" w:rsidRDefault="006B4FF9" w:rsidP="006B4FF9">
            <w:pPr>
              <w:rPr>
                <w:rFonts w:asciiTheme="minorHAnsi" w:hAnsiTheme="minorHAnsi"/>
              </w:rPr>
            </w:pPr>
            <w:r>
              <w:t>in vitro in vivo correlation</w:t>
            </w:r>
          </w:p>
        </w:tc>
      </w:tr>
      <w:tr w:rsidR="008A5585" w:rsidRPr="00A36FBB" w:rsidTr="008A5585">
        <w:tc>
          <w:tcPr>
            <w:tcW w:w="1809" w:type="dxa"/>
          </w:tcPr>
          <w:p w:rsidR="008A5585" w:rsidRPr="00A36FBB" w:rsidRDefault="008A5585" w:rsidP="008A5585">
            <w:pPr>
              <w:rPr>
                <w:rFonts w:asciiTheme="minorHAnsi" w:hAnsiTheme="minorHAnsi"/>
                <w:szCs w:val="22"/>
              </w:rPr>
            </w:pPr>
            <w:r w:rsidRPr="00A36FBB">
              <w:rPr>
                <w:rFonts w:asciiTheme="minorHAnsi" w:hAnsiTheme="minorHAnsi"/>
                <w:szCs w:val="22"/>
              </w:rPr>
              <w:t>IVRS</w:t>
            </w:r>
          </w:p>
        </w:tc>
        <w:tc>
          <w:tcPr>
            <w:tcW w:w="6911" w:type="dxa"/>
          </w:tcPr>
          <w:p w:rsidR="008A5585" w:rsidRPr="00A36FBB" w:rsidRDefault="008A5585" w:rsidP="008A5585">
            <w:pPr>
              <w:rPr>
                <w:rFonts w:asciiTheme="minorHAnsi" w:hAnsiTheme="minorHAnsi"/>
                <w:szCs w:val="22"/>
              </w:rPr>
            </w:pPr>
            <w:r w:rsidRPr="00A36FBB">
              <w:rPr>
                <w:rFonts w:asciiTheme="minorHAnsi" w:hAnsiTheme="minorHAnsi"/>
                <w:szCs w:val="22"/>
              </w:rPr>
              <w:t>interactive voice response system</w:t>
            </w:r>
          </w:p>
        </w:tc>
      </w:tr>
      <w:tr w:rsidR="008A5585" w:rsidRPr="00A36FBB" w:rsidTr="008A5585">
        <w:tc>
          <w:tcPr>
            <w:tcW w:w="1809" w:type="dxa"/>
          </w:tcPr>
          <w:p w:rsidR="008A5585" w:rsidRPr="00A36FBB" w:rsidRDefault="008A5585" w:rsidP="008A5585">
            <w:pPr>
              <w:rPr>
                <w:rFonts w:asciiTheme="minorHAnsi" w:hAnsiTheme="minorHAnsi"/>
                <w:szCs w:val="22"/>
              </w:rPr>
            </w:pPr>
            <w:r w:rsidRPr="00A36FBB">
              <w:rPr>
                <w:rFonts w:asciiTheme="minorHAnsi" w:hAnsiTheme="minorHAnsi"/>
                <w:szCs w:val="22"/>
              </w:rPr>
              <w:t>IWRS</w:t>
            </w:r>
          </w:p>
        </w:tc>
        <w:tc>
          <w:tcPr>
            <w:tcW w:w="6911" w:type="dxa"/>
          </w:tcPr>
          <w:p w:rsidR="008A5585" w:rsidRPr="00A36FBB" w:rsidRDefault="008A5585" w:rsidP="008A5585">
            <w:pPr>
              <w:rPr>
                <w:rFonts w:asciiTheme="minorHAnsi" w:hAnsiTheme="minorHAnsi"/>
                <w:szCs w:val="22"/>
              </w:rPr>
            </w:pPr>
            <w:r w:rsidRPr="00A36FBB">
              <w:rPr>
                <w:rFonts w:asciiTheme="minorHAnsi" w:hAnsiTheme="minorHAnsi"/>
                <w:szCs w:val="22"/>
              </w:rPr>
              <w:t>interactive web response system</w:t>
            </w:r>
          </w:p>
        </w:tc>
      </w:tr>
      <w:tr w:rsidR="008A5585" w:rsidRPr="00A36FBB" w:rsidTr="008A5585">
        <w:tc>
          <w:tcPr>
            <w:tcW w:w="1809" w:type="dxa"/>
          </w:tcPr>
          <w:p w:rsidR="008A5585" w:rsidRPr="00A36FBB" w:rsidRDefault="008A5585" w:rsidP="008A5585">
            <w:pPr>
              <w:rPr>
                <w:rFonts w:asciiTheme="minorHAnsi" w:hAnsiTheme="minorHAnsi"/>
                <w:szCs w:val="22"/>
              </w:rPr>
            </w:pPr>
            <w:r w:rsidRPr="00A36FBB">
              <w:rPr>
                <w:rFonts w:asciiTheme="minorHAnsi" w:hAnsiTheme="minorHAnsi"/>
                <w:szCs w:val="22"/>
              </w:rPr>
              <w:t>LC</w:t>
            </w:r>
            <w:r w:rsidR="00D57E70">
              <w:rPr>
                <w:rFonts w:asciiTheme="minorHAnsi" w:hAnsiTheme="minorHAnsi"/>
                <w:szCs w:val="22"/>
              </w:rPr>
              <w:t xml:space="preserve"> </w:t>
            </w:r>
            <w:r w:rsidRPr="00A36FBB">
              <w:rPr>
                <w:rFonts w:asciiTheme="minorHAnsi" w:hAnsiTheme="minorHAnsi"/>
                <w:szCs w:val="22"/>
              </w:rPr>
              <w:t>MS/MS</w:t>
            </w:r>
          </w:p>
        </w:tc>
        <w:tc>
          <w:tcPr>
            <w:tcW w:w="6911" w:type="dxa"/>
          </w:tcPr>
          <w:p w:rsidR="008A5585" w:rsidRPr="00A36FBB" w:rsidRDefault="008A5585" w:rsidP="008A5585">
            <w:pPr>
              <w:rPr>
                <w:rFonts w:asciiTheme="minorHAnsi" w:hAnsiTheme="minorHAnsi"/>
                <w:szCs w:val="22"/>
              </w:rPr>
            </w:pPr>
            <w:r w:rsidRPr="00A36FBB">
              <w:rPr>
                <w:rFonts w:asciiTheme="minorHAnsi" w:hAnsiTheme="minorHAnsi"/>
                <w:szCs w:val="22"/>
              </w:rPr>
              <w:t>liquid chromatography</w:t>
            </w:r>
            <w:r w:rsidR="00D57E70">
              <w:rPr>
                <w:rFonts w:asciiTheme="minorHAnsi" w:hAnsiTheme="minorHAnsi"/>
                <w:szCs w:val="22"/>
              </w:rPr>
              <w:t xml:space="preserve"> </w:t>
            </w:r>
            <w:r w:rsidRPr="00A36FBB">
              <w:rPr>
                <w:rFonts w:asciiTheme="minorHAnsi" w:hAnsiTheme="minorHAnsi"/>
                <w:szCs w:val="22"/>
              </w:rPr>
              <w:t>tandem mass spectrometry</w:t>
            </w:r>
          </w:p>
        </w:tc>
      </w:tr>
      <w:tr w:rsidR="008A5585" w:rsidRPr="00A36FBB" w:rsidTr="008A5585">
        <w:tc>
          <w:tcPr>
            <w:tcW w:w="1809" w:type="dxa"/>
          </w:tcPr>
          <w:p w:rsidR="008A5585" w:rsidRPr="00A36FBB" w:rsidRDefault="008A5585" w:rsidP="008A5585">
            <w:pPr>
              <w:rPr>
                <w:rFonts w:asciiTheme="minorHAnsi" w:hAnsiTheme="minorHAnsi"/>
                <w:szCs w:val="22"/>
              </w:rPr>
            </w:pPr>
            <w:r w:rsidRPr="00A36FBB">
              <w:rPr>
                <w:rFonts w:asciiTheme="minorHAnsi" w:hAnsiTheme="minorHAnsi"/>
                <w:szCs w:val="22"/>
              </w:rPr>
              <w:t>LLOQ</w:t>
            </w:r>
          </w:p>
        </w:tc>
        <w:tc>
          <w:tcPr>
            <w:tcW w:w="6911" w:type="dxa"/>
          </w:tcPr>
          <w:p w:rsidR="008A5585" w:rsidRPr="00A36FBB" w:rsidRDefault="008A5585" w:rsidP="008A5585">
            <w:pPr>
              <w:rPr>
                <w:rFonts w:asciiTheme="minorHAnsi" w:hAnsiTheme="minorHAnsi"/>
                <w:szCs w:val="22"/>
              </w:rPr>
            </w:pPr>
            <w:r w:rsidRPr="00A36FBB">
              <w:rPr>
                <w:rFonts w:asciiTheme="minorHAnsi" w:hAnsiTheme="minorHAnsi"/>
                <w:szCs w:val="22"/>
              </w:rPr>
              <w:t>lower limit of quantitation</w:t>
            </w:r>
          </w:p>
        </w:tc>
      </w:tr>
      <w:tr w:rsidR="008A5585" w:rsidRPr="00A36FBB" w:rsidTr="008A5585">
        <w:tc>
          <w:tcPr>
            <w:tcW w:w="1809" w:type="dxa"/>
          </w:tcPr>
          <w:p w:rsidR="008A5585" w:rsidRPr="00A36FBB" w:rsidRDefault="008A5585" w:rsidP="008A5585">
            <w:pPr>
              <w:rPr>
                <w:rFonts w:asciiTheme="minorHAnsi" w:hAnsiTheme="minorHAnsi"/>
                <w:szCs w:val="22"/>
              </w:rPr>
            </w:pPr>
            <w:r w:rsidRPr="00A36FBB">
              <w:rPr>
                <w:rFonts w:asciiTheme="minorHAnsi" w:hAnsiTheme="minorHAnsi"/>
                <w:szCs w:val="22"/>
              </w:rPr>
              <w:t>LOCF</w:t>
            </w:r>
          </w:p>
        </w:tc>
        <w:tc>
          <w:tcPr>
            <w:tcW w:w="6911" w:type="dxa"/>
          </w:tcPr>
          <w:p w:rsidR="008A5585" w:rsidRPr="00A36FBB" w:rsidRDefault="008A5585" w:rsidP="008A5585">
            <w:pPr>
              <w:rPr>
                <w:rFonts w:asciiTheme="minorHAnsi" w:hAnsiTheme="minorHAnsi"/>
                <w:szCs w:val="22"/>
              </w:rPr>
            </w:pPr>
            <w:r w:rsidRPr="00A36FBB">
              <w:rPr>
                <w:rFonts w:asciiTheme="minorHAnsi" w:hAnsiTheme="minorHAnsi"/>
                <w:szCs w:val="22"/>
              </w:rPr>
              <w:t>last observation carried forward</w:t>
            </w:r>
          </w:p>
        </w:tc>
      </w:tr>
      <w:tr w:rsidR="007A22C1" w:rsidRPr="00A36FBB" w:rsidTr="008A5585">
        <w:tc>
          <w:tcPr>
            <w:tcW w:w="1809" w:type="dxa"/>
          </w:tcPr>
          <w:p w:rsidR="007A22C1" w:rsidRPr="00A36FBB" w:rsidRDefault="007A22C1" w:rsidP="008A5585">
            <w:pPr>
              <w:rPr>
                <w:rFonts w:asciiTheme="minorHAnsi" w:hAnsiTheme="minorHAnsi"/>
              </w:rPr>
            </w:pPr>
            <w:r w:rsidRPr="00B90B6E">
              <w:t>LOEL</w:t>
            </w:r>
          </w:p>
        </w:tc>
        <w:tc>
          <w:tcPr>
            <w:tcW w:w="6911" w:type="dxa"/>
          </w:tcPr>
          <w:p w:rsidR="007A22C1" w:rsidRPr="00A36FBB" w:rsidRDefault="007A22C1" w:rsidP="007A22C1">
            <w:pPr>
              <w:rPr>
                <w:rFonts w:asciiTheme="minorHAnsi" w:hAnsiTheme="minorHAnsi"/>
              </w:rPr>
            </w:pPr>
            <w:r>
              <w:t>lowest observable effect level</w:t>
            </w:r>
          </w:p>
        </w:tc>
      </w:tr>
      <w:tr w:rsidR="008A5585" w:rsidRPr="00A36FBB" w:rsidTr="008A5585">
        <w:tc>
          <w:tcPr>
            <w:tcW w:w="1809" w:type="dxa"/>
          </w:tcPr>
          <w:p w:rsidR="008A5585" w:rsidRPr="00A36FBB" w:rsidRDefault="008A5585" w:rsidP="008A5585">
            <w:pPr>
              <w:rPr>
                <w:rFonts w:asciiTheme="minorHAnsi" w:hAnsiTheme="minorHAnsi"/>
                <w:szCs w:val="22"/>
              </w:rPr>
            </w:pPr>
            <w:r w:rsidRPr="00A36FBB">
              <w:rPr>
                <w:rFonts w:asciiTheme="minorHAnsi" w:hAnsiTheme="minorHAnsi"/>
                <w:szCs w:val="22"/>
              </w:rPr>
              <w:t>ME</w:t>
            </w:r>
          </w:p>
        </w:tc>
        <w:tc>
          <w:tcPr>
            <w:tcW w:w="6911" w:type="dxa"/>
          </w:tcPr>
          <w:p w:rsidR="008A5585" w:rsidRPr="00A36FBB" w:rsidRDefault="008A5585" w:rsidP="008A5585">
            <w:pPr>
              <w:rPr>
                <w:rFonts w:asciiTheme="minorHAnsi" w:hAnsiTheme="minorHAnsi"/>
                <w:szCs w:val="22"/>
              </w:rPr>
            </w:pPr>
            <w:r w:rsidRPr="00A36FBB">
              <w:rPr>
                <w:rFonts w:asciiTheme="minorHAnsi" w:hAnsiTheme="minorHAnsi"/>
                <w:szCs w:val="22"/>
              </w:rPr>
              <w:t>macular oedema</w:t>
            </w:r>
          </w:p>
        </w:tc>
      </w:tr>
      <w:tr w:rsidR="008A5585" w:rsidRPr="00A36FBB" w:rsidTr="008A5585">
        <w:tc>
          <w:tcPr>
            <w:tcW w:w="1809" w:type="dxa"/>
          </w:tcPr>
          <w:p w:rsidR="008A5585" w:rsidRPr="00A36FBB" w:rsidRDefault="008A5585" w:rsidP="008A5585">
            <w:pPr>
              <w:rPr>
                <w:rFonts w:asciiTheme="minorHAnsi" w:hAnsiTheme="minorHAnsi"/>
                <w:szCs w:val="22"/>
              </w:rPr>
            </w:pPr>
            <w:proofErr w:type="spellStart"/>
            <w:r w:rsidRPr="00A36FBB">
              <w:rPr>
                <w:rFonts w:asciiTheme="minorHAnsi" w:hAnsiTheme="minorHAnsi"/>
                <w:szCs w:val="22"/>
              </w:rPr>
              <w:t>MedDRA</w:t>
            </w:r>
            <w:proofErr w:type="spellEnd"/>
          </w:p>
        </w:tc>
        <w:tc>
          <w:tcPr>
            <w:tcW w:w="6911" w:type="dxa"/>
          </w:tcPr>
          <w:p w:rsidR="008A5585" w:rsidRPr="00A36FBB" w:rsidRDefault="008A5585" w:rsidP="008A5585">
            <w:pPr>
              <w:rPr>
                <w:rFonts w:asciiTheme="minorHAnsi" w:hAnsiTheme="minorHAnsi"/>
                <w:szCs w:val="22"/>
              </w:rPr>
            </w:pPr>
            <w:r w:rsidRPr="00A36FBB">
              <w:rPr>
                <w:rFonts w:asciiTheme="minorHAnsi" w:hAnsiTheme="minorHAnsi"/>
                <w:szCs w:val="22"/>
              </w:rPr>
              <w:t>Medical Dictionary of Regulatory Activities</w:t>
            </w:r>
          </w:p>
        </w:tc>
      </w:tr>
      <w:tr w:rsidR="007A22C1" w:rsidRPr="00A36FBB" w:rsidTr="008A5585">
        <w:tc>
          <w:tcPr>
            <w:tcW w:w="1809" w:type="dxa"/>
          </w:tcPr>
          <w:p w:rsidR="007A22C1" w:rsidRPr="00A36FBB" w:rsidRDefault="007A22C1" w:rsidP="008A5585">
            <w:pPr>
              <w:rPr>
                <w:rFonts w:asciiTheme="minorHAnsi" w:hAnsiTheme="minorHAnsi"/>
              </w:rPr>
            </w:pPr>
            <w:r w:rsidRPr="00B90B6E">
              <w:t>NOEL</w:t>
            </w:r>
          </w:p>
        </w:tc>
        <w:tc>
          <w:tcPr>
            <w:tcW w:w="6911" w:type="dxa"/>
          </w:tcPr>
          <w:p w:rsidR="007A22C1" w:rsidRPr="00A36FBB" w:rsidRDefault="007A22C1" w:rsidP="008A5585">
            <w:pPr>
              <w:rPr>
                <w:rFonts w:asciiTheme="minorHAnsi" w:hAnsiTheme="minorHAnsi"/>
              </w:rPr>
            </w:pPr>
            <w:r>
              <w:rPr>
                <w:rFonts w:asciiTheme="minorHAnsi" w:hAnsiTheme="minorHAnsi"/>
              </w:rPr>
              <w:t>No observable effect level</w:t>
            </w:r>
          </w:p>
        </w:tc>
      </w:tr>
      <w:tr w:rsidR="008A5585" w:rsidRPr="00A36FBB" w:rsidTr="008A5585">
        <w:tc>
          <w:tcPr>
            <w:tcW w:w="1809" w:type="dxa"/>
          </w:tcPr>
          <w:p w:rsidR="008A5585" w:rsidRPr="00A36FBB" w:rsidRDefault="008A5585" w:rsidP="008A5585">
            <w:pPr>
              <w:rPr>
                <w:rFonts w:asciiTheme="minorHAnsi" w:hAnsiTheme="minorHAnsi"/>
                <w:szCs w:val="22"/>
              </w:rPr>
            </w:pPr>
            <w:r w:rsidRPr="00A36FBB">
              <w:rPr>
                <w:rFonts w:asciiTheme="minorHAnsi" w:hAnsiTheme="minorHAnsi"/>
                <w:szCs w:val="22"/>
              </w:rPr>
              <w:t>NPDR</w:t>
            </w:r>
          </w:p>
        </w:tc>
        <w:tc>
          <w:tcPr>
            <w:tcW w:w="6911" w:type="dxa"/>
          </w:tcPr>
          <w:p w:rsidR="008A5585" w:rsidRPr="00A36FBB" w:rsidRDefault="006B07CD" w:rsidP="008A5585">
            <w:pPr>
              <w:rPr>
                <w:rFonts w:asciiTheme="minorHAnsi" w:hAnsiTheme="minorHAnsi"/>
                <w:szCs w:val="22"/>
              </w:rPr>
            </w:pPr>
            <w:r w:rsidRPr="00A36FBB">
              <w:rPr>
                <w:rFonts w:asciiTheme="minorHAnsi" w:hAnsiTheme="minorHAnsi"/>
                <w:szCs w:val="22"/>
              </w:rPr>
              <w:t>non</w:t>
            </w:r>
            <w:r>
              <w:rPr>
                <w:rFonts w:asciiTheme="minorHAnsi" w:hAnsiTheme="minorHAnsi"/>
                <w:szCs w:val="22"/>
              </w:rPr>
              <w:t>-</w:t>
            </w:r>
            <w:r w:rsidRPr="00A36FBB">
              <w:rPr>
                <w:rFonts w:asciiTheme="minorHAnsi" w:hAnsiTheme="minorHAnsi"/>
                <w:szCs w:val="22"/>
              </w:rPr>
              <w:t>proliferative</w:t>
            </w:r>
            <w:r w:rsidR="008A5585" w:rsidRPr="00A36FBB">
              <w:rPr>
                <w:rFonts w:asciiTheme="minorHAnsi" w:hAnsiTheme="minorHAnsi"/>
                <w:szCs w:val="22"/>
              </w:rPr>
              <w:t xml:space="preserve"> diabetic retinopathy</w:t>
            </w:r>
          </w:p>
        </w:tc>
      </w:tr>
      <w:tr w:rsidR="008A5585" w:rsidRPr="00A36FBB" w:rsidTr="008A5585">
        <w:tc>
          <w:tcPr>
            <w:tcW w:w="1809" w:type="dxa"/>
          </w:tcPr>
          <w:p w:rsidR="008A5585" w:rsidRPr="00A36FBB" w:rsidRDefault="008A5585" w:rsidP="008A5585">
            <w:pPr>
              <w:rPr>
                <w:rFonts w:asciiTheme="minorHAnsi" w:hAnsiTheme="minorHAnsi"/>
                <w:szCs w:val="22"/>
              </w:rPr>
            </w:pPr>
            <w:r w:rsidRPr="00A36FBB">
              <w:rPr>
                <w:rFonts w:asciiTheme="minorHAnsi" w:hAnsiTheme="minorHAnsi"/>
                <w:szCs w:val="22"/>
              </w:rPr>
              <w:t>OCT</w:t>
            </w:r>
          </w:p>
        </w:tc>
        <w:tc>
          <w:tcPr>
            <w:tcW w:w="6911" w:type="dxa"/>
          </w:tcPr>
          <w:p w:rsidR="008A5585" w:rsidRPr="00A36FBB" w:rsidRDefault="008A5585" w:rsidP="008A5585">
            <w:pPr>
              <w:rPr>
                <w:rFonts w:asciiTheme="minorHAnsi" w:hAnsiTheme="minorHAnsi"/>
                <w:szCs w:val="22"/>
              </w:rPr>
            </w:pPr>
            <w:r w:rsidRPr="00A36FBB">
              <w:rPr>
                <w:rFonts w:asciiTheme="minorHAnsi" w:hAnsiTheme="minorHAnsi"/>
                <w:szCs w:val="22"/>
              </w:rPr>
              <w:t>optical coherence tomography</w:t>
            </w:r>
          </w:p>
        </w:tc>
      </w:tr>
      <w:tr w:rsidR="008A5585" w:rsidRPr="00A36FBB" w:rsidTr="008A5585">
        <w:tc>
          <w:tcPr>
            <w:tcW w:w="1809" w:type="dxa"/>
          </w:tcPr>
          <w:p w:rsidR="008A5585" w:rsidRPr="00A36FBB" w:rsidRDefault="008A5585" w:rsidP="008A5585">
            <w:pPr>
              <w:rPr>
                <w:rFonts w:asciiTheme="minorHAnsi" w:hAnsiTheme="minorHAnsi"/>
                <w:szCs w:val="22"/>
              </w:rPr>
            </w:pPr>
            <w:r w:rsidRPr="00A36FBB">
              <w:rPr>
                <w:rFonts w:asciiTheme="minorHAnsi" w:hAnsiTheme="minorHAnsi"/>
                <w:szCs w:val="22"/>
              </w:rPr>
              <w:t>PDR</w:t>
            </w:r>
          </w:p>
        </w:tc>
        <w:tc>
          <w:tcPr>
            <w:tcW w:w="6911" w:type="dxa"/>
          </w:tcPr>
          <w:p w:rsidR="008A5585" w:rsidRPr="00A36FBB" w:rsidRDefault="008A5585" w:rsidP="008A5585">
            <w:pPr>
              <w:rPr>
                <w:rFonts w:asciiTheme="minorHAnsi" w:hAnsiTheme="minorHAnsi"/>
                <w:szCs w:val="22"/>
              </w:rPr>
            </w:pPr>
            <w:r w:rsidRPr="00A36FBB">
              <w:rPr>
                <w:rFonts w:asciiTheme="minorHAnsi" w:hAnsiTheme="minorHAnsi"/>
                <w:szCs w:val="22"/>
              </w:rPr>
              <w:t>proliferative diabetic retinopathy</w:t>
            </w:r>
          </w:p>
        </w:tc>
      </w:tr>
      <w:tr w:rsidR="008A5585" w:rsidRPr="00A36FBB" w:rsidTr="008A5585">
        <w:tc>
          <w:tcPr>
            <w:tcW w:w="1809" w:type="dxa"/>
          </w:tcPr>
          <w:p w:rsidR="008A5585" w:rsidRPr="00A36FBB" w:rsidRDefault="008A5585" w:rsidP="008A5585">
            <w:pPr>
              <w:rPr>
                <w:rFonts w:asciiTheme="minorHAnsi" w:hAnsiTheme="minorHAnsi"/>
                <w:szCs w:val="22"/>
              </w:rPr>
            </w:pPr>
            <w:r w:rsidRPr="00A36FBB">
              <w:rPr>
                <w:rFonts w:asciiTheme="minorHAnsi" w:hAnsiTheme="minorHAnsi"/>
                <w:szCs w:val="22"/>
              </w:rPr>
              <w:t>PLGA</w:t>
            </w:r>
          </w:p>
        </w:tc>
        <w:tc>
          <w:tcPr>
            <w:tcW w:w="6911" w:type="dxa"/>
          </w:tcPr>
          <w:p w:rsidR="008A5585" w:rsidRPr="00A36FBB" w:rsidRDefault="008A5585" w:rsidP="008A5585">
            <w:pPr>
              <w:rPr>
                <w:rFonts w:asciiTheme="minorHAnsi" w:hAnsiTheme="minorHAnsi"/>
                <w:szCs w:val="22"/>
              </w:rPr>
            </w:pPr>
            <w:r w:rsidRPr="00A36FBB">
              <w:rPr>
                <w:rFonts w:asciiTheme="minorHAnsi" w:hAnsiTheme="minorHAnsi"/>
                <w:szCs w:val="22"/>
              </w:rPr>
              <w:t>poly [lactic</w:t>
            </w:r>
            <w:r w:rsidR="00D57E70">
              <w:rPr>
                <w:rFonts w:asciiTheme="minorHAnsi" w:hAnsiTheme="minorHAnsi"/>
                <w:szCs w:val="22"/>
              </w:rPr>
              <w:t xml:space="preserve"> </w:t>
            </w:r>
            <w:r w:rsidRPr="00A36FBB">
              <w:rPr>
                <w:rFonts w:asciiTheme="minorHAnsi" w:hAnsiTheme="minorHAnsi"/>
                <w:szCs w:val="22"/>
              </w:rPr>
              <w:t>glycolic] acid</w:t>
            </w:r>
          </w:p>
        </w:tc>
      </w:tr>
      <w:tr w:rsidR="008A5585" w:rsidRPr="00A36FBB" w:rsidTr="008A5585">
        <w:tc>
          <w:tcPr>
            <w:tcW w:w="1809" w:type="dxa"/>
          </w:tcPr>
          <w:p w:rsidR="008A5585" w:rsidRPr="00A36FBB" w:rsidRDefault="008A5585" w:rsidP="008A5585">
            <w:pPr>
              <w:rPr>
                <w:rFonts w:asciiTheme="minorHAnsi" w:hAnsiTheme="minorHAnsi"/>
                <w:szCs w:val="22"/>
              </w:rPr>
            </w:pPr>
            <w:r w:rsidRPr="00A36FBB">
              <w:rPr>
                <w:rFonts w:asciiTheme="minorHAnsi" w:hAnsiTheme="minorHAnsi"/>
                <w:szCs w:val="22"/>
              </w:rPr>
              <w:t>PP</w:t>
            </w:r>
          </w:p>
        </w:tc>
        <w:tc>
          <w:tcPr>
            <w:tcW w:w="6911" w:type="dxa"/>
          </w:tcPr>
          <w:p w:rsidR="008A5585" w:rsidRPr="00A36FBB" w:rsidRDefault="008A5585" w:rsidP="008A5585">
            <w:pPr>
              <w:rPr>
                <w:rFonts w:asciiTheme="minorHAnsi" w:hAnsiTheme="minorHAnsi"/>
                <w:szCs w:val="22"/>
              </w:rPr>
            </w:pPr>
            <w:r w:rsidRPr="00A36FBB">
              <w:rPr>
                <w:rFonts w:asciiTheme="minorHAnsi" w:hAnsiTheme="minorHAnsi"/>
                <w:szCs w:val="22"/>
              </w:rPr>
              <w:t>per protocol</w:t>
            </w:r>
          </w:p>
        </w:tc>
      </w:tr>
      <w:tr w:rsidR="008A5585" w:rsidRPr="00A36FBB" w:rsidTr="008A5585">
        <w:tc>
          <w:tcPr>
            <w:tcW w:w="1809" w:type="dxa"/>
          </w:tcPr>
          <w:p w:rsidR="008A5585" w:rsidRPr="00A36FBB" w:rsidRDefault="008A5585" w:rsidP="008A5585">
            <w:pPr>
              <w:rPr>
                <w:rFonts w:asciiTheme="minorHAnsi" w:hAnsiTheme="minorHAnsi"/>
                <w:szCs w:val="22"/>
              </w:rPr>
            </w:pPr>
            <w:r w:rsidRPr="00A36FBB">
              <w:rPr>
                <w:rFonts w:asciiTheme="minorHAnsi" w:hAnsiTheme="minorHAnsi"/>
                <w:szCs w:val="22"/>
              </w:rPr>
              <w:t>PRP</w:t>
            </w:r>
          </w:p>
        </w:tc>
        <w:tc>
          <w:tcPr>
            <w:tcW w:w="6911" w:type="dxa"/>
          </w:tcPr>
          <w:p w:rsidR="008A5585" w:rsidRPr="00A36FBB" w:rsidRDefault="008A5585" w:rsidP="008A5585">
            <w:pPr>
              <w:rPr>
                <w:rFonts w:asciiTheme="minorHAnsi" w:hAnsiTheme="minorHAnsi"/>
                <w:szCs w:val="22"/>
              </w:rPr>
            </w:pPr>
            <w:proofErr w:type="spellStart"/>
            <w:r w:rsidRPr="00A36FBB">
              <w:rPr>
                <w:rFonts w:asciiTheme="minorHAnsi" w:hAnsiTheme="minorHAnsi"/>
                <w:szCs w:val="22"/>
              </w:rPr>
              <w:t>panretinal</w:t>
            </w:r>
            <w:proofErr w:type="spellEnd"/>
            <w:r w:rsidRPr="00A36FBB">
              <w:rPr>
                <w:rFonts w:asciiTheme="minorHAnsi" w:hAnsiTheme="minorHAnsi"/>
                <w:szCs w:val="22"/>
              </w:rPr>
              <w:t xml:space="preserve"> photocoagulation</w:t>
            </w:r>
          </w:p>
        </w:tc>
      </w:tr>
      <w:tr w:rsidR="008A5585" w:rsidRPr="00A36FBB" w:rsidTr="008A5585">
        <w:tc>
          <w:tcPr>
            <w:tcW w:w="1809" w:type="dxa"/>
          </w:tcPr>
          <w:p w:rsidR="008A5585" w:rsidRPr="00A36FBB" w:rsidRDefault="008A5585" w:rsidP="008A5585">
            <w:pPr>
              <w:rPr>
                <w:rFonts w:asciiTheme="minorHAnsi" w:hAnsiTheme="minorHAnsi"/>
                <w:szCs w:val="22"/>
              </w:rPr>
            </w:pPr>
            <w:r w:rsidRPr="00A36FBB">
              <w:rPr>
                <w:rFonts w:asciiTheme="minorHAnsi" w:hAnsiTheme="minorHAnsi"/>
                <w:szCs w:val="22"/>
              </w:rPr>
              <w:t>PSC</w:t>
            </w:r>
          </w:p>
        </w:tc>
        <w:tc>
          <w:tcPr>
            <w:tcW w:w="6911" w:type="dxa"/>
          </w:tcPr>
          <w:p w:rsidR="008A5585" w:rsidRPr="00A36FBB" w:rsidRDefault="008A5585" w:rsidP="008A5585">
            <w:pPr>
              <w:rPr>
                <w:rFonts w:asciiTheme="minorHAnsi" w:hAnsiTheme="minorHAnsi"/>
                <w:szCs w:val="22"/>
              </w:rPr>
            </w:pPr>
            <w:r w:rsidRPr="00A36FBB">
              <w:rPr>
                <w:rFonts w:asciiTheme="minorHAnsi" w:hAnsiTheme="minorHAnsi"/>
                <w:szCs w:val="22"/>
              </w:rPr>
              <w:t xml:space="preserve">posterior </w:t>
            </w:r>
            <w:proofErr w:type="spellStart"/>
            <w:r w:rsidRPr="00A36FBB">
              <w:rPr>
                <w:rFonts w:asciiTheme="minorHAnsi" w:hAnsiTheme="minorHAnsi"/>
                <w:szCs w:val="22"/>
              </w:rPr>
              <w:t>subcapsular</w:t>
            </w:r>
            <w:proofErr w:type="spellEnd"/>
          </w:p>
        </w:tc>
      </w:tr>
      <w:tr w:rsidR="00740C73" w:rsidRPr="00A36FBB" w:rsidTr="008A5585">
        <w:tc>
          <w:tcPr>
            <w:tcW w:w="1809" w:type="dxa"/>
          </w:tcPr>
          <w:p w:rsidR="00740C73" w:rsidRPr="00A36FBB" w:rsidRDefault="00740C73" w:rsidP="008A5585">
            <w:pPr>
              <w:rPr>
                <w:rFonts w:asciiTheme="minorHAnsi" w:hAnsiTheme="minorHAnsi"/>
              </w:rPr>
            </w:pPr>
            <w:r w:rsidRPr="00A52683">
              <w:t>SC</w:t>
            </w:r>
          </w:p>
        </w:tc>
        <w:tc>
          <w:tcPr>
            <w:tcW w:w="6911" w:type="dxa"/>
          </w:tcPr>
          <w:p w:rsidR="00740C73" w:rsidRPr="00A36FBB" w:rsidRDefault="001F06BF" w:rsidP="00740C73">
            <w:pPr>
              <w:rPr>
                <w:rFonts w:asciiTheme="minorHAnsi" w:hAnsiTheme="minorHAnsi"/>
              </w:rPr>
            </w:pPr>
            <w:r>
              <w:t>S</w:t>
            </w:r>
            <w:r w:rsidR="00740C73">
              <w:t>ubcutaneous</w:t>
            </w:r>
          </w:p>
        </w:tc>
      </w:tr>
      <w:tr w:rsidR="0057228E" w:rsidRPr="00A36FBB" w:rsidTr="008A5585">
        <w:tc>
          <w:tcPr>
            <w:tcW w:w="1809" w:type="dxa"/>
          </w:tcPr>
          <w:p w:rsidR="0057228E" w:rsidRPr="00A36FBB" w:rsidRDefault="0057228E" w:rsidP="008A5585">
            <w:pPr>
              <w:rPr>
                <w:rFonts w:asciiTheme="minorHAnsi" w:hAnsiTheme="minorHAnsi"/>
              </w:rPr>
            </w:pPr>
            <w:r w:rsidRPr="0098040E">
              <w:t>USP</w:t>
            </w:r>
          </w:p>
        </w:tc>
        <w:tc>
          <w:tcPr>
            <w:tcW w:w="6911" w:type="dxa"/>
          </w:tcPr>
          <w:p w:rsidR="0057228E" w:rsidRPr="00A36FBB" w:rsidRDefault="0057228E" w:rsidP="0057228E">
            <w:pPr>
              <w:rPr>
                <w:rFonts w:asciiTheme="minorHAnsi" w:hAnsiTheme="minorHAnsi"/>
              </w:rPr>
            </w:pPr>
            <w:r w:rsidRPr="0098040E">
              <w:t>United States Pharmacopeia</w:t>
            </w:r>
          </w:p>
        </w:tc>
      </w:tr>
      <w:tr w:rsidR="008A5585" w:rsidRPr="00A36FBB" w:rsidTr="008A5585">
        <w:tc>
          <w:tcPr>
            <w:tcW w:w="1809" w:type="dxa"/>
          </w:tcPr>
          <w:p w:rsidR="008A5585" w:rsidRPr="00A36FBB" w:rsidRDefault="008A5585" w:rsidP="008A5585">
            <w:pPr>
              <w:rPr>
                <w:rFonts w:asciiTheme="minorHAnsi" w:hAnsiTheme="minorHAnsi"/>
                <w:szCs w:val="22"/>
              </w:rPr>
            </w:pPr>
            <w:r w:rsidRPr="00A36FBB">
              <w:rPr>
                <w:rFonts w:asciiTheme="minorHAnsi" w:hAnsiTheme="minorHAnsi"/>
                <w:szCs w:val="22"/>
              </w:rPr>
              <w:t>VAS</w:t>
            </w:r>
          </w:p>
        </w:tc>
        <w:tc>
          <w:tcPr>
            <w:tcW w:w="6911" w:type="dxa"/>
          </w:tcPr>
          <w:p w:rsidR="008A5585" w:rsidRPr="00A36FBB" w:rsidRDefault="008A5585" w:rsidP="008A5585">
            <w:pPr>
              <w:rPr>
                <w:rFonts w:asciiTheme="minorHAnsi" w:hAnsiTheme="minorHAnsi"/>
                <w:szCs w:val="22"/>
              </w:rPr>
            </w:pPr>
            <w:r w:rsidRPr="00A36FBB">
              <w:rPr>
                <w:rFonts w:asciiTheme="minorHAnsi" w:hAnsiTheme="minorHAnsi"/>
                <w:szCs w:val="22"/>
              </w:rPr>
              <w:t>visual analogue scale</w:t>
            </w:r>
          </w:p>
        </w:tc>
      </w:tr>
      <w:tr w:rsidR="008A5585" w:rsidRPr="00A36FBB" w:rsidTr="008A5585">
        <w:tc>
          <w:tcPr>
            <w:tcW w:w="1809" w:type="dxa"/>
          </w:tcPr>
          <w:p w:rsidR="008A5585" w:rsidRPr="00A36FBB" w:rsidRDefault="008A5585" w:rsidP="008A5585">
            <w:pPr>
              <w:rPr>
                <w:rFonts w:asciiTheme="minorHAnsi" w:hAnsiTheme="minorHAnsi"/>
                <w:szCs w:val="22"/>
              </w:rPr>
            </w:pPr>
            <w:r w:rsidRPr="00A36FBB">
              <w:rPr>
                <w:rFonts w:asciiTheme="minorHAnsi" w:hAnsiTheme="minorHAnsi"/>
                <w:szCs w:val="22"/>
              </w:rPr>
              <w:t>VEGF</w:t>
            </w:r>
          </w:p>
        </w:tc>
        <w:tc>
          <w:tcPr>
            <w:tcW w:w="6911" w:type="dxa"/>
          </w:tcPr>
          <w:p w:rsidR="008A5585" w:rsidRPr="00A36FBB" w:rsidRDefault="008A5585" w:rsidP="008A5585">
            <w:pPr>
              <w:rPr>
                <w:rFonts w:asciiTheme="minorHAnsi" w:hAnsiTheme="minorHAnsi"/>
                <w:szCs w:val="22"/>
              </w:rPr>
            </w:pPr>
            <w:r w:rsidRPr="00A36FBB">
              <w:rPr>
                <w:rFonts w:asciiTheme="minorHAnsi" w:hAnsiTheme="minorHAnsi"/>
                <w:szCs w:val="22"/>
              </w:rPr>
              <w:t>vascular endothelial growth factor</w:t>
            </w:r>
          </w:p>
        </w:tc>
      </w:tr>
    </w:tbl>
    <w:p w:rsidR="00FD119B" w:rsidRDefault="00FD119B" w:rsidP="00FD119B"/>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8E7846">
      <w:pPr>
        <w:pStyle w:val="Heading2"/>
      </w:pPr>
      <w:bookmarkStart w:id="9" w:name="_Toc465939497"/>
      <w:r>
        <w:lastRenderedPageBreak/>
        <w:t>I.</w:t>
      </w:r>
      <w:r w:rsidR="008E7846">
        <w:t xml:space="preserve"> Introduction to product submission</w:t>
      </w:r>
      <w:bookmarkEnd w:id="0"/>
      <w:bookmarkEnd w:id="3"/>
      <w:bookmarkEnd w:id="9"/>
    </w:p>
    <w:p w:rsidR="008E7846" w:rsidRDefault="008E7846" w:rsidP="008E7846">
      <w:pPr>
        <w:pStyle w:val="Heading3"/>
        <w:rPr>
          <w:lang w:eastAsia="en-AU"/>
        </w:rPr>
      </w:pPr>
      <w:bookmarkStart w:id="10" w:name="_Toc247691502"/>
      <w:bookmarkStart w:id="11" w:name="_Toc314842483"/>
      <w:bookmarkStart w:id="12" w:name="_Toc465939498"/>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rsidTr="00C77A0F">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307" w:type="dxa"/>
          </w:tcPr>
          <w:p w:rsidR="008E7846" w:rsidRPr="003D1E62" w:rsidRDefault="001B5C90" w:rsidP="00807A2A">
            <w:r>
              <w:t>m</w:t>
            </w:r>
            <w:r w:rsidR="008E7846" w:rsidRPr="003D1E62">
              <w:t xml:space="preserve">ajor </w:t>
            </w:r>
            <w:r>
              <w:t>v</w:t>
            </w:r>
            <w:r w:rsidR="008A5585">
              <w:t xml:space="preserve">ariation; </w:t>
            </w:r>
            <w:r>
              <w:t>n</w:t>
            </w:r>
            <w:r w:rsidR="008E7846" w:rsidRPr="003D1E62">
              <w:t xml:space="preserve">ew </w:t>
            </w:r>
            <w:r w:rsidR="00205340">
              <w:t>dose form, new indication</w:t>
            </w:r>
          </w:p>
        </w:tc>
      </w:tr>
      <w:tr w:rsidR="008E7846" w:rsidRPr="003D1E62" w:rsidTr="00C77A0F">
        <w:trPr>
          <w:trHeight w:hRule="exact" w:val="454"/>
        </w:trPr>
        <w:tc>
          <w:tcPr>
            <w:tcW w:w="2907" w:type="dxa"/>
          </w:tcPr>
          <w:p w:rsidR="008E7846" w:rsidRPr="003D1E62" w:rsidRDefault="008E7846" w:rsidP="003D1E62">
            <w:r w:rsidRPr="003D1E62">
              <w:rPr>
                <w:i/>
              </w:rPr>
              <w:t>Decision</w:t>
            </w:r>
            <w:r w:rsidRPr="003D1E62">
              <w:t>:</w:t>
            </w:r>
          </w:p>
        </w:tc>
        <w:tc>
          <w:tcPr>
            <w:tcW w:w="6307" w:type="dxa"/>
          </w:tcPr>
          <w:p w:rsidR="008E7846" w:rsidRPr="003D1E62" w:rsidRDefault="00807A2A" w:rsidP="00807A2A">
            <w:r>
              <w:t>Approved</w:t>
            </w:r>
          </w:p>
        </w:tc>
      </w:tr>
      <w:tr w:rsidR="008E7846" w:rsidRPr="003D1E62" w:rsidTr="00C77A0F">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rsidR="008E7846" w:rsidRPr="003D1E62" w:rsidRDefault="00807A2A" w:rsidP="001B5C90">
            <w:r>
              <w:t>29 May 2015</w:t>
            </w:r>
          </w:p>
        </w:tc>
      </w:tr>
      <w:tr w:rsidR="00ED2922" w:rsidRPr="003D1E62" w:rsidTr="00C77A0F">
        <w:trPr>
          <w:trHeight w:hRule="exact" w:val="454"/>
        </w:trPr>
        <w:tc>
          <w:tcPr>
            <w:tcW w:w="2907" w:type="dxa"/>
          </w:tcPr>
          <w:p w:rsidR="00ED2922" w:rsidRPr="00441C3F" w:rsidRDefault="00ED2922" w:rsidP="001B5C90">
            <w:pPr>
              <w:rPr>
                <w:i/>
              </w:rPr>
            </w:pPr>
            <w:r w:rsidRPr="00441C3F">
              <w:rPr>
                <w:i/>
              </w:rPr>
              <w:t>Date of entry onto ARTG</w:t>
            </w:r>
          </w:p>
        </w:tc>
        <w:tc>
          <w:tcPr>
            <w:tcW w:w="6307" w:type="dxa"/>
          </w:tcPr>
          <w:p w:rsidR="00ED2922" w:rsidRPr="00441C3F" w:rsidRDefault="00807A2A" w:rsidP="00EC463D">
            <w:pPr>
              <w:rPr>
                <w:i/>
              </w:rPr>
            </w:pPr>
            <w:r>
              <w:t>4 June 2015</w:t>
            </w:r>
          </w:p>
        </w:tc>
      </w:tr>
      <w:tr w:rsidR="008E7846" w:rsidRPr="00487162" w:rsidTr="00C77A0F">
        <w:tc>
          <w:tcPr>
            <w:tcW w:w="2907" w:type="dxa"/>
          </w:tcPr>
          <w:p w:rsidR="008E7846" w:rsidRPr="00487162" w:rsidRDefault="00807A2A" w:rsidP="00E45619">
            <w:pPr>
              <w:rPr>
                <w:i/>
              </w:rPr>
            </w:pPr>
            <w:r>
              <w:rPr>
                <w:i/>
              </w:rPr>
              <w:t>Active ingredient</w:t>
            </w:r>
            <w:r w:rsidR="001B5C90">
              <w:rPr>
                <w:i/>
              </w:rPr>
              <w:t>:</w:t>
            </w:r>
          </w:p>
        </w:tc>
        <w:tc>
          <w:tcPr>
            <w:tcW w:w="6307" w:type="dxa"/>
          </w:tcPr>
          <w:p w:rsidR="008E7846" w:rsidRPr="00487162" w:rsidRDefault="001F06BF" w:rsidP="00E45619">
            <w:r>
              <w:t>D</w:t>
            </w:r>
            <w:r w:rsidR="00807A2A">
              <w:t>examethasone</w:t>
            </w:r>
          </w:p>
        </w:tc>
      </w:tr>
      <w:tr w:rsidR="008E7846" w:rsidRPr="00487162" w:rsidTr="00C77A0F">
        <w:tc>
          <w:tcPr>
            <w:tcW w:w="2907" w:type="dxa"/>
          </w:tcPr>
          <w:p w:rsidR="008E7846" w:rsidRPr="00487162" w:rsidRDefault="008E7846" w:rsidP="001B5C90">
            <w:pPr>
              <w:rPr>
                <w:i/>
              </w:rPr>
            </w:pPr>
            <w:r w:rsidRPr="00487162">
              <w:rPr>
                <w:i/>
              </w:rPr>
              <w:t>Product</w:t>
            </w:r>
            <w:r w:rsidR="00807A2A">
              <w:rPr>
                <w:i/>
              </w:rPr>
              <w:t xml:space="preserve"> name</w:t>
            </w:r>
            <w:r w:rsidR="001B5C90">
              <w:rPr>
                <w:i/>
              </w:rPr>
              <w:t>:</w:t>
            </w:r>
          </w:p>
        </w:tc>
        <w:tc>
          <w:tcPr>
            <w:tcW w:w="6307" w:type="dxa"/>
          </w:tcPr>
          <w:p w:rsidR="008E7846" w:rsidRPr="00487162" w:rsidRDefault="00807A2A" w:rsidP="00E45619">
            <w:r>
              <w:t>Ozurdex</w:t>
            </w:r>
          </w:p>
        </w:tc>
      </w:tr>
      <w:tr w:rsidR="008E7846" w:rsidRPr="00487162" w:rsidTr="00C77A0F">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8E7846" w:rsidRDefault="00807A2A" w:rsidP="00E45619">
            <w:r>
              <w:t>Allergan Australia Pty Ltd</w:t>
            </w:r>
          </w:p>
          <w:p w:rsidR="00C77A0F" w:rsidRDefault="00807A2A" w:rsidP="00E45619">
            <w:r>
              <w:t>Locked Bag 1514</w:t>
            </w:r>
          </w:p>
          <w:p w:rsidR="00807A2A" w:rsidRPr="00487162" w:rsidRDefault="00807A2A" w:rsidP="00E45619">
            <w:r>
              <w:t>Pymble NSW 2073</w:t>
            </w:r>
          </w:p>
        </w:tc>
      </w:tr>
      <w:tr w:rsidR="008E7846" w:rsidRPr="00487162" w:rsidTr="00C77A0F">
        <w:tc>
          <w:tcPr>
            <w:tcW w:w="2907" w:type="dxa"/>
          </w:tcPr>
          <w:p w:rsidR="008E7846" w:rsidRPr="00487162" w:rsidRDefault="00807A2A" w:rsidP="00E45619">
            <w:pPr>
              <w:rPr>
                <w:i/>
              </w:rPr>
            </w:pPr>
            <w:r>
              <w:rPr>
                <w:i/>
              </w:rPr>
              <w:t>Dose form</w:t>
            </w:r>
            <w:r w:rsidR="001B5C90">
              <w:rPr>
                <w:i/>
              </w:rPr>
              <w:t>:</w:t>
            </w:r>
          </w:p>
        </w:tc>
        <w:tc>
          <w:tcPr>
            <w:tcW w:w="6307" w:type="dxa"/>
          </w:tcPr>
          <w:p w:rsidR="008E7846" w:rsidRPr="00487162" w:rsidRDefault="00807A2A" w:rsidP="00E45619">
            <w:r>
              <w:t>Implant</w:t>
            </w:r>
          </w:p>
        </w:tc>
      </w:tr>
      <w:tr w:rsidR="008E7846" w:rsidRPr="00487162" w:rsidTr="00C77A0F">
        <w:tc>
          <w:tcPr>
            <w:tcW w:w="2907" w:type="dxa"/>
          </w:tcPr>
          <w:p w:rsidR="008E7846" w:rsidRPr="00487162" w:rsidRDefault="00807A2A" w:rsidP="00E45619">
            <w:pPr>
              <w:rPr>
                <w:i/>
              </w:rPr>
            </w:pPr>
            <w:r>
              <w:rPr>
                <w:i/>
              </w:rPr>
              <w:t>Strength</w:t>
            </w:r>
            <w:r w:rsidR="008E7846" w:rsidRPr="00487162">
              <w:rPr>
                <w:i/>
              </w:rPr>
              <w:t xml:space="preserve">: </w:t>
            </w:r>
          </w:p>
        </w:tc>
        <w:tc>
          <w:tcPr>
            <w:tcW w:w="6307" w:type="dxa"/>
          </w:tcPr>
          <w:p w:rsidR="008E7846" w:rsidRPr="00487162" w:rsidRDefault="00807A2A" w:rsidP="00E45619">
            <w:r>
              <w:t>700 µg</w:t>
            </w:r>
          </w:p>
        </w:tc>
      </w:tr>
      <w:tr w:rsidR="008E7846" w:rsidRPr="00487162" w:rsidTr="00C77A0F">
        <w:tc>
          <w:tcPr>
            <w:tcW w:w="2907" w:type="dxa"/>
          </w:tcPr>
          <w:p w:rsidR="008E7846" w:rsidRPr="00487162" w:rsidRDefault="00807A2A" w:rsidP="00E45619">
            <w:pPr>
              <w:rPr>
                <w:i/>
              </w:rPr>
            </w:pPr>
            <w:r>
              <w:rPr>
                <w:i/>
              </w:rPr>
              <w:t>Container</w:t>
            </w:r>
            <w:r w:rsidR="008E7846" w:rsidRPr="00487162">
              <w:rPr>
                <w:i/>
              </w:rPr>
              <w:t>:</w:t>
            </w:r>
          </w:p>
        </w:tc>
        <w:tc>
          <w:tcPr>
            <w:tcW w:w="6307" w:type="dxa"/>
          </w:tcPr>
          <w:p w:rsidR="008E7846" w:rsidRPr="00487162" w:rsidRDefault="00807A2A" w:rsidP="00E45619">
            <w:r>
              <w:t>Dispenser pack</w:t>
            </w:r>
          </w:p>
        </w:tc>
      </w:tr>
      <w:tr w:rsidR="008E7846" w:rsidRPr="00487162" w:rsidTr="00C77A0F">
        <w:tc>
          <w:tcPr>
            <w:tcW w:w="2907" w:type="dxa"/>
          </w:tcPr>
          <w:p w:rsidR="008E7846" w:rsidRPr="00487162" w:rsidRDefault="00807A2A" w:rsidP="00E45619">
            <w:pPr>
              <w:rPr>
                <w:i/>
              </w:rPr>
            </w:pPr>
            <w:r>
              <w:rPr>
                <w:i/>
              </w:rPr>
              <w:t>Pack size</w:t>
            </w:r>
            <w:r w:rsidR="008E7846" w:rsidRPr="00487162">
              <w:rPr>
                <w:i/>
              </w:rPr>
              <w:t>:</w:t>
            </w:r>
          </w:p>
        </w:tc>
        <w:tc>
          <w:tcPr>
            <w:tcW w:w="6307" w:type="dxa"/>
          </w:tcPr>
          <w:p w:rsidR="008E7846" w:rsidRPr="00487162" w:rsidRDefault="00807A2A" w:rsidP="00E45619">
            <w:r>
              <w:t>One intravitreal implant</w:t>
            </w:r>
          </w:p>
        </w:tc>
      </w:tr>
      <w:tr w:rsidR="008E7846" w:rsidRPr="00487162" w:rsidTr="00C77A0F">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8E7846" w:rsidRPr="0088431C" w:rsidRDefault="0088431C" w:rsidP="00E45619">
            <w:pPr>
              <w:rPr>
                <w:rFonts w:eastAsia="MS Mincho"/>
                <w:i/>
                <w:lang w:eastAsia="ja-JP"/>
              </w:rPr>
            </w:pPr>
            <w:r w:rsidRPr="0088431C">
              <w:rPr>
                <w:i/>
              </w:rPr>
              <w:t>Ozurdex is indicated for the treatment of diabetic macular oedema (DME)</w:t>
            </w:r>
          </w:p>
        </w:tc>
      </w:tr>
      <w:tr w:rsidR="008E7846" w:rsidRPr="00487162" w:rsidTr="00C77A0F">
        <w:tc>
          <w:tcPr>
            <w:tcW w:w="2907" w:type="dxa"/>
          </w:tcPr>
          <w:p w:rsidR="008E7846" w:rsidRPr="00487162" w:rsidRDefault="008E7846" w:rsidP="00E45619">
            <w:pPr>
              <w:rPr>
                <w:i/>
              </w:rPr>
            </w:pPr>
            <w:r w:rsidRPr="00487162">
              <w:rPr>
                <w:i/>
              </w:rPr>
              <w:t>Route(s) of administration:</w:t>
            </w:r>
          </w:p>
        </w:tc>
        <w:tc>
          <w:tcPr>
            <w:tcW w:w="6307" w:type="dxa"/>
          </w:tcPr>
          <w:p w:rsidR="008E7846" w:rsidRPr="00487162" w:rsidRDefault="00807A2A" w:rsidP="00E45619">
            <w:r>
              <w:t>Intravitreal – within the vitreous cavity of the eye</w:t>
            </w:r>
          </w:p>
        </w:tc>
      </w:tr>
      <w:tr w:rsidR="008E7846" w:rsidRPr="00487162" w:rsidTr="00C77A0F">
        <w:tc>
          <w:tcPr>
            <w:tcW w:w="2907" w:type="dxa"/>
          </w:tcPr>
          <w:p w:rsidR="008E7846" w:rsidRPr="00487162" w:rsidRDefault="008E7846" w:rsidP="00E45619">
            <w:pPr>
              <w:rPr>
                <w:i/>
              </w:rPr>
            </w:pPr>
            <w:r w:rsidRPr="00487162">
              <w:rPr>
                <w:i/>
              </w:rPr>
              <w:t>Dosage:</w:t>
            </w:r>
          </w:p>
        </w:tc>
        <w:tc>
          <w:tcPr>
            <w:tcW w:w="6307" w:type="dxa"/>
          </w:tcPr>
          <w:p w:rsidR="008E7846" w:rsidRPr="0088431C" w:rsidRDefault="0088431C" w:rsidP="0088431C">
            <w:r w:rsidRPr="0088431C">
              <w:t>Ozurdex must be administered by a qualified ophthalmologist, experienced in intravitreal insertions. For further details regarding dosage please see the Product Information (PI)</w:t>
            </w:r>
          </w:p>
        </w:tc>
      </w:tr>
      <w:tr w:rsidR="008E7846" w:rsidRPr="00487162" w:rsidTr="00C77A0F">
        <w:tc>
          <w:tcPr>
            <w:tcW w:w="2907" w:type="dxa"/>
          </w:tcPr>
          <w:p w:rsidR="008E7846" w:rsidRPr="00487162" w:rsidRDefault="008E7846" w:rsidP="001B5C90">
            <w:pPr>
              <w:rPr>
                <w:i/>
              </w:rPr>
            </w:pPr>
            <w:r w:rsidRPr="00487162">
              <w:rPr>
                <w:i/>
              </w:rPr>
              <w:t xml:space="preserve">ARTG </w:t>
            </w:r>
            <w:r w:rsidR="001B5C90">
              <w:rPr>
                <w:i/>
              </w:rPr>
              <w:t>n</w:t>
            </w:r>
            <w:r w:rsidR="00807A2A">
              <w:rPr>
                <w:i/>
              </w:rPr>
              <w:t>umber</w:t>
            </w:r>
            <w:r w:rsidR="001B5C90">
              <w:rPr>
                <w:i/>
              </w:rPr>
              <w:t>:</w:t>
            </w:r>
          </w:p>
        </w:tc>
        <w:tc>
          <w:tcPr>
            <w:tcW w:w="6307" w:type="dxa"/>
          </w:tcPr>
          <w:p w:rsidR="008E7846" w:rsidRPr="00487162" w:rsidRDefault="00807A2A" w:rsidP="00E45619">
            <w:r>
              <w:t>222392</w:t>
            </w:r>
          </w:p>
        </w:tc>
      </w:tr>
    </w:tbl>
    <w:p w:rsidR="008E7846" w:rsidRDefault="008E7846" w:rsidP="008E7846">
      <w:pPr>
        <w:pStyle w:val="Heading3"/>
      </w:pPr>
      <w:bookmarkStart w:id="13" w:name="_Toc247691503"/>
      <w:bookmarkStart w:id="14" w:name="_Toc314842484"/>
      <w:bookmarkStart w:id="15" w:name="_Toc465939499"/>
      <w:r>
        <w:t>Product background</w:t>
      </w:r>
      <w:bookmarkEnd w:id="13"/>
      <w:bookmarkEnd w:id="14"/>
      <w:bookmarkEnd w:id="15"/>
    </w:p>
    <w:p w:rsidR="008E7846" w:rsidRDefault="00940A89" w:rsidP="00940A89">
      <w:r w:rsidRPr="00940A89">
        <w:t>This AusPAR describes the application by</w:t>
      </w:r>
      <w:r w:rsidR="0088431C">
        <w:t xml:space="preserve"> Allergan Australia Pty Ltd</w:t>
      </w:r>
      <w:r w:rsidRPr="00940A89">
        <w:t xml:space="preserve"> </w:t>
      </w:r>
      <w:r w:rsidR="0088431C">
        <w:t>(</w:t>
      </w:r>
      <w:r w:rsidRPr="00940A89">
        <w:t>the sponsor</w:t>
      </w:r>
      <w:r w:rsidR="0088431C">
        <w:t>)</w:t>
      </w:r>
      <w:r w:rsidRPr="00940A89">
        <w:t xml:space="preserve"> to register </w:t>
      </w:r>
      <w:r w:rsidR="007E59EA">
        <w:t xml:space="preserve">Ozurdex dexamethasone 700 µg intravitreal implant </w:t>
      </w:r>
      <w:r w:rsidRPr="00940A89">
        <w:t>f</w:t>
      </w:r>
      <w:r w:rsidR="007E59EA">
        <w:t>or the following indication;</w:t>
      </w:r>
    </w:p>
    <w:p w:rsidR="008A5585" w:rsidRPr="007E59EA" w:rsidRDefault="007E59EA" w:rsidP="007E59EA">
      <w:pPr>
        <w:ind w:left="720"/>
        <w:rPr>
          <w:i/>
        </w:rPr>
      </w:pPr>
      <w:r>
        <w:rPr>
          <w:i/>
        </w:rPr>
        <w:t xml:space="preserve">For the </w:t>
      </w:r>
      <w:r w:rsidR="00536397" w:rsidRPr="00536397">
        <w:rPr>
          <w:i/>
        </w:rPr>
        <w:t>treatment of adult patients with visual impairment due to diabetic macular oedema, who are pseudophakic or who are considered insufficiently responsive to, or unsuitable for, non</w:t>
      </w:r>
      <w:r w:rsidR="003C6FF4">
        <w:rPr>
          <w:i/>
        </w:rPr>
        <w:t>-</w:t>
      </w:r>
      <w:r w:rsidR="00536397" w:rsidRPr="00536397">
        <w:rPr>
          <w:i/>
        </w:rPr>
        <w:t xml:space="preserve">corticosteroid </w:t>
      </w:r>
      <w:proofErr w:type="gramStart"/>
      <w:r w:rsidR="00536397" w:rsidRPr="00536397">
        <w:rPr>
          <w:i/>
        </w:rPr>
        <w:t>therapy</w:t>
      </w:r>
      <w:r w:rsidR="006B07CD">
        <w:rPr>
          <w:i/>
        </w:rPr>
        <w:t>.</w:t>
      </w:r>
      <w:proofErr w:type="gramEnd"/>
    </w:p>
    <w:p w:rsidR="007E59EA" w:rsidRDefault="007E59EA" w:rsidP="00536397">
      <w:r>
        <w:t>This submission is</w:t>
      </w:r>
      <w:r w:rsidR="00536397" w:rsidRPr="00536397">
        <w:t xml:space="preserve"> </w:t>
      </w:r>
      <w:r>
        <w:t xml:space="preserve">for </w:t>
      </w:r>
      <w:r w:rsidR="00536397" w:rsidRPr="00536397">
        <w:t>new dose form of dexamethasone (sustained</w:t>
      </w:r>
      <w:r w:rsidR="00D57E70">
        <w:t xml:space="preserve"> </w:t>
      </w:r>
      <w:r w:rsidR="00536397" w:rsidRPr="00536397">
        <w:t>release intravitreal implant)</w:t>
      </w:r>
      <w:r>
        <w:t>, new route of administration and new indication</w:t>
      </w:r>
      <w:r w:rsidR="00536397" w:rsidRPr="00536397">
        <w:t>.</w:t>
      </w:r>
    </w:p>
    <w:p w:rsidR="006D3BE0" w:rsidRPr="00536397" w:rsidRDefault="006D3BE0" w:rsidP="006D3BE0">
      <w:r>
        <w:t>Ozurdex</w:t>
      </w:r>
      <w:r w:rsidRPr="00536397">
        <w:t xml:space="preserve"> contains 700 </w:t>
      </w:r>
      <w:r>
        <w:t>µ</w:t>
      </w:r>
      <w:r w:rsidRPr="00536397">
        <w:t xml:space="preserve">g of dexamethasone in an inactive biodegradable polymer matrix: </w:t>
      </w:r>
      <w:r>
        <w:t xml:space="preserve">this is named as a </w:t>
      </w:r>
      <w:r w:rsidRPr="00536397">
        <w:t>dexamethasone posterior segment dru</w:t>
      </w:r>
      <w:r>
        <w:t>g delivery system (DEX PS DDS). Ozurdex</w:t>
      </w:r>
      <w:r w:rsidRPr="00536397">
        <w:t xml:space="preserve"> implants provide sustained release of dexamethasone, thereby reducing the frequency of intravitreal injections.</w:t>
      </w:r>
    </w:p>
    <w:p w:rsidR="006D3BE0" w:rsidRDefault="006D3BE0" w:rsidP="00C77A0F">
      <w:r w:rsidRPr="00536397">
        <w:lastRenderedPageBreak/>
        <w:t>Corticosteroids inhibit oedema, fibrin deposition</w:t>
      </w:r>
      <w:r w:rsidR="006B3E09">
        <w:t xml:space="preserve"> and</w:t>
      </w:r>
      <w:r w:rsidRPr="00536397">
        <w:t xml:space="preserve"> capillary leakage. They also prevent the release of prostaglandins, some of which have been identified as mediators of cystoid macular oedema.</w:t>
      </w:r>
      <w:r>
        <w:t xml:space="preserve"> </w:t>
      </w:r>
      <w:r w:rsidRPr="00A52683">
        <w:t xml:space="preserve">The </w:t>
      </w:r>
      <w:r w:rsidR="003C6FF4">
        <w:t>anti-inflammatory</w:t>
      </w:r>
      <w:r w:rsidRPr="00A52683">
        <w:t xml:space="preserve"> activity of the corticosteroid dexamethasone is well established, mediated by enhancement or inhibition of gene transcription leading to the up</w:t>
      </w:r>
      <w:r w:rsidR="00D57E70">
        <w:t xml:space="preserve"> </w:t>
      </w:r>
      <w:r w:rsidRPr="00A52683">
        <w:t>regulation or down</w:t>
      </w:r>
      <w:r w:rsidR="00D57E70">
        <w:t xml:space="preserve"> </w:t>
      </w:r>
      <w:r w:rsidRPr="00A52683">
        <w:t xml:space="preserve">regulation of multiple proteins. </w:t>
      </w:r>
      <w:r w:rsidRPr="00536397">
        <w:t xml:space="preserve">They have also been shown to inhibit the expression of </w:t>
      </w:r>
      <w:r w:rsidR="005B7908">
        <w:rPr>
          <w:rFonts w:asciiTheme="minorHAnsi" w:hAnsiTheme="minorHAnsi"/>
        </w:rPr>
        <w:t>vascular endothelial growth factor</w:t>
      </w:r>
      <w:r w:rsidR="005B7908" w:rsidRPr="00536397">
        <w:t xml:space="preserve"> </w:t>
      </w:r>
      <w:r w:rsidR="005B7908">
        <w:t>(</w:t>
      </w:r>
      <w:r w:rsidRPr="00536397">
        <w:t>VEGF</w:t>
      </w:r>
      <w:r w:rsidR="005B7908">
        <w:t>)</w:t>
      </w:r>
      <w:r w:rsidRPr="00536397">
        <w:t>; and have been hypothesised to antagonise VEGF</w:t>
      </w:r>
      <w:r w:rsidR="00D57E70">
        <w:t xml:space="preserve"> </w:t>
      </w:r>
      <w:r w:rsidRPr="00536397">
        <w:t>mediated disease progression.</w:t>
      </w:r>
    </w:p>
    <w:p w:rsidR="00536397" w:rsidRPr="00536397" w:rsidRDefault="006D3BE0" w:rsidP="00536397">
      <w:r>
        <w:t>VEGF</w:t>
      </w:r>
      <w:r w:rsidRPr="00A52683">
        <w:t xml:space="preserve"> has been implicated as playing a pivotal role in diabetic macular oedema, along with roles for other cytokines/pathways</w:t>
      </w:r>
      <w:r w:rsidR="005B7908">
        <w:t>.</w:t>
      </w:r>
      <w:bookmarkStart w:id="16" w:name="_Ref460339192"/>
      <w:r w:rsidR="005B7908">
        <w:rPr>
          <w:rStyle w:val="FootnoteReference"/>
        </w:rPr>
        <w:footnoteReference w:id="1"/>
      </w:r>
      <w:bookmarkEnd w:id="16"/>
      <w:r w:rsidR="005B7908">
        <w:t>,</w:t>
      </w:r>
      <w:bookmarkStart w:id="17" w:name="_Ref460339199"/>
      <w:r w:rsidR="005B7908">
        <w:rPr>
          <w:rStyle w:val="FootnoteReference"/>
        </w:rPr>
        <w:footnoteReference w:id="2"/>
      </w:r>
      <w:bookmarkEnd w:id="17"/>
      <w:r w:rsidR="005B7908">
        <w:t xml:space="preserve"> </w:t>
      </w:r>
      <w:r w:rsidRPr="00A52683">
        <w:t xml:space="preserve">VEGF is already viewed as a viable therapeutic target for this disease, with treatment of visual impairment due to diabetic macular oedema included in the indications approved for </w:t>
      </w:r>
      <w:proofErr w:type="spellStart"/>
      <w:r w:rsidRPr="00A52683">
        <w:t>ranibizumab</w:t>
      </w:r>
      <w:proofErr w:type="spellEnd"/>
      <w:r w:rsidR="005B7908">
        <w:t xml:space="preserve"> (</w:t>
      </w:r>
      <w:proofErr w:type="spellStart"/>
      <w:r w:rsidR="005B7908">
        <w:t>rbe</w:t>
      </w:r>
      <w:proofErr w:type="spellEnd"/>
      <w:r w:rsidR="005B7908">
        <w:t>)</w:t>
      </w:r>
      <w:r w:rsidRPr="00A52683">
        <w:t xml:space="preserve"> (</w:t>
      </w:r>
      <w:proofErr w:type="spellStart"/>
      <w:r w:rsidRPr="00A52683">
        <w:t>Lucentis</w:t>
      </w:r>
      <w:proofErr w:type="spellEnd"/>
      <w:r w:rsidRPr="00A52683">
        <w:t>), a monoclonal antibody against VEGF administered by intravitreal injection.</w:t>
      </w:r>
    </w:p>
    <w:p w:rsidR="008E7846" w:rsidRDefault="00386150" w:rsidP="008E7846">
      <w:pPr>
        <w:pStyle w:val="Heading3"/>
      </w:pPr>
      <w:bookmarkStart w:id="18" w:name="_Toc314842485"/>
      <w:bookmarkStart w:id="19" w:name="_Toc247691504"/>
      <w:bookmarkStart w:id="20" w:name="_Toc465939500"/>
      <w:r>
        <w:t>Regulatory s</w:t>
      </w:r>
      <w:r w:rsidR="008E7846">
        <w:t>tatus</w:t>
      </w:r>
      <w:bookmarkEnd w:id="18"/>
      <w:bookmarkEnd w:id="19"/>
      <w:bookmarkEnd w:id="20"/>
    </w:p>
    <w:p w:rsidR="006D3BE0" w:rsidRPr="00536397" w:rsidRDefault="007A3B71" w:rsidP="006D3BE0">
      <w:r w:rsidRPr="0098040E">
        <w:t xml:space="preserve">In March 2009, Allergan Australia submitted </w:t>
      </w:r>
      <w:r>
        <w:t>an</w:t>
      </w:r>
      <w:r w:rsidRPr="0098040E">
        <w:t xml:space="preserve"> application to register this product in Australia, for the treatment of adult patients with macular oedema due to either </w:t>
      </w:r>
      <w:r w:rsidR="005B7908" w:rsidRPr="0098040E">
        <w:t xml:space="preserve">central retinal vein occlusion </w:t>
      </w:r>
      <w:r w:rsidRPr="0098040E">
        <w:t xml:space="preserve">(CRVO) or </w:t>
      </w:r>
      <w:r w:rsidR="005B7908" w:rsidRPr="0098040E">
        <w:t xml:space="preserve">branch retinal vein occlusion </w:t>
      </w:r>
      <w:r w:rsidRPr="0098040E">
        <w:t xml:space="preserve">(BRVO) [Submission No: </w:t>
      </w:r>
      <w:r w:rsidR="00D57E70">
        <w:t>PM-2009-00795-3-5</w:t>
      </w:r>
      <w:r w:rsidRPr="0098040E">
        <w:t xml:space="preserve">]. The application was discussed at the 277th meeting (1 July 2011) of the Advisory Committee on Prescription Medicines (ACPM). The application was later withdrawn following a recommendation for rejection from the TGA's Delegate and the ACPM. </w:t>
      </w:r>
      <w:bookmarkStart w:id="21" w:name="_Toc247691505"/>
      <w:bookmarkStart w:id="22" w:name="_Toc314842486"/>
      <w:r w:rsidR="006D3BE0" w:rsidRPr="00536397">
        <w:t>The TGA’s concerns were that the pivotal trials only showed marginal efficacy and that the optimal re</w:t>
      </w:r>
      <w:r w:rsidR="003C6FF4">
        <w:t>-</w:t>
      </w:r>
      <w:r w:rsidR="006D3BE0" w:rsidRPr="00536397">
        <w:t>treatment period had not been well characterised.</w:t>
      </w:r>
    </w:p>
    <w:p w:rsidR="000E496D" w:rsidRDefault="000E496D" w:rsidP="006D3BE0">
      <w:r>
        <w:t>For this application the</w:t>
      </w:r>
      <w:r w:rsidR="006D3BE0" w:rsidRPr="00536397">
        <w:t xml:space="preserve"> indication will only be for diabetic macular oedema</w:t>
      </w:r>
      <w:r w:rsidR="003C6FF4">
        <w:t xml:space="preserve"> (DME)</w:t>
      </w:r>
      <w:r>
        <w:t>.</w:t>
      </w:r>
    </w:p>
    <w:p w:rsidR="002F74AD" w:rsidRDefault="000E496D" w:rsidP="006D3BE0">
      <w:r>
        <w:t xml:space="preserve">This product has been approved by </w:t>
      </w:r>
      <w:r w:rsidR="006D3BE0" w:rsidRPr="00536397">
        <w:t>the FDA an</w:t>
      </w:r>
      <w:r>
        <w:t>d EMA</w:t>
      </w:r>
      <w:r w:rsidR="002F74AD">
        <w:t xml:space="preserve"> </w:t>
      </w:r>
      <w:r>
        <w:t>for 3 indications;</w:t>
      </w:r>
    </w:p>
    <w:p w:rsidR="00941CAC" w:rsidRPr="00941CAC" w:rsidRDefault="00941CAC" w:rsidP="00941CAC">
      <w:pPr>
        <w:pStyle w:val="ListBullet"/>
      </w:pPr>
      <w:r w:rsidRPr="00941CAC">
        <w:t>macular oedema due to retinal vein occlusion (approved by FDA: 2009, EMA: 2010)</w:t>
      </w:r>
    </w:p>
    <w:p w:rsidR="00941CAC" w:rsidRPr="00941CAC" w:rsidRDefault="00941CAC" w:rsidP="00941CAC">
      <w:pPr>
        <w:pStyle w:val="ListBullet"/>
      </w:pPr>
      <w:r w:rsidRPr="00941CAC">
        <w:t>non-infectious posterior segment uveitis (approved by FDA: 2010, EMA: 2011)</w:t>
      </w:r>
    </w:p>
    <w:p w:rsidR="00941CAC" w:rsidRDefault="00941CAC" w:rsidP="006D3BE0">
      <w:pPr>
        <w:pStyle w:val="ListBullet"/>
      </w:pPr>
      <w:proofErr w:type="gramStart"/>
      <w:r w:rsidRPr="00941CAC">
        <w:t>diabetic</w:t>
      </w:r>
      <w:proofErr w:type="gramEnd"/>
      <w:r w:rsidRPr="00941CAC">
        <w:t xml:space="preserve"> macular oedema (approved by FDA: 2014, EMA: 2014).</w:t>
      </w:r>
    </w:p>
    <w:p w:rsidR="002F74AD" w:rsidRDefault="002F74AD" w:rsidP="002F74AD">
      <w:r w:rsidRPr="00940A89">
        <w:t>At the time the TGA considered this application, a similar</w:t>
      </w:r>
      <w:r>
        <w:t xml:space="preserve"> application had been approved</w:t>
      </w:r>
      <w:r w:rsidRPr="00940A89">
        <w:t xml:space="preserve"> in</w:t>
      </w:r>
      <w:r w:rsidR="000E496D">
        <w:t>;</w:t>
      </w:r>
      <w:r w:rsidRPr="00940A89">
        <w:t xml:space="preserve"> (</w:t>
      </w:r>
      <w:r>
        <w:t>Arg</w:t>
      </w:r>
      <w:r w:rsidR="00AF35BD">
        <w:t>entina</w:t>
      </w:r>
      <w:r w:rsidR="000E496D">
        <w:t>:</w:t>
      </w:r>
      <w:r w:rsidR="00AF35BD">
        <w:t xml:space="preserve"> 7 April 2011</w:t>
      </w:r>
      <w:r>
        <w:t>; Belgium</w:t>
      </w:r>
      <w:r w:rsidR="000E496D">
        <w:t>:</w:t>
      </w:r>
      <w:r>
        <w:t xml:space="preserve"> 1 September 2012; Brazil</w:t>
      </w:r>
      <w:r w:rsidR="000E496D">
        <w:t>:</w:t>
      </w:r>
      <w:r>
        <w:t xml:space="preserve"> April 2014; Bulgaria</w:t>
      </w:r>
      <w:r w:rsidR="000E496D">
        <w:t>:</w:t>
      </w:r>
      <w:r>
        <w:t xml:space="preserve"> 27 July 2012; Canada</w:t>
      </w:r>
      <w:r w:rsidR="000E496D">
        <w:t>:</w:t>
      </w:r>
      <w:r>
        <w:t xml:space="preserve"> 10 Feb 2011; Chile</w:t>
      </w:r>
      <w:r w:rsidR="000E496D">
        <w:t>:</w:t>
      </w:r>
      <w:r>
        <w:t xml:space="preserve"> 2 </w:t>
      </w:r>
      <w:r w:rsidR="00AF35BD">
        <w:t>Jan 2012; Columba</w:t>
      </w:r>
      <w:r w:rsidR="000E496D">
        <w:t>:</w:t>
      </w:r>
      <w:r w:rsidR="00941CAC">
        <w:t>*</w:t>
      </w:r>
      <w:r w:rsidR="00AF35BD">
        <w:t xml:space="preserve"> 22 March 2011</w:t>
      </w:r>
      <w:r>
        <w:t xml:space="preserve">; </w:t>
      </w:r>
      <w:r w:rsidR="00AF35BD">
        <w:t>Cyprus</w:t>
      </w:r>
      <w:r w:rsidR="000E496D">
        <w:t>:</w:t>
      </w:r>
      <w:r w:rsidR="00AF35BD">
        <w:t xml:space="preserve"> 27 July 2010; Ecuador</w:t>
      </w:r>
      <w:r w:rsidR="000E496D">
        <w:t>:</w:t>
      </w:r>
      <w:r w:rsidR="00AF35BD">
        <w:t xml:space="preserve"> 31 August 2011; EU</w:t>
      </w:r>
      <w:r w:rsidR="000E496D">
        <w:t>:</w:t>
      </w:r>
      <w:r w:rsidR="00941CAC">
        <w:t>*</w:t>
      </w:r>
      <w:r w:rsidR="00AF35BD">
        <w:t xml:space="preserve"> 27 July 2010; Hong Kong</w:t>
      </w:r>
      <w:r w:rsidR="000E496D">
        <w:t>:</w:t>
      </w:r>
      <w:r w:rsidR="00AF35BD">
        <w:t xml:space="preserve"> 19 Jan 2011; India</w:t>
      </w:r>
      <w:r w:rsidR="000E496D">
        <w:t>:</w:t>
      </w:r>
      <w:r w:rsidR="00AF35BD">
        <w:t xml:space="preserve"> 19 January 2010; Israel</w:t>
      </w:r>
      <w:r w:rsidR="000E496D">
        <w:t>: 3 </w:t>
      </w:r>
      <w:r w:rsidR="00AF35BD">
        <w:t>January 2012; Jordan</w:t>
      </w:r>
      <w:r w:rsidR="000E496D">
        <w:t>:</w:t>
      </w:r>
      <w:r w:rsidR="00AF35BD">
        <w:t xml:space="preserve"> 21 April 2013; Korea</w:t>
      </w:r>
      <w:r w:rsidR="000E496D">
        <w:t>:</w:t>
      </w:r>
      <w:r w:rsidR="00941CAC">
        <w:t>*</w:t>
      </w:r>
      <w:r w:rsidR="00AF35BD">
        <w:t xml:space="preserve"> 17 March 2011; Kuwait</w:t>
      </w:r>
      <w:r w:rsidR="000E496D">
        <w:t>:</w:t>
      </w:r>
      <w:r w:rsidR="00AF35BD">
        <w:t xml:space="preserve"> 9 January 2013; Lebanon</w:t>
      </w:r>
      <w:r w:rsidR="000E496D">
        <w:t>: 28 </w:t>
      </w:r>
      <w:r w:rsidR="00AF35BD">
        <w:t>March 2013; Malaysia</w:t>
      </w:r>
      <w:r w:rsidR="000E496D">
        <w:t>:</w:t>
      </w:r>
      <w:r w:rsidR="00AF35BD">
        <w:t xml:space="preserve"> 29 November 2012; Mexico</w:t>
      </w:r>
      <w:r w:rsidR="000E496D">
        <w:t>:</w:t>
      </w:r>
      <w:r w:rsidR="00AF35BD">
        <w:t xml:space="preserve"> 25 January 2012; New Zealand</w:t>
      </w:r>
      <w:r w:rsidR="000E496D">
        <w:t>:</w:t>
      </w:r>
      <w:r w:rsidR="00AF35BD">
        <w:t xml:space="preserve"> 17 December 2010; Peru</w:t>
      </w:r>
      <w:r w:rsidR="000E496D">
        <w:t>:</w:t>
      </w:r>
      <w:r w:rsidR="00AF35BD">
        <w:t xml:space="preserve"> 30 July 2014; Philippines</w:t>
      </w:r>
      <w:r w:rsidR="000E496D">
        <w:t>:</w:t>
      </w:r>
      <w:r w:rsidR="00AF35BD">
        <w:t xml:space="preserve"> 8 January 2014; Russian Federation</w:t>
      </w:r>
      <w:r w:rsidR="000E496D">
        <w:t>:</w:t>
      </w:r>
      <w:r w:rsidR="00AF35BD">
        <w:t xml:space="preserve"> 23 November 2012; Serbia</w:t>
      </w:r>
      <w:r w:rsidR="000E496D">
        <w:t>:</w:t>
      </w:r>
      <w:r w:rsidR="00AF35BD">
        <w:t xml:space="preserve"> 1 November 2011; Singapore</w:t>
      </w:r>
      <w:r w:rsidR="000E496D">
        <w:t>:</w:t>
      </w:r>
      <w:r w:rsidR="00AF35BD">
        <w:t xml:space="preserve"> 23 November 2011; South Africa</w:t>
      </w:r>
      <w:r w:rsidR="000E496D">
        <w:t>:</w:t>
      </w:r>
      <w:r w:rsidR="00AF35BD">
        <w:t xml:space="preserve"> 7 December 2012; Sri Lanka</w:t>
      </w:r>
      <w:r w:rsidR="000E496D">
        <w:t>:</w:t>
      </w:r>
      <w:r w:rsidR="00AF35BD">
        <w:t xml:space="preserve"> 1 December 2011; Switzerland</w:t>
      </w:r>
      <w:r w:rsidR="000E496D">
        <w:t>:</w:t>
      </w:r>
      <w:r w:rsidR="00AF35BD">
        <w:t xml:space="preserve"> 10 Jan 2011; Taiwan</w:t>
      </w:r>
      <w:r w:rsidR="000E496D">
        <w:t>:</w:t>
      </w:r>
      <w:r w:rsidR="00AF35BD">
        <w:t xml:space="preserve"> 18 October 2012; </w:t>
      </w:r>
      <w:r w:rsidR="000E496D">
        <w:t>Thailand:</w:t>
      </w:r>
      <w:r w:rsidR="00AF35BD">
        <w:t xml:space="preserve"> 5 February 2013; Turkey</w:t>
      </w:r>
      <w:r w:rsidR="000E496D">
        <w:t>:</w:t>
      </w:r>
      <w:r w:rsidR="00941CAC">
        <w:t>*</w:t>
      </w:r>
      <w:r w:rsidR="00AF35BD">
        <w:t xml:space="preserve"> 28 February 2012; UAE</w:t>
      </w:r>
      <w:r w:rsidR="000E496D">
        <w:t>:</w:t>
      </w:r>
      <w:r w:rsidR="00AF35BD">
        <w:t xml:space="preserve"> 10 June 2012; Ukraine</w:t>
      </w:r>
      <w:r w:rsidR="000E496D">
        <w:t>:</w:t>
      </w:r>
      <w:r w:rsidR="00AF35BD">
        <w:t xml:space="preserve"> 2 July 2012; USA</w:t>
      </w:r>
      <w:r w:rsidR="000E496D">
        <w:t>:</w:t>
      </w:r>
      <w:r w:rsidR="00941CAC">
        <w:t>*</w:t>
      </w:r>
      <w:r w:rsidR="00AF35BD">
        <w:t xml:space="preserve"> 17 J</w:t>
      </w:r>
      <w:r w:rsidR="00941CAC">
        <w:t>une 2009; Vietnam</w:t>
      </w:r>
      <w:r w:rsidR="000E496D">
        <w:t>:</w:t>
      </w:r>
      <w:r w:rsidR="00941CAC">
        <w:t xml:space="preserve"> 22 March 2012). Note those marked with an asterisk* approved indications include for diabetic macular oedema.</w:t>
      </w:r>
    </w:p>
    <w:p w:rsidR="005B7908" w:rsidRDefault="00536397" w:rsidP="00536397">
      <w:r w:rsidRPr="00536397">
        <w:t xml:space="preserve">For </w:t>
      </w:r>
      <w:r w:rsidR="005B7908">
        <w:t>DME</w:t>
      </w:r>
      <w:r w:rsidRPr="00536397">
        <w:t xml:space="preserve">, the wording of the proposed Australian </w:t>
      </w:r>
      <w:r w:rsidR="006D3BE0" w:rsidRPr="00536397">
        <w:t>indication</w:t>
      </w:r>
      <w:r w:rsidRPr="00536397">
        <w:t xml:space="preserve"> matches the wording of the EU </w:t>
      </w:r>
      <w:r w:rsidR="006D3BE0" w:rsidRPr="00536397">
        <w:t>indication</w:t>
      </w:r>
      <w:r w:rsidR="005B7908">
        <w:t>:</w:t>
      </w:r>
    </w:p>
    <w:p w:rsidR="00536397" w:rsidRPr="005B7908" w:rsidRDefault="00536397" w:rsidP="005B7908">
      <w:pPr>
        <w:ind w:left="720"/>
        <w:rPr>
          <w:i/>
        </w:rPr>
      </w:pPr>
      <w:proofErr w:type="gramStart"/>
      <w:r w:rsidRPr="005B7908">
        <w:rPr>
          <w:i/>
        </w:rPr>
        <w:t>adult</w:t>
      </w:r>
      <w:proofErr w:type="gramEnd"/>
      <w:r w:rsidRPr="005B7908">
        <w:rPr>
          <w:i/>
        </w:rPr>
        <w:t xml:space="preserve"> patients with diabetic macular oedema who are pseudophakic or who are considered insufficiently responsive </w:t>
      </w:r>
      <w:r w:rsidR="006D3BE0" w:rsidRPr="005B7908">
        <w:rPr>
          <w:i/>
        </w:rPr>
        <w:t>to</w:t>
      </w:r>
      <w:r w:rsidRPr="005B7908">
        <w:rPr>
          <w:i/>
        </w:rPr>
        <w:t xml:space="preserve"> or unsuitable for non</w:t>
      </w:r>
      <w:r w:rsidR="005B7908">
        <w:rPr>
          <w:i/>
        </w:rPr>
        <w:t>-corticosteroid therapy.</w:t>
      </w:r>
    </w:p>
    <w:p w:rsidR="00536397" w:rsidRPr="00536397" w:rsidRDefault="00536397" w:rsidP="00536397">
      <w:r w:rsidRPr="00536397">
        <w:lastRenderedPageBreak/>
        <w:t>The EMA’s CHMP considered that the benefit</w:t>
      </w:r>
      <w:r w:rsidR="00D57E70">
        <w:t xml:space="preserve"> </w:t>
      </w:r>
      <w:r w:rsidRPr="00536397">
        <w:t xml:space="preserve">risk balance for </w:t>
      </w:r>
      <w:r w:rsidR="007E59EA">
        <w:t>Ozurdex</w:t>
      </w:r>
      <w:r w:rsidRPr="00536397">
        <w:t xml:space="preserve"> for the originally proposed </w:t>
      </w:r>
      <w:r w:rsidR="006D3BE0" w:rsidRPr="00536397">
        <w:t>indication</w:t>
      </w:r>
      <w:r w:rsidRPr="00536397">
        <w:t xml:space="preserve"> of “… </w:t>
      </w:r>
      <w:r w:rsidRPr="005B7908">
        <w:rPr>
          <w:i/>
        </w:rPr>
        <w:t>adult patients with diabetic macular oedema</w:t>
      </w:r>
      <w:r w:rsidRPr="00536397">
        <w:t>” was negative. The concerns were:</w:t>
      </w:r>
    </w:p>
    <w:p w:rsidR="00536397" w:rsidRPr="00536397" w:rsidRDefault="00536397" w:rsidP="005B7908">
      <w:pPr>
        <w:ind w:left="720"/>
      </w:pPr>
      <w:r w:rsidRPr="00536397">
        <w:t xml:space="preserve">Only one of the two </w:t>
      </w:r>
      <w:r w:rsidR="006D3BE0">
        <w:t>Phase III</w:t>
      </w:r>
      <w:r w:rsidRPr="00536397">
        <w:t xml:space="preserve"> studies showed a statistically significant improvement on the pre</w:t>
      </w:r>
      <w:r w:rsidR="00D57E70">
        <w:t xml:space="preserve"> </w:t>
      </w:r>
      <w:r w:rsidRPr="00536397">
        <w:t xml:space="preserve">specified primary endpoint (difference in mean </w:t>
      </w:r>
      <w:r w:rsidR="00A66DC2">
        <w:rPr>
          <w:rFonts w:asciiTheme="minorHAnsi" w:hAnsiTheme="minorHAnsi"/>
        </w:rPr>
        <w:t>best corrected visual acuity</w:t>
      </w:r>
      <w:r w:rsidR="00A66DC2" w:rsidRPr="00536397">
        <w:t xml:space="preserve"> </w:t>
      </w:r>
      <w:r w:rsidR="00A66DC2">
        <w:t>(</w:t>
      </w:r>
      <w:r w:rsidRPr="00536397">
        <w:t>BCVA</w:t>
      </w:r>
      <w:r w:rsidR="00A66DC2">
        <w:t>)</w:t>
      </w:r>
      <w:r w:rsidRPr="00536397">
        <w:t xml:space="preserve"> [</w:t>
      </w:r>
      <w:r w:rsidR="005B7908" w:rsidRPr="00A36FBB">
        <w:rPr>
          <w:rFonts w:asciiTheme="minorHAnsi" w:hAnsiTheme="minorHAnsi"/>
        </w:rPr>
        <w:t>area under the curve</w:t>
      </w:r>
      <w:r w:rsidR="005B7908" w:rsidRPr="00536397">
        <w:t xml:space="preserve"> </w:t>
      </w:r>
      <w:r w:rsidR="005B7908">
        <w:t>(</w:t>
      </w:r>
      <w:r w:rsidRPr="00536397">
        <w:t>AUC</w:t>
      </w:r>
      <w:r w:rsidR="005B7908">
        <w:t>)</w:t>
      </w:r>
      <w:r w:rsidRPr="00536397">
        <w:t xml:space="preserve">] change from baseline) and this </w:t>
      </w:r>
      <w:r w:rsidR="006D3BE0">
        <w:t xml:space="preserve">difference was small (1 to </w:t>
      </w:r>
      <w:r w:rsidRPr="00536397">
        <w:t xml:space="preserve">2 letters over the </w:t>
      </w:r>
      <w:r w:rsidR="006D3BE0">
        <w:t>3 year</w:t>
      </w:r>
      <w:r w:rsidRPr="00536397">
        <w:t xml:space="preserve"> study) and of questionable clinical significance (the minimal clinically important difference used in the sample size calculation was a </w:t>
      </w:r>
      <w:r w:rsidR="006D3BE0">
        <w:t>4 letter</w:t>
      </w:r>
      <w:r w:rsidRPr="00536397">
        <w:t xml:space="preserve"> difference in the change).</w:t>
      </w:r>
    </w:p>
    <w:p w:rsidR="00536397" w:rsidRPr="00536397" w:rsidRDefault="00536397" w:rsidP="00536397">
      <w:r w:rsidRPr="00536397">
        <w:t>As expected with corticosteroid injections, there was a high incidenc</w:t>
      </w:r>
      <w:r w:rsidR="00D57E70">
        <w:t>e of cataracts and raised intra</w:t>
      </w:r>
      <w:r w:rsidRPr="00536397">
        <w:t>ocular pressure.</w:t>
      </w:r>
    </w:p>
    <w:p w:rsidR="00536397" w:rsidRPr="00536397" w:rsidRDefault="00536397" w:rsidP="00536397">
      <w:r w:rsidRPr="00536397">
        <w:t xml:space="preserve">Based on subgroup analyses of the two </w:t>
      </w:r>
      <w:r w:rsidR="006D3BE0">
        <w:t>Phase III</w:t>
      </w:r>
      <w:r w:rsidRPr="00536397">
        <w:t xml:space="preserve"> trials, the CH</w:t>
      </w:r>
      <w:r w:rsidR="006D3BE0">
        <w:t>MP considered that the benefit</w:t>
      </w:r>
      <w:r w:rsidR="00D57E70">
        <w:t xml:space="preserve"> </w:t>
      </w:r>
      <w:r w:rsidRPr="00536397">
        <w:t xml:space="preserve">risk balance was favourable for the restricted patient population who were pseudophakic or insufficiently responsive or unsuitable </w:t>
      </w:r>
      <w:r w:rsidR="006D3BE0">
        <w:t>for non</w:t>
      </w:r>
      <w:r w:rsidR="003C6FF4">
        <w:t>-</w:t>
      </w:r>
      <w:r w:rsidR="006D3BE0">
        <w:t>corticosteroid therapy.</w:t>
      </w:r>
    </w:p>
    <w:p w:rsidR="00536397" w:rsidRPr="00536397" w:rsidRDefault="00536397" w:rsidP="00536397">
      <w:r w:rsidRPr="00536397">
        <w:t xml:space="preserve">The currently approved US </w:t>
      </w:r>
      <w:r w:rsidR="006D3BE0" w:rsidRPr="00536397">
        <w:t>indication</w:t>
      </w:r>
      <w:r w:rsidR="00BF3CCC">
        <w:t xml:space="preserve"> is for </w:t>
      </w:r>
      <w:r w:rsidRPr="005B7908">
        <w:rPr>
          <w:i/>
        </w:rPr>
        <w:t>treatm</w:t>
      </w:r>
      <w:r w:rsidR="005C2E04" w:rsidRPr="005B7908">
        <w:rPr>
          <w:i/>
        </w:rPr>
        <w:t xml:space="preserve">ent of diabetic macular </w:t>
      </w:r>
      <w:r w:rsidR="00BF3CCC" w:rsidRPr="005B7908">
        <w:rPr>
          <w:i/>
        </w:rPr>
        <w:t>oedema</w:t>
      </w:r>
      <w:r w:rsidR="005C2E04">
        <w:t>.</w:t>
      </w:r>
    </w:p>
    <w:p w:rsidR="00973A68" w:rsidRDefault="00536397" w:rsidP="00536397">
      <w:r w:rsidRPr="00536397">
        <w:t xml:space="preserve">The </w:t>
      </w:r>
      <w:r w:rsidR="006D3BE0">
        <w:t>indication</w:t>
      </w:r>
      <w:r w:rsidRPr="00536397">
        <w:t xml:space="preserve"> initially app</w:t>
      </w:r>
      <w:r w:rsidR="00973A68">
        <w:t>roved by the FDA in the US was:</w:t>
      </w:r>
    </w:p>
    <w:p w:rsidR="00973A68" w:rsidRDefault="00536397" w:rsidP="00973A68">
      <w:pPr>
        <w:ind w:left="720"/>
      </w:pPr>
      <w:proofErr w:type="gramStart"/>
      <w:r w:rsidRPr="00973A68">
        <w:rPr>
          <w:i/>
        </w:rPr>
        <w:t>adult</w:t>
      </w:r>
      <w:proofErr w:type="gramEnd"/>
      <w:r w:rsidRPr="00973A68">
        <w:rPr>
          <w:i/>
        </w:rPr>
        <w:t xml:space="preserve"> patients with diabetic macular </w:t>
      </w:r>
      <w:r w:rsidR="00BF3CCC" w:rsidRPr="00973A68">
        <w:rPr>
          <w:i/>
        </w:rPr>
        <w:t>oedema</w:t>
      </w:r>
      <w:r w:rsidRPr="00973A68">
        <w:rPr>
          <w:i/>
        </w:rPr>
        <w:t xml:space="preserve"> who have an artificial lens implant or who are scheduled for cataract</w:t>
      </w:r>
      <w:r w:rsidR="005C2E04" w:rsidRPr="00973A68">
        <w:rPr>
          <w:i/>
        </w:rPr>
        <w:t xml:space="preserve"> </w:t>
      </w:r>
      <w:r w:rsidRPr="00973A68">
        <w:rPr>
          <w:i/>
        </w:rPr>
        <w:t>surgery</w:t>
      </w:r>
    </w:p>
    <w:p w:rsidR="00536397" w:rsidRPr="00536397" w:rsidRDefault="00536397" w:rsidP="00536397">
      <w:proofErr w:type="gramStart"/>
      <w:r w:rsidRPr="00536397">
        <w:t>but</w:t>
      </w:r>
      <w:proofErr w:type="gramEnd"/>
      <w:r w:rsidRPr="00536397">
        <w:t>, this was amended following a request from the FDA for a supplemental application.</w:t>
      </w:r>
    </w:p>
    <w:p w:rsidR="00973A68" w:rsidRDefault="00536397" w:rsidP="00536397">
      <w:r w:rsidRPr="00536397">
        <w:t>This Australian applicatio</w:t>
      </w:r>
      <w:r w:rsidR="00973A68">
        <w:t>n to the TGA initially proposed;</w:t>
      </w:r>
    </w:p>
    <w:p w:rsidR="00973A68" w:rsidRDefault="000E496D" w:rsidP="00973A68">
      <w:pPr>
        <w:ind w:left="720"/>
      </w:pPr>
      <w:r w:rsidRPr="00973A68">
        <w:rPr>
          <w:i/>
        </w:rPr>
        <w:t>Treatment</w:t>
      </w:r>
      <w:r w:rsidR="00536397" w:rsidRPr="00973A68">
        <w:rPr>
          <w:i/>
        </w:rPr>
        <w:t xml:space="preserve"> of diabetic macular oedema</w:t>
      </w:r>
    </w:p>
    <w:p w:rsidR="00973A68" w:rsidRDefault="00536397" w:rsidP="00973A68">
      <w:r w:rsidRPr="00536397">
        <w:t>During the evaluation it was changed to th</w:t>
      </w:r>
      <w:r w:rsidR="00973A68">
        <w:t>at approved by the EMA:</w:t>
      </w:r>
    </w:p>
    <w:p w:rsidR="00536397" w:rsidRDefault="00536397" w:rsidP="00973A68">
      <w:pPr>
        <w:ind w:left="720"/>
      </w:pPr>
      <w:proofErr w:type="gramStart"/>
      <w:r w:rsidRPr="00973A68">
        <w:rPr>
          <w:i/>
        </w:rPr>
        <w:t>adult</w:t>
      </w:r>
      <w:proofErr w:type="gramEnd"/>
      <w:r w:rsidRPr="00973A68">
        <w:rPr>
          <w:i/>
        </w:rPr>
        <w:t xml:space="preserve"> patients with diabetic macular oedema who are pseudophakic or who are considered insufficiently responsive to, or unsuitable f</w:t>
      </w:r>
      <w:r w:rsidR="005C2E04" w:rsidRPr="00973A68">
        <w:rPr>
          <w:i/>
        </w:rPr>
        <w:t>or non</w:t>
      </w:r>
      <w:r w:rsidR="003C6FF4" w:rsidRPr="00973A68">
        <w:rPr>
          <w:i/>
        </w:rPr>
        <w:t>-</w:t>
      </w:r>
      <w:r w:rsidR="005C2E04" w:rsidRPr="00973A68">
        <w:rPr>
          <w:i/>
        </w:rPr>
        <w:t>corticosteroid therapy</w:t>
      </w:r>
      <w:r w:rsidR="00BF3CCC">
        <w:t>.</w:t>
      </w:r>
    </w:p>
    <w:p w:rsidR="00BF3CCC" w:rsidRDefault="00BF3CCC" w:rsidP="000E496D">
      <w:r>
        <w:t>The final approved indication for this submission is:</w:t>
      </w:r>
    </w:p>
    <w:p w:rsidR="000E496D" w:rsidRPr="000E496D" w:rsidRDefault="00BF3CCC" w:rsidP="00BF3CCC">
      <w:pPr>
        <w:ind w:left="720"/>
      </w:pPr>
      <w:r w:rsidRPr="0088431C">
        <w:rPr>
          <w:i/>
        </w:rPr>
        <w:t>Ozurdex is indicated for the treatment of diabetic macular oedema (DME)</w:t>
      </w:r>
      <w:r>
        <w:rPr>
          <w:i/>
        </w:rPr>
        <w:t>.</w:t>
      </w:r>
    </w:p>
    <w:p w:rsidR="008E7846" w:rsidRDefault="008E7846" w:rsidP="00940A89">
      <w:pPr>
        <w:pStyle w:val="Heading3"/>
      </w:pPr>
      <w:bookmarkStart w:id="23" w:name="_Toc465939501"/>
      <w:r>
        <w:t>Product Information</w:t>
      </w:r>
      <w:bookmarkEnd w:id="21"/>
      <w:bookmarkEnd w:id="22"/>
      <w:bookmarkEnd w:id="23"/>
    </w:p>
    <w:p w:rsidR="00940A89" w:rsidRDefault="006136D7" w:rsidP="00940A89">
      <w:pPr>
        <w:rPr>
          <w:b/>
          <w:bCs/>
        </w:rPr>
      </w:pPr>
      <w:bookmarkStart w:id="24" w:name="_Toc247691506"/>
      <w:bookmarkStart w:id="25"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4" w:history="1">
        <w:r w:rsidR="00441C3F" w:rsidRPr="00441C3F">
          <w:rPr>
            <w:rStyle w:val="Hyperlink"/>
          </w:rPr>
          <w:t>https://www.tga.gov.au/product</w:t>
        </w:r>
        <w:r w:rsidR="00D57E70">
          <w:rPr>
            <w:rStyle w:val="Hyperlink"/>
          </w:rPr>
          <w:t xml:space="preserve"> </w:t>
        </w:r>
        <w:r w:rsidR="00441C3F" w:rsidRPr="00441C3F">
          <w:rPr>
            <w:rStyle w:val="Hyperlink"/>
          </w:rPr>
          <w:t>information</w:t>
        </w:r>
        <w:r w:rsidR="00D57E70">
          <w:rPr>
            <w:rStyle w:val="Hyperlink"/>
          </w:rPr>
          <w:t xml:space="preserve"> </w:t>
        </w:r>
        <w:r w:rsidR="00441C3F" w:rsidRPr="00441C3F">
          <w:rPr>
            <w:rStyle w:val="Hyperlink"/>
          </w:rPr>
          <w:t>pi</w:t>
        </w:r>
      </w:hyperlink>
      <w:r w:rsidR="00441C3F">
        <w:t>&gt;</w:t>
      </w:r>
      <w:r w:rsidR="00940A89" w:rsidRPr="00940A89">
        <w:t>.</w:t>
      </w:r>
    </w:p>
    <w:p w:rsidR="008E7846" w:rsidRPr="003602A9" w:rsidRDefault="008E7846" w:rsidP="008E7846">
      <w:pPr>
        <w:pStyle w:val="Heading2"/>
        <w:ind w:left="-11"/>
      </w:pPr>
      <w:bookmarkStart w:id="26" w:name="_Toc465939502"/>
      <w:r>
        <w:t>II. Quality</w:t>
      </w:r>
      <w:bookmarkEnd w:id="1"/>
      <w:r>
        <w:t xml:space="preserve"> findings</w:t>
      </w:r>
      <w:bookmarkEnd w:id="24"/>
      <w:bookmarkEnd w:id="25"/>
      <w:bookmarkEnd w:id="26"/>
    </w:p>
    <w:p w:rsidR="00940A89" w:rsidRDefault="00940A89" w:rsidP="00940A89">
      <w:pPr>
        <w:pStyle w:val="Heading3"/>
      </w:pPr>
      <w:bookmarkStart w:id="27" w:name="_Toc247691507"/>
      <w:bookmarkStart w:id="28" w:name="_Toc314842488"/>
      <w:bookmarkStart w:id="29" w:name="_Toc465939503"/>
      <w:r w:rsidRPr="00940A89">
        <w:t>Introduction</w:t>
      </w:r>
      <w:bookmarkEnd w:id="29"/>
    </w:p>
    <w:p w:rsidR="0098040E" w:rsidRPr="0098040E" w:rsidRDefault="00BF3CCC" w:rsidP="0098040E">
      <w:r>
        <w:t>Ozurdex</w:t>
      </w:r>
      <w:r w:rsidR="0098040E" w:rsidRPr="0098040E">
        <w:t xml:space="preserve"> </w:t>
      </w:r>
      <w:r w:rsidR="007A3B71" w:rsidRPr="0098040E">
        <w:t>dexamethasone intravitreal implant</w:t>
      </w:r>
      <w:r>
        <w:t xml:space="preserve"> is proposed</w:t>
      </w:r>
      <w:r w:rsidR="007A3B71" w:rsidRPr="0098040E">
        <w:t xml:space="preserve"> </w:t>
      </w:r>
      <w:r w:rsidR="0098040E" w:rsidRPr="0098040E">
        <w:t>for use in the treatment of diabetic macular oedema (DME). The implant is a solid rod of a biodegradable polymer matrix that will be implanted using a</w:t>
      </w:r>
      <w:r w:rsidR="008113EC">
        <w:t>n</w:t>
      </w:r>
      <w:r w:rsidR="0098040E" w:rsidRPr="0098040E">
        <w:t xml:space="preserve"> applicator into the posterior segment of the eye.</w:t>
      </w:r>
    </w:p>
    <w:p w:rsidR="005C2E04" w:rsidRDefault="007A3B71" w:rsidP="0098040E">
      <w:r>
        <w:t>At the time of the ACPM for the previous submission</w:t>
      </w:r>
      <w:r w:rsidR="0098040E" w:rsidRPr="0098040E">
        <w:t xml:space="preserve"> </w:t>
      </w:r>
      <w:r w:rsidR="00973A68">
        <w:t xml:space="preserve">(PM-2009-00795-3-5) </w:t>
      </w:r>
      <w:r w:rsidR="0098040E" w:rsidRPr="0098040E">
        <w:t>all aspects of chemistry, manufacturing</w:t>
      </w:r>
      <w:r w:rsidR="00505B0D">
        <w:t xml:space="preserve"> and quality had been resolved.</w:t>
      </w:r>
      <w:r w:rsidRPr="00FB35AC">
        <w:t xml:space="preserve"> </w:t>
      </w:r>
      <w:r w:rsidR="003C6FF4">
        <w:t>However</w:t>
      </w:r>
      <w:r w:rsidRPr="00FB35AC">
        <w:t xml:space="preserve"> </w:t>
      </w:r>
      <w:r w:rsidR="00881FB2">
        <w:t>there are some differences between the previous submission and the current submission with regard to assays and limits</w:t>
      </w:r>
      <w:r w:rsidRPr="00FB35AC">
        <w:t>.</w:t>
      </w:r>
    </w:p>
    <w:p w:rsidR="005C2E04" w:rsidRDefault="005C2E04" w:rsidP="005C2E04">
      <w:pPr>
        <w:pStyle w:val="Heading3"/>
      </w:pPr>
      <w:bookmarkStart w:id="30" w:name="_Toc465939504"/>
      <w:r w:rsidRPr="008751DC">
        <w:lastRenderedPageBreak/>
        <w:t xml:space="preserve">Drug </w:t>
      </w:r>
      <w:r>
        <w:t>s</w:t>
      </w:r>
      <w:r w:rsidRPr="008751DC">
        <w:t>ubstance</w:t>
      </w:r>
      <w:r>
        <w:t xml:space="preserve"> (active ingredient)</w:t>
      </w:r>
      <w:bookmarkEnd w:id="30"/>
    </w:p>
    <w:p w:rsidR="0098040E" w:rsidRDefault="0098040E" w:rsidP="0098040E">
      <w:r w:rsidRPr="0098040E">
        <w:t>Ozurdex is formulated with dexamethasone, a synthetic steroid:</w:t>
      </w:r>
    </w:p>
    <w:p w:rsidR="003C6FF4" w:rsidRPr="0098040E" w:rsidRDefault="003C6FF4" w:rsidP="00C77A0F">
      <w:pPr>
        <w:pStyle w:val="FigureTitle"/>
      </w:pPr>
      <w:r>
        <w:t>Figure 1 Structure of dexamethasone</w:t>
      </w:r>
    </w:p>
    <w:p w:rsidR="0098040E" w:rsidRDefault="0098040E" w:rsidP="0098040E">
      <w:r>
        <w:rPr>
          <w:noProof/>
          <w:lang w:eastAsia="en-AU"/>
        </w:rPr>
        <w:drawing>
          <wp:inline distT="0" distB="0" distL="0" distR="0" wp14:anchorId="78DFD955" wp14:editId="3EA18D70">
            <wp:extent cx="3848100" cy="1666875"/>
            <wp:effectExtent l="0" t="0" r="0" b="9525"/>
            <wp:docPr id="1" name="Picture 1" descr="Figure 1 Structure of dexamethas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848100" cy="1666875"/>
                    </a:xfrm>
                    <a:prstGeom prst="rect">
                      <a:avLst/>
                    </a:prstGeom>
                  </pic:spPr>
                </pic:pic>
              </a:graphicData>
            </a:graphic>
          </wp:inline>
        </w:drawing>
      </w:r>
    </w:p>
    <w:p w:rsidR="0098040E" w:rsidRPr="0098040E" w:rsidRDefault="0098040E" w:rsidP="0098040E">
      <w:r w:rsidRPr="0098040E">
        <w:t>Dexamethasone itself is currently registered in a number of products (frequently in combination wit</w:t>
      </w:r>
      <w:r w:rsidR="005C2E04">
        <w:t>h other drugs, not shown here):</w:t>
      </w:r>
    </w:p>
    <w:p w:rsidR="0098040E" w:rsidRPr="0098040E" w:rsidRDefault="0098040E" w:rsidP="007A3B71">
      <w:pPr>
        <w:pStyle w:val="ListBullet"/>
      </w:pPr>
      <w:proofErr w:type="spellStart"/>
      <w:r w:rsidRPr="0098040E">
        <w:t>Maxidex</w:t>
      </w:r>
      <w:proofErr w:type="spellEnd"/>
      <w:r w:rsidRPr="0098040E">
        <w:t xml:space="preserve"> 0.1%</w:t>
      </w:r>
      <w:r w:rsidR="00881FB2">
        <w:t xml:space="preserve"> eye drops suspension [1 mg/mL]</w:t>
      </w:r>
    </w:p>
    <w:p w:rsidR="0098040E" w:rsidRPr="0098040E" w:rsidRDefault="0098040E" w:rsidP="007A3B71">
      <w:pPr>
        <w:pStyle w:val="ListBullet"/>
      </w:pPr>
      <w:proofErr w:type="spellStart"/>
      <w:r w:rsidRPr="0098040E">
        <w:t>Dexmeth</w:t>
      </w:r>
      <w:r w:rsidR="00881FB2">
        <w:t>sone</w:t>
      </w:r>
      <w:proofErr w:type="spellEnd"/>
      <w:r w:rsidR="00881FB2">
        <w:t xml:space="preserve"> 4 mg dexamethasone tablet</w:t>
      </w:r>
    </w:p>
    <w:p w:rsidR="0098040E" w:rsidRPr="0098040E" w:rsidRDefault="0098040E" w:rsidP="007A3B71">
      <w:pPr>
        <w:pStyle w:val="ListBullet"/>
      </w:pPr>
      <w:proofErr w:type="spellStart"/>
      <w:r w:rsidRPr="0098040E">
        <w:t>Dexmethso</w:t>
      </w:r>
      <w:r w:rsidR="00881FB2">
        <w:t>ne</w:t>
      </w:r>
      <w:proofErr w:type="spellEnd"/>
      <w:r w:rsidR="00881FB2">
        <w:t xml:space="preserve"> 0.5 mg dexamethasone tablet</w:t>
      </w:r>
    </w:p>
    <w:p w:rsidR="0098040E" w:rsidRPr="0098040E" w:rsidRDefault="0098040E" w:rsidP="007A3B71">
      <w:pPr>
        <w:pStyle w:val="ListBullet"/>
      </w:pPr>
      <w:proofErr w:type="spellStart"/>
      <w:r w:rsidRPr="0098040E">
        <w:t>Sofradex</w:t>
      </w:r>
      <w:proofErr w:type="spellEnd"/>
      <w:r w:rsidRPr="0098040E">
        <w:t xml:space="preserve"> Ea</w:t>
      </w:r>
      <w:r w:rsidR="005C2E04">
        <w:t>r</w:t>
      </w:r>
      <w:r w:rsidR="00881FB2">
        <w:t xml:space="preserve"> Drops dexamethasone 0.5 mg/mL</w:t>
      </w:r>
    </w:p>
    <w:p w:rsidR="0098040E" w:rsidRPr="0098040E" w:rsidRDefault="0098040E" w:rsidP="007A3B71">
      <w:pPr>
        <w:pStyle w:val="ListBullet"/>
      </w:pPr>
      <w:proofErr w:type="spellStart"/>
      <w:r w:rsidRPr="0098040E">
        <w:t>Otodex</w:t>
      </w:r>
      <w:proofErr w:type="spellEnd"/>
      <w:r w:rsidRPr="0098040E">
        <w:t xml:space="preserve"> Ea</w:t>
      </w:r>
      <w:r w:rsidR="00881FB2">
        <w:t>r Drops dexamethasone 0.5 mg/mL</w:t>
      </w:r>
    </w:p>
    <w:p w:rsidR="0098040E" w:rsidRPr="0098040E" w:rsidRDefault="0098040E" w:rsidP="007A3B71">
      <w:pPr>
        <w:pStyle w:val="ListBullet"/>
      </w:pPr>
      <w:proofErr w:type="spellStart"/>
      <w:r w:rsidRPr="0098040E">
        <w:t>S</w:t>
      </w:r>
      <w:r w:rsidR="005C2E04">
        <w:t>eptodont</w:t>
      </w:r>
      <w:proofErr w:type="spellEnd"/>
      <w:r w:rsidR="005C2E04">
        <w:t xml:space="preserve"> </w:t>
      </w:r>
      <w:proofErr w:type="spellStart"/>
      <w:r w:rsidR="005C2E04">
        <w:t>Cresophene</w:t>
      </w:r>
      <w:proofErr w:type="spellEnd"/>
      <w:r w:rsidR="005C2E04">
        <w:t xml:space="preserve"> Application</w:t>
      </w:r>
    </w:p>
    <w:p w:rsidR="0098040E" w:rsidRPr="0098040E" w:rsidRDefault="0098040E" w:rsidP="007A3B71">
      <w:pPr>
        <w:pStyle w:val="ListBullet"/>
      </w:pPr>
      <w:r w:rsidRPr="0098040E">
        <w:t>Buccal Solution dexamethasone 10</w:t>
      </w:r>
      <w:r w:rsidR="00881FB2">
        <w:t>,000 mg/g</w:t>
      </w:r>
    </w:p>
    <w:p w:rsidR="0098040E" w:rsidRPr="0098040E" w:rsidRDefault="0098040E" w:rsidP="0098040E">
      <w:r w:rsidRPr="0098040E">
        <w:t>There also dexamethasone deriva</w:t>
      </w:r>
      <w:r w:rsidR="005C2E04">
        <w:t>tives:</w:t>
      </w:r>
    </w:p>
    <w:p w:rsidR="0098040E" w:rsidRPr="0098040E" w:rsidRDefault="005C2E04" w:rsidP="00881FB2">
      <w:pPr>
        <w:pStyle w:val="ListBullet"/>
      </w:pPr>
      <w:r>
        <w:t xml:space="preserve">dexamethasone sodium phosphate; </w:t>
      </w:r>
      <w:r w:rsidR="0098040E" w:rsidRPr="0098040E">
        <w:t>DBL Dexamethas</w:t>
      </w:r>
      <w:r w:rsidR="00881FB2">
        <w:t>one Sodium Phosphate Injections</w:t>
      </w:r>
    </w:p>
    <w:p w:rsidR="0098040E" w:rsidRPr="0098040E" w:rsidRDefault="0098040E" w:rsidP="00881FB2">
      <w:pPr>
        <w:pStyle w:val="ListBullet"/>
      </w:pPr>
      <w:r>
        <w:t xml:space="preserve">dexamethasone sodium phosphate </w:t>
      </w:r>
      <w:proofErr w:type="spellStart"/>
      <w:r w:rsidRPr="0098040E">
        <w:t>Dexmethsone</w:t>
      </w:r>
      <w:proofErr w:type="spellEnd"/>
      <w:r w:rsidRPr="0098040E">
        <w:t xml:space="preserve"> Injection</w:t>
      </w:r>
    </w:p>
    <w:p w:rsidR="0098040E" w:rsidRPr="0098040E" w:rsidRDefault="0098040E" w:rsidP="0098040E">
      <w:r w:rsidRPr="0098040E">
        <w:t xml:space="preserve">There are pharmacopoeial monographs for related steroid eye preparations (including Dexamethasone Suspension Eye Drops </w:t>
      </w:r>
      <w:r w:rsidR="0057228E" w:rsidRPr="0098040E">
        <w:t xml:space="preserve">British Pharmacopoeia </w:t>
      </w:r>
      <w:r w:rsidR="0057228E">
        <w:t>(</w:t>
      </w:r>
      <w:r w:rsidRPr="0098040E">
        <w:t>BP</w:t>
      </w:r>
      <w:r w:rsidR="0057228E">
        <w:t>)</w:t>
      </w:r>
      <w:r w:rsidRPr="0098040E">
        <w:t xml:space="preserve">, Dexamethasone Sodium Phosphate Solution Eye Drops BP, Dexamethasone Ophthalmic Suspension </w:t>
      </w:r>
      <w:r w:rsidR="0057228E" w:rsidRPr="0098040E">
        <w:t xml:space="preserve">United States Pharmacopeia </w:t>
      </w:r>
      <w:r w:rsidR="0057228E">
        <w:t>(</w:t>
      </w:r>
      <w:r w:rsidRPr="0098040E">
        <w:t>USP</w:t>
      </w:r>
      <w:r w:rsidR="0057228E">
        <w:t>)</w:t>
      </w:r>
      <w:r w:rsidRPr="0098040E">
        <w:t>, Dexamethasone Sodium Phosphate Ophthalmic Ointment USP and Dexamethasone Sodium Phosphate Ophthalmic Solution USP). However there is no monograph directly relevant to the proposed implant product.</w:t>
      </w:r>
    </w:p>
    <w:p w:rsidR="008E7846" w:rsidRDefault="0098040E" w:rsidP="00940A89">
      <w:r w:rsidRPr="0098040E">
        <w:t xml:space="preserve">The dexamethasone drug substance used in Ozurdex is the subject of </w:t>
      </w:r>
      <w:r w:rsidR="0057228E">
        <w:t>BP</w:t>
      </w:r>
      <w:r w:rsidRPr="0098040E">
        <w:t xml:space="preserve"> and </w:t>
      </w:r>
      <w:r w:rsidR="0057228E">
        <w:t>USP</w:t>
      </w:r>
      <w:r w:rsidRPr="0098040E">
        <w:t xml:space="preserve"> monographs. </w:t>
      </w:r>
      <w:proofErr w:type="spellStart"/>
      <w:r w:rsidRPr="0098040E">
        <w:t>Micronised</w:t>
      </w:r>
      <w:proofErr w:type="spellEnd"/>
      <w:r w:rsidRPr="0098040E">
        <w:t xml:space="preserve"> drug is used. Dexamethasone is practically insoluble in water (0.06 mg/mL). The drug substance manufacturer has provided adequate evidence to demonstrate that their production method leads only to polymorph Form B. Control of the drug substance i</w:t>
      </w:r>
      <w:r w:rsidR="005C2E04">
        <w:t>s considered acceptable.</w:t>
      </w:r>
      <w:bookmarkEnd w:id="27"/>
      <w:bookmarkEnd w:id="28"/>
    </w:p>
    <w:p w:rsidR="008E7846" w:rsidRDefault="008E7846" w:rsidP="008E7846">
      <w:pPr>
        <w:pStyle w:val="Heading3"/>
      </w:pPr>
      <w:bookmarkStart w:id="31" w:name="_Toc247691508"/>
      <w:bookmarkStart w:id="32" w:name="_Toc314842490"/>
      <w:bookmarkStart w:id="33" w:name="_Toc465939505"/>
      <w:r w:rsidRPr="008751DC">
        <w:t xml:space="preserve">Drug </w:t>
      </w:r>
      <w:r>
        <w:t>p</w:t>
      </w:r>
      <w:r w:rsidRPr="008751DC">
        <w:t>roduct</w:t>
      </w:r>
      <w:bookmarkEnd w:id="31"/>
      <w:bookmarkEnd w:id="32"/>
      <w:bookmarkEnd w:id="33"/>
    </w:p>
    <w:p w:rsidR="0098040E" w:rsidRPr="0098040E" w:rsidRDefault="0098040E" w:rsidP="0098040E">
      <w:r w:rsidRPr="0098040E">
        <w:t xml:space="preserve">Ozurdex delivers a biodegradable, extended release intravitreal implant. Two Ozurdex strengths were used in clinical trials: 350 </w:t>
      </w:r>
      <w:r w:rsidR="005C2E04">
        <w:t>µ</w:t>
      </w:r>
      <w:r w:rsidRPr="0098040E">
        <w:t xml:space="preserve">g and 700 </w:t>
      </w:r>
      <w:r w:rsidR="005C2E04">
        <w:t>µ</w:t>
      </w:r>
      <w:r w:rsidRPr="0098040E">
        <w:t xml:space="preserve">g, but it is only proposed to register the 700 </w:t>
      </w:r>
      <w:r w:rsidR="005C2E04">
        <w:t>µ</w:t>
      </w:r>
      <w:r w:rsidRPr="0098040E">
        <w:t>g implant in Aus</w:t>
      </w:r>
      <w:r w:rsidR="00881FB2">
        <w:t>tralia.</w:t>
      </w:r>
    </w:p>
    <w:p w:rsidR="00940A89" w:rsidRDefault="0098040E" w:rsidP="0098040E">
      <w:r w:rsidRPr="0098040E">
        <w:t>The dexamethasone is dispersed in a poly</w:t>
      </w:r>
      <w:r w:rsidR="003C6FF4">
        <w:t xml:space="preserve"> </w:t>
      </w:r>
      <w:r w:rsidRPr="0098040E">
        <w:t>(D</w:t>
      </w:r>
      <w:proofErr w:type="gramStart"/>
      <w:r w:rsidRPr="0098040E">
        <w:t>,L</w:t>
      </w:r>
      <w:proofErr w:type="gramEnd"/>
      <w:r w:rsidR="00D57E70">
        <w:t xml:space="preserve"> </w:t>
      </w:r>
      <w:proofErr w:type="spellStart"/>
      <w:r w:rsidRPr="0098040E">
        <w:t>lactide</w:t>
      </w:r>
      <w:proofErr w:type="spellEnd"/>
      <w:r w:rsidR="00D57E70">
        <w:t xml:space="preserve"> </w:t>
      </w:r>
      <w:r w:rsidRPr="0098040E">
        <w:t>co</w:t>
      </w:r>
      <w:r w:rsidR="00D57E70">
        <w:t xml:space="preserve"> </w:t>
      </w:r>
      <w:proofErr w:type="spellStart"/>
      <w:r w:rsidRPr="0098040E">
        <w:t>glycolide</w:t>
      </w:r>
      <w:proofErr w:type="spellEnd"/>
      <w:r w:rsidRPr="0098040E">
        <w:t>) polymer matrix and formed into a solid, rod</w:t>
      </w:r>
      <w:r w:rsidR="00D57E70">
        <w:t xml:space="preserve"> </w:t>
      </w:r>
      <w:r w:rsidR="00BF3CCC">
        <w:t>shaped implant</w:t>
      </w:r>
      <w:r w:rsidRPr="0098040E">
        <w:t>. The polymer matrix is a mixture of two different poly</w:t>
      </w:r>
      <w:r w:rsidR="003C6FF4">
        <w:t xml:space="preserve"> </w:t>
      </w:r>
      <w:r w:rsidRPr="0098040E">
        <w:t>(D</w:t>
      </w:r>
      <w:proofErr w:type="gramStart"/>
      <w:r w:rsidRPr="0098040E">
        <w:t>,L</w:t>
      </w:r>
      <w:proofErr w:type="gramEnd"/>
      <w:r w:rsidR="00D57E70">
        <w:t xml:space="preserve"> </w:t>
      </w:r>
      <w:proofErr w:type="spellStart"/>
      <w:r w:rsidR="005C2E04">
        <w:t>lactide</w:t>
      </w:r>
      <w:proofErr w:type="spellEnd"/>
      <w:r w:rsidR="00D57E70">
        <w:t xml:space="preserve"> </w:t>
      </w:r>
      <w:r w:rsidR="005C2E04">
        <w:t>co</w:t>
      </w:r>
      <w:r w:rsidR="00D57E70">
        <w:t xml:space="preserve"> </w:t>
      </w:r>
      <w:proofErr w:type="spellStart"/>
      <w:r w:rsidR="005C2E04">
        <w:t>glycolide</w:t>
      </w:r>
      <w:proofErr w:type="spellEnd"/>
      <w:r w:rsidR="005C2E04">
        <w:t>) polymers.</w:t>
      </w:r>
    </w:p>
    <w:p w:rsidR="0098040E" w:rsidRPr="0098040E" w:rsidRDefault="0098040E" w:rsidP="0098040E">
      <w:r w:rsidRPr="0098040E">
        <w:lastRenderedPageBreak/>
        <w:t xml:space="preserve">Both polymers are covered by the </w:t>
      </w:r>
      <w:r w:rsidR="00881FB2">
        <w:t>Australian approved name (</w:t>
      </w:r>
      <w:r w:rsidRPr="0098040E">
        <w:t>AAN</w:t>
      </w:r>
      <w:r w:rsidR="00881FB2">
        <w:t>)</w:t>
      </w:r>
      <w:r w:rsidRPr="0098040E">
        <w:t xml:space="preserve"> ‘</w:t>
      </w:r>
      <w:proofErr w:type="spellStart"/>
      <w:r w:rsidRPr="0098040E">
        <w:t>polyglactin</w:t>
      </w:r>
      <w:proofErr w:type="spellEnd"/>
      <w:r w:rsidRPr="0098040E">
        <w:t>’.</w:t>
      </w:r>
    </w:p>
    <w:p w:rsidR="0098040E" w:rsidRPr="0098040E" w:rsidRDefault="0098040E" w:rsidP="0098040E">
      <w:r w:rsidRPr="0098040E">
        <w:t xml:space="preserve">The polymers slowly degrade in vivo by hydrolysis to lactic acid and glycolic acid. This erosion is an element in the controlled release of dexamethasone from the implant. Related polymers are used to make absorbable sutures (such as </w:t>
      </w:r>
      <w:proofErr w:type="spellStart"/>
      <w:r w:rsidRPr="0098040E">
        <w:t>Dexon</w:t>
      </w:r>
      <w:proofErr w:type="spellEnd"/>
      <w:r w:rsidRPr="0098040E">
        <w:t xml:space="preserve"> suture</w:t>
      </w:r>
      <w:r w:rsidR="00FB35AC">
        <w:t>s used for ophthalmic surgery).</w:t>
      </w:r>
    </w:p>
    <w:p w:rsidR="0098040E" w:rsidRDefault="0098040E" w:rsidP="0098040E">
      <w:r w:rsidRPr="0098040E">
        <w:t>The implant is supplied pre</w:t>
      </w:r>
      <w:r w:rsidR="003C6FF4">
        <w:t>-</w:t>
      </w:r>
      <w:r w:rsidRPr="0098040E">
        <w:t xml:space="preserve">loaded </w:t>
      </w:r>
      <w:r w:rsidR="003C6FF4">
        <w:t>in a single use, injector ‘pen’ as shown in Figure 2.</w:t>
      </w:r>
    </w:p>
    <w:p w:rsidR="0098040E" w:rsidRDefault="003C6FF4" w:rsidP="00C655FF">
      <w:pPr>
        <w:pStyle w:val="FigureTitle"/>
      </w:pPr>
      <w:proofErr w:type="gramStart"/>
      <w:r>
        <w:t>Figure 2.</w:t>
      </w:r>
      <w:proofErr w:type="gramEnd"/>
      <w:r>
        <w:t xml:space="preserve"> Diagram of implant injector pen</w:t>
      </w:r>
    </w:p>
    <w:p w:rsidR="00C655FF" w:rsidRDefault="00C655FF" w:rsidP="0098040E">
      <w:r>
        <w:rPr>
          <w:noProof/>
          <w:lang w:eastAsia="en-AU"/>
        </w:rPr>
        <w:drawing>
          <wp:inline distT="0" distB="0" distL="0" distR="0" wp14:anchorId="56BBC965" wp14:editId="7D29FB02">
            <wp:extent cx="5400040" cy="2129439"/>
            <wp:effectExtent l="0" t="0" r="0" b="4445"/>
            <wp:docPr id="8" name="Picture 8" descr="Figure 2. Diagram of implant injector p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400040" cy="2129439"/>
                    </a:xfrm>
                    <a:prstGeom prst="rect">
                      <a:avLst/>
                    </a:prstGeom>
                  </pic:spPr>
                </pic:pic>
              </a:graphicData>
            </a:graphic>
          </wp:inline>
        </w:drawing>
      </w:r>
    </w:p>
    <w:p w:rsidR="00FB35AC" w:rsidRPr="00FB35AC" w:rsidRDefault="00FB35AC" w:rsidP="00FB35AC">
      <w:r w:rsidRPr="00FB35AC">
        <w:t>Pressing the button directly ejects the implant into the patient’s eye (</w:t>
      </w:r>
      <w:r w:rsidR="003C6FF4">
        <w:t>that is,</w:t>
      </w:r>
      <w:r w:rsidRPr="00FB35AC">
        <w:t xml:space="preserve"> it is not spring loaded</w:t>
      </w:r>
      <w:r w:rsidR="003C6FF4">
        <w:t>)</w:t>
      </w:r>
      <w:r w:rsidRPr="00FB35AC">
        <w:t>. The implant is loaded close to the needle tip to minimise introduct</w:t>
      </w:r>
      <w:r w:rsidR="003C6FF4">
        <w:t>ion of air into the eye. The 22 </w:t>
      </w:r>
      <w:r w:rsidRPr="00FB35AC">
        <w:t>gauge needle projects 6 mm beyond the sleeve. Device aspects have been reviewed and are considered acceptable. There have been no significant changes to the device since the clinical trials.</w:t>
      </w:r>
    </w:p>
    <w:p w:rsidR="00FB35AC" w:rsidRPr="00FB35AC" w:rsidRDefault="00FB35AC" w:rsidP="00FB35AC">
      <w:r w:rsidRPr="00FB35AC">
        <w:t xml:space="preserve">The finished product is terminally sterilised by gamma irradiation. Manufacture causes minor degradation of dexamethasone to known impurities the levels of which have </w:t>
      </w:r>
      <w:r w:rsidR="00881FB2">
        <w:t>been toxicologically qualified.</w:t>
      </w:r>
    </w:p>
    <w:p w:rsidR="00FB35AC" w:rsidRPr="00FB35AC" w:rsidRDefault="00FB35AC" w:rsidP="00FB35AC">
      <w:r w:rsidRPr="00FB35AC">
        <w:t xml:space="preserve">Trials up to and including </w:t>
      </w:r>
      <w:r w:rsidR="00881FB2">
        <w:t xml:space="preserve">Phase </w:t>
      </w:r>
      <w:proofErr w:type="spellStart"/>
      <w:r w:rsidR="00881FB2">
        <w:t>IIa</w:t>
      </w:r>
      <w:proofErr w:type="spellEnd"/>
      <w:r w:rsidRPr="00FB35AC">
        <w:t xml:space="preserve"> used 350 and 700 </w:t>
      </w:r>
      <w:r w:rsidR="00881FB2">
        <w:t>µ</w:t>
      </w:r>
      <w:r w:rsidR="00881FB2" w:rsidRPr="00FB35AC">
        <w:t>g</w:t>
      </w:r>
      <w:r w:rsidRPr="00FB35AC">
        <w:t xml:space="preserve">, compressed tablets with a different polymer composition. There were manufacturing difficulties with the tablets which led to development of the implant. </w:t>
      </w:r>
      <w:r w:rsidR="00881FB2">
        <w:t>Phase III</w:t>
      </w:r>
      <w:r w:rsidRPr="00FB35AC">
        <w:t xml:space="preserve"> trials used the proposed implant formulation</w:t>
      </w:r>
      <w:r w:rsidR="00881FB2">
        <w:t>.</w:t>
      </w:r>
    </w:p>
    <w:p w:rsidR="00FB35AC" w:rsidRPr="00FB35AC" w:rsidRDefault="00FB35AC" w:rsidP="00FB35AC">
      <w:r w:rsidRPr="00FB35AC">
        <w:t xml:space="preserve">Unlike some related products, recovered implants for this product cannot be usefully assayed to assess in vivo drug release. An in vitro drug release test was developed which is chiefly a quality control test of batch uniformity. This in vitro test was used in product development, with comparison to drug release into the vitreous humour of rabbit eyes. There appeared to be some </w:t>
      </w:r>
      <w:r w:rsidR="006B4FF9">
        <w:t>in vitro in vivo correlation (</w:t>
      </w:r>
      <w:r w:rsidRPr="00FB35AC">
        <w:t>IVIVC</w:t>
      </w:r>
      <w:r w:rsidR="006B4FF9">
        <w:t>)</w:t>
      </w:r>
      <w:r w:rsidRPr="00FB35AC">
        <w:t xml:space="preserve"> between the ‘real</w:t>
      </w:r>
      <w:r w:rsidR="00D57E70">
        <w:t xml:space="preserve"> </w:t>
      </w:r>
      <w:r w:rsidRPr="00FB35AC">
        <w:t>time’ in vitro release and the in vivo release in rabbit eyes. However no formal IVIVC was calculated or validated.</w:t>
      </w:r>
    </w:p>
    <w:p w:rsidR="00CC23C8" w:rsidRDefault="00FB35AC" w:rsidP="00FB35AC">
      <w:r w:rsidRPr="00FB35AC">
        <w:t xml:space="preserve">Although there is no directly relevant EU guidance for what would be acceptable </w:t>
      </w:r>
      <w:r w:rsidR="00881FB2">
        <w:t>in vitro release limits for an i</w:t>
      </w:r>
      <w:r w:rsidRPr="00FB35AC">
        <w:t>ntravitreal implant, many points in EU Guidance</w:t>
      </w:r>
      <w:bookmarkStart w:id="34" w:name="_Ref460241363"/>
      <w:r w:rsidR="00881FB2">
        <w:rPr>
          <w:rStyle w:val="FootnoteReference"/>
        </w:rPr>
        <w:footnoteReference w:id="3"/>
      </w:r>
      <w:bookmarkEnd w:id="34"/>
      <w:r w:rsidRPr="00FB35AC">
        <w:t xml:space="preserve"> which was adopted in Australia in April 2001 can be considered relevant. Thus in section 2.2 on oral products</w:t>
      </w:r>
      <w:r w:rsidR="008776D4">
        <w:t xml:space="preserve"> it is stated that;</w:t>
      </w:r>
    </w:p>
    <w:p w:rsidR="00FB35AC" w:rsidRPr="00CC23C8" w:rsidRDefault="00FB35AC" w:rsidP="00CC23C8">
      <w:pPr>
        <w:ind w:left="720"/>
        <w:rPr>
          <w:i/>
        </w:rPr>
      </w:pPr>
      <w:r w:rsidRPr="00FB35AC">
        <w:t>‘</w:t>
      </w:r>
      <w:r w:rsidRPr="00CC23C8">
        <w:rPr>
          <w:i/>
        </w:rPr>
        <w:t>In general, a minimum of three point</w:t>
      </w:r>
      <w:r w:rsidR="00CC23C8" w:rsidRPr="00CC23C8">
        <w:rPr>
          <w:i/>
        </w:rPr>
        <w:t>s</w:t>
      </w:r>
      <w:r w:rsidRPr="00CC23C8">
        <w:rPr>
          <w:i/>
        </w:rPr>
        <w:t xml:space="preserve"> should be included in the specification on in vitro dissolution of an oral prolonged release product: an early time point to exclude dose dumping (typically 20 to 30% dissolved), at least one point to ensure </w:t>
      </w:r>
      <w:r w:rsidRPr="00CC23C8">
        <w:rPr>
          <w:i/>
        </w:rPr>
        <w:lastRenderedPageBreak/>
        <w:t>compliance with the shape of the dissolution profile (around 50% dissolved) and one to ensure that the majority of the active has been released (gene</w:t>
      </w:r>
      <w:r w:rsidR="00881FB2" w:rsidRPr="00CC23C8">
        <w:rPr>
          <w:i/>
        </w:rPr>
        <w:t>rally more that 80% dissolved)’</w:t>
      </w:r>
    </w:p>
    <w:p w:rsidR="00FB35AC" w:rsidRPr="00FB35AC" w:rsidRDefault="00FB35AC" w:rsidP="00FB35AC">
      <w:proofErr w:type="gramStart"/>
      <w:r w:rsidRPr="00FB35AC">
        <w:t>and</w:t>
      </w:r>
      <w:proofErr w:type="gramEnd"/>
    </w:p>
    <w:p w:rsidR="00FB35AC" w:rsidRPr="00CC23C8" w:rsidRDefault="00FB35AC" w:rsidP="00CC23C8">
      <w:pPr>
        <w:ind w:left="720"/>
        <w:rPr>
          <w:i/>
        </w:rPr>
      </w:pPr>
      <w:r w:rsidRPr="00CC23C8">
        <w:rPr>
          <w:i/>
        </w:rPr>
        <w:t>‘The tolerance limits may be derived from the spread of the in vitro dissolution data of batches with demonstrated acceptable in vivo performance’, but otherwise in the absence of a formal IVIVC (as here) ‘the permitted variability in release at any given time point should not exceed a total numerical difference of ± 10% of the labelled content of the active substance’.</w:t>
      </w:r>
    </w:p>
    <w:p w:rsidR="00FB35AC" w:rsidRPr="00FB35AC" w:rsidRDefault="00FB35AC" w:rsidP="00FB35AC">
      <w:r w:rsidRPr="00FB35AC">
        <w:t xml:space="preserve">As a result the </w:t>
      </w:r>
      <w:r w:rsidR="00881FB2">
        <w:t>sponsor</w:t>
      </w:r>
      <w:r w:rsidRPr="00FB35AC">
        <w:t xml:space="preserve"> was asked to provide the in vitro release results for the batches used in the clinical studi</w:t>
      </w:r>
      <w:r w:rsidR="00881FB2">
        <w:t>es for the proposed indication.</w:t>
      </w:r>
    </w:p>
    <w:p w:rsidR="00FB35AC" w:rsidRPr="00FB35AC" w:rsidRDefault="00FB35AC" w:rsidP="00FB35AC">
      <w:r w:rsidRPr="00FB35AC">
        <w:t xml:space="preserve">The sponsor was also asked </w:t>
      </w:r>
      <w:r w:rsidRPr="00CC23C8">
        <w:t>‘if any individual subjects did not show a positive clinical outcome and if this was the case analyse whether these subjects received a batch with low or high release rates’</w:t>
      </w:r>
      <w:r w:rsidRPr="00FB35AC">
        <w:t xml:space="preserve">. The </w:t>
      </w:r>
      <w:r w:rsidR="00881FB2">
        <w:t>sponsor</w:t>
      </w:r>
      <w:r w:rsidRPr="00FB35AC">
        <w:t xml:space="preserve"> replied that no such analysis was possible, so in the absence of evidence to the contrary it was accepted that all clinical batches were efficacious.</w:t>
      </w:r>
    </w:p>
    <w:p w:rsidR="00FB35AC" w:rsidRPr="00FB35AC" w:rsidRDefault="00FB35AC" w:rsidP="00FB35AC">
      <w:r w:rsidRPr="00FB35AC">
        <w:t>Further the batch release data and stability data provided in the dossier indicate that these limits can be met.</w:t>
      </w:r>
    </w:p>
    <w:p w:rsidR="0098040E" w:rsidRPr="0098040E" w:rsidRDefault="0034264B" w:rsidP="0098040E">
      <w:r>
        <w:t>All other q</w:t>
      </w:r>
      <w:r w:rsidR="00FB35AC" w:rsidRPr="00FB35AC">
        <w:t>uality control, stability and device aspects of the finished pro</w:t>
      </w:r>
      <w:r w:rsidR="007E02E7">
        <w:t>duct are considered acceptable.</w:t>
      </w:r>
    </w:p>
    <w:p w:rsidR="008E7846" w:rsidRDefault="008E7846" w:rsidP="008E7846">
      <w:pPr>
        <w:pStyle w:val="Heading3"/>
      </w:pPr>
      <w:bookmarkStart w:id="35" w:name="_Toc314842491"/>
      <w:bookmarkStart w:id="36" w:name="_Toc465939506"/>
      <w:r>
        <w:t>Biopharmaceutics</w:t>
      </w:r>
      <w:bookmarkEnd w:id="35"/>
      <w:bookmarkEnd w:id="36"/>
    </w:p>
    <w:p w:rsidR="00FB35AC" w:rsidRPr="00FB35AC" w:rsidRDefault="00FB35AC" w:rsidP="00FB35AC">
      <w:bookmarkStart w:id="37" w:name="_Toc314842492"/>
      <w:r w:rsidRPr="00FB35AC">
        <w:t xml:space="preserve">No bioavailability studies have been provided. The dose (700 </w:t>
      </w:r>
      <w:r w:rsidR="007E02E7">
        <w:t>µ</w:t>
      </w:r>
      <w:r w:rsidRPr="00FB35AC">
        <w:t xml:space="preserve">g) is relatively low and the product is locally acting. Plasma concentrations in patients were almost all below the lower limit of quantification </w:t>
      </w:r>
      <w:proofErr w:type="gramStart"/>
      <w:r w:rsidRPr="00FB35AC">
        <w:t>(0.05 ng/mL)</w:t>
      </w:r>
      <w:proofErr w:type="gramEnd"/>
      <w:r w:rsidRPr="00FB35AC">
        <w:t>. Systemic exposure is low.</w:t>
      </w:r>
    </w:p>
    <w:p w:rsidR="008E7846" w:rsidRDefault="008E7846" w:rsidP="008E7846">
      <w:pPr>
        <w:pStyle w:val="Heading3"/>
      </w:pPr>
      <w:bookmarkStart w:id="38" w:name="_Toc465939507"/>
      <w:r>
        <w:t>Advisory committee considerations</w:t>
      </w:r>
      <w:bookmarkEnd w:id="37"/>
      <w:bookmarkEnd w:id="38"/>
    </w:p>
    <w:p w:rsidR="00FB35AC" w:rsidRPr="00FB35AC" w:rsidRDefault="00FB35AC" w:rsidP="00FB35AC">
      <w:bookmarkStart w:id="39" w:name="_Toc247691509"/>
      <w:bookmarkStart w:id="40" w:name="_Toc314842493"/>
      <w:r w:rsidRPr="00FB35AC">
        <w:t>There were no complicated issues with the chemistry, manufacturing and control aspects of th</w:t>
      </w:r>
      <w:r w:rsidR="0034264B">
        <w:t>is</w:t>
      </w:r>
      <w:r w:rsidRPr="00FB35AC">
        <w:t xml:space="preserve"> re</w:t>
      </w:r>
      <w:r w:rsidR="00D57E70">
        <w:t xml:space="preserve"> </w:t>
      </w:r>
      <w:r w:rsidRPr="00FB35AC">
        <w:t>submission and there were no bioavailability studies required as the product is for local action only. The details relating to this re</w:t>
      </w:r>
      <w:r w:rsidR="00D57E70">
        <w:t xml:space="preserve"> </w:t>
      </w:r>
      <w:r w:rsidRPr="00FB35AC">
        <w:t xml:space="preserve">submission were </w:t>
      </w:r>
      <w:r w:rsidR="007E02E7">
        <w:t>therefore not presented to PSC.</w:t>
      </w:r>
    </w:p>
    <w:p w:rsidR="008E7846" w:rsidRPr="008751DC" w:rsidRDefault="008E7846" w:rsidP="008E7846">
      <w:pPr>
        <w:pStyle w:val="Heading3"/>
      </w:pPr>
      <w:bookmarkStart w:id="41" w:name="_Toc465939508"/>
      <w:r>
        <w:t>Quality s</w:t>
      </w:r>
      <w:r w:rsidRPr="008751DC">
        <w:t>ummary</w:t>
      </w:r>
      <w:r>
        <w:t xml:space="preserve"> and conclusions</w:t>
      </w:r>
      <w:bookmarkEnd w:id="39"/>
      <w:bookmarkEnd w:id="40"/>
      <w:bookmarkEnd w:id="41"/>
    </w:p>
    <w:p w:rsidR="00FB35AC" w:rsidRPr="00FB35AC" w:rsidRDefault="00FB35AC" w:rsidP="00FB35AC">
      <w:r w:rsidRPr="00FB35AC">
        <w:t xml:space="preserve">Approval is not recommended from a pharmaceutical chemistry perspective as the proposed in vitro dissolution release </w:t>
      </w:r>
      <w:r w:rsidR="0034264B">
        <w:t>limits have not been justified.</w:t>
      </w:r>
      <w:bookmarkStart w:id="42" w:name="_Ref460596119"/>
      <w:r w:rsidR="0034264B">
        <w:rPr>
          <w:rStyle w:val="FootnoteReference"/>
        </w:rPr>
        <w:footnoteReference w:id="4"/>
      </w:r>
      <w:bookmarkEnd w:id="42"/>
    </w:p>
    <w:p w:rsidR="00FB35AC" w:rsidRPr="00FB35AC" w:rsidRDefault="00FB35AC" w:rsidP="00FB35AC">
      <w:r w:rsidRPr="00FB35AC">
        <w:t xml:space="preserve">EU Guidance </w:t>
      </w:r>
      <w:r w:rsidR="00D57E70" w:rsidRPr="00D57E70">
        <w:rPr>
          <w:vertAlign w:val="superscript"/>
        </w:rPr>
        <w:fldChar w:fldCharType="begin"/>
      </w:r>
      <w:r w:rsidR="00D57E70" w:rsidRPr="00D57E70">
        <w:rPr>
          <w:vertAlign w:val="superscript"/>
        </w:rPr>
        <w:instrText xml:space="preserve"> NOTEREF _Ref460241363 \h  \* MERGEFORMAT </w:instrText>
      </w:r>
      <w:r w:rsidR="00D57E70" w:rsidRPr="00D57E70">
        <w:rPr>
          <w:vertAlign w:val="superscript"/>
        </w:rPr>
      </w:r>
      <w:r w:rsidR="00D57E70" w:rsidRPr="00D57E70">
        <w:rPr>
          <w:vertAlign w:val="superscript"/>
        </w:rPr>
        <w:fldChar w:fldCharType="separate"/>
      </w:r>
      <w:r w:rsidR="00205340">
        <w:rPr>
          <w:vertAlign w:val="superscript"/>
        </w:rPr>
        <w:t>3</w:t>
      </w:r>
      <w:r w:rsidR="00D57E70" w:rsidRPr="00D57E70">
        <w:rPr>
          <w:vertAlign w:val="superscript"/>
        </w:rPr>
        <w:fldChar w:fldCharType="end"/>
      </w:r>
      <w:r w:rsidRPr="00D57E70">
        <w:rPr>
          <w:vertAlign w:val="superscript"/>
        </w:rPr>
        <w:t xml:space="preserve"> </w:t>
      </w:r>
      <w:r w:rsidRPr="00FB35AC">
        <w:t>(albeit not specific for the proposed dosage form) only allows for a spread in the limits at any testing time based on the results observed for the clinical efficacy batches. In this case this allows for Level 1 limits of 40</w:t>
      </w:r>
      <w:r w:rsidR="00D57E70">
        <w:t xml:space="preserve"> to </w:t>
      </w:r>
      <w:r w:rsidRPr="00FB35AC">
        <w:t>70% at day 14, a maximum of 20% dissolved at 7 days and a minimum of 70% at day 21. The sponsor is proposing Level 1 limits which are not as tight as (wider than) these supported limits and has not justified the proposed limits on pharmaceutical chemistry (</w:t>
      </w:r>
      <w:r w:rsidR="0034264B">
        <w:t xml:space="preserve">for example, </w:t>
      </w:r>
      <w:r w:rsidRPr="00FB35AC">
        <w:t xml:space="preserve">with </w:t>
      </w:r>
      <w:proofErr w:type="gramStart"/>
      <w:r w:rsidRPr="00FB35AC">
        <w:t>a</w:t>
      </w:r>
      <w:proofErr w:type="gramEnd"/>
      <w:r w:rsidRPr="00FB35AC">
        <w:t xml:space="preserve"> IVIVC) or clinical grounds.</w:t>
      </w:r>
    </w:p>
    <w:p w:rsidR="00FB35AC" w:rsidRDefault="00FB35AC" w:rsidP="00FB35AC">
      <w:r w:rsidRPr="00FB35AC">
        <w:lastRenderedPageBreak/>
        <w:t>Approval could be granted, however, if the sponsor were to amend the in vitro dissolution release limits at release and expiry to those described below or provide an acceptable clinical justification for why the currently proposed limits should be retained.</w:t>
      </w:r>
    </w:p>
    <w:p w:rsidR="001D6EFA" w:rsidRPr="00FB35AC" w:rsidRDefault="001D6EFA" w:rsidP="00FB35AC">
      <w:r>
        <w:t>The quality evaluator suggested alternative in vitro release limits that could be met given the available data.</w:t>
      </w:r>
    </w:p>
    <w:p w:rsidR="008E7846" w:rsidRDefault="008E7846" w:rsidP="008E7846">
      <w:pPr>
        <w:pStyle w:val="Heading2"/>
      </w:pPr>
      <w:bookmarkStart w:id="43" w:name="_Toc196046439"/>
      <w:bookmarkStart w:id="44" w:name="_Toc247691510"/>
      <w:bookmarkStart w:id="45" w:name="_Toc314842494"/>
      <w:bookmarkStart w:id="46" w:name="_Toc465939509"/>
      <w:r>
        <w:t>III. Nonclinical</w:t>
      </w:r>
      <w:bookmarkEnd w:id="43"/>
      <w:r>
        <w:t xml:space="preserve"> findings</w:t>
      </w:r>
      <w:bookmarkEnd w:id="44"/>
      <w:bookmarkEnd w:id="45"/>
      <w:bookmarkEnd w:id="46"/>
    </w:p>
    <w:p w:rsidR="008E7846" w:rsidRDefault="008E7846" w:rsidP="00940A89">
      <w:pPr>
        <w:pStyle w:val="Heading3"/>
      </w:pPr>
      <w:bookmarkStart w:id="47" w:name="_Toc247691511"/>
      <w:bookmarkStart w:id="48" w:name="_Toc314842495"/>
      <w:bookmarkStart w:id="49" w:name="_Toc465939510"/>
      <w:r>
        <w:t>Introduction</w:t>
      </w:r>
      <w:bookmarkEnd w:id="47"/>
      <w:bookmarkEnd w:id="48"/>
      <w:bookmarkEnd w:id="49"/>
    </w:p>
    <w:p w:rsidR="00A52683" w:rsidRPr="00A52683" w:rsidRDefault="00A52683" w:rsidP="00A52683">
      <w:r w:rsidRPr="00A52683">
        <w:t>The nonclinical dossier contained data on primary pharmacology (nonclinical efficacy), pharmacokinetics (absorptio</w:t>
      </w:r>
      <w:r w:rsidR="003F6C01">
        <w:t>n, distribution and metabolism)</w:t>
      </w:r>
      <w:r w:rsidRPr="00A52683">
        <w:t xml:space="preserve"> and general toxicity after single and repeated intravitreal administration in animals. All of the toxicity studies were GLP</w:t>
      </w:r>
      <w:r w:rsidR="00D57E70">
        <w:t xml:space="preserve"> </w:t>
      </w:r>
      <w:r w:rsidRPr="00A52683">
        <w:t>compliant.</w:t>
      </w:r>
    </w:p>
    <w:p w:rsidR="004334C7" w:rsidRPr="004334C7" w:rsidRDefault="0034264B" w:rsidP="004334C7">
      <w:r>
        <w:t>The nonclinical dossier</w:t>
      </w:r>
      <w:r w:rsidR="00A52683" w:rsidRPr="00A52683">
        <w:t xml:space="preserve"> of the current submission was the same as that submitted in Submission No. </w:t>
      </w:r>
      <w:proofErr w:type="gramStart"/>
      <w:r w:rsidR="00D57E70">
        <w:t>PM-2009-00795-3-5</w:t>
      </w:r>
      <w:r>
        <w:t>.</w:t>
      </w:r>
      <w:proofErr w:type="gramEnd"/>
    </w:p>
    <w:p w:rsidR="008E7846" w:rsidRDefault="008E7846" w:rsidP="008E7846">
      <w:pPr>
        <w:pStyle w:val="Heading3"/>
      </w:pPr>
      <w:bookmarkStart w:id="50" w:name="_Toc247691512"/>
      <w:bookmarkStart w:id="51" w:name="_Toc314842496"/>
      <w:bookmarkStart w:id="52" w:name="_Toc465939511"/>
      <w:r w:rsidRPr="00020030">
        <w:t>Pharmacology</w:t>
      </w:r>
      <w:bookmarkEnd w:id="50"/>
      <w:bookmarkEnd w:id="51"/>
      <w:bookmarkEnd w:id="52"/>
    </w:p>
    <w:p w:rsidR="00A52683" w:rsidRPr="00A52683" w:rsidRDefault="00A52683" w:rsidP="00A52683">
      <w:pPr>
        <w:pStyle w:val="Heading4"/>
      </w:pPr>
      <w:r w:rsidRPr="00A52683">
        <w:t>Primary pharmacology</w:t>
      </w:r>
    </w:p>
    <w:p w:rsidR="00A52683" w:rsidRPr="00A52683" w:rsidRDefault="00A52683" w:rsidP="00A52683">
      <w:r w:rsidRPr="00A52683">
        <w:t xml:space="preserve">The </w:t>
      </w:r>
      <w:r w:rsidR="003C6FF4">
        <w:t>anti-inflammatory</w:t>
      </w:r>
      <w:r w:rsidRPr="00A52683">
        <w:t xml:space="preserve"> activity of the corticosteroid dexamethasone is well established, mediated by enhancement or inhibition of gene transcription leading to the up</w:t>
      </w:r>
      <w:r w:rsidR="00D57E70">
        <w:t xml:space="preserve"> </w:t>
      </w:r>
      <w:r w:rsidRPr="00A52683">
        <w:t>regulation or down</w:t>
      </w:r>
      <w:r w:rsidR="00D57E70">
        <w:t xml:space="preserve"> </w:t>
      </w:r>
      <w:r w:rsidRPr="00A52683">
        <w:t xml:space="preserve">regulation of multiple proteins. With regard to efficacy for the proposed indication, </w:t>
      </w:r>
      <w:r w:rsidR="0034264B">
        <w:t>VEGF</w:t>
      </w:r>
      <w:r w:rsidRPr="00A52683">
        <w:t xml:space="preserve"> has been implicated as playing a pivotal role in diabetic macular oedema, along with rol</w:t>
      </w:r>
      <w:r w:rsidR="00F677C6">
        <w:t>es for other cytokines/pathways.</w:t>
      </w:r>
      <w:r w:rsidR="00F677C6" w:rsidRPr="00F677C6">
        <w:rPr>
          <w:vertAlign w:val="superscript"/>
        </w:rPr>
        <w:fldChar w:fldCharType="begin"/>
      </w:r>
      <w:r w:rsidR="00F677C6" w:rsidRPr="00F677C6">
        <w:rPr>
          <w:vertAlign w:val="superscript"/>
        </w:rPr>
        <w:instrText xml:space="preserve"> NOTEREF _Ref460339192 \h </w:instrText>
      </w:r>
      <w:r w:rsidR="00F677C6">
        <w:rPr>
          <w:vertAlign w:val="superscript"/>
        </w:rPr>
        <w:instrText xml:space="preserve"> \* MERGEFORMAT </w:instrText>
      </w:r>
      <w:r w:rsidR="00F677C6" w:rsidRPr="00F677C6">
        <w:rPr>
          <w:vertAlign w:val="superscript"/>
        </w:rPr>
      </w:r>
      <w:r w:rsidR="00F677C6" w:rsidRPr="00F677C6">
        <w:rPr>
          <w:vertAlign w:val="superscript"/>
        </w:rPr>
        <w:fldChar w:fldCharType="separate"/>
      </w:r>
      <w:r w:rsidR="00205340">
        <w:rPr>
          <w:vertAlign w:val="superscript"/>
        </w:rPr>
        <w:t>1</w:t>
      </w:r>
      <w:r w:rsidR="00F677C6" w:rsidRPr="00F677C6">
        <w:rPr>
          <w:vertAlign w:val="superscript"/>
        </w:rPr>
        <w:fldChar w:fldCharType="end"/>
      </w:r>
      <w:proofErr w:type="gramStart"/>
      <w:r w:rsidR="00F677C6">
        <w:rPr>
          <w:vertAlign w:val="superscript"/>
        </w:rPr>
        <w:t>,</w:t>
      </w:r>
      <w:proofErr w:type="gramEnd"/>
      <w:r w:rsidR="00F677C6" w:rsidRPr="00F677C6">
        <w:rPr>
          <w:vertAlign w:val="superscript"/>
        </w:rPr>
        <w:fldChar w:fldCharType="begin"/>
      </w:r>
      <w:r w:rsidR="00F677C6" w:rsidRPr="00F677C6">
        <w:rPr>
          <w:vertAlign w:val="superscript"/>
        </w:rPr>
        <w:instrText xml:space="preserve"> NOTEREF _Ref460339199 \h </w:instrText>
      </w:r>
      <w:r w:rsidR="00F677C6">
        <w:rPr>
          <w:vertAlign w:val="superscript"/>
        </w:rPr>
        <w:instrText xml:space="preserve"> \* MERGEFORMAT </w:instrText>
      </w:r>
      <w:r w:rsidR="00F677C6" w:rsidRPr="00F677C6">
        <w:rPr>
          <w:vertAlign w:val="superscript"/>
        </w:rPr>
      </w:r>
      <w:r w:rsidR="00F677C6" w:rsidRPr="00F677C6">
        <w:rPr>
          <w:vertAlign w:val="superscript"/>
        </w:rPr>
        <w:fldChar w:fldCharType="separate"/>
      </w:r>
      <w:r w:rsidR="00205340">
        <w:rPr>
          <w:vertAlign w:val="superscript"/>
        </w:rPr>
        <w:t>2</w:t>
      </w:r>
      <w:r w:rsidR="00F677C6" w:rsidRPr="00F677C6">
        <w:rPr>
          <w:vertAlign w:val="superscript"/>
        </w:rPr>
        <w:fldChar w:fldCharType="end"/>
      </w:r>
      <w:r w:rsidRPr="00A52683">
        <w:t xml:space="preserve"> VEGF is already viewed as a viable therapeutic target for this disease, with treatment of visual impairment due to diabetic macular oedema included in the indic</w:t>
      </w:r>
      <w:r w:rsidR="00740C73">
        <w:t xml:space="preserve">ations approved for </w:t>
      </w:r>
      <w:proofErr w:type="spellStart"/>
      <w:r w:rsidR="00740C73">
        <w:t>ranibizumab</w:t>
      </w:r>
      <w:proofErr w:type="spellEnd"/>
      <w:r w:rsidR="00740C73">
        <w:t> </w:t>
      </w:r>
      <w:r w:rsidR="0034264B">
        <w:t>(</w:t>
      </w:r>
      <w:proofErr w:type="spellStart"/>
      <w:r w:rsidR="0034264B">
        <w:t>rbe</w:t>
      </w:r>
      <w:proofErr w:type="spellEnd"/>
      <w:r w:rsidR="0034264B">
        <w:t>)</w:t>
      </w:r>
      <w:r w:rsidRPr="00A52683">
        <w:t>(</w:t>
      </w:r>
      <w:proofErr w:type="spellStart"/>
      <w:r w:rsidRPr="00A52683">
        <w:t>Lucentis</w:t>
      </w:r>
      <w:proofErr w:type="spellEnd"/>
      <w:r w:rsidRPr="00A52683">
        <w:t>), a monoclonal antibody against VEGF administered by intravitreal injection.</w:t>
      </w:r>
    </w:p>
    <w:p w:rsidR="00A52683" w:rsidRPr="00A52683" w:rsidRDefault="00A52683" w:rsidP="00A52683">
      <w:r w:rsidRPr="00A52683">
        <w:t>Inhibition of VEGF expression by dexamethasone and other corticosteroids is reported in the literature</w:t>
      </w:r>
      <w:r w:rsidR="00F677C6">
        <w:t>.</w:t>
      </w:r>
      <w:r w:rsidR="00F677C6">
        <w:rPr>
          <w:rStyle w:val="FootnoteReference"/>
        </w:rPr>
        <w:footnoteReference w:id="5"/>
      </w:r>
      <w:r w:rsidR="00F677C6">
        <w:t xml:space="preserve"> </w:t>
      </w:r>
      <w:r w:rsidRPr="00A52683">
        <w:t>Corticosteroids also inhibit prostaglandin release/synthesis, which has been implicated in the pathogenesis of cystoid macular oedema</w:t>
      </w:r>
      <w:r w:rsidR="00F677C6">
        <w:t>.</w:t>
      </w:r>
      <w:r w:rsidR="00F677C6">
        <w:rPr>
          <w:rStyle w:val="FootnoteReference"/>
        </w:rPr>
        <w:footnoteReference w:id="6"/>
      </w:r>
      <w:r w:rsidRPr="00A52683">
        <w:t xml:space="preserve"> Intravitreal injection of VEGF in animals causes ocular changes that are characteristic of diabetic macular oedema: increased dilation and permeability of retinal blood vessels, and blood</w:t>
      </w:r>
      <w:r w:rsidR="00D57E70">
        <w:t xml:space="preserve"> </w:t>
      </w:r>
      <w:r w:rsidRPr="00A52683">
        <w:t>retinal barrier and blood</w:t>
      </w:r>
      <w:r w:rsidR="00D57E70">
        <w:t xml:space="preserve"> </w:t>
      </w:r>
      <w:r w:rsidRPr="00A52683">
        <w:t>aqueous barrier breakdown</w:t>
      </w:r>
      <w:proofErr w:type="gramStart"/>
      <w:r w:rsidR="00F677C6">
        <w:t>.</w:t>
      </w:r>
      <w:r w:rsidR="00F677C6">
        <w:rPr>
          <w:rStyle w:val="FootnoteReference"/>
        </w:rPr>
        <w:footnoteReference w:id="7"/>
      </w:r>
      <w:r w:rsidR="00F677C6">
        <w:t>,</w:t>
      </w:r>
      <w:r w:rsidR="00F677C6">
        <w:rPr>
          <w:rStyle w:val="FootnoteReference"/>
        </w:rPr>
        <w:footnoteReference w:id="8"/>
      </w:r>
      <w:r w:rsidR="00F677C6">
        <w:t>,</w:t>
      </w:r>
      <w:r w:rsidR="00F677C6">
        <w:rPr>
          <w:rStyle w:val="FootnoteReference"/>
        </w:rPr>
        <w:footnoteReference w:id="9"/>
      </w:r>
      <w:r w:rsidR="00F677C6">
        <w:t>;</w:t>
      </w:r>
      <w:bookmarkStart w:id="53" w:name="_Ref460339789"/>
      <w:proofErr w:type="gramEnd"/>
      <w:r w:rsidR="00F677C6">
        <w:rPr>
          <w:rStyle w:val="FootnoteReference"/>
        </w:rPr>
        <w:footnoteReference w:id="10"/>
      </w:r>
      <w:bookmarkEnd w:id="53"/>
    </w:p>
    <w:p w:rsidR="00A52683" w:rsidRPr="00A52683" w:rsidRDefault="00A52683" w:rsidP="00A52683">
      <w:r w:rsidRPr="00A52683">
        <w:t xml:space="preserve">The sponsor investigated the effect of dexamethasone implants in a rabbit model of macular oedema. The intravitreal implants (350 and 700 </w:t>
      </w:r>
      <w:r w:rsidR="005C2E04">
        <w:t>µ</w:t>
      </w:r>
      <w:r w:rsidRPr="00A52683">
        <w:t>g/eye) produced dose</w:t>
      </w:r>
      <w:r w:rsidR="00D57E70">
        <w:t xml:space="preserve"> </w:t>
      </w:r>
      <w:r w:rsidRPr="00A52683">
        <w:t>dependent inhibition of blood</w:t>
      </w:r>
      <w:r w:rsidR="00D57E70">
        <w:t xml:space="preserve"> </w:t>
      </w:r>
      <w:r w:rsidRPr="00A52683">
        <w:t>retinal barrier breakdown, blood</w:t>
      </w:r>
      <w:r w:rsidR="00D57E70">
        <w:t xml:space="preserve"> </w:t>
      </w:r>
      <w:r w:rsidRPr="00A52683">
        <w:t xml:space="preserve">aqueous barrier </w:t>
      </w:r>
      <w:r w:rsidRPr="00A52683">
        <w:lastRenderedPageBreak/>
        <w:t>breakdown and retinal vasodilation/tortuosity induced by VEGF for up to 6 weeks post</w:t>
      </w:r>
      <w:r w:rsidR="00D57E70">
        <w:t xml:space="preserve"> </w:t>
      </w:r>
      <w:r w:rsidRPr="00A52683">
        <w:t>dose, returning to control levels by 10 weeks post</w:t>
      </w:r>
      <w:r w:rsidR="00D57E70">
        <w:t xml:space="preserve"> </w:t>
      </w:r>
      <w:r w:rsidRPr="00A52683">
        <w:t>dose. When adjusted for differences in the volume of vitreous humour across species (</w:t>
      </w:r>
      <w:r w:rsidR="00740C73">
        <w:t>that is</w:t>
      </w:r>
      <w:r w:rsidRPr="00A52683">
        <w:t xml:space="preserve">, 1.5 mL in rabbits </w:t>
      </w:r>
      <w:r w:rsidR="00740C73">
        <w:t>compared with</w:t>
      </w:r>
      <w:r w:rsidRPr="00A52683">
        <w:t xml:space="preserve"> 4 mL in humans), the doses of dexameth</w:t>
      </w:r>
      <w:r w:rsidR="00F677C6">
        <w:t xml:space="preserve">asone used in the study are 1.3 to </w:t>
      </w:r>
      <w:r w:rsidRPr="00A52683">
        <w:t xml:space="preserve">2.7 times the proposed clinical dose. Similar findings were reported with another corticosteroid, triamcinolone (2 mg by intravitreal injection), as well as systemically administered dexamethasone (2 mg/kg/day, </w:t>
      </w:r>
      <w:r w:rsidR="00740C73">
        <w:t>subcutaneous (</w:t>
      </w:r>
      <w:r w:rsidRPr="00A52683">
        <w:t>SC</w:t>
      </w:r>
      <w:r w:rsidR="00740C73">
        <w:t>)</w:t>
      </w:r>
      <w:r w:rsidRPr="00A52683">
        <w:t>), but not with indomethacin (20 mg/kg/day, SC), ruling out the involvement of the cyclooxygenase pathway in VEGF</w:t>
      </w:r>
      <w:r w:rsidR="00D57E70">
        <w:t xml:space="preserve"> </w:t>
      </w:r>
      <w:r w:rsidRPr="00A52683">
        <w:t>induced blood</w:t>
      </w:r>
      <w:r w:rsidR="00D57E70">
        <w:t xml:space="preserve"> </w:t>
      </w:r>
      <w:r w:rsidRPr="00A52683">
        <w:t>ocular barrier breakdown</w:t>
      </w:r>
      <w:r w:rsidR="00740C73">
        <w:t>.</w:t>
      </w:r>
      <w:r w:rsidR="00740C73" w:rsidRPr="00740C73">
        <w:rPr>
          <w:vertAlign w:val="superscript"/>
        </w:rPr>
        <w:fldChar w:fldCharType="begin"/>
      </w:r>
      <w:r w:rsidR="00740C73" w:rsidRPr="00740C73">
        <w:rPr>
          <w:vertAlign w:val="superscript"/>
        </w:rPr>
        <w:instrText xml:space="preserve"> NOTEREF _Ref460339789 \h </w:instrText>
      </w:r>
      <w:r w:rsidR="00740C73">
        <w:rPr>
          <w:vertAlign w:val="superscript"/>
        </w:rPr>
        <w:instrText xml:space="preserve"> \* MERGEFORMAT </w:instrText>
      </w:r>
      <w:r w:rsidR="00740C73" w:rsidRPr="00740C73">
        <w:rPr>
          <w:vertAlign w:val="superscript"/>
        </w:rPr>
      </w:r>
      <w:r w:rsidR="00740C73" w:rsidRPr="00740C73">
        <w:rPr>
          <w:vertAlign w:val="superscript"/>
        </w:rPr>
        <w:fldChar w:fldCharType="separate"/>
      </w:r>
      <w:r w:rsidR="00205340">
        <w:rPr>
          <w:vertAlign w:val="superscript"/>
        </w:rPr>
        <w:t>10</w:t>
      </w:r>
      <w:r w:rsidR="00740C73" w:rsidRPr="00740C73">
        <w:rPr>
          <w:vertAlign w:val="superscript"/>
        </w:rPr>
        <w:fldChar w:fldCharType="end"/>
      </w:r>
    </w:p>
    <w:p w:rsidR="00A52683" w:rsidRPr="00A52683" w:rsidRDefault="00A52683" w:rsidP="00A52683">
      <w:pPr>
        <w:pStyle w:val="Heading4"/>
      </w:pPr>
      <w:r w:rsidRPr="00A52683">
        <w:t>Secondary pharmacodynamics and safety pharmacology</w:t>
      </w:r>
    </w:p>
    <w:p w:rsidR="00A52683" w:rsidRPr="00A52683" w:rsidRDefault="00A52683" w:rsidP="00A52683">
      <w:r w:rsidRPr="00A52683">
        <w:t>No secondary pharmacodynamics or safety pharmacology data were submitted with this application. This is considered acceptable given the long history of clinical use of dexamethasone and the level of systemic exposure achieved.</w:t>
      </w:r>
    </w:p>
    <w:p w:rsidR="00A52683" w:rsidRPr="00A52683" w:rsidRDefault="00A52683" w:rsidP="00A52683">
      <w:pPr>
        <w:pStyle w:val="Heading3"/>
      </w:pPr>
      <w:bookmarkStart w:id="54" w:name="_Toc247691513"/>
      <w:bookmarkStart w:id="55" w:name="_Toc314842497"/>
      <w:bookmarkStart w:id="56" w:name="_Toc465939512"/>
      <w:r>
        <w:t>Pharmacokinetics</w:t>
      </w:r>
      <w:bookmarkEnd w:id="54"/>
      <w:bookmarkEnd w:id="55"/>
      <w:bookmarkEnd w:id="56"/>
    </w:p>
    <w:p w:rsidR="00A52683" w:rsidRPr="00A52683" w:rsidRDefault="00A52683" w:rsidP="00A52683">
      <w:pPr>
        <w:pStyle w:val="Heading4"/>
      </w:pPr>
      <w:r w:rsidRPr="00A52683">
        <w:t>Dexamethasone release from implants</w:t>
      </w:r>
    </w:p>
    <w:p w:rsidR="00A52683" w:rsidRPr="00A52683" w:rsidRDefault="00A52683" w:rsidP="00A52683">
      <w:r w:rsidRPr="00A52683">
        <w:t>In experiments in animals with the proposed commercial implants, 50% release of dexamethasone was observed approximately 2.5 weeks after implantation in rabbits and approximately 6</w:t>
      </w:r>
      <w:r w:rsidR="00C77A0F">
        <w:t xml:space="preserve"> </w:t>
      </w:r>
      <w:r w:rsidRPr="00A52683">
        <w:t xml:space="preserve">weeks after implantation in monkeys. Dexamethasone release from implants appeared to be highly variable in both </w:t>
      </w:r>
      <w:r w:rsidRPr="005B2867">
        <w:t>species (see Figure</w:t>
      </w:r>
      <w:r w:rsidR="00740C73" w:rsidRPr="005B2867">
        <w:t>s</w:t>
      </w:r>
      <w:r w:rsidRPr="005B2867">
        <w:t xml:space="preserve"> </w:t>
      </w:r>
      <w:r w:rsidR="00740C73" w:rsidRPr="005B2867">
        <w:t>3 and 4</w:t>
      </w:r>
      <w:r w:rsidRPr="005B2867">
        <w:t>),</w:t>
      </w:r>
      <w:r w:rsidRPr="00A52683">
        <w:t xml:space="preserve"> with standard deviations for percent release at particular time points of up to 37% seen in rabbits and 16% in monkeys. The majority (</w:t>
      </w:r>
      <w:r w:rsidR="005B2867">
        <w:t>≥ 9</w:t>
      </w:r>
      <w:r w:rsidRPr="00A52683">
        <w:t>8%) of dexamethasone was generally released from implants in</w:t>
      </w:r>
      <w:r w:rsidR="005B2867">
        <w:t xml:space="preserve"> rabbit eyes in approximately 4 to </w:t>
      </w:r>
      <w:r w:rsidRPr="00A52683">
        <w:t>8 weeks, and complete release occurred within 13 weeks in monkeys. Implants were generally not visible in rabbit or monkey eyes 3 months post</w:t>
      </w:r>
      <w:r w:rsidR="00D57E70">
        <w:t xml:space="preserve"> </w:t>
      </w:r>
      <w:r w:rsidRPr="00A52683">
        <w:t>implantation. Fragmentation of the implant did not appear to alter the overall rate of dexamethasone release in rabbits.</w:t>
      </w:r>
    </w:p>
    <w:p w:rsidR="00A52683" w:rsidRDefault="00A52683" w:rsidP="00A52683">
      <w:r w:rsidRPr="00A52683">
        <w:t xml:space="preserve">Differences in the release profile were observed between </w:t>
      </w:r>
      <w:r w:rsidR="00204D08">
        <w:t>early</w:t>
      </w:r>
      <w:r w:rsidR="00204D08" w:rsidRPr="00A52683">
        <w:t xml:space="preserve"> </w:t>
      </w:r>
      <w:r w:rsidRPr="00A52683">
        <w:t>(used in two early single</w:t>
      </w:r>
      <w:r w:rsidR="00D57E70">
        <w:t xml:space="preserve"> </w:t>
      </w:r>
      <w:r w:rsidRPr="00A52683">
        <w:t xml:space="preserve">dose toxicity studies) and </w:t>
      </w:r>
      <w:r w:rsidR="00204D08">
        <w:t>later</w:t>
      </w:r>
      <w:r w:rsidR="00204D08" w:rsidRPr="00A52683">
        <w:t xml:space="preserve"> </w:t>
      </w:r>
      <w:r w:rsidRPr="00A52683">
        <w:t xml:space="preserve">forms of the implant (proposed commercial product; used in later toxicity studies) in comparative studies in rabbits. Release from the </w:t>
      </w:r>
      <w:r w:rsidR="00204D08">
        <w:t>later</w:t>
      </w:r>
      <w:r w:rsidR="00204D08" w:rsidRPr="00A52683">
        <w:t xml:space="preserve"> </w:t>
      </w:r>
      <w:r w:rsidRPr="00A52683">
        <w:t xml:space="preserve">implant was slower in the first two weeks following implantation, with </w:t>
      </w:r>
      <w:r w:rsidR="005B2867">
        <w:t xml:space="preserve">approximately 2 to </w:t>
      </w:r>
      <w:r w:rsidRPr="00A52683">
        <w:t>3 times less dexamethasone released than from the tableted form.</w:t>
      </w:r>
    </w:p>
    <w:p w:rsidR="00740C73" w:rsidRDefault="00740C73" w:rsidP="00740C73">
      <w:pPr>
        <w:pStyle w:val="FigureTitle"/>
      </w:pPr>
      <w:proofErr w:type="gramStart"/>
      <w:r>
        <w:lastRenderedPageBreak/>
        <w:t>Figure 3</w:t>
      </w:r>
      <w:r w:rsidR="005B2867">
        <w:t>.</w:t>
      </w:r>
      <w:proofErr w:type="gramEnd"/>
      <w:r>
        <w:t xml:space="preserve"> Percent of dexamethasone released from DEX PS DDS over time for 350 µg and 700 µg DEX PS DDS in rabbits (n = 3 – 6)</w:t>
      </w:r>
    </w:p>
    <w:p w:rsidR="00740C73" w:rsidRDefault="00740C73" w:rsidP="00A52683">
      <w:r>
        <w:rPr>
          <w:noProof/>
          <w:lang w:eastAsia="en-AU"/>
        </w:rPr>
        <w:drawing>
          <wp:inline distT="0" distB="0" distL="0" distR="0" wp14:anchorId="4E8F7B54" wp14:editId="717B2C3D">
            <wp:extent cx="4959706" cy="2552552"/>
            <wp:effectExtent l="0" t="0" r="0" b="635"/>
            <wp:docPr id="2" name="Picture 2" descr="Figure 3. Percent of dexamethasone released from DEX PS DDS over time for 350 µg and 700 µg DEX PS DDS in rabbits (n = 3 –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965237" cy="2555399"/>
                    </a:xfrm>
                    <a:prstGeom prst="rect">
                      <a:avLst/>
                    </a:prstGeom>
                  </pic:spPr>
                </pic:pic>
              </a:graphicData>
            </a:graphic>
          </wp:inline>
        </w:drawing>
      </w:r>
    </w:p>
    <w:p w:rsidR="00740C73" w:rsidRDefault="00740C73" w:rsidP="00740C73">
      <w:pPr>
        <w:pStyle w:val="FigureTitle"/>
      </w:pPr>
      <w:proofErr w:type="gramStart"/>
      <w:r>
        <w:t xml:space="preserve">Figure </w:t>
      </w:r>
      <w:r w:rsidR="005B2867">
        <w:t>4.</w:t>
      </w:r>
      <w:proofErr w:type="gramEnd"/>
      <w:r>
        <w:t xml:space="preserve"> Percent of dexamethasone released from DEX PS DDS over time for 350 µg and 700 µg DEX PS DDS in monkeys (n = 1 – 4)</w:t>
      </w:r>
    </w:p>
    <w:p w:rsidR="00740C73" w:rsidRPr="00A52683" w:rsidRDefault="00740C73" w:rsidP="00A52683">
      <w:r>
        <w:rPr>
          <w:noProof/>
          <w:lang w:eastAsia="en-AU"/>
        </w:rPr>
        <w:drawing>
          <wp:inline distT="0" distB="0" distL="0" distR="0" wp14:anchorId="1D5D217D" wp14:editId="18DA7F85">
            <wp:extent cx="4842663" cy="2501775"/>
            <wp:effectExtent l="0" t="0" r="0" b="0"/>
            <wp:docPr id="5" name="Picture 5" descr="Figure 4. Percent of dexamethasone released from DEX PS DDS over time for 350 µg and 700 µg DEX PS DDS in monkeys (n = 1 –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842040" cy="2501453"/>
                    </a:xfrm>
                    <a:prstGeom prst="rect">
                      <a:avLst/>
                    </a:prstGeom>
                  </pic:spPr>
                </pic:pic>
              </a:graphicData>
            </a:graphic>
          </wp:inline>
        </w:drawing>
      </w:r>
    </w:p>
    <w:p w:rsidR="00A52683" w:rsidRPr="00A52683" w:rsidRDefault="00A52683" w:rsidP="00A52683">
      <w:pPr>
        <w:pStyle w:val="Heading4"/>
      </w:pPr>
      <w:r w:rsidRPr="00A52683">
        <w:t>Absorption and distribution</w:t>
      </w:r>
    </w:p>
    <w:p w:rsidR="00A52683" w:rsidRPr="00A52683" w:rsidRDefault="00A52683" w:rsidP="00A52683">
      <w:r w:rsidRPr="00A52683">
        <w:t>Ocular and systemic exposure (based on AUC) to dexamethasone following single ocular implantation in rabbits (350 or 700 </w:t>
      </w:r>
      <w:r w:rsidR="005C2E04">
        <w:t>µ</w:t>
      </w:r>
      <w:r w:rsidRPr="00A52683">
        <w:t>g/eye) was approximately dose</w:t>
      </w:r>
      <w:r w:rsidR="00D57E70">
        <w:t xml:space="preserve"> </w:t>
      </w:r>
      <w:r w:rsidRPr="00A52683">
        <w:t>proportional. Distribution throughout the eye appeared to be extensive following intravitreal administration in rabbits and monkeys, with highest exposure seen in the retina in both species (</w:t>
      </w:r>
      <w:r w:rsidR="005B2867">
        <w:t xml:space="preserve">approximately 1.4 to </w:t>
      </w:r>
      <w:r w:rsidRPr="00A52683">
        <w:t>3.9</w:t>
      </w:r>
      <w:r w:rsidR="00D57E70">
        <w:t xml:space="preserve"> </w:t>
      </w:r>
      <w:r w:rsidRPr="00A52683">
        <w:t>times the AUC for vitreous humour). Peak dexamethasone concentrations were observed in the vitreous humour and most other ocular matrices 14 days after implantation of a single Ozurdex implant in rabbits and at 42 days post</w:t>
      </w:r>
      <w:r w:rsidR="00D57E70">
        <w:t xml:space="preserve"> </w:t>
      </w:r>
      <w:r w:rsidRPr="00A52683">
        <w:t xml:space="preserve">implantation in monkeys. In monkeys, the peak concentration of dexamethasone in the vitreous humour (the half distal to the 700 </w:t>
      </w:r>
      <w:r w:rsidR="005C2E04">
        <w:t>µ</w:t>
      </w:r>
      <w:r w:rsidRPr="00A52683">
        <w:t xml:space="preserve">g implant) was 100 ng/mL, and the apparent </w:t>
      </w:r>
      <w:r w:rsidR="005B2867" w:rsidRPr="00A52683">
        <w:t>half-life</w:t>
      </w:r>
      <w:r w:rsidRPr="00A52683">
        <w:t xml:space="preserve"> was approximately 17 days. Dexamethasone remained detectable in the monkey vitreous to 3 months post</w:t>
      </w:r>
      <w:r w:rsidR="00D57E70">
        <w:t xml:space="preserve"> </w:t>
      </w:r>
      <w:r w:rsidRPr="00A52683">
        <w:t>injection.</w:t>
      </w:r>
    </w:p>
    <w:p w:rsidR="00A52683" w:rsidRPr="00A52683" w:rsidRDefault="00A52683" w:rsidP="00A52683">
      <w:r w:rsidRPr="00A52683">
        <w:t>Dexamethasone was detected in plasma of both animal species after intravitreal implantation, but only at very low levels. Systemic exposure (plasma AUC) to dexamethasone was substantially lower than that for vitreous humour (rabbit: </w:t>
      </w:r>
      <w:r w:rsidR="005B2867">
        <w:t>approximately</w:t>
      </w:r>
      <w:r w:rsidR="007230AF">
        <w:t xml:space="preserve"> </w:t>
      </w:r>
      <w:r w:rsidRPr="00A52683">
        <w:t>2</w:t>
      </w:r>
      <w:r w:rsidR="005B2867">
        <w:t>,</w:t>
      </w:r>
      <w:r w:rsidRPr="00A52683">
        <w:t xml:space="preserve">300 times lower; monkey: </w:t>
      </w:r>
      <w:r w:rsidR="005B2867">
        <w:t>approximately</w:t>
      </w:r>
      <w:r w:rsidRPr="00A52683">
        <w:t xml:space="preserve">570 times lower) or </w:t>
      </w:r>
      <w:r w:rsidRPr="00A52683">
        <w:lastRenderedPageBreak/>
        <w:t xml:space="preserve">retina (rabbit: </w:t>
      </w:r>
      <w:r w:rsidR="005B2867">
        <w:t>approximately</w:t>
      </w:r>
      <w:r w:rsidRPr="00A52683">
        <w:t>3</w:t>
      </w:r>
      <w:proofErr w:type="gramStart"/>
      <w:r w:rsidR="005B2867">
        <w:t>,</w:t>
      </w:r>
      <w:r w:rsidRPr="00A52683">
        <w:t>750</w:t>
      </w:r>
      <w:proofErr w:type="gramEnd"/>
      <w:r w:rsidRPr="00A52683">
        <w:t xml:space="preserve"> times lower; monkey: </w:t>
      </w:r>
      <w:r w:rsidR="005B2867">
        <w:t>approximately</w:t>
      </w:r>
      <w:r w:rsidRPr="00A52683">
        <w:t>2</w:t>
      </w:r>
      <w:r w:rsidR="005B2867">
        <w:t>,</w:t>
      </w:r>
      <w:r w:rsidRPr="00A52683">
        <w:t>250 times lower).</w:t>
      </w:r>
    </w:p>
    <w:p w:rsidR="00A52683" w:rsidRPr="00A52683" w:rsidRDefault="00A52683" w:rsidP="00A52683">
      <w:r w:rsidRPr="00A52683">
        <w:t>Dexamethasone was shown to not bind to melanin in in vitro experiments.</w:t>
      </w:r>
    </w:p>
    <w:p w:rsidR="00A52683" w:rsidRPr="00A52683" w:rsidRDefault="00A52683" w:rsidP="00A52683">
      <w:pPr>
        <w:pStyle w:val="Heading4"/>
      </w:pPr>
      <w:r w:rsidRPr="00A52683">
        <w:t>Metabolism and excretion</w:t>
      </w:r>
    </w:p>
    <w:p w:rsidR="00A52683" w:rsidRPr="00A52683" w:rsidRDefault="00A52683" w:rsidP="00A52683">
      <w:r w:rsidRPr="00A52683">
        <w:t>To support the new route of administration, the ocular metabolism of dexamethasone was investigated in an in vitro study using human ocular tissue and in in vivo studies in rabbits and monkeys. No dexamethasone metabolites (only the unchanged drug) were detected in human cornea, iris</w:t>
      </w:r>
      <w:r w:rsidR="006B3E09">
        <w:t>,</w:t>
      </w:r>
      <w:r w:rsidR="00D57E70">
        <w:t xml:space="preserve"> </w:t>
      </w:r>
      <w:r w:rsidRPr="00A52683">
        <w:t>ciliary body, choroid, retina, vitreous humour or sclera following incubation for 18 h</w:t>
      </w:r>
      <w:r w:rsidR="005B2867">
        <w:t>ours</w:t>
      </w:r>
      <w:r w:rsidRPr="00A52683">
        <w:t>, or in the aqueous and vitreous humour, retina, ciliary body, iris, choroid, cornea, lens or sclera from rabbits and monkeys for up to 24 h</w:t>
      </w:r>
      <w:r w:rsidR="005B2867">
        <w:t>ours</w:t>
      </w:r>
      <w:r w:rsidRPr="00A52683">
        <w:t xml:space="preserve"> post</w:t>
      </w:r>
      <w:r w:rsidR="00D57E70">
        <w:t xml:space="preserve"> </w:t>
      </w:r>
      <w:r w:rsidRPr="00A52683">
        <w:t>dose, apart from low levels of mono</w:t>
      </w:r>
      <w:r w:rsidR="00D57E70">
        <w:t xml:space="preserve"> </w:t>
      </w:r>
      <w:r w:rsidRPr="00A52683">
        <w:t>oxygenated dexamethasone in one monkey aqueous humour sample (accounting for less than 1% of sample radioactivity). Having already been adequately characterised, no further studies on the systemic metabolism of dexamethasone were conducted. The poly (</w:t>
      </w:r>
      <w:r w:rsidR="005B2867" w:rsidRPr="00A52683">
        <w:t>D</w:t>
      </w:r>
      <w:proofErr w:type="gramStart"/>
      <w:r w:rsidR="005B2867" w:rsidRPr="00A52683">
        <w:t>,L</w:t>
      </w:r>
      <w:proofErr w:type="gramEnd"/>
      <w:r w:rsidR="005B2867">
        <w:t>-</w:t>
      </w:r>
      <w:proofErr w:type="spellStart"/>
      <w:r w:rsidRPr="00A52683">
        <w:t>lactide</w:t>
      </w:r>
      <w:proofErr w:type="spellEnd"/>
      <w:r w:rsidR="005B2867">
        <w:t>-</w:t>
      </w:r>
      <w:r w:rsidRPr="00A52683">
        <w:t>co</w:t>
      </w:r>
      <w:r w:rsidR="005B2867">
        <w:t>-</w:t>
      </w:r>
      <w:proofErr w:type="spellStart"/>
      <w:r w:rsidRPr="00A52683">
        <w:t>glycolide</w:t>
      </w:r>
      <w:proofErr w:type="spellEnd"/>
      <w:r w:rsidRPr="00A52683">
        <w:t>) polymers used as excipients in the implant are degraded via backbone hydrolysis to lactic acid and glycolic acid, which are ultimately metabolised into carbon dioxide and water via normal metabolic pathways.</w:t>
      </w:r>
    </w:p>
    <w:p w:rsidR="004334C7" w:rsidRDefault="00A52683" w:rsidP="004334C7">
      <w:r w:rsidRPr="00A52683">
        <w:t xml:space="preserve">No conventional excretion studies were submitted for the dexamethasone implant, but systemic elimination is not expected to deviate from known pathways. Based on the distribution profile in rabbits and monkeys, clearance of dexamethasone from the vitreous humour is seen to be predominantly via diffusion into the </w:t>
      </w:r>
      <w:bookmarkStart w:id="57" w:name="_Toc247691514"/>
      <w:bookmarkStart w:id="58" w:name="_Toc314842498"/>
      <w:r w:rsidR="00FB35AC">
        <w:t>retina/choroid/sclera membrane.</w:t>
      </w:r>
    </w:p>
    <w:p w:rsidR="001B5C90" w:rsidRDefault="008E7846" w:rsidP="001B5C90">
      <w:pPr>
        <w:pStyle w:val="Heading3"/>
      </w:pPr>
      <w:bookmarkStart w:id="59" w:name="_Toc465939513"/>
      <w:r>
        <w:t>Toxicology</w:t>
      </w:r>
      <w:bookmarkEnd w:id="57"/>
      <w:bookmarkEnd w:id="58"/>
      <w:bookmarkEnd w:id="59"/>
    </w:p>
    <w:p w:rsidR="00A52683" w:rsidRPr="00A52683" w:rsidRDefault="00A52683" w:rsidP="00A52683">
      <w:r w:rsidRPr="00A52683">
        <w:t>Three single</w:t>
      </w:r>
      <w:r w:rsidR="00D57E70">
        <w:t xml:space="preserve"> </w:t>
      </w:r>
      <w:r w:rsidRPr="00A52683">
        <w:t>dose toxicity studies (with observation periods of 4</w:t>
      </w:r>
      <w:r w:rsidR="00D57E70">
        <w:t xml:space="preserve"> to </w:t>
      </w:r>
      <w:r w:rsidRPr="00A52683">
        <w:t>24 weeks) were conducted in rabbits, and two repeat</w:t>
      </w:r>
      <w:r w:rsidR="00D57E70">
        <w:t xml:space="preserve"> </w:t>
      </w:r>
      <w:r w:rsidRPr="00A52683">
        <w:t xml:space="preserve">dose toxicity studies (two implantations, 3 months apart) of 12 months duration were conducted in rabbits and </w:t>
      </w:r>
      <w:proofErr w:type="spellStart"/>
      <w:r w:rsidRPr="00A52683">
        <w:t>cynomolgus</w:t>
      </w:r>
      <w:proofErr w:type="spellEnd"/>
      <w:r w:rsidRPr="00A52683">
        <w:t xml:space="preserve"> monkeys, by the intravitreal route. The single</w:t>
      </w:r>
      <w:r w:rsidR="00D57E70">
        <w:t xml:space="preserve"> </w:t>
      </w:r>
      <w:r w:rsidRPr="00A52683">
        <w:t>dose studies employed earlier forms of the implant and surgical implantation (</w:t>
      </w:r>
      <w:proofErr w:type="spellStart"/>
      <w:r w:rsidRPr="00A52683">
        <w:t>sclerotomy</w:t>
      </w:r>
      <w:proofErr w:type="spellEnd"/>
      <w:r w:rsidRPr="00A52683">
        <w:t>), while the repeat</w:t>
      </w:r>
      <w:r w:rsidR="00D57E70">
        <w:t xml:space="preserve"> </w:t>
      </w:r>
      <w:r w:rsidRPr="00A52683">
        <w:t xml:space="preserve">dose studies used the clinical form of the implant, injected using the clinical (DEX PS DDS) applicator system. Animals in control groups received </w:t>
      </w:r>
      <w:r w:rsidR="007E2B4E">
        <w:t>Sham</w:t>
      </w:r>
      <w:r w:rsidRPr="00A52683">
        <w:t xml:space="preserve"> tre</w:t>
      </w:r>
      <w:r w:rsidR="00FB35AC">
        <w:t>atment and/or placebo implants.</w:t>
      </w:r>
    </w:p>
    <w:p w:rsidR="00A52683" w:rsidRPr="00A52683" w:rsidRDefault="00A52683" w:rsidP="00A52683">
      <w:pPr>
        <w:pStyle w:val="Heading4"/>
      </w:pPr>
      <w:r w:rsidRPr="00A52683">
        <w:t>Relative exposure</w:t>
      </w:r>
    </w:p>
    <w:p w:rsidR="00A52683" w:rsidRPr="00A52683" w:rsidRDefault="00A52683" w:rsidP="00A52683">
      <w:r w:rsidRPr="00A52683">
        <w:t xml:space="preserve">Relative ocular exposure in the toxicity studies is estimated based on comparisons of the dose administered per volume of vitreous humour. Relative systemic exposure in the toxicity studies is estimated based on dose adjusted for body surface area. Bilateral administration is assumed for patients for the purpose of the risk assessment. A plasma AUC could not be calculated for humans as plasma dexamethasone concentrations in patients after intravitreal implantation were mostly below the limit of quantitation (0.05 ng/mL) or otherwise very low (maximum observed concentration, 0.102 ng/mL). Significant multiples of the human </w:t>
      </w:r>
      <w:r w:rsidR="007230AF" w:rsidRPr="00A52683">
        <w:t>exposure was</w:t>
      </w:r>
      <w:r w:rsidRPr="00A52683">
        <w:t xml:space="preserve"> achieved at the upper dose levels in rabbits, while low to modest multiples were obtained in monkeys.</w:t>
      </w:r>
    </w:p>
    <w:p w:rsidR="00300894" w:rsidRPr="00300894" w:rsidRDefault="007A22C1" w:rsidP="00300894">
      <w:pPr>
        <w:pStyle w:val="TableTitle"/>
      </w:pPr>
      <w:proofErr w:type="gramStart"/>
      <w:r>
        <w:lastRenderedPageBreak/>
        <w:t>Table 3</w:t>
      </w:r>
      <w:r w:rsidR="00300894">
        <w:t>.</w:t>
      </w:r>
      <w:proofErr w:type="gramEnd"/>
      <w:r w:rsidR="00300894">
        <w:t xml:space="preserve"> </w:t>
      </w:r>
      <w:r w:rsidR="00300894" w:rsidRPr="00300894">
        <w:t>Relative exposure to dexamethasone in toxicity studies</w:t>
      </w:r>
    </w:p>
    <w:tbl>
      <w:tblPr>
        <w:tblStyle w:val="TableTGAblue"/>
        <w:tblW w:w="8564" w:type="dxa"/>
        <w:tblLayout w:type="fixed"/>
        <w:tblLook w:val="01E0" w:firstRow="1" w:lastRow="1" w:firstColumn="1" w:lastColumn="1" w:noHBand="0" w:noVBand="0"/>
      </w:tblPr>
      <w:tblGrid>
        <w:gridCol w:w="1101"/>
        <w:gridCol w:w="1984"/>
        <w:gridCol w:w="992"/>
        <w:gridCol w:w="1024"/>
        <w:gridCol w:w="769"/>
        <w:gridCol w:w="901"/>
        <w:gridCol w:w="850"/>
        <w:gridCol w:w="943"/>
      </w:tblGrid>
      <w:tr w:rsidR="00300894" w:rsidRPr="00C77A0F" w:rsidTr="00C77A0F">
        <w:trPr>
          <w:cnfStyle w:val="100000000000" w:firstRow="1" w:lastRow="0" w:firstColumn="0" w:lastColumn="0" w:oddVBand="0" w:evenVBand="0" w:oddHBand="0" w:evenHBand="0" w:firstRowFirstColumn="0" w:firstRowLastColumn="0" w:lastRowFirstColumn="0" w:lastRowLastColumn="0"/>
          <w:trHeight w:val="319"/>
        </w:trPr>
        <w:tc>
          <w:tcPr>
            <w:tcW w:w="1101" w:type="dxa"/>
            <w:vMerge w:val="restart"/>
          </w:tcPr>
          <w:p w:rsidR="00300894" w:rsidRPr="00C77A0F" w:rsidRDefault="00300894" w:rsidP="00C77A0F">
            <w:pPr>
              <w:ind w:left="0"/>
              <w:rPr>
                <w:sz w:val="19"/>
                <w:szCs w:val="19"/>
              </w:rPr>
            </w:pPr>
            <w:r w:rsidRPr="00C77A0F">
              <w:rPr>
                <w:sz w:val="19"/>
                <w:szCs w:val="19"/>
              </w:rPr>
              <w:t>Species</w:t>
            </w:r>
          </w:p>
        </w:tc>
        <w:tc>
          <w:tcPr>
            <w:tcW w:w="1984" w:type="dxa"/>
            <w:vMerge w:val="restart"/>
          </w:tcPr>
          <w:p w:rsidR="00300894" w:rsidRPr="00C77A0F" w:rsidRDefault="00300894" w:rsidP="00C77A0F">
            <w:pPr>
              <w:ind w:left="24"/>
              <w:rPr>
                <w:sz w:val="19"/>
                <w:szCs w:val="19"/>
              </w:rPr>
            </w:pPr>
            <w:r w:rsidRPr="00C77A0F">
              <w:rPr>
                <w:sz w:val="19"/>
                <w:szCs w:val="19"/>
              </w:rPr>
              <w:t>Study details</w:t>
            </w:r>
          </w:p>
        </w:tc>
        <w:tc>
          <w:tcPr>
            <w:tcW w:w="3686" w:type="dxa"/>
            <w:gridSpan w:val="4"/>
          </w:tcPr>
          <w:p w:rsidR="00300894" w:rsidRPr="00C77A0F" w:rsidRDefault="00300894" w:rsidP="00C77A0F">
            <w:pPr>
              <w:ind w:left="0"/>
              <w:rPr>
                <w:sz w:val="19"/>
                <w:szCs w:val="19"/>
              </w:rPr>
            </w:pPr>
            <w:r w:rsidRPr="00C77A0F">
              <w:rPr>
                <w:sz w:val="19"/>
                <w:szCs w:val="19"/>
              </w:rPr>
              <w:t>Dose#</w:t>
            </w:r>
          </w:p>
        </w:tc>
        <w:tc>
          <w:tcPr>
            <w:tcW w:w="1793" w:type="dxa"/>
            <w:gridSpan w:val="2"/>
          </w:tcPr>
          <w:p w:rsidR="00300894" w:rsidRPr="00C77A0F" w:rsidRDefault="00300894" w:rsidP="00C77A0F">
            <w:pPr>
              <w:ind w:left="0"/>
              <w:rPr>
                <w:sz w:val="19"/>
                <w:szCs w:val="19"/>
              </w:rPr>
            </w:pPr>
            <w:r w:rsidRPr="00C77A0F">
              <w:rPr>
                <w:sz w:val="19"/>
                <w:szCs w:val="19"/>
              </w:rPr>
              <w:t>Relative exposure</w:t>
            </w:r>
          </w:p>
        </w:tc>
      </w:tr>
      <w:tr w:rsidR="00300894" w:rsidRPr="00C77A0F" w:rsidTr="00C77A0F">
        <w:trPr>
          <w:cnfStyle w:val="100000000000" w:firstRow="1" w:lastRow="0" w:firstColumn="0" w:lastColumn="0" w:oddVBand="0" w:evenVBand="0" w:oddHBand="0" w:evenHBand="0" w:firstRowFirstColumn="0" w:firstRowLastColumn="0" w:lastRowFirstColumn="0" w:lastRowLastColumn="0"/>
          <w:trHeight w:val="318"/>
        </w:trPr>
        <w:tc>
          <w:tcPr>
            <w:tcW w:w="1101" w:type="dxa"/>
            <w:vMerge/>
          </w:tcPr>
          <w:p w:rsidR="00300894" w:rsidRPr="00C77A0F" w:rsidRDefault="00300894" w:rsidP="00C77A0F">
            <w:pPr>
              <w:ind w:left="0"/>
              <w:rPr>
                <w:sz w:val="19"/>
                <w:szCs w:val="19"/>
              </w:rPr>
            </w:pPr>
          </w:p>
        </w:tc>
        <w:tc>
          <w:tcPr>
            <w:tcW w:w="1984" w:type="dxa"/>
            <w:vMerge/>
          </w:tcPr>
          <w:p w:rsidR="00300894" w:rsidRPr="00C77A0F" w:rsidRDefault="00300894" w:rsidP="00C77A0F">
            <w:pPr>
              <w:ind w:left="24"/>
              <w:rPr>
                <w:sz w:val="19"/>
                <w:szCs w:val="19"/>
              </w:rPr>
            </w:pPr>
          </w:p>
        </w:tc>
        <w:tc>
          <w:tcPr>
            <w:tcW w:w="992" w:type="dxa"/>
          </w:tcPr>
          <w:p w:rsidR="00300894" w:rsidRPr="00C77A0F" w:rsidRDefault="005C2E04" w:rsidP="00C77A0F">
            <w:pPr>
              <w:ind w:left="0"/>
              <w:rPr>
                <w:b w:val="0"/>
                <w:sz w:val="19"/>
                <w:szCs w:val="19"/>
              </w:rPr>
            </w:pPr>
            <w:r w:rsidRPr="00C77A0F">
              <w:rPr>
                <w:b w:val="0"/>
                <w:sz w:val="19"/>
                <w:szCs w:val="19"/>
              </w:rPr>
              <w:t>µ</w:t>
            </w:r>
            <w:r w:rsidR="00300894" w:rsidRPr="00C77A0F">
              <w:rPr>
                <w:b w:val="0"/>
                <w:sz w:val="19"/>
                <w:szCs w:val="19"/>
              </w:rPr>
              <w:t>g/eye</w:t>
            </w:r>
          </w:p>
        </w:tc>
        <w:tc>
          <w:tcPr>
            <w:tcW w:w="1024" w:type="dxa"/>
          </w:tcPr>
          <w:p w:rsidR="00300894" w:rsidRPr="00C77A0F" w:rsidRDefault="005C2E04" w:rsidP="00C77A0F">
            <w:pPr>
              <w:ind w:left="0"/>
              <w:rPr>
                <w:b w:val="0"/>
                <w:sz w:val="19"/>
                <w:szCs w:val="19"/>
              </w:rPr>
            </w:pPr>
            <w:r w:rsidRPr="00C77A0F">
              <w:rPr>
                <w:b w:val="0"/>
                <w:sz w:val="19"/>
                <w:szCs w:val="19"/>
              </w:rPr>
              <w:t>µ</w:t>
            </w:r>
            <w:r w:rsidR="00300894" w:rsidRPr="00C77A0F">
              <w:rPr>
                <w:b w:val="0"/>
                <w:sz w:val="19"/>
                <w:szCs w:val="19"/>
              </w:rPr>
              <w:t>g/mL vitreous</w:t>
            </w:r>
          </w:p>
        </w:tc>
        <w:tc>
          <w:tcPr>
            <w:tcW w:w="769" w:type="dxa"/>
          </w:tcPr>
          <w:p w:rsidR="00300894" w:rsidRPr="00C77A0F" w:rsidRDefault="005C2E04" w:rsidP="00C77A0F">
            <w:pPr>
              <w:ind w:left="0"/>
              <w:rPr>
                <w:b w:val="0"/>
                <w:sz w:val="19"/>
                <w:szCs w:val="19"/>
              </w:rPr>
            </w:pPr>
            <w:r w:rsidRPr="00C77A0F">
              <w:rPr>
                <w:b w:val="0"/>
                <w:sz w:val="19"/>
                <w:szCs w:val="19"/>
              </w:rPr>
              <w:t>µ</w:t>
            </w:r>
            <w:r w:rsidR="00300894" w:rsidRPr="00C77A0F">
              <w:rPr>
                <w:b w:val="0"/>
                <w:sz w:val="19"/>
                <w:szCs w:val="19"/>
              </w:rPr>
              <w:t>g/kg</w:t>
            </w:r>
          </w:p>
        </w:tc>
        <w:tc>
          <w:tcPr>
            <w:tcW w:w="901" w:type="dxa"/>
          </w:tcPr>
          <w:p w:rsidR="00300894" w:rsidRPr="00C77A0F" w:rsidRDefault="005C2E04" w:rsidP="00C77A0F">
            <w:pPr>
              <w:ind w:left="0"/>
              <w:rPr>
                <w:b w:val="0"/>
                <w:sz w:val="19"/>
                <w:szCs w:val="19"/>
              </w:rPr>
            </w:pPr>
            <w:r w:rsidRPr="00C77A0F">
              <w:rPr>
                <w:b w:val="0"/>
                <w:sz w:val="19"/>
                <w:szCs w:val="19"/>
              </w:rPr>
              <w:t>µ</w:t>
            </w:r>
            <w:r w:rsidR="00300894" w:rsidRPr="00C77A0F">
              <w:rPr>
                <w:b w:val="0"/>
                <w:sz w:val="19"/>
                <w:szCs w:val="19"/>
              </w:rPr>
              <w:t>g/</w:t>
            </w:r>
            <w:r w:rsidR="001D1245" w:rsidRPr="00C77A0F">
              <w:rPr>
                <w:b w:val="0"/>
                <w:sz w:val="19"/>
                <w:szCs w:val="19"/>
              </w:rPr>
              <w:t xml:space="preserve"> </w:t>
            </w:r>
            <w:r w:rsidR="00766289" w:rsidRPr="00C77A0F">
              <w:rPr>
                <w:b w:val="0"/>
                <w:sz w:val="19"/>
                <w:szCs w:val="19"/>
              </w:rPr>
              <w:t>m</w:t>
            </w:r>
            <w:r w:rsidR="00766289" w:rsidRPr="00C77A0F">
              <w:rPr>
                <w:b w:val="0"/>
                <w:sz w:val="19"/>
                <w:szCs w:val="19"/>
                <w:vertAlign w:val="superscript"/>
              </w:rPr>
              <w:t>2</w:t>
            </w:r>
          </w:p>
        </w:tc>
        <w:tc>
          <w:tcPr>
            <w:tcW w:w="850" w:type="dxa"/>
          </w:tcPr>
          <w:p w:rsidR="00300894" w:rsidRPr="00C77A0F" w:rsidRDefault="00300894" w:rsidP="00C77A0F">
            <w:pPr>
              <w:ind w:left="0"/>
              <w:rPr>
                <w:b w:val="0"/>
                <w:sz w:val="19"/>
                <w:szCs w:val="19"/>
              </w:rPr>
            </w:pPr>
            <w:r w:rsidRPr="00C77A0F">
              <w:rPr>
                <w:b w:val="0"/>
                <w:sz w:val="19"/>
                <w:szCs w:val="19"/>
              </w:rPr>
              <w:t xml:space="preserve">ocular </w:t>
            </w:r>
            <w:r w:rsidRPr="00C77A0F">
              <w:rPr>
                <w:b w:val="0"/>
                <w:sz w:val="19"/>
                <w:szCs w:val="19"/>
                <w:vertAlign w:val="superscript"/>
              </w:rPr>
              <w:t>a</w:t>
            </w:r>
          </w:p>
        </w:tc>
        <w:tc>
          <w:tcPr>
            <w:tcW w:w="943" w:type="dxa"/>
          </w:tcPr>
          <w:p w:rsidR="00300894" w:rsidRPr="00C77A0F" w:rsidRDefault="00300894" w:rsidP="00C77A0F">
            <w:pPr>
              <w:ind w:left="0"/>
              <w:rPr>
                <w:b w:val="0"/>
                <w:sz w:val="19"/>
                <w:szCs w:val="19"/>
              </w:rPr>
            </w:pPr>
            <w:proofErr w:type="spellStart"/>
            <w:r w:rsidRPr="00C77A0F">
              <w:rPr>
                <w:b w:val="0"/>
                <w:sz w:val="19"/>
                <w:szCs w:val="19"/>
              </w:rPr>
              <w:t>systemic</w:t>
            </w:r>
            <w:r w:rsidRPr="00C77A0F">
              <w:rPr>
                <w:b w:val="0"/>
                <w:sz w:val="19"/>
                <w:szCs w:val="19"/>
                <w:vertAlign w:val="superscript"/>
              </w:rPr>
              <w:t>b</w:t>
            </w:r>
            <w:proofErr w:type="spellEnd"/>
          </w:p>
        </w:tc>
      </w:tr>
      <w:tr w:rsidR="00300894" w:rsidRPr="00C77A0F" w:rsidTr="00C77A0F">
        <w:trPr>
          <w:trHeight w:val="290"/>
        </w:trPr>
        <w:tc>
          <w:tcPr>
            <w:tcW w:w="1101" w:type="dxa"/>
            <w:vMerge w:val="restart"/>
          </w:tcPr>
          <w:p w:rsidR="00300894" w:rsidRPr="00C77A0F" w:rsidRDefault="00300894" w:rsidP="00C77A0F">
            <w:pPr>
              <w:ind w:left="0"/>
              <w:rPr>
                <w:sz w:val="19"/>
                <w:szCs w:val="19"/>
              </w:rPr>
            </w:pPr>
            <w:r w:rsidRPr="00C77A0F">
              <w:rPr>
                <w:sz w:val="19"/>
                <w:szCs w:val="19"/>
              </w:rPr>
              <w:t>Rabbit (NZW)</w:t>
            </w:r>
          </w:p>
        </w:tc>
        <w:tc>
          <w:tcPr>
            <w:tcW w:w="1984" w:type="dxa"/>
            <w:vMerge w:val="restart"/>
          </w:tcPr>
          <w:p w:rsidR="00300894" w:rsidRPr="00C77A0F" w:rsidRDefault="00300894" w:rsidP="00C77A0F">
            <w:pPr>
              <w:ind w:left="24"/>
              <w:rPr>
                <w:sz w:val="19"/>
                <w:szCs w:val="19"/>
              </w:rPr>
            </w:pPr>
            <w:r w:rsidRPr="00C77A0F">
              <w:rPr>
                <w:sz w:val="19"/>
                <w:szCs w:val="19"/>
              </w:rPr>
              <w:t>single dose; unilateral; 4 to 24 weeks observation</w:t>
            </w:r>
            <w:r w:rsidR="00C77A0F" w:rsidRPr="00C77A0F">
              <w:rPr>
                <w:sz w:val="19"/>
                <w:szCs w:val="19"/>
              </w:rPr>
              <w:t xml:space="preserve"> </w:t>
            </w:r>
            <w:r w:rsidRPr="00C77A0F">
              <w:rPr>
                <w:sz w:val="19"/>
                <w:szCs w:val="19"/>
              </w:rPr>
              <w:t>[Study P0701002]</w:t>
            </w:r>
          </w:p>
        </w:tc>
        <w:tc>
          <w:tcPr>
            <w:tcW w:w="992" w:type="dxa"/>
          </w:tcPr>
          <w:p w:rsidR="00300894" w:rsidRPr="00C77A0F" w:rsidRDefault="00300894" w:rsidP="00C77A0F">
            <w:pPr>
              <w:ind w:left="0"/>
              <w:rPr>
                <w:sz w:val="19"/>
                <w:szCs w:val="19"/>
              </w:rPr>
            </w:pPr>
            <w:r w:rsidRPr="00C77A0F">
              <w:rPr>
                <w:sz w:val="19"/>
                <w:szCs w:val="19"/>
              </w:rPr>
              <w:t>700</w:t>
            </w:r>
          </w:p>
        </w:tc>
        <w:tc>
          <w:tcPr>
            <w:tcW w:w="1024" w:type="dxa"/>
          </w:tcPr>
          <w:p w:rsidR="00300894" w:rsidRPr="00C77A0F" w:rsidRDefault="00300894" w:rsidP="00C77A0F">
            <w:pPr>
              <w:ind w:left="0"/>
              <w:rPr>
                <w:sz w:val="19"/>
                <w:szCs w:val="19"/>
              </w:rPr>
            </w:pPr>
            <w:r w:rsidRPr="00C77A0F">
              <w:rPr>
                <w:sz w:val="19"/>
                <w:szCs w:val="19"/>
              </w:rPr>
              <w:t>467</w:t>
            </w:r>
          </w:p>
        </w:tc>
        <w:tc>
          <w:tcPr>
            <w:tcW w:w="769" w:type="dxa"/>
          </w:tcPr>
          <w:p w:rsidR="00300894" w:rsidRPr="00C77A0F" w:rsidRDefault="00300894" w:rsidP="00C77A0F">
            <w:pPr>
              <w:ind w:left="0"/>
              <w:rPr>
                <w:sz w:val="19"/>
                <w:szCs w:val="19"/>
              </w:rPr>
            </w:pPr>
            <w:r w:rsidRPr="00C77A0F">
              <w:rPr>
                <w:sz w:val="19"/>
                <w:szCs w:val="19"/>
              </w:rPr>
              <w:t>233</w:t>
            </w:r>
          </w:p>
        </w:tc>
        <w:tc>
          <w:tcPr>
            <w:tcW w:w="901" w:type="dxa"/>
          </w:tcPr>
          <w:p w:rsidR="00300894" w:rsidRPr="00C77A0F" w:rsidRDefault="00300894" w:rsidP="00C77A0F">
            <w:pPr>
              <w:ind w:left="0"/>
              <w:rPr>
                <w:sz w:val="19"/>
                <w:szCs w:val="19"/>
              </w:rPr>
            </w:pPr>
            <w:r w:rsidRPr="00C77A0F">
              <w:rPr>
                <w:sz w:val="19"/>
                <w:szCs w:val="19"/>
              </w:rPr>
              <w:t>2800</w:t>
            </w:r>
          </w:p>
        </w:tc>
        <w:tc>
          <w:tcPr>
            <w:tcW w:w="850" w:type="dxa"/>
          </w:tcPr>
          <w:p w:rsidR="00300894" w:rsidRPr="00C77A0F" w:rsidRDefault="00300894" w:rsidP="00C77A0F">
            <w:pPr>
              <w:ind w:left="0"/>
              <w:rPr>
                <w:sz w:val="19"/>
                <w:szCs w:val="19"/>
              </w:rPr>
            </w:pPr>
            <w:r w:rsidRPr="00C77A0F">
              <w:rPr>
                <w:sz w:val="19"/>
                <w:szCs w:val="19"/>
              </w:rPr>
              <w:t>2.7</w:t>
            </w:r>
          </w:p>
        </w:tc>
        <w:tc>
          <w:tcPr>
            <w:tcW w:w="943" w:type="dxa"/>
          </w:tcPr>
          <w:p w:rsidR="00300894" w:rsidRPr="00C77A0F" w:rsidRDefault="00300894" w:rsidP="00C77A0F">
            <w:pPr>
              <w:ind w:left="0"/>
              <w:rPr>
                <w:sz w:val="19"/>
                <w:szCs w:val="19"/>
              </w:rPr>
            </w:pPr>
            <w:r w:rsidRPr="00C77A0F">
              <w:rPr>
                <w:sz w:val="19"/>
                <w:szCs w:val="19"/>
              </w:rPr>
              <w:t>3</w:t>
            </w:r>
          </w:p>
        </w:tc>
      </w:tr>
      <w:tr w:rsidR="00300894" w:rsidRPr="00C77A0F" w:rsidTr="00C77A0F">
        <w:trPr>
          <w:trHeight w:val="290"/>
        </w:trPr>
        <w:tc>
          <w:tcPr>
            <w:tcW w:w="1101" w:type="dxa"/>
            <w:vMerge/>
          </w:tcPr>
          <w:p w:rsidR="00300894" w:rsidRPr="00C77A0F" w:rsidRDefault="00300894" w:rsidP="00C77A0F">
            <w:pPr>
              <w:ind w:left="0"/>
              <w:rPr>
                <w:sz w:val="19"/>
                <w:szCs w:val="19"/>
              </w:rPr>
            </w:pPr>
          </w:p>
        </w:tc>
        <w:tc>
          <w:tcPr>
            <w:tcW w:w="1984" w:type="dxa"/>
            <w:vMerge/>
          </w:tcPr>
          <w:p w:rsidR="00300894" w:rsidRPr="00C77A0F" w:rsidRDefault="00300894" w:rsidP="00C77A0F">
            <w:pPr>
              <w:ind w:left="24"/>
              <w:rPr>
                <w:sz w:val="19"/>
                <w:szCs w:val="19"/>
              </w:rPr>
            </w:pPr>
          </w:p>
        </w:tc>
        <w:tc>
          <w:tcPr>
            <w:tcW w:w="992" w:type="dxa"/>
          </w:tcPr>
          <w:p w:rsidR="00300894" w:rsidRPr="00C77A0F" w:rsidRDefault="00300894" w:rsidP="00C77A0F">
            <w:pPr>
              <w:ind w:left="0"/>
              <w:rPr>
                <w:sz w:val="19"/>
                <w:szCs w:val="19"/>
              </w:rPr>
            </w:pPr>
            <w:r w:rsidRPr="00C77A0F">
              <w:rPr>
                <w:sz w:val="19"/>
                <w:szCs w:val="19"/>
              </w:rPr>
              <w:t>1400</w:t>
            </w:r>
          </w:p>
        </w:tc>
        <w:tc>
          <w:tcPr>
            <w:tcW w:w="1024" w:type="dxa"/>
          </w:tcPr>
          <w:p w:rsidR="00300894" w:rsidRPr="00C77A0F" w:rsidRDefault="00300894" w:rsidP="00C77A0F">
            <w:pPr>
              <w:ind w:left="0"/>
              <w:rPr>
                <w:sz w:val="19"/>
                <w:szCs w:val="19"/>
              </w:rPr>
            </w:pPr>
            <w:r w:rsidRPr="00C77A0F">
              <w:rPr>
                <w:sz w:val="19"/>
                <w:szCs w:val="19"/>
              </w:rPr>
              <w:t>933</w:t>
            </w:r>
          </w:p>
        </w:tc>
        <w:tc>
          <w:tcPr>
            <w:tcW w:w="769" w:type="dxa"/>
          </w:tcPr>
          <w:p w:rsidR="00300894" w:rsidRPr="00C77A0F" w:rsidRDefault="00300894" w:rsidP="00C77A0F">
            <w:pPr>
              <w:ind w:left="0"/>
              <w:rPr>
                <w:sz w:val="19"/>
                <w:szCs w:val="19"/>
              </w:rPr>
            </w:pPr>
            <w:r w:rsidRPr="00C77A0F">
              <w:rPr>
                <w:sz w:val="19"/>
                <w:szCs w:val="19"/>
              </w:rPr>
              <w:t>467</w:t>
            </w:r>
          </w:p>
        </w:tc>
        <w:tc>
          <w:tcPr>
            <w:tcW w:w="901" w:type="dxa"/>
          </w:tcPr>
          <w:p w:rsidR="00300894" w:rsidRPr="00C77A0F" w:rsidRDefault="00300894" w:rsidP="00C77A0F">
            <w:pPr>
              <w:ind w:left="0"/>
              <w:rPr>
                <w:sz w:val="19"/>
                <w:szCs w:val="19"/>
              </w:rPr>
            </w:pPr>
            <w:r w:rsidRPr="00C77A0F">
              <w:rPr>
                <w:sz w:val="19"/>
                <w:szCs w:val="19"/>
              </w:rPr>
              <w:t>5600</w:t>
            </w:r>
          </w:p>
        </w:tc>
        <w:tc>
          <w:tcPr>
            <w:tcW w:w="850" w:type="dxa"/>
          </w:tcPr>
          <w:p w:rsidR="00300894" w:rsidRPr="00C77A0F" w:rsidRDefault="00300894" w:rsidP="00C77A0F">
            <w:pPr>
              <w:ind w:left="0"/>
              <w:rPr>
                <w:sz w:val="19"/>
                <w:szCs w:val="19"/>
              </w:rPr>
            </w:pPr>
            <w:r w:rsidRPr="00C77A0F">
              <w:rPr>
                <w:sz w:val="19"/>
                <w:szCs w:val="19"/>
              </w:rPr>
              <w:t>5</w:t>
            </w:r>
          </w:p>
        </w:tc>
        <w:tc>
          <w:tcPr>
            <w:tcW w:w="943" w:type="dxa"/>
          </w:tcPr>
          <w:p w:rsidR="00300894" w:rsidRPr="00C77A0F" w:rsidRDefault="00300894" w:rsidP="00C77A0F">
            <w:pPr>
              <w:ind w:left="0"/>
              <w:rPr>
                <w:sz w:val="19"/>
                <w:szCs w:val="19"/>
              </w:rPr>
            </w:pPr>
            <w:r w:rsidRPr="00C77A0F">
              <w:rPr>
                <w:sz w:val="19"/>
                <w:szCs w:val="19"/>
              </w:rPr>
              <w:t>6</w:t>
            </w:r>
          </w:p>
        </w:tc>
      </w:tr>
      <w:tr w:rsidR="00300894" w:rsidRPr="00C77A0F" w:rsidTr="00C77A0F">
        <w:trPr>
          <w:trHeight w:val="290"/>
        </w:trPr>
        <w:tc>
          <w:tcPr>
            <w:tcW w:w="1101" w:type="dxa"/>
            <w:vMerge/>
          </w:tcPr>
          <w:p w:rsidR="00300894" w:rsidRPr="00C77A0F" w:rsidRDefault="00300894" w:rsidP="00C77A0F">
            <w:pPr>
              <w:ind w:left="0"/>
              <w:rPr>
                <w:sz w:val="19"/>
                <w:szCs w:val="19"/>
              </w:rPr>
            </w:pPr>
          </w:p>
        </w:tc>
        <w:tc>
          <w:tcPr>
            <w:tcW w:w="1984" w:type="dxa"/>
            <w:vMerge/>
          </w:tcPr>
          <w:p w:rsidR="00300894" w:rsidRPr="00C77A0F" w:rsidRDefault="00300894" w:rsidP="00C77A0F">
            <w:pPr>
              <w:ind w:left="24"/>
              <w:rPr>
                <w:sz w:val="19"/>
                <w:szCs w:val="19"/>
              </w:rPr>
            </w:pPr>
          </w:p>
        </w:tc>
        <w:tc>
          <w:tcPr>
            <w:tcW w:w="992" w:type="dxa"/>
          </w:tcPr>
          <w:p w:rsidR="00300894" w:rsidRPr="00C77A0F" w:rsidRDefault="00300894" w:rsidP="00C77A0F">
            <w:pPr>
              <w:ind w:left="0"/>
              <w:rPr>
                <w:sz w:val="19"/>
                <w:szCs w:val="19"/>
              </w:rPr>
            </w:pPr>
            <w:r w:rsidRPr="00C77A0F">
              <w:rPr>
                <w:sz w:val="19"/>
                <w:szCs w:val="19"/>
              </w:rPr>
              <w:t>2100</w:t>
            </w:r>
          </w:p>
        </w:tc>
        <w:tc>
          <w:tcPr>
            <w:tcW w:w="1024" w:type="dxa"/>
          </w:tcPr>
          <w:p w:rsidR="00300894" w:rsidRPr="00C77A0F" w:rsidRDefault="00300894" w:rsidP="00C77A0F">
            <w:pPr>
              <w:ind w:left="0"/>
              <w:rPr>
                <w:sz w:val="19"/>
                <w:szCs w:val="19"/>
              </w:rPr>
            </w:pPr>
            <w:r w:rsidRPr="00C77A0F">
              <w:rPr>
                <w:sz w:val="19"/>
                <w:szCs w:val="19"/>
              </w:rPr>
              <w:t>1400</w:t>
            </w:r>
          </w:p>
        </w:tc>
        <w:tc>
          <w:tcPr>
            <w:tcW w:w="769" w:type="dxa"/>
          </w:tcPr>
          <w:p w:rsidR="00300894" w:rsidRPr="00C77A0F" w:rsidRDefault="00300894" w:rsidP="00C77A0F">
            <w:pPr>
              <w:ind w:left="0"/>
              <w:rPr>
                <w:sz w:val="19"/>
                <w:szCs w:val="19"/>
              </w:rPr>
            </w:pPr>
            <w:r w:rsidRPr="00C77A0F">
              <w:rPr>
                <w:sz w:val="19"/>
                <w:szCs w:val="19"/>
              </w:rPr>
              <w:t>700</w:t>
            </w:r>
          </w:p>
        </w:tc>
        <w:tc>
          <w:tcPr>
            <w:tcW w:w="901" w:type="dxa"/>
          </w:tcPr>
          <w:p w:rsidR="00300894" w:rsidRPr="00C77A0F" w:rsidRDefault="00300894" w:rsidP="00C77A0F">
            <w:pPr>
              <w:ind w:left="0"/>
              <w:rPr>
                <w:sz w:val="19"/>
                <w:szCs w:val="19"/>
              </w:rPr>
            </w:pPr>
            <w:r w:rsidRPr="00C77A0F">
              <w:rPr>
                <w:sz w:val="19"/>
                <w:szCs w:val="19"/>
              </w:rPr>
              <w:t>8400</w:t>
            </w:r>
          </w:p>
        </w:tc>
        <w:tc>
          <w:tcPr>
            <w:tcW w:w="850" w:type="dxa"/>
          </w:tcPr>
          <w:p w:rsidR="00300894" w:rsidRPr="00C77A0F" w:rsidRDefault="00300894" w:rsidP="00C77A0F">
            <w:pPr>
              <w:ind w:left="0"/>
              <w:rPr>
                <w:sz w:val="19"/>
                <w:szCs w:val="19"/>
              </w:rPr>
            </w:pPr>
            <w:r w:rsidRPr="00C77A0F">
              <w:rPr>
                <w:sz w:val="19"/>
                <w:szCs w:val="19"/>
              </w:rPr>
              <w:t>8</w:t>
            </w:r>
          </w:p>
        </w:tc>
        <w:tc>
          <w:tcPr>
            <w:tcW w:w="943" w:type="dxa"/>
          </w:tcPr>
          <w:p w:rsidR="00300894" w:rsidRPr="00C77A0F" w:rsidRDefault="00300894" w:rsidP="00C77A0F">
            <w:pPr>
              <w:ind w:left="0"/>
              <w:rPr>
                <w:sz w:val="19"/>
                <w:szCs w:val="19"/>
              </w:rPr>
            </w:pPr>
            <w:r w:rsidRPr="00C77A0F">
              <w:rPr>
                <w:sz w:val="19"/>
                <w:szCs w:val="19"/>
              </w:rPr>
              <w:t>9</w:t>
            </w:r>
          </w:p>
        </w:tc>
      </w:tr>
      <w:tr w:rsidR="00300894" w:rsidRPr="00C77A0F" w:rsidTr="00C77A0F">
        <w:trPr>
          <w:trHeight w:val="290"/>
        </w:trPr>
        <w:tc>
          <w:tcPr>
            <w:tcW w:w="1101" w:type="dxa"/>
            <w:vMerge/>
          </w:tcPr>
          <w:p w:rsidR="00300894" w:rsidRPr="00C77A0F" w:rsidRDefault="00300894" w:rsidP="00C77A0F">
            <w:pPr>
              <w:ind w:left="0"/>
              <w:rPr>
                <w:sz w:val="19"/>
                <w:szCs w:val="19"/>
              </w:rPr>
            </w:pPr>
          </w:p>
        </w:tc>
        <w:tc>
          <w:tcPr>
            <w:tcW w:w="1984" w:type="dxa"/>
            <w:vMerge w:val="restart"/>
          </w:tcPr>
          <w:p w:rsidR="00300894" w:rsidRPr="00C77A0F" w:rsidRDefault="00300894" w:rsidP="00C77A0F">
            <w:pPr>
              <w:ind w:left="24"/>
              <w:rPr>
                <w:sz w:val="19"/>
                <w:szCs w:val="19"/>
              </w:rPr>
            </w:pPr>
            <w:r w:rsidRPr="00C77A0F">
              <w:rPr>
                <w:sz w:val="19"/>
                <w:szCs w:val="19"/>
              </w:rPr>
              <w:t>single dose; bilateral; 4 to 6/7 weeks observation</w:t>
            </w:r>
          </w:p>
          <w:p w:rsidR="00300894" w:rsidRPr="00C77A0F" w:rsidRDefault="00300894" w:rsidP="00C77A0F">
            <w:pPr>
              <w:ind w:left="24"/>
              <w:rPr>
                <w:sz w:val="19"/>
                <w:szCs w:val="19"/>
              </w:rPr>
            </w:pPr>
            <w:r w:rsidRPr="00C77A0F">
              <w:rPr>
                <w:sz w:val="19"/>
                <w:szCs w:val="19"/>
              </w:rPr>
              <w:t>[Study X7I062G, X81310G]</w:t>
            </w:r>
          </w:p>
        </w:tc>
        <w:tc>
          <w:tcPr>
            <w:tcW w:w="992" w:type="dxa"/>
          </w:tcPr>
          <w:p w:rsidR="00300894" w:rsidRPr="00C77A0F" w:rsidRDefault="00300894" w:rsidP="00C77A0F">
            <w:pPr>
              <w:ind w:left="0"/>
              <w:rPr>
                <w:sz w:val="19"/>
                <w:szCs w:val="19"/>
              </w:rPr>
            </w:pPr>
            <w:r w:rsidRPr="00C77A0F">
              <w:rPr>
                <w:sz w:val="19"/>
                <w:szCs w:val="19"/>
              </w:rPr>
              <w:t>700</w:t>
            </w:r>
          </w:p>
        </w:tc>
        <w:tc>
          <w:tcPr>
            <w:tcW w:w="1024" w:type="dxa"/>
          </w:tcPr>
          <w:p w:rsidR="00300894" w:rsidRPr="00C77A0F" w:rsidRDefault="00300894" w:rsidP="00C77A0F">
            <w:pPr>
              <w:ind w:left="0"/>
              <w:rPr>
                <w:sz w:val="19"/>
                <w:szCs w:val="19"/>
              </w:rPr>
            </w:pPr>
            <w:r w:rsidRPr="00C77A0F">
              <w:rPr>
                <w:sz w:val="19"/>
                <w:szCs w:val="19"/>
              </w:rPr>
              <w:t>467</w:t>
            </w:r>
          </w:p>
        </w:tc>
        <w:tc>
          <w:tcPr>
            <w:tcW w:w="769" w:type="dxa"/>
          </w:tcPr>
          <w:p w:rsidR="00300894" w:rsidRPr="00C77A0F" w:rsidRDefault="00300894" w:rsidP="00C77A0F">
            <w:pPr>
              <w:ind w:left="0"/>
              <w:rPr>
                <w:sz w:val="19"/>
                <w:szCs w:val="19"/>
              </w:rPr>
            </w:pPr>
            <w:r w:rsidRPr="00C77A0F">
              <w:rPr>
                <w:sz w:val="19"/>
                <w:szCs w:val="19"/>
              </w:rPr>
              <w:t>467</w:t>
            </w:r>
          </w:p>
        </w:tc>
        <w:tc>
          <w:tcPr>
            <w:tcW w:w="901" w:type="dxa"/>
          </w:tcPr>
          <w:p w:rsidR="00300894" w:rsidRPr="00C77A0F" w:rsidRDefault="00300894" w:rsidP="00C77A0F">
            <w:pPr>
              <w:ind w:left="0"/>
              <w:rPr>
                <w:sz w:val="19"/>
                <w:szCs w:val="19"/>
              </w:rPr>
            </w:pPr>
            <w:r w:rsidRPr="00C77A0F">
              <w:rPr>
                <w:sz w:val="19"/>
                <w:szCs w:val="19"/>
              </w:rPr>
              <w:t>5600</w:t>
            </w:r>
          </w:p>
        </w:tc>
        <w:tc>
          <w:tcPr>
            <w:tcW w:w="850" w:type="dxa"/>
          </w:tcPr>
          <w:p w:rsidR="00300894" w:rsidRPr="00C77A0F" w:rsidRDefault="00300894" w:rsidP="00C77A0F">
            <w:pPr>
              <w:ind w:left="0"/>
              <w:rPr>
                <w:sz w:val="19"/>
                <w:szCs w:val="19"/>
              </w:rPr>
            </w:pPr>
            <w:r w:rsidRPr="00C77A0F">
              <w:rPr>
                <w:sz w:val="19"/>
                <w:szCs w:val="19"/>
              </w:rPr>
              <w:t>2.7</w:t>
            </w:r>
          </w:p>
        </w:tc>
        <w:tc>
          <w:tcPr>
            <w:tcW w:w="943" w:type="dxa"/>
          </w:tcPr>
          <w:p w:rsidR="00300894" w:rsidRPr="00C77A0F" w:rsidRDefault="00300894" w:rsidP="00C77A0F">
            <w:pPr>
              <w:ind w:left="0"/>
              <w:rPr>
                <w:sz w:val="19"/>
                <w:szCs w:val="19"/>
              </w:rPr>
            </w:pPr>
            <w:r w:rsidRPr="00C77A0F">
              <w:rPr>
                <w:sz w:val="19"/>
                <w:szCs w:val="19"/>
              </w:rPr>
              <w:t>6</w:t>
            </w:r>
          </w:p>
        </w:tc>
      </w:tr>
      <w:tr w:rsidR="00300894" w:rsidRPr="00C77A0F" w:rsidTr="00C77A0F">
        <w:trPr>
          <w:trHeight w:val="290"/>
        </w:trPr>
        <w:tc>
          <w:tcPr>
            <w:tcW w:w="1101" w:type="dxa"/>
            <w:vMerge/>
          </w:tcPr>
          <w:p w:rsidR="00300894" w:rsidRPr="00C77A0F" w:rsidRDefault="00300894" w:rsidP="00C77A0F">
            <w:pPr>
              <w:ind w:left="0"/>
              <w:rPr>
                <w:sz w:val="19"/>
                <w:szCs w:val="19"/>
              </w:rPr>
            </w:pPr>
          </w:p>
        </w:tc>
        <w:tc>
          <w:tcPr>
            <w:tcW w:w="1984" w:type="dxa"/>
            <w:vMerge/>
          </w:tcPr>
          <w:p w:rsidR="00300894" w:rsidRPr="00C77A0F" w:rsidRDefault="00300894" w:rsidP="00C77A0F">
            <w:pPr>
              <w:ind w:left="24"/>
              <w:rPr>
                <w:sz w:val="19"/>
                <w:szCs w:val="19"/>
              </w:rPr>
            </w:pPr>
          </w:p>
        </w:tc>
        <w:tc>
          <w:tcPr>
            <w:tcW w:w="992" w:type="dxa"/>
          </w:tcPr>
          <w:p w:rsidR="00300894" w:rsidRPr="00C77A0F" w:rsidRDefault="00300894" w:rsidP="00C77A0F">
            <w:pPr>
              <w:ind w:left="0"/>
              <w:rPr>
                <w:sz w:val="19"/>
                <w:szCs w:val="19"/>
              </w:rPr>
            </w:pPr>
            <w:r w:rsidRPr="00C77A0F">
              <w:rPr>
                <w:sz w:val="19"/>
                <w:szCs w:val="19"/>
              </w:rPr>
              <w:t>1400</w:t>
            </w:r>
          </w:p>
        </w:tc>
        <w:tc>
          <w:tcPr>
            <w:tcW w:w="1024" w:type="dxa"/>
          </w:tcPr>
          <w:p w:rsidR="00300894" w:rsidRPr="00C77A0F" w:rsidRDefault="00300894" w:rsidP="00C77A0F">
            <w:pPr>
              <w:ind w:left="0"/>
              <w:rPr>
                <w:sz w:val="19"/>
                <w:szCs w:val="19"/>
              </w:rPr>
            </w:pPr>
            <w:r w:rsidRPr="00C77A0F">
              <w:rPr>
                <w:sz w:val="19"/>
                <w:szCs w:val="19"/>
              </w:rPr>
              <w:t>933</w:t>
            </w:r>
          </w:p>
        </w:tc>
        <w:tc>
          <w:tcPr>
            <w:tcW w:w="769" w:type="dxa"/>
          </w:tcPr>
          <w:p w:rsidR="00300894" w:rsidRPr="00C77A0F" w:rsidRDefault="00300894" w:rsidP="00C77A0F">
            <w:pPr>
              <w:ind w:left="0"/>
              <w:rPr>
                <w:sz w:val="19"/>
                <w:szCs w:val="19"/>
              </w:rPr>
            </w:pPr>
            <w:r w:rsidRPr="00C77A0F">
              <w:rPr>
                <w:sz w:val="19"/>
                <w:szCs w:val="19"/>
              </w:rPr>
              <w:t>933</w:t>
            </w:r>
          </w:p>
        </w:tc>
        <w:tc>
          <w:tcPr>
            <w:tcW w:w="901" w:type="dxa"/>
          </w:tcPr>
          <w:p w:rsidR="00300894" w:rsidRPr="00C77A0F" w:rsidRDefault="00300894" w:rsidP="00C77A0F">
            <w:pPr>
              <w:ind w:left="0"/>
              <w:rPr>
                <w:sz w:val="19"/>
                <w:szCs w:val="19"/>
              </w:rPr>
            </w:pPr>
            <w:r w:rsidRPr="00C77A0F">
              <w:rPr>
                <w:sz w:val="19"/>
                <w:szCs w:val="19"/>
              </w:rPr>
              <w:t>11200</w:t>
            </w:r>
          </w:p>
        </w:tc>
        <w:tc>
          <w:tcPr>
            <w:tcW w:w="850" w:type="dxa"/>
          </w:tcPr>
          <w:p w:rsidR="00300894" w:rsidRPr="00C77A0F" w:rsidRDefault="00300894" w:rsidP="00C77A0F">
            <w:pPr>
              <w:ind w:left="0"/>
              <w:rPr>
                <w:sz w:val="19"/>
                <w:szCs w:val="19"/>
              </w:rPr>
            </w:pPr>
            <w:r w:rsidRPr="00C77A0F">
              <w:rPr>
                <w:sz w:val="19"/>
                <w:szCs w:val="19"/>
              </w:rPr>
              <w:t>5</w:t>
            </w:r>
          </w:p>
        </w:tc>
        <w:tc>
          <w:tcPr>
            <w:tcW w:w="943" w:type="dxa"/>
          </w:tcPr>
          <w:p w:rsidR="00300894" w:rsidRPr="00C77A0F" w:rsidRDefault="00300894" w:rsidP="00C77A0F">
            <w:pPr>
              <w:ind w:left="0"/>
              <w:rPr>
                <w:sz w:val="19"/>
                <w:szCs w:val="19"/>
              </w:rPr>
            </w:pPr>
            <w:r w:rsidRPr="00C77A0F">
              <w:rPr>
                <w:sz w:val="19"/>
                <w:szCs w:val="19"/>
              </w:rPr>
              <w:t>12</w:t>
            </w:r>
          </w:p>
        </w:tc>
      </w:tr>
      <w:tr w:rsidR="00300894" w:rsidRPr="00C77A0F" w:rsidTr="00C77A0F">
        <w:trPr>
          <w:trHeight w:val="290"/>
        </w:trPr>
        <w:tc>
          <w:tcPr>
            <w:tcW w:w="1101" w:type="dxa"/>
            <w:vMerge/>
          </w:tcPr>
          <w:p w:rsidR="00300894" w:rsidRPr="00C77A0F" w:rsidRDefault="00300894" w:rsidP="00C77A0F">
            <w:pPr>
              <w:ind w:left="0"/>
              <w:rPr>
                <w:sz w:val="19"/>
                <w:szCs w:val="19"/>
              </w:rPr>
            </w:pPr>
          </w:p>
        </w:tc>
        <w:tc>
          <w:tcPr>
            <w:tcW w:w="1984" w:type="dxa"/>
            <w:vMerge/>
          </w:tcPr>
          <w:p w:rsidR="00300894" w:rsidRPr="00C77A0F" w:rsidRDefault="00300894" w:rsidP="00C77A0F">
            <w:pPr>
              <w:ind w:left="24"/>
              <w:rPr>
                <w:sz w:val="19"/>
                <w:szCs w:val="19"/>
              </w:rPr>
            </w:pPr>
          </w:p>
        </w:tc>
        <w:tc>
          <w:tcPr>
            <w:tcW w:w="992" w:type="dxa"/>
          </w:tcPr>
          <w:p w:rsidR="00300894" w:rsidRPr="00C77A0F" w:rsidRDefault="00300894" w:rsidP="00C77A0F">
            <w:pPr>
              <w:ind w:left="0"/>
              <w:rPr>
                <w:sz w:val="19"/>
                <w:szCs w:val="19"/>
              </w:rPr>
            </w:pPr>
            <w:r w:rsidRPr="00C77A0F">
              <w:rPr>
                <w:sz w:val="19"/>
                <w:szCs w:val="19"/>
              </w:rPr>
              <w:t>2100</w:t>
            </w:r>
          </w:p>
        </w:tc>
        <w:tc>
          <w:tcPr>
            <w:tcW w:w="1024" w:type="dxa"/>
          </w:tcPr>
          <w:p w:rsidR="00300894" w:rsidRPr="00C77A0F" w:rsidRDefault="00300894" w:rsidP="00C77A0F">
            <w:pPr>
              <w:ind w:left="0"/>
              <w:rPr>
                <w:sz w:val="19"/>
                <w:szCs w:val="19"/>
              </w:rPr>
            </w:pPr>
            <w:r w:rsidRPr="00C77A0F">
              <w:rPr>
                <w:sz w:val="19"/>
                <w:szCs w:val="19"/>
              </w:rPr>
              <w:t>1400</w:t>
            </w:r>
          </w:p>
        </w:tc>
        <w:tc>
          <w:tcPr>
            <w:tcW w:w="769" w:type="dxa"/>
          </w:tcPr>
          <w:p w:rsidR="00300894" w:rsidRPr="00C77A0F" w:rsidRDefault="00300894" w:rsidP="00C77A0F">
            <w:pPr>
              <w:ind w:left="0"/>
              <w:rPr>
                <w:sz w:val="19"/>
                <w:szCs w:val="19"/>
              </w:rPr>
            </w:pPr>
            <w:r w:rsidRPr="00C77A0F">
              <w:rPr>
                <w:sz w:val="19"/>
                <w:szCs w:val="19"/>
              </w:rPr>
              <w:t>1400</w:t>
            </w:r>
          </w:p>
        </w:tc>
        <w:tc>
          <w:tcPr>
            <w:tcW w:w="901" w:type="dxa"/>
          </w:tcPr>
          <w:p w:rsidR="00300894" w:rsidRPr="00C77A0F" w:rsidRDefault="00300894" w:rsidP="00C77A0F">
            <w:pPr>
              <w:ind w:left="0"/>
              <w:rPr>
                <w:sz w:val="19"/>
                <w:szCs w:val="19"/>
              </w:rPr>
            </w:pPr>
            <w:r w:rsidRPr="00C77A0F">
              <w:rPr>
                <w:sz w:val="19"/>
                <w:szCs w:val="19"/>
              </w:rPr>
              <w:t>16800</w:t>
            </w:r>
          </w:p>
        </w:tc>
        <w:tc>
          <w:tcPr>
            <w:tcW w:w="850" w:type="dxa"/>
          </w:tcPr>
          <w:p w:rsidR="00300894" w:rsidRPr="00C77A0F" w:rsidRDefault="00300894" w:rsidP="00C77A0F">
            <w:pPr>
              <w:ind w:left="0"/>
              <w:rPr>
                <w:sz w:val="19"/>
                <w:szCs w:val="19"/>
              </w:rPr>
            </w:pPr>
            <w:r w:rsidRPr="00C77A0F">
              <w:rPr>
                <w:sz w:val="19"/>
                <w:szCs w:val="19"/>
              </w:rPr>
              <w:t>8</w:t>
            </w:r>
          </w:p>
        </w:tc>
        <w:tc>
          <w:tcPr>
            <w:tcW w:w="943" w:type="dxa"/>
          </w:tcPr>
          <w:p w:rsidR="00300894" w:rsidRPr="00C77A0F" w:rsidRDefault="00300894" w:rsidP="00C77A0F">
            <w:pPr>
              <w:ind w:left="0"/>
              <w:rPr>
                <w:sz w:val="19"/>
                <w:szCs w:val="19"/>
              </w:rPr>
            </w:pPr>
            <w:r w:rsidRPr="00C77A0F">
              <w:rPr>
                <w:sz w:val="19"/>
                <w:szCs w:val="19"/>
              </w:rPr>
              <w:t>18</w:t>
            </w:r>
          </w:p>
        </w:tc>
      </w:tr>
      <w:tr w:rsidR="00300894" w:rsidRPr="00C77A0F" w:rsidTr="00C77A0F">
        <w:trPr>
          <w:trHeight w:val="517"/>
        </w:trPr>
        <w:tc>
          <w:tcPr>
            <w:tcW w:w="1101" w:type="dxa"/>
            <w:vMerge/>
          </w:tcPr>
          <w:p w:rsidR="00300894" w:rsidRPr="00C77A0F" w:rsidRDefault="00300894" w:rsidP="00C77A0F">
            <w:pPr>
              <w:ind w:left="0"/>
              <w:rPr>
                <w:sz w:val="19"/>
                <w:szCs w:val="19"/>
              </w:rPr>
            </w:pPr>
          </w:p>
        </w:tc>
        <w:tc>
          <w:tcPr>
            <w:tcW w:w="1984" w:type="dxa"/>
            <w:vMerge w:val="restart"/>
          </w:tcPr>
          <w:p w:rsidR="00300894" w:rsidRPr="00C77A0F" w:rsidRDefault="00300894" w:rsidP="00C77A0F">
            <w:pPr>
              <w:ind w:left="24"/>
              <w:rPr>
                <w:sz w:val="19"/>
                <w:szCs w:val="19"/>
              </w:rPr>
            </w:pPr>
            <w:r w:rsidRPr="00C77A0F">
              <w:rPr>
                <w:sz w:val="19"/>
                <w:szCs w:val="19"/>
              </w:rPr>
              <w:t>two doses, 3 months apart; unilateral; 12 months duration [Study TX05030]</w:t>
            </w:r>
          </w:p>
        </w:tc>
        <w:tc>
          <w:tcPr>
            <w:tcW w:w="992" w:type="dxa"/>
          </w:tcPr>
          <w:p w:rsidR="00300894" w:rsidRPr="00C77A0F" w:rsidRDefault="00300894" w:rsidP="00C77A0F">
            <w:pPr>
              <w:ind w:left="0"/>
              <w:rPr>
                <w:sz w:val="19"/>
                <w:szCs w:val="19"/>
              </w:rPr>
            </w:pPr>
            <w:r w:rsidRPr="00C77A0F">
              <w:rPr>
                <w:sz w:val="19"/>
                <w:szCs w:val="19"/>
              </w:rPr>
              <w:t>700</w:t>
            </w:r>
          </w:p>
        </w:tc>
        <w:tc>
          <w:tcPr>
            <w:tcW w:w="1024" w:type="dxa"/>
          </w:tcPr>
          <w:p w:rsidR="00300894" w:rsidRPr="00C77A0F" w:rsidRDefault="00300894" w:rsidP="00C77A0F">
            <w:pPr>
              <w:ind w:left="0"/>
              <w:rPr>
                <w:sz w:val="19"/>
                <w:szCs w:val="19"/>
              </w:rPr>
            </w:pPr>
            <w:r w:rsidRPr="00C77A0F">
              <w:rPr>
                <w:sz w:val="19"/>
                <w:szCs w:val="19"/>
              </w:rPr>
              <w:t>467</w:t>
            </w:r>
          </w:p>
        </w:tc>
        <w:tc>
          <w:tcPr>
            <w:tcW w:w="769" w:type="dxa"/>
          </w:tcPr>
          <w:p w:rsidR="00300894" w:rsidRPr="00C77A0F" w:rsidRDefault="00300894" w:rsidP="00C77A0F">
            <w:pPr>
              <w:ind w:left="0"/>
              <w:rPr>
                <w:sz w:val="19"/>
                <w:szCs w:val="19"/>
              </w:rPr>
            </w:pPr>
            <w:r w:rsidRPr="00C77A0F">
              <w:rPr>
                <w:sz w:val="19"/>
                <w:szCs w:val="19"/>
              </w:rPr>
              <w:t>233</w:t>
            </w:r>
          </w:p>
        </w:tc>
        <w:tc>
          <w:tcPr>
            <w:tcW w:w="901" w:type="dxa"/>
          </w:tcPr>
          <w:p w:rsidR="00300894" w:rsidRPr="00C77A0F" w:rsidRDefault="00300894" w:rsidP="00C77A0F">
            <w:pPr>
              <w:ind w:left="0"/>
              <w:rPr>
                <w:sz w:val="19"/>
                <w:szCs w:val="19"/>
              </w:rPr>
            </w:pPr>
            <w:r w:rsidRPr="00C77A0F">
              <w:rPr>
                <w:sz w:val="19"/>
                <w:szCs w:val="19"/>
              </w:rPr>
              <w:t>2800</w:t>
            </w:r>
          </w:p>
        </w:tc>
        <w:tc>
          <w:tcPr>
            <w:tcW w:w="850" w:type="dxa"/>
          </w:tcPr>
          <w:p w:rsidR="00300894" w:rsidRPr="00C77A0F" w:rsidRDefault="00300894" w:rsidP="00C77A0F">
            <w:pPr>
              <w:ind w:left="0"/>
              <w:rPr>
                <w:sz w:val="19"/>
                <w:szCs w:val="19"/>
              </w:rPr>
            </w:pPr>
            <w:r w:rsidRPr="00C77A0F">
              <w:rPr>
                <w:sz w:val="19"/>
                <w:szCs w:val="19"/>
              </w:rPr>
              <w:t>2.7</w:t>
            </w:r>
          </w:p>
        </w:tc>
        <w:tc>
          <w:tcPr>
            <w:tcW w:w="943" w:type="dxa"/>
          </w:tcPr>
          <w:p w:rsidR="00300894" w:rsidRPr="00C77A0F" w:rsidRDefault="00300894" w:rsidP="00C77A0F">
            <w:pPr>
              <w:ind w:left="0"/>
              <w:rPr>
                <w:sz w:val="19"/>
                <w:szCs w:val="19"/>
              </w:rPr>
            </w:pPr>
            <w:r w:rsidRPr="00C77A0F">
              <w:rPr>
                <w:sz w:val="19"/>
                <w:szCs w:val="19"/>
              </w:rPr>
              <w:t>3</w:t>
            </w:r>
          </w:p>
        </w:tc>
      </w:tr>
      <w:tr w:rsidR="00300894" w:rsidRPr="00C77A0F" w:rsidTr="00C77A0F">
        <w:trPr>
          <w:trHeight w:val="290"/>
        </w:trPr>
        <w:tc>
          <w:tcPr>
            <w:tcW w:w="1101" w:type="dxa"/>
            <w:vMerge/>
          </w:tcPr>
          <w:p w:rsidR="00300894" w:rsidRPr="00C77A0F" w:rsidRDefault="00300894" w:rsidP="00C77A0F">
            <w:pPr>
              <w:ind w:left="0"/>
              <w:rPr>
                <w:sz w:val="19"/>
                <w:szCs w:val="19"/>
              </w:rPr>
            </w:pPr>
          </w:p>
        </w:tc>
        <w:tc>
          <w:tcPr>
            <w:tcW w:w="1984" w:type="dxa"/>
            <w:vMerge/>
          </w:tcPr>
          <w:p w:rsidR="00300894" w:rsidRPr="00C77A0F" w:rsidRDefault="00300894" w:rsidP="00C77A0F">
            <w:pPr>
              <w:ind w:left="24"/>
              <w:rPr>
                <w:sz w:val="19"/>
                <w:szCs w:val="19"/>
              </w:rPr>
            </w:pPr>
          </w:p>
        </w:tc>
        <w:tc>
          <w:tcPr>
            <w:tcW w:w="992" w:type="dxa"/>
          </w:tcPr>
          <w:p w:rsidR="00300894" w:rsidRPr="00C77A0F" w:rsidRDefault="00300894" w:rsidP="00C77A0F">
            <w:pPr>
              <w:ind w:left="0"/>
              <w:rPr>
                <w:sz w:val="19"/>
                <w:szCs w:val="19"/>
              </w:rPr>
            </w:pPr>
            <w:r w:rsidRPr="00C77A0F">
              <w:rPr>
                <w:sz w:val="19"/>
                <w:szCs w:val="19"/>
              </w:rPr>
              <w:t>1400</w:t>
            </w:r>
          </w:p>
        </w:tc>
        <w:tc>
          <w:tcPr>
            <w:tcW w:w="1024" w:type="dxa"/>
          </w:tcPr>
          <w:p w:rsidR="00300894" w:rsidRPr="00C77A0F" w:rsidRDefault="00300894" w:rsidP="00C77A0F">
            <w:pPr>
              <w:ind w:left="0"/>
              <w:rPr>
                <w:sz w:val="19"/>
                <w:szCs w:val="19"/>
              </w:rPr>
            </w:pPr>
            <w:r w:rsidRPr="00C77A0F">
              <w:rPr>
                <w:sz w:val="19"/>
                <w:szCs w:val="19"/>
              </w:rPr>
              <w:t>933</w:t>
            </w:r>
          </w:p>
        </w:tc>
        <w:tc>
          <w:tcPr>
            <w:tcW w:w="769" w:type="dxa"/>
          </w:tcPr>
          <w:p w:rsidR="00300894" w:rsidRPr="00C77A0F" w:rsidRDefault="00300894" w:rsidP="00C77A0F">
            <w:pPr>
              <w:ind w:left="0"/>
              <w:rPr>
                <w:sz w:val="19"/>
                <w:szCs w:val="19"/>
              </w:rPr>
            </w:pPr>
            <w:r w:rsidRPr="00C77A0F">
              <w:rPr>
                <w:sz w:val="19"/>
                <w:szCs w:val="19"/>
              </w:rPr>
              <w:t>467</w:t>
            </w:r>
          </w:p>
        </w:tc>
        <w:tc>
          <w:tcPr>
            <w:tcW w:w="901" w:type="dxa"/>
          </w:tcPr>
          <w:p w:rsidR="00300894" w:rsidRPr="00C77A0F" w:rsidRDefault="00300894" w:rsidP="00C77A0F">
            <w:pPr>
              <w:ind w:left="0"/>
              <w:rPr>
                <w:sz w:val="19"/>
                <w:szCs w:val="19"/>
              </w:rPr>
            </w:pPr>
            <w:r w:rsidRPr="00C77A0F">
              <w:rPr>
                <w:sz w:val="19"/>
                <w:szCs w:val="19"/>
              </w:rPr>
              <w:t>5600</w:t>
            </w:r>
          </w:p>
        </w:tc>
        <w:tc>
          <w:tcPr>
            <w:tcW w:w="850" w:type="dxa"/>
          </w:tcPr>
          <w:p w:rsidR="00300894" w:rsidRPr="00C77A0F" w:rsidRDefault="00300894" w:rsidP="00C77A0F">
            <w:pPr>
              <w:ind w:left="0"/>
              <w:rPr>
                <w:sz w:val="19"/>
                <w:szCs w:val="19"/>
              </w:rPr>
            </w:pPr>
            <w:r w:rsidRPr="00C77A0F">
              <w:rPr>
                <w:sz w:val="19"/>
                <w:szCs w:val="19"/>
              </w:rPr>
              <w:t>5</w:t>
            </w:r>
          </w:p>
        </w:tc>
        <w:tc>
          <w:tcPr>
            <w:tcW w:w="943" w:type="dxa"/>
          </w:tcPr>
          <w:p w:rsidR="00300894" w:rsidRPr="00C77A0F" w:rsidRDefault="00300894" w:rsidP="00C77A0F">
            <w:pPr>
              <w:ind w:left="0"/>
              <w:rPr>
                <w:sz w:val="19"/>
                <w:szCs w:val="19"/>
              </w:rPr>
            </w:pPr>
            <w:r w:rsidRPr="00C77A0F">
              <w:rPr>
                <w:sz w:val="19"/>
                <w:szCs w:val="19"/>
              </w:rPr>
              <w:t>6</w:t>
            </w:r>
          </w:p>
        </w:tc>
      </w:tr>
      <w:tr w:rsidR="00300894" w:rsidRPr="00C77A0F" w:rsidTr="00C77A0F">
        <w:trPr>
          <w:trHeight w:val="387"/>
        </w:trPr>
        <w:tc>
          <w:tcPr>
            <w:tcW w:w="1101" w:type="dxa"/>
            <w:vMerge w:val="restart"/>
          </w:tcPr>
          <w:p w:rsidR="00300894" w:rsidRPr="00C77A0F" w:rsidRDefault="00300894" w:rsidP="00C77A0F">
            <w:pPr>
              <w:ind w:left="0"/>
              <w:rPr>
                <w:sz w:val="19"/>
                <w:szCs w:val="19"/>
              </w:rPr>
            </w:pPr>
            <w:r w:rsidRPr="00C77A0F">
              <w:rPr>
                <w:sz w:val="19"/>
                <w:szCs w:val="19"/>
              </w:rPr>
              <w:t>Monkey (Cynomolgus)</w:t>
            </w:r>
          </w:p>
        </w:tc>
        <w:tc>
          <w:tcPr>
            <w:tcW w:w="1984" w:type="dxa"/>
            <w:vMerge w:val="restart"/>
          </w:tcPr>
          <w:p w:rsidR="00300894" w:rsidRPr="00C77A0F" w:rsidRDefault="00300894" w:rsidP="00C77A0F">
            <w:pPr>
              <w:ind w:left="24"/>
              <w:rPr>
                <w:sz w:val="19"/>
                <w:szCs w:val="19"/>
              </w:rPr>
            </w:pPr>
            <w:r w:rsidRPr="00C77A0F">
              <w:rPr>
                <w:sz w:val="19"/>
                <w:szCs w:val="19"/>
              </w:rPr>
              <w:t>two doses, 3 months apart; unilateral; 12 months duration [Study TX050329]</w:t>
            </w:r>
          </w:p>
        </w:tc>
        <w:tc>
          <w:tcPr>
            <w:tcW w:w="992" w:type="dxa"/>
          </w:tcPr>
          <w:p w:rsidR="00300894" w:rsidRPr="00C77A0F" w:rsidRDefault="00300894" w:rsidP="00C77A0F">
            <w:pPr>
              <w:ind w:left="0"/>
              <w:rPr>
                <w:sz w:val="19"/>
                <w:szCs w:val="19"/>
              </w:rPr>
            </w:pPr>
            <w:r w:rsidRPr="00C77A0F">
              <w:rPr>
                <w:sz w:val="19"/>
                <w:szCs w:val="19"/>
              </w:rPr>
              <w:t>350</w:t>
            </w:r>
          </w:p>
        </w:tc>
        <w:tc>
          <w:tcPr>
            <w:tcW w:w="1024" w:type="dxa"/>
          </w:tcPr>
          <w:p w:rsidR="00300894" w:rsidRPr="00C77A0F" w:rsidRDefault="00300894" w:rsidP="00C77A0F">
            <w:pPr>
              <w:ind w:left="0"/>
              <w:rPr>
                <w:sz w:val="19"/>
                <w:szCs w:val="19"/>
              </w:rPr>
            </w:pPr>
            <w:r w:rsidRPr="00C77A0F">
              <w:rPr>
                <w:sz w:val="19"/>
                <w:szCs w:val="19"/>
              </w:rPr>
              <w:t>109</w:t>
            </w:r>
          </w:p>
        </w:tc>
        <w:tc>
          <w:tcPr>
            <w:tcW w:w="769" w:type="dxa"/>
          </w:tcPr>
          <w:p w:rsidR="00300894" w:rsidRPr="00C77A0F" w:rsidRDefault="00300894" w:rsidP="00C77A0F">
            <w:pPr>
              <w:ind w:left="0"/>
              <w:rPr>
                <w:sz w:val="19"/>
                <w:szCs w:val="19"/>
              </w:rPr>
            </w:pPr>
            <w:r w:rsidRPr="00C77A0F">
              <w:rPr>
                <w:sz w:val="19"/>
                <w:szCs w:val="19"/>
              </w:rPr>
              <w:t>117</w:t>
            </w:r>
          </w:p>
        </w:tc>
        <w:tc>
          <w:tcPr>
            <w:tcW w:w="901" w:type="dxa"/>
          </w:tcPr>
          <w:p w:rsidR="00300894" w:rsidRPr="00C77A0F" w:rsidRDefault="00300894" w:rsidP="00C77A0F">
            <w:pPr>
              <w:ind w:left="0"/>
              <w:rPr>
                <w:sz w:val="19"/>
                <w:szCs w:val="19"/>
              </w:rPr>
            </w:pPr>
            <w:r w:rsidRPr="00C77A0F">
              <w:rPr>
                <w:sz w:val="19"/>
                <w:szCs w:val="19"/>
              </w:rPr>
              <w:t>1400</w:t>
            </w:r>
          </w:p>
        </w:tc>
        <w:tc>
          <w:tcPr>
            <w:tcW w:w="850" w:type="dxa"/>
          </w:tcPr>
          <w:p w:rsidR="00300894" w:rsidRPr="00C77A0F" w:rsidRDefault="00300894" w:rsidP="00C77A0F">
            <w:pPr>
              <w:ind w:left="0"/>
              <w:rPr>
                <w:sz w:val="19"/>
                <w:szCs w:val="19"/>
              </w:rPr>
            </w:pPr>
            <w:r w:rsidRPr="00C77A0F">
              <w:rPr>
                <w:sz w:val="19"/>
                <w:szCs w:val="19"/>
              </w:rPr>
              <w:t>0.6</w:t>
            </w:r>
          </w:p>
        </w:tc>
        <w:tc>
          <w:tcPr>
            <w:tcW w:w="943" w:type="dxa"/>
          </w:tcPr>
          <w:p w:rsidR="00300894" w:rsidRPr="00C77A0F" w:rsidRDefault="00300894" w:rsidP="00C77A0F">
            <w:pPr>
              <w:ind w:left="0"/>
              <w:rPr>
                <w:sz w:val="19"/>
                <w:szCs w:val="19"/>
              </w:rPr>
            </w:pPr>
            <w:r w:rsidRPr="00C77A0F">
              <w:rPr>
                <w:sz w:val="19"/>
                <w:szCs w:val="19"/>
              </w:rPr>
              <w:t>1.5</w:t>
            </w:r>
          </w:p>
        </w:tc>
      </w:tr>
      <w:tr w:rsidR="00300894" w:rsidRPr="00C77A0F" w:rsidTr="00C77A0F">
        <w:trPr>
          <w:trHeight w:val="290"/>
        </w:trPr>
        <w:tc>
          <w:tcPr>
            <w:tcW w:w="1101" w:type="dxa"/>
            <w:vMerge/>
          </w:tcPr>
          <w:p w:rsidR="00300894" w:rsidRPr="00C77A0F" w:rsidRDefault="00300894" w:rsidP="00C77A0F">
            <w:pPr>
              <w:ind w:left="0"/>
              <w:rPr>
                <w:sz w:val="19"/>
                <w:szCs w:val="19"/>
              </w:rPr>
            </w:pPr>
          </w:p>
        </w:tc>
        <w:tc>
          <w:tcPr>
            <w:tcW w:w="1984" w:type="dxa"/>
            <w:vMerge/>
          </w:tcPr>
          <w:p w:rsidR="00300894" w:rsidRPr="00C77A0F" w:rsidRDefault="00300894" w:rsidP="00C77A0F">
            <w:pPr>
              <w:ind w:left="24"/>
              <w:rPr>
                <w:sz w:val="19"/>
                <w:szCs w:val="19"/>
              </w:rPr>
            </w:pPr>
          </w:p>
        </w:tc>
        <w:tc>
          <w:tcPr>
            <w:tcW w:w="992" w:type="dxa"/>
          </w:tcPr>
          <w:p w:rsidR="00300894" w:rsidRPr="00C77A0F" w:rsidRDefault="00300894" w:rsidP="00C77A0F">
            <w:pPr>
              <w:ind w:left="0"/>
              <w:rPr>
                <w:sz w:val="19"/>
                <w:szCs w:val="19"/>
              </w:rPr>
            </w:pPr>
            <w:r w:rsidRPr="00C77A0F">
              <w:rPr>
                <w:sz w:val="19"/>
                <w:szCs w:val="19"/>
              </w:rPr>
              <w:t>700</w:t>
            </w:r>
          </w:p>
        </w:tc>
        <w:tc>
          <w:tcPr>
            <w:tcW w:w="1024" w:type="dxa"/>
          </w:tcPr>
          <w:p w:rsidR="00300894" w:rsidRPr="00C77A0F" w:rsidRDefault="00300894" w:rsidP="00C77A0F">
            <w:pPr>
              <w:ind w:left="0"/>
              <w:rPr>
                <w:sz w:val="19"/>
                <w:szCs w:val="19"/>
              </w:rPr>
            </w:pPr>
            <w:r w:rsidRPr="00C77A0F">
              <w:rPr>
                <w:sz w:val="19"/>
                <w:szCs w:val="19"/>
              </w:rPr>
              <w:t>219</w:t>
            </w:r>
          </w:p>
        </w:tc>
        <w:tc>
          <w:tcPr>
            <w:tcW w:w="769" w:type="dxa"/>
          </w:tcPr>
          <w:p w:rsidR="00300894" w:rsidRPr="00C77A0F" w:rsidRDefault="00300894" w:rsidP="00C77A0F">
            <w:pPr>
              <w:ind w:left="0"/>
              <w:rPr>
                <w:sz w:val="19"/>
                <w:szCs w:val="19"/>
              </w:rPr>
            </w:pPr>
            <w:r w:rsidRPr="00C77A0F">
              <w:rPr>
                <w:sz w:val="19"/>
                <w:szCs w:val="19"/>
              </w:rPr>
              <w:t>233</w:t>
            </w:r>
          </w:p>
        </w:tc>
        <w:tc>
          <w:tcPr>
            <w:tcW w:w="901" w:type="dxa"/>
          </w:tcPr>
          <w:p w:rsidR="00300894" w:rsidRPr="00C77A0F" w:rsidRDefault="00300894" w:rsidP="00C77A0F">
            <w:pPr>
              <w:ind w:left="0"/>
              <w:rPr>
                <w:sz w:val="19"/>
                <w:szCs w:val="19"/>
              </w:rPr>
            </w:pPr>
            <w:r w:rsidRPr="00C77A0F">
              <w:rPr>
                <w:sz w:val="19"/>
                <w:szCs w:val="19"/>
              </w:rPr>
              <w:t>2800</w:t>
            </w:r>
          </w:p>
        </w:tc>
        <w:tc>
          <w:tcPr>
            <w:tcW w:w="850" w:type="dxa"/>
          </w:tcPr>
          <w:p w:rsidR="00300894" w:rsidRPr="00C77A0F" w:rsidRDefault="00300894" w:rsidP="00C77A0F">
            <w:pPr>
              <w:ind w:left="0"/>
              <w:rPr>
                <w:sz w:val="19"/>
                <w:szCs w:val="19"/>
              </w:rPr>
            </w:pPr>
            <w:r w:rsidRPr="00C77A0F">
              <w:rPr>
                <w:sz w:val="19"/>
                <w:szCs w:val="19"/>
              </w:rPr>
              <w:t>1.3</w:t>
            </w:r>
          </w:p>
        </w:tc>
        <w:tc>
          <w:tcPr>
            <w:tcW w:w="943" w:type="dxa"/>
          </w:tcPr>
          <w:p w:rsidR="00300894" w:rsidRPr="00C77A0F" w:rsidRDefault="00300894" w:rsidP="00C77A0F">
            <w:pPr>
              <w:ind w:left="0"/>
              <w:rPr>
                <w:sz w:val="19"/>
                <w:szCs w:val="19"/>
              </w:rPr>
            </w:pPr>
            <w:r w:rsidRPr="00C77A0F">
              <w:rPr>
                <w:sz w:val="19"/>
                <w:szCs w:val="19"/>
              </w:rPr>
              <w:t>3</w:t>
            </w:r>
          </w:p>
        </w:tc>
      </w:tr>
      <w:tr w:rsidR="00300894" w:rsidRPr="00C77A0F" w:rsidTr="00C77A0F">
        <w:trPr>
          <w:trHeight w:val="290"/>
        </w:trPr>
        <w:tc>
          <w:tcPr>
            <w:tcW w:w="1101" w:type="dxa"/>
          </w:tcPr>
          <w:p w:rsidR="00300894" w:rsidRPr="00C77A0F" w:rsidRDefault="00300894" w:rsidP="00C77A0F">
            <w:pPr>
              <w:ind w:left="0"/>
              <w:rPr>
                <w:sz w:val="19"/>
                <w:szCs w:val="19"/>
              </w:rPr>
            </w:pPr>
            <w:r w:rsidRPr="00C77A0F">
              <w:rPr>
                <w:sz w:val="19"/>
                <w:szCs w:val="19"/>
              </w:rPr>
              <w:t>Human</w:t>
            </w:r>
          </w:p>
        </w:tc>
        <w:tc>
          <w:tcPr>
            <w:tcW w:w="1984" w:type="dxa"/>
          </w:tcPr>
          <w:p w:rsidR="00300894" w:rsidRPr="00C77A0F" w:rsidRDefault="00300894" w:rsidP="00C77A0F">
            <w:pPr>
              <w:ind w:left="24"/>
              <w:rPr>
                <w:sz w:val="19"/>
                <w:szCs w:val="19"/>
              </w:rPr>
            </w:pPr>
            <w:r w:rsidRPr="00C77A0F">
              <w:rPr>
                <w:sz w:val="19"/>
                <w:szCs w:val="19"/>
              </w:rPr>
              <w:t>(assumed bilateral)</w:t>
            </w:r>
          </w:p>
        </w:tc>
        <w:tc>
          <w:tcPr>
            <w:tcW w:w="992" w:type="dxa"/>
          </w:tcPr>
          <w:p w:rsidR="00300894" w:rsidRPr="00C77A0F" w:rsidRDefault="00300894" w:rsidP="00C77A0F">
            <w:pPr>
              <w:ind w:left="0"/>
              <w:rPr>
                <w:sz w:val="19"/>
                <w:szCs w:val="19"/>
              </w:rPr>
            </w:pPr>
            <w:r w:rsidRPr="00C77A0F">
              <w:rPr>
                <w:sz w:val="19"/>
                <w:szCs w:val="19"/>
              </w:rPr>
              <w:t>700</w:t>
            </w:r>
          </w:p>
        </w:tc>
        <w:tc>
          <w:tcPr>
            <w:tcW w:w="1024" w:type="dxa"/>
          </w:tcPr>
          <w:p w:rsidR="00300894" w:rsidRPr="00C77A0F" w:rsidRDefault="00300894" w:rsidP="00C77A0F">
            <w:pPr>
              <w:ind w:left="0"/>
              <w:rPr>
                <w:sz w:val="19"/>
                <w:szCs w:val="19"/>
              </w:rPr>
            </w:pPr>
            <w:r w:rsidRPr="00C77A0F">
              <w:rPr>
                <w:sz w:val="19"/>
                <w:szCs w:val="19"/>
              </w:rPr>
              <w:t>175</w:t>
            </w:r>
          </w:p>
        </w:tc>
        <w:tc>
          <w:tcPr>
            <w:tcW w:w="769" w:type="dxa"/>
          </w:tcPr>
          <w:p w:rsidR="00300894" w:rsidRPr="00C77A0F" w:rsidRDefault="00300894" w:rsidP="00C77A0F">
            <w:pPr>
              <w:ind w:left="0"/>
              <w:rPr>
                <w:sz w:val="19"/>
                <w:szCs w:val="19"/>
              </w:rPr>
            </w:pPr>
            <w:r w:rsidRPr="00C77A0F">
              <w:rPr>
                <w:sz w:val="19"/>
                <w:szCs w:val="19"/>
              </w:rPr>
              <w:t>28</w:t>
            </w:r>
          </w:p>
        </w:tc>
        <w:tc>
          <w:tcPr>
            <w:tcW w:w="901" w:type="dxa"/>
          </w:tcPr>
          <w:p w:rsidR="00300894" w:rsidRPr="00C77A0F" w:rsidRDefault="00300894" w:rsidP="00C77A0F">
            <w:pPr>
              <w:ind w:left="0"/>
              <w:rPr>
                <w:sz w:val="19"/>
                <w:szCs w:val="19"/>
              </w:rPr>
            </w:pPr>
            <w:r w:rsidRPr="00C77A0F">
              <w:rPr>
                <w:sz w:val="19"/>
                <w:szCs w:val="19"/>
              </w:rPr>
              <w:t>924</w:t>
            </w:r>
          </w:p>
        </w:tc>
        <w:tc>
          <w:tcPr>
            <w:tcW w:w="850" w:type="dxa"/>
          </w:tcPr>
          <w:p w:rsidR="00300894" w:rsidRPr="00C77A0F" w:rsidRDefault="00300894" w:rsidP="00C77A0F">
            <w:pPr>
              <w:ind w:left="0"/>
              <w:rPr>
                <w:sz w:val="19"/>
                <w:szCs w:val="19"/>
              </w:rPr>
            </w:pPr>
            <w:r w:rsidRPr="00C77A0F">
              <w:rPr>
                <w:sz w:val="19"/>
                <w:szCs w:val="19"/>
              </w:rPr>
              <w:t>–</w:t>
            </w:r>
          </w:p>
        </w:tc>
        <w:tc>
          <w:tcPr>
            <w:tcW w:w="943" w:type="dxa"/>
          </w:tcPr>
          <w:p w:rsidR="00300894" w:rsidRPr="00C77A0F" w:rsidRDefault="00300894" w:rsidP="00C77A0F">
            <w:pPr>
              <w:ind w:left="0"/>
              <w:rPr>
                <w:sz w:val="19"/>
                <w:szCs w:val="19"/>
              </w:rPr>
            </w:pPr>
            <w:r w:rsidRPr="00C77A0F">
              <w:rPr>
                <w:sz w:val="19"/>
                <w:szCs w:val="19"/>
              </w:rPr>
              <w:t>–</w:t>
            </w:r>
          </w:p>
        </w:tc>
      </w:tr>
    </w:tbl>
    <w:p w:rsidR="00300894" w:rsidRPr="00300894" w:rsidRDefault="00300894" w:rsidP="00300894">
      <w:pPr>
        <w:pStyle w:val="TableDescription"/>
      </w:pPr>
      <w:r w:rsidRPr="00300894">
        <w:t xml:space="preserve"># = calculated based on vitreous humour volumes of 1.5 mL in rabbits, 3.2 mL in </w:t>
      </w:r>
      <w:proofErr w:type="spellStart"/>
      <w:r w:rsidRPr="00300894">
        <w:t>cynomolgus</w:t>
      </w:r>
      <w:proofErr w:type="spellEnd"/>
      <w:r w:rsidRPr="00300894">
        <w:t xml:space="preserve"> monkeys and 4 mL in humans</w:t>
      </w:r>
      <w:r w:rsidR="0013131F">
        <w:t>,</w:t>
      </w:r>
      <w:r w:rsidR="0013131F">
        <w:rPr>
          <w:rStyle w:val="FootnoteReference"/>
        </w:rPr>
        <w:footnoteReference w:id="11"/>
      </w:r>
      <w:r w:rsidR="0013131F">
        <w:t xml:space="preserve"> </w:t>
      </w:r>
      <w:r w:rsidRPr="00300894">
        <w:t xml:space="preserve">rabbit and monkey body weights of 3 kg, human adult body weight of 50 kg, and using </w:t>
      </w:r>
      <w:r w:rsidR="005C2E04">
        <w:t>µ</w:t>
      </w:r>
      <w:r w:rsidRPr="00300894">
        <w:t xml:space="preserve">g/kg to </w:t>
      </w:r>
      <w:r w:rsidR="005C2E04">
        <w:t>µ</w:t>
      </w:r>
      <w:r w:rsidRPr="00300894">
        <w:t>g/</w:t>
      </w:r>
      <w:r w:rsidR="00766289" w:rsidRPr="00300894">
        <w:t>m</w:t>
      </w:r>
      <w:r w:rsidR="00766289" w:rsidRPr="007A22C1">
        <w:rPr>
          <w:vertAlign w:val="superscript"/>
        </w:rPr>
        <w:t>2</w:t>
      </w:r>
      <w:r w:rsidRPr="00300894">
        <w:t xml:space="preserve"> conversion factors of 12 for rabbits</w:t>
      </w:r>
      <w:r>
        <w:t xml:space="preserve"> and monkeys and 33 for humans; </w:t>
      </w:r>
      <w:r w:rsidRPr="00300894">
        <w:t xml:space="preserve">a = </w:t>
      </w:r>
      <w:proofErr w:type="gramStart"/>
      <w:r w:rsidRPr="00300894">
        <w:t>animal</w:t>
      </w:r>
      <w:r w:rsidR="00766289">
        <w:t xml:space="preserve"> </w:t>
      </w:r>
      <w:r w:rsidRPr="00300894">
        <w:t>:</w:t>
      </w:r>
      <w:proofErr w:type="gramEnd"/>
      <w:r w:rsidRPr="00300894">
        <w:t>human dose per unit volume of vitreous humour;</w:t>
      </w:r>
      <w:r>
        <w:t xml:space="preserve"> </w:t>
      </w:r>
      <w:r w:rsidRPr="00300894">
        <w:t>b = animal</w:t>
      </w:r>
      <w:r w:rsidR="00766289">
        <w:t xml:space="preserve"> </w:t>
      </w:r>
      <w:r w:rsidRPr="00300894">
        <w:t xml:space="preserve">:human dose per </w:t>
      </w:r>
      <w:r w:rsidR="00766289" w:rsidRPr="00300894">
        <w:t>m</w:t>
      </w:r>
      <w:r w:rsidR="00766289" w:rsidRPr="007A22C1">
        <w:rPr>
          <w:vertAlign w:val="superscript"/>
        </w:rPr>
        <w:t>2</w:t>
      </w:r>
      <w:r w:rsidRPr="00300894">
        <w:t xml:space="preserve"> body surface area</w:t>
      </w:r>
    </w:p>
    <w:p w:rsidR="00300894" w:rsidRPr="00300894" w:rsidRDefault="00300894" w:rsidP="00300894">
      <w:pPr>
        <w:pStyle w:val="Heading5"/>
      </w:pPr>
      <w:r w:rsidRPr="00300894">
        <w:t>Ocular findings</w:t>
      </w:r>
    </w:p>
    <w:p w:rsidR="00300894" w:rsidRPr="00300894" w:rsidRDefault="00300894" w:rsidP="00300894">
      <w:r w:rsidRPr="00300894">
        <w:t xml:space="preserve">Gross and microscopic examinations revealed effects on multiple structures of the eye, with findings present at high incidence in rabbits and monkeys at all doses of dexamethasone (after one or two implantations) and also in eyes treated with placebo implant(s). Findings were generally more pronounced in rabbits, consistent with their higher local exposure </w:t>
      </w:r>
      <w:r w:rsidR="00740C73">
        <w:t>compared with</w:t>
      </w:r>
      <w:r w:rsidRPr="00300894">
        <w:t xml:space="preserve"> monkeys.</w:t>
      </w:r>
    </w:p>
    <w:p w:rsidR="00300894" w:rsidRPr="00300894" w:rsidRDefault="00300894" w:rsidP="00300894">
      <w:r w:rsidRPr="00300894">
        <w:lastRenderedPageBreak/>
        <w:t>In rabbits, treatment with dexamethasone was associated with the development of small opacities in the central area of the posterior cortex of the lens. This was observed at both doses in the 12</w:t>
      </w:r>
      <w:r w:rsidR="00D57E70">
        <w:t xml:space="preserve"> </w:t>
      </w:r>
      <w:r w:rsidR="004E78A0">
        <w:t xml:space="preserve">month study (in 1 out of </w:t>
      </w:r>
      <w:r w:rsidRPr="00300894">
        <w:t xml:space="preserve">8 animals treated at 700 </w:t>
      </w:r>
      <w:r w:rsidR="005C2E04">
        <w:t>µ</w:t>
      </w:r>
      <w:r w:rsidR="004E78A0">
        <w:t xml:space="preserve">g/dose and 2 out of </w:t>
      </w:r>
      <w:r w:rsidRPr="00300894">
        <w:t>8 animals treated at 1</w:t>
      </w:r>
      <w:r w:rsidR="004E78A0">
        <w:t>,</w:t>
      </w:r>
      <w:r w:rsidRPr="00300894">
        <w:t xml:space="preserve">400 </w:t>
      </w:r>
      <w:r w:rsidR="005C2E04">
        <w:t>µ</w:t>
      </w:r>
      <w:r w:rsidRPr="00300894">
        <w:t xml:space="preserve">g/dose; estimated relative exposure, </w:t>
      </w:r>
      <w:r w:rsidR="00D57E70">
        <w:t xml:space="preserve">≥ </w:t>
      </w:r>
      <w:r w:rsidRPr="00300894">
        <w:t>2.7) from 5 months of treatment onwards, persisting until the end of the observation period, though showing some evidence of recovery. The prolonged use of glucocorticoids in identified as a significant risk factor for the development of cataracts in the literature. The development of inflammatory cysts appeared to be related to dexamethasone treatment in the single</w:t>
      </w:r>
      <w:r w:rsidR="00D57E70">
        <w:t xml:space="preserve"> </w:t>
      </w:r>
      <w:r w:rsidRPr="00300894">
        <w:t>dose studies in rabbits, but this was not observed in the repeat</w:t>
      </w:r>
      <w:r w:rsidR="00D57E70">
        <w:t xml:space="preserve"> </w:t>
      </w:r>
      <w:r w:rsidRPr="00300894">
        <w:t xml:space="preserve">dose study (relative exposure, </w:t>
      </w:r>
      <w:r w:rsidR="00D57E70">
        <w:t>≤ 5</w:t>
      </w:r>
      <w:r w:rsidRPr="00300894">
        <w:t>). There were no dexamethasone</w:t>
      </w:r>
      <w:r w:rsidR="00D57E70">
        <w:t xml:space="preserve"> </w:t>
      </w:r>
      <w:r w:rsidRPr="00300894">
        <w:t xml:space="preserve">related ocular findings in monkeys (relative exposure, </w:t>
      </w:r>
      <w:r w:rsidR="00D57E70">
        <w:t>≤ 1</w:t>
      </w:r>
      <w:r w:rsidRPr="00300894">
        <w:t>.3), and no clear effect on intraocular pressure (IOP) in either species.</w:t>
      </w:r>
    </w:p>
    <w:p w:rsidR="00300894" w:rsidRPr="00300894" w:rsidRDefault="00300894" w:rsidP="00300894">
      <w:r w:rsidRPr="00300894">
        <w:t>Most ocular findings in the two laboratory animal species appeared to be related to the implantation procedure or the implant itself, rather than dexamethasone treatment. Findings in rabbits included posterior capsular cataracts, focal inflammation, retinal disruption (including detachment and haemorrhage), vitreous opacity, haemorrhage, haziness and pannus in single</w:t>
      </w:r>
      <w:r w:rsidR="00D57E70">
        <w:t xml:space="preserve"> </w:t>
      </w:r>
      <w:r w:rsidRPr="00300894">
        <w:t>dose studies, and mixed cell infiltration of the eyelid in the 12</w:t>
      </w:r>
      <w:r w:rsidR="00D57E70">
        <w:t xml:space="preserve"> </w:t>
      </w:r>
      <w:r w:rsidRPr="00300894">
        <w:t>month study. Conjunctival congestion, swelling and discharge and fibroplasia/fibrosis of the implant site were observed in both animal species. Ocular findings were fewer and less severe in the 12</w:t>
      </w:r>
      <w:r w:rsidR="00D57E70">
        <w:t xml:space="preserve"> </w:t>
      </w:r>
      <w:r w:rsidRPr="00300894">
        <w:t xml:space="preserve">month studies </w:t>
      </w:r>
      <w:r w:rsidR="00740C73">
        <w:t>compared with</w:t>
      </w:r>
      <w:r w:rsidRPr="00300894">
        <w:t xml:space="preserve"> the single</w:t>
      </w:r>
      <w:r w:rsidR="00D57E70">
        <w:t xml:space="preserve"> </w:t>
      </w:r>
      <w:r w:rsidRPr="00300894">
        <w:t xml:space="preserve">dose studies, attributable to the use of the DEX PS DDS applicator system for the implantation rather than </w:t>
      </w:r>
      <w:proofErr w:type="spellStart"/>
      <w:r w:rsidRPr="00300894">
        <w:t>sclerotomy</w:t>
      </w:r>
      <w:proofErr w:type="spellEnd"/>
      <w:r w:rsidRPr="00300894">
        <w:t>. Most of the minor findings in the studies, particularly those associated with inflammation, appeared to resolve within several weeks of implantation; fibrosis at the site of the implant insertion was not reversed within 9 months of implantation.</w:t>
      </w:r>
    </w:p>
    <w:p w:rsidR="00300894" w:rsidRPr="00300894" w:rsidRDefault="00300894" w:rsidP="00300894">
      <w:r w:rsidRPr="00300894">
        <w:t>The degree of ocular toxicity in one single</w:t>
      </w:r>
      <w:r w:rsidR="00D57E70">
        <w:t xml:space="preserve"> </w:t>
      </w:r>
      <w:r w:rsidRPr="00300894">
        <w:t>dose study in rabbits was markedly greater than in another single</w:t>
      </w:r>
      <w:r w:rsidR="00D57E70">
        <w:t xml:space="preserve"> </w:t>
      </w:r>
      <w:r w:rsidRPr="00300894">
        <w:t xml:space="preserve">dose study with the same treatment regimen. This was attributable to </w:t>
      </w:r>
      <w:r w:rsidR="004E78A0" w:rsidRPr="00300894">
        <w:t>post</w:t>
      </w:r>
      <w:r w:rsidR="004E78A0">
        <w:t>-</w:t>
      </w:r>
      <w:r w:rsidR="004E78A0" w:rsidRPr="00300894">
        <w:t>operative</w:t>
      </w:r>
      <w:r w:rsidRPr="00300894">
        <w:t xml:space="preserve"> infection; steps were subsequently taken by the study investigators to ensure the s</w:t>
      </w:r>
      <w:r w:rsidR="00866EBB">
        <w:t>terility of the surgical suite.</w:t>
      </w:r>
    </w:p>
    <w:p w:rsidR="00300894" w:rsidRPr="00300894" w:rsidRDefault="00300894" w:rsidP="00866EBB">
      <w:pPr>
        <w:pStyle w:val="Heading5"/>
      </w:pPr>
      <w:r w:rsidRPr="00300894">
        <w:t>Systemic toxicity</w:t>
      </w:r>
    </w:p>
    <w:p w:rsidR="00300894" w:rsidRPr="00300894" w:rsidRDefault="00300894" w:rsidP="00300894">
      <w:r w:rsidRPr="00300894">
        <w:t>Systemic toxicity was investigated in both species, although the analysis was limited in most of the studies in rabbits (the exception being single</w:t>
      </w:r>
      <w:r w:rsidR="00D57E70">
        <w:t xml:space="preserve"> </w:t>
      </w:r>
      <w:r w:rsidRPr="00300894">
        <w:t>dose study P0701002). Dexamethasone was well tolerated in monkeys, with not clear systemic treatment</w:t>
      </w:r>
      <w:r w:rsidR="00D57E70">
        <w:t xml:space="preserve"> </w:t>
      </w:r>
      <w:r w:rsidRPr="00300894">
        <w:t>related effects up to an estimated relative exposure level of 3. Evidence of systemic toxicity was observed at all doses in all single</w:t>
      </w:r>
      <w:r w:rsidR="00D57E70">
        <w:t xml:space="preserve"> </w:t>
      </w:r>
      <w:r w:rsidRPr="00300894">
        <w:t>dose studies i</w:t>
      </w:r>
      <w:r w:rsidR="004E78A0">
        <w:t xml:space="preserve">n rabbits (relative exposure, 3 to </w:t>
      </w:r>
      <w:r w:rsidRPr="00300894">
        <w:t>18). The findings were generally consistent with corticosteroid treatment, and included reduced body weight gain, lymphoid depletion (reduced white blood cell counts and lymphoid atrophy of the thymus, spleen and lymph nodes) and liver changes (fatty change predominantly in females, elevated liver enzymes and cloudy swelling and hydropic degeneration). Reversibility was demonstrated for most systemic findings. In the 12</w:t>
      </w:r>
      <w:r w:rsidR="00D57E70">
        <w:t xml:space="preserve"> </w:t>
      </w:r>
      <w:r w:rsidRPr="00300894">
        <w:t>month rabbit study, there was suppression of body weight gain at the high</w:t>
      </w:r>
      <w:r w:rsidR="00D57E70">
        <w:t xml:space="preserve"> </w:t>
      </w:r>
      <w:r w:rsidRPr="00300894">
        <w:t xml:space="preserve">dose level (relative exposure, 6); </w:t>
      </w:r>
      <w:r w:rsidR="004E78A0" w:rsidRPr="00300894">
        <w:t>non</w:t>
      </w:r>
      <w:r w:rsidR="004E78A0">
        <w:t>-</w:t>
      </w:r>
      <w:r w:rsidR="004E78A0" w:rsidRPr="00300894">
        <w:t>ocular</w:t>
      </w:r>
      <w:r w:rsidRPr="00300894">
        <w:t xml:space="preserve"> tissues were not subjected to microscopic examination in this study.</w:t>
      </w:r>
    </w:p>
    <w:p w:rsidR="00300894" w:rsidRPr="00300894" w:rsidRDefault="00300894" w:rsidP="00866EBB">
      <w:pPr>
        <w:pStyle w:val="Heading4"/>
      </w:pPr>
      <w:bookmarkStart w:id="60" w:name="_Toc294861729"/>
      <w:r w:rsidRPr="00300894">
        <w:t>Genotoxicity</w:t>
      </w:r>
      <w:bookmarkEnd w:id="60"/>
      <w:r w:rsidRPr="00300894">
        <w:t xml:space="preserve">, carcinogenicity </w:t>
      </w:r>
      <w:r w:rsidR="00656BA4">
        <w:t>and</w:t>
      </w:r>
      <w:r w:rsidRPr="00300894">
        <w:t xml:space="preserve"> reproductive toxicity</w:t>
      </w:r>
    </w:p>
    <w:p w:rsidR="00300894" w:rsidRPr="00866EBB" w:rsidRDefault="00300894" w:rsidP="00866EBB">
      <w:r w:rsidRPr="00866EBB">
        <w:t>The sponsor did not submit any studies on genotoxicity, carcinogenicity or reproductive toxicity. This is considered acceptable in view of the long history of clinical use of dexamethasone, existing nonclinical data, and the limited systemic exposure in patients.</w:t>
      </w:r>
    </w:p>
    <w:p w:rsidR="00866EBB" w:rsidRPr="00866EBB" w:rsidRDefault="00866EBB" w:rsidP="00866EBB">
      <w:pPr>
        <w:pStyle w:val="Heading5"/>
      </w:pPr>
      <w:r w:rsidRPr="00866EBB">
        <w:lastRenderedPageBreak/>
        <w:t>Pregnancy classification</w:t>
      </w:r>
    </w:p>
    <w:p w:rsidR="00866EBB" w:rsidRPr="00866EBB" w:rsidRDefault="00866EBB" w:rsidP="00866EBB">
      <w:r w:rsidRPr="00866EBB">
        <w:t>The sponsor proposed Pregnancy Category B3</w:t>
      </w:r>
      <w:r w:rsidR="004E78A0">
        <w:rPr>
          <w:rStyle w:val="FootnoteReference"/>
        </w:rPr>
        <w:footnoteReference w:id="12"/>
      </w:r>
      <w:r w:rsidRPr="00866EBB">
        <w:t xml:space="preserve"> for Ozurdex. This is consistent with the category for an existing ocular dexamethasone product, </w:t>
      </w:r>
      <w:proofErr w:type="spellStart"/>
      <w:r w:rsidRPr="00866EBB">
        <w:t>Maxidex</w:t>
      </w:r>
      <w:proofErr w:type="spellEnd"/>
      <w:r w:rsidRPr="00866EBB">
        <w:t xml:space="preserve"> eye drops, and is supported.</w:t>
      </w:r>
    </w:p>
    <w:p w:rsidR="00866EBB" w:rsidRPr="00866EBB" w:rsidRDefault="00866EBB" w:rsidP="00866EBB">
      <w:r w:rsidRPr="00866EBB">
        <w:t>It is noted that there are other dexamethasone products that are in Category A (</w:t>
      </w:r>
      <w:proofErr w:type="spellStart"/>
      <w:r w:rsidRPr="00866EBB">
        <w:t>Dexmethsone</w:t>
      </w:r>
      <w:proofErr w:type="spellEnd"/>
      <w:r w:rsidRPr="00866EBB">
        <w:t xml:space="preserve"> tab</w:t>
      </w:r>
      <w:r w:rsidR="004E78A0">
        <w:t>lets) or C (</w:t>
      </w:r>
      <w:proofErr w:type="spellStart"/>
      <w:r w:rsidR="004E78A0">
        <w:t>Dexmethsone</w:t>
      </w:r>
      <w:proofErr w:type="spellEnd"/>
      <w:r w:rsidR="004E78A0">
        <w:t xml:space="preserve"> and DBL,</w:t>
      </w:r>
      <w:r w:rsidRPr="00866EBB">
        <w:t xml:space="preserve"> Dexamethasone sodium phosphate injection). The previously published TGA/ADEC Prescribing Medicines in Pregnancy booklet has given Category A</w:t>
      </w:r>
      <w:r w:rsidR="004E78A0">
        <w:rPr>
          <w:rStyle w:val="FootnoteReference"/>
        </w:rPr>
        <w:footnoteReference w:id="13"/>
      </w:r>
      <w:r w:rsidRPr="00866EBB">
        <w:t xml:space="preserve"> and C</w:t>
      </w:r>
      <w:r w:rsidR="004E78A0">
        <w:rPr>
          <w:rStyle w:val="FootnoteReference"/>
        </w:rPr>
        <w:footnoteReference w:id="14"/>
      </w:r>
      <w:r w:rsidRPr="00866EBB">
        <w:t xml:space="preserve"> for systemic dexamethasone in different editions. The available data support Category B3 as the appropriate category: there remains an outstanding concern for a risk of malformations (particularly cleft palate and cleft lip) with dexamethasone and other corticosteroids from human epidemiological studies</w:t>
      </w:r>
      <w:r w:rsidR="004E78A0">
        <w:rPr>
          <w:rStyle w:val="FootnoteReference"/>
        </w:rPr>
        <w:footnoteReference w:id="15"/>
      </w:r>
      <w:r w:rsidR="004E78A0">
        <w:t>,</w:t>
      </w:r>
      <w:r w:rsidR="004E78A0">
        <w:rPr>
          <w:rStyle w:val="FootnoteReference"/>
        </w:rPr>
        <w:footnoteReference w:id="16"/>
      </w:r>
      <w:r w:rsidR="004E78A0">
        <w:t>,</w:t>
      </w:r>
      <w:r w:rsidR="004E78A0">
        <w:rPr>
          <w:rStyle w:val="FootnoteReference"/>
        </w:rPr>
        <w:footnoteReference w:id="17"/>
      </w:r>
      <w:r w:rsidR="004E78A0">
        <w:t>,</w:t>
      </w:r>
      <w:r w:rsidR="004E78A0">
        <w:rPr>
          <w:rStyle w:val="FootnoteReference"/>
        </w:rPr>
        <w:footnoteReference w:id="18"/>
      </w:r>
      <w:r w:rsidR="004E78A0">
        <w:t xml:space="preserve">; </w:t>
      </w:r>
      <w:r w:rsidRPr="00866EBB">
        <w:t>a finding consistent with teratogenicity observed with the drug (and other corticosteroids) in multiple laboratory animal species, recognised to be associated with drug</w:t>
      </w:r>
      <w:r w:rsidR="00D57E70">
        <w:t xml:space="preserve"> </w:t>
      </w:r>
      <w:r w:rsidRPr="00866EBB">
        <w:t>induced disruption of cell proliferation and survival and protein signalling in developing tissues (</w:t>
      </w:r>
      <w:r w:rsidR="004E78A0">
        <w:t>for example, Hu et al.</w:t>
      </w:r>
      <w:r w:rsidR="004E78A0">
        <w:rPr>
          <w:rStyle w:val="FootnoteReference"/>
        </w:rPr>
        <w:footnoteReference w:id="19"/>
      </w:r>
      <w:r w:rsidRPr="00866EBB">
        <w:t>).</w:t>
      </w:r>
    </w:p>
    <w:p w:rsidR="00866EBB" w:rsidRPr="00866EBB" w:rsidRDefault="00866EBB" w:rsidP="00866EBB">
      <w:pPr>
        <w:pStyle w:val="Heading5"/>
      </w:pPr>
      <w:r w:rsidRPr="00866EBB">
        <w:t>Phototoxicity</w:t>
      </w:r>
    </w:p>
    <w:p w:rsidR="00866EBB" w:rsidRPr="00866EBB" w:rsidRDefault="00866EBB" w:rsidP="00866EBB">
      <w:r w:rsidRPr="00866EBB">
        <w:t>No study investigating phototoxicity was submitted. This is acceptable given that dexamethasone does not absorb light within the</w:t>
      </w:r>
      <w:r w:rsidR="007A22C1">
        <w:t xml:space="preserve"> range of natural sunlight (290 to </w:t>
      </w:r>
      <w:r w:rsidRPr="00866EBB">
        <w:t>700 nm), consistent with the applicable guideline</w:t>
      </w:r>
      <w:r w:rsidR="007A22C1">
        <w:t>.</w:t>
      </w:r>
      <w:r w:rsidR="007A22C1">
        <w:rPr>
          <w:rStyle w:val="FootnoteReference"/>
        </w:rPr>
        <w:footnoteReference w:id="20"/>
      </w:r>
    </w:p>
    <w:p w:rsidR="00866EBB" w:rsidRPr="00866EBB" w:rsidRDefault="00866EBB" w:rsidP="00866EBB">
      <w:r w:rsidRPr="00866EBB">
        <w:t>The proposed specification for the drug substance/product is considered to be acceptable from a nonclinical perspective.</w:t>
      </w:r>
    </w:p>
    <w:p w:rsidR="00866EBB" w:rsidRPr="00866EBB" w:rsidRDefault="00866EBB" w:rsidP="00866EBB">
      <w:pPr>
        <w:pStyle w:val="Heading4"/>
      </w:pPr>
      <w:r w:rsidRPr="00866EBB">
        <w:t>Paediatric use</w:t>
      </w:r>
    </w:p>
    <w:p w:rsidR="00A52683" w:rsidRDefault="00866EBB" w:rsidP="00C9747E">
      <w:r w:rsidRPr="00866EBB">
        <w:t>Ozurdex is not proposed for paediatric use; no studies in j</w:t>
      </w:r>
      <w:r w:rsidR="004E78A0">
        <w:t>uvenile animals were submitted.</w:t>
      </w:r>
    </w:p>
    <w:p w:rsidR="008E7846" w:rsidRDefault="008E7846" w:rsidP="008E7846">
      <w:pPr>
        <w:pStyle w:val="Heading3"/>
      </w:pPr>
      <w:bookmarkStart w:id="61" w:name="_Toc247691515"/>
      <w:bookmarkStart w:id="62" w:name="_Toc314842499"/>
      <w:bookmarkStart w:id="63" w:name="_Toc465939514"/>
      <w:r>
        <w:t>Nonclinical summary and conclusions</w:t>
      </w:r>
      <w:bookmarkEnd w:id="61"/>
      <w:bookmarkEnd w:id="62"/>
      <w:bookmarkEnd w:id="63"/>
    </w:p>
    <w:p w:rsidR="00A52683" w:rsidRDefault="00A52683" w:rsidP="00A52683">
      <w:pPr>
        <w:pStyle w:val="Heading4"/>
      </w:pPr>
      <w:r>
        <w:t>Summary</w:t>
      </w:r>
    </w:p>
    <w:p w:rsidR="00A52683" w:rsidRPr="00A52683" w:rsidRDefault="007A22C1" w:rsidP="00A52683">
      <w:pPr>
        <w:pStyle w:val="ListBullet"/>
      </w:pPr>
      <w:r>
        <w:t>The nonclinical dossier</w:t>
      </w:r>
      <w:r w:rsidR="00A52683" w:rsidRPr="00A52683">
        <w:t xml:space="preserve"> contained data on primary pharmacology (nonclinical efficacy), pharmacokinetics (absorption, distribution and metabolism), and general </w:t>
      </w:r>
      <w:r w:rsidR="00A52683" w:rsidRPr="00A52683">
        <w:lastRenderedPageBreak/>
        <w:t>toxicity after single and repeated intravitreal administration in animals. The nonclinical dossier was the same as that submitted in an earlier application to register this product for macular oedema due to central retinal vein occlusion or branch retinal vein occlusion, which was withdrawn by the sponsor following negative recommendations by the Clinical Evaluator and ACPM, and proposed rejection by the Delegate. The nonclinical studies were of adequate quality; all toxicity studies were conducted according to GLP.</w:t>
      </w:r>
    </w:p>
    <w:p w:rsidR="00A52683" w:rsidRPr="00A52683" w:rsidRDefault="00A52683" w:rsidP="00A52683">
      <w:pPr>
        <w:pStyle w:val="ListBullet"/>
      </w:pPr>
      <w:r w:rsidRPr="00A52683">
        <w:t>Of relevance to the proposed indication, intravitreal dexamethasone implants were shown to reduce vascular endothelial growth factor (VEGF)</w:t>
      </w:r>
      <w:r w:rsidR="00D57E70">
        <w:t xml:space="preserve"> </w:t>
      </w:r>
      <w:r w:rsidRPr="00A52683">
        <w:t>induced blood</w:t>
      </w:r>
      <w:r w:rsidR="00D57E70">
        <w:t xml:space="preserve"> </w:t>
      </w:r>
      <w:r w:rsidRPr="00A52683">
        <w:t>retinal barrier breakdown, blood</w:t>
      </w:r>
      <w:r w:rsidR="00D57E70">
        <w:t xml:space="preserve"> </w:t>
      </w:r>
      <w:r w:rsidRPr="00A52683">
        <w:t>aqueous barrier breakdown and retinal vasodilation/tortuosity in a rabbit model of macula oedema. The effect lasted for up to 6 weeks post</w:t>
      </w:r>
      <w:r w:rsidR="00D57E70">
        <w:t xml:space="preserve"> </w:t>
      </w:r>
      <w:r w:rsidRPr="00A52683">
        <w:t>dose. Adjusted for differences in vitreous humour volume across species, the doses used in the</w:t>
      </w:r>
      <w:r w:rsidR="007A22C1">
        <w:t xml:space="preserve"> nonclinical efficacy study are 1.3 to </w:t>
      </w:r>
      <w:r w:rsidRPr="00A52683">
        <w:t>2.7 times the proposed clinical dose.</w:t>
      </w:r>
    </w:p>
    <w:p w:rsidR="00A52683" w:rsidRPr="00A52683" w:rsidRDefault="00A52683" w:rsidP="00A52683">
      <w:pPr>
        <w:pStyle w:val="ListBullet"/>
      </w:pPr>
      <w:r w:rsidRPr="00A52683">
        <w:t>The time course for dexamethasone release from the implants appeared to be highly variable in animals (assessed in rabbits and monkeys). Mean peak dexamethasone concentrations were observed in the vitreous humour 14 days after implantation in rabbits and at 42 days post</w:t>
      </w:r>
      <w:r w:rsidR="00D57E70">
        <w:t xml:space="preserve"> </w:t>
      </w:r>
      <w:r w:rsidRPr="00A52683">
        <w:t>implantation in monkeys. Dexamethasone remained detectable in the monkey vitreous to 3 months post</w:t>
      </w:r>
      <w:r w:rsidR="00D57E70">
        <w:t xml:space="preserve"> </w:t>
      </w:r>
      <w:r w:rsidRPr="00A52683">
        <w:t>injection. No metabolism of dexamethasone was apparent in vitro in human ocular tissues or in vivo in the rabbit eye; negligible ocular metabolism of dexamethasone was observed in vivo in monkeys.</w:t>
      </w:r>
    </w:p>
    <w:p w:rsidR="00A52683" w:rsidRPr="00A52683" w:rsidRDefault="00A52683" w:rsidP="00A52683">
      <w:pPr>
        <w:pStyle w:val="ListBullet"/>
      </w:pPr>
      <w:r w:rsidRPr="00A52683">
        <w:t xml:space="preserve">Plasma levels of dexamethasone after intravitreal implantation in rabbits and monkeys were very low. Systemic exposure (plasma AUC) in animals was </w:t>
      </w:r>
      <w:r w:rsidR="005B2867">
        <w:t>approximately</w:t>
      </w:r>
      <w:r w:rsidR="007A22C1">
        <w:t xml:space="preserve">570 to </w:t>
      </w:r>
      <w:r w:rsidRPr="00A52683">
        <w:t>2</w:t>
      </w:r>
      <w:r w:rsidR="007A22C1">
        <w:t>,</w:t>
      </w:r>
      <w:r w:rsidRPr="00A52683">
        <w:t xml:space="preserve">300 times lower than that for vitreous humour and </w:t>
      </w:r>
      <w:r w:rsidR="005B2867">
        <w:t>approximately</w:t>
      </w:r>
      <w:r w:rsidR="007230AF">
        <w:t xml:space="preserve"> </w:t>
      </w:r>
      <w:r w:rsidRPr="00A52683">
        <w:t>2</w:t>
      </w:r>
      <w:r w:rsidR="007A22C1">
        <w:t xml:space="preserve">,250 to </w:t>
      </w:r>
      <w:r w:rsidRPr="00A52683">
        <w:t>3</w:t>
      </w:r>
      <w:r w:rsidR="007A22C1">
        <w:t>,</w:t>
      </w:r>
      <w:r w:rsidRPr="00A52683">
        <w:t>750 times lower than for retina.</w:t>
      </w:r>
    </w:p>
    <w:p w:rsidR="00A52683" w:rsidRPr="00A52683" w:rsidRDefault="00A52683" w:rsidP="00A52683">
      <w:pPr>
        <w:pStyle w:val="ListBullet"/>
      </w:pPr>
      <w:r w:rsidRPr="00A52683">
        <w:t>Three single</w:t>
      </w:r>
      <w:r w:rsidR="00D57E70">
        <w:t xml:space="preserve"> </w:t>
      </w:r>
      <w:r w:rsidRPr="00A52683">
        <w:t>dose toxicity studies</w:t>
      </w:r>
      <w:r w:rsidR="007A22C1">
        <w:t xml:space="preserve"> (with observation periods of 4 to </w:t>
      </w:r>
      <w:r w:rsidRPr="00A52683">
        <w:t>24 weeks) were conducted in rabbits, and repeat</w:t>
      </w:r>
      <w:r w:rsidR="00D57E70">
        <w:t xml:space="preserve"> </w:t>
      </w:r>
      <w:r w:rsidRPr="00A52683">
        <w:t xml:space="preserve">dose studies of 12 months duration (involving two implantations, 3 months apart) were conducted in rabbits and </w:t>
      </w:r>
      <w:proofErr w:type="spellStart"/>
      <w:r w:rsidRPr="00A52683">
        <w:t>cynomolgus</w:t>
      </w:r>
      <w:proofErr w:type="spellEnd"/>
      <w:r w:rsidRPr="00A52683">
        <w:t xml:space="preserve"> monkeys. The single</w:t>
      </w:r>
      <w:r w:rsidR="00D57E70">
        <w:t xml:space="preserve"> </w:t>
      </w:r>
      <w:r w:rsidRPr="00A52683">
        <w:t>dose studies involved surgical (</w:t>
      </w:r>
      <w:proofErr w:type="spellStart"/>
      <w:r w:rsidRPr="00A52683">
        <w:t>sclerotomy</w:t>
      </w:r>
      <w:proofErr w:type="spellEnd"/>
      <w:r w:rsidRPr="00A52683">
        <w:t>) implantation of earlier forms of the implant, while the repeat</w:t>
      </w:r>
      <w:r w:rsidR="00D57E70">
        <w:t xml:space="preserve"> </w:t>
      </w:r>
      <w:r w:rsidRPr="00A52683">
        <w:t>dose studies used the clinical form of the implant, administered using the clinical applicator system.</w:t>
      </w:r>
    </w:p>
    <w:p w:rsidR="00A52683" w:rsidRPr="00A52683" w:rsidRDefault="00A52683" w:rsidP="00A52683">
      <w:pPr>
        <w:pStyle w:val="ListBullet"/>
      </w:pPr>
      <w:r w:rsidRPr="00A52683">
        <w:t>Dexamethasone</w:t>
      </w:r>
      <w:r w:rsidR="00D57E70">
        <w:t xml:space="preserve"> </w:t>
      </w:r>
      <w:r w:rsidRPr="00A52683">
        <w:t>related ocular findings in rabbits comprised inflammatory cysts in single</w:t>
      </w:r>
      <w:r w:rsidR="00D57E70">
        <w:t xml:space="preserve"> </w:t>
      </w:r>
      <w:r w:rsidRPr="00A52683">
        <w:t>dose studies and the development of small opacities in the central area of the posterior cortex of the lens in the 12</w:t>
      </w:r>
      <w:r w:rsidR="00D57E70">
        <w:t xml:space="preserve"> </w:t>
      </w:r>
      <w:r w:rsidRPr="00A52683">
        <w:t xml:space="preserve">month study (estimated relative exposure, </w:t>
      </w:r>
      <w:r w:rsidR="007A22C1">
        <w:t xml:space="preserve">≥ </w:t>
      </w:r>
      <w:r w:rsidRPr="00A52683">
        <w:t>2.7 [based on dose adjusted for vitreous humour volume]). No dexamethasone</w:t>
      </w:r>
      <w:r w:rsidR="00D57E70">
        <w:t xml:space="preserve"> </w:t>
      </w:r>
      <w:r w:rsidRPr="00A52683">
        <w:t xml:space="preserve">related ocular toxicity was observed in monkeys (relative exposure, </w:t>
      </w:r>
      <w:r w:rsidR="00D57E70">
        <w:t>≤ 1</w:t>
      </w:r>
      <w:r w:rsidRPr="00A52683">
        <w:t>.3). Other ocular findings related to the implantation procedure or the physical presence of the implant itself. These included posterior capsular cataracts, focal inflammation, retinal disruption (including detachment and haemorrhage), vitreous opacity, haemorrhage, haziness, and pannus in the single</w:t>
      </w:r>
      <w:r w:rsidR="00D57E70">
        <w:t xml:space="preserve"> </w:t>
      </w:r>
      <w:r w:rsidRPr="00A52683">
        <w:t>dose studies in rabbits, and mixed cell infiltration of the eyelid in the repeat</w:t>
      </w:r>
      <w:r w:rsidR="00D57E70">
        <w:t xml:space="preserve"> </w:t>
      </w:r>
      <w:r w:rsidRPr="00A52683">
        <w:t>dose rabbit study; conjunctival congestion, swelling and discharge and fibroplasia/fibrosis of the implant site were observed in both species. There were no clear effects on intraocular pressure in either species.</w:t>
      </w:r>
    </w:p>
    <w:p w:rsidR="00A52683" w:rsidRDefault="00A52683" w:rsidP="00A52683">
      <w:pPr>
        <w:pStyle w:val="ListBullet"/>
      </w:pPr>
      <w:r w:rsidRPr="00A52683">
        <w:t xml:space="preserve">Systemic toxicity was evident in rabbits at estimated relative exposure levels </w:t>
      </w:r>
      <w:r w:rsidR="007A22C1">
        <w:t>≥ 3</w:t>
      </w:r>
      <w:r w:rsidRPr="00A52683">
        <w:t xml:space="preserve"> (based on dose adjusted for body surface area and assuming bilateral clinical administration). Findings were generally consistent with corticosteroid administration (reduced body weight gain, lymphoid depletion and liver findings [fatty change, elevated liver enzymes, cloudy swelling and hydropic degeneration]), and reversible upon cessation of dexamethasone exposure. There was no evidence of systemic toxicity in monkeys at doses estimated to yield up to 3 times</w:t>
      </w:r>
      <w:r w:rsidR="00FB35AC">
        <w:t xml:space="preserve"> the maximum clinical exposure.</w:t>
      </w:r>
    </w:p>
    <w:p w:rsidR="00A52683" w:rsidRPr="00A52683" w:rsidRDefault="00FB35AC" w:rsidP="00A52683">
      <w:pPr>
        <w:pStyle w:val="Heading4"/>
      </w:pPr>
      <w:bookmarkStart w:id="64" w:name="_Toc294861479"/>
      <w:bookmarkStart w:id="65" w:name="_Toc295290862"/>
      <w:bookmarkStart w:id="66" w:name="_Toc398037406"/>
      <w:r w:rsidRPr="00A52683">
        <w:lastRenderedPageBreak/>
        <w:t>Conclusions and recommendation</w:t>
      </w:r>
      <w:bookmarkEnd w:id="64"/>
      <w:bookmarkEnd w:id="65"/>
      <w:bookmarkEnd w:id="66"/>
    </w:p>
    <w:p w:rsidR="00B90B6E" w:rsidRPr="00B90B6E" w:rsidRDefault="00B90B6E" w:rsidP="00B90B6E">
      <w:pPr>
        <w:pStyle w:val="ListBullet"/>
      </w:pPr>
      <w:r w:rsidRPr="00B90B6E">
        <w:t>A nonclinical efficacy study in rabbits offers support for the use of the intravitreal implant in diabetic macular oedema.</w:t>
      </w:r>
    </w:p>
    <w:p w:rsidR="00B90B6E" w:rsidRPr="00B90B6E" w:rsidRDefault="00B90B6E" w:rsidP="00B90B6E">
      <w:pPr>
        <w:pStyle w:val="ListBullet"/>
      </w:pPr>
      <w:r w:rsidRPr="00B90B6E">
        <w:t xml:space="preserve">The major findings in the toxicity studies were ocular, and mostly related to the implantation procedure or the implant itself. A </w:t>
      </w:r>
      <w:r w:rsidR="007A22C1">
        <w:rPr>
          <w:rFonts w:asciiTheme="minorHAnsi" w:hAnsiTheme="minorHAnsi"/>
        </w:rPr>
        <w:t>no observable effect level</w:t>
      </w:r>
      <w:r w:rsidR="007A22C1" w:rsidRPr="00B90B6E">
        <w:t xml:space="preserve"> </w:t>
      </w:r>
      <w:r w:rsidR="007A22C1">
        <w:t>(</w:t>
      </w:r>
      <w:r w:rsidRPr="00B90B6E">
        <w:t>NOEL</w:t>
      </w:r>
      <w:r w:rsidR="007A22C1">
        <w:t>)</w:t>
      </w:r>
      <w:r w:rsidRPr="00B90B6E">
        <w:t xml:space="preserve"> was not established for posterior lens opacities in rabbits (attributable to dexamethasone; relative exposure at the </w:t>
      </w:r>
      <w:r w:rsidR="007A22C1">
        <w:t>lowest observable effect level (</w:t>
      </w:r>
      <w:r w:rsidRPr="00B90B6E">
        <w:t>LOEL</w:t>
      </w:r>
      <w:r w:rsidR="007A22C1">
        <w:t>)</w:t>
      </w:r>
      <w:r w:rsidRPr="00B90B6E">
        <w:t xml:space="preserve">, </w:t>
      </w:r>
      <w:r w:rsidR="007A22C1">
        <w:t>≥ 2</w:t>
      </w:r>
      <w:r w:rsidRPr="00B90B6E">
        <w:t xml:space="preserve">.7), although this was not seen in monkeys (relative exposure, </w:t>
      </w:r>
      <w:r w:rsidR="00D57E70">
        <w:t>≤ 1</w:t>
      </w:r>
      <w:r w:rsidRPr="00B90B6E">
        <w:t>.3). Ocular findings in the repeat</w:t>
      </w:r>
      <w:r w:rsidR="00D57E70">
        <w:t xml:space="preserve"> </w:t>
      </w:r>
      <w:r w:rsidRPr="00B90B6E">
        <w:t xml:space="preserve">dose studies are considered to be of potential significance in humans. Systemic toxicity in rabbits (relative exposure, </w:t>
      </w:r>
      <w:r w:rsidR="007A22C1">
        <w:t>≥ 3</w:t>
      </w:r>
      <w:r w:rsidRPr="00B90B6E">
        <w:t xml:space="preserve">) was consistent with corticosteroid administration. Ozurdex was well tolerated systemically in </w:t>
      </w:r>
      <w:r w:rsidR="007A22C1">
        <w:t xml:space="preserve">monkeys (relative exposure, 1.5 to </w:t>
      </w:r>
      <w:r w:rsidRPr="00B90B6E">
        <w:t>3).</w:t>
      </w:r>
    </w:p>
    <w:p w:rsidR="00B90B6E" w:rsidRPr="00B90B6E" w:rsidRDefault="00B90B6E" w:rsidP="00B90B6E">
      <w:pPr>
        <w:pStyle w:val="ListBullet"/>
      </w:pPr>
      <w:r w:rsidRPr="00B90B6E">
        <w:t>No safety pharmacology, reproductive toxicity, genotoxicity or carcinogenicity studies were submitted by the sponsor, which is acceptable given the long history of clinical use of dexamethasone, existing nonclinical data and the limited systemic exposure achieved in patients.</w:t>
      </w:r>
    </w:p>
    <w:p w:rsidR="00B90B6E" w:rsidRPr="00B90B6E" w:rsidRDefault="00B90B6E" w:rsidP="00C77A0F">
      <w:pPr>
        <w:pStyle w:val="ListBullet"/>
      </w:pPr>
      <w:r w:rsidRPr="00B90B6E">
        <w:t>No study on phototoxicity was submitted, but this is acceptable given the absence of absorption of relevant wavelengths of light by dexamethasone and that the drug does not bind to melanin.</w:t>
      </w:r>
    </w:p>
    <w:p w:rsidR="00B90B6E" w:rsidRDefault="00B90B6E" w:rsidP="00B90B6E">
      <w:pPr>
        <w:pStyle w:val="ListBullet"/>
      </w:pPr>
      <w:r w:rsidRPr="00B90B6E">
        <w:t>There are no nonclinical objections to the registration of Ozurdex provided that the ocular safety of the product is satisfactor</w:t>
      </w:r>
      <w:r w:rsidR="007A22C1">
        <w:t>ily addressed by clinical data.</w:t>
      </w:r>
    </w:p>
    <w:p w:rsidR="00B90B6E" w:rsidRDefault="00B90B6E" w:rsidP="00B90B6E">
      <w:pPr>
        <w:pStyle w:val="ListBullet"/>
      </w:pPr>
      <w:r w:rsidRPr="00B90B6E">
        <w:t xml:space="preserve">The </w:t>
      </w:r>
      <w:r>
        <w:t xml:space="preserve">nonclinical evaluator also made recommendations with regard to the </w:t>
      </w:r>
      <w:r w:rsidRPr="00B90B6E">
        <w:t xml:space="preserve">draft Product Information </w:t>
      </w:r>
      <w:r>
        <w:t xml:space="preserve">and the </w:t>
      </w:r>
      <w:r w:rsidRPr="00B90B6E">
        <w:t xml:space="preserve">Risk Management Plan </w:t>
      </w:r>
      <w:r>
        <w:t>but these are beyond the scope of the AusPAR</w:t>
      </w:r>
      <w:r w:rsidRPr="00B90B6E">
        <w:t>.</w:t>
      </w:r>
    </w:p>
    <w:p w:rsidR="00F561BF" w:rsidRDefault="00F561BF" w:rsidP="00F561BF">
      <w:pPr>
        <w:pStyle w:val="Heading4"/>
      </w:pPr>
      <w:r>
        <w:t>Additional nonclinical assessment</w:t>
      </w:r>
    </w:p>
    <w:p w:rsidR="00F561BF" w:rsidRPr="00F561BF" w:rsidRDefault="00F561BF" w:rsidP="00F561BF">
      <w:r w:rsidRPr="00F561BF">
        <w:t xml:space="preserve">Allergan Australia Pty Ltd provided an updated draft </w:t>
      </w:r>
      <w:r w:rsidR="00A44B86">
        <w:t>PI</w:t>
      </w:r>
      <w:r w:rsidRPr="00F561BF">
        <w:t xml:space="preserve"> document with their </w:t>
      </w:r>
      <w:r w:rsidR="00F5016C">
        <w:t>response to the TGA request for information</w:t>
      </w:r>
      <w:r w:rsidRPr="00F561BF">
        <w:t xml:space="preserve">. All changes to the PI that were requested by the </w:t>
      </w:r>
      <w:r w:rsidR="00F5016C" w:rsidRPr="00F561BF">
        <w:t>nonclinical e</w:t>
      </w:r>
      <w:r w:rsidRPr="00F561BF">
        <w:t>valuator in the first round report have been adopted by the sponsor with one exception.</w:t>
      </w:r>
    </w:p>
    <w:p w:rsidR="00F561BF" w:rsidRPr="00F561BF" w:rsidRDefault="00F561BF" w:rsidP="00F5016C">
      <w:pPr>
        <w:pStyle w:val="Heading5"/>
      </w:pPr>
      <w:r w:rsidRPr="00F561BF">
        <w:t>Pharmacokinetics</w:t>
      </w:r>
    </w:p>
    <w:p w:rsidR="00F561BF" w:rsidRPr="00F561BF" w:rsidRDefault="00F561BF" w:rsidP="00F5016C">
      <w:pPr>
        <w:pStyle w:val="Heading6"/>
      </w:pPr>
      <w:r w:rsidRPr="00F561BF">
        <w:t xml:space="preserve">Absorption and </w:t>
      </w:r>
      <w:r w:rsidR="00C77A0F">
        <w:t>d</w:t>
      </w:r>
      <w:r w:rsidRPr="00F561BF">
        <w:t>istribution</w:t>
      </w:r>
    </w:p>
    <w:p w:rsidR="00F561BF" w:rsidRPr="00F561BF" w:rsidRDefault="00F561BF" w:rsidP="00F561BF">
      <w:r w:rsidRPr="00F561BF">
        <w:t>The evaluator recommended that, in the absence of analogous ocular data for humans, information on vitreous concentrations of dexamethasone recorded in treated monkeys should be included in this section. The following text was recommended to be added:</w:t>
      </w:r>
    </w:p>
    <w:p w:rsidR="00F561BF" w:rsidRPr="00F561BF" w:rsidRDefault="00F561BF" w:rsidP="00F5016C">
      <w:pPr>
        <w:ind w:left="720"/>
      </w:pPr>
      <w:r w:rsidRPr="00F561BF">
        <w:t>“In monkeys, single intravitreal implantation of Ozurdex</w:t>
      </w:r>
      <w:r w:rsidR="00F5016C">
        <w:t xml:space="preserve"> </w:t>
      </w:r>
      <w:r w:rsidRPr="00F561BF">
        <w:t xml:space="preserve">700 </w:t>
      </w:r>
      <w:r w:rsidR="00F5016C">
        <w:t>µ</w:t>
      </w:r>
      <w:r w:rsidRPr="00F561BF">
        <w:t>g resulted in a peak concentration of dexamethasone in the vitreous humour (the half distal to the implant) of 100 ng/mL, observed 42 days post-injection. Dexamethasone remained detectable in the monkey vitreous to 3 months post-injection.”</w:t>
      </w:r>
    </w:p>
    <w:p w:rsidR="00F561BF" w:rsidRPr="00F561BF" w:rsidRDefault="00F561BF" w:rsidP="00F561BF">
      <w:r w:rsidRPr="00F561BF">
        <w:t>The spon</w:t>
      </w:r>
      <w:r w:rsidR="00F5016C">
        <w:t>sor proposed</w:t>
      </w:r>
      <w:r w:rsidRPr="00F561BF">
        <w:t xml:space="preserve"> the following alternative text for the PI:</w:t>
      </w:r>
    </w:p>
    <w:p w:rsidR="00F561BF" w:rsidRPr="00F561BF" w:rsidRDefault="00F561BF" w:rsidP="00F5016C">
      <w:pPr>
        <w:ind w:left="720"/>
      </w:pPr>
      <w:r w:rsidRPr="00F561BF">
        <w:t>“In monkeys, following single bilateral intra</w:t>
      </w:r>
      <w:r w:rsidR="00F5016C">
        <w:t>vitreal implantation of Ozurdex</w:t>
      </w:r>
      <w:r w:rsidRPr="00F561BF">
        <w:t xml:space="preserve"> 700 </w:t>
      </w:r>
      <w:r w:rsidR="00F5016C">
        <w:t>µ</w:t>
      </w:r>
      <w:r w:rsidRPr="00F561BF">
        <w:t>g, peak concentration of dexamethasone was obse</w:t>
      </w:r>
      <w:r w:rsidR="00F5016C">
        <w:t xml:space="preserve">rved in the retina 60 days post </w:t>
      </w:r>
      <w:r w:rsidRPr="00F561BF">
        <w:t>injection. Dexamethasone remained detectable in the monkey</w:t>
      </w:r>
      <w:r w:rsidR="00F5016C">
        <w:t xml:space="preserve"> retina for up to 7 months post </w:t>
      </w:r>
      <w:r w:rsidRPr="00F561BF">
        <w:t>injection.”</w:t>
      </w:r>
    </w:p>
    <w:p w:rsidR="00F561BF" w:rsidRPr="00F561BF" w:rsidRDefault="00F561BF" w:rsidP="00F561BF">
      <w:proofErr w:type="gramStart"/>
      <w:r w:rsidRPr="00F561BF">
        <w:t>and</w:t>
      </w:r>
      <w:proofErr w:type="gramEnd"/>
      <w:r w:rsidRPr="00F561BF">
        <w:t xml:space="preserve"> </w:t>
      </w:r>
      <w:r w:rsidR="00F5016C">
        <w:t xml:space="preserve">responded </w:t>
      </w:r>
      <w:r w:rsidRPr="00F561BF">
        <w:t>that:</w:t>
      </w:r>
    </w:p>
    <w:p w:rsidR="00F561BF" w:rsidRPr="00F561BF" w:rsidRDefault="00F561BF" w:rsidP="00F5016C">
      <w:pPr>
        <w:ind w:left="720"/>
      </w:pPr>
      <w:r w:rsidRPr="00F561BF">
        <w:t xml:space="preserve">“Using the drug product that was used in the Phase </w:t>
      </w:r>
      <w:r w:rsidR="00F5016C">
        <w:t>III</w:t>
      </w:r>
      <w:r w:rsidRPr="00F561BF">
        <w:t xml:space="preserve"> clinical studies, dexamethasone was detected in monkey eyes for 6 months </w:t>
      </w:r>
      <w:r w:rsidR="00F5016C">
        <w:t>(</w:t>
      </w:r>
      <w:r w:rsidRPr="00F561BF">
        <w:t>Report PK-07-095). The dexamethasone concentrations in vit</w:t>
      </w:r>
      <w:r w:rsidR="00F5016C">
        <w:t xml:space="preserve">reous humour were highest over Days 1 </w:t>
      </w:r>
      <w:r w:rsidR="00F5016C">
        <w:lastRenderedPageBreak/>
        <w:t xml:space="preserve">to 42 post </w:t>
      </w:r>
      <w:r w:rsidRPr="00F561BF">
        <w:t xml:space="preserve">intravitreal injection, declined relatively rapidly from days 43 to 90, and then declined gradually from days 91 to 180. At day 180, dexamethasone was still detectable </w:t>
      </w:r>
      <w:proofErr w:type="gramStart"/>
      <w:r w:rsidRPr="00F561BF">
        <w:t>at approximately 10 ng/</w:t>
      </w:r>
      <w:proofErr w:type="spellStart"/>
      <w:r w:rsidRPr="00F561BF">
        <w:t>mL</w:t>
      </w:r>
      <w:proofErr w:type="gramEnd"/>
      <w:r w:rsidRPr="00F561BF">
        <w:t>.</w:t>
      </w:r>
      <w:proofErr w:type="spellEnd"/>
      <w:r w:rsidRPr="00F561BF">
        <w:t xml:space="preserve"> The results in this study are also in general agreement with another study reported in the literature</w:t>
      </w:r>
      <w:r w:rsidR="00F5016C">
        <w:t>,</w:t>
      </w:r>
      <w:bookmarkStart w:id="67" w:name="_Ref460430256"/>
      <w:r w:rsidR="00F5016C">
        <w:rPr>
          <w:rStyle w:val="FootnoteReference"/>
        </w:rPr>
        <w:footnoteReference w:id="21"/>
      </w:r>
      <w:bookmarkEnd w:id="67"/>
      <w:r w:rsidRPr="00F561BF">
        <w:t xml:space="preserve"> where peak concentration was observe</w:t>
      </w:r>
      <w:r w:rsidR="00F5016C">
        <w:t xml:space="preserve">d in the retina at 60 days post </w:t>
      </w:r>
      <w:r w:rsidRPr="00F561BF">
        <w:t>injection, and dexamethasone was found to be detectable in monke</w:t>
      </w:r>
      <w:r w:rsidR="00F5016C">
        <w:t xml:space="preserve">y retina at up to 7 months post </w:t>
      </w:r>
      <w:r w:rsidRPr="00F561BF">
        <w:t>injection. Therefore, Allergan believes that the proposed amended statement more accurately reflects the preclinical data.”</w:t>
      </w:r>
    </w:p>
    <w:p w:rsidR="00F561BF" w:rsidRDefault="00F561BF" w:rsidP="00F561BF">
      <w:r w:rsidRPr="00F561BF">
        <w:t>The statement proposed by the evaluator is based on pharmac</w:t>
      </w:r>
      <w:r w:rsidR="007A22C1">
        <w:t>okinetic data reported in Study </w:t>
      </w:r>
      <w:r w:rsidRPr="00F561BF">
        <w:t>PK</w:t>
      </w:r>
      <w:r w:rsidRPr="00F561BF">
        <w:noBreakHyphen/>
        <w:t>06</w:t>
      </w:r>
      <w:r w:rsidRPr="00F561BF">
        <w:noBreakHyphen/>
        <w:t xml:space="preserve">113 (a sub-report of Study PK-06-115), involving single unilateral administration of implant (700 </w:t>
      </w:r>
      <w:r w:rsidR="00910CCD">
        <w:t>µ</w:t>
      </w:r>
      <w:r w:rsidR="007A22C1">
        <w:t>g</w:t>
      </w:r>
      <w:r w:rsidR="00385582">
        <w:t xml:space="preserve"> </w:t>
      </w:r>
      <w:r w:rsidR="001D6EFA">
        <w:t xml:space="preserve">clinical </w:t>
      </w:r>
      <w:r w:rsidR="00385582">
        <w:t>form</w:t>
      </w:r>
      <w:r w:rsidRPr="00F561BF">
        <w:t xml:space="preserve">) in </w:t>
      </w:r>
      <w:proofErr w:type="spellStart"/>
      <w:r w:rsidRPr="00F561BF">
        <w:t>cynomolgus</w:t>
      </w:r>
      <w:proofErr w:type="spellEnd"/>
      <w:r w:rsidRPr="00F561BF">
        <w:t xml:space="preserve"> monkeys. Data are summarised </w:t>
      </w:r>
      <w:r w:rsidR="00766289">
        <w:t>in Table 4.</w:t>
      </w:r>
    </w:p>
    <w:p w:rsidR="00A44B86" w:rsidRPr="00F561BF" w:rsidRDefault="00766289" w:rsidP="00A44B86">
      <w:pPr>
        <w:pStyle w:val="TableTitle"/>
      </w:pPr>
      <w:proofErr w:type="gramStart"/>
      <w:r>
        <w:t>Table 4</w:t>
      </w:r>
      <w:r w:rsidR="00A44B86">
        <w:t>.</w:t>
      </w:r>
      <w:proofErr w:type="gramEnd"/>
      <w:r w:rsidR="00A44B86">
        <w:t xml:space="preserve"> Summary data of Study </w:t>
      </w:r>
      <w:r w:rsidR="00A44B86" w:rsidRPr="00F561BF">
        <w:t>PK</w:t>
      </w:r>
      <w:r w:rsidR="00A44B86" w:rsidRPr="00F561BF">
        <w:noBreakHyphen/>
        <w:t>06</w:t>
      </w:r>
      <w:r w:rsidR="00A44B86" w:rsidRPr="00F561BF">
        <w:noBreakHyphen/>
        <w:t>113</w:t>
      </w:r>
    </w:p>
    <w:tbl>
      <w:tblPr>
        <w:tblStyle w:val="TableTGAblue"/>
        <w:tblW w:w="4900" w:type="pct"/>
        <w:tblLayout w:type="fixed"/>
        <w:tblLook w:val="04A0" w:firstRow="1" w:lastRow="0" w:firstColumn="1" w:lastColumn="0" w:noHBand="0" w:noVBand="1"/>
      </w:tblPr>
      <w:tblGrid>
        <w:gridCol w:w="1384"/>
        <w:gridCol w:w="1843"/>
        <w:gridCol w:w="1389"/>
        <w:gridCol w:w="939"/>
        <w:gridCol w:w="939"/>
        <w:gridCol w:w="1113"/>
        <w:gridCol w:w="939"/>
      </w:tblGrid>
      <w:tr w:rsidR="00F561BF" w:rsidRPr="00910CCD" w:rsidTr="00C77A0F">
        <w:trPr>
          <w:cnfStyle w:val="100000000000" w:firstRow="1" w:lastRow="0" w:firstColumn="0" w:lastColumn="0" w:oddVBand="0" w:evenVBand="0" w:oddHBand="0" w:evenHBand="0" w:firstRowFirstColumn="0" w:firstRowLastColumn="0" w:lastRowFirstColumn="0" w:lastRowLastColumn="0"/>
          <w:trHeight w:val="464"/>
        </w:trPr>
        <w:tc>
          <w:tcPr>
            <w:tcW w:w="3227" w:type="dxa"/>
            <w:gridSpan w:val="2"/>
          </w:tcPr>
          <w:p w:rsidR="00F561BF" w:rsidRPr="00910CCD" w:rsidRDefault="00F561BF" w:rsidP="00C77A0F">
            <w:pPr>
              <w:ind w:left="0"/>
            </w:pPr>
            <w:r w:rsidRPr="00910CCD">
              <w:t>Matrix</w:t>
            </w:r>
          </w:p>
        </w:tc>
        <w:tc>
          <w:tcPr>
            <w:tcW w:w="1389" w:type="dxa"/>
          </w:tcPr>
          <w:p w:rsidR="00F561BF" w:rsidRPr="00910CCD" w:rsidRDefault="00F561BF" w:rsidP="00C77A0F">
            <w:pPr>
              <w:ind w:left="34"/>
            </w:pPr>
            <w:proofErr w:type="spellStart"/>
            <w:r w:rsidRPr="00910CCD">
              <w:t>C</w:t>
            </w:r>
            <w:r w:rsidRPr="00910CCD">
              <w:rPr>
                <w:vertAlign w:val="subscript"/>
              </w:rPr>
              <w:t>max</w:t>
            </w:r>
            <w:proofErr w:type="spellEnd"/>
          </w:p>
        </w:tc>
        <w:tc>
          <w:tcPr>
            <w:tcW w:w="939" w:type="dxa"/>
          </w:tcPr>
          <w:p w:rsidR="00F561BF" w:rsidRPr="00910CCD" w:rsidRDefault="00F561BF" w:rsidP="00C77A0F">
            <w:pPr>
              <w:ind w:left="0"/>
            </w:pPr>
            <w:proofErr w:type="spellStart"/>
            <w:r w:rsidRPr="00910CCD">
              <w:t>T</w:t>
            </w:r>
            <w:r w:rsidRPr="00910CCD">
              <w:rPr>
                <w:vertAlign w:val="subscript"/>
              </w:rPr>
              <w:t>max</w:t>
            </w:r>
            <w:proofErr w:type="spellEnd"/>
          </w:p>
        </w:tc>
        <w:tc>
          <w:tcPr>
            <w:tcW w:w="939" w:type="dxa"/>
          </w:tcPr>
          <w:p w:rsidR="00F561BF" w:rsidRPr="00910CCD" w:rsidRDefault="00F561BF" w:rsidP="00C77A0F">
            <w:pPr>
              <w:ind w:left="62"/>
            </w:pPr>
            <w:r w:rsidRPr="00910CCD">
              <w:t>t</w:t>
            </w:r>
            <w:r w:rsidRPr="00910CCD">
              <w:rPr>
                <w:vertAlign w:val="subscript"/>
              </w:rPr>
              <w:t>½</w:t>
            </w:r>
          </w:p>
        </w:tc>
        <w:tc>
          <w:tcPr>
            <w:tcW w:w="1113" w:type="dxa"/>
          </w:tcPr>
          <w:p w:rsidR="00F561BF" w:rsidRPr="00910CCD" w:rsidRDefault="00F561BF" w:rsidP="00C77A0F">
            <w:pPr>
              <w:ind w:left="0"/>
            </w:pPr>
            <w:r w:rsidRPr="00910CCD">
              <w:t>C</w:t>
            </w:r>
            <w:r w:rsidRPr="00910CCD">
              <w:rPr>
                <w:vertAlign w:val="subscript"/>
              </w:rPr>
              <w:t>last</w:t>
            </w:r>
          </w:p>
        </w:tc>
        <w:tc>
          <w:tcPr>
            <w:tcW w:w="939" w:type="dxa"/>
          </w:tcPr>
          <w:p w:rsidR="00F561BF" w:rsidRPr="00910CCD" w:rsidRDefault="00F561BF" w:rsidP="00C77A0F">
            <w:pPr>
              <w:ind w:left="27"/>
            </w:pPr>
            <w:proofErr w:type="spellStart"/>
            <w:r w:rsidRPr="00910CCD">
              <w:t>T</w:t>
            </w:r>
            <w:r w:rsidRPr="00910CCD">
              <w:rPr>
                <w:vertAlign w:val="subscript"/>
              </w:rPr>
              <w:t>last</w:t>
            </w:r>
            <w:proofErr w:type="spellEnd"/>
          </w:p>
        </w:tc>
      </w:tr>
      <w:tr w:rsidR="00F561BF" w:rsidRPr="00910CCD" w:rsidTr="00C77A0F">
        <w:trPr>
          <w:trHeight w:val="284"/>
        </w:trPr>
        <w:tc>
          <w:tcPr>
            <w:tcW w:w="1384" w:type="dxa"/>
          </w:tcPr>
          <w:p w:rsidR="00F561BF" w:rsidRPr="00910CCD" w:rsidRDefault="00F561BF" w:rsidP="00C77A0F">
            <w:pPr>
              <w:ind w:left="0"/>
            </w:pPr>
            <w:r w:rsidRPr="00910CCD">
              <w:t>Vitreous humou</w:t>
            </w:r>
            <w:r w:rsidR="00910CCD">
              <w:t>r</w:t>
            </w:r>
          </w:p>
        </w:tc>
        <w:tc>
          <w:tcPr>
            <w:tcW w:w="1843" w:type="dxa"/>
          </w:tcPr>
          <w:p w:rsidR="00F561BF" w:rsidRPr="00910CCD" w:rsidRDefault="00F561BF" w:rsidP="00C77A0F">
            <w:pPr>
              <w:ind w:left="0"/>
            </w:pPr>
            <w:r w:rsidRPr="00910CCD">
              <w:t>(half distal to implant)</w:t>
            </w:r>
          </w:p>
        </w:tc>
        <w:tc>
          <w:tcPr>
            <w:tcW w:w="1389" w:type="dxa"/>
          </w:tcPr>
          <w:p w:rsidR="00F561BF" w:rsidRPr="00910CCD" w:rsidRDefault="00F561BF" w:rsidP="00C77A0F">
            <w:pPr>
              <w:ind w:left="34"/>
            </w:pPr>
            <w:r w:rsidRPr="00910CCD">
              <w:t>100 ng/mL</w:t>
            </w:r>
          </w:p>
        </w:tc>
        <w:tc>
          <w:tcPr>
            <w:tcW w:w="939" w:type="dxa"/>
          </w:tcPr>
          <w:p w:rsidR="00F561BF" w:rsidRPr="00910CCD" w:rsidRDefault="00F561BF" w:rsidP="00C77A0F">
            <w:pPr>
              <w:ind w:left="0"/>
            </w:pPr>
            <w:r w:rsidRPr="00910CCD">
              <w:t>day 42</w:t>
            </w:r>
          </w:p>
        </w:tc>
        <w:tc>
          <w:tcPr>
            <w:tcW w:w="939" w:type="dxa"/>
          </w:tcPr>
          <w:p w:rsidR="00F561BF" w:rsidRPr="00910CCD" w:rsidRDefault="00F561BF" w:rsidP="00C77A0F">
            <w:pPr>
              <w:ind w:left="62"/>
            </w:pPr>
            <w:r w:rsidRPr="00910CCD">
              <w:t>17.4 days</w:t>
            </w:r>
          </w:p>
        </w:tc>
        <w:tc>
          <w:tcPr>
            <w:tcW w:w="1113" w:type="dxa"/>
          </w:tcPr>
          <w:p w:rsidR="00F561BF" w:rsidRPr="00910CCD" w:rsidRDefault="00F561BF" w:rsidP="00C77A0F">
            <w:pPr>
              <w:ind w:left="0"/>
            </w:pPr>
            <w:r w:rsidRPr="00910CCD">
              <w:t>5.57 ng/mL</w:t>
            </w:r>
          </w:p>
        </w:tc>
        <w:tc>
          <w:tcPr>
            <w:tcW w:w="939" w:type="dxa"/>
          </w:tcPr>
          <w:p w:rsidR="00F561BF" w:rsidRPr="00910CCD" w:rsidRDefault="00F561BF" w:rsidP="00C77A0F">
            <w:pPr>
              <w:ind w:left="27"/>
            </w:pPr>
            <w:r w:rsidRPr="00910CCD">
              <w:t>day 91</w:t>
            </w:r>
          </w:p>
        </w:tc>
      </w:tr>
      <w:tr w:rsidR="00F561BF" w:rsidRPr="00910CCD" w:rsidTr="00C77A0F">
        <w:trPr>
          <w:trHeight w:val="284"/>
        </w:trPr>
        <w:tc>
          <w:tcPr>
            <w:tcW w:w="1384" w:type="dxa"/>
            <w:vMerge w:val="restart"/>
          </w:tcPr>
          <w:p w:rsidR="00F561BF" w:rsidRPr="00910CCD" w:rsidRDefault="00F561BF" w:rsidP="00C77A0F">
            <w:pPr>
              <w:ind w:left="0"/>
            </w:pPr>
            <w:r w:rsidRPr="00910CCD">
              <w:t>Retina</w:t>
            </w:r>
          </w:p>
        </w:tc>
        <w:tc>
          <w:tcPr>
            <w:tcW w:w="1843" w:type="dxa"/>
          </w:tcPr>
          <w:p w:rsidR="00F561BF" w:rsidRPr="00910CCD" w:rsidRDefault="00F561BF" w:rsidP="00C77A0F">
            <w:pPr>
              <w:ind w:left="0"/>
            </w:pPr>
            <w:r w:rsidRPr="00910CCD">
              <w:t>(half proximal to implant)</w:t>
            </w:r>
          </w:p>
        </w:tc>
        <w:tc>
          <w:tcPr>
            <w:tcW w:w="1389" w:type="dxa"/>
          </w:tcPr>
          <w:p w:rsidR="00F561BF" w:rsidRPr="00910CCD" w:rsidRDefault="00F561BF" w:rsidP="00C77A0F">
            <w:pPr>
              <w:ind w:left="34"/>
            </w:pPr>
            <w:r w:rsidRPr="00910CCD">
              <w:t xml:space="preserve">180 </w:t>
            </w:r>
            <w:r w:rsidR="00910CCD">
              <w:t>µ</w:t>
            </w:r>
            <w:r w:rsidRPr="00910CCD">
              <w:t>g/g</w:t>
            </w:r>
          </w:p>
        </w:tc>
        <w:tc>
          <w:tcPr>
            <w:tcW w:w="939" w:type="dxa"/>
          </w:tcPr>
          <w:p w:rsidR="00F561BF" w:rsidRPr="00910CCD" w:rsidRDefault="00F561BF" w:rsidP="00C77A0F">
            <w:pPr>
              <w:ind w:left="0"/>
            </w:pPr>
            <w:r w:rsidRPr="00910CCD">
              <w:t>day 21</w:t>
            </w:r>
          </w:p>
        </w:tc>
        <w:tc>
          <w:tcPr>
            <w:tcW w:w="939" w:type="dxa"/>
          </w:tcPr>
          <w:p w:rsidR="00F561BF" w:rsidRPr="00910CCD" w:rsidRDefault="00F561BF" w:rsidP="00C77A0F">
            <w:pPr>
              <w:ind w:left="62"/>
            </w:pPr>
            <w:r w:rsidRPr="00910CCD">
              <w:t>6.13 days</w:t>
            </w:r>
          </w:p>
        </w:tc>
        <w:tc>
          <w:tcPr>
            <w:tcW w:w="1113" w:type="dxa"/>
          </w:tcPr>
          <w:p w:rsidR="00F561BF" w:rsidRPr="00910CCD" w:rsidRDefault="00F561BF" w:rsidP="00C77A0F">
            <w:pPr>
              <w:ind w:left="0"/>
            </w:pPr>
            <w:r w:rsidRPr="00910CCD">
              <w:t>39.5 ng/g</w:t>
            </w:r>
          </w:p>
        </w:tc>
        <w:tc>
          <w:tcPr>
            <w:tcW w:w="939" w:type="dxa"/>
          </w:tcPr>
          <w:p w:rsidR="00F561BF" w:rsidRPr="00910CCD" w:rsidRDefault="00F561BF" w:rsidP="00C77A0F">
            <w:pPr>
              <w:ind w:left="27"/>
            </w:pPr>
            <w:r w:rsidRPr="00910CCD">
              <w:t>day 91</w:t>
            </w:r>
          </w:p>
        </w:tc>
      </w:tr>
      <w:tr w:rsidR="00F561BF" w:rsidRPr="00910CCD" w:rsidTr="00C77A0F">
        <w:trPr>
          <w:trHeight w:val="284"/>
        </w:trPr>
        <w:tc>
          <w:tcPr>
            <w:tcW w:w="1384" w:type="dxa"/>
            <w:vMerge/>
          </w:tcPr>
          <w:p w:rsidR="00F561BF" w:rsidRPr="00910CCD" w:rsidRDefault="00F561BF" w:rsidP="00C77A0F">
            <w:pPr>
              <w:ind w:left="0"/>
            </w:pPr>
          </w:p>
        </w:tc>
        <w:tc>
          <w:tcPr>
            <w:tcW w:w="1843" w:type="dxa"/>
          </w:tcPr>
          <w:p w:rsidR="00F561BF" w:rsidRPr="00910CCD" w:rsidRDefault="00F561BF" w:rsidP="00C77A0F">
            <w:pPr>
              <w:ind w:left="0"/>
            </w:pPr>
            <w:r w:rsidRPr="00910CCD">
              <w:t>(half distal to implant)</w:t>
            </w:r>
          </w:p>
        </w:tc>
        <w:tc>
          <w:tcPr>
            <w:tcW w:w="1389" w:type="dxa"/>
          </w:tcPr>
          <w:p w:rsidR="00F561BF" w:rsidRPr="00910CCD" w:rsidRDefault="00F561BF" w:rsidP="00C77A0F">
            <w:pPr>
              <w:ind w:left="34"/>
            </w:pPr>
            <w:r w:rsidRPr="00910CCD">
              <w:t>399 ng/g</w:t>
            </w:r>
          </w:p>
        </w:tc>
        <w:tc>
          <w:tcPr>
            <w:tcW w:w="939" w:type="dxa"/>
          </w:tcPr>
          <w:p w:rsidR="00F561BF" w:rsidRPr="00910CCD" w:rsidRDefault="00F561BF" w:rsidP="00C77A0F">
            <w:pPr>
              <w:ind w:left="0"/>
            </w:pPr>
            <w:r w:rsidRPr="00910CCD">
              <w:t>day 42</w:t>
            </w:r>
          </w:p>
        </w:tc>
        <w:tc>
          <w:tcPr>
            <w:tcW w:w="939" w:type="dxa"/>
          </w:tcPr>
          <w:p w:rsidR="00F561BF" w:rsidRPr="00910CCD" w:rsidRDefault="00F561BF" w:rsidP="00C77A0F">
            <w:pPr>
              <w:ind w:left="62"/>
            </w:pPr>
            <w:r w:rsidRPr="00910CCD">
              <w:t>18.1 days</w:t>
            </w:r>
          </w:p>
        </w:tc>
        <w:tc>
          <w:tcPr>
            <w:tcW w:w="1113" w:type="dxa"/>
          </w:tcPr>
          <w:p w:rsidR="00F561BF" w:rsidRPr="00910CCD" w:rsidRDefault="00F561BF" w:rsidP="00C77A0F">
            <w:pPr>
              <w:ind w:left="0"/>
            </w:pPr>
            <w:r w:rsidRPr="00910CCD">
              <w:t>27.3 ng/g</w:t>
            </w:r>
          </w:p>
        </w:tc>
        <w:tc>
          <w:tcPr>
            <w:tcW w:w="939" w:type="dxa"/>
          </w:tcPr>
          <w:p w:rsidR="00F561BF" w:rsidRPr="00910CCD" w:rsidRDefault="00F561BF" w:rsidP="00C77A0F">
            <w:pPr>
              <w:ind w:left="27"/>
            </w:pPr>
            <w:r w:rsidRPr="00910CCD">
              <w:t>day 91</w:t>
            </w:r>
          </w:p>
        </w:tc>
      </w:tr>
    </w:tbl>
    <w:p w:rsidR="00F561BF" w:rsidRPr="00F561BF" w:rsidRDefault="00C95AA2" w:rsidP="00910CCD">
      <w:pPr>
        <w:pStyle w:val="TableDescription"/>
      </w:pPr>
      <w:r>
        <w:t>S</w:t>
      </w:r>
      <w:r w:rsidR="00F561BF" w:rsidRPr="00F561BF">
        <w:t xml:space="preserve">ampling at 1, 7, 14, 21, 42, 91, </w:t>
      </w:r>
      <w:r w:rsidR="00910CCD">
        <w:t>137 and 182 D</w:t>
      </w:r>
      <w:r w:rsidR="00F561BF" w:rsidRPr="00F561BF">
        <w:t xml:space="preserve">ays post-dose; </w:t>
      </w:r>
      <w:r w:rsidR="007A22C1">
        <w:rPr>
          <w:rFonts w:asciiTheme="minorHAnsi" w:hAnsiTheme="minorHAnsi"/>
        </w:rPr>
        <w:t>lower limit of quantitation</w:t>
      </w:r>
      <w:r w:rsidR="007A22C1" w:rsidRPr="00F561BF">
        <w:t xml:space="preserve"> </w:t>
      </w:r>
      <w:r w:rsidR="007A22C1">
        <w:t>(</w:t>
      </w:r>
      <w:proofErr w:type="spellStart"/>
      <w:r w:rsidR="00F561BF" w:rsidRPr="00F561BF">
        <w:t>LLoQ</w:t>
      </w:r>
      <w:proofErr w:type="spellEnd"/>
      <w:r w:rsidR="007A22C1">
        <w:t>)</w:t>
      </w:r>
      <w:r w:rsidR="00F561BF" w:rsidRPr="00F561BF">
        <w:t xml:space="preserve">: </w:t>
      </w:r>
      <w:proofErr w:type="gramStart"/>
      <w:r w:rsidR="00F561BF" w:rsidRPr="00F561BF">
        <w:t>0.5 ng/mL for vitreous humour</w:t>
      </w:r>
      <w:proofErr w:type="gramEnd"/>
      <w:r w:rsidR="00F561BF" w:rsidRPr="00F561BF">
        <w:t xml:space="preserve"> </w:t>
      </w:r>
      <w:r w:rsidR="00910CCD">
        <w:t>and</w:t>
      </w:r>
      <w:r w:rsidR="00F561BF" w:rsidRPr="00F561BF">
        <w:t xml:space="preserve"> 0.1 ng/g for retina</w:t>
      </w:r>
      <w:r w:rsidR="00910CCD">
        <w:t>.</w:t>
      </w:r>
    </w:p>
    <w:p w:rsidR="00F561BF" w:rsidRDefault="00F561BF" w:rsidP="00F561BF">
      <w:r w:rsidRPr="00F561BF">
        <w:t>The sponsor refers to pharmacokinetic data reported in Study PK</w:t>
      </w:r>
      <w:r w:rsidRPr="00F561BF">
        <w:noBreakHyphen/>
        <w:t>07-095 (another sub-report of Study PK</w:t>
      </w:r>
      <w:r w:rsidRPr="00F561BF">
        <w:noBreakHyphen/>
        <w:t xml:space="preserve">06-115). This study included data for the quantification of dexamethasone in the half of the vitreous humour proximal to the implant; distal samples from the same animals were analysed in the study above. These data are summarised </w:t>
      </w:r>
      <w:r w:rsidR="00766289">
        <w:t>in Table 5.</w:t>
      </w:r>
    </w:p>
    <w:p w:rsidR="00A44B86" w:rsidRPr="00F561BF" w:rsidRDefault="00766289" w:rsidP="00A44B86">
      <w:pPr>
        <w:pStyle w:val="TableTitle"/>
      </w:pPr>
      <w:proofErr w:type="gramStart"/>
      <w:r>
        <w:t>Table 5.</w:t>
      </w:r>
      <w:proofErr w:type="gramEnd"/>
      <w:r w:rsidR="00A44B86">
        <w:t xml:space="preserve"> Pharmacokinetic data reported from Study </w:t>
      </w:r>
      <w:r w:rsidR="00A44B86" w:rsidRPr="00F561BF">
        <w:t>PK</w:t>
      </w:r>
      <w:r w:rsidR="00A44B86" w:rsidRPr="00F561BF">
        <w:noBreakHyphen/>
        <w:t>07-095</w:t>
      </w:r>
    </w:p>
    <w:tbl>
      <w:tblPr>
        <w:tblStyle w:val="TableTGAblue"/>
        <w:tblW w:w="4900" w:type="pct"/>
        <w:tblLayout w:type="fixed"/>
        <w:tblLook w:val="04A0" w:firstRow="1" w:lastRow="0" w:firstColumn="1" w:lastColumn="0" w:noHBand="0" w:noVBand="1"/>
      </w:tblPr>
      <w:tblGrid>
        <w:gridCol w:w="1467"/>
        <w:gridCol w:w="2040"/>
        <w:gridCol w:w="1112"/>
        <w:gridCol w:w="938"/>
        <w:gridCol w:w="938"/>
        <w:gridCol w:w="1113"/>
        <w:gridCol w:w="938"/>
      </w:tblGrid>
      <w:tr w:rsidR="00F561BF" w:rsidRPr="00A44B86" w:rsidTr="00A44B86">
        <w:trPr>
          <w:cnfStyle w:val="100000000000" w:firstRow="1" w:lastRow="0" w:firstColumn="0" w:lastColumn="0" w:oddVBand="0" w:evenVBand="0" w:oddHBand="0" w:evenHBand="0" w:firstRowFirstColumn="0" w:firstRowLastColumn="0" w:lastRowFirstColumn="0" w:lastRowLastColumn="0"/>
          <w:trHeight w:val="227"/>
        </w:trPr>
        <w:tc>
          <w:tcPr>
            <w:tcW w:w="3879" w:type="dxa"/>
            <w:gridSpan w:val="2"/>
          </w:tcPr>
          <w:p w:rsidR="00F561BF" w:rsidRPr="00A44B86" w:rsidRDefault="00F561BF" w:rsidP="00C77A0F">
            <w:pPr>
              <w:ind w:left="0"/>
            </w:pPr>
            <w:r w:rsidRPr="00A44B86">
              <w:t>Matrix</w:t>
            </w:r>
          </w:p>
        </w:tc>
        <w:tc>
          <w:tcPr>
            <w:tcW w:w="1220" w:type="dxa"/>
          </w:tcPr>
          <w:p w:rsidR="00F561BF" w:rsidRPr="00A44B86" w:rsidRDefault="00F561BF" w:rsidP="00C77A0F">
            <w:pPr>
              <w:ind w:left="0"/>
            </w:pPr>
            <w:proofErr w:type="spellStart"/>
            <w:r w:rsidRPr="00A44B86">
              <w:t>C</w:t>
            </w:r>
            <w:r w:rsidRPr="00A44B86">
              <w:rPr>
                <w:vertAlign w:val="subscript"/>
              </w:rPr>
              <w:t>max</w:t>
            </w:r>
            <w:proofErr w:type="spellEnd"/>
          </w:p>
        </w:tc>
        <w:tc>
          <w:tcPr>
            <w:tcW w:w="1024" w:type="dxa"/>
          </w:tcPr>
          <w:p w:rsidR="00F561BF" w:rsidRPr="00A44B86" w:rsidRDefault="00F561BF" w:rsidP="00BA14B0">
            <w:pPr>
              <w:ind w:left="37"/>
            </w:pPr>
            <w:proofErr w:type="spellStart"/>
            <w:r w:rsidRPr="00A44B86">
              <w:t>T</w:t>
            </w:r>
            <w:r w:rsidRPr="00A44B86">
              <w:rPr>
                <w:vertAlign w:val="subscript"/>
              </w:rPr>
              <w:t>max</w:t>
            </w:r>
            <w:proofErr w:type="spellEnd"/>
          </w:p>
        </w:tc>
        <w:tc>
          <w:tcPr>
            <w:tcW w:w="1024" w:type="dxa"/>
          </w:tcPr>
          <w:p w:rsidR="00F561BF" w:rsidRPr="00A44B86" w:rsidRDefault="00F561BF" w:rsidP="00BA14B0">
            <w:pPr>
              <w:ind w:left="0"/>
            </w:pPr>
            <w:r w:rsidRPr="00A44B86">
              <w:t>t½</w:t>
            </w:r>
          </w:p>
        </w:tc>
        <w:tc>
          <w:tcPr>
            <w:tcW w:w="1221" w:type="dxa"/>
          </w:tcPr>
          <w:p w:rsidR="00F561BF" w:rsidRPr="00A44B86" w:rsidRDefault="00F561BF" w:rsidP="00BA14B0">
            <w:pPr>
              <w:ind w:left="113"/>
            </w:pPr>
            <w:r w:rsidRPr="00A44B86">
              <w:t>C</w:t>
            </w:r>
            <w:r w:rsidRPr="00A44B86">
              <w:rPr>
                <w:vertAlign w:val="subscript"/>
              </w:rPr>
              <w:t>last</w:t>
            </w:r>
          </w:p>
        </w:tc>
        <w:tc>
          <w:tcPr>
            <w:tcW w:w="1024" w:type="dxa"/>
          </w:tcPr>
          <w:p w:rsidR="00F561BF" w:rsidRPr="00A44B86" w:rsidRDefault="00F561BF" w:rsidP="00BA14B0">
            <w:pPr>
              <w:ind w:left="26"/>
            </w:pPr>
            <w:proofErr w:type="spellStart"/>
            <w:r w:rsidRPr="00A44B86">
              <w:t>T</w:t>
            </w:r>
            <w:r w:rsidRPr="00A44B86">
              <w:rPr>
                <w:vertAlign w:val="subscript"/>
              </w:rPr>
              <w:t>last</w:t>
            </w:r>
            <w:proofErr w:type="spellEnd"/>
          </w:p>
        </w:tc>
      </w:tr>
      <w:tr w:rsidR="00F561BF" w:rsidRPr="00A44B86" w:rsidTr="00A44B86">
        <w:trPr>
          <w:trHeight w:val="284"/>
        </w:trPr>
        <w:tc>
          <w:tcPr>
            <w:tcW w:w="1618" w:type="dxa"/>
          </w:tcPr>
          <w:p w:rsidR="00F561BF" w:rsidRPr="00A44B86" w:rsidRDefault="00A44B86" w:rsidP="00C77A0F">
            <w:pPr>
              <w:ind w:left="0"/>
            </w:pPr>
            <w:r>
              <w:t>Vitreous humour</w:t>
            </w:r>
          </w:p>
        </w:tc>
        <w:tc>
          <w:tcPr>
            <w:tcW w:w="2261" w:type="dxa"/>
          </w:tcPr>
          <w:p w:rsidR="00F561BF" w:rsidRPr="00A44B86" w:rsidRDefault="00F561BF" w:rsidP="00C77A0F">
            <w:pPr>
              <w:ind w:left="0"/>
            </w:pPr>
            <w:r w:rsidRPr="00A44B86">
              <w:t>(half proximal to implant)</w:t>
            </w:r>
          </w:p>
        </w:tc>
        <w:tc>
          <w:tcPr>
            <w:tcW w:w="1220" w:type="dxa"/>
          </w:tcPr>
          <w:p w:rsidR="00F561BF" w:rsidRPr="00A44B86" w:rsidRDefault="00F561BF" w:rsidP="00C77A0F">
            <w:pPr>
              <w:ind w:left="0"/>
            </w:pPr>
            <w:r w:rsidRPr="00A44B86">
              <w:t xml:space="preserve">536 </w:t>
            </w:r>
            <w:proofErr w:type="spellStart"/>
            <w:r w:rsidRPr="00A44B86">
              <w:t>μg</w:t>
            </w:r>
            <w:proofErr w:type="spellEnd"/>
            <w:r w:rsidRPr="00A44B86">
              <w:t>/mL</w:t>
            </w:r>
          </w:p>
        </w:tc>
        <w:tc>
          <w:tcPr>
            <w:tcW w:w="1024" w:type="dxa"/>
          </w:tcPr>
          <w:p w:rsidR="00F561BF" w:rsidRPr="00A44B86" w:rsidRDefault="00F561BF" w:rsidP="00BA14B0">
            <w:pPr>
              <w:ind w:left="37"/>
            </w:pPr>
            <w:r w:rsidRPr="00A44B86">
              <w:t>day 1</w:t>
            </w:r>
          </w:p>
        </w:tc>
        <w:tc>
          <w:tcPr>
            <w:tcW w:w="1024" w:type="dxa"/>
          </w:tcPr>
          <w:p w:rsidR="00F561BF" w:rsidRPr="00A44B86" w:rsidRDefault="00F561BF" w:rsidP="00BA14B0">
            <w:pPr>
              <w:ind w:left="0"/>
            </w:pPr>
            <w:r w:rsidRPr="00A44B86">
              <w:t>–</w:t>
            </w:r>
          </w:p>
        </w:tc>
        <w:tc>
          <w:tcPr>
            <w:tcW w:w="1221" w:type="dxa"/>
          </w:tcPr>
          <w:p w:rsidR="00F561BF" w:rsidRPr="00A44B86" w:rsidRDefault="00F561BF" w:rsidP="00BA14B0">
            <w:pPr>
              <w:ind w:left="113"/>
            </w:pPr>
            <w:r w:rsidRPr="00A44B86">
              <w:t>12.6 ng/mL</w:t>
            </w:r>
          </w:p>
        </w:tc>
        <w:tc>
          <w:tcPr>
            <w:tcW w:w="1024" w:type="dxa"/>
          </w:tcPr>
          <w:p w:rsidR="00F561BF" w:rsidRPr="00A44B86" w:rsidRDefault="00F561BF" w:rsidP="00BA14B0">
            <w:pPr>
              <w:ind w:left="26"/>
            </w:pPr>
            <w:r w:rsidRPr="00A44B86">
              <w:t>182 days</w:t>
            </w:r>
          </w:p>
        </w:tc>
      </w:tr>
    </w:tbl>
    <w:p w:rsidR="00F561BF" w:rsidRPr="00F561BF" w:rsidRDefault="00C95AA2" w:rsidP="00A44B86">
      <w:pPr>
        <w:pStyle w:val="TableDescription"/>
      </w:pPr>
      <w:r>
        <w:t>S</w:t>
      </w:r>
      <w:r w:rsidR="00F561BF" w:rsidRPr="00F561BF">
        <w:t>amplin</w:t>
      </w:r>
      <w:r w:rsidR="00A44B86">
        <w:t>g at 1, 7, 14, 21, 42, 91, 137 and 182 D</w:t>
      </w:r>
      <w:r w:rsidR="00F561BF" w:rsidRPr="00F561BF">
        <w:t xml:space="preserve">ays post-dose; – = not reported; </w:t>
      </w:r>
      <w:proofErr w:type="spellStart"/>
      <w:r w:rsidR="00F561BF" w:rsidRPr="00F561BF">
        <w:t>LLoQ</w:t>
      </w:r>
      <w:proofErr w:type="spellEnd"/>
      <w:r w:rsidR="00F561BF" w:rsidRPr="00F561BF">
        <w:t xml:space="preserve">: </w:t>
      </w:r>
      <w:proofErr w:type="gramStart"/>
      <w:r w:rsidR="00F561BF" w:rsidRPr="00F561BF">
        <w:t>0.5 ng/mL for vitreous humour</w:t>
      </w:r>
      <w:proofErr w:type="gramEnd"/>
    </w:p>
    <w:p w:rsidR="00F561BF" w:rsidRPr="00F561BF" w:rsidRDefault="00F561BF" w:rsidP="00F561BF">
      <w:r w:rsidRPr="00F561BF">
        <w:t>Study PK</w:t>
      </w:r>
      <w:r w:rsidRPr="00F561BF">
        <w:noBreakHyphen/>
        <w:t xml:space="preserve">07-095 states that single unilateral intravitreal implantation (700 </w:t>
      </w:r>
      <w:r w:rsidR="00A44B86">
        <w:t>µ</w:t>
      </w:r>
      <w:r w:rsidRPr="00F561BF">
        <w:t xml:space="preserve">g dexamethasone) in </w:t>
      </w:r>
      <w:proofErr w:type="spellStart"/>
      <w:r w:rsidRPr="00F561BF">
        <w:t>cynomolgus</w:t>
      </w:r>
      <w:proofErr w:type="spellEnd"/>
      <w:r w:rsidRPr="00F561BF">
        <w:t xml:space="preserve"> monkey resulted in vitreous humour drug concentrations that “declined exponentially </w:t>
      </w:r>
      <w:proofErr w:type="gramStart"/>
      <w:r w:rsidRPr="00F561BF">
        <w:t>from 536</w:t>
      </w:r>
      <w:r w:rsidR="00A44B86">
        <w:t>,</w:t>
      </w:r>
      <w:r w:rsidRPr="00F561BF">
        <w:t>0</w:t>
      </w:r>
      <w:r w:rsidR="00A44B86">
        <w:t>00 ng/mL (24.2% released)</w:t>
      </w:r>
      <w:proofErr w:type="gramEnd"/>
      <w:r w:rsidR="00A44B86">
        <w:t xml:space="preserve"> at 1 D</w:t>
      </w:r>
      <w:r w:rsidRPr="00F561BF">
        <w:t>ay post</w:t>
      </w:r>
      <w:r w:rsidR="00766289">
        <w:t xml:space="preserve"> </w:t>
      </w:r>
      <w:r w:rsidRPr="00F561BF">
        <w:t>dose to 330</w:t>
      </w:r>
      <w:r w:rsidR="00A44B86">
        <w:t>,</w:t>
      </w:r>
      <w:r w:rsidRPr="00F561BF">
        <w:t>000 ng/</w:t>
      </w:r>
      <w:r w:rsidR="00A44B86">
        <w:t>mL (48.4% dose released) by 42 D</w:t>
      </w:r>
      <w:r w:rsidRPr="00F561BF">
        <w:t xml:space="preserve">ays </w:t>
      </w:r>
      <w:r w:rsidR="00766289" w:rsidRPr="00F561BF">
        <w:t>post dose</w:t>
      </w:r>
      <w:r w:rsidRPr="00F561BF">
        <w:t xml:space="preserve"> to 37.6 ng</w:t>
      </w:r>
      <w:r w:rsidR="00A44B86">
        <w:t>/mL (100% dose released) by 91 D</w:t>
      </w:r>
      <w:r w:rsidRPr="00F561BF">
        <w:t xml:space="preserve">ays </w:t>
      </w:r>
      <w:r w:rsidR="00766289" w:rsidRPr="00F561BF">
        <w:t>post dose</w:t>
      </w:r>
      <w:r w:rsidRPr="00F561BF">
        <w:t>”</w:t>
      </w:r>
      <w:r w:rsidR="00A44B86">
        <w:t>.</w:t>
      </w:r>
      <w:r w:rsidRPr="00F561BF">
        <w:t xml:space="preserve"> A figure </w:t>
      </w:r>
      <w:r w:rsidR="00A44B86">
        <w:t>(Figure</w:t>
      </w:r>
      <w:r w:rsidR="00204D08">
        <w:t>5</w:t>
      </w:r>
      <w:r w:rsidR="00A44B86">
        <w:t xml:space="preserve">) </w:t>
      </w:r>
      <w:r w:rsidRPr="00F561BF">
        <w:t xml:space="preserve">showing the in vivo release profile is reproduced below. The study authors concluded that “dexamethasone was released from [the implant] in monkeys up to </w:t>
      </w:r>
      <w:r w:rsidR="00A44B86">
        <w:t xml:space="preserve">approximately </w:t>
      </w:r>
      <w:r w:rsidRPr="00F561BF">
        <w:t xml:space="preserve">3 months with low dexamethasone concentration </w:t>
      </w:r>
      <w:r w:rsidR="001D1245">
        <w:t>in the vitreous up to 6 months.”</w:t>
      </w:r>
    </w:p>
    <w:p w:rsidR="00F561BF" w:rsidRDefault="00766289" w:rsidP="00F561BF">
      <w:pPr>
        <w:pStyle w:val="FigureTitle"/>
      </w:pPr>
      <w:proofErr w:type="gramStart"/>
      <w:r>
        <w:lastRenderedPageBreak/>
        <w:t>Figure 5.</w:t>
      </w:r>
      <w:proofErr w:type="gramEnd"/>
      <w:r w:rsidR="00F561BF">
        <w:t xml:space="preserve"> Percent of dexamethasone released for DEX PS DDS over time for 700 µg DEX PS DDS in monkeys</w:t>
      </w:r>
    </w:p>
    <w:p w:rsidR="00F561BF" w:rsidRDefault="00F561BF" w:rsidP="00BA14B0">
      <w:r>
        <w:rPr>
          <w:noProof/>
          <w:lang w:eastAsia="en-AU"/>
        </w:rPr>
        <w:drawing>
          <wp:inline distT="0" distB="0" distL="0" distR="0" wp14:anchorId="34A697E4" wp14:editId="761DD147">
            <wp:extent cx="5086350" cy="2619375"/>
            <wp:effectExtent l="0" t="0" r="0" b="9525"/>
            <wp:docPr id="6" name="Picture 6" descr="Figure 5. Percent of dexamethasone released for DEX PS DDS over time for 700 µg DEX PS DDS in mon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086350" cy="2619375"/>
                    </a:xfrm>
                    <a:prstGeom prst="rect">
                      <a:avLst/>
                    </a:prstGeom>
                  </pic:spPr>
                </pic:pic>
              </a:graphicData>
            </a:graphic>
          </wp:inline>
        </w:drawing>
      </w:r>
    </w:p>
    <w:p w:rsidR="00F561BF" w:rsidRDefault="00F561BF" w:rsidP="00F561BF">
      <w:r w:rsidRPr="00F561BF">
        <w:t>The paper cited by the sponsor</w:t>
      </w:r>
      <w:r w:rsidR="00A44B86" w:rsidRPr="00A44B86">
        <w:rPr>
          <w:vertAlign w:val="superscript"/>
        </w:rPr>
        <w:fldChar w:fldCharType="begin"/>
      </w:r>
      <w:r w:rsidR="00A44B86" w:rsidRPr="00A44B86">
        <w:rPr>
          <w:vertAlign w:val="superscript"/>
        </w:rPr>
        <w:instrText xml:space="preserve"> NOTEREF _Ref460430256 \h </w:instrText>
      </w:r>
      <w:r w:rsidR="00A44B86">
        <w:rPr>
          <w:vertAlign w:val="superscript"/>
        </w:rPr>
        <w:instrText xml:space="preserve"> \* MERGEFORMAT </w:instrText>
      </w:r>
      <w:r w:rsidR="00A44B86" w:rsidRPr="00A44B86">
        <w:rPr>
          <w:vertAlign w:val="superscript"/>
        </w:rPr>
      </w:r>
      <w:r w:rsidR="00A44B86" w:rsidRPr="00A44B86">
        <w:rPr>
          <w:vertAlign w:val="superscript"/>
        </w:rPr>
        <w:fldChar w:fldCharType="separate"/>
      </w:r>
      <w:r w:rsidR="00205340">
        <w:rPr>
          <w:vertAlign w:val="superscript"/>
        </w:rPr>
        <w:t>21</w:t>
      </w:r>
      <w:r w:rsidR="00A44B86" w:rsidRPr="00A44B86">
        <w:rPr>
          <w:vertAlign w:val="superscript"/>
        </w:rPr>
        <w:fldChar w:fldCharType="end"/>
      </w:r>
      <w:r w:rsidRPr="00F561BF">
        <w:t xml:space="preserve"> was not included in the dossier at the time of submission, but was provided with sponsor’s response (as unsolicited data). Dexamethasone was quantified in the vitreous humour and retina of male Cynomolgus monkeys after bilateral administration of the Ozurdex implant (700 </w:t>
      </w:r>
      <w:r w:rsidR="00A44B86">
        <w:t>µ</w:t>
      </w:r>
      <w:r w:rsidRPr="00F561BF">
        <w:t>g) using a much more sensitive analytical technique (lower limits of quantification, 1 </w:t>
      </w:r>
      <w:proofErr w:type="spellStart"/>
      <w:r w:rsidRPr="00F561BF">
        <w:t>pg</w:t>
      </w:r>
      <w:proofErr w:type="spellEnd"/>
      <w:r w:rsidRPr="00F561BF">
        <w:t xml:space="preserve">/mL for vitreous humour and 1 </w:t>
      </w:r>
      <w:proofErr w:type="spellStart"/>
      <w:r w:rsidRPr="00F561BF">
        <w:t>pg</w:t>
      </w:r>
      <w:proofErr w:type="spellEnd"/>
      <w:r w:rsidRPr="00F561BF">
        <w:t>/retina [</w:t>
      </w:r>
      <w:r w:rsidR="00A44B86">
        <w:t xml:space="preserve">that is, 100 to </w:t>
      </w:r>
      <w:r w:rsidRPr="00F561BF">
        <w:t xml:space="preserve">500 times lower than in the studies above]). Data are summarised in the </w:t>
      </w:r>
      <w:r w:rsidR="00766289">
        <w:t>T</w:t>
      </w:r>
      <w:r w:rsidR="00A44B86">
        <w:t xml:space="preserve">able </w:t>
      </w:r>
      <w:r w:rsidR="00766289">
        <w:t>6</w:t>
      </w:r>
      <w:r w:rsidR="00A44B86">
        <w:t>.</w:t>
      </w:r>
    </w:p>
    <w:p w:rsidR="00A44B86" w:rsidRPr="00F561BF" w:rsidRDefault="00766289" w:rsidP="00A44B86">
      <w:pPr>
        <w:pStyle w:val="TableTitle"/>
      </w:pPr>
      <w:proofErr w:type="gramStart"/>
      <w:r>
        <w:t>Table 6</w:t>
      </w:r>
      <w:r w:rsidR="00A44B86">
        <w:t>.</w:t>
      </w:r>
      <w:proofErr w:type="gramEnd"/>
      <w:r w:rsidR="00A44B86">
        <w:t xml:space="preserve"> Summary data from study by </w:t>
      </w:r>
      <w:r w:rsidR="00A44B86">
        <w:rPr>
          <w:kern w:val="2"/>
          <w:szCs w:val="23"/>
        </w:rPr>
        <w:t>Chang-Lin J.E.</w:t>
      </w:r>
      <w:r w:rsidR="00A44B86" w:rsidRPr="009953D7">
        <w:rPr>
          <w:kern w:val="2"/>
          <w:szCs w:val="23"/>
        </w:rPr>
        <w:t xml:space="preserve"> </w:t>
      </w:r>
      <w:r w:rsidR="00A44B86">
        <w:rPr>
          <w:kern w:val="2"/>
          <w:szCs w:val="23"/>
        </w:rPr>
        <w:t>et al</w:t>
      </w:r>
    </w:p>
    <w:tbl>
      <w:tblPr>
        <w:tblStyle w:val="TableTGAblue"/>
        <w:tblW w:w="4900" w:type="pct"/>
        <w:tblLayout w:type="fixed"/>
        <w:tblLook w:val="04A0" w:firstRow="1" w:lastRow="0" w:firstColumn="1" w:lastColumn="0" w:noHBand="0" w:noVBand="1"/>
      </w:tblPr>
      <w:tblGrid>
        <w:gridCol w:w="1467"/>
        <w:gridCol w:w="2040"/>
        <w:gridCol w:w="1112"/>
        <w:gridCol w:w="938"/>
        <w:gridCol w:w="938"/>
        <w:gridCol w:w="1113"/>
        <w:gridCol w:w="938"/>
      </w:tblGrid>
      <w:tr w:rsidR="00F561BF" w:rsidRPr="00A44B86" w:rsidTr="00A44B86">
        <w:trPr>
          <w:cnfStyle w:val="100000000000" w:firstRow="1" w:lastRow="0" w:firstColumn="0" w:lastColumn="0" w:oddVBand="0" w:evenVBand="0" w:oddHBand="0" w:evenHBand="0" w:firstRowFirstColumn="0" w:firstRowLastColumn="0" w:lastRowFirstColumn="0" w:lastRowLastColumn="0"/>
          <w:trHeight w:val="227"/>
        </w:trPr>
        <w:tc>
          <w:tcPr>
            <w:tcW w:w="3879" w:type="dxa"/>
            <w:gridSpan w:val="2"/>
          </w:tcPr>
          <w:p w:rsidR="00F561BF" w:rsidRPr="00A44B86" w:rsidRDefault="00F561BF" w:rsidP="00BA14B0">
            <w:pPr>
              <w:ind w:left="0"/>
            </w:pPr>
            <w:r w:rsidRPr="00A44B86">
              <w:t>Matrix</w:t>
            </w:r>
          </w:p>
        </w:tc>
        <w:tc>
          <w:tcPr>
            <w:tcW w:w="1220" w:type="dxa"/>
          </w:tcPr>
          <w:p w:rsidR="00F561BF" w:rsidRPr="00A44B86" w:rsidRDefault="00F561BF" w:rsidP="00BA14B0">
            <w:pPr>
              <w:ind w:left="93"/>
            </w:pPr>
            <w:proofErr w:type="spellStart"/>
            <w:r w:rsidRPr="00A44B86">
              <w:t>C</w:t>
            </w:r>
            <w:r w:rsidRPr="00A44B86">
              <w:rPr>
                <w:vertAlign w:val="subscript"/>
              </w:rPr>
              <w:t>max</w:t>
            </w:r>
            <w:proofErr w:type="spellEnd"/>
          </w:p>
        </w:tc>
        <w:tc>
          <w:tcPr>
            <w:tcW w:w="1024" w:type="dxa"/>
          </w:tcPr>
          <w:p w:rsidR="00F561BF" w:rsidRPr="00A44B86" w:rsidRDefault="00F561BF" w:rsidP="00BA14B0">
            <w:pPr>
              <w:ind w:left="0"/>
            </w:pPr>
            <w:proofErr w:type="spellStart"/>
            <w:r w:rsidRPr="00A44B86">
              <w:t>T</w:t>
            </w:r>
            <w:r w:rsidRPr="00A44B86">
              <w:rPr>
                <w:vertAlign w:val="subscript"/>
              </w:rPr>
              <w:t>max</w:t>
            </w:r>
            <w:proofErr w:type="spellEnd"/>
          </w:p>
        </w:tc>
        <w:tc>
          <w:tcPr>
            <w:tcW w:w="1024" w:type="dxa"/>
          </w:tcPr>
          <w:p w:rsidR="00F561BF" w:rsidRPr="00A44B86" w:rsidRDefault="00F561BF" w:rsidP="00BA14B0">
            <w:pPr>
              <w:ind w:left="59"/>
            </w:pPr>
            <w:r w:rsidRPr="00A44B86">
              <w:t>t½</w:t>
            </w:r>
          </w:p>
        </w:tc>
        <w:tc>
          <w:tcPr>
            <w:tcW w:w="1221" w:type="dxa"/>
          </w:tcPr>
          <w:p w:rsidR="00F561BF" w:rsidRPr="00A44B86" w:rsidRDefault="00F561BF" w:rsidP="00BA14B0">
            <w:pPr>
              <w:ind w:left="0"/>
            </w:pPr>
            <w:r w:rsidRPr="00A44B86">
              <w:t>C</w:t>
            </w:r>
            <w:r w:rsidRPr="00A44B86">
              <w:rPr>
                <w:vertAlign w:val="subscript"/>
              </w:rPr>
              <w:t>last</w:t>
            </w:r>
          </w:p>
        </w:tc>
        <w:tc>
          <w:tcPr>
            <w:tcW w:w="1024" w:type="dxa"/>
          </w:tcPr>
          <w:p w:rsidR="00F561BF" w:rsidRPr="00A44B86" w:rsidRDefault="00F561BF" w:rsidP="00BA14B0">
            <w:pPr>
              <w:ind w:left="0"/>
            </w:pPr>
            <w:proofErr w:type="spellStart"/>
            <w:r w:rsidRPr="00A44B86">
              <w:t>T</w:t>
            </w:r>
            <w:r w:rsidRPr="00A44B86">
              <w:rPr>
                <w:vertAlign w:val="subscript"/>
              </w:rPr>
              <w:t>last</w:t>
            </w:r>
            <w:proofErr w:type="spellEnd"/>
          </w:p>
        </w:tc>
      </w:tr>
      <w:tr w:rsidR="00F561BF" w:rsidRPr="00A44B86" w:rsidTr="00A44B86">
        <w:trPr>
          <w:trHeight w:val="284"/>
        </w:trPr>
        <w:tc>
          <w:tcPr>
            <w:tcW w:w="1618" w:type="dxa"/>
          </w:tcPr>
          <w:p w:rsidR="00F561BF" w:rsidRPr="00A44B86" w:rsidRDefault="00F561BF" w:rsidP="00BA14B0">
            <w:pPr>
              <w:ind w:left="0"/>
            </w:pPr>
            <w:r w:rsidRPr="00A44B86">
              <w:t xml:space="preserve">Vitreous humour </w:t>
            </w:r>
          </w:p>
        </w:tc>
        <w:tc>
          <w:tcPr>
            <w:tcW w:w="2261" w:type="dxa"/>
          </w:tcPr>
          <w:p w:rsidR="00F561BF" w:rsidRPr="00A44B86" w:rsidRDefault="00F561BF" w:rsidP="00BA14B0">
            <w:pPr>
              <w:ind w:left="0"/>
            </w:pPr>
            <w:r w:rsidRPr="00A44B86">
              <w:t>(half without implant)</w:t>
            </w:r>
          </w:p>
        </w:tc>
        <w:tc>
          <w:tcPr>
            <w:tcW w:w="1220" w:type="dxa"/>
          </w:tcPr>
          <w:p w:rsidR="00F561BF" w:rsidRPr="00A44B86" w:rsidRDefault="00F561BF" w:rsidP="00BA14B0">
            <w:pPr>
              <w:ind w:left="93"/>
            </w:pPr>
            <w:r w:rsidRPr="00A44B86">
              <w:t>213 ng/mL</w:t>
            </w:r>
          </w:p>
        </w:tc>
        <w:tc>
          <w:tcPr>
            <w:tcW w:w="1024" w:type="dxa"/>
          </w:tcPr>
          <w:p w:rsidR="00F561BF" w:rsidRPr="00A44B86" w:rsidRDefault="00F561BF" w:rsidP="00BA14B0">
            <w:pPr>
              <w:ind w:left="0"/>
            </w:pPr>
            <w:r w:rsidRPr="00A44B86">
              <w:t>day 60</w:t>
            </w:r>
          </w:p>
        </w:tc>
        <w:tc>
          <w:tcPr>
            <w:tcW w:w="1024" w:type="dxa"/>
          </w:tcPr>
          <w:p w:rsidR="00F561BF" w:rsidRPr="00A44B86" w:rsidRDefault="00F561BF" w:rsidP="00BA14B0">
            <w:pPr>
              <w:ind w:left="59"/>
            </w:pPr>
            <w:r w:rsidRPr="00A44B86">
              <w:t>–</w:t>
            </w:r>
          </w:p>
        </w:tc>
        <w:tc>
          <w:tcPr>
            <w:tcW w:w="1221" w:type="dxa"/>
          </w:tcPr>
          <w:p w:rsidR="00F561BF" w:rsidRPr="00A44B86" w:rsidRDefault="00F561BF" w:rsidP="00BA14B0">
            <w:pPr>
              <w:ind w:left="0"/>
            </w:pPr>
            <w:r w:rsidRPr="00A44B86">
              <w:t xml:space="preserve">1.31 </w:t>
            </w:r>
            <w:proofErr w:type="spellStart"/>
            <w:r w:rsidRPr="00A44B86">
              <w:t>pg</w:t>
            </w:r>
            <w:proofErr w:type="spellEnd"/>
            <w:r w:rsidRPr="00A44B86">
              <w:t>/mL</w:t>
            </w:r>
          </w:p>
        </w:tc>
        <w:tc>
          <w:tcPr>
            <w:tcW w:w="1024" w:type="dxa"/>
          </w:tcPr>
          <w:p w:rsidR="00F561BF" w:rsidRPr="00A44B86" w:rsidRDefault="00F561BF" w:rsidP="00BA14B0">
            <w:pPr>
              <w:ind w:left="0"/>
            </w:pPr>
            <w:r w:rsidRPr="00A44B86">
              <w:t>day 180</w:t>
            </w:r>
          </w:p>
        </w:tc>
      </w:tr>
      <w:tr w:rsidR="00F561BF" w:rsidRPr="00A44B86" w:rsidTr="00A44B86">
        <w:trPr>
          <w:trHeight w:val="284"/>
        </w:trPr>
        <w:tc>
          <w:tcPr>
            <w:tcW w:w="1618" w:type="dxa"/>
          </w:tcPr>
          <w:p w:rsidR="00F561BF" w:rsidRPr="00A44B86" w:rsidRDefault="00F561BF" w:rsidP="00BA14B0">
            <w:pPr>
              <w:ind w:left="0"/>
            </w:pPr>
            <w:r w:rsidRPr="00A44B86">
              <w:t>Retina</w:t>
            </w:r>
          </w:p>
        </w:tc>
        <w:tc>
          <w:tcPr>
            <w:tcW w:w="2261" w:type="dxa"/>
          </w:tcPr>
          <w:p w:rsidR="00F561BF" w:rsidRPr="00A44B86" w:rsidRDefault="00F561BF" w:rsidP="00BA14B0">
            <w:pPr>
              <w:ind w:left="0"/>
            </w:pPr>
            <w:r w:rsidRPr="00A44B86">
              <w:t>(total)</w:t>
            </w:r>
          </w:p>
        </w:tc>
        <w:tc>
          <w:tcPr>
            <w:tcW w:w="1220" w:type="dxa"/>
          </w:tcPr>
          <w:p w:rsidR="00F561BF" w:rsidRPr="00A44B86" w:rsidRDefault="00F561BF" w:rsidP="00BA14B0">
            <w:pPr>
              <w:ind w:left="93"/>
            </w:pPr>
            <w:r w:rsidRPr="00A44B86">
              <w:t>1110 ng/g</w:t>
            </w:r>
          </w:p>
        </w:tc>
        <w:tc>
          <w:tcPr>
            <w:tcW w:w="1024" w:type="dxa"/>
          </w:tcPr>
          <w:p w:rsidR="00F561BF" w:rsidRPr="00A44B86" w:rsidRDefault="00F561BF" w:rsidP="00BA14B0">
            <w:pPr>
              <w:ind w:left="0"/>
            </w:pPr>
            <w:r w:rsidRPr="00A44B86">
              <w:t>day 60</w:t>
            </w:r>
          </w:p>
        </w:tc>
        <w:tc>
          <w:tcPr>
            <w:tcW w:w="1024" w:type="dxa"/>
          </w:tcPr>
          <w:p w:rsidR="00F561BF" w:rsidRPr="00A44B86" w:rsidRDefault="00F561BF" w:rsidP="00BA14B0">
            <w:pPr>
              <w:ind w:left="59"/>
            </w:pPr>
            <w:r w:rsidRPr="00A44B86">
              <w:t>–</w:t>
            </w:r>
          </w:p>
        </w:tc>
        <w:tc>
          <w:tcPr>
            <w:tcW w:w="1221" w:type="dxa"/>
          </w:tcPr>
          <w:p w:rsidR="00F561BF" w:rsidRPr="00A44B86" w:rsidRDefault="00F561BF" w:rsidP="00BA14B0">
            <w:pPr>
              <w:ind w:left="0"/>
            </w:pPr>
            <w:r w:rsidRPr="00A44B86">
              <w:t xml:space="preserve">16.7 </w:t>
            </w:r>
            <w:proofErr w:type="spellStart"/>
            <w:r w:rsidRPr="00A44B86">
              <w:t>pg</w:t>
            </w:r>
            <w:proofErr w:type="spellEnd"/>
            <w:r w:rsidRPr="00A44B86">
              <w:t>/g</w:t>
            </w:r>
          </w:p>
        </w:tc>
        <w:tc>
          <w:tcPr>
            <w:tcW w:w="1024" w:type="dxa"/>
          </w:tcPr>
          <w:p w:rsidR="00F561BF" w:rsidRPr="00A44B86" w:rsidRDefault="00F561BF" w:rsidP="00BA14B0">
            <w:pPr>
              <w:ind w:left="0"/>
            </w:pPr>
            <w:r w:rsidRPr="00A44B86">
              <w:t>day 210</w:t>
            </w:r>
          </w:p>
        </w:tc>
      </w:tr>
    </w:tbl>
    <w:p w:rsidR="00F561BF" w:rsidRPr="00F561BF" w:rsidRDefault="00C95AA2" w:rsidP="00A44B86">
      <w:pPr>
        <w:pStyle w:val="TableDescription"/>
      </w:pPr>
      <w:r>
        <w:t>S</w:t>
      </w:r>
      <w:r w:rsidR="00F561BF" w:rsidRPr="00F561BF">
        <w:t xml:space="preserve">ampling at 7, 30, 60, 90, 120, 150, 180, 210, 240 </w:t>
      </w:r>
      <w:r w:rsidR="00A44B86">
        <w:t>and 270 D</w:t>
      </w:r>
      <w:r w:rsidR="00F561BF" w:rsidRPr="00F561BF">
        <w:t xml:space="preserve">ays post-dose; – = not reported; </w:t>
      </w:r>
      <w:proofErr w:type="spellStart"/>
      <w:r w:rsidR="00F561BF" w:rsidRPr="00F561BF">
        <w:t>LLoQ</w:t>
      </w:r>
      <w:proofErr w:type="spellEnd"/>
      <w:r w:rsidR="00F561BF" w:rsidRPr="00F561BF">
        <w:t xml:space="preserve">: </w:t>
      </w:r>
      <w:proofErr w:type="gramStart"/>
      <w:r w:rsidR="00F561BF" w:rsidRPr="00F561BF">
        <w:t>0.5 ng/mL for vitreous humour</w:t>
      </w:r>
      <w:proofErr w:type="gramEnd"/>
      <w:r w:rsidR="00F561BF" w:rsidRPr="00F561BF">
        <w:t xml:space="preserve"> </w:t>
      </w:r>
      <w:r w:rsidR="00A44B86">
        <w:t>and</w:t>
      </w:r>
      <w:r w:rsidR="00F561BF" w:rsidRPr="00F561BF">
        <w:t xml:space="preserve"> 0.1 ng/g for retina</w:t>
      </w:r>
    </w:p>
    <w:p w:rsidR="00F561BF" w:rsidRPr="00F561BF" w:rsidRDefault="00F561BF" w:rsidP="00F561BF">
      <w:r w:rsidRPr="00F561BF">
        <w:t>The last detectable concentrations are more than 160</w:t>
      </w:r>
      <w:r w:rsidR="00A44B86">
        <w:t>,</w:t>
      </w:r>
      <w:r w:rsidRPr="00F561BF">
        <w:t>000 (vitreous humour) or 66</w:t>
      </w:r>
      <w:r w:rsidR="00A44B86">
        <w:t>,</w:t>
      </w:r>
      <w:r w:rsidRPr="00F561BF">
        <w:t xml:space="preserve">000 (retina) times lower than the peak concentrations. A figure from the paper illustrating the concentration-time profile is shown </w:t>
      </w:r>
      <w:r w:rsidR="00766289">
        <w:t>(Figure 6</w:t>
      </w:r>
      <w:r w:rsidR="00A44B86">
        <w:t>)</w:t>
      </w:r>
      <w:r w:rsidRPr="00F561BF">
        <w:t xml:space="preserve"> (note, log scale). Increased CYP3A8 expression in the retina was used as a biomarker for dexamethasone activity in the study, and showed pharmacological activity in retina sam</w:t>
      </w:r>
      <w:r w:rsidR="00A44B86">
        <w:t xml:space="preserve">ples collected at 7 to </w:t>
      </w:r>
      <w:r w:rsidR="00A46BD0">
        <w:t xml:space="preserve">60 days and </w:t>
      </w:r>
      <w:r w:rsidR="00A44B86">
        <w:t xml:space="preserve">90 to </w:t>
      </w:r>
      <w:r w:rsidRPr="00F561BF">
        <w:t>210</w:t>
      </w:r>
      <w:r w:rsidR="00A44B86">
        <w:t xml:space="preserve"> days post-dose, but not at 240 to </w:t>
      </w:r>
      <w:r w:rsidRPr="00F561BF">
        <w:t>270 days post</w:t>
      </w:r>
      <w:r w:rsidRPr="00F561BF">
        <w:noBreakHyphen/>
        <w:t>dose. The authors described the results as showing “delivery of [dexamethasone] in the retina and vitreous with two phases of drug release after implant administration. The first phase [2 months duration] provided high concentrations of [dexamethasone] followed by a second phase in which low concentrations of [dexamethasone] were released, extending the therapeutic period to 6 months. The sustained delivery of [dexamethasone] was supported by the increased expression of CYP3A8 (a marker of [dexamethasone] biological activity) in the retina, which was maintained for 6 months”</w:t>
      </w:r>
    </w:p>
    <w:p w:rsidR="00F561BF" w:rsidRDefault="00766289" w:rsidP="00766289">
      <w:pPr>
        <w:pStyle w:val="FigureTitle"/>
      </w:pPr>
      <w:proofErr w:type="gramStart"/>
      <w:r>
        <w:lastRenderedPageBreak/>
        <w:t>Figure 6.</w:t>
      </w:r>
      <w:proofErr w:type="gramEnd"/>
      <w:r w:rsidR="00A46BD0">
        <w:t xml:space="preserve"> </w:t>
      </w:r>
      <w:r w:rsidR="00A44B86">
        <w:t xml:space="preserve">Concentration time profile from </w:t>
      </w:r>
      <w:r w:rsidR="00A44B86">
        <w:rPr>
          <w:kern w:val="2"/>
          <w:szCs w:val="23"/>
        </w:rPr>
        <w:t>Chang-Lin J.E. et al</w:t>
      </w:r>
    </w:p>
    <w:p w:rsidR="00F561BF" w:rsidRDefault="00A46BD0" w:rsidP="00BA14B0">
      <w:r>
        <w:rPr>
          <w:noProof/>
          <w:lang w:eastAsia="en-AU"/>
        </w:rPr>
        <w:drawing>
          <wp:inline distT="0" distB="0" distL="0" distR="0" wp14:anchorId="5ED36F8C" wp14:editId="706B3110">
            <wp:extent cx="3886200" cy="4038600"/>
            <wp:effectExtent l="0" t="0" r="0" b="0"/>
            <wp:docPr id="7" name="Picture 7" descr="Figure 6. Concentration time profile from Chang-Lin J.E. et 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886200" cy="4038600"/>
                    </a:xfrm>
                    <a:prstGeom prst="rect">
                      <a:avLst/>
                    </a:prstGeom>
                  </pic:spPr>
                </pic:pic>
              </a:graphicData>
            </a:graphic>
          </wp:inline>
        </w:drawing>
      </w:r>
    </w:p>
    <w:p w:rsidR="00A46BD0" w:rsidRPr="00A46BD0" w:rsidRDefault="00A46BD0" w:rsidP="00A46BD0">
      <w:r w:rsidRPr="00A46BD0">
        <w:t>It has become apparent that the long detection period is more a function of the assay than the implant. Simply reporting the last time point of detection is considered to no longer provide adequate information on the pharmacokinetic profile in the eye. The two phases of drug delivery should be described, and the last time point cited should only be that to which therapeutically relevant concentrations of dexamethasone were maintained.</w:t>
      </w:r>
    </w:p>
    <w:p w:rsidR="00A46BD0" w:rsidRPr="00A46BD0" w:rsidRDefault="00A46BD0" w:rsidP="00A46BD0">
      <w:r w:rsidRPr="00A46BD0">
        <w:t>The following statement should be used in the PI in place of the one proposed by the sponsor:</w:t>
      </w:r>
    </w:p>
    <w:p w:rsidR="00A46BD0" w:rsidRPr="00B90B6E" w:rsidRDefault="00A46BD0" w:rsidP="00A44B86">
      <w:pPr>
        <w:ind w:left="720"/>
      </w:pPr>
      <w:r w:rsidRPr="00A46BD0">
        <w:t xml:space="preserve">“In monkeys, following single bilateral intravitreal implantation of Ozurdex 700 </w:t>
      </w:r>
      <w:r w:rsidR="00A44B86">
        <w:t>µ</w:t>
      </w:r>
      <w:r w:rsidRPr="00A46BD0">
        <w:t>g, dexamethasone was released in two phases. The first phase provided high concentrations of dexamethasone, with peak concentrations of dexamethasone observed in the vitreous humour and retina at 60 days post-injection. This was followed by a second phase in which low concentrations of dexamethasone were released, extending the therapeutic period to 6 months.”</w:t>
      </w:r>
    </w:p>
    <w:p w:rsidR="008E7846" w:rsidRPr="00254787" w:rsidRDefault="008E7846" w:rsidP="008E7846">
      <w:pPr>
        <w:pStyle w:val="Heading2"/>
      </w:pPr>
      <w:bookmarkStart w:id="68" w:name="_Toc196046462"/>
      <w:bookmarkStart w:id="69" w:name="_Toc247691516"/>
      <w:bookmarkStart w:id="70" w:name="_Toc314842500"/>
      <w:bookmarkStart w:id="71" w:name="_Toc163441353"/>
      <w:bookmarkStart w:id="72" w:name="_Toc163441348"/>
      <w:bookmarkStart w:id="73" w:name="_Toc465939515"/>
      <w:r>
        <w:t xml:space="preserve">IV. </w:t>
      </w:r>
      <w:r w:rsidRPr="00254787">
        <w:t>Clinical</w:t>
      </w:r>
      <w:bookmarkEnd w:id="68"/>
      <w:r>
        <w:t xml:space="preserve"> </w:t>
      </w:r>
      <w:r w:rsidR="003A7F6C">
        <w:t>f</w:t>
      </w:r>
      <w:r>
        <w:t>indings</w:t>
      </w:r>
      <w:bookmarkEnd w:id="69"/>
      <w:bookmarkEnd w:id="70"/>
      <w:bookmarkEnd w:id="73"/>
    </w:p>
    <w:p w:rsidR="00C80137" w:rsidRDefault="00C80137" w:rsidP="00D425BB">
      <w:bookmarkStart w:id="74"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Default="008E7846" w:rsidP="008E7846">
      <w:pPr>
        <w:pStyle w:val="Heading3"/>
      </w:pPr>
      <w:bookmarkStart w:id="75" w:name="_Toc247691517"/>
      <w:bookmarkStart w:id="76" w:name="_Toc314842501"/>
      <w:bookmarkStart w:id="77" w:name="_Toc465939516"/>
      <w:r w:rsidRPr="00254787">
        <w:t>Introduction</w:t>
      </w:r>
      <w:bookmarkEnd w:id="74"/>
      <w:bookmarkEnd w:id="75"/>
      <w:bookmarkEnd w:id="76"/>
      <w:bookmarkEnd w:id="77"/>
    </w:p>
    <w:p w:rsidR="00605AD4" w:rsidRDefault="00605AD4" w:rsidP="00605AD4">
      <w:pPr>
        <w:pStyle w:val="Heading4"/>
      </w:pPr>
      <w:bookmarkStart w:id="78" w:name="_Toc196046464"/>
      <w:bookmarkStart w:id="79" w:name="_Toc247691518"/>
      <w:bookmarkStart w:id="80" w:name="_Toc314842502"/>
      <w:r w:rsidRPr="00605AD4">
        <w:t xml:space="preserve">Clinical </w:t>
      </w:r>
      <w:r w:rsidR="00EF59DC">
        <w:t>r</w:t>
      </w:r>
      <w:r w:rsidRPr="00605AD4">
        <w:t>ationale</w:t>
      </w:r>
    </w:p>
    <w:p w:rsidR="007F4F6C" w:rsidRPr="007F4F6C" w:rsidRDefault="007F4F6C" w:rsidP="007F4F6C">
      <w:r w:rsidRPr="007F4F6C">
        <w:t xml:space="preserve">Diabetic macular oedema (DME) is the most common cause of moderate vision loss in developed countries. Its onset is usually insidious with loss of central visual acuity. It is </w:t>
      </w:r>
      <w:r w:rsidRPr="007F4F6C">
        <w:lastRenderedPageBreak/>
        <w:t xml:space="preserve">caused by a breakdown of the capillary endothelium of the blood retina barrier resulting in leakage into adjacent retinal tissues. Fluid accumulation and macular thickening may be reversible in the short term but it may cause irreversible damage leading to permanent visual loss. Laser photocoagulation has been the treatment of choice for many years. Deterioration is often slowed but normal vision is not usually restored. In recent years, VEGF inhibitors have been developed which are effective but require monthly injections. Corticosteroids have been shown to suppress inflammation by inhibiting inflammatory mediators, oedema, fibrin deposition, capillary leakage and phagocytic migration, at least in part by inhibiting VEGF expression. Systemic corticosteroids are associated with serious side effects, including the exacerbation of diabetes mellitus, and topical formulations are unable to penetrate the posterior segment. Intraocular steroid injections such as triamcinolone </w:t>
      </w:r>
      <w:proofErr w:type="spellStart"/>
      <w:r w:rsidRPr="007F4F6C">
        <w:t>acetonide</w:t>
      </w:r>
      <w:proofErr w:type="spellEnd"/>
      <w:r w:rsidRPr="007F4F6C">
        <w:t xml:space="preserve"> have proved effective but duration of effect has now been extended using biodegradable depot steroid formulations. It is proposed that direct injection of a slow release formulation of dexamethasone will provide a sustained therapeutic response without the risk of systemic side effects in patients with DME.</w:t>
      </w:r>
    </w:p>
    <w:p w:rsidR="00605AD4" w:rsidRDefault="00605AD4" w:rsidP="00605AD4">
      <w:pPr>
        <w:pStyle w:val="Heading4"/>
      </w:pPr>
      <w:r w:rsidRPr="00605AD4">
        <w:t>Guidance</w:t>
      </w:r>
    </w:p>
    <w:p w:rsidR="00766289" w:rsidRPr="00766289" w:rsidRDefault="00766289" w:rsidP="00766289">
      <w:r w:rsidRPr="00766289">
        <w:t xml:space="preserve">Regulatory guidance from the US FDA was provided in 2003, 2011 and in a pre-NDA briefing in 2012. Advice from the UK MHRA was provided in 2011. Issues addressed included the use of </w:t>
      </w:r>
      <w:r w:rsidR="007E2B4E">
        <w:t>Sham</w:t>
      </w:r>
      <w:r w:rsidRPr="00766289">
        <w:t xml:space="preserve"> implantations rather than active controls, the nature of DME compared with other acute forms of ME, and the choice of primary study endpoints. No record of any guidance provided by the TGA has been provided.</w:t>
      </w:r>
    </w:p>
    <w:p w:rsidR="00605AD4" w:rsidRDefault="00605AD4" w:rsidP="00605AD4">
      <w:pPr>
        <w:pStyle w:val="Heading4"/>
      </w:pPr>
      <w:r w:rsidRPr="00605AD4">
        <w:t>Contents of the clinical dossier</w:t>
      </w:r>
    </w:p>
    <w:p w:rsidR="007F4F6C" w:rsidRPr="007F4F6C" w:rsidRDefault="007F4F6C" w:rsidP="007F4F6C">
      <w:r w:rsidRPr="007F4F6C">
        <w:t>The submission contained the following clinical information:</w:t>
      </w:r>
    </w:p>
    <w:p w:rsidR="007F4F6C" w:rsidRPr="007F4F6C" w:rsidRDefault="007F4F6C" w:rsidP="00766289">
      <w:pPr>
        <w:pStyle w:val="ListBullet"/>
      </w:pPr>
      <w:r w:rsidRPr="007F4F6C">
        <w:t>Two pivotal Phase III efficacy/safety Studies (206207</w:t>
      </w:r>
      <w:r w:rsidR="00D57E70">
        <w:t xml:space="preserve"> </w:t>
      </w:r>
      <w:r w:rsidRPr="007F4F6C">
        <w:t>010 and 206207</w:t>
      </w:r>
      <w:r w:rsidR="00D57E70">
        <w:t xml:space="preserve"> </w:t>
      </w:r>
      <w:r w:rsidRPr="007F4F6C">
        <w:t>011). Pooled efficacy and safety data from these two studies were analysed in an Integrated Summary of Efficacy (ISE), and an Integrated Summary of Safety (ISS).</w:t>
      </w:r>
    </w:p>
    <w:p w:rsidR="007F4F6C" w:rsidRPr="007F4F6C" w:rsidRDefault="007F4F6C" w:rsidP="00766289">
      <w:pPr>
        <w:pStyle w:val="ListBullet"/>
      </w:pPr>
      <w:r w:rsidRPr="007F4F6C">
        <w:t>Two limited population pharmacokinetic analyses performed in selected patients from the pivotal Phase III studies.</w:t>
      </w:r>
    </w:p>
    <w:p w:rsidR="007F4F6C" w:rsidRPr="007F4F6C" w:rsidRDefault="007F4F6C" w:rsidP="00766289">
      <w:pPr>
        <w:pStyle w:val="ListBullet"/>
      </w:pPr>
      <w:r w:rsidRPr="007F4F6C">
        <w:t>One dose finding study in patients with persistent ME (206207</w:t>
      </w:r>
      <w:r w:rsidR="00D57E70">
        <w:t xml:space="preserve"> </w:t>
      </w:r>
      <w:r w:rsidRPr="007F4F6C">
        <w:t>06).</w:t>
      </w:r>
    </w:p>
    <w:p w:rsidR="007F4F6C" w:rsidRPr="007F4F6C" w:rsidRDefault="007F4F6C" w:rsidP="00766289">
      <w:pPr>
        <w:pStyle w:val="ListBullet"/>
      </w:pPr>
      <w:r w:rsidRPr="007F4F6C">
        <w:t>Two Phase II studies assessing Ozurdex as an adjunct to laser photocoagulation in patients with DME (206207</w:t>
      </w:r>
      <w:r w:rsidR="00D57E70">
        <w:t xml:space="preserve"> </w:t>
      </w:r>
      <w:r w:rsidRPr="007F4F6C">
        <w:t xml:space="preserve">012); and in patients who had a pars </w:t>
      </w:r>
      <w:proofErr w:type="spellStart"/>
      <w:r w:rsidRPr="007F4F6C">
        <w:t>plana</w:t>
      </w:r>
      <w:proofErr w:type="spellEnd"/>
      <w:r w:rsidRPr="007F4F6C">
        <w:t xml:space="preserve"> vitrectomy in the study eye (206207</w:t>
      </w:r>
      <w:r w:rsidR="00D57E70">
        <w:t xml:space="preserve"> </w:t>
      </w:r>
      <w:r w:rsidRPr="007F4F6C">
        <w:t>018).</w:t>
      </w:r>
    </w:p>
    <w:p w:rsidR="007F4F6C" w:rsidRPr="007F4F6C" w:rsidRDefault="007F4F6C" w:rsidP="00766289">
      <w:pPr>
        <w:pStyle w:val="ListBullet"/>
      </w:pPr>
      <w:r w:rsidRPr="007F4F6C">
        <w:t>Nonclinical Overview, Clinical Overview, Summary of Clinical Efficacy, Summary of Clinical Safety and literature references.</w:t>
      </w:r>
    </w:p>
    <w:p w:rsidR="00605AD4" w:rsidRDefault="00605AD4" w:rsidP="00605AD4">
      <w:pPr>
        <w:pStyle w:val="Heading4"/>
      </w:pPr>
      <w:r w:rsidRPr="00605AD4">
        <w:t>Paediatric data</w:t>
      </w:r>
    </w:p>
    <w:p w:rsidR="007F4F6C" w:rsidRPr="007F4F6C" w:rsidRDefault="007F4F6C" w:rsidP="007F4F6C">
      <w:r w:rsidRPr="00A36FBB">
        <w:t>The submission did not include evaluable paediatric data and usage in children is not proposed.</w:t>
      </w:r>
    </w:p>
    <w:p w:rsidR="00605AD4" w:rsidRDefault="00605AD4" w:rsidP="00605AD4">
      <w:pPr>
        <w:pStyle w:val="Heading4"/>
      </w:pPr>
      <w:r w:rsidRPr="00605AD4">
        <w:t>Good clinical practice</w:t>
      </w:r>
    </w:p>
    <w:p w:rsidR="007F4F6C" w:rsidRPr="007F4F6C" w:rsidRDefault="007F4F6C" w:rsidP="007F4F6C">
      <w:bookmarkStart w:id="81" w:name="_Toc241374282"/>
      <w:r w:rsidRPr="00A36FBB">
        <w:t>All studies were conducted in accordance with the principles of ICH GCP.</w:t>
      </w:r>
      <w:bookmarkEnd w:id="81"/>
    </w:p>
    <w:p w:rsidR="008E7846" w:rsidRDefault="008E7846" w:rsidP="00605AD4">
      <w:pPr>
        <w:pStyle w:val="Heading3"/>
      </w:pPr>
      <w:bookmarkStart w:id="82" w:name="_Toc465939517"/>
      <w:r w:rsidRPr="00254787">
        <w:lastRenderedPageBreak/>
        <w:t>Pharmacokinetics</w:t>
      </w:r>
      <w:bookmarkEnd w:id="71"/>
      <w:bookmarkEnd w:id="78"/>
      <w:bookmarkEnd w:id="79"/>
      <w:bookmarkEnd w:id="80"/>
      <w:bookmarkEnd w:id="82"/>
    </w:p>
    <w:p w:rsidR="00605AD4" w:rsidRDefault="00605AD4" w:rsidP="00605AD4">
      <w:pPr>
        <w:pStyle w:val="Heading4"/>
      </w:pPr>
      <w:r>
        <w:t>Studies</w:t>
      </w:r>
      <w:r w:rsidR="007F4F6C">
        <w:t xml:space="preserve"> providing pharmacokinetic data</w:t>
      </w:r>
    </w:p>
    <w:p w:rsidR="007F4F6C" w:rsidRPr="007F4F6C" w:rsidRDefault="007F4F6C" w:rsidP="007F4F6C">
      <w:r w:rsidRPr="00ED168D">
        <w:t xml:space="preserve">Serial blood samples for the measurement of plasma dexamethasone concentrations were collected from selected patients in the pivotal </w:t>
      </w:r>
      <w:r>
        <w:t>Studies</w:t>
      </w:r>
      <w:r w:rsidRPr="00ED168D">
        <w:t xml:space="preserve"> 206207</w:t>
      </w:r>
      <w:r w:rsidR="00D57E70">
        <w:t xml:space="preserve"> </w:t>
      </w:r>
      <w:r w:rsidRPr="00ED168D">
        <w:t xml:space="preserve">010 </w:t>
      </w:r>
      <w:r>
        <w:t>(</w:t>
      </w:r>
      <w:r w:rsidR="00A66DC2">
        <w:t>also referred to as ‘</w:t>
      </w:r>
      <w:r>
        <w:t>010</w:t>
      </w:r>
      <w:r w:rsidR="00A66DC2">
        <w:t>’</w:t>
      </w:r>
      <w:r>
        <w:t xml:space="preserve">) </w:t>
      </w:r>
      <w:r w:rsidRPr="00ED168D">
        <w:t xml:space="preserve">and </w:t>
      </w:r>
      <w:r>
        <w:t>206207</w:t>
      </w:r>
      <w:r w:rsidR="00D57E70">
        <w:t xml:space="preserve"> </w:t>
      </w:r>
      <w:r w:rsidRPr="00ED168D">
        <w:t>011</w:t>
      </w:r>
      <w:r>
        <w:t xml:space="preserve"> </w:t>
      </w:r>
      <w:r w:rsidR="00A66DC2">
        <w:t>(also referred to as ‘</w:t>
      </w:r>
      <w:r>
        <w:t>011</w:t>
      </w:r>
      <w:r w:rsidR="00A66DC2">
        <w:t>’</w:t>
      </w:r>
      <w:r>
        <w:t>)</w:t>
      </w:r>
      <w:r w:rsidRPr="00ED168D">
        <w:t>. Summaries of these limited population pharmacokinetic studies are provided</w:t>
      </w:r>
      <w:r>
        <w:t xml:space="preserve"> in Attachment 2.</w:t>
      </w:r>
    </w:p>
    <w:p w:rsidR="00605AD4" w:rsidRDefault="00605AD4" w:rsidP="00605AD4">
      <w:pPr>
        <w:pStyle w:val="Heading4"/>
      </w:pPr>
      <w:r>
        <w:t>Evaluator’s conclusions on pharmacokinetics</w:t>
      </w:r>
    </w:p>
    <w:p w:rsidR="007F4F6C" w:rsidRPr="007F4F6C" w:rsidRDefault="007F4F6C" w:rsidP="007F4F6C">
      <w:r w:rsidRPr="007F4F6C">
        <w:t>The dose of dexamethasone in each implant is low and less than a daily physiological replacement dose (approximately 0.75 mg). This already low dose is released for up to 6 months into the eye from where little systemic absorption would be predicted. As expected, the population PK studies demonstrated negligible systemic exposure to dexamethasone at an</w:t>
      </w:r>
      <w:r w:rsidR="00A66DC2">
        <w:t>y time point within the first 3 </w:t>
      </w:r>
      <w:r w:rsidRPr="007F4F6C">
        <w:t xml:space="preserve">months after administration. No </w:t>
      </w:r>
      <w:r w:rsidR="00205340" w:rsidRPr="007F4F6C">
        <w:t>pharmaceutical</w:t>
      </w:r>
      <w:r w:rsidRPr="007F4F6C">
        <w:t xml:space="preserve"> studies were conducted to assess the drug release characteristics or to support the claim for full biodegradability. Such studies in man would be unacceptably invasive but the performance of the implant has been extensively studied in animal models.</w:t>
      </w:r>
    </w:p>
    <w:p w:rsidR="008E7846" w:rsidRDefault="008E7846" w:rsidP="008E7846">
      <w:pPr>
        <w:pStyle w:val="Heading3"/>
      </w:pPr>
      <w:bookmarkStart w:id="83" w:name="_Toc196046481"/>
      <w:bookmarkStart w:id="84" w:name="_Toc247691520"/>
      <w:bookmarkStart w:id="85" w:name="_Toc314842503"/>
      <w:bookmarkStart w:id="86" w:name="_Toc465939518"/>
      <w:r w:rsidRPr="00254787">
        <w:t>Pharmacodynamics</w:t>
      </w:r>
      <w:bookmarkEnd w:id="72"/>
      <w:bookmarkEnd w:id="83"/>
      <w:bookmarkEnd w:id="84"/>
      <w:bookmarkEnd w:id="85"/>
      <w:bookmarkEnd w:id="86"/>
    </w:p>
    <w:p w:rsidR="00605AD4" w:rsidRDefault="00605AD4" w:rsidP="00605AD4">
      <w:pPr>
        <w:pStyle w:val="Heading4"/>
      </w:pPr>
      <w:r>
        <w:t>Studies providing pharmacodynamic data</w:t>
      </w:r>
    </w:p>
    <w:p w:rsidR="007F4F6C" w:rsidRPr="007F4F6C" w:rsidRDefault="007F4F6C" w:rsidP="007F4F6C">
      <w:r w:rsidRPr="007F7F8E">
        <w:t>No new data submitted.</w:t>
      </w:r>
    </w:p>
    <w:p w:rsidR="008E7846" w:rsidRDefault="00605AD4" w:rsidP="00605AD4">
      <w:pPr>
        <w:pStyle w:val="Heading3"/>
      </w:pPr>
      <w:bookmarkStart w:id="87" w:name="_Toc465939519"/>
      <w:r>
        <w:t>Dosage selection for the pivotal studies</w:t>
      </w:r>
      <w:bookmarkEnd w:id="87"/>
    </w:p>
    <w:p w:rsidR="007F4F6C" w:rsidRPr="007F4F6C" w:rsidRDefault="007F4F6C" w:rsidP="007F4F6C">
      <w:r w:rsidRPr="007F4F6C">
        <w:t>Dose selection was based on multiple preclinical studies, conducted mainly in a rabbit model of VEGF induced vascular retinopathy. No testing in human eyes was conducted because of the invasive nature of these experiments. The final dose selection was based on two studies in rabbits which evaluated two dose forms each at two dose levels (350 µg and 700 µg) with analyses performed at 72 hours or 84 days after implantation. These and other studies showed that the dexamethasone release profiles were similar and the mean intraocular dexamethasone concentrations were consistent with the dose levels administered. Peak dexamethasone concentrations were achieved within the first 24 hours and they remained detectable for 35 days after implantation. Necropsy samples confirmed complete degradation of the biodegradable polymer matrix. Ocular adverse effects including cataract were observed at these doses.</w:t>
      </w:r>
    </w:p>
    <w:p w:rsidR="007F4F6C" w:rsidRPr="007F4F6C" w:rsidRDefault="007F4F6C" w:rsidP="007F4F6C">
      <w:r w:rsidRPr="007F4F6C">
        <w:t xml:space="preserve">Based on these findings, the same two 700 µg and 350 µg doses were selected for the dose ranging Study 06 in patients with </w:t>
      </w:r>
      <w:r w:rsidR="00A66DC2">
        <w:rPr>
          <w:rFonts w:asciiTheme="minorHAnsi" w:hAnsiTheme="minorHAnsi"/>
        </w:rPr>
        <w:t>macular oedema</w:t>
      </w:r>
      <w:r w:rsidR="00A66DC2" w:rsidRPr="007F4F6C">
        <w:t xml:space="preserve"> </w:t>
      </w:r>
      <w:r w:rsidR="00A66DC2">
        <w:t>(</w:t>
      </w:r>
      <w:r w:rsidRPr="007F4F6C">
        <w:t>ME</w:t>
      </w:r>
      <w:r w:rsidR="00A66DC2">
        <w:t>)</w:t>
      </w:r>
      <w:r w:rsidRPr="007F4F6C">
        <w:t xml:space="preserve"> of any cause. Only 53.9% of the study population had DME. An analysis of the DME subgroup showed similar efficacy rates compared with the overall population, with a dose response effect in favour of the higher dose. However, there was no analysis of the </w:t>
      </w:r>
      <w:r w:rsidR="00A66DC2">
        <w:t>adverse event (</w:t>
      </w:r>
      <w:r w:rsidRPr="007F4F6C">
        <w:t>AE</w:t>
      </w:r>
      <w:r w:rsidR="00A66DC2">
        <w:t>)</w:t>
      </w:r>
      <w:r w:rsidRPr="007F4F6C">
        <w:t xml:space="preserve"> profile reported for the subgroup of patients with DME.</w:t>
      </w:r>
    </w:p>
    <w:p w:rsidR="008E7846" w:rsidRPr="00254787" w:rsidRDefault="008E7846" w:rsidP="008E7846">
      <w:pPr>
        <w:pStyle w:val="Heading3"/>
      </w:pPr>
      <w:bookmarkStart w:id="88" w:name="_Toc163441372"/>
      <w:bookmarkStart w:id="89" w:name="_Toc196046485"/>
      <w:bookmarkStart w:id="90" w:name="_Toc247691521"/>
      <w:bookmarkStart w:id="91" w:name="_Toc314842504"/>
      <w:bookmarkStart w:id="92" w:name="_Toc465939520"/>
      <w:r w:rsidRPr="00254787">
        <w:t>Efficacy</w:t>
      </w:r>
      <w:bookmarkEnd w:id="88"/>
      <w:bookmarkEnd w:id="89"/>
      <w:bookmarkEnd w:id="90"/>
      <w:bookmarkEnd w:id="91"/>
      <w:bookmarkEnd w:id="92"/>
    </w:p>
    <w:p w:rsidR="00605AD4" w:rsidRDefault="00605AD4" w:rsidP="00605AD4">
      <w:pPr>
        <w:pStyle w:val="Heading4"/>
      </w:pPr>
      <w:bookmarkStart w:id="93" w:name="_Toc184439992"/>
      <w:bookmarkStart w:id="94" w:name="_Toc184440279"/>
      <w:bookmarkStart w:id="95" w:name="_Toc184444657"/>
      <w:bookmarkStart w:id="96" w:name="_Toc196046487"/>
      <w:r>
        <w:t>Studies providing efficacy data</w:t>
      </w:r>
    </w:p>
    <w:p w:rsidR="001F354E" w:rsidRDefault="001F354E" w:rsidP="001F354E">
      <w:r>
        <w:t>There were two Phase III pivotal efficacy studies:</w:t>
      </w:r>
    </w:p>
    <w:p w:rsidR="001F354E" w:rsidRDefault="001F354E" w:rsidP="001F354E">
      <w:bookmarkStart w:id="97" w:name="_Ref243301615"/>
      <w:bookmarkStart w:id="98" w:name="_Ref271040927"/>
      <w:bookmarkStart w:id="99" w:name="_Ref271040932"/>
      <w:bookmarkStart w:id="100" w:name="_Toc272414653"/>
      <w:bookmarkStart w:id="101" w:name="_Toc290846275"/>
      <w:bookmarkStart w:id="102" w:name="_Toc394481730"/>
      <w:r w:rsidRPr="005F4079">
        <w:lastRenderedPageBreak/>
        <w:t>Study 206207</w:t>
      </w:r>
      <w:r w:rsidR="00D57E70">
        <w:t xml:space="preserve"> </w:t>
      </w:r>
      <w:r w:rsidRPr="005F4079">
        <w:t>010 (010)</w:t>
      </w:r>
      <w:bookmarkEnd w:id="97"/>
      <w:bookmarkEnd w:id="98"/>
      <w:bookmarkEnd w:id="99"/>
      <w:bookmarkEnd w:id="100"/>
      <w:bookmarkEnd w:id="101"/>
      <w:bookmarkEnd w:id="102"/>
      <w:r>
        <w:t xml:space="preserve"> and Study 206207</w:t>
      </w:r>
      <w:r w:rsidR="00D57E70">
        <w:t xml:space="preserve"> </w:t>
      </w:r>
      <w:r>
        <w:t>011 (011</w:t>
      </w:r>
      <w:r w:rsidRPr="005F4079">
        <w:t>)</w:t>
      </w:r>
    </w:p>
    <w:p w:rsidR="001F354E" w:rsidRDefault="001F354E" w:rsidP="001F354E">
      <w:r>
        <w:t>Other studies which provided efficacy date included;</w:t>
      </w:r>
    </w:p>
    <w:p w:rsidR="001F354E" w:rsidRDefault="001F354E" w:rsidP="001F354E">
      <w:pPr>
        <w:pStyle w:val="ListBullet"/>
      </w:pPr>
      <w:bookmarkStart w:id="103" w:name="_Toc290846278"/>
      <w:bookmarkStart w:id="104" w:name="_Toc394481733"/>
      <w:r w:rsidRPr="00D66C23">
        <w:t>Study DC103</w:t>
      </w:r>
      <w:r w:rsidR="00D57E70">
        <w:t xml:space="preserve"> </w:t>
      </w:r>
      <w:r w:rsidRPr="00D66C23">
        <w:t>06</w:t>
      </w:r>
      <w:bookmarkEnd w:id="103"/>
      <w:r w:rsidRPr="00D66C23">
        <w:t xml:space="preserve"> (06)</w:t>
      </w:r>
      <w:bookmarkEnd w:id="104"/>
      <w:r>
        <w:t xml:space="preserve"> (a Phase II study)</w:t>
      </w:r>
    </w:p>
    <w:p w:rsidR="001F354E" w:rsidRDefault="001F354E" w:rsidP="001F354E">
      <w:pPr>
        <w:pStyle w:val="ListBullet"/>
      </w:pPr>
      <w:bookmarkStart w:id="105" w:name="_Toc290846279"/>
      <w:bookmarkStart w:id="106" w:name="_Toc394481734"/>
      <w:r w:rsidRPr="00D66C23">
        <w:t>Study 206207</w:t>
      </w:r>
      <w:r w:rsidR="00D57E70">
        <w:t xml:space="preserve"> </w:t>
      </w:r>
      <w:r w:rsidRPr="00D66C23">
        <w:t>012</w:t>
      </w:r>
      <w:bookmarkEnd w:id="105"/>
      <w:r w:rsidRPr="00D66C23">
        <w:t xml:space="preserve"> (012)</w:t>
      </w:r>
      <w:bookmarkEnd w:id="106"/>
      <w:r>
        <w:t xml:space="preserve"> (a Phase II study)</w:t>
      </w:r>
    </w:p>
    <w:p w:rsidR="001F354E" w:rsidRDefault="001F354E" w:rsidP="001F354E">
      <w:pPr>
        <w:pStyle w:val="ListBullet"/>
      </w:pPr>
      <w:bookmarkStart w:id="107" w:name="_Toc290846280"/>
      <w:bookmarkStart w:id="108" w:name="_Toc394481735"/>
      <w:r w:rsidRPr="00D66C23">
        <w:t>Study 206207</w:t>
      </w:r>
      <w:r w:rsidR="00D57E70">
        <w:t xml:space="preserve"> </w:t>
      </w:r>
      <w:r w:rsidRPr="00D66C23">
        <w:t>018 (018)</w:t>
      </w:r>
      <w:bookmarkEnd w:id="107"/>
      <w:bookmarkEnd w:id="108"/>
      <w:r>
        <w:t xml:space="preserve"> (a Phase II study)</w:t>
      </w:r>
    </w:p>
    <w:p w:rsidR="001F354E" w:rsidRDefault="001F354E" w:rsidP="001F354E">
      <w:pPr>
        <w:pStyle w:val="ListBullet"/>
        <w:numPr>
          <w:ilvl w:val="0"/>
          <w:numId w:val="0"/>
        </w:numPr>
      </w:pPr>
      <w:r>
        <w:t xml:space="preserve">A pooled efficacy analysis of Studies </w:t>
      </w:r>
      <w:r w:rsidRPr="005F4079">
        <w:t>206207</w:t>
      </w:r>
      <w:r w:rsidR="00D57E70">
        <w:t xml:space="preserve"> </w:t>
      </w:r>
      <w:r w:rsidRPr="005F4079">
        <w:t>010</w:t>
      </w:r>
      <w:r>
        <w:t xml:space="preserve"> and 206207</w:t>
      </w:r>
      <w:r w:rsidR="00D57E70">
        <w:t xml:space="preserve"> </w:t>
      </w:r>
      <w:r>
        <w:t>011 was also provided.</w:t>
      </w:r>
    </w:p>
    <w:p w:rsidR="001F354E" w:rsidRPr="001F354E" w:rsidRDefault="001F354E" w:rsidP="001F354E">
      <w:pPr>
        <w:pStyle w:val="ListBullet"/>
        <w:numPr>
          <w:ilvl w:val="0"/>
          <w:numId w:val="0"/>
        </w:numPr>
      </w:pPr>
      <w:r>
        <w:t>For details of these studies and their results please see Attachment 2.</w:t>
      </w:r>
    </w:p>
    <w:p w:rsidR="008E7846" w:rsidRDefault="00605AD4" w:rsidP="00605AD4">
      <w:pPr>
        <w:pStyle w:val="Heading4"/>
      </w:pPr>
      <w:r>
        <w:t>Evaluator’s conclusions on efficacy</w:t>
      </w:r>
    </w:p>
    <w:p w:rsidR="001F354E" w:rsidRPr="001F354E" w:rsidRDefault="001F354E" w:rsidP="001F354E">
      <w:r w:rsidRPr="001F354E">
        <w:t>Evaluator’s conclusions on clinical efficacy for the treatment of diabetic macular oedema (DME):</w:t>
      </w:r>
    </w:p>
    <w:p w:rsidR="001F354E" w:rsidRPr="001F354E" w:rsidRDefault="001F354E" w:rsidP="001F354E">
      <w:r w:rsidRPr="001F354E">
        <w:t xml:space="preserve">Statistically significant efficacy has been demonstrated for the use of Ozurdex 700 µg and 350 µg in both pivotal </w:t>
      </w:r>
      <w:r w:rsidR="00C95AA2" w:rsidRPr="001F354E">
        <w:t>studies;</w:t>
      </w:r>
      <w:r w:rsidRPr="001F354E">
        <w:t xml:space="preserve"> although improved </w:t>
      </w:r>
      <w:r w:rsidR="00A66DC2">
        <w:rPr>
          <w:rFonts w:asciiTheme="minorHAnsi" w:hAnsiTheme="minorHAnsi"/>
        </w:rPr>
        <w:t>best corrected visual acuity</w:t>
      </w:r>
      <w:r w:rsidR="00A66DC2" w:rsidRPr="001F354E">
        <w:t xml:space="preserve"> </w:t>
      </w:r>
      <w:r w:rsidR="00A66DC2">
        <w:t>(</w:t>
      </w:r>
      <w:r w:rsidRPr="001F354E">
        <w:t>BCVA</w:t>
      </w:r>
      <w:r w:rsidR="00A66DC2">
        <w:t>)</w:t>
      </w:r>
      <w:r w:rsidRPr="001F354E">
        <w:t xml:space="preserve"> using the AUC approach was not confirmed in Study 011. Improved visual acuity occurred within the first month of treatment and was sustained with repeat dosing over a 3 year observation period. The BCVA clinical endpoints and the 3 year observation period were appropriate using design and methodologies agreed by the EU and US FDA. In both studies the positive BCVA findings were supported by the </w:t>
      </w:r>
      <w:r w:rsidR="00A66DC2">
        <w:rPr>
          <w:rFonts w:asciiTheme="minorHAnsi" w:hAnsiTheme="minorHAnsi"/>
        </w:rPr>
        <w:t>optical coherence tomography</w:t>
      </w:r>
      <w:r w:rsidR="00A66DC2" w:rsidRPr="001F354E">
        <w:t xml:space="preserve"> </w:t>
      </w:r>
      <w:r w:rsidR="00A66DC2">
        <w:t>(</w:t>
      </w:r>
      <w:r w:rsidRPr="001F354E">
        <w:t>OCT</w:t>
      </w:r>
      <w:r w:rsidR="00A66DC2">
        <w:t>)</w:t>
      </w:r>
      <w:r w:rsidRPr="001F354E">
        <w:t xml:space="preserve"> findings which clearly demonstrated reductions in retinal thickening due to macular oedema. Both </w:t>
      </w:r>
      <w:r w:rsidR="00A66DC2">
        <w:rPr>
          <w:rFonts w:asciiTheme="minorHAnsi" w:hAnsiTheme="minorHAnsi"/>
        </w:rPr>
        <w:t>DEX PS DDS</w:t>
      </w:r>
      <w:r w:rsidRPr="001F354E">
        <w:t xml:space="preserve"> doses were effective with a mode</w:t>
      </w:r>
      <w:r w:rsidR="00A66DC2">
        <w:t>st benefit in favour of the 700 </w:t>
      </w:r>
      <w:r w:rsidRPr="001F354E">
        <w:t xml:space="preserve">µg dose. Dose selection was based on preclinical studies in a rabbit model of VEGF induced </w:t>
      </w:r>
      <w:proofErr w:type="spellStart"/>
      <w:r w:rsidRPr="001F354E">
        <w:t>vasculopathy</w:t>
      </w:r>
      <w:proofErr w:type="spellEnd"/>
      <w:r w:rsidRPr="001F354E">
        <w:t xml:space="preserve"> as the characterisation of intraocular </w:t>
      </w:r>
      <w:r w:rsidR="00A66DC2">
        <w:t>pharmacokinetics (</w:t>
      </w:r>
      <w:r w:rsidRPr="001F354E">
        <w:t>PK</w:t>
      </w:r>
      <w:r w:rsidR="00A66DC2">
        <w:t>)</w:t>
      </w:r>
      <w:r w:rsidRPr="001F354E">
        <w:t xml:space="preserve"> is invasive. The studies confirmed the release of effective dexamethasone concentrations. However, the implant has a 35 day release profile (in rabbits) and the rationale for a 6 month dose interval is not clear. The dose ranging clinical Study 06 showed that both doses were effective with an acceptable safety profile.</w:t>
      </w:r>
    </w:p>
    <w:p w:rsidR="001F354E" w:rsidRPr="001F354E" w:rsidRDefault="001F354E" w:rsidP="001F354E">
      <w:r w:rsidRPr="001F354E">
        <w:t>No active comparator group was included in the pivotal studies. At the time the studies were designed, there were no approved medications for DME although triamcinolone injections have been used off label for some years. VEGF inhibitors are now widely used but laser therapy remains the most widely used intervention. It is not clear why a laser therapy control group was not included, or why the study population was restricted to patients unsuitable for laser therapy.</w:t>
      </w:r>
      <w:r w:rsidR="00A877F6">
        <w:rPr>
          <w:rStyle w:val="FootnoteReference"/>
        </w:rPr>
        <w:footnoteReference w:id="22"/>
      </w:r>
      <w:r w:rsidRPr="001F354E">
        <w:t xml:space="preserve"> Sham injections are an accepted masking methodology in ocular studies. This is largely due to ethical concerns about potential damage, including infection, in eyes given placebo injections.</w:t>
      </w:r>
    </w:p>
    <w:p w:rsidR="001F354E" w:rsidRPr="001F354E" w:rsidRDefault="001F354E" w:rsidP="001F354E">
      <w:r w:rsidRPr="001F354E">
        <w:t xml:space="preserve">In the overall Phase III study population there was a statistically significant treatment benefit in favour of DEX 700 compared with Sham. Approximately 20 to 25% of patients had a meaningful increase in visual acuity with DEX 700 compared with 10 to 15% in the Sham population. However, the average improvements in measures of BCVA were modest and not clinically meaningful. In the </w:t>
      </w:r>
      <w:r w:rsidR="00A66DC2">
        <w:rPr>
          <w:rFonts w:asciiTheme="minorHAnsi" w:hAnsiTheme="minorHAnsi"/>
        </w:rPr>
        <w:t>integrated summary of efficacy</w:t>
      </w:r>
      <w:r w:rsidR="00A66DC2" w:rsidRPr="001F354E">
        <w:t xml:space="preserve"> </w:t>
      </w:r>
      <w:r w:rsidR="00A66DC2">
        <w:t>(</w:t>
      </w:r>
      <w:r w:rsidRPr="001F354E">
        <w:t>ISE</w:t>
      </w:r>
      <w:r w:rsidR="00A66DC2">
        <w:t>)</w:t>
      </w:r>
      <w:r w:rsidRPr="001F354E">
        <w:t xml:space="preserve">, two paragraphs have been devoted to efficacy in subpopulations, with reference only to patients with pseudophakic eyes and/or severe </w:t>
      </w:r>
      <w:r w:rsidR="00A66DC2">
        <w:rPr>
          <w:rFonts w:asciiTheme="minorHAnsi" w:hAnsiTheme="minorHAnsi"/>
        </w:rPr>
        <w:t>non-proliferative diabetic retinopathy</w:t>
      </w:r>
      <w:r w:rsidR="00A66DC2" w:rsidRPr="001F354E">
        <w:t xml:space="preserve"> </w:t>
      </w:r>
      <w:r w:rsidR="00A66DC2">
        <w:t>(</w:t>
      </w:r>
      <w:r w:rsidRPr="001F354E">
        <w:t>NPDR</w:t>
      </w:r>
      <w:r w:rsidR="00A66DC2">
        <w:t>)</w:t>
      </w:r>
      <w:r w:rsidRPr="001F354E">
        <w:t xml:space="preserve"> (in </w:t>
      </w:r>
      <w:r w:rsidRPr="001F354E">
        <w:lastRenderedPageBreak/>
        <w:t xml:space="preserve">whom efficacy appeared most favourable). Only scant subgroup data have been provided in the </w:t>
      </w:r>
      <w:r w:rsidR="00A66DC2">
        <w:t>clinical study reports</w:t>
      </w:r>
      <w:r w:rsidRPr="001F354E">
        <w:t xml:space="preserve"> but it appears that efficacy is significantly less or </w:t>
      </w:r>
      <w:r w:rsidR="00A66DC2" w:rsidRPr="001F354E">
        <w:t>non</w:t>
      </w:r>
      <w:r w:rsidR="00A66DC2">
        <w:t>-</w:t>
      </w:r>
      <w:r w:rsidR="00A66DC2" w:rsidRPr="001F354E">
        <w:t>existent</w:t>
      </w:r>
      <w:r w:rsidRPr="001F354E">
        <w:t xml:space="preserve"> in other subgroups. A more thorough analysis of efficacy in all subgroups should be provided. BCVA improvement in phakic eyes appears to be ill</w:t>
      </w:r>
      <w:r w:rsidR="00D57E70">
        <w:t xml:space="preserve"> </w:t>
      </w:r>
      <w:r w:rsidRPr="001F354E">
        <w:t xml:space="preserve">sustained due to the almost inevitable development of cataract. The sponsor’s argument that cataract formation masks the positive effects of DEX in patients with phakic eyes is reasonably made. OCT data appear similar in pseudophakic and phakic study eyes and BCVA improvement is restored following cataract surgery in phakic eyes. However, the data suggest that treatment of phakic eyes is largely ineffective, unless or until the </w:t>
      </w:r>
      <w:r w:rsidR="00A66DC2">
        <w:t>patient has a lens replacement.</w:t>
      </w:r>
    </w:p>
    <w:p w:rsidR="008E7846" w:rsidRPr="002E238E" w:rsidRDefault="008E7846" w:rsidP="008E7846">
      <w:pPr>
        <w:pStyle w:val="Heading3"/>
      </w:pPr>
      <w:bookmarkStart w:id="109" w:name="_Toc163441378"/>
      <w:bookmarkStart w:id="110" w:name="_Toc196046495"/>
      <w:bookmarkStart w:id="111" w:name="_Toc247691522"/>
      <w:bookmarkStart w:id="112" w:name="_Toc314842505"/>
      <w:bookmarkStart w:id="113" w:name="_Toc465939521"/>
      <w:bookmarkEnd w:id="93"/>
      <w:bookmarkEnd w:id="94"/>
      <w:bookmarkEnd w:id="95"/>
      <w:bookmarkEnd w:id="96"/>
      <w:r w:rsidRPr="002E238E">
        <w:t>Safety</w:t>
      </w:r>
      <w:bookmarkEnd w:id="109"/>
      <w:bookmarkEnd w:id="110"/>
      <w:bookmarkEnd w:id="111"/>
      <w:bookmarkEnd w:id="112"/>
      <w:bookmarkEnd w:id="113"/>
    </w:p>
    <w:p w:rsidR="00605AD4" w:rsidRDefault="00605AD4" w:rsidP="00605AD4">
      <w:pPr>
        <w:pStyle w:val="Heading4"/>
      </w:pPr>
      <w:bookmarkStart w:id="114" w:name="_Toc247691524"/>
      <w:bookmarkStart w:id="115" w:name="_Toc314842508"/>
      <w:bookmarkStart w:id="116" w:name="_Toc196046504"/>
      <w:bookmarkStart w:id="117" w:name="_Toc163441390"/>
      <w:r w:rsidRPr="00605AD4">
        <w:t>Studies providing safety data</w:t>
      </w:r>
    </w:p>
    <w:p w:rsidR="00E215F8" w:rsidRPr="00E215F8" w:rsidRDefault="00E215F8" w:rsidP="00E215F8">
      <w:r w:rsidRPr="00E215F8">
        <w:t>The following studies provided evaluable safety data:</w:t>
      </w:r>
    </w:p>
    <w:p w:rsidR="00E215F8" w:rsidRPr="00E215F8" w:rsidRDefault="00E215F8" w:rsidP="00E215F8">
      <w:proofErr w:type="gramStart"/>
      <w:r w:rsidRPr="00E215F8">
        <w:t>Two pivotal 3 year Phase III Studies (010 and 011).</w:t>
      </w:r>
      <w:proofErr w:type="gramEnd"/>
      <w:r w:rsidRPr="00E215F8">
        <w:t xml:space="preserve"> The data were presented as individual studies and as a pooled Integrated Summary of Safety (ISS).</w:t>
      </w:r>
    </w:p>
    <w:p w:rsidR="00E215F8" w:rsidRPr="00E215F8" w:rsidRDefault="00E215F8" w:rsidP="00E215F8">
      <w:proofErr w:type="gramStart"/>
      <w:r w:rsidRPr="00E215F8">
        <w:t>Three Phase II Studies.</w:t>
      </w:r>
      <w:proofErr w:type="gramEnd"/>
      <w:r w:rsidRPr="00E215F8">
        <w:t xml:space="preserve"> These data could not be pooled due to differences in patient groups, and study design and duration.</w:t>
      </w:r>
    </w:p>
    <w:p w:rsidR="00605AD4" w:rsidRDefault="00605AD4" w:rsidP="00605AD4">
      <w:pPr>
        <w:pStyle w:val="Heading4"/>
      </w:pPr>
      <w:r w:rsidRPr="00605AD4">
        <w:t>Patient exposure</w:t>
      </w:r>
    </w:p>
    <w:p w:rsidR="00E215F8" w:rsidRPr="00E215F8" w:rsidRDefault="00E215F8" w:rsidP="00E215F8">
      <w:r w:rsidRPr="00E215F8">
        <w:t>In the ISS, 1,040 patients with DME received at least one dose of study drug (347 patients in the DEX 700 group, 343 patients in the DEX 350 group, and 350 patients in the Sham group). Cumulative exposure was 22% less in the Sham group than in the DEX groups due to more patient discontinuations (</w:t>
      </w:r>
      <w:r w:rsidR="00A66DC2">
        <w:t xml:space="preserve">See </w:t>
      </w:r>
      <w:r w:rsidRPr="00A66DC2">
        <w:t>Table 7</w:t>
      </w:r>
      <w:r w:rsidR="00A66DC2" w:rsidRPr="00A66DC2">
        <w:t xml:space="preserve"> Attachment</w:t>
      </w:r>
      <w:r w:rsidR="00A66DC2">
        <w:t xml:space="preserve"> 2</w:t>
      </w:r>
      <w:r w:rsidRPr="00E215F8">
        <w:t>). A total of 3,037 retreatments were administered during the 3 year study period. Approximately 80% of them were administered between 5 to 7 months after the initial treatment.</w:t>
      </w:r>
    </w:p>
    <w:p w:rsidR="00E215F8" w:rsidRPr="00E215F8" w:rsidRDefault="00E215F8" w:rsidP="00E215F8">
      <w:r w:rsidRPr="00E215F8">
        <w:t>In Study 06, 101 patients received a single DEX 700 dose, 100 patients received a single DEX 350 dose, and 105 patients were followed with Observation only. In Study 012, the mean duration of exposure to DEX 700 was 348.0 days in the Combination Therapy group and 339.1 days in the Laser Alone group.</w:t>
      </w:r>
    </w:p>
    <w:p w:rsidR="00605AD4" w:rsidRDefault="00605AD4" w:rsidP="00605AD4">
      <w:pPr>
        <w:pStyle w:val="Heading4"/>
      </w:pPr>
      <w:r w:rsidRPr="00605AD4">
        <w:t>Post</w:t>
      </w:r>
      <w:r w:rsidR="00205340">
        <w:t>-</w:t>
      </w:r>
      <w:r w:rsidRPr="00605AD4">
        <w:t>marketing data</w:t>
      </w:r>
    </w:p>
    <w:p w:rsidR="00E215F8" w:rsidRPr="00E215F8" w:rsidRDefault="00E215F8" w:rsidP="00E215F8">
      <w:r w:rsidRPr="00E215F8">
        <w:t xml:space="preserve">Since the initial marketing approval in the US in 2009, there have been an estimated 45,018 patient-years of exposure to Ozurdex. The safety </w:t>
      </w:r>
      <w:proofErr w:type="gramStart"/>
      <w:r w:rsidRPr="00E215F8">
        <w:t>profile in the DME study program are</w:t>
      </w:r>
      <w:proofErr w:type="gramEnd"/>
      <w:r w:rsidRPr="00E215F8">
        <w:t xml:space="preserve"> consistent with the overall experience when used in patients with other causes of ME, and consistent with events typically associated with the use of injected ophthalmic steroids. However, there is no post-marketing experience in patients with DME.</w:t>
      </w:r>
    </w:p>
    <w:p w:rsidR="00E215F8" w:rsidRPr="00E215F8" w:rsidRDefault="00E215F8" w:rsidP="00E215F8">
      <w:r>
        <w:t>For the complete evaluation of the clinical safety data please see Attachment 2.</w:t>
      </w:r>
    </w:p>
    <w:p w:rsidR="00605AD4" w:rsidRPr="00605AD4" w:rsidRDefault="00605AD4" w:rsidP="00605AD4">
      <w:pPr>
        <w:pStyle w:val="Heading4"/>
      </w:pPr>
      <w:r w:rsidRPr="00605AD4">
        <w:t>Evaluator’s conclusions on safety</w:t>
      </w:r>
    </w:p>
    <w:p w:rsidR="00605AD4" w:rsidRPr="00605AD4" w:rsidRDefault="00E215F8" w:rsidP="00605AD4">
      <w:r w:rsidRPr="00E215F8">
        <w:t xml:space="preserve">The incidence of non-ocular AEs and SAEs was higher in the DEX groups compared with Sham. However, the rates were similar when the data were adjusted for exposure, and the pattern was consistent with the diabetic study population. Ocular AEs and </w:t>
      </w:r>
      <w:r w:rsidR="00A66DC2">
        <w:t>adverse drug reactions (</w:t>
      </w:r>
      <w:r w:rsidRPr="00E215F8">
        <w:t>ADRs</w:t>
      </w:r>
      <w:r w:rsidR="00A66DC2">
        <w:t>)</w:t>
      </w:r>
      <w:r w:rsidRPr="00E215F8">
        <w:t xml:space="preserve"> in the study eye were similar in the DEX 700 and DEX 350 groups and higher compared with the Sham group. However, with the exception of cataract, the incidence of AEs remained stable throughout the 3 year study. Most AEs related to cataract, </w:t>
      </w:r>
      <w:r w:rsidR="00A66DC2">
        <w:rPr>
          <w:rFonts w:asciiTheme="minorHAnsi" w:hAnsiTheme="minorHAnsi"/>
        </w:rPr>
        <w:t>intraocular pressure</w:t>
      </w:r>
      <w:r w:rsidR="00A66DC2" w:rsidRPr="00E215F8">
        <w:t xml:space="preserve"> </w:t>
      </w:r>
      <w:r w:rsidR="00A66DC2">
        <w:t>(</w:t>
      </w:r>
      <w:r w:rsidRPr="00E215F8">
        <w:t>IOP</w:t>
      </w:r>
      <w:r w:rsidR="00A66DC2">
        <w:t>)</w:t>
      </w:r>
      <w:r w:rsidRPr="00E215F8">
        <w:t xml:space="preserve"> increased, conjunctival haemorrhage, reduced visual acuity, and vitreous haemorrhage. In phakic eyes, approximately 2 out of 3 of patients had </w:t>
      </w:r>
      <w:r w:rsidRPr="00E215F8">
        <w:lastRenderedPageBreak/>
        <w:t xml:space="preserve">cataract AEs and 57% required cataract surgery within the study period. IOP was consistently increased in the DEX groups. The elevations were generally reversible with time but approximately 40% of patients in the DEX groups required medical intervention to lower IOP. Only eight patients required surgical intervention for raised IOP and </w:t>
      </w:r>
      <w:proofErr w:type="spellStart"/>
      <w:r w:rsidRPr="00E215F8">
        <w:t>endophthalmitis</w:t>
      </w:r>
      <w:proofErr w:type="spellEnd"/>
      <w:r w:rsidRPr="00E215F8">
        <w:t xml:space="preserve"> was reported in only two patients. In the pooled studies, 37 patients had severe visual loss of which approximately 90% were due to cataract. The pattern of AEs was consistent with the known effects of ocular steroids. The incidence of AEs in phakic eyes was unacceptable due to the risk</w:t>
      </w:r>
      <w:r w:rsidR="00A66DC2">
        <w:t xml:space="preserve"> of cataract and/or raised IOP.</w:t>
      </w:r>
    </w:p>
    <w:p w:rsidR="00605AD4" w:rsidRPr="00605AD4" w:rsidRDefault="00605AD4" w:rsidP="00605AD4">
      <w:pPr>
        <w:pStyle w:val="Heading3"/>
        <w:rPr>
          <w:rFonts w:eastAsia="Cambria"/>
        </w:rPr>
      </w:pPr>
      <w:bookmarkStart w:id="118" w:name="_Toc465939522"/>
      <w:r w:rsidRPr="00605AD4">
        <w:rPr>
          <w:rFonts w:eastAsia="Cambria"/>
        </w:rPr>
        <w:t xml:space="preserve">First </w:t>
      </w:r>
      <w:r w:rsidR="00BA14B0" w:rsidRPr="00605AD4">
        <w:rPr>
          <w:rFonts w:eastAsia="Cambria"/>
        </w:rPr>
        <w:t>round benefit</w:t>
      </w:r>
      <w:r w:rsidR="00BA14B0">
        <w:rPr>
          <w:rFonts w:eastAsia="Cambria"/>
        </w:rPr>
        <w:t xml:space="preserve"> </w:t>
      </w:r>
      <w:r w:rsidR="00BA14B0" w:rsidRPr="00605AD4">
        <w:rPr>
          <w:rFonts w:eastAsia="Cambria"/>
        </w:rPr>
        <w:t>risk assessment</w:t>
      </w:r>
      <w:bookmarkEnd w:id="118"/>
    </w:p>
    <w:p w:rsidR="00605AD4" w:rsidRDefault="00605AD4" w:rsidP="00605AD4">
      <w:pPr>
        <w:pStyle w:val="Heading4"/>
      </w:pPr>
      <w:r w:rsidRPr="00605AD4">
        <w:t>First round assessment of benefits</w:t>
      </w:r>
    </w:p>
    <w:p w:rsidR="00E215F8" w:rsidRPr="00E215F8" w:rsidRDefault="00E215F8" w:rsidP="00E215F8">
      <w:r w:rsidRPr="00E215F8">
        <w:t>The benefits of Ozurdex in the proposed usage are:</w:t>
      </w:r>
    </w:p>
    <w:p w:rsidR="00E215F8" w:rsidRPr="00E215F8" w:rsidRDefault="00E215F8" w:rsidP="00A66DC2">
      <w:pPr>
        <w:pStyle w:val="ListBullet"/>
      </w:pPr>
      <w:r w:rsidRPr="00E215F8">
        <w:t>Improved visual acuity</w:t>
      </w:r>
    </w:p>
    <w:p w:rsidR="00E215F8" w:rsidRPr="00E215F8" w:rsidRDefault="00E215F8" w:rsidP="00A66DC2">
      <w:pPr>
        <w:pStyle w:val="ListBullet"/>
      </w:pPr>
      <w:r w:rsidRPr="00E215F8">
        <w:t>Rapid onset of action</w:t>
      </w:r>
    </w:p>
    <w:p w:rsidR="00E215F8" w:rsidRPr="00E215F8" w:rsidRDefault="00E215F8" w:rsidP="00A66DC2">
      <w:pPr>
        <w:pStyle w:val="ListBullet"/>
      </w:pPr>
      <w:r w:rsidRPr="00E215F8">
        <w:t>Long duration of effect with sustained benefits for up to 3 years following repeated doses</w:t>
      </w:r>
    </w:p>
    <w:p w:rsidR="00E215F8" w:rsidRPr="00E215F8" w:rsidRDefault="00E215F8" w:rsidP="00A66DC2">
      <w:pPr>
        <w:pStyle w:val="ListBullet"/>
      </w:pPr>
      <w:r w:rsidRPr="00E215F8">
        <w:t>Low frequency of injections and risk of procedure related AEs</w:t>
      </w:r>
    </w:p>
    <w:p w:rsidR="00E215F8" w:rsidRPr="00E215F8" w:rsidRDefault="00E215F8" w:rsidP="00A66DC2">
      <w:pPr>
        <w:pStyle w:val="ListBullet"/>
      </w:pPr>
      <w:r w:rsidRPr="00E215F8">
        <w:t>Proven reduction of macular oedema measured by OCT.</w:t>
      </w:r>
    </w:p>
    <w:p w:rsidR="00605AD4" w:rsidRDefault="00605AD4" w:rsidP="00605AD4">
      <w:pPr>
        <w:pStyle w:val="Heading4"/>
      </w:pPr>
      <w:r w:rsidRPr="00605AD4">
        <w:t>First round assessment of risks</w:t>
      </w:r>
    </w:p>
    <w:p w:rsidR="00E215F8" w:rsidRPr="00E215F8" w:rsidRDefault="00E215F8" w:rsidP="00E215F8">
      <w:r w:rsidRPr="00E215F8">
        <w:t>The risks of Ozurdex in the proposed usage are:</w:t>
      </w:r>
    </w:p>
    <w:p w:rsidR="00E215F8" w:rsidRPr="00E215F8" w:rsidRDefault="00E215F8" w:rsidP="00A66DC2">
      <w:pPr>
        <w:pStyle w:val="ListBullet"/>
      </w:pPr>
      <w:r w:rsidRPr="00E215F8">
        <w:t>A high risk of steroid related ocular AEs in the treated eye</w:t>
      </w:r>
    </w:p>
    <w:p w:rsidR="00E215F8" w:rsidRPr="00E215F8" w:rsidRDefault="00E215F8" w:rsidP="00A66DC2">
      <w:pPr>
        <w:pStyle w:val="ListBullet"/>
      </w:pPr>
      <w:r w:rsidRPr="00E215F8">
        <w:t>A high risk of cataract formation in phakic eyes</w:t>
      </w:r>
    </w:p>
    <w:p w:rsidR="00E215F8" w:rsidRPr="00E215F8" w:rsidRDefault="00E215F8" w:rsidP="00A66DC2">
      <w:pPr>
        <w:pStyle w:val="ListBullet"/>
      </w:pPr>
      <w:r w:rsidRPr="00E215F8">
        <w:t>A high risk of raised IOP</w:t>
      </w:r>
    </w:p>
    <w:p w:rsidR="00E215F8" w:rsidRPr="00E215F8" w:rsidRDefault="00E215F8" w:rsidP="00A66DC2">
      <w:pPr>
        <w:pStyle w:val="ListBullet"/>
      </w:pPr>
      <w:r w:rsidRPr="00E215F8">
        <w:t>A low risk of ocular infection</w:t>
      </w:r>
    </w:p>
    <w:p w:rsidR="00E215F8" w:rsidRPr="00E215F8" w:rsidRDefault="00E215F8" w:rsidP="00A66DC2">
      <w:pPr>
        <w:pStyle w:val="ListBullet"/>
      </w:pPr>
      <w:r w:rsidRPr="00E215F8">
        <w:t>A low risk of complications following surgery for cataract or raised IOP</w:t>
      </w:r>
      <w:r w:rsidR="00A66DC2">
        <w:t>.</w:t>
      </w:r>
    </w:p>
    <w:p w:rsidR="00605AD4" w:rsidRPr="00605AD4" w:rsidRDefault="00605AD4" w:rsidP="00605AD4">
      <w:pPr>
        <w:pStyle w:val="Heading4"/>
      </w:pPr>
      <w:r w:rsidRPr="00605AD4">
        <w:t>First round assessment of benefit</w:t>
      </w:r>
      <w:r w:rsidR="00D57E70">
        <w:t xml:space="preserve"> </w:t>
      </w:r>
      <w:r w:rsidRPr="00605AD4">
        <w:t>risk balance</w:t>
      </w:r>
    </w:p>
    <w:p w:rsidR="00E215F8" w:rsidRPr="00E215F8" w:rsidRDefault="00E215F8" w:rsidP="00E215F8">
      <w:r w:rsidRPr="00E215F8">
        <w:t xml:space="preserve">The benefit-risk balance of Ozurdex is unfavourable given the proposed usage, but would become favourable if the changes recommended in the first round recommendation </w:t>
      </w:r>
      <w:r w:rsidR="00A66DC2" w:rsidRPr="00E215F8">
        <w:t>regarding</w:t>
      </w:r>
      <w:r w:rsidRPr="00E215F8">
        <w:t xml:space="preserve"> authorisation are adopted.</w:t>
      </w:r>
    </w:p>
    <w:p w:rsidR="00605AD4" w:rsidRPr="00605AD4" w:rsidRDefault="00605AD4" w:rsidP="00605AD4">
      <w:pPr>
        <w:pStyle w:val="Heading3"/>
        <w:rPr>
          <w:rFonts w:eastAsia="Cambria"/>
        </w:rPr>
      </w:pPr>
      <w:bookmarkStart w:id="119" w:name="_Toc465939523"/>
      <w:r w:rsidRPr="00605AD4">
        <w:rPr>
          <w:rFonts w:eastAsia="Cambria"/>
        </w:rPr>
        <w:t xml:space="preserve">First </w:t>
      </w:r>
      <w:r w:rsidR="00BA14B0" w:rsidRPr="00605AD4">
        <w:rPr>
          <w:rFonts w:eastAsia="Cambria"/>
        </w:rPr>
        <w:t>round recommendation regarding authorisation</w:t>
      </w:r>
      <w:bookmarkEnd w:id="119"/>
    </w:p>
    <w:p w:rsidR="00E215F8" w:rsidRPr="00E215F8" w:rsidRDefault="00E215F8" w:rsidP="00E215F8">
      <w:r w:rsidRPr="00E215F8">
        <w:t>Approval is not recommended for the proposed indication:</w:t>
      </w:r>
    </w:p>
    <w:p w:rsidR="00E215F8" w:rsidRPr="00E215F8" w:rsidRDefault="00E215F8" w:rsidP="00E215F8">
      <w:pPr>
        <w:ind w:left="720"/>
        <w:rPr>
          <w:i/>
        </w:rPr>
      </w:pPr>
      <w:r w:rsidRPr="00E215F8">
        <w:rPr>
          <w:i/>
        </w:rPr>
        <w:t>‘Ozurdex is indicated for the treatment of diabetic macular oedema (DME)’.</w:t>
      </w:r>
    </w:p>
    <w:p w:rsidR="00E215F8" w:rsidRPr="00E215F8" w:rsidRDefault="00E215F8" w:rsidP="00E215F8">
      <w:r w:rsidRPr="00E215F8">
        <w:t>Approval is recommended for the indication:</w:t>
      </w:r>
    </w:p>
    <w:p w:rsidR="00E215F8" w:rsidRPr="00E215F8" w:rsidRDefault="00E215F8" w:rsidP="00E215F8">
      <w:pPr>
        <w:ind w:left="720"/>
        <w:rPr>
          <w:i/>
        </w:rPr>
      </w:pPr>
      <w:r w:rsidRPr="00E215F8">
        <w:rPr>
          <w:i/>
        </w:rPr>
        <w:t>Ozurdex is indicated for adults with diabetic macular oedema who have an artificial lens implant or who are scheduled for cataract surgery.</w:t>
      </w:r>
    </w:p>
    <w:p w:rsidR="00605AD4" w:rsidRPr="00605AD4" w:rsidRDefault="00E215F8" w:rsidP="00605AD4">
      <w:r w:rsidRPr="00E215F8">
        <w:t>This recommendation is in line with the indication approved by the FDA but it is subject to satisfactory responses from the sponsor to the clinical questions.</w:t>
      </w:r>
    </w:p>
    <w:p w:rsidR="00605AD4" w:rsidRPr="00605AD4" w:rsidRDefault="00605AD4" w:rsidP="00605AD4">
      <w:pPr>
        <w:pStyle w:val="Heading3"/>
        <w:rPr>
          <w:rFonts w:eastAsia="Cambria"/>
        </w:rPr>
      </w:pPr>
      <w:bookmarkStart w:id="120" w:name="_Toc465939524"/>
      <w:r w:rsidRPr="00605AD4">
        <w:rPr>
          <w:rFonts w:eastAsia="Cambria"/>
        </w:rPr>
        <w:lastRenderedPageBreak/>
        <w:t xml:space="preserve">Clinical </w:t>
      </w:r>
      <w:r w:rsidR="00BA14B0">
        <w:rPr>
          <w:rFonts w:eastAsia="Cambria"/>
        </w:rPr>
        <w:t>q</w:t>
      </w:r>
      <w:r w:rsidRPr="00605AD4">
        <w:rPr>
          <w:rFonts w:eastAsia="Cambria"/>
        </w:rPr>
        <w:t>uestions</w:t>
      </w:r>
      <w:bookmarkEnd w:id="120"/>
    </w:p>
    <w:p w:rsidR="00E215F8" w:rsidRPr="00E215F8" w:rsidRDefault="00E215F8" w:rsidP="00E215F8">
      <w:pPr>
        <w:pStyle w:val="Heading4"/>
      </w:pPr>
      <w:bookmarkStart w:id="121" w:name="_Toc459878584"/>
      <w:r w:rsidRPr="00E215F8">
        <w:t>Pharmacokinetics</w:t>
      </w:r>
      <w:bookmarkEnd w:id="121"/>
    </w:p>
    <w:p w:rsidR="00E215F8" w:rsidRPr="00E215F8" w:rsidRDefault="00E215F8" w:rsidP="00E215F8">
      <w:pPr>
        <w:pStyle w:val="Numberbullet0"/>
      </w:pPr>
      <w:r w:rsidRPr="00E215F8">
        <w:t>In preclinical studies, the in situ release characteristics from the implant suggest that peak intravitreal dexamethasone concentrations are achieved within 24 hours and remain detectable for 35 days. Based on OCT measurements, efficacy benefits are significantly attenuated from Months 3 to 6. Please confirm the release characteristics of the impla</w:t>
      </w:r>
      <w:r w:rsidR="00A66DC2">
        <w:t>nt and explain why 6 </w:t>
      </w:r>
      <w:r w:rsidRPr="00E215F8">
        <w:t>monthly repeat injections were recommended in the clinical trial program.</w:t>
      </w:r>
    </w:p>
    <w:p w:rsidR="00E215F8" w:rsidRPr="00E215F8" w:rsidRDefault="00E215F8" w:rsidP="00E215F8">
      <w:pPr>
        <w:pStyle w:val="Heading4"/>
      </w:pPr>
      <w:bookmarkStart w:id="122" w:name="_Toc459878585"/>
      <w:r w:rsidRPr="00E215F8">
        <w:t>Pharmacodynamics</w:t>
      </w:r>
      <w:bookmarkEnd w:id="122"/>
    </w:p>
    <w:p w:rsidR="00E215F8" w:rsidRPr="00E215F8" w:rsidRDefault="00E215F8" w:rsidP="00E215F8">
      <w:r w:rsidRPr="00E215F8">
        <w:t>No questions.</w:t>
      </w:r>
    </w:p>
    <w:p w:rsidR="00E215F8" w:rsidRPr="00E215F8" w:rsidRDefault="00E215F8" w:rsidP="00E215F8">
      <w:pPr>
        <w:pStyle w:val="Heading4"/>
      </w:pPr>
      <w:bookmarkStart w:id="123" w:name="_Toc459878586"/>
      <w:r w:rsidRPr="00E215F8">
        <w:t>Efficacy</w:t>
      </w:r>
      <w:bookmarkEnd w:id="123"/>
    </w:p>
    <w:p w:rsidR="00E215F8" w:rsidRPr="00E215F8" w:rsidRDefault="00E215F8" w:rsidP="00E215F8">
      <w:pPr>
        <w:pStyle w:val="Numberbullet0"/>
        <w:numPr>
          <w:ilvl w:val="0"/>
          <w:numId w:val="36"/>
        </w:numPr>
      </w:pPr>
      <w:r w:rsidRPr="00E215F8">
        <w:t xml:space="preserve">In Studies 010 and 011, analyses of efficacy in the study eye by subgroups are summarised as shown in </w:t>
      </w:r>
      <w:r w:rsidRPr="00A66DC2">
        <w:t>Table 4 and Table 6</w:t>
      </w:r>
      <w:r w:rsidR="00A66DC2" w:rsidRPr="00A66DC2">
        <w:t xml:space="preserve"> (of Attachment 2)</w:t>
      </w:r>
      <w:r w:rsidRPr="00A66DC2">
        <w:t>.</w:t>
      </w:r>
      <w:r w:rsidRPr="00E215F8">
        <w:t xml:space="preserve"> Please provide an analysis of the pooled data to identify subgroups with the best and least responses to treatment. For example, is there a rationale for treating diabetics with poor glycaemic control?</w:t>
      </w:r>
    </w:p>
    <w:p w:rsidR="00E215F8" w:rsidRPr="00E215F8" w:rsidRDefault="00E215F8" w:rsidP="00E215F8">
      <w:pPr>
        <w:pStyle w:val="Numberbullet0"/>
        <w:numPr>
          <w:ilvl w:val="0"/>
          <w:numId w:val="36"/>
        </w:numPr>
      </w:pPr>
      <w:r w:rsidRPr="00E215F8">
        <w:t>Please explain why a triamcinolone or laser alone control arm was not used in the pivotal studies.</w:t>
      </w:r>
    </w:p>
    <w:p w:rsidR="00E215F8" w:rsidRPr="00E215F8" w:rsidRDefault="00E215F8" w:rsidP="00E215F8">
      <w:pPr>
        <w:pStyle w:val="Numberbullet0"/>
        <w:numPr>
          <w:ilvl w:val="0"/>
          <w:numId w:val="36"/>
        </w:numPr>
      </w:pPr>
      <w:r w:rsidRPr="00E215F8">
        <w:t>A key inclusion criterion for the pivotal study was patients unsuitable for laser therapy, or patients who had refused it. It could be argued that the indication for Ozurdex should be restricted to second line therapy for this patient population. Please discuss.</w:t>
      </w:r>
    </w:p>
    <w:p w:rsidR="00E215F8" w:rsidRPr="00E215F8" w:rsidRDefault="00E215F8" w:rsidP="00E215F8">
      <w:pPr>
        <w:pStyle w:val="Heading4"/>
      </w:pPr>
      <w:bookmarkStart w:id="124" w:name="_Toc459878587"/>
      <w:r w:rsidRPr="00E215F8">
        <w:t>Safety</w:t>
      </w:r>
      <w:bookmarkEnd w:id="124"/>
    </w:p>
    <w:p w:rsidR="00605AD4" w:rsidRPr="00605AD4" w:rsidRDefault="00E215F8" w:rsidP="00605AD4">
      <w:pPr>
        <w:pStyle w:val="Numberbullet0"/>
        <w:numPr>
          <w:ilvl w:val="0"/>
          <w:numId w:val="37"/>
        </w:numPr>
      </w:pPr>
      <w:r w:rsidRPr="00E215F8">
        <w:t>Please provide a brief summary of ocular AEs in the study eye based on subgroups in the ISS. The analysis should be combined with the subgroup analysis of efficacy to permit a risk/benefit assessment in each subgroup.</w:t>
      </w:r>
    </w:p>
    <w:p w:rsidR="00605AD4" w:rsidRPr="00605AD4" w:rsidRDefault="00605AD4" w:rsidP="00605AD4">
      <w:pPr>
        <w:pStyle w:val="Heading3"/>
        <w:rPr>
          <w:rFonts w:eastAsia="Cambria"/>
        </w:rPr>
      </w:pPr>
      <w:bookmarkStart w:id="125" w:name="_Toc465939525"/>
      <w:r w:rsidRPr="00605AD4">
        <w:rPr>
          <w:rFonts w:eastAsia="Cambria"/>
        </w:rPr>
        <w:t xml:space="preserve">Second </w:t>
      </w:r>
      <w:r w:rsidR="00BA14B0" w:rsidRPr="00605AD4">
        <w:rPr>
          <w:rFonts w:eastAsia="Cambria"/>
        </w:rPr>
        <w:t xml:space="preserve">round evaluation </w:t>
      </w:r>
      <w:r w:rsidRPr="00605AD4">
        <w:rPr>
          <w:rFonts w:eastAsia="Cambria"/>
        </w:rPr>
        <w:t>of clinical data submitted in response to questions</w:t>
      </w:r>
      <w:bookmarkEnd w:id="125"/>
    </w:p>
    <w:p w:rsidR="006136D7" w:rsidRPr="00605AD4" w:rsidRDefault="006136D7" w:rsidP="006136D7">
      <w:r>
        <w:t>For details of the sponsor’s responses and the evaluation of these responses please see Attachment 2.</w:t>
      </w:r>
    </w:p>
    <w:p w:rsidR="00605AD4" w:rsidRPr="00605AD4" w:rsidRDefault="00E215F8" w:rsidP="00546154">
      <w:r>
        <w:rPr>
          <w:lang w:eastAsia="ja-JP"/>
        </w:rPr>
        <w:t>The analysis of the response to the questions was presented in the Delegates overview</w:t>
      </w:r>
      <w:r w:rsidR="001D1245">
        <w:rPr>
          <w:lang w:eastAsia="ja-JP"/>
        </w:rPr>
        <w:t>.</w:t>
      </w:r>
    </w:p>
    <w:p w:rsidR="008E7846" w:rsidRPr="00E41208" w:rsidRDefault="008E7846" w:rsidP="00546154">
      <w:pPr>
        <w:pStyle w:val="Heading2"/>
      </w:pPr>
      <w:bookmarkStart w:id="126" w:name="_Toc465939526"/>
      <w:r w:rsidRPr="00E41208">
        <w:t xml:space="preserve">V. Pharmacovigilance </w:t>
      </w:r>
      <w:r>
        <w:t>f</w:t>
      </w:r>
      <w:r w:rsidRPr="00E41208">
        <w:t>indings</w:t>
      </w:r>
      <w:bookmarkEnd w:id="114"/>
      <w:bookmarkEnd w:id="115"/>
      <w:bookmarkEnd w:id="126"/>
    </w:p>
    <w:p w:rsidR="008E7846" w:rsidRDefault="00386150" w:rsidP="008E7846">
      <w:pPr>
        <w:pStyle w:val="Heading3"/>
        <w:rPr>
          <w:lang w:eastAsia="en-AU"/>
        </w:rPr>
      </w:pPr>
      <w:bookmarkStart w:id="127" w:name="_Toc247691526"/>
      <w:bookmarkStart w:id="128" w:name="_Toc314842509"/>
      <w:bookmarkStart w:id="129" w:name="_Toc465939527"/>
      <w:r>
        <w:rPr>
          <w:lang w:eastAsia="en-AU"/>
        </w:rPr>
        <w:t>Risk m</w:t>
      </w:r>
      <w:r w:rsidR="008E7846">
        <w:rPr>
          <w:lang w:eastAsia="en-AU"/>
        </w:rPr>
        <w:t xml:space="preserve">anagement </w:t>
      </w:r>
      <w:r>
        <w:rPr>
          <w:lang w:eastAsia="en-AU"/>
        </w:rPr>
        <w:t>p</w:t>
      </w:r>
      <w:r w:rsidR="008E7846">
        <w:rPr>
          <w:lang w:eastAsia="en-AU"/>
        </w:rPr>
        <w:t>lan</w:t>
      </w:r>
      <w:bookmarkEnd w:id="127"/>
      <w:bookmarkEnd w:id="128"/>
      <w:bookmarkEnd w:id="129"/>
    </w:p>
    <w:p w:rsidR="002D416D" w:rsidRDefault="008E7846" w:rsidP="008E0B1B">
      <w:r>
        <w:rPr>
          <w:lang w:eastAsia="en-AU"/>
        </w:rPr>
        <w:t xml:space="preserve">The sponsor submitted a Risk Management </w:t>
      </w:r>
      <w:r w:rsidRPr="002D416D">
        <w:t>Plan</w:t>
      </w:r>
      <w:r w:rsidR="006F25B8" w:rsidRPr="002D416D">
        <w:t xml:space="preserve"> </w:t>
      </w:r>
      <w:r w:rsidR="008E0B1B">
        <w:t>‘</w:t>
      </w:r>
      <w:r w:rsidR="008E0B1B" w:rsidRPr="008E0B1B">
        <w:t>Ozurdex</w:t>
      </w:r>
      <w:r w:rsidR="008E0B1B">
        <w:t xml:space="preserve"> </w:t>
      </w:r>
      <w:r w:rsidR="008E0B1B" w:rsidRPr="008E0B1B">
        <w:t>Dexamethasone Posterior Segme</w:t>
      </w:r>
      <w:r w:rsidR="008E0B1B">
        <w:t xml:space="preserve">nt Drug Delivery System (DEX PS DDS) Applicator System </w:t>
      </w:r>
      <w:r w:rsidR="008E0B1B" w:rsidRPr="008E0B1B">
        <w:t xml:space="preserve">Risk Management Plan (RMP) </w:t>
      </w:r>
      <w:r w:rsidR="002D416D" w:rsidRPr="008E0B1B">
        <w:t>EU</w:t>
      </w:r>
      <w:r w:rsidR="00D57E70" w:rsidRPr="008E0B1B">
        <w:t xml:space="preserve"> </w:t>
      </w:r>
      <w:r w:rsidR="002D416D" w:rsidRPr="008E0B1B">
        <w:t>RMP Version 4.0</w:t>
      </w:r>
      <w:r w:rsidR="008E0B1B">
        <w:t>’</w:t>
      </w:r>
      <w:r w:rsidR="002D416D" w:rsidRPr="008E0B1B">
        <w:t xml:space="preserve"> (dated 18 March 2014) with an Australian Specific Annex (ASA) Version 1.0 (dated 20 March 2014)</w:t>
      </w:r>
      <w:r w:rsidR="002D416D" w:rsidRPr="002D416D">
        <w:t xml:space="preserve"> </w:t>
      </w:r>
      <w:r>
        <w:rPr>
          <w:lang w:eastAsia="en-AU"/>
        </w:rPr>
        <w:t xml:space="preserve">which was reviewed by the </w:t>
      </w:r>
      <w:r w:rsidR="00FC1FCA">
        <w:rPr>
          <w:lang w:eastAsia="en-AU"/>
        </w:rPr>
        <w:t>RMP evaluator.</w:t>
      </w:r>
    </w:p>
    <w:p w:rsidR="008E7846" w:rsidRDefault="003A7F6C" w:rsidP="008E7846">
      <w:pPr>
        <w:pStyle w:val="Heading4"/>
        <w:rPr>
          <w:lang w:eastAsia="en-AU"/>
        </w:rPr>
      </w:pPr>
      <w:r>
        <w:rPr>
          <w:lang w:eastAsia="en-AU"/>
        </w:rPr>
        <w:lastRenderedPageBreak/>
        <w:t>Safety s</w:t>
      </w:r>
      <w:r w:rsidR="008E7846">
        <w:rPr>
          <w:lang w:eastAsia="en-AU"/>
        </w:rPr>
        <w:t>pecification</w:t>
      </w:r>
    </w:p>
    <w:p w:rsidR="008E7846" w:rsidRDefault="008E7846" w:rsidP="008E7846">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on</w:t>
      </w:r>
      <w:r w:rsidR="008E0B1B">
        <w:rPr>
          <w:lang w:eastAsia="en-AU"/>
        </w:rPr>
        <w:t>cerns which are shown in Table 7</w:t>
      </w:r>
      <w:r>
        <w:rPr>
          <w:lang w:eastAsia="en-AU"/>
        </w:rPr>
        <w:t>.</w:t>
      </w:r>
    </w:p>
    <w:p w:rsidR="008E0B1B" w:rsidRDefault="008E0B1B" w:rsidP="008E0B1B">
      <w:pPr>
        <w:pStyle w:val="TableTitle"/>
        <w:rPr>
          <w:lang w:eastAsia="en-AU"/>
        </w:rPr>
      </w:pPr>
      <w:proofErr w:type="gramStart"/>
      <w:r>
        <w:rPr>
          <w:lang w:eastAsia="en-AU"/>
        </w:rPr>
        <w:t>Table 7.</w:t>
      </w:r>
      <w:proofErr w:type="gramEnd"/>
      <w:r>
        <w:rPr>
          <w:lang w:eastAsia="en-AU"/>
        </w:rPr>
        <w:t xml:space="preserve"> Summary of ongoing safety concerns</w:t>
      </w:r>
    </w:p>
    <w:tbl>
      <w:tblPr>
        <w:tblStyle w:val="TableTGAblue"/>
        <w:tblW w:w="0" w:type="auto"/>
        <w:tblLook w:val="04A0" w:firstRow="1" w:lastRow="0" w:firstColumn="1" w:lastColumn="0" w:noHBand="0" w:noVBand="1"/>
      </w:tblPr>
      <w:tblGrid>
        <w:gridCol w:w="3209"/>
        <w:gridCol w:w="5511"/>
      </w:tblGrid>
      <w:tr w:rsidR="00E91F75" w:rsidRPr="00E91F75" w:rsidTr="008E0B1B">
        <w:trPr>
          <w:cnfStyle w:val="100000000000" w:firstRow="1" w:lastRow="0" w:firstColumn="0" w:lastColumn="0" w:oddVBand="0" w:evenVBand="0" w:oddHBand="0" w:evenHBand="0" w:firstRowFirstColumn="0" w:firstRowLastColumn="0" w:lastRowFirstColumn="0" w:lastRowLastColumn="0"/>
          <w:trHeight w:val="454"/>
        </w:trPr>
        <w:tc>
          <w:tcPr>
            <w:tcW w:w="3510" w:type="dxa"/>
          </w:tcPr>
          <w:p w:rsidR="00E91F75" w:rsidRPr="00E91F75" w:rsidRDefault="00E91F75" w:rsidP="00BA14B0">
            <w:r w:rsidRPr="00E91F75">
              <w:t>Ongoing safety concerns</w:t>
            </w:r>
          </w:p>
        </w:tc>
        <w:tc>
          <w:tcPr>
            <w:tcW w:w="6176" w:type="dxa"/>
          </w:tcPr>
          <w:p w:rsidR="00E91F75" w:rsidRPr="00E91F75" w:rsidRDefault="00E91F75" w:rsidP="00BA14B0"/>
        </w:tc>
      </w:tr>
      <w:tr w:rsidR="00E91F75" w:rsidRPr="00E91F75" w:rsidTr="00E91F75">
        <w:tc>
          <w:tcPr>
            <w:tcW w:w="3510" w:type="dxa"/>
          </w:tcPr>
          <w:p w:rsidR="00E91F75" w:rsidRPr="00E91F75" w:rsidRDefault="00E91F75" w:rsidP="00BA14B0">
            <w:r w:rsidRPr="00E91F75">
              <w:t>Important identified risks</w:t>
            </w:r>
          </w:p>
        </w:tc>
        <w:tc>
          <w:tcPr>
            <w:tcW w:w="6176" w:type="dxa"/>
          </w:tcPr>
          <w:p w:rsidR="00E91F75" w:rsidRPr="00E91F75" w:rsidRDefault="00E91F75" w:rsidP="00BA14B0">
            <w:r w:rsidRPr="00E91F75">
              <w:t>Increased intraocular pressure, Glaucoma, Ocular Hypertension</w:t>
            </w:r>
          </w:p>
          <w:p w:rsidR="00E91F75" w:rsidRPr="00E91F75" w:rsidRDefault="00E91F75" w:rsidP="00BA14B0">
            <w:r w:rsidRPr="00E91F75">
              <w:t>Cataract formation</w:t>
            </w:r>
          </w:p>
          <w:p w:rsidR="00E91F75" w:rsidRPr="00E91F75" w:rsidRDefault="00E91F75" w:rsidP="00BA14B0">
            <w:r w:rsidRPr="00E91F75">
              <w:t>Vitreous detachment, haemorrhage</w:t>
            </w:r>
          </w:p>
          <w:p w:rsidR="00E91F75" w:rsidRPr="00E91F75" w:rsidRDefault="00E91F75" w:rsidP="00BA14B0">
            <w:proofErr w:type="spellStart"/>
            <w:r w:rsidRPr="00E91F75">
              <w:t>Endophthalmitis</w:t>
            </w:r>
            <w:proofErr w:type="spellEnd"/>
            <w:r w:rsidRPr="00E91F75">
              <w:t xml:space="preserve"> (infectious, </w:t>
            </w:r>
            <w:r w:rsidR="008E0B1B" w:rsidRPr="00E91F75">
              <w:t>non-infectious</w:t>
            </w:r>
            <w:r w:rsidRPr="00E91F75">
              <w:t>)</w:t>
            </w:r>
          </w:p>
          <w:p w:rsidR="00E91F75" w:rsidRPr="00E91F75" w:rsidRDefault="00E91F75" w:rsidP="00BA14B0">
            <w:r w:rsidRPr="00E91F75">
              <w:t>Retinal tear/ detachment</w:t>
            </w:r>
          </w:p>
          <w:p w:rsidR="00E91F75" w:rsidRPr="00E91F75" w:rsidRDefault="00E91F75" w:rsidP="00BA14B0">
            <w:r w:rsidRPr="00E91F75">
              <w:t xml:space="preserve">Significant vitreous leak or </w:t>
            </w:r>
            <w:proofErr w:type="spellStart"/>
            <w:r w:rsidRPr="00E91F75">
              <w:t>hypotony</w:t>
            </w:r>
            <w:proofErr w:type="spellEnd"/>
          </w:p>
          <w:p w:rsidR="00E91F75" w:rsidRPr="00E91F75" w:rsidRDefault="00E91F75" w:rsidP="00BA14B0">
            <w:r w:rsidRPr="00E91F75">
              <w:t>Device dislocation</w:t>
            </w:r>
          </w:p>
          <w:p w:rsidR="00E91F75" w:rsidRPr="00E91F75" w:rsidRDefault="00E91F75" w:rsidP="00BA14B0">
            <w:r w:rsidRPr="00E91F75">
              <w:t>Implant misplacement</w:t>
            </w:r>
          </w:p>
          <w:p w:rsidR="00E91F75" w:rsidRPr="00E91F75" w:rsidRDefault="00E91F75" w:rsidP="00BA14B0">
            <w:r w:rsidRPr="00E91F75">
              <w:t>Retinitis secondary to reactivation of latent viral or other ophthalmic infections</w:t>
            </w:r>
          </w:p>
        </w:tc>
      </w:tr>
      <w:tr w:rsidR="00E91F75" w:rsidRPr="00E91F75" w:rsidTr="00E91F75">
        <w:tc>
          <w:tcPr>
            <w:tcW w:w="3510" w:type="dxa"/>
          </w:tcPr>
          <w:p w:rsidR="00E91F75" w:rsidRPr="00E91F75" w:rsidRDefault="00E91F75" w:rsidP="00BA14B0">
            <w:r w:rsidRPr="00E91F75">
              <w:t>Missing information</w:t>
            </w:r>
          </w:p>
        </w:tc>
        <w:tc>
          <w:tcPr>
            <w:tcW w:w="6176" w:type="dxa"/>
          </w:tcPr>
          <w:p w:rsidR="00E91F75" w:rsidRPr="00E91F75" w:rsidRDefault="00E91F75" w:rsidP="00BA14B0">
            <w:r w:rsidRPr="00E91F75">
              <w:t>Paediatric use</w:t>
            </w:r>
          </w:p>
          <w:p w:rsidR="00E91F75" w:rsidRPr="00E91F75" w:rsidRDefault="00E91F75" w:rsidP="00BA14B0">
            <w:r w:rsidRPr="00E91F75">
              <w:t>Pregnancy and lactation</w:t>
            </w:r>
          </w:p>
          <w:p w:rsidR="00E91F75" w:rsidRPr="00E91F75" w:rsidRDefault="00E91F75" w:rsidP="00BA14B0">
            <w:r w:rsidRPr="00E91F75">
              <w:t>Long</w:t>
            </w:r>
            <w:r w:rsidR="00D57E70">
              <w:t xml:space="preserve"> </w:t>
            </w:r>
            <w:r w:rsidRPr="00E91F75">
              <w:t>term safety, repeat dosing data</w:t>
            </w:r>
          </w:p>
          <w:p w:rsidR="00E91F75" w:rsidRPr="00E91F75" w:rsidRDefault="00E91F75" w:rsidP="00BA14B0">
            <w:r w:rsidRPr="00E91F75">
              <w:t>Concurrent use of anticoagulants</w:t>
            </w:r>
          </w:p>
          <w:p w:rsidR="00E91F75" w:rsidRPr="00E91F75" w:rsidRDefault="00E91F75" w:rsidP="00BA14B0">
            <w:r w:rsidRPr="00E91F75">
              <w:t>Patients with significant retinal ischemia</w:t>
            </w:r>
          </w:p>
        </w:tc>
      </w:tr>
    </w:tbl>
    <w:p w:rsidR="008E7846" w:rsidRDefault="008E7846" w:rsidP="008E7846">
      <w:pPr>
        <w:pStyle w:val="Heading4"/>
        <w:rPr>
          <w:lang w:eastAsia="en-AU"/>
        </w:rPr>
      </w:pPr>
      <w:r>
        <w:rPr>
          <w:lang w:eastAsia="en-AU"/>
        </w:rPr>
        <w:t xml:space="preserve">Pharmacovigilance </w:t>
      </w:r>
      <w:r w:rsidR="003A7F6C">
        <w:rPr>
          <w:lang w:eastAsia="en-AU"/>
        </w:rPr>
        <w:t>p</w:t>
      </w:r>
      <w:r>
        <w:rPr>
          <w:lang w:eastAsia="en-AU"/>
        </w:rPr>
        <w:t>lan</w:t>
      </w:r>
    </w:p>
    <w:p w:rsidR="00BF2539" w:rsidRDefault="00BF2539" w:rsidP="00BF2539">
      <w:r w:rsidRPr="00BF2539">
        <w:t>The sponsor proposes routine pharmacovigilance activities to monitor all the specified ongoing safety concerns and missing information.</w:t>
      </w:r>
      <w:r w:rsidR="005C2E04">
        <w:t xml:space="preserve"> </w:t>
      </w:r>
      <w:r w:rsidRPr="00BF2539">
        <w:t>Copies of the targeted questionnaires for the important identified risks: ‘</w:t>
      </w:r>
      <w:proofErr w:type="spellStart"/>
      <w:r w:rsidRPr="00BF2539">
        <w:t>Endophthalmitis</w:t>
      </w:r>
      <w:proofErr w:type="spellEnd"/>
      <w:r w:rsidRPr="00BF2539">
        <w:t xml:space="preserve"> (infectious/ </w:t>
      </w:r>
      <w:r w:rsidR="008E0B1B" w:rsidRPr="00BF2539">
        <w:t>non</w:t>
      </w:r>
      <w:r w:rsidR="008E0B1B">
        <w:t>-</w:t>
      </w:r>
      <w:r w:rsidR="008E0B1B" w:rsidRPr="00BF2539">
        <w:t>infectious</w:t>
      </w:r>
      <w:r w:rsidRPr="00BF2539">
        <w:t xml:space="preserve">)’, ‘Significant vitreous leak or </w:t>
      </w:r>
      <w:proofErr w:type="spellStart"/>
      <w:r w:rsidRPr="00BF2539">
        <w:t>hypotony</w:t>
      </w:r>
      <w:proofErr w:type="spellEnd"/>
      <w:r w:rsidRPr="00BF2539">
        <w:t xml:space="preserve">’, ‘Device Dislocation’, ‘Implant misplacement’ </w:t>
      </w:r>
      <w:r w:rsidR="00656BA4">
        <w:t>and</w:t>
      </w:r>
      <w:r w:rsidRPr="00BF2539">
        <w:t xml:space="preserve"> ‘Retinitis secondary to reactivation of latent viral or other ophthalmic infections’ have been provided in Annex 7 of the EU</w:t>
      </w:r>
      <w:r w:rsidR="00D57E70">
        <w:t xml:space="preserve"> </w:t>
      </w:r>
      <w:r w:rsidRPr="00BF2539">
        <w:t>RMP.</w:t>
      </w:r>
      <w:r w:rsidR="005C2E04">
        <w:t xml:space="preserve"> </w:t>
      </w:r>
      <w:r w:rsidRPr="00BF2539">
        <w:t>However, it is not clear if these targeted questionnaires are proposed for use in Australia as part of routine pharmacovigilance.</w:t>
      </w:r>
    </w:p>
    <w:p w:rsidR="00BF2539" w:rsidRPr="00BF2539" w:rsidRDefault="00BF2539" w:rsidP="00BF2539">
      <w:r w:rsidRPr="00BF2539">
        <w:t>Additional pharmacovigilance in the form of an ongoing EU observational study (PASS) – Study 206207</w:t>
      </w:r>
      <w:r w:rsidR="00D57E70">
        <w:t xml:space="preserve"> </w:t>
      </w:r>
      <w:r w:rsidRPr="00BF2539">
        <w:t>025: ‘Post</w:t>
      </w:r>
      <w:r w:rsidR="00D57E70">
        <w:t xml:space="preserve"> </w:t>
      </w:r>
      <w:r w:rsidRPr="00BF2539">
        <w:t xml:space="preserve">Authorization Safety Study of </w:t>
      </w:r>
      <w:r w:rsidR="007E59EA">
        <w:t>Ozurdex</w:t>
      </w:r>
      <w:r w:rsidRPr="00BF2539">
        <w:t xml:space="preserve"> (Dexamethasone Intravitreal Implant): A Prospective Observational Study to Evaluate Long</w:t>
      </w:r>
      <w:r w:rsidR="00D57E70">
        <w:t xml:space="preserve"> </w:t>
      </w:r>
      <w:r w:rsidRPr="00BF2539">
        <w:t>Term Safety in Real</w:t>
      </w:r>
      <w:r w:rsidR="00D57E70">
        <w:t xml:space="preserve"> </w:t>
      </w:r>
      <w:r w:rsidRPr="00BF2539">
        <w:t xml:space="preserve">World Clinical Practice’ is also proposed to further characterise all the specified ongoing safety concerns, except for the missing information: ‘Paediatric Use’, ‘Pregnancy and lactation’, ‘Concurrent use of anticoagulants’ </w:t>
      </w:r>
      <w:r w:rsidR="00656BA4">
        <w:t>and</w:t>
      </w:r>
      <w:r w:rsidRPr="00BF2539">
        <w:t xml:space="preserve"> ‘Patients with significant retinal </w:t>
      </w:r>
      <w:r w:rsidR="008E0B1B" w:rsidRPr="00BF2539">
        <w:t>ischemia</w:t>
      </w:r>
      <w:r w:rsidRPr="00BF2539">
        <w:t>’.</w:t>
      </w:r>
      <w:r w:rsidR="005C2E04">
        <w:t xml:space="preserve"> </w:t>
      </w:r>
      <w:r w:rsidRPr="00BF2539">
        <w:t>The EU</w:t>
      </w:r>
      <w:r w:rsidR="00D57E70">
        <w:t xml:space="preserve"> </w:t>
      </w:r>
      <w:r w:rsidRPr="00BF2539">
        <w:t>RMP reports that the first patient enrolment occurred in March 2012.</w:t>
      </w:r>
      <w:r w:rsidR="005C2E04">
        <w:t xml:space="preserve"> </w:t>
      </w:r>
      <w:r w:rsidRPr="00BF2539">
        <w:t>A total of 18 sites have been initiated (9 in Germany, 7 in the UK, and 2 in France). As of 24 January 2014, 783 patients have been enrolled.</w:t>
      </w:r>
      <w:r w:rsidR="005C2E04">
        <w:t xml:space="preserve"> </w:t>
      </w:r>
      <w:r w:rsidRPr="00BF2539">
        <w:t>The final study report is anticipated to be submitted in the EU as of 28 March 2016.</w:t>
      </w:r>
      <w:r w:rsidR="005C2E04">
        <w:t xml:space="preserve"> </w:t>
      </w:r>
      <w:r w:rsidRPr="00BF2539">
        <w:t>A number of progress reports for this study have been provided in Annex 9 of the EU</w:t>
      </w:r>
      <w:r w:rsidR="00D57E70">
        <w:t xml:space="preserve"> </w:t>
      </w:r>
      <w:r w:rsidRPr="00BF2539">
        <w:t>RMP.</w:t>
      </w:r>
      <w:r w:rsidR="005C2E04">
        <w:t xml:space="preserve"> </w:t>
      </w:r>
      <w:r w:rsidRPr="00BF2539">
        <w:t>However, reference to this ongoing study is found in Section 3: ‘Risk Minimisation Plan’ of the ASA rather than the section related to pharmacovigilance, which refers to the completed Phase III studies 206207</w:t>
      </w:r>
      <w:r w:rsidR="00D57E70">
        <w:t xml:space="preserve"> </w:t>
      </w:r>
      <w:r w:rsidRPr="00BF2539">
        <w:t>010 and 206207</w:t>
      </w:r>
      <w:r w:rsidR="00D57E70">
        <w:t xml:space="preserve"> </w:t>
      </w:r>
      <w:r w:rsidRPr="00BF2539">
        <w:t xml:space="preserve">011, evaluating safety and efficacy of Dexamethasone Posterior Segment Drug </w:t>
      </w:r>
      <w:r w:rsidRPr="00BF2539">
        <w:lastRenderedPageBreak/>
        <w:t>Delivery System (DEX PS DDS) Applicator System for the treatment of diabetic macular oedema (DME).</w:t>
      </w:r>
    </w:p>
    <w:p w:rsidR="008E7846" w:rsidRDefault="008E7846" w:rsidP="008E7846">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BF2539" w:rsidRPr="00BF2539" w:rsidRDefault="00BF2539" w:rsidP="00BF2539">
      <w:bookmarkStart w:id="130" w:name="_Toc247691527"/>
      <w:r w:rsidRPr="00BF2539">
        <w:t>The sponsor has concluded that routine risk minimisation activities for all the specified ongoing safety concerns and missing information are sufficient.</w:t>
      </w:r>
      <w:r w:rsidR="005C2E04">
        <w:t xml:space="preserve"> </w:t>
      </w:r>
      <w:r w:rsidRPr="00BF2539">
        <w:t>Additional risk minimisation in the form of prescriber educational material is proposed for all the specified important identified risks and patient educational material is proposed for the important identified risks: ‘</w:t>
      </w:r>
      <w:r w:rsidR="008E0B1B" w:rsidRPr="00BF2539">
        <w:t xml:space="preserve">increased intraocular pressure, glaucoma, ocular hypertension’ </w:t>
      </w:r>
      <w:r w:rsidR="008E0B1B">
        <w:t>and</w:t>
      </w:r>
      <w:r w:rsidR="008E0B1B" w:rsidRPr="00BF2539">
        <w:t xml:space="preserve"> ‘</w:t>
      </w:r>
      <w:proofErr w:type="spellStart"/>
      <w:r w:rsidR="008E0B1B" w:rsidRPr="00BF2539">
        <w:t>endophthalmitis</w:t>
      </w:r>
      <w:proofErr w:type="spellEnd"/>
      <w:r w:rsidR="008E0B1B" w:rsidRPr="00BF2539">
        <w:t xml:space="preserve"> (infectious/ non</w:t>
      </w:r>
      <w:r w:rsidR="008E0B1B">
        <w:t>-</w:t>
      </w:r>
      <w:r w:rsidR="008E0B1B" w:rsidRPr="00BF2539">
        <w:t>i</w:t>
      </w:r>
      <w:r w:rsidR="008E0B1B">
        <w:t>nfectious)’.</w:t>
      </w:r>
    </w:p>
    <w:p w:rsidR="00BF2539" w:rsidRPr="00BF2539" w:rsidRDefault="00BF2539" w:rsidP="00BF2539">
      <w:pPr>
        <w:pStyle w:val="Comment"/>
      </w:pPr>
      <w:r w:rsidRPr="00BF2539">
        <w:rPr>
          <w:b/>
        </w:rPr>
        <w:t>Comment:</w:t>
      </w:r>
      <w:r>
        <w:t xml:space="preserve"> </w:t>
      </w:r>
      <w:r w:rsidRPr="00BF2539">
        <w:t>At this time the sponsor’s conclusion in regard to the need for risk minimisation activities is considered acceptable.</w:t>
      </w:r>
    </w:p>
    <w:p w:rsidR="006F25B8" w:rsidRDefault="006F25B8" w:rsidP="006F25B8">
      <w:pPr>
        <w:pStyle w:val="Heading4"/>
        <w:rPr>
          <w:lang w:eastAsia="en-AU"/>
        </w:rPr>
      </w:pPr>
      <w:r w:rsidRPr="006F25B8">
        <w:rPr>
          <w:lang w:eastAsia="en-AU"/>
        </w:rPr>
        <w:t>Reconciliation of is</w:t>
      </w:r>
      <w:r w:rsidR="00786CA7">
        <w:rPr>
          <w:lang w:eastAsia="en-AU"/>
        </w:rPr>
        <w:t>sues outlined in the RMP report</w:t>
      </w:r>
    </w:p>
    <w:p w:rsidR="006F25B8" w:rsidRDefault="006F25B8" w:rsidP="006F25B8">
      <w:pPr>
        <w:rPr>
          <w:lang w:eastAsia="en-AU"/>
        </w:rPr>
      </w:pPr>
      <w:r>
        <w:rPr>
          <w:lang w:eastAsia="en-AU"/>
        </w:rPr>
        <w:t xml:space="preserve">Table </w:t>
      </w:r>
      <w:r w:rsidR="008E0B1B">
        <w:rPr>
          <w:lang w:eastAsia="en-AU"/>
        </w:rPr>
        <w:t>8</w:t>
      </w:r>
      <w:r>
        <w:rPr>
          <w:lang w:eastAsia="en-AU"/>
        </w:rPr>
        <w:t xml:space="preserve"> summarises the </w:t>
      </w:r>
      <w:r w:rsidR="008E0B1B">
        <w:rPr>
          <w:lang w:eastAsia="en-AU"/>
        </w:rPr>
        <w:t xml:space="preserve">RMP evaluator’s </w:t>
      </w:r>
      <w:r>
        <w:rPr>
          <w:lang w:eastAsia="en-AU"/>
        </w:rPr>
        <w:t xml:space="preserve">first round evaluation of the RMP, the sponsor’s responses to issues raised </w:t>
      </w:r>
      <w:r w:rsidR="008E0B1B">
        <w:rPr>
          <w:lang w:eastAsia="en-AU"/>
        </w:rPr>
        <w:t>and the</w:t>
      </w:r>
      <w:r>
        <w:rPr>
          <w:lang w:eastAsia="en-AU"/>
        </w:rPr>
        <w:t xml:space="preserve"> evaluat</w:t>
      </w:r>
      <w:r w:rsidR="00786CA7">
        <w:rPr>
          <w:lang w:eastAsia="en-AU"/>
        </w:rPr>
        <w:t>ion of the sponsor’s responses.</w:t>
      </w:r>
    </w:p>
    <w:p w:rsidR="00786CA7" w:rsidRDefault="008E0B1B" w:rsidP="00786CA7">
      <w:pPr>
        <w:pStyle w:val="TableTitle"/>
        <w:rPr>
          <w:lang w:eastAsia="en-AU"/>
        </w:rPr>
      </w:pPr>
      <w:r>
        <w:rPr>
          <w:lang w:eastAsia="en-AU"/>
        </w:rPr>
        <w:t>Table 8</w:t>
      </w:r>
      <w:r w:rsidR="00786CA7">
        <w:rPr>
          <w:lang w:eastAsia="en-AU"/>
        </w:rPr>
        <w:t xml:space="preserve"> reconciliation of issues outlined in the RMP report</w:t>
      </w:r>
    </w:p>
    <w:tbl>
      <w:tblPr>
        <w:tblStyle w:val="TableTGAblue"/>
        <w:tblW w:w="4758" w:type="pct"/>
        <w:jc w:val="center"/>
        <w:tblLayout w:type="fixed"/>
        <w:tblLook w:val="04A0" w:firstRow="1" w:lastRow="0" w:firstColumn="1" w:lastColumn="0" w:noHBand="0" w:noVBand="1"/>
      </w:tblPr>
      <w:tblGrid>
        <w:gridCol w:w="3479"/>
        <w:gridCol w:w="2662"/>
        <w:gridCol w:w="2157"/>
      </w:tblGrid>
      <w:tr w:rsidR="00A70AC0" w:rsidRPr="00A70AC0" w:rsidTr="00BA14B0">
        <w:trPr>
          <w:cnfStyle w:val="100000000000" w:firstRow="1" w:lastRow="0" w:firstColumn="0" w:lastColumn="0" w:oddVBand="0" w:evenVBand="0" w:oddHBand="0" w:evenHBand="0" w:firstRowFirstColumn="0" w:firstRowLastColumn="0" w:lastRowFirstColumn="0" w:lastRowLastColumn="0"/>
          <w:jc w:val="center"/>
        </w:trPr>
        <w:tc>
          <w:tcPr>
            <w:tcW w:w="2096" w:type="pct"/>
            <w:noWrap/>
          </w:tcPr>
          <w:p w:rsidR="00A70AC0" w:rsidRPr="008E0B1B" w:rsidRDefault="00A70AC0" w:rsidP="00BA14B0">
            <w:r w:rsidRPr="008E0B1B">
              <w:t>Recommendation in RMP evaluation report</w:t>
            </w:r>
          </w:p>
        </w:tc>
        <w:tc>
          <w:tcPr>
            <w:tcW w:w="1604" w:type="pct"/>
            <w:noWrap/>
          </w:tcPr>
          <w:p w:rsidR="00A70AC0" w:rsidRPr="008E0B1B" w:rsidRDefault="00A70AC0" w:rsidP="00BA14B0">
            <w:r w:rsidRPr="008E0B1B">
              <w:t>Sponsor’s response</w:t>
            </w:r>
          </w:p>
        </w:tc>
        <w:tc>
          <w:tcPr>
            <w:tcW w:w="1300" w:type="pct"/>
            <w:noWrap/>
          </w:tcPr>
          <w:p w:rsidR="00A70AC0" w:rsidRPr="008E0B1B" w:rsidRDefault="008E0B1B" w:rsidP="00BA14B0">
            <w:r>
              <w:t>RMP</w:t>
            </w:r>
            <w:r w:rsidR="00A70AC0" w:rsidRPr="008E0B1B">
              <w:t xml:space="preserve"> evaluator’s comment</w:t>
            </w:r>
          </w:p>
        </w:tc>
      </w:tr>
      <w:tr w:rsidR="00A70AC0" w:rsidRPr="00A70AC0" w:rsidTr="00BA14B0">
        <w:trPr>
          <w:trHeight w:val="1084"/>
          <w:jc w:val="center"/>
        </w:trPr>
        <w:tc>
          <w:tcPr>
            <w:tcW w:w="2096" w:type="pct"/>
            <w:tcBorders>
              <w:top w:val="single" w:sz="8" w:space="0" w:color="000000" w:themeColor="text1"/>
              <w:left w:val="single" w:sz="8" w:space="0" w:color="000000" w:themeColor="text1"/>
              <w:bottom w:val="single" w:sz="4" w:space="0" w:color="auto"/>
              <w:right w:val="single" w:sz="8" w:space="0" w:color="000000" w:themeColor="text1"/>
            </w:tcBorders>
            <w:noWrap/>
          </w:tcPr>
          <w:p w:rsidR="00A70AC0" w:rsidRPr="00A70AC0" w:rsidRDefault="00A70AC0" w:rsidP="00BA14B0">
            <w:r w:rsidRPr="00A70AC0">
              <w:t>The sponsor has advised that the data set package for Australia is essentially th</w:t>
            </w:r>
            <w:r w:rsidR="009A12AB">
              <w:t xml:space="preserve">e same as submitted in the EU. </w:t>
            </w:r>
            <w:r w:rsidRPr="00A70AC0">
              <w:t>Nevertheless it is drawn to the Delegate’s attention that the indications foreshadowed for approval in the EU are more restrictive than those</w:t>
            </w:r>
            <w:r w:rsidR="009A12AB">
              <w:t xml:space="preserve"> sought for in Australia. </w:t>
            </w:r>
            <w:r w:rsidRPr="00A70AC0">
              <w:t>Consequently Sub</w:t>
            </w:r>
            <w:r w:rsidR="00D57E70">
              <w:t xml:space="preserve"> </w:t>
            </w:r>
            <w:r w:rsidRPr="00A70AC0">
              <w:t>section 1.2.1: ‘Differences in indication between the European Union (EU) and Australia’ of the ASA should also be updated with this information.</w:t>
            </w:r>
          </w:p>
        </w:tc>
        <w:tc>
          <w:tcPr>
            <w:tcW w:w="1604" w:type="pct"/>
            <w:tcBorders>
              <w:top w:val="single" w:sz="8" w:space="0" w:color="000000" w:themeColor="text1"/>
              <w:left w:val="single" w:sz="8" w:space="0" w:color="000000" w:themeColor="text1"/>
              <w:bottom w:val="single" w:sz="4" w:space="0" w:color="auto"/>
              <w:right w:val="single" w:sz="8" w:space="0" w:color="000000" w:themeColor="text1"/>
            </w:tcBorders>
            <w:noWrap/>
          </w:tcPr>
          <w:p w:rsidR="00A70AC0" w:rsidRPr="00A70AC0" w:rsidRDefault="00A70AC0" w:rsidP="00BA14B0">
            <w:r w:rsidRPr="00A70AC0">
              <w:t>The sponsor states: “As described elsewhere in the response to the Consolidated Section 31 request for information and in the Australian Specific Annex v 2.0 (supplemented with EU</w:t>
            </w:r>
            <w:r w:rsidR="00D57E70">
              <w:t xml:space="preserve"> </w:t>
            </w:r>
            <w:r w:rsidRPr="00A70AC0">
              <w:t>RMP v 7.0), Allergan is proposing the following</w:t>
            </w:r>
            <w:r w:rsidR="009A12AB">
              <w:t xml:space="preserve"> revised indication for </w:t>
            </w:r>
            <w:r w:rsidR="007E59EA">
              <w:t>Ozurdex</w:t>
            </w:r>
            <w:r w:rsidRPr="00A70AC0">
              <w:t xml:space="preserve"> to be registered in Australia: treatment of adult patients with visual impairment due to diabetic macular oedema (DME) who are pseudophakic or who are considered insufficiently responsive to, or unsuitable for </w:t>
            </w:r>
            <w:r w:rsidR="00D11D52" w:rsidRPr="00A70AC0">
              <w:t>non</w:t>
            </w:r>
            <w:r w:rsidR="00D11D52">
              <w:t>-</w:t>
            </w:r>
            <w:r w:rsidR="00D11D52" w:rsidRPr="00A70AC0">
              <w:t>corticosteroid</w:t>
            </w:r>
            <w:r w:rsidRPr="00A70AC0">
              <w:t xml:space="preserve"> therapy. The proposed indication is </w:t>
            </w:r>
            <w:r w:rsidRPr="00A70AC0">
              <w:lastRenderedPageBreak/>
              <w:t>the same as the indication approved in EU on 26 August 2014 for DME patients.”</w:t>
            </w:r>
          </w:p>
        </w:tc>
        <w:tc>
          <w:tcPr>
            <w:tcW w:w="1300" w:type="pct"/>
            <w:tcBorders>
              <w:top w:val="single" w:sz="8" w:space="0" w:color="000000" w:themeColor="text1"/>
              <w:left w:val="single" w:sz="8" w:space="0" w:color="000000" w:themeColor="text1"/>
              <w:bottom w:val="single" w:sz="4" w:space="0" w:color="auto"/>
              <w:right w:val="single" w:sz="8" w:space="0" w:color="000000" w:themeColor="text1"/>
            </w:tcBorders>
            <w:noWrap/>
          </w:tcPr>
          <w:p w:rsidR="00A70AC0" w:rsidRPr="00A70AC0" w:rsidRDefault="00A70AC0" w:rsidP="00BA14B0">
            <w:r w:rsidRPr="00A70AC0">
              <w:lastRenderedPageBreak/>
              <w:t>This is acceptable</w:t>
            </w:r>
            <w:r w:rsidR="009A12AB">
              <w:t>.</w:t>
            </w:r>
          </w:p>
        </w:tc>
      </w:tr>
      <w:tr w:rsidR="00A70AC0" w:rsidRPr="00A70AC0" w:rsidTr="00BA14B0">
        <w:trPr>
          <w:trHeight w:val="1720"/>
          <w:jc w:val="center"/>
        </w:trPr>
        <w:tc>
          <w:tcPr>
            <w:tcW w:w="209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lastRenderedPageBreak/>
              <w:t>Both sub</w:t>
            </w:r>
            <w:r w:rsidR="00D57E70">
              <w:t xml:space="preserve"> </w:t>
            </w:r>
            <w:r w:rsidRPr="00A70AC0">
              <w:t xml:space="preserve">sections: ‘Australian specific epidemiological information on the population to be treated’ </w:t>
            </w:r>
            <w:r w:rsidR="00D11D52">
              <w:t>and</w:t>
            </w:r>
            <w:r w:rsidRPr="00A70AC0">
              <w:t xml:space="preserve"> ‘Differences in indicat</w:t>
            </w:r>
            <w:r w:rsidR="00D11D52">
              <w:t>ion between the EU</w:t>
            </w:r>
            <w:r w:rsidRPr="00A70AC0">
              <w:t xml:space="preserve"> and Australia’ of the ASA have been labelled: ‘1.2.1’.</w:t>
            </w:r>
            <w:r w:rsidR="005C2E04">
              <w:t xml:space="preserve"> </w:t>
            </w:r>
            <w:r w:rsidRPr="00A70AC0">
              <w:t>This discrepancy should be corrected and subsequent sub</w:t>
            </w:r>
            <w:r w:rsidR="00D57E70">
              <w:t xml:space="preserve"> </w:t>
            </w:r>
            <w:r w:rsidRPr="00A70AC0">
              <w:t>section numbering amended.</w:t>
            </w:r>
          </w:p>
        </w:tc>
        <w:tc>
          <w:tcPr>
            <w:tcW w:w="1604"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t>The sponsor states: “The discrepancy in numbering of Sub</w:t>
            </w:r>
            <w:r w:rsidR="00D57E70">
              <w:t xml:space="preserve"> </w:t>
            </w:r>
            <w:r w:rsidRPr="00A70AC0">
              <w:t>section 1.2.2 has been corrected and subsequent numbering</w:t>
            </w:r>
            <w:r w:rsidR="009A12AB">
              <w:t xml:space="preserve"> </w:t>
            </w:r>
            <w:r w:rsidRPr="00A70AC0">
              <w:t xml:space="preserve">has been amended in the </w:t>
            </w:r>
            <w:r w:rsidR="00D11D52">
              <w:t>ASA</w:t>
            </w:r>
            <w:r w:rsidRPr="00A70AC0">
              <w:t xml:space="preserve"> v2.0.”</w:t>
            </w:r>
          </w:p>
        </w:tc>
        <w:tc>
          <w:tcPr>
            <w:tcW w:w="13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t>This is acceptable.</w:t>
            </w:r>
          </w:p>
        </w:tc>
      </w:tr>
      <w:tr w:rsidR="00A70AC0" w:rsidRPr="00A70AC0" w:rsidTr="00BA14B0">
        <w:trPr>
          <w:trHeight w:val="1673"/>
          <w:jc w:val="center"/>
        </w:trPr>
        <w:tc>
          <w:tcPr>
            <w:tcW w:w="209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t>Safety considerations may be raised by the nonclinical and clinical evaluators through the consolidated request</w:t>
            </w:r>
            <w:r w:rsidR="00D11D52">
              <w:t xml:space="preserve"> for information</w:t>
            </w:r>
            <w:r w:rsidRPr="00A70AC0">
              <w:t xml:space="preserve"> and/or the </w:t>
            </w:r>
            <w:r w:rsidR="00D11D52" w:rsidRPr="00A70AC0">
              <w:t xml:space="preserve">nonclinical and clinical evaluation reports </w:t>
            </w:r>
            <w:r w:rsidRPr="00A70AC0">
              <w:t>respectively</w:t>
            </w:r>
            <w:r w:rsidR="009A12AB">
              <w:t xml:space="preserve">. </w:t>
            </w:r>
            <w:r w:rsidRPr="00A70AC0">
              <w:t xml:space="preserve">It is important to ensure that the information provided in response to these </w:t>
            </w:r>
            <w:proofErr w:type="gramStart"/>
            <w:r w:rsidRPr="00A70AC0">
              <w:t>include</w:t>
            </w:r>
            <w:proofErr w:type="gramEnd"/>
            <w:r w:rsidRPr="00A70AC0">
              <w:t xml:space="preserve"> a consideration of the relevance for the </w:t>
            </w:r>
            <w:r w:rsidR="009A12AB">
              <w:t>RMP</w:t>
            </w:r>
            <w:r w:rsidRPr="00A70AC0">
              <w:t>, and any specific information needed to address this issue in the RMP. For any safety considerations so raised, the sponsor should provide information that is relevant and necessary to address the issue in the RMP.</w:t>
            </w:r>
          </w:p>
        </w:tc>
        <w:tc>
          <w:tcPr>
            <w:tcW w:w="1604"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D11D52" w:rsidP="00BA14B0">
            <w:r>
              <w:t xml:space="preserve">The sponsor states: </w:t>
            </w:r>
            <w:r w:rsidR="00A70AC0" w:rsidRPr="00A70AC0">
              <w:t xml:space="preserve">In order to address the comments received in the </w:t>
            </w:r>
            <w:r w:rsidRPr="00A70AC0">
              <w:t>clinical evaluation report</w:t>
            </w:r>
            <w:r w:rsidR="00A70AC0" w:rsidRPr="00A70AC0">
              <w:t xml:space="preserve">, Allergan has revised the proposed indication and is seeking the approval of </w:t>
            </w:r>
            <w:r w:rsidR="007E59EA">
              <w:t>Ozurdex</w:t>
            </w:r>
            <w:r w:rsidR="00A70AC0" w:rsidRPr="00A70AC0">
              <w:t xml:space="preserve"> for the following: </w:t>
            </w:r>
            <w:r w:rsidR="00A70AC0" w:rsidRPr="00D11D52">
              <w:rPr>
                <w:i/>
              </w:rPr>
              <w:t xml:space="preserve">Treatment of adult patients with visual impairment due to diabetic macular oedema (DME) who are pseudophakic or who are considered insufficiently responsive to, or unsuitable for </w:t>
            </w:r>
            <w:r w:rsidRPr="00D11D52">
              <w:rPr>
                <w:i/>
              </w:rPr>
              <w:t>non-corticosteroid</w:t>
            </w:r>
            <w:r w:rsidR="00A70AC0" w:rsidRPr="00D11D52">
              <w:rPr>
                <w:i/>
              </w:rPr>
              <w:t xml:space="preserve"> therapy</w:t>
            </w:r>
            <w:r w:rsidR="00A70AC0" w:rsidRPr="00A70AC0">
              <w:t xml:space="preserve">. It was concluded that in view of changes in the </w:t>
            </w:r>
            <w:r w:rsidR="009A12AB">
              <w:t xml:space="preserve">proposed indication for </w:t>
            </w:r>
            <w:r w:rsidR="007E59EA">
              <w:t>Ozurdex</w:t>
            </w:r>
            <w:r w:rsidR="00A70AC0" w:rsidRPr="00A70AC0">
              <w:t xml:space="preserve"> in Australia, there is no added safety consideration that needs to be added to the current RMP v 7.0. As the patient population, for the current proposed indication, </w:t>
            </w:r>
            <w:r w:rsidR="00A70AC0" w:rsidRPr="00A70AC0">
              <w:lastRenderedPageBreak/>
              <w:t>may require multiple injections and need a long term treatment, the important potential risk of ‘Systemic corticosteroid effect’ (infection, hypertension and impaired healing) has already been included in the EU</w:t>
            </w:r>
            <w:r w:rsidR="00D57E70">
              <w:t xml:space="preserve"> </w:t>
            </w:r>
            <w:r w:rsidR="00A70AC0" w:rsidRPr="00A70AC0">
              <w:t xml:space="preserve">RMP v 7.0. Allergan believes that current EU RMP v 7.0 (along with the </w:t>
            </w:r>
            <w:r>
              <w:t>ASA</w:t>
            </w:r>
            <w:r w:rsidR="00A70AC0" w:rsidRPr="00A70AC0">
              <w:t xml:space="preserve"> v2.0) adequately addresses any safety concern(s</w:t>
            </w:r>
            <w:r w:rsidR="009A12AB">
              <w:t xml:space="preserve">) arising out of use of </w:t>
            </w:r>
            <w:r w:rsidR="007E59EA">
              <w:t>Ozurdex</w:t>
            </w:r>
            <w:r>
              <w:t xml:space="preserve"> in Australia.</w:t>
            </w:r>
          </w:p>
        </w:tc>
        <w:tc>
          <w:tcPr>
            <w:tcW w:w="13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lastRenderedPageBreak/>
              <w:t>This is acceptable.</w:t>
            </w:r>
            <w:r w:rsidR="005C2E04">
              <w:t xml:space="preserve"> </w:t>
            </w:r>
            <w:r w:rsidRPr="00A70AC0">
              <w:t xml:space="preserve">Nevertheless the sponsor should explain the discrepancy observed in the Nonclinical Safety Specification of the draft </w:t>
            </w:r>
            <w:r w:rsidR="009A12AB">
              <w:t>RMP</w:t>
            </w:r>
            <w:r w:rsidRPr="00A70AC0">
              <w:t xml:space="preserve"> (Module SII) by the nonclinical evaluator.</w:t>
            </w:r>
          </w:p>
        </w:tc>
      </w:tr>
      <w:tr w:rsidR="00A70AC0" w:rsidRPr="00A70AC0" w:rsidTr="00BA14B0">
        <w:trPr>
          <w:trHeight w:val="1084"/>
          <w:jc w:val="center"/>
        </w:trPr>
        <w:tc>
          <w:tcPr>
            <w:tcW w:w="209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lastRenderedPageBreak/>
              <w:t>It is recommended that the important potential risk: ‘Off label use’ be included as a new ongoing safety concern given the sponsor is not seeking to register the EU approved indications (</w:t>
            </w:r>
            <w:r w:rsidR="00740C73">
              <w:t>that is</w:t>
            </w:r>
            <w:r w:rsidRPr="00A70AC0">
              <w:t xml:space="preserve"> the treatment of adult patients with macular </w:t>
            </w:r>
            <w:r w:rsidRPr="00D11D52">
              <w:t xml:space="preserve">oedema following either </w:t>
            </w:r>
            <w:r w:rsidR="00D11D52" w:rsidRPr="00D11D52">
              <w:t>Branch Retinal Vein Occlusion (</w:t>
            </w:r>
            <w:r w:rsidRPr="00D11D52">
              <w:t>BRVO</w:t>
            </w:r>
            <w:r w:rsidR="00D11D52" w:rsidRPr="00D11D52">
              <w:t>)</w:t>
            </w:r>
            <w:r w:rsidRPr="00D11D52">
              <w:t xml:space="preserve"> or </w:t>
            </w:r>
            <w:r w:rsidR="00D11D52" w:rsidRPr="00D11D52">
              <w:t>Central Retinal Vein Occlusion (</w:t>
            </w:r>
            <w:r w:rsidRPr="00D11D52">
              <w:t>CRVO</w:t>
            </w:r>
            <w:r w:rsidR="00D11D52" w:rsidRPr="00D11D52">
              <w:t>)</w:t>
            </w:r>
            <w:r w:rsidRPr="00D11D52">
              <w:t xml:space="preserve"> and for the treatment of adult patients</w:t>
            </w:r>
            <w:r w:rsidRPr="00A70AC0">
              <w:t xml:space="preserve"> with inflammation of the posterior segment of the eye presenti</w:t>
            </w:r>
            <w:r w:rsidR="009A12AB">
              <w:t xml:space="preserve">ng as </w:t>
            </w:r>
            <w:r w:rsidR="00D11D52">
              <w:t>non-infectious</w:t>
            </w:r>
            <w:r w:rsidR="009A12AB">
              <w:t xml:space="preserve"> uveitis). </w:t>
            </w:r>
            <w:r w:rsidRPr="00A70AC0">
              <w:t>Consideration must be given as to what pharmacovigilance and risk minimisation activities will be proposed for this new ongoing safety concern and only the ASA need be revised accordingly.</w:t>
            </w:r>
          </w:p>
        </w:tc>
        <w:tc>
          <w:tcPr>
            <w:tcW w:w="1604"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t xml:space="preserve">The sponsor agrees that post approval of </w:t>
            </w:r>
            <w:r w:rsidR="007E59EA">
              <w:t>Ozurdex</w:t>
            </w:r>
            <w:r w:rsidRPr="00A70AC0">
              <w:t xml:space="preserve"> in Australia for the proposed indication there is a potential for off</w:t>
            </w:r>
            <w:r w:rsidR="00D57E70">
              <w:t xml:space="preserve"> </w:t>
            </w:r>
            <w:r w:rsidRPr="00A70AC0">
              <w:t xml:space="preserve">label use for the remaining approved indications in the EU and the US (macular oedema </w:t>
            </w:r>
            <w:r w:rsidRPr="00D11D52">
              <w:t>following BRVO or CRV</w:t>
            </w:r>
            <w:r w:rsidR="009A12AB" w:rsidRPr="00D11D52">
              <w:t xml:space="preserve">O and </w:t>
            </w:r>
            <w:r w:rsidR="00D11D52" w:rsidRPr="00D11D52">
              <w:t>n</w:t>
            </w:r>
            <w:r w:rsidR="00D11D52">
              <w:t>on-infectious</w:t>
            </w:r>
            <w:r w:rsidR="009A12AB">
              <w:t xml:space="preserve"> uveitis). </w:t>
            </w:r>
            <w:r w:rsidRPr="00A70AC0">
              <w:t xml:space="preserve">However, the sponsor argues that safety concerns (if any) associated with the use of </w:t>
            </w:r>
            <w:r w:rsidR="007E59EA">
              <w:t>Ozurdex</w:t>
            </w:r>
            <w:r w:rsidRPr="00A70AC0">
              <w:t xml:space="preserve"> in adult patients with macular oedema following BRVO or CRVO and </w:t>
            </w:r>
            <w:r w:rsidR="00D11D52" w:rsidRPr="00A70AC0">
              <w:t>non</w:t>
            </w:r>
            <w:r w:rsidR="00D11D52">
              <w:t>-</w:t>
            </w:r>
            <w:r w:rsidR="00D11D52" w:rsidRPr="00A70AC0">
              <w:t>infectious</w:t>
            </w:r>
            <w:r w:rsidRPr="00A70AC0">
              <w:t xml:space="preserve"> posterior uveitis will be similar, if not, less than those expected with its usage in dia</w:t>
            </w:r>
            <w:r w:rsidR="009A12AB">
              <w:t xml:space="preserve">betic macular oedema patients. </w:t>
            </w:r>
            <w:r w:rsidRPr="00A70AC0">
              <w:t xml:space="preserve">On this basis </w:t>
            </w:r>
            <w:r w:rsidR="009A12AB">
              <w:lastRenderedPageBreak/>
              <w:t>the sponsor</w:t>
            </w:r>
            <w:r w:rsidRPr="00A70AC0">
              <w:t xml:space="preserve"> refuses to amend Section 2 of the ASA as recommended.</w:t>
            </w:r>
          </w:p>
        </w:tc>
        <w:tc>
          <w:tcPr>
            <w:tcW w:w="13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lastRenderedPageBreak/>
              <w:t>It is agreed that routine pharmacovigilance and risk minimisation are appropriate for this new ongoing safety concern</w:t>
            </w:r>
            <w:r w:rsidR="009A12AB">
              <w:t xml:space="preserve"> specific to Australia. </w:t>
            </w:r>
            <w:r w:rsidRPr="00A70AC0">
              <w:t>Nevertheless to ensure that it is appropriately monitored by routine pharmacovigilance it is reiterated that ‘Off</w:t>
            </w:r>
            <w:r w:rsidR="00D57E70">
              <w:t xml:space="preserve"> </w:t>
            </w:r>
            <w:r w:rsidRPr="00A70AC0">
              <w:t>label use’ should be included as an important potential risk, which need only be reflected in a revised ASA preferably befor</w:t>
            </w:r>
            <w:r w:rsidR="009A12AB">
              <w:t>e this application is approved.</w:t>
            </w:r>
          </w:p>
        </w:tc>
      </w:tr>
      <w:tr w:rsidR="00A70AC0" w:rsidRPr="00A70AC0" w:rsidTr="00BA14B0">
        <w:trPr>
          <w:trHeight w:val="389"/>
          <w:jc w:val="center"/>
        </w:trPr>
        <w:tc>
          <w:tcPr>
            <w:tcW w:w="209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lastRenderedPageBreak/>
              <w:t>The EU</w:t>
            </w:r>
            <w:r w:rsidR="00D57E70">
              <w:t xml:space="preserve"> </w:t>
            </w:r>
            <w:r w:rsidRPr="00A70AC0">
              <w:t>RMP states the following for Version 3.0 dated May 2013: “Systemic corticosteroid effects and Mechanical failure are proposed to be removed as important potential risks.”</w:t>
            </w:r>
            <w:r w:rsidR="009A12AB">
              <w:t xml:space="preserve"> </w:t>
            </w:r>
            <w:r w:rsidRPr="00A70AC0">
              <w:t xml:space="preserve">However, the current UK </w:t>
            </w:r>
            <w:proofErr w:type="spellStart"/>
            <w:r w:rsidRPr="00A70AC0">
              <w:t>SmPC</w:t>
            </w:r>
            <w:proofErr w:type="spellEnd"/>
            <w:r w:rsidRPr="00A70AC0">
              <w:t xml:space="preserve"> for this medicine still states: “</w:t>
            </w:r>
            <w:r w:rsidRPr="00D11D52">
              <w:rPr>
                <w:i/>
              </w:rPr>
              <w:t xml:space="preserve">The safety and efficacy of </w:t>
            </w:r>
            <w:r w:rsidR="007E59EA" w:rsidRPr="00D11D52">
              <w:rPr>
                <w:i/>
              </w:rPr>
              <w:t>Ozurdex</w:t>
            </w:r>
            <w:r w:rsidRPr="00D11D52">
              <w:rPr>
                <w:i/>
              </w:rPr>
              <w:t xml:space="preserve"> administered to both eyes concurrently have not been studied. Therefore administration to both eyes concurrently is not recommended</w:t>
            </w:r>
            <w:r w:rsidRPr="00A70AC0">
              <w:t>”, which was the routine risk minimisation activity related to the former ongoing safety concern: ‘Sys</w:t>
            </w:r>
            <w:r w:rsidR="009A12AB">
              <w:t xml:space="preserve">temic corticosteroid effects’. </w:t>
            </w:r>
            <w:r w:rsidRPr="00A70AC0">
              <w:t xml:space="preserve">The sponsor should provide an explanation for the removal of these former </w:t>
            </w:r>
            <w:r w:rsidR="009A12AB">
              <w:t xml:space="preserve">ongoing safety concerns. </w:t>
            </w:r>
            <w:r w:rsidRPr="00A70AC0">
              <w:t xml:space="preserve">If this removal was accepted by the EMA the sponsor should then explain why the routine risk minimisation activity related to the former ongoing safety concern: ‘Systemic corticosteroid effects’ is still present in the UK </w:t>
            </w:r>
            <w:proofErr w:type="spellStart"/>
            <w:r w:rsidRPr="00A70AC0">
              <w:t>SmPC</w:t>
            </w:r>
            <w:proofErr w:type="spellEnd"/>
            <w:r w:rsidRPr="00A70AC0">
              <w:t>.</w:t>
            </w:r>
          </w:p>
        </w:tc>
        <w:tc>
          <w:tcPr>
            <w:tcW w:w="1604"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t xml:space="preserve">The sponsor states: “While in EU RMP v4.0, Allergan proposed to remove ‘Systemic corticosteroid effect’ as an important potential risk, it was later agreed to keep it as an important potential risk for </w:t>
            </w:r>
            <w:r w:rsidR="007E59EA">
              <w:t>Ozurdex</w:t>
            </w:r>
            <w:r w:rsidRPr="00A70AC0">
              <w:t>. This risk was therefore included in EU RMP v7.0. As requested by EMA, the potential risk of “Systemic corticosteroid effect” will continue to be assessed by monitoring the events of infections, impaired healing and hypertension.”</w:t>
            </w:r>
          </w:p>
        </w:tc>
        <w:tc>
          <w:tcPr>
            <w:tcW w:w="13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t>This is acceptable.</w:t>
            </w:r>
          </w:p>
        </w:tc>
      </w:tr>
      <w:tr w:rsidR="00A70AC0" w:rsidRPr="00A70AC0" w:rsidTr="00BA14B0">
        <w:trPr>
          <w:trHeight w:val="869"/>
          <w:jc w:val="center"/>
        </w:trPr>
        <w:tc>
          <w:tcPr>
            <w:tcW w:w="209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t>The sponsor should definitively state in a revised ASA whether the targeted questionnaires for the important identified risks: ‘</w:t>
            </w:r>
            <w:proofErr w:type="spellStart"/>
            <w:r w:rsidRPr="00A70AC0">
              <w:t>Endophthalmitis</w:t>
            </w:r>
            <w:proofErr w:type="spellEnd"/>
            <w:r w:rsidRPr="00A70AC0">
              <w:t xml:space="preserve"> (infectious/ </w:t>
            </w:r>
            <w:r w:rsidR="00D11D52" w:rsidRPr="00A70AC0">
              <w:t>non</w:t>
            </w:r>
            <w:r w:rsidR="00D11D52">
              <w:t>-</w:t>
            </w:r>
            <w:r w:rsidR="00D11D52" w:rsidRPr="00A70AC0">
              <w:t>infectious</w:t>
            </w:r>
            <w:r w:rsidRPr="00A70AC0">
              <w:t xml:space="preserve">)’, ‘Significant vitreous leak or </w:t>
            </w:r>
            <w:proofErr w:type="spellStart"/>
            <w:r w:rsidRPr="00A70AC0">
              <w:t>hypotony</w:t>
            </w:r>
            <w:proofErr w:type="spellEnd"/>
            <w:r w:rsidRPr="00A70AC0">
              <w:t xml:space="preserve">’, ‘Device Dislocation’, ‘Implant misplacement’ </w:t>
            </w:r>
            <w:r w:rsidR="00656BA4">
              <w:t>and</w:t>
            </w:r>
            <w:r w:rsidRPr="00A70AC0">
              <w:t xml:space="preserve"> ‘Retinitis secondary to reactivation of latent viral or other </w:t>
            </w:r>
            <w:r w:rsidRPr="00A70AC0">
              <w:lastRenderedPageBreak/>
              <w:t>ophthalmic infections’ are proposed for use in Australia, and if so reference the copies located in the EU</w:t>
            </w:r>
            <w:r w:rsidR="00D57E70">
              <w:t xml:space="preserve"> </w:t>
            </w:r>
            <w:r w:rsidRPr="00A70AC0">
              <w:t>RMP.</w:t>
            </w:r>
          </w:p>
        </w:tc>
        <w:tc>
          <w:tcPr>
            <w:tcW w:w="1604"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lastRenderedPageBreak/>
              <w:t>The sponsor states: “The targeted questionnaires for the important identified risks, ‘</w:t>
            </w:r>
            <w:proofErr w:type="spellStart"/>
            <w:r w:rsidRPr="00A70AC0">
              <w:t>Endophthalmitis</w:t>
            </w:r>
            <w:proofErr w:type="spellEnd"/>
            <w:r w:rsidRPr="00A70AC0">
              <w:t xml:space="preserve"> (infectious/ non</w:t>
            </w:r>
            <w:r w:rsidR="00E2183C">
              <w:t>-</w:t>
            </w:r>
            <w:r w:rsidRPr="00A70AC0">
              <w:t xml:space="preserve">infectious)’, ‘Significant vitreous leak or </w:t>
            </w:r>
            <w:proofErr w:type="spellStart"/>
            <w:r w:rsidRPr="00A70AC0">
              <w:t>hypotony</w:t>
            </w:r>
            <w:proofErr w:type="spellEnd"/>
            <w:r w:rsidRPr="00A70AC0">
              <w:t xml:space="preserve">’, ‘Device Dislocation’, ‘Implant </w:t>
            </w:r>
            <w:r w:rsidRPr="00A70AC0">
              <w:lastRenderedPageBreak/>
              <w:t xml:space="preserve">misplacement’ </w:t>
            </w:r>
            <w:r w:rsidR="00656BA4">
              <w:t>and</w:t>
            </w:r>
            <w:r w:rsidRPr="00A70AC0">
              <w:t xml:space="preserve"> ‘Retinitis secondary to reactivation of latent viral or other ophthalmic infections’ are applicable to, and will be used for the Australian population. Copies are provided as Annex 7 in the EU RMP v7.0 and are appropriately referenced in Section 2.1 of </w:t>
            </w:r>
            <w:r w:rsidR="00656BA4">
              <w:t>ASA</w:t>
            </w:r>
            <w:r w:rsidRPr="00A70AC0">
              <w:t xml:space="preserve"> v2.0.”</w:t>
            </w:r>
          </w:p>
        </w:tc>
        <w:tc>
          <w:tcPr>
            <w:tcW w:w="13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lastRenderedPageBreak/>
              <w:t xml:space="preserve">Table 2–1: ‘Pharmacovigilance activities for safety concerns and missing information’ of the updated ASA also indicates that targeted questionnaires are also used to further </w:t>
            </w:r>
            <w:r w:rsidRPr="00A70AC0">
              <w:lastRenderedPageBreak/>
              <w:t xml:space="preserve">characterise the important identified risks: ‘Increased IOP, Glaucoma, Ocular Hypertension’, ‘Cataract formation and associated visual acuity reduced’, ‘Vitreous Haemorrhage/detachment’ </w:t>
            </w:r>
            <w:r w:rsidR="00E2183C">
              <w:t>and</w:t>
            </w:r>
            <w:r w:rsidRPr="00A70AC0">
              <w:t xml:space="preserve"> ‘Retinal detachment/tear’ without providing</w:t>
            </w:r>
            <w:r w:rsidR="009A12AB">
              <w:t xml:space="preserve"> copies of such documentation. </w:t>
            </w:r>
            <w:r w:rsidRPr="00A70AC0">
              <w:t xml:space="preserve">In addition the missing information: ‘Long term safety, Repeat dosing data’ appears </w:t>
            </w:r>
            <w:r w:rsidR="009A12AB">
              <w:t xml:space="preserve">to be missing from this table. </w:t>
            </w:r>
            <w:r w:rsidRPr="00A70AC0">
              <w:t>The sponsor should explain and if required correct these apparent discrepancies preferably before this application is approved.</w:t>
            </w:r>
          </w:p>
        </w:tc>
      </w:tr>
      <w:tr w:rsidR="00A70AC0" w:rsidRPr="00A70AC0" w:rsidTr="00BA14B0">
        <w:trPr>
          <w:trHeight w:val="967"/>
          <w:jc w:val="center"/>
        </w:trPr>
        <w:tc>
          <w:tcPr>
            <w:tcW w:w="209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lastRenderedPageBreak/>
              <w:t>The sponsor should provide the details of the Qualified Person for Pharmacovigilance, who will be responsible for the implementation of the RMP activities within Australia, in a revised ASA.</w:t>
            </w:r>
          </w:p>
        </w:tc>
        <w:tc>
          <w:tcPr>
            <w:tcW w:w="1604"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t xml:space="preserve">The sponsor states: “The Qualified Person for Pharmacovigilance, responsible for the implementation of the RMP activities in Australia is: </w:t>
            </w:r>
            <w:r w:rsidR="00E2183C">
              <w:t>[information redacted]</w:t>
            </w:r>
          </w:p>
          <w:p w:rsidR="00A70AC0" w:rsidRPr="00A70AC0" w:rsidRDefault="00A70AC0" w:rsidP="00BA14B0">
            <w:r w:rsidRPr="00A70AC0">
              <w:t xml:space="preserve">The details of the </w:t>
            </w:r>
            <w:r w:rsidRPr="00A70AC0">
              <w:lastRenderedPageBreak/>
              <w:t>Qualified Person for Pharmacovigilance are appropriately mentioned in Section 4.0 of the Australian Specific Annex v2.0.”</w:t>
            </w:r>
          </w:p>
        </w:tc>
        <w:tc>
          <w:tcPr>
            <w:tcW w:w="13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E2183C" w:rsidP="00BA14B0">
            <w:r>
              <w:lastRenderedPageBreak/>
              <w:t>This is acceptable.</w:t>
            </w:r>
          </w:p>
        </w:tc>
      </w:tr>
      <w:tr w:rsidR="00A70AC0" w:rsidRPr="00A70AC0" w:rsidTr="00BA14B0">
        <w:trPr>
          <w:trHeight w:val="967"/>
          <w:jc w:val="center"/>
        </w:trPr>
        <w:tc>
          <w:tcPr>
            <w:tcW w:w="209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lastRenderedPageBreak/>
              <w:t>The ongoing EU observational PASS (Study 206207</w:t>
            </w:r>
            <w:r w:rsidR="00D57E70">
              <w:t xml:space="preserve"> </w:t>
            </w:r>
            <w:r w:rsidRPr="00A70AC0">
              <w:t>025) is not considered to be part of the planned clinical studies in the pharmacovigilance plan</w:t>
            </w:r>
            <w:r w:rsidR="005B4544">
              <w:t xml:space="preserve">. </w:t>
            </w:r>
            <w:r w:rsidRPr="00A70AC0">
              <w:t>Therefore the related study docum</w:t>
            </w:r>
            <w:r w:rsidR="005B4544">
              <w:t>entation has not been reviewed.</w:t>
            </w:r>
            <w:r w:rsidRPr="00A70AC0">
              <w:t xml:space="preserve"> Nevertheless this study will either generate safety data that will simply support the known safety profile of the medicine or generate data that will provoke applications to amend the Au</w:t>
            </w:r>
            <w:r w:rsidR="005B4544">
              <w:t xml:space="preserve">stralian registration details. </w:t>
            </w:r>
            <w:r w:rsidRPr="00A70AC0">
              <w:t>Consequently information related to this ongoing study in Section 3: ‘</w:t>
            </w:r>
            <w:r w:rsidR="00656BA4">
              <w:t>RMP</w:t>
            </w:r>
            <w:r w:rsidRPr="00A70AC0">
              <w:t>’ of the ASA should be relocated to Section 2.2: ‘Studies referenced in RMP’ of the ASA.</w:t>
            </w:r>
          </w:p>
        </w:tc>
        <w:tc>
          <w:tcPr>
            <w:tcW w:w="1604"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t>The sponsor states: “The EU observational PASS (Study 206207</w:t>
            </w:r>
            <w:r w:rsidR="00D57E70">
              <w:t xml:space="preserve"> </w:t>
            </w:r>
            <w:r w:rsidRPr="00A70AC0">
              <w:t xml:space="preserve">025) is now discussed in Section 2.2 “Studies referenced in RMP” of the </w:t>
            </w:r>
            <w:r w:rsidR="00656BA4">
              <w:t>ASA</w:t>
            </w:r>
            <w:r w:rsidRPr="00A70AC0">
              <w:t xml:space="preserve"> v2.0 based on the EMA approved EU RMP v7.0.”</w:t>
            </w:r>
          </w:p>
        </w:tc>
        <w:tc>
          <w:tcPr>
            <w:tcW w:w="13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t>This is acceptable.</w:t>
            </w:r>
          </w:p>
        </w:tc>
      </w:tr>
      <w:tr w:rsidR="00A70AC0" w:rsidRPr="00A70AC0" w:rsidTr="00BA14B0">
        <w:trPr>
          <w:trHeight w:val="967"/>
          <w:jc w:val="center"/>
        </w:trPr>
        <w:tc>
          <w:tcPr>
            <w:tcW w:w="209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t xml:space="preserve">At this time the sponsor’s handling of this matter using routine pharmacovigilance </w:t>
            </w:r>
            <w:r w:rsidR="00656BA4">
              <w:t>and</w:t>
            </w:r>
            <w:r w:rsidRPr="00A70AC0">
              <w:t xml:space="preserve"> risk minimisation activities and additional risk minimisation activities i</w:t>
            </w:r>
            <w:r w:rsidR="005B4544">
              <w:t xml:space="preserve">s considered to be acceptable. </w:t>
            </w:r>
            <w:r w:rsidRPr="00A70AC0">
              <w:t>Nevertheless the ASA should provide Australian information on the potential for medication errors.</w:t>
            </w:r>
          </w:p>
        </w:tc>
        <w:tc>
          <w:tcPr>
            <w:tcW w:w="1604"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t>The sponsor states: “</w:t>
            </w:r>
            <w:r w:rsidR="007E59EA">
              <w:t>Ozurdex</w:t>
            </w:r>
            <w:r w:rsidRPr="00A70AC0">
              <w:t xml:space="preserve"> is a highly</w:t>
            </w:r>
            <w:r w:rsidR="00D57E70">
              <w:t xml:space="preserve"> </w:t>
            </w:r>
            <w:r w:rsidRPr="00A70AC0">
              <w:t xml:space="preserve">specialised drug, which will be dispensed by pharmacists directly to the treating physician. Therefore as it will not be dispensed to patients, the likelihood of a medication error occurring at the pharmacy and not being identified prior to administration is extremely limited. Furthermore, </w:t>
            </w:r>
            <w:r w:rsidR="007E59EA">
              <w:t>Ozurdex</w:t>
            </w:r>
            <w:r w:rsidRPr="00A70AC0">
              <w:t xml:space="preserve"> is only available </w:t>
            </w:r>
            <w:proofErr w:type="gramStart"/>
            <w:r w:rsidRPr="00A70AC0">
              <w:t xml:space="preserve">in one </w:t>
            </w:r>
            <w:r w:rsidRPr="00A70AC0">
              <w:lastRenderedPageBreak/>
              <w:t>strength</w:t>
            </w:r>
            <w:proofErr w:type="gramEnd"/>
            <w:r w:rsidRPr="00A70AC0">
              <w:t>, 700</w:t>
            </w:r>
            <w:r w:rsidR="005B4544">
              <w:t xml:space="preserve"> </w:t>
            </w:r>
            <w:r w:rsidR="005C2E04">
              <w:t>µ</w:t>
            </w:r>
            <w:r w:rsidRPr="00A70AC0">
              <w:t xml:space="preserve">g; which further reduces the risk of a medication error. As part of the review of the initial </w:t>
            </w:r>
            <w:r w:rsidR="007E59EA">
              <w:t>Ozurdex</w:t>
            </w:r>
            <w:r w:rsidRPr="00A70AC0">
              <w:t xml:space="preserve"> marketing applications, the EMA and FDA evaluated the potential for medication errors resulting from the proposed brand name and packaging design. Both agencies approved the </w:t>
            </w:r>
            <w:r w:rsidR="007E59EA">
              <w:t>Ozurdex</w:t>
            </w:r>
            <w:r w:rsidRPr="00A70AC0">
              <w:t xml:space="preserve"> brand name. Allergan believes that the conclusions also apply to Australia, and the risk of medication errors resulting from the </w:t>
            </w:r>
            <w:r w:rsidR="007E59EA">
              <w:t>Ozurdex</w:t>
            </w:r>
            <w:r w:rsidRPr="00A70AC0">
              <w:t xml:space="preserve"> brand name is minimal.”</w:t>
            </w:r>
          </w:p>
        </w:tc>
        <w:tc>
          <w:tcPr>
            <w:tcW w:w="13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lastRenderedPageBreak/>
              <w:t>This is acceptable</w:t>
            </w:r>
            <w:r w:rsidR="005B4544">
              <w:t>.</w:t>
            </w:r>
          </w:p>
        </w:tc>
      </w:tr>
      <w:tr w:rsidR="00A70AC0" w:rsidRPr="00A70AC0" w:rsidTr="00BA14B0">
        <w:trPr>
          <w:trHeight w:val="967"/>
          <w:jc w:val="center"/>
        </w:trPr>
        <w:tc>
          <w:tcPr>
            <w:tcW w:w="209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lastRenderedPageBreak/>
              <w:t xml:space="preserve">The </w:t>
            </w:r>
            <w:r w:rsidR="005B4544">
              <w:t>RMP</w:t>
            </w:r>
            <w:r w:rsidRPr="00A70AC0">
              <w:t xml:space="preserve"> Questions and Answers (Version 1.3, October 2012) as found on the TGA website state: “The ASA should identify any differences between the EU</w:t>
            </w:r>
            <w:r w:rsidR="00D57E70">
              <w:t xml:space="preserve"> </w:t>
            </w:r>
            <w:r w:rsidRPr="00A70AC0">
              <w:t xml:space="preserve">RMP and the local implementation of risk management activities, for example: any differences between the risk minimisation activities undertaken as reflected in the content of the EU </w:t>
            </w:r>
            <w:proofErr w:type="spellStart"/>
            <w:r w:rsidR="005B4544">
              <w:t>SmPC</w:t>
            </w:r>
            <w:proofErr w:type="spellEnd"/>
            <w:r w:rsidRPr="00A70AC0">
              <w:t xml:space="preserve"> and the proposed Australian </w:t>
            </w:r>
            <w:r w:rsidR="005B4544">
              <w:t>PI</w:t>
            </w:r>
            <w:r w:rsidRPr="00A70AC0">
              <w:t>, and the reasons for the difference.”</w:t>
            </w:r>
            <w:r w:rsidR="005B4544">
              <w:t xml:space="preserve"> </w:t>
            </w:r>
            <w:r w:rsidRPr="00A70AC0">
              <w:t>Consequently the ASA should be revised to include a risk minimisation activities table detailing all planned risk minimisation measures in the Australian c</w:t>
            </w:r>
            <w:r w:rsidR="005B4544">
              <w:t>ontext and the EU</w:t>
            </w:r>
            <w:r w:rsidR="00D57E70">
              <w:t xml:space="preserve"> </w:t>
            </w:r>
            <w:r w:rsidR="005B4544">
              <w:t xml:space="preserve">RMP context. </w:t>
            </w:r>
            <w:r w:rsidRPr="00A70AC0">
              <w:t xml:space="preserve">This table should include a comparison of the actual content and wording of the EU </w:t>
            </w:r>
            <w:proofErr w:type="spellStart"/>
            <w:r w:rsidRPr="00A70AC0">
              <w:t>SmPC</w:t>
            </w:r>
            <w:proofErr w:type="spellEnd"/>
            <w:r w:rsidRPr="00A70AC0">
              <w:t xml:space="preserve"> and the proposed </w:t>
            </w:r>
            <w:r w:rsidRPr="00A70AC0">
              <w:lastRenderedPageBreak/>
              <w:t xml:space="preserve">Australian PI </w:t>
            </w:r>
            <w:r w:rsidR="00656BA4">
              <w:t>and</w:t>
            </w:r>
            <w:r w:rsidRPr="00A70AC0">
              <w:t xml:space="preserve"> CMI for all of the specified ongoing safety concerns and missing information to identify and provide reasons for any observed </w:t>
            </w:r>
            <w:r w:rsidR="005B4544" w:rsidRPr="00A70AC0">
              <w:t>differences;</w:t>
            </w:r>
            <w:r w:rsidRPr="00A70AC0">
              <w:t xml:space="preserve"> particularly where it appears th</w:t>
            </w:r>
            <w:r w:rsidR="005B4544">
              <w:t xml:space="preserve">e EU </w:t>
            </w:r>
            <w:proofErr w:type="spellStart"/>
            <w:r w:rsidR="005B4544">
              <w:t>SmPC</w:t>
            </w:r>
            <w:proofErr w:type="spellEnd"/>
            <w:r w:rsidR="005B4544">
              <w:t xml:space="preserve"> is more restrictive. </w:t>
            </w:r>
            <w:r w:rsidRPr="00A70AC0">
              <w:t>Upon receipt of such information recommendations to the Delegate in regard to the proposed routine risk minimisatio</w:t>
            </w:r>
            <w:r w:rsidR="005B4544">
              <w:t xml:space="preserve">n activities can then be made. </w:t>
            </w:r>
            <w:r w:rsidRPr="00A70AC0">
              <w:t xml:space="preserve">Such a table should also definitively indicate whether additional risk minimisation in the form of prescriber educational material is proposed for all the specified important identified risks and patient educational material is proposed for the important identified risks: ‘Increased intraocular pressure, Glaucoma, Ocular Hypertension’ </w:t>
            </w:r>
            <w:r w:rsidR="00656BA4">
              <w:t>and</w:t>
            </w:r>
            <w:r w:rsidRPr="00A70AC0">
              <w:t xml:space="preserve"> ‘</w:t>
            </w:r>
            <w:proofErr w:type="spellStart"/>
            <w:r w:rsidRPr="00A70AC0">
              <w:t>Endophthalmitis</w:t>
            </w:r>
            <w:proofErr w:type="spellEnd"/>
            <w:r w:rsidRPr="00A70AC0">
              <w:t xml:space="preserve"> (infectious/ </w:t>
            </w:r>
            <w:r w:rsidR="00656BA4" w:rsidRPr="00A70AC0">
              <w:t>non</w:t>
            </w:r>
            <w:r w:rsidR="00656BA4">
              <w:t>-</w:t>
            </w:r>
            <w:r w:rsidR="00656BA4" w:rsidRPr="00A70AC0">
              <w:t>infectious</w:t>
            </w:r>
            <w:r w:rsidRPr="00A70AC0">
              <w:t>)’ in Australia, as some inconsistency is observed in the EU</w:t>
            </w:r>
            <w:r w:rsidR="00D57E70">
              <w:t xml:space="preserve"> </w:t>
            </w:r>
            <w:r w:rsidRPr="00A70AC0">
              <w:t>RMP on this matter (</w:t>
            </w:r>
            <w:r w:rsidR="0034264B">
              <w:t>for example</w:t>
            </w:r>
            <w:r w:rsidR="00656BA4">
              <w:t xml:space="preserve"> </w:t>
            </w:r>
            <w:r w:rsidRPr="00A70AC0">
              <w:t>the tables included in Part V.1: ‘Risk minimization measures by safety concern’, Table 9</w:t>
            </w:r>
            <w:r w:rsidR="00D57E70">
              <w:t xml:space="preserve"> </w:t>
            </w:r>
            <w:r w:rsidRPr="00A70AC0">
              <w:t>16: ‘Summary Table of Risk Minimization Measures’ and Table 9</w:t>
            </w:r>
            <w:r w:rsidR="00D57E70">
              <w:t xml:space="preserve"> </w:t>
            </w:r>
            <w:r w:rsidRPr="00A70AC0">
              <w:t>19: ‘Summary Table of Risk Minimization Measures’).</w:t>
            </w:r>
          </w:p>
        </w:tc>
        <w:tc>
          <w:tcPr>
            <w:tcW w:w="1604"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lastRenderedPageBreak/>
              <w:t xml:space="preserve">The sponsor states: “The assessor’s observation has been addressed and a table listing risk minimisation activities undertaken as reflected in the content of the EU </w:t>
            </w:r>
            <w:proofErr w:type="spellStart"/>
            <w:r w:rsidR="005B4544">
              <w:t>SmPC</w:t>
            </w:r>
            <w:proofErr w:type="spellEnd"/>
            <w:r w:rsidRPr="00A70AC0">
              <w:t xml:space="preserve"> and the proposed Australian </w:t>
            </w:r>
            <w:r w:rsidR="005B4544">
              <w:t>PI</w:t>
            </w:r>
            <w:r w:rsidRPr="00A70AC0">
              <w:t xml:space="preserve"> for all of the specified ongoing safety concerns and missing information has now been included in Section 3.0 of </w:t>
            </w:r>
            <w:r w:rsidR="00656BA4">
              <w:t>ASA</w:t>
            </w:r>
            <w:r w:rsidRPr="00A70AC0">
              <w:t xml:space="preserve"> v2.0 based on the EMA approved EU RMP v7.0.”</w:t>
            </w:r>
          </w:p>
        </w:tc>
        <w:tc>
          <w:tcPr>
            <w:tcW w:w="13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t xml:space="preserve">Table 3–1: ‘Differences between the risk minimisation activities undertaken as reflected in the content of the EU </w:t>
            </w:r>
            <w:proofErr w:type="spellStart"/>
            <w:r w:rsidR="005B4544">
              <w:t>SmPC</w:t>
            </w:r>
            <w:proofErr w:type="spellEnd"/>
            <w:r w:rsidRPr="00A70AC0">
              <w:t xml:space="preserve"> and the proposed </w:t>
            </w:r>
            <w:r w:rsidR="005B4544">
              <w:t xml:space="preserve">Australian </w:t>
            </w:r>
            <w:r w:rsidRPr="00A70AC0">
              <w:t>PI’ of the ASA does not specifically identify and provide reasons for any observed differences</w:t>
            </w:r>
            <w:r w:rsidR="005B4544">
              <w:t xml:space="preserve">. </w:t>
            </w:r>
            <w:r w:rsidRPr="00A70AC0">
              <w:t xml:space="preserve">For example for the important identified risk: ‘Increased IOP, Glaucoma, Ocular Hypertension’, Section 4.4 of </w:t>
            </w:r>
            <w:r w:rsidRPr="00A70AC0">
              <w:lastRenderedPageBreak/>
              <w:t xml:space="preserve">the </w:t>
            </w:r>
            <w:proofErr w:type="spellStart"/>
            <w:r w:rsidRPr="00A70AC0">
              <w:t>SmPC</w:t>
            </w:r>
            <w:proofErr w:type="spellEnd"/>
            <w:r w:rsidRPr="00A70AC0">
              <w:t xml:space="preserve"> states that patients should be monitored following the injection to permit early treatment if an infection or increased </w:t>
            </w:r>
            <w:r w:rsidR="00656BA4">
              <w:t>IOP</w:t>
            </w:r>
            <w:r w:rsidRPr="00A70AC0">
              <w:t xml:space="preserve"> occurs and such monitoring may consist of a check for perfusion of the optic nerve head immediately after the injection, tonometry within 30 minutes following the injection, and </w:t>
            </w:r>
            <w:proofErr w:type="spellStart"/>
            <w:r w:rsidRPr="00A70AC0">
              <w:t>biomicroscopy</w:t>
            </w:r>
            <w:proofErr w:type="spellEnd"/>
            <w:r w:rsidRPr="00A70AC0">
              <w:t xml:space="preserve"> between two and seven days following the injection.</w:t>
            </w:r>
            <w:r w:rsidR="005C2E04">
              <w:t xml:space="preserve"> </w:t>
            </w:r>
            <w:r w:rsidRPr="00A70AC0">
              <w:t>The proposed Australi</w:t>
            </w:r>
            <w:r w:rsidR="005B4544">
              <w:t xml:space="preserve">an PI provides no such detail. </w:t>
            </w:r>
            <w:r w:rsidRPr="00A70AC0">
              <w:t>Consequently this recommendation remains outstanding and should be adequately addressed preferably before this application is approved.</w:t>
            </w:r>
          </w:p>
        </w:tc>
      </w:tr>
      <w:tr w:rsidR="00A70AC0" w:rsidRPr="00A70AC0" w:rsidTr="00BA14B0">
        <w:trPr>
          <w:trHeight w:val="967"/>
          <w:jc w:val="center"/>
        </w:trPr>
        <w:tc>
          <w:tcPr>
            <w:tcW w:w="209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lastRenderedPageBreak/>
              <w:t xml:space="preserve">The current UK </w:t>
            </w:r>
            <w:proofErr w:type="spellStart"/>
            <w:r w:rsidRPr="00A70AC0">
              <w:t>SmPC</w:t>
            </w:r>
            <w:proofErr w:type="spellEnd"/>
            <w:r w:rsidRPr="00A70AC0">
              <w:t xml:space="preserve"> states: “The safety and efficacy of </w:t>
            </w:r>
            <w:r w:rsidR="007E59EA">
              <w:t>Ozurdex</w:t>
            </w:r>
            <w:r w:rsidRPr="00A70AC0">
              <w:t xml:space="preserve"> administered to both eyes concurrently have not </w:t>
            </w:r>
            <w:r w:rsidRPr="00A70AC0">
              <w:lastRenderedPageBreak/>
              <w:t>been studied. Therefore administration to both eyes c</w:t>
            </w:r>
            <w:r w:rsidR="00656BA4">
              <w:t>oncurrently is not recommended”</w:t>
            </w:r>
            <w:r w:rsidR="005B4544">
              <w:t xml:space="preserve">. </w:t>
            </w:r>
            <w:r w:rsidRPr="00A70AC0">
              <w:t>This precautionary statement is cross</w:t>
            </w:r>
            <w:r w:rsidR="00D57E70">
              <w:t xml:space="preserve"> </w:t>
            </w:r>
            <w:r w:rsidRPr="00A70AC0">
              <w:t xml:space="preserve">referenced to the ‘Posology and method of administration’ section of the UK </w:t>
            </w:r>
            <w:proofErr w:type="spellStart"/>
            <w:r w:rsidRPr="00A70AC0">
              <w:t>SmPC</w:t>
            </w:r>
            <w:proofErr w:type="spellEnd"/>
            <w:r w:rsidRPr="00A70AC0">
              <w:t xml:space="preserve"> and was related to the former ongoing safety concern: ‘Sys</w:t>
            </w:r>
            <w:r w:rsidR="005B4544">
              <w:t xml:space="preserve">temic corticosteroid effects’. </w:t>
            </w:r>
            <w:r w:rsidRPr="00A70AC0">
              <w:t>However, a similar precautionary statement does not appear to be included in the proposed Australian PI, but is included i</w:t>
            </w:r>
            <w:r w:rsidR="005B4544">
              <w:t xml:space="preserve">n the proposed Australian CMI. </w:t>
            </w:r>
            <w:r w:rsidRPr="00A70AC0">
              <w:t>The sponsor should correct this oversight and amend the proposed Australian PI accordingly.</w:t>
            </w:r>
          </w:p>
        </w:tc>
        <w:tc>
          <w:tcPr>
            <w:tcW w:w="1604"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lastRenderedPageBreak/>
              <w:t xml:space="preserve">The sponsor states: “The assessor’s observation is addressed in the </w:t>
            </w:r>
            <w:r w:rsidRPr="00A70AC0">
              <w:lastRenderedPageBreak/>
              <w:t xml:space="preserve">updated Australian PI, and the following sentence has been added to the draft PI under Dosage and Administration: “The safety and efficacy of </w:t>
            </w:r>
            <w:r w:rsidR="007E59EA">
              <w:t>Ozurdex</w:t>
            </w:r>
            <w:r w:rsidRPr="00A70AC0">
              <w:t xml:space="preserve"> administered to both eyes concurrently have not been studied. Therefore, administration to both eyes con</w:t>
            </w:r>
            <w:r w:rsidR="005B4544">
              <w:t>currently is not recommended.”</w:t>
            </w:r>
          </w:p>
        </w:tc>
        <w:tc>
          <w:tcPr>
            <w:tcW w:w="13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lastRenderedPageBreak/>
              <w:t xml:space="preserve">It is observed that this information is in fact now </w:t>
            </w:r>
            <w:r w:rsidRPr="00A70AC0">
              <w:lastRenderedPageBreak/>
              <w:t>included in the P</w:t>
            </w:r>
            <w:r w:rsidR="00656BA4" w:rsidRPr="00A70AC0">
              <w:t>recautions</w:t>
            </w:r>
            <w:r w:rsidRPr="00A70AC0">
              <w:t xml:space="preserve"> section, not in the </w:t>
            </w:r>
            <w:r w:rsidR="00656BA4" w:rsidRPr="00A70AC0">
              <w:t xml:space="preserve">dosage and administration </w:t>
            </w:r>
            <w:r w:rsidRPr="00A70AC0">
              <w:t>section, of the proposed Australian PI.</w:t>
            </w:r>
            <w:r w:rsidR="005C2E04">
              <w:t xml:space="preserve"> </w:t>
            </w:r>
            <w:r w:rsidRPr="00A70AC0">
              <w:t>This is not entirely satisfactory and it is reiterated that these precautionary statements should also be cross</w:t>
            </w:r>
            <w:r w:rsidR="00D57E70">
              <w:t xml:space="preserve"> </w:t>
            </w:r>
            <w:r w:rsidRPr="00A70AC0">
              <w:t xml:space="preserve">referenced to the </w:t>
            </w:r>
            <w:r w:rsidR="00656BA4" w:rsidRPr="00A70AC0">
              <w:t xml:space="preserve">dosage and administration </w:t>
            </w:r>
            <w:r w:rsidRPr="00A70AC0">
              <w:t>section of the proposed Australian PI.</w:t>
            </w:r>
            <w:r w:rsidR="005C2E04">
              <w:t xml:space="preserve"> </w:t>
            </w:r>
            <w:r w:rsidRPr="00A70AC0">
              <w:t xml:space="preserve">Furthermore Table 3–1: ‘Differences between the risk minimisation activities undertaken as reflected in the content of the EU </w:t>
            </w:r>
            <w:proofErr w:type="spellStart"/>
            <w:r w:rsidR="005B4544">
              <w:t>SmPC</w:t>
            </w:r>
            <w:proofErr w:type="spellEnd"/>
            <w:r w:rsidRPr="00A70AC0">
              <w:t xml:space="preserve"> and the proposed Australian </w:t>
            </w:r>
            <w:r w:rsidR="005B4544">
              <w:t>PI</w:t>
            </w:r>
            <w:r w:rsidRPr="00A70AC0">
              <w:t>’ of the ASA contrarily indicates that no routine risk minimisation is proposed for the important potential risk: ‘Systemic corticosteroid effects (infections, impaired healing and hypertension)</w:t>
            </w:r>
            <w:r w:rsidR="005B4544">
              <w:t xml:space="preserve">’. </w:t>
            </w:r>
            <w:r w:rsidRPr="00A70AC0">
              <w:lastRenderedPageBreak/>
              <w:t>The sponsor should correct this inconsistency preferably before this application is approved.</w:t>
            </w:r>
            <w:r w:rsidR="005C2E04">
              <w:t xml:space="preserve"> </w:t>
            </w:r>
            <w:r w:rsidRPr="00A70AC0">
              <w:t>It is noted that Table 9–22: ‘Summary Table of Risk Minimization Measures’ and Table 9–25: ‘Summary Table of Risk Minimization Measures’ of the updated EU</w:t>
            </w:r>
            <w:r w:rsidR="00D57E70">
              <w:t xml:space="preserve"> </w:t>
            </w:r>
            <w:r w:rsidRPr="00A70AC0">
              <w:t>RMP are also inconsistent on this matter.</w:t>
            </w:r>
          </w:p>
        </w:tc>
      </w:tr>
      <w:tr w:rsidR="00A70AC0" w:rsidRPr="00A70AC0" w:rsidTr="00BA14B0">
        <w:trPr>
          <w:trHeight w:val="967"/>
          <w:jc w:val="center"/>
        </w:trPr>
        <w:tc>
          <w:tcPr>
            <w:tcW w:w="209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lastRenderedPageBreak/>
              <w:t>Given the sponsor is not seeking to register the EU approved indications (</w:t>
            </w:r>
            <w:r w:rsidR="00740C73">
              <w:t>that is</w:t>
            </w:r>
            <w:r w:rsidRPr="00A70AC0">
              <w:t xml:space="preserve"> the treatment of adult patients with macular oedema following either BRVO or CRVO and for the treatment of adult patients with inflammation of the posterior segment of the eye presenting as </w:t>
            </w:r>
            <w:r w:rsidR="00656BA4" w:rsidRPr="00A70AC0">
              <w:t>non</w:t>
            </w:r>
            <w:r w:rsidR="00656BA4">
              <w:t>-</w:t>
            </w:r>
            <w:r w:rsidR="00656BA4" w:rsidRPr="00A70AC0">
              <w:t>infectious</w:t>
            </w:r>
            <w:r w:rsidRPr="00A70AC0">
              <w:t xml:space="preserve"> uveitis), the prescriber and patient educational materials provided in Annex 11 of the EU</w:t>
            </w:r>
            <w:r w:rsidR="00D57E70">
              <w:t xml:space="preserve"> </w:t>
            </w:r>
            <w:r w:rsidRPr="00A70AC0">
              <w:t>RMP will need to be amended to be consistent with Au</w:t>
            </w:r>
            <w:r w:rsidR="005B4544">
              <w:t xml:space="preserve">stralian registration details. </w:t>
            </w:r>
            <w:r w:rsidRPr="00A70AC0">
              <w:t>Revised draft prescriber and patient educational materials should be attached to the ASA.</w:t>
            </w:r>
          </w:p>
        </w:tc>
        <w:tc>
          <w:tcPr>
            <w:tcW w:w="1604"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t xml:space="preserve">The sponsor states: “The current </w:t>
            </w:r>
            <w:r w:rsidR="00656BA4">
              <w:t>ASA</w:t>
            </w:r>
            <w:r w:rsidRPr="00A70AC0">
              <w:t xml:space="preserve"> v2.0 is based on EMA approved EU RMP v7.0. This version contains educational materials that were revised to enhance the clarity and focus on essential information. These revised educational materials as presented in EU RMP v7.0 are currently proposed to be provided in Australia as well. The revised educational material are not specific to a particular indication and are intended to provide treating physicians with information on the recommended injection technique </w:t>
            </w:r>
            <w:r w:rsidRPr="00A70AC0">
              <w:lastRenderedPageBreak/>
              <w:t xml:space="preserve">and the important risks related to the intravitreal </w:t>
            </w:r>
            <w:r w:rsidR="005B4544">
              <w:t xml:space="preserve">injection of </w:t>
            </w:r>
            <w:r w:rsidR="007E59EA">
              <w:t>Ozurdex</w:t>
            </w:r>
            <w:r w:rsidRPr="00A70AC0">
              <w:t xml:space="preserve">. The patient guide provides information on what the patient needs to do before their treatment, what they should expect during the treatment and what they should look out for, after the treatment. Allergan believes these </w:t>
            </w:r>
            <w:r w:rsidR="005B4544" w:rsidRPr="00A70AC0">
              <w:t>materials</w:t>
            </w:r>
            <w:r w:rsidRPr="00A70AC0">
              <w:t xml:space="preserve"> are sufficient and succinct and can be used in the Australian population and therefore an amendment is not necessary. The only minor change made to Annex 11 Educational Material is to remove the reference to the </w:t>
            </w:r>
            <w:proofErr w:type="spellStart"/>
            <w:r w:rsidRPr="00A70AC0">
              <w:t>SmPC</w:t>
            </w:r>
            <w:proofErr w:type="spellEnd"/>
            <w:r w:rsidRPr="00A70AC0">
              <w:t xml:space="preserve"> on page 5; this is replaced by the</w:t>
            </w:r>
            <w:r w:rsidR="005B4544">
              <w:t xml:space="preserve"> </w:t>
            </w:r>
            <w:r w:rsidRPr="00A70AC0">
              <w:t>26 November 2014 68 reference to the Australian PI (these ‘updated’ educational materials are attached as Appendix 1 to the ASA v2.0).”</w:t>
            </w:r>
          </w:p>
        </w:tc>
        <w:tc>
          <w:tcPr>
            <w:tcW w:w="13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lastRenderedPageBreak/>
              <w:t>This is acceptable.</w:t>
            </w:r>
          </w:p>
        </w:tc>
      </w:tr>
      <w:tr w:rsidR="00A70AC0" w:rsidRPr="00A70AC0" w:rsidTr="00BA14B0">
        <w:trPr>
          <w:trHeight w:val="515"/>
          <w:jc w:val="center"/>
        </w:trPr>
        <w:tc>
          <w:tcPr>
            <w:tcW w:w="209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lastRenderedPageBreak/>
              <w:t>Given these differences in registration details it would also be expected that the sponsor will conduct a physician survey in Australia to assess the effectiveness of the prescriber educational materials as a measure to reduce all the specified important i</w:t>
            </w:r>
            <w:r w:rsidR="005B4544">
              <w:t xml:space="preserve">dentified risks. </w:t>
            </w:r>
            <w:r w:rsidRPr="00A70AC0">
              <w:t xml:space="preserve">Consequently the sponsor should provide to the TGA for review the details of the nature (quantitative) and </w:t>
            </w:r>
            <w:r w:rsidRPr="00A70AC0">
              <w:lastRenderedPageBreak/>
              <w:t>content of the survey testing to be conducted in Australia, including the specific review period, the criteria used to verify success and how the results of this testin</w:t>
            </w:r>
            <w:r w:rsidR="005B4544">
              <w:t xml:space="preserve">g will be reported to the TGA. </w:t>
            </w:r>
            <w:r w:rsidRPr="00A70AC0">
              <w:t>Section 3: ‘</w:t>
            </w:r>
            <w:r w:rsidR="00656BA4">
              <w:t>RMP</w:t>
            </w:r>
            <w:r w:rsidRPr="00A70AC0">
              <w:t>’ of the ASA should be revised accordingly.</w:t>
            </w:r>
          </w:p>
        </w:tc>
        <w:tc>
          <w:tcPr>
            <w:tcW w:w="1604"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lastRenderedPageBreak/>
              <w:t>The sponsor states: “The overall AE reporting rate, as well as the injection procedure</w:t>
            </w:r>
            <w:r w:rsidR="00D57E70">
              <w:t xml:space="preserve"> </w:t>
            </w:r>
            <w:r w:rsidRPr="00A70AC0">
              <w:t xml:space="preserve">related adverse event rate, will be used as a measure of effectiveness of these educational materials. A decrease in overall reporting rate, as well as frequency and severity of injection </w:t>
            </w:r>
            <w:r w:rsidRPr="00A70AC0">
              <w:lastRenderedPageBreak/>
              <w:t>procedure</w:t>
            </w:r>
            <w:r w:rsidR="00D57E70">
              <w:t xml:space="preserve"> </w:t>
            </w:r>
            <w:r w:rsidRPr="00A70AC0">
              <w:t>related adverse events, will be considered as verification of the success of the educational materials.”</w:t>
            </w:r>
          </w:p>
        </w:tc>
        <w:tc>
          <w:tcPr>
            <w:tcW w:w="13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lastRenderedPageBreak/>
              <w:t>This approach is relian</w:t>
            </w:r>
            <w:r w:rsidR="00656BA4">
              <w:t>t upon data from spontaneous AE report</w:t>
            </w:r>
            <w:r w:rsidRPr="00A70AC0">
              <w:t>s which are unlikely to be sufficient in measuring the effectiveness of these proposed additional risk minimisation activities.</w:t>
            </w:r>
            <w:r w:rsidR="005C2E04">
              <w:t xml:space="preserve"> </w:t>
            </w:r>
            <w:r w:rsidRPr="00A70AC0">
              <w:t>This is due to the under</w:t>
            </w:r>
            <w:r w:rsidR="00D57E70">
              <w:t xml:space="preserve"> </w:t>
            </w:r>
            <w:r w:rsidRPr="00A70AC0">
              <w:lastRenderedPageBreak/>
              <w:t xml:space="preserve">reporting and the lack of reliable exposure (usage) data associated with spontaneous reporting systems, not to mention the information gained from adverse reaction </w:t>
            </w:r>
            <w:r w:rsidR="005B4544">
              <w:t xml:space="preserve">reporting is often incomplete. </w:t>
            </w:r>
            <w:r w:rsidRPr="00A70AC0">
              <w:t>Consequently this recommendation remains outstanding and should be adequately addressed preferably before this application is approved.</w:t>
            </w:r>
          </w:p>
        </w:tc>
      </w:tr>
      <w:tr w:rsidR="00A70AC0" w:rsidRPr="00A70AC0" w:rsidTr="00BA14B0">
        <w:trPr>
          <w:trHeight w:val="967"/>
          <w:jc w:val="center"/>
        </w:trPr>
        <w:tc>
          <w:tcPr>
            <w:tcW w:w="209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lastRenderedPageBreak/>
              <w:t xml:space="preserve">It would appear that no information detailing how the patient educational materials as a measure to reduce the important identified risks: ‘Increased </w:t>
            </w:r>
            <w:r w:rsidR="00656BA4">
              <w:t>IOP</w:t>
            </w:r>
            <w:r w:rsidRPr="00A70AC0">
              <w:t xml:space="preserve">, </w:t>
            </w:r>
            <w:r w:rsidR="00656BA4" w:rsidRPr="00A70AC0">
              <w:t xml:space="preserve">glaucoma, ocular hypertension’ </w:t>
            </w:r>
            <w:r w:rsidR="00656BA4">
              <w:t>and</w:t>
            </w:r>
            <w:r w:rsidR="00656BA4" w:rsidRPr="00A70AC0">
              <w:t xml:space="preserve"> ‘</w:t>
            </w:r>
            <w:proofErr w:type="spellStart"/>
            <w:r w:rsidR="00656BA4" w:rsidRPr="00A70AC0">
              <w:t>endophthalmiti</w:t>
            </w:r>
            <w:r w:rsidRPr="00A70AC0">
              <w:t>s</w:t>
            </w:r>
            <w:proofErr w:type="spellEnd"/>
            <w:r w:rsidRPr="00A70AC0">
              <w:t xml:space="preserve"> (infectious/ </w:t>
            </w:r>
            <w:r w:rsidR="00656BA4" w:rsidRPr="00A70AC0">
              <w:t>non</w:t>
            </w:r>
            <w:r w:rsidR="00656BA4">
              <w:t>-</w:t>
            </w:r>
            <w:r w:rsidR="00656BA4" w:rsidRPr="00A70AC0">
              <w:t>infectious</w:t>
            </w:r>
            <w:r w:rsidRPr="00A70AC0">
              <w:t>)’ has been provided.</w:t>
            </w:r>
            <w:r w:rsidR="005C2E04">
              <w:t xml:space="preserve"> </w:t>
            </w:r>
            <w:r w:rsidRPr="00A70AC0">
              <w:t>Consequently the sponsor should state how the effectiveness of this additional risk minimisation measure for these ongoing safety concerns will be measured, the criteria used to verify success and how the results of such testing will be reported to the TGA.</w:t>
            </w:r>
            <w:r w:rsidR="005C2E04">
              <w:t xml:space="preserve"> </w:t>
            </w:r>
            <w:r w:rsidRPr="00A70AC0">
              <w:t>Section 3: ‘</w:t>
            </w:r>
            <w:r w:rsidR="00656BA4">
              <w:t>RMP</w:t>
            </w:r>
            <w:r w:rsidRPr="00A70AC0">
              <w:t>’ of the ASA should be revised accordingly.</w:t>
            </w:r>
          </w:p>
        </w:tc>
        <w:tc>
          <w:tcPr>
            <w:tcW w:w="1604"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t xml:space="preserve">The sponsor “proposes capturing data on identified risks through </w:t>
            </w:r>
            <w:r w:rsidR="00656BA4" w:rsidRPr="00A70AC0">
              <w:t>the targeted questio</w:t>
            </w:r>
            <w:r w:rsidRPr="00A70AC0">
              <w:t xml:space="preserve">nnaire and spontaneous AE reporting to Allergan’s </w:t>
            </w:r>
            <w:r w:rsidR="00656BA4" w:rsidRPr="00A70AC0">
              <w:t>pharmacovigilance department</w:t>
            </w:r>
            <w:r w:rsidRPr="00A70AC0">
              <w:t>. Data collected via these channels will be reported to the TGA through established reporting mechanisms if required.”</w:t>
            </w:r>
            <w:r w:rsidR="005C2E04">
              <w:t xml:space="preserve"> </w:t>
            </w:r>
            <w:r w:rsidRPr="00A70AC0">
              <w:t xml:space="preserve">The updated ASA states: “Allergan diligently monitors AEs (related </w:t>
            </w:r>
            <w:r w:rsidRPr="00A70AC0">
              <w:lastRenderedPageBreak/>
              <w:t>to injection procedure). The overall AE profile, reporting rate, as well as the type and frequency of injection procedure related adverse events will all be used as a measure of effectiveness of these educational materials.”</w:t>
            </w:r>
          </w:p>
        </w:tc>
        <w:tc>
          <w:tcPr>
            <w:tcW w:w="13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lastRenderedPageBreak/>
              <w:t>This approach is reliant upon data from spontaneous AE</w:t>
            </w:r>
            <w:r w:rsidR="00656BA4">
              <w:t xml:space="preserve"> report</w:t>
            </w:r>
            <w:r w:rsidRPr="00A70AC0">
              <w:t>s which are unlikely to be sufficient in measuring the effectiveness of these proposed additional risk minimisation activities.</w:t>
            </w:r>
            <w:r w:rsidR="005C2E04">
              <w:t xml:space="preserve"> </w:t>
            </w:r>
            <w:r w:rsidRPr="00A70AC0">
              <w:t>This is due to the under</w:t>
            </w:r>
            <w:r w:rsidR="00D57E70">
              <w:t xml:space="preserve"> </w:t>
            </w:r>
            <w:r w:rsidRPr="00A70AC0">
              <w:t xml:space="preserve">reporting and the lack of reliable exposure (usage) data associated with spontaneous </w:t>
            </w:r>
            <w:r w:rsidRPr="00A70AC0">
              <w:lastRenderedPageBreak/>
              <w:t xml:space="preserve">reporting systems, not to mention the information gained from adverse reaction </w:t>
            </w:r>
            <w:r w:rsidR="001F1CCE">
              <w:t xml:space="preserve">reporting is often incomplete. </w:t>
            </w:r>
            <w:r w:rsidRPr="00A70AC0">
              <w:t>Consequently this recommendation remains outstanding and should be adequately addressed preferably before</w:t>
            </w:r>
            <w:r w:rsidR="001F1CCE">
              <w:t xml:space="preserve"> this application is approved. </w:t>
            </w:r>
            <w:r w:rsidRPr="00A70AC0">
              <w:t xml:space="preserve">In addition the sponsor stated that educational materials were attached as </w:t>
            </w:r>
            <w:r w:rsidR="001F1CCE">
              <w:t xml:space="preserve">Appendix 1 to the updated ASA. </w:t>
            </w:r>
            <w:r w:rsidRPr="00A70AC0">
              <w:t>However, it appears that the patient educational materials</w:t>
            </w:r>
            <w:r w:rsidR="001F1CCE">
              <w:t xml:space="preserve"> have not been so attached. </w:t>
            </w:r>
            <w:r w:rsidRPr="00A70AC0">
              <w:t>The sponsor should correct this oversight.</w:t>
            </w:r>
          </w:p>
        </w:tc>
      </w:tr>
      <w:tr w:rsidR="00A70AC0" w:rsidRPr="00A70AC0" w:rsidTr="00BA14B0">
        <w:trPr>
          <w:trHeight w:val="967"/>
          <w:jc w:val="center"/>
        </w:trPr>
        <w:tc>
          <w:tcPr>
            <w:tcW w:w="209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lastRenderedPageBreak/>
              <w:t>A table summarising the pharmacovigilance and risk minimisation activities for all of the specified ongoing safety concerns and missing information proposed for Australia should be included in the revised ASA.</w:t>
            </w:r>
          </w:p>
        </w:tc>
        <w:tc>
          <w:tcPr>
            <w:tcW w:w="1604"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t>The sponsor states: “A table listing all proposed Pharmacovigilance activities (Table 2</w:t>
            </w:r>
            <w:r w:rsidR="00D57E70">
              <w:t xml:space="preserve"> </w:t>
            </w:r>
            <w:r w:rsidR="00656BA4">
              <w:t>1) and r</w:t>
            </w:r>
            <w:r w:rsidRPr="00A70AC0">
              <w:t>isk minimisation activities (Table 3</w:t>
            </w:r>
            <w:r w:rsidR="00D57E70">
              <w:t xml:space="preserve"> </w:t>
            </w:r>
            <w:r w:rsidRPr="00A70AC0">
              <w:t xml:space="preserve">1) is incorporated in the </w:t>
            </w:r>
            <w:r w:rsidR="00656BA4">
              <w:t>ASA</w:t>
            </w:r>
            <w:r w:rsidRPr="00A70AC0">
              <w:t xml:space="preserve"> v2.0 to address this observation.”</w:t>
            </w:r>
          </w:p>
        </w:tc>
        <w:tc>
          <w:tcPr>
            <w:tcW w:w="13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70AC0" w:rsidRPr="00A70AC0" w:rsidRDefault="00A70AC0" w:rsidP="00BA14B0">
            <w:r w:rsidRPr="00A70AC0">
              <w:t>This is acceptable.</w:t>
            </w:r>
          </w:p>
        </w:tc>
      </w:tr>
    </w:tbl>
    <w:p w:rsidR="008E7846" w:rsidRDefault="008E7846" w:rsidP="008E7846">
      <w:pPr>
        <w:pStyle w:val="Heading4"/>
        <w:rPr>
          <w:lang w:eastAsia="en-AU"/>
        </w:rPr>
      </w:pPr>
      <w:r>
        <w:rPr>
          <w:lang w:eastAsia="en-AU"/>
        </w:rPr>
        <w:lastRenderedPageBreak/>
        <w:t xml:space="preserve">Summary of </w:t>
      </w:r>
      <w:r w:rsidR="003A7F6C">
        <w:rPr>
          <w:lang w:eastAsia="en-AU"/>
        </w:rPr>
        <w:t>r</w:t>
      </w:r>
      <w:r>
        <w:rPr>
          <w:lang w:eastAsia="en-AU"/>
        </w:rPr>
        <w:t>ecommendations</w:t>
      </w:r>
    </w:p>
    <w:p w:rsidR="00324415" w:rsidRPr="00324415" w:rsidRDefault="00324415" w:rsidP="00324415">
      <w:pPr>
        <w:pStyle w:val="Heading5"/>
      </w:pPr>
      <w:bookmarkStart w:id="131" w:name="_Toc314842510"/>
      <w:r w:rsidRPr="00324415">
        <w:t>Outstanding issues</w:t>
      </w:r>
    </w:p>
    <w:p w:rsidR="00324415" w:rsidRPr="00324415" w:rsidRDefault="00656BA4" w:rsidP="00324415">
      <w:pPr>
        <w:pStyle w:val="Heading6"/>
      </w:pPr>
      <w:r>
        <w:t>Issues in relation to the RMP</w:t>
      </w:r>
    </w:p>
    <w:p w:rsidR="00324415" w:rsidRPr="00324415" w:rsidRDefault="00324415" w:rsidP="00324415">
      <w:r w:rsidRPr="00324415">
        <w:t>The sponsor had advised that the data set package for Australia is essentially the same as submitted in the EU.</w:t>
      </w:r>
      <w:r w:rsidR="005C2E04">
        <w:t xml:space="preserve"> </w:t>
      </w:r>
      <w:r w:rsidRPr="00324415">
        <w:t>Nevertheless it was drawn to the Delegate’s attention that the indications foreshadowed for approval in the EU are more restrictive than those sought for in Australia.</w:t>
      </w:r>
      <w:r w:rsidR="005C2E04">
        <w:t xml:space="preserve"> </w:t>
      </w:r>
      <w:r w:rsidRPr="00324415">
        <w:t xml:space="preserve">In addition the sponsor was asked to respond to safety considerations raised by the nonclinical and clinical evaluators through the consolidated request </w:t>
      </w:r>
      <w:r>
        <w:t>for information and/or the nonclinical and c</w:t>
      </w:r>
      <w:r w:rsidRPr="00324415">
        <w:t>linical evaluation reports respectively, in the con</w:t>
      </w:r>
      <w:r>
        <w:t xml:space="preserve">text of relevance to the RMP. </w:t>
      </w:r>
      <w:r w:rsidRPr="00324415">
        <w:t>The sponsor states that in order to address the comments received in the clinical evaluation report; it has revised the proposed indication to be the same as the indication approved in EU on 26</w:t>
      </w:r>
      <w:r>
        <w:t xml:space="preserve"> August 2014 for DME patients. </w:t>
      </w:r>
      <w:r w:rsidRPr="00324415">
        <w:t xml:space="preserve">Nevertheless the sponsor should explain the discrepancy observed in the </w:t>
      </w:r>
      <w:r w:rsidR="00656BA4" w:rsidRPr="00324415">
        <w:t>nonclinical safety specific</w:t>
      </w:r>
      <w:r w:rsidRPr="00324415">
        <w:t xml:space="preserve">ation of the draft </w:t>
      </w:r>
      <w:r>
        <w:t>RMP</w:t>
      </w:r>
      <w:r w:rsidRPr="00324415">
        <w:t xml:space="preserve"> by the nonclinical evaluator.</w:t>
      </w:r>
    </w:p>
    <w:p w:rsidR="00324415" w:rsidRPr="00324415" w:rsidRDefault="00324415" w:rsidP="00324415">
      <w:r w:rsidRPr="00324415">
        <w:t xml:space="preserve">It was recommended that </w:t>
      </w:r>
      <w:r w:rsidR="00656BA4">
        <w:t>the important potential risk: ‘o</w:t>
      </w:r>
      <w:r w:rsidRPr="00324415">
        <w:t>ff label use’ be included as a new ongoing safety concern given the sponsor is not seeking to register the EU approved indications (</w:t>
      </w:r>
      <w:r w:rsidR="00740C73">
        <w:t>that is</w:t>
      </w:r>
      <w:r w:rsidRPr="00324415">
        <w:t xml:space="preserve"> the treatment of adult patients with macular oedema following either BRVO or CRVO and for the treatment of adult patients with inflammation of the posterior segment of the eye presenti</w:t>
      </w:r>
      <w:r>
        <w:t xml:space="preserve">ng as </w:t>
      </w:r>
      <w:r w:rsidR="00656BA4">
        <w:t>non-infectious</w:t>
      </w:r>
      <w:r>
        <w:t xml:space="preserve"> uveitis). </w:t>
      </w:r>
      <w:r w:rsidRPr="00324415">
        <w:t>Consideration must also be given as to what pharmacovigilance and risk minimisation activities will be proposed for this new ongoing safety concern and only the ASA need be revised accordingly.</w:t>
      </w:r>
      <w:r>
        <w:t xml:space="preserve"> </w:t>
      </w:r>
      <w:r w:rsidRPr="00324415">
        <w:t xml:space="preserve">The sponsor agrees that post approval of </w:t>
      </w:r>
      <w:r w:rsidR="007E59EA">
        <w:t>Ozurdex</w:t>
      </w:r>
      <w:r w:rsidRPr="00324415">
        <w:t xml:space="preserve"> in Australia for the proposed indication there is a potential for off</w:t>
      </w:r>
      <w:r w:rsidR="00D57E70">
        <w:t xml:space="preserve"> </w:t>
      </w:r>
      <w:r w:rsidRPr="00324415">
        <w:t xml:space="preserve">label use for the remaining approved indications in the EU and the US (macular oedema following BRVO or CRVO and </w:t>
      </w:r>
      <w:r w:rsidR="00656BA4" w:rsidRPr="00324415">
        <w:t>non</w:t>
      </w:r>
      <w:r w:rsidR="00656BA4">
        <w:t>-</w:t>
      </w:r>
      <w:r w:rsidR="00656BA4" w:rsidRPr="00324415">
        <w:t>infectious</w:t>
      </w:r>
      <w:r w:rsidRPr="00324415">
        <w:t xml:space="preserve"> uveitis).</w:t>
      </w:r>
      <w:r w:rsidR="005C2E04">
        <w:t xml:space="preserve"> </w:t>
      </w:r>
      <w:r w:rsidRPr="00324415">
        <w:t xml:space="preserve">However, the sponsor argues that safety concerns (if any) associated with the use of </w:t>
      </w:r>
      <w:r w:rsidR="007E59EA">
        <w:t>Ozurdex</w:t>
      </w:r>
      <w:r w:rsidRPr="00324415">
        <w:t xml:space="preserve"> in adult patients with macular oedema following BRVO or CRVO and </w:t>
      </w:r>
      <w:r w:rsidR="00656BA4" w:rsidRPr="00324415">
        <w:t>non</w:t>
      </w:r>
      <w:r w:rsidR="00656BA4">
        <w:t>-</w:t>
      </w:r>
      <w:r w:rsidR="00656BA4" w:rsidRPr="00324415">
        <w:t>infectious</w:t>
      </w:r>
      <w:r w:rsidRPr="00324415">
        <w:t xml:space="preserve"> posterior uveitis will be similar, if not, less than those expected with its usage in diabetic macular oedema patients.</w:t>
      </w:r>
      <w:r w:rsidR="005C2E04">
        <w:t xml:space="preserve"> </w:t>
      </w:r>
      <w:r w:rsidRPr="00324415">
        <w:t>On this basis it refuses to amend Section 2 of the ASA as recommended.</w:t>
      </w:r>
      <w:r w:rsidR="005C2E04">
        <w:t xml:space="preserve"> </w:t>
      </w:r>
      <w:r w:rsidRPr="00324415">
        <w:t>It is agreed that routine pharmacovigilance and risk minimisation are appropriate for this new ongoing safety concern specific to Australia.</w:t>
      </w:r>
      <w:r w:rsidR="005C2E04">
        <w:t xml:space="preserve"> </w:t>
      </w:r>
      <w:r w:rsidRPr="00324415">
        <w:t>Nevertheless to ensure that it is appropriately monitored by routine pharmacovi</w:t>
      </w:r>
      <w:r w:rsidR="00656BA4">
        <w:t>gilance it is reiterated that ‘o</w:t>
      </w:r>
      <w:r w:rsidRPr="00324415">
        <w:t>ff</w:t>
      </w:r>
      <w:r w:rsidR="00D57E70">
        <w:t xml:space="preserve"> </w:t>
      </w:r>
      <w:r w:rsidRPr="00324415">
        <w:t>label use’ should be included as an important potential risk, which need only be reflected in a revised ASA preferably befor</w:t>
      </w:r>
      <w:r>
        <w:t>e this application is approved.</w:t>
      </w:r>
    </w:p>
    <w:p w:rsidR="00324415" w:rsidRPr="00324415" w:rsidRDefault="00324415" w:rsidP="00324415">
      <w:r w:rsidRPr="00324415">
        <w:t>The sponsor was asked to definitively state in a revised ASA whether the targeted questionnaires for the important identified risks: ‘</w:t>
      </w:r>
      <w:proofErr w:type="spellStart"/>
      <w:r w:rsidR="00656BA4" w:rsidRPr="00324415">
        <w:t>endophthalmitis</w:t>
      </w:r>
      <w:proofErr w:type="spellEnd"/>
      <w:r w:rsidR="00656BA4" w:rsidRPr="00324415">
        <w:t xml:space="preserve"> (infectious/ non</w:t>
      </w:r>
      <w:r w:rsidR="00656BA4">
        <w:t>-</w:t>
      </w:r>
      <w:r w:rsidR="00656BA4" w:rsidRPr="00324415">
        <w:t xml:space="preserve">infectious)’, ‘significant vitreous leak or </w:t>
      </w:r>
      <w:proofErr w:type="spellStart"/>
      <w:r w:rsidR="00656BA4" w:rsidRPr="00324415">
        <w:t>hypotony</w:t>
      </w:r>
      <w:proofErr w:type="spellEnd"/>
      <w:r w:rsidR="00656BA4" w:rsidRPr="00324415">
        <w:t xml:space="preserve">’, ‘device dislocation’, ‘implant misplacement’ </w:t>
      </w:r>
      <w:r w:rsidR="00656BA4">
        <w:t>and</w:t>
      </w:r>
      <w:r w:rsidR="00656BA4" w:rsidRPr="00324415">
        <w:t xml:space="preserve"> ‘retinitis secondary to reactivation of latent viral or other ophthalmic infectio</w:t>
      </w:r>
      <w:r w:rsidRPr="00324415">
        <w:t>ns’ are proposed for use in Australia, and if so it should reference the copies located in the EU</w:t>
      </w:r>
      <w:r w:rsidR="00D57E70">
        <w:t xml:space="preserve"> </w:t>
      </w:r>
      <w:r w:rsidRPr="00324415">
        <w:t>RMP.</w:t>
      </w:r>
      <w:r w:rsidR="005C2E04">
        <w:t xml:space="preserve"> </w:t>
      </w:r>
      <w:r w:rsidRPr="00324415">
        <w:t xml:space="preserve">The sponsor has stated: “The targeted questionnaires for the important identified risks, </w:t>
      </w:r>
      <w:r w:rsidR="00656BA4" w:rsidRPr="00324415">
        <w:t>‘</w:t>
      </w:r>
      <w:proofErr w:type="spellStart"/>
      <w:r w:rsidR="00656BA4" w:rsidRPr="00324415">
        <w:t>e</w:t>
      </w:r>
      <w:r w:rsidRPr="00324415">
        <w:t>ndophthalmitis</w:t>
      </w:r>
      <w:proofErr w:type="spellEnd"/>
      <w:r w:rsidRPr="00324415">
        <w:t xml:space="preserve"> (infectious/ non</w:t>
      </w:r>
      <w:r w:rsidR="00656BA4">
        <w:t>-</w:t>
      </w:r>
      <w:r w:rsidRPr="00324415">
        <w:t xml:space="preserve">infectious)’, ‘Significant vitreous leak or </w:t>
      </w:r>
      <w:proofErr w:type="spellStart"/>
      <w:r w:rsidRPr="00324415">
        <w:t>hypotony</w:t>
      </w:r>
      <w:proofErr w:type="spellEnd"/>
      <w:r w:rsidRPr="00324415">
        <w:t>’, ‘</w:t>
      </w:r>
      <w:r w:rsidR="00656BA4" w:rsidRPr="00324415">
        <w:t xml:space="preserve">device dislocation’, ‘implant misplacement’ </w:t>
      </w:r>
      <w:r w:rsidR="00656BA4">
        <w:t>and</w:t>
      </w:r>
      <w:r w:rsidR="00656BA4" w:rsidRPr="00324415">
        <w:t xml:space="preserve"> ‘reti</w:t>
      </w:r>
      <w:r w:rsidRPr="00324415">
        <w:t xml:space="preserve">nitis secondary to reactivation of latent viral or other ophthalmic infections’ are applicable to, and will be used for the Australian population. Copies are provided as Annex 7 in the EU RMP v7.0 and are appropriately referenced in Section 2.1 of </w:t>
      </w:r>
      <w:r w:rsidR="00656BA4">
        <w:t>ASA</w:t>
      </w:r>
      <w:r w:rsidRPr="00324415">
        <w:t xml:space="preserve"> v2.0.”</w:t>
      </w:r>
      <w:r w:rsidR="005C2E04">
        <w:t xml:space="preserve"> </w:t>
      </w:r>
      <w:r w:rsidRPr="00324415">
        <w:t>However, Table 2–1: ‘</w:t>
      </w:r>
      <w:r w:rsidR="00656BA4">
        <w:t>p</w:t>
      </w:r>
      <w:r w:rsidRPr="00324415">
        <w:t xml:space="preserve">harmacovigilance activities for safety concerns and missing information’ of the updated ASA also indicates that targeted questionnaires are also used to further characterise the important identified risks: ‘Increased IOP, </w:t>
      </w:r>
      <w:r w:rsidR="00656BA4" w:rsidRPr="00324415">
        <w:t xml:space="preserve">glaucoma, ocular hypertension’, ‘cataract formation and associated visual acuity reduced’, ‘vitreous haemorrhage/detachment’ </w:t>
      </w:r>
      <w:r w:rsidR="00656BA4">
        <w:t>and</w:t>
      </w:r>
      <w:r w:rsidR="00656BA4" w:rsidRPr="00324415">
        <w:t xml:space="preserve"> ‘retinal detachment</w:t>
      </w:r>
      <w:r w:rsidRPr="00324415">
        <w:t>/tear’ without providing copies of such documentation.</w:t>
      </w:r>
      <w:r w:rsidR="005C2E04">
        <w:t xml:space="preserve"> </w:t>
      </w:r>
      <w:r w:rsidRPr="00324415">
        <w:t>In addition the missing information: ‘</w:t>
      </w:r>
      <w:r w:rsidR="00656BA4" w:rsidRPr="00324415">
        <w:t>long term safety, repeat dosing data’ appears to be missing from this table.</w:t>
      </w:r>
      <w:r w:rsidR="00656BA4">
        <w:t xml:space="preserve"> </w:t>
      </w:r>
      <w:proofErr w:type="gramStart"/>
      <w:r w:rsidR="00656BA4" w:rsidRPr="00324415">
        <w:t>the</w:t>
      </w:r>
      <w:proofErr w:type="gramEnd"/>
      <w:r w:rsidR="00656BA4" w:rsidRPr="00324415">
        <w:t xml:space="preserve"> sponsor should explain and if required </w:t>
      </w:r>
      <w:r w:rsidRPr="00324415">
        <w:t>correct these apparent discrepancies preferably befor</w:t>
      </w:r>
      <w:r w:rsidR="00656BA4">
        <w:t>e this application is approved.</w:t>
      </w:r>
    </w:p>
    <w:p w:rsidR="00324415" w:rsidRPr="00324415" w:rsidRDefault="00324415" w:rsidP="00324415">
      <w:r w:rsidRPr="00324415">
        <w:lastRenderedPageBreak/>
        <w:t>The sponsor was asked to revise the ASA to include a risk minimisation activities table detailing all planned risk minimisation measures in the Australian context and the EU</w:t>
      </w:r>
      <w:r w:rsidR="00D57E70">
        <w:t xml:space="preserve"> </w:t>
      </w:r>
      <w:r w:rsidRPr="00324415">
        <w:t>RMP context.</w:t>
      </w:r>
      <w:r w:rsidR="005C2E04">
        <w:t xml:space="preserve"> </w:t>
      </w:r>
      <w:r w:rsidRPr="00324415">
        <w:t xml:space="preserve">This table should include a comparison of the actual content and wording of the EU </w:t>
      </w:r>
      <w:proofErr w:type="spellStart"/>
      <w:r w:rsidRPr="00324415">
        <w:t>SmPC</w:t>
      </w:r>
      <w:proofErr w:type="spellEnd"/>
      <w:r w:rsidRPr="00324415">
        <w:t xml:space="preserve"> and the proposed Australian PI </w:t>
      </w:r>
      <w:r w:rsidR="00656BA4">
        <w:t>and</w:t>
      </w:r>
      <w:r w:rsidRPr="00324415">
        <w:t xml:space="preserve"> CMI for all of the specified ongoing safety concerns and missing information to identify and provide reasons for any observed differences, particularly where it appears the EU </w:t>
      </w:r>
      <w:proofErr w:type="spellStart"/>
      <w:r w:rsidRPr="00324415">
        <w:t>SmPC</w:t>
      </w:r>
      <w:proofErr w:type="spellEnd"/>
      <w:r w:rsidRPr="00324415">
        <w:t xml:space="preserve"> is more restrictive.</w:t>
      </w:r>
      <w:r w:rsidR="005C2E04">
        <w:t xml:space="preserve"> </w:t>
      </w:r>
      <w:r w:rsidRPr="00324415">
        <w:t>The sponsor states: “</w:t>
      </w:r>
      <w:r w:rsidRPr="00656BA4">
        <w:rPr>
          <w:i/>
        </w:rPr>
        <w:t xml:space="preserve">The assessor’s observation has been addressed and a table listing risk minimisation activities undertaken as reflected in the content of the EU </w:t>
      </w:r>
      <w:proofErr w:type="spellStart"/>
      <w:r w:rsidR="00656BA4">
        <w:rPr>
          <w:i/>
        </w:rPr>
        <w:t>SmPC</w:t>
      </w:r>
      <w:proofErr w:type="spellEnd"/>
      <w:r w:rsidRPr="00656BA4">
        <w:rPr>
          <w:i/>
        </w:rPr>
        <w:t xml:space="preserve"> and the proposed Australian </w:t>
      </w:r>
      <w:r w:rsidR="00656BA4">
        <w:rPr>
          <w:i/>
        </w:rPr>
        <w:t>PI</w:t>
      </w:r>
      <w:r w:rsidRPr="00656BA4">
        <w:rPr>
          <w:i/>
        </w:rPr>
        <w:t xml:space="preserve"> for all of the specified ongoing safety concerns and missing information has now been included in Section 3.0 of </w:t>
      </w:r>
      <w:r w:rsidR="00656BA4">
        <w:rPr>
          <w:i/>
        </w:rPr>
        <w:t>ASA</w:t>
      </w:r>
      <w:r w:rsidRPr="00656BA4">
        <w:rPr>
          <w:i/>
        </w:rPr>
        <w:t xml:space="preserve"> v2.0 based on the EMA approved EU RMP v7.0</w:t>
      </w:r>
      <w:r w:rsidRPr="00324415">
        <w:t>.”</w:t>
      </w:r>
      <w:r w:rsidR="005C2E04">
        <w:t xml:space="preserve"> </w:t>
      </w:r>
      <w:r w:rsidRPr="00324415">
        <w:t>However, Table 3–1: ‘</w:t>
      </w:r>
      <w:r w:rsidR="00656BA4" w:rsidRPr="00324415">
        <w:t>d</w:t>
      </w:r>
      <w:r w:rsidRPr="00324415">
        <w:t xml:space="preserve">ifferences between the risk minimisation activities undertaken as reflected in the content of the EU </w:t>
      </w:r>
      <w:proofErr w:type="spellStart"/>
      <w:r w:rsidR="00656BA4">
        <w:t>SmPC</w:t>
      </w:r>
      <w:proofErr w:type="spellEnd"/>
      <w:r w:rsidRPr="00324415">
        <w:t xml:space="preserve"> and the proposed Australian </w:t>
      </w:r>
      <w:r w:rsidR="00656BA4">
        <w:t>PI</w:t>
      </w:r>
      <w:r w:rsidRPr="00324415">
        <w:t>’ of the ASA does not specifically identify and provide reasons for any observed differences.</w:t>
      </w:r>
      <w:r w:rsidR="005C2E04">
        <w:t xml:space="preserve"> </w:t>
      </w:r>
      <w:r w:rsidRPr="00324415">
        <w:t>For example for t</w:t>
      </w:r>
      <w:r w:rsidR="00656BA4">
        <w:t>he important identified risk: ‘i</w:t>
      </w:r>
      <w:r w:rsidRPr="00324415">
        <w:t xml:space="preserve">ncreased IOP, </w:t>
      </w:r>
      <w:r w:rsidR="00656BA4" w:rsidRPr="00324415">
        <w:t>glaucoma, ocular hypertension’</w:t>
      </w:r>
      <w:r w:rsidRPr="00324415">
        <w:t xml:space="preserve">, Section 4.4 of the </w:t>
      </w:r>
      <w:proofErr w:type="spellStart"/>
      <w:r w:rsidRPr="00324415">
        <w:t>SmPC</w:t>
      </w:r>
      <w:proofErr w:type="spellEnd"/>
      <w:r w:rsidRPr="00324415">
        <w:t xml:space="preserve"> states that patients should be monitored following the injection to permit early treatment if an infection or increased </w:t>
      </w:r>
      <w:r w:rsidR="00656BA4">
        <w:t>IOP</w:t>
      </w:r>
      <w:r w:rsidRPr="00324415">
        <w:t xml:space="preserve"> occurs and such monitoring may consist of a check for perfusion of the optic nerve head immediately after the injection, tonometry within 30 minutes following the injection, and </w:t>
      </w:r>
      <w:proofErr w:type="spellStart"/>
      <w:r w:rsidRPr="00324415">
        <w:t>biomicroscopy</w:t>
      </w:r>
      <w:proofErr w:type="spellEnd"/>
      <w:r w:rsidRPr="00324415">
        <w:t xml:space="preserve"> between two and seven days following the injection.</w:t>
      </w:r>
      <w:r w:rsidR="005C2E04">
        <w:t xml:space="preserve"> </w:t>
      </w:r>
      <w:r w:rsidRPr="00324415">
        <w:t>The proposed Australian PI provides no such detail.</w:t>
      </w:r>
      <w:r w:rsidR="005C2E04">
        <w:t xml:space="preserve"> </w:t>
      </w:r>
      <w:r w:rsidRPr="00324415">
        <w:t>Consequently this recommendation remains outstanding and should be adequately addressed preferably befor</w:t>
      </w:r>
      <w:r w:rsidR="00656BA4">
        <w:t>e this application is approved.</w:t>
      </w:r>
    </w:p>
    <w:p w:rsidR="00324415" w:rsidRPr="00324415" w:rsidRDefault="00324415" w:rsidP="00324415">
      <w:r w:rsidRPr="00324415">
        <w:t xml:space="preserve">The sponsor was advised that the current UK </w:t>
      </w:r>
      <w:proofErr w:type="spellStart"/>
      <w:r w:rsidRPr="00324415">
        <w:t>SmPC</w:t>
      </w:r>
      <w:proofErr w:type="spellEnd"/>
      <w:r w:rsidRPr="00324415">
        <w:t xml:space="preserve"> states: “</w:t>
      </w:r>
      <w:r w:rsidRPr="00656BA4">
        <w:rPr>
          <w:i/>
        </w:rPr>
        <w:t xml:space="preserve">The safety and efficacy of </w:t>
      </w:r>
      <w:r w:rsidR="007E59EA" w:rsidRPr="00656BA4">
        <w:rPr>
          <w:i/>
        </w:rPr>
        <w:t>Ozurdex</w:t>
      </w:r>
      <w:r w:rsidRPr="00656BA4">
        <w:rPr>
          <w:i/>
        </w:rPr>
        <w:t xml:space="preserve"> administered to both eyes concurrently have not been studied. Therefore administration to both eyes concurrently is not recommended</w:t>
      </w:r>
      <w:r w:rsidRPr="00324415">
        <w:t>.”</w:t>
      </w:r>
      <w:r w:rsidR="005C2E04">
        <w:t xml:space="preserve"> </w:t>
      </w:r>
      <w:r w:rsidRPr="00324415">
        <w:t>This precautionary statement is cross</w:t>
      </w:r>
      <w:r w:rsidR="00D57E70">
        <w:t xml:space="preserve"> </w:t>
      </w:r>
      <w:r w:rsidRPr="00324415">
        <w:t>referenced to the ‘</w:t>
      </w:r>
      <w:r w:rsidR="00656BA4">
        <w:t>p</w:t>
      </w:r>
      <w:r w:rsidRPr="00324415">
        <w:t xml:space="preserve">osology and method of administration’ section of the UK </w:t>
      </w:r>
      <w:proofErr w:type="spellStart"/>
      <w:r w:rsidRPr="00324415">
        <w:t>SmPC</w:t>
      </w:r>
      <w:proofErr w:type="spellEnd"/>
      <w:r w:rsidRPr="00324415">
        <w:t xml:space="preserve"> and was related to the former ongoing safety concern: ‘</w:t>
      </w:r>
      <w:r w:rsidR="00656BA4">
        <w:t>s</w:t>
      </w:r>
      <w:r w:rsidRPr="00324415">
        <w:t>ystemic corticosteroid effects’.</w:t>
      </w:r>
      <w:r w:rsidR="005C2E04">
        <w:t xml:space="preserve"> </w:t>
      </w:r>
      <w:r w:rsidRPr="00324415">
        <w:t>However, a similar precautionary statement does not appear to be included in the proposed Australian PI, but is included in the proposed Australian CMI.</w:t>
      </w:r>
      <w:r w:rsidR="005C2E04">
        <w:t xml:space="preserve"> </w:t>
      </w:r>
      <w:r w:rsidRPr="00324415">
        <w:t>The sponsor was asked to correct this oversight and amend the proposed Australian PI accordingly.</w:t>
      </w:r>
      <w:r w:rsidR="005C2E04">
        <w:t xml:space="preserve"> </w:t>
      </w:r>
      <w:r w:rsidRPr="00324415">
        <w:t xml:space="preserve">The sponsor states: “The assessor’s observation is addressed in the updated Australian PI, and the following sentence has been added to the draft PI under </w:t>
      </w:r>
      <w:r w:rsidR="00656BA4" w:rsidRPr="00324415">
        <w:t>dosage and administration</w:t>
      </w:r>
      <w:r w:rsidRPr="00324415">
        <w:t xml:space="preserve">: “The safety and efficacy of </w:t>
      </w:r>
      <w:r w:rsidR="007E59EA">
        <w:t>Ozurdex</w:t>
      </w:r>
      <w:r w:rsidRPr="00324415">
        <w:t xml:space="preserve"> administered to both eyes concurrently have not been studied. Therefore, administration to both eyes concurrently is not recommended.”</w:t>
      </w:r>
      <w:r w:rsidR="005C2E04">
        <w:t xml:space="preserve"> </w:t>
      </w:r>
      <w:r w:rsidRPr="00324415">
        <w:t xml:space="preserve">However, it is observed that this information is in fact now included in the </w:t>
      </w:r>
      <w:r w:rsidR="00656BA4" w:rsidRPr="00324415">
        <w:t>precautions</w:t>
      </w:r>
      <w:r w:rsidRPr="00324415">
        <w:t xml:space="preserve"> section, not in the </w:t>
      </w:r>
      <w:r w:rsidR="00656BA4" w:rsidRPr="00324415">
        <w:t xml:space="preserve">dosage and administration </w:t>
      </w:r>
      <w:r w:rsidRPr="00324415">
        <w:t>section, of the proposed Australian PI.</w:t>
      </w:r>
      <w:r w:rsidR="005C2E04">
        <w:t xml:space="preserve"> </w:t>
      </w:r>
      <w:r w:rsidRPr="00324415">
        <w:t>This is not entirely satisfactory and it is reiterated that these precautionary statements should also be cross</w:t>
      </w:r>
      <w:r w:rsidR="00D57E70">
        <w:t xml:space="preserve"> </w:t>
      </w:r>
      <w:r w:rsidRPr="00324415">
        <w:t xml:space="preserve">referenced to the </w:t>
      </w:r>
      <w:r w:rsidR="00656BA4" w:rsidRPr="00324415">
        <w:t>dosage and administration</w:t>
      </w:r>
      <w:r w:rsidRPr="00324415">
        <w:t xml:space="preserve"> section of the proposed Australian PI.</w:t>
      </w:r>
      <w:r w:rsidR="005C2E04">
        <w:t xml:space="preserve"> </w:t>
      </w:r>
      <w:r w:rsidRPr="00324415">
        <w:t>Furthermore Table 3–1: ‘Differences between the risk minimisation activities undertaken as reflect</w:t>
      </w:r>
      <w:r w:rsidR="00656BA4">
        <w:t xml:space="preserve">ed in the content of the EU </w:t>
      </w:r>
      <w:proofErr w:type="spellStart"/>
      <w:r w:rsidR="00656BA4">
        <w:t>SmPC</w:t>
      </w:r>
      <w:proofErr w:type="spellEnd"/>
      <w:r w:rsidRPr="00324415">
        <w:t xml:space="preserve"> and the proposed </w:t>
      </w:r>
      <w:r w:rsidR="00656BA4">
        <w:t>Australian PI</w:t>
      </w:r>
      <w:r w:rsidRPr="00324415">
        <w:t>’ of the ASA contrarily indicates that no routine risk minimisation is proposed for the important potential risk: ‘</w:t>
      </w:r>
      <w:r w:rsidR="00656BA4" w:rsidRPr="00324415">
        <w:t>sy</w:t>
      </w:r>
      <w:r w:rsidRPr="00324415">
        <w:t>stemic corticosteroid effects (infections, impaired healing and hypertension)’.</w:t>
      </w:r>
      <w:r w:rsidR="005C2E04">
        <w:t xml:space="preserve"> </w:t>
      </w:r>
      <w:r w:rsidRPr="00324415">
        <w:t>The sponsor should correct this inconsistency preferably before this application is approved.</w:t>
      </w:r>
      <w:r w:rsidR="005C2E04">
        <w:t xml:space="preserve"> </w:t>
      </w:r>
      <w:r w:rsidRPr="00324415">
        <w:t>It is noted that Table 9–22: ‘</w:t>
      </w:r>
      <w:r w:rsidR="00656BA4" w:rsidRPr="00324415">
        <w:t xml:space="preserve">summary table of risk minimization measures’ </w:t>
      </w:r>
      <w:r w:rsidRPr="00324415">
        <w:t>and Table 9–25: ‘</w:t>
      </w:r>
      <w:r w:rsidR="00656BA4" w:rsidRPr="00324415">
        <w:t xml:space="preserve">summary table of risk minimization measures’ </w:t>
      </w:r>
      <w:r w:rsidRPr="00324415">
        <w:t>of the updated EU</w:t>
      </w:r>
      <w:r w:rsidR="00D57E70">
        <w:t xml:space="preserve"> </w:t>
      </w:r>
      <w:r w:rsidRPr="00324415">
        <w:t>RMP are also inconsistent on this matter.</w:t>
      </w:r>
    </w:p>
    <w:p w:rsidR="00324415" w:rsidRDefault="00324415" w:rsidP="00324415">
      <w:r w:rsidRPr="00324415">
        <w:t>The sponsor was advised that it would be expected to conduct a physician survey in Australia (similar to that conducted in the EU) to assess the effectiveness of the prescriber educational materials as a measure to reduce all the specified important identified risks.</w:t>
      </w:r>
      <w:r w:rsidR="005C2E04">
        <w:t xml:space="preserve"> </w:t>
      </w:r>
      <w:r w:rsidRPr="00324415">
        <w:t>Consequently the sponsor was asked to provide details of the nature (quantitative) and content of the survey testing to be conducted in Australia, including the specific review period, the criteria used to verify success and how the results of this testing will be reported to the TGA.</w:t>
      </w:r>
      <w:r w:rsidR="005C2E04">
        <w:t xml:space="preserve"> </w:t>
      </w:r>
      <w:r w:rsidRPr="00324415">
        <w:t>Subsequently Section 3: ‘</w:t>
      </w:r>
      <w:r w:rsidR="00656BA4">
        <w:t>RMP</w:t>
      </w:r>
      <w:r w:rsidRPr="00324415">
        <w:t>’ of the ASA should be revised accordingly.</w:t>
      </w:r>
      <w:r w:rsidR="005C2E04">
        <w:t xml:space="preserve"> </w:t>
      </w:r>
      <w:r w:rsidRPr="00324415">
        <w:t xml:space="preserve">The sponsor states: “The overall AE reporting rate, as well as the injection </w:t>
      </w:r>
      <w:r w:rsidRPr="00324415">
        <w:lastRenderedPageBreak/>
        <w:t>procedure</w:t>
      </w:r>
      <w:r w:rsidR="00D57E70">
        <w:t xml:space="preserve"> </w:t>
      </w:r>
      <w:r w:rsidRPr="00324415">
        <w:t>related adverse event rate, will be used as a measure of effectiveness of these educational materials. A decrease in overall reporting rate, as well as frequency and severity of injection procedure</w:t>
      </w:r>
      <w:r w:rsidR="00D57E70">
        <w:t xml:space="preserve"> </w:t>
      </w:r>
      <w:r w:rsidRPr="00324415">
        <w:t>related adverse events, will be considered as verification of the success of the educational materials.”</w:t>
      </w:r>
      <w:r w:rsidR="005C2E04">
        <w:t xml:space="preserve"> </w:t>
      </w:r>
      <w:r w:rsidRPr="00324415">
        <w:t>However, this approach is reliant upon data from spontaneous AE</w:t>
      </w:r>
      <w:r w:rsidR="00656BA4">
        <w:t xml:space="preserve"> report</w:t>
      </w:r>
      <w:r w:rsidRPr="00324415">
        <w:t>s which are unlikely to be sufficient in measuring the effectiveness of these proposed additional risk minimisation activities.</w:t>
      </w:r>
      <w:r w:rsidR="005C2E04">
        <w:t xml:space="preserve"> </w:t>
      </w:r>
      <w:r w:rsidRPr="00324415">
        <w:t>This is due to the under</w:t>
      </w:r>
      <w:r w:rsidR="00D57E70">
        <w:t xml:space="preserve"> </w:t>
      </w:r>
      <w:r w:rsidRPr="00324415">
        <w:t>reporting and the lack of reliable exposure (usage) data associated with spontaneous reporting systems, not to mention the information gained from adverse reaction reporting is often incomplete.</w:t>
      </w:r>
      <w:r w:rsidR="005C2E04">
        <w:t xml:space="preserve"> </w:t>
      </w:r>
      <w:r w:rsidRPr="00324415">
        <w:t>Consequently this recommendation remains outstanding and should be adequately addressed preferably before this application is approved.</w:t>
      </w:r>
    </w:p>
    <w:p w:rsidR="00324415" w:rsidRPr="00324415" w:rsidRDefault="00324415" w:rsidP="00324415">
      <w:r w:rsidRPr="00324415">
        <w:t xml:space="preserve">The sponsor was advised that no information detailing how the patient educational materials as a measure to reduce the important identified risks: ‘Increased </w:t>
      </w:r>
      <w:r w:rsidR="00656BA4">
        <w:t>IOP</w:t>
      </w:r>
      <w:r w:rsidRPr="00324415">
        <w:t xml:space="preserve">, </w:t>
      </w:r>
      <w:r w:rsidR="00656BA4" w:rsidRPr="00324415">
        <w:t xml:space="preserve">glaucoma, ocular hypertension’ </w:t>
      </w:r>
      <w:r w:rsidR="00656BA4">
        <w:t>and</w:t>
      </w:r>
      <w:r w:rsidR="00656BA4" w:rsidRPr="00324415">
        <w:t xml:space="preserve"> ‘</w:t>
      </w:r>
      <w:proofErr w:type="spellStart"/>
      <w:r w:rsidR="00656BA4" w:rsidRPr="00324415">
        <w:t>endophthalm</w:t>
      </w:r>
      <w:r w:rsidRPr="00324415">
        <w:t>itis</w:t>
      </w:r>
      <w:proofErr w:type="spellEnd"/>
      <w:r w:rsidRPr="00324415">
        <w:t xml:space="preserve"> (infectious/ </w:t>
      </w:r>
      <w:r w:rsidR="00656BA4" w:rsidRPr="00324415">
        <w:t>non</w:t>
      </w:r>
      <w:r w:rsidR="00656BA4">
        <w:t>-</w:t>
      </w:r>
      <w:r w:rsidR="00656BA4" w:rsidRPr="00324415">
        <w:t>infectious</w:t>
      </w:r>
      <w:r w:rsidRPr="00324415">
        <w:t>)’ appeared to have been provided.</w:t>
      </w:r>
      <w:r w:rsidR="005C2E04">
        <w:t xml:space="preserve"> </w:t>
      </w:r>
      <w:r w:rsidRPr="00324415">
        <w:t>Consequently the sponsor was asked to state how the effectiveness of this additional risk minimisation measure for these ongoing safety concerns will be measured, the criteria used to verify success and how the results of such testing will be reported to the TGA.</w:t>
      </w:r>
      <w:r w:rsidR="005C2E04">
        <w:t xml:space="preserve"> </w:t>
      </w:r>
      <w:r w:rsidRPr="00324415">
        <w:t>Subsequently Section 3: ‘</w:t>
      </w:r>
      <w:r w:rsidR="00656BA4" w:rsidRPr="00324415">
        <w:t>risk minimisation plan</w:t>
      </w:r>
      <w:r w:rsidRPr="00324415">
        <w:t>’ of the ASA should be revised accordingly.</w:t>
      </w:r>
      <w:r w:rsidR="005C2E04">
        <w:t xml:space="preserve"> </w:t>
      </w:r>
      <w:r w:rsidRPr="00324415">
        <w:t xml:space="preserve">The sponsor “proposes capturing data on identified risks through </w:t>
      </w:r>
      <w:r w:rsidR="00656BA4" w:rsidRPr="00324415">
        <w:t xml:space="preserve">the targeted questionnaire </w:t>
      </w:r>
      <w:r w:rsidRPr="00324415">
        <w:t xml:space="preserve">and spontaneous AE reporting to Allergan’s </w:t>
      </w:r>
      <w:r w:rsidR="00656BA4" w:rsidRPr="00324415">
        <w:t xml:space="preserve">pharmacovigilance department. Data </w:t>
      </w:r>
      <w:r w:rsidRPr="00324415">
        <w:t>collected via these channels will be reported to the TGA through established reporting mechanisms if required.”</w:t>
      </w:r>
      <w:r w:rsidR="005C2E04">
        <w:t xml:space="preserve"> </w:t>
      </w:r>
      <w:r w:rsidRPr="00324415">
        <w:t>The updated ASA states: “Allergan diligently monitors AEs (related to injection procedure). The overall AE profile, reporting rate, as well as the type and frequency of injection procedure related adverse events will all be used as a measure of effectiveness of these educational materials.” However, this approach is reliant upon data from spontaneous AE</w:t>
      </w:r>
      <w:r w:rsidR="00656BA4">
        <w:t xml:space="preserve"> reports</w:t>
      </w:r>
      <w:r w:rsidRPr="00324415">
        <w:t xml:space="preserve"> which are unlikely to be sufficient in measuring the effectiveness of these proposed additional risk minimisation activities.</w:t>
      </w:r>
      <w:r w:rsidR="005C2E04">
        <w:t xml:space="preserve"> </w:t>
      </w:r>
      <w:r w:rsidRPr="00324415">
        <w:t>This is due to the under</w:t>
      </w:r>
      <w:r w:rsidR="00D57E70">
        <w:t xml:space="preserve"> </w:t>
      </w:r>
      <w:r w:rsidRPr="00324415">
        <w:t>reporting and the lack of reliable exposure (usage) data associated with spontaneous reporting systems, not to mention the information gained from adverse reaction reporting is often incomplete.</w:t>
      </w:r>
      <w:r w:rsidR="005C2E04">
        <w:t xml:space="preserve"> </w:t>
      </w:r>
      <w:r w:rsidRPr="00324415">
        <w:t>Consequently this recommendation remains outstanding and should be adequately addressed preferably before this application is approved.</w:t>
      </w:r>
      <w:r w:rsidR="005C2E04">
        <w:t xml:space="preserve"> </w:t>
      </w:r>
      <w:r w:rsidRPr="00324415">
        <w:t>In addition the sponsor stated that educational materials were attached as Appendix 1 to the updated ASA.</w:t>
      </w:r>
      <w:r w:rsidR="005C2E04">
        <w:t xml:space="preserve"> </w:t>
      </w:r>
      <w:r w:rsidRPr="00324415">
        <w:t>However, it appears that the patient educational materials have not been so attached.</w:t>
      </w:r>
      <w:r w:rsidR="005C2E04">
        <w:t xml:space="preserve"> </w:t>
      </w:r>
      <w:r w:rsidRPr="00324415">
        <w:t>The sponsor should correct this oversight.</w:t>
      </w:r>
    </w:p>
    <w:p w:rsidR="00324415" w:rsidRPr="00324415" w:rsidRDefault="00324415" w:rsidP="00324415">
      <w:pPr>
        <w:pStyle w:val="Heading5"/>
      </w:pPr>
      <w:r w:rsidRPr="00324415">
        <w:t>Advice from the Advisory Committee on the Safety of Medicines (ACSOM)</w:t>
      </w:r>
    </w:p>
    <w:p w:rsidR="00324415" w:rsidRPr="00324415" w:rsidRDefault="00324415" w:rsidP="00324415">
      <w:r w:rsidRPr="00324415">
        <w:t>ACSOM advice was not sought for this submission.</w:t>
      </w:r>
    </w:p>
    <w:p w:rsidR="00324415" w:rsidRPr="00324415" w:rsidRDefault="00324415" w:rsidP="00324415">
      <w:pPr>
        <w:pStyle w:val="Heading5"/>
      </w:pPr>
      <w:r w:rsidRPr="00324415">
        <w:t>Key changes to the updated RMP</w:t>
      </w:r>
    </w:p>
    <w:p w:rsidR="00324415" w:rsidRDefault="00324415" w:rsidP="00324415">
      <w:r w:rsidRPr="00324415">
        <w:t xml:space="preserve">In their response to the TGA </w:t>
      </w:r>
      <w:r w:rsidR="00656BA4">
        <w:t>r</w:t>
      </w:r>
      <w:r w:rsidRPr="00324415">
        <w:t xml:space="preserve">equests </w:t>
      </w:r>
      <w:r w:rsidR="00656BA4">
        <w:t xml:space="preserve">for information </w:t>
      </w:r>
      <w:r w:rsidRPr="00324415">
        <w:t>the sponsor provided an updated EU</w:t>
      </w:r>
      <w:r w:rsidR="00D57E70">
        <w:t xml:space="preserve"> </w:t>
      </w:r>
      <w:r w:rsidRPr="00324415">
        <w:t>RMP (Version 7.0, dated 5 August 2014) with an updated ASA (Version 2.0, dated 10</w:t>
      </w:r>
      <w:r w:rsidRPr="00324415">
        <w:sym w:font="Symbol" w:char="F020"/>
      </w:r>
      <w:r w:rsidRPr="00324415">
        <w:t>December 2014).</w:t>
      </w:r>
      <w:r w:rsidR="005C2E04">
        <w:t xml:space="preserve"> </w:t>
      </w:r>
      <w:r w:rsidRPr="00324415">
        <w:t xml:space="preserve">Key changes from the versions evaluated at Round 1 are summarised </w:t>
      </w:r>
      <w:r w:rsidR="00656BA4">
        <w:t>in Table 9</w:t>
      </w:r>
    </w:p>
    <w:p w:rsidR="00324415" w:rsidRPr="00324415" w:rsidRDefault="00656BA4" w:rsidP="00656BA4">
      <w:pPr>
        <w:pStyle w:val="TableTitle"/>
      </w:pPr>
      <w:proofErr w:type="gramStart"/>
      <w:r>
        <w:t>Table 9</w:t>
      </w:r>
      <w:r w:rsidR="00324415">
        <w:t>.</w:t>
      </w:r>
      <w:proofErr w:type="gramEnd"/>
      <w:r w:rsidR="00324415">
        <w:t xml:space="preserve"> </w:t>
      </w:r>
      <w:r w:rsidR="00324415" w:rsidRPr="00324415">
        <w:t>K</w:t>
      </w:r>
      <w:r w:rsidR="00324415">
        <w:t>ey changes to the updated RMP</w:t>
      </w:r>
    </w:p>
    <w:tbl>
      <w:tblPr>
        <w:tblStyle w:val="TableTGAblue"/>
        <w:tblW w:w="0" w:type="auto"/>
        <w:tblLook w:val="04A0" w:firstRow="1" w:lastRow="0" w:firstColumn="1" w:lastColumn="0" w:noHBand="0" w:noVBand="1"/>
      </w:tblPr>
      <w:tblGrid>
        <w:gridCol w:w="1525"/>
        <w:gridCol w:w="7195"/>
      </w:tblGrid>
      <w:tr w:rsidR="00324415" w:rsidRPr="00656BA4" w:rsidTr="00BA14B0">
        <w:trPr>
          <w:cnfStyle w:val="100000000000" w:firstRow="1" w:lastRow="0" w:firstColumn="0" w:lastColumn="0" w:oddVBand="0" w:evenVBand="0" w:oddHBand="0" w:evenHBand="0" w:firstRowFirstColumn="0" w:firstRowLastColumn="0" w:lastRowFirstColumn="0" w:lastRowLastColumn="0"/>
          <w:trHeight w:val="495"/>
        </w:trPr>
        <w:tc>
          <w:tcPr>
            <w:tcW w:w="9072" w:type="dxa"/>
            <w:gridSpan w:val="2"/>
          </w:tcPr>
          <w:p w:rsidR="00324415" w:rsidRPr="00656BA4" w:rsidRDefault="00324415" w:rsidP="00BA14B0">
            <w:r w:rsidRPr="00656BA4">
              <w:t>Key changes to the updated RMP</w:t>
            </w:r>
          </w:p>
        </w:tc>
      </w:tr>
      <w:tr w:rsidR="00324415" w:rsidRPr="00656BA4" w:rsidTr="00BA14B0">
        <w:trPr>
          <w:trHeight w:val="484"/>
        </w:trPr>
        <w:tc>
          <w:tcPr>
            <w:tcW w:w="1560" w:type="dxa"/>
            <w:hideMark/>
          </w:tcPr>
          <w:p w:rsidR="00324415" w:rsidRPr="00656BA4" w:rsidRDefault="00324415" w:rsidP="00BA14B0">
            <w:r w:rsidRPr="00656BA4">
              <w:t>EU</w:t>
            </w:r>
            <w:r w:rsidR="00D57E70" w:rsidRPr="00656BA4">
              <w:t xml:space="preserve"> </w:t>
            </w:r>
            <w:r w:rsidRPr="00656BA4">
              <w:t>RMP</w:t>
            </w:r>
          </w:p>
        </w:tc>
        <w:tc>
          <w:tcPr>
            <w:tcW w:w="7512" w:type="dxa"/>
          </w:tcPr>
          <w:p w:rsidR="00324415" w:rsidRPr="00656BA4" w:rsidRDefault="00324415" w:rsidP="00BA14B0">
            <w:r w:rsidRPr="00656BA4">
              <w:t>‘Systemic corticosteroid effects’ is added as an important potential risk.</w:t>
            </w:r>
          </w:p>
        </w:tc>
      </w:tr>
      <w:tr w:rsidR="00324415" w:rsidRPr="00656BA4" w:rsidTr="00BA14B0">
        <w:trPr>
          <w:trHeight w:val="484"/>
        </w:trPr>
        <w:tc>
          <w:tcPr>
            <w:tcW w:w="1560" w:type="dxa"/>
          </w:tcPr>
          <w:p w:rsidR="00324415" w:rsidRPr="00656BA4" w:rsidRDefault="00324415" w:rsidP="00BA14B0">
            <w:r w:rsidRPr="00656BA4">
              <w:t>ASA</w:t>
            </w:r>
          </w:p>
        </w:tc>
        <w:tc>
          <w:tcPr>
            <w:tcW w:w="7512" w:type="dxa"/>
          </w:tcPr>
          <w:p w:rsidR="00324415" w:rsidRPr="00656BA4" w:rsidRDefault="00324415" w:rsidP="00BA14B0">
            <w:r w:rsidRPr="00656BA4">
              <w:t>The proposed indication has been amended to be the same as the indication approved in EU on 26 August 2014 for DME patients.</w:t>
            </w:r>
          </w:p>
          <w:p w:rsidR="00324415" w:rsidRPr="00656BA4" w:rsidRDefault="00324415" w:rsidP="00BA14B0">
            <w:r w:rsidRPr="00656BA4">
              <w:lastRenderedPageBreak/>
              <w:t>Section 1.2.2: ‘Differences in indication between the European Union (EU) and Australia’ has been updated.</w:t>
            </w:r>
          </w:p>
          <w:p w:rsidR="00324415" w:rsidRPr="00656BA4" w:rsidRDefault="00324415" w:rsidP="00BA14B0">
            <w:r w:rsidRPr="00656BA4">
              <w:t>Section 1.2.3: ‘Australian information on potential for medication errors or other risks’ has been updated.</w:t>
            </w:r>
          </w:p>
          <w:p w:rsidR="00324415" w:rsidRPr="00656BA4" w:rsidRDefault="00324415" w:rsidP="00BA14B0">
            <w:r w:rsidRPr="00656BA4">
              <w:t>Section 2.1: ‘Routine pharmacovigilance system in Australia’ has been updated and Table 2–1: ‘Pharmacovigilance activities for safety concerns and missing information’ is added.</w:t>
            </w:r>
          </w:p>
          <w:p w:rsidR="00324415" w:rsidRPr="00656BA4" w:rsidRDefault="00324415" w:rsidP="00BA14B0">
            <w:r w:rsidRPr="00656BA4">
              <w:t>Section 2.2: ‘Studies referenced in RMP’ has been updated.</w:t>
            </w:r>
          </w:p>
          <w:p w:rsidR="00324415" w:rsidRPr="00656BA4" w:rsidRDefault="00324415" w:rsidP="00BA14B0">
            <w:r w:rsidRPr="00656BA4">
              <w:t>Section 3: ‘Risk Minimisation Plan’ has been updated and Table 3–1: ‘Differences between the risk minimisation activities undertaken as reflected in the content of the EU Summary of Product Characteristics (</w:t>
            </w:r>
            <w:proofErr w:type="spellStart"/>
            <w:r w:rsidRPr="00656BA4">
              <w:t>SmPC</w:t>
            </w:r>
            <w:proofErr w:type="spellEnd"/>
            <w:r w:rsidRPr="00656BA4">
              <w:t>) and the proposed Australian Product Information (PI)’ is added.</w:t>
            </w:r>
          </w:p>
          <w:p w:rsidR="00324415" w:rsidRPr="00656BA4" w:rsidRDefault="00324415" w:rsidP="00BA14B0">
            <w:r w:rsidRPr="00656BA4">
              <w:t>Appendix 1: ‘</w:t>
            </w:r>
            <w:r w:rsidR="00656BA4" w:rsidRPr="00656BA4">
              <w:t>Mock-up</w:t>
            </w:r>
            <w:r w:rsidRPr="00656BA4">
              <w:t xml:space="preserve"> of Proposed Additional Risk Minimisation Measure in Australia (prescriber and patient educational materials)’ is added.</w:t>
            </w:r>
          </w:p>
        </w:tc>
      </w:tr>
    </w:tbl>
    <w:p w:rsidR="00324415" w:rsidRPr="00324415" w:rsidRDefault="00324415" w:rsidP="00324415">
      <w:pPr>
        <w:pStyle w:val="Heading5"/>
      </w:pPr>
      <w:r w:rsidRPr="00324415">
        <w:lastRenderedPageBreak/>
        <w:t>Suggested wording for conditions of registration</w:t>
      </w:r>
    </w:p>
    <w:p w:rsidR="00324415" w:rsidRPr="00324415" w:rsidRDefault="00324415" w:rsidP="00324415">
      <w:r w:rsidRPr="00324415">
        <w:t>RMP</w:t>
      </w:r>
      <w:r>
        <w:t xml:space="preserve">; </w:t>
      </w:r>
      <w:r w:rsidR="00656BA4">
        <w:t>a</w:t>
      </w:r>
      <w:r w:rsidRPr="00324415">
        <w:t xml:space="preserve">t this time no wording can be provided, as it is recommended that an acceptably revised ASA be submitted before </w:t>
      </w:r>
      <w:r>
        <w:t>this application is approved.</w:t>
      </w:r>
    </w:p>
    <w:p w:rsidR="008E7846" w:rsidRPr="00792A32" w:rsidRDefault="008E7846" w:rsidP="008E7846">
      <w:pPr>
        <w:pStyle w:val="Heading2"/>
      </w:pPr>
      <w:bookmarkStart w:id="132" w:name="_Toc465939528"/>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16"/>
      <w:bookmarkEnd w:id="130"/>
      <w:bookmarkEnd w:id="131"/>
      <w:bookmarkEnd w:id="132"/>
    </w:p>
    <w:p w:rsidR="008E7846" w:rsidRDefault="008E7846" w:rsidP="008E7846">
      <w:bookmarkStart w:id="133"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134" w:name="_Toc314842511"/>
      <w:bookmarkStart w:id="135" w:name="_Toc465939529"/>
      <w:r>
        <w:t>Quality</w:t>
      </w:r>
      <w:bookmarkEnd w:id="133"/>
      <w:bookmarkEnd w:id="134"/>
      <w:bookmarkEnd w:id="135"/>
    </w:p>
    <w:p w:rsidR="00536397" w:rsidRPr="00536397" w:rsidRDefault="00536397" w:rsidP="00536397">
      <w:r w:rsidRPr="00536397">
        <w:t xml:space="preserve">The </w:t>
      </w:r>
      <w:r>
        <w:t>quality</w:t>
      </w:r>
      <w:r w:rsidRPr="00536397">
        <w:t xml:space="preserve"> evaluator did not recommend approval because the proposed in vitro dissolution release limits have not been justified.</w:t>
      </w:r>
    </w:p>
    <w:p w:rsidR="00536397" w:rsidRPr="00536397" w:rsidRDefault="00536397" w:rsidP="00536397">
      <w:r w:rsidRPr="00536397">
        <w:t xml:space="preserve">The sponsor will need to resolve this to the satisfaction of </w:t>
      </w:r>
      <w:r>
        <w:t>the quality evaluator</w:t>
      </w:r>
      <w:r w:rsidRPr="00536397">
        <w:t xml:space="preserve"> before registration can be finalised.</w:t>
      </w:r>
      <w:bookmarkStart w:id="136" w:name="_Ref460588845"/>
      <w:r w:rsidR="00205340" w:rsidRPr="00205340">
        <w:rPr>
          <w:vertAlign w:val="superscript"/>
        </w:rPr>
        <w:fldChar w:fldCharType="begin"/>
      </w:r>
      <w:r w:rsidR="00205340" w:rsidRPr="00205340">
        <w:rPr>
          <w:vertAlign w:val="superscript"/>
        </w:rPr>
        <w:instrText xml:space="preserve"> NOTEREF _Ref460596119 \h </w:instrText>
      </w:r>
      <w:r w:rsidR="00205340">
        <w:rPr>
          <w:vertAlign w:val="superscript"/>
        </w:rPr>
        <w:instrText xml:space="preserve"> \* MERGEFORMAT </w:instrText>
      </w:r>
      <w:r w:rsidR="00205340" w:rsidRPr="00205340">
        <w:rPr>
          <w:vertAlign w:val="superscript"/>
        </w:rPr>
      </w:r>
      <w:r w:rsidR="00205340" w:rsidRPr="00205340">
        <w:rPr>
          <w:vertAlign w:val="superscript"/>
        </w:rPr>
        <w:fldChar w:fldCharType="separate"/>
      </w:r>
      <w:r w:rsidR="00205340" w:rsidRPr="00205340">
        <w:rPr>
          <w:vertAlign w:val="superscript"/>
        </w:rPr>
        <w:t>4</w:t>
      </w:r>
      <w:r w:rsidR="00205340" w:rsidRPr="00205340">
        <w:rPr>
          <w:vertAlign w:val="superscript"/>
        </w:rPr>
        <w:fldChar w:fldCharType="end"/>
      </w:r>
      <w:r w:rsidR="00205340">
        <w:rPr>
          <w:rStyle w:val="FootnoteReference"/>
        </w:rPr>
        <w:t>,</w:t>
      </w:r>
      <w:r w:rsidR="00656BA4">
        <w:rPr>
          <w:rStyle w:val="FootnoteReference"/>
        </w:rPr>
        <w:footnoteReference w:id="23"/>
      </w:r>
      <w:bookmarkEnd w:id="136"/>
    </w:p>
    <w:p w:rsidR="008E7846" w:rsidRDefault="008E7846" w:rsidP="008E7846">
      <w:pPr>
        <w:pStyle w:val="Heading3"/>
      </w:pPr>
      <w:bookmarkStart w:id="137" w:name="_Toc314842512"/>
      <w:bookmarkStart w:id="138" w:name="_Toc465939530"/>
      <w:r>
        <w:t>Nonclinical</w:t>
      </w:r>
      <w:bookmarkEnd w:id="137"/>
      <w:bookmarkEnd w:id="138"/>
    </w:p>
    <w:p w:rsidR="00536397" w:rsidRPr="00536397" w:rsidRDefault="00536397" w:rsidP="00536397">
      <w:bookmarkStart w:id="139" w:name="_Toc247691530"/>
      <w:bookmarkStart w:id="140" w:name="_Toc314842513"/>
      <w:r w:rsidRPr="00536397">
        <w:t xml:space="preserve">There were no nonclinical objections to the registration of </w:t>
      </w:r>
      <w:r w:rsidR="007E59EA">
        <w:t>Ozurdex</w:t>
      </w:r>
      <w:r w:rsidRPr="00536397">
        <w:t>.</w:t>
      </w:r>
    </w:p>
    <w:p w:rsidR="008E7846" w:rsidRDefault="008E7846" w:rsidP="008E7846">
      <w:pPr>
        <w:pStyle w:val="Heading3"/>
      </w:pPr>
      <w:bookmarkStart w:id="141" w:name="_Toc465939531"/>
      <w:r>
        <w:t>Clinical</w:t>
      </w:r>
      <w:bookmarkEnd w:id="139"/>
      <w:bookmarkEnd w:id="140"/>
      <w:bookmarkEnd w:id="141"/>
    </w:p>
    <w:p w:rsidR="00536397" w:rsidRPr="00536397" w:rsidRDefault="00536397" w:rsidP="009F25B8">
      <w:pPr>
        <w:pStyle w:val="Heading4"/>
      </w:pPr>
      <w:bookmarkStart w:id="142" w:name="_Toc314842514"/>
      <w:r w:rsidRPr="00536397">
        <w:t xml:space="preserve">Evidence of clinical efficacy from the pivotal </w:t>
      </w:r>
      <w:r w:rsidR="006D3BE0">
        <w:t>Phase III</w:t>
      </w:r>
      <w:r w:rsidRPr="00536397">
        <w:t xml:space="preserve"> studies</w:t>
      </w:r>
    </w:p>
    <w:p w:rsidR="00536397" w:rsidRDefault="00536397" w:rsidP="00536397">
      <w:r w:rsidRPr="00536397">
        <w:t xml:space="preserve">There were two </w:t>
      </w:r>
      <w:proofErr w:type="gramStart"/>
      <w:r w:rsidRPr="00536397">
        <w:t>twin</w:t>
      </w:r>
      <w:proofErr w:type="gramEnd"/>
      <w:r w:rsidRPr="00536397">
        <w:t xml:space="preserve"> </w:t>
      </w:r>
      <w:r w:rsidR="006D3BE0">
        <w:t>Phase III</w:t>
      </w:r>
      <w:r w:rsidRPr="00536397">
        <w:t xml:space="preserve"> studies, which had the same design; and differed only in the location of the study centres. Both studies recruited patients between 2005 and 2012. </w:t>
      </w:r>
      <w:r w:rsidRPr="00536397">
        <w:lastRenderedPageBreak/>
        <w:t>There were centres in Australia, US, Canada, Europe, South Africa, and Asia.</w:t>
      </w:r>
      <w:r w:rsidR="00084A67">
        <w:t xml:space="preserve"> A brief description of the studies is in Table 10.</w:t>
      </w:r>
    </w:p>
    <w:p w:rsidR="00084A67" w:rsidRPr="00536397" w:rsidRDefault="00084A67" w:rsidP="00084A67">
      <w:pPr>
        <w:pStyle w:val="TableTitle"/>
      </w:pPr>
      <w:proofErr w:type="gramStart"/>
      <w:r>
        <w:t>Table 10.</w:t>
      </w:r>
      <w:proofErr w:type="gramEnd"/>
      <w:r>
        <w:t xml:space="preserve"> Description of the Phase III studies</w:t>
      </w:r>
    </w:p>
    <w:tbl>
      <w:tblPr>
        <w:tblStyle w:val="TableTGAblue"/>
        <w:tblW w:w="9245" w:type="dxa"/>
        <w:tblLayout w:type="fixed"/>
        <w:tblLook w:val="01E0" w:firstRow="1" w:lastRow="1" w:firstColumn="1" w:lastColumn="1" w:noHBand="0" w:noVBand="0"/>
      </w:tblPr>
      <w:tblGrid>
        <w:gridCol w:w="1809"/>
        <w:gridCol w:w="7436"/>
      </w:tblGrid>
      <w:tr w:rsidR="009F25B8" w:rsidRPr="00084A67" w:rsidTr="009F25B8">
        <w:trPr>
          <w:cnfStyle w:val="100000000000" w:firstRow="1" w:lastRow="0" w:firstColumn="0" w:lastColumn="0" w:oddVBand="0" w:evenVBand="0" w:oddHBand="0" w:evenHBand="0" w:firstRowFirstColumn="0" w:firstRowLastColumn="0" w:lastRowFirstColumn="0" w:lastRowLastColumn="0"/>
          <w:trHeight w:hRule="exact" w:val="580"/>
        </w:trPr>
        <w:tc>
          <w:tcPr>
            <w:tcW w:w="9245" w:type="dxa"/>
            <w:gridSpan w:val="2"/>
          </w:tcPr>
          <w:p w:rsidR="009F25B8" w:rsidRPr="00084A67" w:rsidRDefault="009F25B8" w:rsidP="00BA14B0">
            <w:r w:rsidRPr="00084A67">
              <w:t>Description of studies</w:t>
            </w:r>
          </w:p>
        </w:tc>
      </w:tr>
      <w:tr w:rsidR="00536397" w:rsidRPr="00084A67" w:rsidTr="00084A67">
        <w:trPr>
          <w:trHeight w:hRule="exact" w:val="1804"/>
        </w:trPr>
        <w:tc>
          <w:tcPr>
            <w:tcW w:w="1809" w:type="dxa"/>
          </w:tcPr>
          <w:p w:rsidR="00536397" w:rsidRPr="00084A67" w:rsidRDefault="00536397" w:rsidP="00BA14B0">
            <w:r w:rsidRPr="00084A67">
              <w:t>Participants</w:t>
            </w:r>
          </w:p>
        </w:tc>
        <w:tc>
          <w:tcPr>
            <w:tcW w:w="7436" w:type="dxa"/>
          </w:tcPr>
          <w:p w:rsidR="009F25B8" w:rsidRPr="00084A67" w:rsidRDefault="009F25B8" w:rsidP="00BA14B0">
            <w:r w:rsidRPr="00084A67">
              <w:t>T</w:t>
            </w:r>
            <w:r w:rsidR="00084A67">
              <w:t>ype1 diabetic</w:t>
            </w:r>
            <w:r w:rsidRPr="00084A67">
              <w:t xml:space="preserve"> (</w:t>
            </w:r>
            <w:r w:rsidR="005B2867" w:rsidRPr="00084A67">
              <w:t>approximately</w:t>
            </w:r>
            <w:r w:rsidRPr="00084A67">
              <w:t xml:space="preserve">10%) or </w:t>
            </w:r>
            <w:r w:rsidR="00084A67">
              <w:t>Type 2 diabetic</w:t>
            </w:r>
          </w:p>
          <w:p w:rsidR="009F25B8" w:rsidRPr="00084A67" w:rsidRDefault="009F25B8" w:rsidP="00BA14B0">
            <w:r w:rsidRPr="00084A67">
              <w:t>DME of a severity that would be amenable to treatment: macular thickness 300</w:t>
            </w:r>
            <w:r w:rsidR="00084A67">
              <w:t>+ </w:t>
            </w:r>
            <w:r w:rsidR="00233047">
              <w:t>µ</w:t>
            </w:r>
            <w:r w:rsidRPr="00084A67">
              <w:t>m, BCVA 20/50 to 20/200 (34</w:t>
            </w:r>
            <w:r w:rsidR="00D57E70" w:rsidRPr="00084A67">
              <w:t xml:space="preserve"> </w:t>
            </w:r>
            <w:r w:rsidRPr="00084A67">
              <w:t xml:space="preserve">68 </w:t>
            </w:r>
            <w:r w:rsidR="00084A67" w:rsidRPr="00084A67">
              <w:rPr>
                <w:rFonts w:asciiTheme="minorHAnsi" w:hAnsiTheme="minorHAnsi"/>
              </w:rPr>
              <w:t>early treatment diabetic retinopathy study</w:t>
            </w:r>
            <w:r w:rsidR="00084A67" w:rsidRPr="00084A67">
              <w:t xml:space="preserve"> (</w:t>
            </w:r>
            <w:r w:rsidRPr="00084A67">
              <w:t>ETDRS</w:t>
            </w:r>
            <w:r w:rsidR="00084A67">
              <w:t>)</w:t>
            </w:r>
            <w:r w:rsidRPr="00084A67">
              <w:t xml:space="preserve"> letters)</w:t>
            </w:r>
          </w:p>
          <w:p w:rsidR="00536397" w:rsidRPr="00084A67" w:rsidRDefault="009F25B8" w:rsidP="00BA14B0">
            <w:r w:rsidRPr="00084A67">
              <w:t>Most patients had prior treatment (roughly three</w:t>
            </w:r>
            <w:r w:rsidR="00D57E70" w:rsidRPr="00084A67">
              <w:t xml:space="preserve"> </w:t>
            </w:r>
            <w:r w:rsidRPr="00084A67">
              <w:t>quarters)</w:t>
            </w:r>
          </w:p>
        </w:tc>
      </w:tr>
      <w:tr w:rsidR="00536397" w:rsidRPr="00084A67" w:rsidTr="009F25B8">
        <w:trPr>
          <w:trHeight w:hRule="exact" w:val="849"/>
        </w:trPr>
        <w:tc>
          <w:tcPr>
            <w:tcW w:w="1809" w:type="dxa"/>
          </w:tcPr>
          <w:p w:rsidR="00536397" w:rsidRPr="00084A67" w:rsidRDefault="00536397" w:rsidP="00BA14B0">
            <w:r w:rsidRPr="00084A67">
              <w:t>Intervention</w:t>
            </w:r>
          </w:p>
        </w:tc>
        <w:tc>
          <w:tcPr>
            <w:tcW w:w="7436" w:type="dxa"/>
          </w:tcPr>
          <w:p w:rsidR="00536397" w:rsidRPr="00084A67" w:rsidRDefault="00536397" w:rsidP="00BA14B0">
            <w:r w:rsidRPr="00084A67">
              <w:t xml:space="preserve">700 </w:t>
            </w:r>
            <w:r w:rsidR="00084A67">
              <w:t>µ</w:t>
            </w:r>
            <w:r w:rsidRPr="00084A67">
              <w:t>g implant</w:t>
            </w:r>
          </w:p>
          <w:p w:rsidR="00536397" w:rsidRPr="00084A67" w:rsidRDefault="00536397" w:rsidP="00BA14B0">
            <w:r w:rsidRPr="00084A67">
              <w:t xml:space="preserve">350 </w:t>
            </w:r>
            <w:r w:rsidR="00084A67">
              <w:t>µ</w:t>
            </w:r>
            <w:r w:rsidRPr="00084A67">
              <w:t>g implant</w:t>
            </w:r>
          </w:p>
        </w:tc>
      </w:tr>
      <w:tr w:rsidR="00536397" w:rsidRPr="00084A67" w:rsidTr="00084A67">
        <w:trPr>
          <w:trHeight w:hRule="exact" w:val="1369"/>
        </w:trPr>
        <w:tc>
          <w:tcPr>
            <w:tcW w:w="1809" w:type="dxa"/>
          </w:tcPr>
          <w:p w:rsidR="00536397" w:rsidRPr="00084A67" w:rsidRDefault="00536397" w:rsidP="00BA14B0">
            <w:r w:rsidRPr="00084A67">
              <w:t>Comparator</w:t>
            </w:r>
          </w:p>
        </w:tc>
        <w:tc>
          <w:tcPr>
            <w:tcW w:w="7436" w:type="dxa"/>
          </w:tcPr>
          <w:p w:rsidR="00536397" w:rsidRPr="00084A67" w:rsidRDefault="00536397" w:rsidP="00BA14B0">
            <w:r w:rsidRPr="00084A67">
              <w:t>Sham; needleless applicator</w:t>
            </w:r>
          </w:p>
          <w:p w:rsidR="00536397" w:rsidRPr="00084A67" w:rsidRDefault="00536397" w:rsidP="00BA14B0">
            <w:r w:rsidRPr="00084A67">
              <w:t xml:space="preserve">Laser was not used as a comparator and this resulted in a large number of withdrawals from the </w:t>
            </w:r>
            <w:r w:rsidR="001436BF">
              <w:t>Sham</w:t>
            </w:r>
            <w:r w:rsidR="001436BF" w:rsidRPr="00084A67">
              <w:t xml:space="preserve"> </w:t>
            </w:r>
            <w:r w:rsidRPr="00084A67">
              <w:t>arm (lack of efficacy, necessitating rescue treatment).</w:t>
            </w:r>
          </w:p>
        </w:tc>
      </w:tr>
      <w:tr w:rsidR="00536397" w:rsidRPr="00084A67" w:rsidTr="00233047">
        <w:trPr>
          <w:trHeight w:hRule="exact" w:val="1039"/>
        </w:trPr>
        <w:tc>
          <w:tcPr>
            <w:tcW w:w="1809" w:type="dxa"/>
          </w:tcPr>
          <w:p w:rsidR="00536397" w:rsidRPr="00084A67" w:rsidRDefault="00536397" w:rsidP="00BA14B0">
            <w:r w:rsidRPr="00084A67">
              <w:t>Endpoint</w:t>
            </w:r>
          </w:p>
        </w:tc>
        <w:tc>
          <w:tcPr>
            <w:tcW w:w="7436" w:type="dxa"/>
          </w:tcPr>
          <w:p w:rsidR="00536397" w:rsidRPr="00084A67" w:rsidRDefault="00536397" w:rsidP="00BA14B0">
            <w:r w:rsidRPr="00084A67">
              <w:t>Primary</w:t>
            </w:r>
          </w:p>
          <w:p w:rsidR="00536397" w:rsidRPr="00084A67" w:rsidRDefault="00536397" w:rsidP="00BA14B0">
            <w:r w:rsidRPr="00084A67">
              <w:t>Difference in the mean [AUC] chan</w:t>
            </w:r>
            <w:r w:rsidR="00233047">
              <w:t>ge in BCVA Secondary (various)</w:t>
            </w:r>
          </w:p>
        </w:tc>
      </w:tr>
      <w:tr w:rsidR="00536397" w:rsidRPr="00084A67" w:rsidTr="009F25B8">
        <w:trPr>
          <w:trHeight w:hRule="exact" w:val="576"/>
        </w:trPr>
        <w:tc>
          <w:tcPr>
            <w:tcW w:w="1809" w:type="dxa"/>
          </w:tcPr>
          <w:p w:rsidR="00536397" w:rsidRPr="00084A67" w:rsidRDefault="00536397" w:rsidP="00BA14B0">
            <w:r w:rsidRPr="00084A67">
              <w:t>Duration</w:t>
            </w:r>
          </w:p>
        </w:tc>
        <w:tc>
          <w:tcPr>
            <w:tcW w:w="7436" w:type="dxa"/>
          </w:tcPr>
          <w:p w:rsidR="00536397" w:rsidRPr="00084A67" w:rsidRDefault="00536397" w:rsidP="00BA14B0">
            <w:r w:rsidRPr="00084A67">
              <w:t>3 years</w:t>
            </w:r>
          </w:p>
        </w:tc>
      </w:tr>
    </w:tbl>
    <w:p w:rsidR="009F25B8" w:rsidRPr="009F25B8" w:rsidRDefault="009F25B8" w:rsidP="009F25B8">
      <w:pPr>
        <w:pStyle w:val="Heading5"/>
      </w:pPr>
      <w:r w:rsidRPr="009F25B8">
        <w:t>Minimal clinically important difference used in sample size calculation</w:t>
      </w:r>
    </w:p>
    <w:p w:rsidR="009F25B8" w:rsidRPr="009F25B8" w:rsidRDefault="001D1245" w:rsidP="009F25B8">
      <w:r>
        <w:t>Four</w:t>
      </w:r>
      <w:r w:rsidR="009F25B8" w:rsidRPr="009F25B8">
        <w:t xml:space="preserve"> letter difference in change in mean (AUC) BCVA</w:t>
      </w:r>
      <w:r w:rsidR="0014336E">
        <w:t>.</w:t>
      </w:r>
    </w:p>
    <w:p w:rsidR="009F25B8" w:rsidRPr="009F25B8" w:rsidRDefault="009F25B8" w:rsidP="009F25B8">
      <w:pPr>
        <w:pStyle w:val="Heading5"/>
      </w:pPr>
      <w:r w:rsidRPr="009F25B8">
        <w:t>Timing of treatments</w:t>
      </w:r>
    </w:p>
    <w:p w:rsidR="009F25B8" w:rsidRPr="009F25B8" w:rsidRDefault="009F25B8" w:rsidP="009F25B8">
      <w:r w:rsidRPr="009F25B8">
        <w:t>Pati</w:t>
      </w:r>
      <w:r w:rsidR="00233047">
        <w:t>ents received dexamethasone 700</w:t>
      </w:r>
      <w:r w:rsidR="00233047" w:rsidRPr="00233047">
        <w:t xml:space="preserve"> </w:t>
      </w:r>
      <w:r w:rsidR="00233047">
        <w:t>µ</w:t>
      </w:r>
      <w:r w:rsidR="00233047" w:rsidRPr="009F25B8">
        <w:t>g</w:t>
      </w:r>
      <w:r w:rsidR="00233047">
        <w:t xml:space="preserve">, </w:t>
      </w:r>
      <w:r w:rsidRPr="009F25B8">
        <w:t xml:space="preserve">350 </w:t>
      </w:r>
      <w:r w:rsidR="00233047">
        <w:t xml:space="preserve">µg or </w:t>
      </w:r>
      <w:r w:rsidR="007E2B4E">
        <w:t>Sham</w:t>
      </w:r>
      <w:r w:rsidR="00233047">
        <w:t xml:space="preserve"> at D</w:t>
      </w:r>
      <w:r w:rsidRPr="009F25B8">
        <w:t>ay</w:t>
      </w:r>
      <w:r w:rsidR="00D57E70">
        <w:t xml:space="preserve"> </w:t>
      </w:r>
      <w:r w:rsidRPr="009F25B8">
        <w:t>0. They could have received another 6 treatments (</w:t>
      </w:r>
      <w:r w:rsidR="00740C73">
        <w:t>that is</w:t>
      </w:r>
      <w:r w:rsidRPr="009F25B8">
        <w:t>, 7 in all). Patients were assessed for retreatment el</w:t>
      </w:r>
      <w:r w:rsidR="00233047">
        <w:t>igibility every 3 months (from M</w:t>
      </w:r>
      <w:r w:rsidRPr="009F25B8">
        <w:t>onth</w:t>
      </w:r>
      <w:r w:rsidR="00D57E70">
        <w:t xml:space="preserve"> </w:t>
      </w:r>
      <w:r w:rsidR="00233047">
        <w:t>6 to M</w:t>
      </w:r>
      <w:r w:rsidRPr="009F25B8">
        <w:t>onth</w:t>
      </w:r>
      <w:r w:rsidR="00D57E70">
        <w:t xml:space="preserve"> </w:t>
      </w:r>
      <w:r w:rsidRPr="009F25B8">
        <w:t>36), but retreatment was not given more frequently than approximately every 6 months. Following a protocol amendment, the final pos</w:t>
      </w:r>
      <w:r w:rsidR="00233047">
        <w:t>sible treatment was moved from M</w:t>
      </w:r>
      <w:r w:rsidRPr="009F25B8">
        <w:t>onth</w:t>
      </w:r>
      <w:r w:rsidR="00D57E70">
        <w:t xml:space="preserve"> </w:t>
      </w:r>
      <w:r w:rsidR="00233047">
        <w:t>33 to M</w:t>
      </w:r>
      <w:r w:rsidRPr="009F25B8">
        <w:t>onth</w:t>
      </w:r>
      <w:r w:rsidR="00D57E70">
        <w:t xml:space="preserve"> </w:t>
      </w:r>
      <w:r w:rsidRPr="009F25B8">
        <w:t>36 and the last visit/assessment was moved from</w:t>
      </w:r>
      <w:r>
        <w:t xml:space="preserve"> </w:t>
      </w:r>
      <w:r w:rsidR="00233047">
        <w:t>M</w:t>
      </w:r>
      <w:r w:rsidRPr="009F25B8">
        <w:t>onth</w:t>
      </w:r>
      <w:r w:rsidR="00D57E70">
        <w:t xml:space="preserve"> </w:t>
      </w:r>
      <w:r w:rsidR="00233047">
        <w:t>36 to M</w:t>
      </w:r>
      <w:r w:rsidRPr="009F25B8">
        <w:t>onth</w:t>
      </w:r>
      <w:r w:rsidR="00D57E70">
        <w:t xml:space="preserve"> </w:t>
      </w:r>
      <w:r w:rsidRPr="009F25B8">
        <w:t>39.</w:t>
      </w:r>
    </w:p>
    <w:p w:rsidR="009F25B8" w:rsidRPr="009F25B8" w:rsidRDefault="009F25B8" w:rsidP="009F25B8">
      <w:pPr>
        <w:pStyle w:val="Heading5"/>
      </w:pPr>
      <w:r w:rsidRPr="009F25B8">
        <w:t>Discontinuations</w:t>
      </w:r>
    </w:p>
    <w:p w:rsidR="009F25B8" w:rsidRPr="009F25B8" w:rsidRDefault="009F25B8" w:rsidP="009F25B8">
      <w:r w:rsidRPr="009F25B8">
        <w:t>Discontinuation rates were high in both studies: 700</w:t>
      </w:r>
      <w:r w:rsidR="00233047">
        <w:t>µ</w:t>
      </w:r>
      <w:r w:rsidR="00233047" w:rsidRPr="009F25B8">
        <w:t>g</w:t>
      </w:r>
      <w:r w:rsidRPr="009F25B8">
        <w:t xml:space="preserve"> (36%), 350 </w:t>
      </w:r>
      <w:r w:rsidR="00233047">
        <w:t>µ</w:t>
      </w:r>
      <w:r w:rsidR="00233047" w:rsidRPr="009F25B8">
        <w:t>g</w:t>
      </w:r>
      <w:r w:rsidRPr="009F25B8">
        <w:t xml:space="preserve"> (34%), </w:t>
      </w:r>
      <w:r w:rsidR="007E2B4E">
        <w:t>Sham</w:t>
      </w:r>
      <w:r w:rsidRPr="009F25B8">
        <w:t xml:space="preserve"> (57%). Most discontinuation occurred due to lack of efficacy, most by the end of 12 months.</w:t>
      </w:r>
      <w:r w:rsidR="00233047" w:rsidRPr="009F25B8">
        <w:t xml:space="preserve"> </w:t>
      </w:r>
      <w:r w:rsidRPr="009F25B8">
        <w:t>For the primary endpoint, no imputation was performed for missing values. BCVA assessments after escape therapy were set to missing</w:t>
      </w:r>
      <w:r w:rsidR="0014336E">
        <w:t>.</w:t>
      </w:r>
    </w:p>
    <w:p w:rsidR="009F25B8" w:rsidRPr="009F25B8" w:rsidRDefault="009F25B8" w:rsidP="009F25B8">
      <w:pPr>
        <w:pStyle w:val="Heading5"/>
      </w:pPr>
      <w:r w:rsidRPr="009F25B8">
        <w:t>Results, ITT</w:t>
      </w:r>
    </w:p>
    <w:p w:rsidR="009F25B8" w:rsidRDefault="009F25B8" w:rsidP="009F25B8">
      <w:r w:rsidRPr="009F25B8">
        <w:t xml:space="preserve">Primary endpoint: BCVA (letters) mean </w:t>
      </w:r>
      <w:proofErr w:type="gramStart"/>
      <w:r w:rsidRPr="009F25B8">
        <w:t>change from baseline (AUC)</w:t>
      </w:r>
      <w:r w:rsidR="0014336E">
        <w:t xml:space="preserve"> are</w:t>
      </w:r>
      <w:proofErr w:type="gramEnd"/>
      <w:r w:rsidR="0014336E">
        <w:t xml:space="preserve"> shown in Table</w:t>
      </w:r>
      <w:r w:rsidR="00E51892">
        <w:t> </w:t>
      </w:r>
      <w:r w:rsidR="0014336E">
        <w:t>11.</w:t>
      </w:r>
    </w:p>
    <w:p w:rsidR="0014336E" w:rsidRPr="009F25B8" w:rsidRDefault="0014336E" w:rsidP="0014336E">
      <w:pPr>
        <w:pStyle w:val="TableTitle"/>
      </w:pPr>
      <w:proofErr w:type="gramStart"/>
      <w:r>
        <w:lastRenderedPageBreak/>
        <w:t>Table 11.</w:t>
      </w:r>
      <w:proofErr w:type="gramEnd"/>
      <w:r w:rsidRPr="0014336E">
        <w:t xml:space="preserve"> </w:t>
      </w:r>
      <w:r w:rsidRPr="009F25B8">
        <w:t>Primary endpoint: BCVA (letters) mean change from baseline (AUC)</w:t>
      </w:r>
    </w:p>
    <w:tbl>
      <w:tblPr>
        <w:tblStyle w:val="TableTGAblue"/>
        <w:tblW w:w="0" w:type="auto"/>
        <w:tblLayout w:type="fixed"/>
        <w:tblLook w:val="01E0" w:firstRow="1" w:lastRow="1" w:firstColumn="1" w:lastColumn="1" w:noHBand="0" w:noVBand="0"/>
      </w:tblPr>
      <w:tblGrid>
        <w:gridCol w:w="3369"/>
        <w:gridCol w:w="1701"/>
        <w:gridCol w:w="1842"/>
        <w:gridCol w:w="1184"/>
      </w:tblGrid>
      <w:tr w:rsidR="009F25B8" w:rsidRPr="009F25B8" w:rsidTr="009F25B8">
        <w:trPr>
          <w:cnfStyle w:val="100000000000" w:firstRow="1" w:lastRow="0" w:firstColumn="0" w:lastColumn="0" w:oddVBand="0" w:evenVBand="0" w:oddHBand="0" w:evenHBand="0" w:firstRowFirstColumn="0" w:firstRowLastColumn="0" w:lastRowFirstColumn="0" w:lastRowLastColumn="0"/>
          <w:trHeight w:hRule="exact" w:val="772"/>
        </w:trPr>
        <w:tc>
          <w:tcPr>
            <w:tcW w:w="3369" w:type="dxa"/>
          </w:tcPr>
          <w:p w:rsidR="009F25B8" w:rsidRPr="009F25B8" w:rsidRDefault="007C3F6C" w:rsidP="00BA14B0">
            <w:r>
              <w:t>Study</w:t>
            </w:r>
          </w:p>
        </w:tc>
        <w:tc>
          <w:tcPr>
            <w:tcW w:w="1701" w:type="dxa"/>
          </w:tcPr>
          <w:p w:rsidR="009F25B8" w:rsidRPr="0014336E" w:rsidRDefault="009F25B8" w:rsidP="00BA14B0">
            <w:pPr>
              <w:rPr>
                <w:sz w:val="20"/>
                <w:szCs w:val="20"/>
              </w:rPr>
            </w:pPr>
            <w:r w:rsidRPr="0014336E">
              <w:rPr>
                <w:sz w:val="20"/>
                <w:szCs w:val="20"/>
              </w:rPr>
              <w:t xml:space="preserve">700 </w:t>
            </w:r>
            <w:r w:rsidR="00233047" w:rsidRPr="0014336E">
              <w:rPr>
                <w:sz w:val="20"/>
                <w:szCs w:val="20"/>
              </w:rPr>
              <w:t>µg</w:t>
            </w:r>
          </w:p>
        </w:tc>
        <w:tc>
          <w:tcPr>
            <w:tcW w:w="1842" w:type="dxa"/>
          </w:tcPr>
          <w:p w:rsidR="009F25B8" w:rsidRPr="0014336E" w:rsidRDefault="009F25B8" w:rsidP="00BA14B0">
            <w:pPr>
              <w:rPr>
                <w:sz w:val="20"/>
                <w:szCs w:val="20"/>
              </w:rPr>
            </w:pPr>
            <w:r w:rsidRPr="0014336E">
              <w:rPr>
                <w:sz w:val="20"/>
                <w:szCs w:val="20"/>
              </w:rPr>
              <w:t xml:space="preserve">350 </w:t>
            </w:r>
            <w:r w:rsidR="00233047" w:rsidRPr="0014336E">
              <w:rPr>
                <w:sz w:val="20"/>
                <w:szCs w:val="20"/>
              </w:rPr>
              <w:t>µg</w:t>
            </w:r>
          </w:p>
        </w:tc>
        <w:tc>
          <w:tcPr>
            <w:tcW w:w="1184" w:type="dxa"/>
          </w:tcPr>
          <w:p w:rsidR="009F25B8" w:rsidRPr="009F25B8" w:rsidRDefault="009F25B8" w:rsidP="00BA14B0">
            <w:r w:rsidRPr="009F25B8">
              <w:t>Sham</w:t>
            </w:r>
          </w:p>
        </w:tc>
      </w:tr>
      <w:tr w:rsidR="0014336E" w:rsidRPr="009F25B8" w:rsidTr="0014336E">
        <w:trPr>
          <w:trHeight w:hRule="exact" w:val="433"/>
        </w:trPr>
        <w:tc>
          <w:tcPr>
            <w:tcW w:w="8096" w:type="dxa"/>
            <w:gridSpan w:val="4"/>
          </w:tcPr>
          <w:p w:rsidR="0014336E" w:rsidRPr="009F25B8" w:rsidRDefault="0014336E" w:rsidP="00BA14B0">
            <w:r>
              <w:t>010</w:t>
            </w:r>
          </w:p>
        </w:tc>
      </w:tr>
      <w:tr w:rsidR="009F25B8" w:rsidRPr="009F25B8" w:rsidTr="00BA14B0">
        <w:trPr>
          <w:trHeight w:hRule="exact" w:val="1546"/>
        </w:trPr>
        <w:tc>
          <w:tcPr>
            <w:tcW w:w="3369" w:type="dxa"/>
          </w:tcPr>
          <w:p w:rsidR="009F25B8" w:rsidRPr="009F25B8" w:rsidRDefault="009F25B8" w:rsidP="00BA14B0">
            <w:r w:rsidRPr="009F25B8">
              <w:t>N</w:t>
            </w:r>
          </w:p>
          <w:p w:rsidR="009F25B8" w:rsidRPr="009F25B8" w:rsidRDefault="009F25B8" w:rsidP="00BA14B0">
            <w:r w:rsidRPr="009F25B8">
              <w:t>mean change</w:t>
            </w:r>
          </w:p>
          <w:p w:rsidR="009F25B8" w:rsidRPr="009F25B8" w:rsidRDefault="009F25B8" w:rsidP="00BA14B0">
            <w:r w:rsidRPr="009F25B8">
              <w:t xml:space="preserve">difference from </w:t>
            </w:r>
            <w:r w:rsidR="007E2B4E">
              <w:t>Sham</w:t>
            </w:r>
            <w:r w:rsidRPr="009F25B8">
              <w:t xml:space="preserve"> (95% CI)</w:t>
            </w:r>
          </w:p>
        </w:tc>
        <w:tc>
          <w:tcPr>
            <w:tcW w:w="1701" w:type="dxa"/>
          </w:tcPr>
          <w:p w:rsidR="009F25B8" w:rsidRPr="009F25B8" w:rsidRDefault="009F25B8" w:rsidP="00BA14B0">
            <w:r w:rsidRPr="009F25B8">
              <w:t>163</w:t>
            </w:r>
          </w:p>
          <w:p w:rsidR="009F25B8" w:rsidRPr="009F25B8" w:rsidRDefault="009F25B8" w:rsidP="00BA14B0">
            <w:r w:rsidRPr="009F25B8">
              <w:t>4.1</w:t>
            </w:r>
          </w:p>
          <w:p w:rsidR="009F25B8" w:rsidRPr="009F25B8" w:rsidRDefault="009F25B8" w:rsidP="00BA14B0">
            <w:r w:rsidRPr="009F25B8">
              <w:t>2.1 (0.4, 3.8)</w:t>
            </w:r>
          </w:p>
        </w:tc>
        <w:tc>
          <w:tcPr>
            <w:tcW w:w="1842" w:type="dxa"/>
          </w:tcPr>
          <w:p w:rsidR="009F25B8" w:rsidRPr="009F25B8" w:rsidRDefault="009F25B8" w:rsidP="00BA14B0">
            <w:r w:rsidRPr="009F25B8">
              <w:t>166</w:t>
            </w:r>
          </w:p>
          <w:p w:rsidR="009F25B8" w:rsidRPr="009F25B8" w:rsidRDefault="009F25B8" w:rsidP="00BA14B0">
            <w:r w:rsidRPr="009F25B8">
              <w:t>4.3</w:t>
            </w:r>
          </w:p>
          <w:p w:rsidR="009F25B8" w:rsidRPr="009F25B8" w:rsidRDefault="009F25B8" w:rsidP="00BA14B0">
            <w:r w:rsidRPr="009F25B8">
              <w:t>2.3 (0.5, 4.0)</w:t>
            </w:r>
          </w:p>
        </w:tc>
        <w:tc>
          <w:tcPr>
            <w:tcW w:w="1184" w:type="dxa"/>
          </w:tcPr>
          <w:p w:rsidR="009F25B8" w:rsidRPr="009F25B8" w:rsidRDefault="009F25B8" w:rsidP="00BA14B0">
            <w:r w:rsidRPr="009F25B8">
              <w:t>165</w:t>
            </w:r>
          </w:p>
          <w:p w:rsidR="009F25B8" w:rsidRPr="009F25B8" w:rsidRDefault="009F25B8" w:rsidP="00BA14B0">
            <w:r w:rsidRPr="009F25B8">
              <w:t>1.9</w:t>
            </w:r>
          </w:p>
        </w:tc>
      </w:tr>
      <w:tr w:rsidR="0014336E" w:rsidRPr="009F25B8" w:rsidTr="0014336E">
        <w:trPr>
          <w:trHeight w:hRule="exact" w:val="557"/>
        </w:trPr>
        <w:tc>
          <w:tcPr>
            <w:tcW w:w="8096" w:type="dxa"/>
            <w:gridSpan w:val="4"/>
          </w:tcPr>
          <w:p w:rsidR="0014336E" w:rsidRPr="009F25B8" w:rsidRDefault="0014336E" w:rsidP="00BA14B0">
            <w:r>
              <w:t>011</w:t>
            </w:r>
          </w:p>
        </w:tc>
      </w:tr>
      <w:tr w:rsidR="009F25B8" w:rsidRPr="009F25B8" w:rsidTr="00BA14B0">
        <w:trPr>
          <w:trHeight w:hRule="exact" w:val="1576"/>
        </w:trPr>
        <w:tc>
          <w:tcPr>
            <w:tcW w:w="3369" w:type="dxa"/>
          </w:tcPr>
          <w:p w:rsidR="009F25B8" w:rsidRPr="009F25B8" w:rsidRDefault="009F25B8" w:rsidP="00BA14B0">
            <w:r w:rsidRPr="009F25B8">
              <w:t>N</w:t>
            </w:r>
          </w:p>
          <w:p w:rsidR="009F25B8" w:rsidRPr="009F25B8" w:rsidRDefault="009F25B8" w:rsidP="00BA14B0">
            <w:r w:rsidRPr="009F25B8">
              <w:t>mean change</w:t>
            </w:r>
          </w:p>
          <w:p w:rsidR="009F25B8" w:rsidRPr="009F25B8" w:rsidRDefault="009F25B8" w:rsidP="00BA14B0">
            <w:r w:rsidRPr="009F25B8">
              <w:t xml:space="preserve">difference from </w:t>
            </w:r>
            <w:r w:rsidR="007E2B4E">
              <w:t>Sham</w:t>
            </w:r>
            <w:r w:rsidRPr="009F25B8">
              <w:t xml:space="preserve"> (95% CI)</w:t>
            </w:r>
          </w:p>
        </w:tc>
        <w:tc>
          <w:tcPr>
            <w:tcW w:w="1701" w:type="dxa"/>
          </w:tcPr>
          <w:p w:rsidR="009F25B8" w:rsidRPr="009F25B8" w:rsidRDefault="009F25B8" w:rsidP="00BA14B0">
            <w:r w:rsidRPr="009F25B8">
              <w:t>188</w:t>
            </w:r>
          </w:p>
          <w:p w:rsidR="009F25B8" w:rsidRPr="009F25B8" w:rsidRDefault="009F25B8" w:rsidP="00BA14B0">
            <w:r w:rsidRPr="009F25B8">
              <w:t>2.9</w:t>
            </w:r>
          </w:p>
          <w:p w:rsidR="009F25B8" w:rsidRPr="009F25B8" w:rsidRDefault="009F25B8" w:rsidP="00BA14B0">
            <w:r w:rsidRPr="009F25B8">
              <w:t>0.8 (</w:t>
            </w:r>
            <w:r w:rsidR="00D57E70">
              <w:t xml:space="preserve"> </w:t>
            </w:r>
            <w:r w:rsidRPr="009F25B8">
              <w:t>0.9, 2.4)</w:t>
            </w:r>
          </w:p>
        </w:tc>
        <w:tc>
          <w:tcPr>
            <w:tcW w:w="1842" w:type="dxa"/>
          </w:tcPr>
          <w:p w:rsidR="009F25B8" w:rsidRPr="009F25B8" w:rsidRDefault="009F25B8" w:rsidP="00BA14B0">
            <w:r w:rsidRPr="009F25B8">
              <w:t>181</w:t>
            </w:r>
          </w:p>
          <w:p w:rsidR="009F25B8" w:rsidRPr="009F25B8" w:rsidRDefault="009F25B8" w:rsidP="00BA14B0">
            <w:r w:rsidRPr="009F25B8">
              <w:t>2.9</w:t>
            </w:r>
          </w:p>
          <w:p w:rsidR="009F25B8" w:rsidRPr="009F25B8" w:rsidRDefault="009F25B8" w:rsidP="00BA14B0">
            <w:r w:rsidRPr="009F25B8">
              <w:t>0.7 (</w:t>
            </w:r>
            <w:r w:rsidR="00D57E70">
              <w:t xml:space="preserve"> </w:t>
            </w:r>
            <w:r w:rsidRPr="009F25B8">
              <w:t>0.9, 2.4)</w:t>
            </w:r>
          </w:p>
        </w:tc>
        <w:tc>
          <w:tcPr>
            <w:tcW w:w="1184" w:type="dxa"/>
          </w:tcPr>
          <w:p w:rsidR="009F25B8" w:rsidRPr="009F25B8" w:rsidRDefault="009F25B8" w:rsidP="00BA14B0">
            <w:r w:rsidRPr="009F25B8">
              <w:t>185</w:t>
            </w:r>
          </w:p>
          <w:p w:rsidR="009F25B8" w:rsidRPr="009F25B8" w:rsidRDefault="009F25B8" w:rsidP="00BA14B0">
            <w:r w:rsidRPr="009F25B8">
              <w:t>2.0</w:t>
            </w:r>
          </w:p>
        </w:tc>
      </w:tr>
    </w:tbl>
    <w:p w:rsidR="0014336E" w:rsidRDefault="009F25B8" w:rsidP="008A7603">
      <w:pPr>
        <w:pStyle w:val="TableDescription"/>
      </w:pPr>
      <w:r w:rsidRPr="009F25B8">
        <w:t xml:space="preserve">Pooled: 700 </w:t>
      </w:r>
      <w:r w:rsidR="00233047">
        <w:t>µ</w:t>
      </w:r>
      <w:r w:rsidR="00233047" w:rsidRPr="009F25B8">
        <w:t>g</w:t>
      </w:r>
      <w:r w:rsidRPr="009F25B8">
        <w:t xml:space="preserve"> difference from </w:t>
      </w:r>
      <w:r w:rsidR="007E2B4E">
        <w:t>Sham</w:t>
      </w:r>
      <w:r w:rsidRPr="009F25B8">
        <w:t>: 1.4 letters, 95% CI (0.2, 2.6)</w:t>
      </w:r>
    </w:p>
    <w:p w:rsidR="009F25B8" w:rsidRDefault="009F25B8" w:rsidP="009F25B8">
      <w:r w:rsidRPr="009F25B8">
        <w:t>Selected secondary endpoint: Percentage of patients with 15+ letter improvement in BCVA</w:t>
      </w:r>
      <w:r w:rsidR="0014336E">
        <w:t xml:space="preserve"> </w:t>
      </w:r>
      <w:proofErr w:type="gramStart"/>
      <w:r w:rsidR="0014336E">
        <w:t>are</w:t>
      </w:r>
      <w:proofErr w:type="gramEnd"/>
      <w:r w:rsidR="0014336E">
        <w:t xml:space="preserve"> shown in Table 12.</w:t>
      </w:r>
    </w:p>
    <w:p w:rsidR="0014336E" w:rsidRPr="009F25B8" w:rsidRDefault="0014336E" w:rsidP="0014336E">
      <w:pPr>
        <w:pStyle w:val="TableTitle"/>
      </w:pPr>
      <w:proofErr w:type="gramStart"/>
      <w:r>
        <w:t>Table 12.</w:t>
      </w:r>
      <w:proofErr w:type="gramEnd"/>
      <w:r>
        <w:t xml:space="preserve"> </w:t>
      </w:r>
      <w:r w:rsidRPr="009F25B8">
        <w:t>Selected secondary endpoint: Percentage of patients with 15+ letter improvement in BCVA</w:t>
      </w:r>
    </w:p>
    <w:tbl>
      <w:tblPr>
        <w:tblStyle w:val="TableTGAblue"/>
        <w:tblW w:w="0" w:type="auto"/>
        <w:tblLayout w:type="fixed"/>
        <w:tblLook w:val="01E0" w:firstRow="1" w:lastRow="1" w:firstColumn="1" w:lastColumn="1" w:noHBand="0" w:noVBand="0"/>
      </w:tblPr>
      <w:tblGrid>
        <w:gridCol w:w="1711"/>
        <w:gridCol w:w="1771"/>
        <w:gridCol w:w="1771"/>
        <w:gridCol w:w="1771"/>
      </w:tblGrid>
      <w:tr w:rsidR="009F25B8" w:rsidRPr="009F25B8" w:rsidTr="007C3F6C">
        <w:trPr>
          <w:cnfStyle w:val="100000000000" w:firstRow="1" w:lastRow="0" w:firstColumn="0" w:lastColumn="0" w:oddVBand="0" w:evenVBand="0" w:oddHBand="0" w:evenHBand="0" w:firstRowFirstColumn="0" w:firstRowLastColumn="0" w:lastRowFirstColumn="0" w:lastRowLastColumn="0"/>
          <w:trHeight w:hRule="exact" w:val="521"/>
        </w:trPr>
        <w:tc>
          <w:tcPr>
            <w:tcW w:w="1711" w:type="dxa"/>
          </w:tcPr>
          <w:p w:rsidR="009F25B8" w:rsidRPr="009F25B8" w:rsidRDefault="007C3F6C" w:rsidP="00BA14B0">
            <w:r>
              <w:t>Study</w:t>
            </w:r>
          </w:p>
        </w:tc>
        <w:tc>
          <w:tcPr>
            <w:tcW w:w="1771" w:type="dxa"/>
          </w:tcPr>
          <w:p w:rsidR="009F25B8" w:rsidRPr="0014336E" w:rsidRDefault="009F25B8" w:rsidP="00BA14B0">
            <w:pPr>
              <w:rPr>
                <w:sz w:val="20"/>
                <w:szCs w:val="20"/>
              </w:rPr>
            </w:pPr>
            <w:r w:rsidRPr="0014336E">
              <w:rPr>
                <w:sz w:val="20"/>
                <w:szCs w:val="20"/>
              </w:rPr>
              <w:t xml:space="preserve">700 </w:t>
            </w:r>
            <w:r w:rsidR="00233047" w:rsidRPr="0014336E">
              <w:rPr>
                <w:sz w:val="20"/>
                <w:szCs w:val="20"/>
              </w:rPr>
              <w:t>µg</w:t>
            </w:r>
          </w:p>
        </w:tc>
        <w:tc>
          <w:tcPr>
            <w:tcW w:w="1771" w:type="dxa"/>
          </w:tcPr>
          <w:p w:rsidR="009F25B8" w:rsidRPr="0014336E" w:rsidRDefault="009F25B8" w:rsidP="00BA14B0">
            <w:pPr>
              <w:rPr>
                <w:sz w:val="20"/>
                <w:szCs w:val="20"/>
              </w:rPr>
            </w:pPr>
            <w:r w:rsidRPr="0014336E">
              <w:rPr>
                <w:sz w:val="20"/>
                <w:szCs w:val="20"/>
              </w:rPr>
              <w:t xml:space="preserve">350 </w:t>
            </w:r>
            <w:r w:rsidR="00233047" w:rsidRPr="0014336E">
              <w:rPr>
                <w:sz w:val="20"/>
                <w:szCs w:val="20"/>
              </w:rPr>
              <w:t>µg</w:t>
            </w:r>
          </w:p>
        </w:tc>
        <w:tc>
          <w:tcPr>
            <w:tcW w:w="1771" w:type="dxa"/>
          </w:tcPr>
          <w:p w:rsidR="009F25B8" w:rsidRPr="009F25B8" w:rsidRDefault="009F25B8" w:rsidP="00BA14B0">
            <w:r w:rsidRPr="009F25B8">
              <w:t>Sham</w:t>
            </w:r>
          </w:p>
        </w:tc>
      </w:tr>
      <w:tr w:rsidR="0014336E" w:rsidRPr="009F25B8" w:rsidTr="00E64810">
        <w:trPr>
          <w:trHeight w:hRule="exact" w:val="578"/>
        </w:trPr>
        <w:tc>
          <w:tcPr>
            <w:tcW w:w="7024" w:type="dxa"/>
            <w:gridSpan w:val="4"/>
          </w:tcPr>
          <w:p w:rsidR="0014336E" w:rsidRPr="009F25B8" w:rsidRDefault="0014336E" w:rsidP="00BA14B0">
            <w:r w:rsidRPr="009F25B8">
              <w:t>010</w:t>
            </w:r>
          </w:p>
        </w:tc>
      </w:tr>
      <w:tr w:rsidR="009F25B8" w:rsidRPr="009F25B8" w:rsidTr="0014336E">
        <w:trPr>
          <w:trHeight w:hRule="exact" w:val="855"/>
        </w:trPr>
        <w:tc>
          <w:tcPr>
            <w:tcW w:w="1711" w:type="dxa"/>
          </w:tcPr>
          <w:p w:rsidR="009F25B8" w:rsidRPr="009F25B8" w:rsidRDefault="009F25B8" w:rsidP="00BA14B0">
            <w:r w:rsidRPr="009F25B8">
              <w:t>N</w:t>
            </w:r>
          </w:p>
          <w:p w:rsidR="009F25B8" w:rsidRPr="009F25B8" w:rsidRDefault="009F25B8" w:rsidP="00BA14B0">
            <w:proofErr w:type="gramStart"/>
            <w:r w:rsidRPr="009F25B8">
              <w:t>n</w:t>
            </w:r>
            <w:proofErr w:type="gramEnd"/>
            <w:r w:rsidRPr="009F25B8">
              <w:t xml:space="preserve"> (%)</w:t>
            </w:r>
          </w:p>
        </w:tc>
        <w:tc>
          <w:tcPr>
            <w:tcW w:w="1771" w:type="dxa"/>
          </w:tcPr>
          <w:p w:rsidR="009F25B8" w:rsidRPr="009F25B8" w:rsidRDefault="009F25B8" w:rsidP="00BA14B0">
            <w:r w:rsidRPr="009F25B8">
              <w:t>163</w:t>
            </w:r>
          </w:p>
          <w:p w:rsidR="009F25B8" w:rsidRPr="009F25B8" w:rsidRDefault="009F25B8" w:rsidP="00BA14B0">
            <w:r w:rsidRPr="009F25B8">
              <w:t>36 (22)*</w:t>
            </w:r>
          </w:p>
        </w:tc>
        <w:tc>
          <w:tcPr>
            <w:tcW w:w="1771" w:type="dxa"/>
          </w:tcPr>
          <w:p w:rsidR="009F25B8" w:rsidRPr="009F25B8" w:rsidRDefault="009F25B8" w:rsidP="00BA14B0">
            <w:r w:rsidRPr="009F25B8">
              <w:t>166</w:t>
            </w:r>
          </w:p>
          <w:p w:rsidR="009F25B8" w:rsidRPr="009F25B8" w:rsidRDefault="009F25B8" w:rsidP="00BA14B0">
            <w:r w:rsidRPr="009F25B8">
              <w:t>31 (19)</w:t>
            </w:r>
          </w:p>
        </w:tc>
        <w:tc>
          <w:tcPr>
            <w:tcW w:w="1771" w:type="dxa"/>
          </w:tcPr>
          <w:p w:rsidR="009F25B8" w:rsidRPr="009F25B8" w:rsidRDefault="009F25B8" w:rsidP="00BA14B0">
            <w:r w:rsidRPr="009F25B8">
              <w:t>165</w:t>
            </w:r>
          </w:p>
          <w:p w:rsidR="009F25B8" w:rsidRPr="009F25B8" w:rsidRDefault="009F25B8" w:rsidP="00BA14B0">
            <w:r w:rsidRPr="009F25B8">
              <w:t>22 (13)</w:t>
            </w:r>
          </w:p>
        </w:tc>
      </w:tr>
      <w:tr w:rsidR="0014336E" w:rsidRPr="009F25B8" w:rsidTr="0014336E">
        <w:trPr>
          <w:trHeight w:hRule="exact" w:val="570"/>
        </w:trPr>
        <w:tc>
          <w:tcPr>
            <w:tcW w:w="7024" w:type="dxa"/>
            <w:gridSpan w:val="4"/>
          </w:tcPr>
          <w:p w:rsidR="0014336E" w:rsidRPr="009F25B8" w:rsidRDefault="0014336E" w:rsidP="00BA14B0">
            <w:r w:rsidRPr="009F25B8">
              <w:t>011</w:t>
            </w:r>
          </w:p>
        </w:tc>
      </w:tr>
      <w:tr w:rsidR="009F25B8" w:rsidRPr="009F25B8" w:rsidTr="0014336E">
        <w:trPr>
          <w:trHeight w:hRule="exact" w:val="1003"/>
        </w:trPr>
        <w:tc>
          <w:tcPr>
            <w:tcW w:w="1711" w:type="dxa"/>
          </w:tcPr>
          <w:p w:rsidR="009F25B8" w:rsidRPr="009F25B8" w:rsidRDefault="009F25B8" w:rsidP="00BA14B0">
            <w:r w:rsidRPr="009F25B8">
              <w:t>N</w:t>
            </w:r>
          </w:p>
          <w:p w:rsidR="009F25B8" w:rsidRPr="009F25B8" w:rsidRDefault="009F25B8" w:rsidP="00BA14B0">
            <w:proofErr w:type="gramStart"/>
            <w:r w:rsidRPr="009F25B8">
              <w:t>n</w:t>
            </w:r>
            <w:proofErr w:type="gramEnd"/>
            <w:r w:rsidRPr="009F25B8">
              <w:t xml:space="preserve"> (%)</w:t>
            </w:r>
          </w:p>
        </w:tc>
        <w:tc>
          <w:tcPr>
            <w:tcW w:w="1771" w:type="dxa"/>
          </w:tcPr>
          <w:p w:rsidR="009F25B8" w:rsidRPr="009F25B8" w:rsidRDefault="009F25B8" w:rsidP="00BA14B0">
            <w:r w:rsidRPr="009F25B8">
              <w:t>188</w:t>
            </w:r>
          </w:p>
          <w:p w:rsidR="009F25B8" w:rsidRPr="009F25B8" w:rsidRDefault="009F25B8" w:rsidP="00BA14B0">
            <w:r w:rsidRPr="009F25B8">
              <w:t>42 (22)*</w:t>
            </w:r>
          </w:p>
        </w:tc>
        <w:tc>
          <w:tcPr>
            <w:tcW w:w="1771" w:type="dxa"/>
          </w:tcPr>
          <w:p w:rsidR="009F25B8" w:rsidRPr="009F25B8" w:rsidRDefault="009F25B8" w:rsidP="00BA14B0">
            <w:r w:rsidRPr="009F25B8">
              <w:t>181</w:t>
            </w:r>
          </w:p>
          <w:p w:rsidR="009F25B8" w:rsidRPr="009F25B8" w:rsidRDefault="009F25B8" w:rsidP="00BA14B0">
            <w:r w:rsidRPr="009F25B8">
              <w:t>33 (18)*</w:t>
            </w:r>
          </w:p>
        </w:tc>
        <w:tc>
          <w:tcPr>
            <w:tcW w:w="1771" w:type="dxa"/>
          </w:tcPr>
          <w:p w:rsidR="009F25B8" w:rsidRPr="009F25B8" w:rsidRDefault="009F25B8" w:rsidP="00BA14B0">
            <w:r w:rsidRPr="009F25B8">
              <w:t>185</w:t>
            </w:r>
          </w:p>
          <w:p w:rsidR="009F25B8" w:rsidRPr="009F25B8" w:rsidRDefault="009F25B8" w:rsidP="00BA14B0">
            <w:r w:rsidRPr="009F25B8">
              <w:t>20 (11)</w:t>
            </w:r>
          </w:p>
        </w:tc>
      </w:tr>
    </w:tbl>
    <w:p w:rsidR="007C3F6C" w:rsidRPr="007C3F6C" w:rsidRDefault="007C3F6C" w:rsidP="007C3F6C">
      <w:pPr>
        <w:pStyle w:val="TableDescription"/>
      </w:pPr>
      <w:r w:rsidRPr="007C3F6C">
        <w:t xml:space="preserve">“*” statistically significantly different from </w:t>
      </w:r>
      <w:r w:rsidR="007E2B4E">
        <w:t>Sham</w:t>
      </w:r>
    </w:p>
    <w:p w:rsidR="007C3F6C" w:rsidRDefault="0008415D" w:rsidP="007C3F6C">
      <w:r>
        <w:t>The m</w:t>
      </w:r>
      <w:r w:rsidR="007C3F6C" w:rsidRPr="007C3F6C">
        <w:t xml:space="preserve">ean change from baseline, pooled data from </w:t>
      </w:r>
      <w:r>
        <w:t xml:space="preserve">Studies </w:t>
      </w:r>
      <w:r w:rsidR="007C3F6C" w:rsidRPr="007C3F6C">
        <w:t>010 and 011</w:t>
      </w:r>
      <w:r>
        <w:t xml:space="preserve"> is show in in Figure 7.</w:t>
      </w:r>
    </w:p>
    <w:p w:rsidR="0008415D" w:rsidRPr="007C3F6C" w:rsidRDefault="0008415D" w:rsidP="0008415D">
      <w:pPr>
        <w:pStyle w:val="FigureTitle"/>
      </w:pPr>
      <w:proofErr w:type="gramStart"/>
      <w:r>
        <w:lastRenderedPageBreak/>
        <w:t>Figure 7.</w:t>
      </w:r>
      <w:proofErr w:type="gramEnd"/>
      <w:r>
        <w:t xml:space="preserve"> M</w:t>
      </w:r>
      <w:r w:rsidRPr="007C3F6C">
        <w:t xml:space="preserve">ean change from baseline, pooled data from </w:t>
      </w:r>
      <w:r>
        <w:t xml:space="preserve">Studies </w:t>
      </w:r>
      <w:r w:rsidRPr="007C3F6C">
        <w:t>010 and 011</w:t>
      </w:r>
    </w:p>
    <w:p w:rsidR="00536397" w:rsidRPr="00536397" w:rsidRDefault="007C3F6C" w:rsidP="00536397">
      <w:r>
        <w:rPr>
          <w:noProof/>
          <w:lang w:eastAsia="en-AU"/>
        </w:rPr>
        <w:drawing>
          <wp:inline distT="0" distB="0" distL="0" distR="0" wp14:anchorId="3F970BA4" wp14:editId="20A668AC">
            <wp:extent cx="4389120" cy="2899153"/>
            <wp:effectExtent l="0" t="0" r="0" b="0"/>
            <wp:docPr id="4" name="Picture 4" descr="Figure 7. Mean change from baseline, pooled data from Studies 010 and 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387182" cy="2897873"/>
                    </a:xfrm>
                    <a:prstGeom prst="rect">
                      <a:avLst/>
                    </a:prstGeom>
                  </pic:spPr>
                </pic:pic>
              </a:graphicData>
            </a:graphic>
          </wp:inline>
        </w:drawing>
      </w:r>
    </w:p>
    <w:p w:rsidR="007C3F6C" w:rsidRPr="007C3F6C" w:rsidRDefault="007C3F6C" w:rsidP="007C3F6C">
      <w:pPr>
        <w:pStyle w:val="Heading5"/>
      </w:pPr>
      <w:r w:rsidRPr="007C3F6C">
        <w:t>Results, selected pre</w:t>
      </w:r>
      <w:r w:rsidR="00D57E70">
        <w:t xml:space="preserve"> </w:t>
      </w:r>
      <w:r w:rsidRPr="007C3F6C">
        <w:t>specified subgroup analyses</w:t>
      </w:r>
    </w:p>
    <w:p w:rsidR="007C3F6C" w:rsidRDefault="007C3F6C" w:rsidP="007C3F6C">
      <w:proofErr w:type="gramStart"/>
      <w:r w:rsidRPr="007C3F6C">
        <w:t xml:space="preserve">Difference from </w:t>
      </w:r>
      <w:r w:rsidR="007E2B4E">
        <w:t>Sham</w:t>
      </w:r>
      <w:r w:rsidRPr="007C3F6C">
        <w:t>, BCVA (letters) mean change from baseline (AUC)</w:t>
      </w:r>
      <w:r w:rsidR="00211DFA">
        <w:t xml:space="preserve"> are</w:t>
      </w:r>
      <w:proofErr w:type="gramEnd"/>
      <w:r w:rsidR="00211DFA">
        <w:t xml:space="preserve"> shown in Table 13.</w:t>
      </w:r>
    </w:p>
    <w:p w:rsidR="00211DFA" w:rsidRPr="007C3F6C" w:rsidRDefault="00211DFA" w:rsidP="00211DFA">
      <w:pPr>
        <w:pStyle w:val="TableTitle"/>
      </w:pPr>
      <w:proofErr w:type="gramStart"/>
      <w:r>
        <w:t>Table 13.</w:t>
      </w:r>
      <w:proofErr w:type="gramEnd"/>
      <w:r>
        <w:t xml:space="preserve"> </w:t>
      </w:r>
      <w:r w:rsidRPr="007C3F6C">
        <w:t xml:space="preserve">Difference from </w:t>
      </w:r>
      <w:r w:rsidR="007E2B4E">
        <w:t>Sham</w:t>
      </w:r>
      <w:r w:rsidRPr="007C3F6C">
        <w:t>, BCVA (letters) mean change from baseline (AUC)</w:t>
      </w:r>
    </w:p>
    <w:tbl>
      <w:tblPr>
        <w:tblStyle w:val="TableTGAblue"/>
        <w:tblW w:w="0" w:type="auto"/>
        <w:tblLayout w:type="fixed"/>
        <w:tblLook w:val="01E0" w:firstRow="1" w:lastRow="1" w:firstColumn="1" w:lastColumn="1" w:noHBand="0" w:noVBand="0"/>
      </w:tblPr>
      <w:tblGrid>
        <w:gridCol w:w="4277"/>
        <w:gridCol w:w="1840"/>
        <w:gridCol w:w="1840"/>
      </w:tblGrid>
      <w:tr w:rsidR="007C3F6C" w:rsidRPr="0008415D" w:rsidTr="0008415D">
        <w:trPr>
          <w:cnfStyle w:val="100000000000" w:firstRow="1" w:lastRow="0" w:firstColumn="0" w:lastColumn="0" w:oddVBand="0" w:evenVBand="0" w:oddHBand="0" w:evenHBand="0" w:firstRowFirstColumn="0" w:firstRowLastColumn="0" w:lastRowFirstColumn="0" w:lastRowLastColumn="0"/>
          <w:trHeight w:hRule="exact" w:val="448"/>
        </w:trPr>
        <w:tc>
          <w:tcPr>
            <w:tcW w:w="4277" w:type="dxa"/>
          </w:tcPr>
          <w:p w:rsidR="007C3F6C" w:rsidRPr="0008415D" w:rsidRDefault="0008415D" w:rsidP="00BA14B0">
            <w:r w:rsidRPr="0008415D">
              <w:t>Study / pre specified subgroup</w:t>
            </w:r>
          </w:p>
        </w:tc>
        <w:tc>
          <w:tcPr>
            <w:tcW w:w="1840" w:type="dxa"/>
          </w:tcPr>
          <w:p w:rsidR="007C3F6C" w:rsidRPr="0008415D" w:rsidRDefault="007C3F6C" w:rsidP="00BA14B0">
            <w:r w:rsidRPr="0008415D">
              <w:t xml:space="preserve">700 </w:t>
            </w:r>
            <w:r w:rsidR="00233047" w:rsidRPr="0008415D">
              <w:t>µg</w:t>
            </w:r>
            <w:r w:rsidRPr="0008415D">
              <w:t xml:space="preserve"> versus </w:t>
            </w:r>
            <w:r w:rsidR="007E2B4E">
              <w:t>Sham</w:t>
            </w:r>
          </w:p>
        </w:tc>
        <w:tc>
          <w:tcPr>
            <w:tcW w:w="1840" w:type="dxa"/>
          </w:tcPr>
          <w:p w:rsidR="007C3F6C" w:rsidRPr="0008415D" w:rsidRDefault="007C3F6C" w:rsidP="00BA14B0">
            <w:r w:rsidRPr="0008415D">
              <w:t xml:space="preserve">350 </w:t>
            </w:r>
            <w:r w:rsidR="00233047" w:rsidRPr="0008415D">
              <w:t>µg</w:t>
            </w:r>
            <w:r w:rsidRPr="0008415D">
              <w:t xml:space="preserve"> versus </w:t>
            </w:r>
            <w:r w:rsidR="007E2B4E">
              <w:t>Sham</w:t>
            </w:r>
          </w:p>
        </w:tc>
      </w:tr>
      <w:tr w:rsidR="0008415D" w:rsidRPr="0008415D" w:rsidTr="00E64810">
        <w:trPr>
          <w:trHeight w:hRule="exact" w:val="555"/>
        </w:trPr>
        <w:tc>
          <w:tcPr>
            <w:tcW w:w="7957" w:type="dxa"/>
            <w:gridSpan w:val="3"/>
          </w:tcPr>
          <w:p w:rsidR="0008415D" w:rsidRPr="0008415D" w:rsidRDefault="0008415D" w:rsidP="00BA14B0">
            <w:r w:rsidRPr="0008415D">
              <w:t>010</w:t>
            </w:r>
          </w:p>
        </w:tc>
      </w:tr>
      <w:tr w:rsidR="007C3F6C" w:rsidRPr="0008415D" w:rsidTr="0008415D">
        <w:trPr>
          <w:trHeight w:hRule="exact" w:val="1272"/>
        </w:trPr>
        <w:tc>
          <w:tcPr>
            <w:tcW w:w="4277" w:type="dxa"/>
          </w:tcPr>
          <w:p w:rsidR="007C3F6C" w:rsidRPr="0008415D" w:rsidRDefault="007C3F6C" w:rsidP="00BA14B0">
            <w:r w:rsidRPr="0008415D">
              <w:t>Any prior treatment</w:t>
            </w:r>
          </w:p>
          <w:p w:rsidR="007C3F6C" w:rsidRPr="0008415D" w:rsidRDefault="007C3F6C" w:rsidP="00BA14B0">
            <w:r w:rsidRPr="0008415D">
              <w:t>N (</w:t>
            </w:r>
            <w:r w:rsidR="007E2B4E">
              <w:t>Sham</w:t>
            </w:r>
            <w:r w:rsidRPr="0008415D">
              <w:t xml:space="preserve"> N=127)</w:t>
            </w:r>
          </w:p>
          <w:p w:rsidR="007C3F6C" w:rsidRPr="0008415D" w:rsidRDefault="007C3F6C" w:rsidP="00BA14B0">
            <w:r w:rsidRPr="0008415D">
              <w:t xml:space="preserve">difference from </w:t>
            </w:r>
            <w:r w:rsidR="007E2B4E">
              <w:t>Sham</w:t>
            </w:r>
            <w:r w:rsidRPr="0008415D">
              <w:t xml:space="preserve"> (p</w:t>
            </w:r>
            <w:r w:rsidR="00D57E70" w:rsidRPr="0008415D">
              <w:t xml:space="preserve"> </w:t>
            </w:r>
            <w:r w:rsidR="0008415D" w:rsidRPr="0008415D">
              <w:t>value)</w:t>
            </w:r>
          </w:p>
        </w:tc>
        <w:tc>
          <w:tcPr>
            <w:tcW w:w="1840" w:type="dxa"/>
          </w:tcPr>
          <w:p w:rsidR="007C3F6C" w:rsidRPr="0008415D" w:rsidRDefault="007C3F6C" w:rsidP="00BA14B0"/>
          <w:p w:rsidR="007C3F6C" w:rsidRPr="0008415D" w:rsidRDefault="007C3F6C" w:rsidP="00BA14B0">
            <w:r w:rsidRPr="0008415D">
              <w:t>123</w:t>
            </w:r>
          </w:p>
          <w:p w:rsidR="007C3F6C" w:rsidRPr="0008415D" w:rsidRDefault="0008415D" w:rsidP="00BA14B0">
            <w:r w:rsidRPr="0008415D">
              <w:t>2.6 (0.011)</w:t>
            </w:r>
          </w:p>
        </w:tc>
        <w:tc>
          <w:tcPr>
            <w:tcW w:w="1840" w:type="dxa"/>
          </w:tcPr>
          <w:p w:rsidR="007C3F6C" w:rsidRPr="0008415D" w:rsidRDefault="007C3F6C" w:rsidP="00BA14B0"/>
          <w:p w:rsidR="007C3F6C" w:rsidRPr="0008415D" w:rsidRDefault="007C3F6C" w:rsidP="00BA14B0">
            <w:r w:rsidRPr="0008415D">
              <w:t>126</w:t>
            </w:r>
          </w:p>
          <w:p w:rsidR="007C3F6C" w:rsidRPr="0008415D" w:rsidRDefault="0008415D" w:rsidP="00BA14B0">
            <w:r w:rsidRPr="0008415D">
              <w:t>3.2 (0.002)</w:t>
            </w:r>
          </w:p>
        </w:tc>
      </w:tr>
      <w:tr w:rsidR="0008415D" w:rsidRPr="0008415D" w:rsidTr="0008415D">
        <w:trPr>
          <w:trHeight w:hRule="exact" w:val="1285"/>
        </w:trPr>
        <w:tc>
          <w:tcPr>
            <w:tcW w:w="4277" w:type="dxa"/>
          </w:tcPr>
          <w:p w:rsidR="0008415D" w:rsidRPr="0008415D" w:rsidRDefault="0008415D" w:rsidP="00BA14B0">
            <w:r w:rsidRPr="0008415D">
              <w:t>Pseudophakic eye at baseline</w:t>
            </w:r>
          </w:p>
          <w:p w:rsidR="0008415D" w:rsidRPr="0008415D" w:rsidRDefault="0008415D" w:rsidP="00BA14B0">
            <w:r w:rsidRPr="0008415D">
              <w:t>N (</w:t>
            </w:r>
            <w:r w:rsidR="007E2B4E">
              <w:t>Sham</w:t>
            </w:r>
            <w:r w:rsidRPr="0008415D">
              <w:t xml:space="preserve"> N=50)</w:t>
            </w:r>
          </w:p>
          <w:p w:rsidR="0008415D" w:rsidRPr="0008415D" w:rsidRDefault="0008415D" w:rsidP="00BA14B0">
            <w:r w:rsidRPr="0008415D">
              <w:t xml:space="preserve">difference from </w:t>
            </w:r>
            <w:r w:rsidR="007E2B4E">
              <w:t>Sham</w:t>
            </w:r>
            <w:r w:rsidRPr="0008415D">
              <w:t xml:space="preserve"> (p value)</w:t>
            </w:r>
          </w:p>
        </w:tc>
        <w:tc>
          <w:tcPr>
            <w:tcW w:w="1840" w:type="dxa"/>
          </w:tcPr>
          <w:p w:rsidR="0008415D" w:rsidRPr="0008415D" w:rsidRDefault="0008415D" w:rsidP="00BA14B0"/>
          <w:p w:rsidR="0008415D" w:rsidRPr="0008415D" w:rsidRDefault="0008415D" w:rsidP="00BA14B0">
            <w:r w:rsidRPr="0008415D">
              <w:t>44</w:t>
            </w:r>
          </w:p>
          <w:p w:rsidR="0008415D" w:rsidRPr="0008415D" w:rsidRDefault="0008415D" w:rsidP="00BA14B0">
            <w:r w:rsidRPr="0008415D">
              <w:t>5.9 (&lt;0.001)</w:t>
            </w:r>
          </w:p>
        </w:tc>
        <w:tc>
          <w:tcPr>
            <w:tcW w:w="1840" w:type="dxa"/>
          </w:tcPr>
          <w:p w:rsidR="0008415D" w:rsidRPr="0008415D" w:rsidRDefault="0008415D" w:rsidP="00BA14B0"/>
          <w:p w:rsidR="0008415D" w:rsidRPr="0008415D" w:rsidRDefault="0008415D" w:rsidP="00BA14B0">
            <w:r w:rsidRPr="0008415D">
              <w:t>47</w:t>
            </w:r>
          </w:p>
          <w:p w:rsidR="0008415D" w:rsidRPr="0008415D" w:rsidRDefault="0008415D" w:rsidP="00BA14B0">
            <w:r w:rsidRPr="0008415D">
              <w:t>4.1 (0.007)</w:t>
            </w:r>
          </w:p>
        </w:tc>
      </w:tr>
      <w:tr w:rsidR="0008415D" w:rsidRPr="0008415D" w:rsidTr="0008415D">
        <w:trPr>
          <w:trHeight w:hRule="exact" w:val="432"/>
        </w:trPr>
        <w:tc>
          <w:tcPr>
            <w:tcW w:w="7957" w:type="dxa"/>
            <w:gridSpan w:val="3"/>
          </w:tcPr>
          <w:p w:rsidR="0008415D" w:rsidRPr="0008415D" w:rsidRDefault="0008415D" w:rsidP="00BA14B0">
            <w:r w:rsidRPr="0008415D">
              <w:t>011</w:t>
            </w:r>
          </w:p>
        </w:tc>
      </w:tr>
      <w:tr w:rsidR="0008415D" w:rsidRPr="0008415D" w:rsidTr="0008415D">
        <w:trPr>
          <w:trHeight w:hRule="exact" w:val="1283"/>
        </w:trPr>
        <w:tc>
          <w:tcPr>
            <w:tcW w:w="4277" w:type="dxa"/>
          </w:tcPr>
          <w:p w:rsidR="0008415D" w:rsidRPr="0008415D" w:rsidRDefault="0008415D" w:rsidP="00BA14B0">
            <w:r w:rsidRPr="0008415D">
              <w:t>Any prior treatment</w:t>
            </w:r>
          </w:p>
          <w:p w:rsidR="0008415D" w:rsidRPr="0008415D" w:rsidRDefault="0008415D" w:rsidP="00BA14B0">
            <w:r w:rsidRPr="0008415D">
              <w:t>N (</w:t>
            </w:r>
            <w:r w:rsidR="007E2B4E">
              <w:t>Sham</w:t>
            </w:r>
            <w:r w:rsidRPr="0008415D">
              <w:t xml:space="preserve"> N=134)</w:t>
            </w:r>
          </w:p>
          <w:p w:rsidR="0008415D" w:rsidRPr="0008415D" w:rsidRDefault="0008415D" w:rsidP="00BA14B0">
            <w:r w:rsidRPr="0008415D">
              <w:t xml:space="preserve">difference from </w:t>
            </w:r>
            <w:r w:rsidR="007E2B4E">
              <w:t>Sham</w:t>
            </w:r>
            <w:r w:rsidRPr="0008415D">
              <w:t xml:space="preserve"> (p value)</w:t>
            </w:r>
          </w:p>
        </w:tc>
        <w:tc>
          <w:tcPr>
            <w:tcW w:w="1840" w:type="dxa"/>
          </w:tcPr>
          <w:p w:rsidR="0008415D" w:rsidRPr="0008415D" w:rsidRDefault="0008415D" w:rsidP="00BA14B0"/>
          <w:p w:rsidR="0008415D" w:rsidRPr="0008415D" w:rsidRDefault="0008415D" w:rsidP="00BA14B0">
            <w:r w:rsidRPr="0008415D">
              <w:t>124</w:t>
            </w:r>
          </w:p>
          <w:p w:rsidR="0008415D" w:rsidRPr="0008415D" w:rsidRDefault="0008415D" w:rsidP="00BA14B0">
            <w:r w:rsidRPr="0008415D">
              <w:t>0.7 (0.495)</w:t>
            </w:r>
          </w:p>
        </w:tc>
        <w:tc>
          <w:tcPr>
            <w:tcW w:w="1840" w:type="dxa"/>
          </w:tcPr>
          <w:p w:rsidR="0008415D" w:rsidRPr="0008415D" w:rsidRDefault="0008415D" w:rsidP="00BA14B0"/>
          <w:p w:rsidR="0008415D" w:rsidRPr="0008415D" w:rsidRDefault="0008415D" w:rsidP="00BA14B0">
            <w:r w:rsidRPr="0008415D">
              <w:t>123</w:t>
            </w:r>
          </w:p>
          <w:p w:rsidR="0008415D" w:rsidRPr="0008415D" w:rsidRDefault="0008415D" w:rsidP="00BA14B0">
            <w:r w:rsidRPr="0008415D">
              <w:t>0.8 (0.409)</w:t>
            </w:r>
          </w:p>
        </w:tc>
      </w:tr>
      <w:tr w:rsidR="0008415D" w:rsidRPr="0008415D" w:rsidTr="0008415D">
        <w:trPr>
          <w:trHeight w:hRule="exact" w:val="1274"/>
        </w:trPr>
        <w:tc>
          <w:tcPr>
            <w:tcW w:w="4277" w:type="dxa"/>
          </w:tcPr>
          <w:p w:rsidR="0008415D" w:rsidRPr="0008415D" w:rsidRDefault="0008415D" w:rsidP="00BA14B0">
            <w:r w:rsidRPr="0008415D">
              <w:t>Pseudophakic eye at baseline</w:t>
            </w:r>
          </w:p>
          <w:p w:rsidR="0008415D" w:rsidRPr="0008415D" w:rsidRDefault="0008415D" w:rsidP="00BA14B0">
            <w:r w:rsidRPr="0008415D">
              <w:t>N (</w:t>
            </w:r>
            <w:r w:rsidR="007E2B4E">
              <w:t>Sham</w:t>
            </w:r>
            <w:r w:rsidRPr="0008415D">
              <w:t xml:space="preserve"> N=51)</w:t>
            </w:r>
          </w:p>
          <w:p w:rsidR="0008415D" w:rsidRPr="0008415D" w:rsidRDefault="0008415D" w:rsidP="00BA14B0">
            <w:r w:rsidRPr="0008415D">
              <w:t xml:space="preserve">difference from </w:t>
            </w:r>
            <w:r w:rsidR="007E2B4E">
              <w:t>Sham</w:t>
            </w:r>
            <w:r w:rsidRPr="0008415D">
              <w:t xml:space="preserve"> (p value)</w:t>
            </w:r>
          </w:p>
        </w:tc>
        <w:tc>
          <w:tcPr>
            <w:tcW w:w="1840" w:type="dxa"/>
          </w:tcPr>
          <w:p w:rsidR="0008415D" w:rsidRPr="0008415D" w:rsidRDefault="0008415D" w:rsidP="00BA14B0"/>
          <w:p w:rsidR="0008415D" w:rsidRPr="0008415D" w:rsidRDefault="0008415D" w:rsidP="00BA14B0">
            <w:r w:rsidRPr="0008415D">
              <w:t>42</w:t>
            </w:r>
          </w:p>
          <w:p w:rsidR="0008415D" w:rsidRPr="0008415D" w:rsidRDefault="0008415D" w:rsidP="00BA14B0">
            <w:r w:rsidRPr="0008415D">
              <w:t>3.6 (0.018)</w:t>
            </w:r>
          </w:p>
        </w:tc>
        <w:tc>
          <w:tcPr>
            <w:tcW w:w="1840" w:type="dxa"/>
          </w:tcPr>
          <w:p w:rsidR="0008415D" w:rsidRPr="0008415D" w:rsidRDefault="0008415D" w:rsidP="00BA14B0"/>
          <w:p w:rsidR="0008415D" w:rsidRPr="0008415D" w:rsidRDefault="0008415D" w:rsidP="00BA14B0">
            <w:r w:rsidRPr="0008415D">
              <w:t>41</w:t>
            </w:r>
          </w:p>
          <w:p w:rsidR="0008415D" w:rsidRPr="0008415D" w:rsidRDefault="0008415D" w:rsidP="00BA14B0">
            <w:r w:rsidRPr="0008415D">
              <w:t>4.3 (0.005)</w:t>
            </w:r>
          </w:p>
        </w:tc>
      </w:tr>
    </w:tbl>
    <w:p w:rsidR="007C3F6C" w:rsidRDefault="007C3F6C" w:rsidP="007C3F6C">
      <w:proofErr w:type="gramStart"/>
      <w:r w:rsidRPr="007C3F6C">
        <w:t xml:space="preserve">Percentage of patients with 15+ letter improvement in BCVA, difference from </w:t>
      </w:r>
      <w:r w:rsidR="007E2B4E">
        <w:t>Sham</w:t>
      </w:r>
      <w:r w:rsidR="00211DFA">
        <w:t xml:space="preserve"> are</w:t>
      </w:r>
      <w:proofErr w:type="gramEnd"/>
      <w:r w:rsidR="00211DFA">
        <w:t xml:space="preserve"> shown in Table 14.</w:t>
      </w:r>
    </w:p>
    <w:p w:rsidR="00211DFA" w:rsidRPr="007C3F6C" w:rsidRDefault="00211DFA" w:rsidP="00211DFA">
      <w:pPr>
        <w:pStyle w:val="TableTitle"/>
      </w:pPr>
      <w:proofErr w:type="gramStart"/>
      <w:r>
        <w:lastRenderedPageBreak/>
        <w:t>Table 14.</w:t>
      </w:r>
      <w:proofErr w:type="gramEnd"/>
      <w:r>
        <w:t xml:space="preserve"> </w:t>
      </w:r>
      <w:r w:rsidRPr="007C3F6C">
        <w:t xml:space="preserve">Percentage of patients with 15+ letter improvement in BCVA, difference from </w:t>
      </w:r>
      <w:r w:rsidR="007E2B4E">
        <w:t>Sham</w:t>
      </w:r>
    </w:p>
    <w:tbl>
      <w:tblPr>
        <w:tblStyle w:val="TableTGAblue"/>
        <w:tblW w:w="0" w:type="auto"/>
        <w:tblLayout w:type="fixed"/>
        <w:tblLook w:val="01E0" w:firstRow="1" w:lastRow="1" w:firstColumn="1" w:lastColumn="1" w:noHBand="0" w:noVBand="0"/>
      </w:tblPr>
      <w:tblGrid>
        <w:gridCol w:w="3946"/>
        <w:gridCol w:w="2196"/>
        <w:gridCol w:w="1994"/>
      </w:tblGrid>
      <w:tr w:rsidR="007C3F6C" w:rsidRPr="00211DFA" w:rsidTr="00211DFA">
        <w:trPr>
          <w:cnfStyle w:val="100000000000" w:firstRow="1" w:lastRow="0" w:firstColumn="0" w:lastColumn="0" w:oddVBand="0" w:evenVBand="0" w:oddHBand="0" w:evenHBand="0" w:firstRowFirstColumn="0" w:firstRowLastColumn="0" w:lastRowFirstColumn="0" w:lastRowLastColumn="0"/>
          <w:trHeight w:hRule="exact" w:val="744"/>
        </w:trPr>
        <w:tc>
          <w:tcPr>
            <w:tcW w:w="3946" w:type="dxa"/>
          </w:tcPr>
          <w:p w:rsidR="007C3F6C" w:rsidRPr="00211DFA" w:rsidRDefault="007C3F6C" w:rsidP="00BA14B0"/>
        </w:tc>
        <w:tc>
          <w:tcPr>
            <w:tcW w:w="2196" w:type="dxa"/>
          </w:tcPr>
          <w:p w:rsidR="007C3F6C" w:rsidRPr="00211DFA" w:rsidRDefault="007C3F6C" w:rsidP="00BA14B0">
            <w:r w:rsidRPr="00211DFA">
              <w:t xml:space="preserve">700 </w:t>
            </w:r>
            <w:r w:rsidR="00233047" w:rsidRPr="00211DFA">
              <w:t>µg</w:t>
            </w:r>
            <w:r w:rsidRPr="00211DFA">
              <w:t xml:space="preserve"> versus </w:t>
            </w:r>
            <w:r w:rsidR="007E2B4E">
              <w:t>Sham</w:t>
            </w:r>
          </w:p>
        </w:tc>
        <w:tc>
          <w:tcPr>
            <w:tcW w:w="1994" w:type="dxa"/>
          </w:tcPr>
          <w:p w:rsidR="007C3F6C" w:rsidRPr="00211DFA" w:rsidRDefault="007C3F6C" w:rsidP="00BA14B0">
            <w:r w:rsidRPr="00211DFA">
              <w:t xml:space="preserve">350 </w:t>
            </w:r>
            <w:r w:rsidR="00233047" w:rsidRPr="00211DFA">
              <w:t>µg</w:t>
            </w:r>
            <w:r w:rsidRPr="00211DFA">
              <w:t xml:space="preserve"> versus </w:t>
            </w:r>
            <w:r w:rsidR="007E2B4E">
              <w:t>Sham</w:t>
            </w:r>
          </w:p>
        </w:tc>
      </w:tr>
      <w:tr w:rsidR="00211DFA" w:rsidRPr="00211DFA" w:rsidTr="00E64810">
        <w:trPr>
          <w:trHeight w:hRule="exact" w:val="368"/>
        </w:trPr>
        <w:tc>
          <w:tcPr>
            <w:tcW w:w="8136" w:type="dxa"/>
            <w:gridSpan w:val="3"/>
          </w:tcPr>
          <w:p w:rsidR="00211DFA" w:rsidRPr="00211DFA" w:rsidRDefault="00211DFA" w:rsidP="00BA14B0">
            <w:r w:rsidRPr="00211DFA">
              <w:t>010</w:t>
            </w:r>
          </w:p>
        </w:tc>
      </w:tr>
      <w:tr w:rsidR="007C3F6C" w:rsidRPr="00211DFA" w:rsidTr="00211DFA">
        <w:trPr>
          <w:trHeight w:hRule="exact" w:val="1280"/>
        </w:trPr>
        <w:tc>
          <w:tcPr>
            <w:tcW w:w="3946" w:type="dxa"/>
          </w:tcPr>
          <w:p w:rsidR="00C77A0F" w:rsidRDefault="007C3F6C" w:rsidP="00BA14B0">
            <w:r w:rsidRPr="00211DFA">
              <w:t>Any prior treatment</w:t>
            </w:r>
          </w:p>
          <w:p w:rsidR="007C3F6C" w:rsidRPr="00211DFA" w:rsidRDefault="007C3F6C" w:rsidP="00BA14B0">
            <w:r w:rsidRPr="00211DFA">
              <w:t>N (</w:t>
            </w:r>
            <w:r w:rsidR="007E2B4E">
              <w:t>Sham</w:t>
            </w:r>
            <w:r w:rsidRPr="00211DFA">
              <w:t xml:space="preserve"> N=127)</w:t>
            </w:r>
          </w:p>
          <w:p w:rsidR="007C3F6C" w:rsidRPr="00211DFA" w:rsidRDefault="007C3F6C" w:rsidP="00BA14B0">
            <w:r w:rsidRPr="00211DFA">
              <w:t xml:space="preserve">difference from </w:t>
            </w:r>
            <w:r w:rsidR="007E2B4E">
              <w:t>Sham</w:t>
            </w:r>
            <w:r w:rsidRPr="00211DFA">
              <w:t xml:space="preserve"> (p</w:t>
            </w:r>
            <w:r w:rsidR="00D57E70" w:rsidRPr="00211DFA">
              <w:t xml:space="preserve"> </w:t>
            </w:r>
            <w:r w:rsidRPr="00211DFA">
              <w:t>value)</w:t>
            </w:r>
          </w:p>
        </w:tc>
        <w:tc>
          <w:tcPr>
            <w:tcW w:w="2196" w:type="dxa"/>
          </w:tcPr>
          <w:p w:rsidR="007C3F6C" w:rsidRPr="00211DFA" w:rsidRDefault="007C3F6C" w:rsidP="00BA14B0"/>
          <w:p w:rsidR="007C3F6C" w:rsidRPr="00211DFA" w:rsidRDefault="007C3F6C" w:rsidP="00BA14B0">
            <w:r w:rsidRPr="00211DFA">
              <w:t>123</w:t>
            </w:r>
          </w:p>
          <w:p w:rsidR="007C3F6C" w:rsidRPr="00211DFA" w:rsidRDefault="007C3F6C" w:rsidP="00BA14B0">
            <w:r w:rsidRPr="00211DFA">
              <w:t>11% (0.020)</w:t>
            </w:r>
          </w:p>
        </w:tc>
        <w:tc>
          <w:tcPr>
            <w:tcW w:w="1994" w:type="dxa"/>
          </w:tcPr>
          <w:p w:rsidR="007C3F6C" w:rsidRPr="00211DFA" w:rsidRDefault="007C3F6C" w:rsidP="00BA14B0"/>
          <w:p w:rsidR="007C3F6C" w:rsidRPr="00211DFA" w:rsidRDefault="007C3F6C" w:rsidP="00BA14B0">
            <w:r w:rsidRPr="00211DFA">
              <w:t>126</w:t>
            </w:r>
          </w:p>
          <w:p w:rsidR="007C3F6C" w:rsidRPr="00211DFA" w:rsidRDefault="007C3F6C" w:rsidP="00BA14B0">
            <w:r w:rsidRPr="00211DFA">
              <w:t>10% (0.036)</w:t>
            </w:r>
          </w:p>
        </w:tc>
      </w:tr>
      <w:tr w:rsidR="00211DFA" w:rsidRPr="00211DFA" w:rsidTr="00211DFA">
        <w:trPr>
          <w:trHeight w:hRule="exact" w:val="1284"/>
        </w:trPr>
        <w:tc>
          <w:tcPr>
            <w:tcW w:w="3946" w:type="dxa"/>
          </w:tcPr>
          <w:p w:rsidR="00C77A0F" w:rsidRDefault="00211DFA" w:rsidP="00BA14B0">
            <w:proofErr w:type="spellStart"/>
            <w:r w:rsidRPr="00211DFA">
              <w:t>Pseudophakic</w:t>
            </w:r>
            <w:proofErr w:type="spellEnd"/>
            <w:r w:rsidRPr="00211DFA">
              <w:t xml:space="preserve"> eye at baseline</w:t>
            </w:r>
          </w:p>
          <w:p w:rsidR="00211DFA" w:rsidRPr="00211DFA" w:rsidRDefault="00211DFA" w:rsidP="00BA14B0">
            <w:r w:rsidRPr="00211DFA">
              <w:t>N (</w:t>
            </w:r>
            <w:r w:rsidR="007E2B4E">
              <w:t>Sham</w:t>
            </w:r>
            <w:r w:rsidRPr="00211DFA">
              <w:t xml:space="preserve"> N=50)</w:t>
            </w:r>
          </w:p>
          <w:p w:rsidR="00211DFA" w:rsidRPr="00211DFA" w:rsidRDefault="00211DFA" w:rsidP="00BA14B0">
            <w:r w:rsidRPr="00211DFA">
              <w:t xml:space="preserve">difference from </w:t>
            </w:r>
            <w:r w:rsidR="007E2B4E">
              <w:t>Sham</w:t>
            </w:r>
            <w:r w:rsidRPr="00211DFA">
              <w:t xml:space="preserve"> (p value)</w:t>
            </w:r>
          </w:p>
        </w:tc>
        <w:tc>
          <w:tcPr>
            <w:tcW w:w="2196" w:type="dxa"/>
          </w:tcPr>
          <w:p w:rsidR="00211DFA" w:rsidRPr="00211DFA" w:rsidRDefault="00211DFA" w:rsidP="00BA14B0"/>
          <w:p w:rsidR="00211DFA" w:rsidRPr="00211DFA" w:rsidRDefault="00211DFA" w:rsidP="00BA14B0">
            <w:r w:rsidRPr="00211DFA">
              <w:t>44</w:t>
            </w:r>
          </w:p>
          <w:p w:rsidR="00211DFA" w:rsidRPr="00211DFA" w:rsidRDefault="00211DFA" w:rsidP="00BA14B0">
            <w:r w:rsidRPr="00211DFA">
              <w:t>18% (0.042)</w:t>
            </w:r>
          </w:p>
        </w:tc>
        <w:tc>
          <w:tcPr>
            <w:tcW w:w="1994" w:type="dxa"/>
          </w:tcPr>
          <w:p w:rsidR="00211DFA" w:rsidRPr="00211DFA" w:rsidRDefault="00211DFA" w:rsidP="00BA14B0"/>
          <w:p w:rsidR="00211DFA" w:rsidRPr="00211DFA" w:rsidRDefault="00211DFA" w:rsidP="00BA14B0">
            <w:r w:rsidRPr="00211DFA">
              <w:t>47</w:t>
            </w:r>
          </w:p>
          <w:p w:rsidR="00211DFA" w:rsidRPr="00211DFA" w:rsidRDefault="00211DFA" w:rsidP="00BA14B0">
            <w:r>
              <w:t>-</w:t>
            </w:r>
            <w:r w:rsidRPr="00211DFA">
              <w:t>1% (0.880)</w:t>
            </w:r>
          </w:p>
        </w:tc>
      </w:tr>
      <w:tr w:rsidR="00211DFA" w:rsidRPr="00211DFA" w:rsidTr="00211DFA">
        <w:trPr>
          <w:trHeight w:hRule="exact" w:val="443"/>
        </w:trPr>
        <w:tc>
          <w:tcPr>
            <w:tcW w:w="8136" w:type="dxa"/>
            <w:gridSpan w:val="3"/>
          </w:tcPr>
          <w:p w:rsidR="00211DFA" w:rsidRPr="00211DFA" w:rsidRDefault="00211DFA" w:rsidP="00BA14B0">
            <w:r w:rsidRPr="00211DFA">
              <w:t>011</w:t>
            </w:r>
          </w:p>
        </w:tc>
      </w:tr>
      <w:tr w:rsidR="007C3F6C" w:rsidRPr="00211DFA" w:rsidTr="00211DFA">
        <w:trPr>
          <w:trHeight w:hRule="exact" w:val="1394"/>
        </w:trPr>
        <w:tc>
          <w:tcPr>
            <w:tcW w:w="3946" w:type="dxa"/>
          </w:tcPr>
          <w:p w:rsidR="00C77A0F" w:rsidRDefault="007C3F6C" w:rsidP="00BA14B0">
            <w:r w:rsidRPr="00211DFA">
              <w:t>Any prior treatment</w:t>
            </w:r>
          </w:p>
          <w:p w:rsidR="007C3F6C" w:rsidRPr="00211DFA" w:rsidRDefault="007C3F6C" w:rsidP="00BA14B0">
            <w:r w:rsidRPr="00211DFA">
              <w:t>N (</w:t>
            </w:r>
            <w:r w:rsidR="007E2B4E">
              <w:t>Sham</w:t>
            </w:r>
            <w:r w:rsidRPr="00211DFA">
              <w:t xml:space="preserve"> N=134)</w:t>
            </w:r>
          </w:p>
          <w:p w:rsidR="007C3F6C" w:rsidRPr="00211DFA" w:rsidRDefault="007C3F6C" w:rsidP="00BA14B0">
            <w:r w:rsidRPr="00211DFA">
              <w:t xml:space="preserve">difference from </w:t>
            </w:r>
            <w:r w:rsidR="007E2B4E">
              <w:t>Sham</w:t>
            </w:r>
            <w:r w:rsidRPr="00211DFA">
              <w:t xml:space="preserve"> (p</w:t>
            </w:r>
            <w:r w:rsidR="00D57E70" w:rsidRPr="00211DFA">
              <w:t xml:space="preserve"> </w:t>
            </w:r>
            <w:r w:rsidRPr="00211DFA">
              <w:t>value)</w:t>
            </w:r>
          </w:p>
        </w:tc>
        <w:tc>
          <w:tcPr>
            <w:tcW w:w="2196" w:type="dxa"/>
          </w:tcPr>
          <w:p w:rsidR="007C3F6C" w:rsidRPr="00211DFA" w:rsidRDefault="007C3F6C" w:rsidP="00BA14B0"/>
          <w:p w:rsidR="007C3F6C" w:rsidRPr="00211DFA" w:rsidRDefault="007C3F6C" w:rsidP="00BA14B0">
            <w:r w:rsidRPr="00211DFA">
              <w:t>124</w:t>
            </w:r>
          </w:p>
          <w:p w:rsidR="007C3F6C" w:rsidRPr="00211DFA" w:rsidRDefault="007C3F6C" w:rsidP="00BA14B0">
            <w:r w:rsidRPr="00211DFA">
              <w:t>10% (0.032)</w:t>
            </w:r>
          </w:p>
        </w:tc>
        <w:tc>
          <w:tcPr>
            <w:tcW w:w="1994" w:type="dxa"/>
          </w:tcPr>
          <w:p w:rsidR="007C3F6C" w:rsidRPr="00211DFA" w:rsidRDefault="007C3F6C" w:rsidP="00BA14B0"/>
          <w:p w:rsidR="007C3F6C" w:rsidRPr="00211DFA" w:rsidRDefault="007C3F6C" w:rsidP="00BA14B0">
            <w:r w:rsidRPr="00211DFA">
              <w:t>123</w:t>
            </w:r>
          </w:p>
          <w:p w:rsidR="007C3F6C" w:rsidRPr="00211DFA" w:rsidRDefault="007C3F6C" w:rsidP="00BA14B0">
            <w:r w:rsidRPr="00211DFA">
              <w:t>3% (0.410)</w:t>
            </w:r>
          </w:p>
        </w:tc>
      </w:tr>
      <w:tr w:rsidR="00211DFA" w:rsidRPr="00211DFA" w:rsidTr="00211DFA">
        <w:trPr>
          <w:trHeight w:hRule="exact" w:val="1273"/>
        </w:trPr>
        <w:tc>
          <w:tcPr>
            <w:tcW w:w="3946" w:type="dxa"/>
          </w:tcPr>
          <w:p w:rsidR="00C77A0F" w:rsidRDefault="00211DFA" w:rsidP="00BA14B0">
            <w:proofErr w:type="spellStart"/>
            <w:r w:rsidRPr="00211DFA">
              <w:t>Pseudophakic</w:t>
            </w:r>
            <w:proofErr w:type="spellEnd"/>
            <w:r w:rsidRPr="00211DFA">
              <w:t xml:space="preserve"> eye at baseline</w:t>
            </w:r>
          </w:p>
          <w:p w:rsidR="00211DFA" w:rsidRPr="00211DFA" w:rsidRDefault="00211DFA" w:rsidP="00BA14B0">
            <w:r w:rsidRPr="00211DFA">
              <w:t>N (</w:t>
            </w:r>
            <w:r w:rsidR="007E2B4E">
              <w:t>Sham</w:t>
            </w:r>
            <w:r w:rsidRPr="00211DFA">
              <w:t xml:space="preserve"> N=51)</w:t>
            </w:r>
          </w:p>
          <w:p w:rsidR="00211DFA" w:rsidRPr="00211DFA" w:rsidRDefault="00211DFA" w:rsidP="00BA14B0">
            <w:r w:rsidRPr="00211DFA">
              <w:t xml:space="preserve">difference from </w:t>
            </w:r>
            <w:r w:rsidR="007E2B4E">
              <w:t>Sham</w:t>
            </w:r>
            <w:r w:rsidRPr="00211DFA">
              <w:t xml:space="preserve"> (p value)</w:t>
            </w:r>
          </w:p>
        </w:tc>
        <w:tc>
          <w:tcPr>
            <w:tcW w:w="2196" w:type="dxa"/>
          </w:tcPr>
          <w:p w:rsidR="00211DFA" w:rsidRPr="00211DFA" w:rsidRDefault="00211DFA" w:rsidP="00BA14B0"/>
          <w:p w:rsidR="00211DFA" w:rsidRPr="00211DFA" w:rsidRDefault="00211DFA" w:rsidP="00BA14B0">
            <w:r w:rsidRPr="00211DFA">
              <w:t>42</w:t>
            </w:r>
          </w:p>
          <w:p w:rsidR="00211DFA" w:rsidRPr="00211DFA" w:rsidRDefault="00211DFA" w:rsidP="00BA14B0">
            <w:r w:rsidRPr="00211DFA">
              <w:t>6% (0.461)</w:t>
            </w:r>
          </w:p>
        </w:tc>
        <w:tc>
          <w:tcPr>
            <w:tcW w:w="1994" w:type="dxa"/>
          </w:tcPr>
          <w:p w:rsidR="00211DFA" w:rsidRPr="00211DFA" w:rsidRDefault="00211DFA" w:rsidP="00BA14B0"/>
          <w:p w:rsidR="00211DFA" w:rsidRPr="00211DFA" w:rsidRDefault="00211DFA" w:rsidP="00BA14B0">
            <w:r w:rsidRPr="00211DFA">
              <w:t>41</w:t>
            </w:r>
          </w:p>
          <w:p w:rsidR="00211DFA" w:rsidRPr="00211DFA" w:rsidRDefault="00211DFA" w:rsidP="00BA14B0">
            <w:r w:rsidRPr="00211DFA">
              <w:t>11% (0.104)</w:t>
            </w:r>
          </w:p>
        </w:tc>
      </w:tr>
    </w:tbl>
    <w:p w:rsidR="007C3F6C" w:rsidRPr="007C3F6C" w:rsidRDefault="007C3F6C" w:rsidP="007C3F6C">
      <w:pPr>
        <w:pStyle w:val="Heading5"/>
      </w:pPr>
      <w:r w:rsidRPr="007C3F6C">
        <w:t>Safety</w:t>
      </w:r>
    </w:p>
    <w:p w:rsidR="007C3F6C" w:rsidRPr="007C3F6C" w:rsidRDefault="007C3F6C" w:rsidP="007C3F6C">
      <w:r w:rsidRPr="007C3F6C">
        <w:t xml:space="preserve">The most common adverse drug reactions from the two </w:t>
      </w:r>
      <w:r w:rsidR="006D3BE0">
        <w:t>Phase III</w:t>
      </w:r>
      <w:r w:rsidRPr="007C3F6C">
        <w:t xml:space="preserve"> trials were cataract, raised intra</w:t>
      </w:r>
      <w:r w:rsidR="00D57E70">
        <w:t xml:space="preserve"> </w:t>
      </w:r>
      <w:r w:rsidRPr="007C3F6C">
        <w:t>ocular pressure, and injection</w:t>
      </w:r>
      <w:r w:rsidR="00D57E70">
        <w:t xml:space="preserve"> </w:t>
      </w:r>
      <w:r w:rsidRPr="007C3F6C">
        <w:t xml:space="preserve">related events. These were not unexpected, given the </w:t>
      </w:r>
      <w:r w:rsidR="00211DFA" w:rsidRPr="007C3F6C">
        <w:t>pre</w:t>
      </w:r>
      <w:r w:rsidR="00211DFA">
        <w:t>-</w:t>
      </w:r>
      <w:r w:rsidR="00211DFA" w:rsidRPr="007C3F6C">
        <w:t>approval</w:t>
      </w:r>
      <w:r w:rsidRPr="007C3F6C">
        <w:t xml:space="preserve"> and post</w:t>
      </w:r>
      <w:r w:rsidR="00D57E70">
        <w:t xml:space="preserve"> </w:t>
      </w:r>
      <w:r w:rsidRPr="007C3F6C">
        <w:t xml:space="preserve">approval data available for the other two indications, for which </w:t>
      </w:r>
      <w:r w:rsidR="007E59EA">
        <w:t>Ozurdex</w:t>
      </w:r>
      <w:r w:rsidRPr="007C3F6C">
        <w:t xml:space="preserve"> is registered overseas (macular oedema secondary to retinal vein occlusion, </w:t>
      </w:r>
      <w:r w:rsidR="00211DFA" w:rsidRPr="007C3F6C">
        <w:t>non</w:t>
      </w:r>
      <w:r w:rsidR="00211DFA">
        <w:t>-</w:t>
      </w:r>
      <w:r w:rsidR="00211DFA" w:rsidRPr="007C3F6C">
        <w:t>infectious</w:t>
      </w:r>
      <w:r w:rsidRPr="007C3F6C">
        <w:t xml:space="preserve"> posterior uveitis); and experience with the use of other intra</w:t>
      </w:r>
      <w:r w:rsidR="00D57E70">
        <w:t xml:space="preserve"> </w:t>
      </w:r>
      <w:r w:rsidRPr="007C3F6C">
        <w:t>ocular corticosteroids (</w:t>
      </w:r>
      <w:r w:rsidR="00211DFA">
        <w:t>for example</w:t>
      </w:r>
      <w:r w:rsidRPr="007C3F6C">
        <w:t>, triamcinolone).</w:t>
      </w:r>
    </w:p>
    <w:p w:rsidR="007C3F6C" w:rsidRPr="007C3F6C" w:rsidRDefault="007C3F6C" w:rsidP="007C3F6C">
      <w:r w:rsidRPr="007C3F6C">
        <w:t xml:space="preserve">Raised </w:t>
      </w:r>
      <w:r w:rsidR="00211DFA">
        <w:t>IOP</w:t>
      </w:r>
      <w:r w:rsidRPr="007C3F6C">
        <w:t xml:space="preserve"> was reported for 36% of patients treated with the 700 </w:t>
      </w:r>
      <w:r w:rsidR="00233047">
        <w:t>µ</w:t>
      </w:r>
      <w:r w:rsidR="00233047" w:rsidRPr="009F25B8">
        <w:t>g</w:t>
      </w:r>
      <w:r w:rsidRPr="007C3F6C">
        <w:t xml:space="preserve"> dose compared to 5% of patients in the </w:t>
      </w:r>
      <w:r w:rsidR="007E2B4E">
        <w:t>Sham</w:t>
      </w:r>
      <w:r w:rsidRPr="007C3F6C">
        <w:t xml:space="preserve"> group. The rise in </w:t>
      </w:r>
      <w:r w:rsidR="00211DFA">
        <w:t>IOP</w:t>
      </w:r>
      <w:r w:rsidRPr="007C3F6C">
        <w:t xml:space="preserve"> was generally manageable with medication; a handful of patients required a surgical or laser procedure.</w:t>
      </w:r>
    </w:p>
    <w:p w:rsidR="007C3F6C" w:rsidRPr="007C3F6C" w:rsidRDefault="007C3F6C" w:rsidP="007C3F6C">
      <w:r w:rsidRPr="007C3F6C">
        <w:t xml:space="preserve">Cataract occurred in 68% of patients with a phakic study eye who were treated with the 700 </w:t>
      </w:r>
      <w:r w:rsidR="00233047">
        <w:t>µ</w:t>
      </w:r>
      <w:r w:rsidR="00233047" w:rsidRPr="009F25B8">
        <w:t>g</w:t>
      </w:r>
      <w:r w:rsidRPr="007C3F6C">
        <w:t xml:space="preserve"> dose (59% had cataract surgery during the study) compared to 7% of patients in the </w:t>
      </w:r>
      <w:r w:rsidR="007E2B4E">
        <w:t>Sham</w:t>
      </w:r>
      <w:r w:rsidRPr="007C3F6C">
        <w:t xml:space="preserve"> group. This was also manageable in most patients.</w:t>
      </w:r>
    </w:p>
    <w:p w:rsidR="007C3F6C" w:rsidRPr="007C3F6C" w:rsidRDefault="007C3F6C" w:rsidP="007C3F6C">
      <w:r w:rsidRPr="007C3F6C">
        <w:t xml:space="preserve">The frequency of adverse events was similar for the 700 </w:t>
      </w:r>
      <w:r w:rsidR="00233047">
        <w:t>µ</w:t>
      </w:r>
      <w:r w:rsidR="00233047" w:rsidRPr="009F25B8">
        <w:t>g</w:t>
      </w:r>
      <w:r w:rsidRPr="007C3F6C">
        <w:t xml:space="preserve"> versus the 350 </w:t>
      </w:r>
      <w:r w:rsidR="00233047">
        <w:t>µ</w:t>
      </w:r>
      <w:r w:rsidR="00233047" w:rsidRPr="009F25B8">
        <w:t>g</w:t>
      </w:r>
      <w:r w:rsidRPr="007C3F6C">
        <w:t xml:space="preserve"> dose.</w:t>
      </w:r>
    </w:p>
    <w:p w:rsidR="008E7846" w:rsidRDefault="00386150" w:rsidP="007B6132">
      <w:pPr>
        <w:pStyle w:val="Heading3"/>
        <w:rPr>
          <w:lang w:eastAsia="en-AU"/>
        </w:rPr>
      </w:pPr>
      <w:bookmarkStart w:id="143" w:name="_Toc465939532"/>
      <w:r>
        <w:rPr>
          <w:lang w:eastAsia="en-AU"/>
        </w:rPr>
        <w:t>Risk m</w:t>
      </w:r>
      <w:r w:rsidR="008E7846">
        <w:rPr>
          <w:lang w:eastAsia="en-AU"/>
        </w:rPr>
        <w:t xml:space="preserve">anagement </w:t>
      </w:r>
      <w:r>
        <w:rPr>
          <w:lang w:eastAsia="en-AU"/>
        </w:rPr>
        <w:t>p</w:t>
      </w:r>
      <w:r w:rsidR="008E7846">
        <w:rPr>
          <w:lang w:eastAsia="en-AU"/>
        </w:rPr>
        <w:t>lan</w:t>
      </w:r>
      <w:bookmarkEnd w:id="142"/>
      <w:bookmarkEnd w:id="143"/>
    </w:p>
    <w:p w:rsidR="007C3F6C" w:rsidRDefault="00211DFA" w:rsidP="008E1B5B">
      <w:r>
        <w:t>Table 15 presents the s</w:t>
      </w:r>
      <w:r w:rsidR="007C3F6C" w:rsidRPr="008E1B5B">
        <w:t>ummary of safety concerns</w:t>
      </w:r>
      <w:r>
        <w:t>.</w:t>
      </w:r>
    </w:p>
    <w:p w:rsidR="00211DFA" w:rsidRPr="008E1B5B" w:rsidRDefault="00211DFA" w:rsidP="00211DFA">
      <w:pPr>
        <w:pStyle w:val="TableTitle"/>
      </w:pPr>
      <w:proofErr w:type="gramStart"/>
      <w:r>
        <w:lastRenderedPageBreak/>
        <w:t>Table 15.</w:t>
      </w:r>
      <w:proofErr w:type="gramEnd"/>
      <w:r>
        <w:t xml:space="preserve"> S</w:t>
      </w:r>
      <w:r w:rsidRPr="008E1B5B">
        <w:t>ummary of safety concerns</w:t>
      </w:r>
    </w:p>
    <w:tbl>
      <w:tblPr>
        <w:tblStyle w:val="TableTGAblue"/>
        <w:tblW w:w="0" w:type="auto"/>
        <w:tblLook w:val="04A0" w:firstRow="1" w:lastRow="0" w:firstColumn="1" w:lastColumn="0" w:noHBand="0" w:noVBand="1"/>
      </w:tblPr>
      <w:tblGrid>
        <w:gridCol w:w="2553"/>
        <w:gridCol w:w="5392"/>
      </w:tblGrid>
      <w:tr w:rsidR="00122787" w:rsidRPr="00BA14B0" w:rsidTr="00B2624A">
        <w:trPr>
          <w:cnfStyle w:val="100000000000" w:firstRow="1" w:lastRow="0" w:firstColumn="0" w:lastColumn="0" w:oddVBand="0" w:evenVBand="0" w:oddHBand="0" w:evenHBand="0" w:firstRowFirstColumn="0" w:firstRowLastColumn="0" w:lastRowFirstColumn="0" w:lastRowLastColumn="0"/>
          <w:trHeight w:val="496"/>
        </w:trPr>
        <w:tc>
          <w:tcPr>
            <w:tcW w:w="7945" w:type="dxa"/>
            <w:gridSpan w:val="2"/>
          </w:tcPr>
          <w:p w:rsidR="00122787" w:rsidRPr="00BA14B0" w:rsidRDefault="00122787" w:rsidP="00BA14B0">
            <w:pPr>
              <w:rPr>
                <w:szCs w:val="22"/>
              </w:rPr>
            </w:pPr>
            <w:r w:rsidRPr="00BA14B0">
              <w:rPr>
                <w:szCs w:val="22"/>
              </w:rPr>
              <w:t>Summary of safety concerns</w:t>
            </w:r>
          </w:p>
        </w:tc>
      </w:tr>
      <w:tr w:rsidR="008E1B5B" w:rsidRPr="00BA14B0" w:rsidTr="00122787">
        <w:trPr>
          <w:trHeight w:val="3313"/>
        </w:trPr>
        <w:tc>
          <w:tcPr>
            <w:tcW w:w="2553" w:type="dxa"/>
          </w:tcPr>
          <w:p w:rsidR="008E1B5B" w:rsidRPr="00BA14B0" w:rsidRDefault="008E1B5B" w:rsidP="00BA14B0">
            <w:pPr>
              <w:rPr>
                <w:rFonts w:cs="Cambria"/>
                <w:szCs w:val="22"/>
              </w:rPr>
            </w:pPr>
            <w:r w:rsidRPr="00BA14B0">
              <w:rPr>
                <w:spacing w:val="-2"/>
                <w:szCs w:val="22"/>
              </w:rPr>
              <w:t>Important</w:t>
            </w:r>
            <w:r w:rsidR="00122787" w:rsidRPr="00BA14B0">
              <w:rPr>
                <w:spacing w:val="-2"/>
                <w:szCs w:val="22"/>
              </w:rPr>
              <w:t xml:space="preserve"> </w:t>
            </w:r>
            <w:r w:rsidRPr="00BA14B0">
              <w:rPr>
                <w:spacing w:val="-2"/>
                <w:szCs w:val="22"/>
              </w:rPr>
              <w:t>identified</w:t>
            </w:r>
            <w:r w:rsidR="00122787" w:rsidRPr="00BA14B0">
              <w:rPr>
                <w:spacing w:val="25"/>
                <w:w w:val="101"/>
                <w:szCs w:val="22"/>
              </w:rPr>
              <w:t xml:space="preserve"> </w:t>
            </w:r>
            <w:r w:rsidRPr="00BA14B0">
              <w:rPr>
                <w:szCs w:val="22"/>
              </w:rPr>
              <w:t>risks</w:t>
            </w:r>
          </w:p>
        </w:tc>
        <w:tc>
          <w:tcPr>
            <w:tcW w:w="5392" w:type="dxa"/>
          </w:tcPr>
          <w:p w:rsidR="008E1B5B" w:rsidRPr="00BA14B0" w:rsidRDefault="00C56864" w:rsidP="00BA14B0">
            <w:pPr>
              <w:rPr>
                <w:spacing w:val="-2"/>
                <w:szCs w:val="22"/>
              </w:rPr>
            </w:pPr>
            <w:r w:rsidRPr="00BA14B0">
              <w:rPr>
                <w:spacing w:val="-1"/>
                <w:szCs w:val="22"/>
              </w:rPr>
              <w:t>Increased</w:t>
            </w:r>
            <w:r w:rsidRPr="00BA14B0">
              <w:rPr>
                <w:spacing w:val="7"/>
                <w:szCs w:val="22"/>
              </w:rPr>
              <w:t xml:space="preserve"> </w:t>
            </w:r>
            <w:r w:rsidRPr="00BA14B0">
              <w:rPr>
                <w:spacing w:val="-2"/>
                <w:szCs w:val="22"/>
              </w:rPr>
              <w:t>intra</w:t>
            </w:r>
            <w:r w:rsidR="00D57E70" w:rsidRPr="00BA14B0">
              <w:rPr>
                <w:spacing w:val="-2"/>
                <w:szCs w:val="22"/>
              </w:rPr>
              <w:t xml:space="preserve"> </w:t>
            </w:r>
            <w:r w:rsidRPr="00BA14B0">
              <w:rPr>
                <w:spacing w:val="-2"/>
                <w:szCs w:val="22"/>
              </w:rPr>
              <w:t>ocular</w:t>
            </w:r>
            <w:r w:rsidRPr="00BA14B0">
              <w:rPr>
                <w:spacing w:val="9"/>
                <w:szCs w:val="22"/>
              </w:rPr>
              <w:t xml:space="preserve"> </w:t>
            </w:r>
            <w:r w:rsidRPr="00BA14B0">
              <w:rPr>
                <w:spacing w:val="-2"/>
                <w:szCs w:val="22"/>
              </w:rPr>
              <w:t>pressure ,</w:t>
            </w:r>
            <w:r w:rsidRPr="00BA14B0">
              <w:rPr>
                <w:spacing w:val="8"/>
                <w:szCs w:val="22"/>
              </w:rPr>
              <w:t xml:space="preserve"> </w:t>
            </w:r>
            <w:r w:rsidRPr="00BA14B0">
              <w:rPr>
                <w:spacing w:val="-2"/>
                <w:szCs w:val="22"/>
              </w:rPr>
              <w:t>glaucoma,</w:t>
            </w:r>
            <w:r w:rsidRPr="00BA14B0">
              <w:rPr>
                <w:spacing w:val="9"/>
                <w:szCs w:val="22"/>
              </w:rPr>
              <w:t xml:space="preserve"> </w:t>
            </w:r>
            <w:r w:rsidRPr="00BA14B0">
              <w:rPr>
                <w:spacing w:val="-2"/>
                <w:szCs w:val="22"/>
              </w:rPr>
              <w:t>ocular</w:t>
            </w:r>
            <w:r w:rsidRPr="00BA14B0">
              <w:rPr>
                <w:spacing w:val="9"/>
                <w:szCs w:val="22"/>
              </w:rPr>
              <w:t xml:space="preserve"> </w:t>
            </w:r>
            <w:r w:rsidRPr="00BA14B0">
              <w:rPr>
                <w:spacing w:val="-2"/>
                <w:szCs w:val="22"/>
              </w:rPr>
              <w:t>hypertension</w:t>
            </w:r>
          </w:p>
          <w:p w:rsidR="00C56864" w:rsidRPr="00BA14B0" w:rsidRDefault="00C56864" w:rsidP="00BA14B0">
            <w:pPr>
              <w:rPr>
                <w:szCs w:val="22"/>
              </w:rPr>
            </w:pPr>
            <w:r w:rsidRPr="00BA14B0">
              <w:rPr>
                <w:spacing w:val="-2"/>
                <w:szCs w:val="22"/>
              </w:rPr>
              <w:t>Cataract</w:t>
            </w:r>
            <w:r w:rsidRPr="00BA14B0">
              <w:rPr>
                <w:spacing w:val="6"/>
                <w:szCs w:val="22"/>
              </w:rPr>
              <w:t xml:space="preserve"> </w:t>
            </w:r>
            <w:r w:rsidRPr="00BA14B0">
              <w:rPr>
                <w:spacing w:val="-1"/>
                <w:szCs w:val="22"/>
              </w:rPr>
              <w:t xml:space="preserve">formation </w:t>
            </w:r>
            <w:r w:rsidRPr="00BA14B0">
              <w:rPr>
                <w:szCs w:val="22"/>
              </w:rPr>
              <w:t>and</w:t>
            </w:r>
            <w:r w:rsidRPr="00BA14B0">
              <w:rPr>
                <w:spacing w:val="5"/>
                <w:szCs w:val="22"/>
              </w:rPr>
              <w:t xml:space="preserve"> </w:t>
            </w:r>
            <w:r w:rsidRPr="00BA14B0">
              <w:rPr>
                <w:spacing w:val="-2"/>
                <w:szCs w:val="22"/>
              </w:rPr>
              <w:t>associated</w:t>
            </w:r>
            <w:r w:rsidRPr="00BA14B0">
              <w:rPr>
                <w:spacing w:val="5"/>
                <w:szCs w:val="22"/>
              </w:rPr>
              <w:t xml:space="preserve"> </w:t>
            </w:r>
            <w:r w:rsidRPr="00BA14B0">
              <w:rPr>
                <w:spacing w:val="-2"/>
                <w:szCs w:val="22"/>
              </w:rPr>
              <w:t>reduced</w:t>
            </w:r>
            <w:r w:rsidRPr="00BA14B0">
              <w:rPr>
                <w:spacing w:val="5"/>
                <w:szCs w:val="22"/>
              </w:rPr>
              <w:t xml:space="preserve"> </w:t>
            </w:r>
            <w:r w:rsidRPr="00BA14B0">
              <w:rPr>
                <w:spacing w:val="-1"/>
                <w:szCs w:val="22"/>
              </w:rPr>
              <w:t>visual</w:t>
            </w:r>
            <w:r w:rsidRPr="00BA14B0">
              <w:rPr>
                <w:spacing w:val="-2"/>
                <w:szCs w:val="22"/>
              </w:rPr>
              <w:t xml:space="preserve"> </w:t>
            </w:r>
            <w:r w:rsidRPr="00BA14B0">
              <w:rPr>
                <w:szCs w:val="22"/>
              </w:rPr>
              <w:t>acuity</w:t>
            </w:r>
          </w:p>
          <w:p w:rsidR="00C56864" w:rsidRPr="00BA14B0" w:rsidRDefault="00C56864" w:rsidP="00BA14B0">
            <w:pPr>
              <w:rPr>
                <w:spacing w:val="-2"/>
                <w:szCs w:val="22"/>
              </w:rPr>
            </w:pPr>
            <w:r w:rsidRPr="00BA14B0">
              <w:rPr>
                <w:spacing w:val="-1"/>
                <w:szCs w:val="22"/>
              </w:rPr>
              <w:t>Vitreous</w:t>
            </w:r>
            <w:r w:rsidRPr="00BA14B0">
              <w:rPr>
                <w:spacing w:val="9"/>
                <w:szCs w:val="22"/>
              </w:rPr>
              <w:t xml:space="preserve"> </w:t>
            </w:r>
            <w:r w:rsidRPr="00BA14B0">
              <w:rPr>
                <w:spacing w:val="-2"/>
                <w:szCs w:val="22"/>
              </w:rPr>
              <w:t>detachment,</w:t>
            </w:r>
            <w:r w:rsidRPr="00BA14B0">
              <w:rPr>
                <w:spacing w:val="13"/>
                <w:szCs w:val="22"/>
              </w:rPr>
              <w:t xml:space="preserve"> </w:t>
            </w:r>
            <w:r w:rsidRPr="00BA14B0">
              <w:rPr>
                <w:spacing w:val="-2"/>
                <w:szCs w:val="22"/>
              </w:rPr>
              <w:t>haemorrhage</w:t>
            </w:r>
          </w:p>
          <w:p w:rsidR="00C56864" w:rsidRPr="00BA14B0" w:rsidRDefault="00C56864" w:rsidP="00BA14B0">
            <w:pPr>
              <w:rPr>
                <w:spacing w:val="-2"/>
                <w:szCs w:val="22"/>
              </w:rPr>
            </w:pPr>
            <w:proofErr w:type="spellStart"/>
            <w:r w:rsidRPr="00BA14B0">
              <w:rPr>
                <w:spacing w:val="-2"/>
                <w:szCs w:val="22"/>
              </w:rPr>
              <w:t>Endophthalmitis</w:t>
            </w:r>
            <w:proofErr w:type="spellEnd"/>
            <w:r w:rsidRPr="00BA14B0">
              <w:rPr>
                <w:spacing w:val="13"/>
                <w:szCs w:val="22"/>
              </w:rPr>
              <w:t xml:space="preserve"> </w:t>
            </w:r>
            <w:r w:rsidRPr="00BA14B0">
              <w:rPr>
                <w:spacing w:val="-2"/>
                <w:szCs w:val="22"/>
              </w:rPr>
              <w:t>(infectious,</w:t>
            </w:r>
            <w:r w:rsidRPr="00BA14B0">
              <w:rPr>
                <w:spacing w:val="16"/>
                <w:szCs w:val="22"/>
              </w:rPr>
              <w:t xml:space="preserve"> </w:t>
            </w:r>
            <w:r w:rsidR="00211DFA" w:rsidRPr="00BA14B0">
              <w:rPr>
                <w:spacing w:val="-2"/>
                <w:szCs w:val="22"/>
              </w:rPr>
              <w:t>non-infectious</w:t>
            </w:r>
            <w:r w:rsidRPr="00BA14B0">
              <w:rPr>
                <w:spacing w:val="-2"/>
                <w:szCs w:val="22"/>
              </w:rPr>
              <w:t>)</w:t>
            </w:r>
          </w:p>
          <w:p w:rsidR="00C56864" w:rsidRPr="00BA14B0" w:rsidRDefault="00C56864" w:rsidP="00BA14B0">
            <w:pPr>
              <w:rPr>
                <w:spacing w:val="-2"/>
                <w:szCs w:val="22"/>
              </w:rPr>
            </w:pPr>
            <w:r w:rsidRPr="00BA14B0">
              <w:rPr>
                <w:spacing w:val="-1"/>
                <w:szCs w:val="22"/>
              </w:rPr>
              <w:t>Retinal</w:t>
            </w:r>
            <w:r w:rsidRPr="00BA14B0">
              <w:rPr>
                <w:spacing w:val="5"/>
                <w:szCs w:val="22"/>
              </w:rPr>
              <w:t xml:space="preserve"> </w:t>
            </w:r>
            <w:r w:rsidRPr="00BA14B0">
              <w:rPr>
                <w:spacing w:val="-1"/>
                <w:szCs w:val="22"/>
              </w:rPr>
              <w:t>tear,</w:t>
            </w:r>
            <w:r w:rsidRPr="00BA14B0">
              <w:rPr>
                <w:spacing w:val="9"/>
                <w:szCs w:val="22"/>
              </w:rPr>
              <w:t xml:space="preserve"> </w:t>
            </w:r>
            <w:r w:rsidRPr="00BA14B0">
              <w:rPr>
                <w:spacing w:val="-2"/>
                <w:szCs w:val="22"/>
              </w:rPr>
              <w:t>detachment</w:t>
            </w:r>
          </w:p>
          <w:p w:rsidR="00C56864" w:rsidRPr="00BA14B0" w:rsidRDefault="00C56864" w:rsidP="00BA14B0">
            <w:pPr>
              <w:rPr>
                <w:spacing w:val="-2"/>
                <w:szCs w:val="22"/>
              </w:rPr>
            </w:pPr>
            <w:r w:rsidRPr="00BA14B0">
              <w:rPr>
                <w:spacing w:val="-1"/>
                <w:szCs w:val="22"/>
              </w:rPr>
              <w:t>Significant</w:t>
            </w:r>
            <w:r w:rsidRPr="00BA14B0">
              <w:rPr>
                <w:spacing w:val="5"/>
                <w:szCs w:val="22"/>
              </w:rPr>
              <w:t xml:space="preserve"> </w:t>
            </w:r>
            <w:r w:rsidRPr="00BA14B0">
              <w:rPr>
                <w:spacing w:val="-1"/>
                <w:szCs w:val="22"/>
              </w:rPr>
              <w:t>vitreous</w:t>
            </w:r>
            <w:r w:rsidRPr="00BA14B0">
              <w:rPr>
                <w:spacing w:val="4"/>
                <w:szCs w:val="22"/>
              </w:rPr>
              <w:t xml:space="preserve"> </w:t>
            </w:r>
            <w:r w:rsidRPr="00BA14B0">
              <w:rPr>
                <w:spacing w:val="-1"/>
                <w:szCs w:val="22"/>
              </w:rPr>
              <w:t>leak</w:t>
            </w:r>
            <w:r w:rsidRPr="00BA14B0">
              <w:rPr>
                <w:spacing w:val="5"/>
                <w:szCs w:val="22"/>
              </w:rPr>
              <w:t xml:space="preserve"> </w:t>
            </w:r>
            <w:r w:rsidRPr="00BA14B0">
              <w:rPr>
                <w:spacing w:val="-3"/>
                <w:szCs w:val="22"/>
              </w:rPr>
              <w:t>or</w:t>
            </w:r>
            <w:r w:rsidRPr="00BA14B0">
              <w:rPr>
                <w:spacing w:val="7"/>
                <w:szCs w:val="22"/>
              </w:rPr>
              <w:t xml:space="preserve"> </w:t>
            </w:r>
            <w:proofErr w:type="spellStart"/>
            <w:r w:rsidRPr="00BA14B0">
              <w:rPr>
                <w:spacing w:val="-2"/>
                <w:szCs w:val="22"/>
              </w:rPr>
              <w:t>hypotony</w:t>
            </w:r>
            <w:proofErr w:type="spellEnd"/>
          </w:p>
          <w:p w:rsidR="00C56864" w:rsidRPr="00BA14B0" w:rsidRDefault="00C56864" w:rsidP="00BA14B0">
            <w:pPr>
              <w:rPr>
                <w:spacing w:val="-1"/>
                <w:szCs w:val="22"/>
              </w:rPr>
            </w:pPr>
            <w:r w:rsidRPr="00BA14B0">
              <w:rPr>
                <w:spacing w:val="-2"/>
                <w:szCs w:val="22"/>
              </w:rPr>
              <w:t>Device</w:t>
            </w:r>
            <w:r w:rsidRPr="00BA14B0">
              <w:rPr>
                <w:spacing w:val="14"/>
                <w:szCs w:val="22"/>
              </w:rPr>
              <w:t xml:space="preserve"> </w:t>
            </w:r>
            <w:r w:rsidRPr="00BA14B0">
              <w:rPr>
                <w:spacing w:val="-1"/>
                <w:szCs w:val="22"/>
              </w:rPr>
              <w:t>dislocation</w:t>
            </w:r>
          </w:p>
          <w:p w:rsidR="00C56864" w:rsidRPr="00BA14B0" w:rsidRDefault="00C56864" w:rsidP="00BA14B0">
            <w:pPr>
              <w:rPr>
                <w:rFonts w:cs="Cambria"/>
                <w:szCs w:val="22"/>
              </w:rPr>
            </w:pPr>
            <w:r w:rsidRPr="00BA14B0">
              <w:rPr>
                <w:spacing w:val="-2"/>
                <w:szCs w:val="22"/>
              </w:rPr>
              <w:t>Implant</w:t>
            </w:r>
            <w:r w:rsidRPr="00BA14B0">
              <w:rPr>
                <w:spacing w:val="15"/>
                <w:szCs w:val="22"/>
              </w:rPr>
              <w:t xml:space="preserve"> </w:t>
            </w:r>
            <w:r w:rsidRPr="00BA14B0">
              <w:rPr>
                <w:spacing w:val="-2"/>
                <w:szCs w:val="22"/>
              </w:rPr>
              <w:t>misplacement</w:t>
            </w:r>
          </w:p>
          <w:p w:rsidR="00C56864" w:rsidRPr="00BA14B0" w:rsidRDefault="00C56864" w:rsidP="00BA14B0">
            <w:pPr>
              <w:rPr>
                <w:szCs w:val="22"/>
              </w:rPr>
            </w:pPr>
            <w:r w:rsidRPr="00BA14B0">
              <w:rPr>
                <w:spacing w:val="-1"/>
                <w:szCs w:val="22"/>
              </w:rPr>
              <w:t>Retinitis</w:t>
            </w:r>
            <w:r w:rsidRPr="00BA14B0">
              <w:rPr>
                <w:spacing w:val="2"/>
                <w:szCs w:val="22"/>
              </w:rPr>
              <w:t xml:space="preserve"> </w:t>
            </w:r>
            <w:r w:rsidRPr="00BA14B0">
              <w:rPr>
                <w:spacing w:val="-1"/>
                <w:szCs w:val="22"/>
              </w:rPr>
              <w:t>secondary</w:t>
            </w:r>
            <w:r w:rsidRPr="00BA14B0">
              <w:rPr>
                <w:spacing w:val="4"/>
                <w:szCs w:val="22"/>
              </w:rPr>
              <w:t xml:space="preserve"> </w:t>
            </w:r>
            <w:r w:rsidRPr="00BA14B0">
              <w:rPr>
                <w:szCs w:val="22"/>
              </w:rPr>
              <w:t>to</w:t>
            </w:r>
            <w:r w:rsidRPr="00BA14B0">
              <w:rPr>
                <w:spacing w:val="-2"/>
                <w:szCs w:val="22"/>
              </w:rPr>
              <w:t xml:space="preserve"> </w:t>
            </w:r>
            <w:r w:rsidRPr="00BA14B0">
              <w:rPr>
                <w:spacing w:val="-1"/>
                <w:szCs w:val="22"/>
              </w:rPr>
              <w:t>reactivation</w:t>
            </w:r>
            <w:r w:rsidRPr="00BA14B0">
              <w:rPr>
                <w:spacing w:val="2"/>
                <w:szCs w:val="22"/>
              </w:rPr>
              <w:t xml:space="preserve"> </w:t>
            </w:r>
            <w:r w:rsidRPr="00BA14B0">
              <w:rPr>
                <w:spacing w:val="-3"/>
                <w:szCs w:val="22"/>
              </w:rPr>
              <w:t>of</w:t>
            </w:r>
            <w:r w:rsidRPr="00BA14B0">
              <w:rPr>
                <w:spacing w:val="8"/>
                <w:szCs w:val="22"/>
              </w:rPr>
              <w:t xml:space="preserve"> </w:t>
            </w:r>
            <w:r w:rsidRPr="00BA14B0">
              <w:rPr>
                <w:spacing w:val="-1"/>
                <w:szCs w:val="22"/>
              </w:rPr>
              <w:t>latent</w:t>
            </w:r>
            <w:r w:rsidRPr="00BA14B0">
              <w:rPr>
                <w:spacing w:val="4"/>
                <w:szCs w:val="22"/>
              </w:rPr>
              <w:t xml:space="preserve"> </w:t>
            </w:r>
            <w:r w:rsidRPr="00BA14B0">
              <w:rPr>
                <w:spacing w:val="-2"/>
                <w:szCs w:val="22"/>
              </w:rPr>
              <w:t>viral</w:t>
            </w:r>
            <w:r w:rsidRPr="00BA14B0">
              <w:rPr>
                <w:spacing w:val="3"/>
                <w:szCs w:val="22"/>
              </w:rPr>
              <w:t xml:space="preserve"> </w:t>
            </w:r>
            <w:r w:rsidRPr="00BA14B0">
              <w:rPr>
                <w:spacing w:val="-1"/>
                <w:szCs w:val="22"/>
              </w:rPr>
              <w:t>or</w:t>
            </w:r>
            <w:r w:rsidRPr="00BA14B0">
              <w:rPr>
                <w:spacing w:val="6"/>
                <w:szCs w:val="22"/>
              </w:rPr>
              <w:t xml:space="preserve"> </w:t>
            </w:r>
            <w:r w:rsidRPr="00BA14B0">
              <w:rPr>
                <w:spacing w:val="-2"/>
                <w:szCs w:val="22"/>
              </w:rPr>
              <w:t>other</w:t>
            </w:r>
            <w:r w:rsidRPr="00BA14B0">
              <w:rPr>
                <w:spacing w:val="6"/>
                <w:szCs w:val="22"/>
              </w:rPr>
              <w:t xml:space="preserve"> </w:t>
            </w:r>
            <w:r w:rsidRPr="00BA14B0">
              <w:rPr>
                <w:spacing w:val="-2"/>
                <w:szCs w:val="22"/>
              </w:rPr>
              <w:t>ophthalmic</w:t>
            </w:r>
            <w:r w:rsidRPr="00BA14B0">
              <w:rPr>
                <w:szCs w:val="22"/>
              </w:rPr>
              <w:t xml:space="preserve"> </w:t>
            </w:r>
            <w:r w:rsidRPr="00BA14B0">
              <w:rPr>
                <w:spacing w:val="-1"/>
                <w:szCs w:val="22"/>
              </w:rPr>
              <w:t>infections</w:t>
            </w:r>
          </w:p>
        </w:tc>
      </w:tr>
      <w:tr w:rsidR="008E1B5B" w:rsidRPr="00BA14B0" w:rsidTr="00122787">
        <w:trPr>
          <w:trHeight w:val="784"/>
        </w:trPr>
        <w:tc>
          <w:tcPr>
            <w:tcW w:w="2553" w:type="dxa"/>
          </w:tcPr>
          <w:p w:rsidR="008E1B5B" w:rsidRPr="00BA14B0" w:rsidRDefault="00C56864" w:rsidP="00BA14B0">
            <w:pPr>
              <w:rPr>
                <w:szCs w:val="22"/>
              </w:rPr>
            </w:pPr>
            <w:r w:rsidRPr="00BA14B0">
              <w:rPr>
                <w:spacing w:val="-2"/>
                <w:szCs w:val="22"/>
              </w:rPr>
              <w:t>Important</w:t>
            </w:r>
            <w:r w:rsidRPr="00BA14B0">
              <w:rPr>
                <w:spacing w:val="28"/>
                <w:w w:val="101"/>
                <w:szCs w:val="22"/>
              </w:rPr>
              <w:t xml:space="preserve"> </w:t>
            </w:r>
            <w:r w:rsidRPr="00BA14B0">
              <w:rPr>
                <w:spacing w:val="-1"/>
                <w:szCs w:val="22"/>
              </w:rPr>
              <w:t>potential</w:t>
            </w:r>
            <w:r w:rsidRPr="00BA14B0">
              <w:rPr>
                <w:spacing w:val="22"/>
                <w:w w:val="101"/>
                <w:szCs w:val="22"/>
              </w:rPr>
              <w:t xml:space="preserve"> </w:t>
            </w:r>
            <w:r w:rsidRPr="00BA14B0">
              <w:rPr>
                <w:szCs w:val="22"/>
              </w:rPr>
              <w:t>risks</w:t>
            </w:r>
          </w:p>
        </w:tc>
        <w:tc>
          <w:tcPr>
            <w:tcW w:w="5392" w:type="dxa"/>
          </w:tcPr>
          <w:p w:rsidR="008E1B5B" w:rsidRPr="00BA14B0" w:rsidRDefault="00C56864" w:rsidP="00BA14B0">
            <w:pPr>
              <w:rPr>
                <w:spacing w:val="-2"/>
                <w:szCs w:val="22"/>
              </w:rPr>
            </w:pPr>
            <w:r w:rsidRPr="00BA14B0">
              <w:rPr>
                <w:spacing w:val="-1"/>
                <w:szCs w:val="22"/>
              </w:rPr>
              <w:t>Systemic</w:t>
            </w:r>
            <w:r w:rsidRPr="00BA14B0">
              <w:rPr>
                <w:spacing w:val="8"/>
                <w:szCs w:val="22"/>
              </w:rPr>
              <w:t xml:space="preserve"> </w:t>
            </w:r>
            <w:r w:rsidRPr="00BA14B0">
              <w:rPr>
                <w:spacing w:val="-2"/>
                <w:szCs w:val="22"/>
              </w:rPr>
              <w:t>corticosteroid</w:t>
            </w:r>
            <w:r w:rsidRPr="00BA14B0">
              <w:rPr>
                <w:spacing w:val="7"/>
                <w:szCs w:val="22"/>
              </w:rPr>
              <w:t xml:space="preserve"> </w:t>
            </w:r>
            <w:r w:rsidRPr="00BA14B0">
              <w:rPr>
                <w:spacing w:val="-1"/>
                <w:szCs w:val="22"/>
              </w:rPr>
              <w:t>effects</w:t>
            </w:r>
            <w:r w:rsidRPr="00BA14B0">
              <w:rPr>
                <w:spacing w:val="6"/>
                <w:szCs w:val="22"/>
              </w:rPr>
              <w:t xml:space="preserve"> </w:t>
            </w:r>
            <w:r w:rsidRPr="00BA14B0">
              <w:rPr>
                <w:spacing w:val="-2"/>
                <w:szCs w:val="22"/>
              </w:rPr>
              <w:t>(infections,</w:t>
            </w:r>
            <w:r w:rsidRPr="00BA14B0">
              <w:rPr>
                <w:spacing w:val="8"/>
                <w:szCs w:val="22"/>
              </w:rPr>
              <w:t xml:space="preserve"> </w:t>
            </w:r>
            <w:r w:rsidRPr="00BA14B0">
              <w:rPr>
                <w:spacing w:val="-2"/>
                <w:szCs w:val="22"/>
              </w:rPr>
              <w:t>hypertension,</w:t>
            </w:r>
            <w:r w:rsidRPr="00BA14B0">
              <w:rPr>
                <w:spacing w:val="9"/>
                <w:szCs w:val="22"/>
              </w:rPr>
              <w:t xml:space="preserve"> </w:t>
            </w:r>
            <w:r w:rsidRPr="00BA14B0">
              <w:rPr>
                <w:spacing w:val="-2"/>
                <w:szCs w:val="22"/>
              </w:rPr>
              <w:t>impaired</w:t>
            </w:r>
            <w:r w:rsidRPr="00BA14B0">
              <w:rPr>
                <w:spacing w:val="7"/>
                <w:szCs w:val="22"/>
              </w:rPr>
              <w:t xml:space="preserve"> </w:t>
            </w:r>
            <w:r w:rsidRPr="00BA14B0">
              <w:rPr>
                <w:spacing w:val="-2"/>
                <w:szCs w:val="22"/>
              </w:rPr>
              <w:t>healing)</w:t>
            </w:r>
          </w:p>
          <w:p w:rsidR="00C56864" w:rsidRPr="00BA14B0" w:rsidRDefault="00C56864" w:rsidP="00BA14B0">
            <w:pPr>
              <w:rPr>
                <w:szCs w:val="22"/>
              </w:rPr>
            </w:pPr>
            <w:r w:rsidRPr="00BA14B0">
              <w:rPr>
                <w:spacing w:val="-1"/>
                <w:szCs w:val="22"/>
              </w:rPr>
              <w:t>Off</w:t>
            </w:r>
            <w:r w:rsidR="00D57E70" w:rsidRPr="00BA14B0">
              <w:rPr>
                <w:spacing w:val="-1"/>
                <w:szCs w:val="22"/>
              </w:rPr>
              <w:t xml:space="preserve"> </w:t>
            </w:r>
            <w:r w:rsidRPr="00BA14B0">
              <w:rPr>
                <w:spacing w:val="-1"/>
                <w:szCs w:val="22"/>
              </w:rPr>
              <w:t>label</w:t>
            </w:r>
            <w:r w:rsidRPr="00BA14B0">
              <w:rPr>
                <w:spacing w:val="6"/>
                <w:szCs w:val="22"/>
              </w:rPr>
              <w:t xml:space="preserve"> </w:t>
            </w:r>
            <w:r w:rsidRPr="00BA14B0">
              <w:rPr>
                <w:spacing w:val="-5"/>
                <w:szCs w:val="22"/>
              </w:rPr>
              <w:t>use</w:t>
            </w:r>
          </w:p>
        </w:tc>
      </w:tr>
      <w:tr w:rsidR="008E1B5B" w:rsidRPr="00BA14B0" w:rsidTr="00122787">
        <w:trPr>
          <w:trHeight w:val="2113"/>
        </w:trPr>
        <w:tc>
          <w:tcPr>
            <w:tcW w:w="2553" w:type="dxa"/>
          </w:tcPr>
          <w:p w:rsidR="008E1B5B" w:rsidRPr="00BA14B0" w:rsidRDefault="00C56864" w:rsidP="00BA14B0">
            <w:pPr>
              <w:rPr>
                <w:szCs w:val="22"/>
              </w:rPr>
            </w:pPr>
            <w:r w:rsidRPr="00BA14B0">
              <w:rPr>
                <w:spacing w:val="-1"/>
                <w:szCs w:val="22"/>
              </w:rPr>
              <w:t>Missing</w:t>
            </w:r>
            <w:r w:rsidRPr="00BA14B0">
              <w:rPr>
                <w:spacing w:val="21"/>
                <w:w w:val="101"/>
                <w:szCs w:val="22"/>
              </w:rPr>
              <w:t xml:space="preserve"> </w:t>
            </w:r>
            <w:r w:rsidRPr="00BA14B0">
              <w:rPr>
                <w:spacing w:val="-1"/>
                <w:szCs w:val="22"/>
              </w:rPr>
              <w:t>information</w:t>
            </w:r>
          </w:p>
        </w:tc>
        <w:tc>
          <w:tcPr>
            <w:tcW w:w="5392" w:type="dxa"/>
          </w:tcPr>
          <w:p w:rsidR="008E1B5B" w:rsidRPr="00BA14B0" w:rsidRDefault="00C56864" w:rsidP="00BA14B0">
            <w:pPr>
              <w:rPr>
                <w:spacing w:val="-3"/>
                <w:szCs w:val="22"/>
              </w:rPr>
            </w:pPr>
            <w:r w:rsidRPr="00BA14B0">
              <w:rPr>
                <w:spacing w:val="-1"/>
                <w:szCs w:val="22"/>
              </w:rPr>
              <w:t>Paediatric</w:t>
            </w:r>
            <w:r w:rsidRPr="00BA14B0">
              <w:rPr>
                <w:spacing w:val="9"/>
                <w:szCs w:val="22"/>
              </w:rPr>
              <w:t xml:space="preserve"> </w:t>
            </w:r>
            <w:r w:rsidRPr="00BA14B0">
              <w:rPr>
                <w:spacing w:val="-3"/>
                <w:szCs w:val="22"/>
              </w:rPr>
              <w:t>use</w:t>
            </w:r>
          </w:p>
          <w:p w:rsidR="00C56864" w:rsidRPr="00BA14B0" w:rsidRDefault="00C56864" w:rsidP="00BA14B0">
            <w:pPr>
              <w:rPr>
                <w:spacing w:val="-1"/>
                <w:szCs w:val="22"/>
              </w:rPr>
            </w:pPr>
            <w:r w:rsidRPr="00BA14B0">
              <w:rPr>
                <w:spacing w:val="-1"/>
                <w:szCs w:val="22"/>
              </w:rPr>
              <w:t>Pregnancy</w:t>
            </w:r>
            <w:r w:rsidRPr="00BA14B0">
              <w:rPr>
                <w:spacing w:val="6"/>
                <w:szCs w:val="22"/>
              </w:rPr>
              <w:t xml:space="preserve"> </w:t>
            </w:r>
            <w:r w:rsidRPr="00BA14B0">
              <w:rPr>
                <w:spacing w:val="-2"/>
                <w:szCs w:val="22"/>
              </w:rPr>
              <w:t>and</w:t>
            </w:r>
            <w:r w:rsidRPr="00BA14B0">
              <w:rPr>
                <w:spacing w:val="7"/>
                <w:szCs w:val="22"/>
              </w:rPr>
              <w:t xml:space="preserve"> </w:t>
            </w:r>
            <w:r w:rsidRPr="00BA14B0">
              <w:rPr>
                <w:spacing w:val="-1"/>
                <w:szCs w:val="22"/>
              </w:rPr>
              <w:t>lactation</w:t>
            </w:r>
          </w:p>
          <w:p w:rsidR="00C56864" w:rsidRPr="00BA14B0" w:rsidRDefault="00C56864" w:rsidP="00BA14B0">
            <w:pPr>
              <w:rPr>
                <w:spacing w:val="-1"/>
                <w:szCs w:val="22"/>
              </w:rPr>
            </w:pPr>
            <w:r w:rsidRPr="00BA14B0">
              <w:rPr>
                <w:spacing w:val="-1"/>
                <w:szCs w:val="22"/>
              </w:rPr>
              <w:t>Long</w:t>
            </w:r>
            <w:r w:rsidRPr="00BA14B0">
              <w:rPr>
                <w:spacing w:val="5"/>
                <w:szCs w:val="22"/>
              </w:rPr>
              <w:t xml:space="preserve"> </w:t>
            </w:r>
            <w:r w:rsidRPr="00BA14B0">
              <w:rPr>
                <w:spacing w:val="-2"/>
                <w:szCs w:val="22"/>
              </w:rPr>
              <w:t>term</w:t>
            </w:r>
            <w:r w:rsidRPr="00BA14B0">
              <w:rPr>
                <w:spacing w:val="6"/>
                <w:szCs w:val="22"/>
              </w:rPr>
              <w:t xml:space="preserve"> </w:t>
            </w:r>
            <w:r w:rsidRPr="00BA14B0">
              <w:rPr>
                <w:spacing w:val="-1"/>
                <w:szCs w:val="22"/>
              </w:rPr>
              <w:t>safety</w:t>
            </w:r>
          </w:p>
          <w:p w:rsidR="00C56864" w:rsidRPr="00BA14B0" w:rsidRDefault="00C56864" w:rsidP="00BA14B0">
            <w:pPr>
              <w:rPr>
                <w:spacing w:val="-3"/>
                <w:szCs w:val="22"/>
              </w:rPr>
            </w:pPr>
            <w:r w:rsidRPr="00BA14B0">
              <w:rPr>
                <w:spacing w:val="-1"/>
                <w:szCs w:val="22"/>
              </w:rPr>
              <w:t>Repeat</w:t>
            </w:r>
            <w:r w:rsidRPr="00BA14B0">
              <w:rPr>
                <w:spacing w:val="5"/>
                <w:szCs w:val="22"/>
              </w:rPr>
              <w:t xml:space="preserve"> </w:t>
            </w:r>
            <w:r w:rsidRPr="00BA14B0">
              <w:rPr>
                <w:spacing w:val="-2"/>
                <w:szCs w:val="22"/>
              </w:rPr>
              <w:t>dosing</w:t>
            </w:r>
            <w:r w:rsidRPr="00BA14B0">
              <w:rPr>
                <w:spacing w:val="6"/>
                <w:szCs w:val="22"/>
              </w:rPr>
              <w:t xml:space="preserve"> </w:t>
            </w:r>
            <w:r w:rsidRPr="00BA14B0">
              <w:rPr>
                <w:spacing w:val="-3"/>
                <w:szCs w:val="22"/>
              </w:rPr>
              <w:t>data</w:t>
            </w:r>
          </w:p>
          <w:p w:rsidR="00C56864" w:rsidRPr="00BA14B0" w:rsidRDefault="00C56864" w:rsidP="00BA14B0">
            <w:pPr>
              <w:rPr>
                <w:rFonts w:cs="Cambria"/>
                <w:szCs w:val="22"/>
              </w:rPr>
            </w:pPr>
            <w:r w:rsidRPr="00BA14B0">
              <w:rPr>
                <w:spacing w:val="-1"/>
                <w:szCs w:val="22"/>
              </w:rPr>
              <w:t>Concurrent</w:t>
            </w:r>
            <w:r w:rsidRPr="00BA14B0">
              <w:rPr>
                <w:spacing w:val="7"/>
                <w:szCs w:val="22"/>
              </w:rPr>
              <w:t xml:space="preserve"> </w:t>
            </w:r>
            <w:r w:rsidRPr="00BA14B0">
              <w:rPr>
                <w:spacing w:val="-3"/>
                <w:szCs w:val="22"/>
              </w:rPr>
              <w:t>use</w:t>
            </w:r>
            <w:r w:rsidRPr="00BA14B0">
              <w:rPr>
                <w:spacing w:val="8"/>
                <w:szCs w:val="22"/>
              </w:rPr>
              <w:t xml:space="preserve"> </w:t>
            </w:r>
            <w:r w:rsidRPr="00BA14B0">
              <w:rPr>
                <w:spacing w:val="-1"/>
                <w:szCs w:val="22"/>
              </w:rPr>
              <w:t>of</w:t>
            </w:r>
            <w:r w:rsidRPr="00BA14B0">
              <w:rPr>
                <w:spacing w:val="9"/>
                <w:szCs w:val="22"/>
              </w:rPr>
              <w:t xml:space="preserve"> </w:t>
            </w:r>
            <w:r w:rsidR="00211DFA" w:rsidRPr="00BA14B0">
              <w:rPr>
                <w:spacing w:val="-2"/>
                <w:szCs w:val="22"/>
              </w:rPr>
              <w:t>anti-coagulants</w:t>
            </w:r>
          </w:p>
          <w:p w:rsidR="00C56864" w:rsidRPr="00BA14B0" w:rsidRDefault="00C56864" w:rsidP="00BA14B0">
            <w:pPr>
              <w:rPr>
                <w:szCs w:val="22"/>
              </w:rPr>
            </w:pPr>
            <w:r w:rsidRPr="00BA14B0">
              <w:rPr>
                <w:spacing w:val="-1"/>
                <w:szCs w:val="22"/>
              </w:rPr>
              <w:t>Use</w:t>
            </w:r>
            <w:r w:rsidRPr="00BA14B0">
              <w:rPr>
                <w:szCs w:val="22"/>
              </w:rPr>
              <w:t xml:space="preserve"> </w:t>
            </w:r>
            <w:r w:rsidRPr="00BA14B0">
              <w:rPr>
                <w:spacing w:val="1"/>
                <w:szCs w:val="22"/>
              </w:rPr>
              <w:t>in</w:t>
            </w:r>
            <w:r w:rsidRPr="00BA14B0">
              <w:rPr>
                <w:spacing w:val="2"/>
                <w:szCs w:val="22"/>
              </w:rPr>
              <w:t xml:space="preserve"> </w:t>
            </w:r>
            <w:r w:rsidRPr="00BA14B0">
              <w:rPr>
                <w:spacing w:val="-2"/>
                <w:szCs w:val="22"/>
              </w:rPr>
              <w:t>the</w:t>
            </w:r>
            <w:r w:rsidRPr="00BA14B0">
              <w:rPr>
                <w:spacing w:val="6"/>
                <w:szCs w:val="22"/>
              </w:rPr>
              <w:t xml:space="preserve"> </w:t>
            </w:r>
            <w:r w:rsidRPr="00BA14B0">
              <w:rPr>
                <w:spacing w:val="-2"/>
                <w:szCs w:val="22"/>
              </w:rPr>
              <w:t>presence</w:t>
            </w:r>
            <w:r w:rsidRPr="00BA14B0">
              <w:rPr>
                <w:spacing w:val="5"/>
                <w:szCs w:val="22"/>
              </w:rPr>
              <w:t xml:space="preserve"> </w:t>
            </w:r>
            <w:r w:rsidRPr="00BA14B0">
              <w:rPr>
                <w:spacing w:val="-1"/>
                <w:szCs w:val="22"/>
              </w:rPr>
              <w:t>of</w:t>
            </w:r>
            <w:r w:rsidRPr="00BA14B0">
              <w:rPr>
                <w:spacing w:val="7"/>
                <w:szCs w:val="22"/>
              </w:rPr>
              <w:t xml:space="preserve"> </w:t>
            </w:r>
            <w:r w:rsidRPr="00BA14B0">
              <w:rPr>
                <w:spacing w:val="-2"/>
                <w:szCs w:val="22"/>
              </w:rPr>
              <w:t>significant</w:t>
            </w:r>
            <w:r w:rsidRPr="00BA14B0">
              <w:rPr>
                <w:spacing w:val="-1"/>
                <w:szCs w:val="22"/>
              </w:rPr>
              <w:t xml:space="preserve"> retinal</w:t>
            </w:r>
            <w:r w:rsidRPr="00BA14B0">
              <w:rPr>
                <w:spacing w:val="2"/>
                <w:szCs w:val="22"/>
              </w:rPr>
              <w:t xml:space="preserve"> </w:t>
            </w:r>
            <w:r w:rsidR="00211DFA" w:rsidRPr="00BA14B0">
              <w:rPr>
                <w:spacing w:val="-2"/>
                <w:szCs w:val="22"/>
              </w:rPr>
              <w:t>ischemia</w:t>
            </w:r>
          </w:p>
        </w:tc>
      </w:tr>
    </w:tbl>
    <w:p w:rsidR="008E7846" w:rsidRDefault="00AA0ED0" w:rsidP="008E7846">
      <w:pPr>
        <w:pStyle w:val="Heading3"/>
      </w:pPr>
      <w:bookmarkStart w:id="144" w:name="_Toc247691531"/>
      <w:bookmarkStart w:id="145" w:name="_Toc314842515"/>
      <w:bookmarkStart w:id="146" w:name="_Toc196046505"/>
      <w:bookmarkStart w:id="147" w:name="_Toc196046949"/>
      <w:bookmarkStart w:id="148" w:name="_Toc465939533"/>
      <w:r>
        <w:t>Risk</w:t>
      </w:r>
      <w:r w:rsidR="00D57E70">
        <w:t xml:space="preserve"> </w:t>
      </w:r>
      <w:r>
        <w:t>benefit a</w:t>
      </w:r>
      <w:r w:rsidR="008E7846">
        <w:t>nalysis</w:t>
      </w:r>
      <w:bookmarkEnd w:id="144"/>
      <w:bookmarkEnd w:id="145"/>
      <w:bookmarkEnd w:id="148"/>
    </w:p>
    <w:p w:rsidR="00C56864" w:rsidRPr="00C56864" w:rsidRDefault="00C56864" w:rsidP="00C56864">
      <w:r w:rsidRPr="00C56864">
        <w:t xml:space="preserve">This brief summary is based both on the TGA’s clinical evaluation report and the EMA’s Assessment Report (24 July 2014, Procedure No. </w:t>
      </w:r>
      <w:proofErr w:type="gramStart"/>
      <w:r w:rsidRPr="00C56864">
        <w:t>EMEA/H/C/001140/II/0015).</w:t>
      </w:r>
      <w:proofErr w:type="gramEnd"/>
    </w:p>
    <w:p w:rsidR="00D23139" w:rsidRDefault="00C56864" w:rsidP="00D23139">
      <w:pPr>
        <w:pStyle w:val="Heading4"/>
      </w:pPr>
      <w:r>
        <w:t>Delegate’s considerations</w:t>
      </w:r>
    </w:p>
    <w:p w:rsidR="00C56864" w:rsidRPr="00C56864" w:rsidRDefault="00C56864" w:rsidP="00C56864">
      <w:pPr>
        <w:pStyle w:val="Heading5"/>
      </w:pPr>
      <w:r w:rsidRPr="00C56864">
        <w:t>Benefit/harm balance</w:t>
      </w:r>
    </w:p>
    <w:p w:rsidR="00C56864" w:rsidRPr="00C56864" w:rsidRDefault="00C56864" w:rsidP="00C56864">
      <w:r w:rsidRPr="00C56864">
        <w:t xml:space="preserve">The improvement, compared to </w:t>
      </w:r>
      <w:r w:rsidR="007E2B4E">
        <w:t>Sham</w:t>
      </w:r>
      <w:r w:rsidRPr="00C56864">
        <w:t>, in the pre</w:t>
      </w:r>
      <w:r w:rsidR="00D57E70">
        <w:t xml:space="preserve"> </w:t>
      </w:r>
      <w:r w:rsidRPr="00C56864">
        <w:t xml:space="preserve">specified primary endpoint (change in </w:t>
      </w:r>
      <w:r w:rsidR="00211DFA">
        <w:t>BCVA from baseline) was small (Study 010: 2.1 letters, S</w:t>
      </w:r>
      <w:r w:rsidRPr="00C56864">
        <w:t xml:space="preserve">tudy 011: 0.8 letters, pooled: 1.4 letters). By way of indirect comparison, the improvement, compared to laser treatment, for </w:t>
      </w:r>
      <w:proofErr w:type="spellStart"/>
      <w:r w:rsidRPr="00C56864">
        <w:t>ranibizumab</w:t>
      </w:r>
      <w:proofErr w:type="spellEnd"/>
      <w:r w:rsidRPr="00C56864">
        <w:t xml:space="preserve"> is about 5 letters.</w:t>
      </w:r>
    </w:p>
    <w:p w:rsidR="00C56864" w:rsidRPr="00C56864" w:rsidRDefault="00C56864" w:rsidP="00C56864">
      <w:r w:rsidRPr="00C56864">
        <w:t xml:space="preserve">The lack of a laser as control is a weakness in the study designs for </w:t>
      </w:r>
      <w:proofErr w:type="spellStart"/>
      <w:r w:rsidR="00211DFA">
        <w:t>Ozudex</w:t>
      </w:r>
      <w:proofErr w:type="spellEnd"/>
      <w:r w:rsidRPr="00C56864">
        <w:t>, unless it is argued that the patients in the trials were unsuitable for laser, which does not seem to be the case, based on the amount of rescue treatment [of course, not all rescue treatment was laser]. It could also be argued that lack of a VEGF</w:t>
      </w:r>
      <w:r w:rsidR="00D57E70">
        <w:t xml:space="preserve"> </w:t>
      </w:r>
      <w:r w:rsidRPr="00C56864">
        <w:t>inhibitor arm is a weakness, but at the time the studies were designed and initiated, VEGF</w:t>
      </w:r>
      <w:r w:rsidR="00D57E70">
        <w:t xml:space="preserve"> </w:t>
      </w:r>
      <w:r w:rsidRPr="00C56864">
        <w:t xml:space="preserve">inhibitors were not on the market. There are unanswered questions about the role of corticosteroids in combination with </w:t>
      </w:r>
      <w:r w:rsidRPr="00C56864">
        <w:lastRenderedPageBreak/>
        <w:t>VEGF</w:t>
      </w:r>
      <w:r w:rsidR="00D57E70">
        <w:t xml:space="preserve"> </w:t>
      </w:r>
      <w:r w:rsidRPr="00C56864">
        <w:t>inhibitors and laser. However, in terms of a simple sequence of treatments, indirect comparisons of treatment effect (</w:t>
      </w:r>
      <w:r w:rsidR="00740C73">
        <w:t>that is</w:t>
      </w:r>
      <w:r w:rsidRPr="00C56864">
        <w:t xml:space="preserve">, a 2.6 letter gain versus a 5 letter gain), (and the high incidence of cataract and raised </w:t>
      </w:r>
      <w:r w:rsidR="00211DFA">
        <w:t>IOP</w:t>
      </w:r>
      <w:r w:rsidRPr="00C56864">
        <w:t>), suggest that corticosteroids are last</w:t>
      </w:r>
      <w:r w:rsidR="00D57E70">
        <w:t xml:space="preserve"> </w:t>
      </w:r>
      <w:r w:rsidRPr="00C56864">
        <w:t>line treatment.</w:t>
      </w:r>
    </w:p>
    <w:p w:rsidR="00C56864" w:rsidRPr="00C56864" w:rsidRDefault="00C56864" w:rsidP="00C56864">
      <w:r w:rsidRPr="00C56864">
        <w:t>It is reasonable to argue that the high incidence of the adverse drug reaction of cataract (</w:t>
      </w:r>
      <w:r w:rsidR="005B2867">
        <w:t>approximately</w:t>
      </w:r>
      <w:r w:rsidR="00223AD3">
        <w:t xml:space="preserve"> </w:t>
      </w:r>
      <w:r w:rsidRPr="00C56864">
        <w:t>70%, for the phakic subgroup) influenced the BCVA results. A subgroup analysis of pseudophakic patients showed larger i</w:t>
      </w:r>
      <w:r w:rsidR="00223AD3">
        <w:t xml:space="preserve">mprovements, compared to </w:t>
      </w:r>
      <w:r w:rsidR="007E2B4E">
        <w:t>Sham</w:t>
      </w:r>
      <w:r w:rsidR="00223AD3">
        <w:t xml:space="preserve"> (Study 010: 5.9 letters; S</w:t>
      </w:r>
      <w:r w:rsidRPr="00C56864">
        <w:t>tudy 011: 3.6 letters).</w:t>
      </w:r>
    </w:p>
    <w:p w:rsidR="00C56864" w:rsidRPr="00C56864" w:rsidRDefault="00C56864" w:rsidP="00C56864">
      <w:r w:rsidRPr="00C56864">
        <w:t>The EMA considered that the benefit</w:t>
      </w:r>
      <w:r w:rsidR="00D57E70">
        <w:t xml:space="preserve"> </w:t>
      </w:r>
      <w:r w:rsidRPr="00C56864">
        <w:t xml:space="preserve">harm balance was not favourable for all patients with </w:t>
      </w:r>
      <w:r w:rsidR="00223AD3">
        <w:t>DME</w:t>
      </w:r>
      <w:r w:rsidRPr="00C56864">
        <w:t xml:space="preserve">, but was favourable for pseudophakic patients (no risk of cataract), or for patients were unsuitable for or insufficiently responsive to </w:t>
      </w:r>
      <w:r w:rsidR="00223AD3" w:rsidRPr="00C56864">
        <w:t>non</w:t>
      </w:r>
      <w:r w:rsidR="00223AD3">
        <w:t>-</w:t>
      </w:r>
      <w:r w:rsidR="00223AD3" w:rsidRPr="00C56864">
        <w:t>corticosteroid</w:t>
      </w:r>
      <w:r w:rsidRPr="00C56864">
        <w:t xml:space="preserve"> treatment (</w:t>
      </w:r>
      <w:r w:rsidR="00740C73">
        <w:t>that is</w:t>
      </w:r>
      <w:r w:rsidRPr="00C56864">
        <w:t>, last line).</w:t>
      </w:r>
    </w:p>
    <w:p w:rsidR="00C56864" w:rsidRPr="00C56864" w:rsidRDefault="00C56864" w:rsidP="00C56864">
      <w:r w:rsidRPr="00C56864">
        <w:t xml:space="preserve">The incidence of cataracts and raised </w:t>
      </w:r>
      <w:r w:rsidR="00223AD3">
        <w:t>IOP</w:t>
      </w:r>
      <w:r w:rsidRPr="00C56864">
        <w:t xml:space="preserve"> is high, but these are manageable in the clinical context of a patient who is going blind; and who has no other option. The treatment effect, averaged across all patients, is only moderate, but for some selected patients, there might be material benefits. There is currently no way of predicting which patients will benefit; although the benefit</w:t>
      </w:r>
      <w:r w:rsidR="00D57E70">
        <w:t xml:space="preserve"> </w:t>
      </w:r>
      <w:r w:rsidRPr="00C56864">
        <w:t>harm balance might be more favourable for pseudophakic patients because there is no risk of cataract.</w:t>
      </w:r>
    </w:p>
    <w:p w:rsidR="00C56864" w:rsidRPr="00C56864" w:rsidRDefault="00C56864" w:rsidP="00C56864">
      <w:r w:rsidRPr="00C56864">
        <w:t>There is an unmet clinical need for treatments for patients who do not respond to VEGF</w:t>
      </w:r>
      <w:r w:rsidR="00D57E70">
        <w:t xml:space="preserve"> </w:t>
      </w:r>
      <w:r w:rsidRPr="00C56864">
        <w:t>inhibitors or who are unsuitable for monthly VEGF</w:t>
      </w:r>
      <w:r w:rsidR="00D57E70">
        <w:t xml:space="preserve"> </w:t>
      </w:r>
      <w:r w:rsidRPr="00C56864">
        <w:t>inhibitor injections. A trial of steroids is probably reasonable in these patients.</w:t>
      </w:r>
    </w:p>
    <w:p w:rsidR="00C56864" w:rsidRPr="00C56864" w:rsidRDefault="00C56864" w:rsidP="00C56864">
      <w:pPr>
        <w:pStyle w:val="Heading5"/>
      </w:pPr>
      <w:r w:rsidRPr="00C56864">
        <w:t>Dosing instructions</w:t>
      </w:r>
    </w:p>
    <w:p w:rsidR="00C56864" w:rsidRPr="00C56864" w:rsidRDefault="00C56864" w:rsidP="00C56864">
      <w:r w:rsidRPr="00C56864">
        <w:t>Visual response peaked at 1</w:t>
      </w:r>
      <w:r w:rsidR="00D57E70">
        <w:t xml:space="preserve"> </w:t>
      </w:r>
      <w:r w:rsidRPr="00C56864">
        <w:t>3 months after implant and then declined. There seemed to be no effect 6 months after implant.</w:t>
      </w:r>
    </w:p>
    <w:p w:rsidR="00C56864" w:rsidRPr="00C56864" w:rsidRDefault="00C56864" w:rsidP="00C56864">
      <w:r w:rsidRPr="00C56864">
        <w:t>These results suggest that more frequent implants could improve the treatment effect, but [in the absence of other evidence] EMA considered that posology recommendations should be based on the regimen used in the trials. The EMA has requested a post</w:t>
      </w:r>
      <w:r w:rsidR="00D57E70">
        <w:t xml:space="preserve"> </w:t>
      </w:r>
      <w:r w:rsidRPr="00C56864">
        <w:t>approval study to investigate the optimal interval for re</w:t>
      </w:r>
      <w:r w:rsidR="00D57E70">
        <w:t xml:space="preserve"> </w:t>
      </w:r>
      <w:r w:rsidRPr="00C56864">
        <w:t>treatment.</w:t>
      </w:r>
    </w:p>
    <w:p w:rsidR="00C56864" w:rsidRPr="00C56864" w:rsidRDefault="00C56864" w:rsidP="00C56864">
      <w:r w:rsidRPr="00C56864">
        <w:t>Proposed Australian PI:</w:t>
      </w:r>
    </w:p>
    <w:p w:rsidR="00C56864" w:rsidRPr="00E64810" w:rsidRDefault="00C56864" w:rsidP="00E64810">
      <w:pPr>
        <w:ind w:left="720"/>
      </w:pPr>
      <w:r w:rsidRPr="00E64810">
        <w:t xml:space="preserve">Retreatment of </w:t>
      </w:r>
      <w:proofErr w:type="spellStart"/>
      <w:r w:rsidR="00211DFA" w:rsidRPr="00E64810">
        <w:t>Ozudex</w:t>
      </w:r>
      <w:proofErr w:type="spellEnd"/>
      <w:r w:rsidRPr="00E64810">
        <w:t xml:space="preserve"> is recommended when the patient reports a loss of visual acuity or there are anatomical signs of recurrent or worsening diabetic macular oedema. In clinical trials, the majority of retreatments were administered between 5 and 7 months after a prior</w:t>
      </w:r>
      <w:r w:rsidR="00E64810" w:rsidRPr="00E64810">
        <w:t xml:space="preserve"> </w:t>
      </w:r>
      <w:r w:rsidRPr="00E64810">
        <w:t>treatment.</w:t>
      </w:r>
    </w:p>
    <w:p w:rsidR="00C56864" w:rsidRPr="00C56864" w:rsidRDefault="00C56864" w:rsidP="00C56864">
      <w:r w:rsidRPr="00C56864">
        <w:t xml:space="preserve">EU </w:t>
      </w:r>
      <w:proofErr w:type="spellStart"/>
      <w:r w:rsidRPr="00C56864">
        <w:t>SmPC</w:t>
      </w:r>
      <w:proofErr w:type="spellEnd"/>
      <w:r w:rsidR="00E64810">
        <w:t>:</w:t>
      </w:r>
    </w:p>
    <w:p w:rsidR="00C56864" w:rsidRPr="00E64810" w:rsidRDefault="00C56864" w:rsidP="00E64810">
      <w:pPr>
        <w:ind w:left="720"/>
      </w:pPr>
      <w:r w:rsidRPr="00E64810">
        <w:t xml:space="preserve">Patients treated with </w:t>
      </w:r>
      <w:r w:rsidR="007E59EA" w:rsidRPr="00E64810">
        <w:t>Ozurdex</w:t>
      </w:r>
      <w:r w:rsidRPr="00E64810">
        <w:t xml:space="preserve"> who have experienced an initial response and in the physician’s opinion may benefit from retreatment without being exposed to significant risk should be considered for retreatment.</w:t>
      </w:r>
    </w:p>
    <w:p w:rsidR="00C56864" w:rsidRPr="00C56864" w:rsidRDefault="00C56864" w:rsidP="00E64810">
      <w:pPr>
        <w:ind w:left="720"/>
      </w:pPr>
      <w:r w:rsidRPr="00C56864">
        <w:t>Retreatment may be performed after approximately 6 months if the patient experiences decreased vision or an increase in retinal thickness, secondary to recurrent or worsening diabetic macular oedema.</w:t>
      </w:r>
    </w:p>
    <w:p w:rsidR="00C56864" w:rsidRPr="00C56864" w:rsidRDefault="00C56864" w:rsidP="00E64810">
      <w:pPr>
        <w:ind w:left="720"/>
      </w:pPr>
      <w:r w:rsidRPr="00C56864">
        <w:t>There is currently no experience of the efficacy and safety of repeat administrations in diabetic macular oedema beyond 7 implants.</w:t>
      </w:r>
    </w:p>
    <w:p w:rsidR="00C56864" w:rsidRPr="00C56864" w:rsidRDefault="00C56864" w:rsidP="00C56864">
      <w:r w:rsidRPr="00C56864">
        <w:t>FDA PI</w:t>
      </w:r>
    </w:p>
    <w:p w:rsidR="00C56864" w:rsidRPr="00C56864" w:rsidRDefault="00C56864" w:rsidP="00E64810">
      <w:pPr>
        <w:ind w:left="720"/>
      </w:pPr>
      <w:r w:rsidRPr="00C56864">
        <w:t>The dosage sub</w:t>
      </w:r>
      <w:r w:rsidR="00D57E70">
        <w:t xml:space="preserve"> </w:t>
      </w:r>
      <w:r w:rsidRPr="00C56864">
        <w:t xml:space="preserve">section is silent on the retreatment interval. The clinical trials section states that patients in the </w:t>
      </w:r>
      <w:r w:rsidR="007E59EA">
        <w:t>Ozurdex</w:t>
      </w:r>
      <w:r w:rsidRPr="00C56864">
        <w:t xml:space="preserve"> arm of the pivotal RCTs received an average of 4 implants over 3 years.</w:t>
      </w:r>
    </w:p>
    <w:p w:rsidR="00C56864" w:rsidRPr="00C56864" w:rsidRDefault="00C56864" w:rsidP="00C56864">
      <w:pPr>
        <w:pStyle w:val="Heading5"/>
      </w:pPr>
      <w:r w:rsidRPr="00C56864">
        <w:lastRenderedPageBreak/>
        <w:t>Bilateral use</w:t>
      </w:r>
    </w:p>
    <w:p w:rsidR="00C56864" w:rsidRPr="00C56864" w:rsidRDefault="00C56864" w:rsidP="00C56864">
      <w:r w:rsidRPr="00C56864">
        <w:t xml:space="preserve">Concurrent administration has not been studied. In response to the RMP evaluator, the sponsor has added a statement to the </w:t>
      </w:r>
      <w:r w:rsidR="00E64810" w:rsidRPr="00C56864">
        <w:t>precautions</w:t>
      </w:r>
      <w:r w:rsidRPr="00C56864">
        <w:t xml:space="preserve"> section saying that “administration to both eyes is not recommended.” This is in the </w:t>
      </w:r>
      <w:r w:rsidR="00E34975">
        <w:t xml:space="preserve">EMAs </w:t>
      </w:r>
      <w:proofErr w:type="spellStart"/>
      <w:r w:rsidR="00E34975">
        <w:t>SmPC</w:t>
      </w:r>
      <w:proofErr w:type="spellEnd"/>
      <w:r w:rsidRPr="00C56864">
        <w:t>, but not in the FDAs PI.</w:t>
      </w:r>
    </w:p>
    <w:p w:rsidR="00C56864" w:rsidRPr="00C56864" w:rsidRDefault="00C56864" w:rsidP="00E64810">
      <w:pPr>
        <w:pStyle w:val="Heading6"/>
      </w:pPr>
      <w:r w:rsidRPr="00C56864">
        <w:t>Question: It seems reasonable that the PI state that concurrent use has not been studied. Should it also state that concurrent use is not recommended?</w:t>
      </w:r>
    </w:p>
    <w:p w:rsidR="00C56864" w:rsidRPr="00C56864" w:rsidRDefault="00C56864" w:rsidP="00E64810">
      <w:pPr>
        <w:pStyle w:val="Heading5"/>
      </w:pPr>
      <w:r w:rsidRPr="00C56864">
        <w:t xml:space="preserve">350 </w:t>
      </w:r>
      <w:r w:rsidR="00233047">
        <w:t>µ</w:t>
      </w:r>
      <w:r w:rsidR="00233047" w:rsidRPr="009F25B8">
        <w:t>g</w:t>
      </w:r>
      <w:r w:rsidRPr="00C56864">
        <w:t xml:space="preserve"> versus 700 </w:t>
      </w:r>
      <w:r w:rsidR="00233047">
        <w:t>µ</w:t>
      </w:r>
      <w:r w:rsidR="00233047" w:rsidRPr="009F25B8">
        <w:t>g</w:t>
      </w:r>
    </w:p>
    <w:p w:rsidR="00C56864" w:rsidRDefault="00C56864" w:rsidP="00C56864">
      <w:r w:rsidRPr="00C56864">
        <w:t xml:space="preserve">Although there was no dose ordering for efficacy, the 350 </w:t>
      </w:r>
      <w:r w:rsidR="00233047">
        <w:t>µ</w:t>
      </w:r>
      <w:r w:rsidR="00233047" w:rsidRPr="009F25B8">
        <w:t>g</w:t>
      </w:r>
      <w:r w:rsidRPr="00C56864">
        <w:t xml:space="preserve"> dose did not have a lower frequency of adverse events. The sponsor has explained the decision to only register and market the 700 </w:t>
      </w:r>
      <w:r w:rsidR="00233047">
        <w:t>µ</w:t>
      </w:r>
      <w:r w:rsidR="00233047" w:rsidRPr="009F25B8">
        <w:t>g</w:t>
      </w:r>
      <w:r w:rsidRPr="00C56864">
        <w:t xml:space="preserve"> dose in Australia, because the 700 </w:t>
      </w:r>
      <w:r w:rsidR="00233047">
        <w:t>µ</w:t>
      </w:r>
      <w:r w:rsidR="00233047" w:rsidRPr="009F25B8">
        <w:t>g</w:t>
      </w:r>
      <w:r w:rsidRPr="00C56864">
        <w:t xml:space="preserve"> dose is the only dose marketed overseas, where there are also two additional indications (macular oedema secondary to retinal vein occlusion and </w:t>
      </w:r>
      <w:r w:rsidR="0009735C" w:rsidRPr="00C56864">
        <w:t>non</w:t>
      </w:r>
      <w:r w:rsidR="0009735C">
        <w:t>-</w:t>
      </w:r>
      <w:r w:rsidR="0009735C" w:rsidRPr="00C56864">
        <w:t>infectious</w:t>
      </w:r>
      <w:r w:rsidRPr="00C56864">
        <w:t xml:space="preserve"> posterior uveitis). Given there is no safety advantage from the lower 350 </w:t>
      </w:r>
      <w:r w:rsidR="00233047">
        <w:t>µ</w:t>
      </w:r>
      <w:r w:rsidR="00233047" w:rsidRPr="009F25B8">
        <w:t>g</w:t>
      </w:r>
      <w:r w:rsidRPr="00C56864">
        <w:t xml:space="preserve"> dose, does the decision to only register and market the 700 </w:t>
      </w:r>
      <w:r w:rsidR="00233047">
        <w:t>µ</w:t>
      </w:r>
      <w:r w:rsidR="00233047" w:rsidRPr="009F25B8">
        <w:t>g</w:t>
      </w:r>
      <w:r w:rsidRPr="00C56864">
        <w:t xml:space="preserve"> dose seem reasonable?</w:t>
      </w:r>
    </w:p>
    <w:p w:rsidR="00A03371" w:rsidRPr="00A03371" w:rsidRDefault="00A03371" w:rsidP="00A03371">
      <w:pPr>
        <w:pStyle w:val="Heading5"/>
      </w:pPr>
      <w:r w:rsidRPr="00A03371">
        <w:t>Conditions of registration</w:t>
      </w:r>
    </w:p>
    <w:p w:rsidR="00A03371" w:rsidRPr="00A03371" w:rsidRDefault="00A03371" w:rsidP="00A03371">
      <w:r w:rsidRPr="00A03371">
        <w:t>Implement EU</w:t>
      </w:r>
      <w:r w:rsidR="00D57E70">
        <w:t xml:space="preserve"> </w:t>
      </w:r>
      <w:r w:rsidRPr="00A03371">
        <w:t>RMP Version 4.0 (dated 18 March 2013) with the latest version of the Australian Specific Annex (ASA) to the satisfaction of Post</w:t>
      </w:r>
      <w:r w:rsidR="00D57E70">
        <w:t xml:space="preserve"> </w:t>
      </w:r>
      <w:r w:rsidRPr="00A03371">
        <w:t>Marketing and Safety Branch.</w:t>
      </w:r>
    </w:p>
    <w:p w:rsidR="00A03371" w:rsidRDefault="00A03371" w:rsidP="00C56864">
      <w:r w:rsidRPr="00A03371">
        <w:t>Notify the TGA of the results of any relevant studies</w:t>
      </w:r>
      <w:r w:rsidR="0009735C">
        <w:t xml:space="preserve"> as soon as they are available.</w:t>
      </w:r>
    </w:p>
    <w:p w:rsidR="00A03371" w:rsidRDefault="00A03371" w:rsidP="00A03371">
      <w:pPr>
        <w:pStyle w:val="Heading4"/>
      </w:pPr>
      <w:r>
        <w:t>Summary of Issues</w:t>
      </w:r>
    </w:p>
    <w:p w:rsidR="00A03371" w:rsidRPr="00A03371" w:rsidRDefault="00A03371" w:rsidP="00A03371">
      <w:r w:rsidRPr="00A03371">
        <w:t xml:space="preserve">This product was registered by the EMA and FDA in 2014 for diabetic macular oedema (the indication for this current submission to the TGA). It has been registered for macular oedema due to retinal vein occlusion and </w:t>
      </w:r>
      <w:r w:rsidR="0009735C" w:rsidRPr="00A03371">
        <w:t>non</w:t>
      </w:r>
      <w:r w:rsidR="0009735C">
        <w:t>-</w:t>
      </w:r>
      <w:r w:rsidR="0009735C" w:rsidRPr="00A03371">
        <w:t>infectious</w:t>
      </w:r>
      <w:r w:rsidRPr="00A03371">
        <w:t xml:space="preserve"> posterior segment uveitis in the US and EU for about 4</w:t>
      </w:r>
      <w:r w:rsidR="0009735C">
        <w:t xml:space="preserve"> to </w:t>
      </w:r>
      <w:r w:rsidRPr="00A03371">
        <w:t>5 years. It is not registered for these indications in Australia.</w:t>
      </w:r>
    </w:p>
    <w:p w:rsidR="00A03371" w:rsidRPr="00A03371" w:rsidRDefault="00A03371" w:rsidP="00A03371">
      <w:r w:rsidRPr="00A03371">
        <w:t xml:space="preserve">There is an unmet clinical need for treatments for patients with </w:t>
      </w:r>
      <w:r w:rsidR="0009735C">
        <w:t>DME</w:t>
      </w:r>
      <w:r w:rsidRPr="00A03371">
        <w:t xml:space="preserve"> who do not respond to VEGF</w:t>
      </w:r>
      <w:r w:rsidR="00D57E70">
        <w:t xml:space="preserve"> </w:t>
      </w:r>
      <w:r w:rsidRPr="00A03371">
        <w:t>inhibitors. A trial of this product is probably reasonable in these patients.</w:t>
      </w:r>
    </w:p>
    <w:p w:rsidR="00A03371" w:rsidRPr="00A03371" w:rsidRDefault="00A03371" w:rsidP="00A03371">
      <w:r w:rsidRPr="00A03371">
        <w:t>The incidence of cataracts and raised intra</w:t>
      </w:r>
      <w:r w:rsidR="00D57E70">
        <w:t xml:space="preserve"> </w:t>
      </w:r>
      <w:r w:rsidRPr="00A03371">
        <w:t>ocular pressure is high, but these are arguably manageable in the clinical context of a patient who is going blind and who has no other options. The treatment effect, averaged across all patients, is only moderate, but for some selected patients, there might be material benefits. There is currently no way of predicting which patients will benefit.</w:t>
      </w:r>
    </w:p>
    <w:p w:rsidR="00A03371" w:rsidRPr="00A03371" w:rsidRDefault="00A03371" w:rsidP="00A03371">
      <w:r w:rsidRPr="00A03371">
        <w:t xml:space="preserve">The pharmaceutical chemistry evaluator did not recommend approval because the proposed in vitro dissolution release limits have not been justified. The sponsor </w:t>
      </w:r>
      <w:r w:rsidR="001C573B">
        <w:t>needed</w:t>
      </w:r>
      <w:r w:rsidRPr="00A03371">
        <w:t xml:space="preserve"> to resolve this to the satisfaction of pharmaceutical chemistry before registration can be finalised.</w:t>
      </w:r>
      <w:r w:rsidR="001C573B" w:rsidRPr="001C573B">
        <w:rPr>
          <w:vertAlign w:val="superscript"/>
        </w:rPr>
        <w:fldChar w:fldCharType="begin"/>
      </w:r>
      <w:r w:rsidR="001C573B" w:rsidRPr="001C573B">
        <w:rPr>
          <w:vertAlign w:val="superscript"/>
        </w:rPr>
        <w:instrText xml:space="preserve"> NOTEREF _Ref460588845 \h </w:instrText>
      </w:r>
      <w:r w:rsidR="001C573B">
        <w:rPr>
          <w:vertAlign w:val="superscript"/>
        </w:rPr>
        <w:instrText xml:space="preserve"> \* MERGEFORMAT </w:instrText>
      </w:r>
      <w:r w:rsidR="001C573B" w:rsidRPr="001C573B">
        <w:rPr>
          <w:vertAlign w:val="superscript"/>
        </w:rPr>
      </w:r>
      <w:r w:rsidR="001C573B" w:rsidRPr="001C573B">
        <w:rPr>
          <w:vertAlign w:val="superscript"/>
        </w:rPr>
        <w:fldChar w:fldCharType="separate"/>
      </w:r>
      <w:r w:rsidR="00205340">
        <w:rPr>
          <w:vertAlign w:val="superscript"/>
        </w:rPr>
        <w:t>22</w:t>
      </w:r>
      <w:r w:rsidR="001C573B" w:rsidRPr="001C573B">
        <w:rPr>
          <w:vertAlign w:val="superscript"/>
        </w:rPr>
        <w:fldChar w:fldCharType="end"/>
      </w:r>
    </w:p>
    <w:p w:rsidR="00D23139" w:rsidRDefault="00D23139" w:rsidP="00D23139">
      <w:pPr>
        <w:pStyle w:val="Heading4"/>
      </w:pPr>
      <w:r w:rsidRPr="00D23139">
        <w:t>Proposed action</w:t>
      </w:r>
    </w:p>
    <w:p w:rsidR="00A03371" w:rsidRPr="00A03371" w:rsidRDefault="001C573B" w:rsidP="00A03371">
      <w:r>
        <w:t>The Delegate had</w:t>
      </w:r>
      <w:r w:rsidR="00A03371" w:rsidRPr="00A03371">
        <w:t xml:space="preserve"> no reason to say, at </w:t>
      </w:r>
      <w:r>
        <w:t>that</w:t>
      </w:r>
      <w:r w:rsidR="00A03371" w:rsidRPr="00A03371">
        <w:t xml:space="preserve"> time, that the application for </w:t>
      </w:r>
      <w:r w:rsidR="007E59EA">
        <w:t>Ozurdex</w:t>
      </w:r>
      <w:r w:rsidR="00A03371" w:rsidRPr="00A03371">
        <w:t xml:space="preserve"> should not be approved for registration.</w:t>
      </w:r>
    </w:p>
    <w:p w:rsidR="00D23139" w:rsidRDefault="00D23139" w:rsidP="00D23139">
      <w:pPr>
        <w:pStyle w:val="Heading4"/>
      </w:pPr>
      <w:r w:rsidRPr="00D23139">
        <w:t>Request for ACPM advice</w:t>
      </w:r>
    </w:p>
    <w:p w:rsidR="007E2B4E" w:rsidRDefault="007E2B4E" w:rsidP="001C573B">
      <w:pPr>
        <w:pStyle w:val="Heading5"/>
      </w:pPr>
      <w:r>
        <w:t>Question 1</w:t>
      </w:r>
    </w:p>
    <w:p w:rsidR="00A03371" w:rsidRPr="007E2B4E" w:rsidRDefault="007E2B4E" w:rsidP="007E2B4E">
      <w:r>
        <w:t>W</w:t>
      </w:r>
      <w:r w:rsidR="00A03371" w:rsidRPr="007E2B4E">
        <w:t xml:space="preserve">ording of the </w:t>
      </w:r>
      <w:r w:rsidR="006D3BE0" w:rsidRPr="007E2B4E">
        <w:t>indication</w:t>
      </w:r>
    </w:p>
    <w:p w:rsidR="00A03371" w:rsidRPr="00A03371" w:rsidRDefault="00A03371" w:rsidP="00A03371">
      <w:r w:rsidRPr="00A03371">
        <w:t>Current treatment algorithms clearly position corticosteroids as last</w:t>
      </w:r>
      <w:r w:rsidR="00D57E70">
        <w:t xml:space="preserve"> </w:t>
      </w:r>
      <w:r w:rsidRPr="00A03371">
        <w:t>line treatment. Is there any benefit, in terms of informing ophthalmologists (</w:t>
      </w:r>
      <w:r w:rsidR="00740C73">
        <w:t>that is</w:t>
      </w:r>
      <w:r w:rsidRPr="00A03371">
        <w:t xml:space="preserve">, the potential </w:t>
      </w:r>
      <w:r w:rsidRPr="00A03371">
        <w:lastRenderedPageBreak/>
        <w:t xml:space="preserve">prescribers), of adding this to the </w:t>
      </w:r>
      <w:r w:rsidR="006D3BE0">
        <w:t>indication</w:t>
      </w:r>
      <w:r w:rsidRPr="00A03371">
        <w:t xml:space="preserve">, as per the EMA? Put another way, is the FDA </w:t>
      </w:r>
      <w:r w:rsidR="006D3BE0">
        <w:t>indication</w:t>
      </w:r>
      <w:r w:rsidR="001C573B">
        <w:t xml:space="preserve"> sufficient?</w:t>
      </w:r>
    </w:p>
    <w:p w:rsidR="007E2B4E" w:rsidRDefault="00A03371" w:rsidP="00A03371">
      <w:r w:rsidRPr="00A03371">
        <w:t xml:space="preserve">EMA </w:t>
      </w:r>
      <w:r w:rsidR="006D3BE0">
        <w:t>indication</w:t>
      </w:r>
      <w:r w:rsidR="007E2B4E">
        <w:t>:</w:t>
      </w:r>
    </w:p>
    <w:p w:rsidR="00A03371" w:rsidRPr="00A03371" w:rsidRDefault="00A03371" w:rsidP="007E2B4E">
      <w:pPr>
        <w:ind w:left="720"/>
      </w:pPr>
      <w:r w:rsidRPr="00A03371">
        <w:t>“</w:t>
      </w:r>
      <w:proofErr w:type="gramStart"/>
      <w:r w:rsidRPr="007E2B4E">
        <w:rPr>
          <w:i/>
        </w:rPr>
        <w:t>adult</w:t>
      </w:r>
      <w:proofErr w:type="gramEnd"/>
      <w:r w:rsidRPr="007E2B4E">
        <w:rPr>
          <w:i/>
        </w:rPr>
        <w:t xml:space="preserve"> patients with diabetic macular oedema who are pseudophakic or who are considered insufficiently responsive to, or unsuitable for </w:t>
      </w:r>
      <w:r w:rsidR="001C573B" w:rsidRPr="007E2B4E">
        <w:rPr>
          <w:i/>
        </w:rPr>
        <w:t>non-corticosteroid</w:t>
      </w:r>
      <w:r w:rsidRPr="007E2B4E">
        <w:rPr>
          <w:i/>
        </w:rPr>
        <w:t xml:space="preserve"> therapy</w:t>
      </w:r>
      <w:r w:rsidRPr="00A03371">
        <w:t>.”</w:t>
      </w:r>
    </w:p>
    <w:p w:rsidR="007E2B4E" w:rsidRDefault="00A03371" w:rsidP="00A03371">
      <w:r w:rsidRPr="00A03371">
        <w:t xml:space="preserve">FDA </w:t>
      </w:r>
      <w:r w:rsidR="006D3BE0">
        <w:t>indication</w:t>
      </w:r>
      <w:r w:rsidR="007E2B4E">
        <w:t>:</w:t>
      </w:r>
    </w:p>
    <w:p w:rsidR="00A03371" w:rsidRPr="007E2B4E" w:rsidRDefault="00A03371" w:rsidP="007E2B4E">
      <w:pPr>
        <w:ind w:left="720"/>
        <w:rPr>
          <w:i/>
        </w:rPr>
      </w:pPr>
      <w:r w:rsidRPr="00A03371">
        <w:t>“</w:t>
      </w:r>
      <w:proofErr w:type="gramStart"/>
      <w:r w:rsidRPr="007E2B4E">
        <w:rPr>
          <w:i/>
        </w:rPr>
        <w:t>adult</w:t>
      </w:r>
      <w:proofErr w:type="gramEnd"/>
      <w:r w:rsidRPr="007E2B4E">
        <w:rPr>
          <w:i/>
        </w:rPr>
        <w:t xml:space="preserve"> patients w</w:t>
      </w:r>
      <w:r w:rsidR="001C573B" w:rsidRPr="007E2B4E">
        <w:rPr>
          <w:i/>
        </w:rPr>
        <w:t xml:space="preserve">ith diabetic macular </w:t>
      </w:r>
      <w:proofErr w:type="spellStart"/>
      <w:r w:rsidR="001C573B" w:rsidRPr="007E2B4E">
        <w:rPr>
          <w:i/>
        </w:rPr>
        <w:t>edema</w:t>
      </w:r>
      <w:proofErr w:type="spellEnd"/>
      <w:r w:rsidR="001C573B" w:rsidRPr="007E2B4E">
        <w:rPr>
          <w:i/>
        </w:rPr>
        <w:t>”.</w:t>
      </w:r>
    </w:p>
    <w:p w:rsidR="007E2B4E" w:rsidRDefault="007E2B4E" w:rsidP="007E2B4E">
      <w:pPr>
        <w:pStyle w:val="Heading5"/>
      </w:pPr>
      <w:r>
        <w:t>Question 2</w:t>
      </w:r>
    </w:p>
    <w:p w:rsidR="00A03371" w:rsidRPr="007E2B4E" w:rsidRDefault="007E2B4E" w:rsidP="007E2B4E">
      <w:r>
        <w:t>W</w:t>
      </w:r>
      <w:r w:rsidR="00A03371" w:rsidRPr="007E2B4E">
        <w:t>ording about re</w:t>
      </w:r>
      <w:r w:rsidR="00D57E70" w:rsidRPr="007E2B4E">
        <w:t xml:space="preserve"> </w:t>
      </w:r>
      <w:r w:rsidR="00A03371" w:rsidRPr="007E2B4E">
        <w:t xml:space="preserve">treatment in the </w:t>
      </w:r>
      <w:r w:rsidRPr="007E2B4E">
        <w:t xml:space="preserve">dosage and administration </w:t>
      </w:r>
      <w:r w:rsidR="00A03371" w:rsidRPr="007E2B4E">
        <w:t>section of the PI</w:t>
      </w:r>
    </w:p>
    <w:p w:rsidR="00A03371" w:rsidRPr="00A03371" w:rsidRDefault="00A03371" w:rsidP="00A03371">
      <w:r w:rsidRPr="00A03371">
        <w:t xml:space="preserve">The protocol in pivotal </w:t>
      </w:r>
      <w:r w:rsidR="007E2B4E">
        <w:t>randomised clinical trials</w:t>
      </w:r>
      <w:r w:rsidRPr="00A03371">
        <w:t xml:space="preserve"> was for a 6</w:t>
      </w:r>
      <w:r w:rsidR="00D57E70">
        <w:t xml:space="preserve"> </w:t>
      </w:r>
      <w:r w:rsidRPr="00A03371">
        <w:t>monthly dosing interval, but there is some evidence that more frequent dosing might be beneficial. The EMA has requested a post</w:t>
      </w:r>
      <w:r w:rsidR="00D57E70">
        <w:t xml:space="preserve"> </w:t>
      </w:r>
      <w:r w:rsidRPr="00A03371">
        <w:t>approval study to clarify the dosing interval. Generally speaking, the dosing instructions in the Australian PI should align with one of the major overseas regulators (</w:t>
      </w:r>
      <w:r w:rsidR="00211DFA">
        <w:t>for example</w:t>
      </w:r>
      <w:r w:rsidRPr="00A03371">
        <w:t>, EMA, FDA). Please comment on the EMA versus the FDA wording.</w:t>
      </w:r>
    </w:p>
    <w:p w:rsidR="00A03371" w:rsidRPr="00A03371" w:rsidRDefault="00A03371" w:rsidP="00A03371">
      <w:r w:rsidRPr="00A03371">
        <w:t xml:space="preserve">EU </w:t>
      </w:r>
      <w:proofErr w:type="spellStart"/>
      <w:r w:rsidRPr="00A03371">
        <w:t>SmPC</w:t>
      </w:r>
      <w:proofErr w:type="spellEnd"/>
    </w:p>
    <w:p w:rsidR="00A03371" w:rsidRPr="00A03371" w:rsidRDefault="00A03371" w:rsidP="007E2B4E">
      <w:pPr>
        <w:ind w:left="720"/>
      </w:pPr>
      <w:r w:rsidRPr="00A03371">
        <w:t xml:space="preserve">Patients treated with </w:t>
      </w:r>
      <w:r w:rsidR="007E59EA">
        <w:t>Ozurdex</w:t>
      </w:r>
      <w:r w:rsidRPr="00A03371">
        <w:t xml:space="preserve"> who have experienced an initial response and in the physician’s opinion may benefit from retreatment without being exposed to significant risk should be considered for retreatment.</w:t>
      </w:r>
    </w:p>
    <w:p w:rsidR="00A03371" w:rsidRPr="00A03371" w:rsidRDefault="00A03371" w:rsidP="007E2B4E">
      <w:pPr>
        <w:ind w:left="720"/>
      </w:pPr>
      <w:r w:rsidRPr="00A03371">
        <w:t>Retreatment may be performed after approximately 6 months if the patient experiences decreased vision or an increase in retinal thickness, secondary to recurrent or worsening</w:t>
      </w:r>
      <w:r w:rsidR="007E2B4E">
        <w:t xml:space="preserve"> </w:t>
      </w:r>
      <w:r w:rsidRPr="00A03371">
        <w:t>diabetic macular oedema.</w:t>
      </w:r>
    </w:p>
    <w:p w:rsidR="00A03371" w:rsidRPr="00A03371" w:rsidRDefault="00A03371" w:rsidP="007E2B4E">
      <w:pPr>
        <w:ind w:left="720"/>
      </w:pPr>
      <w:r w:rsidRPr="00A03371">
        <w:t>There is currently no experience of the efficacy and safety of repeat administrations in diabetic macular oedema beyond 7 implants.</w:t>
      </w:r>
    </w:p>
    <w:p w:rsidR="00A03371" w:rsidRPr="00A03371" w:rsidRDefault="00A03371" w:rsidP="00A03371">
      <w:r w:rsidRPr="00A03371">
        <w:t>FDA PI</w:t>
      </w:r>
    </w:p>
    <w:p w:rsidR="00A03371" w:rsidRPr="00A03371" w:rsidRDefault="00A03371" w:rsidP="007E2B4E">
      <w:pPr>
        <w:ind w:left="720"/>
      </w:pPr>
      <w:r w:rsidRPr="00A03371">
        <w:t>The dosage sub</w:t>
      </w:r>
      <w:r w:rsidR="00D57E70">
        <w:t xml:space="preserve"> </w:t>
      </w:r>
      <w:r w:rsidRPr="00A03371">
        <w:t xml:space="preserve">section is silent on the retreatment interval. The clinical trials section states that patients in the </w:t>
      </w:r>
      <w:r w:rsidR="007E59EA">
        <w:t>Ozurdex</w:t>
      </w:r>
      <w:r w:rsidRPr="00A03371">
        <w:t xml:space="preserve"> arm of the pivotal RCTs received an average of 4 implants over 3 years.</w:t>
      </w:r>
    </w:p>
    <w:p w:rsidR="007E2B4E" w:rsidRDefault="007E2B4E" w:rsidP="007E2B4E">
      <w:pPr>
        <w:pStyle w:val="Heading5"/>
      </w:pPr>
      <w:r>
        <w:t>Question 3</w:t>
      </w:r>
    </w:p>
    <w:p w:rsidR="00A03371" w:rsidRPr="007E2B4E" w:rsidRDefault="007E2B4E" w:rsidP="007E2B4E">
      <w:r>
        <w:t>B</w:t>
      </w:r>
      <w:r w:rsidR="00A03371" w:rsidRPr="007E2B4E">
        <w:t>ilateral use: It seems reasonable that the PI state that concurrent bilateral use has not been studied. Should it also state that concurrent use is not recommended?</w:t>
      </w:r>
    </w:p>
    <w:p w:rsidR="00D23139" w:rsidRDefault="00043103" w:rsidP="00D23139">
      <w:pPr>
        <w:pStyle w:val="Heading4"/>
      </w:pPr>
      <w:r>
        <w:t xml:space="preserve">Response from </w:t>
      </w:r>
      <w:r w:rsidR="00881FB2">
        <w:t>sponsor</w:t>
      </w:r>
    </w:p>
    <w:p w:rsidR="00043103" w:rsidRPr="00043103" w:rsidRDefault="00043103" w:rsidP="00043103">
      <w:r w:rsidRPr="00043103">
        <w:t xml:space="preserve">Allergan Australia Pty Ltd. refers to the Delegate’s </w:t>
      </w:r>
      <w:r w:rsidR="007E2B4E" w:rsidRPr="00043103">
        <w:t xml:space="preserve">overview and request </w:t>
      </w:r>
      <w:r w:rsidRPr="00043103">
        <w:t xml:space="preserve">for ACPM’s advice and concurs with the Delegate’s preliminary assessment that there is “no reason to say, at this time, that the application for </w:t>
      </w:r>
      <w:r w:rsidR="007E59EA">
        <w:t>Ozurdex</w:t>
      </w:r>
      <w:r w:rsidRPr="00043103">
        <w:t xml:space="preserve"> should not be </w:t>
      </w:r>
      <w:bookmarkStart w:id="149" w:name="Overseas_Regulatory_History"/>
      <w:bookmarkEnd w:id="149"/>
      <w:r w:rsidRPr="00043103">
        <w:t>approved for registration”. We note the Delegate’s ques</w:t>
      </w:r>
      <w:r w:rsidR="007E2B4E">
        <w:t xml:space="preserve">tions to the ACPM regarding the </w:t>
      </w:r>
      <w:r w:rsidR="007E2B4E" w:rsidRPr="00043103">
        <w:t>indication and dosage and administration sections of</w:t>
      </w:r>
      <w:r w:rsidRPr="00043103">
        <w:t xml:space="preserve"> the </w:t>
      </w:r>
      <w:r w:rsidR="007E2B4E">
        <w:t>PI</w:t>
      </w:r>
      <w:r w:rsidRPr="00043103">
        <w:t xml:space="preserve"> and Allergan’s</w:t>
      </w:r>
      <w:r w:rsidR="005C2E04">
        <w:t xml:space="preserve"> </w:t>
      </w:r>
      <w:r w:rsidRPr="00043103">
        <w:t>response to the questions and additional comments raised by the Delegate (</w:t>
      </w:r>
      <w:r w:rsidR="007E2B4E">
        <w:t>in italics) are provided below.</w:t>
      </w:r>
    </w:p>
    <w:p w:rsidR="00043103" w:rsidRPr="00043103" w:rsidRDefault="00043103" w:rsidP="00043103">
      <w:r w:rsidRPr="00043103">
        <w:t>Allergan also acknowledges the Delegate’s comments that most clinical practices now recommend intravitreal vascular endothelial growth factor (VEGF)</w:t>
      </w:r>
      <w:r w:rsidR="00D57E70">
        <w:t xml:space="preserve"> </w:t>
      </w:r>
      <w:r w:rsidRPr="00043103">
        <w:t>inhibitors as initial therapy, but that there is an unmet clinical need for treatments for patients who do not respond to VEGF</w:t>
      </w:r>
      <w:r w:rsidR="00D57E70">
        <w:t xml:space="preserve"> </w:t>
      </w:r>
      <w:r w:rsidRPr="00043103">
        <w:t>inhibitors, or who are unsuitable for monthly VEGF</w:t>
      </w:r>
      <w:r w:rsidR="00D57E70">
        <w:t xml:space="preserve"> </w:t>
      </w:r>
      <w:r w:rsidRPr="00043103">
        <w:t>inhibitor injections.</w:t>
      </w:r>
    </w:p>
    <w:p w:rsidR="00043103" w:rsidRPr="00043103" w:rsidRDefault="00043103" w:rsidP="00043103">
      <w:pPr>
        <w:pStyle w:val="Heading5"/>
      </w:pPr>
      <w:r w:rsidRPr="00043103">
        <w:t xml:space="preserve">General comments on </w:t>
      </w:r>
      <w:r w:rsidR="00BA14B0" w:rsidRPr="00043103">
        <w:t>study design</w:t>
      </w:r>
    </w:p>
    <w:p w:rsidR="00043103" w:rsidRPr="00043103" w:rsidRDefault="00043103" w:rsidP="00043103">
      <w:r w:rsidRPr="00043103">
        <w:t xml:space="preserve">The Delegate makes 2 comments on the study design, namely how data was treated after patients received escape medication, and use of Sham as the comparator rather than </w:t>
      </w:r>
      <w:r>
        <w:t>laser.</w:t>
      </w:r>
    </w:p>
    <w:p w:rsidR="00043103" w:rsidRPr="00043103" w:rsidRDefault="00043103" w:rsidP="00043103">
      <w:r w:rsidRPr="00043103">
        <w:lastRenderedPageBreak/>
        <w:t>With regard to the treatment of data from patients who received escape medication, per the study protocol, patients who received escape medication were to be discontinued from the study. No best</w:t>
      </w:r>
      <w:r w:rsidR="00D57E70">
        <w:t xml:space="preserve"> </w:t>
      </w:r>
      <w:r w:rsidRPr="00043103">
        <w:t xml:space="preserve">corrected visual acuity (BCVA) or other efficacy assessments were to be collected afterwards. However, if assessments were recorded in the case report forms after use of escape </w:t>
      </w:r>
      <w:proofErr w:type="gramStart"/>
      <w:r w:rsidRPr="00043103">
        <w:t>medications,</w:t>
      </w:r>
      <w:proofErr w:type="gramEnd"/>
      <w:r w:rsidRPr="00043103">
        <w:t xml:space="preserve"> those assessments were set as missing data.</w:t>
      </w:r>
      <w:r w:rsidR="005C2E04">
        <w:t xml:space="preserve"> </w:t>
      </w:r>
      <w:r w:rsidRPr="00043103">
        <w:t>Last observation carried forward (LOCF) was the method used for missing value imputation.</w:t>
      </w:r>
    </w:p>
    <w:p w:rsidR="00043103" w:rsidRPr="00043103" w:rsidRDefault="00043103" w:rsidP="00043103">
      <w:r w:rsidRPr="00043103">
        <w:t>With regard to the comparator, while laser was the standard of care at the time the studies were initiated, a laser control group would not have been appropriate for all patients (for example those with oedema near the central subfield or patients who had failed prior laser). Also, as noted by the Delegate, anti</w:t>
      </w:r>
      <w:r w:rsidR="00D57E70">
        <w:t xml:space="preserve"> </w:t>
      </w:r>
      <w:r w:rsidRPr="00043103">
        <w:t xml:space="preserve">VEGF products were not on the market at the time of study initiation and therefore were not considered as a comparator. The use of an inactive control (and a second dose of dexamethasone to reduce bias), allowed a clear assessment of the benefits and risks of </w:t>
      </w:r>
      <w:r w:rsidR="007E59EA">
        <w:t>Ozurdex</w:t>
      </w:r>
      <w:r w:rsidRPr="00043103">
        <w:t>, and ensured that the add</w:t>
      </w:r>
      <w:r w:rsidR="007E2B4E">
        <w:t>-</w:t>
      </w:r>
      <w:r w:rsidRPr="00043103">
        <w:t>on effect from other therapies did not confound the results against a pure control group (Sham).</w:t>
      </w:r>
    </w:p>
    <w:p w:rsidR="00043103" w:rsidRPr="00043103" w:rsidRDefault="00043103" w:rsidP="00043103">
      <w:pPr>
        <w:pStyle w:val="Heading5"/>
      </w:pPr>
      <w:r w:rsidRPr="00043103">
        <w:t xml:space="preserve">Overseas </w:t>
      </w:r>
      <w:r w:rsidR="00BA14B0" w:rsidRPr="00043103">
        <w:t>regulatory history</w:t>
      </w:r>
    </w:p>
    <w:p w:rsidR="00043103" w:rsidRPr="00043103" w:rsidRDefault="00043103" w:rsidP="00043103">
      <w:r w:rsidRPr="00043103">
        <w:t xml:space="preserve">The Delegate comments, in relation to the regulatory history in the USA, that the initial indication for diabetic macular </w:t>
      </w:r>
      <w:r w:rsidR="007E2B4E" w:rsidRPr="00043103">
        <w:t>oedema</w:t>
      </w:r>
      <w:r w:rsidRPr="00043103">
        <w:t xml:space="preserve"> (DME) approved by the US </w:t>
      </w:r>
      <w:r w:rsidR="007E2B4E">
        <w:t>FDA</w:t>
      </w:r>
      <w:r w:rsidRPr="00043103">
        <w:t xml:space="preserve"> was amended following a request from the FDA for a supplemental</w:t>
      </w:r>
      <w:r>
        <w:t xml:space="preserve"> </w:t>
      </w:r>
      <w:r w:rsidRPr="00043103">
        <w:t>application.</w:t>
      </w:r>
      <w:r w:rsidR="005C2E04">
        <w:t xml:space="preserve"> </w:t>
      </w:r>
      <w:r w:rsidRPr="00043103">
        <w:t xml:space="preserve">Allergan would like to clarify that no additional information or rationale was requested by the FDA, or provided by Allergan, to support the reconsideration of the indication. Approval of the indication ‘treatment of diabetic macular </w:t>
      </w:r>
      <w:r w:rsidR="007E2B4E" w:rsidRPr="00043103">
        <w:t>oedema</w:t>
      </w:r>
      <w:r w:rsidRPr="00043103">
        <w:t>’ was based on the same clinical dataset that has been submitted to TGA.</w:t>
      </w:r>
    </w:p>
    <w:p w:rsidR="00043103" w:rsidRPr="00043103" w:rsidRDefault="00043103" w:rsidP="007E2B4E">
      <w:pPr>
        <w:pStyle w:val="Heading5"/>
      </w:pPr>
      <w:r w:rsidRPr="00043103">
        <w:t>D</w:t>
      </w:r>
      <w:r w:rsidR="007E2B4E">
        <w:t xml:space="preserve">elegate’s </w:t>
      </w:r>
      <w:r w:rsidR="00BA14B0">
        <w:t>q</w:t>
      </w:r>
      <w:r w:rsidR="007E2B4E">
        <w:t>uestions to the ACPM</w:t>
      </w:r>
    </w:p>
    <w:p w:rsidR="00043103" w:rsidRPr="007E2B4E" w:rsidRDefault="007E2B4E" w:rsidP="00043103">
      <w:pPr>
        <w:rPr>
          <w:i/>
        </w:rPr>
      </w:pPr>
      <w:proofErr w:type="gramStart"/>
      <w:r w:rsidRPr="007E2B4E">
        <w:rPr>
          <w:i/>
        </w:rPr>
        <w:t>Question 1.</w:t>
      </w:r>
      <w:proofErr w:type="gramEnd"/>
      <w:r w:rsidRPr="007E2B4E">
        <w:rPr>
          <w:i/>
        </w:rPr>
        <w:t xml:space="preserve"> </w:t>
      </w:r>
      <w:r w:rsidR="00043103" w:rsidRPr="007E2B4E">
        <w:rPr>
          <w:i/>
        </w:rPr>
        <w:t xml:space="preserve">Wording of the </w:t>
      </w:r>
      <w:r w:rsidR="006D3BE0" w:rsidRPr="007E2B4E">
        <w:rPr>
          <w:i/>
        </w:rPr>
        <w:t>indication</w:t>
      </w:r>
      <w:r>
        <w:rPr>
          <w:i/>
        </w:rPr>
        <w:t>:</w:t>
      </w:r>
    </w:p>
    <w:p w:rsidR="00043103" w:rsidRPr="00043103" w:rsidRDefault="00043103" w:rsidP="00043103">
      <w:pPr>
        <w:ind w:left="720"/>
        <w:rPr>
          <w:i/>
        </w:rPr>
      </w:pPr>
      <w:r w:rsidRPr="00043103">
        <w:rPr>
          <w:i/>
        </w:rPr>
        <w:t>Current treatment algorithms clearly position corticosteroids as last</w:t>
      </w:r>
      <w:r w:rsidR="00D57E70">
        <w:rPr>
          <w:i/>
        </w:rPr>
        <w:t xml:space="preserve"> </w:t>
      </w:r>
      <w:r w:rsidRPr="00043103">
        <w:rPr>
          <w:i/>
        </w:rPr>
        <w:t>line treatment. Is there any benefit, in terms of informing ophthalmologists (</w:t>
      </w:r>
      <w:r w:rsidR="00740C73">
        <w:rPr>
          <w:i/>
        </w:rPr>
        <w:t>that is</w:t>
      </w:r>
      <w:r w:rsidRPr="00043103">
        <w:rPr>
          <w:i/>
        </w:rPr>
        <w:t xml:space="preserve">, the potential prescribers), of adding this to the </w:t>
      </w:r>
      <w:r w:rsidR="006D3BE0">
        <w:rPr>
          <w:i/>
        </w:rPr>
        <w:t>indication</w:t>
      </w:r>
      <w:r w:rsidRPr="00043103">
        <w:rPr>
          <w:i/>
        </w:rPr>
        <w:t xml:space="preserve">, as per the EMA? Put another way, is the FDA </w:t>
      </w:r>
      <w:r w:rsidR="006D3BE0">
        <w:rPr>
          <w:i/>
        </w:rPr>
        <w:t>indication</w:t>
      </w:r>
      <w:r w:rsidRPr="00043103">
        <w:rPr>
          <w:i/>
        </w:rPr>
        <w:t xml:space="preserve"> sufficient?</w:t>
      </w:r>
    </w:p>
    <w:p w:rsidR="0087728F" w:rsidRPr="0087728F" w:rsidRDefault="0087728F" w:rsidP="00043103">
      <w:pPr>
        <w:rPr>
          <w:i/>
        </w:rPr>
      </w:pPr>
      <w:r w:rsidRPr="0087728F">
        <w:rPr>
          <w:i/>
        </w:rPr>
        <w:t>Sponsor’s response</w:t>
      </w:r>
    </w:p>
    <w:p w:rsidR="00043103" w:rsidRPr="00043103" w:rsidRDefault="00043103" w:rsidP="00043103">
      <w:r w:rsidRPr="00043103">
        <w:t xml:space="preserve">The efficacy and safety of </w:t>
      </w:r>
      <w:r w:rsidR="007E59EA">
        <w:t>Ozurdex</w:t>
      </w:r>
      <w:r w:rsidRPr="00043103">
        <w:t xml:space="preserve"> in patients with DME was demonstrated in 2 masked, random</w:t>
      </w:r>
      <w:r w:rsidR="007E2B4E">
        <w:t>ised, controlled Phase III</w:t>
      </w:r>
      <w:r w:rsidRPr="00043103">
        <w:t xml:space="preserve"> studies 206207</w:t>
      </w:r>
      <w:r w:rsidR="00D57E70">
        <w:t xml:space="preserve"> </w:t>
      </w:r>
      <w:r w:rsidRPr="00043103">
        <w:t>010 and 206207</w:t>
      </w:r>
      <w:r w:rsidR="00D57E70">
        <w:t xml:space="preserve"> </w:t>
      </w:r>
      <w:r w:rsidRPr="00043103">
        <w:t>011.</w:t>
      </w:r>
      <w:r w:rsidR="005C2E04">
        <w:t xml:space="preserve"> </w:t>
      </w:r>
      <w:r w:rsidRPr="00043103">
        <w:t xml:space="preserve">Patients were randomised to treatment with </w:t>
      </w:r>
      <w:r w:rsidR="007E59EA">
        <w:t>Ozurdex</w:t>
      </w:r>
      <w:r w:rsidRPr="00043103">
        <w:t xml:space="preserve"> 700 µg or 350 µg compared to Sham (needleless applicator).</w:t>
      </w:r>
      <w:r w:rsidR="005C2E04">
        <w:t xml:space="preserve"> </w:t>
      </w:r>
      <w:r w:rsidRPr="00043103">
        <w:t xml:space="preserve">Patients received up to 7 treatments during the </w:t>
      </w:r>
      <w:r w:rsidR="006D3BE0">
        <w:t>3 year</w:t>
      </w:r>
      <w:r w:rsidRPr="00043103">
        <w:t xml:space="preserve"> study period.</w:t>
      </w:r>
    </w:p>
    <w:p w:rsidR="00043103" w:rsidRPr="00043103" w:rsidRDefault="00043103" w:rsidP="00043103">
      <w:r w:rsidRPr="00043103">
        <w:t>The long</w:t>
      </w:r>
      <w:r w:rsidR="00D57E70">
        <w:t xml:space="preserve"> </w:t>
      </w:r>
      <w:r w:rsidRPr="00043103">
        <w:t xml:space="preserve">term benefit of </w:t>
      </w:r>
      <w:r w:rsidR="007E59EA">
        <w:t>Ozurdex</w:t>
      </w:r>
      <w:r w:rsidRPr="00043103">
        <w:t xml:space="preserve"> in the general DME population was demonstrated using a number of clinically relevant and complementary endpoints. There was a clinically meaningful improvement of 15 or more letters in BCVA from baseline with </w:t>
      </w:r>
      <w:r w:rsidR="007E59EA">
        <w:t>Ozurdex</w:t>
      </w:r>
      <w:r w:rsidR="007E2B4E">
        <w:t xml:space="preserve"> 700 </w:t>
      </w:r>
      <w:r w:rsidRPr="00043103">
        <w:t>µg compared to Sham</w:t>
      </w:r>
      <w:r w:rsidR="007E2B4E">
        <w:t xml:space="preserve"> at the Y</w:t>
      </w:r>
      <w:r w:rsidRPr="00043103">
        <w:t>ear 3/final visit.</w:t>
      </w:r>
      <w:r w:rsidR="005C2E04">
        <w:t xml:space="preserve"> </w:t>
      </w:r>
      <w:r w:rsidRPr="00043103">
        <w:t>Furthermore, the BCVA average change from baseline during t</w:t>
      </w:r>
      <w:r w:rsidR="007E2B4E">
        <w:t>he study (AUC</w:t>
      </w:r>
      <w:r w:rsidRPr="00043103">
        <w:t xml:space="preserve"> approach) was significantly greater with </w:t>
      </w:r>
      <w:r w:rsidR="007E59EA">
        <w:t>Ozurdex</w:t>
      </w:r>
      <w:r w:rsidRPr="00043103">
        <w:t xml:space="preserve"> compared to Sham. As noted by the Delegate, the high incidence of cataract reduced the clinical meaningfulness of the results during the second year of the trial; however, following cataract surgery, vision improvement with </w:t>
      </w:r>
      <w:r w:rsidR="007E59EA">
        <w:t>Ozurdex</w:t>
      </w:r>
      <w:r w:rsidRPr="00043103">
        <w:t xml:space="preserve"> </w:t>
      </w:r>
      <w:r>
        <w:t xml:space="preserve">was </w:t>
      </w:r>
      <w:r w:rsidR="007E2B4E">
        <w:t>re-established</w:t>
      </w:r>
      <w:r>
        <w:t>.</w:t>
      </w:r>
    </w:p>
    <w:p w:rsidR="00043103" w:rsidRPr="00043103" w:rsidRDefault="00043103" w:rsidP="00043103">
      <w:r w:rsidRPr="00043103">
        <w:t xml:space="preserve">The benefits of treatment with </w:t>
      </w:r>
      <w:r w:rsidR="007E59EA">
        <w:t>Ozurdex</w:t>
      </w:r>
      <w:r w:rsidRPr="00043103">
        <w:t xml:space="preserve"> were observed following the first injection</w:t>
      </w:r>
      <w:r>
        <w:t xml:space="preserve"> with </w:t>
      </w:r>
      <w:r w:rsidRPr="00043103">
        <w:t>an early onset of action, and long duration of effect.</w:t>
      </w:r>
      <w:r w:rsidR="005C2E04">
        <w:t xml:space="preserve"> </w:t>
      </w:r>
      <w:r w:rsidRPr="00043103">
        <w:t>Following retreatment, patients achieved clinically relevant and statistically significant increases in visual acuity. This was further supported by rapid and sustained anatomical improvement as measured by optical coherence tomography (OCT).</w:t>
      </w:r>
    </w:p>
    <w:p w:rsidR="00043103" w:rsidRPr="00043103" w:rsidRDefault="00043103" w:rsidP="00043103">
      <w:r w:rsidRPr="00043103">
        <w:t>Allergan b</w:t>
      </w:r>
      <w:r w:rsidR="007E2B4E">
        <w:t>elieves that a positive benefit-</w:t>
      </w:r>
      <w:r w:rsidRPr="00043103">
        <w:t xml:space="preserve">risk profile for </w:t>
      </w:r>
      <w:r w:rsidR="007E59EA">
        <w:t>Ozurdex</w:t>
      </w:r>
      <w:r w:rsidRPr="00043103">
        <w:t xml:space="preserve"> was established for all patients with DME in the pivotal registration studies, but a</w:t>
      </w:r>
      <w:r w:rsidR="007E2B4E">
        <w:t>lso recognises that the benefit-</w:t>
      </w:r>
      <w:r w:rsidRPr="00043103">
        <w:t>risk profile is more favourable in particular patient subgroups.</w:t>
      </w:r>
    </w:p>
    <w:p w:rsidR="00043103" w:rsidRPr="00DE6DD1" w:rsidRDefault="00DE6DD1" w:rsidP="00DE6DD1">
      <w:r w:rsidRPr="00DE6DD1">
        <w:lastRenderedPageBreak/>
        <w:t xml:space="preserve">Compared to the general DME population, there are 2 subpopulations in which </w:t>
      </w:r>
      <w:r w:rsidR="007E59EA">
        <w:t>Ozurdex</w:t>
      </w:r>
      <w:r w:rsidRPr="00DE6DD1">
        <w:t xml:space="preserve"> dem</w:t>
      </w:r>
      <w:r w:rsidR="007E2B4E">
        <w:t>onstrates a more robust benefit-</w:t>
      </w:r>
      <w:r w:rsidRPr="00DE6DD1">
        <w:t>risk profile.</w:t>
      </w:r>
      <w:r w:rsidR="005C2E04">
        <w:t xml:space="preserve"> </w:t>
      </w:r>
      <w:r w:rsidRPr="00DE6DD1">
        <w:t>Firstly, the benefit of treatment is higher in pseudophakic patients because of the absence of cataract and its corresponding impact on vision, and the risk of treatment is reduced because cataract does not apply to such patients.</w:t>
      </w:r>
    </w:p>
    <w:p w:rsidR="00DE6DD1" w:rsidRPr="00DE6DD1" w:rsidRDefault="00DE6DD1" w:rsidP="00DE6DD1">
      <w:r w:rsidRPr="00DE6DD1">
        <w:t>Secondly, based on entry criteria patients in the pivotal studies represented a population that was considered unsuitable for or inadequately responsive to therapies that were available at the time the study began, including laser or other off</w:t>
      </w:r>
      <w:r w:rsidR="00D57E70">
        <w:t xml:space="preserve"> </w:t>
      </w:r>
      <w:r w:rsidRPr="00DE6DD1">
        <w:t>label pharmacological treatments (</w:t>
      </w:r>
      <w:r w:rsidR="007E2B4E">
        <w:t>that is</w:t>
      </w:r>
      <w:r w:rsidRPr="00DE6DD1">
        <w:t>, anti</w:t>
      </w:r>
      <w:r w:rsidR="00D57E70">
        <w:t xml:space="preserve"> </w:t>
      </w:r>
      <w:r w:rsidRPr="00DE6DD1">
        <w:t>VEGF, intravitreal triamcinolone).</w:t>
      </w:r>
      <w:r w:rsidR="005C2E04">
        <w:t xml:space="preserve"> </w:t>
      </w:r>
      <w:r w:rsidRPr="00DE6DD1">
        <w:t>For these patients, the relative risk of catara</w:t>
      </w:r>
      <w:r w:rsidR="007E2B4E">
        <w:t>cts and IOP</w:t>
      </w:r>
      <w:r w:rsidRPr="00DE6DD1">
        <w:t xml:space="preserve"> elevation is justifiable compared to the far more serious risk of irreversible vision loss in this population.</w:t>
      </w:r>
    </w:p>
    <w:p w:rsidR="00DE6DD1" w:rsidRPr="00DE6DD1" w:rsidRDefault="00DE6DD1" w:rsidP="00DE6DD1">
      <w:r w:rsidRPr="00DE6DD1">
        <w:t xml:space="preserve">Therefore, Allergan proposed to include these subpopulations in the following revised </w:t>
      </w:r>
      <w:r>
        <w:t>indication:</w:t>
      </w:r>
    </w:p>
    <w:p w:rsidR="00DE6DD1" w:rsidRPr="00DE6DD1" w:rsidRDefault="007E59EA" w:rsidP="00DE6DD1">
      <w:pPr>
        <w:ind w:left="720"/>
        <w:rPr>
          <w:i/>
        </w:rPr>
      </w:pPr>
      <w:r>
        <w:rPr>
          <w:i/>
        </w:rPr>
        <w:t>Ozurdex</w:t>
      </w:r>
      <w:r w:rsidR="00DE6DD1" w:rsidRPr="00DE6DD1">
        <w:rPr>
          <w:i/>
        </w:rPr>
        <w:t xml:space="preserve"> is indicated for the treatment of adult patients with diabetic macular oedema who are pseudophakic, or who are considered insufficiently responsive to, or unsuitable for </w:t>
      </w:r>
      <w:r w:rsidR="007E2B4E" w:rsidRPr="00DE6DD1">
        <w:rPr>
          <w:i/>
        </w:rPr>
        <w:t>non</w:t>
      </w:r>
      <w:r w:rsidR="007E2B4E">
        <w:rPr>
          <w:i/>
        </w:rPr>
        <w:t>-</w:t>
      </w:r>
      <w:r w:rsidR="007E2B4E" w:rsidRPr="00DE6DD1">
        <w:rPr>
          <w:i/>
        </w:rPr>
        <w:t>corticosteroid</w:t>
      </w:r>
      <w:r w:rsidR="00DE6DD1" w:rsidRPr="00DE6DD1">
        <w:rPr>
          <w:i/>
        </w:rPr>
        <w:t xml:space="preserve"> therapy</w:t>
      </w:r>
    </w:p>
    <w:p w:rsidR="00DE6DD1" w:rsidRDefault="00DE6DD1" w:rsidP="00DE6DD1">
      <w:r w:rsidRPr="00DE6DD1">
        <w:t>However, as the Delegate points out, current treatment algorithms would indicate that clinicians would already be aware of the relevant DME patient subgroups that would be appropriate for treatment.</w:t>
      </w:r>
      <w:r w:rsidR="005C2E04">
        <w:t xml:space="preserve"> </w:t>
      </w:r>
      <w:r w:rsidRPr="00DE6DD1">
        <w:t>Retina specialists understand the seriousness of sight</w:t>
      </w:r>
      <w:r w:rsidR="00D57E70">
        <w:t xml:space="preserve"> </w:t>
      </w:r>
      <w:r w:rsidRPr="00DE6DD1">
        <w:t xml:space="preserve">threatening DME, and where </w:t>
      </w:r>
      <w:r w:rsidR="007E59EA">
        <w:t>Ozurdex</w:t>
      </w:r>
      <w:r w:rsidRPr="00DE6DD1">
        <w:t xml:space="preserve"> 700 µg lies within the armamentarium.</w:t>
      </w:r>
      <w:r w:rsidR="005C2E04">
        <w:t xml:space="preserve"> </w:t>
      </w:r>
      <w:r w:rsidRPr="00DE6DD1">
        <w:t>Allergan believes the treating physician is in the best po</w:t>
      </w:r>
      <w:r w:rsidR="007E2B4E">
        <w:t>sition to determine the benefit-</w:t>
      </w:r>
      <w:r w:rsidRPr="00DE6DD1">
        <w:t>risk balance for the patient, based on their individual history and condition. Therefore there may be limited value in adding these subpopulations specifically to the indication. As such, Allergan is supportive of revising the indication to remove reference to t</w:t>
      </w:r>
      <w:r w:rsidR="007E2B4E">
        <w:t>hese specific subpopulations (that is</w:t>
      </w:r>
      <w:r w:rsidRPr="00DE6DD1">
        <w:t>, equivalent to the FDA indication). The indication therefore would be the</w:t>
      </w:r>
      <w:r>
        <w:t xml:space="preserve"> following</w:t>
      </w:r>
      <w:r w:rsidR="007E2B4E">
        <w:t>:</w:t>
      </w:r>
    </w:p>
    <w:p w:rsidR="00DE6DD1" w:rsidRPr="007E2B4E" w:rsidRDefault="007E59EA" w:rsidP="007E2B4E">
      <w:pPr>
        <w:ind w:left="720"/>
        <w:rPr>
          <w:i/>
        </w:rPr>
      </w:pPr>
      <w:r w:rsidRPr="007E2B4E">
        <w:rPr>
          <w:i/>
        </w:rPr>
        <w:t>Ozurdex</w:t>
      </w:r>
      <w:r w:rsidR="00DE6DD1" w:rsidRPr="007E2B4E">
        <w:rPr>
          <w:i/>
        </w:rPr>
        <w:t xml:space="preserve"> is indicated for the treatment of adult patients with diabetic macular oedema</w:t>
      </w:r>
    </w:p>
    <w:p w:rsidR="00DE6DD1" w:rsidRPr="0087728F" w:rsidRDefault="0087728F" w:rsidP="00DE6DD1">
      <w:pPr>
        <w:rPr>
          <w:i/>
        </w:rPr>
      </w:pPr>
      <w:proofErr w:type="gramStart"/>
      <w:r w:rsidRPr="0087728F">
        <w:rPr>
          <w:i/>
        </w:rPr>
        <w:t>Question 2.</w:t>
      </w:r>
      <w:proofErr w:type="gramEnd"/>
      <w:r w:rsidRPr="0087728F">
        <w:rPr>
          <w:i/>
        </w:rPr>
        <w:t xml:space="preserve"> </w:t>
      </w:r>
      <w:proofErr w:type="gramStart"/>
      <w:r w:rsidR="00DE6DD1" w:rsidRPr="0087728F">
        <w:rPr>
          <w:i/>
        </w:rPr>
        <w:t>Wording about re</w:t>
      </w:r>
      <w:r w:rsidR="00D57E70" w:rsidRPr="0087728F">
        <w:rPr>
          <w:i/>
        </w:rPr>
        <w:t xml:space="preserve"> </w:t>
      </w:r>
      <w:r w:rsidR="00DE6DD1" w:rsidRPr="0087728F">
        <w:rPr>
          <w:i/>
        </w:rPr>
        <w:t xml:space="preserve">treatment in the </w:t>
      </w:r>
      <w:r w:rsidRPr="0087728F">
        <w:rPr>
          <w:i/>
        </w:rPr>
        <w:t xml:space="preserve">dosage and administration </w:t>
      </w:r>
      <w:r w:rsidR="00DE6DD1" w:rsidRPr="0087728F">
        <w:rPr>
          <w:i/>
        </w:rPr>
        <w:t>section</w:t>
      </w:r>
      <w:r w:rsidR="005C2E04" w:rsidRPr="0087728F">
        <w:rPr>
          <w:i/>
        </w:rPr>
        <w:t xml:space="preserve"> </w:t>
      </w:r>
      <w:r w:rsidRPr="0087728F">
        <w:rPr>
          <w:i/>
        </w:rPr>
        <w:t>of the PI.</w:t>
      </w:r>
      <w:proofErr w:type="gramEnd"/>
    </w:p>
    <w:p w:rsidR="00DE6DD1" w:rsidRPr="00DE6DD1" w:rsidRDefault="00DE6DD1" w:rsidP="00DE6DD1">
      <w:pPr>
        <w:rPr>
          <w:i/>
        </w:rPr>
      </w:pPr>
      <w:r w:rsidRPr="00DE6DD1">
        <w:rPr>
          <w:i/>
        </w:rPr>
        <w:t>The protocol in pivotal RCTs was for a 6</w:t>
      </w:r>
      <w:r w:rsidR="00D57E70">
        <w:rPr>
          <w:i/>
        </w:rPr>
        <w:t xml:space="preserve"> </w:t>
      </w:r>
      <w:r w:rsidRPr="00DE6DD1">
        <w:rPr>
          <w:i/>
        </w:rPr>
        <w:t>monthly dosing interval, but there is some evidence that more frequent dosing might be beneficial. The EMA has requested a post</w:t>
      </w:r>
      <w:r w:rsidR="00D57E70">
        <w:rPr>
          <w:i/>
        </w:rPr>
        <w:t xml:space="preserve"> </w:t>
      </w:r>
      <w:r w:rsidRPr="00DE6DD1">
        <w:rPr>
          <w:i/>
        </w:rPr>
        <w:t>approval study to clarify the dosing interval. Generally speaking, the dosing instructions in the Australian PI should align with one of the major overseas regulators (</w:t>
      </w:r>
      <w:r w:rsidR="00211DFA">
        <w:rPr>
          <w:i/>
        </w:rPr>
        <w:t>for example</w:t>
      </w:r>
      <w:r w:rsidRPr="00DE6DD1">
        <w:rPr>
          <w:i/>
        </w:rPr>
        <w:t>, EMA, FDA). Please comment on</w:t>
      </w:r>
      <w:r w:rsidR="0087728F">
        <w:rPr>
          <w:i/>
        </w:rPr>
        <w:t xml:space="preserve"> the EMA versus the FDA wording</w:t>
      </w:r>
    </w:p>
    <w:p w:rsidR="0087728F" w:rsidRPr="0087728F" w:rsidRDefault="0087728F" w:rsidP="00DE6DD1">
      <w:pPr>
        <w:rPr>
          <w:i/>
        </w:rPr>
      </w:pPr>
      <w:r w:rsidRPr="0087728F">
        <w:rPr>
          <w:i/>
        </w:rPr>
        <w:t>Sponsor’s response</w:t>
      </w:r>
    </w:p>
    <w:p w:rsidR="00DE6DD1" w:rsidRPr="00DE6DD1" w:rsidRDefault="00DE6DD1" w:rsidP="00DE6DD1">
      <w:r w:rsidRPr="00DE6DD1">
        <w:t>Starting</w:t>
      </w:r>
      <w:r w:rsidR="0087728F">
        <w:t xml:space="preserve"> from the month 6 visit in the Phase III</w:t>
      </w:r>
      <w:r w:rsidRPr="00DE6DD1">
        <w:t xml:space="preserve"> studies (206207</w:t>
      </w:r>
      <w:r w:rsidR="00D57E70">
        <w:t xml:space="preserve"> </w:t>
      </w:r>
      <w:r w:rsidRPr="00DE6DD1">
        <w:t>010 and 206207</w:t>
      </w:r>
      <w:r w:rsidR="00D57E70">
        <w:t xml:space="preserve"> </w:t>
      </w:r>
      <w:r w:rsidRPr="00DE6DD1">
        <w:t>011), patients were evaluated for retreatment eligibility every 3 months. Patients were eligible for retreatment if retinal thickness in the 1 mm central ma</w:t>
      </w:r>
      <w:r w:rsidR="0087728F">
        <w:t>cular subfield by OCT was &gt; 175 </w:t>
      </w:r>
      <w:r w:rsidRPr="00DE6DD1">
        <w:t>µm or upon investigator interpretation of the OCT for any evidence of residual retinal oedema consisting of intra</w:t>
      </w:r>
      <w:r w:rsidR="0087728F">
        <w:t xml:space="preserve"> </w:t>
      </w:r>
      <w:r w:rsidRPr="00DE6DD1">
        <w:t xml:space="preserve">retinal cysts or any regions of increased retinal thickening (within or outside of the </w:t>
      </w:r>
      <w:r w:rsidR="0087728F" w:rsidRPr="00DE6DD1">
        <w:t>centre</w:t>
      </w:r>
      <w:r w:rsidRPr="00DE6DD1">
        <w:t xml:space="preserve"> subfield).</w:t>
      </w:r>
      <w:r w:rsidR="005C2E04">
        <w:t xml:space="preserve"> </w:t>
      </w:r>
      <w:r w:rsidR="0087728F">
        <w:t>In the pooled Phase III</w:t>
      </w:r>
      <w:r w:rsidRPr="00DE6DD1">
        <w:t xml:space="preserve"> studies, during the course of the </w:t>
      </w:r>
      <w:r w:rsidR="006D3BE0">
        <w:t>3 year</w:t>
      </w:r>
      <w:r w:rsidRPr="00DE6DD1">
        <w:t xml:space="preserve"> study period, a total of 1</w:t>
      </w:r>
      <w:r w:rsidR="0087728F">
        <w:t>,</w:t>
      </w:r>
      <w:r w:rsidRPr="00DE6DD1">
        <w:t xml:space="preserve">080 study retreatments for </w:t>
      </w:r>
      <w:r w:rsidR="007E59EA">
        <w:t>Ozurdex</w:t>
      </w:r>
      <w:r w:rsidRPr="00DE6DD1">
        <w:t xml:space="preserve"> were administered.</w:t>
      </w:r>
    </w:p>
    <w:p w:rsidR="00DE6DD1" w:rsidRPr="00DE6DD1" w:rsidRDefault="00DE6DD1" w:rsidP="00DE6DD1">
      <w:r w:rsidRPr="00DE6DD1">
        <w:t>Approximately 80% of the retreatments were administered between 5 to 7 m</w:t>
      </w:r>
      <w:r w:rsidR="0087728F">
        <w:t xml:space="preserve">onths after the prior treatment </w:t>
      </w:r>
      <w:r w:rsidRPr="00DE6DD1">
        <w:t xml:space="preserve">Allergan acknowledges that more frequent (than 6 monthly) dosing may be beneficial, and </w:t>
      </w:r>
      <w:bookmarkStart w:id="150" w:name="350_mcg_vs_700_mcg"/>
      <w:bookmarkEnd w:id="150"/>
      <w:r w:rsidRPr="00DE6DD1">
        <w:t xml:space="preserve">does not believe that restriction of retreatment to strictly 6 months is warranted. Allergan proposes that the current statement in </w:t>
      </w:r>
      <w:r w:rsidR="0087728F" w:rsidRPr="00DE6DD1">
        <w:t xml:space="preserve">the dosage and administration </w:t>
      </w:r>
      <w:r w:rsidRPr="00DE6DD1">
        <w:t>section of the PI document should be modified to the following:</w:t>
      </w:r>
    </w:p>
    <w:p w:rsidR="00DE6DD1" w:rsidRPr="00DE6DD1" w:rsidRDefault="00DE6DD1" w:rsidP="00DE6DD1">
      <w:r w:rsidRPr="00DE6DD1">
        <w:lastRenderedPageBreak/>
        <w:t xml:space="preserve">Patients treated with </w:t>
      </w:r>
      <w:r w:rsidR="007E59EA">
        <w:t>Ozurdex</w:t>
      </w:r>
      <w:r w:rsidRPr="00DE6DD1">
        <w:t xml:space="preserve"> who have experienced an initial response, and in the physician’s opinion may benefit from retreatment without being exposed to significant risk, should be considered for retreatment.</w:t>
      </w:r>
      <w:r w:rsidR="005C2E04">
        <w:t xml:space="preserve"> </w:t>
      </w:r>
      <w:r w:rsidRPr="00DE6DD1">
        <w:t xml:space="preserve">Retreatment with </w:t>
      </w:r>
      <w:r w:rsidR="007E59EA">
        <w:t>Ozurdex</w:t>
      </w:r>
      <w:r w:rsidRPr="00DE6DD1">
        <w:t xml:space="preserve"> is recommended if the patient experiences decreased vision and/or an increase in retinal thickness, secondary or worsening DME.</w:t>
      </w:r>
      <w:r w:rsidR="005C2E04">
        <w:t xml:space="preserve"> </w:t>
      </w:r>
      <w:r w:rsidRPr="00DE6DD1">
        <w:t>In clinical trials, the majority of retreatments were administered between 5 and 7 months after a prior treatment.</w:t>
      </w:r>
    </w:p>
    <w:p w:rsidR="00DE6DD1" w:rsidRPr="00DE6DD1" w:rsidRDefault="00DE6DD1" w:rsidP="00DE6DD1">
      <w:r w:rsidRPr="00DE6DD1">
        <w:t xml:space="preserve">The proposed language is largely consistent with the concepts in the USPI and the EU </w:t>
      </w:r>
      <w:proofErr w:type="spellStart"/>
      <w:r w:rsidR="0087728F">
        <w:t>SmPC</w:t>
      </w:r>
      <w:proofErr w:type="spellEnd"/>
      <w:r w:rsidRPr="00DE6DD1">
        <w:t>.</w:t>
      </w:r>
    </w:p>
    <w:p w:rsidR="00DE6DD1" w:rsidRPr="00DE6DD1" w:rsidRDefault="00DE6DD1" w:rsidP="00DE6DD1">
      <w:r w:rsidRPr="00DE6DD1">
        <w:t>Currently, a post</w:t>
      </w:r>
      <w:r w:rsidR="00D57E70">
        <w:t xml:space="preserve"> </w:t>
      </w:r>
      <w:r w:rsidRPr="00DE6DD1">
        <w:t xml:space="preserve">authorisation study is planned to better understand the use of </w:t>
      </w:r>
      <w:r w:rsidR="007E59EA">
        <w:t>Ozurdex</w:t>
      </w:r>
      <w:r w:rsidRPr="00DE6DD1">
        <w:t xml:space="preserve"> in real</w:t>
      </w:r>
      <w:r w:rsidR="00D57E70">
        <w:t xml:space="preserve"> </w:t>
      </w:r>
      <w:r w:rsidRPr="00DE6DD1">
        <w:t xml:space="preserve">world clinical practice for the treatment of DME, </w:t>
      </w:r>
      <w:proofErr w:type="spellStart"/>
      <w:r w:rsidRPr="00DE6DD1">
        <w:t>ie</w:t>
      </w:r>
      <w:proofErr w:type="spellEnd"/>
      <w:r w:rsidRPr="00DE6DD1">
        <w:t>, real</w:t>
      </w:r>
      <w:r w:rsidR="00D57E70">
        <w:t xml:space="preserve"> </w:t>
      </w:r>
      <w:r w:rsidRPr="00DE6DD1">
        <w:t xml:space="preserve">world effectiveness and safety data for treatment with </w:t>
      </w:r>
      <w:r w:rsidR="007E59EA">
        <w:t>Ozurdex</w:t>
      </w:r>
      <w:r w:rsidRPr="00DE6DD1">
        <w:t xml:space="preserve"> as both monotherapy and combination therapy in both treatment</w:t>
      </w:r>
      <w:r w:rsidR="00D57E70">
        <w:t xml:space="preserve"> </w:t>
      </w:r>
      <w:r w:rsidRPr="00DE6DD1">
        <w:t>naïve and previously</w:t>
      </w:r>
      <w:r w:rsidR="00D57E70">
        <w:t xml:space="preserve"> </w:t>
      </w:r>
      <w:r w:rsidRPr="00DE6DD1">
        <w:t>treated DME patients. Allergan will review the findings from this study once available, and propose changes to the dosing section of the PI if necessary.</w:t>
      </w:r>
    </w:p>
    <w:p w:rsidR="00DE6DD1" w:rsidRPr="0087728F" w:rsidRDefault="0087728F" w:rsidP="00DE6DD1">
      <w:pPr>
        <w:rPr>
          <w:i/>
        </w:rPr>
      </w:pPr>
      <w:proofErr w:type="gramStart"/>
      <w:r w:rsidRPr="0087728F">
        <w:rPr>
          <w:i/>
        </w:rPr>
        <w:t>Question 3.</w:t>
      </w:r>
      <w:proofErr w:type="gramEnd"/>
      <w:r w:rsidRPr="0087728F">
        <w:rPr>
          <w:i/>
        </w:rPr>
        <w:t xml:space="preserve"> Bilateral use</w:t>
      </w:r>
    </w:p>
    <w:p w:rsidR="00DE6DD1" w:rsidRPr="00DE6DD1" w:rsidRDefault="00DE6DD1" w:rsidP="00DE6DD1">
      <w:pPr>
        <w:rPr>
          <w:i/>
        </w:rPr>
      </w:pPr>
      <w:r w:rsidRPr="00DE6DD1">
        <w:rPr>
          <w:i/>
        </w:rPr>
        <w:t>It seems reasonable that the PI state that concurrent bilateral use has not been studied. Should it also state that concurrent use is not recommended?</w:t>
      </w:r>
    </w:p>
    <w:p w:rsidR="0087728F" w:rsidRPr="0087728F" w:rsidRDefault="0087728F" w:rsidP="00DE6DD1">
      <w:pPr>
        <w:rPr>
          <w:i/>
        </w:rPr>
      </w:pPr>
      <w:r w:rsidRPr="0087728F">
        <w:rPr>
          <w:i/>
        </w:rPr>
        <w:t>Sponsor’s response</w:t>
      </w:r>
    </w:p>
    <w:p w:rsidR="00DE6DD1" w:rsidRPr="00DE6DD1" w:rsidRDefault="00DE6DD1" w:rsidP="00DE6DD1">
      <w:r w:rsidRPr="00DE6DD1">
        <w:t>Allergan agrees to accept the committee’s advice on whether to keep the statement “administration to both eyes is not recommended” or remove it.</w:t>
      </w:r>
      <w:r w:rsidR="005C2E04">
        <w:t xml:space="preserve"> </w:t>
      </w:r>
      <w:r w:rsidRPr="00DE6DD1">
        <w:t>However if the ACPM recommends keeping the statement, then Allergan would request that the statement be further clarified as “adminis</w:t>
      </w:r>
      <w:r w:rsidR="0087728F">
        <w:t>tration to both eyes at the same ti</w:t>
      </w:r>
      <w:r w:rsidRPr="00DE6DD1">
        <w:t>me is not recommended”.</w:t>
      </w:r>
    </w:p>
    <w:p w:rsidR="00DE6DD1" w:rsidRPr="0087728F" w:rsidRDefault="0087728F" w:rsidP="00DE6DD1">
      <w:pPr>
        <w:rPr>
          <w:i/>
        </w:rPr>
      </w:pPr>
      <w:r w:rsidRPr="0087728F">
        <w:rPr>
          <w:i/>
        </w:rPr>
        <w:t>Delegate’s comment on dose strength</w:t>
      </w:r>
      <w:r>
        <w:rPr>
          <w:i/>
        </w:rPr>
        <w:t xml:space="preserve"> </w:t>
      </w:r>
      <w:r w:rsidR="00DE6DD1" w:rsidRPr="0087728F">
        <w:rPr>
          <w:i/>
        </w:rPr>
        <w:t xml:space="preserve">350 </w:t>
      </w:r>
      <w:r w:rsidR="00233047" w:rsidRPr="0087728F">
        <w:rPr>
          <w:i/>
        </w:rPr>
        <w:t>µg</w:t>
      </w:r>
      <w:r>
        <w:rPr>
          <w:i/>
        </w:rPr>
        <w:t xml:space="preserve"> versus</w:t>
      </w:r>
      <w:r w:rsidR="00DE6DD1" w:rsidRPr="0087728F">
        <w:rPr>
          <w:i/>
        </w:rPr>
        <w:t xml:space="preserve"> 700 </w:t>
      </w:r>
      <w:r w:rsidR="00233047" w:rsidRPr="0087728F">
        <w:rPr>
          <w:i/>
        </w:rPr>
        <w:t>µg</w:t>
      </w:r>
    </w:p>
    <w:p w:rsidR="00DE6DD1" w:rsidRPr="005E04D0" w:rsidRDefault="00DE6DD1" w:rsidP="00DE6DD1">
      <w:pPr>
        <w:rPr>
          <w:i/>
        </w:rPr>
      </w:pPr>
      <w:r w:rsidRPr="005E04D0">
        <w:rPr>
          <w:i/>
        </w:rPr>
        <w:t xml:space="preserve">Given there is no safety advantage from the lower </w:t>
      </w:r>
      <w:r w:rsidRPr="0087728F">
        <w:rPr>
          <w:i/>
        </w:rPr>
        <w:t xml:space="preserve">350 </w:t>
      </w:r>
      <w:r w:rsidR="00233047" w:rsidRPr="0087728F">
        <w:rPr>
          <w:i/>
        </w:rPr>
        <w:t>µg</w:t>
      </w:r>
      <w:r w:rsidRPr="005E04D0">
        <w:rPr>
          <w:i/>
        </w:rPr>
        <w:t xml:space="preserve"> dose, does the decision to only register and market the </w:t>
      </w:r>
      <w:r w:rsidRPr="0087728F">
        <w:rPr>
          <w:i/>
        </w:rPr>
        <w:t xml:space="preserve">700 </w:t>
      </w:r>
      <w:r w:rsidR="00233047" w:rsidRPr="0087728F">
        <w:rPr>
          <w:i/>
        </w:rPr>
        <w:t>µg</w:t>
      </w:r>
      <w:r w:rsidRPr="0087728F">
        <w:rPr>
          <w:i/>
        </w:rPr>
        <w:t xml:space="preserve"> dose</w:t>
      </w:r>
      <w:r w:rsidRPr="005E04D0">
        <w:rPr>
          <w:i/>
        </w:rPr>
        <w:t xml:space="preserve"> seem reasonable?</w:t>
      </w:r>
    </w:p>
    <w:p w:rsidR="0087728F" w:rsidRPr="0087728F" w:rsidRDefault="0087728F" w:rsidP="00DE6DD1">
      <w:pPr>
        <w:rPr>
          <w:i/>
        </w:rPr>
      </w:pPr>
      <w:r w:rsidRPr="0087728F">
        <w:rPr>
          <w:i/>
        </w:rPr>
        <w:t>Sponsor’s response</w:t>
      </w:r>
    </w:p>
    <w:p w:rsidR="00DE6DD1" w:rsidRPr="00DE6DD1" w:rsidRDefault="00DE6DD1" w:rsidP="00DE6DD1">
      <w:r w:rsidRPr="00DE6DD1">
        <w:t xml:space="preserve">In </w:t>
      </w:r>
      <w:r w:rsidR="0087728F">
        <w:t>each of the P</w:t>
      </w:r>
      <w:r w:rsidRPr="00DE6DD1">
        <w:t xml:space="preserve">hase </w:t>
      </w:r>
      <w:r w:rsidR="0087728F">
        <w:t>III</w:t>
      </w:r>
      <w:r w:rsidRPr="00DE6DD1">
        <w:t xml:space="preserve"> studies (206207</w:t>
      </w:r>
      <w:r w:rsidR="00D57E70">
        <w:t xml:space="preserve"> </w:t>
      </w:r>
      <w:r w:rsidRPr="00DE6DD1">
        <w:t>010 and 206207</w:t>
      </w:r>
      <w:r w:rsidR="00D57E70">
        <w:t xml:space="preserve"> </w:t>
      </w:r>
      <w:r w:rsidRPr="00DE6DD1">
        <w:t xml:space="preserve">011) and the pooled analysis, both the 350 µg and 700 µg doses were shown to be effective in treating macular oedema associated with diabetes. The 700 µg dose however generally showed a greater and more consistent response than 350 µg compared to Sham. </w:t>
      </w:r>
      <w:r w:rsidR="007E59EA">
        <w:t>Ozurdex</w:t>
      </w:r>
      <w:r w:rsidRPr="00DE6DD1">
        <w:t xml:space="preserve"> was well tolerated with up to 7 treatments over 3 years. Ocular adverse events were consistent with ophthalmic steroid therapy, and the overall safety profiles were similar between the 700</w:t>
      </w:r>
      <w:r w:rsidR="00D57E70">
        <w:t xml:space="preserve"> </w:t>
      </w:r>
      <w:r w:rsidRPr="00DE6DD1">
        <w:t>µg and 350</w:t>
      </w:r>
      <w:r w:rsidR="00E51892">
        <w:t> </w:t>
      </w:r>
      <w:r w:rsidRPr="00DE6DD1">
        <w:t xml:space="preserve">µg </w:t>
      </w:r>
      <w:r w:rsidR="005E04D0">
        <w:t>doses.</w:t>
      </w:r>
    </w:p>
    <w:p w:rsidR="005E04D0" w:rsidRPr="005E04D0" w:rsidRDefault="00DE6DD1" w:rsidP="005E04D0">
      <w:r w:rsidRPr="00DE6DD1">
        <w:t xml:space="preserve">Overall, a numerical trend of better efficacy with </w:t>
      </w:r>
      <w:r w:rsidR="007E59EA">
        <w:t>Ozurdex</w:t>
      </w:r>
      <w:r w:rsidRPr="00DE6DD1">
        <w:t xml:space="preserve"> 700 µg compared to 350 µg was observed across the spectrum of efficacy endpoints, which in the absence of dose</w:t>
      </w:r>
      <w:r w:rsidR="00D57E70">
        <w:t xml:space="preserve"> </w:t>
      </w:r>
      <w:r w:rsidRPr="00DE6DD1">
        <w:t xml:space="preserve">dependent clinically relevant side effects suggests the use of </w:t>
      </w:r>
      <w:r w:rsidR="007E59EA">
        <w:t>Ozurdex</w:t>
      </w:r>
      <w:r w:rsidRPr="00DE6DD1">
        <w:t xml:space="preserve"> 700 </w:t>
      </w:r>
      <w:r w:rsidR="0087728F">
        <w:t xml:space="preserve">µg in this </w:t>
      </w:r>
      <w:r w:rsidR="005E04D0" w:rsidRPr="005E04D0">
        <w:t>population to maximise the treatment benefit. Allergan, therefore, is seeking on</w:t>
      </w:r>
      <w:r w:rsidR="0087728F">
        <w:t>ly approval of the 700 µg dose.</w:t>
      </w:r>
    </w:p>
    <w:p w:rsidR="005E04D0" w:rsidRPr="005E04D0" w:rsidRDefault="0087728F" w:rsidP="0087728F">
      <w:pPr>
        <w:pStyle w:val="Heading5"/>
      </w:pPr>
      <w:r>
        <w:t xml:space="preserve">Quality </w:t>
      </w:r>
      <w:r w:rsidR="00BA14B0">
        <w:t>e</w:t>
      </w:r>
      <w:r>
        <w:t>valuation</w:t>
      </w:r>
    </w:p>
    <w:p w:rsidR="005E04D0" w:rsidRPr="005E04D0" w:rsidRDefault="005E04D0" w:rsidP="005E04D0">
      <w:r w:rsidRPr="005E04D0">
        <w:rPr>
          <w:i/>
        </w:rPr>
        <w:t>The pharmaceutical chemistry evaluator did not recommend approval because the proposed in vitro dissolution release limits have not been justified</w:t>
      </w:r>
      <w:r w:rsidRPr="005E04D0">
        <w:t>.</w:t>
      </w:r>
    </w:p>
    <w:p w:rsidR="005E04D0" w:rsidRDefault="005E04D0" w:rsidP="005E04D0">
      <w:r w:rsidRPr="00205340">
        <w:t>In an email to the TGA dated 12 February 2015, Allergan agreed to adopt the evaluator’s suggested in vitro dissolution release limits in full.</w:t>
      </w:r>
      <w:r w:rsidR="005C2E04" w:rsidRPr="00205340">
        <w:t xml:space="preserve"> </w:t>
      </w:r>
      <w:r w:rsidRPr="00205340">
        <w:t>Consequently, the TGA issued an updated round 2 quality evaluation report and an updated quality ACPM summary on 13 February 2015, in which the evaluator recommended approval.</w:t>
      </w:r>
    </w:p>
    <w:p w:rsidR="005E04D0" w:rsidRPr="005A10F3" w:rsidRDefault="005A10F3" w:rsidP="005A10F3">
      <w:pPr>
        <w:pStyle w:val="Heading5"/>
      </w:pPr>
      <w:r w:rsidRPr="005A10F3">
        <w:lastRenderedPageBreak/>
        <w:t>Conclusion</w:t>
      </w:r>
    </w:p>
    <w:p w:rsidR="005E04D0" w:rsidRPr="005E04D0" w:rsidRDefault="005E04D0" w:rsidP="005E04D0">
      <w:r w:rsidRPr="005E04D0">
        <w:t xml:space="preserve">Intravitreal dexamethasone, in the form of </w:t>
      </w:r>
      <w:r w:rsidR="007E59EA">
        <w:t>Ozurdex</w:t>
      </w:r>
      <w:r w:rsidRPr="005E04D0">
        <w:t>, targets multiple pro</w:t>
      </w:r>
      <w:r w:rsidR="00D57E70">
        <w:t xml:space="preserve"> </w:t>
      </w:r>
      <w:r w:rsidRPr="005E04D0">
        <w:t>inflammatory factors associated with DME, with a slow release profile from the biodegradable implant.</w:t>
      </w:r>
    </w:p>
    <w:p w:rsidR="005E04D0" w:rsidRPr="005E04D0" w:rsidRDefault="005E04D0" w:rsidP="005E04D0">
      <w:r w:rsidRPr="005E04D0">
        <w:t>A flexible retreatment paradigm with defined minimum dosing intervals avoids overtreatment and reduces the treatment burden compared to other available therapies.</w:t>
      </w:r>
      <w:r w:rsidR="005C2E04">
        <w:t xml:space="preserve"> </w:t>
      </w:r>
      <w:r w:rsidR="007E59EA">
        <w:t>Ozurdex</w:t>
      </w:r>
      <w:r w:rsidR="005A10F3">
        <w:t xml:space="preserve"> has </w:t>
      </w:r>
      <w:r w:rsidRPr="005E04D0">
        <w:t xml:space="preserve">been shown to be effective in treating DME in the overall study population as well as multiple patient subgroups, and has a </w:t>
      </w:r>
      <w:r w:rsidR="005A10F3" w:rsidRPr="005E04D0">
        <w:t>well</w:t>
      </w:r>
      <w:r w:rsidR="005A10F3">
        <w:t>-</w:t>
      </w:r>
      <w:r w:rsidR="005A10F3" w:rsidRPr="005E04D0">
        <w:t>defined</w:t>
      </w:r>
      <w:r w:rsidRPr="005E04D0">
        <w:t xml:space="preserve"> safety profile with 111,561 patient</w:t>
      </w:r>
      <w:r w:rsidR="00D57E70">
        <w:t xml:space="preserve"> </w:t>
      </w:r>
      <w:r w:rsidRPr="005E04D0">
        <w:t xml:space="preserve">years of use and no systemic drug </w:t>
      </w:r>
      <w:r>
        <w:t>reactions.</w:t>
      </w:r>
    </w:p>
    <w:p w:rsidR="005E04D0" w:rsidRPr="005E04D0" w:rsidRDefault="005E04D0" w:rsidP="005E04D0">
      <w:r w:rsidRPr="005E04D0">
        <w:t xml:space="preserve">Allergan </w:t>
      </w:r>
      <w:r>
        <w:t>therefore:</w:t>
      </w:r>
    </w:p>
    <w:p w:rsidR="005E04D0" w:rsidRPr="005E04D0" w:rsidRDefault="005E04D0" w:rsidP="005E04D0">
      <w:pPr>
        <w:pStyle w:val="ListBullet"/>
      </w:pPr>
      <w:r w:rsidRPr="005E04D0">
        <w:t xml:space="preserve">Agrees with the Delegate’s conclusion that </w:t>
      </w:r>
      <w:r w:rsidR="007E59EA">
        <w:t>Ozurdex</w:t>
      </w:r>
      <w:r w:rsidRPr="005E04D0">
        <w:t xml:space="preserve"> should be approved for the treatment of </w:t>
      </w:r>
      <w:r>
        <w:t>DME.</w:t>
      </w:r>
    </w:p>
    <w:p w:rsidR="005E04D0" w:rsidRPr="005E04D0" w:rsidRDefault="005E04D0" w:rsidP="005E04D0">
      <w:pPr>
        <w:pStyle w:val="ListBullet"/>
      </w:pPr>
      <w:r w:rsidRPr="005E04D0">
        <w:t>Notes the Delegate’s comments regarding the place of corticosteroid treatment in the treatment algorithm and believes that there may be limited benefit in specifying those subpopulations in the</w:t>
      </w:r>
      <w:r>
        <w:t xml:space="preserve"> indications</w:t>
      </w:r>
    </w:p>
    <w:p w:rsidR="00DE6DD1" w:rsidRPr="005E04D0" w:rsidRDefault="005E04D0" w:rsidP="005E04D0">
      <w:pPr>
        <w:pStyle w:val="ListBullet"/>
      </w:pPr>
      <w:r w:rsidRPr="005E04D0">
        <w:t>Notes the Delegate’s comment that more frequent dosing might be beneficial, and have proposed wording for the Dosage and Administration section accordingly.</w:t>
      </w:r>
    </w:p>
    <w:p w:rsidR="008E7846" w:rsidRDefault="008E7846" w:rsidP="008E7846">
      <w:pPr>
        <w:pStyle w:val="Heading4"/>
      </w:pPr>
      <w:r>
        <w:t xml:space="preserve">Advisory </w:t>
      </w:r>
      <w:r w:rsidR="00BA14B0">
        <w:t>committee considerations</w:t>
      </w:r>
    </w:p>
    <w:p w:rsidR="00104625" w:rsidRDefault="00D23139" w:rsidP="008E7846">
      <w:pPr>
        <w:rPr>
          <w:bCs/>
        </w:rPr>
      </w:pPr>
      <w:r w:rsidRPr="00D23139">
        <w:rPr>
          <w:bCs/>
        </w:rPr>
        <w:t>The Advisory Committee on Prescription Medicines (ACPM), having considered the evaluations and the Delegate’s overview, as well as the sponsor’s response to these documents, advised the following:</w:t>
      </w:r>
    </w:p>
    <w:p w:rsidR="00104625" w:rsidRPr="00104625" w:rsidRDefault="00104625" w:rsidP="00104625">
      <w:r w:rsidRPr="00104625">
        <w:t>The ACPM, taking into account the submitted evidence of efficacy, safet</w:t>
      </w:r>
      <w:r w:rsidR="005A10F3">
        <w:t>y and quality, agreed with the D</w:t>
      </w:r>
      <w:r w:rsidRPr="00104625">
        <w:t xml:space="preserve">elegate and considered </w:t>
      </w:r>
      <w:r w:rsidR="007E59EA">
        <w:t>Ozurdex</w:t>
      </w:r>
      <w:r w:rsidRPr="00104625">
        <w:t xml:space="preserve"> implant containing 700 µg of dexamethasone to have an overall positive benefit–r</w:t>
      </w:r>
      <w:r w:rsidR="005A10F3">
        <w:t>isk profile for the indication;</w:t>
      </w:r>
    </w:p>
    <w:p w:rsidR="00104625" w:rsidRPr="00104625" w:rsidRDefault="00104625" w:rsidP="00104625">
      <w:pPr>
        <w:ind w:left="720"/>
        <w:rPr>
          <w:i/>
        </w:rPr>
      </w:pPr>
      <w:r w:rsidRPr="00104625">
        <w:rPr>
          <w:i/>
        </w:rPr>
        <w:t>Treatment of adult patients with diabetic macular oedema</w:t>
      </w:r>
    </w:p>
    <w:p w:rsidR="00104625" w:rsidRPr="00104625" w:rsidRDefault="00104625" w:rsidP="00104625">
      <w:r w:rsidRPr="00104625">
        <w:t>In maki</w:t>
      </w:r>
      <w:r w:rsidR="005A10F3">
        <w:t>ng this recommendation the ACPM</w:t>
      </w:r>
    </w:p>
    <w:p w:rsidR="00104625" w:rsidRPr="00104625" w:rsidRDefault="00104625" w:rsidP="00104625">
      <w:pPr>
        <w:pStyle w:val="ListBullet"/>
      </w:pPr>
      <w:r w:rsidRPr="00104625">
        <w:t>Noted the treatment interval should not be less than 3 months as data are only available for approximately</w:t>
      </w:r>
      <w:r w:rsidR="005A10F3">
        <w:t xml:space="preserve"> 6 month intervals over 3 years</w:t>
      </w:r>
    </w:p>
    <w:p w:rsidR="00104625" w:rsidRPr="00104625" w:rsidRDefault="00104625" w:rsidP="00104625">
      <w:pPr>
        <w:pStyle w:val="ListBullet"/>
      </w:pPr>
      <w:r w:rsidRPr="00104625">
        <w:t>Noted there was no evidence on b</w:t>
      </w:r>
      <w:r w:rsidR="005A10F3">
        <w:t>ilateral simultaneous treatment</w:t>
      </w:r>
    </w:p>
    <w:p w:rsidR="00104625" w:rsidRPr="00104625" w:rsidRDefault="00104625" w:rsidP="00104625">
      <w:pPr>
        <w:pStyle w:val="ListBullet"/>
      </w:pPr>
      <w:r w:rsidRPr="00104625">
        <w:t xml:space="preserve">Noted there was </w:t>
      </w:r>
      <w:r w:rsidR="005A10F3">
        <w:t>no evidence for use in children</w:t>
      </w:r>
    </w:p>
    <w:p w:rsidR="00104625" w:rsidRPr="00104625" w:rsidRDefault="00104625" w:rsidP="00104625">
      <w:pPr>
        <w:pStyle w:val="Heading5"/>
        <w:rPr>
          <w:rFonts w:eastAsia="MS Mincho"/>
        </w:rPr>
      </w:pPr>
      <w:r w:rsidRPr="00104625">
        <w:rPr>
          <w:rFonts w:eastAsia="MS Mincho"/>
        </w:rPr>
        <w:t>Proposed conditions of registration</w:t>
      </w:r>
    </w:p>
    <w:p w:rsidR="00104625" w:rsidRPr="00104625" w:rsidRDefault="005A10F3" w:rsidP="00104625">
      <w:r>
        <w:t>The ACPM agreed with the D</w:t>
      </w:r>
      <w:r w:rsidR="00104625" w:rsidRPr="00104625">
        <w:t>elegate on the proposed conditions of registration and specifically with the need for post</w:t>
      </w:r>
      <w:r w:rsidR="00D57E70">
        <w:t xml:space="preserve"> </w:t>
      </w:r>
      <w:r w:rsidR="00104625" w:rsidRPr="00104625">
        <w:t>marketing study repo</w:t>
      </w:r>
      <w:r>
        <w:t>rts to be submitted to the TGA.</w:t>
      </w:r>
    </w:p>
    <w:p w:rsidR="00104625" w:rsidRPr="00104625" w:rsidRDefault="00104625" w:rsidP="00104625">
      <w:pPr>
        <w:pStyle w:val="Heading5"/>
        <w:rPr>
          <w:rFonts w:eastAsia="MS Mincho"/>
        </w:rPr>
      </w:pPr>
      <w:r w:rsidRPr="00104625">
        <w:rPr>
          <w:rFonts w:eastAsia="MS Mincho"/>
        </w:rPr>
        <w:t>Proposed Product Information (PI)/Consumer Medicine Information (CMI) amendments</w:t>
      </w:r>
    </w:p>
    <w:p w:rsidR="00104625" w:rsidRPr="00C451F5" w:rsidRDefault="00104625" w:rsidP="00104625">
      <w:pPr>
        <w:adjustRightInd w:val="0"/>
        <w:snapToGrid w:val="0"/>
        <w:rPr>
          <w:rFonts w:eastAsia="MS Mincho"/>
          <w:bCs/>
          <w:lang w:eastAsia="ja-JP"/>
        </w:rPr>
      </w:pPr>
      <w:r w:rsidRPr="00C451F5">
        <w:rPr>
          <w:rFonts w:eastAsia="MS Mincho"/>
          <w:bCs/>
          <w:lang w:eastAsia="ja-JP"/>
        </w:rPr>
        <w:t xml:space="preserve">The ACPM advised on the proposed amendments to the PI and </w:t>
      </w:r>
      <w:r w:rsidR="005A10F3">
        <w:rPr>
          <w:rFonts w:eastAsia="MS Mincho"/>
          <w:bCs/>
          <w:lang w:eastAsia="ja-JP"/>
        </w:rPr>
        <w:t>CMI</w:t>
      </w:r>
      <w:r w:rsidRPr="00C451F5">
        <w:rPr>
          <w:rFonts w:eastAsia="MS Mincho"/>
          <w:bCs/>
          <w:lang w:eastAsia="ja-JP"/>
        </w:rPr>
        <w:t xml:space="preserve"> in the specific questions below.</w:t>
      </w:r>
    </w:p>
    <w:p w:rsidR="00104625" w:rsidRPr="00C451F5" w:rsidRDefault="00104625" w:rsidP="00104625">
      <w:pPr>
        <w:adjustRightInd w:val="0"/>
        <w:snapToGrid w:val="0"/>
        <w:spacing w:after="0"/>
        <w:rPr>
          <w:rFonts w:eastAsia="MS Mincho"/>
          <w:b/>
          <w:bCs/>
          <w:i/>
          <w:iCs/>
          <w:highlight w:val="yellow"/>
          <w:lang w:eastAsia="ja-JP"/>
        </w:rPr>
      </w:pPr>
      <w:r w:rsidRPr="00C451F5">
        <w:rPr>
          <w:rFonts w:eastAsia="MS Mincho"/>
          <w:b/>
          <w:bCs/>
          <w:i/>
          <w:iCs/>
          <w:lang w:eastAsia="ja-JP"/>
        </w:rPr>
        <w:t>Specific Advice</w:t>
      </w:r>
    </w:p>
    <w:p w:rsidR="00104625" w:rsidRPr="00104625" w:rsidRDefault="00104625" w:rsidP="00104625">
      <w:pPr>
        <w:rPr>
          <w:highlight w:val="yellow"/>
        </w:rPr>
      </w:pPr>
      <w:r w:rsidRPr="00104625">
        <w:t>The ACPM advised th</w:t>
      </w:r>
      <w:r w:rsidR="005A10F3">
        <w:t>e following in response to the D</w:t>
      </w:r>
      <w:r w:rsidRPr="00104625">
        <w:t>elegate’s specif</w:t>
      </w:r>
      <w:r w:rsidR="005A10F3">
        <w:t>ic questions on this submission:</w:t>
      </w:r>
    </w:p>
    <w:p w:rsidR="005A10F3" w:rsidRDefault="005A10F3" w:rsidP="00104625">
      <w:pPr>
        <w:rPr>
          <w:i/>
        </w:rPr>
      </w:pPr>
      <w:r>
        <w:rPr>
          <w:i/>
        </w:rPr>
        <w:t>Question 1</w:t>
      </w:r>
    </w:p>
    <w:p w:rsidR="00104625" w:rsidRPr="00104625" w:rsidRDefault="005A10F3" w:rsidP="00104625">
      <w:pPr>
        <w:rPr>
          <w:i/>
        </w:rPr>
      </w:pPr>
      <w:proofErr w:type="gramStart"/>
      <w:r>
        <w:rPr>
          <w:i/>
        </w:rPr>
        <w:t>W</w:t>
      </w:r>
      <w:r w:rsidR="00104625" w:rsidRPr="00104625">
        <w:rPr>
          <w:i/>
        </w:rPr>
        <w:t xml:space="preserve">ording of the </w:t>
      </w:r>
      <w:r w:rsidR="006D3BE0">
        <w:rPr>
          <w:i/>
        </w:rPr>
        <w:t>indication</w:t>
      </w:r>
      <w:r>
        <w:rPr>
          <w:i/>
        </w:rPr>
        <w:t>.</w:t>
      </w:r>
      <w:proofErr w:type="gramEnd"/>
    </w:p>
    <w:p w:rsidR="00104625" w:rsidRPr="00104625" w:rsidRDefault="00104625" w:rsidP="00104625">
      <w:pPr>
        <w:rPr>
          <w:i/>
        </w:rPr>
      </w:pPr>
      <w:r w:rsidRPr="00104625">
        <w:rPr>
          <w:i/>
        </w:rPr>
        <w:lastRenderedPageBreak/>
        <w:t>Current treatment algorithms clearly position corticosteroids as last</w:t>
      </w:r>
      <w:r w:rsidR="00D57E70">
        <w:rPr>
          <w:i/>
        </w:rPr>
        <w:t xml:space="preserve"> </w:t>
      </w:r>
      <w:r w:rsidRPr="00104625">
        <w:rPr>
          <w:i/>
        </w:rPr>
        <w:t>line treatment. Is there any benefit, in terms of informing ophthalmologists (</w:t>
      </w:r>
      <w:r w:rsidR="00740C73">
        <w:rPr>
          <w:i/>
        </w:rPr>
        <w:t>that is</w:t>
      </w:r>
      <w:r w:rsidRPr="00104625">
        <w:rPr>
          <w:i/>
        </w:rPr>
        <w:t xml:space="preserve">, the potential prescribers), of adding this to the </w:t>
      </w:r>
      <w:r w:rsidR="006D3BE0">
        <w:rPr>
          <w:i/>
        </w:rPr>
        <w:t>indication</w:t>
      </w:r>
      <w:r w:rsidRPr="00104625">
        <w:rPr>
          <w:i/>
        </w:rPr>
        <w:t xml:space="preserve">, as per the EMA? Put another way, is the FDA </w:t>
      </w:r>
      <w:r w:rsidR="006D3BE0">
        <w:rPr>
          <w:i/>
        </w:rPr>
        <w:t>indication</w:t>
      </w:r>
      <w:r w:rsidRPr="00104625">
        <w:rPr>
          <w:i/>
        </w:rPr>
        <w:t xml:space="preserve"> sufficient?</w:t>
      </w:r>
    </w:p>
    <w:p w:rsidR="005A10F3" w:rsidRDefault="005A10F3" w:rsidP="00104625">
      <w:pPr>
        <w:rPr>
          <w:i/>
        </w:rPr>
      </w:pPr>
      <w:r>
        <w:rPr>
          <w:i/>
        </w:rPr>
        <w:t>EMA indication:</w:t>
      </w:r>
    </w:p>
    <w:p w:rsidR="00104625" w:rsidRPr="00104625" w:rsidRDefault="00104625" w:rsidP="005A10F3">
      <w:pPr>
        <w:ind w:left="720"/>
        <w:rPr>
          <w:i/>
        </w:rPr>
      </w:pPr>
      <w:proofErr w:type="gramStart"/>
      <w:r w:rsidRPr="00104625">
        <w:rPr>
          <w:i/>
        </w:rPr>
        <w:t>adult</w:t>
      </w:r>
      <w:proofErr w:type="gramEnd"/>
      <w:r w:rsidRPr="00104625">
        <w:rPr>
          <w:i/>
        </w:rPr>
        <w:t xml:space="preserve"> patients with diabetic macular oedema who are pseudophakic or who are considered insufficiently responsive to, or unsuitable for </w:t>
      </w:r>
      <w:r w:rsidR="005A10F3" w:rsidRPr="00104625">
        <w:rPr>
          <w:i/>
        </w:rPr>
        <w:t>non</w:t>
      </w:r>
      <w:r w:rsidR="005A10F3">
        <w:rPr>
          <w:i/>
        </w:rPr>
        <w:t>-</w:t>
      </w:r>
      <w:r w:rsidR="005A10F3" w:rsidRPr="00104625">
        <w:rPr>
          <w:i/>
        </w:rPr>
        <w:t>corticosteroid</w:t>
      </w:r>
      <w:r w:rsidRPr="00104625">
        <w:rPr>
          <w:i/>
        </w:rPr>
        <w:t xml:space="preserve"> therapy.</w:t>
      </w:r>
    </w:p>
    <w:p w:rsidR="005A10F3" w:rsidRDefault="00104625" w:rsidP="00104625">
      <w:pPr>
        <w:rPr>
          <w:i/>
        </w:rPr>
      </w:pPr>
      <w:r w:rsidRPr="00104625">
        <w:rPr>
          <w:i/>
        </w:rPr>
        <w:t>FDA indication:</w:t>
      </w:r>
    </w:p>
    <w:p w:rsidR="00104625" w:rsidRPr="00104625" w:rsidRDefault="00104625" w:rsidP="005A10F3">
      <w:pPr>
        <w:ind w:left="720"/>
        <w:rPr>
          <w:i/>
        </w:rPr>
      </w:pPr>
      <w:proofErr w:type="gramStart"/>
      <w:r w:rsidRPr="00104625">
        <w:rPr>
          <w:i/>
        </w:rPr>
        <w:t xml:space="preserve">Adult patients with diabetic macular </w:t>
      </w:r>
      <w:proofErr w:type="spellStart"/>
      <w:r w:rsidRPr="00104625">
        <w:rPr>
          <w:i/>
        </w:rPr>
        <w:t>edema</w:t>
      </w:r>
      <w:proofErr w:type="spellEnd"/>
      <w:r w:rsidRPr="00104625">
        <w:rPr>
          <w:i/>
        </w:rPr>
        <w:t>.</w:t>
      </w:r>
      <w:proofErr w:type="gramEnd"/>
    </w:p>
    <w:p w:rsidR="00104625" w:rsidRPr="00104625" w:rsidRDefault="00104625" w:rsidP="00104625">
      <w:r w:rsidRPr="00104625">
        <w:t>The ACPM advised that in clinical practice, the EMA and FDA indications amounted to the same information for prescribers; however, the ACPM practice of preferring simpler indications suggests an indication similar to that of the FDA would be preferable.</w:t>
      </w:r>
    </w:p>
    <w:p w:rsidR="005A10F3" w:rsidRDefault="005A10F3" w:rsidP="00104625">
      <w:pPr>
        <w:rPr>
          <w:i/>
        </w:rPr>
      </w:pPr>
      <w:r>
        <w:rPr>
          <w:i/>
        </w:rPr>
        <w:t>Question 2</w:t>
      </w:r>
    </w:p>
    <w:p w:rsidR="00104625" w:rsidRPr="00104625" w:rsidRDefault="005A10F3" w:rsidP="00104625">
      <w:pPr>
        <w:rPr>
          <w:i/>
        </w:rPr>
      </w:pPr>
      <w:r>
        <w:rPr>
          <w:i/>
        </w:rPr>
        <w:t>W</w:t>
      </w:r>
      <w:r w:rsidR="00104625" w:rsidRPr="00104625">
        <w:rPr>
          <w:i/>
        </w:rPr>
        <w:t>ording about re</w:t>
      </w:r>
      <w:r w:rsidR="00D57E70">
        <w:rPr>
          <w:i/>
        </w:rPr>
        <w:t xml:space="preserve"> </w:t>
      </w:r>
      <w:r w:rsidR="00104625" w:rsidRPr="00104625">
        <w:rPr>
          <w:i/>
        </w:rPr>
        <w:t xml:space="preserve">treatment in the </w:t>
      </w:r>
      <w:r w:rsidR="00E34975" w:rsidRPr="00104625">
        <w:rPr>
          <w:i/>
        </w:rPr>
        <w:t xml:space="preserve">dosage and administration </w:t>
      </w:r>
      <w:r w:rsidR="00104625" w:rsidRPr="00104625">
        <w:rPr>
          <w:i/>
        </w:rPr>
        <w:t>section of the PI</w:t>
      </w:r>
    </w:p>
    <w:p w:rsidR="00104625" w:rsidRPr="00104625" w:rsidRDefault="00104625" w:rsidP="00104625">
      <w:pPr>
        <w:rPr>
          <w:i/>
        </w:rPr>
      </w:pPr>
      <w:r w:rsidRPr="00104625">
        <w:rPr>
          <w:i/>
        </w:rPr>
        <w:t>The protocol in pivotal RCTs was for a 6</w:t>
      </w:r>
      <w:r w:rsidR="00D57E70">
        <w:rPr>
          <w:i/>
        </w:rPr>
        <w:t xml:space="preserve"> </w:t>
      </w:r>
      <w:r w:rsidRPr="00104625">
        <w:rPr>
          <w:i/>
        </w:rPr>
        <w:t>monthly dosing interval, but there is some evidence that more frequent dosing might be beneficial. The EMA has requested a post</w:t>
      </w:r>
      <w:r w:rsidR="00D57E70">
        <w:rPr>
          <w:i/>
        </w:rPr>
        <w:t xml:space="preserve"> </w:t>
      </w:r>
      <w:r w:rsidRPr="00104625">
        <w:rPr>
          <w:i/>
        </w:rPr>
        <w:t>approval study to clarify the dosing interval. Generally speaking, the dosing instructions in the Australian PI should align with one of the major overseas regulators (</w:t>
      </w:r>
      <w:r w:rsidR="00211DFA">
        <w:rPr>
          <w:i/>
        </w:rPr>
        <w:t>for example</w:t>
      </w:r>
      <w:r w:rsidRPr="00104625">
        <w:rPr>
          <w:i/>
        </w:rPr>
        <w:t>, EMA, FDA). Please comment on the EMA versus the FDA wording.</w:t>
      </w:r>
    </w:p>
    <w:p w:rsidR="00104625" w:rsidRPr="00104625" w:rsidRDefault="00104625" w:rsidP="00104625">
      <w:pPr>
        <w:rPr>
          <w:i/>
        </w:rPr>
      </w:pPr>
      <w:r w:rsidRPr="00104625">
        <w:rPr>
          <w:i/>
        </w:rPr>
        <w:t xml:space="preserve">EU </w:t>
      </w:r>
      <w:proofErr w:type="spellStart"/>
      <w:r w:rsidRPr="00104625">
        <w:rPr>
          <w:i/>
        </w:rPr>
        <w:t>SmPC</w:t>
      </w:r>
      <w:proofErr w:type="spellEnd"/>
    </w:p>
    <w:p w:rsidR="00104625" w:rsidRPr="00104625" w:rsidRDefault="00104625" w:rsidP="005A10F3">
      <w:pPr>
        <w:ind w:left="720"/>
        <w:rPr>
          <w:i/>
        </w:rPr>
      </w:pPr>
      <w:r w:rsidRPr="00104625">
        <w:rPr>
          <w:i/>
        </w:rPr>
        <w:t xml:space="preserve">Patients treated with </w:t>
      </w:r>
      <w:r w:rsidR="007E59EA">
        <w:rPr>
          <w:i/>
        </w:rPr>
        <w:t>Ozurdex</w:t>
      </w:r>
      <w:r w:rsidRPr="00104625">
        <w:rPr>
          <w:i/>
        </w:rPr>
        <w:t xml:space="preserve"> who have experienced an initial response and in the physician’s opinion may benefit from retreatment without being exposed to significant risk should be considered for retreatment.</w:t>
      </w:r>
    </w:p>
    <w:p w:rsidR="00104625" w:rsidRPr="00104625" w:rsidRDefault="00104625" w:rsidP="005A10F3">
      <w:pPr>
        <w:ind w:left="720"/>
        <w:rPr>
          <w:i/>
        </w:rPr>
      </w:pPr>
      <w:r w:rsidRPr="00104625">
        <w:rPr>
          <w:i/>
        </w:rPr>
        <w:t>Retreatment may be performed after approximately 6 months if the patient experiences decreased vision or an increase in retinal thickness, secondary to recurrent or worsening diabetic macular oedema.</w:t>
      </w:r>
    </w:p>
    <w:p w:rsidR="00104625" w:rsidRPr="00104625" w:rsidRDefault="00104625" w:rsidP="005A10F3">
      <w:pPr>
        <w:ind w:left="720"/>
        <w:rPr>
          <w:i/>
        </w:rPr>
      </w:pPr>
      <w:r w:rsidRPr="00104625">
        <w:rPr>
          <w:i/>
        </w:rPr>
        <w:t>There is currently no experience of the efficacy and safety of repeat administrations in diabetic macular oedema beyond 7 implants.</w:t>
      </w:r>
    </w:p>
    <w:p w:rsidR="00104625" w:rsidRPr="00104625" w:rsidRDefault="00104625" w:rsidP="00104625">
      <w:pPr>
        <w:rPr>
          <w:i/>
        </w:rPr>
      </w:pPr>
      <w:r w:rsidRPr="00104625">
        <w:rPr>
          <w:i/>
        </w:rPr>
        <w:t>FDA PI</w:t>
      </w:r>
    </w:p>
    <w:p w:rsidR="00104625" w:rsidRPr="00104625" w:rsidRDefault="00104625" w:rsidP="005A10F3">
      <w:pPr>
        <w:ind w:left="720"/>
        <w:rPr>
          <w:i/>
        </w:rPr>
      </w:pPr>
      <w:r w:rsidRPr="00104625">
        <w:rPr>
          <w:i/>
        </w:rPr>
        <w:t>The dosage sub</w:t>
      </w:r>
      <w:r w:rsidR="00D57E70">
        <w:rPr>
          <w:i/>
        </w:rPr>
        <w:t xml:space="preserve"> </w:t>
      </w:r>
      <w:r w:rsidRPr="00104625">
        <w:rPr>
          <w:i/>
        </w:rPr>
        <w:t xml:space="preserve">section is silent on the retreatment interval. The clinical trials section states that patients in the </w:t>
      </w:r>
      <w:r w:rsidR="007E59EA">
        <w:rPr>
          <w:i/>
        </w:rPr>
        <w:t>Ozurdex</w:t>
      </w:r>
      <w:r w:rsidRPr="00104625">
        <w:t xml:space="preserve"> </w:t>
      </w:r>
      <w:r w:rsidRPr="00104625">
        <w:rPr>
          <w:i/>
        </w:rPr>
        <w:t>arm of the pivotal RCTs received an average of 4 implants over 3 years.</w:t>
      </w:r>
    </w:p>
    <w:p w:rsidR="00104625" w:rsidRPr="00104625" w:rsidRDefault="00104625" w:rsidP="00104625">
      <w:r w:rsidRPr="00104625">
        <w:t xml:space="preserve">The ACPM advised that statement </w:t>
      </w:r>
      <w:r w:rsidR="005A10F3" w:rsidRPr="00104625">
        <w:t xml:space="preserve">in dosage and administration </w:t>
      </w:r>
      <w:r w:rsidRPr="00104625">
        <w:t>section of the PI in relation to re</w:t>
      </w:r>
      <w:r w:rsidR="00D57E70">
        <w:t xml:space="preserve"> </w:t>
      </w:r>
      <w:r w:rsidRPr="00104625">
        <w:t>treatment should be modified to the following;</w:t>
      </w:r>
    </w:p>
    <w:p w:rsidR="00104625" w:rsidRPr="00104625" w:rsidRDefault="00104625" w:rsidP="00104625">
      <w:pPr>
        <w:ind w:left="720"/>
        <w:rPr>
          <w:i/>
        </w:rPr>
      </w:pPr>
      <w:r w:rsidRPr="00104625">
        <w:rPr>
          <w:i/>
        </w:rPr>
        <w:t xml:space="preserve">Patients treated with </w:t>
      </w:r>
      <w:r w:rsidR="007E59EA">
        <w:rPr>
          <w:i/>
        </w:rPr>
        <w:t>Ozurdex</w:t>
      </w:r>
      <w:r w:rsidRPr="00104625">
        <w:rPr>
          <w:i/>
        </w:rPr>
        <w:t xml:space="preserve"> who have experienced an initial response, and in the physician’s opinion may benefit from retreatment without being exposed to significant risk, should be considered for retreatment. In clinical trials, the majority of retreatments were administered between 5 and 7 months after a prior treatment. Patients in the </w:t>
      </w:r>
      <w:r w:rsidR="007E59EA">
        <w:rPr>
          <w:i/>
        </w:rPr>
        <w:t>Ozurdex</w:t>
      </w:r>
      <w:r w:rsidRPr="00104625">
        <w:rPr>
          <w:i/>
        </w:rPr>
        <w:t xml:space="preserve"> arm of the pivotal RCTs received an average of 4 implants over 3 years. The protocol in the pivotal RCTs specified a 6</w:t>
      </w:r>
      <w:r w:rsidR="00D57E70">
        <w:rPr>
          <w:i/>
        </w:rPr>
        <w:t xml:space="preserve"> </w:t>
      </w:r>
      <w:r w:rsidRPr="00104625">
        <w:rPr>
          <w:i/>
        </w:rPr>
        <w:t>monthly dosing interval. There is currently no experience of the efficacy and safety of repeat administrations in diabetic macular oedema beyond 7 implants.</w:t>
      </w:r>
    </w:p>
    <w:p w:rsidR="005A10F3" w:rsidRPr="005A10F3" w:rsidRDefault="005A10F3" w:rsidP="00BA14B0">
      <w:pPr>
        <w:pageBreakBefore/>
        <w:rPr>
          <w:i/>
        </w:rPr>
      </w:pPr>
      <w:r w:rsidRPr="005A10F3">
        <w:rPr>
          <w:i/>
        </w:rPr>
        <w:lastRenderedPageBreak/>
        <w:t>Question 3</w:t>
      </w:r>
    </w:p>
    <w:p w:rsidR="005A10F3" w:rsidRPr="005A10F3" w:rsidRDefault="005A10F3" w:rsidP="005A10F3">
      <w:pPr>
        <w:rPr>
          <w:i/>
        </w:rPr>
      </w:pPr>
      <w:r w:rsidRPr="005A10F3">
        <w:rPr>
          <w:i/>
        </w:rPr>
        <w:t>Bilateral use:</w:t>
      </w:r>
    </w:p>
    <w:p w:rsidR="00104625" w:rsidRPr="005A10F3" w:rsidRDefault="00104625" w:rsidP="005A10F3">
      <w:pPr>
        <w:rPr>
          <w:i/>
        </w:rPr>
      </w:pPr>
      <w:r w:rsidRPr="005A10F3">
        <w:rPr>
          <w:i/>
        </w:rPr>
        <w:t>It seems reasonable that the PI state that concurrent bilateral use has not been studied. Should it also state that concurrent use is not recommended?</w:t>
      </w:r>
    </w:p>
    <w:p w:rsidR="00104625" w:rsidRPr="00104625" w:rsidRDefault="00104625" w:rsidP="00104625">
      <w:r w:rsidRPr="00104625">
        <w:t>The ACPM advised that PI and the relevant section of the CMI should state that concurrent bilateral use has not been studied and is not recommended. Perhaps the word “simultaneous” should be used instead of “concurrent”.</w:t>
      </w:r>
    </w:p>
    <w:p w:rsidR="00104625" w:rsidRPr="00A322B3" w:rsidRDefault="00104625" w:rsidP="008E7846">
      <w:r w:rsidRPr="00104625">
        <w:t>The ACPM advised that implementation by the sponsor of the recommendations outlined above to the satisfaction of the TGA, in addition to the evidence of efficacy and safety provided would support the safe and effective use of this product.</w:t>
      </w:r>
    </w:p>
    <w:p w:rsidR="008E7846" w:rsidRPr="002E238E" w:rsidRDefault="008E7846" w:rsidP="008E7846">
      <w:pPr>
        <w:pStyle w:val="Heading3"/>
      </w:pPr>
      <w:bookmarkStart w:id="151" w:name="_Toc247691532"/>
      <w:bookmarkStart w:id="152" w:name="_Toc314842516"/>
      <w:bookmarkStart w:id="153" w:name="_Toc465939534"/>
      <w:bookmarkEnd w:id="117"/>
      <w:bookmarkEnd w:id="146"/>
      <w:bookmarkEnd w:id="147"/>
      <w:r>
        <w:t>Outcome</w:t>
      </w:r>
      <w:bookmarkEnd w:id="151"/>
      <w:bookmarkEnd w:id="152"/>
      <w:bookmarkEnd w:id="153"/>
    </w:p>
    <w:p w:rsidR="00D23139" w:rsidRPr="00D23139" w:rsidRDefault="00D23139" w:rsidP="00D23139">
      <w:bookmarkStart w:id="154" w:name="_Toc247691533"/>
      <w:bookmarkStart w:id="155" w:name="_Toc314842517"/>
      <w:r w:rsidRPr="00D23139">
        <w:t xml:space="preserve">Based on a review of quality, safety and efficacy, TGA approved the registration of </w:t>
      </w:r>
      <w:r w:rsidR="00205340">
        <w:t xml:space="preserve">Ozurdex dexamethasone 700 microgram intravitreal implant </w:t>
      </w:r>
      <w:r w:rsidRPr="00D23139">
        <w:t>indicated for:</w:t>
      </w:r>
    </w:p>
    <w:p w:rsidR="00D23139" w:rsidRPr="00104625" w:rsidRDefault="007E59EA" w:rsidP="00104625">
      <w:pPr>
        <w:ind w:left="720"/>
        <w:rPr>
          <w:i/>
        </w:rPr>
      </w:pPr>
      <w:r>
        <w:rPr>
          <w:i/>
        </w:rPr>
        <w:t>Ozurdex</w:t>
      </w:r>
      <w:r w:rsidR="00104625">
        <w:rPr>
          <w:i/>
        </w:rPr>
        <w:t xml:space="preserve"> </w:t>
      </w:r>
      <w:r w:rsidR="00104625" w:rsidRPr="00104625">
        <w:rPr>
          <w:i/>
        </w:rPr>
        <w:t>is</w:t>
      </w:r>
      <w:r w:rsidR="00104625">
        <w:rPr>
          <w:i/>
        </w:rPr>
        <w:t xml:space="preserve"> </w:t>
      </w:r>
      <w:r w:rsidR="00104625" w:rsidRPr="00104625">
        <w:rPr>
          <w:i/>
        </w:rPr>
        <w:t>i</w:t>
      </w:r>
      <w:r w:rsidR="00104625">
        <w:rPr>
          <w:i/>
        </w:rPr>
        <w:t>ndicated for the treatment of diabetic macula</w:t>
      </w:r>
      <w:r w:rsidR="00104625" w:rsidRPr="00104625">
        <w:rPr>
          <w:i/>
        </w:rPr>
        <w:t>r oedema (DME).</w:t>
      </w:r>
    </w:p>
    <w:p w:rsidR="00D23139" w:rsidRPr="00D23139" w:rsidRDefault="00D23139" w:rsidP="00D23139">
      <w:pPr>
        <w:pStyle w:val="Heading4"/>
      </w:pPr>
      <w:r w:rsidRPr="00D23139">
        <w:t>Specific conditions of registration applying to these goods</w:t>
      </w:r>
    </w:p>
    <w:p w:rsidR="00363C49" w:rsidRDefault="00363C49" w:rsidP="00363C49">
      <w:pPr>
        <w:pStyle w:val="ListBullet"/>
      </w:pPr>
      <w:r w:rsidRPr="00363C49">
        <w:t xml:space="preserve">The </w:t>
      </w:r>
      <w:r w:rsidR="007E59EA">
        <w:t>Ozurdex</w:t>
      </w:r>
      <w:r w:rsidRPr="00363C49">
        <w:t xml:space="preserve"> dexamethasone EU Risk Management Plan (RMP), Version 7.0, dated 5 August 2014, revised as specified by the Australian Specific Annex, Revision 4.0, dated 22 May 2015, and any subsequent revisions, as agreed with the TGA will be implemented in Australia</w:t>
      </w:r>
    </w:p>
    <w:p w:rsidR="00363C49" w:rsidRPr="00363C49" w:rsidRDefault="00363C49" w:rsidP="00363C49">
      <w:pPr>
        <w:pStyle w:val="ListBullet"/>
      </w:pPr>
      <w:r>
        <w:t>N</w:t>
      </w:r>
      <w:r w:rsidRPr="001B3568">
        <w:t>otify the TGA of the results of any relev</w:t>
      </w:r>
      <w:r>
        <w:t xml:space="preserve">ant studies as soon as they are </w:t>
      </w:r>
      <w:r w:rsidRPr="001B3568">
        <w:t>available</w:t>
      </w:r>
    </w:p>
    <w:p w:rsidR="008E7846" w:rsidRDefault="00A80B5B" w:rsidP="00D23139">
      <w:pPr>
        <w:pStyle w:val="Heading2"/>
      </w:pPr>
      <w:bookmarkStart w:id="156" w:name="_Toc465939535"/>
      <w:proofErr w:type="gramStart"/>
      <w:r>
        <w:t>Attachment 1.</w:t>
      </w:r>
      <w:proofErr w:type="gramEnd"/>
      <w:r>
        <w:t xml:space="preserve"> </w:t>
      </w:r>
      <w:r w:rsidR="008E7846">
        <w:t xml:space="preserve">Product </w:t>
      </w:r>
      <w:r w:rsidR="00AA0ED0">
        <w:t>I</w:t>
      </w:r>
      <w:r w:rsidR="008E7846">
        <w:t>nformation</w:t>
      </w:r>
      <w:bookmarkEnd w:id="154"/>
      <w:bookmarkEnd w:id="155"/>
      <w:bookmarkEnd w:id="156"/>
    </w:p>
    <w:p w:rsidR="00C80137" w:rsidRDefault="006136D7" w:rsidP="00C80137">
      <w:pPr>
        <w:rPr>
          <w:color w:val="000000"/>
          <w:lang w:eastAsia="en-AU"/>
        </w:rPr>
      </w:pPr>
      <w:r w:rsidRPr="002B3624">
        <w:t xml:space="preserve">The </w:t>
      </w:r>
      <w:r>
        <w:t>PI</w:t>
      </w:r>
      <w:r w:rsidRPr="002B3624">
        <w:t xml:space="preserve"> for </w:t>
      </w:r>
      <w:r w:rsidR="00205340">
        <w:t>Ozurdex</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2" w:history="1">
        <w:r w:rsidR="007C6B9B" w:rsidRPr="007C6B9B">
          <w:rPr>
            <w:rStyle w:val="Hyperlink"/>
          </w:rPr>
          <w:t>https://www.tga.gov.au/product</w:t>
        </w:r>
        <w:r w:rsidR="00D57E70">
          <w:rPr>
            <w:rStyle w:val="Hyperlink"/>
          </w:rPr>
          <w:t xml:space="preserve"> </w:t>
        </w:r>
        <w:r w:rsidR="007C6B9B" w:rsidRPr="007C6B9B">
          <w:rPr>
            <w:rStyle w:val="Hyperlink"/>
          </w:rPr>
          <w:t>information</w:t>
        </w:r>
        <w:r w:rsidR="00D57E70">
          <w:rPr>
            <w:rStyle w:val="Hyperlink"/>
          </w:rPr>
          <w:t xml:space="preserve"> </w:t>
        </w:r>
        <w:r w:rsidR="007C6B9B" w:rsidRPr="007C6B9B">
          <w:rPr>
            <w:rStyle w:val="Hyperlink"/>
          </w:rPr>
          <w:t>pi</w:t>
        </w:r>
      </w:hyperlink>
      <w:r w:rsidR="00205340">
        <w:t>&gt;.</w:t>
      </w:r>
    </w:p>
    <w:p w:rsidR="00C80137" w:rsidRDefault="00C80137" w:rsidP="00C80137">
      <w:pPr>
        <w:pStyle w:val="Heading2"/>
        <w:rPr>
          <w:lang w:eastAsia="en-AU"/>
        </w:rPr>
      </w:pPr>
      <w:bookmarkStart w:id="157" w:name="_Toc465939536"/>
      <w:proofErr w:type="gramStart"/>
      <w:r>
        <w:rPr>
          <w:lang w:eastAsia="en-AU"/>
        </w:rPr>
        <w:t>Attachment 2.</w:t>
      </w:r>
      <w:proofErr w:type="gramEnd"/>
      <w:r w:rsidR="00A80B5B">
        <w:rPr>
          <w:lang w:eastAsia="en-AU"/>
        </w:rPr>
        <w:t xml:space="preserve"> </w:t>
      </w:r>
      <w:r>
        <w:rPr>
          <w:lang w:eastAsia="en-AU"/>
        </w:rPr>
        <w:t>Extract from the Clinical Evaluation Report</w:t>
      </w:r>
      <w:bookmarkEnd w:id="157"/>
    </w:p>
    <w:p w:rsidR="00291957" w:rsidRDefault="008E7846" w:rsidP="00FB27DF">
      <w:pPr>
        <w:autoSpaceDE w:val="0"/>
        <w:autoSpaceDN w:val="0"/>
        <w:adjustRightInd w:val="0"/>
        <w:spacing w:after="0"/>
        <w:rPr>
          <w:lang w:eastAsia="ja-JP"/>
        </w:rPr>
      </w:pPr>
      <w:r w:rsidRPr="00C80137">
        <w:rPr>
          <w:b/>
        </w:rPr>
        <w:br w:type="page"/>
      </w:r>
    </w:p>
    <w:p w:rsidR="00C80137" w:rsidRPr="001D043B" w:rsidRDefault="00C80137" w:rsidP="003A7F6C">
      <w:pPr>
        <w:pStyle w:val="TableTitle"/>
        <w:sectPr w:rsidR="00C80137" w:rsidRPr="001D043B" w:rsidSect="00B452CE">
          <w:headerReference w:type="even" r:id="rId23"/>
          <w:headerReference w:type="default" r:id="rId24"/>
          <w:headerReference w:type="first" r:id="rId25"/>
          <w:footerReference w:type="first" r:id="rId26"/>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27" w:history="1">
              <w:r w:rsidRPr="004C239D">
                <w:rPr>
                  <w:rStyle w:val="Hyperlink"/>
                </w:rPr>
                <w:t>info@tga.gov.au</w:t>
              </w:r>
            </w:hyperlink>
            <w:r w:rsidR="005C2E04">
              <w:t xml:space="preserve"> </w:t>
            </w:r>
            <w:r w:rsidRPr="00487162">
              <w:t>Phone: 1800 020 653</w:t>
            </w:r>
            <w:r w:rsidR="005C2E04">
              <w:t xml:space="preserve"> </w:t>
            </w:r>
            <w:r w:rsidRPr="00487162">
              <w:t>Fax: 02 6232 8605</w:t>
            </w:r>
          </w:p>
          <w:p w:rsidR="001C32CD" w:rsidRPr="004C239D" w:rsidRDefault="00B2624A" w:rsidP="00A05FA4">
            <w:pPr>
              <w:pStyle w:val="Address"/>
              <w:spacing w:line="260" w:lineRule="atLeast"/>
              <w:rPr>
                <w:b/>
                <w:color w:val="0000FF"/>
                <w:u w:val="single"/>
              </w:rPr>
            </w:pPr>
            <w:hyperlink r:id="rId28" w:history="1">
              <w:r w:rsidR="007C6B9B" w:rsidRPr="007C6B9B">
                <w:rPr>
                  <w:rStyle w:val="Hyperlink"/>
                  <w:b/>
                </w:rPr>
                <w:t>https://www.tga.gov.au</w:t>
              </w:r>
            </w:hyperlink>
          </w:p>
        </w:tc>
      </w:tr>
    </w:tbl>
    <w:p w:rsidR="00774E1D" w:rsidRPr="008A5E0B" w:rsidRDefault="00774E1D" w:rsidP="004C239D"/>
    <w:sectPr w:rsidR="00774E1D" w:rsidRPr="008A5E0B" w:rsidSect="001C32CD">
      <w:headerReference w:type="even" r:id="rId29"/>
      <w:headerReference w:type="default" r:id="rId30"/>
      <w:footerReference w:type="default" r:id="rId31"/>
      <w:headerReference w:type="first" r:id="rId32"/>
      <w:footerReference w:type="first" r:id="rId33"/>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24A" w:rsidRDefault="00B2624A" w:rsidP="00C40A36">
      <w:pPr>
        <w:spacing w:after="0"/>
      </w:pPr>
      <w:r>
        <w:separator/>
      </w:r>
    </w:p>
  </w:endnote>
  <w:endnote w:type="continuationSeparator" w:id="0">
    <w:p w:rsidR="00B2624A" w:rsidRDefault="00B2624A"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3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560"/>
    </w:tblGrid>
    <w:tr w:rsidR="00B2624A" w:rsidRPr="00487162" w:rsidTr="00EA7417">
      <w:trPr>
        <w:trHeight w:val="269"/>
      </w:trPr>
      <w:tc>
        <w:tcPr>
          <w:tcW w:w="7371" w:type="dxa"/>
          <w:tcMar>
            <w:top w:w="142" w:type="dxa"/>
            <w:bottom w:w="0" w:type="dxa"/>
          </w:tcMar>
        </w:tcPr>
        <w:p w:rsidR="00B2624A" w:rsidRPr="00487162" w:rsidRDefault="00B2624A" w:rsidP="00EA7417">
          <w:pPr>
            <w:pStyle w:val="Footer"/>
          </w:pPr>
          <w:r w:rsidRPr="00487162">
            <w:t>AusPA</w:t>
          </w:r>
          <w:r>
            <w:t xml:space="preserve">R </w:t>
          </w:r>
          <w:r w:rsidRPr="00807A2A">
            <w:t>OZURDEX</w:t>
          </w:r>
          <w:r>
            <w:t xml:space="preserve"> - d</w:t>
          </w:r>
          <w:r w:rsidRPr="00807A2A">
            <w:t xml:space="preserve">examethasone </w:t>
          </w:r>
          <w:r>
            <w:t xml:space="preserve">- </w:t>
          </w:r>
          <w:r w:rsidRPr="00807A2A">
            <w:t xml:space="preserve">Allergan Australia Pty Ltd </w:t>
          </w:r>
          <w:r>
            <w:t xml:space="preserve"> </w:t>
          </w:r>
          <w:r w:rsidRPr="00807A2A">
            <w:t xml:space="preserve"> </w:t>
          </w:r>
          <w:r>
            <w:t>PM-2014-00332-1-5</w:t>
          </w:r>
          <w:r>
            <w:br/>
            <w:t>Final 25 October 2016</w:t>
          </w:r>
        </w:p>
      </w:tc>
      <w:tc>
        <w:tcPr>
          <w:tcW w:w="1560" w:type="dxa"/>
          <w:tcMar>
            <w:top w:w="142" w:type="dxa"/>
            <w:bottom w:w="0" w:type="dxa"/>
          </w:tcMar>
        </w:tcPr>
        <w:p w:rsidR="00B2624A" w:rsidRPr="00487162" w:rsidRDefault="00B2624A" w:rsidP="00DB750B">
          <w:pPr>
            <w:pStyle w:val="Footer"/>
            <w:jc w:val="right"/>
          </w:pPr>
          <w:r w:rsidRPr="00487162">
            <w:t xml:space="preserve">Page </w:t>
          </w:r>
          <w:r>
            <w:fldChar w:fldCharType="begin"/>
          </w:r>
          <w:r>
            <w:instrText xml:space="preserve"> PAGE  \* Arabic </w:instrText>
          </w:r>
          <w:r>
            <w:fldChar w:fldCharType="separate"/>
          </w:r>
          <w:r w:rsidR="00BA14B0">
            <w:rPr>
              <w:noProof/>
            </w:rPr>
            <w:t>3</w:t>
          </w:r>
          <w:r>
            <w:fldChar w:fldCharType="end"/>
          </w:r>
          <w:r w:rsidRPr="00487162">
            <w:t xml:space="preserve"> of </w:t>
          </w:r>
          <w:fldSimple w:instr=" NUMPAGES  \* Arabic ">
            <w:r w:rsidR="00BA14B0">
              <w:rPr>
                <w:noProof/>
              </w:rPr>
              <w:t>63</w:t>
            </w:r>
          </w:fldSimple>
        </w:p>
      </w:tc>
    </w:tr>
  </w:tbl>
  <w:p w:rsidR="00B2624A" w:rsidRDefault="00B2624A"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B2624A" w:rsidRPr="00487162" w:rsidTr="00E45619">
      <w:trPr>
        <w:trHeight w:val="269"/>
      </w:trPr>
      <w:tc>
        <w:tcPr>
          <w:tcW w:w="4519" w:type="dxa"/>
          <w:tcBorders>
            <w:top w:val="single" w:sz="4" w:space="0" w:color="auto"/>
          </w:tcBorders>
          <w:tcMar>
            <w:top w:w="142" w:type="dxa"/>
            <w:bottom w:w="0" w:type="dxa"/>
          </w:tcMar>
        </w:tcPr>
        <w:p w:rsidR="00B2624A" w:rsidRPr="00487162" w:rsidRDefault="00B2624A" w:rsidP="00FE1DEE">
          <w:pPr>
            <w:pStyle w:val="Footer"/>
          </w:pPr>
          <w:r w:rsidRPr="00487162">
            <w:t xml:space="preserve">Document title, Part #, Section # </w:t>
          </w:r>
          <w:r>
            <w:t xml:space="preserve"> </w:t>
          </w:r>
          <w:r w:rsidRPr="00487162">
            <w:t xml:space="preserve"> Section title</w:t>
          </w:r>
        </w:p>
        <w:p w:rsidR="00B2624A" w:rsidRPr="00487162" w:rsidRDefault="00B2624A" w:rsidP="00FE1DEE">
          <w:pPr>
            <w:pStyle w:val="Footer"/>
          </w:pPr>
          <w:r w:rsidRPr="00487162">
            <w:t>V1.0 October 2010</w:t>
          </w:r>
        </w:p>
      </w:tc>
      <w:tc>
        <w:tcPr>
          <w:tcW w:w="4342" w:type="dxa"/>
          <w:tcBorders>
            <w:top w:val="single" w:sz="4" w:space="0" w:color="auto"/>
          </w:tcBorders>
          <w:tcMar>
            <w:top w:w="142" w:type="dxa"/>
            <w:bottom w:w="0" w:type="dxa"/>
          </w:tcMar>
        </w:tcPr>
        <w:p w:rsidR="00B2624A" w:rsidRPr="00487162" w:rsidRDefault="00B2624A"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61</w:t>
            </w:r>
          </w:fldSimple>
        </w:p>
      </w:tc>
    </w:tr>
  </w:tbl>
  <w:p w:rsidR="00B2624A" w:rsidRDefault="00B2624A">
    <w:pPr>
      <w:pStyle w:val="Footer"/>
    </w:pPr>
  </w:p>
  <w:p w:rsidR="00B2624A" w:rsidRDefault="00B2624A"/>
  <w:p w:rsidR="00B2624A" w:rsidRDefault="00B2624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24A" w:rsidRPr="001C32CD" w:rsidRDefault="00B2624A"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B2624A" w:rsidTr="0010601F">
      <w:trPr>
        <w:trHeight w:val="108"/>
      </w:trPr>
      <w:tc>
        <w:tcPr>
          <w:tcW w:w="8875" w:type="dxa"/>
          <w:gridSpan w:val="2"/>
          <w:tcBorders>
            <w:bottom w:val="single" w:sz="4" w:space="0" w:color="auto"/>
          </w:tcBorders>
          <w:tcMar>
            <w:right w:w="284" w:type="dxa"/>
          </w:tcMar>
        </w:tcPr>
        <w:p w:rsidR="00B2624A" w:rsidRDefault="00B2624A" w:rsidP="006E08B3">
          <w:pPr>
            <w:pStyle w:val="Heading3"/>
          </w:pPr>
          <w:r>
            <w:t>Copyright</w:t>
          </w:r>
        </w:p>
        <w:p w:rsidR="00B2624A" w:rsidRDefault="00B2624A" w:rsidP="006E08B3">
          <w:r>
            <w:rPr>
              <w:rFonts w:cs="Arial"/>
            </w:rPr>
            <w:t>©</w:t>
          </w:r>
          <w:r>
            <w:t xml:space="preserve"> Commonwealth of Australia [add year]</w:t>
          </w:r>
        </w:p>
        <w:p w:rsidR="00B2624A" w:rsidRDefault="00B2624A" w:rsidP="006E08B3"/>
        <w:p w:rsidR="00B2624A" w:rsidRDefault="00B2624A"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B2624A" w:rsidRDefault="00B2624A" w:rsidP="006E08B3"/>
        <w:p w:rsidR="00B2624A" w:rsidRDefault="00B2624A" w:rsidP="006E08B3">
          <w:pPr>
            <w:pStyle w:val="Heading3"/>
          </w:pPr>
          <w:r>
            <w:t>Confidentiality</w:t>
          </w:r>
        </w:p>
        <w:p w:rsidR="00B2624A" w:rsidRDefault="00B2624A"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B2624A" w:rsidRDefault="00B2624A" w:rsidP="006E08B3"/>
        <w:p w:rsidR="00B2624A" w:rsidRDefault="00B2624A" w:rsidP="006E08B3">
          <w:r>
            <w:t>For submission made by individuals, all personal details, other than your name, will be removed from your submission before it is published on the TGA’s Internet site.</w:t>
          </w:r>
        </w:p>
        <w:p w:rsidR="00B2624A" w:rsidRDefault="00B2624A" w:rsidP="006E08B3"/>
        <w:p w:rsidR="00B2624A" w:rsidRDefault="00B2624A"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B2624A" w:rsidTr="0010601F">
      <w:trPr>
        <w:trHeight w:val="417"/>
      </w:trPr>
      <w:tc>
        <w:tcPr>
          <w:tcW w:w="4519" w:type="dxa"/>
          <w:tcBorders>
            <w:top w:val="single" w:sz="4" w:space="0" w:color="auto"/>
          </w:tcBorders>
          <w:tcMar>
            <w:top w:w="142" w:type="dxa"/>
            <w:bottom w:w="0" w:type="dxa"/>
          </w:tcMar>
        </w:tcPr>
        <w:p w:rsidR="00B2624A" w:rsidRDefault="00B2624A" w:rsidP="006E08B3">
          <w:r>
            <w:t>Document title, Part #, Section #   Section title</w:t>
          </w:r>
        </w:p>
        <w:p w:rsidR="00B2624A" w:rsidRDefault="00B2624A" w:rsidP="006E08B3">
          <w:r>
            <w:t>V1.0 October 2010</w:t>
          </w:r>
        </w:p>
      </w:tc>
      <w:tc>
        <w:tcPr>
          <w:tcW w:w="4356" w:type="dxa"/>
          <w:tcBorders>
            <w:top w:val="single" w:sz="4" w:space="0" w:color="auto"/>
          </w:tcBorders>
          <w:tcMar>
            <w:top w:w="142" w:type="dxa"/>
            <w:bottom w:w="0" w:type="dxa"/>
          </w:tcMar>
        </w:tcPr>
        <w:p w:rsidR="00B2624A" w:rsidRDefault="00B2624A"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61</w:t>
            </w:r>
          </w:fldSimple>
          <w:r>
            <w:t xml:space="preserve">  </w:t>
          </w:r>
        </w:p>
      </w:tc>
    </w:tr>
  </w:tbl>
  <w:p w:rsidR="00B2624A" w:rsidRDefault="00B262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24A" w:rsidRDefault="00B2624A" w:rsidP="00C40A36">
      <w:pPr>
        <w:spacing w:after="0"/>
      </w:pPr>
      <w:r>
        <w:separator/>
      </w:r>
    </w:p>
  </w:footnote>
  <w:footnote w:type="continuationSeparator" w:id="0">
    <w:p w:rsidR="00B2624A" w:rsidRDefault="00B2624A" w:rsidP="00C40A36">
      <w:pPr>
        <w:spacing w:after="0"/>
      </w:pPr>
      <w:r>
        <w:continuationSeparator/>
      </w:r>
    </w:p>
  </w:footnote>
  <w:footnote w:id="1">
    <w:p w:rsidR="00B2624A" w:rsidRPr="005B7908" w:rsidRDefault="00B2624A">
      <w:pPr>
        <w:pStyle w:val="FootnoteText"/>
        <w:rPr>
          <w:lang w:val="en-US"/>
        </w:rPr>
      </w:pPr>
      <w:r>
        <w:rPr>
          <w:rStyle w:val="FootnoteReference"/>
        </w:rPr>
        <w:footnoteRef/>
      </w:r>
      <w:r>
        <w:t xml:space="preserve"> </w:t>
      </w:r>
      <w:r w:rsidRPr="00A52683">
        <w:t xml:space="preserve">Ehrlich </w:t>
      </w:r>
      <w:r>
        <w:t xml:space="preserve">R </w:t>
      </w:r>
      <w:r w:rsidRPr="00A52683">
        <w:t xml:space="preserve">et al., </w:t>
      </w:r>
      <w:r w:rsidRPr="00A529B6">
        <w:rPr>
          <w:noProof/>
          <w:kern w:val="2"/>
        </w:rPr>
        <w:t xml:space="preserve">Diabetic macular </w:t>
      </w:r>
      <w:r w:rsidRPr="00876E3D">
        <w:rPr>
          <w:noProof/>
          <w:kern w:val="2"/>
        </w:rPr>
        <w:t>oedema: physical, physiological and molecular factors contribut</w:t>
      </w:r>
      <w:r>
        <w:rPr>
          <w:noProof/>
          <w:kern w:val="2"/>
        </w:rPr>
        <w:t xml:space="preserve">e to this pathological process. </w:t>
      </w:r>
      <w:r w:rsidRPr="00876E3D">
        <w:rPr>
          <w:i/>
          <w:noProof/>
          <w:kern w:val="2"/>
        </w:rPr>
        <w:t>Acta</w:t>
      </w:r>
      <w:r>
        <w:rPr>
          <w:i/>
          <w:noProof/>
          <w:kern w:val="2"/>
        </w:rPr>
        <w:t> </w:t>
      </w:r>
      <w:r w:rsidRPr="00876E3D">
        <w:rPr>
          <w:i/>
          <w:noProof/>
          <w:kern w:val="2"/>
        </w:rPr>
        <w:t>Ophthalmol.</w:t>
      </w:r>
      <w:r w:rsidRPr="00876E3D">
        <w:rPr>
          <w:noProof/>
          <w:kern w:val="2"/>
        </w:rPr>
        <w:t xml:space="preserve"> </w:t>
      </w:r>
      <w:r>
        <w:rPr>
          <w:noProof/>
          <w:kern w:val="2"/>
        </w:rPr>
        <w:t xml:space="preserve">2010; </w:t>
      </w:r>
      <w:r w:rsidRPr="00F677C6">
        <w:rPr>
          <w:noProof/>
          <w:kern w:val="2"/>
        </w:rPr>
        <w:t>88:</w:t>
      </w:r>
      <w:r w:rsidRPr="00876E3D">
        <w:rPr>
          <w:noProof/>
          <w:w w:val="50"/>
          <w:kern w:val="2"/>
        </w:rPr>
        <w:t xml:space="preserve"> </w:t>
      </w:r>
      <w:r w:rsidRPr="00876E3D">
        <w:rPr>
          <w:noProof/>
          <w:kern w:val="2"/>
        </w:rPr>
        <w:t>279</w:t>
      </w:r>
      <w:r>
        <w:rPr>
          <w:noProof/>
          <w:kern w:val="2"/>
        </w:rPr>
        <w:t>–291</w:t>
      </w:r>
    </w:p>
  </w:footnote>
  <w:footnote w:id="2">
    <w:p w:rsidR="00B2624A" w:rsidRPr="005B7908" w:rsidRDefault="00B2624A">
      <w:pPr>
        <w:pStyle w:val="FootnoteText"/>
        <w:rPr>
          <w:lang w:val="en-US"/>
        </w:rPr>
      </w:pPr>
      <w:r>
        <w:rPr>
          <w:rStyle w:val="FootnoteReference"/>
        </w:rPr>
        <w:footnoteRef/>
      </w:r>
      <w:r>
        <w:t xml:space="preserve"> </w:t>
      </w:r>
      <w:proofErr w:type="gramStart"/>
      <w:r w:rsidRPr="00A52683">
        <w:t xml:space="preserve">Owen </w:t>
      </w:r>
      <w:r>
        <w:t xml:space="preserve">LA </w:t>
      </w:r>
      <w:r w:rsidRPr="00A52683">
        <w:t>and Hartnett</w:t>
      </w:r>
      <w:r>
        <w:t xml:space="preserve"> ME.</w:t>
      </w:r>
      <w:proofErr w:type="gramEnd"/>
      <w:r>
        <w:t xml:space="preserve"> </w:t>
      </w:r>
      <w:r w:rsidRPr="00CF6D98">
        <w:rPr>
          <w:noProof/>
          <w:kern w:val="2"/>
        </w:rPr>
        <w:t xml:space="preserve">Soluble mediators of diabetic macular edema: the diagnostic role of aqueous VEGF and cytokine levels in diabetic macular edema. </w:t>
      </w:r>
      <w:r w:rsidRPr="00CF6D98">
        <w:rPr>
          <w:i/>
          <w:noProof/>
          <w:kern w:val="2"/>
        </w:rPr>
        <w:t>Curr. Diab. Rep.</w:t>
      </w:r>
      <w:r w:rsidRPr="00CF6D98">
        <w:rPr>
          <w:noProof/>
          <w:kern w:val="2"/>
        </w:rPr>
        <w:t xml:space="preserve"> </w:t>
      </w:r>
      <w:r>
        <w:rPr>
          <w:noProof/>
          <w:kern w:val="2"/>
        </w:rPr>
        <w:t xml:space="preserve">2013; </w:t>
      </w:r>
      <w:r w:rsidRPr="00F677C6">
        <w:rPr>
          <w:noProof/>
          <w:kern w:val="2"/>
        </w:rPr>
        <w:t>13:</w:t>
      </w:r>
      <w:r w:rsidRPr="00CF6D98">
        <w:rPr>
          <w:noProof/>
          <w:w w:val="50"/>
          <w:kern w:val="2"/>
        </w:rPr>
        <w:t xml:space="preserve"> </w:t>
      </w:r>
      <w:r>
        <w:rPr>
          <w:noProof/>
          <w:kern w:val="2"/>
        </w:rPr>
        <w:t>476–480</w:t>
      </w:r>
    </w:p>
  </w:footnote>
  <w:footnote w:id="3">
    <w:p w:rsidR="00B2624A" w:rsidRPr="00881FB2" w:rsidRDefault="00B2624A">
      <w:pPr>
        <w:pStyle w:val="FootnoteText"/>
        <w:rPr>
          <w:lang w:val="en-US"/>
        </w:rPr>
      </w:pPr>
      <w:r>
        <w:rPr>
          <w:rStyle w:val="FootnoteReference"/>
        </w:rPr>
        <w:footnoteRef/>
      </w:r>
      <w:r>
        <w:t xml:space="preserve"> </w:t>
      </w:r>
      <w:r w:rsidRPr="00FB35AC">
        <w:t>CPMP/QWP/604/96 (Note for Guidance on Quality of Modified Release Products: A: Oral Dosage Forms B: Transdermal Dosage Forms Section 1 (Quality)</w:t>
      </w:r>
    </w:p>
  </w:footnote>
  <w:footnote w:id="4">
    <w:p w:rsidR="00B2624A" w:rsidRPr="0034264B" w:rsidRDefault="00B2624A">
      <w:pPr>
        <w:pStyle w:val="FootnoteText"/>
        <w:rPr>
          <w:lang w:val="en-US"/>
        </w:rPr>
      </w:pPr>
      <w:r>
        <w:rPr>
          <w:rStyle w:val="FootnoteReference"/>
        </w:rPr>
        <w:footnoteRef/>
      </w:r>
      <w:r>
        <w:t xml:space="preserve"> </w:t>
      </w:r>
      <w:r w:rsidRPr="0034264B">
        <w:rPr>
          <w:rStyle w:val="FootnoteTextChar"/>
        </w:rPr>
        <w:t>In an email dated 12 February 2015 the sponsor agreed to adopt the above suggested in vitro release limits. Therefore approval can be recommended from a pharmaceutical chemistry and biopharmaceutics perspective.</w:t>
      </w:r>
    </w:p>
  </w:footnote>
  <w:footnote w:id="5">
    <w:p w:rsidR="00B2624A" w:rsidRPr="00F677C6" w:rsidRDefault="00B2624A">
      <w:pPr>
        <w:pStyle w:val="FootnoteText"/>
        <w:rPr>
          <w:lang w:val="en-US"/>
        </w:rPr>
      </w:pPr>
      <w:r>
        <w:rPr>
          <w:rStyle w:val="FootnoteReference"/>
        </w:rPr>
        <w:footnoteRef/>
      </w:r>
      <w:r>
        <w:t xml:space="preserve"> </w:t>
      </w:r>
      <w:r>
        <w:rPr>
          <w:noProof/>
          <w:kern w:val="2"/>
        </w:rPr>
        <w:t xml:space="preserve">Nauck Met al </w:t>
      </w:r>
      <w:r w:rsidRPr="00C73C9F">
        <w:rPr>
          <w:noProof/>
          <w:kern w:val="2"/>
        </w:rPr>
        <w:t>Corticosteroids inhibit the expression of the vascular endothelial growth factor gene in human vascular smooth muscle cells.</w:t>
      </w:r>
      <w:r>
        <w:rPr>
          <w:noProof/>
          <w:kern w:val="2"/>
        </w:rPr>
        <w:t xml:space="preserve"> </w:t>
      </w:r>
      <w:r w:rsidRPr="00C73C9F">
        <w:rPr>
          <w:i/>
          <w:noProof/>
          <w:kern w:val="2"/>
        </w:rPr>
        <w:t>Eur. J. Pharmacol.</w:t>
      </w:r>
      <w:r w:rsidRPr="00C73C9F">
        <w:rPr>
          <w:noProof/>
          <w:kern w:val="2"/>
        </w:rPr>
        <w:t xml:space="preserve"> </w:t>
      </w:r>
      <w:r>
        <w:rPr>
          <w:noProof/>
          <w:kern w:val="2"/>
        </w:rPr>
        <w:t xml:space="preserve">1998; </w:t>
      </w:r>
      <w:r w:rsidRPr="00F677C6">
        <w:rPr>
          <w:noProof/>
          <w:kern w:val="2"/>
        </w:rPr>
        <w:t>341:</w:t>
      </w:r>
      <w:r w:rsidRPr="00F677C6">
        <w:rPr>
          <w:noProof/>
          <w:w w:val="50"/>
          <w:kern w:val="2"/>
        </w:rPr>
        <w:t xml:space="preserve"> </w:t>
      </w:r>
      <w:r w:rsidRPr="00C73C9F">
        <w:rPr>
          <w:noProof/>
          <w:kern w:val="2"/>
        </w:rPr>
        <w:t>309</w:t>
      </w:r>
      <w:r>
        <w:rPr>
          <w:noProof/>
          <w:kern w:val="2"/>
        </w:rPr>
        <w:t>–3</w:t>
      </w:r>
      <w:r w:rsidRPr="00C73C9F">
        <w:rPr>
          <w:noProof/>
          <w:kern w:val="2"/>
        </w:rPr>
        <w:t>15.</w:t>
      </w:r>
    </w:p>
  </w:footnote>
  <w:footnote w:id="6">
    <w:p w:rsidR="00B2624A" w:rsidRPr="00F677C6" w:rsidRDefault="00B2624A">
      <w:pPr>
        <w:pStyle w:val="FootnoteText"/>
        <w:rPr>
          <w:lang w:val="en-US"/>
        </w:rPr>
      </w:pPr>
      <w:r>
        <w:rPr>
          <w:rStyle w:val="FootnoteReference"/>
        </w:rPr>
        <w:footnoteRef/>
      </w:r>
      <w:r>
        <w:t xml:space="preserve"> </w:t>
      </w:r>
      <w:r w:rsidRPr="00C73C9F">
        <w:rPr>
          <w:noProof/>
          <w:kern w:val="2"/>
        </w:rPr>
        <w:t xml:space="preserve">Flach A.J. The incidence, pathogenesis and treatment of cystoid macular edema following cataract surgery. </w:t>
      </w:r>
      <w:r w:rsidRPr="00C73C9F">
        <w:rPr>
          <w:i/>
          <w:noProof/>
          <w:kern w:val="2"/>
        </w:rPr>
        <w:t>Trans. Am. Ophthalmol. Soc.</w:t>
      </w:r>
      <w:r w:rsidRPr="00C73C9F">
        <w:rPr>
          <w:noProof/>
          <w:kern w:val="2"/>
        </w:rPr>
        <w:t xml:space="preserve"> 1998</w:t>
      </w:r>
      <w:r>
        <w:rPr>
          <w:noProof/>
          <w:kern w:val="2"/>
        </w:rPr>
        <w:t xml:space="preserve">; </w:t>
      </w:r>
      <w:r w:rsidRPr="00F677C6">
        <w:rPr>
          <w:noProof/>
          <w:kern w:val="2"/>
        </w:rPr>
        <w:t>96</w:t>
      </w:r>
      <w:r w:rsidRPr="00C73C9F">
        <w:rPr>
          <w:b/>
          <w:noProof/>
          <w:kern w:val="2"/>
        </w:rPr>
        <w:t>:</w:t>
      </w:r>
      <w:r w:rsidRPr="00C73C9F">
        <w:rPr>
          <w:noProof/>
          <w:w w:val="50"/>
          <w:kern w:val="2"/>
        </w:rPr>
        <w:t xml:space="preserve"> </w:t>
      </w:r>
      <w:r w:rsidRPr="00C73C9F">
        <w:rPr>
          <w:noProof/>
          <w:kern w:val="2"/>
        </w:rPr>
        <w:t>557–634.</w:t>
      </w:r>
    </w:p>
  </w:footnote>
  <w:footnote w:id="7">
    <w:p w:rsidR="00B2624A" w:rsidRPr="00F677C6" w:rsidRDefault="00B2624A">
      <w:pPr>
        <w:pStyle w:val="FootnoteText"/>
        <w:rPr>
          <w:lang w:val="en-US"/>
        </w:rPr>
      </w:pPr>
      <w:r>
        <w:rPr>
          <w:rStyle w:val="FootnoteReference"/>
        </w:rPr>
        <w:footnoteRef/>
      </w:r>
      <w:r>
        <w:t xml:space="preserve"> </w:t>
      </w:r>
      <w:r>
        <w:rPr>
          <w:noProof/>
          <w:kern w:val="2"/>
        </w:rPr>
        <w:t>Aiello L.P. et al</w:t>
      </w:r>
      <w:r w:rsidRPr="007456A4">
        <w:rPr>
          <w:noProof/>
          <w:kern w:val="2"/>
        </w:rPr>
        <w:t xml:space="preserve">. Vascular endothelial growth factor-induced retinal permeability is mediated by protein kinase C in vivo and suppressed by an orally effective </w:t>
      </w:r>
      <w:r>
        <w:rPr>
          <w:noProof/>
          <w:kern w:val="2"/>
        </w:rPr>
        <w:t>β</w:t>
      </w:r>
      <w:r w:rsidRPr="007456A4">
        <w:rPr>
          <w:noProof/>
          <w:kern w:val="2"/>
        </w:rPr>
        <w:t xml:space="preserve">-isoform-selective </w:t>
      </w:r>
      <w:r w:rsidRPr="00AA3A8F">
        <w:rPr>
          <w:noProof/>
          <w:kern w:val="2"/>
        </w:rPr>
        <w:t xml:space="preserve">inhibitor. </w:t>
      </w:r>
      <w:r w:rsidRPr="00AA3A8F">
        <w:rPr>
          <w:i/>
          <w:noProof/>
          <w:kern w:val="2"/>
        </w:rPr>
        <w:t>Diabetes.</w:t>
      </w:r>
      <w:r w:rsidRPr="00AA3A8F">
        <w:rPr>
          <w:noProof/>
          <w:kern w:val="2"/>
        </w:rPr>
        <w:t xml:space="preserve"> </w:t>
      </w:r>
      <w:r>
        <w:rPr>
          <w:noProof/>
          <w:kern w:val="2"/>
        </w:rPr>
        <w:t>1997</w:t>
      </w:r>
      <w:r w:rsidRPr="00F677C6">
        <w:rPr>
          <w:noProof/>
          <w:kern w:val="2"/>
        </w:rPr>
        <w:t>; 46</w:t>
      </w:r>
      <w:r w:rsidRPr="00AA3A8F">
        <w:rPr>
          <w:b/>
          <w:noProof/>
          <w:kern w:val="2"/>
        </w:rPr>
        <w:t>:</w:t>
      </w:r>
      <w:r w:rsidRPr="00AA3A8F">
        <w:rPr>
          <w:noProof/>
          <w:w w:val="50"/>
          <w:kern w:val="2"/>
        </w:rPr>
        <w:t xml:space="preserve"> </w:t>
      </w:r>
      <w:r w:rsidRPr="00AA3A8F">
        <w:rPr>
          <w:noProof/>
          <w:kern w:val="2"/>
        </w:rPr>
        <w:t>1473–1480</w:t>
      </w:r>
    </w:p>
  </w:footnote>
  <w:footnote w:id="8">
    <w:p w:rsidR="00B2624A" w:rsidRPr="00F677C6" w:rsidRDefault="00B2624A">
      <w:pPr>
        <w:pStyle w:val="FootnoteText"/>
        <w:rPr>
          <w:lang w:val="en-US"/>
        </w:rPr>
      </w:pPr>
      <w:r>
        <w:rPr>
          <w:rStyle w:val="FootnoteReference"/>
        </w:rPr>
        <w:footnoteRef/>
      </w:r>
      <w:r>
        <w:t xml:space="preserve"> </w:t>
      </w:r>
      <w:r>
        <w:rPr>
          <w:noProof/>
          <w:kern w:val="2"/>
        </w:rPr>
        <w:t xml:space="preserve">Ozaki H. et al. </w:t>
      </w:r>
      <w:r w:rsidRPr="00CF6D98">
        <w:rPr>
          <w:noProof/>
          <w:kern w:val="2"/>
        </w:rPr>
        <w:t>Intravitreal systained release of VEGF causes retinal neovascularisation in rabbits and breakdown of the blood-</w:t>
      </w:r>
      <w:r w:rsidRPr="004A0A02">
        <w:rPr>
          <w:noProof/>
          <w:kern w:val="2"/>
        </w:rPr>
        <w:t xml:space="preserve">retinal barrier in rabbits and primates. </w:t>
      </w:r>
      <w:r w:rsidRPr="004A0A02">
        <w:rPr>
          <w:i/>
          <w:noProof/>
          <w:kern w:val="2"/>
        </w:rPr>
        <w:t>Exp. Eye Res.</w:t>
      </w:r>
      <w:r w:rsidRPr="004A0A02">
        <w:rPr>
          <w:noProof/>
          <w:kern w:val="2"/>
        </w:rPr>
        <w:t xml:space="preserve"> </w:t>
      </w:r>
      <w:r>
        <w:rPr>
          <w:noProof/>
          <w:kern w:val="2"/>
        </w:rPr>
        <w:t>1997</w:t>
      </w:r>
      <w:r w:rsidRPr="00F677C6">
        <w:rPr>
          <w:noProof/>
          <w:kern w:val="2"/>
        </w:rPr>
        <w:t>; 64</w:t>
      </w:r>
      <w:r w:rsidRPr="004A0A02">
        <w:rPr>
          <w:b/>
          <w:noProof/>
          <w:kern w:val="2"/>
        </w:rPr>
        <w:t>:</w:t>
      </w:r>
      <w:r w:rsidRPr="004A0A02">
        <w:rPr>
          <w:noProof/>
          <w:w w:val="50"/>
          <w:kern w:val="2"/>
        </w:rPr>
        <w:t xml:space="preserve"> </w:t>
      </w:r>
      <w:r w:rsidRPr="004A0A02">
        <w:rPr>
          <w:noProof/>
          <w:kern w:val="2"/>
        </w:rPr>
        <w:t>505–517</w:t>
      </w:r>
    </w:p>
  </w:footnote>
  <w:footnote w:id="9">
    <w:p w:rsidR="00B2624A" w:rsidRPr="00F677C6" w:rsidRDefault="00B2624A">
      <w:pPr>
        <w:pStyle w:val="FootnoteText"/>
        <w:rPr>
          <w:lang w:val="en-US"/>
        </w:rPr>
      </w:pPr>
      <w:r>
        <w:rPr>
          <w:rStyle w:val="FootnoteReference"/>
        </w:rPr>
        <w:footnoteRef/>
      </w:r>
      <w:r>
        <w:t xml:space="preserve"> Tolentino M.J et al</w:t>
      </w:r>
      <w:r w:rsidRPr="004A0A02">
        <w:t xml:space="preserve">. Pathologic features of vascular endothelial growth factor-induced retinopathy in the nonhuman primate. </w:t>
      </w:r>
      <w:r w:rsidRPr="004A0A02">
        <w:rPr>
          <w:i/>
        </w:rPr>
        <w:t>Am. J. </w:t>
      </w:r>
      <w:proofErr w:type="spellStart"/>
      <w:r w:rsidRPr="004A0A02">
        <w:rPr>
          <w:i/>
        </w:rPr>
        <w:t>Ophthalmol</w:t>
      </w:r>
      <w:proofErr w:type="spellEnd"/>
      <w:r w:rsidRPr="004A0A02">
        <w:t>.</w:t>
      </w:r>
      <w:r>
        <w:t xml:space="preserve"> </w:t>
      </w:r>
      <w:proofErr w:type="gramStart"/>
      <w:r>
        <w:t>2002;</w:t>
      </w:r>
      <w:r w:rsidRPr="004A0A02">
        <w:t xml:space="preserve"> </w:t>
      </w:r>
      <w:r w:rsidRPr="00F677C6">
        <w:t>133:</w:t>
      </w:r>
      <w:r w:rsidRPr="004A0A02">
        <w:rPr>
          <w:w w:val="50"/>
        </w:rPr>
        <w:t xml:space="preserve"> </w:t>
      </w:r>
      <w:r w:rsidRPr="004A0A02">
        <w:t>373–385.</w:t>
      </w:r>
      <w:proofErr w:type="gramEnd"/>
    </w:p>
  </w:footnote>
  <w:footnote w:id="10">
    <w:p w:rsidR="00B2624A" w:rsidRPr="00F677C6" w:rsidRDefault="00B2624A">
      <w:pPr>
        <w:pStyle w:val="FootnoteText"/>
        <w:rPr>
          <w:lang w:val="en-US"/>
        </w:rPr>
      </w:pPr>
      <w:r>
        <w:rPr>
          <w:rStyle w:val="FootnoteReference"/>
        </w:rPr>
        <w:footnoteRef/>
      </w:r>
      <w:r>
        <w:t xml:space="preserve"> </w:t>
      </w:r>
      <w:r>
        <w:rPr>
          <w:noProof/>
          <w:kern w:val="2"/>
        </w:rPr>
        <w:t xml:space="preserve">Edelman J. et al. </w:t>
      </w:r>
      <w:r w:rsidRPr="00A529B6">
        <w:rPr>
          <w:noProof/>
          <w:kern w:val="2"/>
        </w:rPr>
        <w:t xml:space="preserve">Corticosteroids inhibit VEGF-induced vascular leakage in a rabbit model of blood-retinal and blood-aqueous barrier breakdown. </w:t>
      </w:r>
      <w:r w:rsidRPr="00A529B6">
        <w:rPr>
          <w:i/>
          <w:noProof/>
          <w:kern w:val="2"/>
        </w:rPr>
        <w:t>Exp. Eye Res.</w:t>
      </w:r>
      <w:r w:rsidRPr="00A529B6">
        <w:rPr>
          <w:noProof/>
          <w:kern w:val="2"/>
        </w:rPr>
        <w:t xml:space="preserve"> </w:t>
      </w:r>
      <w:r>
        <w:rPr>
          <w:noProof/>
          <w:kern w:val="2"/>
        </w:rPr>
        <w:t>2005</w:t>
      </w:r>
      <w:r w:rsidRPr="00F677C6">
        <w:rPr>
          <w:noProof/>
          <w:kern w:val="2"/>
        </w:rPr>
        <w:t>; 80:</w:t>
      </w:r>
      <w:r w:rsidRPr="00A529B6">
        <w:rPr>
          <w:noProof/>
          <w:w w:val="50"/>
          <w:kern w:val="2"/>
        </w:rPr>
        <w:t xml:space="preserve"> </w:t>
      </w:r>
      <w:r w:rsidRPr="00A529B6">
        <w:rPr>
          <w:noProof/>
          <w:kern w:val="2"/>
        </w:rPr>
        <w:t>249–258.</w:t>
      </w:r>
    </w:p>
  </w:footnote>
  <w:footnote w:id="11">
    <w:p w:rsidR="00B2624A" w:rsidRPr="0013131F" w:rsidRDefault="00B2624A" w:rsidP="00122787">
      <w:pPr>
        <w:pStyle w:val="Standard"/>
        <w:rPr>
          <w:lang w:val="en-US"/>
        </w:rPr>
      </w:pPr>
      <w:r>
        <w:rPr>
          <w:rStyle w:val="FootnoteReference"/>
        </w:rPr>
        <w:footnoteRef/>
      </w:r>
      <w:r w:rsidRPr="0013131F">
        <w:rPr>
          <w:rStyle w:val="FootnoteTextChar"/>
        </w:rPr>
        <w:t xml:space="preserve">Short B.G. (2008) Safety evaluation of ocular drug delivery formulations: techniques and practical considerations. </w:t>
      </w:r>
      <w:proofErr w:type="spellStart"/>
      <w:proofErr w:type="gramStart"/>
      <w:r w:rsidRPr="0013131F">
        <w:rPr>
          <w:rStyle w:val="FootnoteTextChar"/>
          <w:i/>
        </w:rPr>
        <w:t>Toxicol</w:t>
      </w:r>
      <w:proofErr w:type="spellEnd"/>
      <w:r w:rsidRPr="0013131F">
        <w:rPr>
          <w:rStyle w:val="FootnoteTextChar"/>
          <w:i/>
        </w:rPr>
        <w:t>.</w:t>
      </w:r>
      <w:proofErr w:type="gramEnd"/>
      <w:r w:rsidRPr="0013131F">
        <w:rPr>
          <w:rStyle w:val="FootnoteTextChar"/>
          <w:i/>
        </w:rPr>
        <w:t xml:space="preserve"> </w:t>
      </w:r>
      <w:proofErr w:type="spellStart"/>
      <w:proofErr w:type="gramStart"/>
      <w:r w:rsidRPr="0013131F">
        <w:rPr>
          <w:rStyle w:val="FootnoteTextChar"/>
          <w:i/>
        </w:rPr>
        <w:t>Pathol</w:t>
      </w:r>
      <w:proofErr w:type="spellEnd"/>
      <w:r w:rsidRPr="0013131F">
        <w:rPr>
          <w:rStyle w:val="FootnoteTextChar"/>
        </w:rPr>
        <w:t>.</w:t>
      </w:r>
      <w:proofErr w:type="gramEnd"/>
      <w:r w:rsidRPr="0013131F">
        <w:rPr>
          <w:rStyle w:val="FootnoteTextChar"/>
        </w:rPr>
        <w:t xml:space="preserve"> </w:t>
      </w:r>
      <w:proofErr w:type="gramStart"/>
      <w:r>
        <w:rPr>
          <w:rStyle w:val="FootnoteTextChar"/>
        </w:rPr>
        <w:t xml:space="preserve">2008; </w:t>
      </w:r>
      <w:r w:rsidRPr="0013131F">
        <w:rPr>
          <w:rStyle w:val="FootnoteTextChar"/>
        </w:rPr>
        <w:t>36: 49–62.</w:t>
      </w:r>
      <w:proofErr w:type="gramEnd"/>
    </w:p>
  </w:footnote>
  <w:footnote w:id="12">
    <w:p w:rsidR="00B2624A" w:rsidRPr="004E78A0" w:rsidRDefault="00B2624A">
      <w:pPr>
        <w:pStyle w:val="FootnoteText"/>
        <w:rPr>
          <w:lang w:val="en-US"/>
        </w:rPr>
      </w:pPr>
      <w:r>
        <w:rPr>
          <w:rStyle w:val="FootnoteReference"/>
        </w:rPr>
        <w:footnoteRef/>
      </w:r>
      <w:r>
        <w:t xml:space="preserve"> </w:t>
      </w:r>
      <w:r>
        <w:rPr>
          <w:lang w:val="en-US"/>
        </w:rPr>
        <w:t xml:space="preserve">Pregnancy Category B3 is defined as </w:t>
      </w:r>
      <w:r w:rsidRPr="004E78A0">
        <w:rPr>
          <w:i/>
          <w:lang w:val="en-US"/>
        </w:rPr>
        <w:t>Drugs which have been taken by only a limited number of pregnant women and women of childbearing age, without an increase in the frequency of malformation or other direct or indirect harmful effects on the human fetus have been observed. Studies in animals have shown evidence of an increased occurrence of fetal damage, the significance of which is considered uncertain in humans.</w:t>
      </w:r>
    </w:p>
  </w:footnote>
  <w:footnote w:id="13">
    <w:p w:rsidR="00B2624A" w:rsidRPr="004E78A0" w:rsidRDefault="00B2624A">
      <w:pPr>
        <w:pStyle w:val="FootnoteText"/>
        <w:rPr>
          <w:lang w:val="en-US"/>
        </w:rPr>
      </w:pPr>
      <w:r>
        <w:rPr>
          <w:rStyle w:val="FootnoteReference"/>
        </w:rPr>
        <w:footnoteRef/>
      </w:r>
      <w:r>
        <w:t xml:space="preserve"> </w:t>
      </w:r>
      <w:r>
        <w:rPr>
          <w:lang w:val="en-US"/>
        </w:rPr>
        <w:t xml:space="preserve">Pregnancy Category A is defined as </w:t>
      </w:r>
      <w:r w:rsidRPr="004E78A0">
        <w:rPr>
          <w:i/>
          <w:lang w:val="en-US"/>
        </w:rPr>
        <w:t>Drugs which have been taken by a large number of pregnant women and women of childbearing age without any proven increase in the frequency of malformations or other direct or indirect harmful effects on the fetus having been observed.</w:t>
      </w:r>
    </w:p>
  </w:footnote>
  <w:footnote w:id="14">
    <w:p w:rsidR="00B2624A" w:rsidRPr="004E78A0" w:rsidRDefault="00B2624A">
      <w:pPr>
        <w:pStyle w:val="FootnoteText"/>
        <w:rPr>
          <w:i/>
          <w:lang w:val="en-US"/>
        </w:rPr>
      </w:pPr>
      <w:r>
        <w:rPr>
          <w:rStyle w:val="FootnoteReference"/>
        </w:rPr>
        <w:footnoteRef/>
      </w:r>
      <w:r>
        <w:t xml:space="preserve"> </w:t>
      </w:r>
      <w:r>
        <w:rPr>
          <w:lang w:val="en-US"/>
        </w:rPr>
        <w:t xml:space="preserve">Pregnancy Category C is defined as </w:t>
      </w:r>
      <w:r w:rsidRPr="004E78A0">
        <w:rPr>
          <w:i/>
          <w:lang w:val="en-US"/>
        </w:rPr>
        <w:t>Drugs which, owing to their pharmacological effects, have caused or may be suspected of causing, harmful effects on the human fetus or neonate without causing malformations. These effects may be reversible. Accompanying texts should be consulted for further details.</w:t>
      </w:r>
    </w:p>
  </w:footnote>
  <w:footnote w:id="15">
    <w:p w:rsidR="00B2624A" w:rsidRPr="004E78A0" w:rsidRDefault="00B2624A">
      <w:pPr>
        <w:pStyle w:val="FootnoteText"/>
        <w:rPr>
          <w:lang w:val="en-US"/>
        </w:rPr>
      </w:pPr>
      <w:r>
        <w:rPr>
          <w:rStyle w:val="FootnoteReference"/>
        </w:rPr>
        <w:footnoteRef/>
      </w:r>
      <w:r>
        <w:t xml:space="preserve"> </w:t>
      </w:r>
      <w:r w:rsidRPr="00AA3A8F">
        <w:rPr>
          <w:noProof/>
          <w:kern w:val="2"/>
        </w:rPr>
        <w:t xml:space="preserve">Carmichael S.L., </w:t>
      </w:r>
      <w:r>
        <w:rPr>
          <w:noProof/>
          <w:kern w:val="2"/>
        </w:rPr>
        <w:t>et al</w:t>
      </w:r>
      <w:r w:rsidRPr="00AA3A8F">
        <w:rPr>
          <w:noProof/>
          <w:kern w:val="2"/>
        </w:rPr>
        <w:t xml:space="preserve"> National Birth Defects Prevention Study Maternal corticosteroid use an orofacial clefts. </w:t>
      </w:r>
      <w:r w:rsidRPr="00AA3A8F">
        <w:rPr>
          <w:i/>
          <w:noProof/>
          <w:kern w:val="2"/>
        </w:rPr>
        <w:t>Am. J. Obstet. Gynaecol.</w:t>
      </w:r>
      <w:r w:rsidRPr="00AA3A8F">
        <w:rPr>
          <w:noProof/>
          <w:kern w:val="2"/>
        </w:rPr>
        <w:t xml:space="preserve"> </w:t>
      </w:r>
      <w:r>
        <w:rPr>
          <w:noProof/>
          <w:kern w:val="2"/>
        </w:rPr>
        <w:t>2007;</w:t>
      </w:r>
      <w:r w:rsidRPr="00AA3A8F">
        <w:rPr>
          <w:noProof/>
          <w:kern w:val="2"/>
        </w:rPr>
        <w:t xml:space="preserve"> </w:t>
      </w:r>
      <w:r w:rsidRPr="004E78A0">
        <w:rPr>
          <w:noProof/>
          <w:kern w:val="2"/>
        </w:rPr>
        <w:t>197</w:t>
      </w:r>
      <w:r w:rsidRPr="00AA3A8F">
        <w:rPr>
          <w:b/>
          <w:noProof/>
          <w:kern w:val="2"/>
        </w:rPr>
        <w:t>:</w:t>
      </w:r>
      <w:r w:rsidRPr="00AA3A8F">
        <w:rPr>
          <w:noProof/>
          <w:w w:val="50"/>
          <w:kern w:val="2"/>
        </w:rPr>
        <w:t xml:space="preserve"> </w:t>
      </w:r>
      <w:r w:rsidRPr="00AA3A8F">
        <w:rPr>
          <w:noProof/>
          <w:kern w:val="2"/>
        </w:rPr>
        <w:t>585.e1–585.e7.</w:t>
      </w:r>
    </w:p>
  </w:footnote>
  <w:footnote w:id="16">
    <w:p w:rsidR="00B2624A" w:rsidRPr="004E78A0" w:rsidRDefault="00B2624A">
      <w:pPr>
        <w:pStyle w:val="FootnoteText"/>
        <w:rPr>
          <w:lang w:val="en-US"/>
        </w:rPr>
      </w:pPr>
      <w:r>
        <w:rPr>
          <w:rStyle w:val="FootnoteReference"/>
        </w:rPr>
        <w:footnoteRef/>
      </w:r>
      <w:r>
        <w:t xml:space="preserve"> </w:t>
      </w:r>
      <w:proofErr w:type="spellStart"/>
      <w:r>
        <w:t>Källén</w:t>
      </w:r>
      <w:proofErr w:type="spellEnd"/>
      <w:r>
        <w:t xml:space="preserve"> B. Maternal drug use and infant cleft lip/palate with special reference to corticoids. </w:t>
      </w:r>
      <w:proofErr w:type="gramStart"/>
      <w:r w:rsidRPr="0067760A">
        <w:rPr>
          <w:i/>
        </w:rPr>
        <w:t xml:space="preserve">Cleft Palate </w:t>
      </w:r>
      <w:proofErr w:type="spellStart"/>
      <w:r w:rsidRPr="0067760A">
        <w:rPr>
          <w:i/>
        </w:rPr>
        <w:t>Craniofac</w:t>
      </w:r>
      <w:proofErr w:type="spellEnd"/>
      <w:r w:rsidRPr="0067760A">
        <w:rPr>
          <w:i/>
        </w:rPr>
        <w:t>.</w:t>
      </w:r>
      <w:proofErr w:type="gramEnd"/>
      <w:r w:rsidRPr="0067760A">
        <w:rPr>
          <w:i/>
        </w:rPr>
        <w:t xml:space="preserve"> J.</w:t>
      </w:r>
      <w:r>
        <w:t xml:space="preserve"> 2003</w:t>
      </w:r>
      <w:r w:rsidRPr="004E78A0">
        <w:t>; 40:</w:t>
      </w:r>
      <w:r w:rsidRPr="00066885">
        <w:rPr>
          <w:w w:val="50"/>
        </w:rPr>
        <w:t xml:space="preserve"> </w:t>
      </w:r>
      <w:r>
        <w:t>624–628</w:t>
      </w:r>
    </w:p>
  </w:footnote>
  <w:footnote w:id="17">
    <w:p w:rsidR="00B2624A" w:rsidRPr="004E78A0" w:rsidRDefault="00B2624A">
      <w:pPr>
        <w:pStyle w:val="FootnoteText"/>
        <w:rPr>
          <w:lang w:val="en-US"/>
        </w:rPr>
      </w:pPr>
      <w:r>
        <w:rPr>
          <w:rStyle w:val="FootnoteReference"/>
        </w:rPr>
        <w:footnoteRef/>
      </w:r>
      <w:r>
        <w:t xml:space="preserve"> Carmichael S.L. and Shaw G.M. Maternal corticosteroid use and risk of selected congenital anomalies. </w:t>
      </w:r>
      <w:r w:rsidRPr="00344A56">
        <w:rPr>
          <w:i/>
        </w:rPr>
        <w:t>Am. J. Med. Genet.</w:t>
      </w:r>
      <w:r>
        <w:t xml:space="preserve"> </w:t>
      </w:r>
      <w:proofErr w:type="gramStart"/>
      <w:r>
        <w:t>1999</w:t>
      </w:r>
      <w:r w:rsidRPr="004E78A0">
        <w:t>; 86</w:t>
      </w:r>
      <w:r w:rsidRPr="00344A56">
        <w:rPr>
          <w:b/>
        </w:rPr>
        <w:t>:</w:t>
      </w:r>
      <w:r w:rsidRPr="00066885">
        <w:rPr>
          <w:w w:val="50"/>
        </w:rPr>
        <w:t xml:space="preserve"> </w:t>
      </w:r>
      <w:r>
        <w:t>242–244.</w:t>
      </w:r>
      <w:proofErr w:type="gramEnd"/>
    </w:p>
  </w:footnote>
  <w:footnote w:id="18">
    <w:p w:rsidR="00B2624A" w:rsidRPr="004E78A0" w:rsidRDefault="00B2624A">
      <w:pPr>
        <w:pStyle w:val="FootnoteText"/>
        <w:rPr>
          <w:lang w:val="en-US"/>
        </w:rPr>
      </w:pPr>
      <w:r>
        <w:rPr>
          <w:rStyle w:val="FootnoteReference"/>
        </w:rPr>
        <w:footnoteRef/>
      </w:r>
      <w:r>
        <w:t xml:space="preserve"> Rodríguez-Pinilla E. and </w:t>
      </w:r>
      <w:proofErr w:type="spellStart"/>
      <w:r>
        <w:t>Martínez-Frías</w:t>
      </w:r>
      <w:proofErr w:type="spellEnd"/>
      <w:r>
        <w:t xml:space="preserve"> M.L. Corticosteroids during pregnancy and oral clefts: a case-control study. </w:t>
      </w:r>
      <w:proofErr w:type="gramStart"/>
      <w:r w:rsidRPr="00344A56">
        <w:rPr>
          <w:i/>
        </w:rPr>
        <w:t>Teratology.</w:t>
      </w:r>
      <w:proofErr w:type="gramEnd"/>
      <w:r>
        <w:t xml:space="preserve"> 1998; </w:t>
      </w:r>
      <w:r w:rsidRPr="004E78A0">
        <w:t>58</w:t>
      </w:r>
      <w:r w:rsidRPr="00344A56">
        <w:rPr>
          <w:b/>
        </w:rPr>
        <w:t>:</w:t>
      </w:r>
      <w:r w:rsidRPr="00066885">
        <w:rPr>
          <w:w w:val="50"/>
        </w:rPr>
        <w:t xml:space="preserve"> </w:t>
      </w:r>
      <w:r>
        <w:t>2–5</w:t>
      </w:r>
    </w:p>
  </w:footnote>
  <w:footnote w:id="19">
    <w:p w:rsidR="00B2624A" w:rsidRPr="004E78A0" w:rsidRDefault="00B2624A">
      <w:pPr>
        <w:pStyle w:val="FootnoteText"/>
        <w:rPr>
          <w:lang w:val="en-US"/>
        </w:rPr>
      </w:pPr>
      <w:r>
        <w:rPr>
          <w:rStyle w:val="FootnoteReference"/>
        </w:rPr>
        <w:footnoteRef/>
      </w:r>
      <w:r>
        <w:t xml:space="preserve"> </w:t>
      </w:r>
      <w:r>
        <w:rPr>
          <w:noProof/>
          <w:kern w:val="2"/>
        </w:rPr>
        <w:t xml:space="preserve">Hu Xet al </w:t>
      </w:r>
      <w:r w:rsidRPr="0067760A">
        <w:rPr>
          <w:noProof/>
          <w:kern w:val="2"/>
        </w:rPr>
        <w:t>Dexamethasone alters epithelium proliferation and survival and suppresses Wnt/β-catenin signaling in developing cleft palate.</w:t>
      </w:r>
      <w:r>
        <w:rPr>
          <w:noProof/>
          <w:kern w:val="2"/>
        </w:rPr>
        <w:t xml:space="preserve"> </w:t>
      </w:r>
      <w:r w:rsidRPr="0067760A">
        <w:rPr>
          <w:i/>
          <w:noProof/>
          <w:kern w:val="2"/>
        </w:rPr>
        <w:t>Food Chem. Toxicol.</w:t>
      </w:r>
      <w:r w:rsidRPr="0067760A">
        <w:rPr>
          <w:noProof/>
          <w:kern w:val="2"/>
        </w:rPr>
        <w:t xml:space="preserve"> </w:t>
      </w:r>
      <w:r>
        <w:rPr>
          <w:noProof/>
          <w:kern w:val="2"/>
        </w:rPr>
        <w:t xml:space="preserve">2013; </w:t>
      </w:r>
      <w:r w:rsidRPr="007A22C1">
        <w:rPr>
          <w:noProof/>
          <w:kern w:val="2"/>
        </w:rPr>
        <w:t>56:</w:t>
      </w:r>
      <w:r w:rsidRPr="007A22C1">
        <w:rPr>
          <w:noProof/>
          <w:w w:val="50"/>
          <w:kern w:val="2"/>
        </w:rPr>
        <w:t xml:space="preserve"> </w:t>
      </w:r>
      <w:r w:rsidRPr="007A22C1">
        <w:rPr>
          <w:noProof/>
          <w:kern w:val="2"/>
        </w:rPr>
        <w:t>67</w:t>
      </w:r>
      <w:r>
        <w:rPr>
          <w:noProof/>
          <w:kern w:val="2"/>
        </w:rPr>
        <w:t>–</w:t>
      </w:r>
      <w:r w:rsidRPr="0067760A">
        <w:rPr>
          <w:noProof/>
          <w:kern w:val="2"/>
        </w:rPr>
        <w:t>74.</w:t>
      </w:r>
    </w:p>
  </w:footnote>
  <w:footnote w:id="20">
    <w:p w:rsidR="00B2624A" w:rsidRPr="007A22C1" w:rsidRDefault="00B2624A">
      <w:pPr>
        <w:pStyle w:val="FootnoteText"/>
        <w:rPr>
          <w:lang w:val="en-US"/>
        </w:rPr>
      </w:pPr>
      <w:r>
        <w:rPr>
          <w:rStyle w:val="FootnoteReference"/>
        </w:rPr>
        <w:footnoteRef/>
      </w:r>
      <w:r>
        <w:t xml:space="preserve"> </w:t>
      </w:r>
      <w:r>
        <w:rPr>
          <w:lang w:val="en-US"/>
        </w:rPr>
        <w:t>ICH S10 Photosafety evaluation of pharmaceuticals</w:t>
      </w:r>
    </w:p>
  </w:footnote>
  <w:footnote w:id="21">
    <w:p w:rsidR="00B2624A" w:rsidRPr="00F5016C" w:rsidRDefault="00B2624A">
      <w:pPr>
        <w:pStyle w:val="FootnoteText"/>
        <w:rPr>
          <w:lang w:val="en-US"/>
        </w:rPr>
      </w:pPr>
      <w:r>
        <w:rPr>
          <w:rStyle w:val="FootnoteReference"/>
        </w:rPr>
        <w:footnoteRef/>
      </w:r>
      <w:r>
        <w:t xml:space="preserve"> </w:t>
      </w:r>
      <w:r>
        <w:rPr>
          <w:kern w:val="2"/>
          <w:szCs w:val="23"/>
        </w:rPr>
        <w:t>Chang-Lin J.E.</w:t>
      </w:r>
      <w:r w:rsidRPr="009953D7">
        <w:rPr>
          <w:kern w:val="2"/>
          <w:szCs w:val="23"/>
        </w:rPr>
        <w:t xml:space="preserve"> </w:t>
      </w:r>
      <w:r>
        <w:rPr>
          <w:kern w:val="2"/>
          <w:szCs w:val="23"/>
        </w:rPr>
        <w:t>et al.</w:t>
      </w:r>
      <w:r w:rsidRPr="009953D7">
        <w:rPr>
          <w:kern w:val="2"/>
          <w:szCs w:val="23"/>
        </w:rPr>
        <w:t xml:space="preserve"> Pharmacokinetics and pharmacodynamics of a sustained-release dexamethasone intravitreal implant. </w:t>
      </w:r>
      <w:r w:rsidRPr="009953D7">
        <w:rPr>
          <w:i/>
          <w:kern w:val="2"/>
          <w:szCs w:val="23"/>
        </w:rPr>
        <w:t xml:space="preserve">Invest. </w:t>
      </w:r>
      <w:proofErr w:type="spellStart"/>
      <w:proofErr w:type="gramStart"/>
      <w:r w:rsidRPr="009953D7">
        <w:rPr>
          <w:i/>
          <w:kern w:val="2"/>
          <w:szCs w:val="23"/>
        </w:rPr>
        <w:t>Ophthalmol</w:t>
      </w:r>
      <w:proofErr w:type="spellEnd"/>
      <w:r w:rsidRPr="009953D7">
        <w:rPr>
          <w:i/>
          <w:kern w:val="2"/>
          <w:szCs w:val="23"/>
        </w:rPr>
        <w:t>.</w:t>
      </w:r>
      <w:proofErr w:type="gramEnd"/>
      <w:r w:rsidRPr="009953D7">
        <w:rPr>
          <w:i/>
          <w:kern w:val="2"/>
          <w:szCs w:val="23"/>
        </w:rPr>
        <w:t xml:space="preserve"> Vis. Sci.</w:t>
      </w:r>
      <w:r w:rsidRPr="009953D7">
        <w:rPr>
          <w:kern w:val="2"/>
          <w:szCs w:val="23"/>
        </w:rPr>
        <w:t xml:space="preserve"> </w:t>
      </w:r>
      <w:r>
        <w:rPr>
          <w:kern w:val="2"/>
          <w:szCs w:val="23"/>
        </w:rPr>
        <w:t xml:space="preserve">2011; </w:t>
      </w:r>
      <w:r w:rsidRPr="00F5016C">
        <w:rPr>
          <w:kern w:val="2"/>
          <w:szCs w:val="23"/>
        </w:rPr>
        <w:t>52:</w:t>
      </w:r>
      <w:r w:rsidRPr="009953D7">
        <w:rPr>
          <w:w w:val="50"/>
          <w:kern w:val="2"/>
          <w:szCs w:val="23"/>
        </w:rPr>
        <w:t xml:space="preserve"> </w:t>
      </w:r>
      <w:r w:rsidRPr="009953D7">
        <w:rPr>
          <w:kern w:val="2"/>
          <w:szCs w:val="23"/>
        </w:rPr>
        <w:t>80–86</w:t>
      </w:r>
    </w:p>
  </w:footnote>
  <w:footnote w:id="22">
    <w:p w:rsidR="00B2624A" w:rsidRPr="00122787" w:rsidRDefault="00B2624A">
      <w:pPr>
        <w:pStyle w:val="FootnoteText"/>
        <w:rPr>
          <w:lang w:val="en-US"/>
        </w:rPr>
      </w:pPr>
      <w:r>
        <w:rPr>
          <w:rStyle w:val="FootnoteReference"/>
        </w:rPr>
        <w:footnoteRef/>
      </w:r>
      <w:r>
        <w:t xml:space="preserve"> Clarification: </w:t>
      </w:r>
      <w:r>
        <w:rPr>
          <w:lang w:val="en-US"/>
        </w:rPr>
        <w:t>The inclusion criteria</w:t>
      </w:r>
      <w:r w:rsidRPr="007C7294">
        <w:rPr>
          <w:lang w:val="en-US"/>
        </w:rPr>
        <w:t xml:space="preserve"> </w:t>
      </w:r>
      <w:r>
        <w:rPr>
          <w:lang w:val="en-US"/>
        </w:rPr>
        <w:t>associated with diabetic macular edema for Studies 010 and 011 were as follows: Diabetic macular edema in the study eye defined as clinically observable macular edema involving the center of the macula (fovea) associated with diabetic retinopathy with any of the following characteristics: a) prior medical therapy for diabetic macular edema; b) prior macular laser(s) for diabetic macular edema with the most recent laser at least 3 months prior to Baseline/ Qualification where, in the opinion of the investigator, the patient will be able improve 15 or more letters in BCVA from baseline with the resolution of the macular edema despite the presence of macular laser scars; c) in the investigator’s opinion the patient would not benefit from macular laser treatment; d) the patient refuses laser treatment.</w:t>
      </w:r>
    </w:p>
  </w:footnote>
  <w:footnote w:id="23">
    <w:p w:rsidR="00B2624A" w:rsidRPr="00656BA4" w:rsidRDefault="00B2624A">
      <w:pPr>
        <w:pStyle w:val="FootnoteText"/>
        <w:rPr>
          <w:lang w:val="en-US"/>
        </w:rPr>
      </w:pPr>
      <w:r>
        <w:rPr>
          <w:rStyle w:val="FootnoteReference"/>
        </w:rPr>
        <w:footnoteRef/>
      </w:r>
      <w:r>
        <w:t xml:space="preserve"> </w:t>
      </w:r>
      <w:r>
        <w:rPr>
          <w:lang w:val="en-US"/>
        </w:rPr>
        <w:t>This matter was resolved to the satisfaction of the TGA prior to approval.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24A" w:rsidRDefault="00B2624A"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24A" w:rsidRDefault="00B2624A">
    <w:pPr>
      <w:rPr>
        <w:noProof/>
        <w:lang w:eastAsia="en-AU"/>
      </w:rPr>
    </w:pPr>
    <w:r w:rsidRPr="00347824">
      <w:rPr>
        <w:noProof/>
        <w:lang w:eastAsia="en-AU"/>
      </w:rPr>
      <w:drawing>
        <wp:anchor distT="0" distB="0" distL="114300" distR="114300" simplePos="0" relativeHeight="251659264" behindDoc="1" locked="0" layoutInCell="1" allowOverlap="1" wp14:anchorId="3AD3860A" wp14:editId="5FCA1243">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B2624A" w:rsidRDefault="00B2624A" w:rsidP="00593AD1">
    <w:pPr>
      <w:pStyle w:val="HeaderNoLine"/>
    </w:pPr>
    <w:r>
      <w:rPr>
        <w:noProof/>
        <w:lang w:eastAsia="en-AU"/>
      </w:rPr>
      <w:drawing>
        <wp:inline distT="0" distB="0" distL="0" distR="0" wp14:anchorId="662B6C01" wp14:editId="2ADB5023">
          <wp:extent cx="5400675" cy="7639050"/>
          <wp:effectExtent l="0" t="0" r="9525" b="0"/>
          <wp:docPr id="22" name="Picture 22"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24A" w:rsidRDefault="00B2624A">
    <w:pPr>
      <w:pStyle w:val="Header"/>
    </w:pPr>
  </w:p>
  <w:p w:rsidR="00B2624A" w:rsidRDefault="00B2624A"/>
  <w:p w:rsidR="00B2624A" w:rsidRDefault="00B2624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24A" w:rsidRDefault="00B2624A" w:rsidP="00104625">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24A" w:rsidRDefault="00B2624A">
    <w:pPr>
      <w:pStyle w:val="Header"/>
    </w:pPr>
    <w:r>
      <w:t>Therapeutic Goods Administration</w:t>
    </w:r>
  </w:p>
  <w:p w:rsidR="00B2624A" w:rsidRDefault="00B2624A"/>
  <w:p w:rsidR="00B2624A" w:rsidRDefault="00B2624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24A" w:rsidRDefault="00B2624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24A" w:rsidRDefault="00B2624A"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24A" w:rsidRDefault="00B2624A" w:rsidP="006E08B3">
    <w:r>
      <w:t>Therapeutic Goods Administration</w:t>
    </w:r>
  </w:p>
  <w:p w:rsidR="00B2624A" w:rsidRDefault="00B2624A"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720219FE"/>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0000402"/>
    <w:multiLevelType w:val="multilevel"/>
    <w:tmpl w:val="00000885"/>
    <w:lvl w:ilvl="0">
      <w:numFmt w:val="bullet"/>
      <w:lvlText w:val=""/>
      <w:lvlJc w:val="left"/>
      <w:pPr>
        <w:ind w:left="820" w:hanging="360"/>
      </w:pPr>
      <w:rPr>
        <w:rFonts w:ascii="Symbol" w:hAnsi="Symbol" w:cs="Symbol"/>
        <w:b w:val="0"/>
        <w:bCs w:val="0"/>
        <w:sz w:val="24"/>
        <w:szCs w:val="24"/>
      </w:rPr>
    </w:lvl>
    <w:lvl w:ilvl="1">
      <w:numFmt w:val="bullet"/>
      <w:lvlText w:val="•"/>
      <w:lvlJc w:val="left"/>
      <w:pPr>
        <w:ind w:left="1663" w:hanging="360"/>
      </w:pPr>
    </w:lvl>
    <w:lvl w:ilvl="2">
      <w:numFmt w:val="bullet"/>
      <w:lvlText w:val="•"/>
      <w:lvlJc w:val="left"/>
      <w:pPr>
        <w:ind w:left="2505" w:hanging="360"/>
      </w:pPr>
    </w:lvl>
    <w:lvl w:ilvl="3">
      <w:numFmt w:val="bullet"/>
      <w:lvlText w:val="•"/>
      <w:lvlJc w:val="left"/>
      <w:pPr>
        <w:ind w:left="3348"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6" w:hanging="360"/>
      </w:pPr>
    </w:lvl>
    <w:lvl w:ilvl="7">
      <w:numFmt w:val="bullet"/>
      <w:lvlText w:val="•"/>
      <w:lvlJc w:val="left"/>
      <w:pPr>
        <w:ind w:left="6718" w:hanging="360"/>
      </w:pPr>
    </w:lvl>
    <w:lvl w:ilvl="8">
      <w:numFmt w:val="bullet"/>
      <w:lvlText w:val="•"/>
      <w:lvlJc w:val="left"/>
      <w:pPr>
        <w:ind w:left="7561" w:hanging="360"/>
      </w:pPr>
    </w:lvl>
  </w:abstractNum>
  <w:abstractNum w:abstractNumId="5">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nsid w:val="167C56C9"/>
    <w:multiLevelType w:val="multilevel"/>
    <w:tmpl w:val="87428EEA"/>
    <w:lvl w:ilvl="0">
      <w:start w:val="1"/>
      <w:numFmt w:val="decimal"/>
      <w:lvlText w:val="%1"/>
      <w:lvlJc w:val="left"/>
      <w:pPr>
        <w:ind w:left="464" w:hanging="365"/>
      </w:pPr>
      <w:rPr>
        <w:rFonts w:hint="default"/>
      </w:rPr>
    </w:lvl>
    <w:lvl w:ilvl="1">
      <w:start w:val="1"/>
      <w:numFmt w:val="decimal"/>
      <w:lvlText w:val="%1.%2"/>
      <w:lvlJc w:val="left"/>
      <w:pPr>
        <w:ind w:left="464" w:hanging="365"/>
      </w:pPr>
      <w:rPr>
        <w:rFonts w:ascii="Times New Roman" w:eastAsia="Times New Roman" w:hAnsi="Times New Roman" w:hint="default"/>
        <w:b/>
        <w:bCs/>
        <w:i/>
        <w:sz w:val="24"/>
        <w:szCs w:val="24"/>
      </w:rPr>
    </w:lvl>
    <w:lvl w:ilvl="2">
      <w:start w:val="1"/>
      <w:numFmt w:val="bullet"/>
      <w:lvlText w:val=""/>
      <w:lvlJc w:val="left"/>
      <w:pPr>
        <w:ind w:left="840" w:hanging="360"/>
      </w:pPr>
      <w:rPr>
        <w:rFonts w:ascii="Symbol" w:eastAsia="Symbol" w:hAnsi="Symbol" w:hint="default"/>
        <w:sz w:val="24"/>
        <w:szCs w:val="24"/>
      </w:rPr>
    </w:lvl>
    <w:lvl w:ilvl="3">
      <w:start w:val="1"/>
      <w:numFmt w:val="bullet"/>
      <w:lvlText w:val="•"/>
      <w:lvlJc w:val="left"/>
      <w:pPr>
        <w:ind w:left="1885" w:hanging="360"/>
      </w:pPr>
      <w:rPr>
        <w:rFonts w:hint="default"/>
      </w:rPr>
    </w:lvl>
    <w:lvl w:ilvl="4">
      <w:start w:val="1"/>
      <w:numFmt w:val="bullet"/>
      <w:lvlText w:val="•"/>
      <w:lvlJc w:val="left"/>
      <w:pPr>
        <w:ind w:left="2931" w:hanging="360"/>
      </w:pPr>
      <w:rPr>
        <w:rFonts w:hint="default"/>
      </w:rPr>
    </w:lvl>
    <w:lvl w:ilvl="5">
      <w:start w:val="1"/>
      <w:numFmt w:val="bullet"/>
      <w:lvlText w:val="•"/>
      <w:lvlJc w:val="left"/>
      <w:pPr>
        <w:ind w:left="3976" w:hanging="360"/>
      </w:pPr>
      <w:rPr>
        <w:rFonts w:hint="default"/>
      </w:rPr>
    </w:lvl>
    <w:lvl w:ilvl="6">
      <w:start w:val="1"/>
      <w:numFmt w:val="bullet"/>
      <w:lvlText w:val="•"/>
      <w:lvlJc w:val="left"/>
      <w:pPr>
        <w:ind w:left="5022" w:hanging="360"/>
      </w:pPr>
      <w:rPr>
        <w:rFonts w:hint="default"/>
      </w:rPr>
    </w:lvl>
    <w:lvl w:ilvl="7">
      <w:start w:val="1"/>
      <w:numFmt w:val="bullet"/>
      <w:lvlText w:val="•"/>
      <w:lvlJc w:val="left"/>
      <w:pPr>
        <w:ind w:left="6067" w:hanging="360"/>
      </w:pPr>
      <w:rPr>
        <w:rFonts w:hint="default"/>
      </w:rPr>
    </w:lvl>
    <w:lvl w:ilvl="8">
      <w:start w:val="1"/>
      <w:numFmt w:val="bullet"/>
      <w:lvlText w:val="•"/>
      <w:lvlJc w:val="left"/>
      <w:pPr>
        <w:ind w:left="7113" w:hanging="360"/>
      </w:pPr>
      <w:rPr>
        <w:rFonts w:hint="default"/>
      </w:rPr>
    </w:lvl>
  </w:abstractNum>
  <w:abstractNum w:abstractNumId="7">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nsid w:val="2BCF57AC"/>
    <w:multiLevelType w:val="hybridMultilevel"/>
    <w:tmpl w:val="496AFA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07D705F"/>
    <w:multiLevelType w:val="hybridMultilevel"/>
    <w:tmpl w:val="192629FC"/>
    <w:lvl w:ilvl="0" w:tplc="0C09000F">
      <w:start w:val="1"/>
      <w:numFmt w:val="decimal"/>
      <w:lvlText w:val="%1."/>
      <w:lvlJc w:val="left"/>
      <w:pPr>
        <w:ind w:left="750" w:hanging="360"/>
      </w:pPr>
    </w:lvl>
    <w:lvl w:ilvl="1" w:tplc="0C090019">
      <w:start w:val="1"/>
      <w:numFmt w:val="lowerLetter"/>
      <w:lvlText w:val="%2."/>
      <w:lvlJc w:val="left"/>
      <w:pPr>
        <w:ind w:left="1470" w:hanging="360"/>
      </w:pPr>
    </w:lvl>
    <w:lvl w:ilvl="2" w:tplc="0C09001B" w:tentative="1">
      <w:start w:val="1"/>
      <w:numFmt w:val="lowerRoman"/>
      <w:lvlText w:val="%3."/>
      <w:lvlJc w:val="right"/>
      <w:pPr>
        <w:ind w:left="2190" w:hanging="180"/>
      </w:pPr>
    </w:lvl>
    <w:lvl w:ilvl="3" w:tplc="0C09000F" w:tentative="1">
      <w:start w:val="1"/>
      <w:numFmt w:val="decimal"/>
      <w:lvlText w:val="%4."/>
      <w:lvlJc w:val="left"/>
      <w:pPr>
        <w:ind w:left="2910" w:hanging="360"/>
      </w:pPr>
    </w:lvl>
    <w:lvl w:ilvl="4" w:tplc="0C090019" w:tentative="1">
      <w:start w:val="1"/>
      <w:numFmt w:val="lowerLetter"/>
      <w:lvlText w:val="%5."/>
      <w:lvlJc w:val="left"/>
      <w:pPr>
        <w:ind w:left="3630" w:hanging="360"/>
      </w:pPr>
    </w:lvl>
    <w:lvl w:ilvl="5" w:tplc="0C09001B" w:tentative="1">
      <w:start w:val="1"/>
      <w:numFmt w:val="lowerRoman"/>
      <w:lvlText w:val="%6."/>
      <w:lvlJc w:val="right"/>
      <w:pPr>
        <w:ind w:left="4350" w:hanging="180"/>
      </w:pPr>
    </w:lvl>
    <w:lvl w:ilvl="6" w:tplc="0C09000F" w:tentative="1">
      <w:start w:val="1"/>
      <w:numFmt w:val="decimal"/>
      <w:lvlText w:val="%7."/>
      <w:lvlJc w:val="left"/>
      <w:pPr>
        <w:ind w:left="5070" w:hanging="360"/>
      </w:pPr>
    </w:lvl>
    <w:lvl w:ilvl="7" w:tplc="0C090019" w:tentative="1">
      <w:start w:val="1"/>
      <w:numFmt w:val="lowerLetter"/>
      <w:lvlText w:val="%8."/>
      <w:lvlJc w:val="left"/>
      <w:pPr>
        <w:ind w:left="5790" w:hanging="360"/>
      </w:pPr>
    </w:lvl>
    <w:lvl w:ilvl="8" w:tplc="0C09001B" w:tentative="1">
      <w:start w:val="1"/>
      <w:numFmt w:val="lowerRoman"/>
      <w:lvlText w:val="%9."/>
      <w:lvlJc w:val="right"/>
      <w:pPr>
        <w:ind w:left="6510" w:hanging="180"/>
      </w:pPr>
    </w:lvl>
  </w:abstractNum>
  <w:abstractNum w:abstractNumId="10">
    <w:nsid w:val="40EF5191"/>
    <w:multiLevelType w:val="hybridMultilevel"/>
    <w:tmpl w:val="BF8A97F6"/>
    <w:lvl w:ilvl="0" w:tplc="3CD89B44">
      <w:start w:val="2"/>
      <w:numFmt w:val="decimal"/>
      <w:lvlText w:val="%1."/>
      <w:lvlJc w:val="left"/>
      <w:pPr>
        <w:ind w:left="464" w:hanging="245"/>
        <w:jc w:val="right"/>
      </w:pPr>
      <w:rPr>
        <w:rFonts w:ascii="Times New Roman" w:eastAsia="Times New Roman" w:hAnsi="Times New Roman" w:hint="default"/>
        <w:b/>
        <w:bCs/>
        <w:sz w:val="24"/>
        <w:szCs w:val="24"/>
      </w:rPr>
    </w:lvl>
    <w:lvl w:ilvl="1" w:tplc="F79473AA">
      <w:start w:val="1"/>
      <w:numFmt w:val="bullet"/>
      <w:lvlText w:val="•"/>
      <w:lvlJc w:val="left"/>
      <w:pPr>
        <w:ind w:left="1364" w:hanging="245"/>
      </w:pPr>
      <w:rPr>
        <w:rFonts w:hint="default"/>
      </w:rPr>
    </w:lvl>
    <w:lvl w:ilvl="2" w:tplc="C7767A7E">
      <w:start w:val="1"/>
      <w:numFmt w:val="bullet"/>
      <w:lvlText w:val="•"/>
      <w:lvlJc w:val="left"/>
      <w:pPr>
        <w:ind w:left="2264" w:hanging="245"/>
      </w:pPr>
      <w:rPr>
        <w:rFonts w:hint="default"/>
      </w:rPr>
    </w:lvl>
    <w:lvl w:ilvl="3" w:tplc="BDB2F204">
      <w:start w:val="1"/>
      <w:numFmt w:val="bullet"/>
      <w:lvlText w:val="•"/>
      <w:lvlJc w:val="left"/>
      <w:pPr>
        <w:ind w:left="3164" w:hanging="245"/>
      </w:pPr>
      <w:rPr>
        <w:rFonts w:hint="default"/>
      </w:rPr>
    </w:lvl>
    <w:lvl w:ilvl="4" w:tplc="0EA06C62">
      <w:start w:val="1"/>
      <w:numFmt w:val="bullet"/>
      <w:lvlText w:val="•"/>
      <w:lvlJc w:val="left"/>
      <w:pPr>
        <w:ind w:left="4064" w:hanging="245"/>
      </w:pPr>
      <w:rPr>
        <w:rFonts w:hint="default"/>
      </w:rPr>
    </w:lvl>
    <w:lvl w:ilvl="5" w:tplc="794A98C6">
      <w:start w:val="1"/>
      <w:numFmt w:val="bullet"/>
      <w:lvlText w:val="•"/>
      <w:lvlJc w:val="left"/>
      <w:pPr>
        <w:ind w:left="4964" w:hanging="245"/>
      </w:pPr>
      <w:rPr>
        <w:rFonts w:hint="default"/>
      </w:rPr>
    </w:lvl>
    <w:lvl w:ilvl="6" w:tplc="85940A24">
      <w:start w:val="1"/>
      <w:numFmt w:val="bullet"/>
      <w:lvlText w:val="•"/>
      <w:lvlJc w:val="left"/>
      <w:pPr>
        <w:ind w:left="5864" w:hanging="245"/>
      </w:pPr>
      <w:rPr>
        <w:rFonts w:hint="default"/>
      </w:rPr>
    </w:lvl>
    <w:lvl w:ilvl="7" w:tplc="51BE4EDC">
      <w:start w:val="1"/>
      <w:numFmt w:val="bullet"/>
      <w:lvlText w:val="•"/>
      <w:lvlJc w:val="left"/>
      <w:pPr>
        <w:ind w:left="6764" w:hanging="245"/>
      </w:pPr>
      <w:rPr>
        <w:rFonts w:hint="default"/>
      </w:rPr>
    </w:lvl>
    <w:lvl w:ilvl="8" w:tplc="D2CA49FE">
      <w:start w:val="1"/>
      <w:numFmt w:val="bullet"/>
      <w:lvlText w:val="•"/>
      <w:lvlJc w:val="left"/>
      <w:pPr>
        <w:ind w:left="7664" w:hanging="245"/>
      </w:pPr>
      <w:rPr>
        <w:rFonts w:hint="default"/>
      </w:rPr>
    </w:lvl>
  </w:abstractNum>
  <w:abstractNum w:abstractNumId="11">
    <w:nsid w:val="47694CE2"/>
    <w:multiLevelType w:val="hybridMultilevel"/>
    <w:tmpl w:val="9856A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51706F0A"/>
    <w:multiLevelType w:val="hybridMultilevel"/>
    <w:tmpl w:val="43269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B703D1F"/>
    <w:multiLevelType w:val="hybridMultilevel"/>
    <w:tmpl w:val="397A5F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5"/>
  </w:num>
  <w:num w:numId="17">
    <w:abstractNumId w:val="5"/>
  </w:num>
  <w:num w:numId="18">
    <w:abstractNumId w:val="5"/>
  </w:num>
  <w:num w:numId="19">
    <w:abstractNumId w:val="7"/>
  </w:num>
  <w:num w:numId="20">
    <w:abstractNumId w:val="7"/>
  </w:num>
  <w:num w:numId="21">
    <w:abstractNumId w:val="7"/>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6"/>
  </w:num>
  <w:num w:numId="28">
    <w:abstractNumId w:val="10"/>
  </w:num>
  <w:num w:numId="29">
    <w:abstractNumId w:val="4"/>
  </w:num>
  <w:num w:numId="30">
    <w:abstractNumId w:val="13"/>
  </w:num>
  <w:num w:numId="31">
    <w:abstractNumId w:val="9"/>
  </w:num>
  <w:num w:numId="32">
    <w:abstractNumId w:val="14"/>
  </w:num>
  <w:num w:numId="33">
    <w:abstractNumId w:val="8"/>
  </w:num>
  <w:num w:numId="34">
    <w:abstractNumId w:val="11"/>
  </w:num>
  <w:num w:numId="35">
    <w:abstractNumId w:val="12"/>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EBC"/>
    <w:rsid w:val="00002031"/>
    <w:rsid w:val="00004734"/>
    <w:rsid w:val="00006B22"/>
    <w:rsid w:val="0001276A"/>
    <w:rsid w:val="000246AE"/>
    <w:rsid w:val="00025C67"/>
    <w:rsid w:val="00043103"/>
    <w:rsid w:val="00044772"/>
    <w:rsid w:val="0005559E"/>
    <w:rsid w:val="000604D6"/>
    <w:rsid w:val="000734D8"/>
    <w:rsid w:val="00077775"/>
    <w:rsid w:val="0008415D"/>
    <w:rsid w:val="00084A67"/>
    <w:rsid w:val="00090471"/>
    <w:rsid w:val="00096AA7"/>
    <w:rsid w:val="0009735C"/>
    <w:rsid w:val="000A3AED"/>
    <w:rsid w:val="000B3532"/>
    <w:rsid w:val="000B3A75"/>
    <w:rsid w:val="000C00C2"/>
    <w:rsid w:val="000C690F"/>
    <w:rsid w:val="000D1295"/>
    <w:rsid w:val="000D391B"/>
    <w:rsid w:val="000D3D6D"/>
    <w:rsid w:val="000D4FC7"/>
    <w:rsid w:val="000E496D"/>
    <w:rsid w:val="000E6196"/>
    <w:rsid w:val="000F4869"/>
    <w:rsid w:val="000F5B42"/>
    <w:rsid w:val="000F6E6F"/>
    <w:rsid w:val="00104625"/>
    <w:rsid w:val="0010601F"/>
    <w:rsid w:val="0010788A"/>
    <w:rsid w:val="00107A31"/>
    <w:rsid w:val="00110EA5"/>
    <w:rsid w:val="00112F56"/>
    <w:rsid w:val="00122787"/>
    <w:rsid w:val="00125318"/>
    <w:rsid w:val="001305A2"/>
    <w:rsid w:val="0013131F"/>
    <w:rsid w:val="00133238"/>
    <w:rsid w:val="00133A1B"/>
    <w:rsid w:val="0014197B"/>
    <w:rsid w:val="0014336E"/>
    <w:rsid w:val="001436BF"/>
    <w:rsid w:val="001447CD"/>
    <w:rsid w:val="001516B1"/>
    <w:rsid w:val="00154EBB"/>
    <w:rsid w:val="00156316"/>
    <w:rsid w:val="00161181"/>
    <w:rsid w:val="00162D14"/>
    <w:rsid w:val="00165389"/>
    <w:rsid w:val="00175025"/>
    <w:rsid w:val="0017693F"/>
    <w:rsid w:val="0018110E"/>
    <w:rsid w:val="00181684"/>
    <w:rsid w:val="001843C6"/>
    <w:rsid w:val="001850E0"/>
    <w:rsid w:val="001A2158"/>
    <w:rsid w:val="001A525F"/>
    <w:rsid w:val="001B09F9"/>
    <w:rsid w:val="001B4EBC"/>
    <w:rsid w:val="001B5C90"/>
    <w:rsid w:val="001B6448"/>
    <w:rsid w:val="001C32CD"/>
    <w:rsid w:val="001C573B"/>
    <w:rsid w:val="001D1245"/>
    <w:rsid w:val="001D2984"/>
    <w:rsid w:val="001D6EFA"/>
    <w:rsid w:val="001E07CF"/>
    <w:rsid w:val="001E59F1"/>
    <w:rsid w:val="001F06BF"/>
    <w:rsid w:val="001F1CCE"/>
    <w:rsid w:val="001F2CEE"/>
    <w:rsid w:val="001F354E"/>
    <w:rsid w:val="001F49EB"/>
    <w:rsid w:val="001F6CBA"/>
    <w:rsid w:val="00201D4E"/>
    <w:rsid w:val="00204D08"/>
    <w:rsid w:val="00205340"/>
    <w:rsid w:val="002076C9"/>
    <w:rsid w:val="00211DFA"/>
    <w:rsid w:val="00220B8A"/>
    <w:rsid w:val="00223AD3"/>
    <w:rsid w:val="002257F3"/>
    <w:rsid w:val="00231D47"/>
    <w:rsid w:val="00233047"/>
    <w:rsid w:val="00233456"/>
    <w:rsid w:val="002339A5"/>
    <w:rsid w:val="00257848"/>
    <w:rsid w:val="0027084A"/>
    <w:rsid w:val="00286434"/>
    <w:rsid w:val="00286C59"/>
    <w:rsid w:val="00291957"/>
    <w:rsid w:val="002942D1"/>
    <w:rsid w:val="0029501A"/>
    <w:rsid w:val="002A2FA8"/>
    <w:rsid w:val="002A3721"/>
    <w:rsid w:val="002A4B12"/>
    <w:rsid w:val="002B1638"/>
    <w:rsid w:val="002B3624"/>
    <w:rsid w:val="002D0952"/>
    <w:rsid w:val="002D416D"/>
    <w:rsid w:val="002D772A"/>
    <w:rsid w:val="002E40B3"/>
    <w:rsid w:val="002E4C9A"/>
    <w:rsid w:val="002F11F8"/>
    <w:rsid w:val="002F3F56"/>
    <w:rsid w:val="002F44B5"/>
    <w:rsid w:val="002F74AD"/>
    <w:rsid w:val="00300894"/>
    <w:rsid w:val="00311AC0"/>
    <w:rsid w:val="003176FC"/>
    <w:rsid w:val="00322E1F"/>
    <w:rsid w:val="00324415"/>
    <w:rsid w:val="0032583B"/>
    <w:rsid w:val="00327883"/>
    <w:rsid w:val="00335504"/>
    <w:rsid w:val="00340C18"/>
    <w:rsid w:val="0034264B"/>
    <w:rsid w:val="00343DFE"/>
    <w:rsid w:val="003442FD"/>
    <w:rsid w:val="003458F1"/>
    <w:rsid w:val="00347824"/>
    <w:rsid w:val="00350567"/>
    <w:rsid w:val="003521E8"/>
    <w:rsid w:val="00363C49"/>
    <w:rsid w:val="00370CE3"/>
    <w:rsid w:val="003728F3"/>
    <w:rsid w:val="0037496E"/>
    <w:rsid w:val="00383221"/>
    <w:rsid w:val="00385582"/>
    <w:rsid w:val="00386150"/>
    <w:rsid w:val="003874CE"/>
    <w:rsid w:val="00390900"/>
    <w:rsid w:val="003A7F6C"/>
    <w:rsid w:val="003B4D60"/>
    <w:rsid w:val="003B7E39"/>
    <w:rsid w:val="003C58DC"/>
    <w:rsid w:val="003C6FF4"/>
    <w:rsid w:val="003D1E62"/>
    <w:rsid w:val="003E0B99"/>
    <w:rsid w:val="003E2486"/>
    <w:rsid w:val="003E3208"/>
    <w:rsid w:val="003F0B04"/>
    <w:rsid w:val="003F6C01"/>
    <w:rsid w:val="0040134E"/>
    <w:rsid w:val="004334C7"/>
    <w:rsid w:val="00440A2D"/>
    <w:rsid w:val="00441C3F"/>
    <w:rsid w:val="004564A7"/>
    <w:rsid w:val="004617BF"/>
    <w:rsid w:val="00463658"/>
    <w:rsid w:val="004637A0"/>
    <w:rsid w:val="004722CC"/>
    <w:rsid w:val="004936E4"/>
    <w:rsid w:val="00494E60"/>
    <w:rsid w:val="00497487"/>
    <w:rsid w:val="004A6189"/>
    <w:rsid w:val="004A7390"/>
    <w:rsid w:val="004B7B76"/>
    <w:rsid w:val="004C239D"/>
    <w:rsid w:val="004C2DCA"/>
    <w:rsid w:val="004C61D2"/>
    <w:rsid w:val="004E78A0"/>
    <w:rsid w:val="004F0C4A"/>
    <w:rsid w:val="004F0F38"/>
    <w:rsid w:val="004F47D6"/>
    <w:rsid w:val="00501921"/>
    <w:rsid w:val="00505B0D"/>
    <w:rsid w:val="00530354"/>
    <w:rsid w:val="0053625B"/>
    <w:rsid w:val="00536397"/>
    <w:rsid w:val="005434C6"/>
    <w:rsid w:val="00543B39"/>
    <w:rsid w:val="00546154"/>
    <w:rsid w:val="00550096"/>
    <w:rsid w:val="00555280"/>
    <w:rsid w:val="00557FF9"/>
    <w:rsid w:val="00562327"/>
    <w:rsid w:val="005711D5"/>
    <w:rsid w:val="0057228E"/>
    <w:rsid w:val="00576378"/>
    <w:rsid w:val="00577130"/>
    <w:rsid w:val="00577945"/>
    <w:rsid w:val="00577E38"/>
    <w:rsid w:val="00585322"/>
    <w:rsid w:val="005857C6"/>
    <w:rsid w:val="00592F6E"/>
    <w:rsid w:val="00593AD1"/>
    <w:rsid w:val="005A10F3"/>
    <w:rsid w:val="005A222D"/>
    <w:rsid w:val="005A68B6"/>
    <w:rsid w:val="005B2867"/>
    <w:rsid w:val="005B4544"/>
    <w:rsid w:val="005B7908"/>
    <w:rsid w:val="005C2E04"/>
    <w:rsid w:val="005C5570"/>
    <w:rsid w:val="005C79A4"/>
    <w:rsid w:val="005D5442"/>
    <w:rsid w:val="005E04D0"/>
    <w:rsid w:val="005F08D5"/>
    <w:rsid w:val="00603F32"/>
    <w:rsid w:val="00605AD4"/>
    <w:rsid w:val="006136D7"/>
    <w:rsid w:val="006162BA"/>
    <w:rsid w:val="006176DB"/>
    <w:rsid w:val="00625A6E"/>
    <w:rsid w:val="00632398"/>
    <w:rsid w:val="00640FC3"/>
    <w:rsid w:val="00642020"/>
    <w:rsid w:val="0065337B"/>
    <w:rsid w:val="0065419D"/>
    <w:rsid w:val="00656BA4"/>
    <w:rsid w:val="006604D8"/>
    <w:rsid w:val="00664A5B"/>
    <w:rsid w:val="0066735C"/>
    <w:rsid w:val="006763D2"/>
    <w:rsid w:val="00680C08"/>
    <w:rsid w:val="006916A0"/>
    <w:rsid w:val="006931B1"/>
    <w:rsid w:val="006A15C0"/>
    <w:rsid w:val="006B07CD"/>
    <w:rsid w:val="006B3E09"/>
    <w:rsid w:val="006B4FF9"/>
    <w:rsid w:val="006C3E2A"/>
    <w:rsid w:val="006C642F"/>
    <w:rsid w:val="006D03E5"/>
    <w:rsid w:val="006D3BE0"/>
    <w:rsid w:val="006D5D3E"/>
    <w:rsid w:val="006E08B3"/>
    <w:rsid w:val="006F17AC"/>
    <w:rsid w:val="006F25B8"/>
    <w:rsid w:val="006F572E"/>
    <w:rsid w:val="007046D6"/>
    <w:rsid w:val="00705DB0"/>
    <w:rsid w:val="00722B57"/>
    <w:rsid w:val="007230AF"/>
    <w:rsid w:val="00730F8A"/>
    <w:rsid w:val="00735A8C"/>
    <w:rsid w:val="00740C73"/>
    <w:rsid w:val="0074253D"/>
    <w:rsid w:val="0074429B"/>
    <w:rsid w:val="007615BC"/>
    <w:rsid w:val="00762F05"/>
    <w:rsid w:val="007652FF"/>
    <w:rsid w:val="00766289"/>
    <w:rsid w:val="00770CAC"/>
    <w:rsid w:val="00770EF1"/>
    <w:rsid w:val="00773EF7"/>
    <w:rsid w:val="00774E1D"/>
    <w:rsid w:val="007765D8"/>
    <w:rsid w:val="0077675A"/>
    <w:rsid w:val="007773E6"/>
    <w:rsid w:val="00780355"/>
    <w:rsid w:val="007819FD"/>
    <w:rsid w:val="00785717"/>
    <w:rsid w:val="00785721"/>
    <w:rsid w:val="00786CA7"/>
    <w:rsid w:val="00793A59"/>
    <w:rsid w:val="007A22C1"/>
    <w:rsid w:val="007A3B71"/>
    <w:rsid w:val="007B6132"/>
    <w:rsid w:val="007B6E9F"/>
    <w:rsid w:val="007C1216"/>
    <w:rsid w:val="007C1AF7"/>
    <w:rsid w:val="007C3F6C"/>
    <w:rsid w:val="007C6B9B"/>
    <w:rsid w:val="007C7294"/>
    <w:rsid w:val="007E02E7"/>
    <w:rsid w:val="007E2B4E"/>
    <w:rsid w:val="007E59EA"/>
    <w:rsid w:val="007F4F6C"/>
    <w:rsid w:val="007F6DAB"/>
    <w:rsid w:val="00805D27"/>
    <w:rsid w:val="00806DCB"/>
    <w:rsid w:val="00807A2A"/>
    <w:rsid w:val="008113EC"/>
    <w:rsid w:val="00821776"/>
    <w:rsid w:val="008321F5"/>
    <w:rsid w:val="00832369"/>
    <w:rsid w:val="00834660"/>
    <w:rsid w:val="00836BC2"/>
    <w:rsid w:val="0085156D"/>
    <w:rsid w:val="0085641B"/>
    <w:rsid w:val="00857136"/>
    <w:rsid w:val="00866EBB"/>
    <w:rsid w:val="00875A6B"/>
    <w:rsid w:val="0087728F"/>
    <w:rsid w:val="008776D4"/>
    <w:rsid w:val="00881FB2"/>
    <w:rsid w:val="0088431C"/>
    <w:rsid w:val="00885B11"/>
    <w:rsid w:val="00886D15"/>
    <w:rsid w:val="00887DD8"/>
    <w:rsid w:val="00891BA9"/>
    <w:rsid w:val="00896018"/>
    <w:rsid w:val="008960DD"/>
    <w:rsid w:val="0089635C"/>
    <w:rsid w:val="008A2B9D"/>
    <w:rsid w:val="008A3D9F"/>
    <w:rsid w:val="008A5585"/>
    <w:rsid w:val="008A5E0B"/>
    <w:rsid w:val="008A6D59"/>
    <w:rsid w:val="008A7603"/>
    <w:rsid w:val="008B4B03"/>
    <w:rsid w:val="008B596F"/>
    <w:rsid w:val="008C159F"/>
    <w:rsid w:val="008C1623"/>
    <w:rsid w:val="008C1850"/>
    <w:rsid w:val="008C51A9"/>
    <w:rsid w:val="008E0B1B"/>
    <w:rsid w:val="008E1B5B"/>
    <w:rsid w:val="008E7846"/>
    <w:rsid w:val="008F02E5"/>
    <w:rsid w:val="008F1CCC"/>
    <w:rsid w:val="008F2967"/>
    <w:rsid w:val="008F6943"/>
    <w:rsid w:val="00902A21"/>
    <w:rsid w:val="00910CCD"/>
    <w:rsid w:val="00920330"/>
    <w:rsid w:val="009219D7"/>
    <w:rsid w:val="00922D53"/>
    <w:rsid w:val="00923B70"/>
    <w:rsid w:val="00924482"/>
    <w:rsid w:val="00930237"/>
    <w:rsid w:val="00937C17"/>
    <w:rsid w:val="00940A89"/>
    <w:rsid w:val="00941396"/>
    <w:rsid w:val="00941CAC"/>
    <w:rsid w:val="00946EA5"/>
    <w:rsid w:val="00963C08"/>
    <w:rsid w:val="00973A68"/>
    <w:rsid w:val="009752A5"/>
    <w:rsid w:val="0098040E"/>
    <w:rsid w:val="0098585A"/>
    <w:rsid w:val="009926C1"/>
    <w:rsid w:val="009A12AB"/>
    <w:rsid w:val="009A4CED"/>
    <w:rsid w:val="009A690D"/>
    <w:rsid w:val="009B1D12"/>
    <w:rsid w:val="009B416B"/>
    <w:rsid w:val="009C4BD5"/>
    <w:rsid w:val="009D7B77"/>
    <w:rsid w:val="009E0BB0"/>
    <w:rsid w:val="009E3FBB"/>
    <w:rsid w:val="009E7E4B"/>
    <w:rsid w:val="009F25B8"/>
    <w:rsid w:val="009F7353"/>
    <w:rsid w:val="00A03371"/>
    <w:rsid w:val="00A04F85"/>
    <w:rsid w:val="00A05FA4"/>
    <w:rsid w:val="00A102E4"/>
    <w:rsid w:val="00A12C42"/>
    <w:rsid w:val="00A14DF7"/>
    <w:rsid w:val="00A31475"/>
    <w:rsid w:val="00A3246D"/>
    <w:rsid w:val="00A36FA7"/>
    <w:rsid w:val="00A44B86"/>
    <w:rsid w:val="00A44DDB"/>
    <w:rsid w:val="00A46BD0"/>
    <w:rsid w:val="00A475B7"/>
    <w:rsid w:val="00A47AF7"/>
    <w:rsid w:val="00A47C3E"/>
    <w:rsid w:val="00A50226"/>
    <w:rsid w:val="00A52683"/>
    <w:rsid w:val="00A60BAD"/>
    <w:rsid w:val="00A66DC2"/>
    <w:rsid w:val="00A70AC0"/>
    <w:rsid w:val="00A80B5B"/>
    <w:rsid w:val="00A84E36"/>
    <w:rsid w:val="00A877F6"/>
    <w:rsid w:val="00A964D1"/>
    <w:rsid w:val="00AA0ED0"/>
    <w:rsid w:val="00AB3D90"/>
    <w:rsid w:val="00AC2B40"/>
    <w:rsid w:val="00AC2BB2"/>
    <w:rsid w:val="00AC2C3C"/>
    <w:rsid w:val="00AC512D"/>
    <w:rsid w:val="00AD0083"/>
    <w:rsid w:val="00AD3935"/>
    <w:rsid w:val="00AE65EB"/>
    <w:rsid w:val="00AE67A7"/>
    <w:rsid w:val="00AF1D94"/>
    <w:rsid w:val="00AF35BD"/>
    <w:rsid w:val="00AF60C5"/>
    <w:rsid w:val="00B009C6"/>
    <w:rsid w:val="00B01548"/>
    <w:rsid w:val="00B13EBD"/>
    <w:rsid w:val="00B14B1B"/>
    <w:rsid w:val="00B21D29"/>
    <w:rsid w:val="00B25034"/>
    <w:rsid w:val="00B2624A"/>
    <w:rsid w:val="00B33588"/>
    <w:rsid w:val="00B33863"/>
    <w:rsid w:val="00B37D17"/>
    <w:rsid w:val="00B4175E"/>
    <w:rsid w:val="00B452CE"/>
    <w:rsid w:val="00B54C25"/>
    <w:rsid w:val="00B76B91"/>
    <w:rsid w:val="00B77EB1"/>
    <w:rsid w:val="00B811C6"/>
    <w:rsid w:val="00B855B0"/>
    <w:rsid w:val="00B90B6E"/>
    <w:rsid w:val="00B92E08"/>
    <w:rsid w:val="00BA14B0"/>
    <w:rsid w:val="00BC622A"/>
    <w:rsid w:val="00BE0A78"/>
    <w:rsid w:val="00BE2378"/>
    <w:rsid w:val="00BE31D6"/>
    <w:rsid w:val="00BE79F0"/>
    <w:rsid w:val="00BF046D"/>
    <w:rsid w:val="00BF1190"/>
    <w:rsid w:val="00BF2539"/>
    <w:rsid w:val="00BF3CCC"/>
    <w:rsid w:val="00BF5D04"/>
    <w:rsid w:val="00C009AA"/>
    <w:rsid w:val="00C1164D"/>
    <w:rsid w:val="00C16861"/>
    <w:rsid w:val="00C346AB"/>
    <w:rsid w:val="00C404A6"/>
    <w:rsid w:val="00C40A36"/>
    <w:rsid w:val="00C44419"/>
    <w:rsid w:val="00C45E7B"/>
    <w:rsid w:val="00C471B1"/>
    <w:rsid w:val="00C52F6C"/>
    <w:rsid w:val="00C56864"/>
    <w:rsid w:val="00C6316B"/>
    <w:rsid w:val="00C634A9"/>
    <w:rsid w:val="00C64586"/>
    <w:rsid w:val="00C64D69"/>
    <w:rsid w:val="00C655FF"/>
    <w:rsid w:val="00C70D53"/>
    <w:rsid w:val="00C73D0B"/>
    <w:rsid w:val="00C743A6"/>
    <w:rsid w:val="00C772FF"/>
    <w:rsid w:val="00C77A0F"/>
    <w:rsid w:val="00C80137"/>
    <w:rsid w:val="00C801AF"/>
    <w:rsid w:val="00C80256"/>
    <w:rsid w:val="00C8437F"/>
    <w:rsid w:val="00C94CD4"/>
    <w:rsid w:val="00C95AA2"/>
    <w:rsid w:val="00C9747E"/>
    <w:rsid w:val="00CB6BC0"/>
    <w:rsid w:val="00CC1B7C"/>
    <w:rsid w:val="00CC23C8"/>
    <w:rsid w:val="00CC727F"/>
    <w:rsid w:val="00CF15C3"/>
    <w:rsid w:val="00CF2B6F"/>
    <w:rsid w:val="00CF2F3E"/>
    <w:rsid w:val="00CF58B6"/>
    <w:rsid w:val="00D0062D"/>
    <w:rsid w:val="00D017ED"/>
    <w:rsid w:val="00D040D3"/>
    <w:rsid w:val="00D04C65"/>
    <w:rsid w:val="00D11D52"/>
    <w:rsid w:val="00D201D2"/>
    <w:rsid w:val="00D224FE"/>
    <w:rsid w:val="00D23139"/>
    <w:rsid w:val="00D425BB"/>
    <w:rsid w:val="00D57E70"/>
    <w:rsid w:val="00D6493E"/>
    <w:rsid w:val="00D7195D"/>
    <w:rsid w:val="00D7301E"/>
    <w:rsid w:val="00D83AE1"/>
    <w:rsid w:val="00D855D4"/>
    <w:rsid w:val="00D902C9"/>
    <w:rsid w:val="00D93466"/>
    <w:rsid w:val="00DA1124"/>
    <w:rsid w:val="00DB6124"/>
    <w:rsid w:val="00DB750B"/>
    <w:rsid w:val="00DB75B7"/>
    <w:rsid w:val="00DC6E02"/>
    <w:rsid w:val="00DD28CD"/>
    <w:rsid w:val="00DE02AE"/>
    <w:rsid w:val="00DE6DD1"/>
    <w:rsid w:val="00DF1D7F"/>
    <w:rsid w:val="00DF4BE4"/>
    <w:rsid w:val="00E02FB4"/>
    <w:rsid w:val="00E13FC7"/>
    <w:rsid w:val="00E14F26"/>
    <w:rsid w:val="00E20571"/>
    <w:rsid w:val="00E215F8"/>
    <w:rsid w:val="00E2183C"/>
    <w:rsid w:val="00E235F7"/>
    <w:rsid w:val="00E23659"/>
    <w:rsid w:val="00E239D4"/>
    <w:rsid w:val="00E26130"/>
    <w:rsid w:val="00E34975"/>
    <w:rsid w:val="00E36C8E"/>
    <w:rsid w:val="00E40B22"/>
    <w:rsid w:val="00E4309C"/>
    <w:rsid w:val="00E44ED1"/>
    <w:rsid w:val="00E45619"/>
    <w:rsid w:val="00E4588F"/>
    <w:rsid w:val="00E46DA3"/>
    <w:rsid w:val="00E51892"/>
    <w:rsid w:val="00E51BB1"/>
    <w:rsid w:val="00E624A5"/>
    <w:rsid w:val="00E64810"/>
    <w:rsid w:val="00E64BA4"/>
    <w:rsid w:val="00E7344E"/>
    <w:rsid w:val="00E82665"/>
    <w:rsid w:val="00E8751D"/>
    <w:rsid w:val="00E91F75"/>
    <w:rsid w:val="00EA7417"/>
    <w:rsid w:val="00EB0798"/>
    <w:rsid w:val="00EB40AD"/>
    <w:rsid w:val="00EB586E"/>
    <w:rsid w:val="00EB5FC8"/>
    <w:rsid w:val="00EC463D"/>
    <w:rsid w:val="00EC7A85"/>
    <w:rsid w:val="00ED2922"/>
    <w:rsid w:val="00ED3CAD"/>
    <w:rsid w:val="00ED5A41"/>
    <w:rsid w:val="00EE1DE8"/>
    <w:rsid w:val="00EE27C2"/>
    <w:rsid w:val="00EF4BAD"/>
    <w:rsid w:val="00EF59DC"/>
    <w:rsid w:val="00F033EC"/>
    <w:rsid w:val="00F04F68"/>
    <w:rsid w:val="00F12670"/>
    <w:rsid w:val="00F14B27"/>
    <w:rsid w:val="00F3148D"/>
    <w:rsid w:val="00F325C5"/>
    <w:rsid w:val="00F32FE0"/>
    <w:rsid w:val="00F35298"/>
    <w:rsid w:val="00F46CFB"/>
    <w:rsid w:val="00F47333"/>
    <w:rsid w:val="00F47E37"/>
    <w:rsid w:val="00F5016C"/>
    <w:rsid w:val="00F53C07"/>
    <w:rsid w:val="00F54B65"/>
    <w:rsid w:val="00F561BF"/>
    <w:rsid w:val="00F63CC3"/>
    <w:rsid w:val="00F640B6"/>
    <w:rsid w:val="00F66DF2"/>
    <w:rsid w:val="00F677C6"/>
    <w:rsid w:val="00F7616D"/>
    <w:rsid w:val="00F80E40"/>
    <w:rsid w:val="00F816D9"/>
    <w:rsid w:val="00F848D9"/>
    <w:rsid w:val="00F86793"/>
    <w:rsid w:val="00F87572"/>
    <w:rsid w:val="00F96394"/>
    <w:rsid w:val="00FA5B82"/>
    <w:rsid w:val="00FA639E"/>
    <w:rsid w:val="00FB27DF"/>
    <w:rsid w:val="00FB35AC"/>
    <w:rsid w:val="00FC1FCA"/>
    <w:rsid w:val="00FC25E4"/>
    <w:rsid w:val="00FC4EF7"/>
    <w:rsid w:val="00FD0824"/>
    <w:rsid w:val="00FD119B"/>
    <w:rsid w:val="00FD1EDC"/>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unhideWhenUsed="0"/>
    <w:lsdException w:name="footer" w:semiHidden="0" w:unhideWhenUsed="0"/>
    <w:lsdException w:name="caption" w:semiHidden="0" w:uiPriority="35" w:unhideWhenUsed="0"/>
    <w:lsdException w:name="annotation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Body Text" w:uiPriority="1" w:qFormat="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34264B"/>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C77A0F"/>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nhideWhenUsed/>
    <w:rsid w:val="00EC463D"/>
    <w:rPr>
      <w:sz w:val="16"/>
      <w:szCs w:val="16"/>
    </w:rPr>
  </w:style>
  <w:style w:type="paragraph" w:styleId="CommentText">
    <w:name w:val="annotation text"/>
    <w:basedOn w:val="Normal"/>
    <w:link w:val="CommentTextChar"/>
    <w:unhideWhenUsed/>
    <w:rsid w:val="00EC463D"/>
    <w:pPr>
      <w:spacing w:line="240" w:lineRule="auto"/>
    </w:pPr>
    <w:rPr>
      <w:sz w:val="20"/>
      <w:szCs w:val="20"/>
    </w:rPr>
  </w:style>
  <w:style w:type="character" w:customStyle="1" w:styleId="CommentTextChar">
    <w:name w:val="Comment Text Char"/>
    <w:basedOn w:val="DefaultParagraphFont"/>
    <w:link w:val="CommentText"/>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BodyText">
    <w:name w:val="Body Text"/>
    <w:basedOn w:val="Normal"/>
    <w:link w:val="BodyTextChar"/>
    <w:uiPriority w:val="1"/>
    <w:qFormat/>
    <w:rsid w:val="00536397"/>
    <w:pPr>
      <w:widowControl w:val="0"/>
      <w:spacing w:before="0" w:after="0" w:line="240" w:lineRule="auto"/>
      <w:ind w:left="120"/>
    </w:pPr>
    <w:rPr>
      <w:rFonts w:ascii="Times New Roman" w:eastAsia="Times New Roman" w:hAnsi="Times New Roman" w:cstheme="minorBidi"/>
      <w:sz w:val="24"/>
      <w:szCs w:val="24"/>
      <w:lang w:val="en-US"/>
    </w:rPr>
  </w:style>
  <w:style w:type="character" w:customStyle="1" w:styleId="BodyTextChar">
    <w:name w:val="Body Text Char"/>
    <w:basedOn w:val="DefaultParagraphFont"/>
    <w:link w:val="BodyText"/>
    <w:uiPriority w:val="1"/>
    <w:rsid w:val="00536397"/>
    <w:rPr>
      <w:rFonts w:ascii="Times New Roman" w:eastAsia="Times New Roman" w:hAnsi="Times New Roman"/>
      <w:sz w:val="24"/>
      <w:szCs w:val="24"/>
      <w:lang w:val="en-US"/>
    </w:rPr>
  </w:style>
  <w:style w:type="paragraph" w:customStyle="1" w:styleId="TableParagraph">
    <w:name w:val="Table Paragraph"/>
    <w:basedOn w:val="Normal"/>
    <w:uiPriority w:val="1"/>
    <w:qFormat/>
    <w:rsid w:val="00536397"/>
    <w:pPr>
      <w:widowControl w:val="0"/>
      <w:spacing w:before="0" w:after="0" w:line="240" w:lineRule="auto"/>
    </w:pPr>
    <w:rPr>
      <w:rFonts w:asciiTheme="minorHAnsi" w:eastAsiaTheme="minorHAnsi" w:hAnsiTheme="minorHAnsi" w:cstheme="minorBidi"/>
      <w:lang w:val="en-US"/>
    </w:rPr>
  </w:style>
  <w:style w:type="paragraph" w:styleId="ListParagraph">
    <w:name w:val="List Paragraph"/>
    <w:basedOn w:val="Normal"/>
    <w:uiPriority w:val="34"/>
    <w:qFormat/>
    <w:rsid w:val="00A70AC0"/>
    <w:pPr>
      <w:adjustRightInd w:val="0"/>
      <w:snapToGrid w:val="0"/>
      <w:spacing w:before="180" w:after="180"/>
      <w:ind w:left="720"/>
      <w:contextualSpacing/>
    </w:pPr>
    <w:rPr>
      <w:rFonts w:ascii="Arial" w:hAnsi="Arial" w:cs="Arial"/>
    </w:rPr>
  </w:style>
  <w:style w:type="character" w:customStyle="1" w:styleId="st1">
    <w:name w:val="st1"/>
    <w:basedOn w:val="DefaultParagraphFont"/>
    <w:rsid w:val="00324415"/>
  </w:style>
  <w:style w:type="table" w:customStyle="1" w:styleId="TableTGAblue1">
    <w:name w:val="Table TGA blue1"/>
    <w:basedOn w:val="TableNormal"/>
    <w:uiPriority w:val="99"/>
    <w:qFormat/>
    <w:rsid w:val="00324415"/>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Bulletpoint">
    <w:name w:val="Bullet point"/>
    <w:basedOn w:val="Normal"/>
    <w:rsid w:val="00B90B6E"/>
    <w:pPr>
      <w:numPr>
        <w:numId w:val="35"/>
      </w:numPr>
      <w:tabs>
        <w:tab w:val="clear" w:pos="369"/>
        <w:tab w:val="left" w:pos="397"/>
        <w:tab w:val="num" w:pos="511"/>
      </w:tabs>
      <w:spacing w:before="0" w:after="180" w:line="252" w:lineRule="auto"/>
    </w:pPr>
    <w:rPr>
      <w:rFonts w:eastAsia="Times New Roman"/>
      <w:snapToGrid w:val="0"/>
      <w:kern w:val="16"/>
      <w:szCs w:val="24"/>
    </w:rPr>
  </w:style>
  <w:style w:type="paragraph" w:customStyle="1" w:styleId="SectionHeading">
    <w:name w:val="Section Heading"/>
    <w:basedOn w:val="Normal"/>
    <w:next w:val="Normal"/>
    <w:link w:val="SectionHeadingCharChar"/>
    <w:rsid w:val="00A52683"/>
    <w:pPr>
      <w:keepNext/>
      <w:spacing w:before="0" w:after="200" w:line="252" w:lineRule="auto"/>
      <w:outlineLvl w:val="0"/>
    </w:pPr>
    <w:rPr>
      <w:rFonts w:eastAsia="Times New Roman"/>
      <w:b/>
      <w:caps/>
      <w:snapToGrid w:val="0"/>
      <w:kern w:val="16"/>
      <w:sz w:val="24"/>
      <w:szCs w:val="24"/>
    </w:rPr>
  </w:style>
  <w:style w:type="character" w:customStyle="1" w:styleId="SectionHeadingCharChar">
    <w:name w:val="Section Heading Char Char"/>
    <w:basedOn w:val="DefaultParagraphFont"/>
    <w:link w:val="SectionHeading"/>
    <w:rsid w:val="00A52683"/>
    <w:rPr>
      <w:rFonts w:ascii="Cambria" w:eastAsia="Times New Roman" w:hAnsi="Cambria" w:cs="Times New Roman"/>
      <w:b/>
      <w:caps/>
      <w:snapToGrid w:val="0"/>
      <w:kern w:val="16"/>
      <w:sz w:val="24"/>
      <w:szCs w:val="24"/>
    </w:rPr>
  </w:style>
  <w:style w:type="paragraph" w:customStyle="1" w:styleId="Standard">
    <w:name w:val="Standard"/>
    <w:basedOn w:val="Normal"/>
    <w:link w:val="StandardChar"/>
    <w:rsid w:val="00A52683"/>
    <w:pPr>
      <w:spacing w:before="0" w:after="200" w:line="252" w:lineRule="auto"/>
    </w:pPr>
    <w:rPr>
      <w:rFonts w:eastAsia="Times New Roman"/>
      <w:snapToGrid w:val="0"/>
      <w:kern w:val="16"/>
      <w:szCs w:val="24"/>
    </w:rPr>
  </w:style>
  <w:style w:type="character" w:customStyle="1" w:styleId="StandardChar">
    <w:name w:val="Standard Char"/>
    <w:basedOn w:val="DefaultParagraphFont"/>
    <w:link w:val="Standard"/>
    <w:rsid w:val="00A52683"/>
    <w:rPr>
      <w:rFonts w:ascii="Cambria" w:eastAsia="Times New Roman" w:hAnsi="Cambria" w:cs="Times New Roman"/>
      <w:snapToGrid w:val="0"/>
      <w:kern w:val="16"/>
      <w:szCs w:val="24"/>
    </w:rPr>
  </w:style>
  <w:style w:type="paragraph" w:customStyle="1" w:styleId="WhiteSpace">
    <w:name w:val="White Space"/>
    <w:basedOn w:val="Standard"/>
    <w:next w:val="Standard"/>
    <w:link w:val="WhiteSpaceChar"/>
    <w:rsid w:val="00A52683"/>
    <w:pPr>
      <w:spacing w:after="0"/>
    </w:pPr>
    <w:rPr>
      <w:sz w:val="12"/>
      <w:szCs w:val="16"/>
    </w:rPr>
  </w:style>
  <w:style w:type="paragraph" w:customStyle="1" w:styleId="AssessmentSubsection">
    <w:name w:val="Assessment Subsection"/>
    <w:basedOn w:val="Standard"/>
    <w:next w:val="Standard"/>
    <w:rsid w:val="00A52683"/>
    <w:pPr>
      <w:keepNext/>
      <w:spacing w:after="110"/>
      <w:outlineLvl w:val="2"/>
    </w:pPr>
    <w:rPr>
      <w:b/>
      <w:i/>
    </w:rPr>
  </w:style>
  <w:style w:type="character" w:customStyle="1" w:styleId="WhiteSpaceChar">
    <w:name w:val="White Space Char"/>
    <w:basedOn w:val="DefaultParagraphFont"/>
    <w:link w:val="WhiteSpace"/>
    <w:rsid w:val="00A52683"/>
    <w:rPr>
      <w:rFonts w:ascii="Cambria" w:eastAsia="Times New Roman" w:hAnsi="Cambria" w:cs="Times New Roman"/>
      <w:snapToGrid w:val="0"/>
      <w:kern w:val="16"/>
      <w:sz w:val="12"/>
      <w:szCs w:val="16"/>
    </w:rPr>
  </w:style>
  <w:style w:type="paragraph" w:customStyle="1" w:styleId="AssessmentSection">
    <w:name w:val="Assessment Section"/>
    <w:basedOn w:val="AssessmentSubsection"/>
    <w:next w:val="Standard"/>
    <w:rsid w:val="00A52683"/>
    <w:pPr>
      <w:outlineLvl w:val="1"/>
    </w:pPr>
    <w:rPr>
      <w:i w:val="0"/>
    </w:rPr>
  </w:style>
  <w:style w:type="character" w:customStyle="1" w:styleId="TableTitleChar">
    <w:name w:val="Table Title Char"/>
    <w:basedOn w:val="DefaultParagraphFont"/>
    <w:link w:val="TableTitle"/>
    <w:rsid w:val="00300894"/>
    <w:rPr>
      <w:rFonts w:ascii="Cambria" w:eastAsia="Cambria" w:hAnsi="Cambria" w:cs="Times New Roman"/>
      <w:b/>
    </w:rPr>
  </w:style>
  <w:style w:type="character" w:customStyle="1" w:styleId="TabletextChar">
    <w:name w:val="Table text Char"/>
    <w:basedOn w:val="DefaultParagraphFont"/>
    <w:link w:val="Tabletext"/>
    <w:rsid w:val="00300894"/>
    <w:rPr>
      <w:rFonts w:ascii="Cambria" w:eastAsia="Cambria" w:hAnsi="Cambria" w:cs="Times New Roman"/>
      <w:sz w:val="19"/>
    </w:rPr>
  </w:style>
  <w:style w:type="paragraph" w:customStyle="1" w:styleId="TableHeader">
    <w:name w:val="Table Header"/>
    <w:basedOn w:val="Normal"/>
    <w:rsid w:val="00300894"/>
    <w:pPr>
      <w:keepNext/>
      <w:keepLines/>
      <w:widowControl w:val="0"/>
      <w:spacing w:before="60" w:after="60" w:line="200" w:lineRule="exact"/>
      <w:jc w:val="center"/>
    </w:pPr>
    <w:rPr>
      <w:rFonts w:eastAsia="MS Mincho" w:cstheme="minorBidi"/>
      <w:b/>
      <w:kern w:val="2"/>
      <w:sz w:val="19"/>
      <w:szCs w:val="19"/>
    </w:rPr>
  </w:style>
  <w:style w:type="paragraph" w:customStyle="1" w:styleId="TableCaption">
    <w:name w:val="Table Caption"/>
    <w:basedOn w:val="Normal"/>
    <w:next w:val="Normal"/>
    <w:link w:val="TableCaptionChar"/>
    <w:qFormat/>
    <w:rsid w:val="00300894"/>
    <w:pPr>
      <w:spacing w:before="60" w:after="440" w:line="215" w:lineRule="exact"/>
      <w:ind w:left="170"/>
    </w:pPr>
    <w:rPr>
      <w:rFonts w:eastAsia="Times New Roman"/>
      <w:snapToGrid w:val="0"/>
      <w:kern w:val="16"/>
      <w:sz w:val="18"/>
      <w:szCs w:val="19"/>
    </w:rPr>
  </w:style>
  <w:style w:type="character" w:customStyle="1" w:styleId="TableCaptionChar">
    <w:name w:val="Table Caption Char"/>
    <w:basedOn w:val="DefaultParagraphFont"/>
    <w:link w:val="TableCaption"/>
    <w:rsid w:val="00300894"/>
    <w:rPr>
      <w:rFonts w:ascii="Cambria" w:eastAsia="Times New Roman" w:hAnsi="Cambria" w:cs="Times New Roman"/>
      <w:snapToGrid w:val="0"/>
      <w:kern w:val="16"/>
      <w:sz w:val="18"/>
      <w:szCs w:val="19"/>
    </w:rPr>
  </w:style>
  <w:style w:type="paragraph" w:customStyle="1" w:styleId="AssessmentSubsection2">
    <w:name w:val="Assessment Subsection 2"/>
    <w:basedOn w:val="AssessmentSubsection"/>
    <w:next w:val="Standard"/>
    <w:rsid w:val="00866EBB"/>
    <w:pPr>
      <w:outlineLvl w:val="3"/>
    </w:pPr>
    <w:rPr>
      <w:b w:val="0"/>
    </w:rPr>
  </w:style>
  <w:style w:type="paragraph" w:styleId="Quote">
    <w:name w:val="Quote"/>
    <w:basedOn w:val="Standard"/>
    <w:next w:val="Standard"/>
    <w:link w:val="QuoteChar"/>
    <w:uiPriority w:val="29"/>
    <w:rsid w:val="00F561BF"/>
    <w:pPr>
      <w:widowControl w:val="0"/>
      <w:spacing w:after="280"/>
      <w:ind w:left="369" w:right="284" w:hanging="85"/>
    </w:pPr>
    <w:rPr>
      <w:iCs/>
      <w:snapToGrid/>
    </w:rPr>
  </w:style>
  <w:style w:type="character" w:customStyle="1" w:styleId="QuoteChar">
    <w:name w:val="Quote Char"/>
    <w:basedOn w:val="DefaultParagraphFont"/>
    <w:link w:val="Quote"/>
    <w:uiPriority w:val="29"/>
    <w:rsid w:val="00F561BF"/>
    <w:rPr>
      <w:rFonts w:ascii="Cambria" w:eastAsia="Times New Roman" w:hAnsi="Cambria" w:cs="Times New Roman"/>
      <w:iCs/>
      <w:kern w:val="16"/>
      <w:szCs w:val="24"/>
    </w:rPr>
  </w:style>
  <w:style w:type="paragraph" w:customStyle="1" w:styleId="Tabletextleft">
    <w:name w:val="Table text (left)"/>
    <w:basedOn w:val="Normal"/>
    <w:rsid w:val="00F561BF"/>
    <w:pPr>
      <w:spacing w:before="20" w:after="20" w:line="200" w:lineRule="exact"/>
      <w:ind w:left="57" w:right="57"/>
    </w:pPr>
    <w:rPr>
      <w:rFonts w:eastAsia="Times New Roman"/>
      <w:snapToGrid w:val="0"/>
      <w:kern w:val="16"/>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unhideWhenUsed="0"/>
    <w:lsdException w:name="footer" w:semiHidden="0" w:unhideWhenUsed="0"/>
    <w:lsdException w:name="caption" w:semiHidden="0" w:uiPriority="35" w:unhideWhenUsed="0"/>
    <w:lsdException w:name="annotation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Body Text" w:uiPriority="1" w:qFormat="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34264B"/>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C77A0F"/>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nhideWhenUsed/>
    <w:rsid w:val="00EC463D"/>
    <w:rPr>
      <w:sz w:val="16"/>
      <w:szCs w:val="16"/>
    </w:rPr>
  </w:style>
  <w:style w:type="paragraph" w:styleId="CommentText">
    <w:name w:val="annotation text"/>
    <w:basedOn w:val="Normal"/>
    <w:link w:val="CommentTextChar"/>
    <w:unhideWhenUsed/>
    <w:rsid w:val="00EC463D"/>
    <w:pPr>
      <w:spacing w:line="240" w:lineRule="auto"/>
    </w:pPr>
    <w:rPr>
      <w:sz w:val="20"/>
      <w:szCs w:val="20"/>
    </w:rPr>
  </w:style>
  <w:style w:type="character" w:customStyle="1" w:styleId="CommentTextChar">
    <w:name w:val="Comment Text Char"/>
    <w:basedOn w:val="DefaultParagraphFont"/>
    <w:link w:val="CommentText"/>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BodyText">
    <w:name w:val="Body Text"/>
    <w:basedOn w:val="Normal"/>
    <w:link w:val="BodyTextChar"/>
    <w:uiPriority w:val="1"/>
    <w:qFormat/>
    <w:rsid w:val="00536397"/>
    <w:pPr>
      <w:widowControl w:val="0"/>
      <w:spacing w:before="0" w:after="0" w:line="240" w:lineRule="auto"/>
      <w:ind w:left="120"/>
    </w:pPr>
    <w:rPr>
      <w:rFonts w:ascii="Times New Roman" w:eastAsia="Times New Roman" w:hAnsi="Times New Roman" w:cstheme="minorBidi"/>
      <w:sz w:val="24"/>
      <w:szCs w:val="24"/>
      <w:lang w:val="en-US"/>
    </w:rPr>
  </w:style>
  <w:style w:type="character" w:customStyle="1" w:styleId="BodyTextChar">
    <w:name w:val="Body Text Char"/>
    <w:basedOn w:val="DefaultParagraphFont"/>
    <w:link w:val="BodyText"/>
    <w:uiPriority w:val="1"/>
    <w:rsid w:val="00536397"/>
    <w:rPr>
      <w:rFonts w:ascii="Times New Roman" w:eastAsia="Times New Roman" w:hAnsi="Times New Roman"/>
      <w:sz w:val="24"/>
      <w:szCs w:val="24"/>
      <w:lang w:val="en-US"/>
    </w:rPr>
  </w:style>
  <w:style w:type="paragraph" w:customStyle="1" w:styleId="TableParagraph">
    <w:name w:val="Table Paragraph"/>
    <w:basedOn w:val="Normal"/>
    <w:uiPriority w:val="1"/>
    <w:qFormat/>
    <w:rsid w:val="00536397"/>
    <w:pPr>
      <w:widowControl w:val="0"/>
      <w:spacing w:before="0" w:after="0" w:line="240" w:lineRule="auto"/>
    </w:pPr>
    <w:rPr>
      <w:rFonts w:asciiTheme="minorHAnsi" w:eastAsiaTheme="minorHAnsi" w:hAnsiTheme="minorHAnsi" w:cstheme="minorBidi"/>
      <w:lang w:val="en-US"/>
    </w:rPr>
  </w:style>
  <w:style w:type="paragraph" w:styleId="ListParagraph">
    <w:name w:val="List Paragraph"/>
    <w:basedOn w:val="Normal"/>
    <w:uiPriority w:val="34"/>
    <w:qFormat/>
    <w:rsid w:val="00A70AC0"/>
    <w:pPr>
      <w:adjustRightInd w:val="0"/>
      <w:snapToGrid w:val="0"/>
      <w:spacing w:before="180" w:after="180"/>
      <w:ind w:left="720"/>
      <w:contextualSpacing/>
    </w:pPr>
    <w:rPr>
      <w:rFonts w:ascii="Arial" w:hAnsi="Arial" w:cs="Arial"/>
    </w:rPr>
  </w:style>
  <w:style w:type="character" w:customStyle="1" w:styleId="st1">
    <w:name w:val="st1"/>
    <w:basedOn w:val="DefaultParagraphFont"/>
    <w:rsid w:val="00324415"/>
  </w:style>
  <w:style w:type="table" w:customStyle="1" w:styleId="TableTGAblue1">
    <w:name w:val="Table TGA blue1"/>
    <w:basedOn w:val="TableNormal"/>
    <w:uiPriority w:val="99"/>
    <w:qFormat/>
    <w:rsid w:val="00324415"/>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Bulletpoint">
    <w:name w:val="Bullet point"/>
    <w:basedOn w:val="Normal"/>
    <w:rsid w:val="00B90B6E"/>
    <w:pPr>
      <w:numPr>
        <w:numId w:val="35"/>
      </w:numPr>
      <w:tabs>
        <w:tab w:val="clear" w:pos="369"/>
        <w:tab w:val="left" w:pos="397"/>
        <w:tab w:val="num" w:pos="511"/>
      </w:tabs>
      <w:spacing w:before="0" w:after="180" w:line="252" w:lineRule="auto"/>
    </w:pPr>
    <w:rPr>
      <w:rFonts w:eastAsia="Times New Roman"/>
      <w:snapToGrid w:val="0"/>
      <w:kern w:val="16"/>
      <w:szCs w:val="24"/>
    </w:rPr>
  </w:style>
  <w:style w:type="paragraph" w:customStyle="1" w:styleId="SectionHeading">
    <w:name w:val="Section Heading"/>
    <w:basedOn w:val="Normal"/>
    <w:next w:val="Normal"/>
    <w:link w:val="SectionHeadingCharChar"/>
    <w:rsid w:val="00A52683"/>
    <w:pPr>
      <w:keepNext/>
      <w:spacing w:before="0" w:after="200" w:line="252" w:lineRule="auto"/>
      <w:outlineLvl w:val="0"/>
    </w:pPr>
    <w:rPr>
      <w:rFonts w:eastAsia="Times New Roman"/>
      <w:b/>
      <w:caps/>
      <w:snapToGrid w:val="0"/>
      <w:kern w:val="16"/>
      <w:sz w:val="24"/>
      <w:szCs w:val="24"/>
    </w:rPr>
  </w:style>
  <w:style w:type="character" w:customStyle="1" w:styleId="SectionHeadingCharChar">
    <w:name w:val="Section Heading Char Char"/>
    <w:basedOn w:val="DefaultParagraphFont"/>
    <w:link w:val="SectionHeading"/>
    <w:rsid w:val="00A52683"/>
    <w:rPr>
      <w:rFonts w:ascii="Cambria" w:eastAsia="Times New Roman" w:hAnsi="Cambria" w:cs="Times New Roman"/>
      <w:b/>
      <w:caps/>
      <w:snapToGrid w:val="0"/>
      <w:kern w:val="16"/>
      <w:sz w:val="24"/>
      <w:szCs w:val="24"/>
    </w:rPr>
  </w:style>
  <w:style w:type="paragraph" w:customStyle="1" w:styleId="Standard">
    <w:name w:val="Standard"/>
    <w:basedOn w:val="Normal"/>
    <w:link w:val="StandardChar"/>
    <w:rsid w:val="00A52683"/>
    <w:pPr>
      <w:spacing w:before="0" w:after="200" w:line="252" w:lineRule="auto"/>
    </w:pPr>
    <w:rPr>
      <w:rFonts w:eastAsia="Times New Roman"/>
      <w:snapToGrid w:val="0"/>
      <w:kern w:val="16"/>
      <w:szCs w:val="24"/>
    </w:rPr>
  </w:style>
  <w:style w:type="character" w:customStyle="1" w:styleId="StandardChar">
    <w:name w:val="Standard Char"/>
    <w:basedOn w:val="DefaultParagraphFont"/>
    <w:link w:val="Standard"/>
    <w:rsid w:val="00A52683"/>
    <w:rPr>
      <w:rFonts w:ascii="Cambria" w:eastAsia="Times New Roman" w:hAnsi="Cambria" w:cs="Times New Roman"/>
      <w:snapToGrid w:val="0"/>
      <w:kern w:val="16"/>
      <w:szCs w:val="24"/>
    </w:rPr>
  </w:style>
  <w:style w:type="paragraph" w:customStyle="1" w:styleId="WhiteSpace">
    <w:name w:val="White Space"/>
    <w:basedOn w:val="Standard"/>
    <w:next w:val="Standard"/>
    <w:link w:val="WhiteSpaceChar"/>
    <w:rsid w:val="00A52683"/>
    <w:pPr>
      <w:spacing w:after="0"/>
    </w:pPr>
    <w:rPr>
      <w:sz w:val="12"/>
      <w:szCs w:val="16"/>
    </w:rPr>
  </w:style>
  <w:style w:type="paragraph" w:customStyle="1" w:styleId="AssessmentSubsection">
    <w:name w:val="Assessment Subsection"/>
    <w:basedOn w:val="Standard"/>
    <w:next w:val="Standard"/>
    <w:rsid w:val="00A52683"/>
    <w:pPr>
      <w:keepNext/>
      <w:spacing w:after="110"/>
      <w:outlineLvl w:val="2"/>
    </w:pPr>
    <w:rPr>
      <w:b/>
      <w:i/>
    </w:rPr>
  </w:style>
  <w:style w:type="character" w:customStyle="1" w:styleId="WhiteSpaceChar">
    <w:name w:val="White Space Char"/>
    <w:basedOn w:val="DefaultParagraphFont"/>
    <w:link w:val="WhiteSpace"/>
    <w:rsid w:val="00A52683"/>
    <w:rPr>
      <w:rFonts w:ascii="Cambria" w:eastAsia="Times New Roman" w:hAnsi="Cambria" w:cs="Times New Roman"/>
      <w:snapToGrid w:val="0"/>
      <w:kern w:val="16"/>
      <w:sz w:val="12"/>
      <w:szCs w:val="16"/>
    </w:rPr>
  </w:style>
  <w:style w:type="paragraph" w:customStyle="1" w:styleId="AssessmentSection">
    <w:name w:val="Assessment Section"/>
    <w:basedOn w:val="AssessmentSubsection"/>
    <w:next w:val="Standard"/>
    <w:rsid w:val="00A52683"/>
    <w:pPr>
      <w:outlineLvl w:val="1"/>
    </w:pPr>
    <w:rPr>
      <w:i w:val="0"/>
    </w:rPr>
  </w:style>
  <w:style w:type="character" w:customStyle="1" w:styleId="TableTitleChar">
    <w:name w:val="Table Title Char"/>
    <w:basedOn w:val="DefaultParagraphFont"/>
    <w:link w:val="TableTitle"/>
    <w:rsid w:val="00300894"/>
    <w:rPr>
      <w:rFonts w:ascii="Cambria" w:eastAsia="Cambria" w:hAnsi="Cambria" w:cs="Times New Roman"/>
      <w:b/>
    </w:rPr>
  </w:style>
  <w:style w:type="character" w:customStyle="1" w:styleId="TabletextChar">
    <w:name w:val="Table text Char"/>
    <w:basedOn w:val="DefaultParagraphFont"/>
    <w:link w:val="Tabletext"/>
    <w:rsid w:val="00300894"/>
    <w:rPr>
      <w:rFonts w:ascii="Cambria" w:eastAsia="Cambria" w:hAnsi="Cambria" w:cs="Times New Roman"/>
      <w:sz w:val="19"/>
    </w:rPr>
  </w:style>
  <w:style w:type="paragraph" w:customStyle="1" w:styleId="TableHeader">
    <w:name w:val="Table Header"/>
    <w:basedOn w:val="Normal"/>
    <w:rsid w:val="00300894"/>
    <w:pPr>
      <w:keepNext/>
      <w:keepLines/>
      <w:widowControl w:val="0"/>
      <w:spacing w:before="60" w:after="60" w:line="200" w:lineRule="exact"/>
      <w:jc w:val="center"/>
    </w:pPr>
    <w:rPr>
      <w:rFonts w:eastAsia="MS Mincho" w:cstheme="minorBidi"/>
      <w:b/>
      <w:kern w:val="2"/>
      <w:sz w:val="19"/>
      <w:szCs w:val="19"/>
    </w:rPr>
  </w:style>
  <w:style w:type="paragraph" w:customStyle="1" w:styleId="TableCaption">
    <w:name w:val="Table Caption"/>
    <w:basedOn w:val="Normal"/>
    <w:next w:val="Normal"/>
    <w:link w:val="TableCaptionChar"/>
    <w:qFormat/>
    <w:rsid w:val="00300894"/>
    <w:pPr>
      <w:spacing w:before="60" w:after="440" w:line="215" w:lineRule="exact"/>
      <w:ind w:left="170"/>
    </w:pPr>
    <w:rPr>
      <w:rFonts w:eastAsia="Times New Roman"/>
      <w:snapToGrid w:val="0"/>
      <w:kern w:val="16"/>
      <w:sz w:val="18"/>
      <w:szCs w:val="19"/>
    </w:rPr>
  </w:style>
  <w:style w:type="character" w:customStyle="1" w:styleId="TableCaptionChar">
    <w:name w:val="Table Caption Char"/>
    <w:basedOn w:val="DefaultParagraphFont"/>
    <w:link w:val="TableCaption"/>
    <w:rsid w:val="00300894"/>
    <w:rPr>
      <w:rFonts w:ascii="Cambria" w:eastAsia="Times New Roman" w:hAnsi="Cambria" w:cs="Times New Roman"/>
      <w:snapToGrid w:val="0"/>
      <w:kern w:val="16"/>
      <w:sz w:val="18"/>
      <w:szCs w:val="19"/>
    </w:rPr>
  </w:style>
  <w:style w:type="paragraph" w:customStyle="1" w:styleId="AssessmentSubsection2">
    <w:name w:val="Assessment Subsection 2"/>
    <w:basedOn w:val="AssessmentSubsection"/>
    <w:next w:val="Standard"/>
    <w:rsid w:val="00866EBB"/>
    <w:pPr>
      <w:outlineLvl w:val="3"/>
    </w:pPr>
    <w:rPr>
      <w:b w:val="0"/>
    </w:rPr>
  </w:style>
  <w:style w:type="paragraph" w:styleId="Quote">
    <w:name w:val="Quote"/>
    <w:basedOn w:val="Standard"/>
    <w:next w:val="Standard"/>
    <w:link w:val="QuoteChar"/>
    <w:uiPriority w:val="29"/>
    <w:rsid w:val="00F561BF"/>
    <w:pPr>
      <w:widowControl w:val="0"/>
      <w:spacing w:after="280"/>
      <w:ind w:left="369" w:right="284" w:hanging="85"/>
    </w:pPr>
    <w:rPr>
      <w:iCs/>
      <w:snapToGrid/>
    </w:rPr>
  </w:style>
  <w:style w:type="character" w:customStyle="1" w:styleId="QuoteChar">
    <w:name w:val="Quote Char"/>
    <w:basedOn w:val="DefaultParagraphFont"/>
    <w:link w:val="Quote"/>
    <w:uiPriority w:val="29"/>
    <w:rsid w:val="00F561BF"/>
    <w:rPr>
      <w:rFonts w:ascii="Cambria" w:eastAsia="Times New Roman" w:hAnsi="Cambria" w:cs="Times New Roman"/>
      <w:iCs/>
      <w:kern w:val="16"/>
      <w:szCs w:val="24"/>
    </w:rPr>
  </w:style>
  <w:style w:type="paragraph" w:customStyle="1" w:styleId="Tabletextleft">
    <w:name w:val="Table text (left)"/>
    <w:basedOn w:val="Normal"/>
    <w:rsid w:val="00F561BF"/>
    <w:pPr>
      <w:spacing w:before="20" w:after="20" w:line="200" w:lineRule="exact"/>
      <w:ind w:left="57" w:right="57"/>
    </w:pPr>
    <w:rPr>
      <w:rFonts w:eastAsia="Times New Roman"/>
      <w:snapToGrid w:val="0"/>
      <w:kern w:val="1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39595">
      <w:bodyDiv w:val="1"/>
      <w:marLeft w:val="0"/>
      <w:marRight w:val="0"/>
      <w:marTop w:val="0"/>
      <w:marBottom w:val="0"/>
      <w:divBdr>
        <w:top w:val="none" w:sz="0" w:space="0" w:color="auto"/>
        <w:left w:val="none" w:sz="0" w:space="0" w:color="auto"/>
        <w:bottom w:val="none" w:sz="0" w:space="0" w:color="auto"/>
        <w:right w:val="none" w:sz="0" w:space="0" w:color="auto"/>
      </w:divBdr>
      <w:divsChild>
        <w:div w:id="1945453376">
          <w:marLeft w:val="0"/>
          <w:marRight w:val="0"/>
          <w:marTop w:val="0"/>
          <w:marBottom w:val="0"/>
          <w:divBdr>
            <w:top w:val="none" w:sz="0" w:space="0" w:color="auto"/>
            <w:left w:val="none" w:sz="0" w:space="0" w:color="auto"/>
            <w:bottom w:val="none" w:sz="0" w:space="0" w:color="auto"/>
            <w:right w:val="none" w:sz="0" w:space="0" w:color="auto"/>
          </w:divBdr>
          <w:divsChild>
            <w:div w:id="1662195516">
              <w:marLeft w:val="0"/>
              <w:marRight w:val="0"/>
              <w:marTop w:val="0"/>
              <w:marBottom w:val="0"/>
              <w:divBdr>
                <w:top w:val="none" w:sz="0" w:space="0" w:color="auto"/>
                <w:left w:val="none" w:sz="0" w:space="0" w:color="auto"/>
                <w:bottom w:val="none" w:sz="0" w:space="0" w:color="auto"/>
                <w:right w:val="none" w:sz="0" w:space="0" w:color="auto"/>
              </w:divBdr>
              <w:divsChild>
                <w:div w:id="1872956119">
                  <w:marLeft w:val="0"/>
                  <w:marRight w:val="0"/>
                  <w:marTop w:val="0"/>
                  <w:marBottom w:val="0"/>
                  <w:divBdr>
                    <w:top w:val="none" w:sz="0" w:space="0" w:color="auto"/>
                    <w:left w:val="none" w:sz="0" w:space="0" w:color="auto"/>
                    <w:bottom w:val="none" w:sz="0" w:space="0" w:color="auto"/>
                    <w:right w:val="none" w:sz="0" w:space="0" w:color="auto"/>
                  </w:divBdr>
                  <w:divsChild>
                    <w:div w:id="599727853">
                      <w:marLeft w:val="0"/>
                      <w:marRight w:val="0"/>
                      <w:marTop w:val="0"/>
                      <w:marBottom w:val="0"/>
                      <w:divBdr>
                        <w:top w:val="none" w:sz="0" w:space="0" w:color="auto"/>
                        <w:left w:val="none" w:sz="0" w:space="0" w:color="auto"/>
                        <w:bottom w:val="none" w:sz="0" w:space="0" w:color="auto"/>
                        <w:right w:val="none" w:sz="0" w:space="0" w:color="auto"/>
                      </w:divBdr>
                      <w:divsChild>
                        <w:div w:id="2036274919">
                          <w:marLeft w:val="0"/>
                          <w:marRight w:val="0"/>
                          <w:marTop w:val="0"/>
                          <w:marBottom w:val="0"/>
                          <w:divBdr>
                            <w:top w:val="none" w:sz="0" w:space="0" w:color="auto"/>
                            <w:left w:val="none" w:sz="0" w:space="0" w:color="auto"/>
                            <w:bottom w:val="none" w:sz="0" w:space="0" w:color="auto"/>
                            <w:right w:val="none" w:sz="0" w:space="0" w:color="auto"/>
                          </w:divBdr>
                          <w:divsChild>
                            <w:div w:id="1535926742">
                              <w:marLeft w:val="0"/>
                              <w:marRight w:val="0"/>
                              <w:marTop w:val="0"/>
                              <w:marBottom w:val="0"/>
                              <w:divBdr>
                                <w:top w:val="none" w:sz="0" w:space="0" w:color="auto"/>
                                <w:left w:val="none" w:sz="0" w:space="0" w:color="auto"/>
                                <w:bottom w:val="none" w:sz="0" w:space="0" w:color="auto"/>
                                <w:right w:val="none" w:sz="0" w:space="0" w:color="auto"/>
                              </w:divBdr>
                              <w:divsChild>
                                <w:div w:id="1415200358">
                                  <w:marLeft w:val="0"/>
                                  <w:marRight w:val="0"/>
                                  <w:marTop w:val="0"/>
                                  <w:marBottom w:val="0"/>
                                  <w:divBdr>
                                    <w:top w:val="none" w:sz="0" w:space="0" w:color="auto"/>
                                    <w:left w:val="none" w:sz="0" w:space="0" w:color="auto"/>
                                    <w:bottom w:val="none" w:sz="0" w:space="0" w:color="auto"/>
                                    <w:right w:val="none" w:sz="0" w:space="0" w:color="auto"/>
                                  </w:divBdr>
                                  <w:divsChild>
                                    <w:div w:id="753742270">
                                      <w:marLeft w:val="0"/>
                                      <w:marRight w:val="0"/>
                                      <w:marTop w:val="0"/>
                                      <w:marBottom w:val="0"/>
                                      <w:divBdr>
                                        <w:top w:val="none" w:sz="0" w:space="0" w:color="auto"/>
                                        <w:left w:val="none" w:sz="0" w:space="0" w:color="auto"/>
                                        <w:bottom w:val="none" w:sz="0" w:space="0" w:color="auto"/>
                                        <w:right w:val="none" w:sz="0" w:space="0" w:color="auto"/>
                                      </w:divBdr>
                                      <w:divsChild>
                                        <w:div w:id="4622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6555950">
      <w:bodyDiv w:val="1"/>
      <w:marLeft w:val="0"/>
      <w:marRight w:val="0"/>
      <w:marTop w:val="0"/>
      <w:marBottom w:val="0"/>
      <w:divBdr>
        <w:top w:val="none" w:sz="0" w:space="0" w:color="auto"/>
        <w:left w:val="none" w:sz="0" w:space="0" w:color="auto"/>
        <w:bottom w:val="none" w:sz="0" w:space="0" w:color="auto"/>
        <w:right w:val="none" w:sz="0" w:space="0" w:color="auto"/>
      </w:divBdr>
      <w:divsChild>
        <w:div w:id="1188057005">
          <w:marLeft w:val="0"/>
          <w:marRight w:val="0"/>
          <w:marTop w:val="0"/>
          <w:marBottom w:val="0"/>
          <w:divBdr>
            <w:top w:val="none" w:sz="0" w:space="0" w:color="auto"/>
            <w:left w:val="none" w:sz="0" w:space="0" w:color="auto"/>
            <w:bottom w:val="none" w:sz="0" w:space="0" w:color="auto"/>
            <w:right w:val="none" w:sz="0" w:space="0" w:color="auto"/>
          </w:divBdr>
          <w:divsChild>
            <w:div w:id="286013242">
              <w:marLeft w:val="0"/>
              <w:marRight w:val="0"/>
              <w:marTop w:val="0"/>
              <w:marBottom w:val="0"/>
              <w:divBdr>
                <w:top w:val="none" w:sz="0" w:space="0" w:color="auto"/>
                <w:left w:val="none" w:sz="0" w:space="0" w:color="auto"/>
                <w:bottom w:val="none" w:sz="0" w:space="0" w:color="auto"/>
                <w:right w:val="none" w:sz="0" w:space="0" w:color="auto"/>
              </w:divBdr>
              <w:divsChild>
                <w:div w:id="759452028">
                  <w:marLeft w:val="0"/>
                  <w:marRight w:val="0"/>
                  <w:marTop w:val="0"/>
                  <w:marBottom w:val="0"/>
                  <w:divBdr>
                    <w:top w:val="none" w:sz="0" w:space="0" w:color="auto"/>
                    <w:left w:val="none" w:sz="0" w:space="0" w:color="auto"/>
                    <w:bottom w:val="none" w:sz="0" w:space="0" w:color="auto"/>
                    <w:right w:val="none" w:sz="0" w:space="0" w:color="auto"/>
                  </w:divBdr>
                  <w:divsChild>
                    <w:div w:id="1843204252">
                      <w:marLeft w:val="0"/>
                      <w:marRight w:val="0"/>
                      <w:marTop w:val="0"/>
                      <w:marBottom w:val="0"/>
                      <w:divBdr>
                        <w:top w:val="none" w:sz="0" w:space="0" w:color="auto"/>
                        <w:left w:val="none" w:sz="0" w:space="0" w:color="auto"/>
                        <w:bottom w:val="none" w:sz="0" w:space="0" w:color="auto"/>
                        <w:right w:val="none" w:sz="0" w:space="0" w:color="auto"/>
                      </w:divBdr>
                      <w:divsChild>
                        <w:div w:id="50547410">
                          <w:marLeft w:val="0"/>
                          <w:marRight w:val="0"/>
                          <w:marTop w:val="0"/>
                          <w:marBottom w:val="0"/>
                          <w:divBdr>
                            <w:top w:val="none" w:sz="0" w:space="0" w:color="auto"/>
                            <w:left w:val="none" w:sz="0" w:space="0" w:color="auto"/>
                            <w:bottom w:val="none" w:sz="0" w:space="0" w:color="auto"/>
                            <w:right w:val="none" w:sz="0" w:space="0" w:color="auto"/>
                          </w:divBdr>
                          <w:divsChild>
                            <w:div w:id="985547897">
                              <w:marLeft w:val="0"/>
                              <w:marRight w:val="0"/>
                              <w:marTop w:val="0"/>
                              <w:marBottom w:val="0"/>
                              <w:divBdr>
                                <w:top w:val="none" w:sz="0" w:space="0" w:color="auto"/>
                                <w:left w:val="none" w:sz="0" w:space="0" w:color="auto"/>
                                <w:bottom w:val="none" w:sz="0" w:space="0" w:color="auto"/>
                                <w:right w:val="none" w:sz="0" w:space="0" w:color="auto"/>
                              </w:divBdr>
                              <w:divsChild>
                                <w:div w:id="1872382002">
                                  <w:marLeft w:val="0"/>
                                  <w:marRight w:val="0"/>
                                  <w:marTop w:val="0"/>
                                  <w:marBottom w:val="0"/>
                                  <w:divBdr>
                                    <w:top w:val="none" w:sz="0" w:space="0" w:color="auto"/>
                                    <w:left w:val="none" w:sz="0" w:space="0" w:color="auto"/>
                                    <w:bottom w:val="none" w:sz="0" w:space="0" w:color="auto"/>
                                    <w:right w:val="none" w:sz="0" w:space="0" w:color="auto"/>
                                  </w:divBdr>
                                  <w:divsChild>
                                    <w:div w:id="637497238">
                                      <w:marLeft w:val="0"/>
                                      <w:marRight w:val="0"/>
                                      <w:marTop w:val="0"/>
                                      <w:marBottom w:val="0"/>
                                      <w:divBdr>
                                        <w:top w:val="none" w:sz="0" w:space="0" w:color="auto"/>
                                        <w:left w:val="none" w:sz="0" w:space="0" w:color="auto"/>
                                        <w:bottom w:val="none" w:sz="0" w:space="0" w:color="auto"/>
                                        <w:right w:val="none" w:sz="0" w:space="0" w:color="auto"/>
                                      </w:divBdr>
                                      <w:divsChild>
                                        <w:div w:id="11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eader" Target="header5.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3.xml"/><Relationship Id="rId28" Type="http://schemas.openxmlformats.org/officeDocument/2006/relationships/hyperlink" Target="https://www.tga.gov.au" TargetMode="External"/><Relationship Id="rId10" Type="http://schemas.openxmlformats.org/officeDocument/2006/relationships/hyperlink" Target="mailto:tga.copyright@tga.gov.au" TargetMode="External"/><Relationship Id="rId19" Type="http://schemas.openxmlformats.org/officeDocument/2006/relationships/image" Target="media/image7.png"/><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hyperlink" Target="https://www.tga.gov.au/product-information-pi" TargetMode="External"/><Relationship Id="rId27" Type="http://schemas.openxmlformats.org/officeDocument/2006/relationships/hyperlink" Target="mailto:info@tga.gov.au" TargetMode="External"/><Relationship Id="rId30" Type="http://schemas.openxmlformats.org/officeDocument/2006/relationships/header" Target="header7.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ilel\AppData\Local\Hewlett-Packard\HP%20TRIM\TEMP\HPTRIM.7396\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C2560-F200-43F6-B7F3-7CB4D2CFD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template.DOTX</Template>
  <TotalTime>25</TotalTime>
  <Pages>63</Pages>
  <Words>21785</Words>
  <Characters>119387</Characters>
  <Application>Microsoft Office Word</Application>
  <DocSecurity>0</DocSecurity>
  <Lines>1957</Lines>
  <Paragraphs>845</Paragraphs>
  <ScaleCrop>false</ScaleCrop>
  <HeadingPairs>
    <vt:vector size="2" baseType="variant">
      <vt:variant>
        <vt:lpstr>Title</vt:lpstr>
      </vt:variant>
      <vt:variant>
        <vt:i4>1</vt:i4>
      </vt:variant>
    </vt:vector>
  </HeadingPairs>
  <TitlesOfParts>
    <vt:vector size="1" baseType="lpstr">
      <vt:lpstr>Australian Public Assessment Report for Dexamethasone</vt:lpstr>
    </vt:vector>
  </TitlesOfParts>
  <Company/>
  <LinksUpToDate>false</LinksUpToDate>
  <CharactersWithSpaces>140327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Dexamethasone</dc:title>
  <dc:subject>prescription medicines</dc:subject>
  <dc:creator>Therapeutic Goods Administration</dc:creator>
  <cp:keywords>AusPARs</cp:keywords>
  <cp:lastModifiedBy>Lack, Janet</cp:lastModifiedBy>
  <cp:revision>3</cp:revision>
  <cp:lastPrinted>2016-09-02T06:03:00Z</cp:lastPrinted>
  <dcterms:created xsi:type="dcterms:W3CDTF">2016-11-02T23:57:00Z</dcterms:created>
  <dcterms:modified xsi:type="dcterms:W3CDTF">2016-11-03T01:29:00Z</dcterms:modified>
  <cp:category/>
</cp:coreProperties>
</file>