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6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3"/>
      </w:tblGrid>
      <w:tr w:rsidR="008E7846" w:rsidRPr="00487162" w14:paraId="52DE6259" w14:textId="77777777" w:rsidTr="00BB75B1">
        <w:trPr>
          <w:trHeight w:val="1626"/>
        </w:trPr>
        <w:tc>
          <w:tcPr>
            <w:tcW w:w="6413" w:type="dxa"/>
            <w:tcBorders>
              <w:top w:val="nil"/>
              <w:left w:val="nil"/>
              <w:bottom w:val="nil"/>
              <w:right w:val="nil"/>
            </w:tcBorders>
          </w:tcPr>
          <w:p w14:paraId="26C446D7" w14:textId="5C797DC1" w:rsidR="008E7846" w:rsidRPr="00096AA7" w:rsidRDefault="00205574" w:rsidP="00096AA7">
            <w:pPr>
              <w:rPr>
                <w:rFonts w:ascii="Arial" w:hAnsi="Arial" w:cs="Arial"/>
                <w:b/>
                <w:color w:val="002C47"/>
                <w:sz w:val="36"/>
                <w:szCs w:val="36"/>
              </w:rPr>
            </w:pPr>
            <w:r>
              <w:rPr>
                <w:rFonts w:ascii="Arial" w:hAnsi="Arial" w:cs="Arial"/>
                <w:b/>
                <w:color w:val="002C47"/>
                <w:sz w:val="36"/>
                <w:szCs w:val="36"/>
              </w:rPr>
              <w:t xml:space="preserve">April </w:t>
            </w:r>
            <w:r w:rsidR="00B03A6C">
              <w:rPr>
                <w:rFonts w:ascii="Arial" w:hAnsi="Arial" w:cs="Arial"/>
                <w:b/>
                <w:color w:val="002C47"/>
                <w:sz w:val="36"/>
                <w:szCs w:val="36"/>
              </w:rPr>
              <w:t>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33E54912" w14:textId="77777777" w:rsidTr="0032583B">
        <w:trPr>
          <w:trHeight w:val="868"/>
        </w:trPr>
        <w:tc>
          <w:tcPr>
            <w:tcW w:w="9079" w:type="dxa"/>
          </w:tcPr>
          <w:p w14:paraId="386FCBAC" w14:textId="6AE100E3" w:rsidR="0032583B" w:rsidRPr="00A964D1" w:rsidRDefault="0032583B" w:rsidP="00A964D1">
            <w:pPr>
              <w:pStyle w:val="Title"/>
              <w:rPr>
                <w:color w:val="FFFFFF" w:themeColor="background1"/>
              </w:rPr>
            </w:pPr>
            <w:r w:rsidRPr="00A964D1">
              <w:rPr>
                <w:color w:val="FFFFFF" w:themeColor="background1"/>
              </w:rPr>
              <w:t>Australian P</w:t>
            </w:r>
            <w:r w:rsidR="00DC4FFE">
              <w:rPr>
                <w:color w:val="FFFFFF" w:themeColor="background1"/>
              </w:rPr>
              <w:t xml:space="preserve">ublic Assessment Report for </w:t>
            </w:r>
            <w:proofErr w:type="spellStart"/>
            <w:r w:rsidR="00DC4FFE">
              <w:rPr>
                <w:color w:val="FFFFFF" w:themeColor="background1"/>
              </w:rPr>
              <w:t>D</w:t>
            </w:r>
            <w:bookmarkStart w:id="0" w:name="_GoBack"/>
            <w:bookmarkEnd w:id="0"/>
            <w:r w:rsidR="00DB1236">
              <w:rPr>
                <w:color w:val="FFFFFF" w:themeColor="background1"/>
              </w:rPr>
              <w:t>eoxycholic</w:t>
            </w:r>
            <w:proofErr w:type="spellEnd"/>
            <w:r w:rsidR="00DB1236">
              <w:rPr>
                <w:color w:val="FFFFFF" w:themeColor="background1"/>
              </w:rPr>
              <w:t xml:space="preserve"> acid</w:t>
            </w:r>
          </w:p>
        </w:tc>
      </w:tr>
      <w:tr w:rsidR="0032583B" w:rsidRPr="00B64760" w14:paraId="3A88D284" w14:textId="77777777" w:rsidTr="0032583B">
        <w:tc>
          <w:tcPr>
            <w:tcW w:w="9079" w:type="dxa"/>
          </w:tcPr>
          <w:p w14:paraId="7E310B3B" w14:textId="7B5E03D3" w:rsidR="0032583B" w:rsidRPr="008E7846" w:rsidRDefault="00DB1236" w:rsidP="0032583B">
            <w:pPr>
              <w:pStyle w:val="Subtitle"/>
              <w:rPr>
                <w:color w:val="FFFFFF" w:themeColor="background1"/>
              </w:rPr>
            </w:pPr>
            <w:r>
              <w:rPr>
                <w:color w:val="FFFFFF" w:themeColor="background1"/>
              </w:rPr>
              <w:t xml:space="preserve">Proprietary Product Name: </w:t>
            </w:r>
            <w:proofErr w:type="spellStart"/>
            <w:r>
              <w:rPr>
                <w:color w:val="FFFFFF" w:themeColor="background1"/>
              </w:rPr>
              <w:t>Belkyra</w:t>
            </w:r>
            <w:proofErr w:type="spellEnd"/>
            <w:r w:rsidR="0032583B" w:rsidRPr="008E7846">
              <w:rPr>
                <w:color w:val="FFFFFF" w:themeColor="background1"/>
              </w:rPr>
              <w:t xml:space="preserve"> </w:t>
            </w:r>
          </w:p>
        </w:tc>
      </w:tr>
      <w:tr w:rsidR="0032583B" w:rsidRPr="00B64760" w14:paraId="7337A9DD" w14:textId="77777777" w:rsidTr="0032583B">
        <w:trPr>
          <w:trHeight w:val="486"/>
        </w:trPr>
        <w:tc>
          <w:tcPr>
            <w:tcW w:w="9079" w:type="dxa"/>
          </w:tcPr>
          <w:p w14:paraId="2E00E400" w14:textId="4E408C9D" w:rsidR="0032583B" w:rsidRPr="008E7846" w:rsidRDefault="00DB1236" w:rsidP="0032583B">
            <w:pPr>
              <w:pStyle w:val="Subtitle"/>
              <w:rPr>
                <w:color w:val="FFFFFF" w:themeColor="background1"/>
              </w:rPr>
            </w:pPr>
            <w:r>
              <w:rPr>
                <w:color w:val="FFFFFF" w:themeColor="background1"/>
              </w:rPr>
              <w:t>Sponsor: Allergan Australia Pty Ltd</w:t>
            </w:r>
          </w:p>
        </w:tc>
      </w:tr>
    </w:tbl>
    <w:p w14:paraId="397C89A2" w14:textId="77777777" w:rsidR="008E7846" w:rsidRPr="0085156D" w:rsidRDefault="008E7846" w:rsidP="0085156D">
      <w:r w:rsidRPr="0085156D">
        <w:br w:type="page"/>
      </w:r>
    </w:p>
    <w:p w14:paraId="79B8D98D" w14:textId="77777777" w:rsidR="008E7846" w:rsidRPr="001F6CBA" w:rsidRDefault="008E7846" w:rsidP="008E7846">
      <w:pPr>
        <w:pStyle w:val="NonTOCHeading2"/>
      </w:pPr>
      <w:r w:rsidRPr="001F6CBA">
        <w:lastRenderedPageBreak/>
        <w:t>About the Therapeutic Goods Administration (TGA)</w:t>
      </w:r>
    </w:p>
    <w:p w14:paraId="437EDDEC"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75148F8E"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30D43F36"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5989C193"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14D3FEC5"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23E1814B" w14:textId="77777777" w:rsidR="008E7846" w:rsidRDefault="008E7846" w:rsidP="00875A6B">
      <w:pPr>
        <w:pStyle w:val="NonTOCHeading2"/>
      </w:pPr>
      <w:r>
        <w:t xml:space="preserve">About </w:t>
      </w:r>
      <w:proofErr w:type="spellStart"/>
      <w:r>
        <w:t>AusPARs</w:t>
      </w:r>
      <w:proofErr w:type="spellEnd"/>
    </w:p>
    <w:p w14:paraId="1D29D6CA"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6921D43A"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51D7B4E6"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5B43B0BF"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4EE07D62"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1536E4F5" w14:textId="77777777" w:rsidR="00924482" w:rsidRPr="00DF1D7F" w:rsidRDefault="00924482" w:rsidP="00F54B65">
      <w:pPr>
        <w:pStyle w:val="LegalSubheading"/>
        <w:spacing w:before="3120"/>
      </w:pPr>
      <w:r w:rsidRPr="00DF1D7F">
        <w:t>Copyright</w:t>
      </w:r>
    </w:p>
    <w:p w14:paraId="75FA4200" w14:textId="189AC8C7" w:rsidR="00924482" w:rsidRDefault="00924482" w:rsidP="00924482">
      <w:pPr>
        <w:pStyle w:val="LegalCopy"/>
      </w:pPr>
      <w:r w:rsidRPr="00191B3B">
        <w:rPr>
          <w:rFonts w:cs="Arial"/>
          <w:lang w:val="en-GB"/>
        </w:rPr>
        <w:t>© Comm</w:t>
      </w:r>
      <w:r>
        <w:rPr>
          <w:rFonts w:cs="Arial"/>
          <w:lang w:val="en-GB"/>
        </w:rPr>
        <w:t>onwealth of Australia 201</w:t>
      </w:r>
      <w:r w:rsidR="00385ABB">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1CC2E048"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7B22DB61" w14:textId="77777777" w:rsidR="0089635C" w:rsidRPr="0089635C" w:rsidRDefault="0089635C" w:rsidP="0010788A">
          <w:pPr>
            <w:pStyle w:val="Contents"/>
          </w:pPr>
          <w:r w:rsidRPr="0010788A">
            <w:t>Contents</w:t>
          </w:r>
        </w:p>
        <w:p w14:paraId="1FFCB4FD" w14:textId="77777777" w:rsidR="002111F7"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82015675" w:history="1">
            <w:r w:rsidR="002111F7" w:rsidRPr="005A67C3">
              <w:rPr>
                <w:rStyle w:val="Hyperlink"/>
                <w:noProof/>
              </w:rPr>
              <w:t>Common abbreviations</w:t>
            </w:r>
            <w:r w:rsidR="002111F7">
              <w:rPr>
                <w:noProof/>
                <w:webHidden/>
              </w:rPr>
              <w:tab/>
            </w:r>
            <w:r w:rsidR="002111F7">
              <w:rPr>
                <w:noProof/>
                <w:webHidden/>
              </w:rPr>
              <w:fldChar w:fldCharType="begin"/>
            </w:r>
            <w:r w:rsidR="002111F7">
              <w:rPr>
                <w:noProof/>
                <w:webHidden/>
              </w:rPr>
              <w:instrText xml:space="preserve"> PAGEREF _Toc482015675 \h </w:instrText>
            </w:r>
            <w:r w:rsidR="002111F7">
              <w:rPr>
                <w:noProof/>
                <w:webHidden/>
              </w:rPr>
            </w:r>
            <w:r w:rsidR="002111F7">
              <w:rPr>
                <w:noProof/>
                <w:webHidden/>
              </w:rPr>
              <w:fldChar w:fldCharType="separate"/>
            </w:r>
            <w:r w:rsidR="002111F7">
              <w:rPr>
                <w:noProof/>
                <w:webHidden/>
              </w:rPr>
              <w:t>5</w:t>
            </w:r>
            <w:r w:rsidR="002111F7">
              <w:rPr>
                <w:noProof/>
                <w:webHidden/>
              </w:rPr>
              <w:fldChar w:fldCharType="end"/>
            </w:r>
          </w:hyperlink>
        </w:p>
        <w:p w14:paraId="3CB80B47" w14:textId="77777777" w:rsidR="002111F7" w:rsidRDefault="00DC4FFE">
          <w:pPr>
            <w:pStyle w:val="TOC2"/>
            <w:rPr>
              <w:rFonts w:asciiTheme="minorHAnsi" w:eastAsiaTheme="minorEastAsia" w:hAnsiTheme="minorHAnsi" w:cstheme="minorBidi"/>
              <w:b w:val="0"/>
              <w:noProof/>
              <w:sz w:val="22"/>
              <w:lang w:eastAsia="en-AU"/>
            </w:rPr>
          </w:pPr>
          <w:hyperlink w:anchor="_Toc482015676" w:history="1">
            <w:r w:rsidR="002111F7" w:rsidRPr="005A67C3">
              <w:rPr>
                <w:rStyle w:val="Hyperlink"/>
                <w:noProof/>
              </w:rPr>
              <w:t>I. Introduction to product submission</w:t>
            </w:r>
            <w:r w:rsidR="002111F7">
              <w:rPr>
                <w:noProof/>
                <w:webHidden/>
              </w:rPr>
              <w:tab/>
            </w:r>
            <w:r w:rsidR="002111F7">
              <w:rPr>
                <w:noProof/>
                <w:webHidden/>
              </w:rPr>
              <w:fldChar w:fldCharType="begin"/>
            </w:r>
            <w:r w:rsidR="002111F7">
              <w:rPr>
                <w:noProof/>
                <w:webHidden/>
              </w:rPr>
              <w:instrText xml:space="preserve"> PAGEREF _Toc482015676 \h </w:instrText>
            </w:r>
            <w:r w:rsidR="002111F7">
              <w:rPr>
                <w:noProof/>
                <w:webHidden/>
              </w:rPr>
            </w:r>
            <w:r w:rsidR="002111F7">
              <w:rPr>
                <w:noProof/>
                <w:webHidden/>
              </w:rPr>
              <w:fldChar w:fldCharType="separate"/>
            </w:r>
            <w:r w:rsidR="002111F7">
              <w:rPr>
                <w:noProof/>
                <w:webHidden/>
              </w:rPr>
              <w:t>8</w:t>
            </w:r>
            <w:r w:rsidR="002111F7">
              <w:rPr>
                <w:noProof/>
                <w:webHidden/>
              </w:rPr>
              <w:fldChar w:fldCharType="end"/>
            </w:r>
          </w:hyperlink>
        </w:p>
        <w:p w14:paraId="7B957390" w14:textId="77777777" w:rsidR="002111F7" w:rsidRDefault="00DC4FFE">
          <w:pPr>
            <w:pStyle w:val="TOC3"/>
            <w:rPr>
              <w:rFonts w:asciiTheme="minorHAnsi" w:eastAsiaTheme="minorEastAsia" w:hAnsiTheme="minorHAnsi" w:cstheme="minorBidi"/>
              <w:noProof/>
              <w:lang w:eastAsia="en-AU"/>
            </w:rPr>
          </w:pPr>
          <w:hyperlink w:anchor="_Toc482015677" w:history="1">
            <w:r w:rsidR="002111F7" w:rsidRPr="005A67C3">
              <w:rPr>
                <w:rStyle w:val="Hyperlink"/>
                <w:noProof/>
                <w:lang w:eastAsia="en-AU"/>
              </w:rPr>
              <w:t>Submission details</w:t>
            </w:r>
            <w:r w:rsidR="002111F7">
              <w:rPr>
                <w:noProof/>
                <w:webHidden/>
              </w:rPr>
              <w:tab/>
            </w:r>
            <w:r w:rsidR="002111F7">
              <w:rPr>
                <w:noProof/>
                <w:webHidden/>
              </w:rPr>
              <w:fldChar w:fldCharType="begin"/>
            </w:r>
            <w:r w:rsidR="002111F7">
              <w:rPr>
                <w:noProof/>
                <w:webHidden/>
              </w:rPr>
              <w:instrText xml:space="preserve"> PAGEREF _Toc482015677 \h </w:instrText>
            </w:r>
            <w:r w:rsidR="002111F7">
              <w:rPr>
                <w:noProof/>
                <w:webHidden/>
              </w:rPr>
            </w:r>
            <w:r w:rsidR="002111F7">
              <w:rPr>
                <w:noProof/>
                <w:webHidden/>
              </w:rPr>
              <w:fldChar w:fldCharType="separate"/>
            </w:r>
            <w:r w:rsidR="002111F7">
              <w:rPr>
                <w:noProof/>
                <w:webHidden/>
              </w:rPr>
              <w:t>8</w:t>
            </w:r>
            <w:r w:rsidR="002111F7">
              <w:rPr>
                <w:noProof/>
                <w:webHidden/>
              </w:rPr>
              <w:fldChar w:fldCharType="end"/>
            </w:r>
          </w:hyperlink>
        </w:p>
        <w:p w14:paraId="2F7F542C" w14:textId="77777777" w:rsidR="002111F7" w:rsidRDefault="00DC4FFE">
          <w:pPr>
            <w:pStyle w:val="TOC3"/>
            <w:rPr>
              <w:rFonts w:asciiTheme="minorHAnsi" w:eastAsiaTheme="minorEastAsia" w:hAnsiTheme="minorHAnsi" w:cstheme="minorBidi"/>
              <w:noProof/>
              <w:lang w:eastAsia="en-AU"/>
            </w:rPr>
          </w:pPr>
          <w:hyperlink w:anchor="_Toc482015678" w:history="1">
            <w:r w:rsidR="002111F7" w:rsidRPr="005A67C3">
              <w:rPr>
                <w:rStyle w:val="Hyperlink"/>
                <w:noProof/>
              </w:rPr>
              <w:t>Product background</w:t>
            </w:r>
            <w:r w:rsidR="002111F7">
              <w:rPr>
                <w:noProof/>
                <w:webHidden/>
              </w:rPr>
              <w:tab/>
            </w:r>
            <w:r w:rsidR="002111F7">
              <w:rPr>
                <w:noProof/>
                <w:webHidden/>
              </w:rPr>
              <w:fldChar w:fldCharType="begin"/>
            </w:r>
            <w:r w:rsidR="002111F7">
              <w:rPr>
                <w:noProof/>
                <w:webHidden/>
              </w:rPr>
              <w:instrText xml:space="preserve"> PAGEREF _Toc482015678 \h </w:instrText>
            </w:r>
            <w:r w:rsidR="002111F7">
              <w:rPr>
                <w:noProof/>
                <w:webHidden/>
              </w:rPr>
            </w:r>
            <w:r w:rsidR="002111F7">
              <w:rPr>
                <w:noProof/>
                <w:webHidden/>
              </w:rPr>
              <w:fldChar w:fldCharType="separate"/>
            </w:r>
            <w:r w:rsidR="002111F7">
              <w:rPr>
                <w:noProof/>
                <w:webHidden/>
              </w:rPr>
              <w:t>8</w:t>
            </w:r>
            <w:r w:rsidR="002111F7">
              <w:rPr>
                <w:noProof/>
                <w:webHidden/>
              </w:rPr>
              <w:fldChar w:fldCharType="end"/>
            </w:r>
          </w:hyperlink>
        </w:p>
        <w:p w14:paraId="42CCF560" w14:textId="77777777" w:rsidR="002111F7" w:rsidRDefault="00DC4FFE">
          <w:pPr>
            <w:pStyle w:val="TOC3"/>
            <w:rPr>
              <w:rFonts w:asciiTheme="minorHAnsi" w:eastAsiaTheme="minorEastAsia" w:hAnsiTheme="minorHAnsi" w:cstheme="minorBidi"/>
              <w:noProof/>
              <w:lang w:eastAsia="en-AU"/>
            </w:rPr>
          </w:pPr>
          <w:hyperlink w:anchor="_Toc482015679" w:history="1">
            <w:r w:rsidR="002111F7" w:rsidRPr="005A67C3">
              <w:rPr>
                <w:rStyle w:val="Hyperlink"/>
                <w:noProof/>
              </w:rPr>
              <w:t>Regulatory status</w:t>
            </w:r>
            <w:r w:rsidR="002111F7">
              <w:rPr>
                <w:noProof/>
                <w:webHidden/>
              </w:rPr>
              <w:tab/>
            </w:r>
            <w:r w:rsidR="002111F7">
              <w:rPr>
                <w:noProof/>
                <w:webHidden/>
              </w:rPr>
              <w:fldChar w:fldCharType="begin"/>
            </w:r>
            <w:r w:rsidR="002111F7">
              <w:rPr>
                <w:noProof/>
                <w:webHidden/>
              </w:rPr>
              <w:instrText xml:space="preserve"> PAGEREF _Toc482015679 \h </w:instrText>
            </w:r>
            <w:r w:rsidR="002111F7">
              <w:rPr>
                <w:noProof/>
                <w:webHidden/>
              </w:rPr>
            </w:r>
            <w:r w:rsidR="002111F7">
              <w:rPr>
                <w:noProof/>
                <w:webHidden/>
              </w:rPr>
              <w:fldChar w:fldCharType="separate"/>
            </w:r>
            <w:r w:rsidR="002111F7">
              <w:rPr>
                <w:noProof/>
                <w:webHidden/>
              </w:rPr>
              <w:t>9</w:t>
            </w:r>
            <w:r w:rsidR="002111F7">
              <w:rPr>
                <w:noProof/>
                <w:webHidden/>
              </w:rPr>
              <w:fldChar w:fldCharType="end"/>
            </w:r>
          </w:hyperlink>
        </w:p>
        <w:p w14:paraId="4BEE321A" w14:textId="77777777" w:rsidR="002111F7" w:rsidRDefault="00DC4FFE">
          <w:pPr>
            <w:pStyle w:val="TOC3"/>
            <w:rPr>
              <w:rFonts w:asciiTheme="minorHAnsi" w:eastAsiaTheme="minorEastAsia" w:hAnsiTheme="minorHAnsi" w:cstheme="minorBidi"/>
              <w:noProof/>
              <w:lang w:eastAsia="en-AU"/>
            </w:rPr>
          </w:pPr>
          <w:hyperlink w:anchor="_Toc482015680" w:history="1">
            <w:r w:rsidR="002111F7" w:rsidRPr="005A67C3">
              <w:rPr>
                <w:rStyle w:val="Hyperlink"/>
                <w:noProof/>
              </w:rPr>
              <w:t>Product information</w:t>
            </w:r>
            <w:r w:rsidR="002111F7">
              <w:rPr>
                <w:noProof/>
                <w:webHidden/>
              </w:rPr>
              <w:tab/>
            </w:r>
            <w:r w:rsidR="002111F7">
              <w:rPr>
                <w:noProof/>
                <w:webHidden/>
              </w:rPr>
              <w:fldChar w:fldCharType="begin"/>
            </w:r>
            <w:r w:rsidR="002111F7">
              <w:rPr>
                <w:noProof/>
                <w:webHidden/>
              </w:rPr>
              <w:instrText xml:space="preserve"> PAGEREF _Toc482015680 \h </w:instrText>
            </w:r>
            <w:r w:rsidR="002111F7">
              <w:rPr>
                <w:noProof/>
                <w:webHidden/>
              </w:rPr>
            </w:r>
            <w:r w:rsidR="002111F7">
              <w:rPr>
                <w:noProof/>
                <w:webHidden/>
              </w:rPr>
              <w:fldChar w:fldCharType="separate"/>
            </w:r>
            <w:r w:rsidR="002111F7">
              <w:rPr>
                <w:noProof/>
                <w:webHidden/>
              </w:rPr>
              <w:t>10</w:t>
            </w:r>
            <w:r w:rsidR="002111F7">
              <w:rPr>
                <w:noProof/>
                <w:webHidden/>
              </w:rPr>
              <w:fldChar w:fldCharType="end"/>
            </w:r>
          </w:hyperlink>
        </w:p>
        <w:p w14:paraId="0C04DB34" w14:textId="77777777" w:rsidR="002111F7" w:rsidRDefault="00DC4FFE">
          <w:pPr>
            <w:pStyle w:val="TOC2"/>
            <w:rPr>
              <w:rFonts w:asciiTheme="minorHAnsi" w:eastAsiaTheme="minorEastAsia" w:hAnsiTheme="minorHAnsi" w:cstheme="minorBidi"/>
              <w:b w:val="0"/>
              <w:noProof/>
              <w:sz w:val="22"/>
              <w:lang w:eastAsia="en-AU"/>
            </w:rPr>
          </w:pPr>
          <w:hyperlink w:anchor="_Toc482015681" w:history="1">
            <w:r w:rsidR="002111F7" w:rsidRPr="005A67C3">
              <w:rPr>
                <w:rStyle w:val="Hyperlink"/>
                <w:noProof/>
              </w:rPr>
              <w:t>II. Quality findings</w:t>
            </w:r>
            <w:r w:rsidR="002111F7">
              <w:rPr>
                <w:noProof/>
                <w:webHidden/>
              </w:rPr>
              <w:tab/>
            </w:r>
            <w:r w:rsidR="002111F7">
              <w:rPr>
                <w:noProof/>
                <w:webHidden/>
              </w:rPr>
              <w:fldChar w:fldCharType="begin"/>
            </w:r>
            <w:r w:rsidR="002111F7">
              <w:rPr>
                <w:noProof/>
                <w:webHidden/>
              </w:rPr>
              <w:instrText xml:space="preserve"> PAGEREF _Toc482015681 \h </w:instrText>
            </w:r>
            <w:r w:rsidR="002111F7">
              <w:rPr>
                <w:noProof/>
                <w:webHidden/>
              </w:rPr>
            </w:r>
            <w:r w:rsidR="002111F7">
              <w:rPr>
                <w:noProof/>
                <w:webHidden/>
              </w:rPr>
              <w:fldChar w:fldCharType="separate"/>
            </w:r>
            <w:r w:rsidR="002111F7">
              <w:rPr>
                <w:noProof/>
                <w:webHidden/>
              </w:rPr>
              <w:t>10</w:t>
            </w:r>
            <w:r w:rsidR="002111F7">
              <w:rPr>
                <w:noProof/>
                <w:webHidden/>
              </w:rPr>
              <w:fldChar w:fldCharType="end"/>
            </w:r>
          </w:hyperlink>
        </w:p>
        <w:p w14:paraId="3159FF81" w14:textId="77777777" w:rsidR="002111F7" w:rsidRDefault="00DC4FFE">
          <w:pPr>
            <w:pStyle w:val="TOC3"/>
            <w:rPr>
              <w:rFonts w:asciiTheme="minorHAnsi" w:eastAsiaTheme="minorEastAsia" w:hAnsiTheme="minorHAnsi" w:cstheme="minorBidi"/>
              <w:noProof/>
              <w:lang w:eastAsia="en-AU"/>
            </w:rPr>
          </w:pPr>
          <w:hyperlink w:anchor="_Toc482015682" w:history="1">
            <w:r w:rsidR="002111F7" w:rsidRPr="005A67C3">
              <w:rPr>
                <w:rStyle w:val="Hyperlink"/>
                <w:noProof/>
              </w:rPr>
              <w:t>Introduction</w:t>
            </w:r>
            <w:r w:rsidR="002111F7">
              <w:rPr>
                <w:noProof/>
                <w:webHidden/>
              </w:rPr>
              <w:tab/>
            </w:r>
            <w:r w:rsidR="002111F7">
              <w:rPr>
                <w:noProof/>
                <w:webHidden/>
              </w:rPr>
              <w:fldChar w:fldCharType="begin"/>
            </w:r>
            <w:r w:rsidR="002111F7">
              <w:rPr>
                <w:noProof/>
                <w:webHidden/>
              </w:rPr>
              <w:instrText xml:space="preserve"> PAGEREF _Toc482015682 \h </w:instrText>
            </w:r>
            <w:r w:rsidR="002111F7">
              <w:rPr>
                <w:noProof/>
                <w:webHidden/>
              </w:rPr>
            </w:r>
            <w:r w:rsidR="002111F7">
              <w:rPr>
                <w:noProof/>
                <w:webHidden/>
              </w:rPr>
              <w:fldChar w:fldCharType="separate"/>
            </w:r>
            <w:r w:rsidR="002111F7">
              <w:rPr>
                <w:noProof/>
                <w:webHidden/>
              </w:rPr>
              <w:t>10</w:t>
            </w:r>
            <w:r w:rsidR="002111F7">
              <w:rPr>
                <w:noProof/>
                <w:webHidden/>
              </w:rPr>
              <w:fldChar w:fldCharType="end"/>
            </w:r>
          </w:hyperlink>
        </w:p>
        <w:p w14:paraId="64ABD8BE" w14:textId="77777777" w:rsidR="002111F7" w:rsidRDefault="00DC4FFE">
          <w:pPr>
            <w:pStyle w:val="TOC3"/>
            <w:rPr>
              <w:rFonts w:asciiTheme="minorHAnsi" w:eastAsiaTheme="minorEastAsia" w:hAnsiTheme="minorHAnsi" w:cstheme="minorBidi"/>
              <w:noProof/>
              <w:lang w:eastAsia="en-AU"/>
            </w:rPr>
          </w:pPr>
          <w:hyperlink w:anchor="_Toc482015683" w:history="1">
            <w:r w:rsidR="002111F7" w:rsidRPr="005A67C3">
              <w:rPr>
                <w:rStyle w:val="Hyperlink"/>
                <w:noProof/>
              </w:rPr>
              <w:t>Drug substance (active ingredient)</w:t>
            </w:r>
            <w:r w:rsidR="002111F7">
              <w:rPr>
                <w:noProof/>
                <w:webHidden/>
              </w:rPr>
              <w:tab/>
            </w:r>
            <w:r w:rsidR="002111F7">
              <w:rPr>
                <w:noProof/>
                <w:webHidden/>
              </w:rPr>
              <w:fldChar w:fldCharType="begin"/>
            </w:r>
            <w:r w:rsidR="002111F7">
              <w:rPr>
                <w:noProof/>
                <w:webHidden/>
              </w:rPr>
              <w:instrText xml:space="preserve"> PAGEREF _Toc482015683 \h </w:instrText>
            </w:r>
            <w:r w:rsidR="002111F7">
              <w:rPr>
                <w:noProof/>
                <w:webHidden/>
              </w:rPr>
            </w:r>
            <w:r w:rsidR="002111F7">
              <w:rPr>
                <w:noProof/>
                <w:webHidden/>
              </w:rPr>
              <w:fldChar w:fldCharType="separate"/>
            </w:r>
            <w:r w:rsidR="002111F7">
              <w:rPr>
                <w:noProof/>
                <w:webHidden/>
              </w:rPr>
              <w:t>10</w:t>
            </w:r>
            <w:r w:rsidR="002111F7">
              <w:rPr>
                <w:noProof/>
                <w:webHidden/>
              </w:rPr>
              <w:fldChar w:fldCharType="end"/>
            </w:r>
          </w:hyperlink>
        </w:p>
        <w:p w14:paraId="2FA6EBE8" w14:textId="77777777" w:rsidR="002111F7" w:rsidRDefault="00DC4FFE">
          <w:pPr>
            <w:pStyle w:val="TOC3"/>
            <w:rPr>
              <w:rFonts w:asciiTheme="minorHAnsi" w:eastAsiaTheme="minorEastAsia" w:hAnsiTheme="minorHAnsi" w:cstheme="minorBidi"/>
              <w:noProof/>
              <w:lang w:eastAsia="en-AU"/>
            </w:rPr>
          </w:pPr>
          <w:hyperlink w:anchor="_Toc482015684" w:history="1">
            <w:r w:rsidR="002111F7" w:rsidRPr="005A67C3">
              <w:rPr>
                <w:rStyle w:val="Hyperlink"/>
                <w:noProof/>
              </w:rPr>
              <w:t>Drug product</w:t>
            </w:r>
            <w:r w:rsidR="002111F7">
              <w:rPr>
                <w:noProof/>
                <w:webHidden/>
              </w:rPr>
              <w:tab/>
            </w:r>
            <w:r w:rsidR="002111F7">
              <w:rPr>
                <w:noProof/>
                <w:webHidden/>
              </w:rPr>
              <w:fldChar w:fldCharType="begin"/>
            </w:r>
            <w:r w:rsidR="002111F7">
              <w:rPr>
                <w:noProof/>
                <w:webHidden/>
              </w:rPr>
              <w:instrText xml:space="preserve"> PAGEREF _Toc482015684 \h </w:instrText>
            </w:r>
            <w:r w:rsidR="002111F7">
              <w:rPr>
                <w:noProof/>
                <w:webHidden/>
              </w:rPr>
            </w:r>
            <w:r w:rsidR="002111F7">
              <w:rPr>
                <w:noProof/>
                <w:webHidden/>
              </w:rPr>
              <w:fldChar w:fldCharType="separate"/>
            </w:r>
            <w:r w:rsidR="002111F7">
              <w:rPr>
                <w:noProof/>
                <w:webHidden/>
              </w:rPr>
              <w:t>11</w:t>
            </w:r>
            <w:r w:rsidR="002111F7">
              <w:rPr>
                <w:noProof/>
                <w:webHidden/>
              </w:rPr>
              <w:fldChar w:fldCharType="end"/>
            </w:r>
          </w:hyperlink>
        </w:p>
        <w:p w14:paraId="31B4F8ED" w14:textId="77777777" w:rsidR="002111F7" w:rsidRDefault="00DC4FFE">
          <w:pPr>
            <w:pStyle w:val="TOC3"/>
            <w:rPr>
              <w:rFonts w:asciiTheme="minorHAnsi" w:eastAsiaTheme="minorEastAsia" w:hAnsiTheme="minorHAnsi" w:cstheme="minorBidi"/>
              <w:noProof/>
              <w:lang w:eastAsia="en-AU"/>
            </w:rPr>
          </w:pPr>
          <w:hyperlink w:anchor="_Toc482015685" w:history="1">
            <w:r w:rsidR="002111F7" w:rsidRPr="005A67C3">
              <w:rPr>
                <w:rStyle w:val="Hyperlink"/>
                <w:noProof/>
              </w:rPr>
              <w:t>Biopharmaceutics</w:t>
            </w:r>
            <w:r w:rsidR="002111F7">
              <w:rPr>
                <w:noProof/>
                <w:webHidden/>
              </w:rPr>
              <w:tab/>
            </w:r>
            <w:r w:rsidR="002111F7">
              <w:rPr>
                <w:noProof/>
                <w:webHidden/>
              </w:rPr>
              <w:fldChar w:fldCharType="begin"/>
            </w:r>
            <w:r w:rsidR="002111F7">
              <w:rPr>
                <w:noProof/>
                <w:webHidden/>
              </w:rPr>
              <w:instrText xml:space="preserve"> PAGEREF _Toc482015685 \h </w:instrText>
            </w:r>
            <w:r w:rsidR="002111F7">
              <w:rPr>
                <w:noProof/>
                <w:webHidden/>
              </w:rPr>
            </w:r>
            <w:r w:rsidR="002111F7">
              <w:rPr>
                <w:noProof/>
                <w:webHidden/>
              </w:rPr>
              <w:fldChar w:fldCharType="separate"/>
            </w:r>
            <w:r w:rsidR="002111F7">
              <w:rPr>
                <w:noProof/>
                <w:webHidden/>
              </w:rPr>
              <w:t>11</w:t>
            </w:r>
            <w:r w:rsidR="002111F7">
              <w:rPr>
                <w:noProof/>
                <w:webHidden/>
              </w:rPr>
              <w:fldChar w:fldCharType="end"/>
            </w:r>
          </w:hyperlink>
        </w:p>
        <w:p w14:paraId="06BE672E" w14:textId="77777777" w:rsidR="002111F7" w:rsidRDefault="00DC4FFE">
          <w:pPr>
            <w:pStyle w:val="TOC3"/>
            <w:rPr>
              <w:rFonts w:asciiTheme="minorHAnsi" w:eastAsiaTheme="minorEastAsia" w:hAnsiTheme="minorHAnsi" w:cstheme="minorBidi"/>
              <w:noProof/>
              <w:lang w:eastAsia="en-AU"/>
            </w:rPr>
          </w:pPr>
          <w:hyperlink w:anchor="_Toc482015686" w:history="1">
            <w:r w:rsidR="002111F7" w:rsidRPr="005A67C3">
              <w:rPr>
                <w:rStyle w:val="Hyperlink"/>
                <w:noProof/>
              </w:rPr>
              <w:t>Advisory committee considerations</w:t>
            </w:r>
            <w:r w:rsidR="002111F7">
              <w:rPr>
                <w:noProof/>
                <w:webHidden/>
              </w:rPr>
              <w:tab/>
            </w:r>
            <w:r w:rsidR="002111F7">
              <w:rPr>
                <w:noProof/>
                <w:webHidden/>
              </w:rPr>
              <w:fldChar w:fldCharType="begin"/>
            </w:r>
            <w:r w:rsidR="002111F7">
              <w:rPr>
                <w:noProof/>
                <w:webHidden/>
              </w:rPr>
              <w:instrText xml:space="preserve"> PAGEREF _Toc482015686 \h </w:instrText>
            </w:r>
            <w:r w:rsidR="002111F7">
              <w:rPr>
                <w:noProof/>
                <w:webHidden/>
              </w:rPr>
            </w:r>
            <w:r w:rsidR="002111F7">
              <w:rPr>
                <w:noProof/>
                <w:webHidden/>
              </w:rPr>
              <w:fldChar w:fldCharType="separate"/>
            </w:r>
            <w:r w:rsidR="002111F7">
              <w:rPr>
                <w:noProof/>
                <w:webHidden/>
              </w:rPr>
              <w:t>11</w:t>
            </w:r>
            <w:r w:rsidR="002111F7">
              <w:rPr>
                <w:noProof/>
                <w:webHidden/>
              </w:rPr>
              <w:fldChar w:fldCharType="end"/>
            </w:r>
          </w:hyperlink>
        </w:p>
        <w:p w14:paraId="51890356" w14:textId="77777777" w:rsidR="002111F7" w:rsidRDefault="00DC4FFE">
          <w:pPr>
            <w:pStyle w:val="TOC3"/>
            <w:rPr>
              <w:rFonts w:asciiTheme="minorHAnsi" w:eastAsiaTheme="minorEastAsia" w:hAnsiTheme="minorHAnsi" w:cstheme="minorBidi"/>
              <w:noProof/>
              <w:lang w:eastAsia="en-AU"/>
            </w:rPr>
          </w:pPr>
          <w:hyperlink w:anchor="_Toc482015687" w:history="1">
            <w:r w:rsidR="002111F7" w:rsidRPr="005A67C3">
              <w:rPr>
                <w:rStyle w:val="Hyperlink"/>
                <w:noProof/>
              </w:rPr>
              <w:t>Quality summary and conclusions</w:t>
            </w:r>
            <w:r w:rsidR="002111F7">
              <w:rPr>
                <w:noProof/>
                <w:webHidden/>
              </w:rPr>
              <w:tab/>
            </w:r>
            <w:r w:rsidR="002111F7">
              <w:rPr>
                <w:noProof/>
                <w:webHidden/>
              </w:rPr>
              <w:fldChar w:fldCharType="begin"/>
            </w:r>
            <w:r w:rsidR="002111F7">
              <w:rPr>
                <w:noProof/>
                <w:webHidden/>
              </w:rPr>
              <w:instrText xml:space="preserve"> PAGEREF _Toc482015687 \h </w:instrText>
            </w:r>
            <w:r w:rsidR="002111F7">
              <w:rPr>
                <w:noProof/>
                <w:webHidden/>
              </w:rPr>
            </w:r>
            <w:r w:rsidR="002111F7">
              <w:rPr>
                <w:noProof/>
                <w:webHidden/>
              </w:rPr>
              <w:fldChar w:fldCharType="separate"/>
            </w:r>
            <w:r w:rsidR="002111F7">
              <w:rPr>
                <w:noProof/>
                <w:webHidden/>
              </w:rPr>
              <w:t>12</w:t>
            </w:r>
            <w:r w:rsidR="002111F7">
              <w:rPr>
                <w:noProof/>
                <w:webHidden/>
              </w:rPr>
              <w:fldChar w:fldCharType="end"/>
            </w:r>
          </w:hyperlink>
        </w:p>
        <w:p w14:paraId="1051D9DB" w14:textId="77777777" w:rsidR="002111F7" w:rsidRDefault="00DC4FFE">
          <w:pPr>
            <w:pStyle w:val="TOC2"/>
            <w:rPr>
              <w:rFonts w:asciiTheme="minorHAnsi" w:eastAsiaTheme="minorEastAsia" w:hAnsiTheme="minorHAnsi" w:cstheme="minorBidi"/>
              <w:b w:val="0"/>
              <w:noProof/>
              <w:sz w:val="22"/>
              <w:lang w:eastAsia="en-AU"/>
            </w:rPr>
          </w:pPr>
          <w:hyperlink w:anchor="_Toc482015688" w:history="1">
            <w:r w:rsidR="002111F7" w:rsidRPr="005A67C3">
              <w:rPr>
                <w:rStyle w:val="Hyperlink"/>
                <w:noProof/>
              </w:rPr>
              <w:t>III. Nonclinical findings</w:t>
            </w:r>
            <w:r w:rsidR="002111F7">
              <w:rPr>
                <w:noProof/>
                <w:webHidden/>
              </w:rPr>
              <w:tab/>
            </w:r>
            <w:r w:rsidR="002111F7">
              <w:rPr>
                <w:noProof/>
                <w:webHidden/>
              </w:rPr>
              <w:fldChar w:fldCharType="begin"/>
            </w:r>
            <w:r w:rsidR="002111F7">
              <w:rPr>
                <w:noProof/>
                <w:webHidden/>
              </w:rPr>
              <w:instrText xml:space="preserve"> PAGEREF _Toc482015688 \h </w:instrText>
            </w:r>
            <w:r w:rsidR="002111F7">
              <w:rPr>
                <w:noProof/>
                <w:webHidden/>
              </w:rPr>
            </w:r>
            <w:r w:rsidR="002111F7">
              <w:rPr>
                <w:noProof/>
                <w:webHidden/>
              </w:rPr>
              <w:fldChar w:fldCharType="separate"/>
            </w:r>
            <w:r w:rsidR="002111F7">
              <w:rPr>
                <w:noProof/>
                <w:webHidden/>
              </w:rPr>
              <w:t>12</w:t>
            </w:r>
            <w:r w:rsidR="002111F7">
              <w:rPr>
                <w:noProof/>
                <w:webHidden/>
              </w:rPr>
              <w:fldChar w:fldCharType="end"/>
            </w:r>
          </w:hyperlink>
        </w:p>
        <w:p w14:paraId="2F1F5158" w14:textId="77777777" w:rsidR="002111F7" w:rsidRDefault="00DC4FFE">
          <w:pPr>
            <w:pStyle w:val="TOC3"/>
            <w:rPr>
              <w:rFonts w:asciiTheme="minorHAnsi" w:eastAsiaTheme="minorEastAsia" w:hAnsiTheme="minorHAnsi" w:cstheme="minorBidi"/>
              <w:noProof/>
              <w:lang w:eastAsia="en-AU"/>
            </w:rPr>
          </w:pPr>
          <w:hyperlink w:anchor="_Toc482015689" w:history="1">
            <w:r w:rsidR="002111F7" w:rsidRPr="005A67C3">
              <w:rPr>
                <w:rStyle w:val="Hyperlink"/>
                <w:noProof/>
              </w:rPr>
              <w:t>Introduction</w:t>
            </w:r>
            <w:r w:rsidR="002111F7">
              <w:rPr>
                <w:noProof/>
                <w:webHidden/>
              </w:rPr>
              <w:tab/>
            </w:r>
            <w:r w:rsidR="002111F7">
              <w:rPr>
                <w:noProof/>
                <w:webHidden/>
              </w:rPr>
              <w:fldChar w:fldCharType="begin"/>
            </w:r>
            <w:r w:rsidR="002111F7">
              <w:rPr>
                <w:noProof/>
                <w:webHidden/>
              </w:rPr>
              <w:instrText xml:space="preserve"> PAGEREF _Toc482015689 \h </w:instrText>
            </w:r>
            <w:r w:rsidR="002111F7">
              <w:rPr>
                <w:noProof/>
                <w:webHidden/>
              </w:rPr>
            </w:r>
            <w:r w:rsidR="002111F7">
              <w:rPr>
                <w:noProof/>
                <w:webHidden/>
              </w:rPr>
              <w:fldChar w:fldCharType="separate"/>
            </w:r>
            <w:r w:rsidR="002111F7">
              <w:rPr>
                <w:noProof/>
                <w:webHidden/>
              </w:rPr>
              <w:t>12</w:t>
            </w:r>
            <w:r w:rsidR="002111F7">
              <w:rPr>
                <w:noProof/>
                <w:webHidden/>
              </w:rPr>
              <w:fldChar w:fldCharType="end"/>
            </w:r>
          </w:hyperlink>
        </w:p>
        <w:p w14:paraId="5F806BF1" w14:textId="77777777" w:rsidR="002111F7" w:rsidRDefault="00DC4FFE">
          <w:pPr>
            <w:pStyle w:val="TOC3"/>
            <w:rPr>
              <w:rFonts w:asciiTheme="minorHAnsi" w:eastAsiaTheme="minorEastAsia" w:hAnsiTheme="minorHAnsi" w:cstheme="minorBidi"/>
              <w:noProof/>
              <w:lang w:eastAsia="en-AU"/>
            </w:rPr>
          </w:pPr>
          <w:hyperlink w:anchor="_Toc482015690" w:history="1">
            <w:r w:rsidR="002111F7" w:rsidRPr="005A67C3">
              <w:rPr>
                <w:rStyle w:val="Hyperlink"/>
                <w:noProof/>
              </w:rPr>
              <w:t>Pharmacology</w:t>
            </w:r>
            <w:r w:rsidR="002111F7">
              <w:rPr>
                <w:noProof/>
                <w:webHidden/>
              </w:rPr>
              <w:tab/>
            </w:r>
            <w:r w:rsidR="002111F7">
              <w:rPr>
                <w:noProof/>
                <w:webHidden/>
              </w:rPr>
              <w:fldChar w:fldCharType="begin"/>
            </w:r>
            <w:r w:rsidR="002111F7">
              <w:rPr>
                <w:noProof/>
                <w:webHidden/>
              </w:rPr>
              <w:instrText xml:space="preserve"> PAGEREF _Toc482015690 \h </w:instrText>
            </w:r>
            <w:r w:rsidR="002111F7">
              <w:rPr>
                <w:noProof/>
                <w:webHidden/>
              </w:rPr>
            </w:r>
            <w:r w:rsidR="002111F7">
              <w:rPr>
                <w:noProof/>
                <w:webHidden/>
              </w:rPr>
              <w:fldChar w:fldCharType="separate"/>
            </w:r>
            <w:r w:rsidR="002111F7">
              <w:rPr>
                <w:noProof/>
                <w:webHidden/>
              </w:rPr>
              <w:t>12</w:t>
            </w:r>
            <w:r w:rsidR="002111F7">
              <w:rPr>
                <w:noProof/>
                <w:webHidden/>
              </w:rPr>
              <w:fldChar w:fldCharType="end"/>
            </w:r>
          </w:hyperlink>
        </w:p>
        <w:p w14:paraId="5CB9E79F" w14:textId="77777777" w:rsidR="002111F7" w:rsidRDefault="00DC4FFE">
          <w:pPr>
            <w:pStyle w:val="TOC3"/>
            <w:rPr>
              <w:rFonts w:asciiTheme="minorHAnsi" w:eastAsiaTheme="minorEastAsia" w:hAnsiTheme="minorHAnsi" w:cstheme="minorBidi"/>
              <w:noProof/>
              <w:lang w:eastAsia="en-AU"/>
            </w:rPr>
          </w:pPr>
          <w:hyperlink w:anchor="_Toc482015691" w:history="1">
            <w:r w:rsidR="002111F7" w:rsidRPr="005A67C3">
              <w:rPr>
                <w:rStyle w:val="Hyperlink"/>
                <w:noProof/>
              </w:rPr>
              <w:t>Pharmacokinetics</w:t>
            </w:r>
            <w:r w:rsidR="002111F7">
              <w:rPr>
                <w:noProof/>
                <w:webHidden/>
              </w:rPr>
              <w:tab/>
            </w:r>
            <w:r w:rsidR="002111F7">
              <w:rPr>
                <w:noProof/>
                <w:webHidden/>
              </w:rPr>
              <w:fldChar w:fldCharType="begin"/>
            </w:r>
            <w:r w:rsidR="002111F7">
              <w:rPr>
                <w:noProof/>
                <w:webHidden/>
              </w:rPr>
              <w:instrText xml:space="preserve"> PAGEREF _Toc482015691 \h </w:instrText>
            </w:r>
            <w:r w:rsidR="002111F7">
              <w:rPr>
                <w:noProof/>
                <w:webHidden/>
              </w:rPr>
            </w:r>
            <w:r w:rsidR="002111F7">
              <w:rPr>
                <w:noProof/>
                <w:webHidden/>
              </w:rPr>
              <w:fldChar w:fldCharType="separate"/>
            </w:r>
            <w:r w:rsidR="002111F7">
              <w:rPr>
                <w:noProof/>
                <w:webHidden/>
              </w:rPr>
              <w:t>13</w:t>
            </w:r>
            <w:r w:rsidR="002111F7">
              <w:rPr>
                <w:noProof/>
                <w:webHidden/>
              </w:rPr>
              <w:fldChar w:fldCharType="end"/>
            </w:r>
          </w:hyperlink>
        </w:p>
        <w:p w14:paraId="62F7AE41" w14:textId="77777777" w:rsidR="002111F7" w:rsidRDefault="00DC4FFE">
          <w:pPr>
            <w:pStyle w:val="TOC3"/>
            <w:rPr>
              <w:rFonts w:asciiTheme="minorHAnsi" w:eastAsiaTheme="minorEastAsia" w:hAnsiTheme="minorHAnsi" w:cstheme="minorBidi"/>
              <w:noProof/>
              <w:lang w:eastAsia="en-AU"/>
            </w:rPr>
          </w:pPr>
          <w:hyperlink w:anchor="_Toc482015692" w:history="1">
            <w:r w:rsidR="002111F7" w:rsidRPr="005A67C3">
              <w:rPr>
                <w:rStyle w:val="Hyperlink"/>
                <w:noProof/>
              </w:rPr>
              <w:t>Toxicology</w:t>
            </w:r>
            <w:r w:rsidR="002111F7">
              <w:rPr>
                <w:noProof/>
                <w:webHidden/>
              </w:rPr>
              <w:tab/>
            </w:r>
            <w:r w:rsidR="002111F7">
              <w:rPr>
                <w:noProof/>
                <w:webHidden/>
              </w:rPr>
              <w:fldChar w:fldCharType="begin"/>
            </w:r>
            <w:r w:rsidR="002111F7">
              <w:rPr>
                <w:noProof/>
                <w:webHidden/>
              </w:rPr>
              <w:instrText xml:space="preserve"> PAGEREF _Toc482015692 \h </w:instrText>
            </w:r>
            <w:r w:rsidR="002111F7">
              <w:rPr>
                <w:noProof/>
                <w:webHidden/>
              </w:rPr>
            </w:r>
            <w:r w:rsidR="002111F7">
              <w:rPr>
                <w:noProof/>
                <w:webHidden/>
              </w:rPr>
              <w:fldChar w:fldCharType="separate"/>
            </w:r>
            <w:r w:rsidR="002111F7">
              <w:rPr>
                <w:noProof/>
                <w:webHidden/>
              </w:rPr>
              <w:t>15</w:t>
            </w:r>
            <w:r w:rsidR="002111F7">
              <w:rPr>
                <w:noProof/>
                <w:webHidden/>
              </w:rPr>
              <w:fldChar w:fldCharType="end"/>
            </w:r>
          </w:hyperlink>
        </w:p>
        <w:p w14:paraId="52E4D83E" w14:textId="77777777" w:rsidR="002111F7" w:rsidRDefault="00DC4FFE">
          <w:pPr>
            <w:pStyle w:val="TOC3"/>
            <w:rPr>
              <w:rFonts w:asciiTheme="minorHAnsi" w:eastAsiaTheme="minorEastAsia" w:hAnsiTheme="minorHAnsi" w:cstheme="minorBidi"/>
              <w:noProof/>
              <w:lang w:eastAsia="en-AU"/>
            </w:rPr>
          </w:pPr>
          <w:hyperlink w:anchor="_Toc482015693" w:history="1">
            <w:r w:rsidR="002111F7" w:rsidRPr="005A67C3">
              <w:rPr>
                <w:rStyle w:val="Hyperlink"/>
                <w:noProof/>
              </w:rPr>
              <w:t>Nonclinical summary and conclusions</w:t>
            </w:r>
            <w:r w:rsidR="002111F7">
              <w:rPr>
                <w:noProof/>
                <w:webHidden/>
              </w:rPr>
              <w:tab/>
            </w:r>
            <w:r w:rsidR="002111F7">
              <w:rPr>
                <w:noProof/>
                <w:webHidden/>
              </w:rPr>
              <w:fldChar w:fldCharType="begin"/>
            </w:r>
            <w:r w:rsidR="002111F7">
              <w:rPr>
                <w:noProof/>
                <w:webHidden/>
              </w:rPr>
              <w:instrText xml:space="preserve"> PAGEREF _Toc482015693 \h </w:instrText>
            </w:r>
            <w:r w:rsidR="002111F7">
              <w:rPr>
                <w:noProof/>
                <w:webHidden/>
              </w:rPr>
            </w:r>
            <w:r w:rsidR="002111F7">
              <w:rPr>
                <w:noProof/>
                <w:webHidden/>
              </w:rPr>
              <w:fldChar w:fldCharType="separate"/>
            </w:r>
            <w:r w:rsidR="002111F7">
              <w:rPr>
                <w:noProof/>
                <w:webHidden/>
              </w:rPr>
              <w:t>20</w:t>
            </w:r>
            <w:r w:rsidR="002111F7">
              <w:rPr>
                <w:noProof/>
                <w:webHidden/>
              </w:rPr>
              <w:fldChar w:fldCharType="end"/>
            </w:r>
          </w:hyperlink>
        </w:p>
        <w:p w14:paraId="30489A31" w14:textId="77777777" w:rsidR="002111F7" w:rsidRDefault="00DC4FFE">
          <w:pPr>
            <w:pStyle w:val="TOC2"/>
            <w:rPr>
              <w:rFonts w:asciiTheme="minorHAnsi" w:eastAsiaTheme="minorEastAsia" w:hAnsiTheme="minorHAnsi" w:cstheme="minorBidi"/>
              <w:b w:val="0"/>
              <w:noProof/>
              <w:sz w:val="22"/>
              <w:lang w:eastAsia="en-AU"/>
            </w:rPr>
          </w:pPr>
          <w:hyperlink w:anchor="_Toc482015694" w:history="1">
            <w:r w:rsidR="002111F7" w:rsidRPr="005A67C3">
              <w:rPr>
                <w:rStyle w:val="Hyperlink"/>
                <w:noProof/>
              </w:rPr>
              <w:t>IV. Clinical findings</w:t>
            </w:r>
            <w:r w:rsidR="002111F7">
              <w:rPr>
                <w:noProof/>
                <w:webHidden/>
              </w:rPr>
              <w:tab/>
            </w:r>
            <w:r w:rsidR="002111F7">
              <w:rPr>
                <w:noProof/>
                <w:webHidden/>
              </w:rPr>
              <w:fldChar w:fldCharType="begin"/>
            </w:r>
            <w:r w:rsidR="002111F7">
              <w:rPr>
                <w:noProof/>
                <w:webHidden/>
              </w:rPr>
              <w:instrText xml:space="preserve"> PAGEREF _Toc482015694 \h </w:instrText>
            </w:r>
            <w:r w:rsidR="002111F7">
              <w:rPr>
                <w:noProof/>
                <w:webHidden/>
              </w:rPr>
            </w:r>
            <w:r w:rsidR="002111F7">
              <w:rPr>
                <w:noProof/>
                <w:webHidden/>
              </w:rPr>
              <w:fldChar w:fldCharType="separate"/>
            </w:r>
            <w:r w:rsidR="002111F7">
              <w:rPr>
                <w:noProof/>
                <w:webHidden/>
              </w:rPr>
              <w:t>21</w:t>
            </w:r>
            <w:r w:rsidR="002111F7">
              <w:rPr>
                <w:noProof/>
                <w:webHidden/>
              </w:rPr>
              <w:fldChar w:fldCharType="end"/>
            </w:r>
          </w:hyperlink>
        </w:p>
        <w:p w14:paraId="6C501134" w14:textId="77777777" w:rsidR="002111F7" w:rsidRDefault="00DC4FFE">
          <w:pPr>
            <w:pStyle w:val="TOC3"/>
            <w:rPr>
              <w:rFonts w:asciiTheme="minorHAnsi" w:eastAsiaTheme="minorEastAsia" w:hAnsiTheme="minorHAnsi" w:cstheme="minorBidi"/>
              <w:noProof/>
              <w:lang w:eastAsia="en-AU"/>
            </w:rPr>
          </w:pPr>
          <w:hyperlink w:anchor="_Toc482015695" w:history="1">
            <w:r w:rsidR="002111F7" w:rsidRPr="005A67C3">
              <w:rPr>
                <w:rStyle w:val="Hyperlink"/>
                <w:noProof/>
              </w:rPr>
              <w:t>Introduction</w:t>
            </w:r>
            <w:r w:rsidR="002111F7">
              <w:rPr>
                <w:noProof/>
                <w:webHidden/>
              </w:rPr>
              <w:tab/>
            </w:r>
            <w:r w:rsidR="002111F7">
              <w:rPr>
                <w:noProof/>
                <w:webHidden/>
              </w:rPr>
              <w:fldChar w:fldCharType="begin"/>
            </w:r>
            <w:r w:rsidR="002111F7">
              <w:rPr>
                <w:noProof/>
                <w:webHidden/>
              </w:rPr>
              <w:instrText xml:space="preserve"> PAGEREF _Toc482015695 \h </w:instrText>
            </w:r>
            <w:r w:rsidR="002111F7">
              <w:rPr>
                <w:noProof/>
                <w:webHidden/>
              </w:rPr>
            </w:r>
            <w:r w:rsidR="002111F7">
              <w:rPr>
                <w:noProof/>
                <w:webHidden/>
              </w:rPr>
              <w:fldChar w:fldCharType="separate"/>
            </w:r>
            <w:r w:rsidR="002111F7">
              <w:rPr>
                <w:noProof/>
                <w:webHidden/>
              </w:rPr>
              <w:t>21</w:t>
            </w:r>
            <w:r w:rsidR="002111F7">
              <w:rPr>
                <w:noProof/>
                <w:webHidden/>
              </w:rPr>
              <w:fldChar w:fldCharType="end"/>
            </w:r>
          </w:hyperlink>
        </w:p>
        <w:p w14:paraId="56B0FC10" w14:textId="77777777" w:rsidR="002111F7" w:rsidRDefault="00DC4FFE">
          <w:pPr>
            <w:pStyle w:val="TOC3"/>
            <w:rPr>
              <w:rFonts w:asciiTheme="minorHAnsi" w:eastAsiaTheme="minorEastAsia" w:hAnsiTheme="minorHAnsi" w:cstheme="minorBidi"/>
              <w:noProof/>
              <w:lang w:eastAsia="en-AU"/>
            </w:rPr>
          </w:pPr>
          <w:hyperlink w:anchor="_Toc482015696" w:history="1">
            <w:r w:rsidR="002111F7" w:rsidRPr="005A67C3">
              <w:rPr>
                <w:rStyle w:val="Hyperlink"/>
                <w:noProof/>
              </w:rPr>
              <w:t>Pharmacokinetics</w:t>
            </w:r>
            <w:r w:rsidR="002111F7">
              <w:rPr>
                <w:noProof/>
                <w:webHidden/>
              </w:rPr>
              <w:tab/>
            </w:r>
            <w:r w:rsidR="002111F7">
              <w:rPr>
                <w:noProof/>
                <w:webHidden/>
              </w:rPr>
              <w:fldChar w:fldCharType="begin"/>
            </w:r>
            <w:r w:rsidR="002111F7">
              <w:rPr>
                <w:noProof/>
                <w:webHidden/>
              </w:rPr>
              <w:instrText xml:space="preserve"> PAGEREF _Toc482015696 \h </w:instrText>
            </w:r>
            <w:r w:rsidR="002111F7">
              <w:rPr>
                <w:noProof/>
                <w:webHidden/>
              </w:rPr>
            </w:r>
            <w:r w:rsidR="002111F7">
              <w:rPr>
                <w:noProof/>
                <w:webHidden/>
              </w:rPr>
              <w:fldChar w:fldCharType="separate"/>
            </w:r>
            <w:r w:rsidR="002111F7">
              <w:rPr>
                <w:noProof/>
                <w:webHidden/>
              </w:rPr>
              <w:t>23</w:t>
            </w:r>
            <w:r w:rsidR="002111F7">
              <w:rPr>
                <w:noProof/>
                <w:webHidden/>
              </w:rPr>
              <w:fldChar w:fldCharType="end"/>
            </w:r>
          </w:hyperlink>
        </w:p>
        <w:p w14:paraId="5EC2DB89" w14:textId="77777777" w:rsidR="002111F7" w:rsidRDefault="00DC4FFE">
          <w:pPr>
            <w:pStyle w:val="TOC3"/>
            <w:rPr>
              <w:rFonts w:asciiTheme="minorHAnsi" w:eastAsiaTheme="minorEastAsia" w:hAnsiTheme="minorHAnsi" w:cstheme="minorBidi"/>
              <w:noProof/>
              <w:lang w:eastAsia="en-AU"/>
            </w:rPr>
          </w:pPr>
          <w:hyperlink w:anchor="_Toc482015697" w:history="1">
            <w:r w:rsidR="002111F7" w:rsidRPr="005A67C3">
              <w:rPr>
                <w:rStyle w:val="Hyperlink"/>
                <w:noProof/>
              </w:rPr>
              <w:t>Pharmacodynamics</w:t>
            </w:r>
            <w:r w:rsidR="002111F7">
              <w:rPr>
                <w:noProof/>
                <w:webHidden/>
              </w:rPr>
              <w:tab/>
            </w:r>
            <w:r w:rsidR="002111F7">
              <w:rPr>
                <w:noProof/>
                <w:webHidden/>
              </w:rPr>
              <w:fldChar w:fldCharType="begin"/>
            </w:r>
            <w:r w:rsidR="002111F7">
              <w:rPr>
                <w:noProof/>
                <w:webHidden/>
              </w:rPr>
              <w:instrText xml:space="preserve"> PAGEREF _Toc482015697 \h </w:instrText>
            </w:r>
            <w:r w:rsidR="002111F7">
              <w:rPr>
                <w:noProof/>
                <w:webHidden/>
              </w:rPr>
            </w:r>
            <w:r w:rsidR="002111F7">
              <w:rPr>
                <w:noProof/>
                <w:webHidden/>
              </w:rPr>
              <w:fldChar w:fldCharType="separate"/>
            </w:r>
            <w:r w:rsidR="002111F7">
              <w:rPr>
                <w:noProof/>
                <w:webHidden/>
              </w:rPr>
              <w:t>23</w:t>
            </w:r>
            <w:r w:rsidR="002111F7">
              <w:rPr>
                <w:noProof/>
                <w:webHidden/>
              </w:rPr>
              <w:fldChar w:fldCharType="end"/>
            </w:r>
          </w:hyperlink>
        </w:p>
        <w:p w14:paraId="746CFBEB" w14:textId="77777777" w:rsidR="002111F7" w:rsidRDefault="00DC4FFE">
          <w:pPr>
            <w:pStyle w:val="TOC3"/>
            <w:rPr>
              <w:rFonts w:asciiTheme="minorHAnsi" w:eastAsiaTheme="minorEastAsia" w:hAnsiTheme="minorHAnsi" w:cstheme="minorBidi"/>
              <w:noProof/>
              <w:lang w:eastAsia="en-AU"/>
            </w:rPr>
          </w:pPr>
          <w:hyperlink w:anchor="_Toc482015698" w:history="1">
            <w:r w:rsidR="002111F7" w:rsidRPr="005A67C3">
              <w:rPr>
                <w:rStyle w:val="Hyperlink"/>
                <w:noProof/>
              </w:rPr>
              <w:t>Dosage selection for the pivotal studies</w:t>
            </w:r>
            <w:r w:rsidR="002111F7">
              <w:rPr>
                <w:noProof/>
                <w:webHidden/>
              </w:rPr>
              <w:tab/>
            </w:r>
            <w:r w:rsidR="002111F7">
              <w:rPr>
                <w:noProof/>
                <w:webHidden/>
              </w:rPr>
              <w:fldChar w:fldCharType="begin"/>
            </w:r>
            <w:r w:rsidR="002111F7">
              <w:rPr>
                <w:noProof/>
                <w:webHidden/>
              </w:rPr>
              <w:instrText xml:space="preserve"> PAGEREF _Toc482015698 \h </w:instrText>
            </w:r>
            <w:r w:rsidR="002111F7">
              <w:rPr>
                <w:noProof/>
                <w:webHidden/>
              </w:rPr>
            </w:r>
            <w:r w:rsidR="002111F7">
              <w:rPr>
                <w:noProof/>
                <w:webHidden/>
              </w:rPr>
              <w:fldChar w:fldCharType="separate"/>
            </w:r>
            <w:r w:rsidR="002111F7">
              <w:rPr>
                <w:noProof/>
                <w:webHidden/>
              </w:rPr>
              <w:t>24</w:t>
            </w:r>
            <w:r w:rsidR="002111F7">
              <w:rPr>
                <w:noProof/>
                <w:webHidden/>
              </w:rPr>
              <w:fldChar w:fldCharType="end"/>
            </w:r>
          </w:hyperlink>
        </w:p>
        <w:p w14:paraId="14096ED2" w14:textId="77777777" w:rsidR="002111F7" w:rsidRDefault="00DC4FFE">
          <w:pPr>
            <w:pStyle w:val="TOC3"/>
            <w:rPr>
              <w:rFonts w:asciiTheme="minorHAnsi" w:eastAsiaTheme="minorEastAsia" w:hAnsiTheme="minorHAnsi" w:cstheme="minorBidi"/>
              <w:noProof/>
              <w:lang w:eastAsia="en-AU"/>
            </w:rPr>
          </w:pPr>
          <w:hyperlink w:anchor="_Toc482015699" w:history="1">
            <w:r w:rsidR="002111F7" w:rsidRPr="005A67C3">
              <w:rPr>
                <w:rStyle w:val="Hyperlink"/>
                <w:noProof/>
              </w:rPr>
              <w:t>Efficacy</w:t>
            </w:r>
            <w:r w:rsidR="002111F7">
              <w:rPr>
                <w:noProof/>
                <w:webHidden/>
              </w:rPr>
              <w:tab/>
            </w:r>
            <w:r w:rsidR="002111F7">
              <w:rPr>
                <w:noProof/>
                <w:webHidden/>
              </w:rPr>
              <w:fldChar w:fldCharType="begin"/>
            </w:r>
            <w:r w:rsidR="002111F7">
              <w:rPr>
                <w:noProof/>
                <w:webHidden/>
              </w:rPr>
              <w:instrText xml:space="preserve"> PAGEREF _Toc482015699 \h </w:instrText>
            </w:r>
            <w:r w:rsidR="002111F7">
              <w:rPr>
                <w:noProof/>
                <w:webHidden/>
              </w:rPr>
            </w:r>
            <w:r w:rsidR="002111F7">
              <w:rPr>
                <w:noProof/>
                <w:webHidden/>
              </w:rPr>
              <w:fldChar w:fldCharType="separate"/>
            </w:r>
            <w:r w:rsidR="002111F7">
              <w:rPr>
                <w:noProof/>
                <w:webHidden/>
              </w:rPr>
              <w:t>24</w:t>
            </w:r>
            <w:r w:rsidR="002111F7">
              <w:rPr>
                <w:noProof/>
                <w:webHidden/>
              </w:rPr>
              <w:fldChar w:fldCharType="end"/>
            </w:r>
          </w:hyperlink>
        </w:p>
        <w:p w14:paraId="48ED18EC" w14:textId="77777777" w:rsidR="002111F7" w:rsidRDefault="00DC4FFE">
          <w:pPr>
            <w:pStyle w:val="TOC3"/>
            <w:rPr>
              <w:rFonts w:asciiTheme="minorHAnsi" w:eastAsiaTheme="minorEastAsia" w:hAnsiTheme="minorHAnsi" w:cstheme="minorBidi"/>
              <w:noProof/>
              <w:lang w:eastAsia="en-AU"/>
            </w:rPr>
          </w:pPr>
          <w:hyperlink w:anchor="_Toc482015700" w:history="1">
            <w:r w:rsidR="002111F7" w:rsidRPr="005A67C3">
              <w:rPr>
                <w:rStyle w:val="Hyperlink"/>
                <w:noProof/>
              </w:rPr>
              <w:t>Safety</w:t>
            </w:r>
            <w:r w:rsidR="002111F7">
              <w:rPr>
                <w:noProof/>
                <w:webHidden/>
              </w:rPr>
              <w:tab/>
            </w:r>
            <w:r w:rsidR="002111F7">
              <w:rPr>
                <w:noProof/>
                <w:webHidden/>
              </w:rPr>
              <w:fldChar w:fldCharType="begin"/>
            </w:r>
            <w:r w:rsidR="002111F7">
              <w:rPr>
                <w:noProof/>
                <w:webHidden/>
              </w:rPr>
              <w:instrText xml:space="preserve"> PAGEREF _Toc482015700 \h </w:instrText>
            </w:r>
            <w:r w:rsidR="002111F7">
              <w:rPr>
                <w:noProof/>
                <w:webHidden/>
              </w:rPr>
            </w:r>
            <w:r w:rsidR="002111F7">
              <w:rPr>
                <w:noProof/>
                <w:webHidden/>
              </w:rPr>
              <w:fldChar w:fldCharType="separate"/>
            </w:r>
            <w:r w:rsidR="002111F7">
              <w:rPr>
                <w:noProof/>
                <w:webHidden/>
              </w:rPr>
              <w:t>26</w:t>
            </w:r>
            <w:r w:rsidR="002111F7">
              <w:rPr>
                <w:noProof/>
                <w:webHidden/>
              </w:rPr>
              <w:fldChar w:fldCharType="end"/>
            </w:r>
          </w:hyperlink>
        </w:p>
        <w:p w14:paraId="4AE1FD23" w14:textId="77777777" w:rsidR="002111F7" w:rsidRDefault="00DC4FFE">
          <w:pPr>
            <w:pStyle w:val="TOC3"/>
            <w:rPr>
              <w:rFonts w:asciiTheme="minorHAnsi" w:eastAsiaTheme="minorEastAsia" w:hAnsiTheme="minorHAnsi" w:cstheme="minorBidi"/>
              <w:noProof/>
              <w:lang w:eastAsia="en-AU"/>
            </w:rPr>
          </w:pPr>
          <w:hyperlink w:anchor="_Toc482015701" w:history="1">
            <w:r w:rsidR="002111F7" w:rsidRPr="005A67C3">
              <w:rPr>
                <w:rStyle w:val="Hyperlink"/>
                <w:noProof/>
              </w:rPr>
              <w:t>First round benefit-risk assessment</w:t>
            </w:r>
            <w:r w:rsidR="002111F7">
              <w:rPr>
                <w:noProof/>
                <w:webHidden/>
              </w:rPr>
              <w:tab/>
            </w:r>
            <w:r w:rsidR="002111F7">
              <w:rPr>
                <w:noProof/>
                <w:webHidden/>
              </w:rPr>
              <w:fldChar w:fldCharType="begin"/>
            </w:r>
            <w:r w:rsidR="002111F7">
              <w:rPr>
                <w:noProof/>
                <w:webHidden/>
              </w:rPr>
              <w:instrText xml:space="preserve"> PAGEREF _Toc482015701 \h </w:instrText>
            </w:r>
            <w:r w:rsidR="002111F7">
              <w:rPr>
                <w:noProof/>
                <w:webHidden/>
              </w:rPr>
            </w:r>
            <w:r w:rsidR="002111F7">
              <w:rPr>
                <w:noProof/>
                <w:webHidden/>
              </w:rPr>
              <w:fldChar w:fldCharType="separate"/>
            </w:r>
            <w:r w:rsidR="002111F7">
              <w:rPr>
                <w:noProof/>
                <w:webHidden/>
              </w:rPr>
              <w:t>28</w:t>
            </w:r>
            <w:r w:rsidR="002111F7">
              <w:rPr>
                <w:noProof/>
                <w:webHidden/>
              </w:rPr>
              <w:fldChar w:fldCharType="end"/>
            </w:r>
          </w:hyperlink>
        </w:p>
        <w:p w14:paraId="5AB8F4AA" w14:textId="77777777" w:rsidR="002111F7" w:rsidRDefault="00DC4FFE">
          <w:pPr>
            <w:pStyle w:val="TOC3"/>
            <w:rPr>
              <w:rFonts w:asciiTheme="minorHAnsi" w:eastAsiaTheme="minorEastAsia" w:hAnsiTheme="minorHAnsi" w:cstheme="minorBidi"/>
              <w:noProof/>
              <w:lang w:eastAsia="en-AU"/>
            </w:rPr>
          </w:pPr>
          <w:hyperlink w:anchor="_Toc482015702" w:history="1">
            <w:r w:rsidR="002111F7" w:rsidRPr="005A67C3">
              <w:rPr>
                <w:rStyle w:val="Hyperlink"/>
                <w:noProof/>
              </w:rPr>
              <w:t>First round recommendation regarding authorisation</w:t>
            </w:r>
            <w:r w:rsidR="002111F7">
              <w:rPr>
                <w:noProof/>
                <w:webHidden/>
              </w:rPr>
              <w:tab/>
            </w:r>
            <w:r w:rsidR="002111F7">
              <w:rPr>
                <w:noProof/>
                <w:webHidden/>
              </w:rPr>
              <w:fldChar w:fldCharType="begin"/>
            </w:r>
            <w:r w:rsidR="002111F7">
              <w:rPr>
                <w:noProof/>
                <w:webHidden/>
              </w:rPr>
              <w:instrText xml:space="preserve"> PAGEREF _Toc482015702 \h </w:instrText>
            </w:r>
            <w:r w:rsidR="002111F7">
              <w:rPr>
                <w:noProof/>
                <w:webHidden/>
              </w:rPr>
            </w:r>
            <w:r w:rsidR="002111F7">
              <w:rPr>
                <w:noProof/>
                <w:webHidden/>
              </w:rPr>
              <w:fldChar w:fldCharType="separate"/>
            </w:r>
            <w:r w:rsidR="002111F7">
              <w:rPr>
                <w:noProof/>
                <w:webHidden/>
              </w:rPr>
              <w:t>29</w:t>
            </w:r>
            <w:r w:rsidR="002111F7">
              <w:rPr>
                <w:noProof/>
                <w:webHidden/>
              </w:rPr>
              <w:fldChar w:fldCharType="end"/>
            </w:r>
          </w:hyperlink>
        </w:p>
        <w:p w14:paraId="048F0C81" w14:textId="77777777" w:rsidR="002111F7" w:rsidRDefault="00DC4FFE">
          <w:pPr>
            <w:pStyle w:val="TOC3"/>
            <w:rPr>
              <w:rFonts w:asciiTheme="minorHAnsi" w:eastAsiaTheme="minorEastAsia" w:hAnsiTheme="minorHAnsi" w:cstheme="minorBidi"/>
              <w:noProof/>
              <w:lang w:eastAsia="en-AU"/>
            </w:rPr>
          </w:pPr>
          <w:hyperlink w:anchor="_Toc482015703" w:history="1">
            <w:r w:rsidR="002111F7" w:rsidRPr="005A67C3">
              <w:rPr>
                <w:rStyle w:val="Hyperlink"/>
                <w:noProof/>
              </w:rPr>
              <w:t>Clinical questions</w:t>
            </w:r>
            <w:r w:rsidR="002111F7">
              <w:rPr>
                <w:noProof/>
                <w:webHidden/>
              </w:rPr>
              <w:tab/>
            </w:r>
            <w:r w:rsidR="002111F7">
              <w:rPr>
                <w:noProof/>
                <w:webHidden/>
              </w:rPr>
              <w:fldChar w:fldCharType="begin"/>
            </w:r>
            <w:r w:rsidR="002111F7">
              <w:rPr>
                <w:noProof/>
                <w:webHidden/>
              </w:rPr>
              <w:instrText xml:space="preserve"> PAGEREF _Toc482015703 \h </w:instrText>
            </w:r>
            <w:r w:rsidR="002111F7">
              <w:rPr>
                <w:noProof/>
                <w:webHidden/>
              </w:rPr>
            </w:r>
            <w:r w:rsidR="002111F7">
              <w:rPr>
                <w:noProof/>
                <w:webHidden/>
              </w:rPr>
              <w:fldChar w:fldCharType="separate"/>
            </w:r>
            <w:r w:rsidR="002111F7">
              <w:rPr>
                <w:noProof/>
                <w:webHidden/>
              </w:rPr>
              <w:t>29</w:t>
            </w:r>
            <w:r w:rsidR="002111F7">
              <w:rPr>
                <w:noProof/>
                <w:webHidden/>
              </w:rPr>
              <w:fldChar w:fldCharType="end"/>
            </w:r>
          </w:hyperlink>
        </w:p>
        <w:p w14:paraId="7EDF762B" w14:textId="77777777" w:rsidR="002111F7" w:rsidRDefault="00DC4FFE">
          <w:pPr>
            <w:pStyle w:val="TOC3"/>
            <w:rPr>
              <w:rFonts w:asciiTheme="minorHAnsi" w:eastAsiaTheme="minorEastAsia" w:hAnsiTheme="minorHAnsi" w:cstheme="minorBidi"/>
              <w:noProof/>
              <w:lang w:eastAsia="en-AU"/>
            </w:rPr>
          </w:pPr>
          <w:hyperlink w:anchor="_Toc482015704" w:history="1">
            <w:r w:rsidR="002111F7" w:rsidRPr="005A67C3">
              <w:rPr>
                <w:rStyle w:val="Hyperlink"/>
                <w:noProof/>
              </w:rPr>
              <w:t>Second round evaluation of clinical data submitted in response to questions</w:t>
            </w:r>
            <w:r w:rsidR="002111F7">
              <w:rPr>
                <w:noProof/>
                <w:webHidden/>
              </w:rPr>
              <w:tab/>
            </w:r>
            <w:r w:rsidR="002111F7">
              <w:rPr>
                <w:noProof/>
                <w:webHidden/>
              </w:rPr>
              <w:fldChar w:fldCharType="begin"/>
            </w:r>
            <w:r w:rsidR="002111F7">
              <w:rPr>
                <w:noProof/>
                <w:webHidden/>
              </w:rPr>
              <w:instrText xml:space="preserve"> PAGEREF _Toc482015704 \h </w:instrText>
            </w:r>
            <w:r w:rsidR="002111F7">
              <w:rPr>
                <w:noProof/>
                <w:webHidden/>
              </w:rPr>
            </w:r>
            <w:r w:rsidR="002111F7">
              <w:rPr>
                <w:noProof/>
                <w:webHidden/>
              </w:rPr>
              <w:fldChar w:fldCharType="separate"/>
            </w:r>
            <w:r w:rsidR="002111F7">
              <w:rPr>
                <w:noProof/>
                <w:webHidden/>
              </w:rPr>
              <w:t>29</w:t>
            </w:r>
            <w:r w:rsidR="002111F7">
              <w:rPr>
                <w:noProof/>
                <w:webHidden/>
              </w:rPr>
              <w:fldChar w:fldCharType="end"/>
            </w:r>
          </w:hyperlink>
        </w:p>
        <w:p w14:paraId="5DC5507F" w14:textId="77777777" w:rsidR="002111F7" w:rsidRDefault="00DC4FFE">
          <w:pPr>
            <w:pStyle w:val="TOC3"/>
            <w:rPr>
              <w:rFonts w:asciiTheme="minorHAnsi" w:eastAsiaTheme="minorEastAsia" w:hAnsiTheme="minorHAnsi" w:cstheme="minorBidi"/>
              <w:noProof/>
              <w:lang w:eastAsia="en-AU"/>
            </w:rPr>
          </w:pPr>
          <w:hyperlink w:anchor="_Toc482015705" w:history="1">
            <w:r w:rsidR="002111F7" w:rsidRPr="005A67C3">
              <w:rPr>
                <w:rStyle w:val="Hyperlink"/>
                <w:noProof/>
              </w:rPr>
              <w:t>Second round benefit-risk assessment</w:t>
            </w:r>
            <w:r w:rsidR="002111F7">
              <w:rPr>
                <w:noProof/>
                <w:webHidden/>
              </w:rPr>
              <w:tab/>
            </w:r>
            <w:r w:rsidR="002111F7">
              <w:rPr>
                <w:noProof/>
                <w:webHidden/>
              </w:rPr>
              <w:fldChar w:fldCharType="begin"/>
            </w:r>
            <w:r w:rsidR="002111F7">
              <w:rPr>
                <w:noProof/>
                <w:webHidden/>
              </w:rPr>
              <w:instrText xml:space="preserve"> PAGEREF _Toc482015705 \h </w:instrText>
            </w:r>
            <w:r w:rsidR="002111F7">
              <w:rPr>
                <w:noProof/>
                <w:webHidden/>
              </w:rPr>
            </w:r>
            <w:r w:rsidR="002111F7">
              <w:rPr>
                <w:noProof/>
                <w:webHidden/>
              </w:rPr>
              <w:fldChar w:fldCharType="separate"/>
            </w:r>
            <w:r w:rsidR="002111F7">
              <w:rPr>
                <w:noProof/>
                <w:webHidden/>
              </w:rPr>
              <w:t>30</w:t>
            </w:r>
            <w:r w:rsidR="002111F7">
              <w:rPr>
                <w:noProof/>
                <w:webHidden/>
              </w:rPr>
              <w:fldChar w:fldCharType="end"/>
            </w:r>
          </w:hyperlink>
        </w:p>
        <w:p w14:paraId="75AE0228" w14:textId="77777777" w:rsidR="002111F7" w:rsidRDefault="00DC4FFE">
          <w:pPr>
            <w:pStyle w:val="TOC3"/>
            <w:rPr>
              <w:rFonts w:asciiTheme="minorHAnsi" w:eastAsiaTheme="minorEastAsia" w:hAnsiTheme="minorHAnsi" w:cstheme="minorBidi"/>
              <w:noProof/>
              <w:lang w:eastAsia="en-AU"/>
            </w:rPr>
          </w:pPr>
          <w:hyperlink w:anchor="_Toc482015706" w:history="1">
            <w:r w:rsidR="002111F7" w:rsidRPr="005A67C3">
              <w:rPr>
                <w:rStyle w:val="Hyperlink"/>
                <w:noProof/>
              </w:rPr>
              <w:t>Second round recommendation regarding authorisation</w:t>
            </w:r>
            <w:r w:rsidR="002111F7">
              <w:rPr>
                <w:noProof/>
                <w:webHidden/>
              </w:rPr>
              <w:tab/>
            </w:r>
            <w:r w:rsidR="002111F7">
              <w:rPr>
                <w:noProof/>
                <w:webHidden/>
              </w:rPr>
              <w:fldChar w:fldCharType="begin"/>
            </w:r>
            <w:r w:rsidR="002111F7">
              <w:rPr>
                <w:noProof/>
                <w:webHidden/>
              </w:rPr>
              <w:instrText xml:space="preserve"> PAGEREF _Toc482015706 \h </w:instrText>
            </w:r>
            <w:r w:rsidR="002111F7">
              <w:rPr>
                <w:noProof/>
                <w:webHidden/>
              </w:rPr>
            </w:r>
            <w:r w:rsidR="002111F7">
              <w:rPr>
                <w:noProof/>
                <w:webHidden/>
              </w:rPr>
              <w:fldChar w:fldCharType="separate"/>
            </w:r>
            <w:r w:rsidR="002111F7">
              <w:rPr>
                <w:noProof/>
                <w:webHidden/>
              </w:rPr>
              <w:t>30</w:t>
            </w:r>
            <w:r w:rsidR="002111F7">
              <w:rPr>
                <w:noProof/>
                <w:webHidden/>
              </w:rPr>
              <w:fldChar w:fldCharType="end"/>
            </w:r>
          </w:hyperlink>
        </w:p>
        <w:p w14:paraId="2F95B98F" w14:textId="77777777" w:rsidR="002111F7" w:rsidRDefault="00DC4FFE">
          <w:pPr>
            <w:pStyle w:val="TOC2"/>
            <w:rPr>
              <w:rFonts w:asciiTheme="minorHAnsi" w:eastAsiaTheme="minorEastAsia" w:hAnsiTheme="minorHAnsi" w:cstheme="minorBidi"/>
              <w:b w:val="0"/>
              <w:noProof/>
              <w:sz w:val="22"/>
              <w:lang w:eastAsia="en-AU"/>
            </w:rPr>
          </w:pPr>
          <w:hyperlink w:anchor="_Toc482015707" w:history="1">
            <w:r w:rsidR="002111F7" w:rsidRPr="005A67C3">
              <w:rPr>
                <w:rStyle w:val="Hyperlink"/>
                <w:noProof/>
              </w:rPr>
              <w:t>V. Pharmacovigilance findings</w:t>
            </w:r>
            <w:r w:rsidR="002111F7">
              <w:rPr>
                <w:noProof/>
                <w:webHidden/>
              </w:rPr>
              <w:tab/>
            </w:r>
            <w:r w:rsidR="002111F7">
              <w:rPr>
                <w:noProof/>
                <w:webHidden/>
              </w:rPr>
              <w:fldChar w:fldCharType="begin"/>
            </w:r>
            <w:r w:rsidR="002111F7">
              <w:rPr>
                <w:noProof/>
                <w:webHidden/>
              </w:rPr>
              <w:instrText xml:space="preserve"> PAGEREF _Toc482015707 \h </w:instrText>
            </w:r>
            <w:r w:rsidR="002111F7">
              <w:rPr>
                <w:noProof/>
                <w:webHidden/>
              </w:rPr>
            </w:r>
            <w:r w:rsidR="002111F7">
              <w:rPr>
                <w:noProof/>
                <w:webHidden/>
              </w:rPr>
              <w:fldChar w:fldCharType="separate"/>
            </w:r>
            <w:r w:rsidR="002111F7">
              <w:rPr>
                <w:noProof/>
                <w:webHidden/>
              </w:rPr>
              <w:t>30</w:t>
            </w:r>
            <w:r w:rsidR="002111F7">
              <w:rPr>
                <w:noProof/>
                <w:webHidden/>
              </w:rPr>
              <w:fldChar w:fldCharType="end"/>
            </w:r>
          </w:hyperlink>
        </w:p>
        <w:p w14:paraId="1DFC748C" w14:textId="77777777" w:rsidR="002111F7" w:rsidRDefault="00DC4FFE">
          <w:pPr>
            <w:pStyle w:val="TOC3"/>
            <w:rPr>
              <w:rFonts w:asciiTheme="minorHAnsi" w:eastAsiaTheme="minorEastAsia" w:hAnsiTheme="minorHAnsi" w:cstheme="minorBidi"/>
              <w:noProof/>
              <w:lang w:eastAsia="en-AU"/>
            </w:rPr>
          </w:pPr>
          <w:hyperlink w:anchor="_Toc482015708" w:history="1">
            <w:r w:rsidR="002111F7" w:rsidRPr="005A67C3">
              <w:rPr>
                <w:rStyle w:val="Hyperlink"/>
                <w:noProof/>
                <w:lang w:eastAsia="en-AU"/>
              </w:rPr>
              <w:t>Risk management plan</w:t>
            </w:r>
            <w:r w:rsidR="002111F7">
              <w:rPr>
                <w:noProof/>
                <w:webHidden/>
              </w:rPr>
              <w:tab/>
            </w:r>
            <w:r w:rsidR="002111F7">
              <w:rPr>
                <w:noProof/>
                <w:webHidden/>
              </w:rPr>
              <w:fldChar w:fldCharType="begin"/>
            </w:r>
            <w:r w:rsidR="002111F7">
              <w:rPr>
                <w:noProof/>
                <w:webHidden/>
              </w:rPr>
              <w:instrText xml:space="preserve"> PAGEREF _Toc482015708 \h </w:instrText>
            </w:r>
            <w:r w:rsidR="002111F7">
              <w:rPr>
                <w:noProof/>
                <w:webHidden/>
              </w:rPr>
            </w:r>
            <w:r w:rsidR="002111F7">
              <w:rPr>
                <w:noProof/>
                <w:webHidden/>
              </w:rPr>
              <w:fldChar w:fldCharType="separate"/>
            </w:r>
            <w:r w:rsidR="002111F7">
              <w:rPr>
                <w:noProof/>
                <w:webHidden/>
              </w:rPr>
              <w:t>30</w:t>
            </w:r>
            <w:r w:rsidR="002111F7">
              <w:rPr>
                <w:noProof/>
                <w:webHidden/>
              </w:rPr>
              <w:fldChar w:fldCharType="end"/>
            </w:r>
          </w:hyperlink>
        </w:p>
        <w:p w14:paraId="790FF147" w14:textId="77777777" w:rsidR="002111F7" w:rsidRDefault="00DC4FFE">
          <w:pPr>
            <w:pStyle w:val="TOC2"/>
            <w:rPr>
              <w:rFonts w:asciiTheme="minorHAnsi" w:eastAsiaTheme="minorEastAsia" w:hAnsiTheme="minorHAnsi" w:cstheme="minorBidi"/>
              <w:b w:val="0"/>
              <w:noProof/>
              <w:sz w:val="22"/>
              <w:lang w:eastAsia="en-AU"/>
            </w:rPr>
          </w:pPr>
          <w:hyperlink w:anchor="_Toc482015709" w:history="1">
            <w:r w:rsidR="002111F7" w:rsidRPr="005A67C3">
              <w:rPr>
                <w:rStyle w:val="Hyperlink"/>
                <w:noProof/>
              </w:rPr>
              <w:t>VI. Overall conclusion and risk/benefit assessment</w:t>
            </w:r>
            <w:r w:rsidR="002111F7">
              <w:rPr>
                <w:noProof/>
                <w:webHidden/>
              </w:rPr>
              <w:tab/>
            </w:r>
            <w:r w:rsidR="002111F7">
              <w:rPr>
                <w:noProof/>
                <w:webHidden/>
              </w:rPr>
              <w:fldChar w:fldCharType="begin"/>
            </w:r>
            <w:r w:rsidR="002111F7">
              <w:rPr>
                <w:noProof/>
                <w:webHidden/>
              </w:rPr>
              <w:instrText xml:space="preserve"> PAGEREF _Toc482015709 \h </w:instrText>
            </w:r>
            <w:r w:rsidR="002111F7">
              <w:rPr>
                <w:noProof/>
                <w:webHidden/>
              </w:rPr>
            </w:r>
            <w:r w:rsidR="002111F7">
              <w:rPr>
                <w:noProof/>
                <w:webHidden/>
              </w:rPr>
              <w:fldChar w:fldCharType="separate"/>
            </w:r>
            <w:r w:rsidR="002111F7">
              <w:rPr>
                <w:noProof/>
                <w:webHidden/>
              </w:rPr>
              <w:t>45</w:t>
            </w:r>
            <w:r w:rsidR="002111F7">
              <w:rPr>
                <w:noProof/>
                <w:webHidden/>
              </w:rPr>
              <w:fldChar w:fldCharType="end"/>
            </w:r>
          </w:hyperlink>
        </w:p>
        <w:p w14:paraId="73A82980" w14:textId="77777777" w:rsidR="002111F7" w:rsidRDefault="00DC4FFE">
          <w:pPr>
            <w:pStyle w:val="TOC3"/>
            <w:rPr>
              <w:rFonts w:asciiTheme="minorHAnsi" w:eastAsiaTheme="minorEastAsia" w:hAnsiTheme="minorHAnsi" w:cstheme="minorBidi"/>
              <w:noProof/>
              <w:lang w:eastAsia="en-AU"/>
            </w:rPr>
          </w:pPr>
          <w:hyperlink w:anchor="_Toc482015710" w:history="1">
            <w:r w:rsidR="002111F7" w:rsidRPr="005A67C3">
              <w:rPr>
                <w:rStyle w:val="Hyperlink"/>
                <w:noProof/>
              </w:rPr>
              <w:t>Quality</w:t>
            </w:r>
            <w:r w:rsidR="002111F7">
              <w:rPr>
                <w:noProof/>
                <w:webHidden/>
              </w:rPr>
              <w:tab/>
            </w:r>
            <w:r w:rsidR="002111F7">
              <w:rPr>
                <w:noProof/>
                <w:webHidden/>
              </w:rPr>
              <w:fldChar w:fldCharType="begin"/>
            </w:r>
            <w:r w:rsidR="002111F7">
              <w:rPr>
                <w:noProof/>
                <w:webHidden/>
              </w:rPr>
              <w:instrText xml:space="preserve"> PAGEREF _Toc482015710 \h </w:instrText>
            </w:r>
            <w:r w:rsidR="002111F7">
              <w:rPr>
                <w:noProof/>
                <w:webHidden/>
              </w:rPr>
            </w:r>
            <w:r w:rsidR="002111F7">
              <w:rPr>
                <w:noProof/>
                <w:webHidden/>
              </w:rPr>
              <w:fldChar w:fldCharType="separate"/>
            </w:r>
            <w:r w:rsidR="002111F7">
              <w:rPr>
                <w:noProof/>
                <w:webHidden/>
              </w:rPr>
              <w:t>46</w:t>
            </w:r>
            <w:r w:rsidR="002111F7">
              <w:rPr>
                <w:noProof/>
                <w:webHidden/>
              </w:rPr>
              <w:fldChar w:fldCharType="end"/>
            </w:r>
          </w:hyperlink>
        </w:p>
        <w:p w14:paraId="154D0552" w14:textId="77777777" w:rsidR="002111F7" w:rsidRDefault="00DC4FFE">
          <w:pPr>
            <w:pStyle w:val="TOC3"/>
            <w:rPr>
              <w:rFonts w:asciiTheme="minorHAnsi" w:eastAsiaTheme="minorEastAsia" w:hAnsiTheme="minorHAnsi" w:cstheme="minorBidi"/>
              <w:noProof/>
              <w:lang w:eastAsia="en-AU"/>
            </w:rPr>
          </w:pPr>
          <w:hyperlink w:anchor="_Toc482015711" w:history="1">
            <w:r w:rsidR="002111F7" w:rsidRPr="005A67C3">
              <w:rPr>
                <w:rStyle w:val="Hyperlink"/>
                <w:noProof/>
              </w:rPr>
              <w:t>Nonclinical</w:t>
            </w:r>
            <w:r w:rsidR="002111F7">
              <w:rPr>
                <w:noProof/>
                <w:webHidden/>
              </w:rPr>
              <w:tab/>
            </w:r>
            <w:r w:rsidR="002111F7">
              <w:rPr>
                <w:noProof/>
                <w:webHidden/>
              </w:rPr>
              <w:fldChar w:fldCharType="begin"/>
            </w:r>
            <w:r w:rsidR="002111F7">
              <w:rPr>
                <w:noProof/>
                <w:webHidden/>
              </w:rPr>
              <w:instrText xml:space="preserve"> PAGEREF _Toc482015711 \h </w:instrText>
            </w:r>
            <w:r w:rsidR="002111F7">
              <w:rPr>
                <w:noProof/>
                <w:webHidden/>
              </w:rPr>
            </w:r>
            <w:r w:rsidR="002111F7">
              <w:rPr>
                <w:noProof/>
                <w:webHidden/>
              </w:rPr>
              <w:fldChar w:fldCharType="separate"/>
            </w:r>
            <w:r w:rsidR="002111F7">
              <w:rPr>
                <w:noProof/>
                <w:webHidden/>
              </w:rPr>
              <w:t>46</w:t>
            </w:r>
            <w:r w:rsidR="002111F7">
              <w:rPr>
                <w:noProof/>
                <w:webHidden/>
              </w:rPr>
              <w:fldChar w:fldCharType="end"/>
            </w:r>
          </w:hyperlink>
        </w:p>
        <w:p w14:paraId="46D1CAF8" w14:textId="77777777" w:rsidR="002111F7" w:rsidRDefault="00DC4FFE">
          <w:pPr>
            <w:pStyle w:val="TOC3"/>
            <w:rPr>
              <w:rFonts w:asciiTheme="minorHAnsi" w:eastAsiaTheme="minorEastAsia" w:hAnsiTheme="minorHAnsi" w:cstheme="minorBidi"/>
              <w:noProof/>
              <w:lang w:eastAsia="en-AU"/>
            </w:rPr>
          </w:pPr>
          <w:hyperlink w:anchor="_Toc482015712" w:history="1">
            <w:r w:rsidR="002111F7" w:rsidRPr="005A67C3">
              <w:rPr>
                <w:rStyle w:val="Hyperlink"/>
                <w:noProof/>
              </w:rPr>
              <w:t>Clinical</w:t>
            </w:r>
            <w:r w:rsidR="002111F7">
              <w:rPr>
                <w:noProof/>
                <w:webHidden/>
              </w:rPr>
              <w:tab/>
            </w:r>
            <w:r w:rsidR="002111F7">
              <w:rPr>
                <w:noProof/>
                <w:webHidden/>
              </w:rPr>
              <w:fldChar w:fldCharType="begin"/>
            </w:r>
            <w:r w:rsidR="002111F7">
              <w:rPr>
                <w:noProof/>
                <w:webHidden/>
              </w:rPr>
              <w:instrText xml:space="preserve"> PAGEREF _Toc482015712 \h </w:instrText>
            </w:r>
            <w:r w:rsidR="002111F7">
              <w:rPr>
                <w:noProof/>
                <w:webHidden/>
              </w:rPr>
            </w:r>
            <w:r w:rsidR="002111F7">
              <w:rPr>
                <w:noProof/>
                <w:webHidden/>
              </w:rPr>
              <w:fldChar w:fldCharType="separate"/>
            </w:r>
            <w:r w:rsidR="002111F7">
              <w:rPr>
                <w:noProof/>
                <w:webHidden/>
              </w:rPr>
              <w:t>46</w:t>
            </w:r>
            <w:r w:rsidR="002111F7">
              <w:rPr>
                <w:noProof/>
                <w:webHidden/>
              </w:rPr>
              <w:fldChar w:fldCharType="end"/>
            </w:r>
          </w:hyperlink>
        </w:p>
        <w:p w14:paraId="79645E10" w14:textId="77777777" w:rsidR="002111F7" w:rsidRDefault="00DC4FFE">
          <w:pPr>
            <w:pStyle w:val="TOC3"/>
            <w:rPr>
              <w:rFonts w:asciiTheme="minorHAnsi" w:eastAsiaTheme="minorEastAsia" w:hAnsiTheme="minorHAnsi" w:cstheme="minorBidi"/>
              <w:noProof/>
              <w:lang w:eastAsia="en-AU"/>
            </w:rPr>
          </w:pPr>
          <w:hyperlink w:anchor="_Toc482015713" w:history="1">
            <w:r w:rsidR="002111F7" w:rsidRPr="005A67C3">
              <w:rPr>
                <w:rStyle w:val="Hyperlink"/>
                <w:noProof/>
                <w:lang w:eastAsia="en-AU"/>
              </w:rPr>
              <w:t>Risk management plan</w:t>
            </w:r>
            <w:r w:rsidR="002111F7">
              <w:rPr>
                <w:noProof/>
                <w:webHidden/>
              </w:rPr>
              <w:tab/>
            </w:r>
            <w:r w:rsidR="002111F7">
              <w:rPr>
                <w:noProof/>
                <w:webHidden/>
              </w:rPr>
              <w:fldChar w:fldCharType="begin"/>
            </w:r>
            <w:r w:rsidR="002111F7">
              <w:rPr>
                <w:noProof/>
                <w:webHidden/>
              </w:rPr>
              <w:instrText xml:space="preserve"> PAGEREF _Toc482015713 \h </w:instrText>
            </w:r>
            <w:r w:rsidR="002111F7">
              <w:rPr>
                <w:noProof/>
                <w:webHidden/>
              </w:rPr>
            </w:r>
            <w:r w:rsidR="002111F7">
              <w:rPr>
                <w:noProof/>
                <w:webHidden/>
              </w:rPr>
              <w:fldChar w:fldCharType="separate"/>
            </w:r>
            <w:r w:rsidR="002111F7">
              <w:rPr>
                <w:noProof/>
                <w:webHidden/>
              </w:rPr>
              <w:t>48</w:t>
            </w:r>
            <w:r w:rsidR="002111F7">
              <w:rPr>
                <w:noProof/>
                <w:webHidden/>
              </w:rPr>
              <w:fldChar w:fldCharType="end"/>
            </w:r>
          </w:hyperlink>
        </w:p>
        <w:p w14:paraId="1A798114" w14:textId="77777777" w:rsidR="002111F7" w:rsidRDefault="00DC4FFE">
          <w:pPr>
            <w:pStyle w:val="TOC3"/>
            <w:rPr>
              <w:rFonts w:asciiTheme="minorHAnsi" w:eastAsiaTheme="minorEastAsia" w:hAnsiTheme="minorHAnsi" w:cstheme="minorBidi"/>
              <w:noProof/>
              <w:lang w:eastAsia="en-AU"/>
            </w:rPr>
          </w:pPr>
          <w:hyperlink w:anchor="_Toc482015714" w:history="1">
            <w:r w:rsidR="002111F7" w:rsidRPr="005A67C3">
              <w:rPr>
                <w:rStyle w:val="Hyperlink"/>
                <w:noProof/>
              </w:rPr>
              <w:t>Risk-benefit analysis</w:t>
            </w:r>
            <w:r w:rsidR="002111F7">
              <w:rPr>
                <w:noProof/>
                <w:webHidden/>
              </w:rPr>
              <w:tab/>
            </w:r>
            <w:r w:rsidR="002111F7">
              <w:rPr>
                <w:noProof/>
                <w:webHidden/>
              </w:rPr>
              <w:fldChar w:fldCharType="begin"/>
            </w:r>
            <w:r w:rsidR="002111F7">
              <w:rPr>
                <w:noProof/>
                <w:webHidden/>
              </w:rPr>
              <w:instrText xml:space="preserve"> PAGEREF _Toc482015714 \h </w:instrText>
            </w:r>
            <w:r w:rsidR="002111F7">
              <w:rPr>
                <w:noProof/>
                <w:webHidden/>
              </w:rPr>
            </w:r>
            <w:r w:rsidR="002111F7">
              <w:rPr>
                <w:noProof/>
                <w:webHidden/>
              </w:rPr>
              <w:fldChar w:fldCharType="separate"/>
            </w:r>
            <w:r w:rsidR="002111F7">
              <w:rPr>
                <w:noProof/>
                <w:webHidden/>
              </w:rPr>
              <w:t>50</w:t>
            </w:r>
            <w:r w:rsidR="002111F7">
              <w:rPr>
                <w:noProof/>
                <w:webHidden/>
              </w:rPr>
              <w:fldChar w:fldCharType="end"/>
            </w:r>
          </w:hyperlink>
        </w:p>
        <w:p w14:paraId="42599A15" w14:textId="77777777" w:rsidR="002111F7" w:rsidRDefault="00DC4FFE">
          <w:pPr>
            <w:pStyle w:val="TOC3"/>
            <w:rPr>
              <w:rFonts w:asciiTheme="minorHAnsi" w:eastAsiaTheme="minorEastAsia" w:hAnsiTheme="minorHAnsi" w:cstheme="minorBidi"/>
              <w:noProof/>
              <w:lang w:eastAsia="en-AU"/>
            </w:rPr>
          </w:pPr>
          <w:hyperlink w:anchor="_Toc482015715" w:history="1">
            <w:r w:rsidR="002111F7" w:rsidRPr="005A67C3">
              <w:rPr>
                <w:rStyle w:val="Hyperlink"/>
                <w:noProof/>
              </w:rPr>
              <w:t>Outcome</w:t>
            </w:r>
            <w:r w:rsidR="002111F7">
              <w:rPr>
                <w:noProof/>
                <w:webHidden/>
              </w:rPr>
              <w:tab/>
            </w:r>
            <w:r w:rsidR="002111F7">
              <w:rPr>
                <w:noProof/>
                <w:webHidden/>
              </w:rPr>
              <w:fldChar w:fldCharType="begin"/>
            </w:r>
            <w:r w:rsidR="002111F7">
              <w:rPr>
                <w:noProof/>
                <w:webHidden/>
              </w:rPr>
              <w:instrText xml:space="preserve"> PAGEREF _Toc482015715 \h </w:instrText>
            </w:r>
            <w:r w:rsidR="002111F7">
              <w:rPr>
                <w:noProof/>
                <w:webHidden/>
              </w:rPr>
            </w:r>
            <w:r w:rsidR="002111F7">
              <w:rPr>
                <w:noProof/>
                <w:webHidden/>
              </w:rPr>
              <w:fldChar w:fldCharType="separate"/>
            </w:r>
            <w:r w:rsidR="002111F7">
              <w:rPr>
                <w:noProof/>
                <w:webHidden/>
              </w:rPr>
              <w:t>53</w:t>
            </w:r>
            <w:r w:rsidR="002111F7">
              <w:rPr>
                <w:noProof/>
                <w:webHidden/>
              </w:rPr>
              <w:fldChar w:fldCharType="end"/>
            </w:r>
          </w:hyperlink>
        </w:p>
        <w:p w14:paraId="0278EBDA" w14:textId="77777777" w:rsidR="002111F7" w:rsidRDefault="00DC4FFE">
          <w:pPr>
            <w:pStyle w:val="TOC2"/>
            <w:rPr>
              <w:rFonts w:asciiTheme="minorHAnsi" w:eastAsiaTheme="minorEastAsia" w:hAnsiTheme="minorHAnsi" w:cstheme="minorBidi"/>
              <w:b w:val="0"/>
              <w:noProof/>
              <w:sz w:val="22"/>
              <w:lang w:eastAsia="en-AU"/>
            </w:rPr>
          </w:pPr>
          <w:hyperlink w:anchor="_Toc482015716" w:history="1">
            <w:r w:rsidR="002111F7" w:rsidRPr="005A67C3">
              <w:rPr>
                <w:rStyle w:val="Hyperlink"/>
                <w:noProof/>
              </w:rPr>
              <w:t>Attachment 1. Product Information</w:t>
            </w:r>
            <w:r w:rsidR="002111F7">
              <w:rPr>
                <w:noProof/>
                <w:webHidden/>
              </w:rPr>
              <w:tab/>
            </w:r>
            <w:r w:rsidR="002111F7">
              <w:rPr>
                <w:noProof/>
                <w:webHidden/>
              </w:rPr>
              <w:fldChar w:fldCharType="begin"/>
            </w:r>
            <w:r w:rsidR="002111F7">
              <w:rPr>
                <w:noProof/>
                <w:webHidden/>
              </w:rPr>
              <w:instrText xml:space="preserve"> PAGEREF _Toc482015716 \h </w:instrText>
            </w:r>
            <w:r w:rsidR="002111F7">
              <w:rPr>
                <w:noProof/>
                <w:webHidden/>
              </w:rPr>
            </w:r>
            <w:r w:rsidR="002111F7">
              <w:rPr>
                <w:noProof/>
                <w:webHidden/>
              </w:rPr>
              <w:fldChar w:fldCharType="separate"/>
            </w:r>
            <w:r w:rsidR="002111F7">
              <w:rPr>
                <w:noProof/>
                <w:webHidden/>
              </w:rPr>
              <w:t>54</w:t>
            </w:r>
            <w:r w:rsidR="002111F7">
              <w:rPr>
                <w:noProof/>
                <w:webHidden/>
              </w:rPr>
              <w:fldChar w:fldCharType="end"/>
            </w:r>
          </w:hyperlink>
        </w:p>
        <w:p w14:paraId="73FCC3F6" w14:textId="77777777" w:rsidR="002111F7" w:rsidRDefault="00DC4FFE">
          <w:pPr>
            <w:pStyle w:val="TOC2"/>
            <w:rPr>
              <w:rFonts w:asciiTheme="minorHAnsi" w:eastAsiaTheme="minorEastAsia" w:hAnsiTheme="minorHAnsi" w:cstheme="minorBidi"/>
              <w:b w:val="0"/>
              <w:noProof/>
              <w:sz w:val="22"/>
              <w:lang w:eastAsia="en-AU"/>
            </w:rPr>
          </w:pPr>
          <w:hyperlink w:anchor="_Toc482015717" w:history="1">
            <w:r w:rsidR="002111F7" w:rsidRPr="005A67C3">
              <w:rPr>
                <w:rStyle w:val="Hyperlink"/>
                <w:noProof/>
                <w:lang w:eastAsia="en-AU"/>
              </w:rPr>
              <w:t>Attachment 2. Extract from the Clinical Evaluation Report</w:t>
            </w:r>
            <w:r w:rsidR="002111F7">
              <w:rPr>
                <w:noProof/>
                <w:webHidden/>
              </w:rPr>
              <w:tab/>
            </w:r>
            <w:r w:rsidR="002111F7">
              <w:rPr>
                <w:noProof/>
                <w:webHidden/>
              </w:rPr>
              <w:fldChar w:fldCharType="begin"/>
            </w:r>
            <w:r w:rsidR="002111F7">
              <w:rPr>
                <w:noProof/>
                <w:webHidden/>
              </w:rPr>
              <w:instrText xml:space="preserve"> PAGEREF _Toc482015717 \h </w:instrText>
            </w:r>
            <w:r w:rsidR="002111F7">
              <w:rPr>
                <w:noProof/>
                <w:webHidden/>
              </w:rPr>
            </w:r>
            <w:r w:rsidR="002111F7">
              <w:rPr>
                <w:noProof/>
                <w:webHidden/>
              </w:rPr>
              <w:fldChar w:fldCharType="separate"/>
            </w:r>
            <w:r w:rsidR="002111F7">
              <w:rPr>
                <w:noProof/>
                <w:webHidden/>
              </w:rPr>
              <w:t>54</w:t>
            </w:r>
            <w:r w:rsidR="002111F7">
              <w:rPr>
                <w:noProof/>
                <w:webHidden/>
              </w:rPr>
              <w:fldChar w:fldCharType="end"/>
            </w:r>
          </w:hyperlink>
        </w:p>
        <w:p w14:paraId="270DBF6B" w14:textId="77777777" w:rsidR="003A7F6C" w:rsidRPr="00B811C6" w:rsidRDefault="00DB6124" w:rsidP="00B811C6">
          <w:pPr>
            <w:pStyle w:val="TOC2"/>
          </w:pPr>
          <w:r>
            <w:fldChar w:fldCharType="end"/>
          </w:r>
        </w:p>
      </w:sdtContent>
    </w:sdt>
    <w:bookmarkStart w:id="3" w:name="_Toc314842482" w:displacedByCustomXml="prev"/>
    <w:p w14:paraId="557540FD" w14:textId="77777777" w:rsidR="00FD119B" w:rsidRDefault="00FD119B">
      <w:pPr>
        <w:spacing w:before="0" w:after="200" w:line="0" w:lineRule="auto"/>
      </w:pPr>
      <w:r>
        <w:br w:type="page"/>
      </w:r>
    </w:p>
    <w:p w14:paraId="0E4B10F1" w14:textId="77777777"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482015675"/>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FD119B" w:rsidRPr="00FD119B" w14:paraId="1449721D"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70D597A8" w14:textId="77777777"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14:paraId="4D280B61" w14:textId="77777777" w:rsidR="00FD119B" w:rsidRPr="00FD119B" w:rsidRDefault="00FD119B" w:rsidP="00FD119B">
            <w:pPr>
              <w:keepNext w:val="0"/>
              <w:ind w:left="0" w:right="0"/>
              <w:rPr>
                <w:szCs w:val="22"/>
                <w:lang w:eastAsia="en-US"/>
              </w:rPr>
            </w:pPr>
            <w:r w:rsidRPr="00FD119B">
              <w:rPr>
                <w:szCs w:val="22"/>
                <w:lang w:eastAsia="en-US"/>
              </w:rPr>
              <w:t>Meaning</w:t>
            </w:r>
          </w:p>
        </w:tc>
      </w:tr>
      <w:tr w:rsidR="008417FB" w:rsidRPr="00FD119B" w14:paraId="3404DD42" w14:textId="77777777" w:rsidTr="00FD119B">
        <w:tc>
          <w:tcPr>
            <w:tcW w:w="1809" w:type="dxa"/>
          </w:tcPr>
          <w:p w14:paraId="2A2B5CB7" w14:textId="77777777" w:rsidR="008417FB" w:rsidRDefault="008417FB" w:rsidP="00FD119B">
            <w:r>
              <w:t>ACPM</w:t>
            </w:r>
          </w:p>
        </w:tc>
        <w:tc>
          <w:tcPr>
            <w:tcW w:w="6911" w:type="dxa"/>
          </w:tcPr>
          <w:p w14:paraId="5C90A488" w14:textId="77777777" w:rsidR="008417FB" w:rsidRDefault="008417FB" w:rsidP="00FD119B">
            <w:r w:rsidRPr="00200D78">
              <w:rPr>
                <w:lang w:val="en-GB"/>
              </w:rPr>
              <w:t>Advisory Committee on Prescription Medicines</w:t>
            </w:r>
          </w:p>
        </w:tc>
      </w:tr>
      <w:tr w:rsidR="008417FB" w:rsidRPr="00FD119B" w14:paraId="49DA15BF" w14:textId="77777777" w:rsidTr="00FD119B">
        <w:tc>
          <w:tcPr>
            <w:tcW w:w="1809" w:type="dxa"/>
          </w:tcPr>
          <w:p w14:paraId="39A8FD60" w14:textId="77777777" w:rsidR="008417FB" w:rsidRDefault="008417FB" w:rsidP="00FD119B">
            <w:r>
              <w:t>ADR</w:t>
            </w:r>
          </w:p>
        </w:tc>
        <w:tc>
          <w:tcPr>
            <w:tcW w:w="6911" w:type="dxa"/>
          </w:tcPr>
          <w:p w14:paraId="230D21E5" w14:textId="77777777" w:rsidR="008417FB" w:rsidRDefault="008417FB" w:rsidP="00FD119B">
            <w:r>
              <w:t>Adverse Drug Reaction</w:t>
            </w:r>
          </w:p>
        </w:tc>
      </w:tr>
      <w:tr w:rsidR="008417FB" w:rsidRPr="00FD119B" w14:paraId="7091D247" w14:textId="77777777" w:rsidTr="00FD119B">
        <w:tc>
          <w:tcPr>
            <w:tcW w:w="1809" w:type="dxa"/>
          </w:tcPr>
          <w:p w14:paraId="4E812C22" w14:textId="77777777" w:rsidR="008417FB" w:rsidRDefault="008417FB" w:rsidP="00FD119B">
            <w:r>
              <w:t>AE</w:t>
            </w:r>
          </w:p>
        </w:tc>
        <w:tc>
          <w:tcPr>
            <w:tcW w:w="6911" w:type="dxa"/>
          </w:tcPr>
          <w:p w14:paraId="4C86F5D5" w14:textId="77777777" w:rsidR="008417FB" w:rsidRDefault="008417FB" w:rsidP="00FD119B">
            <w:r>
              <w:t>Adverse event</w:t>
            </w:r>
          </w:p>
        </w:tc>
      </w:tr>
      <w:tr w:rsidR="008417FB" w:rsidRPr="00FD119B" w14:paraId="7F0B2B35" w14:textId="77777777" w:rsidTr="00FD119B">
        <w:tc>
          <w:tcPr>
            <w:tcW w:w="1809" w:type="dxa"/>
          </w:tcPr>
          <w:p w14:paraId="253CEF32" w14:textId="77777777" w:rsidR="008417FB" w:rsidRDefault="008417FB" w:rsidP="00FD119B">
            <w:r>
              <w:t>ARTG</w:t>
            </w:r>
          </w:p>
        </w:tc>
        <w:tc>
          <w:tcPr>
            <w:tcW w:w="6911" w:type="dxa"/>
          </w:tcPr>
          <w:p w14:paraId="2DB11F51" w14:textId="77777777" w:rsidR="008417FB" w:rsidRDefault="008417FB" w:rsidP="00FD119B">
            <w:r>
              <w:t>Australian Register of Therapeutic Goods</w:t>
            </w:r>
          </w:p>
        </w:tc>
      </w:tr>
      <w:tr w:rsidR="008417FB" w:rsidRPr="00FD119B" w14:paraId="24E573D3" w14:textId="77777777" w:rsidTr="00FD119B">
        <w:tc>
          <w:tcPr>
            <w:tcW w:w="1809" w:type="dxa"/>
          </w:tcPr>
          <w:p w14:paraId="6A8586B7" w14:textId="77777777" w:rsidR="008417FB" w:rsidRDefault="008417FB" w:rsidP="00FD119B">
            <w:r>
              <w:t>ASA</w:t>
            </w:r>
          </w:p>
        </w:tc>
        <w:tc>
          <w:tcPr>
            <w:tcW w:w="6911" w:type="dxa"/>
          </w:tcPr>
          <w:p w14:paraId="1F8DFB11" w14:textId="77777777" w:rsidR="008417FB" w:rsidRDefault="008417FB" w:rsidP="00FD119B">
            <w:r>
              <w:t>Australian-specific annex</w:t>
            </w:r>
          </w:p>
        </w:tc>
      </w:tr>
      <w:tr w:rsidR="008417FB" w:rsidRPr="00FD119B" w14:paraId="38517ADB" w14:textId="77777777" w:rsidTr="00FD119B">
        <w:tc>
          <w:tcPr>
            <w:tcW w:w="1809" w:type="dxa"/>
          </w:tcPr>
          <w:p w14:paraId="1199256B" w14:textId="77777777" w:rsidR="008417FB" w:rsidRDefault="008417FB" w:rsidP="00FD119B">
            <w:r>
              <w:t>ASBT</w:t>
            </w:r>
          </w:p>
        </w:tc>
        <w:tc>
          <w:tcPr>
            <w:tcW w:w="6911" w:type="dxa"/>
          </w:tcPr>
          <w:p w14:paraId="3B3D4374" w14:textId="77777777" w:rsidR="008417FB" w:rsidRDefault="008417FB" w:rsidP="00FD119B">
            <w:r>
              <w:t>Apical sodium </w:t>
            </w:r>
            <w:r w:rsidRPr="00955FD8">
              <w:t>bile acid transporter</w:t>
            </w:r>
          </w:p>
        </w:tc>
      </w:tr>
      <w:tr w:rsidR="008417FB" w:rsidRPr="00FD119B" w14:paraId="6D7D5136" w14:textId="77777777" w:rsidTr="00FD119B">
        <w:tc>
          <w:tcPr>
            <w:tcW w:w="1809" w:type="dxa"/>
          </w:tcPr>
          <w:p w14:paraId="28E2E280" w14:textId="77777777" w:rsidR="008417FB" w:rsidRDefault="008417FB" w:rsidP="00FD119B">
            <w:r>
              <w:t>ASCOM</w:t>
            </w:r>
          </w:p>
        </w:tc>
        <w:tc>
          <w:tcPr>
            <w:tcW w:w="6911" w:type="dxa"/>
          </w:tcPr>
          <w:p w14:paraId="23181228" w14:textId="77777777" w:rsidR="008417FB" w:rsidRDefault="008417FB" w:rsidP="00FD119B">
            <w:r>
              <w:t>Advisory Committee on the Safety of Medicines</w:t>
            </w:r>
          </w:p>
        </w:tc>
      </w:tr>
      <w:tr w:rsidR="008417FB" w:rsidRPr="00FD119B" w14:paraId="038680F9" w14:textId="77777777" w:rsidTr="00173D51">
        <w:trPr>
          <w:trHeight w:val="514"/>
        </w:trPr>
        <w:tc>
          <w:tcPr>
            <w:tcW w:w="1809" w:type="dxa"/>
          </w:tcPr>
          <w:p w14:paraId="7BA165CC" w14:textId="77777777" w:rsidR="008417FB" w:rsidRDefault="008417FB" w:rsidP="00FD119B">
            <w:r>
              <w:t>AUC</w:t>
            </w:r>
          </w:p>
        </w:tc>
        <w:tc>
          <w:tcPr>
            <w:tcW w:w="6911" w:type="dxa"/>
          </w:tcPr>
          <w:p w14:paraId="79CB3393" w14:textId="77777777" w:rsidR="008417FB" w:rsidRDefault="008417FB" w:rsidP="00FD119B">
            <w:r>
              <w:t>A</w:t>
            </w:r>
            <w:r w:rsidRPr="002A1360">
              <w:t>rea under the plasma drug concentration-time curve</w:t>
            </w:r>
          </w:p>
        </w:tc>
      </w:tr>
      <w:tr w:rsidR="008417FB" w:rsidRPr="00FD119B" w14:paraId="6AFD819D" w14:textId="77777777" w:rsidTr="00FD119B">
        <w:tc>
          <w:tcPr>
            <w:tcW w:w="1809" w:type="dxa"/>
          </w:tcPr>
          <w:p w14:paraId="5A0E7997" w14:textId="77777777" w:rsidR="008417FB" w:rsidRPr="006D7759" w:rsidRDefault="008417FB" w:rsidP="00FD119B">
            <w:pPr>
              <w:rPr>
                <w:vertAlign w:val="subscript"/>
              </w:rPr>
            </w:pPr>
            <w:r>
              <w:t>AUC</w:t>
            </w:r>
            <w:r>
              <w:rPr>
                <w:vertAlign w:val="subscript"/>
              </w:rPr>
              <w:t>0-last</w:t>
            </w:r>
          </w:p>
        </w:tc>
        <w:tc>
          <w:tcPr>
            <w:tcW w:w="6911" w:type="dxa"/>
          </w:tcPr>
          <w:p w14:paraId="785B8B57" w14:textId="77777777" w:rsidR="008417FB" w:rsidRDefault="008417FB" w:rsidP="00FD119B">
            <w:r>
              <w:t>A</w:t>
            </w:r>
            <w:r w:rsidRPr="002A1360">
              <w:t>rea under the plasma drug concentration-time curve</w:t>
            </w:r>
            <w:r>
              <w:t xml:space="preserve"> up to last measurable drug concentration</w:t>
            </w:r>
          </w:p>
        </w:tc>
      </w:tr>
      <w:tr w:rsidR="008417FB" w:rsidRPr="00FD119B" w14:paraId="284AD5F1" w14:textId="77777777" w:rsidTr="00FD119B">
        <w:tc>
          <w:tcPr>
            <w:tcW w:w="1809" w:type="dxa"/>
          </w:tcPr>
          <w:p w14:paraId="1A624B5D" w14:textId="77777777" w:rsidR="008417FB" w:rsidRDefault="008417FB" w:rsidP="00FD119B">
            <w:r>
              <w:t>BA</w:t>
            </w:r>
          </w:p>
        </w:tc>
        <w:tc>
          <w:tcPr>
            <w:tcW w:w="6911" w:type="dxa"/>
          </w:tcPr>
          <w:p w14:paraId="47F1F4D8" w14:textId="77777777" w:rsidR="008417FB" w:rsidRDefault="008417FB" w:rsidP="00FD119B">
            <w:r>
              <w:t>Benzyl alcohol (preservative)</w:t>
            </w:r>
          </w:p>
        </w:tc>
      </w:tr>
      <w:tr w:rsidR="008417FB" w:rsidRPr="00FD119B" w14:paraId="4C879FE8" w14:textId="77777777" w:rsidTr="00FD119B">
        <w:tc>
          <w:tcPr>
            <w:tcW w:w="1809" w:type="dxa"/>
          </w:tcPr>
          <w:p w14:paraId="59FE3F5D" w14:textId="77777777" w:rsidR="008417FB" w:rsidRDefault="008417FB" w:rsidP="00FD119B">
            <w:r>
              <w:t>BMI</w:t>
            </w:r>
          </w:p>
        </w:tc>
        <w:tc>
          <w:tcPr>
            <w:tcW w:w="6911" w:type="dxa"/>
          </w:tcPr>
          <w:p w14:paraId="09D1B133" w14:textId="77777777" w:rsidR="008417FB" w:rsidRDefault="008417FB" w:rsidP="00FD119B">
            <w:r>
              <w:t>Body mass index</w:t>
            </w:r>
          </w:p>
        </w:tc>
      </w:tr>
      <w:tr w:rsidR="008417FB" w:rsidRPr="00FD119B" w14:paraId="7949EED4" w14:textId="77777777" w:rsidTr="00FD119B">
        <w:tc>
          <w:tcPr>
            <w:tcW w:w="1809" w:type="dxa"/>
          </w:tcPr>
          <w:p w14:paraId="0A0E71D5" w14:textId="77777777" w:rsidR="008417FB" w:rsidRDefault="008417FB" w:rsidP="00FD119B">
            <w:r>
              <w:t>BSEP</w:t>
            </w:r>
          </w:p>
        </w:tc>
        <w:tc>
          <w:tcPr>
            <w:tcW w:w="6911" w:type="dxa"/>
          </w:tcPr>
          <w:p w14:paraId="6731B718" w14:textId="77777777" w:rsidR="008417FB" w:rsidRDefault="008417FB" w:rsidP="003E32E3">
            <w:r>
              <w:t>B</w:t>
            </w:r>
            <w:r w:rsidRPr="00955FD8">
              <w:t>ile salt export pump</w:t>
            </w:r>
          </w:p>
        </w:tc>
      </w:tr>
      <w:tr w:rsidR="008417FB" w:rsidRPr="00FD119B" w14:paraId="2F27CAB6" w14:textId="77777777" w:rsidTr="00FD119B">
        <w:tc>
          <w:tcPr>
            <w:tcW w:w="1809" w:type="dxa"/>
          </w:tcPr>
          <w:p w14:paraId="245C366D" w14:textId="77777777" w:rsidR="008417FB" w:rsidRDefault="008417FB" w:rsidP="00FD119B">
            <w:r>
              <w:t>CI</w:t>
            </w:r>
          </w:p>
        </w:tc>
        <w:tc>
          <w:tcPr>
            <w:tcW w:w="6911" w:type="dxa"/>
          </w:tcPr>
          <w:p w14:paraId="00A0AD5F" w14:textId="77777777" w:rsidR="008417FB" w:rsidRDefault="008417FB" w:rsidP="00FD119B">
            <w:r>
              <w:t>Confidence interval</w:t>
            </w:r>
          </w:p>
        </w:tc>
      </w:tr>
      <w:tr w:rsidR="008417FB" w:rsidRPr="00FD119B" w14:paraId="2915415B" w14:textId="77777777" w:rsidTr="00FD119B">
        <w:tc>
          <w:tcPr>
            <w:tcW w:w="1809" w:type="dxa"/>
          </w:tcPr>
          <w:p w14:paraId="2498809C" w14:textId="77777777" w:rsidR="008417FB" w:rsidRDefault="008417FB" w:rsidP="00FD119B">
            <w:r>
              <w:t>CL</w:t>
            </w:r>
          </w:p>
        </w:tc>
        <w:tc>
          <w:tcPr>
            <w:tcW w:w="6911" w:type="dxa"/>
          </w:tcPr>
          <w:p w14:paraId="098AB382" w14:textId="77777777" w:rsidR="008417FB" w:rsidRDefault="008417FB" w:rsidP="00FD119B">
            <w:r>
              <w:t>Clearance</w:t>
            </w:r>
          </w:p>
        </w:tc>
      </w:tr>
      <w:tr w:rsidR="008417FB" w:rsidRPr="00FD119B" w14:paraId="29C29FA6" w14:textId="77777777" w:rsidTr="00FD119B">
        <w:tc>
          <w:tcPr>
            <w:tcW w:w="1809" w:type="dxa"/>
          </w:tcPr>
          <w:p w14:paraId="2F7907F4" w14:textId="77777777" w:rsidR="008417FB" w:rsidRPr="00173D51" w:rsidRDefault="008417FB" w:rsidP="00FD119B">
            <w:pPr>
              <w:rPr>
                <w:vertAlign w:val="subscript"/>
              </w:rPr>
            </w:pPr>
            <w:proofErr w:type="spellStart"/>
            <w:r>
              <w:t>C</w:t>
            </w:r>
            <w:r>
              <w:rPr>
                <w:vertAlign w:val="subscript"/>
              </w:rPr>
              <w:t>max</w:t>
            </w:r>
            <w:proofErr w:type="spellEnd"/>
          </w:p>
        </w:tc>
        <w:tc>
          <w:tcPr>
            <w:tcW w:w="6911" w:type="dxa"/>
          </w:tcPr>
          <w:p w14:paraId="5132ED33" w14:textId="77777777" w:rsidR="008417FB" w:rsidRDefault="008417FB" w:rsidP="003E32E3">
            <w:r>
              <w:t>M</w:t>
            </w:r>
            <w:r w:rsidRPr="002A1360">
              <w:t xml:space="preserve">aximum </w:t>
            </w:r>
            <w:r>
              <w:t xml:space="preserve">serum drug </w:t>
            </w:r>
            <w:r w:rsidRPr="002A1360">
              <w:t>concentration</w:t>
            </w:r>
          </w:p>
        </w:tc>
      </w:tr>
      <w:tr w:rsidR="008417FB" w:rsidRPr="00FD119B" w14:paraId="4D0309E5" w14:textId="77777777" w:rsidTr="00FD119B">
        <w:tc>
          <w:tcPr>
            <w:tcW w:w="1809" w:type="dxa"/>
          </w:tcPr>
          <w:p w14:paraId="2A73647E" w14:textId="77777777" w:rsidR="008417FB" w:rsidRDefault="008417FB" w:rsidP="00FD119B">
            <w:r>
              <w:t>CMI</w:t>
            </w:r>
          </w:p>
        </w:tc>
        <w:tc>
          <w:tcPr>
            <w:tcW w:w="6911" w:type="dxa"/>
          </w:tcPr>
          <w:p w14:paraId="27E310AA" w14:textId="77777777" w:rsidR="008417FB" w:rsidRDefault="008417FB" w:rsidP="00FD119B">
            <w:r>
              <w:t>Consumer Medicines Information</w:t>
            </w:r>
          </w:p>
        </w:tc>
      </w:tr>
      <w:tr w:rsidR="008417FB" w:rsidRPr="00FD119B" w14:paraId="62E8000A" w14:textId="77777777" w:rsidTr="00FD119B">
        <w:tc>
          <w:tcPr>
            <w:tcW w:w="1809" w:type="dxa"/>
          </w:tcPr>
          <w:p w14:paraId="089F829E" w14:textId="77777777" w:rsidR="008417FB" w:rsidRDefault="008417FB" w:rsidP="00FD119B">
            <w:r>
              <w:t>CNS</w:t>
            </w:r>
          </w:p>
        </w:tc>
        <w:tc>
          <w:tcPr>
            <w:tcW w:w="6911" w:type="dxa"/>
          </w:tcPr>
          <w:p w14:paraId="6A629481" w14:textId="77777777" w:rsidR="008417FB" w:rsidRDefault="008417FB" w:rsidP="00FD119B">
            <w:r>
              <w:t>Central nervous system</w:t>
            </w:r>
          </w:p>
        </w:tc>
      </w:tr>
      <w:tr w:rsidR="008417FB" w:rsidRPr="00FD119B" w14:paraId="3FBD5D49" w14:textId="77777777" w:rsidTr="00FD119B">
        <w:tc>
          <w:tcPr>
            <w:tcW w:w="1809" w:type="dxa"/>
          </w:tcPr>
          <w:p w14:paraId="79565E0A" w14:textId="77777777" w:rsidR="008417FB" w:rsidRDefault="008417FB" w:rsidP="00FD119B">
            <w:r>
              <w:t>CR</w:t>
            </w:r>
          </w:p>
        </w:tc>
        <w:tc>
          <w:tcPr>
            <w:tcW w:w="6911" w:type="dxa"/>
          </w:tcPr>
          <w:p w14:paraId="0162A0BF" w14:textId="77777777" w:rsidR="008417FB" w:rsidRDefault="008417FB" w:rsidP="00FD119B">
            <w:r>
              <w:t>Clinician reported</w:t>
            </w:r>
          </w:p>
        </w:tc>
      </w:tr>
      <w:tr w:rsidR="008417FB" w:rsidRPr="00FD119B" w14:paraId="6AA1B3BB" w14:textId="77777777" w:rsidTr="00FD119B">
        <w:tc>
          <w:tcPr>
            <w:tcW w:w="1809" w:type="dxa"/>
          </w:tcPr>
          <w:p w14:paraId="5EB07F34" w14:textId="77777777" w:rsidR="008417FB" w:rsidRDefault="008417FB" w:rsidP="00FD119B">
            <w:r>
              <w:t>CR-SMFRS</w:t>
            </w:r>
          </w:p>
        </w:tc>
        <w:tc>
          <w:tcPr>
            <w:tcW w:w="6911" w:type="dxa"/>
          </w:tcPr>
          <w:p w14:paraId="340CD059" w14:textId="6C0175CD" w:rsidR="008417FB" w:rsidRDefault="008417FB" w:rsidP="00FD119B">
            <w:r>
              <w:t>Clinic</w:t>
            </w:r>
            <w:r w:rsidR="00A84CA0">
              <w:t>i</w:t>
            </w:r>
            <w:r>
              <w:t>an Reported Submental Fat Rating Scale</w:t>
            </w:r>
          </w:p>
        </w:tc>
      </w:tr>
      <w:tr w:rsidR="008417FB" w:rsidRPr="00FD119B" w14:paraId="1A405ACE" w14:textId="77777777" w:rsidTr="00FD119B">
        <w:tc>
          <w:tcPr>
            <w:tcW w:w="1809" w:type="dxa"/>
          </w:tcPr>
          <w:p w14:paraId="5878FF20" w14:textId="77777777" w:rsidR="008417FB" w:rsidRDefault="008417FB" w:rsidP="00FD119B">
            <w:r>
              <w:t>CYP</w:t>
            </w:r>
          </w:p>
        </w:tc>
        <w:tc>
          <w:tcPr>
            <w:tcW w:w="6911" w:type="dxa"/>
          </w:tcPr>
          <w:p w14:paraId="34E04192" w14:textId="77777777" w:rsidR="008417FB" w:rsidRDefault="008417FB" w:rsidP="00FD119B">
            <w:r>
              <w:t>Cytochrome p450</w:t>
            </w:r>
          </w:p>
        </w:tc>
      </w:tr>
      <w:tr w:rsidR="008417FB" w:rsidRPr="00FD119B" w14:paraId="1929F2E8" w14:textId="77777777" w:rsidTr="002B29AC">
        <w:trPr>
          <w:trHeight w:val="44"/>
        </w:trPr>
        <w:tc>
          <w:tcPr>
            <w:tcW w:w="1809" w:type="dxa"/>
          </w:tcPr>
          <w:p w14:paraId="31E83F5E" w14:textId="77777777" w:rsidR="008417FB" w:rsidRDefault="008417FB" w:rsidP="00FD119B">
            <w:r>
              <w:t>DAE</w:t>
            </w:r>
          </w:p>
        </w:tc>
        <w:tc>
          <w:tcPr>
            <w:tcW w:w="6911" w:type="dxa"/>
          </w:tcPr>
          <w:p w14:paraId="35D3CB45" w14:textId="77777777" w:rsidR="008417FB" w:rsidRDefault="008417FB" w:rsidP="00FD119B">
            <w:r>
              <w:t>Discontinuation due to adverse event</w:t>
            </w:r>
          </w:p>
        </w:tc>
      </w:tr>
      <w:tr w:rsidR="008417FB" w:rsidRPr="00FD119B" w14:paraId="3790B351" w14:textId="77777777" w:rsidTr="00FD119B">
        <w:tc>
          <w:tcPr>
            <w:tcW w:w="1809" w:type="dxa"/>
          </w:tcPr>
          <w:p w14:paraId="795863C7" w14:textId="77777777" w:rsidR="008417FB" w:rsidRDefault="008417FB" w:rsidP="00FD119B">
            <w:r>
              <w:t>ECG</w:t>
            </w:r>
          </w:p>
        </w:tc>
        <w:tc>
          <w:tcPr>
            <w:tcW w:w="6911" w:type="dxa"/>
          </w:tcPr>
          <w:p w14:paraId="4EF8BDA8" w14:textId="77777777" w:rsidR="008417FB" w:rsidRDefault="008417FB" w:rsidP="00FD119B">
            <w:r>
              <w:t>Electrocardiogram</w:t>
            </w:r>
          </w:p>
        </w:tc>
      </w:tr>
      <w:tr w:rsidR="008417FB" w:rsidRPr="00FD119B" w14:paraId="75EA4C48" w14:textId="77777777" w:rsidTr="00FD119B">
        <w:tc>
          <w:tcPr>
            <w:tcW w:w="1809" w:type="dxa"/>
          </w:tcPr>
          <w:p w14:paraId="453C09BC" w14:textId="77777777" w:rsidR="008417FB" w:rsidRDefault="008417FB" w:rsidP="00FD119B">
            <w:r>
              <w:t>EMA</w:t>
            </w:r>
          </w:p>
        </w:tc>
        <w:tc>
          <w:tcPr>
            <w:tcW w:w="6911" w:type="dxa"/>
          </w:tcPr>
          <w:p w14:paraId="2B4E4CF0" w14:textId="77777777" w:rsidR="008417FB" w:rsidRDefault="008417FB" w:rsidP="00FD119B">
            <w:r>
              <w:t>European Medicines Agency</w:t>
            </w:r>
          </w:p>
        </w:tc>
      </w:tr>
      <w:tr w:rsidR="008417FB" w:rsidRPr="00FD119B" w14:paraId="5871CBFF" w14:textId="77777777" w:rsidTr="00FD119B">
        <w:tc>
          <w:tcPr>
            <w:tcW w:w="1809" w:type="dxa"/>
          </w:tcPr>
          <w:p w14:paraId="387D4FBB" w14:textId="77777777" w:rsidR="008417FB" w:rsidRDefault="008417FB" w:rsidP="00FD119B">
            <w:r>
              <w:t>EU</w:t>
            </w:r>
          </w:p>
        </w:tc>
        <w:tc>
          <w:tcPr>
            <w:tcW w:w="6911" w:type="dxa"/>
          </w:tcPr>
          <w:p w14:paraId="3A68903A" w14:textId="77777777" w:rsidR="008417FB" w:rsidRDefault="008417FB" w:rsidP="00FD119B">
            <w:r>
              <w:t>European Union</w:t>
            </w:r>
          </w:p>
        </w:tc>
      </w:tr>
      <w:tr w:rsidR="008417FB" w:rsidRPr="00FD119B" w14:paraId="4D2531CD" w14:textId="77777777" w:rsidTr="00FD119B">
        <w:tc>
          <w:tcPr>
            <w:tcW w:w="1809" w:type="dxa"/>
          </w:tcPr>
          <w:p w14:paraId="20ABE80E" w14:textId="77777777" w:rsidR="008417FB" w:rsidRDefault="008417FB" w:rsidP="00FD119B">
            <w:r>
              <w:lastRenderedPageBreak/>
              <w:t>FDA</w:t>
            </w:r>
          </w:p>
        </w:tc>
        <w:tc>
          <w:tcPr>
            <w:tcW w:w="6911" w:type="dxa"/>
          </w:tcPr>
          <w:p w14:paraId="7DF22292" w14:textId="77777777" w:rsidR="008417FB" w:rsidRDefault="008417FB" w:rsidP="00FD119B">
            <w:r>
              <w:t>Food and Drug Administration (United States)</w:t>
            </w:r>
          </w:p>
        </w:tc>
      </w:tr>
      <w:tr w:rsidR="008417FB" w:rsidRPr="00FD119B" w14:paraId="7900C426" w14:textId="77777777" w:rsidTr="00FD119B">
        <w:tc>
          <w:tcPr>
            <w:tcW w:w="1809" w:type="dxa"/>
          </w:tcPr>
          <w:p w14:paraId="26F45B91" w14:textId="77777777" w:rsidR="008417FB" w:rsidRDefault="008417FB" w:rsidP="00FD119B">
            <w:r>
              <w:t>GLP</w:t>
            </w:r>
          </w:p>
        </w:tc>
        <w:tc>
          <w:tcPr>
            <w:tcW w:w="6911" w:type="dxa"/>
          </w:tcPr>
          <w:p w14:paraId="07699834" w14:textId="77777777" w:rsidR="008417FB" w:rsidRDefault="008417FB" w:rsidP="00FD119B">
            <w:r>
              <w:t>Good Laboratory Practice</w:t>
            </w:r>
          </w:p>
        </w:tc>
      </w:tr>
      <w:tr w:rsidR="008417FB" w:rsidRPr="00FD119B" w14:paraId="5803A07C" w14:textId="77777777" w:rsidTr="00FD119B">
        <w:tc>
          <w:tcPr>
            <w:tcW w:w="1809" w:type="dxa"/>
          </w:tcPr>
          <w:p w14:paraId="2D71EE07" w14:textId="77777777" w:rsidR="008417FB" w:rsidRDefault="008417FB" w:rsidP="00FD119B">
            <w:r>
              <w:t>GMP</w:t>
            </w:r>
          </w:p>
        </w:tc>
        <w:tc>
          <w:tcPr>
            <w:tcW w:w="6911" w:type="dxa"/>
          </w:tcPr>
          <w:p w14:paraId="06C53EB7" w14:textId="77777777" w:rsidR="008417FB" w:rsidRDefault="008417FB" w:rsidP="00FD119B">
            <w:r>
              <w:t>Good Manufacturing Practice</w:t>
            </w:r>
          </w:p>
        </w:tc>
      </w:tr>
      <w:tr w:rsidR="008417FB" w:rsidRPr="00FD119B" w14:paraId="3C130295" w14:textId="77777777" w:rsidTr="00FD119B">
        <w:tc>
          <w:tcPr>
            <w:tcW w:w="1809" w:type="dxa"/>
          </w:tcPr>
          <w:p w14:paraId="1E30A31E" w14:textId="77777777" w:rsidR="008417FB" w:rsidRDefault="008417FB" w:rsidP="00FD119B">
            <w:r>
              <w:t>HCP</w:t>
            </w:r>
          </w:p>
        </w:tc>
        <w:tc>
          <w:tcPr>
            <w:tcW w:w="6911" w:type="dxa"/>
          </w:tcPr>
          <w:p w14:paraId="4AEE8938" w14:textId="77777777" w:rsidR="008417FB" w:rsidRDefault="008417FB" w:rsidP="00FD119B">
            <w:r>
              <w:t>Health care professional</w:t>
            </w:r>
          </w:p>
        </w:tc>
      </w:tr>
      <w:tr w:rsidR="008417FB" w:rsidRPr="00FD119B" w14:paraId="166381E6" w14:textId="77777777" w:rsidTr="00FD119B">
        <w:tc>
          <w:tcPr>
            <w:tcW w:w="1809" w:type="dxa"/>
          </w:tcPr>
          <w:p w14:paraId="4056F4C8" w14:textId="77777777" w:rsidR="008417FB" w:rsidRDefault="008417FB" w:rsidP="00FD119B">
            <w:proofErr w:type="spellStart"/>
            <w:r>
              <w:t>hERG</w:t>
            </w:r>
            <w:proofErr w:type="spellEnd"/>
          </w:p>
        </w:tc>
        <w:tc>
          <w:tcPr>
            <w:tcW w:w="6911" w:type="dxa"/>
          </w:tcPr>
          <w:p w14:paraId="62F970A6" w14:textId="77777777" w:rsidR="008417FB" w:rsidRDefault="008417FB" w:rsidP="00FD119B">
            <w:r>
              <w:t>Human ether-à-Go-Go gene</w:t>
            </w:r>
          </w:p>
        </w:tc>
      </w:tr>
      <w:tr w:rsidR="008417FB" w:rsidRPr="00FD119B" w14:paraId="3F09869A" w14:textId="77777777" w:rsidTr="00FD119B">
        <w:tc>
          <w:tcPr>
            <w:tcW w:w="1809" w:type="dxa"/>
          </w:tcPr>
          <w:p w14:paraId="027B161F" w14:textId="77777777" w:rsidR="008417FB" w:rsidRPr="00173D51" w:rsidRDefault="008417FB" w:rsidP="00FD119B">
            <w:pPr>
              <w:rPr>
                <w:vertAlign w:val="subscript"/>
              </w:rPr>
            </w:pPr>
            <w:r>
              <w:t>IC</w:t>
            </w:r>
            <w:r>
              <w:rPr>
                <w:vertAlign w:val="subscript"/>
              </w:rPr>
              <w:t>50</w:t>
            </w:r>
          </w:p>
        </w:tc>
        <w:tc>
          <w:tcPr>
            <w:tcW w:w="6911" w:type="dxa"/>
          </w:tcPr>
          <w:p w14:paraId="470C5444" w14:textId="77777777" w:rsidR="008417FB" w:rsidRDefault="008417FB" w:rsidP="00FD119B">
            <w:r>
              <w:rPr>
                <w:lang w:val="en-GB" w:eastAsia="en-GB"/>
              </w:rPr>
              <w:t>H</w:t>
            </w:r>
            <w:r w:rsidRPr="00955FD8">
              <w:rPr>
                <w:lang w:val="en-GB" w:eastAsia="en-GB"/>
              </w:rPr>
              <w:t>alf maximal inhibitory concentration</w:t>
            </w:r>
          </w:p>
        </w:tc>
      </w:tr>
      <w:tr w:rsidR="008417FB" w:rsidRPr="00FD119B" w14:paraId="6A226367" w14:textId="77777777" w:rsidTr="00FD119B">
        <w:tc>
          <w:tcPr>
            <w:tcW w:w="1809" w:type="dxa"/>
          </w:tcPr>
          <w:p w14:paraId="6B7DA0E1" w14:textId="77777777" w:rsidR="008417FB" w:rsidRDefault="008417FB" w:rsidP="00FD119B">
            <w:r>
              <w:t>ICH</w:t>
            </w:r>
          </w:p>
        </w:tc>
        <w:tc>
          <w:tcPr>
            <w:tcW w:w="6911" w:type="dxa"/>
          </w:tcPr>
          <w:p w14:paraId="4D91B6E6" w14:textId="77777777" w:rsidR="008417FB" w:rsidRDefault="008417FB" w:rsidP="00FD119B">
            <w:r>
              <w:t>International Conference on Harmonisation</w:t>
            </w:r>
          </w:p>
        </w:tc>
      </w:tr>
      <w:tr w:rsidR="008417FB" w:rsidRPr="00FD119B" w14:paraId="7232E065" w14:textId="77777777" w:rsidTr="00FD119B">
        <w:tc>
          <w:tcPr>
            <w:tcW w:w="1809" w:type="dxa"/>
          </w:tcPr>
          <w:p w14:paraId="13DC481E" w14:textId="77777777" w:rsidR="008417FB" w:rsidRDefault="008417FB" w:rsidP="00FD119B">
            <w:r>
              <w:t>ISE</w:t>
            </w:r>
          </w:p>
        </w:tc>
        <w:tc>
          <w:tcPr>
            <w:tcW w:w="6911" w:type="dxa"/>
          </w:tcPr>
          <w:p w14:paraId="04C7707B" w14:textId="77777777" w:rsidR="008417FB" w:rsidRDefault="008417FB" w:rsidP="00FD119B">
            <w:r>
              <w:t>Integrated Summary of Efficacy</w:t>
            </w:r>
          </w:p>
        </w:tc>
      </w:tr>
      <w:tr w:rsidR="008417FB" w:rsidRPr="00FD119B" w14:paraId="5BC9E4ED" w14:textId="77777777" w:rsidTr="00FD119B">
        <w:tc>
          <w:tcPr>
            <w:tcW w:w="1809" w:type="dxa"/>
          </w:tcPr>
          <w:p w14:paraId="24D767FF" w14:textId="77777777" w:rsidR="008417FB" w:rsidRDefault="008417FB" w:rsidP="00FD119B">
            <w:r>
              <w:t>ISS</w:t>
            </w:r>
          </w:p>
        </w:tc>
        <w:tc>
          <w:tcPr>
            <w:tcW w:w="6911" w:type="dxa"/>
          </w:tcPr>
          <w:p w14:paraId="76BD6B4A" w14:textId="77777777" w:rsidR="008417FB" w:rsidRDefault="008417FB" w:rsidP="00FD119B">
            <w:r>
              <w:t>Integrated Summary of Safety</w:t>
            </w:r>
          </w:p>
        </w:tc>
      </w:tr>
      <w:tr w:rsidR="008417FB" w:rsidRPr="00FD119B" w14:paraId="2ECB4F87" w14:textId="77777777" w:rsidTr="00FD119B">
        <w:tc>
          <w:tcPr>
            <w:tcW w:w="1809" w:type="dxa"/>
          </w:tcPr>
          <w:p w14:paraId="6B60396D" w14:textId="77777777" w:rsidR="008417FB" w:rsidRDefault="008417FB" w:rsidP="00FD119B">
            <w:r>
              <w:t>IV</w:t>
            </w:r>
          </w:p>
        </w:tc>
        <w:tc>
          <w:tcPr>
            <w:tcW w:w="6911" w:type="dxa"/>
          </w:tcPr>
          <w:p w14:paraId="658808ED" w14:textId="77777777" w:rsidR="008417FB" w:rsidRDefault="008417FB" w:rsidP="00FD119B">
            <w:r>
              <w:t>Intravenous</w:t>
            </w:r>
          </w:p>
        </w:tc>
      </w:tr>
      <w:tr w:rsidR="008417FB" w:rsidRPr="00FD119B" w14:paraId="19C1333F" w14:textId="77777777" w:rsidTr="00FD119B">
        <w:tc>
          <w:tcPr>
            <w:tcW w:w="1809" w:type="dxa"/>
          </w:tcPr>
          <w:p w14:paraId="48B6C94E" w14:textId="77777777" w:rsidR="008417FB" w:rsidRDefault="008417FB" w:rsidP="00FD119B">
            <w:proofErr w:type="spellStart"/>
            <w:r>
              <w:t>ka</w:t>
            </w:r>
            <w:proofErr w:type="spellEnd"/>
          </w:p>
        </w:tc>
        <w:tc>
          <w:tcPr>
            <w:tcW w:w="6911" w:type="dxa"/>
          </w:tcPr>
          <w:p w14:paraId="27559851" w14:textId="77777777" w:rsidR="008417FB" w:rsidRDefault="008417FB" w:rsidP="00FD119B">
            <w:r>
              <w:t>First order absorption</w:t>
            </w:r>
          </w:p>
        </w:tc>
      </w:tr>
      <w:tr w:rsidR="008417FB" w:rsidRPr="00FD119B" w14:paraId="068FF075" w14:textId="77777777" w:rsidTr="00FD119B">
        <w:tc>
          <w:tcPr>
            <w:tcW w:w="1809" w:type="dxa"/>
          </w:tcPr>
          <w:p w14:paraId="23D7A6DE" w14:textId="77777777" w:rsidR="008417FB" w:rsidRDefault="008417FB" w:rsidP="00FD119B">
            <w:r>
              <w:t>LS mean</w:t>
            </w:r>
          </w:p>
        </w:tc>
        <w:tc>
          <w:tcPr>
            <w:tcW w:w="6911" w:type="dxa"/>
          </w:tcPr>
          <w:p w14:paraId="23296838" w14:textId="77777777" w:rsidR="008417FB" w:rsidRDefault="008417FB" w:rsidP="00FD119B">
            <w:r>
              <w:t>Least squares mean</w:t>
            </w:r>
          </w:p>
        </w:tc>
      </w:tr>
      <w:tr w:rsidR="008417FB" w:rsidRPr="00FD119B" w14:paraId="0C1C37B8" w14:textId="77777777" w:rsidTr="00FD119B">
        <w:tc>
          <w:tcPr>
            <w:tcW w:w="1809" w:type="dxa"/>
          </w:tcPr>
          <w:p w14:paraId="5B087040" w14:textId="77777777" w:rsidR="008417FB" w:rsidRDefault="008417FB" w:rsidP="00FD119B">
            <w:r>
              <w:t>MAH</w:t>
            </w:r>
          </w:p>
        </w:tc>
        <w:tc>
          <w:tcPr>
            <w:tcW w:w="6911" w:type="dxa"/>
          </w:tcPr>
          <w:p w14:paraId="6DC7267B" w14:textId="77777777" w:rsidR="008417FB" w:rsidRDefault="008417FB" w:rsidP="00FD119B">
            <w:r>
              <w:t>Marketing Authorisation Holder</w:t>
            </w:r>
          </w:p>
        </w:tc>
      </w:tr>
      <w:tr w:rsidR="008417FB" w:rsidRPr="00FD119B" w14:paraId="6E5FF9D2" w14:textId="77777777" w:rsidTr="00FD119B">
        <w:tc>
          <w:tcPr>
            <w:tcW w:w="1809" w:type="dxa"/>
          </w:tcPr>
          <w:p w14:paraId="31924B36" w14:textId="77777777" w:rsidR="008417FB" w:rsidRDefault="008417FB" w:rsidP="00FD119B">
            <w:r>
              <w:t>MRI</w:t>
            </w:r>
          </w:p>
        </w:tc>
        <w:tc>
          <w:tcPr>
            <w:tcW w:w="6911" w:type="dxa"/>
          </w:tcPr>
          <w:p w14:paraId="545C2764" w14:textId="77777777" w:rsidR="008417FB" w:rsidRDefault="008417FB" w:rsidP="00FD119B">
            <w:r>
              <w:t>Magnetic resonance imaging</w:t>
            </w:r>
          </w:p>
        </w:tc>
      </w:tr>
      <w:tr w:rsidR="008417FB" w:rsidRPr="00FD119B" w14:paraId="363125A5" w14:textId="77777777" w:rsidTr="00FD119B">
        <w:tc>
          <w:tcPr>
            <w:tcW w:w="1809" w:type="dxa"/>
          </w:tcPr>
          <w:p w14:paraId="72FFECF7" w14:textId="77777777" w:rsidR="008417FB" w:rsidRDefault="008417FB" w:rsidP="00FD119B">
            <w:r>
              <w:t>NMT</w:t>
            </w:r>
          </w:p>
        </w:tc>
        <w:tc>
          <w:tcPr>
            <w:tcW w:w="6911" w:type="dxa"/>
          </w:tcPr>
          <w:p w14:paraId="5F32AD59" w14:textId="77777777" w:rsidR="008417FB" w:rsidRDefault="008417FB" w:rsidP="0017533B">
            <w:r>
              <w:t>Not more than</w:t>
            </w:r>
          </w:p>
        </w:tc>
      </w:tr>
      <w:tr w:rsidR="008417FB" w:rsidRPr="00FD119B" w14:paraId="38D7D683" w14:textId="77777777" w:rsidTr="00FD119B">
        <w:tc>
          <w:tcPr>
            <w:tcW w:w="1809" w:type="dxa"/>
          </w:tcPr>
          <w:p w14:paraId="167DFD84" w14:textId="77777777" w:rsidR="008417FB" w:rsidRDefault="008417FB" w:rsidP="00FD119B">
            <w:r>
              <w:t>NTCP</w:t>
            </w:r>
          </w:p>
        </w:tc>
        <w:tc>
          <w:tcPr>
            <w:tcW w:w="6911" w:type="dxa"/>
          </w:tcPr>
          <w:p w14:paraId="7A736ADF" w14:textId="77777777" w:rsidR="008417FB" w:rsidRDefault="008417FB" w:rsidP="00FD119B">
            <w:r>
              <w:t xml:space="preserve">Sodium </w:t>
            </w:r>
            <w:proofErr w:type="spellStart"/>
            <w:r>
              <w:t>taurocholate</w:t>
            </w:r>
            <w:proofErr w:type="spellEnd"/>
            <w:r>
              <w:t xml:space="preserve"> co-transporting polypeptide</w:t>
            </w:r>
          </w:p>
        </w:tc>
      </w:tr>
      <w:tr w:rsidR="008417FB" w:rsidRPr="00FD119B" w14:paraId="54B9E83C" w14:textId="77777777" w:rsidTr="00FD119B">
        <w:tc>
          <w:tcPr>
            <w:tcW w:w="1809" w:type="dxa"/>
          </w:tcPr>
          <w:p w14:paraId="4B4D2FD6" w14:textId="77777777" w:rsidR="008417FB" w:rsidRDefault="008417FB" w:rsidP="00FD119B">
            <w:r>
              <w:t>PI</w:t>
            </w:r>
          </w:p>
        </w:tc>
        <w:tc>
          <w:tcPr>
            <w:tcW w:w="6911" w:type="dxa"/>
          </w:tcPr>
          <w:p w14:paraId="6B31132F" w14:textId="77777777" w:rsidR="008417FB" w:rsidRDefault="008417FB" w:rsidP="008C4F71">
            <w:r>
              <w:t>Product Information</w:t>
            </w:r>
          </w:p>
        </w:tc>
      </w:tr>
      <w:tr w:rsidR="008417FB" w:rsidRPr="00FD119B" w14:paraId="7BEFDDB4" w14:textId="77777777" w:rsidTr="00FD119B">
        <w:tc>
          <w:tcPr>
            <w:tcW w:w="1809" w:type="dxa"/>
          </w:tcPr>
          <w:p w14:paraId="7B0F30DE" w14:textId="77777777" w:rsidR="008417FB" w:rsidRDefault="008417FB" w:rsidP="00FD119B">
            <w:r>
              <w:t>PR-SMFRS</w:t>
            </w:r>
          </w:p>
        </w:tc>
        <w:tc>
          <w:tcPr>
            <w:tcW w:w="6911" w:type="dxa"/>
          </w:tcPr>
          <w:p w14:paraId="10D2A425" w14:textId="77777777" w:rsidR="008417FB" w:rsidRDefault="008417FB" w:rsidP="00FD119B">
            <w:r>
              <w:t>Patient Reported Submental Fat Rating Scale</w:t>
            </w:r>
          </w:p>
        </w:tc>
      </w:tr>
      <w:tr w:rsidR="008417FB" w:rsidRPr="00FD119B" w14:paraId="5547CF21" w14:textId="77777777" w:rsidTr="00FD119B">
        <w:tc>
          <w:tcPr>
            <w:tcW w:w="1809" w:type="dxa"/>
          </w:tcPr>
          <w:p w14:paraId="3C19406C" w14:textId="77777777" w:rsidR="008417FB" w:rsidRDefault="008417FB" w:rsidP="00FD119B">
            <w:proofErr w:type="spellStart"/>
            <w:r>
              <w:t>QTc</w:t>
            </w:r>
            <w:proofErr w:type="spellEnd"/>
          </w:p>
        </w:tc>
        <w:tc>
          <w:tcPr>
            <w:tcW w:w="6911" w:type="dxa"/>
          </w:tcPr>
          <w:p w14:paraId="2FC936CB" w14:textId="77777777" w:rsidR="008417FB" w:rsidRDefault="008417FB" w:rsidP="00FD119B">
            <w:r>
              <w:t>Corrected QT-interval</w:t>
            </w:r>
          </w:p>
        </w:tc>
      </w:tr>
      <w:tr w:rsidR="008417FB" w:rsidRPr="00FD119B" w14:paraId="42A2562D" w14:textId="77777777" w:rsidTr="00FD119B">
        <w:tc>
          <w:tcPr>
            <w:tcW w:w="1809" w:type="dxa"/>
          </w:tcPr>
          <w:p w14:paraId="3EE20678" w14:textId="77777777" w:rsidR="008417FB" w:rsidRDefault="008417FB" w:rsidP="00FD119B">
            <w:r>
              <w:t>RACS</w:t>
            </w:r>
          </w:p>
        </w:tc>
        <w:tc>
          <w:tcPr>
            <w:tcW w:w="6911" w:type="dxa"/>
          </w:tcPr>
          <w:p w14:paraId="001F0F80" w14:textId="77777777" w:rsidR="008417FB" w:rsidRDefault="008417FB" w:rsidP="00FD119B">
            <w:r>
              <w:t>Royal Australasian College of Surgeons</w:t>
            </w:r>
          </w:p>
        </w:tc>
      </w:tr>
      <w:tr w:rsidR="008417FB" w:rsidRPr="00FD119B" w14:paraId="6EB71EE5" w14:textId="77777777" w:rsidTr="00FD119B">
        <w:tc>
          <w:tcPr>
            <w:tcW w:w="1809" w:type="dxa"/>
          </w:tcPr>
          <w:p w14:paraId="68D0CA6C" w14:textId="77777777" w:rsidR="008417FB" w:rsidRDefault="008417FB" w:rsidP="00FD119B">
            <w:r>
              <w:t>RMP</w:t>
            </w:r>
          </w:p>
        </w:tc>
        <w:tc>
          <w:tcPr>
            <w:tcW w:w="6911" w:type="dxa"/>
          </w:tcPr>
          <w:p w14:paraId="2CF283CD" w14:textId="77777777" w:rsidR="008417FB" w:rsidRDefault="008417FB" w:rsidP="00FD119B">
            <w:r>
              <w:t>Risk Management Plan</w:t>
            </w:r>
          </w:p>
        </w:tc>
      </w:tr>
      <w:tr w:rsidR="008417FB" w:rsidRPr="00FD119B" w14:paraId="1A8ADDDB" w14:textId="77777777" w:rsidTr="00FD119B">
        <w:tc>
          <w:tcPr>
            <w:tcW w:w="1809" w:type="dxa"/>
          </w:tcPr>
          <w:p w14:paraId="022925B7" w14:textId="77777777" w:rsidR="008417FB" w:rsidRDefault="008417FB" w:rsidP="00FD119B">
            <w:r>
              <w:t>SAE</w:t>
            </w:r>
          </w:p>
        </w:tc>
        <w:tc>
          <w:tcPr>
            <w:tcW w:w="6911" w:type="dxa"/>
          </w:tcPr>
          <w:p w14:paraId="7F988DF5" w14:textId="77777777" w:rsidR="008417FB" w:rsidRDefault="008417FB" w:rsidP="00FD119B">
            <w:r>
              <w:t>Serious adverse event</w:t>
            </w:r>
          </w:p>
        </w:tc>
      </w:tr>
      <w:tr w:rsidR="008417FB" w:rsidRPr="00FD119B" w14:paraId="62EAF948" w14:textId="77777777" w:rsidTr="00FD119B">
        <w:tc>
          <w:tcPr>
            <w:tcW w:w="1809" w:type="dxa"/>
          </w:tcPr>
          <w:p w14:paraId="5C6DC9B0" w14:textId="77777777" w:rsidR="008417FB" w:rsidRDefault="008417FB" w:rsidP="00FD119B">
            <w:r>
              <w:t>SC</w:t>
            </w:r>
          </w:p>
        </w:tc>
        <w:tc>
          <w:tcPr>
            <w:tcW w:w="6911" w:type="dxa"/>
          </w:tcPr>
          <w:p w14:paraId="7ADF4870" w14:textId="77777777" w:rsidR="008417FB" w:rsidRDefault="008417FB" w:rsidP="00FD119B">
            <w:r>
              <w:t>Subcutaneous</w:t>
            </w:r>
          </w:p>
        </w:tc>
      </w:tr>
      <w:tr w:rsidR="008417FB" w:rsidRPr="00FD119B" w14:paraId="6C8B90CD" w14:textId="77777777" w:rsidTr="00FD119B">
        <w:tc>
          <w:tcPr>
            <w:tcW w:w="1809" w:type="dxa"/>
          </w:tcPr>
          <w:p w14:paraId="6B6A1E17" w14:textId="77777777" w:rsidR="008417FB" w:rsidRDefault="008417FB" w:rsidP="00FD119B">
            <w:r>
              <w:t>SMFRS</w:t>
            </w:r>
          </w:p>
        </w:tc>
        <w:tc>
          <w:tcPr>
            <w:tcW w:w="6911" w:type="dxa"/>
          </w:tcPr>
          <w:p w14:paraId="61113783" w14:textId="77777777" w:rsidR="008417FB" w:rsidRDefault="008417FB" w:rsidP="00FD119B">
            <w:r>
              <w:t>Submental Fat Rating Scale</w:t>
            </w:r>
          </w:p>
        </w:tc>
      </w:tr>
      <w:tr w:rsidR="008417FB" w:rsidRPr="00FD119B" w14:paraId="370A82DD" w14:textId="77777777" w:rsidTr="00FD119B">
        <w:tc>
          <w:tcPr>
            <w:tcW w:w="1809" w:type="dxa"/>
          </w:tcPr>
          <w:p w14:paraId="413EFE1C" w14:textId="77777777" w:rsidR="008417FB" w:rsidRDefault="008417FB" w:rsidP="00FD119B">
            <w:r>
              <w:t>SSRS</w:t>
            </w:r>
          </w:p>
        </w:tc>
        <w:tc>
          <w:tcPr>
            <w:tcW w:w="6911" w:type="dxa"/>
          </w:tcPr>
          <w:p w14:paraId="28A758E8" w14:textId="77777777" w:rsidR="008417FB" w:rsidRDefault="008417FB" w:rsidP="00FD119B">
            <w:r>
              <w:t>Subject Self Rating Scale</w:t>
            </w:r>
          </w:p>
        </w:tc>
      </w:tr>
      <w:tr w:rsidR="008417FB" w:rsidRPr="00FD119B" w14:paraId="0E9ADE19" w14:textId="77777777" w:rsidTr="00FD119B">
        <w:tc>
          <w:tcPr>
            <w:tcW w:w="1809" w:type="dxa"/>
          </w:tcPr>
          <w:p w14:paraId="294B362C" w14:textId="77777777" w:rsidR="008417FB" w:rsidRDefault="008417FB" w:rsidP="00FD119B">
            <w:r>
              <w:t>TEAE</w:t>
            </w:r>
          </w:p>
        </w:tc>
        <w:tc>
          <w:tcPr>
            <w:tcW w:w="6911" w:type="dxa"/>
          </w:tcPr>
          <w:p w14:paraId="456A0050" w14:textId="77777777" w:rsidR="008417FB" w:rsidRDefault="008417FB" w:rsidP="00FD119B">
            <w:r>
              <w:t>Treatment emergent adverse events</w:t>
            </w:r>
          </w:p>
        </w:tc>
      </w:tr>
      <w:tr w:rsidR="008417FB" w:rsidRPr="00FD119B" w14:paraId="4958C3A2" w14:textId="77777777" w:rsidTr="00FD119B">
        <w:tc>
          <w:tcPr>
            <w:tcW w:w="1809" w:type="dxa"/>
          </w:tcPr>
          <w:p w14:paraId="4DE575B6" w14:textId="77777777" w:rsidR="008417FB" w:rsidRDefault="008417FB" w:rsidP="00FD119B">
            <w:r>
              <w:lastRenderedPageBreak/>
              <w:t>TGA</w:t>
            </w:r>
          </w:p>
        </w:tc>
        <w:tc>
          <w:tcPr>
            <w:tcW w:w="6911" w:type="dxa"/>
          </w:tcPr>
          <w:p w14:paraId="76E1A3E0" w14:textId="77777777" w:rsidR="008417FB" w:rsidRDefault="008417FB" w:rsidP="00FD119B">
            <w:r>
              <w:t>Therapeutic Goods Administration</w:t>
            </w:r>
          </w:p>
        </w:tc>
      </w:tr>
      <w:tr w:rsidR="008417FB" w:rsidRPr="00FD119B" w14:paraId="783282FF" w14:textId="77777777" w:rsidTr="00173D51">
        <w:trPr>
          <w:trHeight w:val="523"/>
        </w:trPr>
        <w:tc>
          <w:tcPr>
            <w:tcW w:w="1809" w:type="dxa"/>
          </w:tcPr>
          <w:p w14:paraId="6D55F00C" w14:textId="77777777" w:rsidR="008417FB" w:rsidRDefault="008417FB" w:rsidP="00FD119B">
            <w:proofErr w:type="spellStart"/>
            <w:r>
              <w:t>T</w:t>
            </w:r>
            <w:r w:rsidRPr="00173D51">
              <w:rPr>
                <w:vertAlign w:val="subscript"/>
              </w:rPr>
              <w:t>max</w:t>
            </w:r>
            <w:proofErr w:type="spellEnd"/>
          </w:p>
        </w:tc>
        <w:tc>
          <w:tcPr>
            <w:tcW w:w="6911" w:type="dxa"/>
          </w:tcPr>
          <w:p w14:paraId="14E6E02B" w14:textId="77777777" w:rsidR="008417FB" w:rsidRDefault="008417FB" w:rsidP="00FD119B">
            <w:r>
              <w:t>Time of maximum serum drug concentration</w:t>
            </w:r>
          </w:p>
        </w:tc>
      </w:tr>
      <w:tr w:rsidR="008417FB" w:rsidRPr="00FD119B" w14:paraId="2A6D5727" w14:textId="77777777" w:rsidTr="00FD119B">
        <w:tc>
          <w:tcPr>
            <w:tcW w:w="1809" w:type="dxa"/>
          </w:tcPr>
          <w:p w14:paraId="44D86560" w14:textId="77777777" w:rsidR="008417FB" w:rsidRDefault="008417FB" w:rsidP="00FD119B">
            <w:r>
              <w:t>US</w:t>
            </w:r>
          </w:p>
        </w:tc>
        <w:tc>
          <w:tcPr>
            <w:tcW w:w="6911" w:type="dxa"/>
          </w:tcPr>
          <w:p w14:paraId="3CB5EDB7" w14:textId="77777777" w:rsidR="008417FB" w:rsidRDefault="008417FB" w:rsidP="00FD119B">
            <w:r>
              <w:t>United States (of America)</w:t>
            </w:r>
          </w:p>
        </w:tc>
      </w:tr>
      <w:tr w:rsidR="008417FB" w:rsidRPr="00FD119B" w14:paraId="1DE0021A" w14:textId="77777777" w:rsidTr="00FD119B">
        <w:tc>
          <w:tcPr>
            <w:tcW w:w="1809" w:type="dxa"/>
          </w:tcPr>
          <w:p w14:paraId="3FB54C8F" w14:textId="77777777" w:rsidR="008417FB" w:rsidRPr="00AF1AD8" w:rsidRDefault="008417FB" w:rsidP="00FD119B">
            <w:pPr>
              <w:rPr>
                <w:vertAlign w:val="subscript"/>
              </w:rPr>
            </w:pPr>
            <w:proofErr w:type="spellStart"/>
            <w:r>
              <w:t>V</w:t>
            </w:r>
            <w:r>
              <w:rPr>
                <w:vertAlign w:val="subscript"/>
              </w:rPr>
              <w:t>d</w:t>
            </w:r>
            <w:proofErr w:type="spellEnd"/>
          </w:p>
        </w:tc>
        <w:tc>
          <w:tcPr>
            <w:tcW w:w="6911" w:type="dxa"/>
          </w:tcPr>
          <w:p w14:paraId="2946D82D" w14:textId="77777777" w:rsidR="008417FB" w:rsidRDefault="008417FB" w:rsidP="00FD119B">
            <w:r>
              <w:t>Volume of distribution</w:t>
            </w:r>
          </w:p>
        </w:tc>
      </w:tr>
      <w:tr w:rsidR="008417FB" w:rsidRPr="00FD119B" w14:paraId="23B8266B" w14:textId="77777777" w:rsidTr="00FD119B">
        <w:tc>
          <w:tcPr>
            <w:tcW w:w="1809" w:type="dxa"/>
          </w:tcPr>
          <w:p w14:paraId="35BD6B6C" w14:textId="77777777" w:rsidR="008417FB" w:rsidRDefault="008417FB" w:rsidP="00FD119B">
            <w:r>
              <w:t>w/v</w:t>
            </w:r>
          </w:p>
        </w:tc>
        <w:tc>
          <w:tcPr>
            <w:tcW w:w="6911" w:type="dxa"/>
          </w:tcPr>
          <w:p w14:paraId="3ECEEF1E" w14:textId="77777777" w:rsidR="008417FB" w:rsidRDefault="008417FB" w:rsidP="00FD119B">
            <w:r>
              <w:t>Weight/volume</w:t>
            </w:r>
          </w:p>
        </w:tc>
      </w:tr>
    </w:tbl>
    <w:p w14:paraId="2653F298" w14:textId="77777777" w:rsidR="00FD119B" w:rsidRDefault="00FD119B" w:rsidP="00FD119B"/>
    <w:p w14:paraId="7D8E6BBC" w14:textId="77777777" w:rsidR="00FD119B" w:rsidRPr="00FD119B" w:rsidRDefault="00FD119B" w:rsidP="00FD119B">
      <w:pPr>
        <w:spacing w:before="0" w:after="200" w:line="0" w:lineRule="auto"/>
        <w:rPr>
          <w:b/>
          <w:i/>
          <w:sz w:val="24"/>
          <w:szCs w:val="24"/>
        </w:rPr>
      </w:pPr>
      <w:r w:rsidRPr="00FD119B">
        <w:rPr>
          <w:b/>
          <w:i/>
          <w:sz w:val="24"/>
          <w:szCs w:val="24"/>
        </w:rPr>
        <w:br w:type="page"/>
      </w:r>
    </w:p>
    <w:p w14:paraId="23A1E85B" w14:textId="77777777" w:rsidR="008E7846" w:rsidRDefault="00F53C07" w:rsidP="008E7846">
      <w:pPr>
        <w:pStyle w:val="Heading2"/>
      </w:pPr>
      <w:bookmarkStart w:id="9" w:name="_Toc482015676"/>
      <w:r>
        <w:lastRenderedPageBreak/>
        <w:t>I.</w:t>
      </w:r>
      <w:r w:rsidR="008E7846">
        <w:t xml:space="preserve"> Introduction to product submission</w:t>
      </w:r>
      <w:bookmarkEnd w:id="9"/>
      <w:bookmarkEnd w:id="1"/>
      <w:bookmarkEnd w:id="3"/>
    </w:p>
    <w:p w14:paraId="155BB624" w14:textId="77777777" w:rsidR="008E7846" w:rsidRDefault="008E7846" w:rsidP="008E7846">
      <w:pPr>
        <w:pStyle w:val="Heading3"/>
        <w:rPr>
          <w:lang w:eastAsia="en-AU"/>
        </w:rPr>
      </w:pPr>
      <w:bookmarkStart w:id="10" w:name="_Toc247691502"/>
      <w:bookmarkStart w:id="11" w:name="_Toc314842483"/>
      <w:bookmarkStart w:id="12" w:name="_Toc482015677"/>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307"/>
        <w:gridCol w:w="283"/>
      </w:tblGrid>
      <w:tr w:rsidR="008E7846" w:rsidRPr="003D1E62" w14:paraId="7AA40C25" w14:textId="77777777" w:rsidTr="00FB56FE">
        <w:trPr>
          <w:trHeight w:hRule="exact" w:val="454"/>
        </w:trPr>
        <w:tc>
          <w:tcPr>
            <w:tcW w:w="2907" w:type="dxa"/>
          </w:tcPr>
          <w:p w14:paraId="7A6736B3" w14:textId="77777777" w:rsidR="008E7846" w:rsidRPr="003D1E62" w:rsidRDefault="001B5C90" w:rsidP="001B5C90">
            <w:pPr>
              <w:rPr>
                <w:i/>
              </w:rPr>
            </w:pPr>
            <w:r>
              <w:rPr>
                <w:i/>
              </w:rPr>
              <w:t>Type of s</w:t>
            </w:r>
            <w:r w:rsidR="008E7846" w:rsidRPr="003D1E62">
              <w:rPr>
                <w:i/>
              </w:rPr>
              <w:t>ubmission</w:t>
            </w:r>
            <w:r>
              <w:rPr>
                <w:i/>
              </w:rPr>
              <w:t>:</w:t>
            </w:r>
          </w:p>
        </w:tc>
        <w:tc>
          <w:tcPr>
            <w:tcW w:w="6590" w:type="dxa"/>
            <w:gridSpan w:val="2"/>
          </w:tcPr>
          <w:p w14:paraId="64AA76FF" w14:textId="77777777" w:rsidR="008E7846" w:rsidRPr="003D1E62" w:rsidRDefault="008E7846" w:rsidP="003714E8">
            <w:r w:rsidRPr="003D1E62">
              <w:t xml:space="preserve">New </w:t>
            </w:r>
            <w:r w:rsidR="001B5C90">
              <w:t>c</w:t>
            </w:r>
            <w:r w:rsidRPr="003D1E62">
              <w:t xml:space="preserve">hemical </w:t>
            </w:r>
            <w:r w:rsidR="001B5C90">
              <w:t>e</w:t>
            </w:r>
            <w:r w:rsidRPr="003D1E62">
              <w:t>ntity</w:t>
            </w:r>
          </w:p>
        </w:tc>
      </w:tr>
      <w:tr w:rsidR="008E7846" w:rsidRPr="003D1E62" w14:paraId="2E500406" w14:textId="77777777" w:rsidTr="00FB56FE">
        <w:trPr>
          <w:trHeight w:hRule="exact" w:val="454"/>
        </w:trPr>
        <w:tc>
          <w:tcPr>
            <w:tcW w:w="2907" w:type="dxa"/>
          </w:tcPr>
          <w:p w14:paraId="0272DCC9" w14:textId="77777777" w:rsidR="008E7846" w:rsidRPr="003D1E62" w:rsidRDefault="008E7846" w:rsidP="003D1E62">
            <w:r w:rsidRPr="003D1E62">
              <w:rPr>
                <w:i/>
              </w:rPr>
              <w:t>Decision</w:t>
            </w:r>
            <w:r w:rsidRPr="003D1E62">
              <w:t>:</w:t>
            </w:r>
          </w:p>
        </w:tc>
        <w:tc>
          <w:tcPr>
            <w:tcW w:w="6590" w:type="dxa"/>
            <w:gridSpan w:val="2"/>
          </w:tcPr>
          <w:p w14:paraId="0B8CA985" w14:textId="77777777" w:rsidR="008E7846" w:rsidRPr="003D1E62" w:rsidRDefault="003714E8" w:rsidP="003714E8">
            <w:r>
              <w:t>Approved</w:t>
            </w:r>
          </w:p>
        </w:tc>
      </w:tr>
      <w:tr w:rsidR="008E7846" w:rsidRPr="003D1E62" w14:paraId="16FDE936" w14:textId="77777777" w:rsidTr="00FB56FE">
        <w:trPr>
          <w:trHeight w:hRule="exact" w:val="454"/>
        </w:trPr>
        <w:tc>
          <w:tcPr>
            <w:tcW w:w="2907" w:type="dxa"/>
          </w:tcPr>
          <w:p w14:paraId="4EB72732"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14:paraId="63678FA0" w14:textId="77777777" w:rsidR="008E7846" w:rsidRPr="003D1E62" w:rsidRDefault="00A93AF0" w:rsidP="001B5C90">
            <w:r>
              <w:t>19 July 2016</w:t>
            </w:r>
          </w:p>
        </w:tc>
      </w:tr>
      <w:tr w:rsidR="00ED2922" w:rsidRPr="003D1E62" w14:paraId="01634318" w14:textId="77777777" w:rsidTr="00FB56FE">
        <w:trPr>
          <w:trHeight w:hRule="exact" w:val="454"/>
        </w:trPr>
        <w:tc>
          <w:tcPr>
            <w:tcW w:w="2907" w:type="dxa"/>
          </w:tcPr>
          <w:p w14:paraId="25E8684D" w14:textId="77777777" w:rsidR="00ED2922" w:rsidRPr="00441C3F" w:rsidRDefault="00ED2922" w:rsidP="001B5C90">
            <w:pPr>
              <w:rPr>
                <w:i/>
              </w:rPr>
            </w:pPr>
            <w:r w:rsidRPr="00441C3F">
              <w:rPr>
                <w:i/>
              </w:rPr>
              <w:t>Date of entry onto ARTG</w:t>
            </w:r>
          </w:p>
        </w:tc>
        <w:tc>
          <w:tcPr>
            <w:tcW w:w="6590" w:type="dxa"/>
            <w:gridSpan w:val="2"/>
          </w:tcPr>
          <w:p w14:paraId="5FF627D7" w14:textId="77777777" w:rsidR="00ED2922" w:rsidRPr="00441C3F" w:rsidRDefault="00A93AF0" w:rsidP="00EC463D">
            <w:pPr>
              <w:rPr>
                <w:i/>
              </w:rPr>
            </w:pPr>
            <w:r>
              <w:t>21 July 2016</w:t>
            </w:r>
          </w:p>
        </w:tc>
      </w:tr>
      <w:tr w:rsidR="008E7846" w:rsidRPr="00487162" w14:paraId="185B36BE" w14:textId="77777777" w:rsidTr="00FB56FE">
        <w:trPr>
          <w:gridAfter w:val="1"/>
          <w:wAfter w:w="283" w:type="dxa"/>
        </w:trPr>
        <w:tc>
          <w:tcPr>
            <w:tcW w:w="2907" w:type="dxa"/>
          </w:tcPr>
          <w:p w14:paraId="35D9FBEB" w14:textId="77777777" w:rsidR="008E7846" w:rsidRPr="00487162" w:rsidRDefault="001B5C90" w:rsidP="00E45619">
            <w:pPr>
              <w:rPr>
                <w:i/>
              </w:rPr>
            </w:pPr>
            <w:r>
              <w:rPr>
                <w:i/>
              </w:rPr>
              <w:t>Active ingredient(s):</w:t>
            </w:r>
          </w:p>
        </w:tc>
        <w:tc>
          <w:tcPr>
            <w:tcW w:w="6307" w:type="dxa"/>
          </w:tcPr>
          <w:p w14:paraId="06A2386C" w14:textId="77777777" w:rsidR="008E7846" w:rsidRPr="00487162" w:rsidRDefault="00A93AF0" w:rsidP="00E45619">
            <w:proofErr w:type="spellStart"/>
            <w:r>
              <w:t>Deoxycholic</w:t>
            </w:r>
            <w:proofErr w:type="spellEnd"/>
            <w:r>
              <w:t xml:space="preserve"> acid</w:t>
            </w:r>
          </w:p>
        </w:tc>
      </w:tr>
      <w:tr w:rsidR="008E7846" w:rsidRPr="00487162" w14:paraId="5308F668" w14:textId="77777777" w:rsidTr="00FB56FE">
        <w:trPr>
          <w:gridAfter w:val="1"/>
          <w:wAfter w:w="283" w:type="dxa"/>
        </w:trPr>
        <w:tc>
          <w:tcPr>
            <w:tcW w:w="2907" w:type="dxa"/>
          </w:tcPr>
          <w:p w14:paraId="7E4FD0A4" w14:textId="77777777" w:rsidR="008E7846" w:rsidRPr="00487162" w:rsidRDefault="008E7846" w:rsidP="001B5C90">
            <w:pPr>
              <w:rPr>
                <w:i/>
              </w:rPr>
            </w:pPr>
            <w:r w:rsidRPr="00487162">
              <w:rPr>
                <w:i/>
              </w:rPr>
              <w:t>Product</w:t>
            </w:r>
            <w:r w:rsidR="001B5C90">
              <w:rPr>
                <w:i/>
              </w:rPr>
              <w:t xml:space="preserve"> name(s):</w:t>
            </w:r>
          </w:p>
        </w:tc>
        <w:tc>
          <w:tcPr>
            <w:tcW w:w="6307" w:type="dxa"/>
          </w:tcPr>
          <w:p w14:paraId="57041791" w14:textId="77777777" w:rsidR="008E7846" w:rsidRPr="00487162" w:rsidRDefault="00A93AF0" w:rsidP="00A93AF0">
            <w:proofErr w:type="spellStart"/>
            <w:r>
              <w:t>Belkyra</w:t>
            </w:r>
            <w:proofErr w:type="spellEnd"/>
          </w:p>
        </w:tc>
      </w:tr>
      <w:tr w:rsidR="008E7846" w:rsidRPr="00487162" w14:paraId="774B5B68" w14:textId="77777777" w:rsidTr="00FB56FE">
        <w:trPr>
          <w:gridAfter w:val="1"/>
          <w:wAfter w:w="283" w:type="dxa"/>
        </w:trPr>
        <w:tc>
          <w:tcPr>
            <w:tcW w:w="2907" w:type="dxa"/>
          </w:tcPr>
          <w:p w14:paraId="19E1E0BB"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09771D76" w14:textId="77777777" w:rsidR="008E7846" w:rsidRDefault="00A93AF0" w:rsidP="00E45619">
            <w:r>
              <w:t>Allergan Australia Pty Ltd</w:t>
            </w:r>
          </w:p>
          <w:p w14:paraId="39B1DBD5" w14:textId="77777777" w:rsidR="009B31D7" w:rsidRPr="009B31D7" w:rsidRDefault="009B31D7" w:rsidP="009B31D7">
            <w:r w:rsidRPr="009B31D7">
              <w:t>Locked Bag 1514, P</w:t>
            </w:r>
            <w:r>
              <w:t>ymble</w:t>
            </w:r>
            <w:r w:rsidRPr="009B31D7">
              <w:t>, N</w:t>
            </w:r>
            <w:r>
              <w:t xml:space="preserve">ew </w:t>
            </w:r>
            <w:r w:rsidRPr="009B31D7">
              <w:t>S</w:t>
            </w:r>
            <w:r>
              <w:t xml:space="preserve">outh </w:t>
            </w:r>
            <w:r w:rsidRPr="009B31D7">
              <w:t>W</w:t>
            </w:r>
            <w:r>
              <w:t>ales</w:t>
            </w:r>
            <w:r w:rsidRPr="009B31D7">
              <w:t xml:space="preserve"> 2073</w:t>
            </w:r>
          </w:p>
        </w:tc>
      </w:tr>
      <w:tr w:rsidR="008E7846" w:rsidRPr="00487162" w14:paraId="4B3D73E7" w14:textId="77777777" w:rsidTr="00FB56FE">
        <w:trPr>
          <w:gridAfter w:val="1"/>
          <w:wAfter w:w="283" w:type="dxa"/>
        </w:trPr>
        <w:tc>
          <w:tcPr>
            <w:tcW w:w="2907" w:type="dxa"/>
          </w:tcPr>
          <w:p w14:paraId="20FEAD9A" w14:textId="77777777" w:rsidR="008E7846" w:rsidRPr="00487162" w:rsidRDefault="001B5C90" w:rsidP="00E45619">
            <w:pPr>
              <w:rPr>
                <w:i/>
              </w:rPr>
            </w:pPr>
            <w:r>
              <w:rPr>
                <w:i/>
              </w:rPr>
              <w:t>Dose form(s):</w:t>
            </w:r>
          </w:p>
        </w:tc>
        <w:tc>
          <w:tcPr>
            <w:tcW w:w="6307" w:type="dxa"/>
          </w:tcPr>
          <w:p w14:paraId="6556BA7F" w14:textId="77777777" w:rsidR="008E7846" w:rsidRPr="00487162" w:rsidRDefault="00A93AF0" w:rsidP="00E45619">
            <w:r>
              <w:t>Solution for injection</w:t>
            </w:r>
          </w:p>
        </w:tc>
      </w:tr>
      <w:tr w:rsidR="008E7846" w:rsidRPr="00487162" w14:paraId="1CBD7F48" w14:textId="77777777" w:rsidTr="00FB56FE">
        <w:trPr>
          <w:gridAfter w:val="1"/>
          <w:wAfter w:w="283" w:type="dxa"/>
        </w:trPr>
        <w:tc>
          <w:tcPr>
            <w:tcW w:w="2907" w:type="dxa"/>
          </w:tcPr>
          <w:p w14:paraId="0F942FA0" w14:textId="77777777" w:rsidR="008E7846" w:rsidRPr="00487162" w:rsidRDefault="008E7846" w:rsidP="00E45619">
            <w:pPr>
              <w:rPr>
                <w:i/>
              </w:rPr>
            </w:pPr>
            <w:r w:rsidRPr="00487162">
              <w:rPr>
                <w:i/>
              </w:rPr>
              <w:t xml:space="preserve">Strength(s): </w:t>
            </w:r>
          </w:p>
        </w:tc>
        <w:tc>
          <w:tcPr>
            <w:tcW w:w="6307" w:type="dxa"/>
          </w:tcPr>
          <w:p w14:paraId="42F3C446" w14:textId="77777777" w:rsidR="008E7846" w:rsidRPr="00487162" w:rsidRDefault="00FD55D5" w:rsidP="00FD55D5">
            <w:r>
              <w:t>10 mg/1 mL</w:t>
            </w:r>
          </w:p>
        </w:tc>
      </w:tr>
      <w:tr w:rsidR="008E7846" w:rsidRPr="00487162" w14:paraId="70DBBB81" w14:textId="77777777" w:rsidTr="00FB56FE">
        <w:trPr>
          <w:gridAfter w:val="1"/>
          <w:wAfter w:w="283" w:type="dxa"/>
        </w:trPr>
        <w:tc>
          <w:tcPr>
            <w:tcW w:w="2907" w:type="dxa"/>
          </w:tcPr>
          <w:p w14:paraId="2CC8BC6F" w14:textId="77777777" w:rsidR="008E7846" w:rsidRPr="00487162" w:rsidRDefault="008E7846" w:rsidP="00E45619">
            <w:pPr>
              <w:rPr>
                <w:i/>
              </w:rPr>
            </w:pPr>
            <w:r w:rsidRPr="00487162">
              <w:rPr>
                <w:i/>
              </w:rPr>
              <w:t>Container(s):</w:t>
            </w:r>
          </w:p>
        </w:tc>
        <w:tc>
          <w:tcPr>
            <w:tcW w:w="6307" w:type="dxa"/>
          </w:tcPr>
          <w:p w14:paraId="2BF1A88C" w14:textId="77777777" w:rsidR="008E7846" w:rsidRPr="00487162" w:rsidRDefault="007A2C33" w:rsidP="00E45619">
            <w:r>
              <w:t>Vial</w:t>
            </w:r>
          </w:p>
        </w:tc>
      </w:tr>
      <w:tr w:rsidR="008E7846" w:rsidRPr="00487162" w14:paraId="65617924" w14:textId="77777777" w:rsidTr="00FB56FE">
        <w:trPr>
          <w:gridAfter w:val="1"/>
          <w:wAfter w:w="283" w:type="dxa"/>
        </w:trPr>
        <w:tc>
          <w:tcPr>
            <w:tcW w:w="2907" w:type="dxa"/>
          </w:tcPr>
          <w:p w14:paraId="38B529FE" w14:textId="77777777" w:rsidR="008E7846" w:rsidRPr="00487162" w:rsidRDefault="008E7846" w:rsidP="00E45619">
            <w:pPr>
              <w:rPr>
                <w:i/>
              </w:rPr>
            </w:pPr>
            <w:r w:rsidRPr="00487162">
              <w:rPr>
                <w:i/>
              </w:rPr>
              <w:t>Pack size(s):</w:t>
            </w:r>
          </w:p>
        </w:tc>
        <w:tc>
          <w:tcPr>
            <w:tcW w:w="6307" w:type="dxa"/>
          </w:tcPr>
          <w:p w14:paraId="1918BEEE" w14:textId="77777777" w:rsidR="008E7846" w:rsidRPr="00487162" w:rsidRDefault="007A2C33" w:rsidP="00E45619">
            <w:r>
              <w:t>4 x 2 mL vials</w:t>
            </w:r>
          </w:p>
        </w:tc>
      </w:tr>
      <w:tr w:rsidR="008E7846" w:rsidRPr="00487162" w14:paraId="2B5458AC" w14:textId="77777777" w:rsidTr="00FB56FE">
        <w:trPr>
          <w:gridAfter w:val="1"/>
          <w:wAfter w:w="283" w:type="dxa"/>
        </w:trPr>
        <w:tc>
          <w:tcPr>
            <w:tcW w:w="2907" w:type="dxa"/>
          </w:tcPr>
          <w:p w14:paraId="67713B42"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7DFB435E" w14:textId="77777777" w:rsidR="008E7846" w:rsidRPr="007A2C33" w:rsidRDefault="007A2C33" w:rsidP="007A2C33">
            <w:pPr>
              <w:rPr>
                <w:i/>
              </w:rPr>
            </w:pPr>
            <w:proofErr w:type="spellStart"/>
            <w:r w:rsidRPr="007A2C33">
              <w:rPr>
                <w:i/>
              </w:rPr>
              <w:t>Belkyra</w:t>
            </w:r>
            <w:proofErr w:type="spellEnd"/>
            <w:r w:rsidRPr="007A2C33">
              <w:rPr>
                <w:i/>
              </w:rPr>
              <w:t xml:space="preserve"> (</w:t>
            </w:r>
            <w:proofErr w:type="spellStart"/>
            <w:r w:rsidRPr="007A2C33">
              <w:rPr>
                <w:i/>
              </w:rPr>
              <w:t>deoxycholic</w:t>
            </w:r>
            <w:proofErr w:type="spellEnd"/>
            <w:r w:rsidRPr="007A2C33">
              <w:rPr>
                <w:i/>
              </w:rPr>
              <w:t xml:space="preserve"> acid) injection is indicated for improvement in the appearance of moderate to severe convexity or fullness associated with submental fat in adults</w:t>
            </w:r>
            <w:r>
              <w:rPr>
                <w:i/>
              </w:rPr>
              <w:t>.</w:t>
            </w:r>
          </w:p>
        </w:tc>
      </w:tr>
      <w:tr w:rsidR="008E7846" w:rsidRPr="00487162" w14:paraId="5D6FA049" w14:textId="77777777" w:rsidTr="00FB56FE">
        <w:trPr>
          <w:gridAfter w:val="1"/>
          <w:wAfter w:w="283" w:type="dxa"/>
        </w:trPr>
        <w:tc>
          <w:tcPr>
            <w:tcW w:w="2907" w:type="dxa"/>
          </w:tcPr>
          <w:p w14:paraId="5DDA8B22" w14:textId="77777777" w:rsidR="008E7846" w:rsidRPr="00487162" w:rsidRDefault="008E7846" w:rsidP="00E45619">
            <w:pPr>
              <w:rPr>
                <w:i/>
              </w:rPr>
            </w:pPr>
            <w:r w:rsidRPr="00487162">
              <w:rPr>
                <w:i/>
              </w:rPr>
              <w:t>Route(s) of administration:</w:t>
            </w:r>
          </w:p>
        </w:tc>
        <w:tc>
          <w:tcPr>
            <w:tcW w:w="6307" w:type="dxa"/>
          </w:tcPr>
          <w:p w14:paraId="24189096" w14:textId="77777777" w:rsidR="008E7846" w:rsidRPr="00487162" w:rsidRDefault="007A2C33" w:rsidP="00E45619">
            <w:r>
              <w:t>Subcutaneous (SC)</w:t>
            </w:r>
          </w:p>
        </w:tc>
      </w:tr>
      <w:tr w:rsidR="008E7846" w:rsidRPr="00487162" w14:paraId="5B9966BF" w14:textId="77777777" w:rsidTr="00FB56FE">
        <w:trPr>
          <w:gridAfter w:val="1"/>
          <w:wAfter w:w="283" w:type="dxa"/>
        </w:trPr>
        <w:tc>
          <w:tcPr>
            <w:tcW w:w="2907" w:type="dxa"/>
          </w:tcPr>
          <w:p w14:paraId="1E64E989" w14:textId="77777777" w:rsidR="008E7846" w:rsidRPr="00487162" w:rsidRDefault="008E7846" w:rsidP="00E45619">
            <w:pPr>
              <w:rPr>
                <w:i/>
              </w:rPr>
            </w:pPr>
            <w:r w:rsidRPr="00487162">
              <w:rPr>
                <w:i/>
              </w:rPr>
              <w:t>Dosage:</w:t>
            </w:r>
          </w:p>
        </w:tc>
        <w:tc>
          <w:tcPr>
            <w:tcW w:w="6307" w:type="dxa"/>
          </w:tcPr>
          <w:p w14:paraId="205FFE85" w14:textId="1BDAA752" w:rsidR="00467F59" w:rsidRPr="00467F59" w:rsidRDefault="00467F59" w:rsidP="00467F59">
            <w:pPr>
              <w:rPr>
                <w:i/>
              </w:rPr>
            </w:pPr>
            <w:proofErr w:type="spellStart"/>
            <w:r w:rsidRPr="00467F59">
              <w:rPr>
                <w:i/>
              </w:rPr>
              <w:t>Belkyra</w:t>
            </w:r>
            <w:proofErr w:type="spellEnd"/>
            <w:r w:rsidRPr="00467F59">
              <w:rPr>
                <w:i/>
              </w:rPr>
              <w:t xml:space="preserve"> is injected into subcutaneous fat tissue in th</w:t>
            </w:r>
            <w:r w:rsidR="002E418C">
              <w:rPr>
                <w:i/>
              </w:rPr>
              <w:t>e submental area using an area-</w:t>
            </w:r>
            <w:r w:rsidRPr="00467F59">
              <w:rPr>
                <w:i/>
              </w:rPr>
              <w:t>adjusted dose of 2 mg/cm</w:t>
            </w:r>
            <w:r w:rsidRPr="002E418C">
              <w:rPr>
                <w:i/>
                <w:vertAlign w:val="superscript"/>
              </w:rPr>
              <w:t>2</w:t>
            </w:r>
            <w:r w:rsidRPr="00467F59">
              <w:rPr>
                <w:i/>
              </w:rPr>
              <w:t>.</w:t>
            </w:r>
          </w:p>
          <w:p w14:paraId="1DB3EE50" w14:textId="77777777" w:rsidR="00467F59" w:rsidRPr="00467F59" w:rsidRDefault="00467F59" w:rsidP="00467F59">
            <w:pPr>
              <w:rPr>
                <w:i/>
              </w:rPr>
            </w:pPr>
            <w:r w:rsidRPr="00467F59">
              <w:rPr>
                <w:i/>
              </w:rPr>
              <w:t xml:space="preserve">A single treatment consists of up to a maximum of 50 injections, 0.2 mL each (up to a total of 10 mL), </w:t>
            </w:r>
            <w:proofErr w:type="gramStart"/>
            <w:r w:rsidRPr="00467F59">
              <w:rPr>
                <w:i/>
              </w:rPr>
              <w:t>spaced</w:t>
            </w:r>
            <w:proofErr w:type="gramEnd"/>
            <w:r w:rsidRPr="00467F59">
              <w:rPr>
                <w:i/>
              </w:rPr>
              <w:t xml:space="preserve"> 1 cm apart.</w:t>
            </w:r>
          </w:p>
          <w:p w14:paraId="1ACA3D2B" w14:textId="77777777" w:rsidR="008E7846" w:rsidRPr="00467F59" w:rsidRDefault="00467F59" w:rsidP="00467F59">
            <w:r w:rsidRPr="00467F59">
              <w:rPr>
                <w:i/>
              </w:rPr>
              <w:t>Up to 6 single treatments may be administered at intervals no less than 1 month apart.</w:t>
            </w:r>
          </w:p>
        </w:tc>
      </w:tr>
      <w:tr w:rsidR="008E7846" w:rsidRPr="00487162" w14:paraId="2CDD5CCD" w14:textId="77777777" w:rsidTr="00FB56FE">
        <w:trPr>
          <w:gridAfter w:val="1"/>
          <w:wAfter w:w="283" w:type="dxa"/>
          <w:trHeight w:val="480"/>
        </w:trPr>
        <w:tc>
          <w:tcPr>
            <w:tcW w:w="2907" w:type="dxa"/>
          </w:tcPr>
          <w:p w14:paraId="27079C35" w14:textId="77777777"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14:paraId="6A006987" w14:textId="77777777" w:rsidR="008E7846" w:rsidRPr="00736874" w:rsidRDefault="00736874" w:rsidP="00736874">
            <w:r w:rsidRPr="00736874">
              <w:t>233201</w:t>
            </w:r>
          </w:p>
        </w:tc>
      </w:tr>
    </w:tbl>
    <w:p w14:paraId="433DE882" w14:textId="77777777" w:rsidR="008E7846" w:rsidRDefault="008E7846" w:rsidP="008E7846">
      <w:pPr>
        <w:pStyle w:val="Heading3"/>
      </w:pPr>
      <w:bookmarkStart w:id="13" w:name="_Toc247691503"/>
      <w:bookmarkStart w:id="14" w:name="_Toc314842484"/>
      <w:bookmarkStart w:id="15" w:name="_Toc482015678"/>
      <w:r>
        <w:t>Product background</w:t>
      </w:r>
      <w:bookmarkEnd w:id="13"/>
      <w:bookmarkEnd w:id="14"/>
      <w:bookmarkEnd w:id="15"/>
    </w:p>
    <w:p w14:paraId="70C34DF0" w14:textId="3FCEAFB2" w:rsidR="007E7105" w:rsidRDefault="00940A89" w:rsidP="007E7105">
      <w:r w:rsidRPr="00940A89">
        <w:t>This AusPAR de</w:t>
      </w:r>
      <w:r w:rsidR="005F6BB3">
        <w:t xml:space="preserve">scribes the application by Allergan Australia Pty Ltd to register </w:t>
      </w:r>
      <w:proofErr w:type="spellStart"/>
      <w:r w:rsidR="005F6BB3">
        <w:t>deoxycholic</w:t>
      </w:r>
      <w:proofErr w:type="spellEnd"/>
      <w:r w:rsidR="005F6BB3">
        <w:t xml:space="preserve"> acid</w:t>
      </w:r>
      <w:r w:rsidRPr="00940A89">
        <w:t xml:space="preserve"> for</w:t>
      </w:r>
      <w:r w:rsidR="00FB24BE">
        <w:t xml:space="preserve"> injection (proprietary name: </w:t>
      </w:r>
      <w:proofErr w:type="spellStart"/>
      <w:r w:rsidR="00FB24BE">
        <w:t>Belkyra</w:t>
      </w:r>
      <w:proofErr w:type="spellEnd"/>
      <w:r w:rsidR="00FB24BE">
        <w:t xml:space="preserve">) </w:t>
      </w:r>
      <w:r w:rsidR="007E7105">
        <w:t>as a new chemical entity.</w:t>
      </w:r>
    </w:p>
    <w:p w14:paraId="4E784AF3" w14:textId="08E53275" w:rsidR="006A0AED" w:rsidRDefault="006A0AED" w:rsidP="006A0AED">
      <w:r w:rsidRPr="00940A89">
        <w:t xml:space="preserve">The </w:t>
      </w:r>
      <w:r>
        <w:t xml:space="preserve">proposed indication </w:t>
      </w:r>
      <w:r w:rsidR="00B07441">
        <w:t>is:</w:t>
      </w:r>
    </w:p>
    <w:p w14:paraId="17072A0F" w14:textId="5BCD5E09" w:rsidR="00B07441" w:rsidRDefault="00B07441" w:rsidP="00B07441">
      <w:pPr>
        <w:ind w:left="720"/>
        <w:rPr>
          <w:i/>
        </w:rPr>
      </w:pPr>
      <w:proofErr w:type="gramStart"/>
      <w:r w:rsidRPr="007A2C33">
        <w:rPr>
          <w:i/>
        </w:rPr>
        <w:t>for</w:t>
      </w:r>
      <w:proofErr w:type="gramEnd"/>
      <w:r w:rsidRPr="007A2C33">
        <w:rPr>
          <w:i/>
        </w:rPr>
        <w:t xml:space="preserve"> improvement in the appearance of moderate to severe convexity or fullness associated with submental fat in adults</w:t>
      </w:r>
      <w:r>
        <w:rPr>
          <w:i/>
        </w:rPr>
        <w:t>.</w:t>
      </w:r>
    </w:p>
    <w:p w14:paraId="167E6065" w14:textId="175EA119" w:rsidR="00B03A6C" w:rsidRDefault="00B07441" w:rsidP="00B03A6C">
      <w:r>
        <w:t>This submissio</w:t>
      </w:r>
      <w:r w:rsidR="00B03A6C">
        <w:t xml:space="preserve">n proposes the registration of a single dosage and dose form of the drug product. </w:t>
      </w:r>
      <w:r w:rsidR="00B03A6C" w:rsidRPr="00B03A6C">
        <w:t>The undiluted product is injected into subcutaneous</w:t>
      </w:r>
      <w:r w:rsidR="008B7C4D">
        <w:t xml:space="preserve"> (SC)</w:t>
      </w:r>
      <w:r w:rsidR="00B03A6C" w:rsidRPr="00B03A6C">
        <w:t xml:space="preserve"> fat tissue in the </w:t>
      </w:r>
      <w:r w:rsidR="00B03A6C" w:rsidRPr="00B03A6C">
        <w:lastRenderedPageBreak/>
        <w:t>submental area using an area</w:t>
      </w:r>
      <w:r w:rsidR="00384508">
        <w:t xml:space="preserve"> </w:t>
      </w:r>
      <w:r w:rsidR="00B03A6C" w:rsidRPr="00B03A6C">
        <w:t>adjusted dose of 2 mg/cm</w:t>
      </w:r>
      <w:r w:rsidR="00B03A6C" w:rsidRPr="00B03A6C">
        <w:rPr>
          <w:vertAlign w:val="superscript"/>
        </w:rPr>
        <w:t>2</w:t>
      </w:r>
      <w:r w:rsidR="00B03A6C" w:rsidRPr="00B03A6C">
        <w:t>.</w:t>
      </w:r>
      <w:r w:rsidR="00AD1248">
        <w:t xml:space="preserve"> </w:t>
      </w:r>
      <w:r w:rsidR="00B03A6C" w:rsidRPr="00B03A6C">
        <w:t>A single treatment consists of up to a maximum of 50 injections, 0.2 mL each (up to a total</w:t>
      </w:r>
      <w:r w:rsidR="00AD1248">
        <w:t xml:space="preserve"> of 10 mL), </w:t>
      </w:r>
      <w:r w:rsidR="00404977">
        <w:t>and spaced</w:t>
      </w:r>
      <w:r w:rsidR="00AD1248">
        <w:t xml:space="preserve"> 1 cm apart. </w:t>
      </w:r>
      <w:r w:rsidR="00B03A6C" w:rsidRPr="00B03A6C">
        <w:t xml:space="preserve">The maximum (daily) dose is 100 mg of </w:t>
      </w:r>
      <w:proofErr w:type="spellStart"/>
      <w:r w:rsidR="00B03A6C" w:rsidRPr="00B03A6C">
        <w:t>deoxycholic</w:t>
      </w:r>
      <w:proofErr w:type="spellEnd"/>
      <w:r w:rsidR="00B03A6C" w:rsidRPr="00B03A6C">
        <w:t xml:space="preserve"> acid (or total of 10 mL or 50 x 0.2 mL injections of the prod</w:t>
      </w:r>
      <w:r w:rsidR="00AD1248">
        <w:t xml:space="preserve">uct). </w:t>
      </w:r>
      <w:r w:rsidR="00B03A6C" w:rsidRPr="00B03A6C">
        <w:t>Up to 6 single treatments may be administered at intervals no less than 1 month apart.</w:t>
      </w:r>
    </w:p>
    <w:p w14:paraId="17395313" w14:textId="5D0DE164" w:rsidR="007E7105" w:rsidRPr="009B4281" w:rsidRDefault="007E7105" w:rsidP="009B4281">
      <w:proofErr w:type="spellStart"/>
      <w:r w:rsidRPr="009B4281">
        <w:t>Deoxycholic</w:t>
      </w:r>
      <w:proofErr w:type="spellEnd"/>
      <w:r w:rsidRPr="009B4281">
        <w:t xml:space="preserve"> acid </w:t>
      </w:r>
      <w:r w:rsidR="00AD1248" w:rsidRPr="009B4281">
        <w:t xml:space="preserve">itself </w:t>
      </w:r>
      <w:r w:rsidRPr="009B4281">
        <w:t xml:space="preserve">is a small, fully synthetised new active ingredient that is structurally identical to endogenous </w:t>
      </w:r>
      <w:proofErr w:type="spellStart"/>
      <w:r w:rsidRPr="009B4281">
        <w:t>deoxycholic</w:t>
      </w:r>
      <w:proofErr w:type="spellEnd"/>
      <w:r w:rsidRPr="009B4281">
        <w:t xml:space="preserve"> acid. The product</w:t>
      </w:r>
      <w:r w:rsidR="00340D22">
        <w:t xml:space="preserve"> itself is 1% </w:t>
      </w:r>
      <w:proofErr w:type="spellStart"/>
      <w:r w:rsidR="00340D22">
        <w:t>deoxycholic</w:t>
      </w:r>
      <w:proofErr w:type="spellEnd"/>
      <w:r w:rsidR="00340D22">
        <w:t xml:space="preserve"> acid and t</w:t>
      </w:r>
      <w:r w:rsidR="00340D22" w:rsidRPr="007E7105">
        <w:t>here are no n</w:t>
      </w:r>
      <w:r w:rsidR="00340D22">
        <w:t xml:space="preserve">ovel excipients in the product. </w:t>
      </w:r>
      <w:r w:rsidR="009B4281">
        <w:t>Once injected into submental fat, it results in a reduction of fat</w:t>
      </w:r>
      <w:r w:rsidRPr="009B4281">
        <w:t xml:space="preserve"> </w:t>
      </w:r>
      <w:r w:rsidR="00BB2C2E">
        <w:t xml:space="preserve">by </w:t>
      </w:r>
      <w:r w:rsidRPr="009B4281">
        <w:t>cytolysis of fat cells.</w:t>
      </w:r>
    </w:p>
    <w:p w14:paraId="378FC224" w14:textId="39B1EA46" w:rsidR="00340D22" w:rsidRDefault="009B4281" w:rsidP="009B4281">
      <w:proofErr w:type="spellStart"/>
      <w:r>
        <w:t>Belkyra</w:t>
      </w:r>
      <w:proofErr w:type="spellEnd"/>
      <w:r w:rsidRPr="009B4281">
        <w:t xml:space="preserve"> (</w:t>
      </w:r>
      <w:proofErr w:type="spellStart"/>
      <w:r w:rsidRPr="009B4281">
        <w:t>deoxycholic</w:t>
      </w:r>
      <w:proofErr w:type="spellEnd"/>
      <w:r>
        <w:t xml:space="preserve"> acid) has been developed as a ‘</w:t>
      </w:r>
      <w:r w:rsidRPr="00BB75B1">
        <w:rPr>
          <w:i/>
        </w:rPr>
        <w:t xml:space="preserve">potential first-in-class, </w:t>
      </w:r>
      <w:proofErr w:type="spellStart"/>
      <w:r w:rsidRPr="00BB75B1">
        <w:rPr>
          <w:i/>
        </w:rPr>
        <w:t>adipocytolic</w:t>
      </w:r>
      <w:proofErr w:type="spellEnd"/>
      <w:r w:rsidRPr="00BB75B1">
        <w:rPr>
          <w:i/>
        </w:rPr>
        <w:t>, submental-contouring, injectable drug</w:t>
      </w:r>
      <w:r w:rsidR="00384508">
        <w:t>’</w:t>
      </w:r>
      <w:r w:rsidRPr="009B4281">
        <w:t xml:space="preserve"> for the treatme</w:t>
      </w:r>
      <w:r w:rsidR="00340D22">
        <w:t xml:space="preserve">nt of undesired submental fat. </w:t>
      </w:r>
      <w:proofErr w:type="spellStart"/>
      <w:r w:rsidR="00340D22">
        <w:t>Belkyra</w:t>
      </w:r>
      <w:proofErr w:type="spellEnd"/>
      <w:r w:rsidRPr="009B4281">
        <w:t xml:space="preserve"> </w:t>
      </w:r>
      <w:r w:rsidR="00384508">
        <w:t>is</w:t>
      </w:r>
      <w:r w:rsidRPr="009B4281">
        <w:t xml:space="preserve"> a cosmetic treatment for submental fat that presents as </w:t>
      </w:r>
      <w:r w:rsidR="00340D22">
        <w:t>‘</w:t>
      </w:r>
      <w:r w:rsidRPr="00BB75B1">
        <w:rPr>
          <w:i/>
        </w:rPr>
        <w:t>an unappealing submental profile, convexity or fullness that negatively affects the satisfaction and well-being of a substantial proportion of the population</w:t>
      </w:r>
      <w:r w:rsidR="00340D22" w:rsidRPr="00BB75B1">
        <w:rPr>
          <w:i/>
        </w:rPr>
        <w:t>’</w:t>
      </w:r>
      <w:r w:rsidR="00340D22">
        <w:t>.</w:t>
      </w:r>
      <w:r w:rsidR="0062130D">
        <w:t xml:space="preserve"> </w:t>
      </w:r>
      <w:r w:rsidR="0062130D" w:rsidRPr="009B4281">
        <w:t xml:space="preserve">Submental fat is a common condition and is not related to </w:t>
      </w:r>
      <w:r w:rsidR="0062130D">
        <w:t xml:space="preserve">any co-morbidity. </w:t>
      </w:r>
      <w:r w:rsidR="0062130D" w:rsidRPr="009B4281">
        <w:t>It is more common with aging and</w:t>
      </w:r>
      <w:r w:rsidR="0062130D">
        <w:t xml:space="preserve"> occurs in both men and women. </w:t>
      </w:r>
      <w:r w:rsidR="0062130D" w:rsidRPr="009B4281">
        <w:t xml:space="preserve">Not all subjects with </w:t>
      </w:r>
      <w:r w:rsidR="0062130D">
        <w:t>submental fat</w:t>
      </w:r>
      <w:r w:rsidR="0062130D" w:rsidRPr="009B4281">
        <w:t xml:space="preserve"> are bothered by the condition, as the </w:t>
      </w:r>
      <w:r w:rsidR="0062130D">
        <w:t>sponsor reports that ‘</w:t>
      </w:r>
      <w:r w:rsidR="0062130D" w:rsidRPr="00BB75B1">
        <w:rPr>
          <w:i/>
        </w:rPr>
        <w:t>34% of those with marked submental fat reported being bothered by their submental fat</w:t>
      </w:r>
      <w:r w:rsidR="0062130D">
        <w:t>’ h</w:t>
      </w:r>
      <w:r w:rsidR="0062130D" w:rsidRPr="009B4281">
        <w:t xml:space="preserve">ence, the morbidity associated with </w:t>
      </w:r>
      <w:r w:rsidR="0062130D">
        <w:t>the condition is psychosocial.</w:t>
      </w:r>
    </w:p>
    <w:p w14:paraId="59D1299B" w14:textId="4053BD26" w:rsidR="009B4281" w:rsidRDefault="009B4281" w:rsidP="009B4281">
      <w:r w:rsidRPr="009B4281">
        <w:t>Currently available treatments for this condition are limited and include surgical procedures performed under general anaesth</w:t>
      </w:r>
      <w:r w:rsidR="00340D22">
        <w:t xml:space="preserve">etic and targeted liposuction. </w:t>
      </w:r>
      <w:r w:rsidRPr="009B4281">
        <w:t>These currently available treatments can be associated with significant morbidity and may have a suboptimal outcome.</w:t>
      </w:r>
    </w:p>
    <w:p w14:paraId="6602D5EB" w14:textId="7895BFFA" w:rsidR="00DE40F6" w:rsidRPr="00C32988" w:rsidRDefault="00DE40F6" w:rsidP="00C32988">
      <w:proofErr w:type="spellStart"/>
      <w:r w:rsidRPr="00C32988">
        <w:t>Belkyra</w:t>
      </w:r>
      <w:proofErr w:type="spellEnd"/>
      <w:r w:rsidRPr="00C32988">
        <w:t xml:space="preserve"> was originally submitted </w:t>
      </w:r>
      <w:r w:rsidR="00384508">
        <w:t xml:space="preserve">to the TGA </w:t>
      </w:r>
      <w:r w:rsidR="00597A5B">
        <w:t xml:space="preserve">for evaluation </w:t>
      </w:r>
      <w:r w:rsidRPr="00C32988">
        <w:t xml:space="preserve">under the proprietary </w:t>
      </w:r>
      <w:r w:rsidR="00962979">
        <w:t xml:space="preserve">drug product </w:t>
      </w:r>
      <w:r w:rsidRPr="00C32988">
        <w:t xml:space="preserve">name </w:t>
      </w:r>
      <w:r w:rsidR="00962979">
        <w:t>‘</w:t>
      </w:r>
      <w:proofErr w:type="spellStart"/>
      <w:r w:rsidRPr="00C32988">
        <w:t>Kybella</w:t>
      </w:r>
      <w:proofErr w:type="spellEnd"/>
      <w:r w:rsidR="00962979">
        <w:t>’</w:t>
      </w:r>
      <w:r w:rsidRPr="00C32988">
        <w:t xml:space="preserve"> by </w:t>
      </w:r>
      <w:proofErr w:type="spellStart"/>
      <w:r w:rsidR="00F151BE" w:rsidRPr="00C32988">
        <w:t>Kythera</w:t>
      </w:r>
      <w:proofErr w:type="spellEnd"/>
      <w:r w:rsidR="00F151BE" w:rsidRPr="00C32988">
        <w:t xml:space="preserve"> Pharmaceuticals Australia Pty Ltd. </w:t>
      </w:r>
      <w:r w:rsidR="00597A5B">
        <w:t xml:space="preserve">After Round 2 of the clinical evaluation, </w:t>
      </w:r>
      <w:r w:rsidR="00384508">
        <w:t xml:space="preserve">the </w:t>
      </w:r>
      <w:r w:rsidR="00F151BE" w:rsidRPr="00C32988">
        <w:t>proprietary product n</w:t>
      </w:r>
      <w:r w:rsidR="00F60177" w:rsidRPr="00C32988">
        <w:t xml:space="preserve">ame was changed </w:t>
      </w:r>
      <w:r w:rsidR="00597A5B">
        <w:t xml:space="preserve">from </w:t>
      </w:r>
      <w:proofErr w:type="spellStart"/>
      <w:r w:rsidR="00597A5B">
        <w:t>Kybella</w:t>
      </w:r>
      <w:proofErr w:type="spellEnd"/>
      <w:r w:rsidR="00597A5B">
        <w:t xml:space="preserve"> to</w:t>
      </w:r>
      <w:r w:rsidR="00F60177" w:rsidRPr="00C32988">
        <w:t xml:space="preserve"> </w:t>
      </w:r>
      <w:proofErr w:type="spellStart"/>
      <w:r w:rsidR="00F60177" w:rsidRPr="00C32988">
        <w:t>Belkyra</w:t>
      </w:r>
      <w:proofErr w:type="spellEnd"/>
      <w:r w:rsidR="00F60177" w:rsidRPr="00C32988">
        <w:t xml:space="preserve"> and </w:t>
      </w:r>
      <w:r w:rsidR="00504B31">
        <w:t xml:space="preserve">transferred from </w:t>
      </w:r>
      <w:proofErr w:type="spellStart"/>
      <w:r w:rsidR="00504B31">
        <w:t>Kythera</w:t>
      </w:r>
      <w:proofErr w:type="spellEnd"/>
      <w:r w:rsidR="00504B31">
        <w:t xml:space="preserve"> Pharmaceuticals</w:t>
      </w:r>
      <w:r w:rsidR="00962979">
        <w:t xml:space="preserve"> Australia Pty Ltd to</w:t>
      </w:r>
      <w:r w:rsidR="00504B31">
        <w:t xml:space="preserve"> </w:t>
      </w:r>
      <w:r w:rsidR="00F60177" w:rsidRPr="00C32988">
        <w:t xml:space="preserve">Allergan Australia Pty Ltd. </w:t>
      </w:r>
      <w:r w:rsidR="00504B31">
        <w:t>T</w:t>
      </w:r>
      <w:r w:rsidR="00F60177" w:rsidRPr="00C32988">
        <w:t xml:space="preserve">hese changes are discussed </w:t>
      </w:r>
      <w:r w:rsidR="00504B31">
        <w:t>in the summary of</w:t>
      </w:r>
      <w:r w:rsidR="00962979">
        <w:t xml:space="preserve"> Delegate’s overview found under the section ‘</w:t>
      </w:r>
      <w:r w:rsidR="00962979" w:rsidRPr="00BB75B1">
        <w:rPr>
          <w:i/>
        </w:rPr>
        <w:t xml:space="preserve">Overall conclusion and risk/benefit assessment </w:t>
      </w:r>
      <w:r w:rsidR="009A6CCF" w:rsidRPr="00BB75B1">
        <w:rPr>
          <w:i/>
        </w:rPr>
        <w:t>of this document</w:t>
      </w:r>
      <w:r w:rsidR="00962979">
        <w:t>’ towards the end of this AusPAR. F</w:t>
      </w:r>
      <w:r w:rsidR="00F60177" w:rsidRPr="00C32988">
        <w:t>or</w:t>
      </w:r>
      <w:r w:rsidR="00962979">
        <w:t xml:space="preserve"> clarity and</w:t>
      </w:r>
      <w:r w:rsidR="00F60177" w:rsidRPr="00C32988">
        <w:t xml:space="preserve"> continuity</w:t>
      </w:r>
      <w:r w:rsidR="009A6CCF" w:rsidRPr="00C32988">
        <w:t xml:space="preserve">, </w:t>
      </w:r>
      <w:r w:rsidR="00504B31">
        <w:t xml:space="preserve">where the </w:t>
      </w:r>
      <w:r w:rsidR="00962979">
        <w:t xml:space="preserve">drug product is mentioned by </w:t>
      </w:r>
      <w:proofErr w:type="spellStart"/>
      <w:r w:rsidR="00962979">
        <w:t>tradename</w:t>
      </w:r>
      <w:proofErr w:type="spellEnd"/>
      <w:r w:rsidR="00962979">
        <w:t>,</w:t>
      </w:r>
      <w:r w:rsidR="00504B31">
        <w:t xml:space="preserve"> </w:t>
      </w:r>
      <w:proofErr w:type="spellStart"/>
      <w:r w:rsidR="009A6CCF" w:rsidRPr="00C32988">
        <w:t>Belkyra</w:t>
      </w:r>
      <w:proofErr w:type="spellEnd"/>
      <w:r w:rsidR="009A6CCF" w:rsidRPr="00C32988">
        <w:t xml:space="preserve"> has been used throughout this document.</w:t>
      </w:r>
    </w:p>
    <w:p w14:paraId="606E4DA2" w14:textId="77777777" w:rsidR="008E7846" w:rsidRPr="003F31A2" w:rsidRDefault="00386150" w:rsidP="008E7846">
      <w:pPr>
        <w:pStyle w:val="Heading3"/>
      </w:pPr>
      <w:bookmarkStart w:id="16" w:name="_Toc314842485"/>
      <w:bookmarkStart w:id="17" w:name="_Toc247691504"/>
      <w:bookmarkStart w:id="18" w:name="_Toc482015679"/>
      <w:r>
        <w:t>Regulatory s</w:t>
      </w:r>
      <w:r w:rsidR="008E7846">
        <w:t>tatus</w:t>
      </w:r>
      <w:bookmarkEnd w:id="16"/>
      <w:bookmarkEnd w:id="17"/>
      <w:bookmarkEnd w:id="18"/>
    </w:p>
    <w:p w14:paraId="02A5174C" w14:textId="76CAF2E1" w:rsidR="00940A89" w:rsidRPr="00940A89" w:rsidRDefault="00940A89" w:rsidP="00940A89">
      <w:bookmarkStart w:id="19" w:name="_Toc247691505"/>
      <w:bookmarkStart w:id="20" w:name="_Toc314842486"/>
      <w:r w:rsidRPr="00940A89">
        <w:t>The product received initial registration on the Australian Register</w:t>
      </w:r>
      <w:r w:rsidR="00736874">
        <w:t xml:space="preserve"> of Therapeutic Goods (ARTG) on 21 </w:t>
      </w:r>
      <w:r w:rsidR="00736874" w:rsidRPr="00770F47">
        <w:t>July 2016</w:t>
      </w:r>
      <w:r w:rsidR="00384508" w:rsidRPr="00770F47">
        <w:t xml:space="preserve"> (this application)</w:t>
      </w:r>
      <w:r w:rsidR="00736874" w:rsidRPr="00404977">
        <w:t>.</w:t>
      </w:r>
    </w:p>
    <w:p w14:paraId="127B711D" w14:textId="4F2724FB" w:rsidR="00940A89" w:rsidRDefault="00940A89" w:rsidP="00940A89">
      <w:r w:rsidRPr="00940A89">
        <w:t>At the time the TGA</w:t>
      </w:r>
      <w:r w:rsidR="00CE515F">
        <w:t xml:space="preserve"> considered this application, </w:t>
      </w:r>
      <w:r w:rsidRPr="00940A89">
        <w:t>simila</w:t>
      </w:r>
      <w:r w:rsidR="0062460E">
        <w:t>r application</w:t>
      </w:r>
      <w:r w:rsidR="00A91576">
        <w:t>s</w:t>
      </w:r>
      <w:r w:rsidR="0062460E">
        <w:t xml:space="preserve"> </w:t>
      </w:r>
      <w:r w:rsidR="00A91576">
        <w:t>were</w:t>
      </w:r>
      <w:r w:rsidR="0062460E">
        <w:t xml:space="preserve"> approved</w:t>
      </w:r>
      <w:r w:rsidR="002F1F30">
        <w:t xml:space="preserve"> </w:t>
      </w:r>
      <w:r w:rsidR="00A91576">
        <w:t>or under</w:t>
      </w:r>
      <w:r w:rsidR="00722BE6">
        <w:t xml:space="preserve"> consideration in other jurisdictions as summarised in Table </w:t>
      </w:r>
      <w:r w:rsidR="00E20CC6">
        <w:t>1</w:t>
      </w:r>
      <w:r w:rsidR="00722BE6">
        <w:t xml:space="preserve"> below.</w:t>
      </w:r>
    </w:p>
    <w:p w14:paraId="1F25780B" w14:textId="38984B34" w:rsidR="00722BE6" w:rsidRDefault="00CE515F" w:rsidP="00CE515F">
      <w:pPr>
        <w:pStyle w:val="TableTitle"/>
      </w:pPr>
      <w:r>
        <w:t xml:space="preserve">Table </w:t>
      </w:r>
      <w:r w:rsidR="00962979">
        <w:t>1</w:t>
      </w:r>
      <w:r w:rsidR="00404977">
        <w:t>:</w:t>
      </w:r>
      <w:r>
        <w:t xml:space="preserve"> </w:t>
      </w:r>
      <w:r w:rsidR="00962979">
        <w:t>International r</w:t>
      </w:r>
      <w:r>
        <w:t>egulatory status</w:t>
      </w:r>
    </w:p>
    <w:tbl>
      <w:tblPr>
        <w:tblStyle w:val="TableTGAblue"/>
        <w:tblW w:w="0" w:type="auto"/>
        <w:tblLook w:val="04A0" w:firstRow="1" w:lastRow="0" w:firstColumn="1" w:lastColumn="0" w:noHBand="0" w:noVBand="1"/>
      </w:tblPr>
      <w:tblGrid>
        <w:gridCol w:w="1746"/>
        <w:gridCol w:w="1725"/>
        <w:gridCol w:w="1546"/>
        <w:gridCol w:w="3703"/>
      </w:tblGrid>
      <w:tr w:rsidR="008F565D" w:rsidRPr="008F565D" w14:paraId="2805782D" w14:textId="77777777" w:rsidTr="00BB75B1">
        <w:trPr>
          <w:cnfStyle w:val="100000000000" w:firstRow="1" w:lastRow="0" w:firstColumn="0" w:lastColumn="0" w:oddVBand="0" w:evenVBand="0" w:oddHBand="0" w:evenHBand="0" w:firstRowFirstColumn="0" w:firstRowLastColumn="0" w:lastRowFirstColumn="0" w:lastRowLastColumn="0"/>
          <w:cantSplit/>
          <w:trHeight w:val="766"/>
        </w:trPr>
        <w:tc>
          <w:tcPr>
            <w:tcW w:w="1468" w:type="dxa"/>
          </w:tcPr>
          <w:p w14:paraId="3452368E" w14:textId="77777777" w:rsidR="001854EB" w:rsidRPr="008F565D" w:rsidRDefault="001854EB" w:rsidP="00FB56FE">
            <w:r w:rsidRPr="008F565D">
              <w:t>Jurisdiction</w:t>
            </w:r>
          </w:p>
        </w:tc>
        <w:tc>
          <w:tcPr>
            <w:tcW w:w="1449" w:type="dxa"/>
          </w:tcPr>
          <w:p w14:paraId="5103B070" w14:textId="77777777" w:rsidR="001854EB" w:rsidRPr="008F565D" w:rsidRDefault="001854EB" w:rsidP="00FB56FE">
            <w:r w:rsidRPr="008F565D">
              <w:t>Submission date</w:t>
            </w:r>
          </w:p>
        </w:tc>
        <w:tc>
          <w:tcPr>
            <w:tcW w:w="1456" w:type="dxa"/>
          </w:tcPr>
          <w:p w14:paraId="1594A423" w14:textId="77777777" w:rsidR="001854EB" w:rsidRPr="008F565D" w:rsidRDefault="001854EB" w:rsidP="00FB56FE">
            <w:r w:rsidRPr="008F565D">
              <w:t>Approval date</w:t>
            </w:r>
          </w:p>
        </w:tc>
        <w:tc>
          <w:tcPr>
            <w:tcW w:w="4347" w:type="dxa"/>
          </w:tcPr>
          <w:p w14:paraId="02699854" w14:textId="77777777" w:rsidR="001854EB" w:rsidRPr="008F565D" w:rsidRDefault="001854EB" w:rsidP="00FB56FE">
            <w:r w:rsidRPr="008F565D">
              <w:t>Indications</w:t>
            </w:r>
          </w:p>
        </w:tc>
      </w:tr>
      <w:tr w:rsidR="008F565D" w:rsidRPr="008F565D" w14:paraId="72C1AFD4" w14:textId="77777777" w:rsidTr="008F565D">
        <w:tc>
          <w:tcPr>
            <w:tcW w:w="1468" w:type="dxa"/>
          </w:tcPr>
          <w:p w14:paraId="74E02FE3" w14:textId="77777777" w:rsidR="001854EB" w:rsidRPr="008F565D" w:rsidRDefault="001854EB" w:rsidP="00FB56FE">
            <w:r w:rsidRPr="008F565D">
              <w:t>Canada</w:t>
            </w:r>
          </w:p>
        </w:tc>
        <w:tc>
          <w:tcPr>
            <w:tcW w:w="1449" w:type="dxa"/>
          </w:tcPr>
          <w:p w14:paraId="579A0AA1" w14:textId="0C8A5642" w:rsidR="001854EB" w:rsidRPr="008F565D" w:rsidRDefault="001854EB" w:rsidP="00FB56FE">
            <w:r w:rsidRPr="008F565D">
              <w:t>Aug</w:t>
            </w:r>
            <w:r w:rsidR="00722BE6" w:rsidRPr="008F565D">
              <w:t>ust</w:t>
            </w:r>
            <w:r w:rsidR="008F565D">
              <w:t xml:space="preserve"> </w:t>
            </w:r>
            <w:r w:rsidRPr="008F565D">
              <w:t>2014</w:t>
            </w:r>
          </w:p>
        </w:tc>
        <w:tc>
          <w:tcPr>
            <w:tcW w:w="1456" w:type="dxa"/>
          </w:tcPr>
          <w:p w14:paraId="4B96A35F" w14:textId="63D205EC" w:rsidR="001854EB" w:rsidRPr="008F565D" w:rsidRDefault="001854EB" w:rsidP="00FB56FE">
            <w:r w:rsidRPr="008F565D">
              <w:t>Apr</w:t>
            </w:r>
            <w:r w:rsidR="004637AB" w:rsidRPr="008F565D">
              <w:t>il</w:t>
            </w:r>
            <w:r w:rsidRPr="008F565D">
              <w:t xml:space="preserve"> 2015</w:t>
            </w:r>
          </w:p>
        </w:tc>
        <w:tc>
          <w:tcPr>
            <w:tcW w:w="4347" w:type="dxa"/>
          </w:tcPr>
          <w:p w14:paraId="79815C5F" w14:textId="6D14C099" w:rsidR="001854EB" w:rsidRPr="008F565D" w:rsidRDefault="00CE515F" w:rsidP="00FB56FE">
            <w:r w:rsidRPr="008F565D">
              <w:t>For the ‘</w:t>
            </w:r>
            <w:r w:rsidRPr="00BB75B1">
              <w:rPr>
                <w:i/>
              </w:rPr>
              <w:t>improvement in the appearance of moderate to severe convexity or fullness associated with submental fat in adults’</w:t>
            </w:r>
          </w:p>
        </w:tc>
      </w:tr>
      <w:tr w:rsidR="008F565D" w:rsidRPr="008F565D" w14:paraId="646E5D79" w14:textId="77777777" w:rsidTr="008F565D">
        <w:tc>
          <w:tcPr>
            <w:tcW w:w="1468" w:type="dxa"/>
          </w:tcPr>
          <w:p w14:paraId="0B835A05" w14:textId="77777777" w:rsidR="001854EB" w:rsidRPr="008F565D" w:rsidRDefault="001854EB" w:rsidP="00FB56FE">
            <w:r w:rsidRPr="008F565D">
              <w:t>US</w:t>
            </w:r>
          </w:p>
        </w:tc>
        <w:tc>
          <w:tcPr>
            <w:tcW w:w="1449" w:type="dxa"/>
          </w:tcPr>
          <w:p w14:paraId="49212AFD" w14:textId="321BDEBF" w:rsidR="001854EB" w:rsidRPr="008F565D" w:rsidRDefault="001854EB" w:rsidP="00FB56FE">
            <w:r w:rsidRPr="008F565D">
              <w:t>Aug</w:t>
            </w:r>
            <w:r w:rsidR="008F565D">
              <w:t>ust</w:t>
            </w:r>
            <w:r w:rsidRPr="008F565D">
              <w:t xml:space="preserve"> 2014</w:t>
            </w:r>
          </w:p>
        </w:tc>
        <w:tc>
          <w:tcPr>
            <w:tcW w:w="1456" w:type="dxa"/>
          </w:tcPr>
          <w:p w14:paraId="187AF618" w14:textId="2D156BD0" w:rsidR="001854EB" w:rsidRPr="008F565D" w:rsidRDefault="001854EB" w:rsidP="00FB56FE">
            <w:r w:rsidRPr="008F565D">
              <w:t>Jul</w:t>
            </w:r>
            <w:r w:rsidR="00CE515F">
              <w:t>y</w:t>
            </w:r>
            <w:r w:rsidRPr="008F565D">
              <w:t xml:space="preserve"> 2015</w:t>
            </w:r>
          </w:p>
        </w:tc>
        <w:tc>
          <w:tcPr>
            <w:tcW w:w="4347" w:type="dxa"/>
          </w:tcPr>
          <w:p w14:paraId="403FA374" w14:textId="77777777" w:rsidR="001854EB" w:rsidRPr="008F565D" w:rsidRDefault="001854EB" w:rsidP="00FB56FE">
            <w:r w:rsidRPr="008F565D">
              <w:t>As above</w:t>
            </w:r>
          </w:p>
        </w:tc>
      </w:tr>
      <w:tr w:rsidR="008F565D" w:rsidRPr="008F565D" w14:paraId="078E8D2A" w14:textId="77777777" w:rsidTr="008F565D">
        <w:tc>
          <w:tcPr>
            <w:tcW w:w="1468" w:type="dxa"/>
          </w:tcPr>
          <w:p w14:paraId="7904DDF8" w14:textId="77777777" w:rsidR="001854EB" w:rsidRPr="008F565D" w:rsidRDefault="001854EB" w:rsidP="00FB56FE">
            <w:r w:rsidRPr="008F565D">
              <w:lastRenderedPageBreak/>
              <w:t>Switzerland</w:t>
            </w:r>
          </w:p>
        </w:tc>
        <w:tc>
          <w:tcPr>
            <w:tcW w:w="1449" w:type="dxa"/>
          </w:tcPr>
          <w:p w14:paraId="4AC46C54" w14:textId="723D04C6" w:rsidR="001854EB" w:rsidRPr="008F565D" w:rsidRDefault="001854EB" w:rsidP="00FB56FE">
            <w:r w:rsidRPr="008F565D">
              <w:t>Oct</w:t>
            </w:r>
            <w:r w:rsidR="008F565D">
              <w:t>ober</w:t>
            </w:r>
            <w:r w:rsidRPr="008F565D">
              <w:t xml:space="preserve"> 2014</w:t>
            </w:r>
          </w:p>
        </w:tc>
        <w:tc>
          <w:tcPr>
            <w:tcW w:w="1456" w:type="dxa"/>
          </w:tcPr>
          <w:p w14:paraId="6C7CA875" w14:textId="77777777" w:rsidR="001854EB" w:rsidRPr="008F565D" w:rsidRDefault="001854EB" w:rsidP="00FB56FE">
            <w:r w:rsidRPr="008F565D">
              <w:t>Under evaluation</w:t>
            </w:r>
          </w:p>
        </w:tc>
        <w:tc>
          <w:tcPr>
            <w:tcW w:w="4347" w:type="dxa"/>
          </w:tcPr>
          <w:p w14:paraId="05577776" w14:textId="77777777" w:rsidR="001854EB" w:rsidRPr="008F565D" w:rsidRDefault="001854EB" w:rsidP="00FB56FE">
            <w:r w:rsidRPr="008F565D">
              <w:t>As above</w:t>
            </w:r>
          </w:p>
        </w:tc>
      </w:tr>
      <w:tr w:rsidR="008F565D" w:rsidRPr="008F565D" w14:paraId="3B085844" w14:textId="77777777" w:rsidTr="008F565D">
        <w:trPr>
          <w:trHeight w:val="703"/>
        </w:trPr>
        <w:tc>
          <w:tcPr>
            <w:tcW w:w="1468" w:type="dxa"/>
          </w:tcPr>
          <w:p w14:paraId="6E076285" w14:textId="62E04564" w:rsidR="001854EB" w:rsidRPr="00E20CC6" w:rsidRDefault="008F565D" w:rsidP="00FB56FE">
            <w:pPr>
              <w:rPr>
                <w:vertAlign w:val="superscript"/>
              </w:rPr>
            </w:pPr>
            <w:r>
              <w:t>EU</w:t>
            </w:r>
            <w:r w:rsidR="00E20CC6">
              <w:rPr>
                <w:vertAlign w:val="superscript"/>
              </w:rPr>
              <w:t>1</w:t>
            </w:r>
          </w:p>
        </w:tc>
        <w:tc>
          <w:tcPr>
            <w:tcW w:w="1449" w:type="dxa"/>
          </w:tcPr>
          <w:p w14:paraId="2C5B8AD8" w14:textId="5DE4EED1" w:rsidR="001854EB" w:rsidRPr="008F565D" w:rsidRDefault="00BB2C2E" w:rsidP="00FB56FE">
            <w:r>
              <w:t>30 June 2016</w:t>
            </w:r>
          </w:p>
        </w:tc>
        <w:tc>
          <w:tcPr>
            <w:tcW w:w="1456" w:type="dxa"/>
          </w:tcPr>
          <w:p w14:paraId="4EEA4421" w14:textId="32AA9D45" w:rsidR="001854EB" w:rsidRPr="008F565D" w:rsidRDefault="00BB2C2E" w:rsidP="00FB56FE">
            <w:r>
              <w:t>Positive opinion</w:t>
            </w:r>
          </w:p>
        </w:tc>
        <w:tc>
          <w:tcPr>
            <w:tcW w:w="4347" w:type="dxa"/>
          </w:tcPr>
          <w:p w14:paraId="0C4480A8" w14:textId="5BFDA7A6" w:rsidR="001854EB" w:rsidRPr="008F565D" w:rsidRDefault="001854EB" w:rsidP="00FB56FE">
            <w:r w:rsidRPr="008F565D">
              <w:t xml:space="preserve">As above </w:t>
            </w:r>
            <w:r w:rsidR="00CE515F">
              <w:t>with the addition of ‘</w:t>
            </w:r>
            <w:r w:rsidRPr="00BB75B1">
              <w:rPr>
                <w:i/>
              </w:rPr>
              <w:t>when the presence of submental fat has a psychological impact for the patient</w:t>
            </w:r>
            <w:r w:rsidR="00CE515F">
              <w:t>’</w:t>
            </w:r>
          </w:p>
        </w:tc>
      </w:tr>
    </w:tbl>
    <w:p w14:paraId="636CD39D" w14:textId="3FB166C1" w:rsidR="001854EB" w:rsidRDefault="00E20CC6" w:rsidP="00E20CC6">
      <w:pPr>
        <w:pStyle w:val="TableDescription"/>
      </w:pPr>
      <w:r w:rsidRPr="00E20CC6">
        <w:t>(1</w:t>
      </w:r>
      <w:r>
        <w:t xml:space="preserve">) </w:t>
      </w:r>
      <w:r w:rsidR="00CE515F">
        <w:t xml:space="preserve">Via the Decentralised Procedure with Sweden </w:t>
      </w:r>
      <w:r w:rsidR="004D6429">
        <w:t xml:space="preserve">acting </w:t>
      </w:r>
      <w:r w:rsidR="00CE515F">
        <w:t>as Reference Member State</w:t>
      </w:r>
    </w:p>
    <w:p w14:paraId="24AF2959" w14:textId="31D19EB9" w:rsidR="008E7846" w:rsidRDefault="008E7846" w:rsidP="00940A89">
      <w:pPr>
        <w:pStyle w:val="Heading3"/>
      </w:pPr>
      <w:bookmarkStart w:id="21" w:name="_Toc482015680"/>
      <w:r>
        <w:t xml:space="preserve">Product </w:t>
      </w:r>
      <w:r w:rsidR="00FB56FE">
        <w:t>i</w:t>
      </w:r>
      <w:r>
        <w:t>nformation</w:t>
      </w:r>
      <w:bookmarkEnd w:id="19"/>
      <w:bookmarkEnd w:id="20"/>
      <w:bookmarkEnd w:id="21"/>
    </w:p>
    <w:p w14:paraId="6ED21492" w14:textId="77777777" w:rsidR="00940A89" w:rsidRDefault="006136D7" w:rsidP="00940A89">
      <w:pPr>
        <w:rPr>
          <w:b/>
          <w:bCs/>
        </w:rPr>
      </w:pPr>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14:paraId="0C6C0BB2" w14:textId="77777777" w:rsidR="008E7846" w:rsidRPr="003602A9" w:rsidRDefault="008E7846" w:rsidP="008E7846">
      <w:pPr>
        <w:pStyle w:val="Heading2"/>
        <w:ind w:left="-11"/>
      </w:pPr>
      <w:bookmarkStart w:id="24" w:name="_Toc482015681"/>
      <w:r>
        <w:t>II. Quality</w:t>
      </w:r>
      <w:bookmarkEnd w:id="2"/>
      <w:r>
        <w:t xml:space="preserve"> findings</w:t>
      </w:r>
      <w:bookmarkEnd w:id="22"/>
      <w:bookmarkEnd w:id="23"/>
      <w:bookmarkEnd w:id="24"/>
    </w:p>
    <w:p w14:paraId="28095972" w14:textId="4E5FC60E" w:rsidR="00940A89" w:rsidRPr="00940A89" w:rsidRDefault="00940A89" w:rsidP="00940A89">
      <w:pPr>
        <w:pStyle w:val="Heading3"/>
        <w:rPr>
          <w:rFonts w:ascii="Cambria" w:eastAsia="Cambria" w:hAnsi="Cambria"/>
          <w:b w:val="0"/>
          <w:bCs w:val="0"/>
          <w:i/>
          <w:szCs w:val="22"/>
        </w:rPr>
      </w:pPr>
      <w:bookmarkStart w:id="25" w:name="_Toc482015682"/>
      <w:bookmarkStart w:id="26" w:name="_Toc247691507"/>
      <w:bookmarkStart w:id="27" w:name="_Toc314842488"/>
      <w:r w:rsidRPr="00940A89">
        <w:t>Introduction</w:t>
      </w:r>
      <w:bookmarkEnd w:id="25"/>
    </w:p>
    <w:p w14:paraId="09B94395" w14:textId="728B1081" w:rsidR="00C35D27" w:rsidRDefault="00C35D27" w:rsidP="00C35D27">
      <w:proofErr w:type="spellStart"/>
      <w:r w:rsidRPr="00C35D27">
        <w:t>Deoxycholic</w:t>
      </w:r>
      <w:proofErr w:type="spellEnd"/>
      <w:r w:rsidRPr="00C35D27">
        <w:t xml:space="preserve"> acid (s</w:t>
      </w:r>
      <w:r w:rsidR="00E20CC6">
        <w:t>tructure shown in Figure 1 below</w:t>
      </w:r>
      <w:r w:rsidRPr="00C35D27">
        <w:t xml:space="preserve">) is an endogenous bile acid that solubilises dietary lipids in the digestive tract of humans and other animals thereby aiding in digestion and absorption of fats. The </w:t>
      </w:r>
      <w:proofErr w:type="spellStart"/>
      <w:r w:rsidRPr="00C35D27">
        <w:t>deoxycholic</w:t>
      </w:r>
      <w:proofErr w:type="spellEnd"/>
      <w:r w:rsidRPr="00C35D27">
        <w:t xml:space="preserve"> acid drug substance used in the p</w:t>
      </w:r>
      <w:r w:rsidR="004D6429">
        <w:t>roduct is synthetically derived.</w:t>
      </w:r>
    </w:p>
    <w:p w14:paraId="4BA0500D" w14:textId="278210E0" w:rsidR="004D6429" w:rsidRPr="00C35D27" w:rsidRDefault="004D6429" w:rsidP="004D6429">
      <w:pPr>
        <w:pStyle w:val="FigureTitle"/>
      </w:pPr>
      <w:r>
        <w:t xml:space="preserve">Figure </w:t>
      </w:r>
      <w:r w:rsidR="00E20CC6">
        <w:t>1</w:t>
      </w:r>
      <w:r w:rsidR="00DE7268">
        <w:t>:</w:t>
      </w:r>
      <w:r>
        <w:t xml:space="preserve"> </w:t>
      </w:r>
      <w:proofErr w:type="spellStart"/>
      <w:r>
        <w:t>Deoxycholic</w:t>
      </w:r>
      <w:proofErr w:type="spellEnd"/>
      <w:r>
        <w:t xml:space="preserve"> acid drug structure</w:t>
      </w:r>
    </w:p>
    <w:p w14:paraId="23626473" w14:textId="77777777" w:rsidR="00C35D27" w:rsidRPr="00C35D27" w:rsidRDefault="00C35D27" w:rsidP="00C35D27">
      <w:r w:rsidRPr="00C35D27">
        <w:rPr>
          <w:noProof/>
          <w:lang w:eastAsia="en-AU"/>
        </w:rPr>
        <w:drawing>
          <wp:inline distT="0" distB="0" distL="0" distR="0" wp14:anchorId="022318ED" wp14:editId="5A7CF932">
            <wp:extent cx="2496839" cy="1375809"/>
            <wp:effectExtent l="0" t="0" r="0" b="0"/>
            <wp:docPr id="1" name="Picture 1" descr="Structural formula of the chemical compound deoxycholic acid giving a graphic representation of its molecular structure." title="Deoxycholic acid drug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7455" cy="1398189"/>
                    </a:xfrm>
                    <a:prstGeom prst="rect">
                      <a:avLst/>
                    </a:prstGeom>
                    <a:noFill/>
                    <a:ln>
                      <a:noFill/>
                    </a:ln>
                  </pic:spPr>
                </pic:pic>
              </a:graphicData>
            </a:graphic>
          </wp:inline>
        </w:drawing>
      </w:r>
    </w:p>
    <w:p w14:paraId="10B467E5" w14:textId="77777777" w:rsidR="008E7846" w:rsidRDefault="008E7846" w:rsidP="00940A89">
      <w:pPr>
        <w:pStyle w:val="Heading3"/>
      </w:pPr>
      <w:bookmarkStart w:id="28" w:name="_Toc482015683"/>
      <w:r w:rsidRPr="008751DC">
        <w:t xml:space="preserve">Drug </w:t>
      </w:r>
      <w:r>
        <w:t>s</w:t>
      </w:r>
      <w:r w:rsidRPr="008751DC">
        <w:t>ubstance</w:t>
      </w:r>
      <w:r>
        <w:t xml:space="preserve"> (active ingredient)</w:t>
      </w:r>
      <w:bookmarkEnd w:id="26"/>
      <w:bookmarkEnd w:id="27"/>
      <w:bookmarkEnd w:id="28"/>
    </w:p>
    <w:p w14:paraId="7402870B" w14:textId="3580B7D6" w:rsidR="00C35D27" w:rsidRPr="00C35D27" w:rsidRDefault="00C35D27" w:rsidP="00C35D27">
      <w:pPr>
        <w:spacing w:before="0" w:after="0" w:line="240" w:lineRule="auto"/>
        <w:rPr>
          <w:rFonts w:ascii="Times New Roman" w:eastAsia="Times New Roman" w:hAnsi="Times New Roman"/>
          <w:sz w:val="24"/>
          <w:szCs w:val="24"/>
          <w:lang w:val="en-GB" w:eastAsia="en-GB"/>
        </w:rPr>
      </w:pPr>
      <w:proofErr w:type="spellStart"/>
      <w:r>
        <w:t>Deoxycholic</w:t>
      </w:r>
      <w:proofErr w:type="spellEnd"/>
      <w:r>
        <w:t xml:space="preserve"> acid</w:t>
      </w:r>
      <w:r w:rsidRPr="00C35D27">
        <w:t xml:space="preserve"> has 10 </w:t>
      </w:r>
      <w:proofErr w:type="spellStart"/>
      <w:r w:rsidRPr="00C35D27">
        <w:t>stereogenic</w:t>
      </w:r>
      <w:proofErr w:type="spellEnd"/>
      <w:r w:rsidRPr="00C35D27">
        <w:t xml:space="preserve"> centres and is dextrorotatory. The stereochemistry of the drug substance is controlled by acceptable specific optical rotation specification limit +52.0° to +58.0°. There are several known polymorphic forms of the drug substance, with one predominant form (Form B). The commercial manufacturing process yields Form B, which is ensured by </w:t>
      </w:r>
      <w:r w:rsidRPr="00C35D27">
        <w:rPr>
          <w:lang w:val="en-GB" w:eastAsia="en-GB"/>
        </w:rPr>
        <w:t>Fourier transform infrared spectroscopy </w:t>
      </w:r>
      <w:r w:rsidRPr="00C35D27">
        <w:t>identification in t</w:t>
      </w:r>
      <w:r w:rsidR="009A6CCF">
        <w:t>he drug substance specification;</w:t>
      </w:r>
      <w:r w:rsidRPr="00C35D27">
        <w:t xml:space="preserve"> </w:t>
      </w:r>
      <w:r w:rsidR="009A6CCF">
        <w:t>h</w:t>
      </w:r>
      <w:r>
        <w:t xml:space="preserve">owever, given that </w:t>
      </w:r>
      <w:proofErr w:type="spellStart"/>
      <w:r>
        <w:t>deoxycholic</w:t>
      </w:r>
      <w:proofErr w:type="spellEnd"/>
      <w:r>
        <w:t xml:space="preserve"> acid</w:t>
      </w:r>
      <w:r w:rsidRPr="00C35D27">
        <w:t xml:space="preserve"> is completely dissolved in the finished product, control of polymorphic form (as well as particle size distribution) is not considered critical.</w:t>
      </w:r>
    </w:p>
    <w:p w14:paraId="4595872C" w14:textId="77777777" w:rsidR="00C35D27" w:rsidRPr="00C35D27" w:rsidRDefault="00C35D27" w:rsidP="00C35D27">
      <w:r w:rsidRPr="00C35D27">
        <w:t xml:space="preserve">The specification limit of ≤ 0.15% for three specified impurities are in line with the </w:t>
      </w:r>
      <w:r w:rsidR="00950372">
        <w:t>International Conference on Harmonisation (</w:t>
      </w:r>
      <w:r w:rsidRPr="00C35D27">
        <w:t>ICH</w:t>
      </w:r>
      <w:r w:rsidR="00950372">
        <w:t>)</w:t>
      </w:r>
      <w:r w:rsidRPr="00C35D27">
        <w:t xml:space="preserve"> qualification threshold for the </w:t>
      </w:r>
      <w:r w:rsidRPr="00C35D27">
        <w:lastRenderedPageBreak/>
        <w:t>maximum (daily) dose of 100 mg. Single unspecified impurities are controlled at ≤ 0.10% which complies with the ICH identification threshold.</w:t>
      </w:r>
    </w:p>
    <w:p w14:paraId="146F80F3" w14:textId="70C53E18" w:rsidR="00C35D27" w:rsidRPr="00C35D27" w:rsidRDefault="00C35D27" w:rsidP="00FB56FE">
      <w:r w:rsidRPr="00C35D27">
        <w:t xml:space="preserve">The specification limits for the residual solvents used in the synthesis (dichloromethane, ethanol, methanol, n-heptane and </w:t>
      </w:r>
      <w:proofErr w:type="spellStart"/>
      <w:r w:rsidRPr="00C35D27">
        <w:t>tetrahydrofuran</w:t>
      </w:r>
      <w:proofErr w:type="spellEnd"/>
      <w:r w:rsidRPr="00C35D27">
        <w:t xml:space="preserve">) all comply with the ICH guideline. The specification limit for </w:t>
      </w:r>
      <w:r w:rsidR="009F6734">
        <w:t xml:space="preserve">one </w:t>
      </w:r>
      <w:r w:rsidRPr="00C35D27">
        <w:t>residual (which is not included in the ICH guideline</w:t>
      </w:r>
      <w:proofErr w:type="gramStart"/>
      <w:r w:rsidRPr="00C35D27">
        <w:t>)was</w:t>
      </w:r>
      <w:proofErr w:type="gramEnd"/>
      <w:r w:rsidRPr="00C35D27">
        <w:t xml:space="preserve"> acceptable to the </w:t>
      </w:r>
      <w:r w:rsidR="00B743F0">
        <w:t>chemistry evaluator</w:t>
      </w:r>
      <w:r w:rsidRPr="00C35D27">
        <w:t>.</w:t>
      </w:r>
    </w:p>
    <w:p w14:paraId="14B29537" w14:textId="77777777" w:rsidR="00C35D27" w:rsidRPr="00C35D27" w:rsidRDefault="00C35D27" w:rsidP="00C35D27">
      <w:r w:rsidRPr="00C35D27">
        <w:t>The manufacturing and quality control of the drug substance (including the drug substance specification) are acceptable.</w:t>
      </w:r>
    </w:p>
    <w:p w14:paraId="22131588" w14:textId="77777777" w:rsidR="008E7846" w:rsidRDefault="008E7846" w:rsidP="008E7846">
      <w:pPr>
        <w:pStyle w:val="Heading3"/>
      </w:pPr>
      <w:bookmarkStart w:id="29" w:name="_Toc247691508"/>
      <w:bookmarkStart w:id="30" w:name="_Toc314842490"/>
      <w:bookmarkStart w:id="31" w:name="_Toc482015684"/>
      <w:r w:rsidRPr="008751DC">
        <w:t xml:space="preserve">Drug </w:t>
      </w:r>
      <w:r>
        <w:t>p</w:t>
      </w:r>
      <w:r w:rsidRPr="008751DC">
        <w:t>roduct</w:t>
      </w:r>
      <w:bookmarkEnd w:id="29"/>
      <w:bookmarkEnd w:id="30"/>
      <w:bookmarkEnd w:id="31"/>
    </w:p>
    <w:p w14:paraId="512DBEDF" w14:textId="77777777" w:rsidR="00950372" w:rsidRPr="00950372" w:rsidRDefault="00950372" w:rsidP="00950372">
      <w:r w:rsidRPr="00950372">
        <w:t xml:space="preserve">The proposed drug product is an isotonic injectable solution that contains 10 mg/mL of the active ingredient, </w:t>
      </w:r>
      <w:proofErr w:type="spellStart"/>
      <w:r w:rsidRPr="00950372">
        <w:t>deoxycholic</w:t>
      </w:r>
      <w:proofErr w:type="spellEnd"/>
      <w:r w:rsidRPr="00950372">
        <w:t xml:space="preserve"> acid and five conventional excipients including sodium hydroxide, dibasic sodium phosphate, sodium chloride and hydrochloric acid. The product does not contain any antimicrobial preservative. The excipients used are commercially sourced and are controlled to </w:t>
      </w:r>
      <w:proofErr w:type="spellStart"/>
      <w:r w:rsidRPr="00950372">
        <w:t>compendial</w:t>
      </w:r>
      <w:proofErr w:type="spellEnd"/>
      <w:r w:rsidRPr="00950372">
        <w:t xml:space="preserve"> standards.</w:t>
      </w:r>
    </w:p>
    <w:p w14:paraId="209FD833" w14:textId="77777777" w:rsidR="00950372" w:rsidRPr="00950372" w:rsidRDefault="00950372" w:rsidP="00950372">
      <w:r w:rsidRPr="00950372">
        <w:t xml:space="preserve">The quality of the product is controlled by acceptable specification that includes tests and limits for </w:t>
      </w:r>
      <w:r>
        <w:t>a</w:t>
      </w:r>
      <w:r w:rsidRPr="00950372">
        <w:t>ppearance, identification, colour, clarity, p</w:t>
      </w:r>
      <w:r>
        <w:t>H</w:t>
      </w:r>
      <w:r w:rsidRPr="00950372">
        <w:t>, fill volume, osmolality, assay, related substances, particulate matter, sterility and bacterial endotoxins.</w:t>
      </w:r>
    </w:p>
    <w:p w14:paraId="2F35F159" w14:textId="45DE0B42" w:rsidR="00950372" w:rsidRPr="00950372" w:rsidRDefault="00950372" w:rsidP="00950372">
      <w:r w:rsidRPr="00950372">
        <w:t xml:space="preserve">There are no specified degradation products. The unspecified degradation products are limited to </w:t>
      </w:r>
      <w:r>
        <w:t>not more than (</w:t>
      </w:r>
      <w:r w:rsidRPr="00950372">
        <w:t>NMT</w:t>
      </w:r>
      <w:r>
        <w:t>)</w:t>
      </w:r>
      <w:r w:rsidRPr="00950372">
        <w:t xml:space="preserve"> 0.20% at release and expir</w:t>
      </w:r>
      <w:r w:rsidR="00F46374">
        <w:t>y which is in line with the ICH </w:t>
      </w:r>
      <w:r w:rsidRPr="00950372">
        <w:t>Q3B</w:t>
      </w:r>
      <w:r w:rsidR="00F46374">
        <w:t>(R2)</w:t>
      </w:r>
      <w:r w:rsidRPr="00950372">
        <w:t xml:space="preserve"> identification threshold of 0.2% for the maximum daily dose of 100</w:t>
      </w:r>
      <w:r>
        <w:t xml:space="preserve"> mg.</w:t>
      </w:r>
      <w:r w:rsidR="00FB3189">
        <w:rPr>
          <w:rStyle w:val="FootnoteReference"/>
        </w:rPr>
        <w:footnoteReference w:id="1"/>
      </w:r>
      <w:r>
        <w:t xml:space="preserve"> This is acceptable.</w:t>
      </w:r>
    </w:p>
    <w:p w14:paraId="4378AE7C" w14:textId="77777777" w:rsidR="00950372" w:rsidRPr="00950372" w:rsidRDefault="00950372" w:rsidP="00950372">
      <w:r w:rsidRPr="00950372">
        <w:t>The analytical methods used to analyse the product were adequa</w:t>
      </w:r>
      <w:r>
        <w:t>tely described and validated.</w:t>
      </w:r>
    </w:p>
    <w:p w14:paraId="07CAAC02" w14:textId="6EDFC684" w:rsidR="00950372" w:rsidRPr="00950372" w:rsidRDefault="00950372" w:rsidP="00950372">
      <w:r w:rsidRPr="00950372">
        <w:t xml:space="preserve">Acceptable </w:t>
      </w:r>
      <w:r w:rsidR="00A8756B">
        <w:t>Good Manufacturing Practice (</w:t>
      </w:r>
      <w:r w:rsidRPr="00950372">
        <w:t>GMP</w:t>
      </w:r>
      <w:r w:rsidR="00A8756B">
        <w:t>)</w:t>
      </w:r>
      <w:r w:rsidRPr="00950372">
        <w:t xml:space="preserve"> clearance was provided for the drug substance manufacturer but the GMP clearance for the finished product manufacturer will expire on 24 April 2016 which is prior to the decision date 15 July 2016</w:t>
      </w:r>
      <w:r>
        <w:t xml:space="preserve">. </w:t>
      </w:r>
      <w:r w:rsidRPr="00950372">
        <w:t xml:space="preserve">This issue has been raised in the </w:t>
      </w:r>
      <w:r w:rsidR="00A8756B">
        <w:t>clinical</w:t>
      </w:r>
      <w:r w:rsidRPr="00950372">
        <w:t xml:space="preserve"> evaluation report.</w:t>
      </w:r>
    </w:p>
    <w:p w14:paraId="05357DDB" w14:textId="401E9BC5" w:rsidR="00940A89" w:rsidRPr="00940A89" w:rsidRDefault="00950372" w:rsidP="00940A89">
      <w:r w:rsidRPr="00950372">
        <w:t>The stability data supplied supported a shelf life of 24 months for the unopened product when it is st</w:t>
      </w:r>
      <w:r w:rsidR="00FB3189">
        <w:t>ored below 30 °C</w:t>
      </w:r>
      <w:r w:rsidRPr="00950372">
        <w:t>.</w:t>
      </w:r>
    </w:p>
    <w:p w14:paraId="7029E5B7" w14:textId="77777777" w:rsidR="008E7846" w:rsidRDefault="008E7846" w:rsidP="008E7846">
      <w:pPr>
        <w:pStyle w:val="Heading3"/>
      </w:pPr>
      <w:bookmarkStart w:id="32" w:name="_Toc314842491"/>
      <w:bookmarkStart w:id="33" w:name="_Toc482015685"/>
      <w:r>
        <w:t>Biopharmaceutics</w:t>
      </w:r>
      <w:bookmarkEnd w:id="32"/>
      <w:bookmarkEnd w:id="33"/>
    </w:p>
    <w:p w14:paraId="125E8F4D" w14:textId="5393A207" w:rsidR="00A8756B" w:rsidRPr="00A8756B" w:rsidRDefault="00A8756B" w:rsidP="00A8756B">
      <w:bookmarkStart w:id="34" w:name="_Toc314842492"/>
      <w:r w:rsidRPr="00A8756B">
        <w:t xml:space="preserve">The </w:t>
      </w:r>
      <w:r w:rsidR="00DE7268">
        <w:t>sponsor</w:t>
      </w:r>
      <w:r w:rsidR="00DE7268" w:rsidRPr="00A8756B">
        <w:t xml:space="preserve"> </w:t>
      </w:r>
      <w:r w:rsidRPr="00A8756B">
        <w:t xml:space="preserve">has not performed any absolute bioavailability study in humans. The </w:t>
      </w:r>
      <w:r w:rsidR="00DE7268">
        <w:t>sponsor</w:t>
      </w:r>
      <w:r w:rsidR="00DE7268" w:rsidRPr="00A8756B">
        <w:t xml:space="preserve"> </w:t>
      </w:r>
      <w:r w:rsidRPr="00A8756B">
        <w:t xml:space="preserve">has provided justification for not performing an absolute bioavailability study on the basis that the proposed product is a simple </w:t>
      </w:r>
      <w:r w:rsidR="00BB7CD3">
        <w:t>SC</w:t>
      </w:r>
      <w:r w:rsidRPr="00A8756B">
        <w:t xml:space="preserve"> solution for injection intended to be locally acting. This justification was acceptable from a </w:t>
      </w:r>
      <w:r w:rsidR="00986932">
        <w:t>p</w:t>
      </w:r>
      <w:r w:rsidR="00BB7CD3">
        <w:t xml:space="preserve">harmaceutical </w:t>
      </w:r>
      <w:r w:rsidR="00986932">
        <w:t xml:space="preserve">chemistry </w:t>
      </w:r>
      <w:r w:rsidRPr="00A8756B">
        <w:t>perspective.</w:t>
      </w:r>
    </w:p>
    <w:p w14:paraId="50AC2D27" w14:textId="0EB59337" w:rsidR="008E7846" w:rsidRDefault="008E7846" w:rsidP="008E7846">
      <w:pPr>
        <w:pStyle w:val="Heading3"/>
      </w:pPr>
      <w:bookmarkStart w:id="35" w:name="_Toc482015686"/>
      <w:r>
        <w:t>Advisory committee considerations</w:t>
      </w:r>
      <w:bookmarkEnd w:id="34"/>
      <w:bookmarkEnd w:id="35"/>
    </w:p>
    <w:p w14:paraId="784D0323" w14:textId="55E3011F" w:rsidR="00BB7CD3" w:rsidRPr="00200D78" w:rsidRDefault="00C9241A" w:rsidP="00C9241A">
      <w:pPr>
        <w:rPr>
          <w:lang w:val="en-GB"/>
        </w:rPr>
      </w:pPr>
      <w:r w:rsidRPr="00C9241A">
        <w:rPr>
          <w:lang w:val="en-GB"/>
        </w:rPr>
        <w:t>The application has not been considered by the Pharmaceutical Sub-Committee of the ACPM because no issues requiring their expertise were identified during the chemistry and quality evaluation.</w:t>
      </w:r>
    </w:p>
    <w:p w14:paraId="3D7E4AFA" w14:textId="77777777" w:rsidR="008E7846" w:rsidRPr="008751DC" w:rsidRDefault="008E7846" w:rsidP="008E7846">
      <w:pPr>
        <w:pStyle w:val="Heading3"/>
      </w:pPr>
      <w:bookmarkStart w:id="36" w:name="_Toc247691509"/>
      <w:bookmarkStart w:id="37" w:name="_Toc314842493"/>
      <w:bookmarkStart w:id="38" w:name="_Toc482015687"/>
      <w:r>
        <w:lastRenderedPageBreak/>
        <w:t>Quality s</w:t>
      </w:r>
      <w:r w:rsidRPr="008751DC">
        <w:t>ummary</w:t>
      </w:r>
      <w:r>
        <w:t xml:space="preserve"> and conclusions</w:t>
      </w:r>
      <w:bookmarkEnd w:id="36"/>
      <w:bookmarkEnd w:id="37"/>
      <w:bookmarkEnd w:id="38"/>
    </w:p>
    <w:p w14:paraId="310F3D00" w14:textId="77777777" w:rsidR="00BB7CD3" w:rsidRPr="00BB7CD3" w:rsidRDefault="00BB7CD3" w:rsidP="00BB7CD3">
      <w:r>
        <w:t>If the presentation is acceptable from a clinical perspective, then t</w:t>
      </w:r>
      <w:r w:rsidRPr="00BB7CD3">
        <w:t xml:space="preserve">here </w:t>
      </w:r>
      <w:r>
        <w:t>was</w:t>
      </w:r>
      <w:r w:rsidRPr="00BB7CD3">
        <w:t xml:space="preserve"> one outstanding issue relating to the GMP clearance for the finished product manufacturer. This issue was raised in the </w:t>
      </w:r>
      <w:r>
        <w:t>clinical</w:t>
      </w:r>
      <w:r w:rsidRPr="00BB7CD3">
        <w:t xml:space="preserve"> evaluation report. All other issues raised with the chemistry and quality aspects of the submission have been adequately resolved and these aspects are now acceptable. When the outstanding GMP issue has been satisfactorily resolved, then approval can be recommended with respect to chemistry and quality control.</w:t>
      </w:r>
    </w:p>
    <w:p w14:paraId="30A3FD38" w14:textId="32AD611D" w:rsidR="008E7846" w:rsidRDefault="00BB7CD3" w:rsidP="008E7846">
      <w:r w:rsidRPr="00BB7CD3">
        <w:t xml:space="preserve">Updated GMP </w:t>
      </w:r>
      <w:r w:rsidR="004569E3">
        <w:t>c</w:t>
      </w:r>
      <w:r w:rsidRPr="00BB7CD3">
        <w:t xml:space="preserve">learance </w:t>
      </w:r>
      <w:r>
        <w:t xml:space="preserve">was </w:t>
      </w:r>
      <w:r w:rsidRPr="00BB7CD3">
        <w:t>obtained</w:t>
      </w:r>
      <w:r>
        <w:t xml:space="preserve"> on 5 April 2016</w:t>
      </w:r>
      <w:r w:rsidRPr="00BB7CD3">
        <w:t xml:space="preserve"> for the finished product manufacturer. This is valid until 24 October 2016 and approval is now recommended with respect to </w:t>
      </w:r>
      <w:r>
        <w:t>chemistry and quality control.</w:t>
      </w:r>
    </w:p>
    <w:p w14:paraId="1E362D7B" w14:textId="77777777" w:rsidR="008E7846" w:rsidRDefault="008E7846" w:rsidP="008E7846">
      <w:pPr>
        <w:pStyle w:val="Heading2"/>
      </w:pPr>
      <w:bookmarkStart w:id="39" w:name="_Toc196046439"/>
      <w:bookmarkStart w:id="40" w:name="_Toc247691510"/>
      <w:bookmarkStart w:id="41" w:name="_Toc314842494"/>
      <w:bookmarkStart w:id="42" w:name="_Toc482015688"/>
      <w:r>
        <w:t>III. Nonclinical</w:t>
      </w:r>
      <w:bookmarkEnd w:id="39"/>
      <w:r>
        <w:t xml:space="preserve"> findings</w:t>
      </w:r>
      <w:bookmarkEnd w:id="40"/>
      <w:bookmarkEnd w:id="41"/>
      <w:bookmarkEnd w:id="42"/>
    </w:p>
    <w:p w14:paraId="1F7B7CE3" w14:textId="77777777" w:rsidR="008E7846" w:rsidRDefault="008E7846" w:rsidP="00940A89">
      <w:pPr>
        <w:pStyle w:val="Heading3"/>
      </w:pPr>
      <w:bookmarkStart w:id="43" w:name="_Toc247691511"/>
      <w:bookmarkStart w:id="44" w:name="_Toc314842495"/>
      <w:bookmarkStart w:id="45" w:name="_Toc482015689"/>
      <w:r>
        <w:t>Introduction</w:t>
      </w:r>
      <w:bookmarkEnd w:id="43"/>
      <w:bookmarkEnd w:id="44"/>
      <w:bookmarkEnd w:id="45"/>
    </w:p>
    <w:p w14:paraId="5F72C297" w14:textId="6F1139C5" w:rsidR="004334C7" w:rsidRDefault="00A862F3" w:rsidP="00A862F3">
      <w:r w:rsidRPr="00A862F3">
        <w:t>The nonclinical dossier was a hybrid literature-based submission, containing mostly original studies together with published literature reports that dealt mainly with pharmacokinetics. The quality of the nonclinical dossier was satisfactory. All critical safety-related studies were</w:t>
      </w:r>
      <w:r w:rsidR="00200D78">
        <w:t xml:space="preserve"> Good Laboratory Practice (GLP) </w:t>
      </w:r>
      <w:r w:rsidRPr="00A862F3">
        <w:t>compliant.</w:t>
      </w:r>
    </w:p>
    <w:p w14:paraId="50A0088D" w14:textId="1207F560" w:rsidR="00A862F3" w:rsidRPr="00A862F3" w:rsidRDefault="00A862F3" w:rsidP="00A862F3">
      <w:r w:rsidRPr="00A862F3">
        <w:t>The sponsor initially pr</w:t>
      </w:r>
      <w:r w:rsidR="00EE7AEF">
        <w:t xml:space="preserve">oposed a preserved formulation for registration </w:t>
      </w:r>
      <w:r w:rsidRPr="00A862F3">
        <w:t xml:space="preserve">containing 0.9% </w:t>
      </w:r>
      <w:r w:rsidR="008B7C4D">
        <w:t>benzyl alcohol (</w:t>
      </w:r>
      <w:r w:rsidR="00200D78">
        <w:t>BA</w:t>
      </w:r>
      <w:r w:rsidR="00EE7AEF">
        <w:t>)</w:t>
      </w:r>
      <w:r w:rsidRPr="00A862F3">
        <w:t>. A preservative</w:t>
      </w:r>
      <w:r w:rsidRPr="00A862F3">
        <w:noBreakHyphen/>
        <w:t xml:space="preserve">free formulation was subsequently proposed at Round 2 in response to the TGA Microbiology Evaluation Report issued at Round 1. Most of the nonclinical studies were conducted with </w:t>
      </w:r>
      <w:proofErr w:type="spellStart"/>
      <w:r w:rsidRPr="00A862F3">
        <w:t>deoxycholic</w:t>
      </w:r>
      <w:proofErr w:type="spellEnd"/>
      <w:r w:rsidRPr="00A862F3">
        <w:t xml:space="preserve"> acid in vehicle containing 0.9% </w:t>
      </w:r>
      <w:r w:rsidR="00200D78">
        <w:t>BA</w:t>
      </w:r>
      <w:r w:rsidRPr="00A862F3">
        <w:t xml:space="preserve">. To support the revised formulation, potential differences in the toxicity profile due to the removal of the </w:t>
      </w:r>
      <w:r w:rsidR="00200D78">
        <w:t>BA</w:t>
      </w:r>
      <w:r w:rsidRPr="00A862F3">
        <w:t xml:space="preserve"> component were investigated in a 4</w:t>
      </w:r>
      <w:r w:rsidR="0002012C">
        <w:t xml:space="preserve"> </w:t>
      </w:r>
      <w:r w:rsidRPr="00A862F3">
        <w:t xml:space="preserve">week repeat-dose toxicity study in rats where </w:t>
      </w:r>
      <w:proofErr w:type="spellStart"/>
      <w:r w:rsidRPr="00A862F3">
        <w:t>deoxycholic</w:t>
      </w:r>
      <w:proofErr w:type="spellEnd"/>
      <w:r w:rsidRPr="00A862F3">
        <w:t xml:space="preserve"> acid formulations with and without 0.9% </w:t>
      </w:r>
      <w:r w:rsidR="00200D78">
        <w:t>BA</w:t>
      </w:r>
      <w:r w:rsidRPr="00A862F3">
        <w:t xml:space="preserve"> were directly compared.</w:t>
      </w:r>
    </w:p>
    <w:p w14:paraId="2674E011" w14:textId="77777777" w:rsidR="008E7846" w:rsidRDefault="008E7846" w:rsidP="008E7846">
      <w:pPr>
        <w:pStyle w:val="Heading3"/>
      </w:pPr>
      <w:bookmarkStart w:id="46" w:name="_Toc247691512"/>
      <w:bookmarkStart w:id="47" w:name="_Toc314842496"/>
      <w:bookmarkStart w:id="48" w:name="_Toc482015690"/>
      <w:r w:rsidRPr="00020030">
        <w:t>Pharmacology</w:t>
      </w:r>
      <w:bookmarkEnd w:id="46"/>
      <w:bookmarkEnd w:id="47"/>
      <w:bookmarkEnd w:id="48"/>
    </w:p>
    <w:p w14:paraId="6CC4B3A8" w14:textId="77777777" w:rsidR="00A862F3" w:rsidRPr="00A862F3" w:rsidRDefault="00A862F3" w:rsidP="00A862F3">
      <w:pPr>
        <w:pStyle w:val="Heading4"/>
      </w:pPr>
      <w:r w:rsidRPr="00A862F3">
        <w:t>Primary pharmacology</w:t>
      </w:r>
    </w:p>
    <w:p w14:paraId="512D18CF" w14:textId="77777777" w:rsidR="00A862F3" w:rsidRPr="00A862F3" w:rsidRDefault="00A862F3" w:rsidP="00A862F3">
      <w:proofErr w:type="spellStart"/>
      <w:r w:rsidRPr="00A862F3">
        <w:t>Deoxycholic</w:t>
      </w:r>
      <w:proofErr w:type="spellEnd"/>
      <w:r w:rsidRPr="00A862F3">
        <w:t xml:space="preserve"> acid is a secondary bile acid, ordinarily produced in the liver and gastrointestinal tract, which aids in the solubilisation and absorption of fats from food passing through the digestive tract. The surfactant properties of </w:t>
      </w:r>
      <w:proofErr w:type="spellStart"/>
      <w:r w:rsidRPr="00A862F3">
        <w:t>deoxycholic</w:t>
      </w:r>
      <w:proofErr w:type="spellEnd"/>
      <w:r w:rsidRPr="00A862F3">
        <w:t xml:space="preserve"> acid are the pharmacological basis for its proposed mechanism of action, whereby high local concentrations of </w:t>
      </w:r>
      <w:proofErr w:type="spellStart"/>
      <w:r w:rsidRPr="00A862F3">
        <w:t>deoxycholic</w:t>
      </w:r>
      <w:proofErr w:type="spellEnd"/>
      <w:r w:rsidRPr="00A862F3">
        <w:t xml:space="preserve"> acid after SC injection are expected to disrupt lipid bilayers of cell membranes causing cytolysis and cell death of adipocytes.</w:t>
      </w:r>
    </w:p>
    <w:p w14:paraId="4A1DA2E0" w14:textId="6F4B02DE" w:rsidR="00A862F3" w:rsidRDefault="00A862F3" w:rsidP="00A862F3">
      <w:r w:rsidRPr="00A862F3">
        <w:t xml:space="preserve">The sponsor provided a number of studies that demonstrated cytolysis of </w:t>
      </w:r>
      <w:proofErr w:type="spellStart"/>
      <w:r w:rsidRPr="00A862F3">
        <w:t>deoxycholic</w:t>
      </w:r>
      <w:proofErr w:type="spellEnd"/>
      <w:r w:rsidRPr="00A862F3">
        <w:t xml:space="preserve"> acid under in vitro and in vivo conditions. Studies were also conducted to investigate whether the compound had cell</w:t>
      </w:r>
      <w:r w:rsidR="0002012C">
        <w:t xml:space="preserve"> </w:t>
      </w:r>
      <w:r w:rsidRPr="00A862F3">
        <w:t xml:space="preserve">specific actions and conditions affecting its </w:t>
      </w:r>
      <w:proofErr w:type="spellStart"/>
      <w:r w:rsidRPr="00A862F3">
        <w:t>cytolytic</w:t>
      </w:r>
      <w:proofErr w:type="spellEnd"/>
      <w:r w:rsidRPr="00A862F3">
        <w:t xml:space="preserve"> activity.</w:t>
      </w:r>
    </w:p>
    <w:p w14:paraId="6DFE57DE" w14:textId="3444E2BB" w:rsidR="00A862F3" w:rsidRPr="00A862F3" w:rsidRDefault="005214D1" w:rsidP="00A862F3">
      <w:r>
        <w:t>Through</w:t>
      </w:r>
      <w:r w:rsidR="00F403D2">
        <w:t xml:space="preserve"> in vitro experiments </w:t>
      </w:r>
      <w:r w:rsidR="00A862F3" w:rsidRPr="00A862F3">
        <w:t>with cultured cells, all cell types tested (</w:t>
      </w:r>
      <w:r w:rsidR="00F403D2">
        <w:t xml:space="preserve">specifically </w:t>
      </w:r>
      <w:r w:rsidR="00A862F3" w:rsidRPr="00A862F3">
        <w:t xml:space="preserve">human keratinocytes, adipocytes, fibroblasts, skeletal muscle myocytes, and various cancer cell lines) were found to be sensitive to lysis by </w:t>
      </w:r>
      <w:proofErr w:type="spellStart"/>
      <w:r w:rsidR="00A862F3" w:rsidRPr="00A862F3">
        <w:t>deoxycholic</w:t>
      </w:r>
      <w:proofErr w:type="spellEnd"/>
      <w:r w:rsidR="00A862F3" w:rsidRPr="00A862F3">
        <w:t xml:space="preserve"> acid, with only modest differences in potency seen. Cytotoxicity was evident at concentrations of </w:t>
      </w:r>
      <w:proofErr w:type="spellStart"/>
      <w:r w:rsidR="00A862F3" w:rsidRPr="00A862F3">
        <w:t>deoxycholic</w:t>
      </w:r>
      <w:proofErr w:type="spellEnd"/>
      <w:r w:rsidR="00A862F3" w:rsidRPr="00A862F3">
        <w:t xml:space="preserve"> acid 0.01% </w:t>
      </w:r>
      <w:r w:rsidR="00A862F3">
        <w:t xml:space="preserve">weight/volume </w:t>
      </w:r>
      <w:r w:rsidR="00A862F3" w:rsidRPr="00A862F3">
        <w:t xml:space="preserve">(w/v) and higher, with loss of nuclear staining, hyaline necrosis and loss of cell membrane integrity being indicators of cytolysis. The </w:t>
      </w:r>
      <w:proofErr w:type="spellStart"/>
      <w:r w:rsidR="00A862F3" w:rsidRPr="00A862F3">
        <w:t>cytolytic</w:t>
      </w:r>
      <w:proofErr w:type="spellEnd"/>
      <w:r w:rsidR="00A862F3" w:rsidRPr="00A862F3">
        <w:t xml:space="preserve"> effects were found to be attenuated by the presence of collagen and bovine serum albumin in the culture </w:t>
      </w:r>
      <w:r w:rsidR="00A862F3" w:rsidRPr="00A862F3">
        <w:lastRenderedPageBreak/>
        <w:t xml:space="preserve">medium, consistent with binding of </w:t>
      </w:r>
      <w:proofErr w:type="spellStart"/>
      <w:r w:rsidR="00A862F3" w:rsidRPr="00A862F3">
        <w:t>deoxycholic</w:t>
      </w:r>
      <w:proofErr w:type="spellEnd"/>
      <w:r w:rsidR="00A862F3" w:rsidRPr="00A862F3">
        <w:t xml:space="preserve"> acid to hydrophobic surfaces of the proteins acting to reduce the amount of free drug available for cytolysis. As well, co-incubation with muscle and skin tissue</w:t>
      </w:r>
      <w:r w:rsidR="00A862F3">
        <w:t xml:space="preserve"> (</w:t>
      </w:r>
      <w:r w:rsidR="00A862F3" w:rsidRPr="00A862F3">
        <w:t>and less so fatty tissue</w:t>
      </w:r>
      <w:r w:rsidR="00A862F3">
        <w:t>)</w:t>
      </w:r>
      <w:r w:rsidR="00A862F3" w:rsidRPr="00A862F3">
        <w:t xml:space="preserve"> was shown to attenuate the drug’s lysis of A375M cells (human melanoma cell line), attributed to the protein content of these tissues (highest for muscle and skin; lowest for fat).</w:t>
      </w:r>
    </w:p>
    <w:p w14:paraId="517DE073" w14:textId="0AC56CDC" w:rsidR="00A862F3" w:rsidRPr="00A862F3" w:rsidRDefault="00A862F3" w:rsidP="00A862F3">
      <w:r w:rsidRPr="00A862F3">
        <w:t xml:space="preserve">In vivo, injection of </w:t>
      </w:r>
      <w:proofErr w:type="spellStart"/>
      <w:r w:rsidRPr="00A862F3">
        <w:t>deoxycholic</w:t>
      </w:r>
      <w:proofErr w:type="spellEnd"/>
      <w:r w:rsidRPr="00A862F3">
        <w:t xml:space="preserve"> acid (0.1%, 0.25%, 0.5% and 1%) into fat pads in obese rats produced dose-dependent adipose necrosis (assessed 24 h post-dose). Effects at strengths 0.25% and lower were comparable to vehicle (0.9% </w:t>
      </w:r>
      <w:r w:rsidR="005214D1">
        <w:t>BA</w:t>
      </w:r>
      <w:r w:rsidRPr="00A862F3">
        <w:t>). In a pig, histological examination of the areas surrounding sites of SC injection revealed inflammation (minimal at 0.5% strength; mild to moderate at 1%) and apoptotic adipocytes most prominent within 0.5 cm or 1 cm of injection and virtually absent at distances &gt;</w:t>
      </w:r>
      <w:r w:rsidR="009E7C30">
        <w:t xml:space="preserve"> </w:t>
      </w:r>
      <w:r w:rsidRPr="00A862F3">
        <w:t>1 cm.</w:t>
      </w:r>
    </w:p>
    <w:p w14:paraId="65187EE8" w14:textId="77777777" w:rsidR="00A862F3" w:rsidRPr="00A862F3" w:rsidRDefault="00A862F3" w:rsidP="009E7C30">
      <w:pPr>
        <w:pStyle w:val="Heading4"/>
      </w:pPr>
      <w:r w:rsidRPr="00A862F3">
        <w:t>Secondary pharmacodynamics and safety pharmacology</w:t>
      </w:r>
    </w:p>
    <w:p w14:paraId="77C97008" w14:textId="77777777" w:rsidR="00A862F3" w:rsidRPr="00A862F3" w:rsidRDefault="00A862F3" w:rsidP="00A862F3">
      <w:r w:rsidRPr="00A862F3">
        <w:t xml:space="preserve">No receptor screen with </w:t>
      </w:r>
      <w:proofErr w:type="spellStart"/>
      <w:r w:rsidRPr="00A862F3">
        <w:t>deoxycholic</w:t>
      </w:r>
      <w:proofErr w:type="spellEnd"/>
      <w:r w:rsidRPr="00A862F3">
        <w:t xml:space="preserve"> acid was submitted. A study with its synthetic precursor (DCA</w:t>
      </w:r>
      <w:r w:rsidRPr="00A862F3">
        <w:noBreakHyphen/>
        <w:t xml:space="preserve">129), with which it shares some structural similarity, was performed against a limited panel of </w:t>
      </w:r>
      <w:r w:rsidR="009E7C30">
        <w:t>steroid receptors</w:t>
      </w:r>
      <w:r w:rsidRPr="00A862F3">
        <w:t xml:space="preserve"> and showed the compound to have no or only weak affinity for human glucocorticoid, oestrogen, androgen and progesterone receptors.</w:t>
      </w:r>
    </w:p>
    <w:p w14:paraId="05DBD660" w14:textId="77777777" w:rsidR="00A862F3" w:rsidRPr="00A862F3" w:rsidRDefault="00A862F3" w:rsidP="00A862F3">
      <w:r w:rsidRPr="00A862F3">
        <w:t>A series of studies examining the pharmacokinetics of radiolabelled lipid (14C</w:t>
      </w:r>
      <w:r w:rsidRPr="00A862F3">
        <w:noBreakHyphen/>
        <w:t xml:space="preserve">tiolein) following SC administration to </w:t>
      </w:r>
      <w:proofErr w:type="spellStart"/>
      <w:r w:rsidRPr="00A862F3">
        <w:t>deoxycholic</w:t>
      </w:r>
      <w:proofErr w:type="spellEnd"/>
      <w:r w:rsidRPr="00A862F3">
        <w:t xml:space="preserve"> acid-treated sites showed slow systemic distribution of released lipid, with metabolism and excretion seen to occur by known lipid pathways.</w:t>
      </w:r>
    </w:p>
    <w:p w14:paraId="5DBBD0E7" w14:textId="00802A44" w:rsidR="004334C7" w:rsidRPr="00D8492D" w:rsidRDefault="00A862F3" w:rsidP="00D8492D">
      <w:pPr>
        <w:spacing w:before="0" w:after="0" w:line="240" w:lineRule="auto"/>
        <w:rPr>
          <w:rFonts w:ascii="Times New Roman" w:eastAsia="Times New Roman" w:hAnsi="Times New Roman"/>
          <w:sz w:val="24"/>
          <w:szCs w:val="24"/>
          <w:lang w:val="en-GB" w:eastAsia="en-GB"/>
        </w:rPr>
      </w:pPr>
      <w:r w:rsidRPr="00A862F3">
        <w:t xml:space="preserve">Safety pharmacology studies covered </w:t>
      </w:r>
      <w:r w:rsidR="009E7C30">
        <w:t>the core battery of systems (central nervous system (CNS)</w:t>
      </w:r>
      <w:r w:rsidRPr="00A862F3">
        <w:t>, cardiovascular and respiratory</w:t>
      </w:r>
      <w:r w:rsidR="009E7C30">
        <w:t xml:space="preserve"> systems</w:t>
      </w:r>
      <w:r w:rsidRPr="00A862F3">
        <w:t>). IV</w:t>
      </w:r>
      <w:r w:rsidR="009E7C30">
        <w:t xml:space="preserve"> (intravenous)</w:t>
      </w:r>
      <w:r w:rsidRPr="00A862F3">
        <w:t xml:space="preserve"> administration of </w:t>
      </w:r>
      <w:proofErr w:type="spellStart"/>
      <w:r w:rsidRPr="00A862F3">
        <w:t>deoxycholic</w:t>
      </w:r>
      <w:proofErr w:type="spellEnd"/>
      <w:r w:rsidRPr="00A862F3">
        <w:t xml:space="preserve"> acid at 10 mg/kg caused immediate transient </w:t>
      </w:r>
      <w:r w:rsidR="0002012C">
        <w:t>central nervous system (</w:t>
      </w:r>
      <w:r w:rsidRPr="00A862F3">
        <w:t>CNS</w:t>
      </w:r>
      <w:r w:rsidR="0002012C">
        <w:t>)</w:t>
      </w:r>
      <w:r w:rsidRPr="00A862F3">
        <w:t xml:space="preserve"> effects in rats (decreased motor activity, whole body tremors, loss of righting reflex, hyperpnoea, coldness to touch, ptosis and lacrimation); no CNS effects were evident at 5 mg/kg IV. Cardiovascular and respiratory effects in dogs were limited to a mild and transient increase in heart rate at the highest dose level tested (20 mg/kg SC); </w:t>
      </w:r>
      <w:r w:rsidR="009E7C30">
        <w:t>e</w:t>
      </w:r>
      <w:r w:rsidR="0002012C">
        <w:t>lectro</w:t>
      </w:r>
      <w:r w:rsidR="009E7C30">
        <w:t>cardiogram (</w:t>
      </w:r>
      <w:r w:rsidRPr="00A862F3">
        <w:t>ECG</w:t>
      </w:r>
      <w:r w:rsidR="009E7C30">
        <w:t>)</w:t>
      </w:r>
      <w:r w:rsidRPr="00A862F3">
        <w:t xml:space="preserve"> waveforms were otherwise unaffected. In vitro, </w:t>
      </w:r>
      <w:proofErr w:type="spellStart"/>
      <w:r w:rsidRPr="00A862F3">
        <w:t>deoxycholic</w:t>
      </w:r>
      <w:proofErr w:type="spellEnd"/>
      <w:r w:rsidRPr="00A862F3">
        <w:t xml:space="preserve"> acid caused a gradual and irreversible loss of </w:t>
      </w:r>
      <w:r w:rsidR="0002012C">
        <w:t>a potassium current (</w:t>
      </w:r>
      <w:proofErr w:type="spellStart"/>
      <w:r w:rsidRPr="00A862F3">
        <w:t>IKr</w:t>
      </w:r>
      <w:proofErr w:type="spellEnd"/>
      <w:r w:rsidR="0002012C">
        <w:t>)</w:t>
      </w:r>
      <w:r w:rsidRPr="00A862F3">
        <w:t xml:space="preserve"> in </w:t>
      </w:r>
      <w:r w:rsidR="00D8492D" w:rsidRPr="00D8492D">
        <w:rPr>
          <w:lang w:val="en-GB" w:eastAsia="en-GB"/>
        </w:rPr>
        <w:t>human Ether</w:t>
      </w:r>
      <w:r w:rsidR="00D8492D">
        <w:rPr>
          <w:lang w:val="en-GB" w:eastAsia="en-GB"/>
        </w:rPr>
        <w:noBreakHyphen/>
      </w:r>
      <w:r w:rsidR="00D8492D" w:rsidRPr="00D8492D">
        <w:rPr>
          <w:lang w:val="en-GB" w:eastAsia="en-GB"/>
        </w:rPr>
        <w:t>à</w:t>
      </w:r>
      <w:r w:rsidR="00D8492D">
        <w:rPr>
          <w:lang w:val="en-GB" w:eastAsia="en-GB"/>
        </w:rPr>
        <w:noBreakHyphen/>
        <w:t>go</w:t>
      </w:r>
      <w:r w:rsidR="00D8492D">
        <w:rPr>
          <w:lang w:val="en-GB" w:eastAsia="en-GB"/>
        </w:rPr>
        <w:noBreakHyphen/>
      </w:r>
      <w:r w:rsidR="00D8492D" w:rsidRPr="00D8492D">
        <w:rPr>
          <w:lang w:val="en-GB" w:eastAsia="en-GB"/>
        </w:rPr>
        <w:t>go</w:t>
      </w:r>
      <w:r w:rsidR="00D8492D">
        <w:rPr>
          <w:lang w:val="en-GB" w:eastAsia="en-GB"/>
        </w:rPr>
        <w:noBreakHyphen/>
        <w:t>r</w:t>
      </w:r>
      <w:r w:rsidR="00D8492D" w:rsidRPr="00D8492D">
        <w:rPr>
          <w:lang w:val="en-GB" w:eastAsia="en-GB"/>
        </w:rPr>
        <w:t>elated </w:t>
      </w:r>
      <w:r w:rsidR="00D8492D">
        <w:rPr>
          <w:lang w:val="en-GB" w:eastAsia="en-GB"/>
        </w:rPr>
        <w:t>g</w:t>
      </w:r>
      <w:r w:rsidR="00D8492D" w:rsidRPr="00D8492D">
        <w:rPr>
          <w:lang w:val="en-GB" w:eastAsia="en-GB"/>
        </w:rPr>
        <w:t>ene</w:t>
      </w:r>
      <w:r w:rsidR="00D8492D">
        <w:rPr>
          <w:rFonts w:ascii="Times New Roman" w:eastAsia="Times New Roman" w:hAnsi="Times New Roman"/>
          <w:sz w:val="24"/>
          <w:szCs w:val="24"/>
          <w:lang w:val="en-GB" w:eastAsia="en-GB"/>
        </w:rPr>
        <w:t xml:space="preserve"> (</w:t>
      </w:r>
      <w:proofErr w:type="spellStart"/>
      <w:r w:rsidRPr="00A862F3">
        <w:t>hERG</w:t>
      </w:r>
      <w:proofErr w:type="spellEnd"/>
      <w:r w:rsidR="00D8492D">
        <w:t xml:space="preserve">) </w:t>
      </w:r>
      <w:r w:rsidRPr="00A862F3">
        <w:t xml:space="preserve">expressing </w:t>
      </w:r>
      <w:r w:rsidR="00404977">
        <w:t>Chinese</w:t>
      </w:r>
      <w:r w:rsidR="009E7C30">
        <w:t xml:space="preserve"> </w:t>
      </w:r>
      <w:r w:rsidR="004C5E1D">
        <w:t>h</w:t>
      </w:r>
      <w:r w:rsidR="009E7C30">
        <w:t xml:space="preserve">amster ovary (CHO) </w:t>
      </w:r>
      <w:r w:rsidRPr="00A862F3">
        <w:t>cells (at concentrations ≥</w:t>
      </w:r>
      <w:r w:rsidR="009E7C30">
        <w:t> </w:t>
      </w:r>
      <w:r w:rsidRPr="00A862F3">
        <w:t>1 </w:t>
      </w:r>
      <w:proofErr w:type="spellStart"/>
      <w:r w:rsidRPr="00A862F3">
        <w:t>μM</w:t>
      </w:r>
      <w:proofErr w:type="spellEnd"/>
      <w:r w:rsidRPr="00A862F3">
        <w:t>) but this most likely reflects loss of cell membrane integrity rather than actual channel blockade.</w:t>
      </w:r>
    </w:p>
    <w:p w14:paraId="094A1852" w14:textId="77777777" w:rsidR="008E7846" w:rsidRDefault="008E7846" w:rsidP="008E7846">
      <w:pPr>
        <w:pStyle w:val="Heading3"/>
      </w:pPr>
      <w:bookmarkStart w:id="49" w:name="_Toc247691513"/>
      <w:bookmarkStart w:id="50" w:name="_Toc314842497"/>
      <w:bookmarkStart w:id="51" w:name="_Toc482015691"/>
      <w:r>
        <w:t>Pharmacokinetics</w:t>
      </w:r>
      <w:bookmarkEnd w:id="49"/>
      <w:bookmarkEnd w:id="50"/>
      <w:bookmarkEnd w:id="51"/>
    </w:p>
    <w:p w14:paraId="7A93B290" w14:textId="33FECBF1" w:rsidR="00D8492D" w:rsidRPr="00D8492D" w:rsidRDefault="00D8492D" w:rsidP="004C5E1D">
      <w:bookmarkStart w:id="52" w:name="_Toc247691514"/>
      <w:bookmarkStart w:id="53" w:name="_Toc314842498"/>
      <w:r w:rsidRPr="00D8492D">
        <w:t xml:space="preserve">Absorption of subcutaneously administered </w:t>
      </w:r>
      <w:proofErr w:type="spellStart"/>
      <w:r w:rsidRPr="00D8492D">
        <w:t>deoxycholic</w:t>
      </w:r>
      <w:proofErr w:type="spellEnd"/>
      <w:r w:rsidRPr="00D8492D">
        <w:t xml:space="preserve"> acid was generally rapid (</w:t>
      </w:r>
      <w:r w:rsidR="00DE4EF8">
        <w:t xml:space="preserve">the time of peak plasma concentration </w:t>
      </w:r>
      <w:r>
        <w:t>(</w:t>
      </w:r>
      <w:proofErr w:type="spellStart"/>
      <w:r w:rsidRPr="00D8492D">
        <w:t>T</w:t>
      </w:r>
      <w:r w:rsidRPr="00D8492D">
        <w:rPr>
          <w:vertAlign w:val="subscript"/>
        </w:rPr>
        <w:t>max</w:t>
      </w:r>
      <w:proofErr w:type="spellEnd"/>
      <w:r>
        <w:t xml:space="preserve">) </w:t>
      </w:r>
      <w:r w:rsidRPr="00D8492D">
        <w:t>typically ≤</w:t>
      </w:r>
      <w:r>
        <w:t> </w:t>
      </w:r>
      <w:r w:rsidRPr="00D8492D">
        <w:t>1</w:t>
      </w:r>
      <w:r>
        <w:t> </w:t>
      </w:r>
      <w:r w:rsidRPr="00D8492D">
        <w:t xml:space="preserve">h) in all laboratory animal </w:t>
      </w:r>
      <w:r w:rsidR="004C5E1D">
        <w:t>species examined (rats, rabbits and</w:t>
      </w:r>
      <w:r w:rsidRPr="00D8492D">
        <w:t xml:space="preserve"> dogs) as in humans. Bioavailability by the SC route was essentially 100% in rats and dogs. </w:t>
      </w:r>
      <w:r>
        <w:t>Due to</w:t>
      </w:r>
      <w:r w:rsidRPr="00D8492D">
        <w:t xml:space="preserve"> extensive </w:t>
      </w:r>
      <w:proofErr w:type="spellStart"/>
      <w:r w:rsidRPr="00D8492D">
        <w:t>enterohepatic</w:t>
      </w:r>
      <w:proofErr w:type="spellEnd"/>
      <w:r w:rsidRPr="00D8492D">
        <w:t xml:space="preserve"> recycling of both endogenous and exogenously administered </w:t>
      </w:r>
      <w:proofErr w:type="spellStart"/>
      <w:r w:rsidRPr="00D8492D">
        <w:t>deoxycholic</w:t>
      </w:r>
      <w:proofErr w:type="spellEnd"/>
      <w:r w:rsidRPr="00D8492D">
        <w:t xml:space="preserve"> acid, elimination half-lives and clearance values could not be readily ascertained.</w:t>
      </w:r>
    </w:p>
    <w:p w14:paraId="0F364809" w14:textId="50E2B5CA" w:rsidR="00D8492D" w:rsidRPr="00D8492D" w:rsidRDefault="00D8492D" w:rsidP="004C5E1D">
      <w:proofErr w:type="spellStart"/>
      <w:r w:rsidRPr="00D8492D">
        <w:t>Deoxycholic</w:t>
      </w:r>
      <w:proofErr w:type="spellEnd"/>
      <w:r w:rsidRPr="00D8492D">
        <w:t xml:space="preserve"> acid readily binds to serum albumin with 98% plasma protein binding reported for human subjects. Analogous plasma protein binding data for animals were not presented. Tissue distribution of radioactivity in rats after SC administration of </w:t>
      </w:r>
      <w:r w:rsidR="00DE4EF8">
        <w:t>radiolabelled (</w:t>
      </w:r>
      <w:r w:rsidRPr="00D8492D">
        <w:t>3H</w:t>
      </w:r>
      <w:r w:rsidR="00DE4EF8">
        <w:t xml:space="preserve">) </w:t>
      </w:r>
      <w:proofErr w:type="spellStart"/>
      <w:r w:rsidRPr="00D8492D">
        <w:t>deoxycholic</w:t>
      </w:r>
      <w:proofErr w:type="spellEnd"/>
      <w:r w:rsidRPr="00D8492D">
        <w:t xml:space="preserve"> acid was rapid and wide, with the small intestine and liver the systemic tissues showing the highest levels of radioactivity. Distribution to the brain was negligible. Low levels of radioactivity were still detected in the intestinal contents 7 days post-dose (reflecting known </w:t>
      </w:r>
      <w:proofErr w:type="spellStart"/>
      <w:r w:rsidRPr="00D8492D">
        <w:t>enterohepatic</w:t>
      </w:r>
      <w:proofErr w:type="spellEnd"/>
      <w:r w:rsidRPr="00D8492D">
        <w:t xml:space="preserve"> recycling of </w:t>
      </w:r>
      <w:proofErr w:type="spellStart"/>
      <w:r w:rsidRPr="00D8492D">
        <w:t>deoxycholic</w:t>
      </w:r>
      <w:proofErr w:type="spellEnd"/>
      <w:r w:rsidRPr="00D8492D">
        <w:t xml:space="preserve"> acid and slow elimination).</w:t>
      </w:r>
    </w:p>
    <w:p w14:paraId="30762F5A" w14:textId="7D74242C" w:rsidR="00D8492D" w:rsidRPr="00D8492D" w:rsidRDefault="00D8492D" w:rsidP="004C5E1D">
      <w:r w:rsidRPr="00D8492D">
        <w:lastRenderedPageBreak/>
        <w:t xml:space="preserve">The metabolic fate of </w:t>
      </w:r>
      <w:r w:rsidR="00A13343">
        <w:t>SC</w:t>
      </w:r>
      <w:r w:rsidRPr="00D8492D">
        <w:t xml:space="preserve"> administered exogenous </w:t>
      </w:r>
      <w:proofErr w:type="spellStart"/>
      <w:r w:rsidRPr="00D8492D">
        <w:t>deoxycholic</w:t>
      </w:r>
      <w:proofErr w:type="spellEnd"/>
      <w:r w:rsidRPr="00D8492D">
        <w:t xml:space="preserve"> acid was not characterised in dedicated animal studies as the process of biosynthesis and recycling of bile acids is well known and integration into the endogenous pool of bile acids can be expected. Briefly, free bile acids in the liver form taurine or glycine conjugates and are secreted into the small intestine to participate in digestive processes. These are then actively reabsorbed by the ileum or continue into the caecum where they are subject to bacterial </w:t>
      </w:r>
      <w:proofErr w:type="spellStart"/>
      <w:r w:rsidRPr="00D8492D">
        <w:t>deconjugation</w:t>
      </w:r>
      <w:proofErr w:type="spellEnd"/>
      <w:r w:rsidRPr="00D8492D">
        <w:t xml:space="preserve"> and in the case for primary bile acids, 7-dehydroxylation. Passive diffusion of bio</w:t>
      </w:r>
      <w:r w:rsidR="00AD2D59">
        <w:noBreakHyphen/>
      </w:r>
      <w:r w:rsidRPr="00D8492D">
        <w:t>transformed bile acids enables them to be returned into the endogenous p</w:t>
      </w:r>
      <w:r w:rsidR="005F1DA3">
        <w:t>ool of bile acids in the liver.</w:t>
      </w:r>
    </w:p>
    <w:p w14:paraId="41035E5F" w14:textId="5FC08017" w:rsidR="00D8492D" w:rsidRPr="00D8492D" w:rsidRDefault="00D8492D" w:rsidP="004C5E1D">
      <w:r w:rsidRPr="00D8492D">
        <w:t xml:space="preserve">Similarly, dedicated mass balance studies on exogenous </w:t>
      </w:r>
      <w:proofErr w:type="spellStart"/>
      <w:r w:rsidRPr="00D8492D">
        <w:t>deoxycholic</w:t>
      </w:r>
      <w:proofErr w:type="spellEnd"/>
      <w:r w:rsidRPr="00D8492D">
        <w:t xml:space="preserve"> acid were not performed in nonclinical species as excretion of bile acids is well reported in the literature. The primary excretory route in healthy mammals is through faeces. The amount of </w:t>
      </w:r>
      <w:proofErr w:type="spellStart"/>
      <w:r w:rsidRPr="00D8492D">
        <w:t>deoxycholic</w:t>
      </w:r>
      <w:proofErr w:type="spellEnd"/>
      <w:r w:rsidRPr="00D8492D">
        <w:t xml:space="preserve"> acid excreted varies across species with </w:t>
      </w:r>
      <w:proofErr w:type="spellStart"/>
      <w:r w:rsidRPr="00D8492D">
        <w:t>deoxycholic</w:t>
      </w:r>
      <w:proofErr w:type="spellEnd"/>
      <w:r w:rsidRPr="00D8492D">
        <w:t xml:space="preserve"> acid accounting for </w:t>
      </w:r>
      <w:r w:rsidR="004D6429">
        <w:t>39.5%, 36% and approximately</w:t>
      </w:r>
      <w:r w:rsidR="008C1A05">
        <w:t> </w:t>
      </w:r>
      <w:r w:rsidRPr="00D8492D">
        <w:t>4% of the total bile acids excreted in rats, rabbits and humans, respectively</w:t>
      </w:r>
      <w:r w:rsidR="004D6429">
        <w:t xml:space="preserve"> (equating to approximately </w:t>
      </w:r>
      <w:r w:rsidR="004C5E1D">
        <w:t>4.6 </w:t>
      </w:r>
      <w:r w:rsidR="004D6429" w:rsidRPr="00D8492D">
        <w:t xml:space="preserve">mg, </w:t>
      </w:r>
      <w:r w:rsidR="004C5E1D">
        <w:t>0.22 mg and </w:t>
      </w:r>
      <w:r w:rsidR="004D6429">
        <w:t xml:space="preserve">0.34 mg </w:t>
      </w:r>
      <w:proofErr w:type="spellStart"/>
      <w:r w:rsidR="004D6429">
        <w:t>deoxycholic</w:t>
      </w:r>
      <w:proofErr w:type="spellEnd"/>
      <w:r w:rsidR="004D6429">
        <w:t> </w:t>
      </w:r>
      <w:r w:rsidR="004D6429" w:rsidRPr="00D8492D">
        <w:t>acid</w:t>
      </w:r>
      <w:r w:rsidR="004C5E1D">
        <w:t xml:space="preserve"> per gram</w:t>
      </w:r>
      <w:r w:rsidR="004D6429" w:rsidRPr="00D8492D">
        <w:t xml:space="preserve"> </w:t>
      </w:r>
      <w:r w:rsidR="004D6429">
        <w:t xml:space="preserve">of </w:t>
      </w:r>
      <w:r w:rsidR="004D6429" w:rsidRPr="00D8492D">
        <w:t>faeces)</w:t>
      </w:r>
      <w:r w:rsidRPr="00D8492D">
        <w:t>. Under healthy conditions, urinary excretion is negligible.</w:t>
      </w:r>
    </w:p>
    <w:p w14:paraId="394831B6" w14:textId="77777777" w:rsidR="00D8492D" w:rsidRPr="00D8492D" w:rsidRDefault="00D8492D" w:rsidP="004C5E1D">
      <w:r w:rsidRPr="00D8492D">
        <w:t xml:space="preserve">Pharmacokinetic profiles in animals and humans display sufficient similarity to allow the nonclinical species to serve as appropriate models for assessing the toxicity of </w:t>
      </w:r>
      <w:proofErr w:type="spellStart"/>
      <w:r w:rsidRPr="00D8492D">
        <w:t>deoxycholic</w:t>
      </w:r>
      <w:proofErr w:type="spellEnd"/>
      <w:r w:rsidRPr="00D8492D">
        <w:t xml:space="preserve"> acid.</w:t>
      </w:r>
    </w:p>
    <w:p w14:paraId="21A7ECBC" w14:textId="4EE64643" w:rsidR="004334C7" w:rsidRDefault="00D8492D" w:rsidP="004C5E1D">
      <w:r w:rsidRPr="002A1360">
        <w:t xml:space="preserve">The plasma kinetics of </w:t>
      </w:r>
      <w:proofErr w:type="spellStart"/>
      <w:r w:rsidRPr="002A1360">
        <w:t>deoxycholic</w:t>
      </w:r>
      <w:proofErr w:type="spellEnd"/>
      <w:r w:rsidRPr="002A1360">
        <w:t xml:space="preserve"> acid (</w:t>
      </w:r>
      <w:r w:rsidR="00FC050B" w:rsidRPr="002A1360">
        <w:t>SC administration</w:t>
      </w:r>
      <w:r w:rsidRPr="002A1360">
        <w:t>) w</w:t>
      </w:r>
      <w:r w:rsidR="00404977">
        <w:t>as</w:t>
      </w:r>
      <w:r w:rsidRPr="002A1360">
        <w:t xml:space="preserve"> not affected by the removal of 0.9% </w:t>
      </w:r>
      <w:r w:rsidR="004C5E1D">
        <w:t>BA</w:t>
      </w:r>
      <w:r w:rsidRPr="002A1360">
        <w:t xml:space="preserve"> from the formulation in rats. In humans, a higher mean </w:t>
      </w:r>
      <w:r w:rsidR="002A1360" w:rsidRPr="002A1360">
        <w:t>area under the plasma drug concentration-time curve (</w:t>
      </w:r>
      <w:r w:rsidRPr="002A1360">
        <w:t>AUC</w:t>
      </w:r>
      <w:r w:rsidR="002A1360" w:rsidRPr="002A1360">
        <w:t>)</w:t>
      </w:r>
      <w:r w:rsidRPr="002A1360">
        <w:t xml:space="preserve"> was observed with administration of the preservative-free formulation </w:t>
      </w:r>
      <w:r w:rsidR="002A1360" w:rsidRPr="002A1360">
        <w:t>compared</w:t>
      </w:r>
      <w:r w:rsidRPr="002A1360">
        <w:t xml:space="preserve"> with 0.9% </w:t>
      </w:r>
      <w:r w:rsidR="008B7C4D">
        <w:t>BA</w:t>
      </w:r>
      <w:r w:rsidRPr="002A1360">
        <w:t xml:space="preserve"> (20% based on geometric means and 32% based on arithmetic means), while </w:t>
      </w:r>
      <w:r w:rsidR="002A1360" w:rsidRPr="002A1360">
        <w:t xml:space="preserve">maximum concentration of drug in serum </w:t>
      </w:r>
      <w:r w:rsidR="002A1360">
        <w:t>(</w:t>
      </w:r>
      <w:proofErr w:type="spellStart"/>
      <w:r w:rsidRPr="002A1360">
        <w:t>C</w:t>
      </w:r>
      <w:r w:rsidRPr="002A1360">
        <w:rPr>
          <w:vertAlign w:val="subscript"/>
        </w:rPr>
        <w:t>max</w:t>
      </w:r>
      <w:proofErr w:type="spellEnd"/>
      <w:r w:rsidR="002A1360">
        <w:t>)</w:t>
      </w:r>
      <w:r w:rsidRPr="002A1360">
        <w:t xml:space="preserve"> values were equivalent. Considering the variability of exposure and the confounding influence of endogenous </w:t>
      </w:r>
      <w:proofErr w:type="spellStart"/>
      <w:r w:rsidRPr="002A1360">
        <w:t>deoxycholic</w:t>
      </w:r>
      <w:proofErr w:type="spellEnd"/>
      <w:r w:rsidRPr="002A1360">
        <w:t xml:space="preserve"> acid, there appears to be no obvious difference in clinical pharmacokinetics between preserved and unpreserved formulations.</w:t>
      </w:r>
    </w:p>
    <w:p w14:paraId="4231A510" w14:textId="77777777" w:rsidR="002A1360" w:rsidRPr="004646EF" w:rsidRDefault="002A1360" w:rsidP="002A1360">
      <w:pPr>
        <w:pStyle w:val="Heading4"/>
      </w:pPr>
      <w:bookmarkStart w:id="54" w:name="_Toc294861725"/>
      <w:r w:rsidRPr="004646EF">
        <w:t>Pharmacokinetic drug interactions</w:t>
      </w:r>
      <w:bookmarkEnd w:id="54"/>
    </w:p>
    <w:p w14:paraId="05963C92" w14:textId="2481F1FC" w:rsidR="00955FD8" w:rsidRPr="00955FD8" w:rsidRDefault="00955FD8" w:rsidP="00955FD8">
      <w:proofErr w:type="spellStart"/>
      <w:r w:rsidRPr="00955FD8">
        <w:t>Deoxycholic</w:t>
      </w:r>
      <w:proofErr w:type="spellEnd"/>
      <w:r w:rsidRPr="00955FD8">
        <w:t xml:space="preserve"> acid (≤ 100 </w:t>
      </w:r>
      <w:proofErr w:type="spellStart"/>
      <w:r w:rsidRPr="00955FD8">
        <w:t>μM</w:t>
      </w:r>
      <w:proofErr w:type="spellEnd"/>
      <w:r w:rsidRPr="00955FD8">
        <w:t xml:space="preserve">) exhibited negligible inhibitory activity against </w:t>
      </w:r>
      <w:r w:rsidR="004C5E1D">
        <w:t>cytochrome P450 enzymes (</w:t>
      </w:r>
      <w:r w:rsidRPr="00955FD8">
        <w:t>CYP</w:t>
      </w:r>
      <w:r w:rsidR="004C5E1D">
        <w:t>)</w:t>
      </w:r>
      <w:r w:rsidRPr="00955FD8">
        <w:t xml:space="preserve"> 1A2, 2B6, 2C8, 2C9, 2C19, 2D6 and 3A4 in experiments with human liver </w:t>
      </w:r>
      <w:proofErr w:type="spellStart"/>
      <w:r w:rsidRPr="00955FD8">
        <w:t>microsomes</w:t>
      </w:r>
      <w:proofErr w:type="spellEnd"/>
      <w:r w:rsidRPr="00955FD8">
        <w:t>, and caused no significant inducti</w:t>
      </w:r>
      <w:r w:rsidR="004C5E1D">
        <w:t>on of CYP</w:t>
      </w:r>
      <w:r w:rsidRPr="00955FD8">
        <w:t xml:space="preserve"> 1A, 2B6 or 3A in experiments with cultured human hepatocytes.</w:t>
      </w:r>
    </w:p>
    <w:p w14:paraId="6F9E53C6" w14:textId="41FFF108" w:rsidR="002A1360" w:rsidRPr="00955FD8" w:rsidRDefault="00955FD8" w:rsidP="00955FD8">
      <w:pPr>
        <w:spacing w:before="0" w:after="0" w:line="240" w:lineRule="auto"/>
        <w:rPr>
          <w:lang w:val="en-GB" w:eastAsia="en-GB"/>
        </w:rPr>
      </w:pPr>
      <w:proofErr w:type="spellStart"/>
      <w:r w:rsidRPr="00955FD8">
        <w:t>Deoxycholic</w:t>
      </w:r>
      <w:proofErr w:type="spellEnd"/>
      <w:r w:rsidRPr="00955FD8">
        <w:t xml:space="preserve"> acid is a substrate for a number of uptake transport</w:t>
      </w:r>
      <w:r>
        <w:t>ers including the apical sodium </w:t>
      </w:r>
      <w:r w:rsidRPr="00955FD8">
        <w:t>bile acid transporter (ASBT), bile salt export pump (BSEP) and so</w:t>
      </w:r>
      <w:r>
        <w:t>dium </w:t>
      </w:r>
      <w:proofErr w:type="spellStart"/>
      <w:r w:rsidRPr="00955FD8">
        <w:t>taurocholate</w:t>
      </w:r>
      <w:proofErr w:type="spellEnd"/>
      <w:r w:rsidRPr="00955FD8">
        <w:t xml:space="preserve"> co</w:t>
      </w:r>
      <w:r>
        <w:t>-</w:t>
      </w:r>
      <w:r w:rsidRPr="00955FD8">
        <w:t xml:space="preserve">transporting polypeptide (NTCP) and relies on these interactions for </w:t>
      </w:r>
      <w:proofErr w:type="spellStart"/>
      <w:r w:rsidRPr="00955FD8">
        <w:t>enterohepatic</w:t>
      </w:r>
      <w:proofErr w:type="spellEnd"/>
      <w:r w:rsidRPr="00955FD8">
        <w:t xml:space="preserve"> recycling. </w:t>
      </w:r>
      <w:proofErr w:type="spellStart"/>
      <w:r w:rsidRPr="00955FD8">
        <w:t>Deoxycholic</w:t>
      </w:r>
      <w:proofErr w:type="spellEnd"/>
      <w:r w:rsidRPr="00955FD8">
        <w:t xml:space="preserve"> acid exhibited inhibitory activity against all tested efflux and uptake transporters (BSEP, MRP2, MRP4, P</w:t>
      </w:r>
      <w:r w:rsidRPr="00955FD8">
        <w:noBreakHyphen/>
      </w:r>
      <w:proofErr w:type="spellStart"/>
      <w:r w:rsidRPr="00955FD8">
        <w:t>gp</w:t>
      </w:r>
      <w:proofErr w:type="spellEnd"/>
      <w:r w:rsidRPr="00955FD8">
        <w:t xml:space="preserve">, BCRP, OATP1B1, OATP1B3, OATP2B1, OAT1, OAT3, OCT1, OCT2, NTCP and ASBT). </w:t>
      </w:r>
      <w:r>
        <w:rPr>
          <w:lang w:val="en-GB" w:eastAsia="en-GB"/>
        </w:rPr>
        <w:t>H</w:t>
      </w:r>
      <w:r w:rsidRPr="00955FD8">
        <w:rPr>
          <w:lang w:val="en-GB" w:eastAsia="en-GB"/>
        </w:rPr>
        <w:t>alf maximal inhibitory concentration</w:t>
      </w:r>
      <w:r>
        <w:rPr>
          <w:lang w:val="en-GB" w:eastAsia="en-GB"/>
        </w:rPr>
        <w:t xml:space="preserve"> (</w:t>
      </w:r>
      <w:r w:rsidRPr="00955FD8">
        <w:t>IC</w:t>
      </w:r>
      <w:r w:rsidRPr="00955FD8">
        <w:rPr>
          <w:vertAlign w:val="subscript"/>
        </w:rPr>
        <w:t>50</w:t>
      </w:r>
      <w:r>
        <w:t>) values though</w:t>
      </w:r>
      <w:r w:rsidRPr="00955FD8">
        <w:t xml:space="preserve"> were extreme multiples (≥</w:t>
      </w:r>
      <w:r>
        <w:t> </w:t>
      </w:r>
      <w:r w:rsidRPr="00955FD8">
        <w:t xml:space="preserve">360 times) of the clinical </w:t>
      </w:r>
      <w:proofErr w:type="spellStart"/>
      <w:r w:rsidRPr="00955FD8">
        <w:t>C</w:t>
      </w:r>
      <w:r w:rsidRPr="00955FD8">
        <w:rPr>
          <w:vertAlign w:val="subscript"/>
        </w:rPr>
        <w:t>max</w:t>
      </w:r>
      <w:proofErr w:type="spellEnd"/>
      <w:r w:rsidRPr="00955FD8">
        <w:t xml:space="preserve"> for unbound drug at the maximum recommended human dose for all transporters except the hepatic </w:t>
      </w:r>
      <w:r>
        <w:t>uptake trans</w:t>
      </w:r>
      <w:r w:rsidR="00983356">
        <w:t>porter NTCP</w:t>
      </w:r>
      <w:r w:rsidRPr="00955FD8">
        <w:t xml:space="preserve"> where the IC</w:t>
      </w:r>
      <w:r w:rsidRPr="00955FD8">
        <w:rPr>
          <w:vertAlign w:val="subscript"/>
        </w:rPr>
        <w:t>50</w:t>
      </w:r>
      <w:r w:rsidRPr="00955FD8">
        <w:t xml:space="preserve"> (2.14 </w:t>
      </w:r>
      <w:proofErr w:type="spellStart"/>
      <w:r w:rsidRPr="00955FD8">
        <w:t>μM</w:t>
      </w:r>
      <w:proofErr w:type="spellEnd"/>
      <w:r w:rsidRPr="00955FD8">
        <w:t xml:space="preserve">) was 43 times higher than the clinical peak free concentration (0.05 </w:t>
      </w:r>
      <w:proofErr w:type="spellStart"/>
      <w:r w:rsidRPr="00955FD8">
        <w:t>μM</w:t>
      </w:r>
      <w:proofErr w:type="spellEnd"/>
      <w:r w:rsidRPr="00955FD8">
        <w:t>). Overall, based on these data and given the pattern of use, no clinically significant pharmacokinetic drug interactions are considered likely to be encountered in patients.</w:t>
      </w:r>
    </w:p>
    <w:p w14:paraId="2800CF9D" w14:textId="77777777" w:rsidR="001B5C90" w:rsidRDefault="008E7846" w:rsidP="001B5C90">
      <w:pPr>
        <w:pStyle w:val="Heading3"/>
      </w:pPr>
      <w:bookmarkStart w:id="55" w:name="_Toc482015692"/>
      <w:r>
        <w:lastRenderedPageBreak/>
        <w:t>Toxicology</w:t>
      </w:r>
      <w:bookmarkEnd w:id="52"/>
      <w:bookmarkEnd w:id="53"/>
      <w:bookmarkEnd w:id="55"/>
    </w:p>
    <w:p w14:paraId="4229771A" w14:textId="77777777" w:rsidR="00955FD8" w:rsidRPr="00D57492" w:rsidRDefault="00955FD8" w:rsidP="00955FD8">
      <w:pPr>
        <w:pStyle w:val="Heading4"/>
      </w:pPr>
      <w:bookmarkStart w:id="56" w:name="_Toc294861727"/>
      <w:r w:rsidRPr="00D57492">
        <w:t>Acute toxicity</w:t>
      </w:r>
      <w:bookmarkEnd w:id="56"/>
    </w:p>
    <w:p w14:paraId="4BCAFBB5" w14:textId="1835655C" w:rsidR="00C9747E" w:rsidRPr="00955FD8" w:rsidRDefault="00955FD8" w:rsidP="00955FD8">
      <w:r w:rsidRPr="00955FD8">
        <w:t>Single-dose toxicity studies were conducted in rats and dogs using the clinical (SC) and IV routes. No mortality or clinical signs indicative of overt systemic toxicity were seen up to the highest doses tested (250 mg/kg SC and 10 mg/kg IV in rats; 100 mg/kg SC and 5 mg/kg IV in dogs; up to between 23 to 30 times the maximum recommended clinical dose on a body surface area basis) although the post</w:t>
      </w:r>
      <w:r w:rsidRPr="00955FD8">
        <w:noBreakHyphen/>
        <w:t>dose observation period was frequently only short (commonly a day or week after dosing). In studies with extended observation periods (≥ 14 days post-dose), maximum non</w:t>
      </w:r>
      <w:r w:rsidRPr="00955FD8">
        <w:noBreakHyphen/>
        <w:t>lethal doses of 10 mg/kg SC were established in both species. Injection site changes included discolouration or reddening, scabbing, thickening, gelatinous material, focal necrosis, ulceration, acute or chronic inflammation and skeletal muscle degeneration. These were the chief findings in all studies. Suppression of body weight gain or body weight loss were seen in rats at doses ≥</w:t>
      </w:r>
      <w:r>
        <w:t> 50 mg/kg SC and in dogs at 100 mg/kg </w:t>
      </w:r>
      <w:r w:rsidRPr="00955FD8">
        <w:t xml:space="preserve">SC, potentially secondary to injection site discomfort. Local tolerance was influenced by </w:t>
      </w:r>
      <w:proofErr w:type="spellStart"/>
      <w:r w:rsidRPr="00955FD8">
        <w:t>deoxycholic</w:t>
      </w:r>
      <w:proofErr w:type="spellEnd"/>
      <w:r w:rsidRPr="00955FD8">
        <w:t xml:space="preserve"> acid strength and dose volume, and the use of 0.9% </w:t>
      </w:r>
      <w:r w:rsidR="00983356">
        <w:t>BA</w:t>
      </w:r>
      <w:r w:rsidRPr="00955FD8">
        <w:t xml:space="preserve"> as the vehicle was found to be better tolerated </w:t>
      </w:r>
      <w:r>
        <w:t>compared with</w:t>
      </w:r>
      <w:r w:rsidRPr="00955FD8">
        <w:t xml:space="preserve"> the use of water. Maximum locally tolerated SC doses were 50 mg/kg in rats (</w:t>
      </w:r>
      <w:r>
        <w:t>as 1 mL/kg x </w:t>
      </w:r>
      <w:r w:rsidRPr="00955FD8">
        <w:t>5%) and 20 mg</w:t>
      </w:r>
      <w:r>
        <w:t>/kg in dogs (as 1 mL/kg x </w:t>
      </w:r>
      <w:r w:rsidRPr="00955FD8">
        <w:t>2%).</w:t>
      </w:r>
    </w:p>
    <w:p w14:paraId="452731BC" w14:textId="77777777" w:rsidR="00955FD8" w:rsidRPr="00955FD8" w:rsidRDefault="00955FD8" w:rsidP="00955FD8">
      <w:pPr>
        <w:pStyle w:val="Heading4"/>
      </w:pPr>
      <w:bookmarkStart w:id="57" w:name="_Toc294861728"/>
      <w:r w:rsidRPr="00955FD8">
        <w:t>Repeat-dose toxicity</w:t>
      </w:r>
      <w:bookmarkEnd w:id="57"/>
    </w:p>
    <w:p w14:paraId="0BABD11E" w14:textId="12C8A9A3" w:rsidR="00955FD8" w:rsidRPr="00955FD8" w:rsidRDefault="00955FD8" w:rsidP="00955FD8">
      <w:r w:rsidRPr="00955FD8">
        <w:t>Repeat-dose toxicity studies were conducted in rats and dogs; all used the clinical (SC) route. The</w:t>
      </w:r>
      <w:r w:rsidR="00E736DD">
        <w:t xml:space="preserve"> </w:t>
      </w:r>
      <w:r w:rsidRPr="00955FD8">
        <w:t xml:space="preserve">pivotal studies were of appropriate duration (6 months in rats and 9 months in dogs) and used appropriate numbers of animals, and involved twice monthly administration to rotated injection sites; the same site was treated at monthly intervals, as proposed clinically. The same regimen was used in </w:t>
      </w:r>
      <w:r w:rsidR="00DE4EF8">
        <w:t xml:space="preserve">the </w:t>
      </w:r>
      <w:r w:rsidRPr="00955FD8">
        <w:t>3</w:t>
      </w:r>
      <w:r w:rsidR="00DE4EF8">
        <w:t xml:space="preserve"> </w:t>
      </w:r>
      <w:r w:rsidRPr="00955FD8">
        <w:t>month studies. More frequent administration at the same site (fortnightly</w:t>
      </w:r>
      <w:r w:rsidR="00E736DD">
        <w:t xml:space="preserve">, </w:t>
      </w:r>
      <w:r w:rsidRPr="00955FD8">
        <w:t xml:space="preserve">as weekly doses </w:t>
      </w:r>
      <w:r w:rsidR="00E736DD">
        <w:t>to alternating sites</w:t>
      </w:r>
      <w:r w:rsidRPr="00955FD8">
        <w:t>) was investigated in studies of 4 weeks duration.</w:t>
      </w:r>
    </w:p>
    <w:p w14:paraId="59821AE1" w14:textId="77777777" w:rsidR="00955FD8" w:rsidRPr="00955FD8" w:rsidRDefault="00955FD8" w:rsidP="00E736DD">
      <w:pPr>
        <w:pStyle w:val="Heading5"/>
      </w:pPr>
      <w:r w:rsidRPr="00955FD8">
        <w:t>Relative exposure</w:t>
      </w:r>
    </w:p>
    <w:p w14:paraId="6F4DFF4E" w14:textId="37208DEF" w:rsidR="00955FD8" w:rsidRDefault="00955FD8" w:rsidP="00955FD8">
      <w:r w:rsidRPr="00955FD8">
        <w:t xml:space="preserve">Exposure ratios in selected repeat-dose toxicity studies, calculated based on plasma AUC levels and taking dosing frequency into account, are tabulated </w:t>
      </w:r>
      <w:r w:rsidR="00375819">
        <w:t xml:space="preserve">in Table 2 found </w:t>
      </w:r>
      <w:r w:rsidRPr="00955FD8">
        <w:t>below. Moderate multiples of the clinical systemic exposure level w</w:t>
      </w:r>
      <w:r w:rsidR="0047031B">
        <w:t>as</w:t>
      </w:r>
      <w:r w:rsidRPr="00955FD8">
        <w:t xml:space="preserve"> obtained at the highest doses in the pivotal studies.</w:t>
      </w:r>
    </w:p>
    <w:p w14:paraId="54780C62" w14:textId="146F955E" w:rsidR="00E736DD" w:rsidRDefault="00E736DD" w:rsidP="00983356">
      <w:pPr>
        <w:pStyle w:val="Tabletitle0"/>
      </w:pPr>
      <w:r w:rsidRPr="00613E9E">
        <w:t>T</w:t>
      </w:r>
      <w:r w:rsidR="00983356" w:rsidRPr="00613E9E">
        <w:t>able</w:t>
      </w:r>
      <w:r w:rsidR="00EE7AEF" w:rsidRPr="00C954F4">
        <w:t xml:space="preserve"> 2</w:t>
      </w:r>
      <w:r w:rsidR="0047031B" w:rsidRPr="00C954F4">
        <w:t>:</w:t>
      </w:r>
      <w:r w:rsidR="00983356" w:rsidRPr="00C954F4">
        <w:t xml:space="preserve"> </w:t>
      </w:r>
      <w:r w:rsidRPr="00C954F4">
        <w:t>Relative exposure in selected repeat-dose toxicity studies</w:t>
      </w:r>
    </w:p>
    <w:tbl>
      <w:tblPr>
        <w:tblStyle w:val="TableTGAblue2"/>
        <w:tblW w:w="5345" w:type="pct"/>
        <w:tblLayout w:type="fixed"/>
        <w:tblLook w:val="01E0" w:firstRow="1" w:lastRow="1" w:firstColumn="1" w:lastColumn="1" w:noHBand="0" w:noVBand="0"/>
      </w:tblPr>
      <w:tblGrid>
        <w:gridCol w:w="1107"/>
        <w:gridCol w:w="1415"/>
        <w:gridCol w:w="988"/>
        <w:gridCol w:w="994"/>
        <w:gridCol w:w="1134"/>
        <w:gridCol w:w="1134"/>
        <w:gridCol w:w="1134"/>
        <w:gridCol w:w="708"/>
        <w:gridCol w:w="708"/>
      </w:tblGrid>
      <w:tr w:rsidR="00570061" w:rsidRPr="00FB56FE" w14:paraId="50036547" w14:textId="77777777" w:rsidTr="00FB56FE">
        <w:trPr>
          <w:cnfStyle w:val="100000000000" w:firstRow="1" w:lastRow="0" w:firstColumn="0" w:lastColumn="0" w:oddVBand="0" w:evenVBand="0" w:oddHBand="0" w:evenHBand="0" w:firstRowFirstColumn="0" w:firstRowLastColumn="0" w:lastRowFirstColumn="0" w:lastRowLastColumn="0"/>
          <w:cantSplit w:val="0"/>
        </w:trPr>
        <w:tc>
          <w:tcPr>
            <w:tcW w:w="593" w:type="pct"/>
            <w:vMerge w:val="restart"/>
            <w:tcBorders>
              <w:bottom w:val="nil"/>
              <w:right w:val="single" w:sz="8" w:space="0" w:color="002C47"/>
            </w:tcBorders>
          </w:tcPr>
          <w:p w14:paraId="498CF471" w14:textId="77777777" w:rsidR="00570061" w:rsidRPr="00FB56FE" w:rsidRDefault="00570061" w:rsidP="00FB56FE">
            <w:pPr>
              <w:rPr>
                <w:sz w:val="20"/>
                <w:szCs w:val="20"/>
              </w:rPr>
            </w:pPr>
            <w:r w:rsidRPr="00FB56FE">
              <w:rPr>
                <w:sz w:val="20"/>
                <w:szCs w:val="20"/>
              </w:rPr>
              <w:t>Species</w:t>
            </w:r>
          </w:p>
        </w:tc>
        <w:tc>
          <w:tcPr>
            <w:tcW w:w="759" w:type="pct"/>
            <w:vMerge w:val="restart"/>
            <w:tcBorders>
              <w:left w:val="single" w:sz="8" w:space="0" w:color="002C47"/>
              <w:bottom w:val="nil"/>
              <w:right w:val="single" w:sz="8" w:space="0" w:color="002C47"/>
            </w:tcBorders>
          </w:tcPr>
          <w:p w14:paraId="3F8A6E17" w14:textId="77777777" w:rsidR="00570061" w:rsidRPr="00FB56FE" w:rsidRDefault="00570061" w:rsidP="00FB56FE">
            <w:pPr>
              <w:rPr>
                <w:sz w:val="20"/>
                <w:szCs w:val="20"/>
              </w:rPr>
            </w:pPr>
            <w:r w:rsidRPr="00FB56FE">
              <w:rPr>
                <w:sz w:val="20"/>
                <w:szCs w:val="20"/>
              </w:rPr>
              <w:t>Study duration</w:t>
            </w:r>
          </w:p>
        </w:tc>
        <w:tc>
          <w:tcPr>
            <w:tcW w:w="1063" w:type="pct"/>
            <w:gridSpan w:val="2"/>
            <w:vMerge w:val="restart"/>
            <w:tcBorders>
              <w:left w:val="single" w:sz="8" w:space="0" w:color="002C47"/>
              <w:bottom w:val="nil"/>
              <w:right w:val="single" w:sz="8" w:space="0" w:color="002C47"/>
            </w:tcBorders>
          </w:tcPr>
          <w:p w14:paraId="3CAE366E" w14:textId="77777777" w:rsidR="00570061" w:rsidRPr="00FB56FE" w:rsidRDefault="00570061" w:rsidP="00FB56FE">
            <w:pPr>
              <w:rPr>
                <w:sz w:val="20"/>
                <w:szCs w:val="20"/>
              </w:rPr>
            </w:pPr>
            <w:r w:rsidRPr="00FB56FE">
              <w:rPr>
                <w:sz w:val="20"/>
                <w:szCs w:val="20"/>
              </w:rPr>
              <w:t>Treatment frequency</w:t>
            </w:r>
          </w:p>
        </w:tc>
        <w:tc>
          <w:tcPr>
            <w:tcW w:w="608" w:type="pct"/>
            <w:vMerge w:val="restart"/>
            <w:tcBorders>
              <w:left w:val="single" w:sz="8" w:space="0" w:color="002C47"/>
              <w:bottom w:val="nil"/>
              <w:right w:val="single" w:sz="8" w:space="0" w:color="002C47"/>
            </w:tcBorders>
          </w:tcPr>
          <w:p w14:paraId="026AFE25" w14:textId="77777777" w:rsidR="00570061" w:rsidRPr="00FB56FE" w:rsidRDefault="00570061" w:rsidP="00FB56FE">
            <w:pPr>
              <w:rPr>
                <w:sz w:val="20"/>
                <w:szCs w:val="20"/>
              </w:rPr>
            </w:pPr>
            <w:r w:rsidRPr="00FB56FE">
              <w:rPr>
                <w:sz w:val="20"/>
                <w:szCs w:val="20"/>
              </w:rPr>
              <w:t>Dose mg/kg</w:t>
            </w:r>
          </w:p>
        </w:tc>
        <w:tc>
          <w:tcPr>
            <w:tcW w:w="608" w:type="pct"/>
            <w:vMerge w:val="restart"/>
            <w:tcBorders>
              <w:left w:val="single" w:sz="8" w:space="0" w:color="002C47"/>
              <w:bottom w:val="nil"/>
              <w:right w:val="single" w:sz="8" w:space="0" w:color="002C47"/>
            </w:tcBorders>
          </w:tcPr>
          <w:p w14:paraId="5DA47F4C" w14:textId="77777777" w:rsidR="00570061" w:rsidRPr="00FB56FE" w:rsidRDefault="00570061" w:rsidP="00FB56FE">
            <w:pPr>
              <w:rPr>
                <w:sz w:val="20"/>
                <w:szCs w:val="20"/>
              </w:rPr>
            </w:pPr>
            <w:r w:rsidRPr="00FB56FE">
              <w:rPr>
                <w:sz w:val="20"/>
                <w:szCs w:val="20"/>
              </w:rPr>
              <w:t>Strength</w:t>
            </w:r>
          </w:p>
        </w:tc>
        <w:tc>
          <w:tcPr>
            <w:tcW w:w="608" w:type="pct"/>
            <w:vMerge w:val="restart"/>
            <w:tcBorders>
              <w:left w:val="single" w:sz="8" w:space="0" w:color="002C47"/>
              <w:bottom w:val="nil"/>
              <w:right w:val="single" w:sz="8" w:space="0" w:color="002C47"/>
            </w:tcBorders>
          </w:tcPr>
          <w:p w14:paraId="0AB466C0" w14:textId="77777777" w:rsidR="00570061" w:rsidRPr="00FB56FE" w:rsidRDefault="00570061" w:rsidP="00FB56FE">
            <w:pPr>
              <w:rPr>
                <w:sz w:val="20"/>
                <w:szCs w:val="20"/>
              </w:rPr>
            </w:pPr>
            <w:r w:rsidRPr="00FB56FE">
              <w:rPr>
                <w:sz w:val="20"/>
                <w:szCs w:val="20"/>
              </w:rPr>
              <w:t>AUC</w:t>
            </w:r>
            <w:r w:rsidRPr="00FB56FE">
              <w:rPr>
                <w:sz w:val="20"/>
                <w:szCs w:val="20"/>
                <w:vertAlign w:val="subscript"/>
              </w:rPr>
              <w:t>0–last</w:t>
            </w:r>
            <w:r w:rsidRPr="00FB56FE">
              <w:rPr>
                <w:sz w:val="20"/>
                <w:szCs w:val="20"/>
                <w:vertAlign w:val="superscript"/>
              </w:rPr>
              <w:t>1</w:t>
            </w:r>
            <w:r w:rsidRPr="00FB56FE">
              <w:rPr>
                <w:sz w:val="20"/>
                <w:szCs w:val="20"/>
              </w:rPr>
              <w:t xml:space="preserve"> </w:t>
            </w:r>
            <w:proofErr w:type="spellStart"/>
            <w:r w:rsidRPr="00FB56FE">
              <w:rPr>
                <w:sz w:val="20"/>
                <w:szCs w:val="20"/>
              </w:rPr>
              <w:t>ng∙h</w:t>
            </w:r>
            <w:proofErr w:type="spellEnd"/>
            <w:r w:rsidRPr="00FB56FE">
              <w:rPr>
                <w:sz w:val="20"/>
                <w:szCs w:val="20"/>
              </w:rPr>
              <w:t>/mL</w:t>
            </w:r>
          </w:p>
        </w:tc>
        <w:tc>
          <w:tcPr>
            <w:tcW w:w="760" w:type="pct"/>
            <w:gridSpan w:val="2"/>
            <w:tcBorders>
              <w:left w:val="single" w:sz="8" w:space="0" w:color="002C47"/>
              <w:bottom w:val="nil"/>
            </w:tcBorders>
          </w:tcPr>
          <w:p w14:paraId="45D67997" w14:textId="77777777" w:rsidR="00570061" w:rsidRPr="00FB56FE" w:rsidRDefault="00570061" w:rsidP="00FB56FE">
            <w:pPr>
              <w:rPr>
                <w:sz w:val="20"/>
                <w:szCs w:val="20"/>
              </w:rPr>
            </w:pPr>
            <w:r w:rsidRPr="00FB56FE">
              <w:rPr>
                <w:sz w:val="20"/>
                <w:szCs w:val="20"/>
              </w:rPr>
              <w:t>Exposure ratio</w:t>
            </w:r>
            <w:r w:rsidRPr="00FB56FE">
              <w:rPr>
                <w:sz w:val="20"/>
                <w:szCs w:val="20"/>
                <w:vertAlign w:val="superscript"/>
              </w:rPr>
              <w:t>2</w:t>
            </w:r>
          </w:p>
        </w:tc>
      </w:tr>
      <w:tr w:rsidR="00570061" w:rsidRPr="00FB56FE" w14:paraId="05EB8883" w14:textId="77777777" w:rsidTr="00FB56FE">
        <w:trPr>
          <w:trHeight w:val="1176"/>
        </w:trPr>
        <w:tc>
          <w:tcPr>
            <w:tcW w:w="593" w:type="pct"/>
            <w:vMerge/>
            <w:tcBorders>
              <w:top w:val="nil"/>
              <w:right w:val="single" w:sz="8" w:space="0" w:color="002C47"/>
            </w:tcBorders>
          </w:tcPr>
          <w:p w14:paraId="2D514350" w14:textId="77777777" w:rsidR="00570061" w:rsidRPr="00FB56FE" w:rsidRDefault="00570061" w:rsidP="00FB56FE">
            <w:pPr>
              <w:rPr>
                <w:sz w:val="20"/>
                <w:szCs w:val="20"/>
              </w:rPr>
            </w:pPr>
          </w:p>
        </w:tc>
        <w:tc>
          <w:tcPr>
            <w:tcW w:w="759" w:type="pct"/>
            <w:vMerge/>
            <w:tcBorders>
              <w:top w:val="nil"/>
              <w:left w:val="single" w:sz="8" w:space="0" w:color="002C47"/>
              <w:right w:val="single" w:sz="8" w:space="0" w:color="002C47"/>
            </w:tcBorders>
          </w:tcPr>
          <w:p w14:paraId="21902AD5" w14:textId="77777777" w:rsidR="00570061" w:rsidRPr="00FB56FE" w:rsidRDefault="00570061" w:rsidP="00FB56FE">
            <w:pPr>
              <w:rPr>
                <w:sz w:val="20"/>
                <w:szCs w:val="20"/>
              </w:rPr>
            </w:pPr>
          </w:p>
        </w:tc>
        <w:tc>
          <w:tcPr>
            <w:tcW w:w="1063" w:type="pct"/>
            <w:gridSpan w:val="2"/>
            <w:vMerge/>
            <w:tcBorders>
              <w:top w:val="nil"/>
              <w:left w:val="single" w:sz="8" w:space="0" w:color="002C47"/>
              <w:right w:val="single" w:sz="8" w:space="0" w:color="002C47"/>
            </w:tcBorders>
          </w:tcPr>
          <w:p w14:paraId="32C7EDE5" w14:textId="77777777" w:rsidR="00570061" w:rsidRPr="00FB56FE" w:rsidRDefault="00570061" w:rsidP="00FB56FE">
            <w:pPr>
              <w:rPr>
                <w:sz w:val="20"/>
                <w:szCs w:val="20"/>
              </w:rPr>
            </w:pPr>
          </w:p>
        </w:tc>
        <w:tc>
          <w:tcPr>
            <w:tcW w:w="608" w:type="pct"/>
            <w:vMerge/>
            <w:tcBorders>
              <w:top w:val="nil"/>
              <w:left w:val="single" w:sz="8" w:space="0" w:color="002C47"/>
              <w:right w:val="single" w:sz="8" w:space="0" w:color="002C47"/>
            </w:tcBorders>
          </w:tcPr>
          <w:p w14:paraId="3AFE2CBA" w14:textId="77777777" w:rsidR="00570061" w:rsidRPr="00FB56FE" w:rsidRDefault="00570061" w:rsidP="00FB56FE">
            <w:pPr>
              <w:rPr>
                <w:sz w:val="20"/>
                <w:szCs w:val="20"/>
              </w:rPr>
            </w:pPr>
          </w:p>
        </w:tc>
        <w:tc>
          <w:tcPr>
            <w:tcW w:w="608" w:type="pct"/>
            <w:vMerge/>
            <w:tcBorders>
              <w:top w:val="nil"/>
              <w:left w:val="single" w:sz="8" w:space="0" w:color="002C47"/>
              <w:right w:val="single" w:sz="8" w:space="0" w:color="002C47"/>
            </w:tcBorders>
          </w:tcPr>
          <w:p w14:paraId="4406C0CC" w14:textId="77777777" w:rsidR="00570061" w:rsidRPr="00FB56FE" w:rsidRDefault="00570061" w:rsidP="00FB56FE">
            <w:pPr>
              <w:rPr>
                <w:sz w:val="20"/>
                <w:szCs w:val="20"/>
              </w:rPr>
            </w:pPr>
          </w:p>
        </w:tc>
        <w:tc>
          <w:tcPr>
            <w:tcW w:w="608" w:type="pct"/>
            <w:vMerge/>
            <w:tcBorders>
              <w:top w:val="nil"/>
              <w:left w:val="single" w:sz="8" w:space="0" w:color="002C47"/>
              <w:right w:val="single" w:sz="8" w:space="0" w:color="002C47"/>
            </w:tcBorders>
          </w:tcPr>
          <w:p w14:paraId="521F3B28" w14:textId="77777777" w:rsidR="00570061" w:rsidRPr="00FB56FE" w:rsidRDefault="00570061" w:rsidP="00FB56FE">
            <w:pPr>
              <w:rPr>
                <w:sz w:val="20"/>
                <w:szCs w:val="20"/>
              </w:rPr>
            </w:pPr>
          </w:p>
        </w:tc>
        <w:tc>
          <w:tcPr>
            <w:tcW w:w="380" w:type="pct"/>
            <w:tcBorders>
              <w:top w:val="nil"/>
              <w:left w:val="single" w:sz="8" w:space="0" w:color="002C47"/>
            </w:tcBorders>
          </w:tcPr>
          <w:p w14:paraId="132D60B3" w14:textId="77777777" w:rsidR="00570061" w:rsidRPr="00FB56FE" w:rsidRDefault="00570061" w:rsidP="00FB56FE">
            <w:pPr>
              <w:rPr>
                <w:sz w:val="20"/>
                <w:szCs w:val="20"/>
              </w:rPr>
            </w:pPr>
            <w:r w:rsidRPr="00FB56FE">
              <w:rPr>
                <w:sz w:val="20"/>
                <w:szCs w:val="20"/>
              </w:rPr>
              <w:t>Per dose</w:t>
            </w:r>
          </w:p>
        </w:tc>
        <w:tc>
          <w:tcPr>
            <w:tcW w:w="380" w:type="pct"/>
            <w:tcBorders>
              <w:top w:val="nil"/>
            </w:tcBorders>
          </w:tcPr>
          <w:p w14:paraId="4EE36D79" w14:textId="77777777" w:rsidR="00570061" w:rsidRPr="00FB56FE" w:rsidRDefault="00570061" w:rsidP="00FB56FE">
            <w:pPr>
              <w:rPr>
                <w:sz w:val="20"/>
                <w:szCs w:val="20"/>
              </w:rPr>
            </w:pPr>
            <w:r w:rsidRPr="00FB56FE">
              <w:rPr>
                <w:sz w:val="20"/>
                <w:szCs w:val="20"/>
              </w:rPr>
              <w:t>&gt;1 M</w:t>
            </w:r>
          </w:p>
        </w:tc>
      </w:tr>
      <w:tr w:rsidR="00570061" w:rsidRPr="00FB56FE" w14:paraId="5D2CA0CD" w14:textId="77777777" w:rsidTr="00070A4E">
        <w:trPr>
          <w:trHeight w:val="227"/>
        </w:trPr>
        <w:tc>
          <w:tcPr>
            <w:tcW w:w="593" w:type="pct"/>
            <w:vMerge w:val="restart"/>
          </w:tcPr>
          <w:p w14:paraId="37E0BCFE" w14:textId="368CEE34" w:rsidR="00570061" w:rsidRPr="00FB56FE" w:rsidRDefault="00570061" w:rsidP="00FB56FE">
            <w:pPr>
              <w:rPr>
                <w:kern w:val="2"/>
                <w:sz w:val="20"/>
                <w:szCs w:val="20"/>
              </w:rPr>
            </w:pPr>
            <w:r w:rsidRPr="00FB56FE">
              <w:rPr>
                <w:kern w:val="2"/>
                <w:sz w:val="20"/>
                <w:szCs w:val="20"/>
              </w:rPr>
              <w:t>Rat</w:t>
            </w:r>
            <w:r w:rsidR="00FB56FE" w:rsidRPr="00FB56FE">
              <w:rPr>
                <w:kern w:val="2"/>
                <w:sz w:val="20"/>
                <w:szCs w:val="20"/>
              </w:rPr>
              <w:t xml:space="preserve"> </w:t>
            </w:r>
            <w:r w:rsidRPr="00FB56FE">
              <w:rPr>
                <w:kern w:val="2"/>
                <w:sz w:val="20"/>
                <w:szCs w:val="20"/>
              </w:rPr>
              <w:t>(SD)</w:t>
            </w:r>
          </w:p>
        </w:tc>
        <w:tc>
          <w:tcPr>
            <w:tcW w:w="759" w:type="pct"/>
            <w:vMerge w:val="restart"/>
          </w:tcPr>
          <w:p w14:paraId="17472255" w14:textId="0BCE542E" w:rsidR="00570061" w:rsidRPr="00FB56FE" w:rsidRDefault="00570061" w:rsidP="00FB56FE">
            <w:pPr>
              <w:rPr>
                <w:kern w:val="2"/>
                <w:sz w:val="20"/>
                <w:szCs w:val="20"/>
              </w:rPr>
            </w:pPr>
            <w:r w:rsidRPr="00FB56FE">
              <w:rPr>
                <w:kern w:val="2"/>
                <w:sz w:val="20"/>
                <w:szCs w:val="20"/>
              </w:rPr>
              <w:t>4 weeks</w:t>
            </w:r>
            <w:r w:rsidR="00FB56FE">
              <w:rPr>
                <w:kern w:val="2"/>
                <w:sz w:val="20"/>
                <w:szCs w:val="20"/>
              </w:rPr>
              <w:t xml:space="preserve"> </w:t>
            </w:r>
            <w:r w:rsidRPr="00FB56FE">
              <w:rPr>
                <w:kern w:val="2"/>
                <w:sz w:val="20"/>
                <w:szCs w:val="20"/>
              </w:rPr>
              <w:t>[IXB00005]</w:t>
            </w:r>
          </w:p>
        </w:tc>
        <w:tc>
          <w:tcPr>
            <w:tcW w:w="530" w:type="pct"/>
            <w:vMerge w:val="restart"/>
          </w:tcPr>
          <w:p w14:paraId="1EFCE4BB" w14:textId="77777777" w:rsidR="00570061" w:rsidRPr="00FB56FE" w:rsidRDefault="00570061" w:rsidP="00FB56FE">
            <w:pPr>
              <w:rPr>
                <w:kern w:val="2"/>
                <w:sz w:val="20"/>
                <w:szCs w:val="20"/>
              </w:rPr>
            </w:pPr>
            <w:r w:rsidRPr="00FB56FE">
              <w:rPr>
                <w:kern w:val="2"/>
                <w:sz w:val="20"/>
                <w:szCs w:val="20"/>
              </w:rPr>
              <w:t>once weekly</w:t>
            </w:r>
          </w:p>
        </w:tc>
        <w:tc>
          <w:tcPr>
            <w:tcW w:w="533" w:type="pct"/>
            <w:vMerge w:val="restart"/>
          </w:tcPr>
          <w:p w14:paraId="66DFA935" w14:textId="77777777" w:rsidR="00570061" w:rsidRPr="00FB56FE" w:rsidRDefault="00570061" w:rsidP="00FB56FE">
            <w:pPr>
              <w:rPr>
                <w:kern w:val="2"/>
                <w:sz w:val="20"/>
                <w:szCs w:val="20"/>
              </w:rPr>
            </w:pPr>
            <w:r w:rsidRPr="00FB56FE">
              <w:rPr>
                <w:kern w:val="2"/>
                <w:sz w:val="20"/>
                <w:szCs w:val="20"/>
              </w:rPr>
              <w:t>to two alter-</w:t>
            </w:r>
            <w:proofErr w:type="spellStart"/>
            <w:r w:rsidRPr="00FB56FE">
              <w:rPr>
                <w:kern w:val="2"/>
                <w:sz w:val="20"/>
                <w:szCs w:val="20"/>
              </w:rPr>
              <w:t>nating</w:t>
            </w:r>
            <w:proofErr w:type="spellEnd"/>
            <w:r w:rsidRPr="00FB56FE">
              <w:rPr>
                <w:kern w:val="2"/>
                <w:sz w:val="20"/>
                <w:szCs w:val="20"/>
              </w:rPr>
              <w:t xml:space="preserve"> sites</w:t>
            </w:r>
          </w:p>
        </w:tc>
        <w:tc>
          <w:tcPr>
            <w:tcW w:w="608" w:type="pct"/>
          </w:tcPr>
          <w:p w14:paraId="2D6B36D7" w14:textId="77777777" w:rsidR="00570061" w:rsidRPr="00FB56FE" w:rsidRDefault="00570061" w:rsidP="00FB56FE">
            <w:pPr>
              <w:rPr>
                <w:kern w:val="2"/>
                <w:sz w:val="20"/>
                <w:szCs w:val="20"/>
              </w:rPr>
            </w:pPr>
            <w:r w:rsidRPr="00FB56FE">
              <w:rPr>
                <w:kern w:val="2"/>
                <w:sz w:val="20"/>
                <w:szCs w:val="20"/>
              </w:rPr>
              <w:t>5</w:t>
            </w:r>
          </w:p>
        </w:tc>
        <w:tc>
          <w:tcPr>
            <w:tcW w:w="608" w:type="pct"/>
          </w:tcPr>
          <w:p w14:paraId="05238EC1" w14:textId="77777777" w:rsidR="00570061" w:rsidRPr="00FB56FE" w:rsidRDefault="00570061" w:rsidP="00FB56FE">
            <w:pPr>
              <w:rPr>
                <w:kern w:val="2"/>
                <w:sz w:val="20"/>
                <w:szCs w:val="20"/>
              </w:rPr>
            </w:pPr>
            <w:r w:rsidRPr="00FB56FE">
              <w:rPr>
                <w:kern w:val="2"/>
                <w:sz w:val="20"/>
                <w:szCs w:val="20"/>
              </w:rPr>
              <w:t>0.5%</w:t>
            </w:r>
          </w:p>
        </w:tc>
        <w:tc>
          <w:tcPr>
            <w:tcW w:w="608" w:type="pct"/>
          </w:tcPr>
          <w:p w14:paraId="402841E1" w14:textId="77777777" w:rsidR="00570061" w:rsidRPr="00FB56FE" w:rsidRDefault="00570061" w:rsidP="00FB56FE">
            <w:pPr>
              <w:rPr>
                <w:kern w:val="2"/>
                <w:sz w:val="20"/>
                <w:szCs w:val="20"/>
              </w:rPr>
            </w:pPr>
            <w:r w:rsidRPr="00FB56FE">
              <w:rPr>
                <w:kern w:val="2"/>
                <w:sz w:val="20"/>
                <w:szCs w:val="20"/>
              </w:rPr>
              <w:t>2895</w:t>
            </w:r>
          </w:p>
        </w:tc>
        <w:tc>
          <w:tcPr>
            <w:tcW w:w="380" w:type="pct"/>
          </w:tcPr>
          <w:p w14:paraId="63741E51" w14:textId="77777777" w:rsidR="00570061" w:rsidRPr="00FB56FE" w:rsidRDefault="00570061" w:rsidP="00FB56FE">
            <w:pPr>
              <w:rPr>
                <w:kern w:val="2"/>
                <w:sz w:val="20"/>
                <w:szCs w:val="20"/>
              </w:rPr>
            </w:pPr>
            <w:r w:rsidRPr="00FB56FE">
              <w:rPr>
                <w:kern w:val="2"/>
                <w:sz w:val="20"/>
                <w:szCs w:val="20"/>
              </w:rPr>
              <w:t>0.3</w:t>
            </w:r>
          </w:p>
        </w:tc>
        <w:tc>
          <w:tcPr>
            <w:tcW w:w="380" w:type="pct"/>
          </w:tcPr>
          <w:p w14:paraId="78BBF17F" w14:textId="77777777" w:rsidR="00570061" w:rsidRPr="00FB56FE" w:rsidRDefault="00570061" w:rsidP="00FB56FE">
            <w:pPr>
              <w:rPr>
                <w:kern w:val="2"/>
                <w:sz w:val="20"/>
                <w:szCs w:val="20"/>
              </w:rPr>
            </w:pPr>
            <w:r w:rsidRPr="00FB56FE">
              <w:rPr>
                <w:kern w:val="2"/>
                <w:sz w:val="20"/>
                <w:szCs w:val="20"/>
              </w:rPr>
              <w:t>1.3</w:t>
            </w:r>
          </w:p>
        </w:tc>
      </w:tr>
      <w:tr w:rsidR="00570061" w:rsidRPr="00FB56FE" w14:paraId="2B1B129E" w14:textId="77777777" w:rsidTr="00070A4E">
        <w:trPr>
          <w:trHeight w:val="227"/>
        </w:trPr>
        <w:tc>
          <w:tcPr>
            <w:tcW w:w="593" w:type="pct"/>
            <w:vMerge/>
          </w:tcPr>
          <w:p w14:paraId="1421C87E" w14:textId="77777777" w:rsidR="00570061" w:rsidRPr="00FB56FE" w:rsidRDefault="00570061" w:rsidP="00FB56FE">
            <w:pPr>
              <w:rPr>
                <w:kern w:val="2"/>
                <w:sz w:val="20"/>
                <w:szCs w:val="20"/>
              </w:rPr>
            </w:pPr>
          </w:p>
        </w:tc>
        <w:tc>
          <w:tcPr>
            <w:tcW w:w="759" w:type="pct"/>
            <w:vMerge/>
          </w:tcPr>
          <w:p w14:paraId="6F155274" w14:textId="77777777" w:rsidR="00570061" w:rsidRPr="00FB56FE" w:rsidRDefault="00570061" w:rsidP="00FB56FE">
            <w:pPr>
              <w:rPr>
                <w:kern w:val="2"/>
                <w:sz w:val="20"/>
                <w:szCs w:val="20"/>
              </w:rPr>
            </w:pPr>
          </w:p>
        </w:tc>
        <w:tc>
          <w:tcPr>
            <w:tcW w:w="530" w:type="pct"/>
            <w:vMerge/>
          </w:tcPr>
          <w:p w14:paraId="20090D53" w14:textId="77777777" w:rsidR="00570061" w:rsidRPr="00FB56FE" w:rsidRDefault="00570061" w:rsidP="00FB56FE">
            <w:pPr>
              <w:rPr>
                <w:kern w:val="2"/>
                <w:sz w:val="20"/>
                <w:szCs w:val="20"/>
              </w:rPr>
            </w:pPr>
          </w:p>
        </w:tc>
        <w:tc>
          <w:tcPr>
            <w:tcW w:w="533" w:type="pct"/>
            <w:vMerge/>
          </w:tcPr>
          <w:p w14:paraId="1650F342" w14:textId="77777777" w:rsidR="00570061" w:rsidRPr="00FB56FE" w:rsidRDefault="00570061" w:rsidP="00FB56FE">
            <w:pPr>
              <w:rPr>
                <w:kern w:val="2"/>
                <w:sz w:val="20"/>
                <w:szCs w:val="20"/>
              </w:rPr>
            </w:pPr>
          </w:p>
        </w:tc>
        <w:tc>
          <w:tcPr>
            <w:tcW w:w="608" w:type="pct"/>
          </w:tcPr>
          <w:p w14:paraId="3A90F71B" w14:textId="77777777" w:rsidR="00570061" w:rsidRPr="00FB56FE" w:rsidRDefault="00570061" w:rsidP="00FB56FE">
            <w:pPr>
              <w:rPr>
                <w:kern w:val="2"/>
                <w:sz w:val="20"/>
                <w:szCs w:val="20"/>
              </w:rPr>
            </w:pPr>
            <w:r w:rsidRPr="00FB56FE">
              <w:rPr>
                <w:kern w:val="2"/>
                <w:sz w:val="20"/>
                <w:szCs w:val="20"/>
              </w:rPr>
              <w:t>10</w:t>
            </w:r>
          </w:p>
        </w:tc>
        <w:tc>
          <w:tcPr>
            <w:tcW w:w="608" w:type="pct"/>
          </w:tcPr>
          <w:p w14:paraId="66648F43" w14:textId="77777777" w:rsidR="00570061" w:rsidRPr="00FB56FE" w:rsidRDefault="00570061" w:rsidP="00FB56FE">
            <w:pPr>
              <w:rPr>
                <w:kern w:val="2"/>
                <w:sz w:val="20"/>
                <w:szCs w:val="20"/>
              </w:rPr>
            </w:pPr>
            <w:r w:rsidRPr="00FB56FE">
              <w:rPr>
                <w:kern w:val="2"/>
                <w:sz w:val="20"/>
                <w:szCs w:val="20"/>
              </w:rPr>
              <w:t>1%</w:t>
            </w:r>
          </w:p>
        </w:tc>
        <w:tc>
          <w:tcPr>
            <w:tcW w:w="608" w:type="pct"/>
          </w:tcPr>
          <w:p w14:paraId="3AD8EFFB" w14:textId="77777777" w:rsidR="00570061" w:rsidRPr="00FB56FE" w:rsidRDefault="00570061" w:rsidP="00FB56FE">
            <w:pPr>
              <w:rPr>
                <w:kern w:val="2"/>
                <w:sz w:val="20"/>
                <w:szCs w:val="20"/>
              </w:rPr>
            </w:pPr>
            <w:r w:rsidRPr="00FB56FE">
              <w:rPr>
                <w:kern w:val="2"/>
                <w:sz w:val="20"/>
                <w:szCs w:val="20"/>
              </w:rPr>
              <w:t>6035</w:t>
            </w:r>
          </w:p>
        </w:tc>
        <w:tc>
          <w:tcPr>
            <w:tcW w:w="380" w:type="pct"/>
          </w:tcPr>
          <w:p w14:paraId="2F7B4694" w14:textId="77777777" w:rsidR="00570061" w:rsidRPr="00FB56FE" w:rsidRDefault="00570061" w:rsidP="00FB56FE">
            <w:pPr>
              <w:rPr>
                <w:kern w:val="2"/>
                <w:sz w:val="20"/>
                <w:szCs w:val="20"/>
              </w:rPr>
            </w:pPr>
            <w:r w:rsidRPr="00FB56FE">
              <w:rPr>
                <w:kern w:val="2"/>
                <w:sz w:val="20"/>
                <w:szCs w:val="20"/>
              </w:rPr>
              <w:t>0.7</w:t>
            </w:r>
          </w:p>
        </w:tc>
        <w:tc>
          <w:tcPr>
            <w:tcW w:w="380" w:type="pct"/>
          </w:tcPr>
          <w:p w14:paraId="274F5FCD" w14:textId="77777777" w:rsidR="00570061" w:rsidRPr="00FB56FE" w:rsidRDefault="00570061" w:rsidP="00FB56FE">
            <w:pPr>
              <w:rPr>
                <w:kern w:val="2"/>
                <w:sz w:val="20"/>
                <w:szCs w:val="20"/>
              </w:rPr>
            </w:pPr>
            <w:r w:rsidRPr="00FB56FE">
              <w:rPr>
                <w:kern w:val="2"/>
                <w:sz w:val="20"/>
                <w:szCs w:val="20"/>
              </w:rPr>
              <w:t>2.6</w:t>
            </w:r>
          </w:p>
        </w:tc>
      </w:tr>
      <w:tr w:rsidR="00570061" w:rsidRPr="00FB56FE" w14:paraId="1441746E" w14:textId="77777777" w:rsidTr="00070A4E">
        <w:trPr>
          <w:trHeight w:val="227"/>
        </w:trPr>
        <w:tc>
          <w:tcPr>
            <w:tcW w:w="593" w:type="pct"/>
            <w:vMerge/>
          </w:tcPr>
          <w:p w14:paraId="48A5F464" w14:textId="77777777" w:rsidR="00570061" w:rsidRPr="00FB56FE" w:rsidRDefault="00570061" w:rsidP="00FB56FE">
            <w:pPr>
              <w:rPr>
                <w:kern w:val="2"/>
                <w:sz w:val="20"/>
                <w:szCs w:val="20"/>
              </w:rPr>
            </w:pPr>
          </w:p>
        </w:tc>
        <w:tc>
          <w:tcPr>
            <w:tcW w:w="759" w:type="pct"/>
            <w:vMerge/>
          </w:tcPr>
          <w:p w14:paraId="219D74A0" w14:textId="77777777" w:rsidR="00570061" w:rsidRPr="00FB56FE" w:rsidRDefault="00570061" w:rsidP="00FB56FE">
            <w:pPr>
              <w:rPr>
                <w:kern w:val="2"/>
                <w:sz w:val="20"/>
                <w:szCs w:val="20"/>
              </w:rPr>
            </w:pPr>
          </w:p>
        </w:tc>
        <w:tc>
          <w:tcPr>
            <w:tcW w:w="530" w:type="pct"/>
            <w:vMerge/>
          </w:tcPr>
          <w:p w14:paraId="308FDEDD" w14:textId="77777777" w:rsidR="00570061" w:rsidRPr="00FB56FE" w:rsidRDefault="00570061" w:rsidP="00FB56FE">
            <w:pPr>
              <w:rPr>
                <w:kern w:val="2"/>
                <w:sz w:val="20"/>
                <w:szCs w:val="20"/>
              </w:rPr>
            </w:pPr>
          </w:p>
        </w:tc>
        <w:tc>
          <w:tcPr>
            <w:tcW w:w="533" w:type="pct"/>
            <w:vMerge/>
          </w:tcPr>
          <w:p w14:paraId="1A659BBB" w14:textId="77777777" w:rsidR="00570061" w:rsidRPr="00FB56FE" w:rsidRDefault="00570061" w:rsidP="00FB56FE">
            <w:pPr>
              <w:rPr>
                <w:kern w:val="2"/>
                <w:sz w:val="20"/>
                <w:szCs w:val="20"/>
              </w:rPr>
            </w:pPr>
          </w:p>
        </w:tc>
        <w:tc>
          <w:tcPr>
            <w:tcW w:w="608" w:type="pct"/>
          </w:tcPr>
          <w:p w14:paraId="4714076F" w14:textId="77777777" w:rsidR="00570061" w:rsidRPr="00FB56FE" w:rsidRDefault="00570061" w:rsidP="00FB56FE">
            <w:pPr>
              <w:rPr>
                <w:kern w:val="2"/>
                <w:sz w:val="20"/>
                <w:szCs w:val="20"/>
              </w:rPr>
            </w:pPr>
            <w:r w:rsidRPr="00FB56FE">
              <w:rPr>
                <w:kern w:val="2"/>
                <w:sz w:val="20"/>
                <w:szCs w:val="20"/>
              </w:rPr>
              <w:t>50</w:t>
            </w:r>
          </w:p>
        </w:tc>
        <w:tc>
          <w:tcPr>
            <w:tcW w:w="608" w:type="pct"/>
          </w:tcPr>
          <w:p w14:paraId="666E177F" w14:textId="77777777" w:rsidR="00570061" w:rsidRPr="00FB56FE" w:rsidRDefault="00570061" w:rsidP="00FB56FE">
            <w:pPr>
              <w:rPr>
                <w:kern w:val="2"/>
                <w:sz w:val="20"/>
                <w:szCs w:val="20"/>
              </w:rPr>
            </w:pPr>
            <w:r w:rsidRPr="00FB56FE">
              <w:rPr>
                <w:kern w:val="2"/>
                <w:sz w:val="20"/>
                <w:szCs w:val="20"/>
              </w:rPr>
              <w:t>5%</w:t>
            </w:r>
          </w:p>
        </w:tc>
        <w:tc>
          <w:tcPr>
            <w:tcW w:w="608" w:type="pct"/>
          </w:tcPr>
          <w:p w14:paraId="28884BBD" w14:textId="77777777" w:rsidR="00570061" w:rsidRPr="00FB56FE" w:rsidRDefault="00570061" w:rsidP="00FB56FE">
            <w:pPr>
              <w:rPr>
                <w:kern w:val="2"/>
                <w:sz w:val="20"/>
                <w:szCs w:val="20"/>
              </w:rPr>
            </w:pPr>
            <w:r w:rsidRPr="00FB56FE">
              <w:rPr>
                <w:kern w:val="2"/>
                <w:sz w:val="20"/>
                <w:szCs w:val="20"/>
              </w:rPr>
              <w:t>38000</w:t>
            </w:r>
          </w:p>
        </w:tc>
        <w:tc>
          <w:tcPr>
            <w:tcW w:w="380" w:type="pct"/>
          </w:tcPr>
          <w:p w14:paraId="0FCE5B05" w14:textId="77777777" w:rsidR="00570061" w:rsidRPr="00FB56FE" w:rsidRDefault="00570061" w:rsidP="00FB56FE">
            <w:pPr>
              <w:rPr>
                <w:kern w:val="2"/>
                <w:sz w:val="20"/>
                <w:szCs w:val="20"/>
              </w:rPr>
            </w:pPr>
            <w:r w:rsidRPr="00FB56FE">
              <w:rPr>
                <w:kern w:val="2"/>
                <w:sz w:val="20"/>
                <w:szCs w:val="20"/>
              </w:rPr>
              <w:t>4.1</w:t>
            </w:r>
          </w:p>
        </w:tc>
        <w:tc>
          <w:tcPr>
            <w:tcW w:w="380" w:type="pct"/>
          </w:tcPr>
          <w:p w14:paraId="7A867B9F" w14:textId="77777777" w:rsidR="00570061" w:rsidRPr="00FB56FE" w:rsidRDefault="00570061" w:rsidP="00FB56FE">
            <w:pPr>
              <w:rPr>
                <w:kern w:val="2"/>
                <w:sz w:val="20"/>
                <w:szCs w:val="20"/>
              </w:rPr>
            </w:pPr>
            <w:r w:rsidRPr="00FB56FE">
              <w:rPr>
                <w:kern w:val="2"/>
                <w:sz w:val="20"/>
                <w:szCs w:val="20"/>
              </w:rPr>
              <w:t>17</w:t>
            </w:r>
          </w:p>
        </w:tc>
      </w:tr>
      <w:tr w:rsidR="00570061" w:rsidRPr="00FB56FE" w14:paraId="7284DF81" w14:textId="77777777" w:rsidTr="00070A4E">
        <w:trPr>
          <w:trHeight w:val="227"/>
        </w:trPr>
        <w:tc>
          <w:tcPr>
            <w:tcW w:w="593" w:type="pct"/>
            <w:vMerge/>
          </w:tcPr>
          <w:p w14:paraId="2E1C6891" w14:textId="77777777" w:rsidR="00570061" w:rsidRPr="00FB56FE" w:rsidRDefault="00570061" w:rsidP="00FB56FE">
            <w:pPr>
              <w:rPr>
                <w:kern w:val="2"/>
                <w:sz w:val="20"/>
                <w:szCs w:val="20"/>
              </w:rPr>
            </w:pPr>
          </w:p>
        </w:tc>
        <w:tc>
          <w:tcPr>
            <w:tcW w:w="759" w:type="pct"/>
            <w:vMerge w:val="restart"/>
          </w:tcPr>
          <w:p w14:paraId="12E45CE4" w14:textId="77777777" w:rsidR="00570061" w:rsidRPr="00FB56FE" w:rsidRDefault="00570061" w:rsidP="00FB56FE">
            <w:pPr>
              <w:rPr>
                <w:kern w:val="2"/>
                <w:sz w:val="20"/>
                <w:szCs w:val="20"/>
              </w:rPr>
            </w:pPr>
            <w:r w:rsidRPr="00FB56FE">
              <w:rPr>
                <w:kern w:val="2"/>
                <w:sz w:val="20"/>
                <w:szCs w:val="20"/>
              </w:rPr>
              <w:t>3 months</w:t>
            </w:r>
          </w:p>
          <w:p w14:paraId="5DCC64FA" w14:textId="77777777" w:rsidR="00570061" w:rsidRPr="00FB56FE" w:rsidRDefault="00570061" w:rsidP="00FB56FE">
            <w:pPr>
              <w:rPr>
                <w:kern w:val="2"/>
                <w:sz w:val="20"/>
                <w:szCs w:val="20"/>
              </w:rPr>
            </w:pPr>
            <w:r w:rsidRPr="00FB56FE">
              <w:rPr>
                <w:kern w:val="2"/>
                <w:sz w:val="20"/>
                <w:szCs w:val="20"/>
              </w:rPr>
              <w:lastRenderedPageBreak/>
              <w:t>[IXB00026]</w:t>
            </w:r>
          </w:p>
        </w:tc>
        <w:tc>
          <w:tcPr>
            <w:tcW w:w="530" w:type="pct"/>
            <w:vMerge w:val="restart"/>
          </w:tcPr>
          <w:p w14:paraId="054AB5F9" w14:textId="77777777" w:rsidR="00570061" w:rsidRPr="00FB56FE" w:rsidRDefault="00570061" w:rsidP="00FB56FE">
            <w:pPr>
              <w:rPr>
                <w:kern w:val="2"/>
                <w:sz w:val="20"/>
                <w:szCs w:val="20"/>
              </w:rPr>
            </w:pPr>
            <w:r w:rsidRPr="00FB56FE">
              <w:rPr>
                <w:kern w:val="2"/>
                <w:sz w:val="20"/>
                <w:szCs w:val="20"/>
              </w:rPr>
              <w:lastRenderedPageBreak/>
              <w:t xml:space="preserve">twice </w:t>
            </w:r>
            <w:r w:rsidRPr="00FB56FE">
              <w:rPr>
                <w:kern w:val="2"/>
                <w:sz w:val="20"/>
                <w:szCs w:val="20"/>
              </w:rPr>
              <w:lastRenderedPageBreak/>
              <w:t>monthly</w:t>
            </w:r>
          </w:p>
        </w:tc>
        <w:tc>
          <w:tcPr>
            <w:tcW w:w="533" w:type="pct"/>
            <w:vMerge/>
          </w:tcPr>
          <w:p w14:paraId="1E33BB32" w14:textId="77777777" w:rsidR="00570061" w:rsidRPr="00FB56FE" w:rsidRDefault="00570061" w:rsidP="00FB56FE">
            <w:pPr>
              <w:rPr>
                <w:kern w:val="2"/>
                <w:sz w:val="20"/>
                <w:szCs w:val="20"/>
              </w:rPr>
            </w:pPr>
          </w:p>
        </w:tc>
        <w:tc>
          <w:tcPr>
            <w:tcW w:w="608" w:type="pct"/>
          </w:tcPr>
          <w:p w14:paraId="41A1274F" w14:textId="77777777" w:rsidR="00570061" w:rsidRPr="00FB56FE" w:rsidRDefault="00570061" w:rsidP="00FB56FE">
            <w:pPr>
              <w:rPr>
                <w:kern w:val="2"/>
                <w:sz w:val="20"/>
                <w:szCs w:val="20"/>
              </w:rPr>
            </w:pPr>
            <w:r w:rsidRPr="00FB56FE">
              <w:rPr>
                <w:kern w:val="2"/>
                <w:sz w:val="20"/>
                <w:szCs w:val="20"/>
              </w:rPr>
              <w:t>5</w:t>
            </w:r>
          </w:p>
        </w:tc>
        <w:tc>
          <w:tcPr>
            <w:tcW w:w="608" w:type="pct"/>
          </w:tcPr>
          <w:p w14:paraId="5E6DD9BD" w14:textId="77777777" w:rsidR="00570061" w:rsidRPr="00FB56FE" w:rsidRDefault="00570061" w:rsidP="00FB56FE">
            <w:pPr>
              <w:rPr>
                <w:kern w:val="2"/>
                <w:sz w:val="20"/>
                <w:szCs w:val="20"/>
              </w:rPr>
            </w:pPr>
            <w:r w:rsidRPr="00FB56FE">
              <w:rPr>
                <w:kern w:val="2"/>
                <w:sz w:val="20"/>
                <w:szCs w:val="20"/>
              </w:rPr>
              <w:t>0.5%</w:t>
            </w:r>
          </w:p>
        </w:tc>
        <w:tc>
          <w:tcPr>
            <w:tcW w:w="608" w:type="pct"/>
          </w:tcPr>
          <w:p w14:paraId="374711E9" w14:textId="77777777" w:rsidR="00570061" w:rsidRPr="00FB56FE" w:rsidRDefault="00570061" w:rsidP="00FB56FE">
            <w:pPr>
              <w:rPr>
                <w:kern w:val="2"/>
                <w:sz w:val="20"/>
                <w:szCs w:val="20"/>
              </w:rPr>
            </w:pPr>
            <w:r w:rsidRPr="00FB56FE">
              <w:rPr>
                <w:kern w:val="2"/>
                <w:sz w:val="20"/>
                <w:szCs w:val="20"/>
              </w:rPr>
              <w:t>11130</w:t>
            </w:r>
          </w:p>
        </w:tc>
        <w:tc>
          <w:tcPr>
            <w:tcW w:w="380" w:type="pct"/>
          </w:tcPr>
          <w:p w14:paraId="3C86E0DA" w14:textId="77777777" w:rsidR="00570061" w:rsidRPr="00FB56FE" w:rsidRDefault="00570061" w:rsidP="00FB56FE">
            <w:pPr>
              <w:rPr>
                <w:kern w:val="2"/>
                <w:sz w:val="20"/>
                <w:szCs w:val="20"/>
              </w:rPr>
            </w:pPr>
            <w:r w:rsidRPr="00FB56FE">
              <w:rPr>
                <w:kern w:val="2"/>
                <w:sz w:val="20"/>
                <w:szCs w:val="20"/>
              </w:rPr>
              <w:t>1.2</w:t>
            </w:r>
          </w:p>
        </w:tc>
        <w:tc>
          <w:tcPr>
            <w:tcW w:w="380" w:type="pct"/>
          </w:tcPr>
          <w:p w14:paraId="1D6CD06E" w14:textId="77777777" w:rsidR="00570061" w:rsidRPr="00FB56FE" w:rsidRDefault="00570061" w:rsidP="00FB56FE">
            <w:pPr>
              <w:rPr>
                <w:kern w:val="2"/>
                <w:sz w:val="20"/>
                <w:szCs w:val="20"/>
              </w:rPr>
            </w:pPr>
            <w:r w:rsidRPr="00FB56FE">
              <w:rPr>
                <w:kern w:val="2"/>
                <w:sz w:val="20"/>
                <w:szCs w:val="20"/>
              </w:rPr>
              <w:t>2.4</w:t>
            </w:r>
          </w:p>
        </w:tc>
      </w:tr>
      <w:tr w:rsidR="00570061" w:rsidRPr="00FB56FE" w14:paraId="66359B53" w14:textId="77777777" w:rsidTr="00070A4E">
        <w:trPr>
          <w:trHeight w:val="227"/>
        </w:trPr>
        <w:tc>
          <w:tcPr>
            <w:tcW w:w="593" w:type="pct"/>
            <w:vMerge/>
          </w:tcPr>
          <w:p w14:paraId="6E7F4601" w14:textId="77777777" w:rsidR="00570061" w:rsidRPr="00FB56FE" w:rsidRDefault="00570061" w:rsidP="00FB56FE">
            <w:pPr>
              <w:rPr>
                <w:kern w:val="2"/>
                <w:sz w:val="20"/>
                <w:szCs w:val="20"/>
              </w:rPr>
            </w:pPr>
          </w:p>
        </w:tc>
        <w:tc>
          <w:tcPr>
            <w:tcW w:w="759" w:type="pct"/>
            <w:vMerge/>
          </w:tcPr>
          <w:p w14:paraId="23AD9504" w14:textId="77777777" w:rsidR="00570061" w:rsidRPr="00FB56FE" w:rsidRDefault="00570061" w:rsidP="00FB56FE">
            <w:pPr>
              <w:rPr>
                <w:kern w:val="2"/>
                <w:sz w:val="20"/>
                <w:szCs w:val="20"/>
              </w:rPr>
            </w:pPr>
          </w:p>
        </w:tc>
        <w:tc>
          <w:tcPr>
            <w:tcW w:w="530" w:type="pct"/>
            <w:vMerge/>
          </w:tcPr>
          <w:p w14:paraId="553A8FA5" w14:textId="77777777" w:rsidR="00570061" w:rsidRPr="00FB56FE" w:rsidRDefault="00570061" w:rsidP="00FB56FE">
            <w:pPr>
              <w:rPr>
                <w:kern w:val="2"/>
                <w:sz w:val="20"/>
                <w:szCs w:val="20"/>
              </w:rPr>
            </w:pPr>
          </w:p>
        </w:tc>
        <w:tc>
          <w:tcPr>
            <w:tcW w:w="533" w:type="pct"/>
            <w:vMerge/>
          </w:tcPr>
          <w:p w14:paraId="42A59AF0" w14:textId="77777777" w:rsidR="00570061" w:rsidRPr="00FB56FE" w:rsidRDefault="00570061" w:rsidP="00FB56FE">
            <w:pPr>
              <w:rPr>
                <w:kern w:val="2"/>
                <w:sz w:val="20"/>
                <w:szCs w:val="20"/>
              </w:rPr>
            </w:pPr>
          </w:p>
        </w:tc>
        <w:tc>
          <w:tcPr>
            <w:tcW w:w="608" w:type="pct"/>
          </w:tcPr>
          <w:p w14:paraId="6635B58A" w14:textId="77777777" w:rsidR="00570061" w:rsidRPr="00FB56FE" w:rsidRDefault="00570061" w:rsidP="00FB56FE">
            <w:pPr>
              <w:rPr>
                <w:kern w:val="2"/>
                <w:sz w:val="20"/>
                <w:szCs w:val="20"/>
              </w:rPr>
            </w:pPr>
            <w:r w:rsidRPr="00FB56FE">
              <w:rPr>
                <w:kern w:val="2"/>
                <w:sz w:val="20"/>
                <w:szCs w:val="20"/>
              </w:rPr>
              <w:t>10</w:t>
            </w:r>
          </w:p>
        </w:tc>
        <w:tc>
          <w:tcPr>
            <w:tcW w:w="608" w:type="pct"/>
          </w:tcPr>
          <w:p w14:paraId="35824C7F" w14:textId="77777777" w:rsidR="00570061" w:rsidRPr="00FB56FE" w:rsidRDefault="00570061" w:rsidP="00FB56FE">
            <w:pPr>
              <w:rPr>
                <w:kern w:val="2"/>
                <w:sz w:val="20"/>
                <w:szCs w:val="20"/>
              </w:rPr>
            </w:pPr>
            <w:r w:rsidRPr="00FB56FE">
              <w:rPr>
                <w:kern w:val="2"/>
                <w:sz w:val="20"/>
                <w:szCs w:val="20"/>
              </w:rPr>
              <w:t>1%</w:t>
            </w:r>
          </w:p>
        </w:tc>
        <w:tc>
          <w:tcPr>
            <w:tcW w:w="608" w:type="pct"/>
          </w:tcPr>
          <w:p w14:paraId="62BD640C" w14:textId="77777777" w:rsidR="00570061" w:rsidRPr="00FB56FE" w:rsidRDefault="00570061" w:rsidP="00FB56FE">
            <w:pPr>
              <w:rPr>
                <w:kern w:val="2"/>
                <w:sz w:val="20"/>
                <w:szCs w:val="20"/>
              </w:rPr>
            </w:pPr>
            <w:r w:rsidRPr="00FB56FE">
              <w:rPr>
                <w:kern w:val="2"/>
                <w:sz w:val="20"/>
                <w:szCs w:val="20"/>
              </w:rPr>
              <w:t>10745</w:t>
            </w:r>
          </w:p>
        </w:tc>
        <w:tc>
          <w:tcPr>
            <w:tcW w:w="380" w:type="pct"/>
          </w:tcPr>
          <w:p w14:paraId="16B41E3E" w14:textId="77777777" w:rsidR="00570061" w:rsidRPr="00FB56FE" w:rsidRDefault="00570061" w:rsidP="00FB56FE">
            <w:pPr>
              <w:rPr>
                <w:kern w:val="2"/>
                <w:sz w:val="20"/>
                <w:szCs w:val="20"/>
              </w:rPr>
            </w:pPr>
            <w:r w:rsidRPr="00FB56FE">
              <w:rPr>
                <w:kern w:val="2"/>
                <w:sz w:val="20"/>
                <w:szCs w:val="20"/>
              </w:rPr>
              <w:t>1.2</w:t>
            </w:r>
          </w:p>
        </w:tc>
        <w:tc>
          <w:tcPr>
            <w:tcW w:w="380" w:type="pct"/>
          </w:tcPr>
          <w:p w14:paraId="16F8E9FF" w14:textId="77777777" w:rsidR="00570061" w:rsidRPr="00FB56FE" w:rsidRDefault="00570061" w:rsidP="00FB56FE">
            <w:pPr>
              <w:rPr>
                <w:kern w:val="2"/>
                <w:sz w:val="20"/>
                <w:szCs w:val="20"/>
              </w:rPr>
            </w:pPr>
            <w:r w:rsidRPr="00FB56FE">
              <w:rPr>
                <w:kern w:val="2"/>
                <w:sz w:val="20"/>
                <w:szCs w:val="20"/>
              </w:rPr>
              <w:t>2.3</w:t>
            </w:r>
          </w:p>
        </w:tc>
      </w:tr>
      <w:tr w:rsidR="00570061" w:rsidRPr="00FB56FE" w14:paraId="4C7C12E9" w14:textId="77777777" w:rsidTr="00070A4E">
        <w:trPr>
          <w:trHeight w:val="227"/>
        </w:trPr>
        <w:tc>
          <w:tcPr>
            <w:tcW w:w="593" w:type="pct"/>
            <w:vMerge/>
          </w:tcPr>
          <w:p w14:paraId="3194A821" w14:textId="77777777" w:rsidR="00570061" w:rsidRPr="00FB56FE" w:rsidRDefault="00570061" w:rsidP="00FB56FE">
            <w:pPr>
              <w:rPr>
                <w:kern w:val="2"/>
                <w:sz w:val="20"/>
                <w:szCs w:val="20"/>
              </w:rPr>
            </w:pPr>
          </w:p>
        </w:tc>
        <w:tc>
          <w:tcPr>
            <w:tcW w:w="759" w:type="pct"/>
            <w:vMerge/>
          </w:tcPr>
          <w:p w14:paraId="2F02BFD3" w14:textId="77777777" w:rsidR="00570061" w:rsidRPr="00FB56FE" w:rsidRDefault="00570061" w:rsidP="00FB56FE">
            <w:pPr>
              <w:rPr>
                <w:kern w:val="2"/>
                <w:sz w:val="20"/>
                <w:szCs w:val="20"/>
              </w:rPr>
            </w:pPr>
          </w:p>
        </w:tc>
        <w:tc>
          <w:tcPr>
            <w:tcW w:w="530" w:type="pct"/>
            <w:vMerge/>
          </w:tcPr>
          <w:p w14:paraId="1785C038" w14:textId="77777777" w:rsidR="00570061" w:rsidRPr="00FB56FE" w:rsidRDefault="00570061" w:rsidP="00FB56FE">
            <w:pPr>
              <w:rPr>
                <w:kern w:val="2"/>
                <w:sz w:val="20"/>
                <w:szCs w:val="20"/>
              </w:rPr>
            </w:pPr>
          </w:p>
        </w:tc>
        <w:tc>
          <w:tcPr>
            <w:tcW w:w="533" w:type="pct"/>
            <w:vMerge/>
          </w:tcPr>
          <w:p w14:paraId="012BF186" w14:textId="77777777" w:rsidR="00570061" w:rsidRPr="00FB56FE" w:rsidRDefault="00570061" w:rsidP="00FB56FE">
            <w:pPr>
              <w:rPr>
                <w:kern w:val="2"/>
                <w:sz w:val="20"/>
                <w:szCs w:val="20"/>
              </w:rPr>
            </w:pPr>
          </w:p>
        </w:tc>
        <w:tc>
          <w:tcPr>
            <w:tcW w:w="608" w:type="pct"/>
          </w:tcPr>
          <w:p w14:paraId="0DDD589B" w14:textId="77777777" w:rsidR="00570061" w:rsidRPr="00FB56FE" w:rsidRDefault="00570061" w:rsidP="00FB56FE">
            <w:pPr>
              <w:rPr>
                <w:kern w:val="2"/>
                <w:sz w:val="20"/>
                <w:szCs w:val="20"/>
              </w:rPr>
            </w:pPr>
            <w:r w:rsidRPr="00FB56FE">
              <w:rPr>
                <w:kern w:val="2"/>
                <w:sz w:val="20"/>
                <w:szCs w:val="20"/>
              </w:rPr>
              <w:t>50</w:t>
            </w:r>
          </w:p>
        </w:tc>
        <w:tc>
          <w:tcPr>
            <w:tcW w:w="608" w:type="pct"/>
          </w:tcPr>
          <w:p w14:paraId="7F9CEB40" w14:textId="77777777" w:rsidR="00570061" w:rsidRPr="00FB56FE" w:rsidRDefault="00570061" w:rsidP="00FB56FE">
            <w:pPr>
              <w:rPr>
                <w:kern w:val="2"/>
                <w:sz w:val="20"/>
                <w:szCs w:val="20"/>
              </w:rPr>
            </w:pPr>
            <w:r w:rsidRPr="00FB56FE">
              <w:rPr>
                <w:kern w:val="2"/>
                <w:sz w:val="20"/>
                <w:szCs w:val="20"/>
              </w:rPr>
              <w:t>5%</w:t>
            </w:r>
          </w:p>
        </w:tc>
        <w:tc>
          <w:tcPr>
            <w:tcW w:w="608" w:type="pct"/>
          </w:tcPr>
          <w:p w14:paraId="41FA03C1" w14:textId="77777777" w:rsidR="00570061" w:rsidRPr="00FB56FE" w:rsidRDefault="00570061" w:rsidP="00FB56FE">
            <w:pPr>
              <w:rPr>
                <w:kern w:val="2"/>
                <w:sz w:val="20"/>
                <w:szCs w:val="20"/>
              </w:rPr>
            </w:pPr>
            <w:r w:rsidRPr="00FB56FE">
              <w:rPr>
                <w:kern w:val="2"/>
                <w:sz w:val="20"/>
                <w:szCs w:val="20"/>
              </w:rPr>
              <w:t>34100</w:t>
            </w:r>
          </w:p>
        </w:tc>
        <w:tc>
          <w:tcPr>
            <w:tcW w:w="380" w:type="pct"/>
          </w:tcPr>
          <w:p w14:paraId="2F6ECAD2" w14:textId="77777777" w:rsidR="00570061" w:rsidRPr="00FB56FE" w:rsidRDefault="00570061" w:rsidP="00FB56FE">
            <w:pPr>
              <w:rPr>
                <w:kern w:val="2"/>
                <w:sz w:val="20"/>
                <w:szCs w:val="20"/>
              </w:rPr>
            </w:pPr>
            <w:r w:rsidRPr="00FB56FE">
              <w:rPr>
                <w:kern w:val="2"/>
                <w:sz w:val="20"/>
                <w:szCs w:val="20"/>
              </w:rPr>
              <w:t>3.7</w:t>
            </w:r>
          </w:p>
        </w:tc>
        <w:tc>
          <w:tcPr>
            <w:tcW w:w="380" w:type="pct"/>
          </w:tcPr>
          <w:p w14:paraId="4867AD9C" w14:textId="77777777" w:rsidR="00570061" w:rsidRPr="00FB56FE" w:rsidRDefault="00570061" w:rsidP="00FB56FE">
            <w:pPr>
              <w:rPr>
                <w:kern w:val="2"/>
                <w:sz w:val="20"/>
                <w:szCs w:val="20"/>
              </w:rPr>
            </w:pPr>
            <w:r w:rsidRPr="00FB56FE">
              <w:rPr>
                <w:kern w:val="2"/>
                <w:sz w:val="20"/>
                <w:szCs w:val="20"/>
              </w:rPr>
              <w:t>7</w:t>
            </w:r>
          </w:p>
        </w:tc>
      </w:tr>
      <w:tr w:rsidR="00570061" w:rsidRPr="00FB56FE" w14:paraId="5DCDA3BF" w14:textId="77777777" w:rsidTr="00070A4E">
        <w:trPr>
          <w:trHeight w:val="271"/>
        </w:trPr>
        <w:tc>
          <w:tcPr>
            <w:tcW w:w="593" w:type="pct"/>
            <w:vMerge/>
          </w:tcPr>
          <w:p w14:paraId="4EEE5B4C" w14:textId="77777777" w:rsidR="00570061" w:rsidRPr="00FB56FE" w:rsidRDefault="00570061" w:rsidP="00FB56FE">
            <w:pPr>
              <w:rPr>
                <w:kern w:val="2"/>
                <w:sz w:val="20"/>
                <w:szCs w:val="20"/>
              </w:rPr>
            </w:pPr>
          </w:p>
        </w:tc>
        <w:tc>
          <w:tcPr>
            <w:tcW w:w="759" w:type="pct"/>
            <w:vMerge w:val="restart"/>
          </w:tcPr>
          <w:p w14:paraId="2931469B" w14:textId="77777777" w:rsidR="00570061" w:rsidRPr="00FB56FE" w:rsidRDefault="00570061" w:rsidP="00FB56FE">
            <w:pPr>
              <w:rPr>
                <w:kern w:val="2"/>
                <w:sz w:val="20"/>
                <w:szCs w:val="20"/>
              </w:rPr>
            </w:pPr>
            <w:r w:rsidRPr="00FB56FE">
              <w:rPr>
                <w:kern w:val="2"/>
                <w:sz w:val="20"/>
                <w:szCs w:val="20"/>
              </w:rPr>
              <w:t>6 months</w:t>
            </w:r>
          </w:p>
          <w:p w14:paraId="626E7389" w14:textId="77777777" w:rsidR="00570061" w:rsidRPr="00FB56FE" w:rsidRDefault="00570061" w:rsidP="00FB56FE">
            <w:pPr>
              <w:rPr>
                <w:kern w:val="2"/>
                <w:sz w:val="20"/>
                <w:szCs w:val="20"/>
              </w:rPr>
            </w:pPr>
            <w:r w:rsidRPr="00FB56FE">
              <w:rPr>
                <w:kern w:val="2"/>
                <w:sz w:val="20"/>
                <w:szCs w:val="20"/>
              </w:rPr>
              <w:t>IXB00052; pivotal</w:t>
            </w:r>
          </w:p>
        </w:tc>
        <w:tc>
          <w:tcPr>
            <w:tcW w:w="530" w:type="pct"/>
            <w:vMerge w:val="restart"/>
          </w:tcPr>
          <w:p w14:paraId="425336B2" w14:textId="77777777" w:rsidR="00570061" w:rsidRPr="00FB56FE" w:rsidRDefault="00570061" w:rsidP="00FB56FE">
            <w:pPr>
              <w:rPr>
                <w:kern w:val="2"/>
                <w:sz w:val="20"/>
                <w:szCs w:val="20"/>
              </w:rPr>
            </w:pPr>
            <w:r w:rsidRPr="00FB56FE">
              <w:rPr>
                <w:kern w:val="2"/>
                <w:sz w:val="20"/>
                <w:szCs w:val="20"/>
              </w:rPr>
              <w:t>twice monthly</w:t>
            </w:r>
          </w:p>
        </w:tc>
        <w:tc>
          <w:tcPr>
            <w:tcW w:w="533" w:type="pct"/>
            <w:vMerge/>
          </w:tcPr>
          <w:p w14:paraId="0D662209" w14:textId="77777777" w:rsidR="00570061" w:rsidRPr="00FB56FE" w:rsidRDefault="00570061" w:rsidP="00FB56FE">
            <w:pPr>
              <w:rPr>
                <w:kern w:val="2"/>
                <w:sz w:val="20"/>
                <w:szCs w:val="20"/>
              </w:rPr>
            </w:pPr>
          </w:p>
        </w:tc>
        <w:tc>
          <w:tcPr>
            <w:tcW w:w="608" w:type="pct"/>
          </w:tcPr>
          <w:p w14:paraId="22345ECE" w14:textId="77777777" w:rsidR="00570061" w:rsidRPr="00FB56FE" w:rsidRDefault="00570061" w:rsidP="00FB56FE">
            <w:pPr>
              <w:rPr>
                <w:kern w:val="2"/>
                <w:sz w:val="20"/>
                <w:szCs w:val="20"/>
              </w:rPr>
            </w:pPr>
            <w:r w:rsidRPr="00FB56FE">
              <w:rPr>
                <w:kern w:val="2"/>
                <w:sz w:val="20"/>
                <w:szCs w:val="20"/>
              </w:rPr>
              <w:t>5</w:t>
            </w:r>
          </w:p>
        </w:tc>
        <w:tc>
          <w:tcPr>
            <w:tcW w:w="608" w:type="pct"/>
          </w:tcPr>
          <w:p w14:paraId="4E25CCC4" w14:textId="77777777" w:rsidR="00570061" w:rsidRPr="00FB56FE" w:rsidRDefault="00570061" w:rsidP="00FB56FE">
            <w:pPr>
              <w:rPr>
                <w:kern w:val="2"/>
                <w:sz w:val="20"/>
                <w:szCs w:val="20"/>
              </w:rPr>
            </w:pPr>
            <w:r w:rsidRPr="00FB56FE">
              <w:rPr>
                <w:kern w:val="2"/>
                <w:sz w:val="20"/>
                <w:szCs w:val="20"/>
              </w:rPr>
              <w:t>0.5%</w:t>
            </w:r>
          </w:p>
        </w:tc>
        <w:tc>
          <w:tcPr>
            <w:tcW w:w="608" w:type="pct"/>
          </w:tcPr>
          <w:p w14:paraId="1B2D636E" w14:textId="77777777" w:rsidR="00570061" w:rsidRPr="00FB56FE" w:rsidRDefault="00570061" w:rsidP="00FB56FE">
            <w:pPr>
              <w:rPr>
                <w:kern w:val="2"/>
                <w:sz w:val="20"/>
                <w:szCs w:val="20"/>
              </w:rPr>
            </w:pPr>
            <w:r w:rsidRPr="00FB56FE">
              <w:rPr>
                <w:kern w:val="2"/>
                <w:sz w:val="20"/>
                <w:szCs w:val="20"/>
              </w:rPr>
              <w:t>6537</w:t>
            </w:r>
          </w:p>
        </w:tc>
        <w:tc>
          <w:tcPr>
            <w:tcW w:w="380" w:type="pct"/>
          </w:tcPr>
          <w:p w14:paraId="374C3FD7" w14:textId="77777777" w:rsidR="00570061" w:rsidRPr="00FB56FE" w:rsidRDefault="00570061" w:rsidP="00FB56FE">
            <w:pPr>
              <w:rPr>
                <w:kern w:val="2"/>
                <w:sz w:val="20"/>
                <w:szCs w:val="20"/>
              </w:rPr>
            </w:pPr>
            <w:r w:rsidRPr="00FB56FE">
              <w:rPr>
                <w:kern w:val="2"/>
                <w:sz w:val="20"/>
                <w:szCs w:val="20"/>
              </w:rPr>
              <w:t>0.7</w:t>
            </w:r>
          </w:p>
        </w:tc>
        <w:tc>
          <w:tcPr>
            <w:tcW w:w="380" w:type="pct"/>
          </w:tcPr>
          <w:p w14:paraId="0339DC86" w14:textId="77777777" w:rsidR="00570061" w:rsidRPr="00FB56FE" w:rsidRDefault="00570061" w:rsidP="00FB56FE">
            <w:pPr>
              <w:rPr>
                <w:kern w:val="2"/>
                <w:sz w:val="20"/>
                <w:szCs w:val="20"/>
              </w:rPr>
            </w:pPr>
            <w:r w:rsidRPr="00FB56FE">
              <w:rPr>
                <w:kern w:val="2"/>
                <w:sz w:val="20"/>
                <w:szCs w:val="20"/>
              </w:rPr>
              <w:t>1.4</w:t>
            </w:r>
          </w:p>
        </w:tc>
      </w:tr>
      <w:tr w:rsidR="00570061" w:rsidRPr="00FB56FE" w14:paraId="1EA4D9BD" w14:textId="77777777" w:rsidTr="00070A4E">
        <w:trPr>
          <w:trHeight w:val="227"/>
        </w:trPr>
        <w:tc>
          <w:tcPr>
            <w:tcW w:w="593" w:type="pct"/>
            <w:vMerge/>
          </w:tcPr>
          <w:p w14:paraId="350FB087" w14:textId="77777777" w:rsidR="00570061" w:rsidRPr="00FB56FE" w:rsidRDefault="00570061" w:rsidP="00FB56FE">
            <w:pPr>
              <w:rPr>
                <w:kern w:val="2"/>
                <w:sz w:val="20"/>
                <w:szCs w:val="20"/>
              </w:rPr>
            </w:pPr>
          </w:p>
        </w:tc>
        <w:tc>
          <w:tcPr>
            <w:tcW w:w="759" w:type="pct"/>
            <w:vMerge/>
          </w:tcPr>
          <w:p w14:paraId="35F4093B" w14:textId="77777777" w:rsidR="00570061" w:rsidRPr="00FB56FE" w:rsidRDefault="00570061" w:rsidP="00FB56FE">
            <w:pPr>
              <w:rPr>
                <w:kern w:val="2"/>
                <w:sz w:val="20"/>
                <w:szCs w:val="20"/>
              </w:rPr>
            </w:pPr>
          </w:p>
        </w:tc>
        <w:tc>
          <w:tcPr>
            <w:tcW w:w="530" w:type="pct"/>
            <w:vMerge/>
          </w:tcPr>
          <w:p w14:paraId="6E12DC45" w14:textId="77777777" w:rsidR="00570061" w:rsidRPr="00FB56FE" w:rsidRDefault="00570061" w:rsidP="00FB56FE">
            <w:pPr>
              <w:rPr>
                <w:kern w:val="2"/>
                <w:sz w:val="20"/>
                <w:szCs w:val="20"/>
              </w:rPr>
            </w:pPr>
          </w:p>
        </w:tc>
        <w:tc>
          <w:tcPr>
            <w:tcW w:w="533" w:type="pct"/>
            <w:vMerge/>
          </w:tcPr>
          <w:p w14:paraId="649939FA" w14:textId="77777777" w:rsidR="00570061" w:rsidRPr="00FB56FE" w:rsidRDefault="00570061" w:rsidP="00FB56FE">
            <w:pPr>
              <w:rPr>
                <w:kern w:val="2"/>
                <w:sz w:val="20"/>
                <w:szCs w:val="20"/>
              </w:rPr>
            </w:pPr>
          </w:p>
        </w:tc>
        <w:tc>
          <w:tcPr>
            <w:tcW w:w="608" w:type="pct"/>
          </w:tcPr>
          <w:p w14:paraId="65520FD9" w14:textId="77777777" w:rsidR="00570061" w:rsidRPr="00FB56FE" w:rsidRDefault="00570061" w:rsidP="00FB56FE">
            <w:pPr>
              <w:rPr>
                <w:kern w:val="2"/>
                <w:sz w:val="20"/>
                <w:szCs w:val="20"/>
              </w:rPr>
            </w:pPr>
            <w:r w:rsidRPr="00FB56FE">
              <w:rPr>
                <w:kern w:val="2"/>
                <w:sz w:val="20"/>
                <w:szCs w:val="20"/>
              </w:rPr>
              <w:t>10</w:t>
            </w:r>
          </w:p>
        </w:tc>
        <w:tc>
          <w:tcPr>
            <w:tcW w:w="608" w:type="pct"/>
          </w:tcPr>
          <w:p w14:paraId="1836E47B" w14:textId="77777777" w:rsidR="00570061" w:rsidRPr="00FB56FE" w:rsidRDefault="00570061" w:rsidP="00FB56FE">
            <w:pPr>
              <w:rPr>
                <w:kern w:val="2"/>
                <w:sz w:val="20"/>
                <w:szCs w:val="20"/>
              </w:rPr>
            </w:pPr>
            <w:r w:rsidRPr="00FB56FE">
              <w:rPr>
                <w:kern w:val="2"/>
                <w:sz w:val="20"/>
                <w:szCs w:val="20"/>
              </w:rPr>
              <w:t>1%</w:t>
            </w:r>
          </w:p>
        </w:tc>
        <w:tc>
          <w:tcPr>
            <w:tcW w:w="608" w:type="pct"/>
          </w:tcPr>
          <w:p w14:paraId="0CE804B3" w14:textId="77777777" w:rsidR="00570061" w:rsidRPr="00FB56FE" w:rsidRDefault="00570061" w:rsidP="00FB56FE">
            <w:pPr>
              <w:rPr>
                <w:kern w:val="2"/>
                <w:sz w:val="20"/>
                <w:szCs w:val="20"/>
              </w:rPr>
            </w:pPr>
            <w:r w:rsidRPr="00FB56FE">
              <w:rPr>
                <w:kern w:val="2"/>
                <w:sz w:val="20"/>
                <w:szCs w:val="20"/>
              </w:rPr>
              <w:t>14397</w:t>
            </w:r>
          </w:p>
        </w:tc>
        <w:tc>
          <w:tcPr>
            <w:tcW w:w="380" w:type="pct"/>
          </w:tcPr>
          <w:p w14:paraId="3C08FB7A" w14:textId="77777777" w:rsidR="00570061" w:rsidRPr="00FB56FE" w:rsidRDefault="00570061" w:rsidP="00FB56FE">
            <w:pPr>
              <w:rPr>
                <w:kern w:val="2"/>
                <w:sz w:val="20"/>
                <w:szCs w:val="20"/>
              </w:rPr>
            </w:pPr>
            <w:r w:rsidRPr="00FB56FE">
              <w:rPr>
                <w:kern w:val="2"/>
                <w:sz w:val="20"/>
                <w:szCs w:val="20"/>
              </w:rPr>
              <w:t>1.6</w:t>
            </w:r>
          </w:p>
        </w:tc>
        <w:tc>
          <w:tcPr>
            <w:tcW w:w="380" w:type="pct"/>
          </w:tcPr>
          <w:p w14:paraId="3FA456DB" w14:textId="77777777" w:rsidR="00570061" w:rsidRPr="00FB56FE" w:rsidRDefault="00570061" w:rsidP="00FB56FE">
            <w:pPr>
              <w:rPr>
                <w:kern w:val="2"/>
                <w:sz w:val="20"/>
                <w:szCs w:val="20"/>
              </w:rPr>
            </w:pPr>
            <w:r w:rsidRPr="00FB56FE">
              <w:rPr>
                <w:kern w:val="2"/>
                <w:sz w:val="20"/>
                <w:szCs w:val="20"/>
              </w:rPr>
              <w:t>3.1</w:t>
            </w:r>
          </w:p>
        </w:tc>
      </w:tr>
      <w:tr w:rsidR="00570061" w:rsidRPr="00FB56FE" w14:paraId="75774464" w14:textId="77777777" w:rsidTr="00070A4E">
        <w:trPr>
          <w:trHeight w:val="227"/>
        </w:trPr>
        <w:tc>
          <w:tcPr>
            <w:tcW w:w="593" w:type="pct"/>
            <w:vMerge/>
          </w:tcPr>
          <w:p w14:paraId="3541FAC2" w14:textId="77777777" w:rsidR="00570061" w:rsidRPr="00FB56FE" w:rsidRDefault="00570061" w:rsidP="00FB56FE">
            <w:pPr>
              <w:rPr>
                <w:kern w:val="2"/>
                <w:sz w:val="20"/>
                <w:szCs w:val="20"/>
              </w:rPr>
            </w:pPr>
          </w:p>
        </w:tc>
        <w:tc>
          <w:tcPr>
            <w:tcW w:w="759" w:type="pct"/>
            <w:vMerge/>
          </w:tcPr>
          <w:p w14:paraId="3F3DA8D0" w14:textId="77777777" w:rsidR="00570061" w:rsidRPr="00FB56FE" w:rsidRDefault="00570061" w:rsidP="00FB56FE">
            <w:pPr>
              <w:rPr>
                <w:kern w:val="2"/>
                <w:sz w:val="20"/>
                <w:szCs w:val="20"/>
              </w:rPr>
            </w:pPr>
          </w:p>
        </w:tc>
        <w:tc>
          <w:tcPr>
            <w:tcW w:w="530" w:type="pct"/>
            <w:vMerge/>
          </w:tcPr>
          <w:p w14:paraId="3B820037" w14:textId="77777777" w:rsidR="00570061" w:rsidRPr="00FB56FE" w:rsidRDefault="00570061" w:rsidP="00FB56FE">
            <w:pPr>
              <w:rPr>
                <w:kern w:val="2"/>
                <w:sz w:val="20"/>
                <w:szCs w:val="20"/>
              </w:rPr>
            </w:pPr>
          </w:p>
        </w:tc>
        <w:tc>
          <w:tcPr>
            <w:tcW w:w="533" w:type="pct"/>
            <w:vMerge/>
          </w:tcPr>
          <w:p w14:paraId="054F10DB" w14:textId="77777777" w:rsidR="00570061" w:rsidRPr="00FB56FE" w:rsidRDefault="00570061" w:rsidP="00FB56FE">
            <w:pPr>
              <w:rPr>
                <w:kern w:val="2"/>
                <w:sz w:val="20"/>
                <w:szCs w:val="20"/>
              </w:rPr>
            </w:pPr>
          </w:p>
        </w:tc>
        <w:tc>
          <w:tcPr>
            <w:tcW w:w="608" w:type="pct"/>
          </w:tcPr>
          <w:p w14:paraId="454650FD" w14:textId="77777777" w:rsidR="00570061" w:rsidRPr="00FB56FE" w:rsidRDefault="00570061" w:rsidP="00FB56FE">
            <w:pPr>
              <w:rPr>
                <w:kern w:val="2"/>
                <w:sz w:val="20"/>
                <w:szCs w:val="20"/>
              </w:rPr>
            </w:pPr>
            <w:r w:rsidRPr="00FB56FE">
              <w:rPr>
                <w:kern w:val="2"/>
                <w:sz w:val="20"/>
                <w:szCs w:val="20"/>
              </w:rPr>
              <w:t>50</w:t>
            </w:r>
          </w:p>
        </w:tc>
        <w:tc>
          <w:tcPr>
            <w:tcW w:w="608" w:type="pct"/>
          </w:tcPr>
          <w:p w14:paraId="359DD2ED" w14:textId="77777777" w:rsidR="00570061" w:rsidRPr="00FB56FE" w:rsidRDefault="00570061" w:rsidP="00FB56FE">
            <w:pPr>
              <w:rPr>
                <w:kern w:val="2"/>
                <w:sz w:val="20"/>
                <w:szCs w:val="20"/>
              </w:rPr>
            </w:pPr>
            <w:r w:rsidRPr="00FB56FE">
              <w:rPr>
                <w:kern w:val="2"/>
                <w:sz w:val="20"/>
                <w:szCs w:val="20"/>
              </w:rPr>
              <w:t>5%</w:t>
            </w:r>
          </w:p>
        </w:tc>
        <w:tc>
          <w:tcPr>
            <w:tcW w:w="608" w:type="pct"/>
          </w:tcPr>
          <w:p w14:paraId="02B19FD9" w14:textId="77777777" w:rsidR="00570061" w:rsidRPr="00FB56FE" w:rsidRDefault="00570061" w:rsidP="00FB56FE">
            <w:pPr>
              <w:rPr>
                <w:kern w:val="2"/>
                <w:sz w:val="20"/>
                <w:szCs w:val="20"/>
              </w:rPr>
            </w:pPr>
            <w:r w:rsidRPr="00FB56FE">
              <w:rPr>
                <w:kern w:val="2"/>
                <w:sz w:val="20"/>
                <w:szCs w:val="20"/>
              </w:rPr>
              <w:t>30992</w:t>
            </w:r>
          </w:p>
        </w:tc>
        <w:tc>
          <w:tcPr>
            <w:tcW w:w="380" w:type="pct"/>
          </w:tcPr>
          <w:p w14:paraId="734E01D3" w14:textId="77777777" w:rsidR="00570061" w:rsidRPr="00FB56FE" w:rsidRDefault="00570061" w:rsidP="00FB56FE">
            <w:pPr>
              <w:rPr>
                <w:kern w:val="2"/>
                <w:sz w:val="20"/>
                <w:szCs w:val="20"/>
              </w:rPr>
            </w:pPr>
            <w:r w:rsidRPr="00FB56FE">
              <w:rPr>
                <w:kern w:val="2"/>
                <w:sz w:val="20"/>
                <w:szCs w:val="20"/>
              </w:rPr>
              <w:t>3.4</w:t>
            </w:r>
          </w:p>
        </w:tc>
        <w:tc>
          <w:tcPr>
            <w:tcW w:w="380" w:type="pct"/>
          </w:tcPr>
          <w:p w14:paraId="12A8EC20" w14:textId="77777777" w:rsidR="00570061" w:rsidRPr="00FB56FE" w:rsidRDefault="00570061" w:rsidP="00FB56FE">
            <w:pPr>
              <w:rPr>
                <w:kern w:val="2"/>
                <w:sz w:val="20"/>
                <w:szCs w:val="20"/>
              </w:rPr>
            </w:pPr>
            <w:r w:rsidRPr="00FB56FE">
              <w:rPr>
                <w:kern w:val="2"/>
                <w:sz w:val="20"/>
                <w:szCs w:val="20"/>
              </w:rPr>
              <w:t>7</w:t>
            </w:r>
          </w:p>
        </w:tc>
      </w:tr>
      <w:tr w:rsidR="00570061" w:rsidRPr="00FB56FE" w14:paraId="672AF53F" w14:textId="77777777" w:rsidTr="00070A4E">
        <w:trPr>
          <w:trHeight w:val="227"/>
        </w:trPr>
        <w:tc>
          <w:tcPr>
            <w:tcW w:w="593" w:type="pct"/>
            <w:vMerge w:val="restart"/>
          </w:tcPr>
          <w:p w14:paraId="7B879614" w14:textId="1F27EAB7" w:rsidR="00570061" w:rsidRPr="00FB56FE" w:rsidRDefault="00570061" w:rsidP="00FB56FE">
            <w:pPr>
              <w:rPr>
                <w:kern w:val="2"/>
                <w:sz w:val="20"/>
                <w:szCs w:val="20"/>
              </w:rPr>
            </w:pPr>
            <w:r w:rsidRPr="00FB56FE">
              <w:rPr>
                <w:kern w:val="2"/>
                <w:sz w:val="20"/>
                <w:szCs w:val="20"/>
              </w:rPr>
              <w:t>Dog</w:t>
            </w:r>
            <w:r w:rsidR="00FB56FE">
              <w:rPr>
                <w:kern w:val="2"/>
                <w:sz w:val="20"/>
                <w:szCs w:val="20"/>
              </w:rPr>
              <w:t xml:space="preserve"> </w:t>
            </w:r>
            <w:r w:rsidRPr="00FB56FE">
              <w:rPr>
                <w:kern w:val="2"/>
                <w:sz w:val="20"/>
                <w:szCs w:val="20"/>
              </w:rPr>
              <w:t>(Beagle)</w:t>
            </w:r>
          </w:p>
        </w:tc>
        <w:tc>
          <w:tcPr>
            <w:tcW w:w="759" w:type="pct"/>
            <w:vMerge w:val="restart"/>
          </w:tcPr>
          <w:p w14:paraId="1B9570BC" w14:textId="77777777" w:rsidR="00570061" w:rsidRPr="00FB56FE" w:rsidRDefault="00570061" w:rsidP="00FB56FE">
            <w:pPr>
              <w:rPr>
                <w:kern w:val="2"/>
                <w:sz w:val="20"/>
                <w:szCs w:val="20"/>
              </w:rPr>
            </w:pPr>
            <w:r w:rsidRPr="00FB56FE">
              <w:rPr>
                <w:kern w:val="2"/>
                <w:sz w:val="20"/>
                <w:szCs w:val="20"/>
              </w:rPr>
              <w:t>4 weeks</w:t>
            </w:r>
          </w:p>
          <w:p w14:paraId="4F128C53" w14:textId="77777777" w:rsidR="00570061" w:rsidRPr="00FB56FE" w:rsidRDefault="00570061" w:rsidP="00FB56FE">
            <w:pPr>
              <w:rPr>
                <w:kern w:val="2"/>
                <w:sz w:val="20"/>
                <w:szCs w:val="20"/>
              </w:rPr>
            </w:pPr>
            <w:r w:rsidRPr="00FB56FE">
              <w:rPr>
                <w:kern w:val="2"/>
                <w:sz w:val="20"/>
                <w:szCs w:val="20"/>
              </w:rPr>
              <w:t>[IXB00006]</w:t>
            </w:r>
          </w:p>
        </w:tc>
        <w:tc>
          <w:tcPr>
            <w:tcW w:w="530" w:type="pct"/>
            <w:vMerge w:val="restart"/>
          </w:tcPr>
          <w:p w14:paraId="159E368E" w14:textId="77777777" w:rsidR="00570061" w:rsidRPr="00FB56FE" w:rsidRDefault="00570061" w:rsidP="00FB56FE">
            <w:pPr>
              <w:rPr>
                <w:kern w:val="2"/>
                <w:sz w:val="20"/>
                <w:szCs w:val="20"/>
              </w:rPr>
            </w:pPr>
            <w:r w:rsidRPr="00FB56FE">
              <w:rPr>
                <w:kern w:val="2"/>
                <w:sz w:val="20"/>
                <w:szCs w:val="20"/>
              </w:rPr>
              <w:t>once weekly</w:t>
            </w:r>
          </w:p>
        </w:tc>
        <w:tc>
          <w:tcPr>
            <w:tcW w:w="533" w:type="pct"/>
            <w:vMerge w:val="restart"/>
          </w:tcPr>
          <w:p w14:paraId="719F965D" w14:textId="77777777" w:rsidR="00570061" w:rsidRPr="00FB56FE" w:rsidRDefault="00570061" w:rsidP="00FB56FE">
            <w:pPr>
              <w:rPr>
                <w:kern w:val="2"/>
                <w:sz w:val="20"/>
                <w:szCs w:val="20"/>
              </w:rPr>
            </w:pPr>
            <w:r w:rsidRPr="00FB56FE">
              <w:rPr>
                <w:kern w:val="2"/>
                <w:sz w:val="20"/>
                <w:szCs w:val="20"/>
              </w:rPr>
              <w:t>to two alter-</w:t>
            </w:r>
            <w:proofErr w:type="spellStart"/>
            <w:r w:rsidRPr="00FB56FE">
              <w:rPr>
                <w:kern w:val="2"/>
                <w:sz w:val="20"/>
                <w:szCs w:val="20"/>
              </w:rPr>
              <w:t>nating</w:t>
            </w:r>
            <w:proofErr w:type="spellEnd"/>
            <w:r w:rsidRPr="00FB56FE">
              <w:rPr>
                <w:kern w:val="2"/>
                <w:sz w:val="20"/>
                <w:szCs w:val="20"/>
              </w:rPr>
              <w:t xml:space="preserve"> sets of 4 sites</w:t>
            </w:r>
          </w:p>
        </w:tc>
        <w:tc>
          <w:tcPr>
            <w:tcW w:w="608" w:type="pct"/>
          </w:tcPr>
          <w:p w14:paraId="12585125" w14:textId="77777777" w:rsidR="00570061" w:rsidRPr="00FB56FE" w:rsidRDefault="00570061" w:rsidP="00FB56FE">
            <w:pPr>
              <w:rPr>
                <w:kern w:val="2"/>
                <w:sz w:val="20"/>
                <w:szCs w:val="20"/>
              </w:rPr>
            </w:pPr>
            <w:r w:rsidRPr="00FB56FE">
              <w:rPr>
                <w:kern w:val="2"/>
                <w:sz w:val="20"/>
                <w:szCs w:val="20"/>
              </w:rPr>
              <w:t>5</w:t>
            </w:r>
          </w:p>
        </w:tc>
        <w:tc>
          <w:tcPr>
            <w:tcW w:w="608" w:type="pct"/>
          </w:tcPr>
          <w:p w14:paraId="612DA65F" w14:textId="77777777" w:rsidR="00570061" w:rsidRPr="00FB56FE" w:rsidRDefault="00570061" w:rsidP="00FB56FE">
            <w:pPr>
              <w:rPr>
                <w:kern w:val="2"/>
                <w:sz w:val="20"/>
                <w:szCs w:val="20"/>
              </w:rPr>
            </w:pPr>
            <w:r w:rsidRPr="00FB56FE">
              <w:rPr>
                <w:kern w:val="2"/>
                <w:sz w:val="20"/>
                <w:szCs w:val="20"/>
              </w:rPr>
              <w:t>0.5%</w:t>
            </w:r>
          </w:p>
        </w:tc>
        <w:tc>
          <w:tcPr>
            <w:tcW w:w="608" w:type="pct"/>
          </w:tcPr>
          <w:p w14:paraId="2F54719D" w14:textId="77777777" w:rsidR="00570061" w:rsidRPr="00FB56FE" w:rsidRDefault="00570061" w:rsidP="00FB56FE">
            <w:pPr>
              <w:rPr>
                <w:kern w:val="2"/>
                <w:sz w:val="20"/>
                <w:szCs w:val="20"/>
              </w:rPr>
            </w:pPr>
            <w:r w:rsidRPr="00FB56FE">
              <w:rPr>
                <w:kern w:val="2"/>
                <w:sz w:val="20"/>
                <w:szCs w:val="20"/>
              </w:rPr>
              <w:t>1845</w:t>
            </w:r>
          </w:p>
        </w:tc>
        <w:tc>
          <w:tcPr>
            <w:tcW w:w="380" w:type="pct"/>
          </w:tcPr>
          <w:p w14:paraId="55976B7A" w14:textId="77777777" w:rsidR="00570061" w:rsidRPr="00FB56FE" w:rsidRDefault="00570061" w:rsidP="00FB56FE">
            <w:pPr>
              <w:rPr>
                <w:kern w:val="2"/>
                <w:sz w:val="20"/>
                <w:szCs w:val="20"/>
              </w:rPr>
            </w:pPr>
            <w:r w:rsidRPr="00FB56FE">
              <w:rPr>
                <w:kern w:val="2"/>
                <w:sz w:val="20"/>
                <w:szCs w:val="20"/>
              </w:rPr>
              <w:t>0.2</w:t>
            </w:r>
          </w:p>
        </w:tc>
        <w:tc>
          <w:tcPr>
            <w:tcW w:w="380" w:type="pct"/>
          </w:tcPr>
          <w:p w14:paraId="2D030030" w14:textId="77777777" w:rsidR="00570061" w:rsidRPr="00FB56FE" w:rsidRDefault="00570061" w:rsidP="00FB56FE">
            <w:pPr>
              <w:rPr>
                <w:kern w:val="2"/>
                <w:sz w:val="20"/>
                <w:szCs w:val="20"/>
              </w:rPr>
            </w:pPr>
            <w:r w:rsidRPr="00FB56FE">
              <w:rPr>
                <w:kern w:val="2"/>
                <w:sz w:val="20"/>
                <w:szCs w:val="20"/>
              </w:rPr>
              <w:t>0.8</w:t>
            </w:r>
          </w:p>
        </w:tc>
      </w:tr>
      <w:tr w:rsidR="00570061" w:rsidRPr="00FB56FE" w14:paraId="423EC526" w14:textId="77777777" w:rsidTr="00070A4E">
        <w:trPr>
          <w:trHeight w:val="227"/>
        </w:trPr>
        <w:tc>
          <w:tcPr>
            <w:tcW w:w="593" w:type="pct"/>
            <w:vMerge/>
          </w:tcPr>
          <w:p w14:paraId="760F5A7C" w14:textId="77777777" w:rsidR="00570061" w:rsidRPr="00FB56FE" w:rsidRDefault="00570061" w:rsidP="00FB56FE">
            <w:pPr>
              <w:rPr>
                <w:kern w:val="2"/>
                <w:sz w:val="20"/>
                <w:szCs w:val="20"/>
              </w:rPr>
            </w:pPr>
          </w:p>
        </w:tc>
        <w:tc>
          <w:tcPr>
            <w:tcW w:w="759" w:type="pct"/>
            <w:vMerge/>
          </w:tcPr>
          <w:p w14:paraId="460F36C4" w14:textId="77777777" w:rsidR="00570061" w:rsidRPr="00FB56FE" w:rsidRDefault="00570061" w:rsidP="00FB56FE">
            <w:pPr>
              <w:rPr>
                <w:kern w:val="2"/>
                <w:sz w:val="20"/>
                <w:szCs w:val="20"/>
              </w:rPr>
            </w:pPr>
          </w:p>
        </w:tc>
        <w:tc>
          <w:tcPr>
            <w:tcW w:w="530" w:type="pct"/>
            <w:vMerge/>
          </w:tcPr>
          <w:p w14:paraId="50B4D073" w14:textId="77777777" w:rsidR="00570061" w:rsidRPr="00FB56FE" w:rsidRDefault="00570061" w:rsidP="00FB56FE">
            <w:pPr>
              <w:rPr>
                <w:kern w:val="2"/>
                <w:sz w:val="20"/>
                <w:szCs w:val="20"/>
              </w:rPr>
            </w:pPr>
          </w:p>
        </w:tc>
        <w:tc>
          <w:tcPr>
            <w:tcW w:w="533" w:type="pct"/>
            <w:vMerge/>
          </w:tcPr>
          <w:p w14:paraId="43AD9E0C" w14:textId="77777777" w:rsidR="00570061" w:rsidRPr="00FB56FE" w:rsidRDefault="00570061" w:rsidP="00FB56FE">
            <w:pPr>
              <w:rPr>
                <w:kern w:val="2"/>
                <w:sz w:val="20"/>
                <w:szCs w:val="20"/>
              </w:rPr>
            </w:pPr>
          </w:p>
        </w:tc>
        <w:tc>
          <w:tcPr>
            <w:tcW w:w="608" w:type="pct"/>
          </w:tcPr>
          <w:p w14:paraId="76951D21" w14:textId="77777777" w:rsidR="00570061" w:rsidRPr="00FB56FE" w:rsidRDefault="00570061" w:rsidP="00FB56FE">
            <w:pPr>
              <w:rPr>
                <w:kern w:val="2"/>
                <w:sz w:val="20"/>
                <w:szCs w:val="20"/>
              </w:rPr>
            </w:pPr>
            <w:r w:rsidRPr="00FB56FE">
              <w:rPr>
                <w:kern w:val="2"/>
                <w:sz w:val="20"/>
                <w:szCs w:val="20"/>
              </w:rPr>
              <w:t>10</w:t>
            </w:r>
          </w:p>
        </w:tc>
        <w:tc>
          <w:tcPr>
            <w:tcW w:w="608" w:type="pct"/>
          </w:tcPr>
          <w:p w14:paraId="518B74F9" w14:textId="77777777" w:rsidR="00570061" w:rsidRPr="00FB56FE" w:rsidRDefault="00570061" w:rsidP="00FB56FE">
            <w:pPr>
              <w:rPr>
                <w:kern w:val="2"/>
                <w:sz w:val="20"/>
                <w:szCs w:val="20"/>
              </w:rPr>
            </w:pPr>
            <w:r w:rsidRPr="00FB56FE">
              <w:rPr>
                <w:kern w:val="2"/>
                <w:sz w:val="20"/>
                <w:szCs w:val="20"/>
              </w:rPr>
              <w:t>1%</w:t>
            </w:r>
          </w:p>
        </w:tc>
        <w:tc>
          <w:tcPr>
            <w:tcW w:w="608" w:type="pct"/>
          </w:tcPr>
          <w:p w14:paraId="6E134334" w14:textId="77777777" w:rsidR="00570061" w:rsidRPr="00FB56FE" w:rsidRDefault="00570061" w:rsidP="00FB56FE">
            <w:pPr>
              <w:rPr>
                <w:kern w:val="2"/>
                <w:sz w:val="20"/>
                <w:szCs w:val="20"/>
              </w:rPr>
            </w:pPr>
            <w:r w:rsidRPr="00FB56FE">
              <w:rPr>
                <w:kern w:val="2"/>
                <w:sz w:val="20"/>
                <w:szCs w:val="20"/>
              </w:rPr>
              <w:t>3950</w:t>
            </w:r>
          </w:p>
        </w:tc>
        <w:tc>
          <w:tcPr>
            <w:tcW w:w="380" w:type="pct"/>
          </w:tcPr>
          <w:p w14:paraId="74061E6B" w14:textId="77777777" w:rsidR="00570061" w:rsidRPr="00FB56FE" w:rsidRDefault="00570061" w:rsidP="00FB56FE">
            <w:pPr>
              <w:rPr>
                <w:kern w:val="2"/>
                <w:sz w:val="20"/>
                <w:szCs w:val="20"/>
              </w:rPr>
            </w:pPr>
            <w:r w:rsidRPr="00FB56FE">
              <w:rPr>
                <w:kern w:val="2"/>
                <w:sz w:val="20"/>
                <w:szCs w:val="20"/>
              </w:rPr>
              <w:t>0.4</w:t>
            </w:r>
          </w:p>
        </w:tc>
        <w:tc>
          <w:tcPr>
            <w:tcW w:w="380" w:type="pct"/>
          </w:tcPr>
          <w:p w14:paraId="29C9EABB" w14:textId="77777777" w:rsidR="00570061" w:rsidRPr="00FB56FE" w:rsidRDefault="00570061" w:rsidP="00FB56FE">
            <w:pPr>
              <w:rPr>
                <w:kern w:val="2"/>
                <w:sz w:val="20"/>
                <w:szCs w:val="20"/>
              </w:rPr>
            </w:pPr>
            <w:r w:rsidRPr="00FB56FE">
              <w:rPr>
                <w:kern w:val="2"/>
                <w:sz w:val="20"/>
                <w:szCs w:val="20"/>
              </w:rPr>
              <w:t>1.7</w:t>
            </w:r>
          </w:p>
        </w:tc>
      </w:tr>
      <w:tr w:rsidR="00570061" w:rsidRPr="00FB56FE" w14:paraId="1CBDB3A0" w14:textId="77777777" w:rsidTr="00070A4E">
        <w:trPr>
          <w:trHeight w:val="227"/>
        </w:trPr>
        <w:tc>
          <w:tcPr>
            <w:tcW w:w="593" w:type="pct"/>
            <w:vMerge/>
          </w:tcPr>
          <w:p w14:paraId="7D1E2C00" w14:textId="77777777" w:rsidR="00570061" w:rsidRPr="00FB56FE" w:rsidRDefault="00570061" w:rsidP="00FB56FE">
            <w:pPr>
              <w:rPr>
                <w:kern w:val="2"/>
                <w:sz w:val="20"/>
                <w:szCs w:val="20"/>
              </w:rPr>
            </w:pPr>
          </w:p>
        </w:tc>
        <w:tc>
          <w:tcPr>
            <w:tcW w:w="759" w:type="pct"/>
            <w:vMerge/>
          </w:tcPr>
          <w:p w14:paraId="098AFD1B" w14:textId="77777777" w:rsidR="00570061" w:rsidRPr="00FB56FE" w:rsidRDefault="00570061" w:rsidP="00FB56FE">
            <w:pPr>
              <w:rPr>
                <w:kern w:val="2"/>
                <w:sz w:val="20"/>
                <w:szCs w:val="20"/>
              </w:rPr>
            </w:pPr>
          </w:p>
        </w:tc>
        <w:tc>
          <w:tcPr>
            <w:tcW w:w="530" w:type="pct"/>
            <w:vMerge/>
          </w:tcPr>
          <w:p w14:paraId="341CA716" w14:textId="77777777" w:rsidR="00570061" w:rsidRPr="00FB56FE" w:rsidRDefault="00570061" w:rsidP="00FB56FE">
            <w:pPr>
              <w:rPr>
                <w:kern w:val="2"/>
                <w:sz w:val="20"/>
                <w:szCs w:val="20"/>
              </w:rPr>
            </w:pPr>
          </w:p>
        </w:tc>
        <w:tc>
          <w:tcPr>
            <w:tcW w:w="533" w:type="pct"/>
            <w:vMerge/>
          </w:tcPr>
          <w:p w14:paraId="4A42CC43" w14:textId="77777777" w:rsidR="00570061" w:rsidRPr="00FB56FE" w:rsidRDefault="00570061" w:rsidP="00FB56FE">
            <w:pPr>
              <w:rPr>
                <w:kern w:val="2"/>
                <w:sz w:val="20"/>
                <w:szCs w:val="20"/>
              </w:rPr>
            </w:pPr>
          </w:p>
        </w:tc>
        <w:tc>
          <w:tcPr>
            <w:tcW w:w="608" w:type="pct"/>
          </w:tcPr>
          <w:p w14:paraId="7FA2F4F0" w14:textId="77777777" w:rsidR="00570061" w:rsidRPr="00FB56FE" w:rsidRDefault="00570061" w:rsidP="00FB56FE">
            <w:pPr>
              <w:rPr>
                <w:kern w:val="2"/>
                <w:sz w:val="20"/>
                <w:szCs w:val="20"/>
              </w:rPr>
            </w:pPr>
            <w:r w:rsidRPr="00FB56FE">
              <w:rPr>
                <w:kern w:val="2"/>
                <w:sz w:val="20"/>
                <w:szCs w:val="20"/>
              </w:rPr>
              <w:t>20</w:t>
            </w:r>
          </w:p>
        </w:tc>
        <w:tc>
          <w:tcPr>
            <w:tcW w:w="608" w:type="pct"/>
          </w:tcPr>
          <w:p w14:paraId="299B89C9" w14:textId="77777777" w:rsidR="00570061" w:rsidRPr="00FB56FE" w:rsidRDefault="00570061" w:rsidP="00FB56FE">
            <w:pPr>
              <w:rPr>
                <w:kern w:val="2"/>
                <w:sz w:val="20"/>
                <w:szCs w:val="20"/>
              </w:rPr>
            </w:pPr>
            <w:r w:rsidRPr="00FB56FE">
              <w:rPr>
                <w:kern w:val="2"/>
                <w:sz w:val="20"/>
                <w:szCs w:val="20"/>
              </w:rPr>
              <w:t>2%</w:t>
            </w:r>
          </w:p>
        </w:tc>
        <w:tc>
          <w:tcPr>
            <w:tcW w:w="608" w:type="pct"/>
          </w:tcPr>
          <w:p w14:paraId="4F019B64" w14:textId="77777777" w:rsidR="00570061" w:rsidRPr="00FB56FE" w:rsidRDefault="00570061" w:rsidP="00FB56FE">
            <w:pPr>
              <w:rPr>
                <w:kern w:val="2"/>
                <w:sz w:val="20"/>
                <w:szCs w:val="20"/>
              </w:rPr>
            </w:pPr>
            <w:r w:rsidRPr="00FB56FE">
              <w:rPr>
                <w:kern w:val="2"/>
                <w:sz w:val="20"/>
                <w:szCs w:val="20"/>
              </w:rPr>
              <w:t>8030</w:t>
            </w:r>
          </w:p>
        </w:tc>
        <w:tc>
          <w:tcPr>
            <w:tcW w:w="380" w:type="pct"/>
          </w:tcPr>
          <w:p w14:paraId="0BB32E16" w14:textId="77777777" w:rsidR="00570061" w:rsidRPr="00FB56FE" w:rsidRDefault="00570061" w:rsidP="00FB56FE">
            <w:pPr>
              <w:rPr>
                <w:kern w:val="2"/>
                <w:sz w:val="20"/>
                <w:szCs w:val="20"/>
              </w:rPr>
            </w:pPr>
            <w:r w:rsidRPr="00FB56FE">
              <w:rPr>
                <w:kern w:val="2"/>
                <w:sz w:val="20"/>
                <w:szCs w:val="20"/>
              </w:rPr>
              <w:t>0.9</w:t>
            </w:r>
          </w:p>
        </w:tc>
        <w:tc>
          <w:tcPr>
            <w:tcW w:w="380" w:type="pct"/>
          </w:tcPr>
          <w:p w14:paraId="73FBC4E6" w14:textId="77777777" w:rsidR="00570061" w:rsidRPr="00FB56FE" w:rsidRDefault="00570061" w:rsidP="00FB56FE">
            <w:pPr>
              <w:rPr>
                <w:kern w:val="2"/>
                <w:sz w:val="20"/>
                <w:szCs w:val="20"/>
              </w:rPr>
            </w:pPr>
            <w:r w:rsidRPr="00FB56FE">
              <w:rPr>
                <w:kern w:val="2"/>
                <w:sz w:val="20"/>
                <w:szCs w:val="20"/>
              </w:rPr>
              <w:t>3.5</w:t>
            </w:r>
          </w:p>
        </w:tc>
      </w:tr>
      <w:tr w:rsidR="00570061" w:rsidRPr="00FB56FE" w14:paraId="2FAC86B4" w14:textId="77777777" w:rsidTr="00070A4E">
        <w:trPr>
          <w:trHeight w:val="227"/>
        </w:trPr>
        <w:tc>
          <w:tcPr>
            <w:tcW w:w="593" w:type="pct"/>
            <w:vMerge/>
          </w:tcPr>
          <w:p w14:paraId="34A0D592" w14:textId="77777777" w:rsidR="00570061" w:rsidRPr="00FB56FE" w:rsidRDefault="00570061" w:rsidP="00FB56FE">
            <w:pPr>
              <w:rPr>
                <w:kern w:val="2"/>
                <w:sz w:val="20"/>
                <w:szCs w:val="20"/>
              </w:rPr>
            </w:pPr>
          </w:p>
        </w:tc>
        <w:tc>
          <w:tcPr>
            <w:tcW w:w="759" w:type="pct"/>
            <w:vMerge w:val="restart"/>
          </w:tcPr>
          <w:p w14:paraId="192E10B7" w14:textId="77777777" w:rsidR="00570061" w:rsidRPr="00FB56FE" w:rsidRDefault="00570061" w:rsidP="00FB56FE">
            <w:pPr>
              <w:rPr>
                <w:kern w:val="2"/>
                <w:sz w:val="20"/>
                <w:szCs w:val="20"/>
              </w:rPr>
            </w:pPr>
            <w:r w:rsidRPr="00FB56FE">
              <w:rPr>
                <w:kern w:val="2"/>
                <w:sz w:val="20"/>
                <w:szCs w:val="20"/>
              </w:rPr>
              <w:t>3 M</w:t>
            </w:r>
          </w:p>
          <w:p w14:paraId="17440BAF" w14:textId="77777777" w:rsidR="00570061" w:rsidRPr="00FB56FE" w:rsidRDefault="00570061" w:rsidP="00FB56FE">
            <w:pPr>
              <w:rPr>
                <w:kern w:val="2"/>
                <w:sz w:val="20"/>
                <w:szCs w:val="20"/>
              </w:rPr>
            </w:pPr>
            <w:r w:rsidRPr="00FB56FE">
              <w:rPr>
                <w:kern w:val="2"/>
                <w:sz w:val="20"/>
                <w:szCs w:val="20"/>
              </w:rPr>
              <w:t>[IXB00027]</w:t>
            </w:r>
          </w:p>
        </w:tc>
        <w:tc>
          <w:tcPr>
            <w:tcW w:w="530" w:type="pct"/>
            <w:vMerge w:val="restart"/>
          </w:tcPr>
          <w:p w14:paraId="2880EBD4" w14:textId="77777777" w:rsidR="00570061" w:rsidRPr="00FB56FE" w:rsidRDefault="00570061" w:rsidP="00FB56FE">
            <w:pPr>
              <w:rPr>
                <w:kern w:val="2"/>
                <w:sz w:val="20"/>
                <w:szCs w:val="20"/>
              </w:rPr>
            </w:pPr>
            <w:r w:rsidRPr="00FB56FE">
              <w:rPr>
                <w:kern w:val="2"/>
                <w:sz w:val="20"/>
                <w:szCs w:val="20"/>
              </w:rPr>
              <w:t>twice monthly</w:t>
            </w:r>
          </w:p>
        </w:tc>
        <w:tc>
          <w:tcPr>
            <w:tcW w:w="533" w:type="pct"/>
            <w:vMerge/>
          </w:tcPr>
          <w:p w14:paraId="74E3E0C8" w14:textId="77777777" w:rsidR="00570061" w:rsidRPr="00FB56FE" w:rsidRDefault="00570061" w:rsidP="00FB56FE">
            <w:pPr>
              <w:rPr>
                <w:kern w:val="2"/>
                <w:sz w:val="20"/>
                <w:szCs w:val="20"/>
              </w:rPr>
            </w:pPr>
          </w:p>
        </w:tc>
        <w:tc>
          <w:tcPr>
            <w:tcW w:w="608" w:type="pct"/>
          </w:tcPr>
          <w:p w14:paraId="65333E68" w14:textId="77777777" w:rsidR="00570061" w:rsidRPr="00FB56FE" w:rsidRDefault="00570061" w:rsidP="00FB56FE">
            <w:pPr>
              <w:rPr>
                <w:kern w:val="2"/>
                <w:sz w:val="20"/>
                <w:szCs w:val="20"/>
              </w:rPr>
            </w:pPr>
            <w:r w:rsidRPr="00FB56FE">
              <w:rPr>
                <w:kern w:val="2"/>
                <w:sz w:val="20"/>
                <w:szCs w:val="20"/>
              </w:rPr>
              <w:t>5</w:t>
            </w:r>
          </w:p>
        </w:tc>
        <w:tc>
          <w:tcPr>
            <w:tcW w:w="608" w:type="pct"/>
          </w:tcPr>
          <w:p w14:paraId="79EE0F3E" w14:textId="77777777" w:rsidR="00570061" w:rsidRPr="00FB56FE" w:rsidRDefault="00570061" w:rsidP="00FB56FE">
            <w:pPr>
              <w:rPr>
                <w:kern w:val="2"/>
                <w:sz w:val="20"/>
                <w:szCs w:val="20"/>
              </w:rPr>
            </w:pPr>
            <w:r w:rsidRPr="00FB56FE">
              <w:rPr>
                <w:kern w:val="2"/>
                <w:sz w:val="20"/>
                <w:szCs w:val="20"/>
              </w:rPr>
              <w:t>0.5%</w:t>
            </w:r>
          </w:p>
        </w:tc>
        <w:tc>
          <w:tcPr>
            <w:tcW w:w="608" w:type="pct"/>
          </w:tcPr>
          <w:p w14:paraId="3CCBBA34" w14:textId="77777777" w:rsidR="00570061" w:rsidRPr="00FB56FE" w:rsidRDefault="00570061" w:rsidP="00FB56FE">
            <w:pPr>
              <w:rPr>
                <w:kern w:val="2"/>
                <w:sz w:val="20"/>
                <w:szCs w:val="20"/>
              </w:rPr>
            </w:pPr>
            <w:r w:rsidRPr="00FB56FE">
              <w:rPr>
                <w:kern w:val="2"/>
                <w:sz w:val="20"/>
                <w:szCs w:val="20"/>
              </w:rPr>
              <w:t>2780</w:t>
            </w:r>
          </w:p>
        </w:tc>
        <w:tc>
          <w:tcPr>
            <w:tcW w:w="380" w:type="pct"/>
          </w:tcPr>
          <w:p w14:paraId="6EB34051" w14:textId="77777777" w:rsidR="00570061" w:rsidRPr="00FB56FE" w:rsidRDefault="00570061" w:rsidP="00FB56FE">
            <w:pPr>
              <w:rPr>
                <w:kern w:val="2"/>
                <w:sz w:val="20"/>
                <w:szCs w:val="20"/>
              </w:rPr>
            </w:pPr>
            <w:r w:rsidRPr="00FB56FE">
              <w:rPr>
                <w:kern w:val="2"/>
                <w:sz w:val="20"/>
                <w:szCs w:val="20"/>
              </w:rPr>
              <w:t>0.3</w:t>
            </w:r>
          </w:p>
        </w:tc>
        <w:tc>
          <w:tcPr>
            <w:tcW w:w="380" w:type="pct"/>
          </w:tcPr>
          <w:p w14:paraId="6DB7650D" w14:textId="77777777" w:rsidR="00570061" w:rsidRPr="00FB56FE" w:rsidRDefault="00570061" w:rsidP="00FB56FE">
            <w:pPr>
              <w:rPr>
                <w:kern w:val="2"/>
                <w:sz w:val="20"/>
                <w:szCs w:val="20"/>
              </w:rPr>
            </w:pPr>
            <w:r w:rsidRPr="00FB56FE">
              <w:rPr>
                <w:kern w:val="2"/>
                <w:sz w:val="20"/>
                <w:szCs w:val="20"/>
              </w:rPr>
              <w:t>0.6</w:t>
            </w:r>
          </w:p>
        </w:tc>
      </w:tr>
      <w:tr w:rsidR="00570061" w:rsidRPr="00FB56FE" w14:paraId="7566B232" w14:textId="77777777" w:rsidTr="00070A4E">
        <w:trPr>
          <w:trHeight w:val="227"/>
        </w:trPr>
        <w:tc>
          <w:tcPr>
            <w:tcW w:w="593" w:type="pct"/>
            <w:vMerge/>
          </w:tcPr>
          <w:p w14:paraId="08B87F49" w14:textId="77777777" w:rsidR="00570061" w:rsidRPr="00FB56FE" w:rsidRDefault="00570061" w:rsidP="00FB56FE">
            <w:pPr>
              <w:rPr>
                <w:kern w:val="2"/>
                <w:sz w:val="20"/>
                <w:szCs w:val="20"/>
              </w:rPr>
            </w:pPr>
          </w:p>
        </w:tc>
        <w:tc>
          <w:tcPr>
            <w:tcW w:w="759" w:type="pct"/>
            <w:vMerge/>
          </w:tcPr>
          <w:p w14:paraId="28F7C978" w14:textId="77777777" w:rsidR="00570061" w:rsidRPr="00FB56FE" w:rsidRDefault="00570061" w:rsidP="00FB56FE">
            <w:pPr>
              <w:rPr>
                <w:kern w:val="2"/>
                <w:sz w:val="20"/>
                <w:szCs w:val="20"/>
              </w:rPr>
            </w:pPr>
          </w:p>
        </w:tc>
        <w:tc>
          <w:tcPr>
            <w:tcW w:w="530" w:type="pct"/>
            <w:vMerge/>
          </w:tcPr>
          <w:p w14:paraId="44F8D20A" w14:textId="77777777" w:rsidR="00570061" w:rsidRPr="00FB56FE" w:rsidRDefault="00570061" w:rsidP="00FB56FE">
            <w:pPr>
              <w:rPr>
                <w:kern w:val="2"/>
                <w:sz w:val="20"/>
                <w:szCs w:val="20"/>
              </w:rPr>
            </w:pPr>
          </w:p>
        </w:tc>
        <w:tc>
          <w:tcPr>
            <w:tcW w:w="533" w:type="pct"/>
            <w:vMerge/>
          </w:tcPr>
          <w:p w14:paraId="189EB47C" w14:textId="77777777" w:rsidR="00570061" w:rsidRPr="00FB56FE" w:rsidRDefault="00570061" w:rsidP="00FB56FE">
            <w:pPr>
              <w:rPr>
                <w:kern w:val="2"/>
                <w:sz w:val="20"/>
                <w:szCs w:val="20"/>
              </w:rPr>
            </w:pPr>
          </w:p>
        </w:tc>
        <w:tc>
          <w:tcPr>
            <w:tcW w:w="608" w:type="pct"/>
          </w:tcPr>
          <w:p w14:paraId="1B7EAD46" w14:textId="77777777" w:rsidR="00570061" w:rsidRPr="00FB56FE" w:rsidRDefault="00570061" w:rsidP="00FB56FE">
            <w:pPr>
              <w:rPr>
                <w:kern w:val="2"/>
                <w:sz w:val="20"/>
                <w:szCs w:val="20"/>
              </w:rPr>
            </w:pPr>
            <w:r w:rsidRPr="00FB56FE">
              <w:rPr>
                <w:kern w:val="2"/>
                <w:sz w:val="20"/>
                <w:szCs w:val="20"/>
              </w:rPr>
              <w:t>10</w:t>
            </w:r>
          </w:p>
        </w:tc>
        <w:tc>
          <w:tcPr>
            <w:tcW w:w="608" w:type="pct"/>
          </w:tcPr>
          <w:p w14:paraId="65CA210E" w14:textId="77777777" w:rsidR="00570061" w:rsidRPr="00FB56FE" w:rsidRDefault="00570061" w:rsidP="00FB56FE">
            <w:pPr>
              <w:rPr>
                <w:kern w:val="2"/>
                <w:sz w:val="20"/>
                <w:szCs w:val="20"/>
              </w:rPr>
            </w:pPr>
            <w:r w:rsidRPr="00FB56FE">
              <w:rPr>
                <w:kern w:val="2"/>
                <w:sz w:val="20"/>
                <w:szCs w:val="20"/>
              </w:rPr>
              <w:t>1%</w:t>
            </w:r>
          </w:p>
        </w:tc>
        <w:tc>
          <w:tcPr>
            <w:tcW w:w="608" w:type="pct"/>
          </w:tcPr>
          <w:p w14:paraId="166312FF" w14:textId="77777777" w:rsidR="00570061" w:rsidRPr="00FB56FE" w:rsidRDefault="00570061" w:rsidP="00FB56FE">
            <w:pPr>
              <w:rPr>
                <w:kern w:val="2"/>
                <w:sz w:val="20"/>
                <w:szCs w:val="20"/>
              </w:rPr>
            </w:pPr>
            <w:r w:rsidRPr="00FB56FE">
              <w:rPr>
                <w:kern w:val="2"/>
                <w:sz w:val="20"/>
                <w:szCs w:val="20"/>
              </w:rPr>
              <w:t>4980</w:t>
            </w:r>
          </w:p>
        </w:tc>
        <w:tc>
          <w:tcPr>
            <w:tcW w:w="380" w:type="pct"/>
          </w:tcPr>
          <w:p w14:paraId="71DC6C3E" w14:textId="77777777" w:rsidR="00570061" w:rsidRPr="00FB56FE" w:rsidRDefault="00570061" w:rsidP="00FB56FE">
            <w:pPr>
              <w:rPr>
                <w:kern w:val="2"/>
                <w:sz w:val="20"/>
                <w:szCs w:val="20"/>
              </w:rPr>
            </w:pPr>
            <w:r w:rsidRPr="00FB56FE">
              <w:rPr>
                <w:kern w:val="2"/>
                <w:sz w:val="20"/>
                <w:szCs w:val="20"/>
              </w:rPr>
              <w:t>0.5</w:t>
            </w:r>
          </w:p>
        </w:tc>
        <w:tc>
          <w:tcPr>
            <w:tcW w:w="380" w:type="pct"/>
          </w:tcPr>
          <w:p w14:paraId="30317BCA" w14:textId="77777777" w:rsidR="00570061" w:rsidRPr="00FB56FE" w:rsidRDefault="00570061" w:rsidP="00FB56FE">
            <w:pPr>
              <w:rPr>
                <w:kern w:val="2"/>
                <w:sz w:val="20"/>
                <w:szCs w:val="20"/>
              </w:rPr>
            </w:pPr>
            <w:r w:rsidRPr="00FB56FE">
              <w:rPr>
                <w:kern w:val="2"/>
                <w:sz w:val="20"/>
                <w:szCs w:val="20"/>
              </w:rPr>
              <w:t>1.1</w:t>
            </w:r>
          </w:p>
        </w:tc>
      </w:tr>
      <w:tr w:rsidR="00570061" w:rsidRPr="00FB56FE" w14:paraId="3EB809BC" w14:textId="77777777" w:rsidTr="00070A4E">
        <w:trPr>
          <w:trHeight w:val="227"/>
        </w:trPr>
        <w:tc>
          <w:tcPr>
            <w:tcW w:w="593" w:type="pct"/>
            <w:vMerge/>
          </w:tcPr>
          <w:p w14:paraId="7FCF22BE" w14:textId="77777777" w:rsidR="00570061" w:rsidRPr="00FB56FE" w:rsidRDefault="00570061" w:rsidP="00FB56FE">
            <w:pPr>
              <w:rPr>
                <w:kern w:val="2"/>
                <w:sz w:val="20"/>
                <w:szCs w:val="20"/>
              </w:rPr>
            </w:pPr>
          </w:p>
        </w:tc>
        <w:tc>
          <w:tcPr>
            <w:tcW w:w="759" w:type="pct"/>
            <w:vMerge/>
          </w:tcPr>
          <w:p w14:paraId="4874D985" w14:textId="77777777" w:rsidR="00570061" w:rsidRPr="00FB56FE" w:rsidRDefault="00570061" w:rsidP="00FB56FE">
            <w:pPr>
              <w:rPr>
                <w:kern w:val="2"/>
                <w:sz w:val="20"/>
                <w:szCs w:val="20"/>
              </w:rPr>
            </w:pPr>
          </w:p>
        </w:tc>
        <w:tc>
          <w:tcPr>
            <w:tcW w:w="530" w:type="pct"/>
            <w:vMerge/>
          </w:tcPr>
          <w:p w14:paraId="45C99EF4" w14:textId="77777777" w:rsidR="00570061" w:rsidRPr="00FB56FE" w:rsidRDefault="00570061" w:rsidP="00FB56FE">
            <w:pPr>
              <w:rPr>
                <w:kern w:val="2"/>
                <w:sz w:val="20"/>
                <w:szCs w:val="20"/>
              </w:rPr>
            </w:pPr>
          </w:p>
        </w:tc>
        <w:tc>
          <w:tcPr>
            <w:tcW w:w="533" w:type="pct"/>
            <w:vMerge/>
          </w:tcPr>
          <w:p w14:paraId="62E3D619" w14:textId="77777777" w:rsidR="00570061" w:rsidRPr="00FB56FE" w:rsidRDefault="00570061" w:rsidP="00FB56FE">
            <w:pPr>
              <w:rPr>
                <w:kern w:val="2"/>
                <w:sz w:val="20"/>
                <w:szCs w:val="20"/>
              </w:rPr>
            </w:pPr>
          </w:p>
        </w:tc>
        <w:tc>
          <w:tcPr>
            <w:tcW w:w="608" w:type="pct"/>
          </w:tcPr>
          <w:p w14:paraId="599966A8" w14:textId="77777777" w:rsidR="00570061" w:rsidRPr="00FB56FE" w:rsidRDefault="00570061" w:rsidP="00FB56FE">
            <w:pPr>
              <w:rPr>
                <w:kern w:val="2"/>
                <w:sz w:val="20"/>
                <w:szCs w:val="20"/>
              </w:rPr>
            </w:pPr>
            <w:r w:rsidRPr="00FB56FE">
              <w:rPr>
                <w:kern w:val="2"/>
                <w:sz w:val="20"/>
                <w:szCs w:val="20"/>
              </w:rPr>
              <w:t>20</w:t>
            </w:r>
          </w:p>
        </w:tc>
        <w:tc>
          <w:tcPr>
            <w:tcW w:w="608" w:type="pct"/>
          </w:tcPr>
          <w:p w14:paraId="6D04123F" w14:textId="77777777" w:rsidR="00570061" w:rsidRPr="00FB56FE" w:rsidRDefault="00570061" w:rsidP="00FB56FE">
            <w:pPr>
              <w:rPr>
                <w:kern w:val="2"/>
                <w:sz w:val="20"/>
                <w:szCs w:val="20"/>
              </w:rPr>
            </w:pPr>
            <w:r w:rsidRPr="00FB56FE">
              <w:rPr>
                <w:kern w:val="2"/>
                <w:sz w:val="20"/>
                <w:szCs w:val="20"/>
              </w:rPr>
              <w:t>2%</w:t>
            </w:r>
          </w:p>
        </w:tc>
        <w:tc>
          <w:tcPr>
            <w:tcW w:w="608" w:type="pct"/>
          </w:tcPr>
          <w:p w14:paraId="503CE536" w14:textId="77777777" w:rsidR="00570061" w:rsidRPr="00FB56FE" w:rsidRDefault="00570061" w:rsidP="00FB56FE">
            <w:pPr>
              <w:rPr>
                <w:kern w:val="2"/>
                <w:sz w:val="20"/>
                <w:szCs w:val="20"/>
              </w:rPr>
            </w:pPr>
            <w:r w:rsidRPr="00FB56FE">
              <w:rPr>
                <w:kern w:val="2"/>
                <w:sz w:val="20"/>
                <w:szCs w:val="20"/>
              </w:rPr>
              <w:t>9540</w:t>
            </w:r>
          </w:p>
        </w:tc>
        <w:tc>
          <w:tcPr>
            <w:tcW w:w="380" w:type="pct"/>
          </w:tcPr>
          <w:p w14:paraId="4B3218DD" w14:textId="77777777" w:rsidR="00570061" w:rsidRPr="00FB56FE" w:rsidRDefault="00570061" w:rsidP="00FB56FE">
            <w:pPr>
              <w:rPr>
                <w:kern w:val="2"/>
                <w:sz w:val="20"/>
                <w:szCs w:val="20"/>
              </w:rPr>
            </w:pPr>
            <w:r w:rsidRPr="00FB56FE">
              <w:rPr>
                <w:kern w:val="2"/>
                <w:sz w:val="20"/>
                <w:szCs w:val="20"/>
              </w:rPr>
              <w:t>1.0</w:t>
            </w:r>
          </w:p>
        </w:tc>
        <w:tc>
          <w:tcPr>
            <w:tcW w:w="380" w:type="pct"/>
          </w:tcPr>
          <w:p w14:paraId="5BF0C4BA" w14:textId="77777777" w:rsidR="00570061" w:rsidRPr="00FB56FE" w:rsidRDefault="00570061" w:rsidP="00FB56FE">
            <w:pPr>
              <w:rPr>
                <w:kern w:val="2"/>
                <w:sz w:val="20"/>
                <w:szCs w:val="20"/>
              </w:rPr>
            </w:pPr>
            <w:r w:rsidRPr="00FB56FE">
              <w:rPr>
                <w:kern w:val="2"/>
                <w:sz w:val="20"/>
                <w:szCs w:val="20"/>
              </w:rPr>
              <w:t>2.1</w:t>
            </w:r>
          </w:p>
        </w:tc>
      </w:tr>
      <w:tr w:rsidR="00570061" w:rsidRPr="00FB56FE" w14:paraId="49F01807" w14:textId="77777777" w:rsidTr="00070A4E">
        <w:trPr>
          <w:trHeight w:val="227"/>
        </w:trPr>
        <w:tc>
          <w:tcPr>
            <w:tcW w:w="593" w:type="pct"/>
            <w:vMerge/>
          </w:tcPr>
          <w:p w14:paraId="355A35EF" w14:textId="77777777" w:rsidR="00570061" w:rsidRPr="00FB56FE" w:rsidRDefault="00570061" w:rsidP="00FB56FE">
            <w:pPr>
              <w:rPr>
                <w:kern w:val="2"/>
                <w:sz w:val="20"/>
                <w:szCs w:val="20"/>
              </w:rPr>
            </w:pPr>
          </w:p>
        </w:tc>
        <w:tc>
          <w:tcPr>
            <w:tcW w:w="759" w:type="pct"/>
            <w:vMerge w:val="restart"/>
          </w:tcPr>
          <w:p w14:paraId="60D3D3FC" w14:textId="77777777" w:rsidR="00570061" w:rsidRPr="00FB56FE" w:rsidRDefault="00570061" w:rsidP="00FB56FE">
            <w:pPr>
              <w:rPr>
                <w:kern w:val="2"/>
                <w:sz w:val="20"/>
                <w:szCs w:val="20"/>
              </w:rPr>
            </w:pPr>
            <w:r w:rsidRPr="00FB56FE">
              <w:rPr>
                <w:kern w:val="2"/>
                <w:sz w:val="20"/>
                <w:szCs w:val="20"/>
              </w:rPr>
              <w:t>9 M</w:t>
            </w:r>
          </w:p>
          <w:p w14:paraId="3978534C" w14:textId="77777777" w:rsidR="00570061" w:rsidRPr="00FB56FE" w:rsidRDefault="00570061" w:rsidP="00FB56FE">
            <w:pPr>
              <w:rPr>
                <w:kern w:val="2"/>
                <w:sz w:val="20"/>
                <w:szCs w:val="20"/>
              </w:rPr>
            </w:pPr>
            <w:r w:rsidRPr="00FB56FE">
              <w:rPr>
                <w:kern w:val="2"/>
                <w:sz w:val="20"/>
                <w:szCs w:val="20"/>
              </w:rPr>
              <w:t>[IXB00076; pivotal]</w:t>
            </w:r>
          </w:p>
        </w:tc>
        <w:tc>
          <w:tcPr>
            <w:tcW w:w="530" w:type="pct"/>
            <w:vMerge w:val="restart"/>
          </w:tcPr>
          <w:p w14:paraId="582061E6" w14:textId="77777777" w:rsidR="00570061" w:rsidRPr="00FB56FE" w:rsidRDefault="00570061" w:rsidP="00FB56FE">
            <w:pPr>
              <w:rPr>
                <w:kern w:val="2"/>
                <w:sz w:val="20"/>
                <w:szCs w:val="20"/>
              </w:rPr>
            </w:pPr>
            <w:r w:rsidRPr="00FB56FE">
              <w:rPr>
                <w:kern w:val="2"/>
                <w:sz w:val="20"/>
                <w:szCs w:val="20"/>
              </w:rPr>
              <w:t>twice monthly</w:t>
            </w:r>
          </w:p>
        </w:tc>
        <w:tc>
          <w:tcPr>
            <w:tcW w:w="533" w:type="pct"/>
            <w:vMerge/>
          </w:tcPr>
          <w:p w14:paraId="6D58A5D8" w14:textId="77777777" w:rsidR="00570061" w:rsidRPr="00FB56FE" w:rsidRDefault="00570061" w:rsidP="00FB56FE">
            <w:pPr>
              <w:rPr>
                <w:kern w:val="2"/>
                <w:sz w:val="20"/>
                <w:szCs w:val="20"/>
              </w:rPr>
            </w:pPr>
          </w:p>
        </w:tc>
        <w:tc>
          <w:tcPr>
            <w:tcW w:w="608" w:type="pct"/>
          </w:tcPr>
          <w:p w14:paraId="7CDF41E2" w14:textId="77777777" w:rsidR="00570061" w:rsidRPr="00FB56FE" w:rsidRDefault="00570061" w:rsidP="00FB56FE">
            <w:pPr>
              <w:rPr>
                <w:kern w:val="2"/>
                <w:sz w:val="20"/>
                <w:szCs w:val="20"/>
              </w:rPr>
            </w:pPr>
            <w:r w:rsidRPr="00FB56FE">
              <w:rPr>
                <w:kern w:val="2"/>
                <w:sz w:val="20"/>
                <w:szCs w:val="20"/>
              </w:rPr>
              <w:t>10</w:t>
            </w:r>
          </w:p>
        </w:tc>
        <w:tc>
          <w:tcPr>
            <w:tcW w:w="608" w:type="pct"/>
          </w:tcPr>
          <w:p w14:paraId="1BEF6308" w14:textId="77777777" w:rsidR="00570061" w:rsidRPr="00FB56FE" w:rsidRDefault="00570061" w:rsidP="00FB56FE">
            <w:pPr>
              <w:rPr>
                <w:kern w:val="2"/>
                <w:sz w:val="20"/>
                <w:szCs w:val="20"/>
              </w:rPr>
            </w:pPr>
            <w:r w:rsidRPr="00FB56FE">
              <w:rPr>
                <w:kern w:val="2"/>
                <w:sz w:val="20"/>
                <w:szCs w:val="20"/>
              </w:rPr>
              <w:t>2%</w:t>
            </w:r>
          </w:p>
        </w:tc>
        <w:tc>
          <w:tcPr>
            <w:tcW w:w="608" w:type="pct"/>
          </w:tcPr>
          <w:p w14:paraId="49B6DAFC" w14:textId="77777777" w:rsidR="00570061" w:rsidRPr="00FB56FE" w:rsidRDefault="00570061" w:rsidP="00FB56FE">
            <w:pPr>
              <w:rPr>
                <w:kern w:val="2"/>
                <w:sz w:val="20"/>
                <w:szCs w:val="20"/>
              </w:rPr>
            </w:pPr>
            <w:r w:rsidRPr="00FB56FE">
              <w:rPr>
                <w:kern w:val="2"/>
                <w:sz w:val="20"/>
                <w:szCs w:val="20"/>
              </w:rPr>
              <w:t>7972</w:t>
            </w:r>
          </w:p>
        </w:tc>
        <w:tc>
          <w:tcPr>
            <w:tcW w:w="380" w:type="pct"/>
          </w:tcPr>
          <w:p w14:paraId="06FBCE6A" w14:textId="77777777" w:rsidR="00570061" w:rsidRPr="00FB56FE" w:rsidRDefault="00570061" w:rsidP="00FB56FE">
            <w:pPr>
              <w:rPr>
                <w:kern w:val="2"/>
                <w:sz w:val="20"/>
                <w:szCs w:val="20"/>
              </w:rPr>
            </w:pPr>
            <w:r w:rsidRPr="00FB56FE">
              <w:rPr>
                <w:kern w:val="2"/>
                <w:sz w:val="20"/>
                <w:szCs w:val="20"/>
              </w:rPr>
              <w:t>0.9</w:t>
            </w:r>
          </w:p>
        </w:tc>
        <w:tc>
          <w:tcPr>
            <w:tcW w:w="380" w:type="pct"/>
          </w:tcPr>
          <w:p w14:paraId="052A7C52" w14:textId="77777777" w:rsidR="00570061" w:rsidRPr="00FB56FE" w:rsidRDefault="00570061" w:rsidP="00FB56FE">
            <w:pPr>
              <w:rPr>
                <w:kern w:val="2"/>
                <w:sz w:val="20"/>
                <w:szCs w:val="20"/>
              </w:rPr>
            </w:pPr>
            <w:r w:rsidRPr="00FB56FE">
              <w:rPr>
                <w:kern w:val="2"/>
                <w:sz w:val="20"/>
                <w:szCs w:val="20"/>
              </w:rPr>
              <w:t>1.7</w:t>
            </w:r>
          </w:p>
        </w:tc>
      </w:tr>
      <w:tr w:rsidR="00570061" w:rsidRPr="00FB56FE" w14:paraId="4FC621F0" w14:textId="77777777" w:rsidTr="00070A4E">
        <w:trPr>
          <w:trHeight w:val="227"/>
        </w:trPr>
        <w:tc>
          <w:tcPr>
            <w:tcW w:w="593" w:type="pct"/>
            <w:vMerge/>
          </w:tcPr>
          <w:p w14:paraId="1AD68DE6" w14:textId="77777777" w:rsidR="00570061" w:rsidRPr="00FB56FE" w:rsidRDefault="00570061" w:rsidP="00FB56FE">
            <w:pPr>
              <w:rPr>
                <w:kern w:val="2"/>
                <w:sz w:val="20"/>
                <w:szCs w:val="20"/>
              </w:rPr>
            </w:pPr>
          </w:p>
        </w:tc>
        <w:tc>
          <w:tcPr>
            <w:tcW w:w="759" w:type="pct"/>
            <w:vMerge/>
          </w:tcPr>
          <w:p w14:paraId="340E83BA" w14:textId="77777777" w:rsidR="00570061" w:rsidRPr="00FB56FE" w:rsidRDefault="00570061" w:rsidP="00FB56FE">
            <w:pPr>
              <w:rPr>
                <w:kern w:val="2"/>
                <w:sz w:val="20"/>
                <w:szCs w:val="20"/>
              </w:rPr>
            </w:pPr>
          </w:p>
        </w:tc>
        <w:tc>
          <w:tcPr>
            <w:tcW w:w="530" w:type="pct"/>
            <w:vMerge/>
          </w:tcPr>
          <w:p w14:paraId="2BE041E0" w14:textId="77777777" w:rsidR="00570061" w:rsidRPr="00FB56FE" w:rsidRDefault="00570061" w:rsidP="00FB56FE">
            <w:pPr>
              <w:rPr>
                <w:kern w:val="2"/>
                <w:sz w:val="20"/>
                <w:szCs w:val="20"/>
              </w:rPr>
            </w:pPr>
          </w:p>
        </w:tc>
        <w:tc>
          <w:tcPr>
            <w:tcW w:w="533" w:type="pct"/>
            <w:vMerge/>
          </w:tcPr>
          <w:p w14:paraId="554BF6E8" w14:textId="77777777" w:rsidR="00570061" w:rsidRPr="00FB56FE" w:rsidRDefault="00570061" w:rsidP="00FB56FE">
            <w:pPr>
              <w:rPr>
                <w:kern w:val="2"/>
                <w:sz w:val="20"/>
                <w:szCs w:val="20"/>
              </w:rPr>
            </w:pPr>
          </w:p>
        </w:tc>
        <w:tc>
          <w:tcPr>
            <w:tcW w:w="608" w:type="pct"/>
          </w:tcPr>
          <w:p w14:paraId="5E4BF586" w14:textId="77777777" w:rsidR="00570061" w:rsidRPr="00FB56FE" w:rsidRDefault="00570061" w:rsidP="00FB56FE">
            <w:pPr>
              <w:rPr>
                <w:kern w:val="2"/>
                <w:sz w:val="20"/>
                <w:szCs w:val="20"/>
              </w:rPr>
            </w:pPr>
            <w:r w:rsidRPr="00FB56FE">
              <w:rPr>
                <w:kern w:val="2"/>
                <w:sz w:val="20"/>
                <w:szCs w:val="20"/>
              </w:rPr>
              <w:t>25</w:t>
            </w:r>
          </w:p>
        </w:tc>
        <w:tc>
          <w:tcPr>
            <w:tcW w:w="608" w:type="pct"/>
          </w:tcPr>
          <w:p w14:paraId="23170E51" w14:textId="77777777" w:rsidR="00570061" w:rsidRPr="00FB56FE" w:rsidRDefault="00570061" w:rsidP="00FB56FE">
            <w:pPr>
              <w:rPr>
                <w:kern w:val="2"/>
                <w:sz w:val="20"/>
                <w:szCs w:val="20"/>
              </w:rPr>
            </w:pPr>
            <w:r w:rsidRPr="00FB56FE">
              <w:rPr>
                <w:kern w:val="2"/>
                <w:sz w:val="20"/>
                <w:szCs w:val="20"/>
              </w:rPr>
              <w:t>5%</w:t>
            </w:r>
          </w:p>
        </w:tc>
        <w:tc>
          <w:tcPr>
            <w:tcW w:w="608" w:type="pct"/>
          </w:tcPr>
          <w:p w14:paraId="468CFDD6" w14:textId="77777777" w:rsidR="00570061" w:rsidRPr="00FB56FE" w:rsidRDefault="00570061" w:rsidP="00FB56FE">
            <w:pPr>
              <w:rPr>
                <w:kern w:val="2"/>
                <w:sz w:val="20"/>
                <w:szCs w:val="20"/>
              </w:rPr>
            </w:pPr>
            <w:r w:rsidRPr="00FB56FE">
              <w:rPr>
                <w:kern w:val="2"/>
                <w:sz w:val="20"/>
                <w:szCs w:val="20"/>
              </w:rPr>
              <w:t>14255</w:t>
            </w:r>
          </w:p>
        </w:tc>
        <w:tc>
          <w:tcPr>
            <w:tcW w:w="380" w:type="pct"/>
          </w:tcPr>
          <w:p w14:paraId="29F2CE5D" w14:textId="77777777" w:rsidR="00570061" w:rsidRPr="00FB56FE" w:rsidRDefault="00570061" w:rsidP="00FB56FE">
            <w:pPr>
              <w:rPr>
                <w:kern w:val="2"/>
                <w:sz w:val="20"/>
                <w:szCs w:val="20"/>
              </w:rPr>
            </w:pPr>
            <w:r w:rsidRPr="00FB56FE">
              <w:rPr>
                <w:kern w:val="2"/>
                <w:sz w:val="20"/>
                <w:szCs w:val="20"/>
              </w:rPr>
              <w:t>1.6</w:t>
            </w:r>
          </w:p>
        </w:tc>
        <w:tc>
          <w:tcPr>
            <w:tcW w:w="380" w:type="pct"/>
          </w:tcPr>
          <w:p w14:paraId="62E39488" w14:textId="77777777" w:rsidR="00570061" w:rsidRPr="00FB56FE" w:rsidRDefault="00570061" w:rsidP="00FB56FE">
            <w:pPr>
              <w:rPr>
                <w:kern w:val="2"/>
                <w:sz w:val="20"/>
                <w:szCs w:val="20"/>
              </w:rPr>
            </w:pPr>
            <w:r w:rsidRPr="00FB56FE">
              <w:rPr>
                <w:kern w:val="2"/>
                <w:sz w:val="20"/>
                <w:szCs w:val="20"/>
              </w:rPr>
              <w:t>3.1</w:t>
            </w:r>
          </w:p>
        </w:tc>
      </w:tr>
      <w:tr w:rsidR="00570061" w:rsidRPr="00FB56FE" w14:paraId="0267C286" w14:textId="77777777" w:rsidTr="00070A4E">
        <w:trPr>
          <w:trHeight w:val="227"/>
        </w:trPr>
        <w:tc>
          <w:tcPr>
            <w:tcW w:w="593" w:type="pct"/>
            <w:vMerge/>
          </w:tcPr>
          <w:p w14:paraId="7F10C9AD" w14:textId="77777777" w:rsidR="00570061" w:rsidRPr="00FB56FE" w:rsidRDefault="00570061" w:rsidP="00FB56FE">
            <w:pPr>
              <w:rPr>
                <w:kern w:val="2"/>
                <w:sz w:val="20"/>
                <w:szCs w:val="20"/>
              </w:rPr>
            </w:pPr>
          </w:p>
        </w:tc>
        <w:tc>
          <w:tcPr>
            <w:tcW w:w="759" w:type="pct"/>
            <w:vMerge/>
          </w:tcPr>
          <w:p w14:paraId="4215FBB7" w14:textId="77777777" w:rsidR="00570061" w:rsidRPr="00FB56FE" w:rsidRDefault="00570061" w:rsidP="00FB56FE">
            <w:pPr>
              <w:rPr>
                <w:kern w:val="2"/>
                <w:sz w:val="20"/>
                <w:szCs w:val="20"/>
              </w:rPr>
            </w:pPr>
          </w:p>
        </w:tc>
        <w:tc>
          <w:tcPr>
            <w:tcW w:w="530" w:type="pct"/>
            <w:vMerge/>
          </w:tcPr>
          <w:p w14:paraId="60667DB6" w14:textId="77777777" w:rsidR="00570061" w:rsidRPr="00FB56FE" w:rsidRDefault="00570061" w:rsidP="00FB56FE">
            <w:pPr>
              <w:rPr>
                <w:kern w:val="2"/>
                <w:sz w:val="20"/>
                <w:szCs w:val="20"/>
              </w:rPr>
            </w:pPr>
          </w:p>
        </w:tc>
        <w:tc>
          <w:tcPr>
            <w:tcW w:w="533" w:type="pct"/>
            <w:vMerge/>
          </w:tcPr>
          <w:p w14:paraId="56F18DFA" w14:textId="77777777" w:rsidR="00570061" w:rsidRPr="00FB56FE" w:rsidRDefault="00570061" w:rsidP="00FB56FE">
            <w:pPr>
              <w:rPr>
                <w:kern w:val="2"/>
                <w:sz w:val="20"/>
                <w:szCs w:val="20"/>
              </w:rPr>
            </w:pPr>
          </w:p>
        </w:tc>
        <w:tc>
          <w:tcPr>
            <w:tcW w:w="608" w:type="pct"/>
          </w:tcPr>
          <w:p w14:paraId="0BE08804" w14:textId="77777777" w:rsidR="00570061" w:rsidRPr="00FB56FE" w:rsidRDefault="00570061" w:rsidP="00FB56FE">
            <w:pPr>
              <w:rPr>
                <w:kern w:val="2"/>
                <w:sz w:val="20"/>
                <w:szCs w:val="20"/>
              </w:rPr>
            </w:pPr>
            <w:r w:rsidRPr="00FB56FE">
              <w:rPr>
                <w:kern w:val="2"/>
                <w:sz w:val="20"/>
                <w:szCs w:val="20"/>
              </w:rPr>
              <w:t>50</w:t>
            </w:r>
          </w:p>
        </w:tc>
        <w:tc>
          <w:tcPr>
            <w:tcW w:w="608" w:type="pct"/>
          </w:tcPr>
          <w:p w14:paraId="3FCEACE9" w14:textId="77777777" w:rsidR="00570061" w:rsidRPr="00FB56FE" w:rsidRDefault="00570061" w:rsidP="00FB56FE">
            <w:pPr>
              <w:rPr>
                <w:kern w:val="2"/>
                <w:sz w:val="20"/>
                <w:szCs w:val="20"/>
              </w:rPr>
            </w:pPr>
            <w:r w:rsidRPr="00FB56FE">
              <w:rPr>
                <w:kern w:val="2"/>
                <w:sz w:val="20"/>
                <w:szCs w:val="20"/>
              </w:rPr>
              <w:t>10%</w:t>
            </w:r>
          </w:p>
        </w:tc>
        <w:tc>
          <w:tcPr>
            <w:tcW w:w="608" w:type="pct"/>
          </w:tcPr>
          <w:p w14:paraId="76CC4DF8" w14:textId="77777777" w:rsidR="00570061" w:rsidRPr="00FB56FE" w:rsidRDefault="00570061" w:rsidP="00FB56FE">
            <w:pPr>
              <w:rPr>
                <w:kern w:val="2"/>
                <w:sz w:val="20"/>
                <w:szCs w:val="20"/>
              </w:rPr>
            </w:pPr>
            <w:r w:rsidRPr="00FB56FE">
              <w:rPr>
                <w:kern w:val="2"/>
                <w:sz w:val="20"/>
                <w:szCs w:val="20"/>
              </w:rPr>
              <w:t>25521</w:t>
            </w:r>
          </w:p>
        </w:tc>
        <w:tc>
          <w:tcPr>
            <w:tcW w:w="380" w:type="pct"/>
          </w:tcPr>
          <w:p w14:paraId="16D80F71" w14:textId="77777777" w:rsidR="00570061" w:rsidRPr="00FB56FE" w:rsidRDefault="00570061" w:rsidP="00FB56FE">
            <w:pPr>
              <w:rPr>
                <w:kern w:val="2"/>
                <w:sz w:val="20"/>
                <w:szCs w:val="20"/>
              </w:rPr>
            </w:pPr>
            <w:r w:rsidRPr="00FB56FE">
              <w:rPr>
                <w:kern w:val="2"/>
                <w:sz w:val="20"/>
                <w:szCs w:val="20"/>
              </w:rPr>
              <w:t>2.8</w:t>
            </w:r>
          </w:p>
        </w:tc>
        <w:tc>
          <w:tcPr>
            <w:tcW w:w="380" w:type="pct"/>
          </w:tcPr>
          <w:p w14:paraId="79D52E8D" w14:textId="77777777" w:rsidR="00570061" w:rsidRPr="00FB56FE" w:rsidRDefault="00570061" w:rsidP="00FB56FE">
            <w:pPr>
              <w:rPr>
                <w:kern w:val="2"/>
                <w:sz w:val="20"/>
                <w:szCs w:val="20"/>
              </w:rPr>
            </w:pPr>
            <w:r w:rsidRPr="00FB56FE">
              <w:rPr>
                <w:kern w:val="2"/>
                <w:sz w:val="20"/>
                <w:szCs w:val="20"/>
              </w:rPr>
              <w:t>5.6</w:t>
            </w:r>
          </w:p>
        </w:tc>
      </w:tr>
      <w:tr w:rsidR="00570061" w:rsidRPr="00FB56FE" w14:paraId="683C4D15" w14:textId="77777777" w:rsidTr="00070A4E">
        <w:trPr>
          <w:trHeight w:val="227"/>
        </w:trPr>
        <w:tc>
          <w:tcPr>
            <w:tcW w:w="1352" w:type="pct"/>
            <w:gridSpan w:val="2"/>
          </w:tcPr>
          <w:p w14:paraId="7EE35C65" w14:textId="77777777" w:rsidR="00070A4E" w:rsidRPr="00FB56FE" w:rsidRDefault="00570061" w:rsidP="00FB56FE">
            <w:pPr>
              <w:rPr>
                <w:kern w:val="2"/>
                <w:sz w:val="20"/>
                <w:szCs w:val="20"/>
              </w:rPr>
            </w:pPr>
            <w:r w:rsidRPr="00FB56FE">
              <w:rPr>
                <w:kern w:val="2"/>
                <w:sz w:val="20"/>
                <w:szCs w:val="20"/>
              </w:rPr>
              <w:t xml:space="preserve">Human — maximum recommended clinical dose </w:t>
            </w:r>
          </w:p>
          <w:p w14:paraId="619E465A" w14:textId="735C87EC" w:rsidR="00570061" w:rsidRPr="00FB56FE" w:rsidRDefault="00570061" w:rsidP="00FB56FE">
            <w:pPr>
              <w:rPr>
                <w:kern w:val="2"/>
                <w:sz w:val="20"/>
                <w:szCs w:val="20"/>
              </w:rPr>
            </w:pPr>
            <w:r w:rsidRPr="00FB56FE">
              <w:rPr>
                <w:kern w:val="2"/>
                <w:sz w:val="20"/>
                <w:szCs w:val="20"/>
              </w:rPr>
              <w:t>(Study ATX-101-12-32)</w:t>
            </w:r>
          </w:p>
        </w:tc>
        <w:tc>
          <w:tcPr>
            <w:tcW w:w="1063" w:type="pct"/>
            <w:gridSpan w:val="2"/>
          </w:tcPr>
          <w:p w14:paraId="0FFDC2F7" w14:textId="77777777" w:rsidR="00570061" w:rsidRPr="00FB56FE" w:rsidRDefault="00570061" w:rsidP="00FB56FE">
            <w:pPr>
              <w:rPr>
                <w:kern w:val="2"/>
                <w:sz w:val="20"/>
                <w:szCs w:val="20"/>
              </w:rPr>
            </w:pPr>
            <w:r w:rsidRPr="00FB56FE">
              <w:rPr>
                <w:kern w:val="2"/>
                <w:sz w:val="20"/>
                <w:szCs w:val="20"/>
              </w:rPr>
              <w:t>once monthly</w:t>
            </w:r>
          </w:p>
        </w:tc>
        <w:tc>
          <w:tcPr>
            <w:tcW w:w="608" w:type="pct"/>
          </w:tcPr>
          <w:p w14:paraId="152D472A" w14:textId="77777777" w:rsidR="00570061" w:rsidRPr="00FB56FE" w:rsidRDefault="00570061" w:rsidP="00FB56FE">
            <w:pPr>
              <w:rPr>
                <w:kern w:val="2"/>
                <w:sz w:val="20"/>
                <w:szCs w:val="20"/>
              </w:rPr>
            </w:pPr>
            <w:r w:rsidRPr="00FB56FE">
              <w:rPr>
                <w:kern w:val="2"/>
                <w:sz w:val="20"/>
                <w:szCs w:val="20"/>
              </w:rPr>
              <w:t>(100 mg)</w:t>
            </w:r>
          </w:p>
        </w:tc>
        <w:tc>
          <w:tcPr>
            <w:tcW w:w="608" w:type="pct"/>
          </w:tcPr>
          <w:p w14:paraId="050FCA0A" w14:textId="77777777" w:rsidR="00570061" w:rsidRPr="00FB56FE" w:rsidRDefault="00570061" w:rsidP="00FB56FE">
            <w:pPr>
              <w:rPr>
                <w:kern w:val="2"/>
                <w:sz w:val="20"/>
                <w:szCs w:val="20"/>
              </w:rPr>
            </w:pPr>
            <w:r w:rsidRPr="00FB56FE">
              <w:rPr>
                <w:kern w:val="2"/>
                <w:sz w:val="20"/>
                <w:szCs w:val="20"/>
              </w:rPr>
              <w:t>1%</w:t>
            </w:r>
          </w:p>
        </w:tc>
        <w:tc>
          <w:tcPr>
            <w:tcW w:w="608" w:type="pct"/>
          </w:tcPr>
          <w:p w14:paraId="49C68273" w14:textId="77777777" w:rsidR="00570061" w:rsidRPr="00FB56FE" w:rsidRDefault="00570061" w:rsidP="00FB56FE">
            <w:pPr>
              <w:rPr>
                <w:kern w:val="2"/>
                <w:sz w:val="20"/>
                <w:szCs w:val="20"/>
              </w:rPr>
            </w:pPr>
            <w:r w:rsidRPr="00FB56FE">
              <w:rPr>
                <w:kern w:val="2"/>
                <w:sz w:val="20"/>
                <w:szCs w:val="20"/>
              </w:rPr>
              <w:t>9159</w:t>
            </w:r>
          </w:p>
        </w:tc>
        <w:tc>
          <w:tcPr>
            <w:tcW w:w="760" w:type="pct"/>
            <w:gridSpan w:val="2"/>
          </w:tcPr>
          <w:p w14:paraId="5F87650B" w14:textId="77777777" w:rsidR="00570061" w:rsidRPr="00FB56FE" w:rsidRDefault="00570061" w:rsidP="00FB56FE">
            <w:pPr>
              <w:rPr>
                <w:kern w:val="2"/>
                <w:sz w:val="20"/>
                <w:szCs w:val="20"/>
              </w:rPr>
            </w:pPr>
            <w:r w:rsidRPr="00FB56FE">
              <w:rPr>
                <w:kern w:val="2"/>
                <w:sz w:val="20"/>
                <w:szCs w:val="20"/>
              </w:rPr>
              <w:t>–</w:t>
            </w:r>
          </w:p>
        </w:tc>
      </w:tr>
    </w:tbl>
    <w:p w14:paraId="200B6527" w14:textId="70343F30" w:rsidR="00E837BA" w:rsidRPr="00FB56FE" w:rsidRDefault="00E837BA" w:rsidP="00FB56FE">
      <w:pPr>
        <w:pStyle w:val="TableDescription"/>
      </w:pPr>
      <w:r w:rsidRPr="00FB56FE">
        <w:t>M=month</w:t>
      </w:r>
    </w:p>
    <w:p w14:paraId="04638F99" w14:textId="596BFD8D" w:rsidR="00375819" w:rsidRPr="00FB56FE" w:rsidRDefault="00262721" w:rsidP="00FB56FE">
      <w:pPr>
        <w:pStyle w:val="TableDescription"/>
      </w:pPr>
      <w:r w:rsidRPr="00FB56FE">
        <w:t xml:space="preserve">(1) </w:t>
      </w:r>
      <w:r w:rsidR="00375819" w:rsidRPr="00FB56FE">
        <w:t xml:space="preserve">AUC0-last </w:t>
      </w:r>
      <w:r w:rsidRPr="00FB56FE">
        <w:t xml:space="preserve">= </w:t>
      </w:r>
      <w:r w:rsidR="00375819" w:rsidRPr="00FB56FE">
        <w:t>Area under the plasma drug concentration-time curve up to last measurable drug concentration</w:t>
      </w:r>
    </w:p>
    <w:p w14:paraId="766058DE" w14:textId="2D13BAC4" w:rsidR="004569E3" w:rsidRPr="00FB56FE" w:rsidRDefault="00262721" w:rsidP="00FB56FE">
      <w:pPr>
        <w:pStyle w:val="TableDescription"/>
      </w:pPr>
      <w:r w:rsidRPr="00FB56FE">
        <w:t xml:space="preserve">(2) </w:t>
      </w:r>
      <w:proofErr w:type="spellStart"/>
      <w:r w:rsidRPr="00FB56FE">
        <w:t>A</w:t>
      </w:r>
      <w:r w:rsidR="00E736DD" w:rsidRPr="00FB56FE">
        <w:t>nimal:human</w:t>
      </w:r>
      <w:proofErr w:type="spellEnd"/>
      <w:r w:rsidR="00E736DD" w:rsidRPr="00FB56FE">
        <w:t xml:space="preserve"> plasma AUC0–last and </w:t>
      </w:r>
      <w:proofErr w:type="spellStart"/>
      <w:r w:rsidR="00E736DD" w:rsidRPr="00FB56FE">
        <w:t>animal:human</w:t>
      </w:r>
      <w:proofErr w:type="spellEnd"/>
      <w:r w:rsidR="00E736DD" w:rsidRPr="00FB56FE">
        <w:t xml:space="preserve"> plasma AUC0–last </w:t>
      </w:r>
      <w:r w:rsidRPr="00FB56FE">
        <w:t>x</w:t>
      </w:r>
      <w:r w:rsidR="00E736DD" w:rsidRPr="00FB56FE">
        <w:t xml:space="preserve"> </w:t>
      </w:r>
      <w:proofErr w:type="spellStart"/>
      <w:r w:rsidR="00E736DD" w:rsidRPr="00FB56FE">
        <w:t>animal:human</w:t>
      </w:r>
      <w:proofErr w:type="spellEnd"/>
      <w:r w:rsidR="00E736DD" w:rsidRPr="00FB56FE">
        <w:t xml:space="preserve"> treatment frequency</w:t>
      </w:r>
      <w:r w:rsidRPr="00FB56FE">
        <w:t xml:space="preserve">; </w:t>
      </w:r>
      <w:r w:rsidR="00E736DD" w:rsidRPr="00FB56FE">
        <w:t>animal AUC values are for the sexes combined, obtained on the last sampling day; the human AUC value is the overall mean, combining data for formulations with a</w:t>
      </w:r>
      <w:r w:rsidRPr="00FB56FE">
        <w:t>nd without 0.9% BA (</w:t>
      </w:r>
      <w:r w:rsidR="00E736DD" w:rsidRPr="00FB56FE">
        <w:t xml:space="preserve">note: </w:t>
      </w:r>
      <w:r w:rsidRPr="00FB56FE">
        <w:t xml:space="preserve">these are </w:t>
      </w:r>
      <w:r w:rsidR="00E736DD" w:rsidRPr="00FB56FE">
        <w:t>updated values for</w:t>
      </w:r>
      <w:r w:rsidRPr="00FB56FE">
        <w:t xml:space="preserve"> Round 2)</w:t>
      </w:r>
    </w:p>
    <w:p w14:paraId="3EEDFFA4" w14:textId="77777777" w:rsidR="00E736DD" w:rsidRPr="00E736DD" w:rsidRDefault="00E736DD" w:rsidP="00E736DD">
      <w:pPr>
        <w:pStyle w:val="Heading5"/>
      </w:pPr>
      <w:r w:rsidRPr="00E736DD">
        <w:t>Major toxicities</w:t>
      </w:r>
    </w:p>
    <w:p w14:paraId="4B74FF09" w14:textId="76F1DABE" w:rsidR="00E736DD" w:rsidRPr="00E736DD" w:rsidRDefault="00E736DD" w:rsidP="00E736DD">
      <w:r w:rsidRPr="00E736DD">
        <w:t>Systemically, treatment was well tolerated with no mortalities, effects on body weight or target organ effects evident. Notable systemic microscopic findings were limited to a glomerular lipid embolus in the kidney of one</w:t>
      </w:r>
      <w:r>
        <w:t xml:space="preserve"> dog (out of six) treated at 50 </w:t>
      </w:r>
      <w:r w:rsidRPr="00E736DD">
        <w:t>mg/kg twice monthly in the pivotal 9</w:t>
      </w:r>
      <w:r w:rsidR="00181498">
        <w:t xml:space="preserve"> </w:t>
      </w:r>
      <w:r w:rsidRPr="00E736DD">
        <w:t xml:space="preserve">month study. An association with treatment is not definitive given the isolated nature of the finding, but it is consistent with the pharmacological action of the drug. This occurred with administration of a strength of </w:t>
      </w:r>
      <w:proofErr w:type="spellStart"/>
      <w:r w:rsidRPr="00E736DD">
        <w:t>deoxycholic</w:t>
      </w:r>
      <w:proofErr w:type="spellEnd"/>
      <w:r w:rsidRPr="00E736DD">
        <w:t xml:space="preserve"> acid 10 times greater (10% </w:t>
      </w:r>
      <w:r>
        <w:t>compared with</w:t>
      </w:r>
      <w:r w:rsidRPr="00E736DD">
        <w:t xml:space="preserve"> 1%), given more frequently (twice </w:t>
      </w:r>
      <w:r>
        <w:t>compared with</w:t>
      </w:r>
      <w:r w:rsidRPr="00E736DD">
        <w:t xml:space="preserve"> once monthly), and more times (twenty </w:t>
      </w:r>
      <w:r>
        <w:t>compared with</w:t>
      </w:r>
      <w:r w:rsidRPr="00E736DD">
        <w:t xml:space="preserve">. six apparently) than applicable to clinical use of </w:t>
      </w:r>
      <w:proofErr w:type="spellStart"/>
      <w:r w:rsidRPr="00E736DD">
        <w:t>Belkyra</w:t>
      </w:r>
      <w:proofErr w:type="spellEnd"/>
      <w:r w:rsidRPr="00E736DD">
        <w:t>. Accordingly, clinical relevance appears to be low.</w:t>
      </w:r>
    </w:p>
    <w:p w14:paraId="6268C88B" w14:textId="376B15AA" w:rsidR="00E736DD" w:rsidRPr="00E736DD" w:rsidRDefault="00E736DD" w:rsidP="00E736DD">
      <w:r w:rsidRPr="00E736DD">
        <w:lastRenderedPageBreak/>
        <w:t xml:space="preserve">Injection site reactions were seen across all studies, with their severity dose-dependent (ranging up to marked). </w:t>
      </w:r>
      <w:r w:rsidR="00E5263E">
        <w:t>The</w:t>
      </w:r>
      <w:r w:rsidRPr="00E736DD">
        <w:t xml:space="preserve"> </w:t>
      </w:r>
      <w:r w:rsidR="002815E4">
        <w:t>no</w:t>
      </w:r>
      <w:r w:rsidR="002815E4">
        <w:noBreakHyphen/>
        <w:t>observable effect level</w:t>
      </w:r>
      <w:r w:rsidRPr="00E736DD">
        <w:t xml:space="preserve"> </w:t>
      </w:r>
      <w:r w:rsidR="00181498">
        <w:t xml:space="preserve">(NOEL) </w:t>
      </w:r>
      <w:r w:rsidRPr="00E736DD">
        <w:t>was</w:t>
      </w:r>
      <w:r w:rsidR="00E5263E">
        <w:t xml:space="preserve"> unable to be</w:t>
      </w:r>
      <w:r w:rsidRPr="00E736DD">
        <w:t xml:space="preserve"> established for the local effects. Findings included signs of pain on injection, erythema, oedema, eschar, scabbing, </w:t>
      </w:r>
      <w:r w:rsidR="008B7C4D">
        <w:t>SC</w:t>
      </w:r>
      <w:r w:rsidRPr="00E736DD">
        <w:t xml:space="preserve"> gelatinous substance (necrotic-lysed fat), epithelial hyperplasia, acute and chronic inflammation, haemorrhage, fibrosis/fibroplasia, ulceration and necrosis (including to muscle). </w:t>
      </w:r>
      <w:r w:rsidR="00404977">
        <w:t>An i</w:t>
      </w:r>
      <w:r w:rsidRPr="00E736DD">
        <w:t>ncrease</w:t>
      </w:r>
      <w:r w:rsidR="00404977">
        <w:t xml:space="preserve"> in the</w:t>
      </w:r>
      <w:r w:rsidRPr="00E736DD">
        <w:t xml:space="preserve"> </w:t>
      </w:r>
      <w:r w:rsidR="00181498">
        <w:t xml:space="preserve">numbers of </w:t>
      </w:r>
      <w:r w:rsidRPr="00E736DD">
        <w:t>segmented neutrophils in treated animals w</w:t>
      </w:r>
      <w:r w:rsidR="00404977">
        <w:t>as</w:t>
      </w:r>
      <w:r w:rsidRPr="00E736DD">
        <w:t xml:space="preserve"> a common</w:t>
      </w:r>
      <w:r w:rsidR="002815E4">
        <w:t xml:space="preserve"> haematological finding</w:t>
      </w:r>
      <w:r w:rsidRPr="00E736DD">
        <w:t xml:space="preserve"> and is consistent with the local inflammatory response. There was evidence of normal wound repair and healing in post-dose and post-treatment phases (including in dedicated recovery phases of </w:t>
      </w:r>
      <w:r w:rsidR="002815E4">
        <w:t>4 to </w:t>
      </w:r>
      <w:r w:rsidR="003C1154">
        <w:t>6 week</w:t>
      </w:r>
      <w:r w:rsidRPr="00E736DD">
        <w:t xml:space="preserve"> duration). Local reactions can be expected with clinical use, but with lesser overall severity</w:t>
      </w:r>
      <w:r w:rsidR="002815E4">
        <w:t xml:space="preserve"> or </w:t>
      </w:r>
      <w:r w:rsidRPr="00E736DD">
        <w:t xml:space="preserve">incidence than those seen in animals given the use of higher strengths, doses </w:t>
      </w:r>
      <w:r w:rsidR="002815E4">
        <w:t>and</w:t>
      </w:r>
      <w:r w:rsidRPr="00E736DD">
        <w:t xml:space="preserve"> more frequent administration </w:t>
      </w:r>
      <w:r w:rsidR="002815E4">
        <w:t>in animal studies</w:t>
      </w:r>
      <w:r w:rsidRPr="00E736DD">
        <w:t>.</w:t>
      </w:r>
    </w:p>
    <w:p w14:paraId="68E27940" w14:textId="5D540FDD" w:rsidR="00E736DD" w:rsidRPr="00E736DD" w:rsidRDefault="00E736DD" w:rsidP="00E736DD">
      <w:r w:rsidRPr="00E736DD">
        <w:t xml:space="preserve">A comparable local toxicity profile was demonstrated for </w:t>
      </w:r>
      <w:proofErr w:type="spellStart"/>
      <w:r w:rsidRPr="00E736DD">
        <w:t>deoxycholic</w:t>
      </w:r>
      <w:proofErr w:type="spellEnd"/>
      <w:r w:rsidRPr="00E736DD">
        <w:t xml:space="preserve"> acid formulated with and wit</w:t>
      </w:r>
      <w:r w:rsidR="002815E4">
        <w:t>hout 0.9% </w:t>
      </w:r>
      <w:r w:rsidR="00BF0546">
        <w:t>BA</w:t>
      </w:r>
      <w:r w:rsidR="002815E4">
        <w:t xml:space="preserve"> in a 4</w:t>
      </w:r>
      <w:r w:rsidR="002815E4">
        <w:noBreakHyphen/>
      </w:r>
      <w:r w:rsidRPr="00E736DD">
        <w:t>week bridging study in rats.</w:t>
      </w:r>
    </w:p>
    <w:p w14:paraId="535276A6" w14:textId="77777777" w:rsidR="00E736DD" w:rsidRPr="00E736DD" w:rsidRDefault="00E736DD" w:rsidP="002815E4">
      <w:pPr>
        <w:pStyle w:val="Heading4"/>
      </w:pPr>
      <w:bookmarkStart w:id="58" w:name="_Toc294861729"/>
      <w:proofErr w:type="spellStart"/>
      <w:r w:rsidRPr="00E736DD">
        <w:t>Genotoxicity</w:t>
      </w:r>
      <w:bookmarkEnd w:id="58"/>
      <w:proofErr w:type="spellEnd"/>
    </w:p>
    <w:p w14:paraId="1D9E9573" w14:textId="77777777" w:rsidR="00E736DD" w:rsidRPr="000C3F35" w:rsidRDefault="00E736DD" w:rsidP="002815E4">
      <w:r w:rsidRPr="000C3F35">
        <w:t xml:space="preserve">The potential </w:t>
      </w:r>
      <w:proofErr w:type="spellStart"/>
      <w:r w:rsidRPr="000C3F35">
        <w:t>genotoxicity</w:t>
      </w:r>
      <w:proofErr w:type="spellEnd"/>
      <w:r w:rsidRPr="000C3F35">
        <w:t xml:space="preserve"> of </w:t>
      </w:r>
      <w:proofErr w:type="spellStart"/>
      <w:r w:rsidRPr="000C3F35">
        <w:t>deoxycholic</w:t>
      </w:r>
      <w:proofErr w:type="spellEnd"/>
      <w:r w:rsidRPr="000C3F35">
        <w:t xml:space="preserve"> acid was assessed using a standard Ames bacterial reverse mutation assay, an in vitro chromosomal aberration assay with human lymphocytes and an in vivo micronucleus test in rats. The conduct of studies was in accordance with the relevant ICH guideline </w:t>
      </w:r>
      <w:r w:rsidR="002815E4" w:rsidRPr="000C3F35">
        <w:t>(</w:t>
      </w:r>
      <w:r w:rsidRPr="000C3F35">
        <w:t xml:space="preserve">ICH S2 </w:t>
      </w:r>
      <w:r w:rsidR="002815E4" w:rsidRPr="000C3F35">
        <w:t>(R1))</w:t>
      </w:r>
      <w:r w:rsidRPr="000C3F35">
        <w:t xml:space="preserve"> with the compound tested to maximum recommended concentrations or to the limits of cytotoxicity in vitro, and close to the maximum tolerated dose in vivo.</w:t>
      </w:r>
      <w:r w:rsidR="002815E4" w:rsidRPr="000C3F35">
        <w:rPr>
          <w:rStyle w:val="FootnoteReference"/>
        </w:rPr>
        <w:footnoteReference w:id="2"/>
      </w:r>
      <w:r w:rsidRPr="000C3F35">
        <w:t xml:space="preserve"> All studies returned negative results for </w:t>
      </w:r>
      <w:proofErr w:type="spellStart"/>
      <w:r w:rsidRPr="000C3F35">
        <w:t>deoxycholic</w:t>
      </w:r>
      <w:proofErr w:type="spellEnd"/>
      <w:r w:rsidRPr="000C3F35">
        <w:t xml:space="preserve"> acid. As well, in </w:t>
      </w:r>
      <w:proofErr w:type="spellStart"/>
      <w:r w:rsidRPr="000C3F35">
        <w:t>silico</w:t>
      </w:r>
      <w:proofErr w:type="spellEnd"/>
      <w:r w:rsidRPr="000C3F35">
        <w:t xml:space="preserve"> analyses identified no structural alerts for mutagenicity.</w:t>
      </w:r>
    </w:p>
    <w:p w14:paraId="67D819C4" w14:textId="73330633" w:rsidR="00E736DD" w:rsidRPr="00E736DD" w:rsidRDefault="00E736DD" w:rsidP="00E736DD">
      <w:r w:rsidRPr="00450042">
        <w:t xml:space="preserve">A number of published literature reports have implicated secondary bile acids, including </w:t>
      </w:r>
      <w:proofErr w:type="spellStart"/>
      <w:r w:rsidRPr="00450042">
        <w:t>deoxycholic</w:t>
      </w:r>
      <w:proofErr w:type="spellEnd"/>
      <w:r w:rsidRPr="00450042">
        <w:t xml:space="preserve"> acid, in potential carcinogenesis through </w:t>
      </w:r>
      <w:proofErr w:type="spellStart"/>
      <w:r w:rsidRPr="00450042">
        <w:t>genotoxic</w:t>
      </w:r>
      <w:proofErr w:type="spellEnd"/>
      <w:r w:rsidRPr="00450042">
        <w:t xml:space="preserve"> mechanisms.</w:t>
      </w:r>
      <w:r w:rsidR="002815E4" w:rsidRPr="00450042">
        <w:rPr>
          <w:rStyle w:val="FootnoteReference"/>
        </w:rPr>
        <w:footnoteReference w:id="3"/>
      </w:r>
      <w:r w:rsidRPr="00450042">
        <w:t xml:space="preserve"> For example, dose-dependent </w:t>
      </w:r>
      <w:r w:rsidR="00181498">
        <w:t>d</w:t>
      </w:r>
      <w:r w:rsidR="00181498" w:rsidRPr="00181498">
        <w:t xml:space="preserve">eoxyribonucleic acid </w:t>
      </w:r>
      <w:r w:rsidR="00181498">
        <w:t>(</w:t>
      </w:r>
      <w:r w:rsidRPr="00450042">
        <w:t>DNA</w:t>
      </w:r>
      <w:r w:rsidR="00181498">
        <w:t>)</w:t>
      </w:r>
      <w:r w:rsidRPr="00450042">
        <w:t xml:space="preserve"> damage was reported in human oesophageal cell lines (HET1-A and FLO</w:t>
      </w:r>
      <w:r w:rsidRPr="00450042">
        <w:noBreakHyphen/>
        <w:t xml:space="preserve">1) exposed to sodium </w:t>
      </w:r>
      <w:proofErr w:type="spellStart"/>
      <w:r w:rsidRPr="00450042">
        <w:t>deoxycholate</w:t>
      </w:r>
      <w:proofErr w:type="spellEnd"/>
      <w:r w:rsidRPr="00450042">
        <w:t xml:space="preserve"> (≥</w:t>
      </w:r>
      <w:r w:rsidR="00181498">
        <w:t xml:space="preserve"> </w:t>
      </w:r>
      <w:r w:rsidRPr="00450042">
        <w:t xml:space="preserve">10 </w:t>
      </w:r>
      <w:proofErr w:type="spellStart"/>
      <w:r w:rsidRPr="00450042">
        <w:t>μM</w:t>
      </w:r>
      <w:proofErr w:type="spellEnd"/>
      <w:r w:rsidRPr="00450042">
        <w:t>) under neutral (but not acidic) pH conditions.</w:t>
      </w:r>
      <w:r w:rsidR="002815E4" w:rsidRPr="00450042">
        <w:rPr>
          <w:rStyle w:val="FootnoteReference"/>
        </w:rPr>
        <w:footnoteReference w:id="4"/>
      </w:r>
      <w:r w:rsidRPr="00450042">
        <w:t xml:space="preserve"> DNA damage in human colonic carcinoma cell lines (HT-29 and HCT 116) exposed to </w:t>
      </w:r>
      <w:proofErr w:type="spellStart"/>
      <w:r w:rsidRPr="00450042">
        <w:t>deoxycholic</w:t>
      </w:r>
      <w:proofErr w:type="spellEnd"/>
      <w:r w:rsidRPr="00450042">
        <w:t xml:space="preserve"> acid (500 </w:t>
      </w:r>
      <w:proofErr w:type="spellStart"/>
      <w:r w:rsidRPr="00450042">
        <w:t>μM</w:t>
      </w:r>
      <w:proofErr w:type="spellEnd"/>
      <w:r w:rsidRPr="00450042">
        <w:t>)</w:t>
      </w:r>
      <w:r w:rsidR="00450042" w:rsidRPr="00450042">
        <w:t xml:space="preserve"> has been reported</w:t>
      </w:r>
      <w:r w:rsidRPr="00450042">
        <w:t xml:space="preserve">, but no effects on isolated DNA at concentrations up to 1000 </w:t>
      </w:r>
      <w:proofErr w:type="spellStart"/>
      <w:r w:rsidRPr="00450042">
        <w:t>μM</w:t>
      </w:r>
      <w:proofErr w:type="spellEnd"/>
      <w:r w:rsidRPr="00450042">
        <w:t>.</w:t>
      </w:r>
      <w:r w:rsidR="002815E4" w:rsidRPr="00450042">
        <w:rPr>
          <w:rStyle w:val="FootnoteReference"/>
        </w:rPr>
        <w:footnoteReference w:id="5"/>
      </w:r>
      <w:r w:rsidRPr="00450042">
        <w:t xml:space="preserve"> Micronuclei formation was reported in an oesophageal adenocarcinoma cell line (OE33) exposed to </w:t>
      </w:r>
      <w:proofErr w:type="spellStart"/>
      <w:r w:rsidRPr="00450042">
        <w:t>deoxycholic</w:t>
      </w:r>
      <w:proofErr w:type="spellEnd"/>
      <w:r w:rsidRPr="00450042">
        <w:t xml:space="preserve"> acid (50–200 </w:t>
      </w:r>
      <w:proofErr w:type="spellStart"/>
      <w:r w:rsidRPr="00450042">
        <w:t>μM</w:t>
      </w:r>
      <w:proofErr w:type="spellEnd"/>
      <w:r w:rsidRPr="00450042">
        <w:t>; pH 7.4), dependent on the induction of reactive oxyge</w:t>
      </w:r>
      <w:r w:rsidR="00450042" w:rsidRPr="00450042">
        <w:t>n species</w:t>
      </w:r>
      <w:r w:rsidRPr="00450042">
        <w:t>.</w:t>
      </w:r>
      <w:r w:rsidR="002815E4" w:rsidRPr="00450042">
        <w:rPr>
          <w:rStyle w:val="FootnoteReference"/>
        </w:rPr>
        <w:footnoteReference w:id="6"/>
      </w:r>
      <w:r w:rsidRPr="00450042">
        <w:t xml:space="preserve"> </w:t>
      </w:r>
      <w:proofErr w:type="spellStart"/>
      <w:r w:rsidRPr="00450042">
        <w:t>Clastogenic</w:t>
      </w:r>
      <w:proofErr w:type="spellEnd"/>
      <w:r w:rsidRPr="00450042">
        <w:t xml:space="preserve"> effects of </w:t>
      </w:r>
      <w:proofErr w:type="spellStart"/>
      <w:r w:rsidRPr="00450042">
        <w:t>deoxycholic</w:t>
      </w:r>
      <w:proofErr w:type="spellEnd"/>
      <w:r w:rsidRPr="00450042">
        <w:t xml:space="preserve"> acid have not been demonstrated under in vivo conditions. The reported effects appear to be related to cytotoxicity/oxidative stress and not direct damage to DNA. None of these published studies used methodologies consistent with normal regulatory standards. The sponsor’s own studies, together with consideration of the pattern of use of the product, are sufficient to allay concerns over relevant </w:t>
      </w:r>
      <w:proofErr w:type="spellStart"/>
      <w:r w:rsidRPr="00450042">
        <w:t>genotoxic</w:t>
      </w:r>
      <w:proofErr w:type="spellEnd"/>
      <w:r w:rsidRPr="00450042">
        <w:t xml:space="preserve"> harm.</w:t>
      </w:r>
    </w:p>
    <w:p w14:paraId="68616EDC" w14:textId="77777777" w:rsidR="00E736DD" w:rsidRPr="00E736DD" w:rsidRDefault="00E736DD" w:rsidP="002815E4">
      <w:pPr>
        <w:pStyle w:val="Heading4"/>
      </w:pPr>
      <w:bookmarkStart w:id="59" w:name="_Toc294861730"/>
      <w:r w:rsidRPr="00E736DD">
        <w:lastRenderedPageBreak/>
        <w:t>Carcinogenicity</w:t>
      </w:r>
      <w:bookmarkEnd w:id="59"/>
    </w:p>
    <w:p w14:paraId="7CE6D505" w14:textId="7F14356C" w:rsidR="00E736DD" w:rsidRPr="00E736DD" w:rsidRDefault="00E736DD" w:rsidP="00E736DD">
      <w:r w:rsidRPr="00E736DD">
        <w:t>No carcinogenicity studies were provided. This is acceptable under the relevant ICH guideline (ICH S1A) considering the pattern of clinical use (</w:t>
      </w:r>
      <w:r w:rsidR="002815E4">
        <w:t xml:space="preserve">namely </w:t>
      </w:r>
      <w:r w:rsidRPr="00E736DD">
        <w:t xml:space="preserve">the small number of dosing days) and </w:t>
      </w:r>
      <w:r w:rsidR="00181498">
        <w:t xml:space="preserve">the fact </w:t>
      </w:r>
      <w:r w:rsidRPr="00E736DD">
        <w:t xml:space="preserve">that findings in adequately conducted </w:t>
      </w:r>
      <w:proofErr w:type="spellStart"/>
      <w:r w:rsidRPr="00E736DD">
        <w:t>genotoxicity</w:t>
      </w:r>
      <w:proofErr w:type="spellEnd"/>
      <w:r w:rsidRPr="00E736DD">
        <w:t xml:space="preserve"> and repeat-dose toxicity studies raised no particular cause for concern.</w:t>
      </w:r>
      <w:r w:rsidR="002815E4">
        <w:rPr>
          <w:rStyle w:val="FootnoteReference"/>
        </w:rPr>
        <w:footnoteReference w:id="7"/>
      </w:r>
      <w:r w:rsidRPr="00E736DD">
        <w:t xml:space="preserve"> Epithelial hyperplasia observed in some studies is consistent with normal wound repair and is not considered to indicate a pre-neoplastic change. It is also noted that the dose of </w:t>
      </w:r>
      <w:proofErr w:type="spellStart"/>
      <w:r w:rsidRPr="00E736DD">
        <w:t>deoxycholic</w:t>
      </w:r>
      <w:proofErr w:type="spellEnd"/>
      <w:r w:rsidRPr="00E736DD">
        <w:t xml:space="preserve"> acid provided by </w:t>
      </w:r>
      <w:proofErr w:type="spellStart"/>
      <w:r w:rsidRPr="00E736DD">
        <w:t>Belkyra</w:t>
      </w:r>
      <w:proofErr w:type="spellEnd"/>
      <w:r w:rsidR="002815E4">
        <w:t xml:space="preserve"> treatment is small (approximately </w:t>
      </w:r>
      <w:r w:rsidRPr="00E736DD">
        <w:t>3%) compared to the size of the endogenou</w:t>
      </w:r>
      <w:r w:rsidR="002815E4">
        <w:t>s bile acid pool in humans (100 </w:t>
      </w:r>
      <w:r w:rsidRPr="00E736DD">
        <w:t xml:space="preserve">mg </w:t>
      </w:r>
      <w:r w:rsidR="002815E4">
        <w:t xml:space="preserve">compared with approximately </w:t>
      </w:r>
      <w:r w:rsidRPr="00E736DD">
        <w:t>3</w:t>
      </w:r>
      <w:r w:rsidR="002815E4">
        <w:t> g)</w:t>
      </w:r>
      <w:r w:rsidRPr="00E736DD">
        <w:t xml:space="preserve"> of which </w:t>
      </w:r>
      <w:proofErr w:type="spellStart"/>
      <w:r w:rsidRPr="00E736DD">
        <w:t>deoxycholic</w:t>
      </w:r>
      <w:proofErr w:type="spellEnd"/>
      <w:r w:rsidRPr="00E736DD">
        <w:t xml:space="preserve"> acid is a major component.</w:t>
      </w:r>
    </w:p>
    <w:p w14:paraId="3E871E9F" w14:textId="77777777" w:rsidR="00E736DD" w:rsidRPr="00E736DD" w:rsidRDefault="00E736DD" w:rsidP="002815E4">
      <w:pPr>
        <w:pStyle w:val="Heading4"/>
      </w:pPr>
      <w:r w:rsidRPr="00E736DD">
        <w:t>Reproductive toxicity</w:t>
      </w:r>
    </w:p>
    <w:p w14:paraId="60AE92B3" w14:textId="61CBC7B9" w:rsidR="00E736DD" w:rsidRPr="00E736DD" w:rsidRDefault="00E736DD" w:rsidP="00E736DD">
      <w:r w:rsidRPr="00E736DD">
        <w:t xml:space="preserve">Reproductive toxicity studies with </w:t>
      </w:r>
      <w:proofErr w:type="spellStart"/>
      <w:r w:rsidRPr="00E736DD">
        <w:t>deoxycholic</w:t>
      </w:r>
      <w:proofErr w:type="spellEnd"/>
      <w:r w:rsidRPr="00E736DD">
        <w:t xml:space="preserve"> acid covered all stages (fertility, early embryonic development, </w:t>
      </w:r>
      <w:proofErr w:type="spellStart"/>
      <w:r w:rsidRPr="00E736DD">
        <w:t>embryofetal</w:t>
      </w:r>
      <w:proofErr w:type="spellEnd"/>
      <w:r w:rsidRPr="00E736DD">
        <w:t xml:space="preserve"> development, and pre- and postnatal development). Number</w:t>
      </w:r>
      <w:r w:rsidR="00DE53D4">
        <w:t>s of animals were appropriate</w:t>
      </w:r>
      <w:r w:rsidRPr="00E736DD">
        <w:t xml:space="preserve"> but some deficiencies in the</w:t>
      </w:r>
      <w:r w:rsidR="00DE53D4">
        <w:t xml:space="preserve"> timing of treatment are noted as discussed </w:t>
      </w:r>
      <w:r w:rsidR="001A095A">
        <w:t>below</w:t>
      </w:r>
      <w:r w:rsidRPr="00E736DD">
        <w:t>.</w:t>
      </w:r>
    </w:p>
    <w:p w14:paraId="243ECE2C" w14:textId="3842508D" w:rsidR="00E736DD" w:rsidRPr="00E736DD" w:rsidRDefault="00E736DD" w:rsidP="00E736DD">
      <w:r w:rsidRPr="00E736DD">
        <w:t xml:space="preserve">Low multiples of the clinical AUC were obtained in the developmental studies in rats, while higher ratios were evident in rabbits (see </w:t>
      </w:r>
      <w:r w:rsidR="00181498">
        <w:t>T</w:t>
      </w:r>
      <w:r w:rsidR="00181498" w:rsidRPr="00E736DD">
        <w:t>able</w:t>
      </w:r>
      <w:r w:rsidR="00181498">
        <w:t xml:space="preserve"> 3</w:t>
      </w:r>
      <w:r w:rsidR="002C1C25">
        <w:t>, below</w:t>
      </w:r>
      <w:r w:rsidRPr="00E736DD">
        <w:t xml:space="preserve">). This difference reflected high endogenous circulating levels of </w:t>
      </w:r>
      <w:proofErr w:type="spellStart"/>
      <w:r w:rsidRPr="00E736DD">
        <w:t>d</w:t>
      </w:r>
      <w:r w:rsidR="00DE53D4">
        <w:t>eoxycholic</w:t>
      </w:r>
      <w:proofErr w:type="spellEnd"/>
      <w:r w:rsidR="00DE53D4">
        <w:t xml:space="preserve"> acid in the rabbit (approximately </w:t>
      </w:r>
      <w:r w:rsidRPr="00E736DD">
        <w:t xml:space="preserve">50 times higher than in the rat). Mean background plasma levels of </w:t>
      </w:r>
      <w:proofErr w:type="spellStart"/>
      <w:r w:rsidRPr="00E736DD">
        <w:t>deoxycholic</w:t>
      </w:r>
      <w:proofErr w:type="spellEnd"/>
      <w:r w:rsidRPr="00E736DD">
        <w:t xml:space="preserve"> acid in rabbits were more than 9 times higher than the clinical </w:t>
      </w:r>
      <w:proofErr w:type="spellStart"/>
      <w:r w:rsidRPr="00E736DD">
        <w:t>C</w:t>
      </w:r>
      <w:r w:rsidRPr="00DE53D4">
        <w:rPr>
          <w:vertAlign w:val="subscript"/>
        </w:rPr>
        <w:t>max</w:t>
      </w:r>
      <w:proofErr w:type="spellEnd"/>
      <w:r w:rsidRPr="00E736DD">
        <w:t xml:space="preserve"> at the maxim</w:t>
      </w:r>
      <w:r w:rsidR="00DE53D4">
        <w:t>um recommended human dose (9430 </w:t>
      </w:r>
      <w:r w:rsidRPr="00E736DD">
        <w:t xml:space="preserve">ng/mL </w:t>
      </w:r>
      <w:r w:rsidR="00DE53D4">
        <w:t>compared with</w:t>
      </w:r>
      <w:r w:rsidRPr="00E736DD">
        <w:t xml:space="preserve"> 1030</w:t>
      </w:r>
      <w:r w:rsidR="00DE53D4">
        <w:t> </w:t>
      </w:r>
      <w:r w:rsidRPr="00E736DD">
        <w:t>ng/mL).</w:t>
      </w:r>
    </w:p>
    <w:p w14:paraId="18782C1A" w14:textId="77777777" w:rsidR="00E736DD" w:rsidRPr="00E736DD" w:rsidRDefault="00E736DD" w:rsidP="00E736DD">
      <w:r w:rsidRPr="00E736DD">
        <w:t xml:space="preserve">Placental transfer and excretion in milk were not examined in any of the animal studies. Published literature was provided reporting the presence of small amounts of </w:t>
      </w:r>
      <w:proofErr w:type="spellStart"/>
      <w:r w:rsidRPr="00E736DD">
        <w:t>deoxycholic</w:t>
      </w:r>
      <w:proofErr w:type="spellEnd"/>
      <w:r w:rsidRPr="00E736DD">
        <w:t xml:space="preserve"> acid in human f</w:t>
      </w:r>
      <w:r w:rsidR="00DE53D4">
        <w:t>o</w:t>
      </w:r>
      <w:r w:rsidRPr="00E736DD">
        <w:t>etal serum. This is taken as evidence of f</w:t>
      </w:r>
      <w:r w:rsidR="00DE53D4">
        <w:t>o</w:t>
      </w:r>
      <w:r w:rsidRPr="00E736DD">
        <w:t xml:space="preserve">etal transfer of maternal </w:t>
      </w:r>
      <w:proofErr w:type="spellStart"/>
      <w:r w:rsidRPr="00E736DD">
        <w:t>deoxycholic</w:t>
      </w:r>
      <w:proofErr w:type="spellEnd"/>
      <w:r w:rsidRPr="00E736DD">
        <w:t xml:space="preserve"> acid, since the f</w:t>
      </w:r>
      <w:r w:rsidR="00DE53D4">
        <w:t xml:space="preserve">oetal gut is regarded as germ </w:t>
      </w:r>
      <w:r w:rsidRPr="00E736DD">
        <w:t xml:space="preserve">free and thus unlikely to be capable of gut microbial transformation of </w:t>
      </w:r>
      <w:proofErr w:type="spellStart"/>
      <w:r w:rsidRPr="00E736DD">
        <w:t>cholic</w:t>
      </w:r>
      <w:proofErr w:type="spellEnd"/>
      <w:r w:rsidRPr="00E736DD">
        <w:t xml:space="preserve"> acid into </w:t>
      </w:r>
      <w:proofErr w:type="spellStart"/>
      <w:r w:rsidRPr="00E736DD">
        <w:t>deoxycholic</w:t>
      </w:r>
      <w:proofErr w:type="spellEnd"/>
      <w:r w:rsidRPr="00E736DD">
        <w:t xml:space="preserve"> acid.</w:t>
      </w:r>
    </w:p>
    <w:p w14:paraId="5540AB2C" w14:textId="77777777" w:rsidR="00DE53D4" w:rsidRDefault="00DE53D4" w:rsidP="00DE53D4">
      <w:pPr>
        <w:pStyle w:val="Heading5"/>
      </w:pPr>
      <w:r w:rsidRPr="00DE53D4">
        <w:t>Relative exposure</w:t>
      </w:r>
    </w:p>
    <w:p w14:paraId="3277F2B3" w14:textId="63190F08" w:rsidR="005C09C6" w:rsidRPr="005C09C6" w:rsidRDefault="005C09C6" w:rsidP="005C09C6">
      <w:pPr>
        <w:pStyle w:val="Tabletitle0"/>
      </w:pPr>
      <w:r>
        <w:t>Table</w:t>
      </w:r>
      <w:r w:rsidR="00262721">
        <w:t xml:space="preserve"> 3</w:t>
      </w:r>
      <w:r w:rsidR="00181498">
        <w:t>:</w:t>
      </w:r>
      <w:r>
        <w:t xml:space="preserve"> Relative exposure and reproductive toxicity</w:t>
      </w:r>
    </w:p>
    <w:tbl>
      <w:tblPr>
        <w:tblStyle w:val="TableTGAblue"/>
        <w:tblW w:w="5208" w:type="pct"/>
        <w:tblLayout w:type="fixed"/>
        <w:tblLook w:val="01E0" w:firstRow="1" w:lastRow="1" w:firstColumn="1" w:lastColumn="1" w:noHBand="0" w:noVBand="0"/>
      </w:tblPr>
      <w:tblGrid>
        <w:gridCol w:w="1150"/>
        <w:gridCol w:w="1554"/>
        <w:gridCol w:w="1394"/>
        <w:gridCol w:w="1045"/>
        <w:gridCol w:w="88"/>
        <w:gridCol w:w="831"/>
        <w:gridCol w:w="992"/>
        <w:gridCol w:w="992"/>
        <w:gridCol w:w="1037"/>
      </w:tblGrid>
      <w:tr w:rsidR="00AF1AD8" w:rsidRPr="00FB56FE" w14:paraId="1D60D6EE" w14:textId="77777777" w:rsidTr="0045162A">
        <w:trPr>
          <w:cnfStyle w:val="100000000000" w:firstRow="1" w:lastRow="0" w:firstColumn="0" w:lastColumn="0" w:oddVBand="0" w:evenVBand="0" w:oddHBand="0" w:evenHBand="0" w:firstRowFirstColumn="0" w:firstRowLastColumn="0" w:lastRowFirstColumn="0" w:lastRowLastColumn="0"/>
          <w:trHeight w:val="284"/>
        </w:trPr>
        <w:tc>
          <w:tcPr>
            <w:tcW w:w="1150" w:type="dxa"/>
          </w:tcPr>
          <w:p w14:paraId="2CF3ACFF" w14:textId="77777777" w:rsidR="00DE53D4" w:rsidRPr="00FB56FE" w:rsidRDefault="00DE53D4" w:rsidP="00FB56FE">
            <w:pPr>
              <w:ind w:left="0"/>
              <w:rPr>
                <w:sz w:val="20"/>
                <w:szCs w:val="20"/>
              </w:rPr>
            </w:pPr>
            <w:r w:rsidRPr="00FB56FE">
              <w:rPr>
                <w:sz w:val="20"/>
                <w:szCs w:val="20"/>
              </w:rPr>
              <w:t>Species</w:t>
            </w:r>
          </w:p>
        </w:tc>
        <w:tc>
          <w:tcPr>
            <w:tcW w:w="1554" w:type="dxa"/>
          </w:tcPr>
          <w:p w14:paraId="1B408FB3" w14:textId="77777777" w:rsidR="00DE53D4" w:rsidRPr="00FB56FE" w:rsidRDefault="00DE53D4" w:rsidP="00FB56FE">
            <w:pPr>
              <w:ind w:left="0"/>
              <w:rPr>
                <w:sz w:val="20"/>
                <w:szCs w:val="20"/>
              </w:rPr>
            </w:pPr>
            <w:r w:rsidRPr="00FB56FE">
              <w:rPr>
                <w:sz w:val="20"/>
                <w:szCs w:val="20"/>
              </w:rPr>
              <w:t>Study</w:t>
            </w:r>
          </w:p>
        </w:tc>
        <w:tc>
          <w:tcPr>
            <w:tcW w:w="1394" w:type="dxa"/>
          </w:tcPr>
          <w:p w14:paraId="16D5906F" w14:textId="185C61DB" w:rsidR="00DE53D4" w:rsidRPr="00FB56FE" w:rsidRDefault="00062889" w:rsidP="00FB56FE">
            <w:pPr>
              <w:ind w:left="13"/>
              <w:rPr>
                <w:sz w:val="20"/>
                <w:szCs w:val="20"/>
              </w:rPr>
            </w:pPr>
            <w:r w:rsidRPr="00FB56FE">
              <w:rPr>
                <w:sz w:val="20"/>
                <w:szCs w:val="20"/>
              </w:rPr>
              <w:t xml:space="preserve">Treatment </w:t>
            </w:r>
            <w:r w:rsidR="00DE53D4" w:rsidRPr="00FB56FE">
              <w:rPr>
                <w:sz w:val="20"/>
                <w:szCs w:val="20"/>
              </w:rPr>
              <w:t>frequency</w:t>
            </w:r>
          </w:p>
        </w:tc>
        <w:tc>
          <w:tcPr>
            <w:tcW w:w="1133" w:type="dxa"/>
            <w:gridSpan w:val="2"/>
          </w:tcPr>
          <w:p w14:paraId="1A12B3F7" w14:textId="072CF8A5" w:rsidR="00DE53D4" w:rsidRPr="00FB56FE" w:rsidRDefault="00062889" w:rsidP="00FB56FE">
            <w:pPr>
              <w:ind w:left="0"/>
              <w:rPr>
                <w:sz w:val="20"/>
                <w:szCs w:val="20"/>
              </w:rPr>
            </w:pPr>
            <w:r w:rsidRPr="00FB56FE">
              <w:rPr>
                <w:sz w:val="20"/>
                <w:szCs w:val="20"/>
              </w:rPr>
              <w:t xml:space="preserve">Dose </w:t>
            </w:r>
            <w:r w:rsidR="00DE53D4" w:rsidRPr="00FB56FE">
              <w:rPr>
                <w:sz w:val="20"/>
                <w:szCs w:val="20"/>
              </w:rPr>
              <w:t>mg/kg</w:t>
            </w:r>
          </w:p>
        </w:tc>
        <w:tc>
          <w:tcPr>
            <w:tcW w:w="1823" w:type="dxa"/>
            <w:gridSpan w:val="2"/>
          </w:tcPr>
          <w:p w14:paraId="5A8EC2B3" w14:textId="64865D51" w:rsidR="00DE53D4" w:rsidRPr="00FB56FE" w:rsidRDefault="00DE53D4" w:rsidP="00FB56FE">
            <w:pPr>
              <w:ind w:left="34"/>
              <w:rPr>
                <w:sz w:val="20"/>
                <w:szCs w:val="20"/>
              </w:rPr>
            </w:pPr>
            <w:r w:rsidRPr="00FB56FE">
              <w:rPr>
                <w:sz w:val="20"/>
                <w:szCs w:val="20"/>
              </w:rPr>
              <w:t>AUC</w:t>
            </w:r>
            <w:r w:rsidRPr="00FB56FE">
              <w:rPr>
                <w:sz w:val="20"/>
                <w:szCs w:val="20"/>
                <w:vertAlign w:val="subscript"/>
              </w:rPr>
              <w:t>0–last</w:t>
            </w:r>
            <w:r w:rsidR="003246CE" w:rsidRPr="00FB56FE">
              <w:rPr>
                <w:sz w:val="20"/>
                <w:szCs w:val="20"/>
                <w:vertAlign w:val="subscript"/>
              </w:rPr>
              <w:t xml:space="preserve"> </w:t>
            </w:r>
            <w:proofErr w:type="spellStart"/>
            <w:r w:rsidRPr="00FB56FE">
              <w:rPr>
                <w:sz w:val="20"/>
                <w:szCs w:val="20"/>
              </w:rPr>
              <w:t>ng∙h</w:t>
            </w:r>
            <w:proofErr w:type="spellEnd"/>
            <w:r w:rsidRPr="00FB56FE">
              <w:rPr>
                <w:sz w:val="20"/>
                <w:szCs w:val="20"/>
              </w:rPr>
              <w:t>/mL</w:t>
            </w:r>
          </w:p>
        </w:tc>
        <w:tc>
          <w:tcPr>
            <w:tcW w:w="2029" w:type="dxa"/>
            <w:gridSpan w:val="2"/>
          </w:tcPr>
          <w:p w14:paraId="31D0412B" w14:textId="3F63195C" w:rsidR="00DE53D4" w:rsidRPr="00FB56FE" w:rsidRDefault="003246CE" w:rsidP="00FB56FE">
            <w:pPr>
              <w:rPr>
                <w:sz w:val="20"/>
                <w:szCs w:val="20"/>
                <w:vertAlign w:val="superscript"/>
              </w:rPr>
            </w:pPr>
            <w:r w:rsidRPr="00FB56FE">
              <w:rPr>
                <w:sz w:val="20"/>
                <w:szCs w:val="20"/>
              </w:rPr>
              <w:t xml:space="preserve">Exposure </w:t>
            </w:r>
            <w:r w:rsidR="00262721" w:rsidRPr="00FB56FE">
              <w:rPr>
                <w:sz w:val="20"/>
                <w:szCs w:val="20"/>
              </w:rPr>
              <w:t>ratio</w:t>
            </w:r>
            <w:r w:rsidR="00262721" w:rsidRPr="00FB56FE">
              <w:rPr>
                <w:sz w:val="20"/>
                <w:szCs w:val="20"/>
                <w:vertAlign w:val="superscript"/>
              </w:rPr>
              <w:t>1</w:t>
            </w:r>
          </w:p>
        </w:tc>
      </w:tr>
      <w:tr w:rsidR="00AF1AD8" w:rsidRPr="00FB56FE" w14:paraId="2F839EF0" w14:textId="77777777" w:rsidTr="0045162A">
        <w:trPr>
          <w:trHeight w:val="227"/>
        </w:trPr>
        <w:tc>
          <w:tcPr>
            <w:tcW w:w="1150" w:type="dxa"/>
          </w:tcPr>
          <w:p w14:paraId="536F0CFD" w14:textId="77777777" w:rsidR="00236125" w:rsidRPr="00FB56FE" w:rsidRDefault="00236125" w:rsidP="00FB56FE">
            <w:pPr>
              <w:ind w:left="0"/>
              <w:rPr>
                <w:sz w:val="20"/>
                <w:szCs w:val="20"/>
              </w:rPr>
            </w:pPr>
          </w:p>
        </w:tc>
        <w:tc>
          <w:tcPr>
            <w:tcW w:w="1554" w:type="dxa"/>
          </w:tcPr>
          <w:p w14:paraId="6652243E" w14:textId="77777777" w:rsidR="00236125" w:rsidRPr="00FB56FE" w:rsidRDefault="00236125" w:rsidP="00FB56FE">
            <w:pPr>
              <w:ind w:left="0"/>
              <w:rPr>
                <w:sz w:val="20"/>
                <w:szCs w:val="20"/>
              </w:rPr>
            </w:pPr>
          </w:p>
        </w:tc>
        <w:tc>
          <w:tcPr>
            <w:tcW w:w="1394" w:type="dxa"/>
          </w:tcPr>
          <w:p w14:paraId="784552A9" w14:textId="77777777" w:rsidR="00236125" w:rsidRPr="00FB56FE" w:rsidRDefault="00236125" w:rsidP="00FB56FE">
            <w:pPr>
              <w:ind w:left="13"/>
              <w:rPr>
                <w:sz w:val="20"/>
                <w:szCs w:val="20"/>
              </w:rPr>
            </w:pPr>
          </w:p>
        </w:tc>
        <w:tc>
          <w:tcPr>
            <w:tcW w:w="1045" w:type="dxa"/>
          </w:tcPr>
          <w:p w14:paraId="16810C11" w14:textId="77777777" w:rsidR="00236125" w:rsidRPr="00FB56FE" w:rsidRDefault="00236125" w:rsidP="00FB56FE">
            <w:pPr>
              <w:ind w:left="0"/>
              <w:rPr>
                <w:sz w:val="20"/>
                <w:szCs w:val="20"/>
              </w:rPr>
            </w:pPr>
          </w:p>
        </w:tc>
        <w:tc>
          <w:tcPr>
            <w:tcW w:w="919" w:type="dxa"/>
            <w:gridSpan w:val="2"/>
          </w:tcPr>
          <w:p w14:paraId="19DBD476" w14:textId="4841005C" w:rsidR="00236125" w:rsidRPr="00FB56FE" w:rsidRDefault="003246CE" w:rsidP="00FB56FE">
            <w:pPr>
              <w:ind w:left="34"/>
              <w:rPr>
                <w:sz w:val="20"/>
                <w:szCs w:val="20"/>
              </w:rPr>
            </w:pPr>
            <w:r w:rsidRPr="00FB56FE">
              <w:rPr>
                <w:sz w:val="20"/>
                <w:szCs w:val="20"/>
              </w:rPr>
              <w:t>Male</w:t>
            </w:r>
          </w:p>
        </w:tc>
        <w:tc>
          <w:tcPr>
            <w:tcW w:w="992" w:type="dxa"/>
          </w:tcPr>
          <w:p w14:paraId="3E8D7B77" w14:textId="00B7B001" w:rsidR="00236125" w:rsidRPr="00FB56FE" w:rsidRDefault="003246CE" w:rsidP="00DE72B7">
            <w:pPr>
              <w:ind w:left="34" w:right="34"/>
              <w:rPr>
                <w:sz w:val="20"/>
                <w:szCs w:val="20"/>
              </w:rPr>
            </w:pPr>
            <w:r w:rsidRPr="00FB56FE">
              <w:rPr>
                <w:sz w:val="20"/>
                <w:szCs w:val="20"/>
              </w:rPr>
              <w:t>Female</w:t>
            </w:r>
          </w:p>
        </w:tc>
        <w:tc>
          <w:tcPr>
            <w:tcW w:w="992" w:type="dxa"/>
          </w:tcPr>
          <w:p w14:paraId="5A66DAF3" w14:textId="21E7BD07" w:rsidR="00236125" w:rsidRPr="00FB56FE" w:rsidRDefault="003246CE" w:rsidP="00FB56FE">
            <w:pPr>
              <w:rPr>
                <w:sz w:val="20"/>
                <w:szCs w:val="20"/>
              </w:rPr>
            </w:pPr>
            <w:r w:rsidRPr="00FB56FE">
              <w:rPr>
                <w:sz w:val="20"/>
                <w:szCs w:val="20"/>
              </w:rPr>
              <w:t>Male</w:t>
            </w:r>
          </w:p>
        </w:tc>
        <w:tc>
          <w:tcPr>
            <w:tcW w:w="1037" w:type="dxa"/>
          </w:tcPr>
          <w:p w14:paraId="5D8E19E0" w14:textId="524B84E4" w:rsidR="00236125" w:rsidRPr="00FB56FE" w:rsidRDefault="003246CE" w:rsidP="00DE72B7">
            <w:pPr>
              <w:ind w:right="0"/>
              <w:rPr>
                <w:sz w:val="20"/>
                <w:szCs w:val="20"/>
              </w:rPr>
            </w:pPr>
            <w:r w:rsidRPr="00FB56FE">
              <w:rPr>
                <w:sz w:val="20"/>
                <w:szCs w:val="20"/>
              </w:rPr>
              <w:t>Female</w:t>
            </w:r>
          </w:p>
        </w:tc>
      </w:tr>
      <w:tr w:rsidR="00AF1AD8" w:rsidRPr="00FB56FE" w14:paraId="0ECFE96E" w14:textId="77777777" w:rsidTr="0045162A">
        <w:trPr>
          <w:trHeight w:val="227"/>
        </w:trPr>
        <w:tc>
          <w:tcPr>
            <w:tcW w:w="1150" w:type="dxa"/>
            <w:vMerge w:val="restart"/>
          </w:tcPr>
          <w:p w14:paraId="272226CE" w14:textId="1CF0E3DA" w:rsidR="00236125" w:rsidRPr="00FB56FE" w:rsidRDefault="00236125" w:rsidP="00FB56FE">
            <w:pPr>
              <w:ind w:left="0"/>
              <w:rPr>
                <w:sz w:val="20"/>
                <w:szCs w:val="20"/>
              </w:rPr>
            </w:pPr>
            <w:r w:rsidRPr="00FB56FE">
              <w:rPr>
                <w:sz w:val="20"/>
                <w:szCs w:val="20"/>
              </w:rPr>
              <w:t>Rat (SD)</w:t>
            </w:r>
          </w:p>
        </w:tc>
        <w:tc>
          <w:tcPr>
            <w:tcW w:w="1554" w:type="dxa"/>
            <w:vMerge w:val="restart"/>
          </w:tcPr>
          <w:p w14:paraId="6437651B" w14:textId="77777777" w:rsidR="00236125" w:rsidRPr="00FB56FE" w:rsidRDefault="00236125" w:rsidP="00FB56FE">
            <w:pPr>
              <w:ind w:left="0"/>
              <w:rPr>
                <w:sz w:val="20"/>
                <w:szCs w:val="20"/>
              </w:rPr>
            </w:pPr>
            <w:r w:rsidRPr="00FB56FE">
              <w:rPr>
                <w:sz w:val="20"/>
                <w:szCs w:val="20"/>
              </w:rPr>
              <w:t>Fertility &amp; early embryonic development</w:t>
            </w:r>
          </w:p>
          <w:p w14:paraId="3C2EA675" w14:textId="4A2D9DEF" w:rsidR="00236125" w:rsidRPr="00FB56FE" w:rsidRDefault="00236125" w:rsidP="00FB56FE">
            <w:pPr>
              <w:ind w:left="0"/>
              <w:rPr>
                <w:sz w:val="20"/>
                <w:szCs w:val="20"/>
              </w:rPr>
            </w:pPr>
            <w:r w:rsidRPr="00FB56FE">
              <w:rPr>
                <w:sz w:val="20"/>
                <w:szCs w:val="20"/>
              </w:rPr>
              <w:t>(IXB00024)</w:t>
            </w:r>
          </w:p>
        </w:tc>
        <w:tc>
          <w:tcPr>
            <w:tcW w:w="1394" w:type="dxa"/>
            <w:vMerge w:val="restart"/>
          </w:tcPr>
          <w:p w14:paraId="64B4B4B0" w14:textId="4EEE2321" w:rsidR="00236125" w:rsidRPr="00FB56FE" w:rsidRDefault="00FB56FE" w:rsidP="00FB56FE">
            <w:pPr>
              <w:ind w:left="13"/>
              <w:rPr>
                <w:sz w:val="20"/>
                <w:szCs w:val="20"/>
              </w:rPr>
            </w:pPr>
            <w:r w:rsidRPr="00FB56FE">
              <w:rPr>
                <w:sz w:val="20"/>
                <w:szCs w:val="20"/>
              </w:rPr>
              <w:t>O</w:t>
            </w:r>
            <w:r w:rsidR="00236125" w:rsidRPr="00FB56FE">
              <w:rPr>
                <w:sz w:val="20"/>
                <w:szCs w:val="20"/>
              </w:rPr>
              <w:t>nce</w:t>
            </w:r>
            <w:r>
              <w:rPr>
                <w:sz w:val="20"/>
                <w:szCs w:val="20"/>
              </w:rPr>
              <w:t xml:space="preserve"> </w:t>
            </w:r>
            <w:r w:rsidR="00236125" w:rsidRPr="00FB56FE">
              <w:rPr>
                <w:sz w:val="20"/>
                <w:szCs w:val="20"/>
              </w:rPr>
              <w:t>weekly</w:t>
            </w:r>
          </w:p>
        </w:tc>
        <w:tc>
          <w:tcPr>
            <w:tcW w:w="1045" w:type="dxa"/>
          </w:tcPr>
          <w:p w14:paraId="0384AA25" w14:textId="77777777" w:rsidR="00236125" w:rsidRPr="00FB56FE" w:rsidRDefault="00236125" w:rsidP="00FB56FE">
            <w:pPr>
              <w:ind w:left="0"/>
              <w:rPr>
                <w:sz w:val="20"/>
                <w:szCs w:val="20"/>
              </w:rPr>
            </w:pPr>
            <w:r w:rsidRPr="00FB56FE">
              <w:rPr>
                <w:sz w:val="20"/>
                <w:szCs w:val="20"/>
              </w:rPr>
              <w:t>5</w:t>
            </w:r>
          </w:p>
        </w:tc>
        <w:tc>
          <w:tcPr>
            <w:tcW w:w="919" w:type="dxa"/>
            <w:gridSpan w:val="2"/>
          </w:tcPr>
          <w:p w14:paraId="2F4B9915" w14:textId="77777777" w:rsidR="00236125" w:rsidRPr="00FB56FE" w:rsidRDefault="00236125" w:rsidP="00FB56FE">
            <w:pPr>
              <w:ind w:left="34"/>
              <w:rPr>
                <w:sz w:val="20"/>
                <w:szCs w:val="20"/>
              </w:rPr>
            </w:pPr>
            <w:r w:rsidRPr="00FB56FE">
              <w:rPr>
                <w:sz w:val="20"/>
                <w:szCs w:val="20"/>
              </w:rPr>
              <w:t>4180</w:t>
            </w:r>
          </w:p>
        </w:tc>
        <w:tc>
          <w:tcPr>
            <w:tcW w:w="992" w:type="dxa"/>
          </w:tcPr>
          <w:p w14:paraId="651EFF0C" w14:textId="77777777" w:rsidR="00236125" w:rsidRPr="00FB56FE" w:rsidRDefault="00236125" w:rsidP="00FB56FE">
            <w:pPr>
              <w:ind w:left="34"/>
              <w:rPr>
                <w:sz w:val="20"/>
                <w:szCs w:val="20"/>
              </w:rPr>
            </w:pPr>
            <w:r w:rsidRPr="00FB56FE">
              <w:rPr>
                <w:sz w:val="20"/>
                <w:szCs w:val="20"/>
              </w:rPr>
              <w:t>1610</w:t>
            </w:r>
          </w:p>
        </w:tc>
        <w:tc>
          <w:tcPr>
            <w:tcW w:w="992" w:type="dxa"/>
          </w:tcPr>
          <w:p w14:paraId="24BB112B" w14:textId="77777777" w:rsidR="00236125" w:rsidRPr="00FB56FE" w:rsidRDefault="00236125" w:rsidP="00FB56FE">
            <w:pPr>
              <w:rPr>
                <w:sz w:val="20"/>
                <w:szCs w:val="20"/>
              </w:rPr>
            </w:pPr>
            <w:r w:rsidRPr="00FB56FE">
              <w:rPr>
                <w:sz w:val="20"/>
                <w:szCs w:val="20"/>
              </w:rPr>
              <w:t>0.5</w:t>
            </w:r>
          </w:p>
        </w:tc>
        <w:tc>
          <w:tcPr>
            <w:tcW w:w="1037" w:type="dxa"/>
          </w:tcPr>
          <w:p w14:paraId="6F14DF85" w14:textId="77777777" w:rsidR="00236125" w:rsidRPr="00FB56FE" w:rsidRDefault="00236125" w:rsidP="00FB56FE">
            <w:pPr>
              <w:rPr>
                <w:sz w:val="20"/>
                <w:szCs w:val="20"/>
              </w:rPr>
            </w:pPr>
            <w:r w:rsidRPr="00FB56FE">
              <w:rPr>
                <w:sz w:val="20"/>
                <w:szCs w:val="20"/>
              </w:rPr>
              <w:t>0.2</w:t>
            </w:r>
          </w:p>
        </w:tc>
      </w:tr>
      <w:tr w:rsidR="00AF1AD8" w:rsidRPr="00FB56FE" w14:paraId="2C50FCC5" w14:textId="77777777" w:rsidTr="0045162A">
        <w:trPr>
          <w:trHeight w:val="227"/>
        </w:trPr>
        <w:tc>
          <w:tcPr>
            <w:tcW w:w="1150" w:type="dxa"/>
            <w:vMerge/>
          </w:tcPr>
          <w:p w14:paraId="593ADB07" w14:textId="77777777" w:rsidR="00236125" w:rsidRPr="00FB56FE" w:rsidRDefault="00236125" w:rsidP="00FB56FE">
            <w:pPr>
              <w:ind w:left="0"/>
              <w:rPr>
                <w:sz w:val="20"/>
                <w:szCs w:val="20"/>
              </w:rPr>
            </w:pPr>
          </w:p>
        </w:tc>
        <w:tc>
          <w:tcPr>
            <w:tcW w:w="1554" w:type="dxa"/>
            <w:vMerge/>
          </w:tcPr>
          <w:p w14:paraId="41F192FB" w14:textId="77777777" w:rsidR="00236125" w:rsidRPr="00FB56FE" w:rsidRDefault="00236125" w:rsidP="00FB56FE">
            <w:pPr>
              <w:ind w:left="0"/>
              <w:rPr>
                <w:sz w:val="20"/>
                <w:szCs w:val="20"/>
              </w:rPr>
            </w:pPr>
          </w:p>
        </w:tc>
        <w:tc>
          <w:tcPr>
            <w:tcW w:w="1394" w:type="dxa"/>
            <w:vMerge/>
          </w:tcPr>
          <w:p w14:paraId="6BA06F30" w14:textId="77777777" w:rsidR="00236125" w:rsidRPr="00FB56FE" w:rsidRDefault="00236125" w:rsidP="00FB56FE">
            <w:pPr>
              <w:ind w:left="13"/>
              <w:rPr>
                <w:sz w:val="20"/>
                <w:szCs w:val="20"/>
              </w:rPr>
            </w:pPr>
          </w:p>
        </w:tc>
        <w:tc>
          <w:tcPr>
            <w:tcW w:w="1045" w:type="dxa"/>
          </w:tcPr>
          <w:p w14:paraId="04D673A3" w14:textId="77777777" w:rsidR="00236125" w:rsidRPr="00FB56FE" w:rsidRDefault="00236125" w:rsidP="00FB56FE">
            <w:pPr>
              <w:ind w:left="0"/>
              <w:rPr>
                <w:sz w:val="20"/>
                <w:szCs w:val="20"/>
              </w:rPr>
            </w:pPr>
            <w:r w:rsidRPr="00FB56FE">
              <w:rPr>
                <w:sz w:val="20"/>
                <w:szCs w:val="20"/>
              </w:rPr>
              <w:t>10</w:t>
            </w:r>
          </w:p>
        </w:tc>
        <w:tc>
          <w:tcPr>
            <w:tcW w:w="919" w:type="dxa"/>
            <w:gridSpan w:val="2"/>
          </w:tcPr>
          <w:p w14:paraId="641BE075" w14:textId="77777777" w:rsidR="00236125" w:rsidRPr="00FB56FE" w:rsidRDefault="00236125" w:rsidP="00FB56FE">
            <w:pPr>
              <w:ind w:left="34"/>
              <w:rPr>
                <w:sz w:val="20"/>
                <w:szCs w:val="20"/>
              </w:rPr>
            </w:pPr>
            <w:r w:rsidRPr="00FB56FE">
              <w:rPr>
                <w:sz w:val="20"/>
                <w:szCs w:val="20"/>
              </w:rPr>
              <w:t>6290</w:t>
            </w:r>
          </w:p>
        </w:tc>
        <w:tc>
          <w:tcPr>
            <w:tcW w:w="992" w:type="dxa"/>
          </w:tcPr>
          <w:p w14:paraId="48B59BD4" w14:textId="77777777" w:rsidR="00236125" w:rsidRPr="00FB56FE" w:rsidRDefault="00236125" w:rsidP="00FB56FE">
            <w:pPr>
              <w:ind w:left="34"/>
              <w:rPr>
                <w:sz w:val="20"/>
                <w:szCs w:val="20"/>
              </w:rPr>
            </w:pPr>
            <w:r w:rsidRPr="00FB56FE">
              <w:rPr>
                <w:sz w:val="20"/>
                <w:szCs w:val="20"/>
              </w:rPr>
              <w:t>5780</w:t>
            </w:r>
          </w:p>
        </w:tc>
        <w:tc>
          <w:tcPr>
            <w:tcW w:w="992" w:type="dxa"/>
          </w:tcPr>
          <w:p w14:paraId="6658D933" w14:textId="77777777" w:rsidR="00236125" w:rsidRPr="00FB56FE" w:rsidRDefault="00236125" w:rsidP="00FB56FE">
            <w:pPr>
              <w:rPr>
                <w:sz w:val="20"/>
                <w:szCs w:val="20"/>
              </w:rPr>
            </w:pPr>
            <w:r w:rsidRPr="00FB56FE">
              <w:rPr>
                <w:sz w:val="20"/>
                <w:szCs w:val="20"/>
              </w:rPr>
              <w:t>0.7</w:t>
            </w:r>
          </w:p>
        </w:tc>
        <w:tc>
          <w:tcPr>
            <w:tcW w:w="1037" w:type="dxa"/>
          </w:tcPr>
          <w:p w14:paraId="57888B33" w14:textId="77777777" w:rsidR="00236125" w:rsidRPr="00FB56FE" w:rsidRDefault="00236125" w:rsidP="00FB56FE">
            <w:pPr>
              <w:rPr>
                <w:sz w:val="20"/>
                <w:szCs w:val="20"/>
              </w:rPr>
            </w:pPr>
            <w:r w:rsidRPr="00FB56FE">
              <w:rPr>
                <w:sz w:val="20"/>
                <w:szCs w:val="20"/>
              </w:rPr>
              <w:t>0.6</w:t>
            </w:r>
          </w:p>
        </w:tc>
      </w:tr>
      <w:tr w:rsidR="00AF1AD8" w:rsidRPr="00FB56FE" w14:paraId="74CBC558" w14:textId="77777777" w:rsidTr="0045162A">
        <w:trPr>
          <w:trHeight w:val="227"/>
        </w:trPr>
        <w:tc>
          <w:tcPr>
            <w:tcW w:w="1150" w:type="dxa"/>
            <w:vMerge/>
          </w:tcPr>
          <w:p w14:paraId="39FDD1DB" w14:textId="77777777" w:rsidR="00236125" w:rsidRPr="00FB56FE" w:rsidRDefault="00236125" w:rsidP="00FB56FE">
            <w:pPr>
              <w:ind w:left="0"/>
              <w:rPr>
                <w:sz w:val="20"/>
                <w:szCs w:val="20"/>
              </w:rPr>
            </w:pPr>
          </w:p>
        </w:tc>
        <w:tc>
          <w:tcPr>
            <w:tcW w:w="1554" w:type="dxa"/>
            <w:vMerge/>
          </w:tcPr>
          <w:p w14:paraId="5968928D" w14:textId="77777777" w:rsidR="00236125" w:rsidRPr="00FB56FE" w:rsidRDefault="00236125" w:rsidP="00FB56FE">
            <w:pPr>
              <w:ind w:left="0"/>
              <w:rPr>
                <w:sz w:val="20"/>
                <w:szCs w:val="20"/>
              </w:rPr>
            </w:pPr>
          </w:p>
        </w:tc>
        <w:tc>
          <w:tcPr>
            <w:tcW w:w="1394" w:type="dxa"/>
            <w:vMerge/>
          </w:tcPr>
          <w:p w14:paraId="1BCB1CD1" w14:textId="77777777" w:rsidR="00236125" w:rsidRPr="00FB56FE" w:rsidRDefault="00236125" w:rsidP="00FB56FE">
            <w:pPr>
              <w:ind w:left="13"/>
              <w:rPr>
                <w:sz w:val="20"/>
                <w:szCs w:val="20"/>
              </w:rPr>
            </w:pPr>
          </w:p>
        </w:tc>
        <w:tc>
          <w:tcPr>
            <w:tcW w:w="1045" w:type="dxa"/>
          </w:tcPr>
          <w:p w14:paraId="5A1D3F7D" w14:textId="77777777" w:rsidR="00236125" w:rsidRPr="00FB56FE" w:rsidRDefault="00236125" w:rsidP="00FB56FE">
            <w:pPr>
              <w:ind w:left="0"/>
              <w:rPr>
                <w:sz w:val="20"/>
                <w:szCs w:val="20"/>
              </w:rPr>
            </w:pPr>
            <w:r w:rsidRPr="00FB56FE">
              <w:rPr>
                <w:sz w:val="20"/>
                <w:szCs w:val="20"/>
              </w:rPr>
              <w:t>50</w:t>
            </w:r>
          </w:p>
        </w:tc>
        <w:tc>
          <w:tcPr>
            <w:tcW w:w="919" w:type="dxa"/>
            <w:gridSpan w:val="2"/>
          </w:tcPr>
          <w:p w14:paraId="7EC82530" w14:textId="77777777" w:rsidR="00236125" w:rsidRPr="00FB56FE" w:rsidRDefault="00236125" w:rsidP="00FB56FE">
            <w:pPr>
              <w:ind w:left="34"/>
              <w:rPr>
                <w:sz w:val="20"/>
                <w:szCs w:val="20"/>
              </w:rPr>
            </w:pPr>
            <w:r w:rsidRPr="00FB56FE">
              <w:rPr>
                <w:sz w:val="20"/>
                <w:szCs w:val="20"/>
              </w:rPr>
              <w:t>48300</w:t>
            </w:r>
          </w:p>
        </w:tc>
        <w:tc>
          <w:tcPr>
            <w:tcW w:w="992" w:type="dxa"/>
          </w:tcPr>
          <w:p w14:paraId="57883E28" w14:textId="77777777" w:rsidR="00236125" w:rsidRPr="00FB56FE" w:rsidRDefault="00236125" w:rsidP="00FB56FE">
            <w:pPr>
              <w:ind w:left="34"/>
              <w:rPr>
                <w:sz w:val="20"/>
                <w:szCs w:val="20"/>
              </w:rPr>
            </w:pPr>
            <w:r w:rsidRPr="00FB56FE">
              <w:rPr>
                <w:sz w:val="20"/>
                <w:szCs w:val="20"/>
              </w:rPr>
              <w:t>27700</w:t>
            </w:r>
          </w:p>
        </w:tc>
        <w:tc>
          <w:tcPr>
            <w:tcW w:w="992" w:type="dxa"/>
          </w:tcPr>
          <w:p w14:paraId="5290A857" w14:textId="77777777" w:rsidR="00236125" w:rsidRPr="00FB56FE" w:rsidRDefault="00236125" w:rsidP="00FB56FE">
            <w:pPr>
              <w:rPr>
                <w:sz w:val="20"/>
                <w:szCs w:val="20"/>
              </w:rPr>
            </w:pPr>
            <w:r w:rsidRPr="00FB56FE">
              <w:rPr>
                <w:sz w:val="20"/>
                <w:szCs w:val="20"/>
              </w:rPr>
              <w:t>5</w:t>
            </w:r>
          </w:p>
        </w:tc>
        <w:tc>
          <w:tcPr>
            <w:tcW w:w="1037" w:type="dxa"/>
          </w:tcPr>
          <w:p w14:paraId="461D8032" w14:textId="77777777" w:rsidR="00236125" w:rsidRPr="00FB56FE" w:rsidRDefault="00236125" w:rsidP="00FB56FE">
            <w:pPr>
              <w:rPr>
                <w:sz w:val="20"/>
                <w:szCs w:val="20"/>
              </w:rPr>
            </w:pPr>
            <w:r w:rsidRPr="00FB56FE">
              <w:rPr>
                <w:sz w:val="20"/>
                <w:szCs w:val="20"/>
              </w:rPr>
              <w:t>3.0</w:t>
            </w:r>
          </w:p>
        </w:tc>
      </w:tr>
      <w:tr w:rsidR="00AF1AD8" w:rsidRPr="00FB56FE" w14:paraId="6090B18C" w14:textId="77777777" w:rsidTr="0045162A">
        <w:trPr>
          <w:trHeight w:val="227"/>
        </w:trPr>
        <w:tc>
          <w:tcPr>
            <w:tcW w:w="1150" w:type="dxa"/>
            <w:vMerge/>
          </w:tcPr>
          <w:p w14:paraId="485EB03D" w14:textId="77777777" w:rsidR="00DE53D4" w:rsidRPr="00FB56FE" w:rsidRDefault="00DE53D4" w:rsidP="00FB56FE">
            <w:pPr>
              <w:ind w:left="0"/>
              <w:rPr>
                <w:sz w:val="20"/>
                <w:szCs w:val="20"/>
              </w:rPr>
            </w:pPr>
          </w:p>
        </w:tc>
        <w:tc>
          <w:tcPr>
            <w:tcW w:w="1554" w:type="dxa"/>
            <w:vMerge w:val="restart"/>
          </w:tcPr>
          <w:p w14:paraId="739BE3F5" w14:textId="11B6CCDD" w:rsidR="00DE53D4" w:rsidRPr="00FB56FE" w:rsidRDefault="00DE53D4" w:rsidP="00FB56FE">
            <w:pPr>
              <w:ind w:left="0"/>
              <w:rPr>
                <w:sz w:val="20"/>
                <w:szCs w:val="20"/>
              </w:rPr>
            </w:pPr>
            <w:proofErr w:type="spellStart"/>
            <w:r w:rsidRPr="00FB56FE">
              <w:rPr>
                <w:sz w:val="20"/>
                <w:szCs w:val="20"/>
              </w:rPr>
              <w:t>Embryofetal</w:t>
            </w:r>
            <w:proofErr w:type="spellEnd"/>
            <w:r w:rsidRPr="00FB56FE">
              <w:rPr>
                <w:sz w:val="20"/>
                <w:szCs w:val="20"/>
              </w:rPr>
              <w:t xml:space="preserve"> development</w:t>
            </w:r>
          </w:p>
          <w:p w14:paraId="3E851900" w14:textId="0E83DFE1" w:rsidR="00DE53D4" w:rsidRPr="00FB56FE" w:rsidRDefault="00FC3DB2" w:rsidP="00FB56FE">
            <w:pPr>
              <w:ind w:left="0"/>
              <w:rPr>
                <w:sz w:val="20"/>
                <w:szCs w:val="20"/>
              </w:rPr>
            </w:pPr>
            <w:r w:rsidRPr="00FB56FE">
              <w:rPr>
                <w:sz w:val="20"/>
                <w:szCs w:val="20"/>
              </w:rPr>
              <w:t>(</w:t>
            </w:r>
            <w:r w:rsidR="00DE53D4" w:rsidRPr="00FB56FE">
              <w:rPr>
                <w:sz w:val="20"/>
                <w:szCs w:val="20"/>
              </w:rPr>
              <w:t>IXB00022</w:t>
            </w:r>
            <w:r w:rsidRPr="00FB56FE">
              <w:rPr>
                <w:sz w:val="20"/>
                <w:szCs w:val="20"/>
              </w:rPr>
              <w:t>)</w:t>
            </w:r>
          </w:p>
        </w:tc>
        <w:tc>
          <w:tcPr>
            <w:tcW w:w="1394" w:type="dxa"/>
            <w:vMerge w:val="restart"/>
          </w:tcPr>
          <w:p w14:paraId="131CFD87" w14:textId="18CD40DC" w:rsidR="00DE53D4" w:rsidRPr="00FB56FE" w:rsidRDefault="00FB56FE" w:rsidP="00FB56FE">
            <w:pPr>
              <w:ind w:left="13"/>
              <w:rPr>
                <w:sz w:val="20"/>
                <w:szCs w:val="20"/>
              </w:rPr>
            </w:pPr>
            <w:r w:rsidRPr="00FB56FE">
              <w:rPr>
                <w:sz w:val="20"/>
                <w:szCs w:val="20"/>
              </w:rPr>
              <w:t>A</w:t>
            </w:r>
            <w:r w:rsidR="00DE53D4" w:rsidRPr="00FB56FE">
              <w:rPr>
                <w:sz w:val="20"/>
                <w:szCs w:val="20"/>
              </w:rPr>
              <w:t>lternate</w:t>
            </w:r>
            <w:r>
              <w:rPr>
                <w:sz w:val="20"/>
                <w:szCs w:val="20"/>
              </w:rPr>
              <w:t xml:space="preserve"> </w:t>
            </w:r>
            <w:r w:rsidR="00DE53D4" w:rsidRPr="00FB56FE">
              <w:rPr>
                <w:sz w:val="20"/>
                <w:szCs w:val="20"/>
              </w:rPr>
              <w:t>days</w:t>
            </w:r>
          </w:p>
        </w:tc>
        <w:tc>
          <w:tcPr>
            <w:tcW w:w="1045" w:type="dxa"/>
          </w:tcPr>
          <w:p w14:paraId="5A36E66E" w14:textId="77777777" w:rsidR="00DE53D4" w:rsidRPr="00FB56FE" w:rsidRDefault="00DE53D4" w:rsidP="00FB56FE">
            <w:pPr>
              <w:ind w:left="0"/>
              <w:rPr>
                <w:sz w:val="20"/>
                <w:szCs w:val="20"/>
              </w:rPr>
            </w:pPr>
            <w:r w:rsidRPr="00FB56FE">
              <w:rPr>
                <w:sz w:val="20"/>
                <w:szCs w:val="20"/>
              </w:rPr>
              <w:t>5</w:t>
            </w:r>
          </w:p>
        </w:tc>
        <w:tc>
          <w:tcPr>
            <w:tcW w:w="1911" w:type="dxa"/>
            <w:gridSpan w:val="3"/>
          </w:tcPr>
          <w:p w14:paraId="0732E142" w14:textId="77777777" w:rsidR="00DE53D4" w:rsidRPr="00FB56FE" w:rsidRDefault="00DE53D4" w:rsidP="00FB56FE">
            <w:pPr>
              <w:ind w:left="34"/>
              <w:rPr>
                <w:sz w:val="20"/>
                <w:szCs w:val="20"/>
              </w:rPr>
            </w:pPr>
            <w:r w:rsidRPr="00FB56FE">
              <w:rPr>
                <w:sz w:val="20"/>
                <w:szCs w:val="20"/>
              </w:rPr>
              <w:t>3850</w:t>
            </w:r>
          </w:p>
        </w:tc>
        <w:tc>
          <w:tcPr>
            <w:tcW w:w="2029" w:type="dxa"/>
            <w:gridSpan w:val="2"/>
          </w:tcPr>
          <w:p w14:paraId="45F8458B" w14:textId="77777777" w:rsidR="00DE53D4" w:rsidRPr="00FB56FE" w:rsidRDefault="00DE53D4" w:rsidP="00FB56FE">
            <w:pPr>
              <w:rPr>
                <w:sz w:val="20"/>
                <w:szCs w:val="20"/>
              </w:rPr>
            </w:pPr>
            <w:r w:rsidRPr="00FB56FE">
              <w:rPr>
                <w:sz w:val="20"/>
                <w:szCs w:val="20"/>
              </w:rPr>
              <w:t>0.4</w:t>
            </w:r>
          </w:p>
        </w:tc>
      </w:tr>
      <w:tr w:rsidR="00AF1AD8" w:rsidRPr="00FB56FE" w14:paraId="6E971F9B" w14:textId="77777777" w:rsidTr="0045162A">
        <w:trPr>
          <w:trHeight w:val="227"/>
        </w:trPr>
        <w:tc>
          <w:tcPr>
            <w:tcW w:w="1150" w:type="dxa"/>
            <w:vMerge/>
          </w:tcPr>
          <w:p w14:paraId="29F82FB6" w14:textId="77777777" w:rsidR="00DE53D4" w:rsidRPr="00FB56FE" w:rsidRDefault="00DE53D4" w:rsidP="00FB56FE">
            <w:pPr>
              <w:ind w:left="0"/>
              <w:rPr>
                <w:sz w:val="20"/>
                <w:szCs w:val="20"/>
              </w:rPr>
            </w:pPr>
          </w:p>
        </w:tc>
        <w:tc>
          <w:tcPr>
            <w:tcW w:w="1554" w:type="dxa"/>
            <w:vMerge/>
          </w:tcPr>
          <w:p w14:paraId="314B2984" w14:textId="77777777" w:rsidR="00DE53D4" w:rsidRPr="00FB56FE" w:rsidRDefault="00DE53D4" w:rsidP="00FB56FE">
            <w:pPr>
              <w:ind w:left="0"/>
              <w:rPr>
                <w:sz w:val="20"/>
                <w:szCs w:val="20"/>
              </w:rPr>
            </w:pPr>
          </w:p>
        </w:tc>
        <w:tc>
          <w:tcPr>
            <w:tcW w:w="1394" w:type="dxa"/>
            <w:vMerge/>
          </w:tcPr>
          <w:p w14:paraId="2B8482F9" w14:textId="77777777" w:rsidR="00DE53D4" w:rsidRPr="00FB56FE" w:rsidRDefault="00DE53D4" w:rsidP="00FB56FE">
            <w:pPr>
              <w:ind w:left="13"/>
              <w:rPr>
                <w:sz w:val="20"/>
                <w:szCs w:val="20"/>
              </w:rPr>
            </w:pPr>
          </w:p>
        </w:tc>
        <w:tc>
          <w:tcPr>
            <w:tcW w:w="1045" w:type="dxa"/>
          </w:tcPr>
          <w:p w14:paraId="15A15204" w14:textId="77777777" w:rsidR="00DE53D4" w:rsidRPr="00FB56FE" w:rsidRDefault="00DE53D4" w:rsidP="00FB56FE">
            <w:pPr>
              <w:ind w:left="0"/>
              <w:rPr>
                <w:sz w:val="20"/>
                <w:szCs w:val="20"/>
              </w:rPr>
            </w:pPr>
            <w:r w:rsidRPr="00FB56FE">
              <w:rPr>
                <w:sz w:val="20"/>
                <w:szCs w:val="20"/>
              </w:rPr>
              <w:t>10</w:t>
            </w:r>
          </w:p>
        </w:tc>
        <w:tc>
          <w:tcPr>
            <w:tcW w:w="1911" w:type="dxa"/>
            <w:gridSpan w:val="3"/>
          </w:tcPr>
          <w:p w14:paraId="68D428D6" w14:textId="77777777" w:rsidR="00DE53D4" w:rsidRPr="00FB56FE" w:rsidRDefault="00DE53D4" w:rsidP="00FB56FE">
            <w:pPr>
              <w:ind w:left="34"/>
              <w:rPr>
                <w:sz w:val="20"/>
                <w:szCs w:val="20"/>
              </w:rPr>
            </w:pPr>
            <w:r w:rsidRPr="00FB56FE">
              <w:rPr>
                <w:sz w:val="20"/>
                <w:szCs w:val="20"/>
              </w:rPr>
              <w:t>5590</w:t>
            </w:r>
          </w:p>
        </w:tc>
        <w:tc>
          <w:tcPr>
            <w:tcW w:w="2029" w:type="dxa"/>
            <w:gridSpan w:val="2"/>
          </w:tcPr>
          <w:p w14:paraId="2E2F7B3A" w14:textId="77777777" w:rsidR="00DE53D4" w:rsidRPr="00FB56FE" w:rsidRDefault="00DE53D4" w:rsidP="00FB56FE">
            <w:pPr>
              <w:rPr>
                <w:sz w:val="20"/>
                <w:szCs w:val="20"/>
              </w:rPr>
            </w:pPr>
            <w:r w:rsidRPr="00FB56FE">
              <w:rPr>
                <w:sz w:val="20"/>
                <w:szCs w:val="20"/>
              </w:rPr>
              <w:t>0.6</w:t>
            </w:r>
          </w:p>
        </w:tc>
      </w:tr>
      <w:tr w:rsidR="00AF1AD8" w:rsidRPr="00FB56FE" w14:paraId="3A9EFF6B" w14:textId="77777777" w:rsidTr="0045162A">
        <w:trPr>
          <w:trHeight w:val="227"/>
        </w:trPr>
        <w:tc>
          <w:tcPr>
            <w:tcW w:w="1150" w:type="dxa"/>
            <w:vMerge/>
          </w:tcPr>
          <w:p w14:paraId="36A47EB6" w14:textId="77777777" w:rsidR="00DE53D4" w:rsidRPr="00FB56FE" w:rsidRDefault="00DE53D4" w:rsidP="00FB56FE">
            <w:pPr>
              <w:ind w:left="0"/>
              <w:rPr>
                <w:sz w:val="20"/>
                <w:szCs w:val="20"/>
              </w:rPr>
            </w:pPr>
          </w:p>
        </w:tc>
        <w:tc>
          <w:tcPr>
            <w:tcW w:w="1554" w:type="dxa"/>
            <w:vMerge/>
          </w:tcPr>
          <w:p w14:paraId="5F9DDA44" w14:textId="77777777" w:rsidR="00DE53D4" w:rsidRPr="00FB56FE" w:rsidRDefault="00DE53D4" w:rsidP="00FB56FE">
            <w:pPr>
              <w:ind w:left="0"/>
              <w:rPr>
                <w:sz w:val="20"/>
                <w:szCs w:val="20"/>
              </w:rPr>
            </w:pPr>
          </w:p>
        </w:tc>
        <w:tc>
          <w:tcPr>
            <w:tcW w:w="1394" w:type="dxa"/>
            <w:vMerge/>
          </w:tcPr>
          <w:p w14:paraId="45CB4DDA" w14:textId="77777777" w:rsidR="00DE53D4" w:rsidRPr="00FB56FE" w:rsidRDefault="00DE53D4" w:rsidP="00FB56FE">
            <w:pPr>
              <w:ind w:left="13"/>
              <w:rPr>
                <w:sz w:val="20"/>
                <w:szCs w:val="20"/>
              </w:rPr>
            </w:pPr>
          </w:p>
        </w:tc>
        <w:tc>
          <w:tcPr>
            <w:tcW w:w="1045" w:type="dxa"/>
          </w:tcPr>
          <w:p w14:paraId="2376744C" w14:textId="77777777" w:rsidR="00DE53D4" w:rsidRPr="00FB56FE" w:rsidRDefault="00DE53D4" w:rsidP="00FB56FE">
            <w:pPr>
              <w:ind w:left="0"/>
              <w:rPr>
                <w:sz w:val="20"/>
                <w:szCs w:val="20"/>
              </w:rPr>
            </w:pPr>
            <w:r w:rsidRPr="00FB56FE">
              <w:rPr>
                <w:sz w:val="20"/>
                <w:szCs w:val="20"/>
              </w:rPr>
              <w:t>50</w:t>
            </w:r>
          </w:p>
        </w:tc>
        <w:tc>
          <w:tcPr>
            <w:tcW w:w="1911" w:type="dxa"/>
            <w:gridSpan w:val="3"/>
          </w:tcPr>
          <w:p w14:paraId="125841C2" w14:textId="77777777" w:rsidR="00DE53D4" w:rsidRPr="00FB56FE" w:rsidRDefault="00DE53D4" w:rsidP="00FB56FE">
            <w:pPr>
              <w:ind w:left="34"/>
              <w:rPr>
                <w:sz w:val="20"/>
                <w:szCs w:val="20"/>
              </w:rPr>
            </w:pPr>
            <w:r w:rsidRPr="00FB56FE">
              <w:rPr>
                <w:sz w:val="20"/>
                <w:szCs w:val="20"/>
              </w:rPr>
              <w:t>16100</w:t>
            </w:r>
          </w:p>
        </w:tc>
        <w:tc>
          <w:tcPr>
            <w:tcW w:w="2029" w:type="dxa"/>
            <w:gridSpan w:val="2"/>
          </w:tcPr>
          <w:p w14:paraId="5EDF6127" w14:textId="77777777" w:rsidR="00DE53D4" w:rsidRPr="00FB56FE" w:rsidRDefault="00DE53D4" w:rsidP="00FB56FE">
            <w:pPr>
              <w:rPr>
                <w:sz w:val="20"/>
                <w:szCs w:val="20"/>
              </w:rPr>
            </w:pPr>
            <w:r w:rsidRPr="00FB56FE">
              <w:rPr>
                <w:sz w:val="20"/>
                <w:szCs w:val="20"/>
              </w:rPr>
              <w:t>1.8</w:t>
            </w:r>
          </w:p>
        </w:tc>
      </w:tr>
      <w:tr w:rsidR="00AF1AD8" w:rsidRPr="00FB56FE" w14:paraId="08F411DE" w14:textId="77777777" w:rsidTr="0045162A">
        <w:trPr>
          <w:trHeight w:val="227"/>
        </w:trPr>
        <w:tc>
          <w:tcPr>
            <w:tcW w:w="1150" w:type="dxa"/>
            <w:vMerge/>
          </w:tcPr>
          <w:p w14:paraId="00B97515" w14:textId="77777777" w:rsidR="00DE53D4" w:rsidRPr="00FB56FE" w:rsidRDefault="00DE53D4" w:rsidP="00FB56FE">
            <w:pPr>
              <w:ind w:left="0"/>
              <w:rPr>
                <w:sz w:val="20"/>
                <w:szCs w:val="20"/>
              </w:rPr>
            </w:pPr>
          </w:p>
        </w:tc>
        <w:tc>
          <w:tcPr>
            <w:tcW w:w="1554" w:type="dxa"/>
            <w:vMerge w:val="restart"/>
          </w:tcPr>
          <w:p w14:paraId="65CD457F" w14:textId="01C19CFE" w:rsidR="00DE53D4" w:rsidRPr="00FB56FE" w:rsidRDefault="00FC3DB2" w:rsidP="00FB56FE">
            <w:pPr>
              <w:ind w:left="0"/>
              <w:rPr>
                <w:sz w:val="20"/>
                <w:szCs w:val="20"/>
              </w:rPr>
            </w:pPr>
            <w:r w:rsidRPr="00FB56FE">
              <w:rPr>
                <w:sz w:val="20"/>
                <w:szCs w:val="20"/>
              </w:rPr>
              <w:t xml:space="preserve">Pre- and </w:t>
            </w:r>
            <w:r w:rsidR="00DE53D4" w:rsidRPr="00FB56FE">
              <w:rPr>
                <w:sz w:val="20"/>
                <w:szCs w:val="20"/>
              </w:rPr>
              <w:t>postnatal development</w:t>
            </w:r>
          </w:p>
          <w:p w14:paraId="0EF0130D" w14:textId="671DE639" w:rsidR="00DE53D4" w:rsidRPr="00FB56FE" w:rsidRDefault="003246CE" w:rsidP="00FB56FE">
            <w:pPr>
              <w:ind w:left="0"/>
              <w:rPr>
                <w:sz w:val="20"/>
                <w:szCs w:val="20"/>
              </w:rPr>
            </w:pPr>
            <w:r w:rsidRPr="00FB56FE">
              <w:rPr>
                <w:sz w:val="20"/>
                <w:szCs w:val="20"/>
              </w:rPr>
              <w:t>(</w:t>
            </w:r>
            <w:r w:rsidR="00DE53D4" w:rsidRPr="00FB56FE">
              <w:rPr>
                <w:sz w:val="20"/>
                <w:szCs w:val="20"/>
              </w:rPr>
              <w:t>IXB00025</w:t>
            </w:r>
            <w:r w:rsidRPr="00FB56FE">
              <w:rPr>
                <w:sz w:val="20"/>
                <w:szCs w:val="20"/>
              </w:rPr>
              <w:t>)</w:t>
            </w:r>
          </w:p>
        </w:tc>
        <w:tc>
          <w:tcPr>
            <w:tcW w:w="1394" w:type="dxa"/>
            <w:vMerge w:val="restart"/>
          </w:tcPr>
          <w:p w14:paraId="2B17869B" w14:textId="77777777" w:rsidR="00DE53D4" w:rsidRPr="00FB56FE" w:rsidRDefault="00DE53D4" w:rsidP="00FB56FE">
            <w:pPr>
              <w:ind w:left="13"/>
              <w:rPr>
                <w:sz w:val="20"/>
                <w:szCs w:val="20"/>
              </w:rPr>
            </w:pPr>
            <w:r w:rsidRPr="00FB56FE">
              <w:rPr>
                <w:sz w:val="20"/>
                <w:szCs w:val="20"/>
              </w:rPr>
              <w:t>every</w:t>
            </w:r>
            <w:r w:rsidRPr="00FB56FE">
              <w:rPr>
                <w:sz w:val="20"/>
                <w:szCs w:val="20"/>
              </w:rPr>
              <w:br/>
              <w:t>3rd day</w:t>
            </w:r>
          </w:p>
        </w:tc>
        <w:tc>
          <w:tcPr>
            <w:tcW w:w="1045" w:type="dxa"/>
          </w:tcPr>
          <w:p w14:paraId="4093BA95" w14:textId="77777777" w:rsidR="00DE53D4" w:rsidRPr="00FB56FE" w:rsidRDefault="00DE53D4" w:rsidP="00FB56FE">
            <w:pPr>
              <w:ind w:left="0"/>
              <w:rPr>
                <w:sz w:val="20"/>
                <w:szCs w:val="20"/>
              </w:rPr>
            </w:pPr>
            <w:r w:rsidRPr="00FB56FE">
              <w:rPr>
                <w:sz w:val="20"/>
                <w:szCs w:val="20"/>
              </w:rPr>
              <w:t>5</w:t>
            </w:r>
          </w:p>
        </w:tc>
        <w:tc>
          <w:tcPr>
            <w:tcW w:w="1911" w:type="dxa"/>
            <w:gridSpan w:val="3"/>
          </w:tcPr>
          <w:p w14:paraId="7E69AA89" w14:textId="77777777" w:rsidR="00DE53D4" w:rsidRPr="00FB56FE" w:rsidRDefault="00DE53D4" w:rsidP="00FB56FE">
            <w:pPr>
              <w:ind w:left="34"/>
              <w:rPr>
                <w:sz w:val="20"/>
                <w:szCs w:val="20"/>
              </w:rPr>
            </w:pPr>
            <w:r w:rsidRPr="00FB56FE">
              <w:rPr>
                <w:sz w:val="20"/>
                <w:szCs w:val="20"/>
              </w:rPr>
              <w:t>3850</w:t>
            </w:r>
          </w:p>
        </w:tc>
        <w:tc>
          <w:tcPr>
            <w:tcW w:w="2029" w:type="dxa"/>
            <w:gridSpan w:val="2"/>
          </w:tcPr>
          <w:p w14:paraId="36C043C1" w14:textId="77777777" w:rsidR="00DE53D4" w:rsidRPr="00FB56FE" w:rsidRDefault="00DE53D4" w:rsidP="00FB56FE">
            <w:pPr>
              <w:rPr>
                <w:sz w:val="20"/>
                <w:szCs w:val="20"/>
              </w:rPr>
            </w:pPr>
            <w:r w:rsidRPr="00FB56FE">
              <w:rPr>
                <w:sz w:val="20"/>
                <w:szCs w:val="20"/>
              </w:rPr>
              <w:t>0.4</w:t>
            </w:r>
          </w:p>
        </w:tc>
      </w:tr>
      <w:tr w:rsidR="00AF1AD8" w:rsidRPr="00FB56FE" w14:paraId="13D5E0CE" w14:textId="77777777" w:rsidTr="0045162A">
        <w:trPr>
          <w:trHeight w:val="227"/>
        </w:trPr>
        <w:tc>
          <w:tcPr>
            <w:tcW w:w="1150" w:type="dxa"/>
            <w:vMerge/>
          </w:tcPr>
          <w:p w14:paraId="165E2175" w14:textId="77777777" w:rsidR="00DE53D4" w:rsidRPr="00FB56FE" w:rsidRDefault="00DE53D4" w:rsidP="00FB56FE">
            <w:pPr>
              <w:ind w:left="0"/>
              <w:rPr>
                <w:sz w:val="20"/>
                <w:szCs w:val="20"/>
              </w:rPr>
            </w:pPr>
          </w:p>
        </w:tc>
        <w:tc>
          <w:tcPr>
            <w:tcW w:w="1554" w:type="dxa"/>
            <w:vMerge/>
          </w:tcPr>
          <w:p w14:paraId="343634A3" w14:textId="77777777" w:rsidR="00DE53D4" w:rsidRPr="00FB56FE" w:rsidRDefault="00DE53D4" w:rsidP="00FB56FE">
            <w:pPr>
              <w:ind w:left="0"/>
              <w:rPr>
                <w:sz w:val="20"/>
                <w:szCs w:val="20"/>
              </w:rPr>
            </w:pPr>
          </w:p>
        </w:tc>
        <w:tc>
          <w:tcPr>
            <w:tcW w:w="1394" w:type="dxa"/>
            <w:vMerge/>
          </w:tcPr>
          <w:p w14:paraId="1E8E0E5C" w14:textId="77777777" w:rsidR="00DE53D4" w:rsidRPr="00FB56FE" w:rsidRDefault="00DE53D4" w:rsidP="00FB56FE">
            <w:pPr>
              <w:ind w:left="13"/>
              <w:rPr>
                <w:sz w:val="20"/>
                <w:szCs w:val="20"/>
              </w:rPr>
            </w:pPr>
          </w:p>
        </w:tc>
        <w:tc>
          <w:tcPr>
            <w:tcW w:w="1045" w:type="dxa"/>
          </w:tcPr>
          <w:p w14:paraId="4AC99B4A" w14:textId="77777777" w:rsidR="00DE53D4" w:rsidRPr="00FB56FE" w:rsidRDefault="00DE53D4" w:rsidP="00FB56FE">
            <w:pPr>
              <w:ind w:left="0"/>
              <w:rPr>
                <w:sz w:val="20"/>
                <w:szCs w:val="20"/>
              </w:rPr>
            </w:pPr>
            <w:r w:rsidRPr="00FB56FE">
              <w:rPr>
                <w:sz w:val="20"/>
                <w:szCs w:val="20"/>
              </w:rPr>
              <w:t>10</w:t>
            </w:r>
          </w:p>
        </w:tc>
        <w:tc>
          <w:tcPr>
            <w:tcW w:w="1911" w:type="dxa"/>
            <w:gridSpan w:val="3"/>
          </w:tcPr>
          <w:p w14:paraId="335744BE" w14:textId="77777777" w:rsidR="00DE53D4" w:rsidRPr="00FB56FE" w:rsidRDefault="00DE53D4" w:rsidP="00FB56FE">
            <w:pPr>
              <w:ind w:left="34"/>
              <w:rPr>
                <w:sz w:val="20"/>
                <w:szCs w:val="20"/>
              </w:rPr>
            </w:pPr>
            <w:r w:rsidRPr="00FB56FE">
              <w:rPr>
                <w:sz w:val="20"/>
                <w:szCs w:val="20"/>
              </w:rPr>
              <w:t>5590</w:t>
            </w:r>
          </w:p>
        </w:tc>
        <w:tc>
          <w:tcPr>
            <w:tcW w:w="2029" w:type="dxa"/>
            <w:gridSpan w:val="2"/>
          </w:tcPr>
          <w:p w14:paraId="35F50537" w14:textId="77777777" w:rsidR="00DE53D4" w:rsidRPr="00FB56FE" w:rsidRDefault="00DE53D4" w:rsidP="00FB56FE">
            <w:pPr>
              <w:rPr>
                <w:sz w:val="20"/>
                <w:szCs w:val="20"/>
              </w:rPr>
            </w:pPr>
            <w:r w:rsidRPr="00FB56FE">
              <w:rPr>
                <w:sz w:val="20"/>
                <w:szCs w:val="20"/>
              </w:rPr>
              <w:t>0.6</w:t>
            </w:r>
          </w:p>
        </w:tc>
      </w:tr>
      <w:tr w:rsidR="00AF1AD8" w:rsidRPr="00FB56FE" w14:paraId="28C7CDDD" w14:textId="77777777" w:rsidTr="0045162A">
        <w:trPr>
          <w:trHeight w:val="227"/>
        </w:trPr>
        <w:tc>
          <w:tcPr>
            <w:tcW w:w="1150" w:type="dxa"/>
            <w:vMerge/>
          </w:tcPr>
          <w:p w14:paraId="0F1DFFCD" w14:textId="77777777" w:rsidR="00DE53D4" w:rsidRPr="00FB56FE" w:rsidRDefault="00DE53D4" w:rsidP="00FB56FE">
            <w:pPr>
              <w:ind w:left="0"/>
              <w:rPr>
                <w:sz w:val="20"/>
                <w:szCs w:val="20"/>
              </w:rPr>
            </w:pPr>
          </w:p>
        </w:tc>
        <w:tc>
          <w:tcPr>
            <w:tcW w:w="1554" w:type="dxa"/>
            <w:vMerge/>
          </w:tcPr>
          <w:p w14:paraId="0CEB2176" w14:textId="77777777" w:rsidR="00DE53D4" w:rsidRPr="00FB56FE" w:rsidRDefault="00DE53D4" w:rsidP="00FB56FE">
            <w:pPr>
              <w:ind w:left="0"/>
              <w:rPr>
                <w:sz w:val="20"/>
                <w:szCs w:val="20"/>
              </w:rPr>
            </w:pPr>
          </w:p>
        </w:tc>
        <w:tc>
          <w:tcPr>
            <w:tcW w:w="1394" w:type="dxa"/>
            <w:vMerge/>
          </w:tcPr>
          <w:p w14:paraId="336F5202" w14:textId="77777777" w:rsidR="00DE53D4" w:rsidRPr="00FB56FE" w:rsidRDefault="00DE53D4" w:rsidP="00FB56FE">
            <w:pPr>
              <w:ind w:left="13"/>
              <w:rPr>
                <w:sz w:val="20"/>
                <w:szCs w:val="20"/>
              </w:rPr>
            </w:pPr>
          </w:p>
        </w:tc>
        <w:tc>
          <w:tcPr>
            <w:tcW w:w="1045" w:type="dxa"/>
          </w:tcPr>
          <w:p w14:paraId="50A9DBA9" w14:textId="77777777" w:rsidR="00DE53D4" w:rsidRPr="00FB56FE" w:rsidRDefault="00DE53D4" w:rsidP="00FB56FE">
            <w:pPr>
              <w:ind w:left="0"/>
              <w:rPr>
                <w:sz w:val="20"/>
                <w:szCs w:val="20"/>
              </w:rPr>
            </w:pPr>
            <w:r w:rsidRPr="00FB56FE">
              <w:rPr>
                <w:sz w:val="20"/>
                <w:szCs w:val="20"/>
              </w:rPr>
              <w:t>50</w:t>
            </w:r>
          </w:p>
        </w:tc>
        <w:tc>
          <w:tcPr>
            <w:tcW w:w="1911" w:type="dxa"/>
            <w:gridSpan w:val="3"/>
          </w:tcPr>
          <w:p w14:paraId="1F5CC06F" w14:textId="77777777" w:rsidR="00DE53D4" w:rsidRPr="00FB56FE" w:rsidRDefault="00DE53D4" w:rsidP="00FB56FE">
            <w:pPr>
              <w:ind w:left="34"/>
              <w:rPr>
                <w:sz w:val="20"/>
                <w:szCs w:val="20"/>
              </w:rPr>
            </w:pPr>
            <w:r w:rsidRPr="00FB56FE">
              <w:rPr>
                <w:sz w:val="20"/>
                <w:szCs w:val="20"/>
              </w:rPr>
              <w:t>16100</w:t>
            </w:r>
          </w:p>
        </w:tc>
        <w:tc>
          <w:tcPr>
            <w:tcW w:w="2029" w:type="dxa"/>
            <w:gridSpan w:val="2"/>
          </w:tcPr>
          <w:p w14:paraId="444F143A" w14:textId="77777777" w:rsidR="00DE53D4" w:rsidRPr="00FB56FE" w:rsidRDefault="00DE53D4" w:rsidP="00FB56FE">
            <w:pPr>
              <w:rPr>
                <w:sz w:val="20"/>
                <w:szCs w:val="20"/>
              </w:rPr>
            </w:pPr>
            <w:r w:rsidRPr="00FB56FE">
              <w:rPr>
                <w:sz w:val="20"/>
                <w:szCs w:val="20"/>
              </w:rPr>
              <w:t>1.8</w:t>
            </w:r>
          </w:p>
        </w:tc>
      </w:tr>
      <w:tr w:rsidR="00AF1AD8" w:rsidRPr="00FB56FE" w14:paraId="7B34EBF0" w14:textId="77777777" w:rsidTr="0045162A">
        <w:trPr>
          <w:trHeight w:val="227"/>
        </w:trPr>
        <w:tc>
          <w:tcPr>
            <w:tcW w:w="1150" w:type="dxa"/>
            <w:vMerge w:val="restart"/>
          </w:tcPr>
          <w:p w14:paraId="14315421" w14:textId="77777777" w:rsidR="00DE53D4" w:rsidRPr="00FB56FE" w:rsidRDefault="00DE53D4" w:rsidP="00FB56FE">
            <w:pPr>
              <w:ind w:left="0"/>
              <w:rPr>
                <w:sz w:val="20"/>
                <w:szCs w:val="20"/>
              </w:rPr>
            </w:pPr>
            <w:r w:rsidRPr="00FB56FE">
              <w:rPr>
                <w:sz w:val="20"/>
                <w:szCs w:val="20"/>
              </w:rPr>
              <w:t>Rabbit</w:t>
            </w:r>
            <w:r w:rsidRPr="00FB56FE">
              <w:rPr>
                <w:sz w:val="20"/>
                <w:szCs w:val="20"/>
              </w:rPr>
              <w:br/>
              <w:t>(NZW)</w:t>
            </w:r>
          </w:p>
        </w:tc>
        <w:tc>
          <w:tcPr>
            <w:tcW w:w="1554" w:type="dxa"/>
            <w:vMerge w:val="restart"/>
          </w:tcPr>
          <w:p w14:paraId="43753C59" w14:textId="77777777" w:rsidR="00DE53D4" w:rsidRPr="00FB56FE" w:rsidRDefault="00DE53D4" w:rsidP="00FB56FE">
            <w:pPr>
              <w:ind w:left="0"/>
              <w:rPr>
                <w:sz w:val="20"/>
                <w:szCs w:val="20"/>
              </w:rPr>
            </w:pPr>
            <w:proofErr w:type="spellStart"/>
            <w:r w:rsidRPr="00FB56FE">
              <w:rPr>
                <w:sz w:val="20"/>
                <w:szCs w:val="20"/>
              </w:rPr>
              <w:t>Embryofetal</w:t>
            </w:r>
            <w:proofErr w:type="spellEnd"/>
            <w:r w:rsidRPr="00FB56FE">
              <w:rPr>
                <w:sz w:val="20"/>
                <w:szCs w:val="20"/>
              </w:rPr>
              <w:t xml:space="preserve"> development</w:t>
            </w:r>
          </w:p>
          <w:p w14:paraId="0398EB51" w14:textId="592AD071" w:rsidR="00DE53D4" w:rsidRPr="00FB56FE" w:rsidRDefault="003246CE" w:rsidP="00FB56FE">
            <w:pPr>
              <w:ind w:left="0"/>
              <w:rPr>
                <w:sz w:val="20"/>
                <w:szCs w:val="20"/>
              </w:rPr>
            </w:pPr>
            <w:r w:rsidRPr="00FB56FE">
              <w:rPr>
                <w:sz w:val="20"/>
                <w:szCs w:val="20"/>
              </w:rPr>
              <w:t>(</w:t>
            </w:r>
            <w:r w:rsidR="00DE53D4" w:rsidRPr="00FB56FE">
              <w:rPr>
                <w:sz w:val="20"/>
                <w:szCs w:val="20"/>
              </w:rPr>
              <w:t>IXB00023</w:t>
            </w:r>
            <w:r w:rsidRPr="00FB56FE">
              <w:rPr>
                <w:sz w:val="20"/>
                <w:szCs w:val="20"/>
              </w:rPr>
              <w:t>)</w:t>
            </w:r>
          </w:p>
        </w:tc>
        <w:tc>
          <w:tcPr>
            <w:tcW w:w="1394" w:type="dxa"/>
            <w:vMerge w:val="restart"/>
          </w:tcPr>
          <w:p w14:paraId="1C8832C2" w14:textId="77777777" w:rsidR="00DE53D4" w:rsidRPr="00FB56FE" w:rsidRDefault="00DE53D4" w:rsidP="00FB56FE">
            <w:pPr>
              <w:ind w:left="13"/>
              <w:rPr>
                <w:sz w:val="20"/>
                <w:szCs w:val="20"/>
              </w:rPr>
            </w:pPr>
            <w:r w:rsidRPr="00FB56FE">
              <w:rPr>
                <w:sz w:val="20"/>
                <w:szCs w:val="20"/>
              </w:rPr>
              <w:t>alternate</w:t>
            </w:r>
            <w:r w:rsidRPr="00FB56FE">
              <w:rPr>
                <w:sz w:val="20"/>
                <w:szCs w:val="20"/>
              </w:rPr>
              <w:br/>
              <w:t>days</w:t>
            </w:r>
          </w:p>
        </w:tc>
        <w:tc>
          <w:tcPr>
            <w:tcW w:w="1045" w:type="dxa"/>
          </w:tcPr>
          <w:p w14:paraId="300FF606" w14:textId="77777777" w:rsidR="00DE53D4" w:rsidRPr="00FB56FE" w:rsidRDefault="00DE53D4" w:rsidP="00FB56FE">
            <w:pPr>
              <w:ind w:left="0"/>
              <w:rPr>
                <w:sz w:val="20"/>
                <w:szCs w:val="20"/>
              </w:rPr>
            </w:pPr>
            <w:r w:rsidRPr="00FB56FE">
              <w:rPr>
                <w:sz w:val="20"/>
                <w:szCs w:val="20"/>
              </w:rPr>
              <w:t>10</w:t>
            </w:r>
          </w:p>
        </w:tc>
        <w:tc>
          <w:tcPr>
            <w:tcW w:w="1911" w:type="dxa"/>
            <w:gridSpan w:val="3"/>
          </w:tcPr>
          <w:p w14:paraId="6F5E0AD6" w14:textId="77777777" w:rsidR="00DE53D4" w:rsidRPr="00FB56FE" w:rsidRDefault="00DE53D4" w:rsidP="00FB56FE">
            <w:pPr>
              <w:ind w:left="34"/>
              <w:rPr>
                <w:sz w:val="20"/>
                <w:szCs w:val="20"/>
              </w:rPr>
            </w:pPr>
            <w:r w:rsidRPr="00FB56FE">
              <w:rPr>
                <w:sz w:val="20"/>
                <w:szCs w:val="20"/>
              </w:rPr>
              <w:t>121000</w:t>
            </w:r>
          </w:p>
        </w:tc>
        <w:tc>
          <w:tcPr>
            <w:tcW w:w="2029" w:type="dxa"/>
            <w:gridSpan w:val="2"/>
          </w:tcPr>
          <w:p w14:paraId="05D29899" w14:textId="77777777" w:rsidR="00DE53D4" w:rsidRPr="00FB56FE" w:rsidRDefault="00DE53D4" w:rsidP="00FB56FE">
            <w:pPr>
              <w:rPr>
                <w:sz w:val="20"/>
                <w:szCs w:val="20"/>
              </w:rPr>
            </w:pPr>
            <w:r w:rsidRPr="00FB56FE">
              <w:rPr>
                <w:sz w:val="20"/>
                <w:szCs w:val="20"/>
              </w:rPr>
              <w:t>13</w:t>
            </w:r>
          </w:p>
        </w:tc>
      </w:tr>
      <w:tr w:rsidR="00AF1AD8" w:rsidRPr="00FB56FE" w14:paraId="26FC5B13" w14:textId="77777777" w:rsidTr="0045162A">
        <w:trPr>
          <w:trHeight w:val="227"/>
        </w:trPr>
        <w:tc>
          <w:tcPr>
            <w:tcW w:w="1150" w:type="dxa"/>
            <w:vMerge/>
          </w:tcPr>
          <w:p w14:paraId="384C4588" w14:textId="77777777" w:rsidR="00DE53D4" w:rsidRPr="00FB56FE" w:rsidRDefault="00DE53D4" w:rsidP="00FB56FE">
            <w:pPr>
              <w:ind w:left="0"/>
              <w:rPr>
                <w:sz w:val="20"/>
                <w:szCs w:val="20"/>
              </w:rPr>
            </w:pPr>
          </w:p>
        </w:tc>
        <w:tc>
          <w:tcPr>
            <w:tcW w:w="1554" w:type="dxa"/>
            <w:vMerge/>
          </w:tcPr>
          <w:p w14:paraId="6114493F" w14:textId="77777777" w:rsidR="00DE53D4" w:rsidRPr="00FB56FE" w:rsidRDefault="00DE53D4" w:rsidP="00FB56FE">
            <w:pPr>
              <w:ind w:left="0"/>
              <w:rPr>
                <w:sz w:val="20"/>
                <w:szCs w:val="20"/>
              </w:rPr>
            </w:pPr>
          </w:p>
        </w:tc>
        <w:tc>
          <w:tcPr>
            <w:tcW w:w="1394" w:type="dxa"/>
            <w:vMerge/>
          </w:tcPr>
          <w:p w14:paraId="624AE3BB" w14:textId="77777777" w:rsidR="00DE53D4" w:rsidRPr="00FB56FE" w:rsidRDefault="00DE53D4" w:rsidP="00FB56FE">
            <w:pPr>
              <w:ind w:left="13"/>
              <w:rPr>
                <w:sz w:val="20"/>
                <w:szCs w:val="20"/>
              </w:rPr>
            </w:pPr>
          </w:p>
        </w:tc>
        <w:tc>
          <w:tcPr>
            <w:tcW w:w="1045" w:type="dxa"/>
          </w:tcPr>
          <w:p w14:paraId="6E0F61B6" w14:textId="77777777" w:rsidR="00DE53D4" w:rsidRPr="00FB56FE" w:rsidRDefault="00DE53D4" w:rsidP="00FB56FE">
            <w:pPr>
              <w:ind w:left="0"/>
              <w:rPr>
                <w:sz w:val="20"/>
                <w:szCs w:val="20"/>
              </w:rPr>
            </w:pPr>
            <w:r w:rsidRPr="00FB56FE">
              <w:rPr>
                <w:sz w:val="20"/>
                <w:szCs w:val="20"/>
              </w:rPr>
              <w:t>20</w:t>
            </w:r>
          </w:p>
        </w:tc>
        <w:tc>
          <w:tcPr>
            <w:tcW w:w="1911" w:type="dxa"/>
            <w:gridSpan w:val="3"/>
          </w:tcPr>
          <w:p w14:paraId="5F2468B8" w14:textId="77777777" w:rsidR="00DE53D4" w:rsidRPr="00FB56FE" w:rsidRDefault="00DE53D4" w:rsidP="00FB56FE">
            <w:pPr>
              <w:ind w:left="34"/>
              <w:rPr>
                <w:sz w:val="20"/>
                <w:szCs w:val="20"/>
              </w:rPr>
            </w:pPr>
            <w:r w:rsidRPr="00FB56FE">
              <w:rPr>
                <w:sz w:val="20"/>
                <w:szCs w:val="20"/>
              </w:rPr>
              <w:t>102000</w:t>
            </w:r>
          </w:p>
        </w:tc>
        <w:tc>
          <w:tcPr>
            <w:tcW w:w="2029" w:type="dxa"/>
            <w:gridSpan w:val="2"/>
          </w:tcPr>
          <w:p w14:paraId="12D24060" w14:textId="77777777" w:rsidR="00DE53D4" w:rsidRPr="00FB56FE" w:rsidRDefault="00DE53D4" w:rsidP="00FB56FE">
            <w:pPr>
              <w:rPr>
                <w:sz w:val="20"/>
                <w:szCs w:val="20"/>
              </w:rPr>
            </w:pPr>
            <w:r w:rsidRPr="00FB56FE">
              <w:rPr>
                <w:sz w:val="20"/>
                <w:szCs w:val="20"/>
              </w:rPr>
              <w:t>11</w:t>
            </w:r>
          </w:p>
        </w:tc>
      </w:tr>
      <w:tr w:rsidR="00AF1AD8" w:rsidRPr="00FB56FE" w14:paraId="57B16AB9" w14:textId="77777777" w:rsidTr="0045162A">
        <w:trPr>
          <w:trHeight w:val="227"/>
        </w:trPr>
        <w:tc>
          <w:tcPr>
            <w:tcW w:w="1150" w:type="dxa"/>
            <w:vMerge/>
          </w:tcPr>
          <w:p w14:paraId="3A3EA438" w14:textId="77777777" w:rsidR="00DE53D4" w:rsidRPr="00FB56FE" w:rsidRDefault="00DE53D4" w:rsidP="00FB56FE">
            <w:pPr>
              <w:ind w:left="0"/>
              <w:rPr>
                <w:sz w:val="20"/>
                <w:szCs w:val="20"/>
              </w:rPr>
            </w:pPr>
          </w:p>
        </w:tc>
        <w:tc>
          <w:tcPr>
            <w:tcW w:w="1554" w:type="dxa"/>
            <w:vMerge/>
          </w:tcPr>
          <w:p w14:paraId="102EDAA7" w14:textId="77777777" w:rsidR="00DE53D4" w:rsidRPr="00FB56FE" w:rsidRDefault="00DE53D4" w:rsidP="00FB56FE">
            <w:pPr>
              <w:ind w:left="0"/>
              <w:rPr>
                <w:sz w:val="20"/>
                <w:szCs w:val="20"/>
              </w:rPr>
            </w:pPr>
          </w:p>
        </w:tc>
        <w:tc>
          <w:tcPr>
            <w:tcW w:w="1394" w:type="dxa"/>
            <w:vMerge/>
          </w:tcPr>
          <w:p w14:paraId="7086F821" w14:textId="77777777" w:rsidR="00DE53D4" w:rsidRPr="00FB56FE" w:rsidRDefault="00DE53D4" w:rsidP="00FB56FE">
            <w:pPr>
              <w:ind w:left="13"/>
              <w:rPr>
                <w:sz w:val="20"/>
                <w:szCs w:val="20"/>
              </w:rPr>
            </w:pPr>
          </w:p>
        </w:tc>
        <w:tc>
          <w:tcPr>
            <w:tcW w:w="1045" w:type="dxa"/>
          </w:tcPr>
          <w:p w14:paraId="04EA046D" w14:textId="77777777" w:rsidR="00DE53D4" w:rsidRPr="00FB56FE" w:rsidRDefault="00DE53D4" w:rsidP="00FB56FE">
            <w:pPr>
              <w:ind w:left="0"/>
              <w:rPr>
                <w:sz w:val="20"/>
                <w:szCs w:val="20"/>
              </w:rPr>
            </w:pPr>
            <w:r w:rsidRPr="00FB56FE">
              <w:rPr>
                <w:sz w:val="20"/>
                <w:szCs w:val="20"/>
              </w:rPr>
              <w:t>30</w:t>
            </w:r>
          </w:p>
        </w:tc>
        <w:tc>
          <w:tcPr>
            <w:tcW w:w="1911" w:type="dxa"/>
            <w:gridSpan w:val="3"/>
          </w:tcPr>
          <w:p w14:paraId="20B87595" w14:textId="77777777" w:rsidR="00DE53D4" w:rsidRPr="00FB56FE" w:rsidRDefault="00DE53D4" w:rsidP="00FB56FE">
            <w:pPr>
              <w:ind w:left="34"/>
              <w:rPr>
                <w:sz w:val="20"/>
                <w:szCs w:val="20"/>
              </w:rPr>
            </w:pPr>
            <w:r w:rsidRPr="00FB56FE">
              <w:rPr>
                <w:sz w:val="20"/>
                <w:szCs w:val="20"/>
              </w:rPr>
              <w:t>157000</w:t>
            </w:r>
          </w:p>
        </w:tc>
        <w:tc>
          <w:tcPr>
            <w:tcW w:w="2029" w:type="dxa"/>
            <w:gridSpan w:val="2"/>
          </w:tcPr>
          <w:p w14:paraId="5F83A081" w14:textId="77777777" w:rsidR="00DE53D4" w:rsidRPr="00FB56FE" w:rsidRDefault="00DE53D4" w:rsidP="00FB56FE">
            <w:pPr>
              <w:rPr>
                <w:sz w:val="20"/>
                <w:szCs w:val="20"/>
              </w:rPr>
            </w:pPr>
            <w:r w:rsidRPr="00FB56FE">
              <w:rPr>
                <w:sz w:val="20"/>
                <w:szCs w:val="20"/>
              </w:rPr>
              <w:t>17</w:t>
            </w:r>
          </w:p>
        </w:tc>
      </w:tr>
      <w:tr w:rsidR="00AF1AD8" w:rsidRPr="00FB56FE" w14:paraId="20446FD2" w14:textId="77777777" w:rsidTr="0045162A">
        <w:trPr>
          <w:trHeight w:val="227"/>
        </w:trPr>
        <w:tc>
          <w:tcPr>
            <w:tcW w:w="2704" w:type="dxa"/>
            <w:gridSpan w:val="2"/>
          </w:tcPr>
          <w:p w14:paraId="4C5830B2" w14:textId="07A5737E" w:rsidR="00DE53D4" w:rsidRPr="00FB56FE" w:rsidRDefault="00DE53D4" w:rsidP="00FB56FE">
            <w:pPr>
              <w:ind w:left="0"/>
              <w:rPr>
                <w:sz w:val="20"/>
                <w:szCs w:val="20"/>
              </w:rPr>
            </w:pPr>
            <w:r w:rsidRPr="00FB56FE">
              <w:rPr>
                <w:sz w:val="20"/>
                <w:szCs w:val="20"/>
              </w:rPr>
              <w:t>Human</w:t>
            </w:r>
            <w:r w:rsidR="00062889" w:rsidRPr="00FB56FE">
              <w:rPr>
                <w:sz w:val="20"/>
                <w:szCs w:val="20"/>
              </w:rPr>
              <w:t xml:space="preserve"> </w:t>
            </w:r>
            <w:r w:rsidRPr="00FB56FE">
              <w:rPr>
                <w:sz w:val="20"/>
                <w:szCs w:val="20"/>
              </w:rPr>
              <w:t>maximum recommended clinical dose</w:t>
            </w:r>
          </w:p>
          <w:p w14:paraId="6E50EF4F" w14:textId="33DC5348" w:rsidR="00DE53D4" w:rsidRPr="00FB56FE" w:rsidRDefault="003246CE" w:rsidP="00FB56FE">
            <w:pPr>
              <w:ind w:left="0"/>
              <w:rPr>
                <w:sz w:val="20"/>
                <w:szCs w:val="20"/>
              </w:rPr>
            </w:pPr>
            <w:r w:rsidRPr="00FB56FE">
              <w:rPr>
                <w:sz w:val="20"/>
                <w:szCs w:val="20"/>
              </w:rPr>
              <w:t>(Study ATX-101-12-32)</w:t>
            </w:r>
          </w:p>
        </w:tc>
        <w:tc>
          <w:tcPr>
            <w:tcW w:w="1394" w:type="dxa"/>
          </w:tcPr>
          <w:p w14:paraId="31F990F4" w14:textId="77777777" w:rsidR="00DE53D4" w:rsidRPr="00FB56FE" w:rsidRDefault="00DE53D4" w:rsidP="00FB56FE">
            <w:pPr>
              <w:ind w:left="13"/>
              <w:rPr>
                <w:sz w:val="20"/>
                <w:szCs w:val="20"/>
              </w:rPr>
            </w:pPr>
            <w:r w:rsidRPr="00FB56FE">
              <w:rPr>
                <w:sz w:val="20"/>
                <w:szCs w:val="20"/>
              </w:rPr>
              <w:t>once</w:t>
            </w:r>
            <w:r w:rsidRPr="00FB56FE">
              <w:rPr>
                <w:sz w:val="20"/>
                <w:szCs w:val="20"/>
              </w:rPr>
              <w:br/>
              <w:t>monthly</w:t>
            </w:r>
          </w:p>
        </w:tc>
        <w:tc>
          <w:tcPr>
            <w:tcW w:w="1045" w:type="dxa"/>
          </w:tcPr>
          <w:p w14:paraId="4E3A9FCE" w14:textId="792E6FD0" w:rsidR="00DE53D4" w:rsidRPr="00FB56FE" w:rsidRDefault="003246CE" w:rsidP="00FB56FE">
            <w:pPr>
              <w:ind w:left="0"/>
              <w:rPr>
                <w:sz w:val="20"/>
                <w:szCs w:val="20"/>
              </w:rPr>
            </w:pPr>
            <w:r w:rsidRPr="00FB56FE">
              <w:rPr>
                <w:sz w:val="20"/>
                <w:szCs w:val="20"/>
              </w:rPr>
              <w:t>100 mg</w:t>
            </w:r>
          </w:p>
        </w:tc>
        <w:tc>
          <w:tcPr>
            <w:tcW w:w="1911" w:type="dxa"/>
            <w:gridSpan w:val="3"/>
          </w:tcPr>
          <w:p w14:paraId="3A118065" w14:textId="77777777" w:rsidR="00DE53D4" w:rsidRPr="00FB56FE" w:rsidRDefault="00DE53D4" w:rsidP="00FB56FE">
            <w:pPr>
              <w:ind w:left="34"/>
              <w:rPr>
                <w:sz w:val="20"/>
                <w:szCs w:val="20"/>
              </w:rPr>
            </w:pPr>
            <w:r w:rsidRPr="00FB56FE">
              <w:rPr>
                <w:sz w:val="20"/>
                <w:szCs w:val="20"/>
              </w:rPr>
              <w:t>9159</w:t>
            </w:r>
          </w:p>
        </w:tc>
        <w:tc>
          <w:tcPr>
            <w:tcW w:w="2029" w:type="dxa"/>
            <w:gridSpan w:val="2"/>
          </w:tcPr>
          <w:p w14:paraId="4C77855F" w14:textId="449312E2" w:rsidR="00DE53D4" w:rsidRPr="00FB56FE" w:rsidRDefault="003246CE" w:rsidP="00FB56FE">
            <w:pPr>
              <w:rPr>
                <w:sz w:val="20"/>
                <w:szCs w:val="20"/>
              </w:rPr>
            </w:pPr>
            <w:r w:rsidRPr="00FB56FE">
              <w:rPr>
                <w:sz w:val="20"/>
                <w:szCs w:val="20"/>
              </w:rPr>
              <w:t>-</w:t>
            </w:r>
          </w:p>
        </w:tc>
      </w:tr>
    </w:tbl>
    <w:p w14:paraId="7C828AC0" w14:textId="4050E30A" w:rsidR="00DE53D4" w:rsidRPr="00262721" w:rsidRDefault="00262721" w:rsidP="00FB56FE">
      <w:pPr>
        <w:pStyle w:val="TableDescription"/>
      </w:pPr>
      <w:r>
        <w:rPr>
          <w:position w:val="-2"/>
        </w:rPr>
        <w:t>(1)</w:t>
      </w:r>
      <w:r w:rsidR="00DE53D4" w:rsidRPr="008C18EF">
        <w:t xml:space="preserve"> </w:t>
      </w:r>
      <w:proofErr w:type="gramStart"/>
      <w:r w:rsidR="00DE53D4" w:rsidRPr="008C18EF">
        <w:t>animal</w:t>
      </w:r>
      <w:proofErr w:type="gramEnd"/>
      <w:r w:rsidR="00DE53D4" w:rsidRPr="008C18EF">
        <w:t>:</w:t>
      </w:r>
      <w:r w:rsidR="00181498">
        <w:t xml:space="preserve"> </w:t>
      </w:r>
      <w:r w:rsidR="00DE53D4" w:rsidRPr="008C18EF">
        <w:t>human plasma AUC</w:t>
      </w:r>
      <w:r w:rsidR="00DE53D4" w:rsidRPr="008C18EF">
        <w:rPr>
          <w:vertAlign w:val="subscript"/>
        </w:rPr>
        <w:t>0–last</w:t>
      </w:r>
      <w:r w:rsidR="005C09C6">
        <w:t xml:space="preserve"> </w:t>
      </w:r>
      <w:r w:rsidR="005C09C6" w:rsidRPr="00262721">
        <w:t>(</w:t>
      </w:r>
      <w:r w:rsidR="00DE53D4" w:rsidRPr="00262721">
        <w:t>note: updated at Round 2</w:t>
      </w:r>
      <w:r w:rsidR="005C09C6" w:rsidRPr="00262721">
        <w:t>)</w:t>
      </w:r>
    </w:p>
    <w:p w14:paraId="3711E22F" w14:textId="2CDDE4FF" w:rsidR="00DE53D4" w:rsidRPr="00DE53D4" w:rsidRDefault="00DE53D4" w:rsidP="00FB56FE">
      <w:r w:rsidRPr="00DE53D4">
        <w:t xml:space="preserve">No adverse effects on male or female fertility were observed in rats treated with </w:t>
      </w:r>
      <w:proofErr w:type="spellStart"/>
      <w:r w:rsidRPr="00DE53D4">
        <w:t>deoxycholic</w:t>
      </w:r>
      <w:proofErr w:type="spellEnd"/>
      <w:r w:rsidRPr="00DE53D4">
        <w:t xml:space="preserve"> acid at doses up to </w:t>
      </w:r>
      <w:r>
        <w:t>50 </w:t>
      </w:r>
      <w:r w:rsidRPr="00DE53D4">
        <w:t>mg/kg once weekly (relative exposure, 5</w:t>
      </w:r>
      <w:r>
        <w:t xml:space="preserve"> in males and 3 </w:t>
      </w:r>
      <w:r w:rsidRPr="00DE53D4">
        <w:t xml:space="preserve">in females). Early embryonic development was also unaffected. </w:t>
      </w:r>
      <w:r>
        <w:t>The duration of the pre</w:t>
      </w:r>
      <w:r>
        <w:noBreakHyphen/>
      </w:r>
      <w:r w:rsidRPr="00DE53D4">
        <w:t xml:space="preserve">mating treatment period was two weeks for both sexes. This is in line with the relevant ICH guideline </w:t>
      </w:r>
      <w:r w:rsidRPr="00CA1832">
        <w:t>(IC</w:t>
      </w:r>
      <w:r w:rsidR="00CA1832" w:rsidRPr="00CA1832">
        <w:t>H S5 (R2)</w:t>
      </w:r>
      <w:r w:rsidRPr="00CA1832">
        <w:t>)</w:t>
      </w:r>
      <w:r w:rsidRPr="00DE53D4">
        <w:t xml:space="preserve"> for femal</w:t>
      </w:r>
      <w:r>
        <w:t>es, but not for males where a 4</w:t>
      </w:r>
      <w:r w:rsidR="00181498">
        <w:t xml:space="preserve"> </w:t>
      </w:r>
      <w:r>
        <w:t>week pre</w:t>
      </w:r>
      <w:r>
        <w:noBreakHyphen/>
      </w:r>
      <w:r w:rsidRPr="00DE53D4">
        <w:t>mating treatment period is recommended.</w:t>
      </w:r>
      <w:r w:rsidR="0095684F">
        <w:rPr>
          <w:rStyle w:val="FootnoteReference"/>
        </w:rPr>
        <w:footnoteReference w:id="8"/>
      </w:r>
      <w:r w:rsidRPr="00DE53D4">
        <w:t xml:space="preserve"> The use of once weekly administration also raises questions over the adequacy of the exposure period. For males, the absence of histopathological and other changes in r</w:t>
      </w:r>
      <w:r>
        <w:t>eproductive tissues in the general repeat</w:t>
      </w:r>
      <w:r>
        <w:noBreakHyphen/>
      </w:r>
      <w:r w:rsidRPr="00DE53D4">
        <w:t xml:space="preserve">dose toxicity studies is considered to be sufficient to allay concerns. Adverse effects on female fertility are not expected based on consideration of normal systemic exposure to </w:t>
      </w:r>
      <w:proofErr w:type="spellStart"/>
      <w:r w:rsidRPr="00DE53D4">
        <w:t>deoxycholic</w:t>
      </w:r>
      <w:proofErr w:type="spellEnd"/>
      <w:r w:rsidRPr="00DE53D4">
        <w:t xml:space="preserve"> acid in animals and humans.</w:t>
      </w:r>
    </w:p>
    <w:p w14:paraId="441EF76C" w14:textId="321B90B0" w:rsidR="00DE53D4" w:rsidRPr="00DE53D4" w:rsidRDefault="00DE53D4" w:rsidP="00DE53D4">
      <w:proofErr w:type="spellStart"/>
      <w:r w:rsidRPr="00DE53D4">
        <w:t>Embryofetal</w:t>
      </w:r>
      <w:proofErr w:type="spellEnd"/>
      <w:r w:rsidRPr="00DE53D4">
        <w:t xml:space="preserve"> development studies were performed in rats and rabbits. Administration was by SC injection on alternate days in both species, constrained by local tolerability. No adverse effects on </w:t>
      </w:r>
      <w:proofErr w:type="spellStart"/>
      <w:r w:rsidRPr="00DE53D4">
        <w:t>embryofetal</w:t>
      </w:r>
      <w:proofErr w:type="spellEnd"/>
      <w:r w:rsidRPr="00DE53D4">
        <w:t xml:space="preserve"> development were observed in rats (≤</w:t>
      </w:r>
      <w:r>
        <w:t> 50 </w:t>
      </w:r>
      <w:r w:rsidRPr="00DE53D4">
        <w:t>mg/kg every</w:t>
      </w:r>
      <w:r>
        <w:t xml:space="preserve"> other day; relative exposure</w:t>
      </w:r>
      <w:r w:rsidRPr="00DE53D4">
        <w:t xml:space="preserve"> ≤</w:t>
      </w:r>
      <w:r>
        <w:t> </w:t>
      </w:r>
      <w:r w:rsidRPr="00DE53D4">
        <w:t>1.8). In rabbits, an increase in the incidence of lung intermediate lobe agenesis was observed with dosing at 30 mg/kg every second day (rel</w:t>
      </w:r>
      <w:r>
        <w:t>ative exposure = </w:t>
      </w:r>
      <w:r w:rsidRPr="00DE53D4">
        <w:t xml:space="preserve">17). This finding is considered to be a minor anomaly in the rabbit, and it coincided with significant </w:t>
      </w:r>
      <w:proofErr w:type="spellStart"/>
      <w:r w:rsidRPr="00DE53D4">
        <w:t>maternotoxicity</w:t>
      </w:r>
      <w:proofErr w:type="spellEnd"/>
      <w:r w:rsidRPr="00DE53D4">
        <w:t xml:space="preserve"> (complete suppression of maternal body weight gain over the treatment period, associated with decreased food consumption and injection site reactions). As such, the observation is considered to be secondary to </w:t>
      </w:r>
      <w:proofErr w:type="spellStart"/>
      <w:r w:rsidRPr="00DE53D4">
        <w:t>maternotoxicity</w:t>
      </w:r>
      <w:proofErr w:type="spellEnd"/>
      <w:r w:rsidRPr="00DE53D4">
        <w:t xml:space="preserve"> and not to indicate that </w:t>
      </w:r>
      <w:proofErr w:type="spellStart"/>
      <w:r w:rsidRPr="00DE53D4">
        <w:t>deoxycholic</w:t>
      </w:r>
      <w:proofErr w:type="spellEnd"/>
      <w:r w:rsidRPr="00DE53D4">
        <w:t xml:space="preserve"> acid poses a direct hazard to </w:t>
      </w:r>
      <w:proofErr w:type="spellStart"/>
      <w:r w:rsidRPr="00DE53D4">
        <w:t>embryofetal</w:t>
      </w:r>
      <w:proofErr w:type="spellEnd"/>
      <w:r w:rsidRPr="00DE53D4">
        <w:t xml:space="preserve"> development. Given the dosing regimen and the pharmacokinetic profile of</w:t>
      </w:r>
      <w:r>
        <w:t xml:space="preserve"> the drug</w:t>
      </w:r>
      <w:r w:rsidRPr="00DE53D4">
        <w:t xml:space="preserve"> the effect of exposure to exogenously administered </w:t>
      </w:r>
      <w:proofErr w:type="spellStart"/>
      <w:r w:rsidRPr="00DE53D4">
        <w:t>deoxycholic</w:t>
      </w:r>
      <w:proofErr w:type="spellEnd"/>
      <w:r w:rsidRPr="00DE53D4">
        <w:t xml:space="preserve"> acid on all critical days has not been examined. This limitation is addressed by the evident safety of high endogenous circulating levels of </w:t>
      </w:r>
      <w:proofErr w:type="spellStart"/>
      <w:r w:rsidRPr="00DE53D4">
        <w:t>deoxycholic</w:t>
      </w:r>
      <w:proofErr w:type="spellEnd"/>
      <w:r w:rsidRPr="00DE53D4">
        <w:t xml:space="preserve"> acid in the rabbit.</w:t>
      </w:r>
    </w:p>
    <w:p w14:paraId="7306B59C" w14:textId="77777777" w:rsidR="00DE53D4" w:rsidRPr="00DE53D4" w:rsidRDefault="00DE53D4" w:rsidP="00DE53D4">
      <w:r w:rsidRPr="00DE53D4">
        <w:t>No adverse effects on pre</w:t>
      </w:r>
      <w:r>
        <w:noBreakHyphen/>
        <w:t xml:space="preserve"> or </w:t>
      </w:r>
      <w:r w:rsidRPr="00DE53D4">
        <w:t>postnatal development were observed in rats treated wi</w:t>
      </w:r>
      <w:r>
        <w:t xml:space="preserve">th </w:t>
      </w:r>
      <w:proofErr w:type="spellStart"/>
      <w:r>
        <w:t>deoxycholic</w:t>
      </w:r>
      <w:proofErr w:type="spellEnd"/>
      <w:r>
        <w:t xml:space="preserve"> acid at up to 50 mg/kg </w:t>
      </w:r>
      <w:r w:rsidRPr="00DE53D4">
        <w:t xml:space="preserve">SC every third day during gestation and lactation </w:t>
      </w:r>
      <w:r>
        <w:t xml:space="preserve">(relative exposure of approximately </w:t>
      </w:r>
      <w:r w:rsidRPr="00DE53D4">
        <w:t>2).</w:t>
      </w:r>
    </w:p>
    <w:p w14:paraId="63721788" w14:textId="77777777" w:rsidR="00DE53D4" w:rsidRPr="00DE53D4" w:rsidRDefault="00DE53D4" w:rsidP="00DE53D4">
      <w:pPr>
        <w:pStyle w:val="Heading5"/>
      </w:pPr>
      <w:r w:rsidRPr="00DE53D4">
        <w:lastRenderedPageBreak/>
        <w:t>Pregnancy classification</w:t>
      </w:r>
    </w:p>
    <w:p w14:paraId="2AFDB1F8" w14:textId="668A71B9" w:rsidR="00DE53D4" w:rsidRPr="00DE53D4" w:rsidRDefault="00DE53D4" w:rsidP="00DE53D4">
      <w:r w:rsidRPr="00DE53D4">
        <w:t>The sponsor proposes P</w:t>
      </w:r>
      <w:r w:rsidR="001C7596">
        <w:t>regnancy </w:t>
      </w:r>
      <w:r w:rsidRPr="00DE53D4">
        <w:t>C</w:t>
      </w:r>
      <w:r w:rsidR="001C7596">
        <w:t>ategory </w:t>
      </w:r>
      <w:r w:rsidRPr="00DE53D4">
        <w:t>B1.</w:t>
      </w:r>
      <w:r>
        <w:rPr>
          <w:rStyle w:val="FootnoteReference"/>
        </w:rPr>
        <w:footnoteReference w:id="9"/>
      </w:r>
      <w:r w:rsidRPr="00DE53D4">
        <w:t xml:space="preserve"> This is considered appropriate given the absence of relevant findings in the studies described above with certain limitations in the </w:t>
      </w:r>
      <w:proofErr w:type="spellStart"/>
      <w:r w:rsidRPr="00DE53D4">
        <w:t>embryofetal</w:t>
      </w:r>
      <w:proofErr w:type="spellEnd"/>
      <w:r w:rsidRPr="00DE53D4">
        <w:t xml:space="preserve"> development studies adequately addressed by other data.</w:t>
      </w:r>
    </w:p>
    <w:p w14:paraId="61A150B5" w14:textId="77777777" w:rsidR="00DE53D4" w:rsidRPr="00DE53D4" w:rsidRDefault="00DE53D4" w:rsidP="00DE53D4">
      <w:pPr>
        <w:pStyle w:val="Heading4"/>
      </w:pPr>
      <w:r w:rsidRPr="00DE53D4">
        <w:t>Local tolerance</w:t>
      </w:r>
    </w:p>
    <w:p w14:paraId="04A212E3" w14:textId="6839B27A" w:rsidR="00DE53D4" w:rsidRPr="00DE53D4" w:rsidRDefault="00DE53D4" w:rsidP="00DE53D4">
      <w:r w:rsidRPr="00DE53D4">
        <w:t>Two dedicated local tolerance studies were conducted in mini</w:t>
      </w:r>
      <w:r>
        <w:noBreakHyphen/>
      </w:r>
      <w:r w:rsidRPr="00DE53D4">
        <w:t>pigs using strengths of up to 2%. Findings were comparable to those in rats and dogs in the general toxicity studies.</w:t>
      </w:r>
    </w:p>
    <w:p w14:paraId="58BB4DDA" w14:textId="77777777" w:rsidR="00955FD8" w:rsidRDefault="001C7596" w:rsidP="001C7596">
      <w:pPr>
        <w:pStyle w:val="Heading4"/>
      </w:pPr>
      <w:r>
        <w:t>Impurities</w:t>
      </w:r>
    </w:p>
    <w:p w14:paraId="24A697A9" w14:textId="0880DE39" w:rsidR="001C7596" w:rsidRPr="001C7596" w:rsidRDefault="0065106E" w:rsidP="001C7596">
      <w:r>
        <w:t>Substance related</w:t>
      </w:r>
      <w:r w:rsidR="001C7596" w:rsidRPr="001C7596">
        <w:t xml:space="preserve"> impurities specified in the drug substance and drug product do not exceed the applicable ICH qualification thresholds (0.15% and 0.2%) and contain no structural alerts for </w:t>
      </w:r>
      <w:proofErr w:type="spellStart"/>
      <w:r w:rsidR="001C7596" w:rsidRPr="001C7596">
        <w:t>genotoxicity</w:t>
      </w:r>
      <w:proofErr w:type="spellEnd"/>
      <w:r w:rsidR="001C7596" w:rsidRPr="001C7596">
        <w:t>. The presence of a non-ICH residual solvent is adequately justified. A leachable detected under accelerated conditions is not considered to pose a notable toxicological risk. The impurity specification is considered to be acceptable from a nonclinical perspective.</w:t>
      </w:r>
    </w:p>
    <w:p w14:paraId="261504B7" w14:textId="77777777" w:rsidR="008E7846" w:rsidRDefault="008E7846" w:rsidP="008E7846">
      <w:pPr>
        <w:pStyle w:val="Heading3"/>
      </w:pPr>
      <w:bookmarkStart w:id="60" w:name="_Toc247691515"/>
      <w:bookmarkStart w:id="61" w:name="_Toc314842499"/>
      <w:bookmarkStart w:id="62" w:name="_Toc482015693"/>
      <w:r>
        <w:t>Nonclinical summary and conclusions</w:t>
      </w:r>
      <w:bookmarkEnd w:id="60"/>
      <w:bookmarkEnd w:id="61"/>
      <w:bookmarkEnd w:id="62"/>
    </w:p>
    <w:p w14:paraId="78335D18" w14:textId="15A8DB46" w:rsidR="002A7B10" w:rsidRPr="002A7B10" w:rsidRDefault="00FC3DB2" w:rsidP="00BB75B1">
      <w:pPr>
        <w:pStyle w:val="ListBullet"/>
      </w:pPr>
      <w:r>
        <w:t>The submission for non</w:t>
      </w:r>
      <w:r>
        <w:noBreakHyphen/>
        <w:t>clinical eva</w:t>
      </w:r>
      <w:r w:rsidR="00CF38D5">
        <w:t>l</w:t>
      </w:r>
      <w:r>
        <w:t>uation</w:t>
      </w:r>
      <w:r w:rsidR="002A7B10" w:rsidRPr="002A7B10">
        <w:t xml:space="preserve"> contained a satisfactory set of studies investigating pharmacology, pharmacokinetics and toxicity. All pivotal safety-related studies were GLP-compliant.</w:t>
      </w:r>
    </w:p>
    <w:p w14:paraId="65876105" w14:textId="7FE93E05" w:rsidR="002A7B10" w:rsidRPr="002A7B10" w:rsidRDefault="002A7B10" w:rsidP="00BB75B1">
      <w:pPr>
        <w:pStyle w:val="ListBullet"/>
      </w:pPr>
      <w:proofErr w:type="spellStart"/>
      <w:r w:rsidRPr="002A7B10">
        <w:t>Cytolytic</w:t>
      </w:r>
      <w:proofErr w:type="spellEnd"/>
      <w:r w:rsidRPr="002A7B10">
        <w:t xml:space="preserve"> activity by </w:t>
      </w:r>
      <w:proofErr w:type="spellStart"/>
      <w:r w:rsidRPr="002A7B10">
        <w:t>deoxycholic</w:t>
      </w:r>
      <w:proofErr w:type="spellEnd"/>
      <w:r w:rsidRPr="002A7B10">
        <w:t xml:space="preserve"> acid (≥</w:t>
      </w:r>
      <w:r w:rsidR="00FC3DB2">
        <w:t> </w:t>
      </w:r>
      <w:r w:rsidRPr="002A7B10">
        <w:t>0.01%) was shown against all cell types tested in vitro (including human keratinocytes, adipocytes, fibroblasts, and skeletal muscle myocytes). Cytolysis was attenuated in the presence of protein (such as collagen and bovine serum albumin), consistent with protein binding acting to reduce levels</w:t>
      </w:r>
      <w:r w:rsidR="00FC3DB2">
        <w:t xml:space="preserve"> of free </w:t>
      </w:r>
      <w:proofErr w:type="spellStart"/>
      <w:r w:rsidR="00FC3DB2">
        <w:t>deoxycholic</w:t>
      </w:r>
      <w:proofErr w:type="spellEnd"/>
      <w:r w:rsidR="00FC3DB2">
        <w:t xml:space="preserve"> acid. Dose</w:t>
      </w:r>
      <w:r w:rsidR="00FC3DB2">
        <w:noBreakHyphen/>
      </w:r>
      <w:r w:rsidRPr="002A7B10">
        <w:t xml:space="preserve">dependent adipose necrosis was shown in obese rats 24 h after SC administration of </w:t>
      </w:r>
      <w:proofErr w:type="spellStart"/>
      <w:r w:rsidRPr="002A7B10">
        <w:t>deoxycholic</w:t>
      </w:r>
      <w:proofErr w:type="spellEnd"/>
      <w:r w:rsidRPr="002A7B10">
        <w:t xml:space="preserve"> acid into fatty tissue. The primary pharmacology studies offer support for efficacy in the proposed indication.</w:t>
      </w:r>
    </w:p>
    <w:p w14:paraId="15A1EE09" w14:textId="77777777" w:rsidR="002A7B10" w:rsidRPr="002A7B10" w:rsidRDefault="002A7B10" w:rsidP="00BB75B1">
      <w:pPr>
        <w:pStyle w:val="ListBullet"/>
      </w:pPr>
      <w:r w:rsidRPr="002A7B10">
        <w:t xml:space="preserve">Safety pharmacology studies did not reveal any significant or clinically relevant effects of </w:t>
      </w:r>
      <w:proofErr w:type="spellStart"/>
      <w:r w:rsidRPr="002A7B10">
        <w:t>deoxycholic</w:t>
      </w:r>
      <w:proofErr w:type="spellEnd"/>
      <w:r w:rsidRPr="002A7B10">
        <w:t xml:space="preserve"> acid on the CNS, cardiovascular or respiratory systems.</w:t>
      </w:r>
    </w:p>
    <w:p w14:paraId="0035945C" w14:textId="77777777" w:rsidR="002A7B10" w:rsidRPr="002A7B10" w:rsidRDefault="002A7B10" w:rsidP="00BB75B1">
      <w:pPr>
        <w:pStyle w:val="ListBullet"/>
      </w:pPr>
      <w:r w:rsidRPr="002A7B10">
        <w:t xml:space="preserve">Systemic absorption of subcutaneously administered </w:t>
      </w:r>
      <w:proofErr w:type="spellStart"/>
      <w:r w:rsidRPr="002A7B10">
        <w:t>deoxycholic</w:t>
      </w:r>
      <w:proofErr w:type="spellEnd"/>
      <w:r w:rsidRPr="002A7B10">
        <w:t xml:space="preserve"> acid was generally rapid in all species (rats, rabbits, dogs and humans), where it is integrated into the endogenous bile acid pool. No clinically significant pharmacokinetic drug interactions are predicted.</w:t>
      </w:r>
    </w:p>
    <w:p w14:paraId="22892CAB" w14:textId="77777777" w:rsidR="002A7B10" w:rsidRPr="002A7B10" w:rsidRDefault="002A7B10" w:rsidP="00BB75B1">
      <w:pPr>
        <w:pStyle w:val="ListBullet"/>
      </w:pPr>
      <w:proofErr w:type="spellStart"/>
      <w:r w:rsidRPr="002A7B10">
        <w:t>Deoxycholic</w:t>
      </w:r>
      <w:proofErr w:type="spellEnd"/>
      <w:r w:rsidRPr="002A7B10">
        <w:t xml:space="preserve"> acid exhibited a low order of acute systemic toxicity in studies by the SC and IV routes in rats and dogs.</w:t>
      </w:r>
    </w:p>
    <w:p w14:paraId="03836C26" w14:textId="2FCCE968" w:rsidR="002A7B10" w:rsidRPr="002A7B10" w:rsidRDefault="002A7B10" w:rsidP="00BB75B1">
      <w:pPr>
        <w:pStyle w:val="ListBullet"/>
      </w:pPr>
      <w:r w:rsidRPr="002A7B10">
        <w:t xml:space="preserve">Repeat-dose toxicity studies of up to 6 months duration in rats and 9 months duration in dogs using the SC route were conducted and showed no direct systemic toxicity. A glomerular lipid embolus was observed in the </w:t>
      </w:r>
      <w:r w:rsidR="00FC3DB2">
        <w:t>kidney of one dog treated at 50 </w:t>
      </w:r>
      <w:r w:rsidRPr="002A7B10">
        <w:t>mg/kg twice monthly in the pivotal 9</w:t>
      </w:r>
      <w:r w:rsidRPr="002A7B10">
        <w:noBreakHyphen/>
        <w:t xml:space="preserve">month study, but the clinical relevance of the finding appears low given the much more intensive treatment regimen used. Injection site reactions were seen across all studies, and included signs of pain on injection, </w:t>
      </w:r>
      <w:r w:rsidRPr="002A7B10">
        <w:lastRenderedPageBreak/>
        <w:t xml:space="preserve">erythema, oedema, eschar, scabbing, </w:t>
      </w:r>
      <w:r w:rsidR="008B7C4D">
        <w:t>SC</w:t>
      </w:r>
      <w:r w:rsidRPr="002A7B10">
        <w:t xml:space="preserve"> gelatinous substance (necrotic-lysed fat), epithelial hyperplasia, acute and chronic inflammation, haemorrhage, fibrosis</w:t>
      </w:r>
      <w:r w:rsidR="00FC3DB2">
        <w:t xml:space="preserve"> or </w:t>
      </w:r>
      <w:r w:rsidRPr="002A7B10">
        <w:t>fibroplasia, ulceration and necrosis (including to muscle). There was evidence of normal wound repair and healing in post-dose and post-treatment phases. Local reactions can be expected with clinical use, but with lesser overall severity</w:t>
      </w:r>
      <w:r w:rsidR="00FC3DB2">
        <w:t xml:space="preserve"> or </w:t>
      </w:r>
      <w:r w:rsidRPr="002A7B10">
        <w:t xml:space="preserve">incidence than those seen in animals given the use </w:t>
      </w:r>
      <w:r w:rsidR="00FC3DB2">
        <w:t xml:space="preserve">of higher strengths, doses </w:t>
      </w:r>
      <w:r w:rsidRPr="002A7B10">
        <w:t>or more frequent administration here.</w:t>
      </w:r>
    </w:p>
    <w:p w14:paraId="63D8AF5D" w14:textId="3262BDFE" w:rsidR="002A7B10" w:rsidRPr="002A7B10" w:rsidRDefault="002A7B10" w:rsidP="00BB75B1">
      <w:pPr>
        <w:pStyle w:val="ListBullet"/>
      </w:pPr>
      <w:r w:rsidRPr="002A7B10">
        <w:t xml:space="preserve">Most of the nonclinical studies were conducted with </w:t>
      </w:r>
      <w:proofErr w:type="spellStart"/>
      <w:r w:rsidRPr="002A7B10">
        <w:t>deoxycholic</w:t>
      </w:r>
      <w:proofErr w:type="spellEnd"/>
      <w:r w:rsidRPr="002A7B10">
        <w:t xml:space="preserve"> acid formulated in vehicle containing 0.9% </w:t>
      </w:r>
      <w:r w:rsidR="00CA1604">
        <w:t>BA</w:t>
      </w:r>
      <w:r w:rsidRPr="002A7B10">
        <w:t xml:space="preserve">. Bridging this to support the proposed preservative-free formulation, a 4-week repeat-dose study in rats indicated a comparable local toxicity profile of formulations with and without 0.9% </w:t>
      </w:r>
      <w:r w:rsidR="00CA1604">
        <w:t>BA</w:t>
      </w:r>
      <w:r w:rsidRPr="002A7B10">
        <w:t>.</w:t>
      </w:r>
    </w:p>
    <w:p w14:paraId="0ACC8085" w14:textId="77777777" w:rsidR="002A7B10" w:rsidRPr="002A7B10" w:rsidRDefault="002A7B10" w:rsidP="00BB75B1">
      <w:pPr>
        <w:pStyle w:val="ListBullet"/>
      </w:pPr>
      <w:proofErr w:type="spellStart"/>
      <w:r w:rsidRPr="002A7B10">
        <w:t>Deoxycholic</w:t>
      </w:r>
      <w:proofErr w:type="spellEnd"/>
      <w:r w:rsidRPr="002A7B10">
        <w:t xml:space="preserve"> acid was shown to be not </w:t>
      </w:r>
      <w:proofErr w:type="spellStart"/>
      <w:r w:rsidRPr="002A7B10">
        <w:t>genotoxic</w:t>
      </w:r>
      <w:proofErr w:type="spellEnd"/>
      <w:r w:rsidRPr="002A7B10">
        <w:t xml:space="preserve"> in the standard battery of tests. Carcinogenicity studies were not conducted, consistent with ICH guidance considering the pattern of clinical use and the absence of a particular cause for concern identified in the </w:t>
      </w:r>
      <w:proofErr w:type="spellStart"/>
      <w:r w:rsidRPr="002A7B10">
        <w:t>genotoxicity</w:t>
      </w:r>
      <w:proofErr w:type="spellEnd"/>
      <w:r w:rsidRPr="002A7B10">
        <w:t xml:space="preserve"> and general toxicity programs.</w:t>
      </w:r>
    </w:p>
    <w:p w14:paraId="626B19D9" w14:textId="09F0BD23" w:rsidR="002A7B10" w:rsidRPr="002A7B10" w:rsidRDefault="002A7B10" w:rsidP="00BB75B1">
      <w:pPr>
        <w:pStyle w:val="ListBullet"/>
      </w:pPr>
      <w:r w:rsidRPr="002A7B10">
        <w:t xml:space="preserve">Reproductive toxicity studies revealed no direct adverse effects on fertility, </w:t>
      </w:r>
      <w:proofErr w:type="spellStart"/>
      <w:r w:rsidR="00FC3DB2" w:rsidRPr="002A7B10">
        <w:t>embryofetal</w:t>
      </w:r>
      <w:proofErr w:type="spellEnd"/>
      <w:r w:rsidRPr="002A7B10">
        <w:t xml:space="preserve"> development or pre-/postnatal development, although treatment periods were not fully ideal. Pregnancy Category B1 is supported.</w:t>
      </w:r>
    </w:p>
    <w:p w14:paraId="01768B3F" w14:textId="27743414" w:rsidR="00882EE9" w:rsidRPr="00882EE9" w:rsidRDefault="002A7B10" w:rsidP="00BB75B1">
      <w:pPr>
        <w:pStyle w:val="ListBullet"/>
      </w:pPr>
      <w:r w:rsidRPr="002A7B10">
        <w:t xml:space="preserve">There are no nonclinical objections to the registration of </w:t>
      </w:r>
      <w:proofErr w:type="spellStart"/>
      <w:r w:rsidRPr="002A7B10">
        <w:t>Belkyra</w:t>
      </w:r>
      <w:proofErr w:type="spellEnd"/>
      <w:r w:rsidRPr="002A7B10">
        <w:t xml:space="preserve"> for the proposed indication.</w:t>
      </w:r>
      <w:r w:rsidR="00FC3DB2">
        <w:t xml:space="preserve"> </w:t>
      </w:r>
      <w:r w:rsidR="00024110">
        <w:t>The evaluator recommended revisions to the draft PI but the d</w:t>
      </w:r>
      <w:r w:rsidR="00FC3DB2" w:rsidRPr="00FC3DB2">
        <w:t xml:space="preserve">etails of </w:t>
      </w:r>
      <w:r w:rsidR="00024110">
        <w:t>these</w:t>
      </w:r>
      <w:r w:rsidR="00FC3DB2" w:rsidRPr="00FC3DB2">
        <w:t xml:space="preserve"> are beyond the scope of this AusPAR</w:t>
      </w:r>
      <w:r w:rsidR="00CA1604">
        <w:t>.</w:t>
      </w:r>
    </w:p>
    <w:p w14:paraId="3BC8A157" w14:textId="77777777" w:rsidR="008E7846" w:rsidRPr="00254787" w:rsidRDefault="008E7846" w:rsidP="008E7846">
      <w:pPr>
        <w:pStyle w:val="Heading2"/>
      </w:pPr>
      <w:bookmarkStart w:id="63" w:name="_Toc196046462"/>
      <w:bookmarkStart w:id="64" w:name="_Toc247691516"/>
      <w:bookmarkStart w:id="65" w:name="_Toc314842500"/>
      <w:bookmarkStart w:id="66" w:name="_Toc482015694"/>
      <w:bookmarkStart w:id="67" w:name="_Toc163441353"/>
      <w:bookmarkStart w:id="68" w:name="_Toc163441348"/>
      <w:r>
        <w:t xml:space="preserve">IV. </w:t>
      </w:r>
      <w:r w:rsidRPr="00254787">
        <w:t>Clinical</w:t>
      </w:r>
      <w:bookmarkEnd w:id="63"/>
      <w:r>
        <w:t xml:space="preserve"> </w:t>
      </w:r>
      <w:r w:rsidR="003A7F6C">
        <w:t>f</w:t>
      </w:r>
      <w:r>
        <w:t>indings</w:t>
      </w:r>
      <w:bookmarkEnd w:id="64"/>
      <w:bookmarkEnd w:id="65"/>
      <w:bookmarkEnd w:id="66"/>
    </w:p>
    <w:p w14:paraId="6B0B6B27" w14:textId="67405EEB" w:rsidR="00882EE9" w:rsidRPr="00882EE9" w:rsidRDefault="00C80137" w:rsidP="00882EE9">
      <w:bookmarkStart w:id="69"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301AAB15" w14:textId="77777777" w:rsidR="008E7846" w:rsidRDefault="008E7846" w:rsidP="008E7846">
      <w:pPr>
        <w:pStyle w:val="Heading3"/>
      </w:pPr>
      <w:bookmarkStart w:id="70" w:name="_Toc247691517"/>
      <w:bookmarkStart w:id="71" w:name="_Toc314842501"/>
      <w:bookmarkStart w:id="72" w:name="_Toc482015695"/>
      <w:r w:rsidRPr="00254787">
        <w:t>Introduction</w:t>
      </w:r>
      <w:bookmarkEnd w:id="69"/>
      <w:bookmarkEnd w:id="70"/>
      <w:bookmarkEnd w:id="71"/>
      <w:bookmarkEnd w:id="72"/>
    </w:p>
    <w:p w14:paraId="0A221E79" w14:textId="77777777" w:rsidR="00605AD4" w:rsidRDefault="00605AD4" w:rsidP="00605AD4">
      <w:pPr>
        <w:pStyle w:val="Heading4"/>
      </w:pPr>
      <w:bookmarkStart w:id="73" w:name="_Toc196046464"/>
      <w:bookmarkStart w:id="74" w:name="_Toc247691518"/>
      <w:bookmarkStart w:id="75" w:name="_Toc314842502"/>
      <w:r w:rsidRPr="00605AD4">
        <w:t xml:space="preserve">Clinical </w:t>
      </w:r>
      <w:r w:rsidR="00EF59DC">
        <w:t>r</w:t>
      </w:r>
      <w:r w:rsidRPr="00605AD4">
        <w:t>ationale</w:t>
      </w:r>
    </w:p>
    <w:p w14:paraId="0B62453E" w14:textId="600B1807" w:rsidR="0020458D" w:rsidRDefault="0020458D" w:rsidP="005B74E9">
      <w:r w:rsidRPr="005B74E9">
        <w:t>Submental fat is a common condition and is n</w:t>
      </w:r>
      <w:r>
        <w:t>ot related to any co-morbidity.</w:t>
      </w:r>
      <w:r w:rsidRPr="005B74E9">
        <w:t xml:space="preserve"> It is more common with aging and occurs in both men and </w:t>
      </w:r>
      <w:r>
        <w:t xml:space="preserve">women </w:t>
      </w:r>
      <w:r w:rsidRPr="005B74E9">
        <w:t xml:space="preserve">that </w:t>
      </w:r>
      <w:r>
        <w:t xml:space="preserve">as per sponsor comments, </w:t>
      </w:r>
      <w:r w:rsidRPr="005B74E9">
        <w:t xml:space="preserve">presents as </w:t>
      </w:r>
      <w:r>
        <w:t>‘</w:t>
      </w:r>
      <w:r w:rsidRPr="00BB75B1">
        <w:rPr>
          <w:i/>
        </w:rPr>
        <w:t>an unappealing submental profile, convexity or fullness that negatively affects the satisfaction and well-being of a substantial proportion of the population’</w:t>
      </w:r>
      <w:r>
        <w:t xml:space="preserve">. </w:t>
      </w:r>
      <w:r w:rsidRPr="005B74E9">
        <w:t xml:space="preserve">Not all subjects with </w:t>
      </w:r>
      <w:r>
        <w:t>submental fat</w:t>
      </w:r>
      <w:r w:rsidRPr="005B74E9">
        <w:t xml:space="preserve"> are bothered by the condition</w:t>
      </w:r>
      <w:r>
        <w:t xml:space="preserve"> with </w:t>
      </w:r>
      <w:r w:rsidRPr="005B74E9">
        <w:t xml:space="preserve">the </w:t>
      </w:r>
      <w:r>
        <w:t>sponsor reporting</w:t>
      </w:r>
      <w:r w:rsidRPr="005B74E9">
        <w:t xml:space="preserve"> that </w:t>
      </w:r>
      <w:r>
        <w:t>‘</w:t>
      </w:r>
      <w:r w:rsidRPr="00BB75B1">
        <w:rPr>
          <w:i/>
        </w:rPr>
        <w:t>34% of those with marked submental fat reported being bothered by their submental fat’</w:t>
      </w:r>
      <w:r>
        <w:t xml:space="preserve"> and therefore</w:t>
      </w:r>
      <w:r w:rsidRPr="005B74E9">
        <w:t xml:space="preserve"> the morbidity associated with </w:t>
      </w:r>
      <w:r>
        <w:t>the condition is psychosocial.</w:t>
      </w:r>
    </w:p>
    <w:p w14:paraId="418CCF3A" w14:textId="5407167E" w:rsidR="00B8587E" w:rsidRDefault="00B8587E" w:rsidP="005B74E9">
      <w:r w:rsidRPr="005B74E9">
        <w:t>Currently available treatments for this condition are limited and include surgical procedures performed under general anaesthetic and targeted liposucti</w:t>
      </w:r>
      <w:r w:rsidR="005B74E9">
        <w:t xml:space="preserve">on. </w:t>
      </w:r>
      <w:r w:rsidRPr="005B74E9">
        <w:t>These currently available treatments can be associated with significant morbidity and may have a suboptimal outcome.</w:t>
      </w:r>
    </w:p>
    <w:p w14:paraId="3E44F4B7" w14:textId="2FFEA3A1" w:rsidR="0020458D" w:rsidRPr="005B74E9" w:rsidRDefault="0020458D" w:rsidP="005B74E9">
      <w:proofErr w:type="spellStart"/>
      <w:r>
        <w:t>Belkyra</w:t>
      </w:r>
      <w:proofErr w:type="spellEnd"/>
      <w:r w:rsidRPr="005B74E9">
        <w:t xml:space="preserve"> </w:t>
      </w:r>
      <w:r>
        <w:t xml:space="preserve">presents an alternative to current treatments and </w:t>
      </w:r>
      <w:r w:rsidRPr="005B74E9">
        <w:t xml:space="preserve">has been developed as a </w:t>
      </w:r>
      <w:r>
        <w:t>‘</w:t>
      </w:r>
      <w:r w:rsidRPr="00BB75B1">
        <w:rPr>
          <w:i/>
        </w:rPr>
        <w:t xml:space="preserve">potential first-in-class, </w:t>
      </w:r>
      <w:proofErr w:type="spellStart"/>
      <w:r w:rsidRPr="00BB75B1">
        <w:rPr>
          <w:i/>
        </w:rPr>
        <w:t>adipocytolic</w:t>
      </w:r>
      <w:proofErr w:type="spellEnd"/>
      <w:r w:rsidRPr="00BB75B1">
        <w:rPr>
          <w:i/>
        </w:rPr>
        <w:t>, submental-contouring, injectable drug</w:t>
      </w:r>
      <w:r>
        <w:t xml:space="preserve">’ </w:t>
      </w:r>
      <w:r w:rsidRPr="005B74E9">
        <w:t>developed as a cosme</w:t>
      </w:r>
      <w:r>
        <w:t>tic treatment for submental fat.</w:t>
      </w:r>
    </w:p>
    <w:p w14:paraId="59F7B344" w14:textId="77777777" w:rsidR="00605AD4" w:rsidRDefault="00605AD4" w:rsidP="00605AD4">
      <w:pPr>
        <w:pStyle w:val="Heading4"/>
      </w:pPr>
      <w:r w:rsidRPr="00605AD4">
        <w:t>Guidance</w:t>
      </w:r>
    </w:p>
    <w:p w14:paraId="2A7F4F70" w14:textId="56D83273" w:rsidR="00D20BCE" w:rsidRPr="003406AD" w:rsidRDefault="00D20BCE" w:rsidP="003406AD">
      <w:r w:rsidRPr="003406AD">
        <w:t xml:space="preserve">The </w:t>
      </w:r>
      <w:r w:rsidR="003406AD" w:rsidRPr="003406AD">
        <w:t>s</w:t>
      </w:r>
      <w:r w:rsidRPr="003406AD">
        <w:t>ponsor has had extensive correspo</w:t>
      </w:r>
      <w:r w:rsidR="003406AD" w:rsidRPr="003406AD">
        <w:t>ndence with regulatory agencies</w:t>
      </w:r>
      <w:r w:rsidRPr="003406AD">
        <w:t xml:space="preserve"> i</w:t>
      </w:r>
      <w:r w:rsidR="003406AD" w:rsidRPr="003406AD">
        <w:t xml:space="preserve">ncluding the TGA, FDA and </w:t>
      </w:r>
      <w:r w:rsidR="00024110">
        <w:t>European Medicines Agency (</w:t>
      </w:r>
      <w:r w:rsidR="003406AD" w:rsidRPr="003406AD">
        <w:t>EMA</w:t>
      </w:r>
      <w:r w:rsidR="00024110">
        <w:t>)</w:t>
      </w:r>
      <w:r w:rsidR="003406AD" w:rsidRPr="003406AD">
        <w:t>. The s</w:t>
      </w:r>
      <w:r w:rsidRPr="003406AD">
        <w:t xml:space="preserve">ponsor has used this </w:t>
      </w:r>
      <w:r w:rsidRPr="003406AD">
        <w:lastRenderedPageBreak/>
        <w:t>correspondence to clarify the data r</w:t>
      </w:r>
      <w:r w:rsidR="003406AD" w:rsidRPr="003406AD">
        <w:t>equirements for the application</w:t>
      </w:r>
      <w:r w:rsidRPr="003406AD">
        <w:t xml:space="preserve"> and whether the addition of preservative to </w:t>
      </w:r>
      <w:r w:rsidR="003406AD" w:rsidRPr="003406AD">
        <w:t xml:space="preserve">the vials would be acceptable. </w:t>
      </w:r>
      <w:r w:rsidRPr="003406AD">
        <w:t xml:space="preserve">While the FDA was accepting of the addition of </w:t>
      </w:r>
      <w:r w:rsidR="003406AD" w:rsidRPr="003406AD">
        <w:t>BA</w:t>
      </w:r>
      <w:r w:rsidRPr="003406AD">
        <w:t xml:space="preserve"> as a preservative, several of the European agencies and the TGA considered that there would be issues </w:t>
      </w:r>
      <w:r w:rsidR="003406AD" w:rsidRPr="003406AD">
        <w:t>regarding</w:t>
      </w:r>
      <w:r w:rsidRPr="003406AD">
        <w:t xml:space="preserve"> reuse and </w:t>
      </w:r>
      <w:r w:rsidRPr="00160B3C">
        <w:t>safety</w:t>
      </w:r>
      <w:r w:rsidR="003406AD" w:rsidRPr="00404977">
        <w:t xml:space="preserve">. The TGA </w:t>
      </w:r>
      <w:r w:rsidR="00160B3C" w:rsidRPr="00BB75B1">
        <w:t>requested</w:t>
      </w:r>
      <w:r w:rsidR="00160B3C" w:rsidRPr="00160B3C">
        <w:t xml:space="preserve"> </w:t>
      </w:r>
      <w:r w:rsidR="003406AD" w:rsidRPr="00404977">
        <w:t>that: ‘</w:t>
      </w:r>
      <w:r w:rsidRPr="00404977">
        <w:t>the company would need to provide a robust clinical and scientific justification for incl</w:t>
      </w:r>
      <w:r w:rsidRPr="00C954F4">
        <w:t>usion of BA in the formulation</w:t>
      </w:r>
      <w:r w:rsidR="003406AD" w:rsidRPr="00E837BA">
        <w:t>’. The s</w:t>
      </w:r>
      <w:r w:rsidRPr="00160B3C">
        <w:t>ponsor</w:t>
      </w:r>
      <w:r w:rsidRPr="003406AD">
        <w:t xml:space="preserve"> was also advised that two pivotal efficacy studies would be required in support of efficacy.</w:t>
      </w:r>
      <w:r w:rsidR="003406AD" w:rsidRPr="003406AD">
        <w:t xml:space="preserve"> </w:t>
      </w:r>
      <w:r w:rsidRPr="003406AD">
        <w:t>There was also regulatory advice on using questionnaires to assess psychological impact.</w:t>
      </w:r>
    </w:p>
    <w:p w14:paraId="0EA51119" w14:textId="77777777" w:rsidR="00605AD4" w:rsidRDefault="00605AD4" w:rsidP="00605AD4">
      <w:pPr>
        <w:pStyle w:val="Heading4"/>
      </w:pPr>
      <w:r w:rsidRPr="00605AD4">
        <w:t>Contents of the clinical dossier</w:t>
      </w:r>
    </w:p>
    <w:p w14:paraId="6C0FC689" w14:textId="77777777" w:rsidR="003406AD" w:rsidRDefault="003406AD" w:rsidP="003406AD">
      <w:r w:rsidRPr="003406AD">
        <w:t xml:space="preserve">The data represented a full clinical development program for </w:t>
      </w:r>
      <w:r>
        <w:t xml:space="preserve">the indication of submental fat. </w:t>
      </w:r>
      <w:r w:rsidRPr="003406AD">
        <w:t>The submission contained the following clinical information:</w:t>
      </w:r>
    </w:p>
    <w:p w14:paraId="04D53361" w14:textId="2872F8A8" w:rsidR="003406AD" w:rsidRDefault="00342D73" w:rsidP="003406AD">
      <w:pPr>
        <w:pStyle w:val="ListBullet"/>
      </w:pPr>
      <w:r>
        <w:t>2</w:t>
      </w:r>
      <w:r w:rsidR="003406AD" w:rsidRPr="003406AD">
        <w:t xml:space="preserve"> pivotal efficacy/safety studies</w:t>
      </w:r>
    </w:p>
    <w:p w14:paraId="5DBA0565" w14:textId="439DCA23" w:rsidR="00342D73" w:rsidRDefault="00342D73" w:rsidP="003406AD">
      <w:pPr>
        <w:pStyle w:val="ListBullet"/>
      </w:pPr>
      <w:r>
        <w:t>3 dose-finding studies</w:t>
      </w:r>
    </w:p>
    <w:p w14:paraId="446DCEA8" w14:textId="6D75324C" w:rsidR="00342D73" w:rsidRDefault="00342D73" w:rsidP="003406AD">
      <w:pPr>
        <w:pStyle w:val="ListBullet"/>
      </w:pPr>
      <w:r>
        <w:t>5 supportive studies, including:</w:t>
      </w:r>
    </w:p>
    <w:p w14:paraId="17608905" w14:textId="3399D66A" w:rsidR="00342D73" w:rsidRDefault="00342D73" w:rsidP="00342D73">
      <w:pPr>
        <w:pStyle w:val="ListBullet2"/>
      </w:pPr>
      <w:r>
        <w:t>2 efficacy/safety studies</w:t>
      </w:r>
    </w:p>
    <w:p w14:paraId="33C1F9D3" w14:textId="7850A47A" w:rsidR="00342D73" w:rsidRDefault="00342D73" w:rsidP="00342D73">
      <w:pPr>
        <w:pStyle w:val="ListBullet2"/>
      </w:pPr>
      <w:r>
        <w:t>1 open-label, long term follow up study</w:t>
      </w:r>
    </w:p>
    <w:p w14:paraId="2FC37447" w14:textId="74C9C6E9" w:rsidR="00342D73" w:rsidRDefault="00342D73" w:rsidP="00342D73">
      <w:pPr>
        <w:pStyle w:val="ListBullet2"/>
      </w:pPr>
      <w:r>
        <w:t>2 other long term follow up studies</w:t>
      </w:r>
    </w:p>
    <w:p w14:paraId="4D570DC4" w14:textId="5F5B8DA9" w:rsidR="00C469F0" w:rsidRDefault="00C469F0" w:rsidP="00C469F0">
      <w:pPr>
        <w:pStyle w:val="ListBullet"/>
      </w:pPr>
      <w:r>
        <w:t>1</w:t>
      </w:r>
      <w:r w:rsidRPr="003406AD">
        <w:t xml:space="preserve"> population pharmacokinetic analysis</w:t>
      </w:r>
    </w:p>
    <w:p w14:paraId="48C2D09C" w14:textId="7845784D" w:rsidR="00342D73" w:rsidRDefault="00342D73" w:rsidP="00342D73">
      <w:pPr>
        <w:pStyle w:val="ListBullet"/>
      </w:pPr>
      <w:r>
        <w:t>4 studies evaluable for safety only</w:t>
      </w:r>
    </w:p>
    <w:p w14:paraId="688CDA2F" w14:textId="5804F9CB" w:rsidR="00C961F3" w:rsidRDefault="00C961F3" w:rsidP="00C961F3">
      <w:pPr>
        <w:pStyle w:val="ListBullet"/>
      </w:pPr>
      <w:r>
        <w:t>4 studies designed to validate efficacy and safety outcome measures</w:t>
      </w:r>
    </w:p>
    <w:p w14:paraId="07448E4B" w14:textId="78622288" w:rsidR="003406AD" w:rsidRDefault="00C469F0" w:rsidP="003406AD">
      <w:pPr>
        <w:pStyle w:val="ListBullet"/>
      </w:pPr>
      <w:r>
        <w:t xml:space="preserve">1 </w:t>
      </w:r>
      <w:r w:rsidR="003406AD" w:rsidRPr="003406AD">
        <w:t>Integrated Summary of Efficacy</w:t>
      </w:r>
      <w:r>
        <w:t xml:space="preserve"> (ISE)</w:t>
      </w:r>
      <w:r w:rsidR="003406AD" w:rsidRPr="003406AD">
        <w:t xml:space="preserve"> and </w:t>
      </w:r>
      <w:r>
        <w:t xml:space="preserve">1 </w:t>
      </w:r>
      <w:r w:rsidR="003406AD" w:rsidRPr="003406AD">
        <w:t>Integrated Summary of Safety</w:t>
      </w:r>
      <w:r>
        <w:t xml:space="preserve"> (ISS)</w:t>
      </w:r>
    </w:p>
    <w:p w14:paraId="2E5B1C87" w14:textId="5656863A" w:rsidR="00C469F0" w:rsidRPr="00C469F0" w:rsidRDefault="00C469F0" w:rsidP="00C469F0">
      <w:r w:rsidRPr="00C469F0">
        <w:t>In addition, the clinical dossier contained a clinical overview and summaries of clinical efficacy and safety.</w:t>
      </w:r>
    </w:p>
    <w:p w14:paraId="6D8D93F1" w14:textId="77777777" w:rsidR="00605AD4" w:rsidRDefault="00605AD4" w:rsidP="00605AD4">
      <w:pPr>
        <w:pStyle w:val="Heading4"/>
      </w:pPr>
      <w:r w:rsidRPr="00605AD4">
        <w:t>Paediatric data</w:t>
      </w:r>
    </w:p>
    <w:p w14:paraId="5068463F" w14:textId="4B5BBD4C" w:rsidR="00C469F0" w:rsidRDefault="00C469F0" w:rsidP="00C469F0">
      <w:r>
        <w:t>This submission did not include paediatric data.</w:t>
      </w:r>
    </w:p>
    <w:p w14:paraId="5F487500" w14:textId="37BD2C9E" w:rsidR="00267A75" w:rsidRDefault="00C469F0" w:rsidP="00C469F0">
      <w:r w:rsidRPr="00C469F0">
        <w:t xml:space="preserve">The </w:t>
      </w:r>
      <w:r>
        <w:t>s</w:t>
      </w:r>
      <w:r w:rsidRPr="00C469F0">
        <w:t xml:space="preserve">ponsor has been granted a waiver for a Paediatric Investigation Plan in the </w:t>
      </w:r>
      <w:r w:rsidR="00024110">
        <w:t>European Union (</w:t>
      </w:r>
      <w:r w:rsidRPr="00C469F0">
        <w:t>EU</w:t>
      </w:r>
      <w:r w:rsidR="00024110">
        <w:t>)</w:t>
      </w:r>
      <w:r w:rsidRPr="00C469F0">
        <w:t xml:space="preserve"> on the grounds that the specific medicinal product does not represent a significant therapeutic benefit over existing treat</w:t>
      </w:r>
      <w:r w:rsidR="00267A75">
        <w:t>ments for paediatric patients.</w:t>
      </w:r>
    </w:p>
    <w:p w14:paraId="73C7243E" w14:textId="09E08A80" w:rsidR="00C469F0" w:rsidRPr="00C469F0" w:rsidRDefault="00267A75" w:rsidP="00C469F0">
      <w:r>
        <w:t>The s</w:t>
      </w:r>
      <w:r w:rsidR="00C469F0" w:rsidRPr="00C469F0">
        <w:t>ponsor has also been granted a waiver by the FDA on the grounds that the drug product does not represent a meaningful therapeutic benefit over existing treatments for paediatric</w:t>
      </w:r>
      <w:r>
        <w:t xml:space="preserve"> patients and t</w:t>
      </w:r>
      <w:r w:rsidR="00C469F0" w:rsidRPr="00C469F0">
        <w:t>he drug product is not likely to be used in a substantial number of paediatric patients.</w:t>
      </w:r>
    </w:p>
    <w:p w14:paraId="6B7176AA" w14:textId="77777777" w:rsidR="00605AD4" w:rsidRDefault="00605AD4" w:rsidP="00605AD4">
      <w:pPr>
        <w:pStyle w:val="Heading4"/>
      </w:pPr>
      <w:r w:rsidRPr="00605AD4">
        <w:t>Good clinical practice</w:t>
      </w:r>
    </w:p>
    <w:p w14:paraId="56BF5E18" w14:textId="6FE9AFB5" w:rsidR="00267A75" w:rsidRPr="00267A75" w:rsidRDefault="00267A75" w:rsidP="00024110">
      <w:bookmarkStart w:id="76" w:name="_Toc241374282"/>
      <w:r w:rsidRPr="002C2BA3">
        <w:t>The clinical studies presented in the submission are stated to have been conducted</w:t>
      </w:r>
      <w:r w:rsidR="00F9736C">
        <w:t xml:space="preserve">, and appear to have been conducted </w:t>
      </w:r>
      <w:r w:rsidRPr="002C2BA3">
        <w:t xml:space="preserve">according to </w:t>
      </w:r>
      <w:bookmarkEnd w:id="76"/>
      <w:r w:rsidR="00AF1AD8">
        <w:t>GCP</w:t>
      </w:r>
      <w:r w:rsidR="00F9736C">
        <w:t>.</w:t>
      </w:r>
    </w:p>
    <w:p w14:paraId="7AE24A2C" w14:textId="77777777" w:rsidR="008E7846" w:rsidRDefault="008E7846" w:rsidP="00024110">
      <w:pPr>
        <w:pStyle w:val="Heading3"/>
      </w:pPr>
      <w:bookmarkStart w:id="77" w:name="_Toc482015696"/>
      <w:r w:rsidRPr="00024110">
        <w:t>Pharmacokinetics</w:t>
      </w:r>
      <w:bookmarkEnd w:id="67"/>
      <w:bookmarkEnd w:id="73"/>
      <w:bookmarkEnd w:id="74"/>
      <w:bookmarkEnd w:id="75"/>
      <w:bookmarkEnd w:id="77"/>
    </w:p>
    <w:p w14:paraId="707D42F5" w14:textId="107EB09C" w:rsidR="00C47F5C" w:rsidRDefault="00605AD4" w:rsidP="00024110">
      <w:pPr>
        <w:pStyle w:val="Heading4"/>
      </w:pPr>
      <w:r w:rsidRPr="00024110">
        <w:t>Studies</w:t>
      </w:r>
      <w:r w:rsidR="00C47F5C" w:rsidRPr="00024110">
        <w:t xml:space="preserve"> providing pharmacokinetic data</w:t>
      </w:r>
    </w:p>
    <w:p w14:paraId="6F6576F2" w14:textId="2291220B" w:rsidR="00024110" w:rsidRPr="00024110" w:rsidRDefault="00024110" w:rsidP="00BB75B1">
      <w:r>
        <w:t>The following table lists the studies providing pharmacokinetic data in this submission.</w:t>
      </w:r>
    </w:p>
    <w:p w14:paraId="701E767B" w14:textId="3F14533F" w:rsidR="00C47F5C" w:rsidRPr="0096405B" w:rsidRDefault="00C47F5C" w:rsidP="00C47F5C">
      <w:pPr>
        <w:pStyle w:val="Tabletitle0"/>
      </w:pPr>
      <w:r>
        <w:lastRenderedPageBreak/>
        <w:t xml:space="preserve">Table </w:t>
      </w:r>
      <w:r w:rsidR="00AF1AD8">
        <w:t>4</w:t>
      </w:r>
      <w:r w:rsidR="00024110">
        <w:t>:</w:t>
      </w:r>
      <w:r>
        <w:t xml:space="preserve"> Summary of studies providing pharmacokinetic data</w:t>
      </w:r>
    </w:p>
    <w:tbl>
      <w:tblPr>
        <w:tblStyle w:val="TableTGAblue"/>
        <w:tblW w:w="8305" w:type="dxa"/>
        <w:tblLayout w:type="fixed"/>
        <w:tblLook w:val="04A0" w:firstRow="1" w:lastRow="0" w:firstColumn="1" w:lastColumn="0" w:noHBand="0" w:noVBand="1"/>
      </w:tblPr>
      <w:tblGrid>
        <w:gridCol w:w="3805"/>
        <w:gridCol w:w="2340"/>
        <w:gridCol w:w="2160"/>
      </w:tblGrid>
      <w:tr w:rsidR="00C47F5C" w:rsidRPr="0096405B" w14:paraId="5693E28A" w14:textId="77777777" w:rsidTr="00C47F5C">
        <w:trPr>
          <w:cnfStyle w:val="100000000000" w:firstRow="1" w:lastRow="0" w:firstColumn="0" w:lastColumn="0" w:oddVBand="0" w:evenVBand="0" w:oddHBand="0" w:evenHBand="0" w:firstRowFirstColumn="0" w:firstRowLastColumn="0" w:lastRowFirstColumn="0" w:lastRowLastColumn="0"/>
        </w:trPr>
        <w:tc>
          <w:tcPr>
            <w:tcW w:w="3805" w:type="dxa"/>
          </w:tcPr>
          <w:p w14:paraId="5BB434AF" w14:textId="77777777" w:rsidR="00C47F5C" w:rsidRPr="0096405B" w:rsidRDefault="00C47F5C" w:rsidP="00B03A6C">
            <w:pPr>
              <w:rPr>
                <w:sz w:val="21"/>
              </w:rPr>
            </w:pPr>
            <w:r w:rsidRPr="0096405B">
              <w:rPr>
                <w:sz w:val="21"/>
              </w:rPr>
              <w:t>P</w:t>
            </w:r>
            <w:r>
              <w:rPr>
                <w:sz w:val="21"/>
              </w:rPr>
              <w:t>harmacokinetic</w:t>
            </w:r>
            <w:r w:rsidRPr="0096405B">
              <w:rPr>
                <w:sz w:val="21"/>
              </w:rPr>
              <w:t xml:space="preserve"> topic</w:t>
            </w:r>
          </w:p>
        </w:tc>
        <w:tc>
          <w:tcPr>
            <w:tcW w:w="2340" w:type="dxa"/>
          </w:tcPr>
          <w:p w14:paraId="2B55FBE9" w14:textId="77777777" w:rsidR="00C47F5C" w:rsidRPr="0096405B" w:rsidRDefault="00C47F5C" w:rsidP="00B03A6C">
            <w:pPr>
              <w:rPr>
                <w:sz w:val="21"/>
              </w:rPr>
            </w:pPr>
            <w:r w:rsidRPr="0096405B">
              <w:rPr>
                <w:sz w:val="21"/>
              </w:rPr>
              <w:t>Subtopic</w:t>
            </w:r>
          </w:p>
        </w:tc>
        <w:tc>
          <w:tcPr>
            <w:tcW w:w="2160" w:type="dxa"/>
          </w:tcPr>
          <w:p w14:paraId="1CADE76C" w14:textId="77777777" w:rsidR="00C47F5C" w:rsidRPr="0096405B" w:rsidRDefault="00C47F5C" w:rsidP="00B03A6C">
            <w:pPr>
              <w:rPr>
                <w:sz w:val="21"/>
              </w:rPr>
            </w:pPr>
            <w:r w:rsidRPr="0096405B">
              <w:rPr>
                <w:sz w:val="21"/>
              </w:rPr>
              <w:t>Study ID</w:t>
            </w:r>
          </w:p>
        </w:tc>
      </w:tr>
      <w:tr w:rsidR="00C47F5C" w:rsidRPr="0096405B" w14:paraId="39762EC9" w14:textId="77777777" w:rsidTr="00C47F5C">
        <w:trPr>
          <w:trHeight w:val="358"/>
        </w:trPr>
        <w:tc>
          <w:tcPr>
            <w:tcW w:w="3805" w:type="dxa"/>
            <w:vMerge w:val="restart"/>
          </w:tcPr>
          <w:p w14:paraId="0266ACD7" w14:textId="77777777" w:rsidR="00C47F5C" w:rsidRPr="00C47F5C" w:rsidRDefault="00C47F5C" w:rsidP="00C47F5C">
            <w:pPr>
              <w:spacing w:before="40" w:after="40"/>
              <w:ind w:left="144" w:right="144"/>
              <w:rPr>
                <w:sz w:val="20"/>
              </w:rPr>
            </w:pPr>
            <w:r w:rsidRPr="00C47F5C">
              <w:rPr>
                <w:sz w:val="20"/>
              </w:rPr>
              <w:t>Pharmacokinetics in healthy adults</w:t>
            </w:r>
          </w:p>
        </w:tc>
        <w:tc>
          <w:tcPr>
            <w:tcW w:w="2340" w:type="dxa"/>
            <w:vMerge w:val="restart"/>
          </w:tcPr>
          <w:p w14:paraId="38016C61" w14:textId="77777777" w:rsidR="00C47F5C" w:rsidRPr="00C47F5C" w:rsidRDefault="00C47F5C" w:rsidP="00C47F5C">
            <w:pPr>
              <w:spacing w:before="40" w:after="40"/>
              <w:ind w:left="144" w:right="144"/>
              <w:rPr>
                <w:sz w:val="20"/>
              </w:rPr>
            </w:pPr>
            <w:r w:rsidRPr="00C47F5C">
              <w:rPr>
                <w:sz w:val="20"/>
              </w:rPr>
              <w:t>General pharmacokinetics</w:t>
            </w:r>
          </w:p>
          <w:p w14:paraId="29A78887" w14:textId="77777777" w:rsidR="00C47F5C" w:rsidRPr="00C47F5C" w:rsidRDefault="00C47F5C" w:rsidP="00C47F5C">
            <w:pPr>
              <w:spacing w:before="40" w:after="40"/>
              <w:ind w:left="144" w:right="144"/>
              <w:rPr>
                <w:sz w:val="20"/>
              </w:rPr>
            </w:pPr>
            <w:r w:rsidRPr="00C47F5C">
              <w:rPr>
                <w:sz w:val="20"/>
              </w:rPr>
              <w:t>(Single dose)</w:t>
            </w:r>
          </w:p>
        </w:tc>
        <w:tc>
          <w:tcPr>
            <w:tcW w:w="2160" w:type="dxa"/>
          </w:tcPr>
          <w:p w14:paraId="1B2D71DF" w14:textId="77777777" w:rsidR="00C47F5C" w:rsidRPr="00C47F5C" w:rsidRDefault="00C47F5C" w:rsidP="00C47F5C">
            <w:pPr>
              <w:spacing w:before="40" w:after="40"/>
              <w:ind w:left="144" w:right="144"/>
              <w:rPr>
                <w:sz w:val="20"/>
              </w:rPr>
            </w:pPr>
            <w:r w:rsidRPr="00C47F5C">
              <w:rPr>
                <w:sz w:val="20"/>
              </w:rPr>
              <w:t>Study 08</w:t>
            </w:r>
          </w:p>
        </w:tc>
      </w:tr>
      <w:tr w:rsidR="00C47F5C" w:rsidRPr="0096405B" w14:paraId="1F121EFD" w14:textId="77777777" w:rsidTr="00C47F5C">
        <w:tc>
          <w:tcPr>
            <w:tcW w:w="3805" w:type="dxa"/>
            <w:vMerge/>
          </w:tcPr>
          <w:p w14:paraId="05EDA665" w14:textId="77777777" w:rsidR="00C47F5C" w:rsidRPr="00C47F5C" w:rsidRDefault="00C47F5C" w:rsidP="00C47F5C">
            <w:pPr>
              <w:spacing w:before="40" w:after="40"/>
              <w:ind w:left="144" w:right="144"/>
              <w:rPr>
                <w:sz w:val="20"/>
              </w:rPr>
            </w:pPr>
          </w:p>
        </w:tc>
        <w:tc>
          <w:tcPr>
            <w:tcW w:w="2340" w:type="dxa"/>
            <w:vMerge/>
          </w:tcPr>
          <w:p w14:paraId="09152E36" w14:textId="77777777" w:rsidR="00C47F5C" w:rsidRPr="00C47F5C" w:rsidRDefault="00C47F5C" w:rsidP="00C47F5C">
            <w:pPr>
              <w:spacing w:before="40" w:after="40"/>
              <w:ind w:left="144" w:right="144"/>
              <w:rPr>
                <w:sz w:val="20"/>
              </w:rPr>
            </w:pPr>
          </w:p>
        </w:tc>
        <w:tc>
          <w:tcPr>
            <w:tcW w:w="2160" w:type="dxa"/>
          </w:tcPr>
          <w:p w14:paraId="0C9A85F7" w14:textId="77777777" w:rsidR="00C47F5C" w:rsidRPr="00C47F5C" w:rsidRDefault="00C47F5C" w:rsidP="00C47F5C">
            <w:pPr>
              <w:spacing w:before="40" w:after="40"/>
              <w:ind w:left="144" w:right="144"/>
              <w:rPr>
                <w:sz w:val="20"/>
              </w:rPr>
            </w:pPr>
            <w:r w:rsidRPr="00C47F5C">
              <w:rPr>
                <w:sz w:val="20"/>
              </w:rPr>
              <w:t>Study 30</w:t>
            </w:r>
          </w:p>
        </w:tc>
      </w:tr>
      <w:tr w:rsidR="00C47F5C" w:rsidRPr="0096405B" w14:paraId="377A1525" w14:textId="77777777" w:rsidTr="00C47F5C">
        <w:tc>
          <w:tcPr>
            <w:tcW w:w="3805" w:type="dxa"/>
            <w:vMerge/>
          </w:tcPr>
          <w:p w14:paraId="153B839D" w14:textId="77777777" w:rsidR="00C47F5C" w:rsidRPr="00C47F5C" w:rsidRDefault="00C47F5C" w:rsidP="00C47F5C">
            <w:pPr>
              <w:spacing w:before="40" w:after="40"/>
              <w:ind w:left="144" w:right="144"/>
              <w:rPr>
                <w:sz w:val="20"/>
              </w:rPr>
            </w:pPr>
          </w:p>
        </w:tc>
        <w:tc>
          <w:tcPr>
            <w:tcW w:w="2340" w:type="dxa"/>
            <w:vMerge/>
          </w:tcPr>
          <w:p w14:paraId="2734DE40" w14:textId="77777777" w:rsidR="00C47F5C" w:rsidRPr="00C47F5C" w:rsidRDefault="00C47F5C" w:rsidP="00C47F5C">
            <w:pPr>
              <w:spacing w:before="40" w:after="40"/>
              <w:ind w:left="144" w:right="144"/>
              <w:rPr>
                <w:sz w:val="20"/>
              </w:rPr>
            </w:pPr>
          </w:p>
        </w:tc>
        <w:tc>
          <w:tcPr>
            <w:tcW w:w="2160" w:type="dxa"/>
          </w:tcPr>
          <w:p w14:paraId="323F0A47" w14:textId="77777777" w:rsidR="00C47F5C" w:rsidRPr="00C47F5C" w:rsidRDefault="00C47F5C" w:rsidP="00C47F5C">
            <w:pPr>
              <w:spacing w:before="40" w:after="40"/>
              <w:ind w:left="144" w:right="144"/>
              <w:rPr>
                <w:sz w:val="20"/>
              </w:rPr>
            </w:pPr>
            <w:r w:rsidRPr="00C47F5C">
              <w:rPr>
                <w:sz w:val="20"/>
              </w:rPr>
              <w:t>Study 32</w:t>
            </w:r>
          </w:p>
        </w:tc>
      </w:tr>
      <w:tr w:rsidR="00C47F5C" w:rsidRPr="0096405B" w14:paraId="630C884B" w14:textId="77777777" w:rsidTr="00C47F5C">
        <w:tc>
          <w:tcPr>
            <w:tcW w:w="3805" w:type="dxa"/>
            <w:vMerge/>
          </w:tcPr>
          <w:p w14:paraId="6189EDA1" w14:textId="77777777" w:rsidR="00C47F5C" w:rsidRPr="00C47F5C" w:rsidRDefault="00C47F5C" w:rsidP="00C47F5C">
            <w:pPr>
              <w:spacing w:before="40" w:after="40"/>
              <w:ind w:left="144" w:right="144"/>
              <w:rPr>
                <w:sz w:val="20"/>
              </w:rPr>
            </w:pPr>
          </w:p>
        </w:tc>
        <w:tc>
          <w:tcPr>
            <w:tcW w:w="2340" w:type="dxa"/>
            <w:vMerge/>
          </w:tcPr>
          <w:p w14:paraId="036E1461" w14:textId="77777777" w:rsidR="00C47F5C" w:rsidRPr="00C47F5C" w:rsidRDefault="00C47F5C" w:rsidP="00C47F5C">
            <w:pPr>
              <w:spacing w:before="40" w:after="40"/>
              <w:ind w:left="144" w:right="144"/>
              <w:rPr>
                <w:sz w:val="20"/>
              </w:rPr>
            </w:pPr>
          </w:p>
        </w:tc>
        <w:tc>
          <w:tcPr>
            <w:tcW w:w="2160" w:type="dxa"/>
          </w:tcPr>
          <w:p w14:paraId="31108D61" w14:textId="77777777" w:rsidR="00C47F5C" w:rsidRPr="00C47F5C" w:rsidRDefault="00C47F5C" w:rsidP="00C47F5C">
            <w:pPr>
              <w:spacing w:before="40" w:after="40"/>
              <w:ind w:left="144" w:right="144"/>
              <w:rPr>
                <w:sz w:val="20"/>
              </w:rPr>
            </w:pPr>
            <w:r w:rsidRPr="00C47F5C">
              <w:rPr>
                <w:sz w:val="20"/>
              </w:rPr>
              <w:t>Study 18</w:t>
            </w:r>
          </w:p>
        </w:tc>
      </w:tr>
      <w:tr w:rsidR="00C47F5C" w:rsidRPr="0096405B" w14:paraId="27108D7C" w14:textId="77777777" w:rsidTr="00C47F5C">
        <w:tc>
          <w:tcPr>
            <w:tcW w:w="3805" w:type="dxa"/>
            <w:vMerge/>
          </w:tcPr>
          <w:p w14:paraId="72D59F14" w14:textId="77777777" w:rsidR="00C47F5C" w:rsidRPr="00C47F5C" w:rsidRDefault="00C47F5C" w:rsidP="00C47F5C">
            <w:pPr>
              <w:spacing w:before="40" w:after="40"/>
              <w:ind w:left="144" w:right="144"/>
              <w:rPr>
                <w:sz w:val="20"/>
              </w:rPr>
            </w:pPr>
          </w:p>
        </w:tc>
        <w:tc>
          <w:tcPr>
            <w:tcW w:w="2340" w:type="dxa"/>
            <w:vMerge/>
          </w:tcPr>
          <w:p w14:paraId="0844A972" w14:textId="77777777" w:rsidR="00C47F5C" w:rsidRPr="00C47F5C" w:rsidRDefault="00C47F5C" w:rsidP="00C47F5C">
            <w:pPr>
              <w:spacing w:before="40" w:after="40"/>
              <w:ind w:left="144" w:right="144"/>
              <w:rPr>
                <w:sz w:val="20"/>
              </w:rPr>
            </w:pPr>
          </w:p>
        </w:tc>
        <w:tc>
          <w:tcPr>
            <w:tcW w:w="2160" w:type="dxa"/>
          </w:tcPr>
          <w:p w14:paraId="4D253289" w14:textId="77777777" w:rsidR="00C47F5C" w:rsidRPr="00C47F5C" w:rsidRDefault="00C47F5C" w:rsidP="00C47F5C">
            <w:pPr>
              <w:spacing w:before="40" w:after="40"/>
              <w:ind w:left="144" w:right="144"/>
              <w:rPr>
                <w:sz w:val="20"/>
              </w:rPr>
            </w:pPr>
            <w:r w:rsidRPr="00C47F5C">
              <w:rPr>
                <w:sz w:val="20"/>
              </w:rPr>
              <w:t>Study 24</w:t>
            </w:r>
          </w:p>
        </w:tc>
      </w:tr>
      <w:tr w:rsidR="00C47F5C" w:rsidRPr="0096405B" w14:paraId="34371548" w14:textId="77777777" w:rsidTr="00C47F5C">
        <w:trPr>
          <w:trHeight w:val="378"/>
        </w:trPr>
        <w:tc>
          <w:tcPr>
            <w:tcW w:w="3805" w:type="dxa"/>
            <w:vMerge w:val="restart"/>
          </w:tcPr>
          <w:p w14:paraId="41108E1C" w14:textId="77777777" w:rsidR="00C47F5C" w:rsidRPr="00C47F5C" w:rsidRDefault="00C47F5C" w:rsidP="00C47F5C">
            <w:pPr>
              <w:spacing w:before="40" w:after="40"/>
              <w:ind w:left="144" w:right="144"/>
              <w:rPr>
                <w:sz w:val="20"/>
              </w:rPr>
            </w:pPr>
            <w:r w:rsidRPr="00C47F5C">
              <w:rPr>
                <w:sz w:val="20"/>
              </w:rPr>
              <w:t>Population pharmacokinetic analyses</w:t>
            </w:r>
          </w:p>
        </w:tc>
        <w:tc>
          <w:tcPr>
            <w:tcW w:w="2340" w:type="dxa"/>
            <w:vMerge w:val="restart"/>
          </w:tcPr>
          <w:p w14:paraId="3328ADA0" w14:textId="77777777" w:rsidR="00C47F5C" w:rsidRPr="00C47F5C" w:rsidRDefault="00C47F5C" w:rsidP="00C47F5C">
            <w:pPr>
              <w:spacing w:before="40" w:after="40"/>
              <w:ind w:left="144" w:right="144"/>
              <w:rPr>
                <w:sz w:val="20"/>
              </w:rPr>
            </w:pPr>
            <w:r w:rsidRPr="00C47F5C">
              <w:rPr>
                <w:sz w:val="20"/>
              </w:rPr>
              <w:t>Target population</w:t>
            </w:r>
          </w:p>
        </w:tc>
        <w:tc>
          <w:tcPr>
            <w:tcW w:w="2160" w:type="dxa"/>
            <w:vMerge w:val="restart"/>
          </w:tcPr>
          <w:p w14:paraId="3A99AAB8" w14:textId="77777777" w:rsidR="00C47F5C" w:rsidRPr="00C47F5C" w:rsidRDefault="00C47F5C" w:rsidP="00C47F5C">
            <w:pPr>
              <w:spacing w:before="40" w:after="40"/>
              <w:ind w:left="144" w:right="144"/>
              <w:rPr>
                <w:sz w:val="20"/>
              </w:rPr>
            </w:pPr>
            <w:r w:rsidRPr="00C47F5C">
              <w:rPr>
                <w:sz w:val="20"/>
              </w:rPr>
              <w:t>Study KYTH-01-13</w:t>
            </w:r>
          </w:p>
        </w:tc>
      </w:tr>
      <w:tr w:rsidR="00C47F5C" w:rsidRPr="0096405B" w14:paraId="438CA27B" w14:textId="77777777" w:rsidTr="00C47F5C">
        <w:trPr>
          <w:trHeight w:val="486"/>
        </w:trPr>
        <w:tc>
          <w:tcPr>
            <w:tcW w:w="3805" w:type="dxa"/>
            <w:vMerge/>
          </w:tcPr>
          <w:p w14:paraId="40384D16" w14:textId="77777777" w:rsidR="00C47F5C" w:rsidRPr="0096405B" w:rsidRDefault="00C47F5C" w:rsidP="00B03A6C">
            <w:pPr>
              <w:rPr>
                <w:sz w:val="21"/>
              </w:rPr>
            </w:pPr>
          </w:p>
        </w:tc>
        <w:tc>
          <w:tcPr>
            <w:tcW w:w="2340" w:type="dxa"/>
            <w:vMerge/>
          </w:tcPr>
          <w:p w14:paraId="4AF22E57" w14:textId="77777777" w:rsidR="00C47F5C" w:rsidRPr="0096405B" w:rsidRDefault="00C47F5C" w:rsidP="00B03A6C">
            <w:pPr>
              <w:rPr>
                <w:sz w:val="21"/>
              </w:rPr>
            </w:pPr>
          </w:p>
        </w:tc>
        <w:tc>
          <w:tcPr>
            <w:tcW w:w="2160" w:type="dxa"/>
            <w:vMerge/>
          </w:tcPr>
          <w:p w14:paraId="47E8A848" w14:textId="77777777" w:rsidR="00C47F5C" w:rsidRPr="0096405B" w:rsidRDefault="00C47F5C" w:rsidP="00B03A6C">
            <w:pPr>
              <w:rPr>
                <w:sz w:val="21"/>
              </w:rPr>
            </w:pPr>
          </w:p>
        </w:tc>
      </w:tr>
    </w:tbl>
    <w:p w14:paraId="2882C7DC" w14:textId="77777777" w:rsidR="00605AD4" w:rsidRDefault="00605AD4" w:rsidP="00C47F5C">
      <w:pPr>
        <w:pStyle w:val="Heading4"/>
      </w:pPr>
      <w:r>
        <w:t>Evaluator’s conclusions on pharmacokinetics</w:t>
      </w:r>
    </w:p>
    <w:p w14:paraId="63AF7436" w14:textId="535C6F1F" w:rsidR="006758F1" w:rsidRPr="006758F1" w:rsidRDefault="006758F1" w:rsidP="006758F1">
      <w:r w:rsidRPr="004C3EC0">
        <w:t xml:space="preserve">The </w:t>
      </w:r>
      <w:r>
        <w:t>s</w:t>
      </w:r>
      <w:r w:rsidRPr="004C3EC0">
        <w:t>ponsor has adequately characterised the pharmac</w:t>
      </w:r>
      <w:r>
        <w:t xml:space="preserve">okinetics of </w:t>
      </w:r>
      <w:proofErr w:type="spellStart"/>
      <w:r>
        <w:t>deoxycholic</w:t>
      </w:r>
      <w:proofErr w:type="spellEnd"/>
      <w:r>
        <w:t xml:space="preserve"> acid. </w:t>
      </w:r>
      <w:r w:rsidRPr="004C3EC0">
        <w:t xml:space="preserve">Following </w:t>
      </w:r>
      <w:r w:rsidR="008B7C4D">
        <w:t xml:space="preserve">SC </w:t>
      </w:r>
      <w:r w:rsidRPr="004C3EC0">
        <w:t xml:space="preserve">administration to </w:t>
      </w:r>
      <w:r>
        <w:t>submental fat</w:t>
      </w:r>
      <w:r w:rsidRPr="004C3EC0">
        <w:t xml:space="preserve"> of doses up to 200</w:t>
      </w:r>
      <w:r>
        <w:t> </w:t>
      </w:r>
      <w:r w:rsidRPr="004C3EC0">
        <w:t xml:space="preserve">mg there was increased exposure to </w:t>
      </w:r>
      <w:proofErr w:type="spellStart"/>
      <w:r w:rsidRPr="004C3EC0">
        <w:t>deoxycholic</w:t>
      </w:r>
      <w:proofErr w:type="spellEnd"/>
      <w:r w:rsidRPr="004C3EC0">
        <w:t xml:space="preserve"> acid for 2</w:t>
      </w:r>
      <w:r>
        <w:t xml:space="preserve">4 hours. </w:t>
      </w:r>
      <w:r w:rsidRPr="004C3EC0">
        <w:t xml:space="preserve">There was considerable variability in baseline </w:t>
      </w:r>
      <w:proofErr w:type="spellStart"/>
      <w:r w:rsidRPr="004C3EC0">
        <w:t>de</w:t>
      </w:r>
      <w:r>
        <w:t>oxycholic</w:t>
      </w:r>
      <w:proofErr w:type="spellEnd"/>
      <w:r>
        <w:t xml:space="preserve"> acid concentrations. </w:t>
      </w:r>
      <w:r w:rsidRPr="004C3EC0">
        <w:t xml:space="preserve">There was greater systemic exposure to </w:t>
      </w:r>
      <w:proofErr w:type="spellStart"/>
      <w:r w:rsidRPr="004C3EC0">
        <w:t>deoxycholic</w:t>
      </w:r>
      <w:proofErr w:type="spellEnd"/>
      <w:r w:rsidRPr="004C3EC0">
        <w:t xml:space="preserve"> aci</w:t>
      </w:r>
      <w:r>
        <w:t>d with the BA free formulation.</w:t>
      </w:r>
    </w:p>
    <w:p w14:paraId="0A8DE2D3" w14:textId="09CA8031" w:rsidR="00C47F5C" w:rsidRDefault="00CA1906" w:rsidP="00C9241A">
      <w:pPr>
        <w:pStyle w:val="Heading5"/>
      </w:pPr>
      <w:r>
        <w:t>Population pharmacokinetics</w:t>
      </w:r>
    </w:p>
    <w:p w14:paraId="02340957" w14:textId="77777777" w:rsidR="00A06CD1" w:rsidRDefault="00C47F5C" w:rsidP="00C47F5C">
      <w:pPr>
        <w:rPr>
          <w:lang w:val="en-GB" w:eastAsia="ja-JP"/>
        </w:rPr>
      </w:pPr>
      <w:r w:rsidRPr="00851353">
        <w:rPr>
          <w:lang w:val="en-GB" w:eastAsia="ja-JP"/>
        </w:rPr>
        <w:t xml:space="preserve">The modelling and simulation process supports the </w:t>
      </w:r>
      <w:r w:rsidR="00B77297">
        <w:rPr>
          <w:lang w:val="en-GB" w:eastAsia="ja-JP"/>
        </w:rPr>
        <w:t>s</w:t>
      </w:r>
      <w:r w:rsidRPr="00851353">
        <w:rPr>
          <w:lang w:val="en-GB" w:eastAsia="ja-JP"/>
        </w:rPr>
        <w:t xml:space="preserve">ponsor’s claims with regard systemic exposure to </w:t>
      </w:r>
      <w:proofErr w:type="spellStart"/>
      <w:r w:rsidRPr="00851353">
        <w:rPr>
          <w:lang w:val="en-GB" w:eastAsia="ja-JP"/>
        </w:rPr>
        <w:t>deoxycholic</w:t>
      </w:r>
      <w:proofErr w:type="spellEnd"/>
      <w:r w:rsidRPr="00851353">
        <w:rPr>
          <w:lang w:val="en-GB" w:eastAsia="ja-JP"/>
        </w:rPr>
        <w:t xml:space="preserve"> acid. </w:t>
      </w:r>
      <w:proofErr w:type="spellStart"/>
      <w:r w:rsidRPr="00851353">
        <w:rPr>
          <w:lang w:val="en-GB" w:eastAsia="ja-JP"/>
        </w:rPr>
        <w:t>Deoxycholic</w:t>
      </w:r>
      <w:proofErr w:type="spellEnd"/>
      <w:r w:rsidRPr="00851353">
        <w:rPr>
          <w:lang w:val="en-GB" w:eastAsia="ja-JP"/>
        </w:rPr>
        <w:t xml:space="preserve"> acid concentrations return to</w:t>
      </w:r>
      <w:r w:rsidR="00B77297">
        <w:rPr>
          <w:lang w:val="en-GB" w:eastAsia="ja-JP"/>
        </w:rPr>
        <w:t xml:space="preserve"> baseline by 24 </w:t>
      </w:r>
      <w:r w:rsidRPr="00851353">
        <w:rPr>
          <w:lang w:val="en-GB" w:eastAsia="ja-JP"/>
        </w:rPr>
        <w:t>hours post-dose and accumulation is unlikely.</w:t>
      </w:r>
    </w:p>
    <w:p w14:paraId="7476BF18" w14:textId="4EC6CDC9" w:rsidR="00C47F5C" w:rsidRPr="00C9241A" w:rsidRDefault="00A06CD1" w:rsidP="00C47F5C">
      <w:r>
        <w:t xml:space="preserve">Please see the </w:t>
      </w:r>
      <w:r w:rsidR="00C9241A">
        <w:t xml:space="preserve">Extract </w:t>
      </w:r>
      <w:r>
        <w:t>of the CER (Attachment 2), for more details.</w:t>
      </w:r>
    </w:p>
    <w:p w14:paraId="3C3A06BC" w14:textId="77777777" w:rsidR="008E7846" w:rsidRDefault="008E7846" w:rsidP="008E7846">
      <w:pPr>
        <w:pStyle w:val="Heading3"/>
      </w:pPr>
      <w:bookmarkStart w:id="78" w:name="_Toc196046481"/>
      <w:bookmarkStart w:id="79" w:name="_Toc247691520"/>
      <w:bookmarkStart w:id="80" w:name="_Toc314842503"/>
      <w:bookmarkStart w:id="81" w:name="_Toc482015697"/>
      <w:r w:rsidRPr="00254787">
        <w:t>Pharmacodynamics</w:t>
      </w:r>
      <w:bookmarkEnd w:id="68"/>
      <w:bookmarkEnd w:id="78"/>
      <w:bookmarkEnd w:id="79"/>
      <w:bookmarkEnd w:id="80"/>
      <w:bookmarkEnd w:id="81"/>
    </w:p>
    <w:p w14:paraId="19211C89" w14:textId="77777777" w:rsidR="00605AD4" w:rsidRDefault="00605AD4" w:rsidP="00605AD4">
      <w:pPr>
        <w:pStyle w:val="Heading4"/>
      </w:pPr>
      <w:r>
        <w:t xml:space="preserve">Studies providing </w:t>
      </w:r>
      <w:proofErr w:type="spellStart"/>
      <w:r>
        <w:t>pharmacodynamic</w:t>
      </w:r>
      <w:proofErr w:type="spellEnd"/>
      <w:r>
        <w:t xml:space="preserve"> data</w:t>
      </w:r>
    </w:p>
    <w:p w14:paraId="4A1B60E1" w14:textId="763D04B7" w:rsidR="006758F1" w:rsidRPr="003961A6" w:rsidRDefault="00656FAF" w:rsidP="006758F1">
      <w:r>
        <w:t xml:space="preserve">Table </w:t>
      </w:r>
      <w:r w:rsidR="00CC25D1">
        <w:t>5 below</w:t>
      </w:r>
      <w:r>
        <w:t xml:space="preserve"> summarises studies providing </w:t>
      </w:r>
      <w:proofErr w:type="spellStart"/>
      <w:r>
        <w:t>pharmacodynamic</w:t>
      </w:r>
      <w:proofErr w:type="spellEnd"/>
      <w:r>
        <w:t xml:space="preserve"> data. Note none of these studies had deficiencies that excluded their results from consideration.</w:t>
      </w:r>
    </w:p>
    <w:p w14:paraId="17608729" w14:textId="7D3B0B02" w:rsidR="006758F1" w:rsidRPr="003961A6" w:rsidRDefault="006758F1" w:rsidP="006758F1">
      <w:pPr>
        <w:pStyle w:val="Tabletitle0"/>
      </w:pPr>
      <w:r>
        <w:t xml:space="preserve">Table </w:t>
      </w:r>
      <w:r w:rsidR="00CC25D1">
        <w:t>5</w:t>
      </w:r>
      <w:r w:rsidR="006F6A8B">
        <w:t>:</w:t>
      </w:r>
      <w:r>
        <w:t xml:space="preserve"> Summary of studies providing </w:t>
      </w:r>
      <w:proofErr w:type="spellStart"/>
      <w:r>
        <w:t>pharmacodynamic</w:t>
      </w:r>
      <w:proofErr w:type="spellEnd"/>
      <w:r>
        <w:t xml:space="preserve"> data</w:t>
      </w:r>
    </w:p>
    <w:tbl>
      <w:tblPr>
        <w:tblStyle w:val="TableTGAblue"/>
        <w:tblW w:w="7934" w:type="dxa"/>
        <w:tblLayout w:type="fixed"/>
        <w:tblLook w:val="04A0" w:firstRow="1" w:lastRow="0" w:firstColumn="1" w:lastColumn="0" w:noHBand="0" w:noVBand="1"/>
      </w:tblPr>
      <w:tblGrid>
        <w:gridCol w:w="3078"/>
        <w:gridCol w:w="2430"/>
        <w:gridCol w:w="2426"/>
      </w:tblGrid>
      <w:tr w:rsidR="006758F1" w:rsidRPr="003961A6" w14:paraId="5538BEAB" w14:textId="77777777" w:rsidTr="00B03A6C">
        <w:trPr>
          <w:cnfStyle w:val="100000000000" w:firstRow="1" w:lastRow="0" w:firstColumn="0" w:lastColumn="0" w:oddVBand="0" w:evenVBand="0" w:oddHBand="0" w:evenHBand="0" w:firstRowFirstColumn="0" w:firstRowLastColumn="0" w:lastRowFirstColumn="0" w:lastRowLastColumn="0"/>
          <w:trHeight w:val="439"/>
        </w:trPr>
        <w:tc>
          <w:tcPr>
            <w:tcW w:w="3078" w:type="dxa"/>
          </w:tcPr>
          <w:p w14:paraId="6D2DE730" w14:textId="77777777" w:rsidR="006758F1" w:rsidRPr="003961A6" w:rsidRDefault="006758F1" w:rsidP="00B03A6C">
            <w:pPr>
              <w:rPr>
                <w:sz w:val="20"/>
              </w:rPr>
            </w:pPr>
            <w:proofErr w:type="spellStart"/>
            <w:r w:rsidRPr="003961A6">
              <w:rPr>
                <w:sz w:val="20"/>
              </w:rPr>
              <w:t>P</w:t>
            </w:r>
            <w:r>
              <w:rPr>
                <w:sz w:val="20"/>
              </w:rPr>
              <w:t>harmacodynamic</w:t>
            </w:r>
            <w:proofErr w:type="spellEnd"/>
            <w:r>
              <w:rPr>
                <w:sz w:val="20"/>
              </w:rPr>
              <w:t xml:space="preserve"> t</w:t>
            </w:r>
            <w:r w:rsidRPr="003961A6">
              <w:rPr>
                <w:sz w:val="20"/>
              </w:rPr>
              <w:t>opic</w:t>
            </w:r>
          </w:p>
        </w:tc>
        <w:tc>
          <w:tcPr>
            <w:tcW w:w="2430" w:type="dxa"/>
          </w:tcPr>
          <w:p w14:paraId="150B1E97" w14:textId="77777777" w:rsidR="006758F1" w:rsidRPr="003961A6" w:rsidRDefault="006758F1" w:rsidP="00B03A6C">
            <w:pPr>
              <w:rPr>
                <w:sz w:val="20"/>
              </w:rPr>
            </w:pPr>
            <w:r w:rsidRPr="003961A6">
              <w:rPr>
                <w:sz w:val="20"/>
              </w:rPr>
              <w:t>Subtopic</w:t>
            </w:r>
          </w:p>
        </w:tc>
        <w:tc>
          <w:tcPr>
            <w:tcW w:w="2426" w:type="dxa"/>
          </w:tcPr>
          <w:p w14:paraId="66A14DF6" w14:textId="77777777" w:rsidR="006758F1" w:rsidRPr="003961A6" w:rsidRDefault="006758F1" w:rsidP="00B03A6C">
            <w:pPr>
              <w:rPr>
                <w:sz w:val="20"/>
              </w:rPr>
            </w:pPr>
            <w:r w:rsidRPr="003961A6">
              <w:rPr>
                <w:sz w:val="20"/>
              </w:rPr>
              <w:t>Study ID</w:t>
            </w:r>
          </w:p>
        </w:tc>
      </w:tr>
      <w:tr w:rsidR="006758F1" w:rsidRPr="003961A6" w14:paraId="1AE99AED" w14:textId="77777777" w:rsidTr="00B03A6C">
        <w:trPr>
          <w:trHeight w:val="466"/>
        </w:trPr>
        <w:tc>
          <w:tcPr>
            <w:tcW w:w="3078" w:type="dxa"/>
          </w:tcPr>
          <w:p w14:paraId="7CF779F6" w14:textId="77777777" w:rsidR="006758F1" w:rsidRPr="003961A6" w:rsidRDefault="006758F1" w:rsidP="00B03A6C">
            <w:pPr>
              <w:rPr>
                <w:sz w:val="20"/>
              </w:rPr>
            </w:pPr>
            <w:r w:rsidRPr="003961A6">
              <w:rPr>
                <w:sz w:val="20"/>
              </w:rPr>
              <w:t>Primary Pharmacology</w:t>
            </w:r>
          </w:p>
        </w:tc>
        <w:tc>
          <w:tcPr>
            <w:tcW w:w="2430" w:type="dxa"/>
          </w:tcPr>
          <w:p w14:paraId="3D0EDC63" w14:textId="77777777" w:rsidR="006758F1" w:rsidRPr="003961A6" w:rsidRDefault="006758F1" w:rsidP="00B03A6C">
            <w:pPr>
              <w:rPr>
                <w:sz w:val="20"/>
              </w:rPr>
            </w:pPr>
            <w:r w:rsidRPr="003961A6">
              <w:rPr>
                <w:sz w:val="20"/>
              </w:rPr>
              <w:t xml:space="preserve">Effect on </w:t>
            </w:r>
            <w:proofErr w:type="spellStart"/>
            <w:r w:rsidRPr="003961A6">
              <w:rPr>
                <w:sz w:val="20"/>
              </w:rPr>
              <w:t>adipokines</w:t>
            </w:r>
            <w:proofErr w:type="spellEnd"/>
          </w:p>
        </w:tc>
        <w:tc>
          <w:tcPr>
            <w:tcW w:w="2426" w:type="dxa"/>
          </w:tcPr>
          <w:p w14:paraId="7E298BEA" w14:textId="77777777" w:rsidR="006758F1" w:rsidRPr="003961A6" w:rsidRDefault="006758F1" w:rsidP="00B03A6C">
            <w:pPr>
              <w:rPr>
                <w:sz w:val="20"/>
              </w:rPr>
            </w:pPr>
            <w:r w:rsidRPr="003961A6">
              <w:rPr>
                <w:sz w:val="20"/>
              </w:rPr>
              <w:t>Study 18</w:t>
            </w:r>
          </w:p>
        </w:tc>
      </w:tr>
      <w:tr w:rsidR="006758F1" w:rsidRPr="003961A6" w14:paraId="7E39B2F4" w14:textId="77777777" w:rsidTr="00B03A6C">
        <w:tc>
          <w:tcPr>
            <w:tcW w:w="3078" w:type="dxa"/>
          </w:tcPr>
          <w:p w14:paraId="0EE946F3" w14:textId="77777777" w:rsidR="006758F1" w:rsidRPr="003961A6" w:rsidRDefault="006758F1" w:rsidP="00B03A6C">
            <w:pPr>
              <w:rPr>
                <w:sz w:val="20"/>
              </w:rPr>
            </w:pPr>
            <w:r w:rsidRPr="003961A6">
              <w:rPr>
                <w:sz w:val="20"/>
              </w:rPr>
              <w:t>Secondary Pharmacology</w:t>
            </w:r>
          </w:p>
        </w:tc>
        <w:tc>
          <w:tcPr>
            <w:tcW w:w="2430" w:type="dxa"/>
          </w:tcPr>
          <w:p w14:paraId="26538B61" w14:textId="1DEAD79E" w:rsidR="006758F1" w:rsidRPr="00CC25D1" w:rsidRDefault="006758F1" w:rsidP="00B03A6C">
            <w:pPr>
              <w:rPr>
                <w:sz w:val="20"/>
                <w:vertAlign w:val="superscript"/>
              </w:rPr>
            </w:pPr>
            <w:r w:rsidRPr="003961A6">
              <w:rPr>
                <w:sz w:val="20"/>
              </w:rPr>
              <w:t>Effect on QTc</w:t>
            </w:r>
            <w:r w:rsidR="00CC25D1">
              <w:rPr>
                <w:sz w:val="20"/>
                <w:vertAlign w:val="superscript"/>
              </w:rPr>
              <w:t>1</w:t>
            </w:r>
          </w:p>
        </w:tc>
        <w:tc>
          <w:tcPr>
            <w:tcW w:w="2426" w:type="dxa"/>
          </w:tcPr>
          <w:p w14:paraId="6E16DD6E" w14:textId="77777777" w:rsidR="006758F1" w:rsidRPr="003961A6" w:rsidRDefault="006758F1" w:rsidP="00B03A6C">
            <w:pPr>
              <w:rPr>
                <w:sz w:val="20"/>
              </w:rPr>
            </w:pPr>
            <w:r>
              <w:rPr>
                <w:sz w:val="20"/>
              </w:rPr>
              <w:t>Study 24</w:t>
            </w:r>
          </w:p>
        </w:tc>
      </w:tr>
    </w:tbl>
    <w:p w14:paraId="555E9B0B" w14:textId="296EDC40" w:rsidR="00CC25D1" w:rsidRPr="00CC25D1" w:rsidRDefault="00CC25D1" w:rsidP="00CC25D1">
      <w:pPr>
        <w:pStyle w:val="TableDescription"/>
      </w:pPr>
      <w:r>
        <w:t xml:space="preserve">(1) </w:t>
      </w:r>
      <w:proofErr w:type="spellStart"/>
      <w:r>
        <w:t>QTc</w:t>
      </w:r>
      <w:proofErr w:type="spellEnd"/>
      <w:r>
        <w:t xml:space="preserve"> = Corrected QT interval</w:t>
      </w:r>
    </w:p>
    <w:p w14:paraId="26507D20" w14:textId="77777777" w:rsidR="00605AD4" w:rsidRDefault="00605AD4" w:rsidP="00605AD4">
      <w:pPr>
        <w:pStyle w:val="Heading4"/>
      </w:pPr>
      <w:r>
        <w:t>Evaluator’s conclusions on pharmacodynamics</w:t>
      </w:r>
    </w:p>
    <w:p w14:paraId="1B4F3AE8" w14:textId="49938616" w:rsidR="00656FAF" w:rsidRPr="00656FAF" w:rsidRDefault="00656FAF" w:rsidP="00656FAF">
      <w:r w:rsidRPr="003961A6">
        <w:t xml:space="preserve">The </w:t>
      </w:r>
      <w:proofErr w:type="spellStart"/>
      <w:r w:rsidRPr="003961A6">
        <w:t>pharmacodynamic</w:t>
      </w:r>
      <w:proofErr w:type="spellEnd"/>
      <w:r w:rsidRPr="003961A6">
        <w:t xml:space="preserve"> data indicated that </w:t>
      </w:r>
      <w:proofErr w:type="spellStart"/>
      <w:r w:rsidRPr="003961A6">
        <w:t>deoxycholic</w:t>
      </w:r>
      <w:proofErr w:type="spellEnd"/>
      <w:r w:rsidRPr="003961A6">
        <w:t xml:space="preserve"> acid did not have an adverse effect on lipid</w:t>
      </w:r>
      <w:r>
        <w:t xml:space="preserve"> profiles or lipid metabolism. </w:t>
      </w:r>
      <w:r w:rsidRPr="003961A6">
        <w:t xml:space="preserve">There was no indication of an adverse effect on </w:t>
      </w:r>
      <w:proofErr w:type="spellStart"/>
      <w:r w:rsidRPr="003961A6">
        <w:t>QTc</w:t>
      </w:r>
      <w:proofErr w:type="spellEnd"/>
      <w:r w:rsidRPr="003961A6">
        <w:t xml:space="preserve"> interval.</w:t>
      </w:r>
    </w:p>
    <w:p w14:paraId="78DD07CB" w14:textId="77777777" w:rsidR="008E7846" w:rsidRDefault="00605AD4" w:rsidP="00605AD4">
      <w:pPr>
        <w:pStyle w:val="Heading3"/>
      </w:pPr>
      <w:bookmarkStart w:id="82" w:name="_Toc482015698"/>
      <w:r>
        <w:lastRenderedPageBreak/>
        <w:t>Dosage selection for the pivotal studies</w:t>
      </w:r>
      <w:bookmarkEnd w:id="82"/>
    </w:p>
    <w:p w14:paraId="26CCCDA7" w14:textId="19FA39F7" w:rsidR="00FF329B" w:rsidRDefault="00FF329B" w:rsidP="00FF329B">
      <w:pPr>
        <w:pStyle w:val="Heading4"/>
      </w:pPr>
      <w:r>
        <w:t>Studies providing dosage finding data</w:t>
      </w:r>
    </w:p>
    <w:p w14:paraId="7E748255" w14:textId="5ECA74CF" w:rsidR="00077B98" w:rsidRDefault="00077B98" w:rsidP="00077B98">
      <w:r w:rsidRPr="00077B98">
        <w:t>The submission included data from 3 dose-finding studies: S</w:t>
      </w:r>
      <w:r w:rsidR="00327A0C">
        <w:t>tudy 03, Study 07 and Study </w:t>
      </w:r>
      <w:r w:rsidRPr="00077B98">
        <w:t>15.</w:t>
      </w:r>
    </w:p>
    <w:p w14:paraId="6BED0FC3" w14:textId="77777777" w:rsidR="00FF329B" w:rsidRDefault="00FF329B" w:rsidP="00FF329B">
      <w:pPr>
        <w:pStyle w:val="Heading4"/>
        <w:rPr>
          <w:lang w:eastAsia="ja-JP"/>
        </w:rPr>
      </w:pPr>
      <w:r>
        <w:rPr>
          <w:lang w:eastAsia="ja-JP"/>
        </w:rPr>
        <w:t>Evaluator’s overall conclusions on dose selection</w:t>
      </w:r>
    </w:p>
    <w:p w14:paraId="34BAD46F" w14:textId="0691492E" w:rsidR="00077B98" w:rsidRPr="00077B98" w:rsidRDefault="00FF329B" w:rsidP="00077B98">
      <w:pPr>
        <w:rPr>
          <w:lang w:eastAsia="ja-JP"/>
        </w:rPr>
      </w:pPr>
      <w:r w:rsidRPr="002A5301">
        <w:rPr>
          <w:lang w:eastAsia="ja-JP"/>
        </w:rPr>
        <w:t xml:space="preserve">The results of Study 03 and Study 07 were confusing and although </w:t>
      </w:r>
      <w:r w:rsidR="006F6A8B">
        <w:rPr>
          <w:lang w:eastAsia="ja-JP"/>
        </w:rPr>
        <w:t xml:space="preserve">the results </w:t>
      </w:r>
      <w:r w:rsidRPr="002A5301">
        <w:rPr>
          <w:lang w:eastAsia="ja-JP"/>
        </w:rPr>
        <w:t>indicat</w:t>
      </w:r>
      <w:r w:rsidR="006F6A8B">
        <w:rPr>
          <w:lang w:eastAsia="ja-JP"/>
        </w:rPr>
        <w:t>ed</w:t>
      </w:r>
      <w:r w:rsidRPr="002A5301">
        <w:rPr>
          <w:lang w:eastAsia="ja-JP"/>
        </w:rPr>
        <w:t xml:space="preserve"> </w:t>
      </w:r>
      <w:r w:rsidR="007E6E37">
        <w:rPr>
          <w:lang w:eastAsia="ja-JP"/>
        </w:rPr>
        <w:t xml:space="preserve">a </w:t>
      </w:r>
      <w:r w:rsidRPr="002A5301">
        <w:rPr>
          <w:lang w:eastAsia="ja-JP"/>
        </w:rPr>
        <w:t>treatm</w:t>
      </w:r>
      <w:r>
        <w:rPr>
          <w:lang w:eastAsia="ja-JP"/>
        </w:rPr>
        <w:t xml:space="preserve">ent effect for </w:t>
      </w:r>
      <w:proofErr w:type="spellStart"/>
      <w:r>
        <w:rPr>
          <w:lang w:eastAsia="ja-JP"/>
        </w:rPr>
        <w:t>deoxycholic</w:t>
      </w:r>
      <w:proofErr w:type="spellEnd"/>
      <w:r>
        <w:rPr>
          <w:lang w:eastAsia="ja-JP"/>
        </w:rPr>
        <w:t xml:space="preserve"> acid</w:t>
      </w:r>
      <w:r w:rsidR="007E6E37">
        <w:rPr>
          <w:lang w:eastAsia="ja-JP"/>
        </w:rPr>
        <w:t>, they</w:t>
      </w:r>
      <w:r w:rsidRPr="002A5301">
        <w:rPr>
          <w:lang w:eastAsia="ja-JP"/>
        </w:rPr>
        <w:t xml:space="preserve"> di</w:t>
      </w:r>
      <w:r>
        <w:rPr>
          <w:lang w:eastAsia="ja-JP"/>
        </w:rPr>
        <w:t>d not indicate any dose effect</w:t>
      </w:r>
      <w:r w:rsidR="007E6E37">
        <w:rPr>
          <w:lang w:eastAsia="ja-JP"/>
        </w:rPr>
        <w:t>. H</w:t>
      </w:r>
      <w:r>
        <w:rPr>
          <w:lang w:eastAsia="ja-JP"/>
        </w:rPr>
        <w:t xml:space="preserve">owever, </w:t>
      </w:r>
      <w:r w:rsidRPr="002A5301">
        <w:rPr>
          <w:lang w:eastAsia="ja-JP"/>
        </w:rPr>
        <w:t>Study 15</w:t>
      </w:r>
      <w:r>
        <w:rPr>
          <w:lang w:eastAsia="ja-JP"/>
        </w:rPr>
        <w:t xml:space="preserve"> </w:t>
      </w:r>
      <w:r w:rsidRPr="002A5301">
        <w:rPr>
          <w:lang w:eastAsia="ja-JP"/>
        </w:rPr>
        <w:t>was useful in indicating better efficacy for the 2 mg</w:t>
      </w:r>
      <w:r>
        <w:rPr>
          <w:lang w:eastAsia="ja-JP"/>
        </w:rPr>
        <w:t>/cm</w:t>
      </w:r>
      <w:r>
        <w:rPr>
          <w:vertAlign w:val="superscript"/>
          <w:lang w:eastAsia="ja-JP"/>
        </w:rPr>
        <w:t>2</w:t>
      </w:r>
      <w:r>
        <w:rPr>
          <w:lang w:eastAsia="ja-JP"/>
        </w:rPr>
        <w:t xml:space="preserve"> group.</w:t>
      </w:r>
      <w:r w:rsidRPr="002A5301">
        <w:rPr>
          <w:lang w:eastAsia="ja-JP"/>
        </w:rPr>
        <w:t xml:space="preserve"> This study was also useful in developing the outcome measures used in the subs</w:t>
      </w:r>
      <w:r>
        <w:rPr>
          <w:lang w:eastAsia="ja-JP"/>
        </w:rPr>
        <w:t>equent pivotal studies. O</w:t>
      </w:r>
      <w:r w:rsidRPr="002A5301">
        <w:rPr>
          <w:lang w:eastAsia="ja-JP"/>
        </w:rPr>
        <w:t>verall</w:t>
      </w:r>
      <w:r>
        <w:rPr>
          <w:lang w:eastAsia="ja-JP"/>
        </w:rPr>
        <w:t>,</w:t>
      </w:r>
      <w:r w:rsidRPr="002A5301">
        <w:rPr>
          <w:lang w:eastAsia="ja-JP"/>
        </w:rPr>
        <w:t xml:space="preserve"> the dose finding studies supported taking the following dose regimen through to the </w:t>
      </w:r>
      <w:r>
        <w:rPr>
          <w:lang w:eastAsia="ja-JP"/>
        </w:rPr>
        <w:t>p</w:t>
      </w:r>
      <w:r w:rsidRPr="002A5301">
        <w:rPr>
          <w:lang w:eastAsia="ja-JP"/>
        </w:rPr>
        <w:t>ivota</w:t>
      </w:r>
      <w:r>
        <w:rPr>
          <w:lang w:eastAsia="ja-JP"/>
        </w:rPr>
        <w:t xml:space="preserve">l studies: </w:t>
      </w:r>
      <w:proofErr w:type="spellStart"/>
      <w:r>
        <w:rPr>
          <w:lang w:eastAsia="ja-JP"/>
        </w:rPr>
        <w:t>deoxycholic</w:t>
      </w:r>
      <w:proofErr w:type="spellEnd"/>
      <w:r>
        <w:rPr>
          <w:lang w:eastAsia="ja-JP"/>
        </w:rPr>
        <w:t xml:space="preserve"> acid (BA </w:t>
      </w:r>
      <w:r w:rsidRPr="002A5301">
        <w:rPr>
          <w:lang w:eastAsia="ja-JP"/>
        </w:rPr>
        <w:t>formulation) up to 100 mg, 2 mg</w:t>
      </w:r>
      <w:r>
        <w:rPr>
          <w:lang w:eastAsia="ja-JP"/>
        </w:rPr>
        <w:t>/cm</w:t>
      </w:r>
      <w:r>
        <w:rPr>
          <w:vertAlign w:val="superscript"/>
          <w:lang w:eastAsia="ja-JP"/>
        </w:rPr>
        <w:t>2</w:t>
      </w:r>
      <w:r w:rsidRPr="002A5301">
        <w:rPr>
          <w:lang w:eastAsia="ja-JP"/>
        </w:rPr>
        <w:t>, 10 mg/mL (1.0%) every 4 weeks.</w:t>
      </w:r>
    </w:p>
    <w:p w14:paraId="5280E869" w14:textId="77777777" w:rsidR="008E7846" w:rsidRPr="00254787" w:rsidRDefault="008E7846" w:rsidP="008E7846">
      <w:pPr>
        <w:pStyle w:val="Heading3"/>
      </w:pPr>
      <w:bookmarkStart w:id="83" w:name="_Toc163441372"/>
      <w:bookmarkStart w:id="84" w:name="_Toc196046485"/>
      <w:bookmarkStart w:id="85" w:name="_Toc247691521"/>
      <w:bookmarkStart w:id="86" w:name="_Toc314842504"/>
      <w:bookmarkStart w:id="87" w:name="_Toc482015699"/>
      <w:r w:rsidRPr="00254787">
        <w:t>Efficacy</w:t>
      </w:r>
      <w:bookmarkEnd w:id="83"/>
      <w:bookmarkEnd w:id="84"/>
      <w:bookmarkEnd w:id="85"/>
      <w:bookmarkEnd w:id="86"/>
      <w:bookmarkEnd w:id="87"/>
    </w:p>
    <w:p w14:paraId="3660F31D" w14:textId="77777777" w:rsidR="00605AD4" w:rsidRDefault="00605AD4" w:rsidP="00605AD4">
      <w:pPr>
        <w:pStyle w:val="Heading4"/>
      </w:pPr>
      <w:bookmarkStart w:id="88" w:name="_Toc184439992"/>
      <w:bookmarkStart w:id="89" w:name="_Toc184440279"/>
      <w:bookmarkStart w:id="90" w:name="_Toc184444657"/>
      <w:bookmarkStart w:id="91" w:name="_Toc196046487"/>
      <w:r>
        <w:t>Studies providing efficacy data</w:t>
      </w:r>
    </w:p>
    <w:p w14:paraId="203A1240" w14:textId="4338E0FB" w:rsidR="00077B98" w:rsidRPr="00077B98" w:rsidRDefault="00077B98" w:rsidP="00077B98">
      <w:r w:rsidRPr="00CA3DE5">
        <w:t xml:space="preserve">The data represented a full clinical development program for the indication of submental fat. </w:t>
      </w:r>
      <w:r w:rsidR="00D96C2B">
        <w:t>This</w:t>
      </w:r>
      <w:r w:rsidRPr="00CA3DE5">
        <w:t xml:space="preserve"> submission contained the</w:t>
      </w:r>
      <w:r>
        <w:t xml:space="preserve"> following studies suitable for evaluation of clinical efficacy:</w:t>
      </w:r>
    </w:p>
    <w:p w14:paraId="3DFE698F" w14:textId="1E7B1DF9" w:rsidR="004C18DC" w:rsidRDefault="00077B98" w:rsidP="004C18DC">
      <w:pPr>
        <w:pStyle w:val="ListBullet"/>
        <w:numPr>
          <w:ilvl w:val="0"/>
          <w:numId w:val="3"/>
        </w:numPr>
      </w:pPr>
      <w:r>
        <w:t>2</w:t>
      </w:r>
      <w:r w:rsidR="004C18DC">
        <w:t xml:space="preserve"> pivotal efficacy and </w:t>
      </w:r>
      <w:r w:rsidR="004C7BD4">
        <w:t xml:space="preserve">safety studies </w:t>
      </w:r>
      <w:r w:rsidR="004C18DC">
        <w:t>(Study 22 and Study 23)</w:t>
      </w:r>
      <w:r w:rsidR="004C7BD4">
        <w:t xml:space="preserve"> using a BA-containing formulation</w:t>
      </w:r>
    </w:p>
    <w:p w14:paraId="52ABC61D" w14:textId="200F233E" w:rsidR="00077B98" w:rsidRDefault="00077B98" w:rsidP="004C18DC">
      <w:pPr>
        <w:pStyle w:val="ListBullet"/>
        <w:numPr>
          <w:ilvl w:val="0"/>
          <w:numId w:val="3"/>
        </w:numPr>
      </w:pPr>
      <w:r>
        <w:t>5 supportive studies</w:t>
      </w:r>
      <w:r w:rsidR="004C18DC" w:rsidRPr="0096405B">
        <w:t xml:space="preserve"> including</w:t>
      </w:r>
      <w:r>
        <w:t>:</w:t>
      </w:r>
    </w:p>
    <w:p w14:paraId="3782AE85" w14:textId="74399925" w:rsidR="00077B98" w:rsidRDefault="00077B98" w:rsidP="00077B98">
      <w:pPr>
        <w:pStyle w:val="ListBullet2"/>
      </w:pPr>
      <w:r>
        <w:t>2</w:t>
      </w:r>
      <w:r w:rsidR="004C18DC" w:rsidRPr="0096405B">
        <w:t xml:space="preserve"> other efficacy</w:t>
      </w:r>
      <w:r w:rsidR="004C18DC">
        <w:t xml:space="preserve"> and </w:t>
      </w:r>
      <w:r w:rsidR="004C18DC" w:rsidRPr="0096405B">
        <w:t xml:space="preserve">safety studies </w:t>
      </w:r>
      <w:r>
        <w:t>(Study 16 and Study 17)</w:t>
      </w:r>
      <w:r w:rsidR="004C7BD4">
        <w:t xml:space="preserve"> using a BA-free formulation</w:t>
      </w:r>
    </w:p>
    <w:p w14:paraId="79FFCFAE" w14:textId="478618BC" w:rsidR="00077B98" w:rsidRDefault="00077B98" w:rsidP="00077B98">
      <w:pPr>
        <w:pStyle w:val="ListBullet2"/>
      </w:pPr>
      <w:r>
        <w:t>An</w:t>
      </w:r>
      <w:r w:rsidR="004C18DC" w:rsidRPr="0096405B">
        <w:t xml:space="preserve"> open label, long term follow-up study (Study 26</w:t>
      </w:r>
      <w:r>
        <w:t>)</w:t>
      </w:r>
    </w:p>
    <w:p w14:paraId="633D33F0" w14:textId="5A86B2E3" w:rsidR="004C18DC" w:rsidRDefault="00077B98" w:rsidP="00077B98">
      <w:pPr>
        <w:pStyle w:val="ListBullet2"/>
      </w:pPr>
      <w:r>
        <w:t>2</w:t>
      </w:r>
      <w:r w:rsidR="004C18DC" w:rsidRPr="0096405B">
        <w:t xml:space="preserve"> long term follow-up studi</w:t>
      </w:r>
      <w:r w:rsidR="004C18DC">
        <w:t>es (Study 12 and Study 1403740)</w:t>
      </w:r>
    </w:p>
    <w:p w14:paraId="17F004FD" w14:textId="2A153ACD" w:rsidR="00327A0C" w:rsidRDefault="00327A0C" w:rsidP="00327A0C">
      <w:pPr>
        <w:pStyle w:val="ListBullet"/>
      </w:pPr>
      <w:r>
        <w:t>An Integrated Summary of Efficacy (ISE)</w:t>
      </w:r>
    </w:p>
    <w:p w14:paraId="409587FD" w14:textId="40B62A6F" w:rsidR="00327A0C" w:rsidRPr="00327A0C" w:rsidRDefault="00327A0C" w:rsidP="00327A0C">
      <w:r w:rsidRPr="00327A0C">
        <w:t xml:space="preserve">In addition, this submission contained 4 studies </w:t>
      </w:r>
      <w:r w:rsidR="00086ED3" w:rsidRPr="00327A0C">
        <w:t>(Study 11, Study 20, Study 21 and Study 25)</w:t>
      </w:r>
      <w:r w:rsidR="00086ED3">
        <w:t xml:space="preserve"> </w:t>
      </w:r>
      <w:r w:rsidRPr="00327A0C">
        <w:t xml:space="preserve">designed to validate </w:t>
      </w:r>
      <w:r w:rsidR="00086ED3">
        <w:t xml:space="preserve">the </w:t>
      </w:r>
      <w:r w:rsidRPr="00327A0C">
        <w:t xml:space="preserve">efficacy and safety outcome measures </w:t>
      </w:r>
      <w:r w:rsidR="00086ED3">
        <w:t>used in the above studies.</w:t>
      </w:r>
    </w:p>
    <w:p w14:paraId="68B0947D" w14:textId="5D60CC6A" w:rsidR="003845CE" w:rsidRPr="001F4D92" w:rsidRDefault="001F4D92" w:rsidP="003845CE">
      <w:bookmarkStart w:id="92" w:name="_Ref243301615"/>
      <w:bookmarkStart w:id="93" w:name="_Ref271040927"/>
      <w:bookmarkStart w:id="94" w:name="_Ref271040932"/>
      <w:bookmarkStart w:id="95" w:name="_Toc272414653"/>
      <w:bookmarkStart w:id="96" w:name="_Toc290846275"/>
      <w:bookmarkStart w:id="97" w:name="_Toc421816852"/>
      <w:r>
        <w:t>Stud</w:t>
      </w:r>
      <w:r w:rsidR="00C93E81">
        <w:t>ies</w:t>
      </w:r>
      <w:r>
        <w:t xml:space="preserve"> 22</w:t>
      </w:r>
      <w:r w:rsidR="00142EE9">
        <w:t xml:space="preserve"> and 23 (both pivotal studies) were</w:t>
      </w:r>
      <w:r>
        <w:t xml:space="preserve"> m</w:t>
      </w:r>
      <w:r w:rsidRPr="001F4D92">
        <w:t xml:space="preserve">ulticentre, randomised, double blind, </w:t>
      </w:r>
      <w:proofErr w:type="gramStart"/>
      <w:r w:rsidRPr="001F4D92">
        <w:t>placebo</w:t>
      </w:r>
      <w:proofErr w:type="gramEnd"/>
      <w:r w:rsidRPr="001F4D92">
        <w:t xml:space="preserve"> controlled, parallel group safety and efficacy stud</w:t>
      </w:r>
      <w:r w:rsidR="00C93E81">
        <w:t>ies</w:t>
      </w:r>
      <w:r w:rsidRPr="001F4D92">
        <w:t xml:space="preserve">. </w:t>
      </w:r>
      <w:r w:rsidR="003845CE">
        <w:t xml:space="preserve">Active treatment consisted of </w:t>
      </w:r>
      <w:proofErr w:type="spellStart"/>
      <w:r w:rsidR="003845CE">
        <w:t>d</w:t>
      </w:r>
      <w:r w:rsidR="003845CE" w:rsidRPr="001F4D92">
        <w:t>eoxycholic</w:t>
      </w:r>
      <w:proofErr w:type="spellEnd"/>
      <w:r w:rsidR="003845CE" w:rsidRPr="001F4D92">
        <w:t xml:space="preserve"> ac</w:t>
      </w:r>
      <w:r w:rsidR="003845CE">
        <w:t>id (BA containing formulation)</w:t>
      </w:r>
      <w:r w:rsidR="00C93E81">
        <w:t xml:space="preserve"> administered</w:t>
      </w:r>
      <w:r w:rsidR="003845CE">
        <w:t xml:space="preserve"> u</w:t>
      </w:r>
      <w:r w:rsidR="003845CE" w:rsidRPr="001F4D92">
        <w:t>p to 100 mg, 2 mg/cm</w:t>
      </w:r>
      <w:r w:rsidR="003845CE" w:rsidRPr="00C93E81">
        <w:rPr>
          <w:vertAlign w:val="superscript"/>
        </w:rPr>
        <w:t>2</w:t>
      </w:r>
      <w:r w:rsidR="00C93E81">
        <w:t>, 10 </w:t>
      </w:r>
      <w:r w:rsidR="003845CE" w:rsidRPr="001F4D92">
        <w:t>mg/mL (1.0%), up to 50 x</w:t>
      </w:r>
      <w:r w:rsidR="003845CE">
        <w:t xml:space="preserve"> 0.2 mL injections, 1.0 cm grid and was administered via SC injection into submental fat for up </w:t>
      </w:r>
      <w:r w:rsidR="003845CE" w:rsidRPr="001F4D92">
        <w:t>to 6 t</w:t>
      </w:r>
      <w:r w:rsidR="003845CE">
        <w:t>reatment sessions every 4 weeks.</w:t>
      </w:r>
      <w:r w:rsidR="001D1864">
        <w:t xml:space="preserve"> The primary endpoints were the composite </w:t>
      </w:r>
      <w:r w:rsidR="00F11430">
        <w:t>clinical-reported (CR) and patient-reported (PR) Submental Fat Rating Scale (SMFRS) 1-grade and 2-grade responder rates</w:t>
      </w:r>
      <w:r w:rsidR="00257CDA">
        <w:t>.</w:t>
      </w:r>
      <w:r w:rsidR="002E42A3">
        <w:t xml:space="preserve"> Other efficacy measurements included submental fat volume on </w:t>
      </w:r>
      <w:r w:rsidR="00E26B7F">
        <w:t>magnetic resonance imaging (</w:t>
      </w:r>
      <w:r w:rsidR="002E42A3">
        <w:t>MRI</w:t>
      </w:r>
      <w:r w:rsidR="00E26B7F">
        <w:t>)</w:t>
      </w:r>
      <w:r w:rsidR="002E42A3">
        <w:t>, calliper measured submental fat thickness and patient-based questionnaires.</w:t>
      </w:r>
    </w:p>
    <w:p w14:paraId="19E0C557" w14:textId="48F7DB84" w:rsidR="00142EE9" w:rsidRDefault="00C93E81" w:rsidP="00142EE9">
      <w:r>
        <w:t xml:space="preserve">Studies 16 and 17 </w:t>
      </w:r>
      <w:r w:rsidR="0050186B">
        <w:t xml:space="preserve">(supportive studies) </w:t>
      </w:r>
      <w:r>
        <w:t xml:space="preserve">were </w:t>
      </w:r>
      <w:r w:rsidRPr="00C93E81">
        <w:t xml:space="preserve">multicentre, randomised, double blind, three-arm placebo controlled, parallel </w:t>
      </w:r>
      <w:r>
        <w:t xml:space="preserve">group safety and efficacy studies and both were similar in design. Active treatment consisted of </w:t>
      </w:r>
      <w:proofErr w:type="spellStart"/>
      <w:r>
        <w:t>deoxycholic</w:t>
      </w:r>
      <w:proofErr w:type="spellEnd"/>
      <w:r>
        <w:t xml:space="preserve"> acid (BA free formulation) </w:t>
      </w:r>
      <w:r w:rsidR="00F212D7">
        <w:t xml:space="preserve">administered at two doses: </w:t>
      </w:r>
      <w:r w:rsidR="00323D5F">
        <w:t xml:space="preserve">up to </w:t>
      </w:r>
      <w:r w:rsidR="00F212D7">
        <w:t>50 mg, 1 mg/cm</w:t>
      </w:r>
      <w:r w:rsidR="00F212D7">
        <w:rPr>
          <w:vertAlign w:val="superscript"/>
        </w:rPr>
        <w:t>2</w:t>
      </w:r>
      <w:r w:rsidR="00323D5F">
        <w:t>, 5 mg/mL (0.5%) and</w:t>
      </w:r>
      <w:r w:rsidRPr="001F4D92">
        <w:t xml:space="preserve"> </w:t>
      </w:r>
      <w:r w:rsidR="00323D5F">
        <w:t xml:space="preserve">up to </w:t>
      </w:r>
      <w:r w:rsidRPr="001F4D92">
        <w:t>100 mg, 2 mg/cm</w:t>
      </w:r>
      <w:r w:rsidRPr="00C93E81">
        <w:rPr>
          <w:vertAlign w:val="superscript"/>
        </w:rPr>
        <w:t>2</w:t>
      </w:r>
      <w:r w:rsidR="00E26B7F">
        <w:t>, 10 </w:t>
      </w:r>
      <w:r w:rsidR="00323D5F">
        <w:t xml:space="preserve">mg/mL (1.0%). Both involved dosage regimens of </w:t>
      </w:r>
      <w:r w:rsidRPr="001F4D92">
        <w:t>up to 50 x</w:t>
      </w:r>
      <w:r w:rsidR="00164E1C">
        <w:t xml:space="preserve"> 0.2 mL injections using a</w:t>
      </w:r>
      <w:r>
        <w:t xml:space="preserve"> </w:t>
      </w:r>
      <w:r>
        <w:lastRenderedPageBreak/>
        <w:t xml:space="preserve">1.0 cm grid </w:t>
      </w:r>
      <w:r w:rsidR="00164E1C">
        <w:t xml:space="preserve">and </w:t>
      </w:r>
      <w:r>
        <w:t xml:space="preserve">administered via SC injection into submental fat for up </w:t>
      </w:r>
      <w:r w:rsidRPr="001F4D92">
        <w:t xml:space="preserve">to </w:t>
      </w:r>
      <w:r w:rsidR="00164E1C">
        <w:t>4</w:t>
      </w:r>
      <w:r w:rsidRPr="001F4D92">
        <w:t xml:space="preserve"> t</w:t>
      </w:r>
      <w:r>
        <w:t>reatment sessions every 4 weeks.</w:t>
      </w:r>
      <w:r w:rsidR="00257CDA">
        <w:t xml:space="preserve"> The primary endpoints were the</w:t>
      </w:r>
      <w:r w:rsidR="00F64CDE">
        <w:t xml:space="preserve"> proportions with</w:t>
      </w:r>
      <w:r w:rsidR="00257CDA">
        <w:t xml:space="preserve"> </w:t>
      </w:r>
      <w:r w:rsidR="006F5186">
        <w:t>CR-SMFRS 1-grade responder rate</w:t>
      </w:r>
      <w:r w:rsidR="00F64CDE">
        <w:t xml:space="preserve"> and Subject Self Rating Scale (SSRS) responder </w:t>
      </w:r>
      <w:r w:rsidR="00767261">
        <w:t xml:space="preserve">(score </w:t>
      </w:r>
      <w:r w:rsidR="00767261">
        <w:sym w:font="Symbol" w:char="F0B3"/>
      </w:r>
      <w:r w:rsidR="00767261">
        <w:t xml:space="preserve"> 4) </w:t>
      </w:r>
      <w:r w:rsidR="00EA2C0E">
        <w:t>r</w:t>
      </w:r>
      <w:r w:rsidR="00767261">
        <w:t>ate.</w:t>
      </w:r>
      <w:r w:rsidR="002E42A3">
        <w:t xml:space="preserve"> Other efficacy measurements included submental fat volume on MRI, calliper measured submental fat thickness and patient-based questionnaires.</w:t>
      </w:r>
    </w:p>
    <w:p w14:paraId="02C259B6" w14:textId="6034F214" w:rsidR="005B4652" w:rsidRPr="00142EE9" w:rsidRDefault="00D10747" w:rsidP="00142EE9">
      <w:r>
        <w:t xml:space="preserve">For a more comprehensive overview of efficacy, </w:t>
      </w:r>
      <w:r w:rsidR="005B4652">
        <w:t>please see Attachment 2.</w:t>
      </w:r>
    </w:p>
    <w:bookmarkEnd w:id="92"/>
    <w:bookmarkEnd w:id="93"/>
    <w:bookmarkEnd w:id="94"/>
    <w:bookmarkEnd w:id="95"/>
    <w:bookmarkEnd w:id="96"/>
    <w:bookmarkEnd w:id="97"/>
    <w:p w14:paraId="405B79C0" w14:textId="77777777" w:rsidR="008E7846" w:rsidRDefault="00605AD4" w:rsidP="00605AD4">
      <w:pPr>
        <w:pStyle w:val="Heading4"/>
      </w:pPr>
      <w:r>
        <w:t>Evaluator’s conclusions on efficacy</w:t>
      </w:r>
    </w:p>
    <w:p w14:paraId="0B35EF35" w14:textId="0EB1146C" w:rsidR="00D96C2B" w:rsidRPr="009147A2" w:rsidRDefault="00D96C2B" w:rsidP="00D96C2B">
      <w:r w:rsidRPr="009147A2">
        <w:t xml:space="preserve">The pivotal studies demonstrated that </w:t>
      </w:r>
      <w:proofErr w:type="spellStart"/>
      <w:r w:rsidRPr="009147A2">
        <w:t>deoxycholic</w:t>
      </w:r>
      <w:proofErr w:type="spellEnd"/>
      <w:r w:rsidRPr="009147A2">
        <w:t xml:space="preserve"> acid was superi</w:t>
      </w:r>
      <w:r>
        <w:t xml:space="preserve">or to placebo in reducing submental fat. </w:t>
      </w:r>
      <w:r w:rsidRPr="009147A2">
        <w:t xml:space="preserve">In Study 22, using the dosing regimen proposed by the sponsor, there was a statistically and clinically significant decrease in </w:t>
      </w:r>
      <w:r>
        <w:t xml:space="preserve">submental fat. </w:t>
      </w:r>
      <w:r w:rsidRPr="009147A2">
        <w:t xml:space="preserve">There was </w:t>
      </w:r>
      <w:r>
        <w:t>improvement in the severity of submental fat</w:t>
      </w:r>
      <w:r w:rsidRPr="009147A2">
        <w:t xml:space="preserve"> using severity scales: 179 (70.0%) in the 2 mg</w:t>
      </w:r>
      <w:r>
        <w:rPr>
          <w:lang w:eastAsia="ja-JP"/>
        </w:rPr>
        <w:t>/cm</w:t>
      </w:r>
      <w:r>
        <w:rPr>
          <w:vertAlign w:val="superscript"/>
          <w:lang w:eastAsia="ja-JP"/>
        </w:rPr>
        <w:t>2</w:t>
      </w:r>
      <w:r>
        <w:t xml:space="preserve"> group and 47 </w:t>
      </w:r>
      <w:r w:rsidRPr="009147A2">
        <w:t>(18.6%) in the placebo had a co</w:t>
      </w:r>
      <w:r>
        <w:t>mposite 1-</w:t>
      </w:r>
      <w:r w:rsidR="00E26B7F">
        <w:t>g</w:t>
      </w:r>
      <w:r>
        <w:t>rade improvement in submental fat</w:t>
      </w:r>
      <w:r w:rsidRPr="009147A2">
        <w:t>; 34 (13.4%) in the 2 mg</w:t>
      </w:r>
      <w:r>
        <w:rPr>
          <w:lang w:eastAsia="ja-JP"/>
        </w:rPr>
        <w:t>/cm</w:t>
      </w:r>
      <w:r>
        <w:rPr>
          <w:vertAlign w:val="superscript"/>
          <w:lang w:eastAsia="ja-JP"/>
        </w:rPr>
        <w:t>2</w:t>
      </w:r>
      <w:r w:rsidRPr="009147A2">
        <w:t xml:space="preserve"> group and none in the placebo had a composite 2-</w:t>
      </w:r>
      <w:r w:rsidR="00E26B7F">
        <w:t>g</w:t>
      </w:r>
      <w:r w:rsidRPr="009147A2">
        <w:t xml:space="preserve">rade improvement in </w:t>
      </w:r>
      <w:r>
        <w:t xml:space="preserve">submental fat. </w:t>
      </w:r>
      <w:r w:rsidRPr="009147A2">
        <w:t>There were 48 (51.10%) subjects in the 2 mg</w:t>
      </w:r>
      <w:r>
        <w:rPr>
          <w:lang w:eastAsia="ja-JP"/>
        </w:rPr>
        <w:t>/cm</w:t>
      </w:r>
      <w:r>
        <w:rPr>
          <w:vertAlign w:val="superscript"/>
          <w:lang w:eastAsia="ja-JP"/>
        </w:rPr>
        <w:t>2</w:t>
      </w:r>
      <w:r w:rsidRPr="009147A2">
        <w:t xml:space="preserve"> group and five (5.1%) in the placebo </w:t>
      </w:r>
      <w:r>
        <w:t xml:space="preserve">group </w:t>
      </w:r>
      <w:r w:rsidRPr="009147A2">
        <w:t>with a ≥</w:t>
      </w:r>
      <w:r>
        <w:t> </w:t>
      </w:r>
      <w:r w:rsidRPr="009147A2">
        <w:t xml:space="preserve">10% </w:t>
      </w:r>
      <w:r>
        <w:t xml:space="preserve">reduction in MRI determined submental fat volume from baseline. </w:t>
      </w:r>
      <w:r w:rsidRPr="009147A2">
        <w:t xml:space="preserve">The LS </w:t>
      </w:r>
      <w:r w:rsidR="00E26B7F">
        <w:t xml:space="preserve">(least-squares) </w:t>
      </w:r>
      <w:r w:rsidRPr="009147A2">
        <w:t xml:space="preserve">mean (95% </w:t>
      </w:r>
      <w:r w:rsidR="00E26B7F">
        <w:t>confidence interval (</w:t>
      </w:r>
      <w:r w:rsidRPr="009147A2">
        <w:t>CI</w:t>
      </w:r>
      <w:r w:rsidR="00E26B7F">
        <w:t>)</w:t>
      </w:r>
      <w:r w:rsidRPr="009147A2">
        <w:t xml:space="preserve">) change in </w:t>
      </w:r>
      <w:r>
        <w:t xml:space="preserve">submental fat thickness as measured by MRI was </w:t>
      </w:r>
      <w:r>
        <w:noBreakHyphen/>
        <w:t>18.4% (20.7% to </w:t>
      </w:r>
      <w:r w:rsidRPr="009147A2">
        <w:t>-16.0</w:t>
      </w:r>
      <w:r>
        <w:t>%)</w:t>
      </w:r>
      <w:r w:rsidRPr="009147A2">
        <w:t xml:space="preserve"> for the 2 mg</w:t>
      </w:r>
      <w:r>
        <w:rPr>
          <w:lang w:eastAsia="ja-JP"/>
        </w:rPr>
        <w:t>/cm</w:t>
      </w:r>
      <w:r>
        <w:rPr>
          <w:vertAlign w:val="superscript"/>
          <w:lang w:eastAsia="ja-JP"/>
        </w:rPr>
        <w:t>2</w:t>
      </w:r>
      <w:r w:rsidRPr="009147A2">
        <w:t xml:space="preserve"> group and 0.9</w:t>
      </w:r>
      <w:r>
        <w:t>%</w:t>
      </w:r>
      <w:r w:rsidRPr="009147A2">
        <w:t xml:space="preserve"> (-1.4</w:t>
      </w:r>
      <w:r>
        <w:t>%</w:t>
      </w:r>
      <w:r w:rsidRPr="009147A2">
        <w:t xml:space="preserve"> to 3.2</w:t>
      </w:r>
      <w:r>
        <w:t>%)</w:t>
      </w:r>
      <w:r w:rsidRPr="009147A2">
        <w:t xml:space="preserve"> for the placebo</w:t>
      </w:r>
      <w:r>
        <w:t xml:space="preserve"> group.</w:t>
      </w:r>
      <w:r w:rsidRPr="009147A2">
        <w:t xml:space="preserve"> The change in </w:t>
      </w:r>
      <w:r>
        <w:t>submental fat thickness measured by callipers</w:t>
      </w:r>
      <w:r w:rsidR="00E26B7F">
        <w:t xml:space="preserve"> was -25% in the 2 </w:t>
      </w:r>
      <w:r w:rsidRPr="009147A2">
        <w:t>mg</w:t>
      </w:r>
      <w:r>
        <w:rPr>
          <w:lang w:eastAsia="ja-JP"/>
        </w:rPr>
        <w:t>/cm</w:t>
      </w:r>
      <w:r>
        <w:rPr>
          <w:vertAlign w:val="superscript"/>
          <w:lang w:eastAsia="ja-JP"/>
        </w:rPr>
        <w:t>2</w:t>
      </w:r>
      <w:r>
        <w:t xml:space="preserve"> group and </w:t>
      </w:r>
      <w:r>
        <w:noBreakHyphen/>
      </w:r>
      <w:r w:rsidRPr="009147A2">
        <w:t>7.5% in the placebo</w:t>
      </w:r>
      <w:r>
        <w:t xml:space="preserve"> group</w:t>
      </w:r>
      <w:r w:rsidR="00404977">
        <w:t>;</w:t>
      </w:r>
      <w:r>
        <w:t xml:space="preserve"> however</w:t>
      </w:r>
      <w:r w:rsidRPr="009147A2">
        <w:t xml:space="preserve"> there was no resulting increase in skin laxity.</w:t>
      </w:r>
    </w:p>
    <w:p w14:paraId="2F267303" w14:textId="3A693B3E" w:rsidR="00D96C2B" w:rsidRPr="009147A2" w:rsidRDefault="00D96C2B" w:rsidP="00D96C2B">
      <w:r w:rsidRPr="009147A2">
        <w:t>In Study 23 for composite 1-</w:t>
      </w:r>
      <w:r w:rsidR="00E26B7F">
        <w:t>g</w:t>
      </w:r>
      <w:r w:rsidRPr="009147A2">
        <w:t>rade SMFRS responder</w:t>
      </w:r>
      <w:r>
        <w:t>s</w:t>
      </w:r>
      <w:r w:rsidRPr="009147A2">
        <w:t xml:space="preserve"> there were 171 (66.5%) in the 2</w:t>
      </w:r>
      <w:r w:rsidR="00E26B7F">
        <w:t> </w:t>
      </w:r>
      <w:r w:rsidRPr="009147A2">
        <w:t>mg</w:t>
      </w:r>
      <w:r>
        <w:rPr>
          <w:lang w:eastAsia="ja-JP"/>
        </w:rPr>
        <w:t>/cm</w:t>
      </w:r>
      <w:r>
        <w:rPr>
          <w:vertAlign w:val="superscript"/>
          <w:lang w:eastAsia="ja-JP"/>
        </w:rPr>
        <w:t>2</w:t>
      </w:r>
      <w:r w:rsidRPr="009147A2">
        <w:t xml:space="preserve"> group and 57 (22.2%) in the placebo</w:t>
      </w:r>
      <w:r>
        <w:t xml:space="preserve"> group</w:t>
      </w:r>
      <w:r w:rsidRPr="009147A2">
        <w:t xml:space="preserve"> and for composite </w:t>
      </w:r>
      <w:r w:rsidR="00E26B7F">
        <w:t>2</w:t>
      </w:r>
      <w:r w:rsidRPr="009147A2">
        <w:t>-Grade SMFRS responder there were 48 (18.6%) in the 2 mg</w:t>
      </w:r>
      <w:r>
        <w:rPr>
          <w:lang w:eastAsia="ja-JP"/>
        </w:rPr>
        <w:t>/cm</w:t>
      </w:r>
      <w:r>
        <w:rPr>
          <w:vertAlign w:val="superscript"/>
          <w:lang w:eastAsia="ja-JP"/>
        </w:rPr>
        <w:t>2</w:t>
      </w:r>
      <w:r w:rsidRPr="009147A2">
        <w:t xml:space="preserve"> group and eight (3.0</w:t>
      </w:r>
      <w:r>
        <w:t>%</w:t>
      </w:r>
      <w:r w:rsidRPr="009147A2">
        <w:t>) in the placebo</w:t>
      </w:r>
      <w:r>
        <w:t xml:space="preserve"> group.</w:t>
      </w:r>
      <w:r w:rsidRPr="009147A2">
        <w:t xml:space="preserve"> There were 45 (40.2%) subjects in the 2 mg</w:t>
      </w:r>
      <w:r>
        <w:rPr>
          <w:lang w:eastAsia="ja-JP"/>
        </w:rPr>
        <w:t>/cm</w:t>
      </w:r>
      <w:r>
        <w:rPr>
          <w:vertAlign w:val="superscript"/>
          <w:lang w:eastAsia="ja-JP"/>
        </w:rPr>
        <w:t>2</w:t>
      </w:r>
      <w:r w:rsidRPr="009147A2">
        <w:t xml:space="preserve"> group and six (5.2%) in the placebo </w:t>
      </w:r>
      <w:r>
        <w:t xml:space="preserve">group </w:t>
      </w:r>
      <w:r w:rsidRPr="009147A2">
        <w:t>with a ≥</w:t>
      </w:r>
      <w:r>
        <w:t> </w:t>
      </w:r>
      <w:r w:rsidRPr="009147A2">
        <w:t xml:space="preserve">10% reduction in MRI determined </w:t>
      </w:r>
      <w:r>
        <w:t xml:space="preserve">submental fat volume from baseline. </w:t>
      </w:r>
      <w:r w:rsidRPr="009147A2">
        <w:t xml:space="preserve">The LS mean (95% CI) change in </w:t>
      </w:r>
      <w:r>
        <w:t>submental thickness</w:t>
      </w:r>
      <w:r w:rsidRPr="009147A2">
        <w:t xml:space="preserve"> measured by MRI, was </w:t>
      </w:r>
      <w:r w:rsidR="007E6E37">
        <w:noBreakHyphen/>
      </w:r>
      <w:r w:rsidRPr="009147A2">
        <w:t>8.5</w:t>
      </w:r>
      <w:r>
        <w:t>%</w:t>
      </w:r>
      <w:r w:rsidRPr="009147A2">
        <w:t xml:space="preserve"> (-11.0</w:t>
      </w:r>
      <w:r>
        <w:t>%</w:t>
      </w:r>
      <w:r w:rsidRPr="009147A2">
        <w:t xml:space="preserve"> to -6.1</w:t>
      </w:r>
      <w:r>
        <w:t>%) for the 2 </w:t>
      </w:r>
      <w:r w:rsidRPr="009147A2">
        <w:t>mg</w:t>
      </w:r>
      <w:r>
        <w:rPr>
          <w:lang w:eastAsia="ja-JP"/>
        </w:rPr>
        <w:t>/cm</w:t>
      </w:r>
      <w:r>
        <w:rPr>
          <w:vertAlign w:val="superscript"/>
          <w:lang w:eastAsia="ja-JP"/>
        </w:rPr>
        <w:t>2</w:t>
      </w:r>
      <w:r w:rsidRPr="009147A2">
        <w:t xml:space="preserve"> and 1.3</w:t>
      </w:r>
      <w:r>
        <w:t>%</w:t>
      </w:r>
      <w:r w:rsidRPr="009147A2">
        <w:t xml:space="preserve"> (-1.1</w:t>
      </w:r>
      <w:r>
        <w:t>%</w:t>
      </w:r>
      <w:r w:rsidRPr="009147A2">
        <w:t xml:space="preserve"> to 3.6</w:t>
      </w:r>
      <w:r>
        <w:t>%)</w:t>
      </w:r>
      <w:r w:rsidRPr="009147A2">
        <w:t xml:space="preserve"> for the placebo</w:t>
      </w:r>
      <w:r>
        <w:t xml:space="preserve"> group. The change in submental thickness</w:t>
      </w:r>
      <w:r w:rsidRPr="009147A2">
        <w:t xml:space="preserve"> measured by callipers was -22% in the 2 mg</w:t>
      </w:r>
      <w:r>
        <w:rPr>
          <w:lang w:eastAsia="ja-JP"/>
        </w:rPr>
        <w:t>/cm</w:t>
      </w:r>
      <w:r>
        <w:rPr>
          <w:vertAlign w:val="superscript"/>
          <w:lang w:eastAsia="ja-JP"/>
        </w:rPr>
        <w:t>2</w:t>
      </w:r>
      <w:r w:rsidRPr="009147A2">
        <w:t xml:space="preserve"> group and -8% in the placebo</w:t>
      </w:r>
      <w:r>
        <w:t xml:space="preserve"> group. </w:t>
      </w:r>
      <w:r w:rsidRPr="009147A2">
        <w:t>There was no resulting in</w:t>
      </w:r>
      <w:r>
        <w:t>crease in skin laxity.</w:t>
      </w:r>
    </w:p>
    <w:p w14:paraId="7116FAC0" w14:textId="43FB68AE" w:rsidR="00D96C2B" w:rsidRPr="009147A2" w:rsidRDefault="00D96C2B" w:rsidP="00D96C2B">
      <w:r w:rsidRPr="009147A2">
        <w:t xml:space="preserve">The pooled analysis of the </w:t>
      </w:r>
      <w:r w:rsidR="005B4652">
        <w:t>p</w:t>
      </w:r>
      <w:r>
        <w:t>ivotal studies found the mean percentage change in MRI volume of submental fat</w:t>
      </w:r>
      <w:r w:rsidRPr="009147A2">
        <w:t xml:space="preserve"> at Visit 9 was -8.87% in the 2 mg</w:t>
      </w:r>
      <w:r>
        <w:rPr>
          <w:lang w:eastAsia="ja-JP"/>
        </w:rPr>
        <w:t>/cm</w:t>
      </w:r>
      <w:r>
        <w:rPr>
          <w:vertAlign w:val="superscript"/>
          <w:lang w:eastAsia="ja-JP"/>
        </w:rPr>
        <w:t>2</w:t>
      </w:r>
      <w:r w:rsidRPr="009147A2">
        <w:t xml:space="preserve"> groups and 1.51% in the placebo</w:t>
      </w:r>
      <w:r>
        <w:t xml:space="preserve"> groups.</w:t>
      </w:r>
      <w:r w:rsidRPr="009147A2">
        <w:t xml:space="preserve"> The mean </w:t>
      </w:r>
      <w:r>
        <w:t>percentage</w:t>
      </w:r>
      <w:r w:rsidRPr="009147A2">
        <w:t xml:space="preserve"> change in calliper thickness of </w:t>
      </w:r>
      <w:r>
        <w:t>submental fat</w:t>
      </w:r>
      <w:r w:rsidR="00E26B7F">
        <w:t xml:space="preserve"> at Visit </w:t>
      </w:r>
      <w:r w:rsidRPr="009147A2">
        <w:t>9 was -19.9% i</w:t>
      </w:r>
      <w:r>
        <w:t>n the 2 </w:t>
      </w:r>
      <w:r w:rsidRPr="009147A2">
        <w:t>mg</w:t>
      </w:r>
      <w:r>
        <w:rPr>
          <w:lang w:eastAsia="ja-JP"/>
        </w:rPr>
        <w:t>/cm</w:t>
      </w:r>
      <w:r>
        <w:rPr>
          <w:vertAlign w:val="superscript"/>
          <w:lang w:eastAsia="ja-JP"/>
        </w:rPr>
        <w:t>2</w:t>
      </w:r>
      <w:r w:rsidRPr="009147A2">
        <w:t xml:space="preserve"> gr</w:t>
      </w:r>
      <w:r>
        <w:t>oups and -7.3% in the placebo groups.</w:t>
      </w:r>
    </w:p>
    <w:p w14:paraId="199E8E97" w14:textId="77777777" w:rsidR="00D96C2B" w:rsidRPr="009147A2" w:rsidRDefault="00D96C2B" w:rsidP="00D96C2B">
      <w:r w:rsidRPr="009147A2">
        <w:t>The studies performed using the BA free formulation (Study 16 and Study 17) also supported the choice of a 2 mg</w:t>
      </w:r>
      <w:r>
        <w:rPr>
          <w:lang w:eastAsia="ja-JP"/>
        </w:rPr>
        <w:t>/cm</w:t>
      </w:r>
      <w:r>
        <w:rPr>
          <w:vertAlign w:val="superscript"/>
          <w:lang w:eastAsia="ja-JP"/>
        </w:rPr>
        <w:t>2</w:t>
      </w:r>
      <w:r w:rsidRPr="009147A2">
        <w:t xml:space="preserve"> dosing regimen </w:t>
      </w:r>
      <w:r>
        <w:t>over</w:t>
      </w:r>
      <w:r w:rsidRPr="009147A2">
        <w:t xml:space="preserve"> the 1 mg</w:t>
      </w:r>
      <w:r>
        <w:rPr>
          <w:lang w:eastAsia="ja-JP"/>
        </w:rPr>
        <w:t>/cm</w:t>
      </w:r>
      <w:r>
        <w:rPr>
          <w:vertAlign w:val="superscript"/>
          <w:lang w:eastAsia="ja-JP"/>
        </w:rPr>
        <w:t>2</w:t>
      </w:r>
      <w:r>
        <w:t xml:space="preserve"> dosage regimen. </w:t>
      </w:r>
      <w:r w:rsidRPr="009147A2">
        <w:t>Although performed with a different formulation and fewer treatment sessions, these studies also supported efficacy.</w:t>
      </w:r>
    </w:p>
    <w:p w14:paraId="72D0EDA0" w14:textId="77777777" w:rsidR="00D96C2B" w:rsidRPr="009147A2" w:rsidRDefault="00D96C2B" w:rsidP="00D96C2B">
      <w:r w:rsidRPr="009147A2">
        <w:t>The long-term follow-up studies demonstrated maintenance of effect f</w:t>
      </w:r>
      <w:r>
        <w:t>or up to 4 years: Study 26 for 1</w:t>
      </w:r>
      <w:r w:rsidRPr="009147A2">
        <w:t xml:space="preserve"> year; Study 12 for 4 years and Study 1403740 for 2 years.</w:t>
      </w:r>
    </w:p>
    <w:p w14:paraId="54390ADC" w14:textId="77777777" w:rsidR="00D96C2B" w:rsidRPr="009147A2" w:rsidRDefault="00D96C2B" w:rsidP="00D96C2B">
      <w:pPr>
        <w:rPr>
          <w:lang w:eastAsia="ja-JP"/>
        </w:rPr>
      </w:pPr>
      <w:r w:rsidRPr="009147A2">
        <w:t xml:space="preserve">The </w:t>
      </w:r>
      <w:r>
        <w:t>p</w:t>
      </w:r>
      <w:r w:rsidRPr="009147A2">
        <w:t>ivotal studies were conducted in a population similar to that identified in the</w:t>
      </w:r>
      <w:r>
        <w:t xml:space="preserve"> product information document. </w:t>
      </w:r>
      <w:r w:rsidRPr="009147A2">
        <w:t>There were f</w:t>
      </w:r>
      <w:r>
        <w:t>ew subjects older than 65 years</w:t>
      </w:r>
      <w:r w:rsidRPr="009147A2">
        <w:t xml:space="preserve"> and these patients may be considered unsuitable</w:t>
      </w:r>
      <w:r>
        <w:rPr>
          <w:lang w:eastAsia="ja-JP"/>
        </w:rPr>
        <w:t xml:space="preserve"> for this treatment. </w:t>
      </w:r>
      <w:r w:rsidRPr="009147A2">
        <w:rPr>
          <w:lang w:eastAsia="ja-JP"/>
        </w:rPr>
        <w:t>The study po</w:t>
      </w:r>
      <w:r>
        <w:rPr>
          <w:lang w:eastAsia="ja-JP"/>
        </w:rPr>
        <w:t xml:space="preserve">pulation was generally healthy </w:t>
      </w:r>
      <w:r w:rsidRPr="009147A2">
        <w:rPr>
          <w:lang w:eastAsia="ja-JP"/>
        </w:rPr>
        <w:t>but had a higher BM</w:t>
      </w:r>
      <w:r>
        <w:rPr>
          <w:lang w:eastAsia="ja-JP"/>
        </w:rPr>
        <w:t xml:space="preserve">I than the general population. </w:t>
      </w:r>
      <w:r w:rsidRPr="009147A2">
        <w:rPr>
          <w:lang w:eastAsia="ja-JP"/>
        </w:rPr>
        <w:t>There were no subgroup characteristics that influenced efficacy.</w:t>
      </w:r>
    </w:p>
    <w:p w14:paraId="0E0905F3" w14:textId="7212825A" w:rsidR="00D96C2B" w:rsidRPr="00D96C2B" w:rsidRDefault="00D96C2B" w:rsidP="00D96C2B">
      <w:pPr>
        <w:rPr>
          <w:lang w:eastAsia="ja-JP"/>
        </w:rPr>
      </w:pPr>
      <w:r w:rsidRPr="009147A2">
        <w:rPr>
          <w:lang w:eastAsia="ja-JP"/>
        </w:rPr>
        <w:t>The studie</w:t>
      </w:r>
      <w:r>
        <w:rPr>
          <w:lang w:eastAsia="ja-JP"/>
        </w:rPr>
        <w:t xml:space="preserve">s were appropriately designed. </w:t>
      </w:r>
      <w:r w:rsidRPr="009147A2">
        <w:rPr>
          <w:lang w:eastAsia="ja-JP"/>
        </w:rPr>
        <w:t xml:space="preserve">The outcome measures were developed and validated by the </w:t>
      </w:r>
      <w:r>
        <w:rPr>
          <w:lang w:eastAsia="ja-JP"/>
        </w:rPr>
        <w:t xml:space="preserve">sponsor. </w:t>
      </w:r>
      <w:r w:rsidRPr="009147A2">
        <w:rPr>
          <w:lang w:eastAsia="ja-JP"/>
        </w:rPr>
        <w:t xml:space="preserve">These measures were appropriate for </w:t>
      </w:r>
      <w:r>
        <w:rPr>
          <w:lang w:eastAsia="ja-JP"/>
        </w:rPr>
        <w:t>demonstrating efficacy however</w:t>
      </w:r>
      <w:r w:rsidRPr="009147A2">
        <w:rPr>
          <w:lang w:eastAsia="ja-JP"/>
        </w:rPr>
        <w:t xml:space="preserve"> the necessity for the </w:t>
      </w:r>
      <w:r>
        <w:rPr>
          <w:lang w:eastAsia="ja-JP"/>
        </w:rPr>
        <w:t>s</w:t>
      </w:r>
      <w:r w:rsidRPr="009147A2">
        <w:rPr>
          <w:lang w:eastAsia="ja-JP"/>
        </w:rPr>
        <w:t xml:space="preserve">ponsor to develop definitions and measures in order to </w:t>
      </w:r>
      <w:r w:rsidRPr="009147A2">
        <w:rPr>
          <w:lang w:eastAsia="ja-JP"/>
        </w:rPr>
        <w:lastRenderedPageBreak/>
        <w:t>perform the studies reflects that the indication has not</w:t>
      </w:r>
      <w:r>
        <w:rPr>
          <w:lang w:eastAsia="ja-JP"/>
        </w:rPr>
        <w:t xml:space="preserve"> been identified as a disease. </w:t>
      </w:r>
      <w:r w:rsidRPr="009147A2">
        <w:rPr>
          <w:lang w:eastAsia="ja-JP"/>
        </w:rPr>
        <w:t>The studies were appropriately powered and the statistical tests were appropriate.</w:t>
      </w:r>
    </w:p>
    <w:p w14:paraId="105A88E7" w14:textId="77777777" w:rsidR="008E7846" w:rsidRPr="002E238E" w:rsidRDefault="008E7846" w:rsidP="008E7846">
      <w:pPr>
        <w:pStyle w:val="Heading3"/>
      </w:pPr>
      <w:bookmarkStart w:id="98" w:name="_Toc163441378"/>
      <w:bookmarkStart w:id="99" w:name="_Toc196046495"/>
      <w:bookmarkStart w:id="100" w:name="_Toc247691522"/>
      <w:bookmarkStart w:id="101" w:name="_Toc314842505"/>
      <w:bookmarkStart w:id="102" w:name="_Toc482015700"/>
      <w:bookmarkEnd w:id="88"/>
      <w:bookmarkEnd w:id="89"/>
      <w:bookmarkEnd w:id="90"/>
      <w:bookmarkEnd w:id="91"/>
      <w:r w:rsidRPr="002E238E">
        <w:t>Safety</w:t>
      </w:r>
      <w:bookmarkEnd w:id="98"/>
      <w:bookmarkEnd w:id="99"/>
      <w:bookmarkEnd w:id="100"/>
      <w:bookmarkEnd w:id="101"/>
      <w:bookmarkEnd w:id="102"/>
    </w:p>
    <w:p w14:paraId="7C42CAB3" w14:textId="77777777" w:rsidR="00605AD4" w:rsidRDefault="00605AD4" w:rsidP="00605AD4">
      <w:pPr>
        <w:pStyle w:val="Heading4"/>
      </w:pPr>
      <w:bookmarkStart w:id="103" w:name="_Toc247691524"/>
      <w:bookmarkStart w:id="104" w:name="_Toc314842508"/>
      <w:bookmarkStart w:id="105" w:name="_Toc196046504"/>
      <w:bookmarkStart w:id="106" w:name="_Toc163441390"/>
      <w:r w:rsidRPr="00605AD4">
        <w:t>Studies providing safety data</w:t>
      </w:r>
    </w:p>
    <w:p w14:paraId="1E8625F9" w14:textId="693073B8" w:rsidR="00D96C2B" w:rsidRPr="00D96C2B" w:rsidRDefault="00D96C2B" w:rsidP="00D96C2B">
      <w:r>
        <w:t>This</w:t>
      </w:r>
      <w:r w:rsidRPr="00CA3DE5">
        <w:t xml:space="preserve"> submission contained the</w:t>
      </w:r>
      <w:r>
        <w:t xml:space="preserve"> following studies suitable for evaluation of clinical safety:</w:t>
      </w:r>
    </w:p>
    <w:p w14:paraId="6D8199A9" w14:textId="0B145DEA" w:rsidR="00D96C2B" w:rsidRDefault="00D96C2B" w:rsidP="00D96C2B">
      <w:pPr>
        <w:pStyle w:val="ListBullet"/>
        <w:numPr>
          <w:ilvl w:val="0"/>
          <w:numId w:val="3"/>
        </w:numPr>
      </w:pPr>
      <w:r>
        <w:t xml:space="preserve">2 pivotal efficacy and </w:t>
      </w:r>
      <w:r w:rsidR="00226D34">
        <w:t xml:space="preserve">safety studies </w:t>
      </w:r>
      <w:r>
        <w:t>(Study 22 and Study 23)</w:t>
      </w:r>
      <w:r w:rsidR="00226D34">
        <w:t xml:space="preserve"> using a BA-containing formulation</w:t>
      </w:r>
    </w:p>
    <w:p w14:paraId="7E7CFBA2" w14:textId="77777777" w:rsidR="00D96C2B" w:rsidRDefault="00D96C2B" w:rsidP="00D96C2B">
      <w:pPr>
        <w:pStyle w:val="ListBullet"/>
        <w:numPr>
          <w:ilvl w:val="0"/>
          <w:numId w:val="3"/>
        </w:numPr>
      </w:pPr>
      <w:r>
        <w:t xml:space="preserve">5 supportive studies </w:t>
      </w:r>
      <w:r w:rsidRPr="0096405B">
        <w:t>including</w:t>
      </w:r>
      <w:r>
        <w:t>:</w:t>
      </w:r>
    </w:p>
    <w:p w14:paraId="4358743B" w14:textId="33C7023C" w:rsidR="00D96C2B" w:rsidRDefault="00D96C2B" w:rsidP="00D96C2B">
      <w:pPr>
        <w:pStyle w:val="ListBullet2"/>
      </w:pPr>
      <w:r>
        <w:t>2</w:t>
      </w:r>
      <w:r w:rsidRPr="0096405B">
        <w:t xml:space="preserve"> other efficacy</w:t>
      </w:r>
      <w:r>
        <w:t xml:space="preserve"> and </w:t>
      </w:r>
      <w:r w:rsidRPr="0096405B">
        <w:t xml:space="preserve">safety studies </w:t>
      </w:r>
      <w:r>
        <w:t>(Study 16 and Study 17)</w:t>
      </w:r>
      <w:r w:rsidR="00226D34">
        <w:t xml:space="preserve"> using a BA-free formulation</w:t>
      </w:r>
    </w:p>
    <w:p w14:paraId="7030C3B9" w14:textId="77777777" w:rsidR="00D96C2B" w:rsidRDefault="00D96C2B" w:rsidP="00D96C2B">
      <w:pPr>
        <w:pStyle w:val="ListBullet2"/>
      </w:pPr>
      <w:r>
        <w:t>1</w:t>
      </w:r>
      <w:r w:rsidRPr="0096405B">
        <w:t xml:space="preserve"> open label, long term follow-up study (Study 26)</w:t>
      </w:r>
    </w:p>
    <w:p w14:paraId="78826277" w14:textId="152E1A08" w:rsidR="00D96C2B" w:rsidRDefault="00D96C2B" w:rsidP="00D96C2B">
      <w:pPr>
        <w:pStyle w:val="ListBullet2"/>
      </w:pPr>
      <w:r>
        <w:t xml:space="preserve">2 </w:t>
      </w:r>
      <w:r w:rsidRPr="0096405B">
        <w:t>long term follow-up studi</w:t>
      </w:r>
      <w:r>
        <w:t>es (Study 12 and Study 1403740)</w:t>
      </w:r>
    </w:p>
    <w:p w14:paraId="3D086FF5" w14:textId="076784C2" w:rsidR="00D96C2B" w:rsidRDefault="00D96C2B" w:rsidP="00D96C2B">
      <w:pPr>
        <w:pStyle w:val="ListBullet"/>
        <w:numPr>
          <w:ilvl w:val="0"/>
          <w:numId w:val="3"/>
        </w:numPr>
      </w:pPr>
      <w:r>
        <w:t>4</w:t>
      </w:r>
      <w:r w:rsidRPr="0096405B">
        <w:t xml:space="preserve"> studies evaluable only for safety (Study 04, Study 05, Study 10 and Study 19)</w:t>
      </w:r>
    </w:p>
    <w:p w14:paraId="7F115903" w14:textId="4B478510" w:rsidR="00D96C2B" w:rsidRDefault="00D96C2B" w:rsidP="00D96C2B">
      <w:pPr>
        <w:pStyle w:val="ListBullet"/>
        <w:numPr>
          <w:ilvl w:val="0"/>
          <w:numId w:val="3"/>
        </w:numPr>
      </w:pPr>
      <w:r>
        <w:t>An Integrated Summary of Safety</w:t>
      </w:r>
      <w:r w:rsidR="00226D34">
        <w:t xml:space="preserve"> (ISS).</w:t>
      </w:r>
    </w:p>
    <w:p w14:paraId="3ED34D41" w14:textId="5BF1F16D" w:rsidR="00226D34" w:rsidRDefault="00995DBD" w:rsidP="00995DBD">
      <w:r>
        <w:t>No pivotal studies were included assessing safety as the primary outcome. The pivotal efficacy, dose response and non-pivotal efficacy studies safety data were collected for adverse events (AEs),</w:t>
      </w:r>
      <w:r w:rsidR="004156DB">
        <w:t xml:space="preserve"> treatment-emergent adverse events (TEAE),</w:t>
      </w:r>
      <w:r>
        <w:t xml:space="preserve"> laboratory tests and vital signs.</w:t>
      </w:r>
    </w:p>
    <w:p w14:paraId="5CE938BB" w14:textId="76165BA1" w:rsidR="00D355C3" w:rsidRDefault="00D355C3" w:rsidP="00995DBD">
      <w:pPr>
        <w:rPr>
          <w:lang w:eastAsia="ja-JP"/>
        </w:rPr>
      </w:pPr>
      <w:r>
        <w:rPr>
          <w:lang w:eastAsia="ja-JP"/>
        </w:rPr>
        <w:t>For a full evaluation of safety issues with potential for major regulatory impact please refer to Attachment 2.</w:t>
      </w:r>
    </w:p>
    <w:p w14:paraId="29672B7E" w14:textId="77777777" w:rsidR="00605AD4" w:rsidRDefault="00605AD4" w:rsidP="00605AD4">
      <w:pPr>
        <w:pStyle w:val="Heading4"/>
      </w:pPr>
      <w:r w:rsidRPr="00605AD4">
        <w:t>Patient exposure</w:t>
      </w:r>
    </w:p>
    <w:p w14:paraId="726AFCCC" w14:textId="0A6A037A" w:rsidR="00642C5F" w:rsidRDefault="00642C5F" w:rsidP="00642C5F">
      <w:pPr>
        <w:rPr>
          <w:lang w:eastAsia="ja-JP"/>
        </w:rPr>
      </w:pPr>
      <w:r w:rsidRPr="008958EE">
        <w:rPr>
          <w:lang w:eastAsia="ja-JP"/>
        </w:rPr>
        <w:t xml:space="preserve">The </w:t>
      </w:r>
      <w:r>
        <w:rPr>
          <w:lang w:eastAsia="ja-JP"/>
        </w:rPr>
        <w:t>s</w:t>
      </w:r>
      <w:r w:rsidRPr="008958EE">
        <w:rPr>
          <w:lang w:eastAsia="ja-JP"/>
        </w:rPr>
        <w:t>ponsor state</w:t>
      </w:r>
      <w:r>
        <w:rPr>
          <w:lang w:eastAsia="ja-JP"/>
        </w:rPr>
        <w:t>s</w:t>
      </w:r>
      <w:r w:rsidRPr="008958EE">
        <w:rPr>
          <w:lang w:eastAsia="ja-JP"/>
        </w:rPr>
        <w:t xml:space="preserve"> in the </w:t>
      </w:r>
      <w:r>
        <w:rPr>
          <w:lang w:eastAsia="ja-JP"/>
        </w:rPr>
        <w:t>ISS submitted for evaluation</w:t>
      </w:r>
      <w:r w:rsidRPr="008958EE">
        <w:rPr>
          <w:lang w:eastAsia="ja-JP"/>
        </w:rPr>
        <w:t xml:space="preserve"> that 1,549 subjects have been treated with </w:t>
      </w:r>
      <w:proofErr w:type="spellStart"/>
      <w:r>
        <w:rPr>
          <w:lang w:eastAsia="ja-JP"/>
        </w:rPr>
        <w:t>Belkyra</w:t>
      </w:r>
      <w:proofErr w:type="spellEnd"/>
      <w:r w:rsidRPr="008958EE">
        <w:rPr>
          <w:lang w:eastAsia="ja-JP"/>
        </w:rPr>
        <w:t xml:space="preserve"> for the indication of </w:t>
      </w:r>
      <w:r>
        <w:rPr>
          <w:lang w:eastAsia="ja-JP"/>
        </w:rPr>
        <w:t xml:space="preserve">submental fat. </w:t>
      </w:r>
      <w:r w:rsidRPr="008958EE">
        <w:rPr>
          <w:lang w:eastAsia="ja-JP"/>
        </w:rPr>
        <w:t>There were 1050 subjects treated with the dose proposed for marketing</w:t>
      </w:r>
      <w:r>
        <w:rPr>
          <w:lang w:eastAsia="ja-JP"/>
        </w:rPr>
        <w:t xml:space="preserve"> of</w:t>
      </w:r>
      <w:r w:rsidRPr="008958EE">
        <w:rPr>
          <w:lang w:eastAsia="ja-JP"/>
        </w:rPr>
        <w:t xml:space="preserve"> 2 mg/cm</w:t>
      </w:r>
      <w:r w:rsidRPr="008958EE">
        <w:rPr>
          <w:vertAlign w:val="superscript"/>
          <w:lang w:eastAsia="ja-JP"/>
        </w:rPr>
        <w:t>2</w:t>
      </w:r>
      <w:r>
        <w:rPr>
          <w:lang w:eastAsia="ja-JP"/>
        </w:rPr>
        <w:t xml:space="preserve"> and </w:t>
      </w:r>
      <w:r w:rsidRPr="008958EE">
        <w:rPr>
          <w:lang w:eastAsia="ja-JP"/>
        </w:rPr>
        <w:t>424 subjects exposed to six doses of 2 mg/cm</w:t>
      </w:r>
      <w:r w:rsidRPr="008958EE">
        <w:rPr>
          <w:vertAlign w:val="superscript"/>
          <w:lang w:eastAsia="ja-JP"/>
        </w:rPr>
        <w:t>2</w:t>
      </w:r>
      <w:r>
        <w:rPr>
          <w:lang w:eastAsia="ja-JP"/>
        </w:rPr>
        <w:t>. In terms of overall exposure, t</w:t>
      </w:r>
      <w:r w:rsidRPr="008958EE">
        <w:rPr>
          <w:lang w:eastAsia="ja-JP"/>
        </w:rPr>
        <w:t>here w</w:t>
      </w:r>
      <w:r>
        <w:rPr>
          <w:lang w:eastAsia="ja-JP"/>
        </w:rPr>
        <w:t xml:space="preserve">ere 1172 females and 377 males; </w:t>
      </w:r>
      <w:r w:rsidRPr="008958EE">
        <w:rPr>
          <w:lang w:eastAsia="ja-JP"/>
        </w:rPr>
        <w:t xml:space="preserve">16 subjects </w:t>
      </w:r>
      <w:r>
        <w:rPr>
          <w:lang w:eastAsia="ja-JP"/>
        </w:rPr>
        <w:t xml:space="preserve">were </w:t>
      </w:r>
      <w:r w:rsidRPr="008958EE">
        <w:rPr>
          <w:lang w:eastAsia="ja-JP"/>
        </w:rPr>
        <w:t>aged ≥</w:t>
      </w:r>
      <w:r>
        <w:rPr>
          <w:lang w:eastAsia="ja-JP"/>
        </w:rPr>
        <w:t> </w:t>
      </w:r>
      <w:r w:rsidRPr="008958EE">
        <w:rPr>
          <w:lang w:eastAsia="ja-JP"/>
        </w:rPr>
        <w:t>65 years and none aged &lt;</w:t>
      </w:r>
      <w:r>
        <w:rPr>
          <w:lang w:eastAsia="ja-JP"/>
        </w:rPr>
        <w:t> 18 years. There were 1334 White</w:t>
      </w:r>
      <w:r w:rsidRPr="008958EE">
        <w:rPr>
          <w:lang w:eastAsia="ja-JP"/>
        </w:rPr>
        <w:t xml:space="preserve">, 22 Asian, 98 Black and 95 </w:t>
      </w:r>
      <w:r>
        <w:rPr>
          <w:lang w:eastAsia="ja-JP"/>
        </w:rPr>
        <w:t>subjects of other race groups.</w:t>
      </w:r>
      <w:r w:rsidRPr="008958EE">
        <w:rPr>
          <w:lang w:eastAsia="ja-JP"/>
        </w:rPr>
        <w:t xml:space="preserve"> There were 301 subjects exposed to 1 mg/cm</w:t>
      </w:r>
      <w:r w:rsidRPr="008958EE">
        <w:rPr>
          <w:vertAlign w:val="superscript"/>
          <w:lang w:eastAsia="ja-JP"/>
        </w:rPr>
        <w:t>2</w:t>
      </w:r>
      <w:r>
        <w:rPr>
          <w:lang w:eastAsia="ja-JP"/>
        </w:rPr>
        <w:t>, 1050 to 2 </w:t>
      </w:r>
      <w:r w:rsidRPr="008958EE">
        <w:rPr>
          <w:lang w:eastAsia="ja-JP"/>
        </w:rPr>
        <w:t>mg/cm</w:t>
      </w:r>
      <w:r w:rsidRPr="008958EE">
        <w:rPr>
          <w:vertAlign w:val="superscript"/>
          <w:lang w:eastAsia="ja-JP"/>
        </w:rPr>
        <w:t>2</w:t>
      </w:r>
      <w:r w:rsidRPr="008958EE">
        <w:rPr>
          <w:lang w:eastAsia="ja-JP"/>
        </w:rPr>
        <w:t xml:space="preserve"> and 198 to &gt;</w:t>
      </w:r>
      <w:r>
        <w:rPr>
          <w:lang w:eastAsia="ja-JP"/>
        </w:rPr>
        <w:t> </w:t>
      </w:r>
      <w:r w:rsidRPr="008958EE">
        <w:rPr>
          <w:lang w:eastAsia="ja-JP"/>
        </w:rPr>
        <w:t>2 mg/cm</w:t>
      </w:r>
      <w:r w:rsidRPr="008958EE">
        <w:rPr>
          <w:vertAlign w:val="superscript"/>
          <w:lang w:eastAsia="ja-JP"/>
        </w:rPr>
        <w:t>2</w:t>
      </w:r>
      <w:r>
        <w:rPr>
          <w:lang w:eastAsia="ja-JP"/>
        </w:rPr>
        <w:t xml:space="preserve">. </w:t>
      </w:r>
      <w:r w:rsidRPr="008958EE">
        <w:rPr>
          <w:lang w:eastAsia="ja-JP"/>
        </w:rPr>
        <w:t>Exposure was limited to up to 6 consecutive treatment sessions with approximately 4-</w:t>
      </w:r>
      <w:r>
        <w:rPr>
          <w:lang w:eastAsia="ja-JP"/>
        </w:rPr>
        <w:t xml:space="preserve">week treatment free intervals. </w:t>
      </w:r>
      <w:r w:rsidRPr="008958EE">
        <w:rPr>
          <w:lang w:eastAsia="ja-JP"/>
        </w:rPr>
        <w:t xml:space="preserve">Two subjects </w:t>
      </w:r>
      <w:r>
        <w:rPr>
          <w:lang w:eastAsia="ja-JP"/>
        </w:rPr>
        <w:t>were exposed during pregnancy.</w:t>
      </w:r>
    </w:p>
    <w:p w14:paraId="25D8B977" w14:textId="0C4C295F" w:rsidR="00734A8F" w:rsidRPr="008958EE" w:rsidRDefault="00734A8F" w:rsidP="00734A8F">
      <w:pPr>
        <w:rPr>
          <w:lang w:eastAsia="ja-JP"/>
        </w:rPr>
      </w:pPr>
      <w:r>
        <w:rPr>
          <w:lang w:eastAsia="ja-JP"/>
        </w:rPr>
        <w:t>For the pivotal studies 256 subjects were exposed to 2 </w:t>
      </w:r>
      <w:r w:rsidRPr="008958EE">
        <w:rPr>
          <w:lang w:eastAsia="ja-JP"/>
        </w:rPr>
        <w:t>mg/cm</w:t>
      </w:r>
      <w:r w:rsidRPr="008958EE">
        <w:rPr>
          <w:vertAlign w:val="superscript"/>
          <w:lang w:eastAsia="ja-JP"/>
        </w:rPr>
        <w:t>2</w:t>
      </w:r>
      <w:r w:rsidRPr="008958EE">
        <w:rPr>
          <w:lang w:eastAsia="ja-JP"/>
        </w:rPr>
        <w:t xml:space="preserve"> with 164 (64.1%) expose</w:t>
      </w:r>
      <w:r>
        <w:rPr>
          <w:lang w:eastAsia="ja-JP"/>
        </w:rPr>
        <w:t>d to all six treatment episodes in Study 22 and 258 subjects were exposed to 2 </w:t>
      </w:r>
      <w:r w:rsidRPr="008958EE">
        <w:rPr>
          <w:lang w:eastAsia="ja-JP"/>
        </w:rPr>
        <w:t>mg/cm</w:t>
      </w:r>
      <w:r w:rsidRPr="008958EE">
        <w:rPr>
          <w:vertAlign w:val="superscript"/>
          <w:lang w:eastAsia="ja-JP"/>
        </w:rPr>
        <w:t>2</w:t>
      </w:r>
      <w:r w:rsidRPr="008958EE">
        <w:rPr>
          <w:lang w:eastAsia="ja-JP"/>
        </w:rPr>
        <w:t xml:space="preserve"> with 140 (54.3%) exposed to</w:t>
      </w:r>
      <w:r>
        <w:rPr>
          <w:lang w:eastAsia="ja-JP"/>
        </w:rPr>
        <w:t xml:space="preserve"> all six treatment episodes.</w:t>
      </w:r>
    </w:p>
    <w:p w14:paraId="6D370295" w14:textId="1416B23D" w:rsidR="00642C5F" w:rsidRPr="00642C5F" w:rsidRDefault="00734A8F" w:rsidP="00642C5F">
      <w:pPr>
        <w:rPr>
          <w:lang w:eastAsia="ja-JP"/>
        </w:rPr>
      </w:pPr>
      <w:r>
        <w:t>For the supportive studies</w:t>
      </w:r>
      <w:r w:rsidR="00E3171D">
        <w:t xml:space="preserve"> using BA free formulations</w:t>
      </w:r>
      <w:r>
        <w:t xml:space="preserve">, </w:t>
      </w:r>
      <w:r w:rsidRPr="008958EE">
        <w:rPr>
          <w:lang w:eastAsia="ja-JP"/>
        </w:rPr>
        <w:t xml:space="preserve">Study 16 </w:t>
      </w:r>
      <w:r>
        <w:rPr>
          <w:lang w:eastAsia="ja-JP"/>
        </w:rPr>
        <w:t>included</w:t>
      </w:r>
      <w:r w:rsidRPr="008958EE">
        <w:rPr>
          <w:lang w:eastAsia="ja-JP"/>
        </w:rPr>
        <w:t xml:space="preserve"> 121 subjects exposed to 2 mg/cm</w:t>
      </w:r>
      <w:r w:rsidRPr="008958EE">
        <w:rPr>
          <w:vertAlign w:val="superscript"/>
          <w:lang w:eastAsia="ja-JP"/>
        </w:rPr>
        <w:t>2</w:t>
      </w:r>
      <w:r w:rsidRPr="008958EE">
        <w:rPr>
          <w:lang w:eastAsia="ja-JP"/>
        </w:rPr>
        <w:t xml:space="preserve"> with 87 (71.9%) exposed to all four treatment episodes.</w:t>
      </w:r>
      <w:r>
        <w:rPr>
          <w:lang w:eastAsia="ja-JP"/>
        </w:rPr>
        <w:t xml:space="preserve"> Study 17</w:t>
      </w:r>
      <w:r w:rsidRPr="008958EE">
        <w:rPr>
          <w:lang w:eastAsia="ja-JP"/>
        </w:rPr>
        <w:t xml:space="preserve"> </w:t>
      </w:r>
      <w:r w:rsidR="00E3171D">
        <w:rPr>
          <w:lang w:eastAsia="ja-JP"/>
        </w:rPr>
        <w:t xml:space="preserve">included </w:t>
      </w:r>
      <w:r w:rsidRPr="008958EE">
        <w:rPr>
          <w:lang w:eastAsia="ja-JP"/>
        </w:rPr>
        <w:t>122 subjects exposed to 2 mg/cm</w:t>
      </w:r>
      <w:r w:rsidRPr="008958EE">
        <w:rPr>
          <w:vertAlign w:val="superscript"/>
          <w:lang w:eastAsia="ja-JP"/>
        </w:rPr>
        <w:t>2</w:t>
      </w:r>
      <w:r w:rsidRPr="008958EE">
        <w:rPr>
          <w:lang w:eastAsia="ja-JP"/>
        </w:rPr>
        <w:t xml:space="preserve"> with 90 (73.8%) exposed </w:t>
      </w:r>
      <w:r>
        <w:rPr>
          <w:lang w:eastAsia="ja-JP"/>
        </w:rPr>
        <w:t>to all four treatment episodes.</w:t>
      </w:r>
    </w:p>
    <w:p w14:paraId="75FC3AFD" w14:textId="77777777" w:rsidR="00605AD4" w:rsidRDefault="00605AD4" w:rsidP="00605AD4">
      <w:pPr>
        <w:pStyle w:val="Heading4"/>
      </w:pPr>
      <w:r w:rsidRPr="00605AD4">
        <w:t>Safety issues with the potential for major regulatory impact</w:t>
      </w:r>
    </w:p>
    <w:p w14:paraId="7C777BFD" w14:textId="0E4A68C7" w:rsidR="00E3171D" w:rsidRDefault="00E3171D" w:rsidP="00E3171D">
      <w:pPr>
        <w:rPr>
          <w:lang w:eastAsia="ja-JP"/>
        </w:rPr>
      </w:pPr>
      <w:r w:rsidRPr="008958EE">
        <w:rPr>
          <w:lang w:eastAsia="ja-JP"/>
        </w:rPr>
        <w:t xml:space="preserve">In the </w:t>
      </w:r>
      <w:r>
        <w:rPr>
          <w:lang w:eastAsia="ja-JP"/>
        </w:rPr>
        <w:t>ISS</w:t>
      </w:r>
      <w:r w:rsidRPr="008958EE">
        <w:rPr>
          <w:lang w:eastAsia="ja-JP"/>
        </w:rPr>
        <w:t xml:space="preserve"> nerve injury was reported in 19 (3.7%) subjects treated with </w:t>
      </w:r>
      <w:proofErr w:type="spellStart"/>
      <w:r w:rsidRPr="008958EE">
        <w:rPr>
          <w:lang w:eastAsia="ja-JP"/>
        </w:rPr>
        <w:t>deoxycholic</w:t>
      </w:r>
      <w:proofErr w:type="spellEnd"/>
      <w:r w:rsidRPr="008958EE">
        <w:rPr>
          <w:lang w:eastAsia="ja-JP"/>
        </w:rPr>
        <w:t xml:space="preserve"> acid and </w:t>
      </w:r>
      <w:r w:rsidR="00C779F1">
        <w:rPr>
          <w:lang w:eastAsia="ja-JP"/>
        </w:rPr>
        <w:t xml:space="preserve">in </w:t>
      </w:r>
      <w:r w:rsidRPr="008958EE">
        <w:rPr>
          <w:lang w:eastAsia="ja-JP"/>
        </w:rPr>
        <w:t>one (0.2%) trea</w:t>
      </w:r>
      <w:r>
        <w:rPr>
          <w:lang w:eastAsia="ja-JP"/>
        </w:rPr>
        <w:t xml:space="preserve">ted with placebo. </w:t>
      </w:r>
      <w:r w:rsidRPr="008958EE">
        <w:rPr>
          <w:lang w:eastAsia="ja-JP"/>
        </w:rPr>
        <w:t>In Study 22 nerve injury was reported in 10 subjects in the 2 mg/cm</w:t>
      </w:r>
      <w:r w:rsidRPr="008958EE">
        <w:rPr>
          <w:vertAlign w:val="superscript"/>
          <w:lang w:eastAsia="ja-JP"/>
        </w:rPr>
        <w:t>2</w:t>
      </w:r>
      <w:r w:rsidRPr="008958EE">
        <w:rPr>
          <w:lang w:eastAsia="ja-JP"/>
        </w:rPr>
        <w:t xml:space="preserve"> group and none in the placebo</w:t>
      </w:r>
      <w:r>
        <w:rPr>
          <w:lang w:eastAsia="ja-JP"/>
        </w:rPr>
        <w:t xml:space="preserve"> group. All episodes resolved. In </w:t>
      </w:r>
      <w:r>
        <w:rPr>
          <w:lang w:eastAsia="ja-JP"/>
        </w:rPr>
        <w:lastRenderedPageBreak/>
        <w:t xml:space="preserve">Study 23 </w:t>
      </w:r>
      <w:r w:rsidRPr="008958EE">
        <w:rPr>
          <w:lang w:eastAsia="ja-JP"/>
        </w:rPr>
        <w:t>nerve injury was reported in 11 subjects in the 2 mg/cm</w:t>
      </w:r>
      <w:r w:rsidRPr="008958EE">
        <w:rPr>
          <w:vertAlign w:val="superscript"/>
          <w:lang w:eastAsia="ja-JP"/>
        </w:rPr>
        <w:t>2</w:t>
      </w:r>
      <w:r w:rsidRPr="008958EE">
        <w:rPr>
          <w:lang w:eastAsia="ja-JP"/>
        </w:rPr>
        <w:t xml:space="preserve"> group and two in the place</w:t>
      </w:r>
      <w:r>
        <w:rPr>
          <w:lang w:eastAsia="ja-JP"/>
        </w:rPr>
        <w:t>bo. All episodes resolved.</w:t>
      </w:r>
    </w:p>
    <w:p w14:paraId="0DCEF9B6" w14:textId="2F90B78E" w:rsidR="00E3171D" w:rsidRDefault="00E3171D" w:rsidP="00E3171D">
      <w:pPr>
        <w:rPr>
          <w:lang w:eastAsia="ja-JP"/>
        </w:rPr>
      </w:pPr>
      <w:r>
        <w:rPr>
          <w:lang w:eastAsia="ja-JP"/>
        </w:rPr>
        <w:t>In the ISS d</w:t>
      </w:r>
      <w:r w:rsidRPr="008958EE">
        <w:rPr>
          <w:lang w:eastAsia="ja-JP"/>
        </w:rPr>
        <w:t xml:space="preserve">ysphagia was reported in 10 (1.9%) subjects treated with </w:t>
      </w:r>
      <w:proofErr w:type="spellStart"/>
      <w:r w:rsidRPr="008958EE">
        <w:rPr>
          <w:lang w:eastAsia="ja-JP"/>
        </w:rPr>
        <w:t>deoxycholic</w:t>
      </w:r>
      <w:proofErr w:type="spellEnd"/>
      <w:r w:rsidRPr="008958EE">
        <w:rPr>
          <w:lang w:eastAsia="ja-JP"/>
        </w:rPr>
        <w:t xml:space="preserve"> acid and on</w:t>
      </w:r>
      <w:r>
        <w:rPr>
          <w:lang w:eastAsia="ja-JP"/>
        </w:rPr>
        <w:t>e (0.2%) treated with placebo.</w:t>
      </w:r>
    </w:p>
    <w:p w14:paraId="2DA627C1" w14:textId="6D7BEC20" w:rsidR="00E3171D" w:rsidRPr="008958EE" w:rsidRDefault="00E3171D" w:rsidP="00E3171D">
      <w:pPr>
        <w:rPr>
          <w:lang w:eastAsia="ja-JP"/>
        </w:rPr>
      </w:pPr>
      <w:r>
        <w:rPr>
          <w:lang w:eastAsia="ja-JP"/>
        </w:rPr>
        <w:t xml:space="preserve">In </w:t>
      </w:r>
      <w:r w:rsidRPr="008958EE">
        <w:rPr>
          <w:lang w:eastAsia="ja-JP"/>
        </w:rPr>
        <w:t xml:space="preserve">the </w:t>
      </w:r>
      <w:r>
        <w:rPr>
          <w:lang w:eastAsia="ja-JP"/>
        </w:rPr>
        <w:t>ISS</w:t>
      </w:r>
      <w:r w:rsidRPr="008958EE">
        <w:rPr>
          <w:lang w:eastAsia="ja-JP"/>
        </w:rPr>
        <w:t xml:space="preserve"> </w:t>
      </w:r>
      <w:proofErr w:type="spellStart"/>
      <w:r w:rsidRPr="008958EE">
        <w:rPr>
          <w:lang w:eastAsia="ja-JP"/>
        </w:rPr>
        <w:t>urticaria</w:t>
      </w:r>
      <w:proofErr w:type="spellEnd"/>
      <w:r w:rsidRPr="008958EE">
        <w:rPr>
          <w:lang w:eastAsia="ja-JP"/>
        </w:rPr>
        <w:t xml:space="preserve"> was reported in five (1.0%) subjects treated with </w:t>
      </w:r>
      <w:proofErr w:type="spellStart"/>
      <w:r w:rsidRPr="008958EE">
        <w:rPr>
          <w:lang w:eastAsia="ja-JP"/>
        </w:rPr>
        <w:t>deoxycholic</w:t>
      </w:r>
      <w:proofErr w:type="spellEnd"/>
      <w:r w:rsidRPr="008958EE">
        <w:rPr>
          <w:lang w:eastAsia="ja-JP"/>
        </w:rPr>
        <w:t xml:space="preserve"> acid and thre</w:t>
      </w:r>
      <w:r>
        <w:rPr>
          <w:lang w:eastAsia="ja-JP"/>
        </w:rPr>
        <w:t>e (0.6%) treated with placebo; however, s</w:t>
      </w:r>
      <w:r w:rsidRPr="008958EE">
        <w:rPr>
          <w:lang w:eastAsia="ja-JP"/>
        </w:rPr>
        <w:t xml:space="preserve">erious skin reactions were not identified </w:t>
      </w:r>
      <w:r>
        <w:rPr>
          <w:lang w:eastAsia="ja-JP"/>
        </w:rPr>
        <w:t>as a safety issue in the data.</w:t>
      </w:r>
    </w:p>
    <w:p w14:paraId="481E05FA" w14:textId="5FE7F435" w:rsidR="00E3171D" w:rsidRDefault="004B6EC9" w:rsidP="00E3171D">
      <w:pPr>
        <w:rPr>
          <w:lang w:eastAsia="ja-JP"/>
        </w:rPr>
      </w:pPr>
      <w:r>
        <w:rPr>
          <w:lang w:eastAsia="ja-JP"/>
        </w:rPr>
        <w:t>Liver toxicity, haematology toxicity, cardiovascular safety or unwanted immunological events were not identified as safety issues in the data.</w:t>
      </w:r>
    </w:p>
    <w:p w14:paraId="60907336" w14:textId="75F76238" w:rsidR="004B6EC9" w:rsidRPr="00E3171D" w:rsidRDefault="004B6EC9" w:rsidP="00E3171D">
      <w:pPr>
        <w:rPr>
          <w:lang w:eastAsia="ja-JP"/>
        </w:rPr>
      </w:pPr>
      <w:r>
        <w:rPr>
          <w:lang w:eastAsia="ja-JP"/>
        </w:rPr>
        <w:t>For a full evaluation of safety issues with potential for major regulatory impact please refer to Attachment 2.</w:t>
      </w:r>
    </w:p>
    <w:p w14:paraId="68700148" w14:textId="3D2469D4" w:rsidR="00605AD4" w:rsidRDefault="00605AD4" w:rsidP="00605AD4">
      <w:pPr>
        <w:pStyle w:val="Heading4"/>
      </w:pPr>
      <w:r w:rsidRPr="00605AD4">
        <w:t>Post</w:t>
      </w:r>
      <w:r w:rsidR="004B6EC9">
        <w:t>-</w:t>
      </w:r>
      <w:r w:rsidRPr="00605AD4">
        <w:t>marketing data</w:t>
      </w:r>
    </w:p>
    <w:p w14:paraId="2E7FEE96" w14:textId="5088A18B" w:rsidR="004B6EC9" w:rsidRPr="004B6EC9" w:rsidRDefault="004B6EC9" w:rsidP="004B6EC9">
      <w:r>
        <w:t>No post-marketing data was included with this submission.</w:t>
      </w:r>
    </w:p>
    <w:p w14:paraId="2BEE0D49" w14:textId="77777777" w:rsidR="00605AD4" w:rsidRDefault="00605AD4" w:rsidP="00605AD4">
      <w:pPr>
        <w:pStyle w:val="Heading4"/>
      </w:pPr>
      <w:r w:rsidRPr="00605AD4">
        <w:t>Evaluator’s conclusions on safety</w:t>
      </w:r>
    </w:p>
    <w:p w14:paraId="42F606ED" w14:textId="77777777" w:rsidR="00086ED3" w:rsidRPr="00BB75B1" w:rsidRDefault="00086ED3" w:rsidP="00BB75B1">
      <w:pPr>
        <w:pStyle w:val="ListBullet"/>
      </w:pPr>
      <w:r w:rsidRPr="00BB75B1">
        <w:t xml:space="preserve">Virtually all subjects treated with </w:t>
      </w:r>
      <w:proofErr w:type="spellStart"/>
      <w:r w:rsidRPr="00BB75B1">
        <w:t>deoxycholic</w:t>
      </w:r>
      <w:proofErr w:type="spellEnd"/>
      <w:r w:rsidRPr="00BB75B1">
        <w:t xml:space="preserve"> acid reported TEAEs and these were predominantly administration site related and can therefore be considered to be treatment associated. In the pivotal studies around 70% of subjects reported administration site pain, 65% reported injection site anaesthesia and more than 50% reported injection site oedema. Approximately 4% reported nerve injury, which subsequently resolved.</w:t>
      </w:r>
    </w:p>
    <w:p w14:paraId="7374838B" w14:textId="4CF1A4B1" w:rsidR="00086ED3" w:rsidRPr="00BB75B1" w:rsidRDefault="00086ED3" w:rsidP="00BB75B1">
      <w:pPr>
        <w:pStyle w:val="ListBullet"/>
      </w:pPr>
      <w:r w:rsidRPr="00BB75B1">
        <w:t>In the supportive studies the frequency of administration site reactions was not related to concentration however the intensity of administration site pain increased with increasing concentration.</w:t>
      </w:r>
    </w:p>
    <w:p w14:paraId="57E75658" w14:textId="77777777" w:rsidR="00086ED3" w:rsidRPr="00BB75B1" w:rsidRDefault="00086ED3" w:rsidP="00BB75B1">
      <w:pPr>
        <w:pStyle w:val="ListBullet"/>
      </w:pPr>
      <w:r w:rsidRPr="00BB75B1">
        <w:t>The frequency and intensity of administration site reactions were similar for BA containing and BA free formulations.</w:t>
      </w:r>
    </w:p>
    <w:p w14:paraId="60E848B5" w14:textId="77777777" w:rsidR="00086ED3" w:rsidRPr="00BB75B1" w:rsidRDefault="00086ED3" w:rsidP="00BB75B1">
      <w:pPr>
        <w:pStyle w:val="ListBullet"/>
      </w:pPr>
      <w:r w:rsidRPr="00BB75B1">
        <w:t>There were few long term adverse effects in the long-term follow-up studies.</w:t>
      </w:r>
    </w:p>
    <w:p w14:paraId="4A3A2052" w14:textId="77777777" w:rsidR="00086ED3" w:rsidRPr="00BB75B1" w:rsidRDefault="00086ED3" w:rsidP="00BB75B1">
      <w:pPr>
        <w:pStyle w:val="ListBullet"/>
      </w:pPr>
      <w:r w:rsidRPr="00BB75B1">
        <w:t>There were four deaths in the development program none of which were attributed to treatment.</w:t>
      </w:r>
    </w:p>
    <w:p w14:paraId="32F6B817" w14:textId="0667EEC8" w:rsidR="00086ED3" w:rsidRPr="00BB75B1" w:rsidRDefault="00086ED3" w:rsidP="00BB75B1">
      <w:pPr>
        <w:pStyle w:val="ListBullet"/>
      </w:pPr>
      <w:r w:rsidRPr="00BB75B1">
        <w:t xml:space="preserve">There were few </w:t>
      </w:r>
      <w:r w:rsidR="00D87AB0" w:rsidRPr="00BB75B1">
        <w:t>serious adverse events (SAE)</w:t>
      </w:r>
      <w:r w:rsidRPr="00BB75B1">
        <w:t>. There was no pattern for the SAEs that might suggest any treatment effect.</w:t>
      </w:r>
    </w:p>
    <w:p w14:paraId="3E011D14" w14:textId="263323F4" w:rsidR="00086ED3" w:rsidRPr="00BB75B1" w:rsidRDefault="00D87AB0" w:rsidP="00BB75B1">
      <w:pPr>
        <w:pStyle w:val="ListBullet"/>
      </w:pPr>
      <w:r w:rsidRPr="00BB75B1">
        <w:t>Discontinuation due to adverse events (</w:t>
      </w:r>
      <w:r w:rsidR="00086ED3" w:rsidRPr="00BB75B1">
        <w:t>DAE</w:t>
      </w:r>
      <w:r w:rsidRPr="00BB75B1">
        <w:t>)</w:t>
      </w:r>
      <w:r w:rsidR="00086ED3" w:rsidRPr="00BB75B1">
        <w:t xml:space="preserve"> was uncommon but most of the DAEs were administration site related. Most subjects appear to have willing to continue with treatment in spite of the very high rate of administration site TEAEs. The completion rate for studies using the 2 mg/cm2 dose level was 86.5%.</w:t>
      </w:r>
    </w:p>
    <w:p w14:paraId="66807319" w14:textId="0DAEB805" w:rsidR="00605AD4" w:rsidRPr="00BB75B1" w:rsidRDefault="00086ED3" w:rsidP="00BB75B1">
      <w:pPr>
        <w:pStyle w:val="ListBullet"/>
      </w:pPr>
      <w:r w:rsidRPr="00BB75B1">
        <w:t xml:space="preserve">Laboratory test abnormalities were evenly distributed between </w:t>
      </w:r>
      <w:proofErr w:type="spellStart"/>
      <w:r w:rsidRPr="00BB75B1">
        <w:t>deoxycholic</w:t>
      </w:r>
      <w:proofErr w:type="spellEnd"/>
      <w:r w:rsidRPr="00BB75B1">
        <w:t xml:space="preserve"> acid and placebo. Vital signs were not abnormal in the </w:t>
      </w:r>
      <w:proofErr w:type="spellStart"/>
      <w:r w:rsidRPr="00BB75B1">
        <w:t>deoxycholic</w:t>
      </w:r>
      <w:proofErr w:type="spellEnd"/>
      <w:r w:rsidRPr="00BB75B1">
        <w:t xml:space="preserve"> acid groups relative to placebo.</w:t>
      </w:r>
    </w:p>
    <w:p w14:paraId="68CC6E28" w14:textId="059BC58C" w:rsidR="00605AD4" w:rsidRPr="00605AD4" w:rsidRDefault="005200DF" w:rsidP="00605AD4">
      <w:pPr>
        <w:pStyle w:val="Heading3"/>
        <w:rPr>
          <w:rFonts w:eastAsia="Cambria"/>
        </w:rPr>
      </w:pPr>
      <w:bookmarkStart w:id="107" w:name="_Toc482015701"/>
      <w:r>
        <w:rPr>
          <w:rFonts w:eastAsia="Cambria"/>
        </w:rPr>
        <w:t>First round benefit-r</w:t>
      </w:r>
      <w:r w:rsidR="00605AD4" w:rsidRPr="00605AD4">
        <w:rPr>
          <w:rFonts w:eastAsia="Cambria"/>
        </w:rPr>
        <w:t xml:space="preserve">isk </w:t>
      </w:r>
      <w:r>
        <w:rPr>
          <w:rFonts w:eastAsia="Cambria"/>
        </w:rPr>
        <w:t>a</w:t>
      </w:r>
      <w:r w:rsidR="00605AD4" w:rsidRPr="00605AD4">
        <w:rPr>
          <w:rFonts w:eastAsia="Cambria"/>
        </w:rPr>
        <w:t>ssessment</w:t>
      </w:r>
      <w:bookmarkEnd w:id="107"/>
    </w:p>
    <w:p w14:paraId="05AAD9D7" w14:textId="77777777" w:rsidR="00605AD4" w:rsidRDefault="00605AD4" w:rsidP="00605AD4">
      <w:pPr>
        <w:pStyle w:val="Heading4"/>
      </w:pPr>
      <w:r w:rsidRPr="00605AD4">
        <w:t>First round assessment of benefits</w:t>
      </w:r>
    </w:p>
    <w:p w14:paraId="2D974541" w14:textId="77777777" w:rsidR="00D87AB0" w:rsidRDefault="00D87AB0" w:rsidP="00D87AB0">
      <w:pPr>
        <w:rPr>
          <w:lang w:eastAsia="ja-JP"/>
        </w:rPr>
      </w:pPr>
      <w:proofErr w:type="spellStart"/>
      <w:r w:rsidRPr="00BA2876">
        <w:rPr>
          <w:lang w:eastAsia="ja-JP"/>
        </w:rPr>
        <w:t>Deoxycholic</w:t>
      </w:r>
      <w:proofErr w:type="spellEnd"/>
      <w:r w:rsidRPr="00BA2876">
        <w:rPr>
          <w:lang w:eastAsia="ja-JP"/>
        </w:rPr>
        <w:t xml:space="preserve"> acid, using the dosing regimen proposed for marketing by the </w:t>
      </w:r>
      <w:r>
        <w:rPr>
          <w:lang w:eastAsia="ja-JP"/>
        </w:rPr>
        <w:t>s</w:t>
      </w:r>
      <w:r w:rsidRPr="00BA2876">
        <w:rPr>
          <w:lang w:eastAsia="ja-JP"/>
        </w:rPr>
        <w:t xml:space="preserve">ponsor, reduces the amount of </w:t>
      </w:r>
      <w:r>
        <w:rPr>
          <w:lang w:eastAsia="ja-JP"/>
        </w:rPr>
        <w:t>submental fat.</w:t>
      </w:r>
      <w:r w:rsidRPr="00BA2876">
        <w:rPr>
          <w:lang w:eastAsia="ja-JP"/>
        </w:rPr>
        <w:t xml:space="preserve"> This was demonstrated by the </w:t>
      </w:r>
      <w:r>
        <w:rPr>
          <w:lang w:eastAsia="ja-JP"/>
        </w:rPr>
        <w:t>s</w:t>
      </w:r>
      <w:r w:rsidRPr="00BA2876">
        <w:rPr>
          <w:lang w:eastAsia="ja-JP"/>
        </w:rPr>
        <w:t>ponsor us</w:t>
      </w:r>
      <w:r>
        <w:rPr>
          <w:lang w:eastAsia="ja-JP"/>
        </w:rPr>
        <w:t xml:space="preserve">ing </w:t>
      </w:r>
      <w:r>
        <w:rPr>
          <w:lang w:eastAsia="ja-JP"/>
        </w:rPr>
        <w:lastRenderedPageBreak/>
        <w:t xml:space="preserve">multiple outcome measures. </w:t>
      </w:r>
      <w:r w:rsidRPr="00BA2876">
        <w:rPr>
          <w:lang w:eastAsia="ja-JP"/>
        </w:rPr>
        <w:t xml:space="preserve">The pivotal studies demonstrated that </w:t>
      </w:r>
      <w:proofErr w:type="spellStart"/>
      <w:r w:rsidRPr="00BA2876">
        <w:rPr>
          <w:lang w:eastAsia="ja-JP"/>
        </w:rPr>
        <w:t>deoxycholic</w:t>
      </w:r>
      <w:proofErr w:type="spellEnd"/>
      <w:r w:rsidRPr="00BA2876">
        <w:rPr>
          <w:lang w:eastAsia="ja-JP"/>
        </w:rPr>
        <w:t xml:space="preserve"> acid was super</w:t>
      </w:r>
      <w:r>
        <w:rPr>
          <w:lang w:eastAsia="ja-JP"/>
        </w:rPr>
        <w:t>ior to placebo in reducing submental fat.</w:t>
      </w:r>
    </w:p>
    <w:p w14:paraId="1F48AA2E" w14:textId="0A3157EC" w:rsidR="00D87AB0" w:rsidRPr="00BA2876" w:rsidRDefault="00D87AB0" w:rsidP="00D87AB0">
      <w:pPr>
        <w:rPr>
          <w:lang w:eastAsia="ja-JP"/>
        </w:rPr>
      </w:pPr>
      <w:r w:rsidRPr="00BA2876">
        <w:rPr>
          <w:lang w:eastAsia="ja-JP"/>
        </w:rPr>
        <w:t>In Study 22, using the dosing r</w:t>
      </w:r>
      <w:r>
        <w:rPr>
          <w:lang w:eastAsia="ja-JP"/>
        </w:rPr>
        <w:t>egimen proposed by the sponsor t</w:t>
      </w:r>
      <w:r w:rsidRPr="00BA2876">
        <w:rPr>
          <w:lang w:eastAsia="ja-JP"/>
        </w:rPr>
        <w:t xml:space="preserve">here was a statistically and clinically significant decrease in </w:t>
      </w:r>
      <w:r>
        <w:rPr>
          <w:lang w:eastAsia="ja-JP"/>
        </w:rPr>
        <w:t>submental fat.</w:t>
      </w:r>
      <w:r w:rsidRPr="00BA2876">
        <w:rPr>
          <w:lang w:eastAsia="ja-JP"/>
        </w:rPr>
        <w:t xml:space="preserve"> There was improvement in the severity of </w:t>
      </w:r>
      <w:r>
        <w:rPr>
          <w:lang w:eastAsia="ja-JP"/>
        </w:rPr>
        <w:t>submental fat</w:t>
      </w:r>
      <w:r w:rsidRPr="00BA2876">
        <w:rPr>
          <w:lang w:eastAsia="ja-JP"/>
        </w:rPr>
        <w:t xml:space="preserve"> using severity scales: 179 (70.0%) in the 2 mg/cm</w:t>
      </w:r>
      <w:r w:rsidRPr="00BA2876">
        <w:rPr>
          <w:vertAlign w:val="superscript"/>
          <w:lang w:eastAsia="ja-JP"/>
        </w:rPr>
        <w:t>2</w:t>
      </w:r>
      <w:r w:rsidRPr="00BA2876">
        <w:rPr>
          <w:lang w:eastAsia="ja-JP"/>
        </w:rPr>
        <w:t xml:space="preserve"> group and 47 (18.6%) in the placebo had a composite 1-</w:t>
      </w:r>
      <w:r w:rsidR="00AB4FAE">
        <w:rPr>
          <w:lang w:eastAsia="ja-JP"/>
        </w:rPr>
        <w:t>g</w:t>
      </w:r>
      <w:r w:rsidRPr="00BA2876">
        <w:rPr>
          <w:lang w:eastAsia="ja-JP"/>
        </w:rPr>
        <w:t xml:space="preserve">rade improvement in </w:t>
      </w:r>
      <w:r>
        <w:rPr>
          <w:lang w:eastAsia="ja-JP"/>
        </w:rPr>
        <w:t>submental fat</w:t>
      </w:r>
      <w:r w:rsidRPr="00BA2876">
        <w:rPr>
          <w:lang w:eastAsia="ja-JP"/>
        </w:rPr>
        <w:t>; 34 (13.4%) in the 2 mg/cm</w:t>
      </w:r>
      <w:r w:rsidRPr="00BA2876">
        <w:rPr>
          <w:vertAlign w:val="superscript"/>
          <w:lang w:eastAsia="ja-JP"/>
        </w:rPr>
        <w:t>2</w:t>
      </w:r>
      <w:r w:rsidRPr="00BA2876">
        <w:rPr>
          <w:lang w:eastAsia="ja-JP"/>
        </w:rPr>
        <w:t xml:space="preserve"> group and none in the placebo had a composite </w:t>
      </w:r>
      <w:r w:rsidR="00AB4FAE">
        <w:rPr>
          <w:lang w:eastAsia="ja-JP"/>
        </w:rPr>
        <w:t>2</w:t>
      </w:r>
      <w:r w:rsidRPr="00BA2876">
        <w:rPr>
          <w:lang w:eastAsia="ja-JP"/>
        </w:rPr>
        <w:t>-</w:t>
      </w:r>
      <w:r w:rsidR="00AB4FAE">
        <w:rPr>
          <w:lang w:eastAsia="ja-JP"/>
        </w:rPr>
        <w:t>g</w:t>
      </w:r>
      <w:r w:rsidRPr="00BA2876">
        <w:rPr>
          <w:lang w:eastAsia="ja-JP"/>
        </w:rPr>
        <w:t xml:space="preserve">rade improvement in </w:t>
      </w:r>
      <w:r>
        <w:rPr>
          <w:lang w:eastAsia="ja-JP"/>
        </w:rPr>
        <w:t>submental fat.</w:t>
      </w:r>
      <w:r w:rsidRPr="00BA2876">
        <w:rPr>
          <w:lang w:eastAsia="ja-JP"/>
        </w:rPr>
        <w:t xml:space="preserve"> There were 48 (51.10%) subjects in the 2 mg/cm</w:t>
      </w:r>
      <w:r w:rsidRPr="00BA2876">
        <w:rPr>
          <w:vertAlign w:val="superscript"/>
          <w:lang w:eastAsia="ja-JP"/>
        </w:rPr>
        <w:t>2</w:t>
      </w:r>
      <w:r w:rsidRPr="00BA2876">
        <w:rPr>
          <w:lang w:eastAsia="ja-JP"/>
        </w:rPr>
        <w:t xml:space="preserve"> group and five (5.1%) in the placebo</w:t>
      </w:r>
      <w:r>
        <w:rPr>
          <w:lang w:eastAsia="ja-JP"/>
        </w:rPr>
        <w:t xml:space="preserve"> group</w:t>
      </w:r>
      <w:r w:rsidRPr="00BA2876">
        <w:rPr>
          <w:lang w:eastAsia="ja-JP"/>
        </w:rPr>
        <w:t xml:space="preserve"> with a </w:t>
      </w:r>
      <w:r w:rsidRPr="00BA2876">
        <w:rPr>
          <w:lang w:val="en-US" w:eastAsia="ja-JP"/>
        </w:rPr>
        <w:t>≥</w:t>
      </w:r>
      <w:r>
        <w:rPr>
          <w:lang w:val="en-US" w:eastAsia="ja-JP"/>
        </w:rPr>
        <w:t> </w:t>
      </w:r>
      <w:r w:rsidRPr="00BA2876">
        <w:rPr>
          <w:lang w:val="en-US" w:eastAsia="ja-JP"/>
        </w:rPr>
        <w:t xml:space="preserve">10% reduction in </w:t>
      </w:r>
      <w:r w:rsidRPr="00BA2876">
        <w:rPr>
          <w:lang w:eastAsia="ja-JP"/>
        </w:rPr>
        <w:t xml:space="preserve">MRI determined </w:t>
      </w:r>
      <w:r>
        <w:rPr>
          <w:lang w:val="en-US" w:eastAsia="ja-JP"/>
        </w:rPr>
        <w:t>submental</w:t>
      </w:r>
      <w:r w:rsidRPr="00BA2876">
        <w:rPr>
          <w:lang w:val="en-US" w:eastAsia="ja-JP"/>
        </w:rPr>
        <w:t xml:space="preserve"> volume from baseline</w:t>
      </w:r>
      <w:r>
        <w:rPr>
          <w:lang w:eastAsia="ja-JP"/>
        </w:rPr>
        <w:t xml:space="preserve">. </w:t>
      </w:r>
      <w:r w:rsidRPr="00BA2876">
        <w:rPr>
          <w:lang w:eastAsia="ja-JP"/>
        </w:rPr>
        <w:t>The</w:t>
      </w:r>
      <w:r w:rsidRPr="00BA2876">
        <w:rPr>
          <w:lang w:val="en-US" w:eastAsia="ja-JP"/>
        </w:rPr>
        <w:t xml:space="preserve"> LS mean (95% CI) </w:t>
      </w:r>
      <w:r>
        <w:rPr>
          <w:lang w:eastAsia="ja-JP"/>
        </w:rPr>
        <w:t>change in submental fat thickness measured by MRI</w:t>
      </w:r>
      <w:r w:rsidRPr="00BA2876">
        <w:rPr>
          <w:lang w:eastAsia="ja-JP"/>
        </w:rPr>
        <w:t xml:space="preserve"> was </w:t>
      </w:r>
      <w:r w:rsidRPr="00BA2876">
        <w:rPr>
          <w:lang w:val="en-US" w:eastAsia="ja-JP"/>
        </w:rPr>
        <w:t>-18.4</w:t>
      </w:r>
      <w:r>
        <w:rPr>
          <w:lang w:val="en-US" w:eastAsia="ja-JP"/>
        </w:rPr>
        <w:t>%</w:t>
      </w:r>
      <w:r w:rsidRPr="00BA2876">
        <w:rPr>
          <w:lang w:val="en-US" w:eastAsia="ja-JP"/>
        </w:rPr>
        <w:t xml:space="preserve"> (-20.7</w:t>
      </w:r>
      <w:r>
        <w:rPr>
          <w:lang w:val="en-US" w:eastAsia="ja-JP"/>
        </w:rPr>
        <w:t>%</w:t>
      </w:r>
      <w:r w:rsidRPr="00BA2876">
        <w:rPr>
          <w:lang w:val="en-US" w:eastAsia="ja-JP"/>
        </w:rPr>
        <w:t xml:space="preserve"> to -16.0</w:t>
      </w:r>
      <w:r>
        <w:rPr>
          <w:lang w:val="en-US" w:eastAsia="ja-JP"/>
        </w:rPr>
        <w:t xml:space="preserve">%) </w:t>
      </w:r>
      <w:r w:rsidRPr="00BA2876">
        <w:rPr>
          <w:lang w:val="en-US" w:eastAsia="ja-JP"/>
        </w:rPr>
        <w:t xml:space="preserve">for the </w:t>
      </w:r>
      <w:r w:rsidRPr="00BA2876">
        <w:rPr>
          <w:lang w:eastAsia="ja-JP"/>
        </w:rPr>
        <w:t>2 mg/cm</w:t>
      </w:r>
      <w:r w:rsidRPr="00BA2876">
        <w:rPr>
          <w:vertAlign w:val="superscript"/>
          <w:lang w:eastAsia="ja-JP"/>
        </w:rPr>
        <w:t>2</w:t>
      </w:r>
      <w:r w:rsidRPr="00BA2876">
        <w:rPr>
          <w:lang w:eastAsia="ja-JP"/>
        </w:rPr>
        <w:t xml:space="preserve"> group and 0.9</w:t>
      </w:r>
      <w:r>
        <w:rPr>
          <w:lang w:eastAsia="ja-JP"/>
        </w:rPr>
        <w:t>%</w:t>
      </w:r>
      <w:r w:rsidR="00BC152B">
        <w:rPr>
          <w:lang w:eastAsia="ja-JP"/>
        </w:rPr>
        <w:t xml:space="preserve"> (</w:t>
      </w:r>
      <w:r w:rsidR="00BC152B">
        <w:rPr>
          <w:lang w:eastAsia="ja-JP"/>
        </w:rPr>
        <w:noBreakHyphen/>
      </w:r>
      <w:r w:rsidRPr="00BA2876">
        <w:rPr>
          <w:lang w:eastAsia="ja-JP"/>
        </w:rPr>
        <w:t>1.4</w:t>
      </w:r>
      <w:r>
        <w:rPr>
          <w:lang w:eastAsia="ja-JP"/>
        </w:rPr>
        <w:t>%</w:t>
      </w:r>
      <w:r w:rsidRPr="00BA2876">
        <w:rPr>
          <w:lang w:eastAsia="ja-JP"/>
        </w:rPr>
        <w:t xml:space="preserve"> to 3.2</w:t>
      </w:r>
      <w:r>
        <w:rPr>
          <w:lang w:eastAsia="ja-JP"/>
        </w:rPr>
        <w:t>%</w:t>
      </w:r>
      <w:r w:rsidRPr="00BA2876">
        <w:rPr>
          <w:lang w:eastAsia="ja-JP"/>
        </w:rPr>
        <w:t xml:space="preserve">) </w:t>
      </w:r>
      <w:r w:rsidRPr="00BA2876">
        <w:rPr>
          <w:lang w:val="en-US" w:eastAsia="ja-JP"/>
        </w:rPr>
        <w:t xml:space="preserve">for the </w:t>
      </w:r>
      <w:r w:rsidRPr="00BA2876">
        <w:rPr>
          <w:lang w:eastAsia="ja-JP"/>
        </w:rPr>
        <w:t>placebo</w:t>
      </w:r>
      <w:r>
        <w:rPr>
          <w:lang w:eastAsia="ja-JP"/>
        </w:rPr>
        <w:t xml:space="preserve"> group. The change in submental thickness</w:t>
      </w:r>
      <w:r w:rsidRPr="00BA2876">
        <w:rPr>
          <w:lang w:eastAsia="ja-JP"/>
        </w:rPr>
        <w:t xml:space="preserve"> measured by callipers was -25% in the 2 mg/cm</w:t>
      </w:r>
      <w:r w:rsidRPr="00BA2876">
        <w:rPr>
          <w:vertAlign w:val="superscript"/>
          <w:lang w:eastAsia="ja-JP"/>
        </w:rPr>
        <w:t>2</w:t>
      </w:r>
      <w:r w:rsidRPr="00BA2876">
        <w:rPr>
          <w:lang w:eastAsia="ja-JP"/>
        </w:rPr>
        <w:t xml:space="preserve"> group and -7.5% in the placebo</w:t>
      </w:r>
      <w:r>
        <w:rPr>
          <w:lang w:eastAsia="ja-JP"/>
        </w:rPr>
        <w:t xml:space="preserve">. There </w:t>
      </w:r>
      <w:r w:rsidRPr="00BA2876">
        <w:rPr>
          <w:lang w:eastAsia="ja-JP"/>
        </w:rPr>
        <w:t>was no resulting increase in skin laxity.</w:t>
      </w:r>
    </w:p>
    <w:p w14:paraId="41B558D7" w14:textId="2B791FAC" w:rsidR="00D87AB0" w:rsidRPr="00BA2876" w:rsidRDefault="00D87AB0" w:rsidP="00D87AB0">
      <w:pPr>
        <w:rPr>
          <w:lang w:eastAsia="ja-JP"/>
        </w:rPr>
      </w:pPr>
      <w:r w:rsidRPr="00BA2876">
        <w:rPr>
          <w:lang w:eastAsia="ja-JP"/>
        </w:rPr>
        <w:t>In Study 23 for composite 1-</w:t>
      </w:r>
      <w:r w:rsidR="00BC152B">
        <w:rPr>
          <w:lang w:eastAsia="ja-JP"/>
        </w:rPr>
        <w:t>g</w:t>
      </w:r>
      <w:r w:rsidRPr="00BA2876">
        <w:rPr>
          <w:lang w:eastAsia="ja-JP"/>
        </w:rPr>
        <w:t>rade SMFRS responder there were 171 (66.5%) in the 2 mg/cm</w:t>
      </w:r>
      <w:r w:rsidRPr="00BA2876">
        <w:rPr>
          <w:vertAlign w:val="superscript"/>
          <w:lang w:eastAsia="ja-JP"/>
        </w:rPr>
        <w:t>2</w:t>
      </w:r>
      <w:r w:rsidRPr="00BA2876">
        <w:rPr>
          <w:lang w:eastAsia="ja-JP"/>
        </w:rPr>
        <w:t xml:space="preserve"> group and 57 (22.2%) in the placebo</w:t>
      </w:r>
      <w:r>
        <w:rPr>
          <w:lang w:eastAsia="ja-JP"/>
        </w:rPr>
        <w:t xml:space="preserve"> group</w:t>
      </w:r>
      <w:r w:rsidRPr="00BA2876">
        <w:rPr>
          <w:lang w:eastAsia="ja-JP"/>
        </w:rPr>
        <w:t xml:space="preserve"> and for composite 2-</w:t>
      </w:r>
      <w:r w:rsidR="00BC152B">
        <w:rPr>
          <w:lang w:eastAsia="ja-JP"/>
        </w:rPr>
        <w:t>g</w:t>
      </w:r>
      <w:r w:rsidRPr="00BA2876">
        <w:rPr>
          <w:lang w:eastAsia="ja-JP"/>
        </w:rPr>
        <w:t>rade SMFRS responder there were 48 (18.6%) in the 2 mg/cm</w:t>
      </w:r>
      <w:r w:rsidRPr="00BA2876">
        <w:rPr>
          <w:vertAlign w:val="superscript"/>
          <w:lang w:eastAsia="ja-JP"/>
        </w:rPr>
        <w:t>2</w:t>
      </w:r>
      <w:r w:rsidRPr="00BA2876">
        <w:rPr>
          <w:lang w:eastAsia="ja-JP"/>
        </w:rPr>
        <w:t xml:space="preserve"> group and eight (3.0) in the placebo</w:t>
      </w:r>
      <w:r>
        <w:rPr>
          <w:lang w:eastAsia="ja-JP"/>
        </w:rPr>
        <w:t xml:space="preserve"> group. There were 45 </w:t>
      </w:r>
      <w:r w:rsidRPr="00BA2876">
        <w:rPr>
          <w:lang w:eastAsia="ja-JP"/>
        </w:rPr>
        <w:t>(40.2%) subjects in the 2 mg/cm</w:t>
      </w:r>
      <w:r w:rsidRPr="00BA2876">
        <w:rPr>
          <w:vertAlign w:val="superscript"/>
          <w:lang w:eastAsia="ja-JP"/>
        </w:rPr>
        <w:t>2</w:t>
      </w:r>
      <w:r w:rsidRPr="00BA2876">
        <w:rPr>
          <w:lang w:eastAsia="ja-JP"/>
        </w:rPr>
        <w:t xml:space="preserve"> group and six (5.2%) in the placebo with a </w:t>
      </w:r>
      <w:r w:rsidRPr="00BA2876">
        <w:rPr>
          <w:lang w:val="en-US" w:eastAsia="ja-JP"/>
        </w:rPr>
        <w:t>≥</w:t>
      </w:r>
      <w:r>
        <w:rPr>
          <w:lang w:val="en-US" w:eastAsia="ja-JP"/>
        </w:rPr>
        <w:t> </w:t>
      </w:r>
      <w:r w:rsidRPr="00BA2876">
        <w:rPr>
          <w:lang w:val="en-US" w:eastAsia="ja-JP"/>
        </w:rPr>
        <w:t xml:space="preserve">10% reduction in </w:t>
      </w:r>
      <w:r w:rsidRPr="00BA2876">
        <w:rPr>
          <w:lang w:eastAsia="ja-JP"/>
        </w:rPr>
        <w:t xml:space="preserve">MRI determined </w:t>
      </w:r>
      <w:r>
        <w:rPr>
          <w:lang w:val="en-US" w:eastAsia="ja-JP"/>
        </w:rPr>
        <w:t>submental fat</w:t>
      </w:r>
      <w:r w:rsidRPr="00BA2876">
        <w:rPr>
          <w:lang w:val="en-US" w:eastAsia="ja-JP"/>
        </w:rPr>
        <w:t xml:space="preserve"> volume from baseline</w:t>
      </w:r>
      <w:r>
        <w:rPr>
          <w:lang w:eastAsia="ja-JP"/>
        </w:rPr>
        <w:t xml:space="preserve">. </w:t>
      </w:r>
      <w:r w:rsidRPr="00BA2876">
        <w:rPr>
          <w:lang w:eastAsia="ja-JP"/>
        </w:rPr>
        <w:t>The</w:t>
      </w:r>
      <w:r w:rsidRPr="00BA2876">
        <w:rPr>
          <w:lang w:val="en-US" w:eastAsia="ja-JP"/>
        </w:rPr>
        <w:t xml:space="preserve"> LS mean (95% CI) </w:t>
      </w:r>
      <w:r w:rsidRPr="00BA2876">
        <w:rPr>
          <w:lang w:eastAsia="ja-JP"/>
        </w:rPr>
        <w:t xml:space="preserve">change in </w:t>
      </w:r>
      <w:r>
        <w:rPr>
          <w:lang w:eastAsia="ja-JP"/>
        </w:rPr>
        <w:t>submental fat</w:t>
      </w:r>
      <w:r w:rsidRPr="00BA2876">
        <w:rPr>
          <w:lang w:eastAsia="ja-JP"/>
        </w:rPr>
        <w:t xml:space="preserve"> thickness</w:t>
      </w:r>
      <w:r>
        <w:rPr>
          <w:lang w:eastAsia="ja-JP"/>
        </w:rPr>
        <w:t xml:space="preserve"> measured by MRI </w:t>
      </w:r>
      <w:r w:rsidRPr="00BA2876">
        <w:rPr>
          <w:lang w:eastAsia="ja-JP"/>
        </w:rPr>
        <w:t xml:space="preserve">was </w:t>
      </w:r>
      <w:r w:rsidRPr="00BA2876">
        <w:rPr>
          <w:lang w:val="en-US" w:eastAsia="ja-JP"/>
        </w:rPr>
        <w:t>-8.5</w:t>
      </w:r>
      <w:r>
        <w:rPr>
          <w:lang w:val="en-US" w:eastAsia="ja-JP"/>
        </w:rPr>
        <w:t>%</w:t>
      </w:r>
      <w:r w:rsidR="00BC152B">
        <w:rPr>
          <w:lang w:val="en-US" w:eastAsia="ja-JP"/>
        </w:rPr>
        <w:t xml:space="preserve"> (</w:t>
      </w:r>
      <w:r w:rsidR="00BC152B">
        <w:rPr>
          <w:lang w:val="en-US" w:eastAsia="ja-JP"/>
        </w:rPr>
        <w:noBreakHyphen/>
      </w:r>
      <w:r w:rsidRPr="00BA2876">
        <w:rPr>
          <w:lang w:val="en-US" w:eastAsia="ja-JP"/>
        </w:rPr>
        <w:t>11.0</w:t>
      </w:r>
      <w:r>
        <w:rPr>
          <w:lang w:val="en-US" w:eastAsia="ja-JP"/>
        </w:rPr>
        <w:t>%</w:t>
      </w:r>
      <w:r w:rsidRPr="00BA2876">
        <w:rPr>
          <w:lang w:val="en-US" w:eastAsia="ja-JP"/>
        </w:rPr>
        <w:t xml:space="preserve"> to -6.1</w:t>
      </w:r>
      <w:r>
        <w:rPr>
          <w:lang w:val="en-US" w:eastAsia="ja-JP"/>
        </w:rPr>
        <w:t xml:space="preserve">%) </w:t>
      </w:r>
      <w:r w:rsidRPr="00BA2876">
        <w:rPr>
          <w:lang w:val="en-US" w:eastAsia="ja-JP"/>
        </w:rPr>
        <w:t xml:space="preserve">for the </w:t>
      </w:r>
      <w:r>
        <w:rPr>
          <w:lang w:eastAsia="ja-JP"/>
        </w:rPr>
        <w:t>2 </w:t>
      </w:r>
      <w:r w:rsidRPr="00BA2876">
        <w:rPr>
          <w:lang w:eastAsia="ja-JP"/>
        </w:rPr>
        <w:t>mg/cm</w:t>
      </w:r>
      <w:r w:rsidRPr="00BA2876">
        <w:rPr>
          <w:vertAlign w:val="superscript"/>
          <w:lang w:eastAsia="ja-JP"/>
        </w:rPr>
        <w:t>2</w:t>
      </w:r>
      <w:r w:rsidRPr="00BA2876">
        <w:rPr>
          <w:lang w:eastAsia="ja-JP"/>
        </w:rPr>
        <w:t xml:space="preserve"> and 1.3</w:t>
      </w:r>
      <w:r>
        <w:rPr>
          <w:lang w:eastAsia="ja-JP"/>
        </w:rPr>
        <w:t>%</w:t>
      </w:r>
      <w:r w:rsidRPr="00BA2876">
        <w:rPr>
          <w:lang w:eastAsia="ja-JP"/>
        </w:rPr>
        <w:t xml:space="preserve"> (-1.1</w:t>
      </w:r>
      <w:r>
        <w:rPr>
          <w:lang w:eastAsia="ja-JP"/>
        </w:rPr>
        <w:t>%</w:t>
      </w:r>
      <w:r w:rsidRPr="00BA2876">
        <w:rPr>
          <w:lang w:eastAsia="ja-JP"/>
        </w:rPr>
        <w:t xml:space="preserve"> to 3.6</w:t>
      </w:r>
      <w:r>
        <w:rPr>
          <w:lang w:eastAsia="ja-JP"/>
        </w:rPr>
        <w:t xml:space="preserve">%) </w:t>
      </w:r>
      <w:r w:rsidRPr="00BA2876">
        <w:rPr>
          <w:lang w:val="en-US" w:eastAsia="ja-JP"/>
        </w:rPr>
        <w:t xml:space="preserve">for the </w:t>
      </w:r>
      <w:r w:rsidRPr="00BA2876">
        <w:rPr>
          <w:lang w:eastAsia="ja-JP"/>
        </w:rPr>
        <w:t>placebo</w:t>
      </w:r>
      <w:r>
        <w:rPr>
          <w:lang w:eastAsia="ja-JP"/>
        </w:rPr>
        <w:t xml:space="preserve"> group. The change in submental fat </w:t>
      </w:r>
      <w:r w:rsidRPr="00BA2876">
        <w:rPr>
          <w:lang w:eastAsia="ja-JP"/>
        </w:rPr>
        <w:t>thickness, measured by callipers, was -22% in the 2 mg/cm</w:t>
      </w:r>
      <w:r w:rsidRPr="00BA2876">
        <w:rPr>
          <w:vertAlign w:val="superscript"/>
          <w:lang w:eastAsia="ja-JP"/>
        </w:rPr>
        <w:t>2</w:t>
      </w:r>
      <w:r w:rsidRPr="00BA2876">
        <w:rPr>
          <w:lang w:eastAsia="ja-JP"/>
        </w:rPr>
        <w:t xml:space="preserve"> group and -8% in the placebo</w:t>
      </w:r>
      <w:r>
        <w:rPr>
          <w:lang w:eastAsia="ja-JP"/>
        </w:rPr>
        <w:t xml:space="preserve"> group.</w:t>
      </w:r>
      <w:r w:rsidRPr="00BA2876">
        <w:rPr>
          <w:lang w:eastAsia="ja-JP"/>
        </w:rPr>
        <w:t xml:space="preserve"> There was no resu</w:t>
      </w:r>
      <w:r>
        <w:rPr>
          <w:lang w:eastAsia="ja-JP"/>
        </w:rPr>
        <w:t>lting increase in skin laxity.</w:t>
      </w:r>
    </w:p>
    <w:p w14:paraId="651DF76F" w14:textId="77777777" w:rsidR="00D87AB0" w:rsidRPr="00BA2876" w:rsidRDefault="00D87AB0" w:rsidP="00D87AB0">
      <w:pPr>
        <w:rPr>
          <w:lang w:eastAsia="ja-JP"/>
        </w:rPr>
      </w:pPr>
      <w:r w:rsidRPr="00BA2876">
        <w:rPr>
          <w:lang w:eastAsia="ja-JP"/>
        </w:rPr>
        <w:t>There was no apparent difference in efficacy between BA containing and BA free formulations.</w:t>
      </w:r>
    </w:p>
    <w:p w14:paraId="49AA5A87" w14:textId="77777777" w:rsidR="00D87AB0" w:rsidRPr="00BA2876" w:rsidRDefault="00D87AB0" w:rsidP="00D87AB0">
      <w:pPr>
        <w:rPr>
          <w:lang w:eastAsia="ja-JP"/>
        </w:rPr>
      </w:pPr>
      <w:r>
        <w:rPr>
          <w:lang w:eastAsia="ja-JP"/>
        </w:rPr>
        <w:t>T</w:t>
      </w:r>
      <w:r w:rsidRPr="00BA2876">
        <w:rPr>
          <w:lang w:eastAsia="ja-JP"/>
        </w:rPr>
        <w:t>he measured change in the objec</w:t>
      </w:r>
      <w:r>
        <w:rPr>
          <w:lang w:eastAsia="ja-JP"/>
        </w:rPr>
        <w:t>tive measures of the amount of submental fat</w:t>
      </w:r>
      <w:r w:rsidRPr="00BA2876">
        <w:rPr>
          <w:lang w:eastAsia="ja-JP"/>
        </w:rPr>
        <w:t xml:space="preserve"> was less than would be expected fro</w:t>
      </w:r>
      <w:r>
        <w:rPr>
          <w:lang w:eastAsia="ja-JP"/>
        </w:rPr>
        <w:t>m the changes in rating scales.</w:t>
      </w:r>
      <w:r w:rsidRPr="00BA2876">
        <w:rPr>
          <w:lang w:eastAsia="ja-JP"/>
        </w:rPr>
        <w:t xml:space="preserve"> The pooled analysis of the Pivotal studies found the mean </w:t>
      </w:r>
      <w:r>
        <w:rPr>
          <w:lang w:eastAsia="ja-JP"/>
        </w:rPr>
        <w:t>percentage change in MRI volume of submental fat</w:t>
      </w:r>
      <w:r w:rsidRPr="00BA2876">
        <w:rPr>
          <w:lang w:eastAsia="ja-JP"/>
        </w:rPr>
        <w:t xml:space="preserve"> at Visit 9 was -8.87% in the 2 mg/cm</w:t>
      </w:r>
      <w:r w:rsidRPr="00BA2876">
        <w:rPr>
          <w:vertAlign w:val="superscript"/>
          <w:lang w:eastAsia="ja-JP"/>
        </w:rPr>
        <w:t>2</w:t>
      </w:r>
      <w:r w:rsidRPr="00BA2876">
        <w:rPr>
          <w:lang w:eastAsia="ja-JP"/>
        </w:rPr>
        <w:t xml:space="preserve"> groups and 1.51% in the placebo</w:t>
      </w:r>
      <w:r>
        <w:rPr>
          <w:lang w:eastAsia="ja-JP"/>
        </w:rPr>
        <w:t xml:space="preserve"> groups.</w:t>
      </w:r>
      <w:r w:rsidRPr="00BA2876">
        <w:rPr>
          <w:lang w:eastAsia="ja-JP"/>
        </w:rPr>
        <w:t xml:space="preserve"> The</w:t>
      </w:r>
      <w:r>
        <w:rPr>
          <w:lang w:eastAsia="ja-JP"/>
        </w:rPr>
        <w:t xml:space="preserve"> mean percentage</w:t>
      </w:r>
      <w:r w:rsidRPr="00BA2876">
        <w:rPr>
          <w:lang w:eastAsia="ja-JP"/>
        </w:rPr>
        <w:t xml:space="preserve"> change in</w:t>
      </w:r>
      <w:r>
        <w:rPr>
          <w:lang w:eastAsia="ja-JP"/>
        </w:rPr>
        <w:t xml:space="preserve"> submental</w:t>
      </w:r>
      <w:r w:rsidRPr="00BA2876">
        <w:rPr>
          <w:lang w:eastAsia="ja-JP"/>
        </w:rPr>
        <w:t xml:space="preserve"> thickness measured by calliper</w:t>
      </w:r>
      <w:r>
        <w:rPr>
          <w:lang w:eastAsia="ja-JP"/>
        </w:rPr>
        <w:t>s</w:t>
      </w:r>
      <w:r w:rsidRPr="00BA2876">
        <w:rPr>
          <w:lang w:eastAsia="ja-JP"/>
        </w:rPr>
        <w:t xml:space="preserve"> at Visit 9 was -19.9% in the 2 mg/cm</w:t>
      </w:r>
      <w:r w:rsidRPr="00BA2876">
        <w:rPr>
          <w:vertAlign w:val="superscript"/>
          <w:lang w:eastAsia="ja-JP"/>
        </w:rPr>
        <w:t>2</w:t>
      </w:r>
      <w:r w:rsidRPr="00BA2876">
        <w:rPr>
          <w:lang w:eastAsia="ja-JP"/>
        </w:rPr>
        <w:t xml:space="preserve"> groups and -7.3% in the placebo</w:t>
      </w:r>
      <w:r>
        <w:rPr>
          <w:lang w:eastAsia="ja-JP"/>
        </w:rPr>
        <w:t xml:space="preserve"> groups.</w:t>
      </w:r>
    </w:p>
    <w:p w14:paraId="24FD89AC" w14:textId="275FDAE4" w:rsidR="00D87AB0" w:rsidRPr="00D87AB0" w:rsidRDefault="00D87AB0" w:rsidP="00D87AB0">
      <w:r w:rsidRPr="00BA2876">
        <w:rPr>
          <w:lang w:eastAsia="ja-JP"/>
        </w:rPr>
        <w:t>There were limited efficacy data in subjects aged &gt;65 years and in non-</w:t>
      </w:r>
      <w:r>
        <w:rPr>
          <w:lang w:eastAsia="ja-JP"/>
        </w:rPr>
        <w:t>White</w:t>
      </w:r>
      <w:r w:rsidRPr="00BA2876">
        <w:rPr>
          <w:lang w:eastAsia="ja-JP"/>
        </w:rPr>
        <w:t xml:space="preserve"> populations.</w:t>
      </w:r>
    </w:p>
    <w:p w14:paraId="0673B067" w14:textId="77777777" w:rsidR="00605AD4" w:rsidRDefault="00605AD4" w:rsidP="00605AD4">
      <w:pPr>
        <w:pStyle w:val="Heading4"/>
      </w:pPr>
      <w:r w:rsidRPr="00605AD4">
        <w:t>First round assessment of risks</w:t>
      </w:r>
    </w:p>
    <w:p w14:paraId="336CE3F7" w14:textId="77777777" w:rsidR="00D87AB0" w:rsidRPr="00BA2876" w:rsidRDefault="00D87AB0" w:rsidP="00D87AB0">
      <w:pPr>
        <w:rPr>
          <w:lang w:eastAsia="ja-JP"/>
        </w:rPr>
      </w:pPr>
      <w:proofErr w:type="spellStart"/>
      <w:r>
        <w:rPr>
          <w:lang w:eastAsia="ja-JP"/>
        </w:rPr>
        <w:t>Deoxycholic</w:t>
      </w:r>
      <w:proofErr w:type="spellEnd"/>
      <w:r>
        <w:rPr>
          <w:lang w:eastAsia="ja-JP"/>
        </w:rPr>
        <w:t xml:space="preserve"> acid in the proposed usage</w:t>
      </w:r>
      <w:r w:rsidRPr="00BA2876">
        <w:rPr>
          <w:lang w:eastAsia="ja-JP"/>
        </w:rPr>
        <w:t xml:space="preserve"> ha</w:t>
      </w:r>
      <w:r>
        <w:rPr>
          <w:lang w:eastAsia="ja-JP"/>
        </w:rPr>
        <w:t xml:space="preserve">s a favourable safety profile. </w:t>
      </w:r>
      <w:r w:rsidRPr="00BA2876">
        <w:rPr>
          <w:lang w:eastAsia="ja-JP"/>
        </w:rPr>
        <w:t xml:space="preserve">There were few deaths or SAEs and, apart from some local reactions, these were not </w:t>
      </w:r>
      <w:r>
        <w:rPr>
          <w:lang w:eastAsia="ja-JP"/>
        </w:rPr>
        <w:t xml:space="preserve">attributable to the treatment. </w:t>
      </w:r>
      <w:r w:rsidRPr="00BA2876">
        <w:rPr>
          <w:lang w:eastAsia="ja-JP"/>
        </w:rPr>
        <w:t>The treatment is clearly a painful process but most subjects appear to have been willing to continue with treatment in spite of the very high rate</w:t>
      </w:r>
      <w:r>
        <w:rPr>
          <w:lang w:eastAsia="ja-JP"/>
        </w:rPr>
        <w:t xml:space="preserve"> of administration site TEAEs. </w:t>
      </w:r>
      <w:r w:rsidRPr="00BA2876">
        <w:rPr>
          <w:lang w:eastAsia="ja-JP"/>
        </w:rPr>
        <w:t>The completion rate for studies using the 2 mg/cm</w:t>
      </w:r>
      <w:r w:rsidRPr="00BA2876">
        <w:rPr>
          <w:vertAlign w:val="superscript"/>
          <w:lang w:eastAsia="ja-JP"/>
        </w:rPr>
        <w:t>2</w:t>
      </w:r>
      <w:r w:rsidRPr="00BA2876">
        <w:rPr>
          <w:lang w:eastAsia="ja-JP"/>
        </w:rPr>
        <w:t xml:space="preserve"> dose level was 86.5%.</w:t>
      </w:r>
    </w:p>
    <w:p w14:paraId="7372383E" w14:textId="6A3919B0" w:rsidR="00D87AB0" w:rsidRPr="00BA2876" w:rsidRDefault="00D87AB0" w:rsidP="00D87AB0">
      <w:pPr>
        <w:rPr>
          <w:lang w:eastAsia="ja-JP"/>
        </w:rPr>
      </w:pPr>
      <w:r w:rsidRPr="00BA2876">
        <w:rPr>
          <w:lang w:eastAsia="ja-JP"/>
        </w:rPr>
        <w:t xml:space="preserve">Virtually all subjects treated with </w:t>
      </w:r>
      <w:proofErr w:type="spellStart"/>
      <w:r>
        <w:rPr>
          <w:lang w:eastAsia="ja-JP"/>
        </w:rPr>
        <w:t>deoxycholic</w:t>
      </w:r>
      <w:proofErr w:type="spellEnd"/>
      <w:r>
        <w:rPr>
          <w:lang w:eastAsia="ja-JP"/>
        </w:rPr>
        <w:t xml:space="preserve"> acid reported TEAEs</w:t>
      </w:r>
      <w:r w:rsidRPr="00BA2876">
        <w:rPr>
          <w:lang w:eastAsia="ja-JP"/>
        </w:rPr>
        <w:t xml:space="preserve"> and these were predominan</w:t>
      </w:r>
      <w:r>
        <w:rPr>
          <w:lang w:eastAsia="ja-JP"/>
        </w:rPr>
        <w:t>tly administration site related</w:t>
      </w:r>
      <w:r w:rsidRPr="00BA2876">
        <w:rPr>
          <w:lang w:eastAsia="ja-JP"/>
        </w:rPr>
        <w:t xml:space="preserve"> and can therefore be consider</w:t>
      </w:r>
      <w:r>
        <w:rPr>
          <w:lang w:eastAsia="ja-JP"/>
        </w:rPr>
        <w:t xml:space="preserve">ed to be treatment associated. </w:t>
      </w:r>
      <w:r w:rsidRPr="00BA2876">
        <w:rPr>
          <w:lang w:eastAsia="ja-JP"/>
        </w:rPr>
        <w:t>In the pivotal studies around 70% of subjects reported administration site pain, 65% repo</w:t>
      </w:r>
      <w:r>
        <w:rPr>
          <w:lang w:eastAsia="ja-JP"/>
        </w:rPr>
        <w:t>rted injection site anaesthesia and more than </w:t>
      </w:r>
      <w:r w:rsidRPr="00BA2876">
        <w:rPr>
          <w:lang w:eastAsia="ja-JP"/>
        </w:rPr>
        <w:t>50% r</w:t>
      </w:r>
      <w:r>
        <w:rPr>
          <w:lang w:eastAsia="ja-JP"/>
        </w:rPr>
        <w:t xml:space="preserve">eported injection site oedema. </w:t>
      </w:r>
      <w:r w:rsidRPr="00BA2876">
        <w:rPr>
          <w:lang w:eastAsia="ja-JP"/>
        </w:rPr>
        <w:t>Approximately 4% reported nerve injury, which su</w:t>
      </w:r>
      <w:r w:rsidR="005200DF">
        <w:rPr>
          <w:lang w:eastAsia="ja-JP"/>
        </w:rPr>
        <w:t>bsequently resolved.</w:t>
      </w:r>
    </w:p>
    <w:p w14:paraId="7FE4A798" w14:textId="6D47EE25" w:rsidR="00D87AB0" w:rsidRPr="00BA2876" w:rsidRDefault="00D87AB0" w:rsidP="00D87AB0">
      <w:pPr>
        <w:rPr>
          <w:lang w:eastAsia="ja-JP"/>
        </w:rPr>
      </w:pPr>
      <w:r w:rsidRPr="00BA2876">
        <w:rPr>
          <w:lang w:eastAsia="ja-JP"/>
        </w:rPr>
        <w:t>In the supportive studies the frequency of administration site reactions was not related to concentration</w:t>
      </w:r>
      <w:r>
        <w:rPr>
          <w:lang w:eastAsia="ja-JP"/>
        </w:rPr>
        <w:t xml:space="preserve"> however</w:t>
      </w:r>
      <w:r w:rsidRPr="00BA2876">
        <w:rPr>
          <w:lang w:eastAsia="ja-JP"/>
        </w:rPr>
        <w:t xml:space="preserve"> the intensity of administration site pain increased with increasing concentration.</w:t>
      </w:r>
    </w:p>
    <w:p w14:paraId="01FE62D7" w14:textId="77777777" w:rsidR="00D87AB0" w:rsidRPr="00BA2876" w:rsidRDefault="00D87AB0" w:rsidP="00D87AB0">
      <w:pPr>
        <w:rPr>
          <w:lang w:eastAsia="ja-JP"/>
        </w:rPr>
      </w:pPr>
      <w:r w:rsidRPr="00BA2876">
        <w:rPr>
          <w:lang w:eastAsia="ja-JP"/>
        </w:rPr>
        <w:t>The frequency and intensity of administration site reactions were similar for BA containing and BA free formulations.</w:t>
      </w:r>
    </w:p>
    <w:p w14:paraId="172285E2" w14:textId="77777777" w:rsidR="00D87AB0" w:rsidRPr="00BA2876" w:rsidRDefault="00D87AB0" w:rsidP="00D87AB0">
      <w:pPr>
        <w:rPr>
          <w:lang w:eastAsia="ja-JP"/>
        </w:rPr>
      </w:pPr>
      <w:r w:rsidRPr="00BA2876">
        <w:rPr>
          <w:lang w:eastAsia="ja-JP"/>
        </w:rPr>
        <w:lastRenderedPageBreak/>
        <w:t>There were few long term adverse effects in the long-term follow-up studies.</w:t>
      </w:r>
    </w:p>
    <w:p w14:paraId="6C8B3493" w14:textId="68A8F89E" w:rsidR="00D87AB0" w:rsidRPr="00D87AB0" w:rsidRDefault="00D87AB0" w:rsidP="00D87AB0">
      <w:pPr>
        <w:rPr>
          <w:lang w:eastAsia="ja-JP"/>
        </w:rPr>
      </w:pPr>
      <w:r w:rsidRPr="00BA2876">
        <w:rPr>
          <w:lang w:eastAsia="ja-JP"/>
        </w:rPr>
        <w:t>There were limite</w:t>
      </w:r>
      <w:r>
        <w:rPr>
          <w:lang w:eastAsia="ja-JP"/>
        </w:rPr>
        <w:t xml:space="preserve">d safety data in subjects aged over </w:t>
      </w:r>
      <w:r w:rsidRPr="00BA2876">
        <w:rPr>
          <w:lang w:eastAsia="ja-JP"/>
        </w:rPr>
        <w:t>65 years and in non-</w:t>
      </w:r>
      <w:r>
        <w:rPr>
          <w:lang w:eastAsia="ja-JP"/>
        </w:rPr>
        <w:t>White populations.</w:t>
      </w:r>
    </w:p>
    <w:p w14:paraId="1F4301BD" w14:textId="77777777" w:rsidR="00605AD4" w:rsidRPr="00605AD4" w:rsidRDefault="00605AD4" w:rsidP="00605AD4">
      <w:pPr>
        <w:pStyle w:val="Heading4"/>
      </w:pPr>
      <w:r w:rsidRPr="00605AD4">
        <w:t>First round assessment of benefit-risk balance</w:t>
      </w:r>
    </w:p>
    <w:p w14:paraId="7C596AB1" w14:textId="77777777" w:rsidR="00D87AB0" w:rsidRPr="00BA2876" w:rsidRDefault="00D87AB0" w:rsidP="00D87AB0">
      <w:pPr>
        <w:rPr>
          <w:lang w:eastAsia="ja-JP"/>
        </w:rPr>
      </w:pPr>
      <w:r w:rsidRPr="00BA2876">
        <w:rPr>
          <w:lang w:eastAsia="ja-JP"/>
        </w:rPr>
        <w:t xml:space="preserve">The benefit-risk balance of </w:t>
      </w:r>
      <w:proofErr w:type="spellStart"/>
      <w:r w:rsidRPr="00BA2876">
        <w:rPr>
          <w:lang w:eastAsia="ja-JP"/>
        </w:rPr>
        <w:t>deoxycholic</w:t>
      </w:r>
      <w:proofErr w:type="spellEnd"/>
      <w:r w:rsidRPr="00BA2876">
        <w:rPr>
          <w:lang w:eastAsia="ja-JP"/>
        </w:rPr>
        <w:t xml:space="preserve"> acid, given the proposed usage, is favourable.</w:t>
      </w:r>
    </w:p>
    <w:p w14:paraId="68A66A7A" w14:textId="129985D2" w:rsidR="00605AD4" w:rsidRPr="00605AD4" w:rsidRDefault="00D87AB0" w:rsidP="00605AD4">
      <w:pPr>
        <w:rPr>
          <w:lang w:eastAsia="ja-JP"/>
        </w:rPr>
      </w:pPr>
      <w:r w:rsidRPr="00BA2876">
        <w:rPr>
          <w:lang w:eastAsia="ja-JP"/>
        </w:rPr>
        <w:t xml:space="preserve">In the opinion of the </w:t>
      </w:r>
      <w:r>
        <w:rPr>
          <w:lang w:eastAsia="ja-JP"/>
        </w:rPr>
        <w:t>e</w:t>
      </w:r>
      <w:r w:rsidRPr="00BA2876">
        <w:rPr>
          <w:lang w:eastAsia="ja-JP"/>
        </w:rPr>
        <w:t xml:space="preserve">valuator, </w:t>
      </w:r>
      <w:r>
        <w:rPr>
          <w:lang w:eastAsia="ja-JP"/>
        </w:rPr>
        <w:t>submental fat</w:t>
      </w:r>
      <w:r w:rsidRPr="00BA2876">
        <w:rPr>
          <w:lang w:eastAsia="ja-JP"/>
        </w:rPr>
        <w:t xml:space="preserve"> is not a disease and </w:t>
      </w:r>
      <w:proofErr w:type="spellStart"/>
      <w:r w:rsidRPr="00BA2876">
        <w:rPr>
          <w:lang w:eastAsia="ja-JP"/>
        </w:rPr>
        <w:t>deoxycholic</w:t>
      </w:r>
      <w:proofErr w:type="spellEnd"/>
      <w:r w:rsidRPr="00BA2876">
        <w:rPr>
          <w:lang w:eastAsia="ja-JP"/>
        </w:rPr>
        <w:t xml:space="preserve"> acid in the proposed </w:t>
      </w:r>
      <w:r>
        <w:rPr>
          <w:lang w:eastAsia="ja-JP"/>
        </w:rPr>
        <w:t xml:space="preserve">usage is a cosmetic treatment. </w:t>
      </w:r>
      <w:r w:rsidRPr="00BA2876">
        <w:rPr>
          <w:lang w:eastAsia="ja-JP"/>
        </w:rPr>
        <w:t xml:space="preserve">The </w:t>
      </w:r>
      <w:r>
        <w:rPr>
          <w:lang w:eastAsia="ja-JP"/>
        </w:rPr>
        <w:t>s</w:t>
      </w:r>
      <w:r w:rsidRPr="00BA2876">
        <w:rPr>
          <w:lang w:eastAsia="ja-JP"/>
        </w:rPr>
        <w:t xml:space="preserve">ponsor has not demonstrated that </w:t>
      </w:r>
      <w:r>
        <w:rPr>
          <w:lang w:eastAsia="ja-JP"/>
        </w:rPr>
        <w:t>submental fat</w:t>
      </w:r>
      <w:r w:rsidRPr="00BA2876">
        <w:rPr>
          <w:lang w:eastAsia="ja-JP"/>
        </w:rPr>
        <w:t xml:space="preserve"> causes sufficient distress to result in physical or psychological harm. </w:t>
      </w:r>
      <w:r>
        <w:rPr>
          <w:lang w:eastAsia="ja-JP"/>
        </w:rPr>
        <w:t>I</w:t>
      </w:r>
      <w:r w:rsidRPr="00BA2876">
        <w:rPr>
          <w:lang w:eastAsia="ja-JP"/>
        </w:rPr>
        <w:t xml:space="preserve">n the </w:t>
      </w:r>
      <w:r>
        <w:rPr>
          <w:lang w:eastAsia="ja-JP"/>
        </w:rPr>
        <w:t>context of a cosmetic treatment however,</w:t>
      </w:r>
      <w:r w:rsidRPr="00BA2876">
        <w:rPr>
          <w:lang w:eastAsia="ja-JP"/>
        </w:rPr>
        <w:t xml:space="preserve"> the </w:t>
      </w:r>
      <w:r>
        <w:rPr>
          <w:lang w:eastAsia="ja-JP"/>
        </w:rPr>
        <w:t>s</w:t>
      </w:r>
      <w:r w:rsidRPr="00BA2876">
        <w:rPr>
          <w:lang w:eastAsia="ja-JP"/>
        </w:rPr>
        <w:t xml:space="preserve">ponsor has demonstrated that </w:t>
      </w:r>
      <w:proofErr w:type="spellStart"/>
      <w:r w:rsidRPr="00BA2876">
        <w:rPr>
          <w:lang w:eastAsia="ja-JP"/>
        </w:rPr>
        <w:t>deoxycholic</w:t>
      </w:r>
      <w:proofErr w:type="spellEnd"/>
      <w:r w:rsidRPr="00BA2876">
        <w:rPr>
          <w:lang w:eastAsia="ja-JP"/>
        </w:rPr>
        <w:t xml:space="preserve"> acid is efficacious and has an acceptable tolerability for the </w:t>
      </w:r>
      <w:r>
        <w:rPr>
          <w:lang w:eastAsia="ja-JP"/>
        </w:rPr>
        <w:t xml:space="preserve">subjects undergoing treatment. </w:t>
      </w:r>
      <w:r w:rsidRPr="00BA2876">
        <w:rPr>
          <w:lang w:eastAsia="ja-JP"/>
        </w:rPr>
        <w:t xml:space="preserve">The </w:t>
      </w:r>
      <w:r>
        <w:rPr>
          <w:lang w:eastAsia="ja-JP"/>
        </w:rPr>
        <w:t>s</w:t>
      </w:r>
      <w:r w:rsidRPr="00BA2876">
        <w:rPr>
          <w:lang w:eastAsia="ja-JP"/>
        </w:rPr>
        <w:t>ponsor has also defined an appropriate treatment regimen.</w:t>
      </w:r>
    </w:p>
    <w:p w14:paraId="534FBAB6" w14:textId="6AF62CF4" w:rsidR="00605AD4" w:rsidRPr="00605AD4" w:rsidRDefault="005200DF" w:rsidP="00605AD4">
      <w:pPr>
        <w:pStyle w:val="Heading3"/>
        <w:rPr>
          <w:rFonts w:eastAsia="Cambria"/>
        </w:rPr>
      </w:pPr>
      <w:bookmarkStart w:id="108" w:name="_Toc482015702"/>
      <w:r>
        <w:rPr>
          <w:rFonts w:eastAsia="Cambria"/>
        </w:rPr>
        <w:t>First round recommendation regarding a</w:t>
      </w:r>
      <w:r w:rsidR="00605AD4" w:rsidRPr="00605AD4">
        <w:rPr>
          <w:rFonts w:eastAsia="Cambria"/>
        </w:rPr>
        <w:t>uthorisation</w:t>
      </w:r>
      <w:bookmarkEnd w:id="108"/>
    </w:p>
    <w:p w14:paraId="75FBAC4E" w14:textId="77777777" w:rsidR="00D87AB0" w:rsidRPr="005E5175" w:rsidRDefault="00D87AB0" w:rsidP="00D87AB0">
      <w:pPr>
        <w:rPr>
          <w:lang w:eastAsia="ja-JP"/>
        </w:rPr>
      </w:pPr>
      <w:proofErr w:type="spellStart"/>
      <w:r w:rsidRPr="005E5175">
        <w:rPr>
          <w:lang w:eastAsia="ja-JP"/>
        </w:rPr>
        <w:t>Deoxycholic</w:t>
      </w:r>
      <w:proofErr w:type="spellEnd"/>
      <w:r w:rsidRPr="005E5175">
        <w:rPr>
          <w:lang w:eastAsia="ja-JP"/>
        </w:rPr>
        <w:t xml:space="preserve"> acid (</w:t>
      </w:r>
      <w:proofErr w:type="spellStart"/>
      <w:r>
        <w:rPr>
          <w:lang w:eastAsia="ja-JP"/>
        </w:rPr>
        <w:t>Belkyra</w:t>
      </w:r>
      <w:proofErr w:type="spellEnd"/>
      <w:r w:rsidRPr="005E5175">
        <w:rPr>
          <w:lang w:eastAsia="ja-JP"/>
        </w:rPr>
        <w:t>) 10 mg/mL, solution for injection, glass vial, should be approved for the proposed indication:</w:t>
      </w:r>
    </w:p>
    <w:p w14:paraId="34BAC3A4" w14:textId="61F1FA53" w:rsidR="00605AD4" w:rsidRPr="00D87AB0" w:rsidRDefault="00D87AB0" w:rsidP="00D87AB0">
      <w:pPr>
        <w:ind w:left="567"/>
        <w:rPr>
          <w:i/>
          <w:lang w:eastAsia="ja-JP"/>
        </w:rPr>
      </w:pPr>
      <w:proofErr w:type="spellStart"/>
      <w:r>
        <w:rPr>
          <w:i/>
          <w:lang w:eastAsia="ja-JP"/>
        </w:rPr>
        <w:t>Belkyra</w:t>
      </w:r>
      <w:proofErr w:type="spellEnd"/>
      <w:r w:rsidRPr="005E5175">
        <w:rPr>
          <w:i/>
          <w:lang w:eastAsia="ja-JP"/>
        </w:rPr>
        <w:t xml:space="preserve"> (</w:t>
      </w:r>
      <w:proofErr w:type="spellStart"/>
      <w:r w:rsidRPr="005E5175">
        <w:rPr>
          <w:i/>
          <w:lang w:eastAsia="ja-JP"/>
        </w:rPr>
        <w:t>deoxycholic</w:t>
      </w:r>
      <w:proofErr w:type="spellEnd"/>
      <w:r w:rsidRPr="005E5175">
        <w:rPr>
          <w:i/>
          <w:lang w:eastAsia="ja-JP"/>
        </w:rPr>
        <w:t xml:space="preserve"> acid) injection is indicated for improvement in the appearance of moderate to severe convexity or fullness associated with submental fat in adults.</w:t>
      </w:r>
    </w:p>
    <w:p w14:paraId="7BF03727" w14:textId="1AD38856" w:rsidR="00605AD4" w:rsidRPr="00605AD4" w:rsidRDefault="005200DF" w:rsidP="00605AD4">
      <w:pPr>
        <w:pStyle w:val="Heading3"/>
        <w:rPr>
          <w:rFonts w:eastAsia="Cambria"/>
        </w:rPr>
      </w:pPr>
      <w:bookmarkStart w:id="109" w:name="_Toc482015703"/>
      <w:r>
        <w:rPr>
          <w:rFonts w:eastAsia="Cambria"/>
        </w:rPr>
        <w:t>Clinical q</w:t>
      </w:r>
      <w:r w:rsidR="00605AD4" w:rsidRPr="00605AD4">
        <w:rPr>
          <w:rFonts w:eastAsia="Cambria"/>
        </w:rPr>
        <w:t>uestions</w:t>
      </w:r>
      <w:bookmarkEnd w:id="109"/>
    </w:p>
    <w:p w14:paraId="78975F6E" w14:textId="77777777" w:rsidR="00D87AB0" w:rsidRDefault="00D87AB0" w:rsidP="00D87AB0">
      <w:pPr>
        <w:pStyle w:val="Heading4"/>
      </w:pPr>
      <w:bookmarkStart w:id="110" w:name="_Toc430959550"/>
      <w:r>
        <w:t>Efficacy</w:t>
      </w:r>
      <w:bookmarkEnd w:id="110"/>
    </w:p>
    <w:p w14:paraId="6234EFE0" w14:textId="60C0CFD7" w:rsidR="00D87AB0" w:rsidRPr="00536E09" w:rsidRDefault="00D87AB0" w:rsidP="00D87AB0">
      <w:r>
        <w:t xml:space="preserve">Q1. </w:t>
      </w:r>
      <w:r w:rsidRPr="00536E09">
        <w:t>Does the sponsor intend to obtain further efficacy data in patients aged &gt;</w:t>
      </w:r>
      <w:r w:rsidR="00BC152B">
        <w:t> </w:t>
      </w:r>
      <w:r w:rsidRPr="00536E09">
        <w:t>65 years?</w:t>
      </w:r>
    </w:p>
    <w:p w14:paraId="23E35A64" w14:textId="77777777" w:rsidR="00D87AB0" w:rsidRPr="00536E09" w:rsidRDefault="00D87AB0" w:rsidP="00D87AB0">
      <w:r>
        <w:t xml:space="preserve">Q2. </w:t>
      </w:r>
      <w:r w:rsidRPr="00536E09">
        <w:t xml:space="preserve">Does the sponsor intend to obtain further efficacy data in populations other than </w:t>
      </w:r>
      <w:r>
        <w:t>White</w:t>
      </w:r>
      <w:r w:rsidRPr="00536E09">
        <w:t>?</w:t>
      </w:r>
    </w:p>
    <w:p w14:paraId="640F6506" w14:textId="77777777" w:rsidR="00D87AB0" w:rsidRDefault="00D87AB0" w:rsidP="00D87AB0">
      <w:pPr>
        <w:pStyle w:val="Heading4"/>
      </w:pPr>
      <w:bookmarkStart w:id="111" w:name="_Toc430959551"/>
      <w:r>
        <w:t>Safety</w:t>
      </w:r>
      <w:bookmarkEnd w:id="111"/>
    </w:p>
    <w:p w14:paraId="3DA387F2" w14:textId="5FF25A73" w:rsidR="00D87AB0" w:rsidRPr="00536E09" w:rsidRDefault="00D87AB0" w:rsidP="00AA0A65">
      <w:pPr>
        <w:rPr>
          <w:lang w:eastAsia="ja-JP"/>
        </w:rPr>
      </w:pPr>
      <w:r>
        <w:rPr>
          <w:lang w:eastAsia="ja-JP"/>
        </w:rPr>
        <w:t xml:space="preserve">Q3. </w:t>
      </w:r>
      <w:r w:rsidRPr="00536E09">
        <w:rPr>
          <w:lang w:eastAsia="ja-JP"/>
        </w:rPr>
        <w:t xml:space="preserve">Does the </w:t>
      </w:r>
      <w:r>
        <w:rPr>
          <w:lang w:eastAsia="ja-JP"/>
        </w:rPr>
        <w:t>s</w:t>
      </w:r>
      <w:r w:rsidRPr="00536E09">
        <w:rPr>
          <w:lang w:eastAsia="ja-JP"/>
        </w:rPr>
        <w:t>ponsor intend to obtain further safety data in patients aged &gt;</w:t>
      </w:r>
      <w:r w:rsidR="00BC152B">
        <w:rPr>
          <w:lang w:eastAsia="ja-JP"/>
        </w:rPr>
        <w:t> </w:t>
      </w:r>
      <w:r w:rsidRPr="00536E09">
        <w:rPr>
          <w:lang w:eastAsia="ja-JP"/>
        </w:rPr>
        <w:t>65 years?</w:t>
      </w:r>
    </w:p>
    <w:p w14:paraId="45A336EA" w14:textId="77777777" w:rsidR="00D87AB0" w:rsidRPr="00536E09" w:rsidRDefault="00D87AB0" w:rsidP="00273076">
      <w:pPr>
        <w:rPr>
          <w:lang w:eastAsia="ja-JP"/>
        </w:rPr>
      </w:pPr>
      <w:r>
        <w:rPr>
          <w:lang w:eastAsia="ja-JP"/>
        </w:rPr>
        <w:t>Q4. Does the s</w:t>
      </w:r>
      <w:r w:rsidRPr="00536E09">
        <w:rPr>
          <w:lang w:eastAsia="ja-JP"/>
        </w:rPr>
        <w:t xml:space="preserve">ponsor intend to obtain further safety data in populations other than </w:t>
      </w:r>
      <w:r>
        <w:rPr>
          <w:lang w:eastAsia="ja-JP"/>
        </w:rPr>
        <w:t>White</w:t>
      </w:r>
      <w:r w:rsidRPr="00536E09">
        <w:rPr>
          <w:lang w:eastAsia="ja-JP"/>
        </w:rPr>
        <w:t>?</w:t>
      </w:r>
    </w:p>
    <w:p w14:paraId="4980C56F" w14:textId="3C9E05B1" w:rsidR="00605AD4" w:rsidRPr="00605AD4" w:rsidRDefault="00D87AB0" w:rsidP="00273076">
      <w:pPr>
        <w:rPr>
          <w:lang w:eastAsia="ja-JP"/>
        </w:rPr>
      </w:pPr>
      <w:r>
        <w:rPr>
          <w:lang w:eastAsia="ja-JP"/>
        </w:rPr>
        <w:t>Q5. Does the s</w:t>
      </w:r>
      <w:r w:rsidRPr="00536E09">
        <w:rPr>
          <w:lang w:eastAsia="ja-JP"/>
        </w:rPr>
        <w:t xml:space="preserve">ponsor intend to conduct extended long term follow-up studies to monitor the effects of aging in patients who have received </w:t>
      </w:r>
      <w:proofErr w:type="spellStart"/>
      <w:r w:rsidRPr="00536E09">
        <w:rPr>
          <w:lang w:eastAsia="ja-JP"/>
        </w:rPr>
        <w:t>deoxycholic</w:t>
      </w:r>
      <w:proofErr w:type="spellEnd"/>
      <w:r w:rsidRPr="00536E09">
        <w:rPr>
          <w:lang w:eastAsia="ja-JP"/>
        </w:rPr>
        <w:t xml:space="preserve"> acid for </w:t>
      </w:r>
      <w:r>
        <w:rPr>
          <w:lang w:eastAsia="ja-JP"/>
        </w:rPr>
        <w:t>submental fat?</w:t>
      </w:r>
    </w:p>
    <w:p w14:paraId="6C230D50" w14:textId="07935BC2" w:rsidR="00605AD4" w:rsidRPr="00605AD4" w:rsidRDefault="005200DF" w:rsidP="00605AD4">
      <w:pPr>
        <w:pStyle w:val="Heading3"/>
        <w:rPr>
          <w:rFonts w:eastAsia="Cambria"/>
        </w:rPr>
      </w:pPr>
      <w:bookmarkStart w:id="112" w:name="_Toc482015704"/>
      <w:r>
        <w:rPr>
          <w:rFonts w:eastAsia="Cambria"/>
        </w:rPr>
        <w:t>Second round e</w:t>
      </w:r>
      <w:r w:rsidR="00605AD4" w:rsidRPr="00605AD4">
        <w:rPr>
          <w:rFonts w:eastAsia="Cambria"/>
        </w:rPr>
        <w:t>valuation of clinical data submitted in response to questions</w:t>
      </w:r>
      <w:bookmarkEnd w:id="112"/>
    </w:p>
    <w:p w14:paraId="17C295AC" w14:textId="77777777" w:rsidR="006136D7" w:rsidRPr="00605AD4" w:rsidRDefault="006136D7" w:rsidP="006136D7">
      <w:r>
        <w:t>For details of the sponsor’s responses and the evaluation of these responses please see Attachment 2.</w:t>
      </w:r>
    </w:p>
    <w:p w14:paraId="1EF4B8A2" w14:textId="61C42C0B" w:rsidR="00605AD4" w:rsidRPr="00605AD4" w:rsidRDefault="005200DF" w:rsidP="00546154">
      <w:pPr>
        <w:pStyle w:val="Heading3"/>
        <w:rPr>
          <w:rFonts w:eastAsia="Cambria"/>
        </w:rPr>
      </w:pPr>
      <w:bookmarkStart w:id="113" w:name="_Toc482015705"/>
      <w:r>
        <w:rPr>
          <w:rFonts w:eastAsia="Cambria"/>
        </w:rPr>
        <w:t>Second round benefit-risk a</w:t>
      </w:r>
      <w:r w:rsidR="00605AD4" w:rsidRPr="00605AD4">
        <w:rPr>
          <w:rFonts w:eastAsia="Cambria"/>
        </w:rPr>
        <w:t>ssessment</w:t>
      </w:r>
      <w:bookmarkEnd w:id="113"/>
    </w:p>
    <w:p w14:paraId="6075B049" w14:textId="7B87E518" w:rsidR="00D87AB0" w:rsidRPr="002459A1" w:rsidRDefault="00D87AB0" w:rsidP="00D87AB0">
      <w:pPr>
        <w:rPr>
          <w:lang w:eastAsia="ja-JP"/>
        </w:rPr>
      </w:pPr>
      <w:r w:rsidRPr="002459A1">
        <w:rPr>
          <w:lang w:eastAsia="ja-JP"/>
        </w:rPr>
        <w:t>The benefit-ri</w:t>
      </w:r>
      <w:r>
        <w:rPr>
          <w:lang w:eastAsia="ja-JP"/>
        </w:rPr>
        <w:t xml:space="preserve">sk balance of </w:t>
      </w:r>
      <w:proofErr w:type="spellStart"/>
      <w:r>
        <w:rPr>
          <w:lang w:eastAsia="ja-JP"/>
        </w:rPr>
        <w:t>deoxycholic</w:t>
      </w:r>
      <w:proofErr w:type="spellEnd"/>
      <w:r>
        <w:rPr>
          <w:lang w:eastAsia="ja-JP"/>
        </w:rPr>
        <w:t xml:space="preserve"> acid (</w:t>
      </w:r>
      <w:proofErr w:type="spellStart"/>
      <w:r>
        <w:rPr>
          <w:lang w:eastAsia="ja-JP"/>
        </w:rPr>
        <w:t>Belkyra</w:t>
      </w:r>
      <w:proofErr w:type="spellEnd"/>
      <w:r>
        <w:rPr>
          <w:lang w:eastAsia="ja-JP"/>
        </w:rPr>
        <w:t xml:space="preserve">) </w:t>
      </w:r>
      <w:r w:rsidRPr="002459A1">
        <w:rPr>
          <w:lang w:eastAsia="ja-JP"/>
        </w:rPr>
        <w:t>given the proposed usage is favourable.</w:t>
      </w:r>
    </w:p>
    <w:p w14:paraId="2D5BEDD4" w14:textId="2839BBF3" w:rsidR="00605AD4" w:rsidRDefault="00D87AB0" w:rsidP="00546154">
      <w:pPr>
        <w:rPr>
          <w:lang w:eastAsia="ja-JP"/>
        </w:rPr>
      </w:pPr>
      <w:r w:rsidRPr="002459A1">
        <w:rPr>
          <w:lang w:eastAsia="ja-JP"/>
        </w:rPr>
        <w:t>In</w:t>
      </w:r>
      <w:r>
        <w:rPr>
          <w:lang w:eastAsia="ja-JP"/>
        </w:rPr>
        <w:t xml:space="preserve"> the opinion of the </w:t>
      </w:r>
      <w:r w:rsidR="000E7F50">
        <w:rPr>
          <w:lang w:eastAsia="ja-JP"/>
        </w:rPr>
        <w:t>e</w:t>
      </w:r>
      <w:r>
        <w:rPr>
          <w:lang w:eastAsia="ja-JP"/>
        </w:rPr>
        <w:t>valuator, submental fat</w:t>
      </w:r>
      <w:r w:rsidRPr="002459A1">
        <w:rPr>
          <w:lang w:eastAsia="ja-JP"/>
        </w:rPr>
        <w:t xml:space="preserve"> is not a disease and </w:t>
      </w:r>
      <w:proofErr w:type="spellStart"/>
      <w:r w:rsidRPr="002459A1">
        <w:rPr>
          <w:lang w:eastAsia="ja-JP"/>
        </w:rPr>
        <w:t>deoxycholic</w:t>
      </w:r>
      <w:proofErr w:type="spellEnd"/>
      <w:r w:rsidRPr="002459A1">
        <w:rPr>
          <w:lang w:eastAsia="ja-JP"/>
        </w:rPr>
        <w:t xml:space="preserve"> acid in the proposed </w:t>
      </w:r>
      <w:r>
        <w:rPr>
          <w:lang w:eastAsia="ja-JP"/>
        </w:rPr>
        <w:t>usage is a cosmetic treatment. The s</w:t>
      </w:r>
      <w:r w:rsidRPr="002459A1">
        <w:rPr>
          <w:lang w:eastAsia="ja-JP"/>
        </w:rPr>
        <w:t xml:space="preserve">ponsor has not demonstrated that </w:t>
      </w:r>
      <w:r>
        <w:rPr>
          <w:lang w:eastAsia="ja-JP"/>
        </w:rPr>
        <w:t>submental fat</w:t>
      </w:r>
      <w:r w:rsidRPr="002459A1">
        <w:rPr>
          <w:lang w:eastAsia="ja-JP"/>
        </w:rPr>
        <w:t xml:space="preserve"> causes sufficient distress to result in </w:t>
      </w:r>
      <w:r>
        <w:rPr>
          <w:lang w:eastAsia="ja-JP"/>
        </w:rPr>
        <w:t>physical or psychological harm. I</w:t>
      </w:r>
      <w:r w:rsidRPr="002459A1">
        <w:rPr>
          <w:lang w:eastAsia="ja-JP"/>
        </w:rPr>
        <w:t xml:space="preserve">n the </w:t>
      </w:r>
      <w:r w:rsidRPr="002459A1">
        <w:rPr>
          <w:lang w:eastAsia="ja-JP"/>
        </w:rPr>
        <w:lastRenderedPageBreak/>
        <w:t>context of a cosmetic</w:t>
      </w:r>
      <w:r>
        <w:rPr>
          <w:lang w:eastAsia="ja-JP"/>
        </w:rPr>
        <w:t xml:space="preserve"> treatment however,</w:t>
      </w:r>
      <w:r w:rsidRPr="002459A1">
        <w:rPr>
          <w:lang w:eastAsia="ja-JP"/>
        </w:rPr>
        <w:t xml:space="preserve"> the </w:t>
      </w:r>
      <w:r>
        <w:rPr>
          <w:lang w:eastAsia="ja-JP"/>
        </w:rPr>
        <w:t>s</w:t>
      </w:r>
      <w:r w:rsidRPr="002459A1">
        <w:rPr>
          <w:lang w:eastAsia="ja-JP"/>
        </w:rPr>
        <w:t xml:space="preserve">ponsor has demonstrated that </w:t>
      </w:r>
      <w:proofErr w:type="spellStart"/>
      <w:r w:rsidRPr="002459A1">
        <w:rPr>
          <w:lang w:eastAsia="ja-JP"/>
        </w:rPr>
        <w:t>deoxycholic</w:t>
      </w:r>
      <w:proofErr w:type="spellEnd"/>
      <w:r w:rsidRPr="002459A1">
        <w:rPr>
          <w:lang w:eastAsia="ja-JP"/>
        </w:rPr>
        <w:t xml:space="preserve"> acid is efficacious and has an acceptable tolerability for the</w:t>
      </w:r>
      <w:r>
        <w:rPr>
          <w:lang w:eastAsia="ja-JP"/>
        </w:rPr>
        <w:t xml:space="preserve"> subjects undergoing treatment.</w:t>
      </w:r>
      <w:r w:rsidRPr="002459A1">
        <w:rPr>
          <w:lang w:eastAsia="ja-JP"/>
        </w:rPr>
        <w:t xml:space="preserve"> The </w:t>
      </w:r>
      <w:r>
        <w:rPr>
          <w:lang w:eastAsia="ja-JP"/>
        </w:rPr>
        <w:t>s</w:t>
      </w:r>
      <w:r w:rsidRPr="002459A1">
        <w:rPr>
          <w:lang w:eastAsia="ja-JP"/>
        </w:rPr>
        <w:t>ponsor has also defined an appropriate treatment regimen.</w:t>
      </w:r>
    </w:p>
    <w:p w14:paraId="3496B02C" w14:textId="425473EC" w:rsidR="00AA0A65" w:rsidRPr="00F50581" w:rsidRDefault="00AA0A65" w:rsidP="00BB75B1">
      <w:pPr>
        <w:pStyle w:val="Heading3"/>
      </w:pPr>
      <w:bookmarkStart w:id="114" w:name="_Ref272160677"/>
      <w:bookmarkStart w:id="115" w:name="_Toc272414713"/>
      <w:bookmarkStart w:id="116" w:name="_Toc290846352"/>
      <w:bookmarkStart w:id="117" w:name="_Toc421816917"/>
      <w:bookmarkStart w:id="118" w:name="_Toc482015706"/>
      <w:r w:rsidRPr="00F50581">
        <w:t>Second round recommendation regarding authorisation</w:t>
      </w:r>
      <w:bookmarkEnd w:id="114"/>
      <w:bookmarkEnd w:id="115"/>
      <w:bookmarkEnd w:id="116"/>
      <w:bookmarkEnd w:id="117"/>
      <w:bookmarkEnd w:id="118"/>
      <w:r w:rsidRPr="00F50581">
        <w:t xml:space="preserve"> </w:t>
      </w:r>
    </w:p>
    <w:p w14:paraId="13F15B4F" w14:textId="7E96709C" w:rsidR="00AA0A65" w:rsidRPr="00F50581" w:rsidRDefault="00AA0A65">
      <w:proofErr w:type="spellStart"/>
      <w:r w:rsidRPr="00F50581">
        <w:t>Deoxycholic</w:t>
      </w:r>
      <w:proofErr w:type="spellEnd"/>
      <w:r w:rsidRPr="00F50581">
        <w:t xml:space="preserve"> acid (</w:t>
      </w:r>
      <w:proofErr w:type="spellStart"/>
      <w:r w:rsidRPr="00F50581">
        <w:t>B</w:t>
      </w:r>
      <w:r>
        <w:t>elkyra</w:t>
      </w:r>
      <w:proofErr w:type="spellEnd"/>
      <w:r w:rsidRPr="00F50581">
        <w:t>™) 10 mg/mL, solution for injection, glass vial, should be approved for the proposed indication:</w:t>
      </w:r>
    </w:p>
    <w:p w14:paraId="082893B4" w14:textId="31B75915" w:rsidR="00AA0A65" w:rsidRPr="00605AD4" w:rsidRDefault="00404977" w:rsidP="00BB75B1">
      <w:pPr>
        <w:ind w:left="720"/>
        <w:rPr>
          <w:lang w:eastAsia="ja-JP"/>
        </w:rPr>
      </w:pPr>
      <w:proofErr w:type="spellStart"/>
      <w:r w:rsidRPr="00F50581">
        <w:rPr>
          <w:i/>
        </w:rPr>
        <w:t>B</w:t>
      </w:r>
      <w:r>
        <w:rPr>
          <w:i/>
        </w:rPr>
        <w:t>elkyra</w:t>
      </w:r>
      <w:proofErr w:type="spellEnd"/>
      <w:r w:rsidR="00AA0A65" w:rsidRPr="00F50581">
        <w:rPr>
          <w:i/>
        </w:rPr>
        <w:t xml:space="preserve"> (</w:t>
      </w:r>
      <w:proofErr w:type="spellStart"/>
      <w:r w:rsidR="00AA0A65" w:rsidRPr="00F50581">
        <w:rPr>
          <w:i/>
        </w:rPr>
        <w:t>deoxycholic</w:t>
      </w:r>
      <w:proofErr w:type="spellEnd"/>
      <w:r w:rsidR="00AA0A65" w:rsidRPr="00F50581">
        <w:rPr>
          <w:i/>
        </w:rPr>
        <w:t xml:space="preserve"> acid) injection is indicated for improvement in the appearance of moderate to severe convexity or fullness associated with submental fat in adults.</w:t>
      </w:r>
    </w:p>
    <w:p w14:paraId="6EFF91B2" w14:textId="0B0C5E05" w:rsidR="00546154" w:rsidRPr="00FC1FCA" w:rsidRDefault="008E7846" w:rsidP="00BB343F">
      <w:pPr>
        <w:pStyle w:val="Heading2"/>
      </w:pPr>
      <w:bookmarkStart w:id="119" w:name="_Toc482015707"/>
      <w:r w:rsidRPr="00E41208">
        <w:t xml:space="preserve">V. Pharmacovigilance </w:t>
      </w:r>
      <w:r>
        <w:t>f</w:t>
      </w:r>
      <w:r w:rsidRPr="00E41208">
        <w:t>indings</w:t>
      </w:r>
      <w:bookmarkStart w:id="120" w:name="_Toc247691526"/>
      <w:bookmarkStart w:id="121" w:name="_Toc314842509"/>
      <w:bookmarkEnd w:id="103"/>
      <w:bookmarkEnd w:id="104"/>
      <w:bookmarkEnd w:id="119"/>
    </w:p>
    <w:p w14:paraId="5D854795" w14:textId="77777777" w:rsidR="008E7846" w:rsidRDefault="00386150" w:rsidP="008E7846">
      <w:pPr>
        <w:pStyle w:val="Heading3"/>
        <w:rPr>
          <w:lang w:eastAsia="en-AU"/>
        </w:rPr>
      </w:pPr>
      <w:bookmarkStart w:id="122" w:name="_Toc482015708"/>
      <w:r>
        <w:rPr>
          <w:lang w:eastAsia="en-AU"/>
        </w:rPr>
        <w:t>Risk m</w:t>
      </w:r>
      <w:r w:rsidR="008E7846">
        <w:rPr>
          <w:lang w:eastAsia="en-AU"/>
        </w:rPr>
        <w:t xml:space="preserve">anagement </w:t>
      </w:r>
      <w:r>
        <w:rPr>
          <w:lang w:eastAsia="en-AU"/>
        </w:rPr>
        <w:t>p</w:t>
      </w:r>
      <w:r w:rsidR="008E7846">
        <w:rPr>
          <w:lang w:eastAsia="en-AU"/>
        </w:rPr>
        <w:t>lan</w:t>
      </w:r>
      <w:bookmarkEnd w:id="120"/>
      <w:bookmarkEnd w:id="121"/>
      <w:bookmarkEnd w:id="122"/>
    </w:p>
    <w:p w14:paraId="5D180AF3" w14:textId="7E4C2533" w:rsidR="008E7846" w:rsidRPr="00097EE8" w:rsidRDefault="008E7846" w:rsidP="00097EE8">
      <w:r w:rsidRPr="00097EE8">
        <w:t>The sponsor submitted a Risk Management Plan</w:t>
      </w:r>
      <w:r w:rsidR="00BC152B">
        <w:t xml:space="preserve"> (RMP)</w:t>
      </w:r>
      <w:r w:rsidR="006F25B8" w:rsidRPr="00097EE8">
        <w:t xml:space="preserve"> </w:t>
      </w:r>
      <w:r w:rsidR="00097EE8" w:rsidRPr="00097EE8">
        <w:t>EU-RMP Version 1.0 (dated 6 January 2015, D</w:t>
      </w:r>
      <w:r w:rsidR="00EB55E7">
        <w:t>ata-lock point:</w:t>
      </w:r>
      <w:r w:rsidR="00097EE8" w:rsidRPr="00097EE8">
        <w:t xml:space="preserve"> 24 March 2014) and Australian-specific annex (</w:t>
      </w:r>
      <w:r w:rsidR="00097EE8">
        <w:t xml:space="preserve">ASA) Version </w:t>
      </w:r>
      <w:r w:rsidR="00B77AC3" w:rsidRPr="00B77AC3">
        <w:t>2.0 (dated 9 October 2015, DLP 24 March 2014</w:t>
      </w:r>
      <w:r w:rsidR="00097EE8" w:rsidRPr="00097EE8">
        <w:t>)</w:t>
      </w:r>
      <w:r w:rsidR="00097EE8">
        <w:t xml:space="preserve"> </w:t>
      </w:r>
      <w:r w:rsidRPr="00097EE8">
        <w:t xml:space="preserve">which was reviewed by the </w:t>
      </w:r>
      <w:r w:rsidR="00FC1FCA" w:rsidRPr="00097EE8">
        <w:t>RMP evaluator.</w:t>
      </w:r>
    </w:p>
    <w:p w14:paraId="7E68F4B9" w14:textId="77777777" w:rsidR="008E7846" w:rsidRDefault="003A7F6C" w:rsidP="008E7846">
      <w:pPr>
        <w:pStyle w:val="Heading4"/>
        <w:rPr>
          <w:lang w:eastAsia="en-AU"/>
        </w:rPr>
      </w:pPr>
      <w:r>
        <w:rPr>
          <w:lang w:eastAsia="en-AU"/>
        </w:rPr>
        <w:t>Safety s</w:t>
      </w:r>
      <w:r w:rsidR="008E7846">
        <w:rPr>
          <w:lang w:eastAsia="en-AU"/>
        </w:rPr>
        <w:t>pecification</w:t>
      </w:r>
    </w:p>
    <w:p w14:paraId="1B81655B" w14:textId="53720F80"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w:t>
      </w:r>
      <w:r w:rsidR="00FF37BE">
        <w:rPr>
          <w:lang w:eastAsia="en-AU"/>
        </w:rPr>
        <w:t>in</w:t>
      </w:r>
      <w:r>
        <w:rPr>
          <w:lang w:eastAsia="en-AU"/>
        </w:rPr>
        <w:t xml:space="preserve"> Table </w:t>
      </w:r>
      <w:r w:rsidR="00BC152B">
        <w:rPr>
          <w:lang w:eastAsia="en-AU"/>
        </w:rPr>
        <w:t>6</w:t>
      </w:r>
      <w:r w:rsidR="00FF37BE">
        <w:rPr>
          <w:lang w:eastAsia="en-AU"/>
        </w:rPr>
        <w:t xml:space="preserve"> below</w:t>
      </w:r>
      <w:r>
        <w:rPr>
          <w:lang w:eastAsia="en-AU"/>
        </w:rPr>
        <w:t>.</w:t>
      </w:r>
    </w:p>
    <w:p w14:paraId="4E1A092F" w14:textId="276CBA0A" w:rsidR="008E7846" w:rsidRDefault="00FF37BE" w:rsidP="00FF37BE">
      <w:pPr>
        <w:pStyle w:val="Tabletitle0"/>
        <w:rPr>
          <w:lang w:eastAsia="en-AU"/>
        </w:rPr>
      </w:pPr>
      <w:r>
        <w:rPr>
          <w:lang w:eastAsia="en-AU"/>
        </w:rPr>
        <w:t xml:space="preserve">Table </w:t>
      </w:r>
      <w:r w:rsidR="00BC152B">
        <w:rPr>
          <w:lang w:eastAsia="en-AU"/>
        </w:rPr>
        <w:t>6</w:t>
      </w:r>
      <w:r w:rsidR="00AA0A65">
        <w:rPr>
          <w:lang w:eastAsia="en-AU"/>
        </w:rPr>
        <w:t>:</w:t>
      </w:r>
      <w:r>
        <w:rPr>
          <w:lang w:eastAsia="en-AU"/>
        </w:rPr>
        <w:t xml:space="preserve"> Ongoing safety concerns for </w:t>
      </w:r>
      <w:proofErr w:type="spellStart"/>
      <w:r>
        <w:rPr>
          <w:lang w:eastAsia="en-AU"/>
        </w:rPr>
        <w:t>Belkyra</w:t>
      </w:r>
      <w:proofErr w:type="spellEnd"/>
    </w:p>
    <w:tbl>
      <w:tblPr>
        <w:tblStyle w:val="TableTGAblue"/>
        <w:tblW w:w="0" w:type="auto"/>
        <w:tblLook w:val="04A0" w:firstRow="1" w:lastRow="0" w:firstColumn="1" w:lastColumn="0" w:noHBand="0" w:noVBand="1"/>
      </w:tblPr>
      <w:tblGrid>
        <w:gridCol w:w="4360"/>
        <w:gridCol w:w="4360"/>
      </w:tblGrid>
      <w:tr w:rsidR="00B046C3" w:rsidRPr="00AB5FF8" w14:paraId="1CF5AD1C" w14:textId="77777777" w:rsidTr="00B03A6C">
        <w:trPr>
          <w:cnfStyle w:val="100000000000" w:firstRow="1" w:lastRow="0" w:firstColumn="0" w:lastColumn="0" w:oddVBand="0" w:evenVBand="0" w:oddHBand="0" w:evenHBand="0" w:firstRowFirstColumn="0" w:firstRowLastColumn="0" w:lastRowFirstColumn="0" w:lastRowLastColumn="0"/>
        </w:trPr>
        <w:tc>
          <w:tcPr>
            <w:tcW w:w="4360" w:type="dxa"/>
          </w:tcPr>
          <w:p w14:paraId="15DC1DDE" w14:textId="77777777" w:rsidR="00B046C3" w:rsidRPr="00BB75B1" w:rsidRDefault="00B046C3" w:rsidP="00FB56FE">
            <w:r w:rsidRPr="00BB75B1">
              <w:t>Summary of safety concerns</w:t>
            </w:r>
          </w:p>
        </w:tc>
        <w:tc>
          <w:tcPr>
            <w:tcW w:w="4360" w:type="dxa"/>
          </w:tcPr>
          <w:p w14:paraId="387288C5" w14:textId="77777777" w:rsidR="00B046C3" w:rsidRPr="00BB75B1" w:rsidRDefault="00B046C3" w:rsidP="00FB56FE"/>
        </w:tc>
      </w:tr>
      <w:tr w:rsidR="00B046C3" w:rsidRPr="00AB5FF8" w14:paraId="57D03420" w14:textId="77777777" w:rsidTr="00B03A6C">
        <w:tc>
          <w:tcPr>
            <w:tcW w:w="4360" w:type="dxa"/>
          </w:tcPr>
          <w:p w14:paraId="17FEBFD9" w14:textId="606DC9F0" w:rsidR="00B046C3" w:rsidRPr="00BB75B1" w:rsidRDefault="00BB343F" w:rsidP="00FB56FE">
            <w:pPr>
              <w:rPr>
                <w:b/>
              </w:rPr>
            </w:pPr>
            <w:r w:rsidRPr="00BB75B1">
              <w:t>Important identified risks:</w:t>
            </w:r>
          </w:p>
        </w:tc>
        <w:tc>
          <w:tcPr>
            <w:tcW w:w="4360" w:type="dxa"/>
          </w:tcPr>
          <w:p w14:paraId="0352E4A6" w14:textId="77777777" w:rsidR="00B046C3" w:rsidRPr="00BB75B1" w:rsidRDefault="00FF37BE" w:rsidP="00FB56FE">
            <w:r w:rsidRPr="00BB75B1">
              <w:t>Injection site nerve injury</w:t>
            </w:r>
          </w:p>
          <w:p w14:paraId="72AFA815" w14:textId="74CD23AF" w:rsidR="00FF37BE" w:rsidRPr="00BB75B1" w:rsidRDefault="00FF37BE" w:rsidP="00FB56FE">
            <w:r w:rsidRPr="00BB75B1">
              <w:t>Injection site skin ulceration</w:t>
            </w:r>
          </w:p>
        </w:tc>
      </w:tr>
      <w:tr w:rsidR="00B046C3" w:rsidRPr="00AB5FF8" w14:paraId="60ED67CA" w14:textId="77777777" w:rsidTr="00B03A6C">
        <w:trPr>
          <w:trHeight w:val="874"/>
        </w:trPr>
        <w:tc>
          <w:tcPr>
            <w:tcW w:w="4360" w:type="dxa"/>
          </w:tcPr>
          <w:p w14:paraId="696C8B43" w14:textId="6EE8DA25" w:rsidR="00B046C3" w:rsidRPr="00BB75B1" w:rsidRDefault="00B046C3" w:rsidP="00FB56FE">
            <w:pPr>
              <w:rPr>
                <w:b/>
              </w:rPr>
            </w:pPr>
            <w:r w:rsidRPr="00BB75B1">
              <w:t>Important po</w:t>
            </w:r>
            <w:r w:rsidR="00BB343F" w:rsidRPr="00BB75B1">
              <w:t>tential risks:</w:t>
            </w:r>
          </w:p>
        </w:tc>
        <w:tc>
          <w:tcPr>
            <w:tcW w:w="4360" w:type="dxa"/>
          </w:tcPr>
          <w:p w14:paraId="76EC43AE" w14:textId="0CF93460" w:rsidR="00B046C3" w:rsidRPr="00BB75B1" w:rsidRDefault="00FF37BE" w:rsidP="00FB56FE">
            <w:r w:rsidRPr="00BB75B1">
              <w:t>Use in patients or for conditions or with doses not yet studied</w:t>
            </w:r>
          </w:p>
        </w:tc>
      </w:tr>
      <w:tr w:rsidR="00B046C3" w:rsidRPr="00AB5FF8" w14:paraId="76B44730" w14:textId="77777777" w:rsidTr="00B03A6C">
        <w:tc>
          <w:tcPr>
            <w:tcW w:w="4360" w:type="dxa"/>
          </w:tcPr>
          <w:p w14:paraId="0EB39AB6" w14:textId="7605B519" w:rsidR="00B046C3" w:rsidRPr="00BB75B1" w:rsidRDefault="00BB343F" w:rsidP="00FB56FE">
            <w:pPr>
              <w:rPr>
                <w:b/>
              </w:rPr>
            </w:pPr>
            <w:r w:rsidRPr="00BB75B1">
              <w:t>Missing information:</w:t>
            </w:r>
          </w:p>
        </w:tc>
        <w:tc>
          <w:tcPr>
            <w:tcW w:w="4360" w:type="dxa"/>
          </w:tcPr>
          <w:p w14:paraId="4B5E2B69" w14:textId="706B5E8E" w:rsidR="00B046C3" w:rsidRPr="00BB75B1" w:rsidRDefault="00FF37BE" w:rsidP="00FB56FE">
            <w:r w:rsidRPr="00BB75B1">
              <w:t>None</w:t>
            </w:r>
          </w:p>
        </w:tc>
      </w:tr>
    </w:tbl>
    <w:p w14:paraId="6F4FAD71" w14:textId="728B725A" w:rsidR="00B25C13" w:rsidRDefault="00B25C13" w:rsidP="00B25C13">
      <w:pPr>
        <w:pStyle w:val="Heading5"/>
        <w:rPr>
          <w:lang w:eastAsia="ja-JP"/>
        </w:rPr>
      </w:pPr>
      <w:r>
        <w:rPr>
          <w:lang w:eastAsia="ja-JP"/>
        </w:rPr>
        <w:t xml:space="preserve">Evaluator’s </w:t>
      </w:r>
      <w:r w:rsidR="0020458D">
        <w:rPr>
          <w:lang w:eastAsia="ja-JP"/>
        </w:rPr>
        <w:t>comment of safety specification</w:t>
      </w:r>
    </w:p>
    <w:p w14:paraId="6DE11781" w14:textId="4377F032" w:rsidR="00B25C13" w:rsidRPr="008958EE" w:rsidRDefault="00B25C13" w:rsidP="00B25C13">
      <w:pPr>
        <w:rPr>
          <w:lang w:eastAsia="ja-JP"/>
        </w:rPr>
      </w:pPr>
      <w:r w:rsidRPr="008958EE">
        <w:rPr>
          <w:lang w:eastAsia="ja-JP"/>
        </w:rPr>
        <w:t xml:space="preserve">The </w:t>
      </w:r>
      <w:r w:rsidR="0020458D">
        <w:rPr>
          <w:lang w:eastAsia="ja-JP"/>
        </w:rPr>
        <w:t>RMP</w:t>
      </w:r>
      <w:r>
        <w:rPr>
          <w:lang w:eastAsia="ja-JP"/>
        </w:rPr>
        <w:t xml:space="preserve"> </w:t>
      </w:r>
      <w:r w:rsidRPr="008958EE">
        <w:rPr>
          <w:lang w:eastAsia="ja-JP"/>
        </w:rPr>
        <w:t>does not identify as important missing information safety in patients either &lt;</w:t>
      </w:r>
      <w:r>
        <w:rPr>
          <w:lang w:eastAsia="ja-JP"/>
        </w:rPr>
        <w:t> </w:t>
      </w:r>
      <w:r w:rsidR="00134638">
        <w:rPr>
          <w:lang w:eastAsia="ja-JP"/>
        </w:rPr>
        <w:t>18 </w:t>
      </w:r>
      <w:r w:rsidRPr="008958EE">
        <w:rPr>
          <w:lang w:eastAsia="ja-JP"/>
        </w:rPr>
        <w:t>years of age or &gt;</w:t>
      </w:r>
      <w:r>
        <w:rPr>
          <w:lang w:eastAsia="ja-JP"/>
        </w:rPr>
        <w:t xml:space="preserve"> 65 years of age. </w:t>
      </w:r>
      <w:r w:rsidRPr="008958EE">
        <w:rPr>
          <w:lang w:eastAsia="ja-JP"/>
        </w:rPr>
        <w:t>These populations were not represented in the clinical trials and may be at risk of more severe local effects due to the effects of growth or aging.</w:t>
      </w:r>
    </w:p>
    <w:p w14:paraId="57DF2198" w14:textId="77777777"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14:paraId="289E6017" w14:textId="77777777" w:rsidR="00B25C13" w:rsidRPr="008958EE" w:rsidRDefault="00B25C13" w:rsidP="00B25C13">
      <w:pPr>
        <w:rPr>
          <w:lang w:eastAsia="ja-JP"/>
        </w:rPr>
      </w:pPr>
      <w:r w:rsidRPr="008958EE">
        <w:rPr>
          <w:lang w:eastAsia="ja-JP"/>
        </w:rPr>
        <w:t xml:space="preserve">The </w:t>
      </w:r>
      <w:r>
        <w:rPr>
          <w:lang w:eastAsia="ja-JP"/>
        </w:rPr>
        <w:t>s</w:t>
      </w:r>
      <w:r w:rsidRPr="008958EE">
        <w:rPr>
          <w:lang w:eastAsia="ja-JP"/>
        </w:rPr>
        <w:t xml:space="preserve">ponsor proposes to monitor these safety issues using </w:t>
      </w:r>
      <w:r>
        <w:rPr>
          <w:lang w:eastAsia="ja-JP"/>
        </w:rPr>
        <w:t>‘r</w:t>
      </w:r>
      <w:proofErr w:type="spellStart"/>
      <w:r w:rsidRPr="008958EE">
        <w:rPr>
          <w:lang w:val="en-NZ" w:eastAsia="ja-JP"/>
        </w:rPr>
        <w:t>outine</w:t>
      </w:r>
      <w:proofErr w:type="spellEnd"/>
      <w:r w:rsidRPr="008958EE">
        <w:rPr>
          <w:lang w:val="en-NZ" w:eastAsia="ja-JP"/>
        </w:rPr>
        <w:t xml:space="preserve"> pharmacovigilance and monitoring of </w:t>
      </w:r>
      <w:r>
        <w:rPr>
          <w:lang w:val="en-NZ" w:eastAsia="ja-JP"/>
        </w:rPr>
        <w:t>adverse drug reactions (</w:t>
      </w:r>
      <w:r w:rsidRPr="008958EE">
        <w:rPr>
          <w:lang w:val="en-NZ" w:eastAsia="ja-JP"/>
        </w:rPr>
        <w:t>ADR</w:t>
      </w:r>
      <w:r>
        <w:rPr>
          <w:lang w:val="en-NZ" w:eastAsia="ja-JP"/>
        </w:rPr>
        <w:t>)</w:t>
      </w:r>
      <w:r w:rsidRPr="008958EE">
        <w:rPr>
          <w:lang w:val="en-NZ" w:eastAsia="ja-JP"/>
        </w:rPr>
        <w:t xml:space="preserve"> from the </w:t>
      </w:r>
      <w:r>
        <w:rPr>
          <w:lang w:val="en-NZ" w:eastAsia="ja-JP"/>
        </w:rPr>
        <w:t xml:space="preserve">Marketing Authorisation Holder’s (MAH) database’. </w:t>
      </w:r>
      <w:r w:rsidRPr="008958EE">
        <w:rPr>
          <w:lang w:val="en-NZ" w:eastAsia="ja-JP"/>
        </w:rPr>
        <w:t xml:space="preserve">The </w:t>
      </w:r>
      <w:r>
        <w:rPr>
          <w:lang w:val="en-NZ" w:eastAsia="ja-JP"/>
        </w:rPr>
        <w:t>s</w:t>
      </w:r>
      <w:r w:rsidRPr="008958EE">
        <w:rPr>
          <w:lang w:val="en-NZ" w:eastAsia="ja-JP"/>
        </w:rPr>
        <w:t>ponsor also intends to address the Important Identified Risks by giving detailed dosing and administration information in the product information and by condu</w:t>
      </w:r>
      <w:r>
        <w:rPr>
          <w:lang w:val="en-NZ" w:eastAsia="ja-JP"/>
        </w:rPr>
        <w:t>cting a Healthcare Professional</w:t>
      </w:r>
      <w:r w:rsidRPr="008958EE">
        <w:rPr>
          <w:lang w:val="en-NZ" w:eastAsia="ja-JP"/>
        </w:rPr>
        <w:t xml:space="preserve"> </w:t>
      </w:r>
      <w:r>
        <w:rPr>
          <w:lang w:val="en-NZ" w:eastAsia="ja-JP"/>
        </w:rPr>
        <w:t>(</w:t>
      </w:r>
      <w:r w:rsidRPr="008958EE">
        <w:rPr>
          <w:lang w:val="en-NZ" w:eastAsia="ja-JP"/>
        </w:rPr>
        <w:t>HCP</w:t>
      </w:r>
      <w:r>
        <w:rPr>
          <w:lang w:val="en-NZ" w:eastAsia="ja-JP"/>
        </w:rPr>
        <w:t>)</w:t>
      </w:r>
      <w:r w:rsidRPr="008958EE">
        <w:rPr>
          <w:lang w:val="en-NZ" w:eastAsia="ja-JP"/>
        </w:rPr>
        <w:t xml:space="preserve"> training program.</w:t>
      </w:r>
    </w:p>
    <w:p w14:paraId="1D0C4DBD" w14:textId="77777777" w:rsidR="008E7846" w:rsidRDefault="008E7846" w:rsidP="008E7846">
      <w:pPr>
        <w:pStyle w:val="Heading4"/>
        <w:rPr>
          <w:lang w:eastAsia="en-AU"/>
        </w:rPr>
      </w:pPr>
      <w:r>
        <w:rPr>
          <w:lang w:eastAsia="en-AU"/>
        </w:rPr>
        <w:lastRenderedPageBreak/>
        <w:t xml:space="preserve">Risk </w:t>
      </w:r>
      <w:r w:rsidR="003A7F6C">
        <w:rPr>
          <w:lang w:eastAsia="en-AU"/>
        </w:rPr>
        <w:t>m</w:t>
      </w:r>
      <w:r>
        <w:rPr>
          <w:lang w:eastAsia="en-AU"/>
        </w:rPr>
        <w:t xml:space="preserve">inimisation </w:t>
      </w:r>
      <w:r w:rsidR="003A7F6C">
        <w:rPr>
          <w:lang w:eastAsia="en-AU"/>
        </w:rPr>
        <w:t>a</w:t>
      </w:r>
      <w:r>
        <w:rPr>
          <w:lang w:eastAsia="en-AU"/>
        </w:rPr>
        <w:t>ctivities</w:t>
      </w:r>
    </w:p>
    <w:p w14:paraId="0889504C" w14:textId="699D1A78" w:rsidR="00273076" w:rsidRDefault="00273076" w:rsidP="00C522F2">
      <w:bookmarkStart w:id="123" w:name="_Toc247691527"/>
      <w:r w:rsidRPr="00273076">
        <w:t>The sponsor proposes routine and additional risk minimisation activities</w:t>
      </w:r>
      <w:r>
        <w:t>.</w:t>
      </w:r>
    </w:p>
    <w:p w14:paraId="1922CC84" w14:textId="77777777" w:rsidR="00273076" w:rsidRDefault="00273076" w:rsidP="00C522F2">
      <w:r w:rsidRPr="00273076">
        <w:t>The sponsor has proposed additional risk minimisation activities to mitigate the identified risks of injection site nerve injury and injection site skin ulceration, namely a health care professional training program and survey.</w:t>
      </w:r>
    </w:p>
    <w:p w14:paraId="69E54AC7" w14:textId="775D22EC" w:rsidR="006F25B8" w:rsidRDefault="006F25B8" w:rsidP="006F25B8">
      <w:pPr>
        <w:pStyle w:val="Heading4"/>
        <w:rPr>
          <w:lang w:eastAsia="en-AU"/>
        </w:rPr>
      </w:pPr>
      <w:r w:rsidRPr="006F25B8">
        <w:rPr>
          <w:lang w:eastAsia="en-AU"/>
        </w:rPr>
        <w:t>Reconciliation of is</w:t>
      </w:r>
      <w:r w:rsidR="00FB56FE">
        <w:rPr>
          <w:lang w:eastAsia="en-AU"/>
        </w:rPr>
        <w:t>sues outlined in the RMP report</w:t>
      </w:r>
    </w:p>
    <w:p w14:paraId="733EEEF3" w14:textId="0658875F" w:rsidR="006F25B8" w:rsidRDefault="006F25B8" w:rsidP="006F25B8">
      <w:pPr>
        <w:rPr>
          <w:lang w:eastAsia="en-AU"/>
        </w:rPr>
      </w:pPr>
      <w:r>
        <w:rPr>
          <w:lang w:eastAsia="en-AU"/>
        </w:rPr>
        <w:t xml:space="preserve">Table </w:t>
      </w:r>
      <w:r w:rsidR="00B60D4C">
        <w:rPr>
          <w:lang w:eastAsia="en-AU"/>
        </w:rPr>
        <w:t>7</w:t>
      </w:r>
      <w:r>
        <w:rPr>
          <w:lang w:eastAsia="en-AU"/>
        </w:rPr>
        <w:t xml:space="preserve"> summarises the first round evaluation of the RMP, the sponsor’s responses to issues raised by the </w:t>
      </w:r>
      <w:r w:rsidR="00404977">
        <w:rPr>
          <w:lang w:eastAsia="en-AU"/>
        </w:rPr>
        <w:t>evaluator and</w:t>
      </w:r>
      <w:r>
        <w:rPr>
          <w:lang w:eastAsia="en-AU"/>
        </w:rPr>
        <w:t xml:space="preserve"> the </w:t>
      </w:r>
      <w:r w:rsidR="00273076">
        <w:rPr>
          <w:lang w:eastAsia="en-AU"/>
        </w:rPr>
        <w:t xml:space="preserve">TGA’s </w:t>
      </w:r>
      <w:r>
        <w:rPr>
          <w:lang w:eastAsia="en-AU"/>
        </w:rPr>
        <w:t>evaluat</w:t>
      </w:r>
      <w:r w:rsidR="00C504E7">
        <w:rPr>
          <w:lang w:eastAsia="en-AU"/>
        </w:rPr>
        <w:t>ion of the sponsor’s responses.</w:t>
      </w:r>
    </w:p>
    <w:p w14:paraId="2ECE066D" w14:textId="75404F35" w:rsidR="00C504E7" w:rsidRDefault="00097EE8" w:rsidP="00097EE8">
      <w:pPr>
        <w:pStyle w:val="Tabletitle0"/>
        <w:rPr>
          <w:lang w:eastAsia="en-AU"/>
        </w:rPr>
      </w:pPr>
      <w:r>
        <w:rPr>
          <w:lang w:eastAsia="en-AU"/>
        </w:rPr>
        <w:t xml:space="preserve">Table </w:t>
      </w:r>
      <w:r w:rsidR="00B60D4C">
        <w:rPr>
          <w:lang w:eastAsia="en-AU"/>
        </w:rPr>
        <w:t>7</w:t>
      </w:r>
      <w:r w:rsidR="00404977">
        <w:rPr>
          <w:lang w:eastAsia="en-AU"/>
        </w:rPr>
        <w:t>:</w:t>
      </w:r>
      <w:r>
        <w:rPr>
          <w:lang w:eastAsia="en-AU"/>
        </w:rPr>
        <w:t xml:space="preserve"> Reconciliation of issues outlined in the RMP report</w:t>
      </w:r>
    </w:p>
    <w:tbl>
      <w:tblPr>
        <w:tblStyle w:val="TableTGAblue"/>
        <w:tblW w:w="5000" w:type="pct"/>
        <w:tblLayout w:type="fixed"/>
        <w:tblLook w:val="04A0" w:firstRow="1" w:lastRow="0" w:firstColumn="1" w:lastColumn="0" w:noHBand="0" w:noVBand="1"/>
      </w:tblPr>
      <w:tblGrid>
        <w:gridCol w:w="2092"/>
        <w:gridCol w:w="4683"/>
        <w:gridCol w:w="1945"/>
      </w:tblGrid>
      <w:tr w:rsidR="00C92AE4" w:rsidRPr="0045162A" w14:paraId="0FFA9F94" w14:textId="77777777" w:rsidTr="00C92AE4">
        <w:trPr>
          <w:cnfStyle w:val="100000000000" w:firstRow="1" w:lastRow="0" w:firstColumn="0" w:lastColumn="0" w:oddVBand="0" w:evenVBand="0" w:oddHBand="0" w:evenHBand="0" w:firstRowFirstColumn="0" w:firstRowLastColumn="0" w:lastRowFirstColumn="0" w:lastRowLastColumn="0"/>
        </w:trPr>
        <w:tc>
          <w:tcPr>
            <w:tcW w:w="1200" w:type="pct"/>
            <w:noWrap/>
          </w:tcPr>
          <w:p w14:paraId="26BE8CAD" w14:textId="77777777" w:rsidR="004C23AC" w:rsidRPr="0045162A" w:rsidRDefault="004C23AC" w:rsidP="00FB56FE">
            <w:r w:rsidRPr="0045162A">
              <w:t>Recommendation in RMP evaluation report</w:t>
            </w:r>
          </w:p>
        </w:tc>
        <w:tc>
          <w:tcPr>
            <w:tcW w:w="2685" w:type="pct"/>
            <w:noWrap/>
          </w:tcPr>
          <w:p w14:paraId="41057FD8" w14:textId="7FE946EC" w:rsidR="004C23AC" w:rsidRPr="0045162A" w:rsidRDefault="004C23AC" w:rsidP="00FB56FE">
            <w:r w:rsidRPr="0045162A">
              <w:t>Sponsor’s response (or summary of the response)</w:t>
            </w:r>
          </w:p>
        </w:tc>
        <w:tc>
          <w:tcPr>
            <w:tcW w:w="1115" w:type="pct"/>
            <w:noWrap/>
          </w:tcPr>
          <w:p w14:paraId="0B066919" w14:textId="77777777" w:rsidR="004C23AC" w:rsidRPr="0045162A" w:rsidRDefault="004C23AC" w:rsidP="00FB56FE">
            <w:r w:rsidRPr="0045162A">
              <w:t>RMP evaluator’s comment</w:t>
            </w:r>
          </w:p>
        </w:tc>
      </w:tr>
      <w:tr w:rsidR="00C92AE4" w:rsidRPr="0045162A" w14:paraId="796D157A"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9996173" w14:textId="05DE4A73" w:rsidR="004C23AC" w:rsidRPr="0045162A" w:rsidRDefault="004C23AC" w:rsidP="00FB56FE">
            <w:r w:rsidRPr="0045162A">
              <w:t>Safety considerations may be raised by the nonclinical and clinical evaluators and/or the Nonclinical and Clinical Ev</w:t>
            </w:r>
            <w:r w:rsidR="00110E7B" w:rsidRPr="0045162A">
              <w:t xml:space="preserve">aluation Reports respectively. </w:t>
            </w:r>
            <w:r w:rsidRPr="0045162A">
              <w:t xml:space="preserve">It is important to ensure that the information provided in response to these includes a consideration of the relevance for the </w:t>
            </w:r>
            <w:r w:rsidR="00110E7B" w:rsidRPr="0045162A">
              <w:t>RMP</w:t>
            </w:r>
            <w:r w:rsidRPr="0045162A">
              <w:t xml:space="preserve">, and any specific information needed to </w:t>
            </w:r>
            <w:r w:rsidR="00110E7B" w:rsidRPr="0045162A">
              <w:t xml:space="preserve">address this issue in the RMP. </w:t>
            </w:r>
            <w:r w:rsidRPr="0045162A">
              <w:t xml:space="preserve">For any safety considerations so raised, please provide information that is relevant and necessary to address the </w:t>
            </w:r>
            <w:r w:rsidRPr="0045162A">
              <w:lastRenderedPageBreak/>
              <w:t>issue in the RMP.</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57E97ED" w14:textId="2ADD611C" w:rsidR="004C23AC" w:rsidRPr="0045162A" w:rsidRDefault="00890974" w:rsidP="00FB56FE">
            <w:r w:rsidRPr="0045162A">
              <w:lastRenderedPageBreak/>
              <w:t>The sponsor</w:t>
            </w:r>
            <w:r w:rsidR="004C23AC" w:rsidRPr="0045162A">
              <w:t xml:space="preserve"> has considered the relevance for the RMP of all safety considerations raised in the Nonclinical and Clinical Evaluation Reports. All of the clinical evaluator comments relevant to the RMP have been addressed. </w:t>
            </w:r>
            <w:r w:rsidRPr="0045162A">
              <w:t>The sponsor</w:t>
            </w:r>
            <w:r w:rsidR="004C23AC" w:rsidRPr="0045162A">
              <w:t xml:space="preserve"> does not believe that any nonclinical safety issues have been raised that would result in further revisions to the RMP.</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4973F88" w14:textId="77777777" w:rsidR="004C23AC" w:rsidRPr="0045162A" w:rsidRDefault="004C23AC" w:rsidP="00FB56FE">
            <w:r w:rsidRPr="0045162A">
              <w:t>The sponsor’s response has been noted.</w:t>
            </w:r>
          </w:p>
        </w:tc>
      </w:tr>
      <w:tr w:rsidR="00C92AE4" w:rsidRPr="0045162A" w14:paraId="63F8F57A"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1A86A35" w14:textId="147F06BC" w:rsidR="004C23AC" w:rsidRPr="0045162A" w:rsidRDefault="004C23AC" w:rsidP="00FB56FE">
            <w:r w:rsidRPr="0045162A">
              <w:lastRenderedPageBreak/>
              <w:t>Any ASA updates should be provided in the current ASA format.</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4FF42FA" w14:textId="526513CA" w:rsidR="004C23AC" w:rsidRPr="0045162A" w:rsidRDefault="00890974" w:rsidP="00FB56FE">
            <w:r w:rsidRPr="0045162A">
              <w:t>The sponsor</w:t>
            </w:r>
            <w:r w:rsidR="004C23AC" w:rsidRPr="0045162A">
              <w:t xml:space="preserve"> has updated the RMP to comply with the current </w:t>
            </w:r>
            <w:r w:rsidR="0052300B" w:rsidRPr="0045162A">
              <w:t>ASA</w:t>
            </w:r>
            <w:r w:rsidR="004C23AC" w:rsidRPr="0045162A">
              <w:t xml:space="preserve"> format and has assigned a version number.</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FB954D9" w14:textId="77777777" w:rsidR="004C23AC" w:rsidRPr="0045162A" w:rsidRDefault="004C23AC" w:rsidP="00FB56FE">
            <w:r w:rsidRPr="0045162A">
              <w:t>This is considered acceptable in the context of this application.</w:t>
            </w:r>
          </w:p>
        </w:tc>
      </w:tr>
      <w:tr w:rsidR="00C92AE4" w:rsidRPr="0045162A" w14:paraId="280151D0"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CF5547B" w14:textId="434A28DE" w:rsidR="004C23AC" w:rsidRPr="0045162A" w:rsidRDefault="004C23AC" w:rsidP="00FB56FE">
            <w:r w:rsidRPr="0045162A">
              <w:t>The ASA should be assigned a version number.</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AB6ABDA" w14:textId="60A22903" w:rsidR="004C23AC" w:rsidRPr="0045162A" w:rsidRDefault="0052300B" w:rsidP="00FB56FE">
            <w:r w:rsidRPr="0045162A">
              <w:t>The sponsor</w:t>
            </w:r>
            <w:r w:rsidR="004C23AC" w:rsidRPr="0045162A">
              <w:t xml:space="preserve"> has updated the RMP to comply with the current </w:t>
            </w:r>
            <w:r w:rsidRPr="0045162A">
              <w:t>ASA</w:t>
            </w:r>
            <w:r w:rsidR="004C23AC" w:rsidRPr="0045162A">
              <w:t xml:space="preserve"> format and has assigned a version number.</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67B7C1" w14:textId="480C3C6B" w:rsidR="004C23AC" w:rsidRPr="0045162A" w:rsidRDefault="0052300B" w:rsidP="00FB56FE">
            <w:r w:rsidRPr="0045162A">
              <w:t>As above.</w:t>
            </w:r>
          </w:p>
        </w:tc>
      </w:tr>
      <w:tr w:rsidR="00C92AE4" w:rsidRPr="0045162A" w14:paraId="4EF982A7"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1B3C1DA" w14:textId="1D585F70" w:rsidR="004C23AC" w:rsidRPr="0045162A" w:rsidRDefault="004C23AC" w:rsidP="00FB56FE">
            <w:r w:rsidRPr="0045162A">
              <w:t>The sponsor should supply all of the proposed materials related to additional risk minimisation activities, including but not limited to the missing modules of the proposed health care professional training program.</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659CBEE" w14:textId="03621E0B" w:rsidR="004C23AC" w:rsidRPr="0045162A" w:rsidRDefault="004C23AC" w:rsidP="00FB56FE">
            <w:r w:rsidRPr="0045162A">
              <w:t>A revised HCP training program presentation, based on a similar training program offered in the US and Canada, as well as the proposed injection training video and questionnaire to be administered post-training</w:t>
            </w:r>
            <w:r w:rsidR="0052300B" w:rsidRPr="0045162A">
              <w:t xml:space="preserve">, specifically measure of effectiveness have been supplied including the </w:t>
            </w:r>
            <w:r w:rsidRPr="0045162A">
              <w:t>training program/quest</w:t>
            </w:r>
            <w:r w:rsidR="0052300B" w:rsidRPr="0045162A">
              <w:t xml:space="preserve">ionnaire and the injection video </w:t>
            </w:r>
            <w:r w:rsidRPr="0045162A">
              <w:t>as an example from the US training program.</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4B982D3" w14:textId="1876B708" w:rsidR="004C23AC" w:rsidRPr="0045162A" w:rsidRDefault="004C23AC" w:rsidP="00FB56FE">
            <w:r w:rsidRPr="0045162A">
              <w:t>The original sponsor submission did contain modules 2, 3, and 5 of the then proposed health care professional training program. Modules 1 and 4 (and potentially other modules) were missing.</w:t>
            </w:r>
          </w:p>
          <w:p w14:paraId="301C7677" w14:textId="018FC416" w:rsidR="004C23AC" w:rsidRPr="0045162A" w:rsidRDefault="004C23AC" w:rsidP="00FB56FE">
            <w:r w:rsidRPr="0045162A">
              <w:t>The sponsor should state which topic areas the missing modules contain and submit them.</w:t>
            </w:r>
          </w:p>
        </w:tc>
      </w:tr>
      <w:tr w:rsidR="00C92AE4" w:rsidRPr="0045162A" w14:paraId="62B272AC"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F1D1B34" w14:textId="66273941" w:rsidR="004C23AC" w:rsidRPr="0045162A" w:rsidRDefault="004C23AC" w:rsidP="00FB56FE">
            <w:r w:rsidRPr="0045162A">
              <w:t>‘Injection site anaesthesia/paraesthesia’ should be added as an Important Identified Risk.</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AA980C5" w14:textId="13925D1C" w:rsidR="004C23AC" w:rsidRPr="0045162A" w:rsidRDefault="00C92AE4" w:rsidP="00FB56FE">
            <w:r w:rsidRPr="0045162A">
              <w:t>‘</w:t>
            </w:r>
            <w:r w:rsidR="004C23AC" w:rsidRPr="0045162A">
              <w:t>Injection site anaest</w:t>
            </w:r>
            <w:r w:rsidRPr="0045162A">
              <w:t>hesia/paraesthesia’</w:t>
            </w:r>
            <w:r w:rsidR="004C23AC" w:rsidRPr="0045162A">
              <w:t xml:space="preserve"> has been added to the RMP as an Important Identified Risk.</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3BDC81A" w14:textId="77777777" w:rsidR="004C23AC" w:rsidRPr="0045162A" w:rsidRDefault="004C23AC" w:rsidP="00FB56FE">
            <w:r w:rsidRPr="0045162A">
              <w:t>This is considered acceptable in the context of this application.</w:t>
            </w:r>
          </w:p>
        </w:tc>
      </w:tr>
      <w:tr w:rsidR="00C92AE4" w:rsidRPr="0045162A" w14:paraId="316F123E"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06E6993" w14:textId="01D9FDB2" w:rsidR="004C23AC" w:rsidRPr="0045162A" w:rsidRDefault="004C23AC" w:rsidP="00FB56FE">
            <w:r w:rsidRPr="0045162A">
              <w:lastRenderedPageBreak/>
              <w:t>‘Injection site bleeding’ should be added as an Important Identified Risk.</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0ABC041" w14:textId="0D4EB2BD" w:rsidR="004C23AC" w:rsidRPr="0045162A" w:rsidRDefault="004C23AC" w:rsidP="00FB56FE">
            <w:r w:rsidRPr="0045162A">
              <w:t>Although there were very few verba</w:t>
            </w:r>
            <w:r w:rsidR="00C92AE4" w:rsidRPr="0045162A">
              <w:t>tim reports of ‘bleeding’, ‘injection site bleeding’</w:t>
            </w:r>
            <w:r w:rsidRPr="0045162A">
              <w:t xml:space="preserve"> has been added to the RMP as an Important Identified Risk. Additiona</w:t>
            </w:r>
            <w:r w:rsidR="0052300B" w:rsidRPr="0045162A">
              <w:t>lly, in response to RMP requests</w:t>
            </w:r>
            <w:r w:rsidRPr="0045162A">
              <w:t>, a statement has been added to the PI regarding injection site bleeding and patients who have risk factors for bleeding events.</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7FB5EC1" w14:textId="7DAD7121" w:rsidR="004C23AC" w:rsidRPr="0045162A" w:rsidRDefault="0052300B" w:rsidP="00FB56FE">
            <w:r w:rsidRPr="0045162A">
              <w:t>As above.</w:t>
            </w:r>
          </w:p>
        </w:tc>
      </w:tr>
      <w:tr w:rsidR="00C92AE4" w:rsidRPr="0045162A" w14:paraId="6E4E0308"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7B85194" w14:textId="4B11A115" w:rsidR="004C23AC" w:rsidRPr="0045162A" w:rsidRDefault="004C23AC" w:rsidP="00FB56FE">
            <w:r w:rsidRPr="0045162A">
              <w:t>‘Injury of structures at or near the injection site’ should be added as an Important Potential Risk.</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51E8EFA" w14:textId="523BF792" w:rsidR="004C23AC" w:rsidRPr="0045162A" w:rsidRDefault="00CE45A6" w:rsidP="00FB56FE">
            <w:r w:rsidRPr="0045162A">
              <w:t>’</w:t>
            </w:r>
            <w:r w:rsidR="004C23AC" w:rsidRPr="0045162A">
              <w:t>Injury of structures at or near the injection site</w:t>
            </w:r>
            <w:r w:rsidRPr="0045162A">
              <w:t>’</w:t>
            </w:r>
            <w:r w:rsidR="004C23AC" w:rsidRPr="0045162A">
              <w:t xml:space="preserve"> has been added to the RMP as an Important Potential Risk.</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0600289" w14:textId="7F0CCAF4" w:rsidR="004C23AC" w:rsidRPr="0045162A" w:rsidRDefault="0052300B" w:rsidP="00FB56FE">
            <w:r w:rsidRPr="0045162A">
              <w:t>As above</w:t>
            </w:r>
          </w:p>
        </w:tc>
      </w:tr>
      <w:tr w:rsidR="00C92AE4" w:rsidRPr="0045162A" w14:paraId="4726CA56"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6B6BA5E" w14:textId="1AE99C7F" w:rsidR="004C23AC" w:rsidRPr="0045162A" w:rsidRDefault="004C23AC" w:rsidP="00FB56FE">
            <w:proofErr w:type="gramStart"/>
            <w:r w:rsidRPr="0045162A">
              <w:t>‘Dysphagia‘ should</w:t>
            </w:r>
            <w:proofErr w:type="gramEnd"/>
            <w:r w:rsidRPr="0045162A">
              <w:t xml:space="preserve"> be added as an Important Potential Risk.</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B2D7FF5" w14:textId="229ED56D" w:rsidR="004C23AC" w:rsidRPr="0045162A" w:rsidRDefault="004C23AC" w:rsidP="00FB56FE">
            <w:r w:rsidRPr="0045162A">
              <w:t xml:space="preserve">Since a small number of cases were reported in clinical trials, </w:t>
            </w:r>
            <w:r w:rsidR="0052300B" w:rsidRPr="0045162A">
              <w:t>the sponsor</w:t>
            </w:r>
            <w:r w:rsidRPr="0045162A">
              <w:t xml:space="preserve"> considers dysphagia to be an identified risk. Therefore, </w:t>
            </w:r>
            <w:r w:rsidR="00C92AE4" w:rsidRPr="0045162A">
              <w:t>‘</w:t>
            </w:r>
            <w:r w:rsidRPr="0045162A">
              <w:t>Dysphagia</w:t>
            </w:r>
            <w:r w:rsidR="00C92AE4" w:rsidRPr="0045162A">
              <w:t>’</w:t>
            </w:r>
            <w:r w:rsidRPr="0045162A">
              <w:t xml:space="preserve"> has been added to the RMP as an Important Identified Risk.</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B92BB42" w14:textId="3C9EDE1D" w:rsidR="004C23AC" w:rsidRPr="0045162A" w:rsidRDefault="0052300B" w:rsidP="00FB56FE">
            <w:r w:rsidRPr="0045162A">
              <w:t>As above.</w:t>
            </w:r>
          </w:p>
        </w:tc>
      </w:tr>
      <w:tr w:rsidR="00C92AE4" w:rsidRPr="0045162A" w14:paraId="04352250"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E1962C3" w14:textId="0F2573D4" w:rsidR="004C23AC" w:rsidRPr="0045162A" w:rsidRDefault="004C23AC" w:rsidP="00FB56FE">
            <w:r w:rsidRPr="0045162A">
              <w:t>‘Infections’ should be added as an Important Potential Risk.</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7E743FE" w14:textId="64C28AF4" w:rsidR="004C23AC" w:rsidRPr="0045162A" w:rsidRDefault="004C23AC" w:rsidP="00FB56FE">
            <w:r w:rsidRPr="0045162A">
              <w:t xml:space="preserve">As with any elective injection procedure, treatment with </w:t>
            </w:r>
            <w:proofErr w:type="spellStart"/>
            <w:r w:rsidRPr="0045162A">
              <w:t>B</w:t>
            </w:r>
            <w:r w:rsidR="00A37EBA" w:rsidRPr="0045162A">
              <w:t>elkyra</w:t>
            </w:r>
            <w:proofErr w:type="spellEnd"/>
            <w:r w:rsidRPr="0045162A">
              <w:t xml:space="preserve"> is contraindicated for patients with infection in the treatment area. Further, no post-treatment infections were observed during the clinical trials in </w:t>
            </w:r>
            <w:proofErr w:type="spellStart"/>
            <w:r w:rsidRPr="0045162A">
              <w:t>B</w:t>
            </w:r>
            <w:r w:rsidR="00A37EBA" w:rsidRPr="0045162A">
              <w:t>elkyra</w:t>
            </w:r>
            <w:proofErr w:type="spellEnd"/>
            <w:r w:rsidRPr="0045162A">
              <w:t xml:space="preserve"> or placebo patients. Given that standard medical practice acknowledges that any injection procedure has the potential for infection, </w:t>
            </w:r>
            <w:r w:rsidR="00A37EBA" w:rsidRPr="0045162A">
              <w:t>the sponsor</w:t>
            </w:r>
            <w:r w:rsidRPr="0045162A">
              <w:t xml:space="preserve"> does not believe it is warranted to include this event as an Important Potential Risk.</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E281EDF" w14:textId="04BF98BD" w:rsidR="004C23AC" w:rsidRPr="0045162A" w:rsidRDefault="00A37EBA" w:rsidP="00FB56FE">
            <w:r w:rsidRPr="0045162A">
              <w:t>As above.</w:t>
            </w:r>
          </w:p>
        </w:tc>
      </w:tr>
      <w:tr w:rsidR="00C92AE4" w:rsidRPr="0045162A" w14:paraId="048AF60F"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380FC82" w14:textId="45533D63" w:rsidR="004C23AC" w:rsidRPr="0045162A" w:rsidRDefault="004C23AC" w:rsidP="00FB56FE">
            <w:r w:rsidRPr="0045162A">
              <w:t>‘Use in pregnancy’ should be added as Missing Information.</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89A189C" w14:textId="419AFF16" w:rsidR="004C23AC" w:rsidRPr="0045162A" w:rsidRDefault="00CE45A6" w:rsidP="00FB56FE">
            <w:r w:rsidRPr="0045162A">
              <w:t>’</w:t>
            </w:r>
            <w:r w:rsidR="004C23AC" w:rsidRPr="0045162A">
              <w:t>Use in pregnancy</w:t>
            </w:r>
            <w:r w:rsidRPr="0045162A">
              <w:t>’</w:t>
            </w:r>
            <w:r w:rsidR="004C23AC" w:rsidRPr="0045162A">
              <w:t xml:space="preserve"> has been added as Missing Information.</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3D9C5EC" w14:textId="756D0A72" w:rsidR="004C23AC" w:rsidRPr="0045162A" w:rsidRDefault="00A37EBA" w:rsidP="00FB56FE">
            <w:r w:rsidRPr="0045162A">
              <w:t>As above.</w:t>
            </w:r>
          </w:p>
        </w:tc>
      </w:tr>
      <w:tr w:rsidR="00C92AE4" w:rsidRPr="0045162A" w14:paraId="450E2A00"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E2C7D19" w14:textId="7336A841" w:rsidR="004C23AC" w:rsidRPr="0045162A" w:rsidRDefault="004C23AC" w:rsidP="00FB56FE">
            <w:r w:rsidRPr="0045162A">
              <w:t xml:space="preserve">‘Use in lactation’ should be added as Missing </w:t>
            </w:r>
            <w:r w:rsidRPr="0045162A">
              <w:lastRenderedPageBreak/>
              <w:t>Information.</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BC7EC0A" w14:textId="078044ED" w:rsidR="004C23AC" w:rsidRPr="0045162A" w:rsidRDefault="00CE45A6" w:rsidP="00FB56FE">
            <w:r w:rsidRPr="0045162A">
              <w:lastRenderedPageBreak/>
              <w:t>’</w:t>
            </w:r>
            <w:r w:rsidR="004C23AC" w:rsidRPr="0045162A">
              <w:t>Use in lactation</w:t>
            </w:r>
            <w:r w:rsidRPr="0045162A">
              <w:t>’</w:t>
            </w:r>
            <w:r w:rsidR="004C23AC" w:rsidRPr="0045162A">
              <w:t xml:space="preserve"> has been added as Missing Information.</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20C8319" w14:textId="4D5FBBC5" w:rsidR="004C23AC" w:rsidRPr="0045162A" w:rsidRDefault="00A37EBA" w:rsidP="00FB56FE">
            <w:r w:rsidRPr="0045162A">
              <w:t>As above.</w:t>
            </w:r>
          </w:p>
        </w:tc>
      </w:tr>
      <w:tr w:rsidR="00C92AE4" w:rsidRPr="0045162A" w14:paraId="6B5A2A17"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CB2BBCF" w14:textId="7EEE26C1" w:rsidR="004C23AC" w:rsidRPr="0045162A" w:rsidRDefault="004C23AC" w:rsidP="00FB56FE">
            <w:r w:rsidRPr="0045162A">
              <w:lastRenderedPageBreak/>
              <w:t xml:space="preserve">‘Use in conjunction with other cosmetic </w:t>
            </w:r>
            <w:proofErr w:type="spellStart"/>
            <w:r w:rsidRPr="0045162A">
              <w:t>injectables</w:t>
            </w:r>
            <w:proofErr w:type="spellEnd"/>
            <w:r w:rsidRPr="0045162A">
              <w:t xml:space="preserve"> (</w:t>
            </w:r>
            <w:r w:rsidR="00A37EBA" w:rsidRPr="0045162A">
              <w:t>such as botulinum toxin)</w:t>
            </w:r>
            <w:r w:rsidRPr="0045162A">
              <w:t xml:space="preserve"> should be added as Missing Information.</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E0EEC38" w14:textId="750DBFD5" w:rsidR="004C23AC" w:rsidRPr="0045162A" w:rsidRDefault="00CE45A6" w:rsidP="00FB56FE">
            <w:r w:rsidRPr="0045162A">
              <w:t>’</w:t>
            </w:r>
            <w:r w:rsidR="004C23AC" w:rsidRPr="0045162A">
              <w:t xml:space="preserve">Use in conjunction with other cosmetic </w:t>
            </w:r>
            <w:proofErr w:type="spellStart"/>
            <w:r w:rsidR="004C23AC" w:rsidRPr="0045162A">
              <w:t>injectables</w:t>
            </w:r>
            <w:proofErr w:type="spellEnd"/>
            <w:r w:rsidR="004C23AC" w:rsidRPr="0045162A">
              <w:t xml:space="preserve"> (</w:t>
            </w:r>
            <w:r w:rsidR="00A37EBA" w:rsidRPr="0045162A">
              <w:t>such as</w:t>
            </w:r>
            <w:r w:rsidR="004C23AC" w:rsidRPr="0045162A">
              <w:t xml:space="preserve"> botulinum toxin)</w:t>
            </w:r>
            <w:r w:rsidRPr="0045162A">
              <w:t>’</w:t>
            </w:r>
            <w:r w:rsidR="004C23AC" w:rsidRPr="0045162A">
              <w:t xml:space="preserve"> has been added as Missing Information. Additionally, the planned post-approval registry stud</w:t>
            </w:r>
            <w:r w:rsidR="001430BD" w:rsidRPr="0045162A">
              <w:t xml:space="preserve">y (discussed in the response </w:t>
            </w:r>
            <w:r w:rsidR="004C23AC" w:rsidRPr="0045162A">
              <w:t xml:space="preserve">below) will collect information on concomitant use of </w:t>
            </w:r>
            <w:proofErr w:type="spellStart"/>
            <w:r w:rsidR="004C23AC" w:rsidRPr="0045162A">
              <w:t>B</w:t>
            </w:r>
            <w:r w:rsidR="00A37EBA" w:rsidRPr="0045162A">
              <w:t>elkyra</w:t>
            </w:r>
            <w:proofErr w:type="spellEnd"/>
            <w:r w:rsidR="004C23AC" w:rsidRPr="0045162A">
              <w:t xml:space="preserve"> with botulinum toxin (same or different treatment area).</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D88FCE1" w14:textId="0189B40C" w:rsidR="004C23AC" w:rsidRPr="0045162A" w:rsidRDefault="00A37EBA" w:rsidP="00FB56FE">
            <w:r w:rsidRPr="0045162A">
              <w:t>As above.</w:t>
            </w:r>
          </w:p>
        </w:tc>
      </w:tr>
      <w:tr w:rsidR="00C92AE4" w:rsidRPr="0045162A" w14:paraId="0202AD12"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CC71DE5" w14:textId="1ACCDEAB" w:rsidR="004C23AC" w:rsidRPr="0045162A" w:rsidRDefault="004C23AC" w:rsidP="00FB56FE">
            <w:r w:rsidRPr="0045162A">
              <w:t>The safety concern ‘Use in patients or for conditions or with doses not yet studied’ should be renamed ‘Off-label use’.</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482C8E9" w14:textId="30E2E162" w:rsidR="004C23AC" w:rsidRPr="0045162A" w:rsidRDefault="004C23AC" w:rsidP="00FB56FE">
            <w:r w:rsidRPr="0045162A">
              <w:t xml:space="preserve">The RMP has been updated to reflect the safety concern </w:t>
            </w:r>
            <w:r w:rsidR="00CE45A6" w:rsidRPr="0045162A">
              <w:t>’</w:t>
            </w:r>
            <w:r w:rsidRPr="0045162A">
              <w:t>Off-label use</w:t>
            </w:r>
            <w:r w:rsidR="00CE45A6" w:rsidRPr="0045162A">
              <w:t>’</w:t>
            </w:r>
            <w:r w:rsidRPr="0045162A">
              <w:t>.</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862667D" w14:textId="3CE26C3B" w:rsidR="004C23AC" w:rsidRPr="0045162A" w:rsidRDefault="00A37EBA" w:rsidP="00FB56FE">
            <w:r w:rsidRPr="0045162A">
              <w:t>As above.</w:t>
            </w:r>
          </w:p>
        </w:tc>
      </w:tr>
      <w:tr w:rsidR="00C92AE4" w:rsidRPr="0045162A" w14:paraId="431B7BFB"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73529CD" w14:textId="22D4FEB9" w:rsidR="004C23AC" w:rsidRPr="0045162A" w:rsidRDefault="004C23AC" w:rsidP="00FB56FE">
            <w:r w:rsidRPr="0045162A">
              <w:t xml:space="preserve">The sponsor should provide a summary of the pre- and post-market experience of </w:t>
            </w:r>
            <w:proofErr w:type="spellStart"/>
            <w:r w:rsidR="00A37EBA" w:rsidRPr="0045162A">
              <w:t>Belkyra</w:t>
            </w:r>
            <w:proofErr w:type="spellEnd"/>
            <w:r w:rsidRPr="0045162A">
              <w:t xml:space="preserve"> used in conjunction with local anaesthetic.</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3EB0395" w14:textId="0AED2C72" w:rsidR="004C23AC" w:rsidRPr="0045162A" w:rsidRDefault="004C23AC" w:rsidP="00FB56FE">
            <w:r w:rsidRPr="0045162A">
              <w:t xml:space="preserve">In pivotal Phase </w:t>
            </w:r>
            <w:r w:rsidR="00CE45A6" w:rsidRPr="0045162A">
              <w:t>III</w:t>
            </w:r>
            <w:r w:rsidRPr="0045162A">
              <w:t xml:space="preserve"> Studies</w:t>
            </w:r>
            <w:r w:rsidR="00A37EBA" w:rsidRPr="0045162A">
              <w:t xml:space="preserve"> 22 and 23, local anaesthesia (</w:t>
            </w:r>
            <w:r w:rsidRPr="0045162A">
              <w:t>topical or injectable lidocaine) could be utili</w:t>
            </w:r>
            <w:r w:rsidR="00A37EBA" w:rsidRPr="0045162A">
              <w:t>s</w:t>
            </w:r>
            <w:r w:rsidRPr="0045162A">
              <w:t xml:space="preserve">ed at the discretion of the investigator (with or without ice) and was used in 47% and 70% of the overall treatment sessions, respectively, in each study. Based on this substantial experience, there did not appear to be any safety issues associated with the use of </w:t>
            </w:r>
            <w:proofErr w:type="spellStart"/>
            <w:r w:rsidRPr="0045162A">
              <w:t>B</w:t>
            </w:r>
            <w:r w:rsidR="00A37EBA" w:rsidRPr="0045162A">
              <w:t>elkyra</w:t>
            </w:r>
            <w:proofErr w:type="spellEnd"/>
            <w:r w:rsidRPr="0045162A">
              <w:t xml:space="preserve"> with local anaesthetic. However, since the use of local anaesthetic was neither systematically applied nor required, it was not possible to conduct a meaningful evaluation of patient comfort associated with its use. Therefore, </w:t>
            </w:r>
            <w:r w:rsidR="00A37EBA" w:rsidRPr="0045162A">
              <w:t>the sponsor</w:t>
            </w:r>
            <w:r w:rsidRPr="0045162A">
              <w:t xml:space="preserve"> conducted </w:t>
            </w:r>
            <w:r w:rsidR="00A37EBA" w:rsidRPr="0045162A">
              <w:t xml:space="preserve">an </w:t>
            </w:r>
            <w:r w:rsidRPr="0045162A">
              <w:t>exploratory Study ATX-101-13-36 (Study 36) to evaluate patient comfort associated with pain management paradigms and to understand common measures that could be taken to r</w:t>
            </w:r>
            <w:r w:rsidR="00A37EBA" w:rsidRPr="0045162A">
              <w:t>educe pain. Study 36, A s</w:t>
            </w:r>
            <w:r w:rsidRPr="0045162A">
              <w:t>ingle-centr</w:t>
            </w:r>
            <w:r w:rsidR="00A37EBA" w:rsidRPr="0045162A">
              <w:t>e</w:t>
            </w:r>
            <w:r w:rsidRPr="0045162A">
              <w:t xml:space="preserve">, </w:t>
            </w:r>
            <w:r w:rsidR="00A37EBA" w:rsidRPr="0045162A">
              <w:t>d</w:t>
            </w:r>
            <w:r w:rsidRPr="0045162A">
              <w:t xml:space="preserve">ouble-blind, </w:t>
            </w:r>
            <w:r w:rsidR="00A37EBA" w:rsidRPr="0045162A">
              <w:t>p</w:t>
            </w:r>
            <w:r w:rsidRPr="0045162A">
              <w:t xml:space="preserve">arallel-group, </w:t>
            </w:r>
            <w:r w:rsidR="00A37EBA" w:rsidRPr="0045162A">
              <w:t>2</w:t>
            </w:r>
            <w:r w:rsidRPr="0045162A">
              <w:t xml:space="preserve">-factor </w:t>
            </w:r>
            <w:r w:rsidR="00A37EBA" w:rsidRPr="0045162A">
              <w:t>p</w:t>
            </w:r>
            <w:r w:rsidRPr="0045162A">
              <w:t xml:space="preserve">atient </w:t>
            </w:r>
            <w:r w:rsidR="00A37EBA" w:rsidRPr="0045162A">
              <w:t>e</w:t>
            </w:r>
            <w:r w:rsidRPr="0045162A">
              <w:t xml:space="preserve">xperience </w:t>
            </w:r>
            <w:r w:rsidR="00A37EBA" w:rsidRPr="0045162A">
              <w:t>m</w:t>
            </w:r>
            <w:r w:rsidRPr="0045162A">
              <w:t xml:space="preserve">anagement </w:t>
            </w:r>
            <w:r w:rsidR="00A37EBA" w:rsidRPr="0045162A">
              <w:t>s</w:t>
            </w:r>
            <w:r w:rsidRPr="0045162A">
              <w:t xml:space="preserve">tudy of </w:t>
            </w:r>
            <w:proofErr w:type="spellStart"/>
            <w:r w:rsidR="00A37EBA" w:rsidRPr="0045162A">
              <w:t>deoxycholic</w:t>
            </w:r>
            <w:proofErr w:type="spellEnd"/>
            <w:r w:rsidR="00A37EBA" w:rsidRPr="0045162A">
              <w:t xml:space="preserve"> acid injection</w:t>
            </w:r>
            <w:r w:rsidRPr="0045162A">
              <w:t xml:space="preserve"> for the </w:t>
            </w:r>
            <w:r w:rsidR="00A37EBA" w:rsidRPr="0045162A">
              <w:t>r</w:t>
            </w:r>
            <w:r w:rsidRPr="0045162A">
              <w:t xml:space="preserve">eduction of </w:t>
            </w:r>
            <w:r w:rsidR="00A37EBA" w:rsidRPr="0045162A">
              <w:t>l</w:t>
            </w:r>
            <w:r w:rsidRPr="0045162A">
              <w:t>ocali</w:t>
            </w:r>
            <w:r w:rsidR="008B7C4D" w:rsidRPr="0045162A">
              <w:t>s</w:t>
            </w:r>
            <w:r w:rsidRPr="0045162A">
              <w:t xml:space="preserve">ed </w:t>
            </w:r>
            <w:r w:rsidR="00A37EBA" w:rsidRPr="0045162A">
              <w:t>SC</w:t>
            </w:r>
            <w:r w:rsidRPr="0045162A">
              <w:t xml:space="preserve"> </w:t>
            </w:r>
            <w:r w:rsidR="00A37EBA" w:rsidRPr="0045162A">
              <w:t>f</w:t>
            </w:r>
            <w:r w:rsidRPr="0045162A">
              <w:t xml:space="preserve">at in the </w:t>
            </w:r>
            <w:r w:rsidR="00A37EBA" w:rsidRPr="0045162A">
              <w:t>submental Area,</w:t>
            </w:r>
            <w:r w:rsidRPr="0045162A">
              <w:t xml:space="preserve"> enrolled a total of 83 </w:t>
            </w:r>
            <w:r w:rsidRPr="0045162A">
              <w:lastRenderedPageBreak/>
              <w:t xml:space="preserve">subjects divided into 4 different pain management paradigms: 1) subjects received a cold pack applied to the treatment area; 2) in addition to cold pack application, subjects were treated with topical lidocaine and injectable lidocaine with epinephrine; 3) in addition to the interventions of </w:t>
            </w:r>
            <w:r w:rsidR="00A37EBA" w:rsidRPr="0045162A">
              <w:t>p</w:t>
            </w:r>
            <w:r w:rsidRPr="0045162A">
              <w:t xml:space="preserve">aradigm 2, subjects also received </w:t>
            </w:r>
            <w:proofErr w:type="spellStart"/>
            <w:r w:rsidRPr="0045162A">
              <w:t>loratadine</w:t>
            </w:r>
            <w:proofErr w:type="spellEnd"/>
            <w:r w:rsidRPr="0045162A">
              <w:t xml:space="preserve"> and ibuprofen; and 4) the same interventions as in </w:t>
            </w:r>
            <w:r w:rsidR="00A37EBA" w:rsidRPr="0045162A">
              <w:t>p</w:t>
            </w:r>
            <w:r w:rsidRPr="0045162A">
              <w:t xml:space="preserve">aradigm 3 plus application of a chin strap. The results of Study 36 indicated that in most patients, regardless of paradigm, post-treatment pain was mild at peak intensity </w:t>
            </w:r>
            <w:r w:rsidR="00A37EBA" w:rsidRPr="0045162A">
              <w:t>and predominantly described as ‘tender’</w:t>
            </w:r>
            <w:r w:rsidRPr="0045162A">
              <w:t xml:space="preserve"> by 4 hours. Swelling was modest, and bruising and induration were confined to the treatment area. Although this study had a limited number of subjects, the data suggest that a combination of ice, topical lidocaine/injectable lidocaine with epinephrine, and ibuprofen was most effective in the management of pain with average peak pain reduction close to 40%. The inclusion of epinephrine in paradigms 2-4 appeared to mitigate bruising to a modest extent. Based on the results of this study, </w:t>
            </w:r>
            <w:r w:rsidR="00A37EBA" w:rsidRPr="0045162A">
              <w:t>the sponsor</w:t>
            </w:r>
            <w:r w:rsidRPr="0045162A">
              <w:t xml:space="preserve"> recommends the use of an ice cold pack for all patients prior to </w:t>
            </w:r>
            <w:r w:rsidR="00A37EBA" w:rsidRPr="0045162A">
              <w:t xml:space="preserve">and after injection with </w:t>
            </w:r>
            <w:proofErr w:type="spellStart"/>
            <w:r w:rsidR="00A37EBA" w:rsidRPr="0045162A">
              <w:t>Belkyra</w:t>
            </w:r>
            <w:proofErr w:type="spellEnd"/>
            <w:r w:rsidRPr="0045162A">
              <w:t>, and the optional addition of oral ibuprofen and/or a locally injected anaesthetic prior to treatment if further pain mitigation is deemed necessary by the treating physician.</w:t>
            </w:r>
            <w:r w:rsidR="00A37EBA" w:rsidRPr="0045162A">
              <w:t xml:space="preserve"> </w:t>
            </w:r>
            <w:r w:rsidRPr="0045162A">
              <w:t>No post-market experience is available at this time.</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9F5506F" w14:textId="77777777" w:rsidR="004C23AC" w:rsidRPr="0045162A" w:rsidRDefault="004C23AC" w:rsidP="00FB56FE">
            <w:r w:rsidRPr="0045162A">
              <w:lastRenderedPageBreak/>
              <w:t>The sponsor’s response has been noted.</w:t>
            </w:r>
          </w:p>
        </w:tc>
      </w:tr>
      <w:tr w:rsidR="00C92AE4" w:rsidRPr="0045162A" w14:paraId="0BB5B723"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6DD4378" w14:textId="4A3C082B" w:rsidR="004C23AC" w:rsidRPr="0045162A" w:rsidRDefault="004C23AC" w:rsidP="00FB56FE">
            <w:r w:rsidRPr="0045162A">
              <w:lastRenderedPageBreak/>
              <w:t xml:space="preserve">The sponsor should provide a summary of the pre- and post-market experience of </w:t>
            </w:r>
            <w:proofErr w:type="spellStart"/>
            <w:r w:rsidR="00B77AC3" w:rsidRPr="0045162A">
              <w:t>Belkyra</w:t>
            </w:r>
            <w:proofErr w:type="spellEnd"/>
            <w:r w:rsidRPr="0045162A">
              <w:t xml:space="preserve"> used in conjunction with botulinum toxin.</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1721C9F" w14:textId="0C138F8C" w:rsidR="004C23AC" w:rsidRPr="0045162A" w:rsidRDefault="00C92AE4" w:rsidP="00FB56FE">
            <w:r w:rsidRPr="0045162A">
              <w:t>The sponsor</w:t>
            </w:r>
            <w:r w:rsidR="004C23AC" w:rsidRPr="0045162A">
              <w:t xml:space="preserve"> does not have data on pre- or post-market experience with </w:t>
            </w:r>
            <w:proofErr w:type="spellStart"/>
            <w:r w:rsidR="004C23AC" w:rsidRPr="0045162A">
              <w:t>B</w:t>
            </w:r>
            <w:r w:rsidRPr="0045162A">
              <w:t>elkyra</w:t>
            </w:r>
            <w:proofErr w:type="spellEnd"/>
            <w:r w:rsidR="004C23AC" w:rsidRPr="0045162A">
              <w:t xml:space="preserve"> used in conjunction with botulinum toxin. As mentioned in the response above, the planned post-approval registry study will collect informati</w:t>
            </w:r>
            <w:r w:rsidRPr="0045162A">
              <w:t xml:space="preserve">on on concomitant use of </w:t>
            </w:r>
            <w:proofErr w:type="spellStart"/>
            <w:r w:rsidRPr="0045162A">
              <w:t>Belkyra</w:t>
            </w:r>
            <w:proofErr w:type="spellEnd"/>
            <w:r w:rsidR="004C23AC" w:rsidRPr="0045162A">
              <w:t xml:space="preserve"> with botulinum toxin (same or different treatment area) and data will be assessed once available.</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10F1C19" w14:textId="60FFC089" w:rsidR="004C23AC" w:rsidRPr="0045162A" w:rsidRDefault="004C23AC" w:rsidP="00FB56FE">
            <w:r w:rsidRPr="0045162A">
              <w:t>The sponsor’s response has been noted.</w:t>
            </w:r>
          </w:p>
        </w:tc>
      </w:tr>
      <w:tr w:rsidR="00C92AE4" w:rsidRPr="0045162A" w14:paraId="6C287CB4"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F664A49" w14:textId="4E8A2D72" w:rsidR="004C23AC" w:rsidRPr="0045162A" w:rsidRDefault="004C23AC" w:rsidP="00FB56FE">
            <w:r w:rsidRPr="0045162A">
              <w:t xml:space="preserve">The sponsor </w:t>
            </w:r>
            <w:r w:rsidRPr="0045162A">
              <w:lastRenderedPageBreak/>
              <w:t>should consider conducting a drug utilisation study to characterise the risk of off-label use further in a real-life setting.</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23CCEE7" w14:textId="7C123003" w:rsidR="004C23AC" w:rsidRPr="0045162A" w:rsidRDefault="004C23AC" w:rsidP="00FB56FE">
            <w:r w:rsidRPr="0045162A">
              <w:lastRenderedPageBreak/>
              <w:t xml:space="preserve">As part of pharmacovigilance reporting, </w:t>
            </w:r>
            <w:r w:rsidR="00B77AC3" w:rsidRPr="0045162A">
              <w:t xml:space="preserve">the </w:t>
            </w:r>
            <w:r w:rsidR="00B77AC3" w:rsidRPr="0045162A">
              <w:lastRenderedPageBreak/>
              <w:t>sponsor</w:t>
            </w:r>
            <w:r w:rsidRPr="0045162A">
              <w:t xml:space="preserve"> will evaluate any safety issues that are associated with off-label use of </w:t>
            </w:r>
            <w:proofErr w:type="spellStart"/>
            <w:r w:rsidRPr="0045162A">
              <w:t>B</w:t>
            </w:r>
            <w:r w:rsidR="00C92AE4" w:rsidRPr="0045162A">
              <w:t>elkyra</w:t>
            </w:r>
            <w:proofErr w:type="spellEnd"/>
            <w:r w:rsidRPr="0045162A">
              <w:t>. In addition, the registry study discussed below</w:t>
            </w:r>
            <w:r w:rsidR="00C92AE4" w:rsidRPr="0045162A">
              <w:t xml:space="preserve"> in the response to RMP requests </w:t>
            </w:r>
            <w:r w:rsidRPr="0045162A">
              <w:t xml:space="preserve">will capture additional safety information on any off-label use of </w:t>
            </w:r>
            <w:proofErr w:type="spellStart"/>
            <w:r w:rsidRPr="0045162A">
              <w:t>B</w:t>
            </w:r>
            <w:r w:rsidR="00C92AE4" w:rsidRPr="0045162A">
              <w:t>elkyra</w:t>
            </w:r>
            <w:proofErr w:type="spellEnd"/>
            <w:r w:rsidRPr="0045162A">
              <w:t xml:space="preserve"> in patients who are also undergoing treatment for </w:t>
            </w:r>
            <w:r w:rsidR="00C92AE4" w:rsidRPr="0045162A">
              <w:t>submental</w:t>
            </w:r>
            <w:r w:rsidRPr="0045162A">
              <w:t xml:space="preserve"> reduction.</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1DA3B7A" w14:textId="77777777" w:rsidR="004C23AC" w:rsidRPr="0045162A" w:rsidRDefault="004C23AC" w:rsidP="00FB56FE">
            <w:r w:rsidRPr="0045162A">
              <w:lastRenderedPageBreak/>
              <w:t xml:space="preserve">The sponsor’s </w:t>
            </w:r>
            <w:r w:rsidRPr="0045162A">
              <w:lastRenderedPageBreak/>
              <w:t>response has been noted.</w:t>
            </w:r>
          </w:p>
        </w:tc>
      </w:tr>
      <w:tr w:rsidR="00C92AE4" w:rsidRPr="0045162A" w14:paraId="2CF19E45"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659DEFD" w14:textId="29F27716" w:rsidR="004C23AC" w:rsidRPr="0045162A" w:rsidRDefault="004C23AC" w:rsidP="00FB56FE">
            <w:r w:rsidRPr="0045162A">
              <w:lastRenderedPageBreak/>
              <w:t>The sponsor should consider conducting a registry study to evaluate all safety concerns further in a real-life setting.</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E3B0E54" w14:textId="5E3E464B" w:rsidR="004C23AC" w:rsidRPr="0045162A" w:rsidRDefault="00C92AE4" w:rsidP="00FB56FE">
            <w:r w:rsidRPr="0045162A">
              <w:t>The sponsor</w:t>
            </w:r>
            <w:r w:rsidR="004C23AC" w:rsidRPr="0045162A">
              <w:t xml:space="preserve"> is conducting a registry study in the US and Canada (target n = 1000) to capture safety information and clinical outcomes associated with the use of </w:t>
            </w:r>
            <w:proofErr w:type="spellStart"/>
            <w:r w:rsidR="004C23AC" w:rsidRPr="0045162A">
              <w:t>B</w:t>
            </w:r>
            <w:r w:rsidRPr="0045162A">
              <w:t>elkyra</w:t>
            </w:r>
            <w:proofErr w:type="spellEnd"/>
            <w:r w:rsidR="004C23AC" w:rsidRPr="0045162A">
              <w:t xml:space="preserve"> in a real-life setting. The registry is a prospec</w:t>
            </w:r>
            <w:r w:rsidRPr="0045162A">
              <w:t>tive, observational, multi-cent</w:t>
            </w:r>
            <w:r w:rsidR="004C23AC" w:rsidRPr="0045162A">
              <w:t>r</w:t>
            </w:r>
            <w:r w:rsidRPr="0045162A">
              <w:t>e</w:t>
            </w:r>
            <w:r w:rsidR="004C23AC" w:rsidRPr="0045162A">
              <w:t xml:space="preserve"> study that has been designed to develop a comprehensive understanding of the condition of submental fullness due </w:t>
            </w:r>
            <w:r w:rsidRPr="0045162A">
              <w:t>to submental fat</w:t>
            </w:r>
            <w:r w:rsidR="004C23AC" w:rsidRPr="0045162A">
              <w:t xml:space="preserve">, how it is treated in current clinical practice, and the risks and benefits associated with its treatment. In addition to the collection of data on patients being treated for submental fullness, data on </w:t>
            </w:r>
            <w:proofErr w:type="spellStart"/>
            <w:r w:rsidR="004C23AC" w:rsidRPr="0045162A">
              <w:t>B</w:t>
            </w:r>
            <w:r w:rsidRPr="0045162A">
              <w:t>elkyra</w:t>
            </w:r>
            <w:proofErr w:type="spellEnd"/>
            <w:r w:rsidR="004C23AC" w:rsidRPr="0045162A">
              <w:t xml:space="preserve"> treatment to other areas of the body will also be collected. The objective of this registry study will be accomplished through the systematic collection of data on the following:</w:t>
            </w:r>
          </w:p>
          <w:p w14:paraId="408E073F" w14:textId="4BB9316D" w:rsidR="004C23AC" w:rsidRPr="0045162A" w:rsidRDefault="004C23AC" w:rsidP="00FB56FE">
            <w:r w:rsidRPr="0045162A">
              <w:t>Practice patterns of physicians with</w:t>
            </w:r>
            <w:r w:rsidR="00C92AE4" w:rsidRPr="0045162A">
              <w:t xml:space="preserve"> patients who have submental fat concerns; t</w:t>
            </w:r>
            <w:r w:rsidRPr="0045162A">
              <w:t xml:space="preserve">he population of patients who are eligible for </w:t>
            </w:r>
            <w:r w:rsidR="00C92AE4" w:rsidRPr="0045162A">
              <w:t>submental</w:t>
            </w:r>
            <w:r w:rsidRPr="0045162A">
              <w:t xml:space="preserve"> reduction treatment</w:t>
            </w:r>
            <w:r w:rsidR="00C92AE4" w:rsidRPr="0045162A">
              <w:t>; e</w:t>
            </w:r>
            <w:r w:rsidRPr="0045162A">
              <w:t xml:space="preserve">ligible patients who elect </w:t>
            </w:r>
            <w:r w:rsidR="00C92AE4" w:rsidRPr="0045162A">
              <w:t>submental fat reduction treatment; t</w:t>
            </w:r>
            <w:r w:rsidRPr="0045162A">
              <w:t>reatment procedures</w:t>
            </w:r>
            <w:r w:rsidR="00C92AE4" w:rsidRPr="0045162A">
              <w:t>; treatment outcomes; s</w:t>
            </w:r>
            <w:r w:rsidRPr="0045162A">
              <w:t xml:space="preserve">afety profile through adverse event reporting of the </w:t>
            </w:r>
            <w:r w:rsidR="00C92AE4" w:rsidRPr="0045162A">
              <w:t>submental</w:t>
            </w:r>
            <w:r w:rsidRPr="0045162A">
              <w:t xml:space="preserve"> re</w:t>
            </w:r>
            <w:r w:rsidR="00C53871" w:rsidRPr="0045162A">
              <w:t>duction treatments administered; i</w:t>
            </w:r>
            <w:r w:rsidRPr="0045162A">
              <w:t xml:space="preserve">nformation on treatment of other areas of the body in addition to </w:t>
            </w:r>
            <w:r w:rsidR="00C53871" w:rsidRPr="0045162A">
              <w:t>submental fat.</w:t>
            </w:r>
          </w:p>
          <w:p w14:paraId="041D1B8F" w14:textId="27732F4A" w:rsidR="004C23AC" w:rsidRPr="0045162A" w:rsidRDefault="004C23AC" w:rsidP="00FB56FE">
            <w:r w:rsidRPr="0045162A">
              <w:t xml:space="preserve">Pending local marketing approval of </w:t>
            </w:r>
            <w:proofErr w:type="spellStart"/>
            <w:r w:rsidRPr="0045162A">
              <w:t>B</w:t>
            </w:r>
            <w:r w:rsidR="00C53871" w:rsidRPr="0045162A">
              <w:t>elkyra</w:t>
            </w:r>
            <w:proofErr w:type="spellEnd"/>
            <w:r w:rsidR="00C53871" w:rsidRPr="0045162A">
              <w:t>, the sponsor</w:t>
            </w:r>
            <w:r w:rsidRPr="0045162A">
              <w:t xml:space="preserve"> proposes to expand this registry study to Australia to collect the same type of real-world information.</w:t>
            </w:r>
          </w:p>
          <w:p w14:paraId="629A29A2" w14:textId="0B646F5D" w:rsidR="004C23AC" w:rsidRPr="0045162A" w:rsidRDefault="004C23AC" w:rsidP="00FB56FE">
            <w:r w:rsidRPr="0045162A">
              <w:t>Considering RMP requests regarding drug utili</w:t>
            </w:r>
            <w:r w:rsidR="00C53871" w:rsidRPr="0045162A">
              <w:t>s</w:t>
            </w:r>
            <w:r w:rsidRPr="0045162A">
              <w:t>ation and registry studies, respectively, it should be emphasi</w:t>
            </w:r>
            <w:r w:rsidR="009E5744" w:rsidRPr="0045162A">
              <w:t>s</w:t>
            </w:r>
            <w:r w:rsidRPr="0045162A">
              <w:t xml:space="preserve">ed that </w:t>
            </w:r>
            <w:r w:rsidR="00C53871" w:rsidRPr="0045162A">
              <w:t>the sponsor</w:t>
            </w:r>
            <w:r w:rsidRPr="0045162A">
              <w:t xml:space="preserve"> believes that it is important to assess the total safety information available </w:t>
            </w:r>
            <w:r w:rsidRPr="0045162A">
              <w:lastRenderedPageBreak/>
              <w:t xml:space="preserve">for </w:t>
            </w:r>
            <w:proofErr w:type="spellStart"/>
            <w:r w:rsidRPr="0045162A">
              <w:t>B</w:t>
            </w:r>
            <w:r w:rsidR="00C53871" w:rsidRPr="0045162A">
              <w:t>elkyra</w:t>
            </w:r>
            <w:proofErr w:type="spellEnd"/>
            <w:r w:rsidRPr="0045162A">
              <w:t xml:space="preserve">, including serious adverse events (SAEs) and off-label use reported globally, in order to better understand the product in clinical practice. Combining information from the planned registry, which currently targets 1000 North American patients, with comprehensive pharmacovigilance monitoring activities such as spontaneously reported post-marketing AEs, AEs reported from ongoing clinical trials, and subsequent signal detection analyses, will provide an even more comprehensive view of the safety profile of </w:t>
            </w:r>
            <w:proofErr w:type="spellStart"/>
            <w:r w:rsidRPr="0045162A">
              <w:t>B</w:t>
            </w:r>
            <w:r w:rsidR="00C53871" w:rsidRPr="0045162A">
              <w:t>elkyra</w:t>
            </w:r>
            <w:proofErr w:type="spellEnd"/>
            <w:r w:rsidRPr="0045162A">
              <w:t>. Further, the global safety database is configured to flag any AEs related to off-label use, so these events can be analy</w:t>
            </w:r>
            <w:r w:rsidR="00C53871" w:rsidRPr="0045162A">
              <w:t>s</w:t>
            </w:r>
            <w:r w:rsidRPr="0045162A">
              <w:t xml:space="preserve">ed separately. Healthcare professionals training programs in place for the </w:t>
            </w:r>
            <w:r w:rsidR="00C53871" w:rsidRPr="0045162A">
              <w:t>US</w:t>
            </w:r>
            <w:r w:rsidRPr="0045162A">
              <w:t xml:space="preserve">, Canada, and proposed for Australia comprise the same core educational material, including instruction on the critical </w:t>
            </w:r>
            <w:proofErr w:type="spellStart"/>
            <w:r w:rsidRPr="0045162A">
              <w:t>cervicomental</w:t>
            </w:r>
            <w:proofErr w:type="spellEnd"/>
            <w:r w:rsidRPr="0045162A">
              <w:t xml:space="preserve"> anatomy, mechanism of action of injected exogenous </w:t>
            </w:r>
            <w:proofErr w:type="spellStart"/>
            <w:r w:rsidR="00C53871" w:rsidRPr="0045162A">
              <w:t>deoxycholic</w:t>
            </w:r>
            <w:proofErr w:type="spellEnd"/>
            <w:r w:rsidR="00C53871" w:rsidRPr="0045162A">
              <w:t xml:space="preserve"> acid</w:t>
            </w:r>
            <w:r w:rsidRPr="0045162A">
              <w:t xml:space="preserve">, Phase </w:t>
            </w:r>
            <w:r w:rsidR="009E5744" w:rsidRPr="0045162A">
              <w:t>III</w:t>
            </w:r>
            <w:r w:rsidRPr="0045162A">
              <w:t xml:space="preserve"> clinical data supporting the safe and efficacious use of </w:t>
            </w:r>
            <w:proofErr w:type="spellStart"/>
            <w:r w:rsidRPr="0045162A">
              <w:t>B</w:t>
            </w:r>
            <w:r w:rsidR="00C53871" w:rsidRPr="0045162A">
              <w:t>elkyra</w:t>
            </w:r>
            <w:proofErr w:type="spellEnd"/>
            <w:r w:rsidRPr="0045162A">
              <w:t>, selection and evaluation of patients, proper injection technique, and patient comfort management. Therefore, information from the entire North American and Australian pharmacovigilance and registry activities should be considered when assessing on-label and off-label concerns.</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3277CF5" w14:textId="488167AD" w:rsidR="004C23AC" w:rsidRPr="0045162A" w:rsidRDefault="004C23AC" w:rsidP="00FB56FE">
            <w:r w:rsidRPr="0045162A">
              <w:lastRenderedPageBreak/>
              <w:t>There is no definite objection to the approach outlined by the sponsor.</w:t>
            </w:r>
            <w:r w:rsidR="00C92AE4" w:rsidRPr="0045162A">
              <w:t xml:space="preserve"> </w:t>
            </w:r>
            <w:r w:rsidRPr="0045162A">
              <w:t>However, there is not enough information provided to evaluate this approach in detail. Consequently, the sponsor should provide a study protocol for this registry study. Furthermore, the sponsor should outline how this registry study will capture off-label use.</w:t>
            </w:r>
          </w:p>
        </w:tc>
      </w:tr>
      <w:tr w:rsidR="00C92AE4" w:rsidRPr="0045162A" w14:paraId="78175E75"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CB60663" w14:textId="7AFA992D" w:rsidR="004C23AC" w:rsidRPr="0045162A" w:rsidRDefault="004C23AC" w:rsidP="00FB56FE">
            <w:r w:rsidRPr="0045162A">
              <w:lastRenderedPageBreak/>
              <w:t>The sponsor should clarify which health care professionals are qualified to use this product and how this requirement will be enforced (</w:t>
            </w:r>
            <w:r w:rsidR="00C53871" w:rsidRPr="0045162A">
              <w:t>for example,</w:t>
            </w:r>
            <w:r w:rsidRPr="0045162A">
              <w:t xml:space="preserve"> with a controlled distribution program).</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CA03F21" w14:textId="5E59B79C" w:rsidR="004C23AC" w:rsidRPr="0045162A" w:rsidRDefault="004C23AC" w:rsidP="00FB56FE">
            <w:r w:rsidRPr="0045162A">
              <w:t xml:space="preserve">Healthcare professionals are those who are registered as healthcare practitioners in Australia and who in the course of their professional activities may prescribe, dispense, recommend, supply or administer prescription medicine. This may include physicians, nurse practitioners, or any other person who is legally qualified to administer a prescription drug product in Australia. In order to be qualified to use </w:t>
            </w:r>
            <w:proofErr w:type="spellStart"/>
            <w:r w:rsidRPr="0045162A">
              <w:t>B</w:t>
            </w:r>
            <w:r w:rsidR="00C53871" w:rsidRPr="0045162A">
              <w:t>elkyra</w:t>
            </w:r>
            <w:proofErr w:type="spellEnd"/>
            <w:r w:rsidRPr="0045162A">
              <w:t xml:space="preserve">, HCPs will be required to complete web-based training and successfully pass a detailed, rigorous questionnaire prior to purchasing the product. A robust understanding of the injection training materials is necessary for respondents to </w:t>
            </w:r>
            <w:r w:rsidRPr="0045162A">
              <w:lastRenderedPageBreak/>
              <w:t>pass the questionnaire; a 70% comprehension rate is deemed as acceptable to pass the questionnaire. Achieving a &lt;</w:t>
            </w:r>
            <w:r w:rsidR="00C53871" w:rsidRPr="0045162A">
              <w:t> </w:t>
            </w:r>
            <w:r w:rsidRPr="0045162A">
              <w:t>70% overall score on the questionnaire will require HCPs to retake web-based training.</w:t>
            </w:r>
          </w:p>
          <w:p w14:paraId="0BE3862B" w14:textId="003F0844" w:rsidR="004C23AC" w:rsidRPr="0045162A" w:rsidRDefault="004C23AC" w:rsidP="00FB56FE">
            <w:r w:rsidRPr="0045162A">
              <w:t>Additionally, the average performance of each questionnaire item will be assessed annually. For individual items with a score of less than 70% correct on average across all respondents, training materials related to that item will be enriched to better articulate that item’s learning objective. All changes to training materials as well as the scoring for each questionnaire item will be documented in the RMP.</w:t>
            </w:r>
          </w:p>
          <w:p w14:paraId="12F28DCD" w14:textId="55560BCF" w:rsidR="004C23AC" w:rsidRPr="0045162A" w:rsidRDefault="004C23AC" w:rsidP="00FB56FE">
            <w:r w:rsidRPr="0045162A">
              <w:t xml:space="preserve">Live training may be offered, but only to supplement comprehensive web-based training. If an HCP cannot pass web-based training, live training is not sufficient to allow purchase of </w:t>
            </w:r>
            <w:proofErr w:type="spellStart"/>
            <w:r w:rsidRPr="0045162A">
              <w:t>B</w:t>
            </w:r>
            <w:r w:rsidR="00C53871" w:rsidRPr="0045162A">
              <w:t>elkyra</w:t>
            </w:r>
            <w:proofErr w:type="spellEnd"/>
            <w:r w:rsidRPr="0045162A">
              <w:t xml:space="preserve">. Physicians will not be allowed to purchase product unless they 1) complete web-based training, and 2) successfully pass the training questionnaire. Additional details regarding controlled distribution may be found in response to </w:t>
            </w:r>
            <w:r w:rsidR="00C53871" w:rsidRPr="0045162A">
              <w:t>further RMP r</w:t>
            </w:r>
            <w:r w:rsidRPr="0045162A">
              <w:t>equest</w:t>
            </w:r>
            <w:r w:rsidR="00C53871" w:rsidRPr="0045162A">
              <w:t xml:space="preserve">s </w:t>
            </w:r>
            <w:r w:rsidRPr="0045162A">
              <w:t>below.</w:t>
            </w:r>
          </w:p>
          <w:p w14:paraId="289E6D4A" w14:textId="2710EDA5" w:rsidR="004C23AC" w:rsidRPr="0045162A" w:rsidRDefault="004C23AC" w:rsidP="00FB56FE">
            <w:r w:rsidRPr="0045162A">
              <w:t>An overview of the web-</w:t>
            </w:r>
            <w:r w:rsidR="00C53871" w:rsidRPr="0045162A">
              <w:t>based training is provided</w:t>
            </w:r>
            <w:r w:rsidRPr="0045162A">
              <w:t>:</w:t>
            </w:r>
            <w:r w:rsidR="00C53871" w:rsidRPr="0045162A">
              <w:t xml:space="preserve"> </w:t>
            </w:r>
            <w:r w:rsidRPr="0045162A">
              <w:t xml:space="preserve">HCPs will understand the contributions of the </w:t>
            </w:r>
            <w:proofErr w:type="spellStart"/>
            <w:r w:rsidRPr="0045162A">
              <w:t>cervicomental</w:t>
            </w:r>
            <w:proofErr w:type="spellEnd"/>
            <w:r w:rsidRPr="0045162A">
              <w:t xml:space="preserve"> region to the full facial aesthetic. HCPs will be educated on important external anatomic landmarks and objective measurement angles.</w:t>
            </w:r>
            <w:r w:rsidR="00C53871" w:rsidRPr="0045162A">
              <w:t xml:space="preserve"> </w:t>
            </w:r>
            <w:r w:rsidRPr="0045162A">
              <w:t xml:space="preserve">HCPs will identify key internal anatomic structures, including the platysma and </w:t>
            </w:r>
            <w:r w:rsidR="00C53871" w:rsidRPr="0045162A">
              <w:t>submental fat</w:t>
            </w:r>
            <w:r w:rsidRPr="0045162A">
              <w:t xml:space="preserve"> compartment, and will review the typical course of the marginal mandibular nerve relative to external landmarks.</w:t>
            </w:r>
            <w:r w:rsidR="00065C52" w:rsidRPr="0045162A">
              <w:t xml:space="preserve"> </w:t>
            </w:r>
            <w:r w:rsidRPr="0045162A">
              <w:t xml:space="preserve">HCPs will understand the characteristics of </w:t>
            </w:r>
            <w:proofErr w:type="spellStart"/>
            <w:r w:rsidR="00065C52" w:rsidRPr="0045162A">
              <w:t>deoxycholic</w:t>
            </w:r>
            <w:proofErr w:type="spellEnd"/>
            <w:r w:rsidR="00065C52" w:rsidRPr="0045162A">
              <w:t xml:space="preserve"> acid</w:t>
            </w:r>
            <w:r w:rsidRPr="0045162A">
              <w:t xml:space="preserve"> and its biologic role, pharmacologic uses of </w:t>
            </w:r>
            <w:proofErr w:type="spellStart"/>
            <w:r w:rsidR="00065C52" w:rsidRPr="0045162A">
              <w:t>deoxycholic</w:t>
            </w:r>
            <w:proofErr w:type="spellEnd"/>
            <w:r w:rsidR="00065C52" w:rsidRPr="0045162A">
              <w:t xml:space="preserve"> acid</w:t>
            </w:r>
            <w:r w:rsidRPr="0045162A">
              <w:t xml:space="preserve">, and the mechanism of action of </w:t>
            </w:r>
            <w:proofErr w:type="spellStart"/>
            <w:r w:rsidRPr="0045162A">
              <w:t>B</w:t>
            </w:r>
            <w:r w:rsidR="00065C52" w:rsidRPr="0045162A">
              <w:t>elkyra</w:t>
            </w:r>
            <w:proofErr w:type="spellEnd"/>
            <w:r w:rsidRPr="0045162A">
              <w:t>. The expected onset and duration of effect, tissue response, and histology will be delineated.</w:t>
            </w:r>
            <w:r w:rsidR="00065C52" w:rsidRPr="0045162A">
              <w:t xml:space="preserve"> </w:t>
            </w:r>
            <w:r w:rsidRPr="0045162A">
              <w:t xml:space="preserve">HCPs will understand the Phase </w:t>
            </w:r>
            <w:r w:rsidR="009E5744" w:rsidRPr="0045162A">
              <w:t>III</w:t>
            </w:r>
            <w:r w:rsidRPr="0045162A">
              <w:t xml:space="preserve"> clinical data supporting the safe and efficacious use of </w:t>
            </w:r>
            <w:proofErr w:type="spellStart"/>
            <w:r w:rsidRPr="0045162A">
              <w:t>B</w:t>
            </w:r>
            <w:r w:rsidR="00065C52" w:rsidRPr="0045162A">
              <w:t>elkyra</w:t>
            </w:r>
            <w:proofErr w:type="spellEnd"/>
            <w:r w:rsidRPr="0045162A">
              <w:t xml:space="preserve"> in the treatment of submental </w:t>
            </w:r>
            <w:r w:rsidRPr="0045162A">
              <w:lastRenderedPageBreak/>
              <w:t xml:space="preserve">fullness associated with </w:t>
            </w:r>
            <w:r w:rsidR="00065C52" w:rsidRPr="0045162A">
              <w:t>submental fat</w:t>
            </w:r>
            <w:r w:rsidRPr="0045162A">
              <w:t>. The training materials will reinforce training only in the label</w:t>
            </w:r>
            <w:r w:rsidR="00065C52" w:rsidRPr="0045162A">
              <w:t>l</w:t>
            </w:r>
            <w:r w:rsidRPr="0045162A">
              <w:t xml:space="preserve">ed indication and specify that safe and effective use has not been established outside of the </w:t>
            </w:r>
            <w:proofErr w:type="spellStart"/>
            <w:r w:rsidRPr="0045162A">
              <w:t>submentum</w:t>
            </w:r>
            <w:proofErr w:type="spellEnd"/>
            <w:r w:rsidRPr="0045162A">
              <w:t>.</w:t>
            </w:r>
            <w:r w:rsidR="00065C52" w:rsidRPr="0045162A">
              <w:t xml:space="preserve"> </w:t>
            </w:r>
            <w:r w:rsidRPr="0045162A">
              <w:t xml:space="preserve">HCPs will understand who the appropriate </w:t>
            </w:r>
            <w:proofErr w:type="spellStart"/>
            <w:r w:rsidRPr="0045162A">
              <w:t>B</w:t>
            </w:r>
            <w:r w:rsidR="00065C52" w:rsidRPr="0045162A">
              <w:t>elkyra</w:t>
            </w:r>
            <w:proofErr w:type="spellEnd"/>
            <w:r w:rsidRPr="0045162A">
              <w:t xml:space="preserve"> patient is, how to evaluate and define the treatment area, and how to safely inject the product.</w:t>
            </w:r>
            <w:r w:rsidR="00065C52" w:rsidRPr="0045162A">
              <w:t xml:space="preserve"> </w:t>
            </w:r>
            <w:r w:rsidRPr="0045162A">
              <w:t xml:space="preserve">HCPs will learn strategies to manage patient expectations and comfort during and following treatment with </w:t>
            </w:r>
            <w:proofErr w:type="spellStart"/>
            <w:r w:rsidRPr="0045162A">
              <w:t>B</w:t>
            </w:r>
            <w:r w:rsidR="00065C52" w:rsidRPr="0045162A">
              <w:t>elkyra</w:t>
            </w:r>
            <w:proofErr w:type="spellEnd"/>
            <w:r w:rsidRPr="0045162A">
              <w:t xml:space="preserve"> to support adherence to and achievement of desired aesthetic goals.</w:t>
            </w:r>
          </w:p>
          <w:p w14:paraId="2A9FDAB0" w14:textId="1DE165D0" w:rsidR="004C23AC" w:rsidRPr="0045162A" w:rsidRDefault="00065C52" w:rsidP="00FB56FE">
            <w:r w:rsidRPr="0045162A">
              <w:t>The sponsor</w:t>
            </w:r>
            <w:r w:rsidR="004C23AC" w:rsidRPr="0045162A">
              <w:t xml:space="preserve"> believes that this training program will be sufficient to ensure that only appropriately qualified HCPs will be allowed to purchase </w:t>
            </w:r>
            <w:proofErr w:type="spellStart"/>
            <w:r w:rsidRPr="0045162A">
              <w:t>Belkyra</w:t>
            </w:r>
            <w:proofErr w:type="spellEnd"/>
            <w:r w:rsidRPr="0045162A">
              <w:t>.</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9B6C118" w14:textId="4F79A8E2" w:rsidR="004C23AC" w:rsidRPr="0045162A" w:rsidRDefault="004C23AC" w:rsidP="00FB56FE">
            <w:proofErr w:type="spellStart"/>
            <w:r w:rsidRPr="0045162A">
              <w:lastRenderedPageBreak/>
              <w:t>Belkyra</w:t>
            </w:r>
            <w:proofErr w:type="spellEnd"/>
            <w:r w:rsidRPr="0045162A">
              <w:t xml:space="preserve"> should only be prescribed and administered by medical practitioners.</w:t>
            </w:r>
          </w:p>
          <w:p w14:paraId="52DBCF3E" w14:textId="61C66011" w:rsidR="004C23AC" w:rsidRPr="0045162A" w:rsidRDefault="004C23AC" w:rsidP="00FB56FE">
            <w:r w:rsidRPr="0045162A">
              <w:t>Furthermore due to its status as a first in class new chemical entity with potential for incorrect administratio</w:t>
            </w:r>
            <w:r w:rsidRPr="0045162A">
              <w:lastRenderedPageBreak/>
              <w:t>n, this medicine should be restricted to medical practitioners that are fellows of the Royal Australasian College of Surgeons</w:t>
            </w:r>
            <w:r w:rsidR="00065C52" w:rsidRPr="0045162A">
              <w:t xml:space="preserve"> (RACS)</w:t>
            </w:r>
            <w:r w:rsidRPr="0045162A">
              <w:t xml:space="preserve">. This would need to be reflected in the controlled distribution program, </w:t>
            </w:r>
            <w:r w:rsidR="00C53871" w:rsidRPr="0045162A">
              <w:t>that is,</w:t>
            </w:r>
            <w:r w:rsidRPr="0045162A">
              <w:t xml:space="preserve"> restricted supply to RACS fellows only. There is no objection for RACS trainees to administer this medicine under appropriate supervision by a RACS fellow. However, the medicine should only be supplied to the RACS fellow.</w:t>
            </w:r>
          </w:p>
          <w:p w14:paraId="0305FB0A" w14:textId="6CD20EE1" w:rsidR="004C23AC" w:rsidRPr="0045162A" w:rsidRDefault="004C23AC" w:rsidP="00FB56FE">
            <w:r w:rsidRPr="0045162A">
              <w:t xml:space="preserve">The provided education materials are not sufficient to educate medical practitioners that do not already possess a good understanding </w:t>
            </w:r>
            <w:r w:rsidRPr="0045162A">
              <w:lastRenderedPageBreak/>
              <w:t>of the relevant anatomy.</w:t>
            </w:r>
          </w:p>
          <w:p w14:paraId="62447A5E" w14:textId="1CECE05F" w:rsidR="004C23AC" w:rsidRPr="0045162A" w:rsidRDefault="004C23AC" w:rsidP="00FB56FE">
            <w:r w:rsidRPr="0045162A">
              <w:t>So-called cosmetic physicians or other medical practitioners without formal evidence of sufficient familiarity with head and neck anatomy should not be able to prescribe or administer this product, and subsequently should not be supplied with it.</w:t>
            </w:r>
          </w:p>
        </w:tc>
      </w:tr>
      <w:tr w:rsidR="00C92AE4" w:rsidRPr="0045162A" w14:paraId="7038D341"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917541F" w14:textId="26189EEE" w:rsidR="004C23AC" w:rsidRPr="0045162A" w:rsidRDefault="004C23AC" w:rsidP="00FB56FE">
            <w:r w:rsidRPr="0045162A">
              <w:lastRenderedPageBreak/>
              <w:t xml:space="preserve">The </w:t>
            </w:r>
            <w:r w:rsidR="00065C52" w:rsidRPr="0045162A">
              <w:t>HCP</w:t>
            </w:r>
            <w:r w:rsidRPr="0045162A">
              <w:t xml:space="preserve"> training program should include the indications and contraindications for </w:t>
            </w:r>
            <w:proofErr w:type="spellStart"/>
            <w:r w:rsidR="00065C52" w:rsidRPr="0045162A">
              <w:t>Belkyra</w:t>
            </w:r>
            <w:proofErr w:type="spellEnd"/>
            <w:r w:rsidR="00065C52" w:rsidRPr="0045162A">
              <w:t xml:space="preserve">. </w:t>
            </w:r>
            <w:r w:rsidRPr="0045162A">
              <w:t xml:space="preserve">Furthermore, the program should include information on assessing causes of submental swelling for which </w:t>
            </w:r>
            <w:proofErr w:type="spellStart"/>
            <w:r w:rsidR="00065C52" w:rsidRPr="0045162A">
              <w:t>Belkyra</w:t>
            </w:r>
            <w:proofErr w:type="spellEnd"/>
            <w:r w:rsidRPr="0045162A">
              <w:t xml:space="preserve"> is not an appropriate treatment option.</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04A7D40" w14:textId="36D17B58" w:rsidR="004C23AC" w:rsidRPr="0045162A" w:rsidRDefault="004C23AC" w:rsidP="00FB56FE">
            <w:r w:rsidRPr="0045162A">
              <w:t xml:space="preserve">The training program includes the indications and contraindications for </w:t>
            </w:r>
            <w:proofErr w:type="spellStart"/>
            <w:r w:rsidRPr="0045162A">
              <w:t>B</w:t>
            </w:r>
            <w:r w:rsidR="00065C52" w:rsidRPr="0045162A">
              <w:t>elkyra</w:t>
            </w:r>
            <w:proofErr w:type="spellEnd"/>
            <w:r w:rsidRPr="0045162A">
              <w:t xml:space="preserve">. Additionally, training includes an overview of the causes of submental swelling for which </w:t>
            </w:r>
            <w:proofErr w:type="spellStart"/>
            <w:r w:rsidRPr="0045162A">
              <w:t>B</w:t>
            </w:r>
            <w:r w:rsidR="00065C52" w:rsidRPr="0045162A">
              <w:t>elkyra</w:t>
            </w:r>
            <w:proofErr w:type="spellEnd"/>
            <w:r w:rsidRPr="0045162A">
              <w:t xml:space="preserve"> is not an appropriate treatment option.</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4B3C928" w14:textId="77777777" w:rsidR="004C23AC" w:rsidRPr="0045162A" w:rsidRDefault="004C23AC" w:rsidP="00FB56FE">
            <w:r w:rsidRPr="0045162A">
              <w:t>The sponsor’s response has been noted. The education materials will be reviewed again after a final PI is available.</w:t>
            </w:r>
          </w:p>
        </w:tc>
      </w:tr>
      <w:tr w:rsidR="00C92AE4" w:rsidRPr="0045162A" w14:paraId="348CB990"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BA8A84C" w14:textId="1D75ACE6" w:rsidR="004C23AC" w:rsidRPr="0045162A" w:rsidRDefault="004C23AC" w:rsidP="00FB56FE">
            <w:r w:rsidRPr="0045162A">
              <w:t xml:space="preserve">A rudimentary understanding of the training </w:t>
            </w:r>
            <w:r w:rsidRPr="0045162A">
              <w:lastRenderedPageBreak/>
              <w:t>materials is not considered sufficient to indicate successful completion of the training program. The sponsor should address this issue.</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2A71955" w14:textId="0950CD0F" w:rsidR="004C23AC" w:rsidRPr="0045162A" w:rsidRDefault="004C23AC" w:rsidP="00FB56FE">
            <w:r w:rsidRPr="0045162A">
              <w:lastRenderedPageBreak/>
              <w:t xml:space="preserve">A comprehensive training program has been created for </w:t>
            </w:r>
            <w:proofErr w:type="spellStart"/>
            <w:r w:rsidRPr="0045162A">
              <w:t>B</w:t>
            </w:r>
            <w:r w:rsidR="00065C52" w:rsidRPr="0045162A">
              <w:t>elkyra</w:t>
            </w:r>
            <w:proofErr w:type="spellEnd"/>
            <w:r w:rsidRPr="0045162A">
              <w:t>. Please see t</w:t>
            </w:r>
            <w:r w:rsidR="00065C52" w:rsidRPr="0045162A">
              <w:t xml:space="preserve">he above responses </w:t>
            </w:r>
            <w:r w:rsidRPr="0045162A">
              <w:t xml:space="preserve">for a description of the </w:t>
            </w:r>
            <w:r w:rsidRPr="0045162A">
              <w:lastRenderedPageBreak/>
              <w:t xml:space="preserve">questionnaire proposed as a measure of effectiveness of training materials. Also, please see proposed questionnaire </w:t>
            </w:r>
            <w:r w:rsidR="00065C52" w:rsidRPr="0045162A">
              <w:t xml:space="preserve">that has been provided </w:t>
            </w:r>
            <w:r w:rsidRPr="0045162A">
              <w:t>that has been updated to reflect the content of the training materials.</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A48590B" w14:textId="0B5C4CD7" w:rsidR="004C23AC" w:rsidRPr="0045162A" w:rsidRDefault="00065C52" w:rsidP="00FB56FE">
            <w:r w:rsidRPr="0045162A">
              <w:lastRenderedPageBreak/>
              <w:t>As above.</w:t>
            </w:r>
          </w:p>
        </w:tc>
      </w:tr>
      <w:tr w:rsidR="00C92AE4" w:rsidRPr="0045162A" w14:paraId="151C1FD0"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5B7967E" w14:textId="77777777" w:rsidR="004C23AC" w:rsidRPr="0045162A" w:rsidRDefault="004C23AC" w:rsidP="00FB56FE">
            <w:r w:rsidRPr="0045162A">
              <w:lastRenderedPageBreak/>
              <w:t>The education program should be accredited by a relevant Australian Learned College. Due to its importance, it is recommended to the Delegate that formulation of an education program and controlled distribution program acceptable to the TGA is imposed as a condition of registration for this product. Prior to approval, the sponsor should provide the TGA with the following details for agreement:</w:t>
            </w:r>
          </w:p>
          <w:p w14:paraId="3F1516B2" w14:textId="77777777" w:rsidR="004C23AC" w:rsidRPr="0045162A" w:rsidRDefault="004C23AC" w:rsidP="00FB56FE">
            <w:r w:rsidRPr="0045162A">
              <w:t>All draft education materials;</w:t>
            </w:r>
          </w:p>
          <w:p w14:paraId="271489FA" w14:textId="77777777" w:rsidR="004C23AC" w:rsidRPr="0045162A" w:rsidRDefault="004C23AC" w:rsidP="00FB56FE">
            <w:r w:rsidRPr="0045162A">
              <w:t xml:space="preserve">A clear </w:t>
            </w:r>
            <w:r w:rsidRPr="0045162A">
              <w:lastRenderedPageBreak/>
              <w:t>distribution plan; and</w:t>
            </w:r>
          </w:p>
          <w:p w14:paraId="59FDF118" w14:textId="77777777" w:rsidR="004C23AC" w:rsidRPr="0045162A" w:rsidRDefault="004C23AC" w:rsidP="00FB56FE">
            <w:r w:rsidRPr="0045162A">
              <w:t>A clear plan to measure the effectiveness of the education programme as an additional risk minimisation activity.</w:t>
            </w:r>
          </w:p>
          <w:p w14:paraId="7E17052D" w14:textId="77777777" w:rsidR="004C23AC" w:rsidRPr="0045162A" w:rsidRDefault="004C23AC" w:rsidP="00FB56FE"/>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F553FCF" w14:textId="39FD67AA" w:rsidR="004C23AC" w:rsidRPr="0045162A" w:rsidRDefault="004C23AC" w:rsidP="00FB56FE">
            <w:r w:rsidRPr="0045162A">
              <w:lastRenderedPageBreak/>
              <w:t xml:space="preserve">As described above, </w:t>
            </w:r>
            <w:r w:rsidR="00B77AC3" w:rsidRPr="0045162A">
              <w:t xml:space="preserve">the sponsor </w:t>
            </w:r>
            <w:r w:rsidRPr="0045162A">
              <w:t xml:space="preserve">intends to use completion of the comprehensive training program as a gating item to purchase </w:t>
            </w:r>
            <w:proofErr w:type="spellStart"/>
            <w:r w:rsidRPr="0045162A">
              <w:t>B</w:t>
            </w:r>
            <w:r w:rsidR="00065C52" w:rsidRPr="0045162A">
              <w:t>elkyra</w:t>
            </w:r>
            <w:proofErr w:type="spellEnd"/>
            <w:r w:rsidRPr="0045162A">
              <w:t xml:space="preserve">, thereby controlling distribution of the product. HCPs will not be allowed to purchase </w:t>
            </w:r>
            <w:proofErr w:type="spellStart"/>
            <w:r w:rsidRPr="0045162A">
              <w:t>B</w:t>
            </w:r>
            <w:r w:rsidR="00065C52" w:rsidRPr="0045162A">
              <w:t>elkyra</w:t>
            </w:r>
            <w:proofErr w:type="spellEnd"/>
            <w:r w:rsidRPr="0045162A">
              <w:t xml:space="preserve"> until they have completed a web-based training program and have successfully passed a detailed, rigorous questionnaire prior to purchasing the product.</w:t>
            </w:r>
            <w:r w:rsidR="00065C52" w:rsidRPr="0045162A">
              <w:t xml:space="preserve"> </w:t>
            </w:r>
            <w:r w:rsidRPr="0045162A">
              <w:t xml:space="preserve">In order to participate in the web-based training, each HCP is assigned a unique password and information for how to access the training. Upon completion of web-based training, the HCP must successfully pass a detailed training questionnaire that covers the most important concepts from the training. Then, a </w:t>
            </w:r>
            <w:proofErr w:type="spellStart"/>
            <w:r w:rsidR="00FD063C" w:rsidRPr="0045162A">
              <w:t>Belkyra</w:t>
            </w:r>
            <w:proofErr w:type="spellEnd"/>
            <w:r w:rsidRPr="0045162A">
              <w:t xml:space="preserve"> representative will review the electronic training records to confirm training has been completed</w:t>
            </w:r>
            <w:r w:rsidR="00FD063C" w:rsidRPr="0045162A">
              <w:t xml:space="preserve">, and </w:t>
            </w:r>
            <w:r w:rsidRPr="0045162A">
              <w:t>the HCP ha</w:t>
            </w:r>
            <w:r w:rsidR="00FD063C" w:rsidRPr="0045162A">
              <w:t>s passed the questionnaire (</w:t>
            </w:r>
            <w:r w:rsidRPr="0045162A">
              <w:t>≥</w:t>
            </w:r>
            <w:r w:rsidR="00FD063C" w:rsidRPr="0045162A">
              <w:t> </w:t>
            </w:r>
            <w:r w:rsidRPr="0045162A">
              <w:t>70% passing rate</w:t>
            </w:r>
            <w:r w:rsidR="00FD063C" w:rsidRPr="0045162A">
              <w:t>)</w:t>
            </w:r>
            <w:r w:rsidRPr="0045162A">
              <w:t>. If the records are complete, a report is electronically transferred to the distributor, which triggers the ability of the physician to purchase product. Even if the physician has successfully completed training, he/she may not purchase product until the distributor has received a record of his/her training completion.</w:t>
            </w:r>
            <w:r w:rsidR="00FD063C" w:rsidRPr="0045162A">
              <w:t xml:space="preserve"> </w:t>
            </w:r>
            <w:r w:rsidRPr="0045162A">
              <w:t>As an additional risk minimi</w:t>
            </w:r>
            <w:r w:rsidR="00FD063C" w:rsidRPr="0045162A">
              <w:t>s</w:t>
            </w:r>
            <w:r w:rsidRPr="0045162A">
              <w:t xml:space="preserve">ation activity, the effectiveness of the training program will be measured via the training questionnaire which has been revised to reflect a comprehensive understanding of the training concepts. The average performance of each questionnaire item will be assessed annually. For individual </w:t>
            </w:r>
            <w:r w:rsidRPr="0045162A">
              <w:lastRenderedPageBreak/>
              <w:t>items with a score of less than 70% correct on average across all respondents, training materials related to that item will be enriched to better articulate the learning objective. All changes to materials, as well as the scoring for each item, will be documented in the RMP. The effectiveness of the training program will also be assessed via signal trending analyses for AEs received via standard global pharmacovigilance monitoring, ongoing clinical studies, and the patient registry.</w:t>
            </w:r>
            <w:r w:rsidR="00FD063C" w:rsidRPr="0045162A">
              <w:t xml:space="preserve"> The sponsor</w:t>
            </w:r>
            <w:r w:rsidRPr="0045162A">
              <w:t xml:space="preserve"> does not believe that it should be necessary for an Australian Learned College to accredit the training program. </w:t>
            </w:r>
            <w:proofErr w:type="spellStart"/>
            <w:r w:rsidRPr="0045162A">
              <w:t>B</w:t>
            </w:r>
            <w:r w:rsidR="00FD063C" w:rsidRPr="0045162A">
              <w:t>elkyra</w:t>
            </w:r>
            <w:proofErr w:type="spellEnd"/>
            <w:r w:rsidRPr="0045162A">
              <w:t xml:space="preserve"> is a novel treatment and the training program was created by medical professionals who are experts in submental anatomy and are skilled in the administration of </w:t>
            </w:r>
            <w:proofErr w:type="spellStart"/>
            <w:r w:rsidRPr="0045162A">
              <w:t>B</w:t>
            </w:r>
            <w:r w:rsidR="00FD063C" w:rsidRPr="0045162A">
              <w:t>elkyra</w:t>
            </w:r>
            <w:proofErr w:type="spellEnd"/>
            <w:r w:rsidRPr="0045162A">
              <w:t>. A very similar training program has successfully been rolled out in the US to more than 1200 physicians.</w:t>
            </w:r>
            <w:r w:rsidR="00FD063C" w:rsidRPr="0045162A">
              <w:t xml:space="preserve"> </w:t>
            </w:r>
            <w:r w:rsidRPr="0045162A">
              <w:t xml:space="preserve">The draft training materials, including the presentation/questionnaire and </w:t>
            </w:r>
            <w:r w:rsidR="00FD063C" w:rsidRPr="0045162A">
              <w:t>US injection video are enclosed.</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D95C10F" w14:textId="54D1EFA7" w:rsidR="004C23AC" w:rsidRPr="0045162A" w:rsidRDefault="004C23AC" w:rsidP="00FB56FE">
            <w:r w:rsidRPr="0045162A">
              <w:lastRenderedPageBreak/>
              <w:t>There is no definite objection to the sponsor’s approach with regard to distribution.</w:t>
            </w:r>
            <w:r w:rsidR="00FD063C" w:rsidRPr="0045162A">
              <w:t xml:space="preserve"> </w:t>
            </w:r>
            <w:r w:rsidRPr="0045162A">
              <w:t>Accreditation by a relevant Australian Learned College is not necessary at this stage, but may be reviewed in the future.</w:t>
            </w:r>
            <w:r w:rsidR="00FD063C" w:rsidRPr="0045162A">
              <w:t xml:space="preserve"> </w:t>
            </w:r>
            <w:r w:rsidRPr="0045162A">
              <w:t>The education materials and assessment item will be reviewed again after a final PI is available, as these materials may need to be modified. A prescriber checklist is needed to identify suitable patients for this product.</w:t>
            </w:r>
            <w:r w:rsidR="00FD063C" w:rsidRPr="0045162A">
              <w:t xml:space="preserve"> </w:t>
            </w:r>
            <w:r w:rsidRPr="0045162A">
              <w:t>The spons</w:t>
            </w:r>
            <w:r w:rsidR="00FD063C" w:rsidRPr="0045162A">
              <w:t xml:space="preserve">or </w:t>
            </w:r>
            <w:r w:rsidR="00FD063C" w:rsidRPr="0045162A">
              <w:lastRenderedPageBreak/>
              <w:t xml:space="preserve">should provide the details (namely </w:t>
            </w:r>
            <w:r w:rsidRPr="0045162A">
              <w:t>protocols) on how the effectiveness of the education programme will be measured.</w:t>
            </w:r>
          </w:p>
        </w:tc>
      </w:tr>
      <w:tr w:rsidR="00C92AE4" w:rsidRPr="0045162A" w14:paraId="67177157"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5C1B7C6" w14:textId="3868E9D2" w:rsidR="004C23AC" w:rsidRPr="0045162A" w:rsidRDefault="004C23AC" w:rsidP="00FB56FE">
            <w:r w:rsidRPr="0045162A">
              <w:lastRenderedPageBreak/>
              <w:t>In the ‘Precautions’ section, the PI should contain a statement on dysphagia and patients with pre-existing dysphagia.</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3B41E4B" w14:textId="0FE190F7" w:rsidR="004C23AC" w:rsidRPr="0045162A" w:rsidRDefault="004C23AC" w:rsidP="00FB56FE">
            <w:r w:rsidRPr="0045162A">
              <w:t xml:space="preserve">The following paragraph has been included in the Precautions section of the PI: </w:t>
            </w:r>
            <w:r w:rsidR="00B7188E" w:rsidRPr="0045162A">
              <w:t>‘</w:t>
            </w:r>
            <w:r w:rsidRPr="0045162A">
              <w:t xml:space="preserve">Subjects with current or prior history of dysphagia were excluded from clinical trials; avoid use of </w:t>
            </w:r>
            <w:proofErr w:type="spellStart"/>
            <w:r w:rsidRPr="0045162A">
              <w:t>B</w:t>
            </w:r>
            <w:r w:rsidR="00FD063C" w:rsidRPr="0045162A">
              <w:t>elkyra</w:t>
            </w:r>
            <w:proofErr w:type="spellEnd"/>
            <w:r w:rsidRPr="0045162A">
              <w:t xml:space="preserve"> in such patients as treatment may exacerbate the condition.</w:t>
            </w:r>
            <w:r w:rsidR="00B7188E" w:rsidRPr="0045162A">
              <w:t>’</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FFAE45C" w14:textId="77777777" w:rsidR="004C23AC" w:rsidRPr="0045162A" w:rsidRDefault="004C23AC" w:rsidP="00FB56FE">
            <w:r w:rsidRPr="0045162A">
              <w:t>This is considered acceptable for RMP purposes subject to approval by the Delegate.</w:t>
            </w:r>
          </w:p>
        </w:tc>
      </w:tr>
      <w:tr w:rsidR="00C92AE4" w:rsidRPr="0045162A" w14:paraId="2C6BD197"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C8FFA1E" w14:textId="2BDEF9C1" w:rsidR="004C23AC" w:rsidRPr="0045162A" w:rsidRDefault="004C23AC" w:rsidP="00FB56FE">
            <w:r w:rsidRPr="0045162A">
              <w:t>In the ‘Precautions’ section, the PI should contain a statement on injection site bleeding and patients that have risk factors for bleeding events.</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1B62B40" w14:textId="4F0E3306" w:rsidR="004C23AC" w:rsidRPr="0045162A" w:rsidRDefault="004C23AC" w:rsidP="00FB56FE">
            <w:r w:rsidRPr="0045162A">
              <w:t xml:space="preserve">The following paragraph has been included in the Precautions section of the PI: </w:t>
            </w:r>
            <w:r w:rsidR="00B7188E" w:rsidRPr="0045162A">
              <w:t>’</w:t>
            </w:r>
            <w:proofErr w:type="spellStart"/>
            <w:r w:rsidRPr="0045162A">
              <w:t>B</w:t>
            </w:r>
            <w:r w:rsidR="00FD063C" w:rsidRPr="0045162A">
              <w:t>elkyra</w:t>
            </w:r>
            <w:proofErr w:type="spellEnd"/>
            <w:r w:rsidRPr="0045162A">
              <w:t xml:space="preserve"> should be used with caution in patients with bleeding abnormalities or who are currently being treated with antiplatelet or anticoagulant therapy as excessive bleeding or bruising in the treatment area may occur.</w:t>
            </w:r>
            <w:r w:rsidR="00B7188E" w:rsidRPr="0045162A">
              <w:t>’</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4A5EC6C" w14:textId="77777777" w:rsidR="004C23AC" w:rsidRPr="0045162A" w:rsidRDefault="004C23AC" w:rsidP="00FB56FE">
            <w:r w:rsidRPr="0045162A">
              <w:t>This is considered acceptable for RMP purposes subject to approval by the Delegate.</w:t>
            </w:r>
          </w:p>
        </w:tc>
      </w:tr>
      <w:tr w:rsidR="00C92AE4" w:rsidRPr="0045162A" w14:paraId="36834D2C"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27FDBD5" w14:textId="7E976CF4" w:rsidR="004C23AC" w:rsidRPr="0045162A" w:rsidRDefault="004C23AC" w:rsidP="00FB56FE">
            <w:r w:rsidRPr="0045162A">
              <w:t xml:space="preserve">In the </w:t>
            </w:r>
            <w:r w:rsidRPr="0045162A">
              <w:lastRenderedPageBreak/>
              <w:t>‘Interactions with other medicines’ section, the PI should contain information (or absence of information) on the use in conjunction with botulinum toxin.</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BEB8514" w14:textId="180DF1D0" w:rsidR="004C23AC" w:rsidRPr="0045162A" w:rsidRDefault="00FD063C" w:rsidP="00FB56FE">
            <w:r w:rsidRPr="0045162A">
              <w:lastRenderedPageBreak/>
              <w:t>The sponsor</w:t>
            </w:r>
            <w:r w:rsidR="004C23AC" w:rsidRPr="0045162A">
              <w:t xml:space="preserve"> has added the following </w:t>
            </w:r>
            <w:r w:rsidR="004C23AC" w:rsidRPr="0045162A">
              <w:lastRenderedPageBreak/>
              <w:t xml:space="preserve">sentence to the Interactions with other medicines section of the PI: </w:t>
            </w:r>
            <w:r w:rsidR="00B7188E" w:rsidRPr="0045162A">
              <w:t>‘</w:t>
            </w:r>
            <w:r w:rsidR="004C23AC" w:rsidRPr="0045162A">
              <w:t xml:space="preserve">The use of </w:t>
            </w:r>
            <w:proofErr w:type="spellStart"/>
            <w:r w:rsidR="004C23AC" w:rsidRPr="0045162A">
              <w:t>B</w:t>
            </w:r>
            <w:r w:rsidRPr="0045162A">
              <w:t>elkyra</w:t>
            </w:r>
            <w:proofErr w:type="spellEnd"/>
            <w:r w:rsidR="004C23AC" w:rsidRPr="0045162A">
              <w:t xml:space="preserve"> concomitantly with botulinum toxin has not been evaluated.</w:t>
            </w:r>
            <w:r w:rsidR="00B7188E" w:rsidRPr="0045162A">
              <w:t>’</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55D4741" w14:textId="77777777" w:rsidR="004C23AC" w:rsidRPr="0045162A" w:rsidRDefault="004C23AC" w:rsidP="00FB56FE">
            <w:r w:rsidRPr="0045162A">
              <w:lastRenderedPageBreak/>
              <w:t xml:space="preserve">This is </w:t>
            </w:r>
            <w:r w:rsidRPr="0045162A">
              <w:lastRenderedPageBreak/>
              <w:t>considered acceptable for RMP purposes subject to approval by the Delegate.</w:t>
            </w:r>
          </w:p>
        </w:tc>
      </w:tr>
      <w:tr w:rsidR="00C92AE4" w:rsidRPr="0045162A" w14:paraId="54FBA0A6"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51B0502" w14:textId="79E29C08" w:rsidR="004C23AC" w:rsidRPr="0045162A" w:rsidRDefault="004C23AC" w:rsidP="00FB56FE">
            <w:r w:rsidRPr="0045162A">
              <w:lastRenderedPageBreak/>
              <w:t>In the ‘Adverse events’ section, the PI should contain information on adverse events from all relevant studies.</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EB1110A" w14:textId="68498616" w:rsidR="004C23AC" w:rsidRPr="0045162A" w:rsidRDefault="004C23AC" w:rsidP="00FB56FE">
            <w:r w:rsidRPr="0045162A">
              <w:t>The Adverse Events table has been revised to include events from the randomi</w:t>
            </w:r>
            <w:r w:rsidR="00FD063C" w:rsidRPr="0045162A">
              <w:t>s</w:t>
            </w:r>
            <w:r w:rsidRPr="0045162A">
              <w:t>ed, contr</w:t>
            </w:r>
            <w:r w:rsidR="00FD063C" w:rsidRPr="0045162A">
              <w:t>olled studies in submental fat.</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9E79994" w14:textId="77777777" w:rsidR="004C23AC" w:rsidRPr="0045162A" w:rsidRDefault="004C23AC" w:rsidP="00FB56FE">
            <w:r w:rsidRPr="0045162A">
              <w:t>This is considered acceptable for RMP purposes subject to approval by the Delegate.</w:t>
            </w:r>
          </w:p>
        </w:tc>
      </w:tr>
      <w:tr w:rsidR="00C92AE4" w:rsidRPr="0045162A" w14:paraId="633FA130"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38047AB" w14:textId="490A779C" w:rsidR="004C23AC" w:rsidRPr="0045162A" w:rsidRDefault="004C23AC" w:rsidP="00FB56FE">
            <w:r w:rsidRPr="0045162A">
              <w:t>In the ‘Adverse Events’ section, the PI should additionally present adverse events in a table that allows easy visualisation of the adverse events according to body system and frequency.</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B4A4D94" w14:textId="0588C556" w:rsidR="004C23AC" w:rsidRPr="0045162A" w:rsidRDefault="004C23AC" w:rsidP="00FB56FE">
            <w:r w:rsidRPr="0045162A">
              <w:t>The updated Adverse Events table presents the information according to body system and frequency.</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C8EF452" w14:textId="77777777" w:rsidR="004C23AC" w:rsidRPr="0045162A" w:rsidRDefault="004C23AC" w:rsidP="00FB56FE">
            <w:r w:rsidRPr="0045162A">
              <w:t>This is considered acceptable for RMP purposes subject to approval by the Delegate.</w:t>
            </w:r>
          </w:p>
        </w:tc>
      </w:tr>
      <w:tr w:rsidR="00C92AE4" w:rsidRPr="0045162A" w14:paraId="7B96B19E"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44EF55F" w14:textId="0E4BFB58" w:rsidR="004C23AC" w:rsidRPr="0045162A" w:rsidRDefault="004C23AC" w:rsidP="00FB56FE">
            <w:r w:rsidRPr="0045162A">
              <w:t xml:space="preserve">In the ‘Dosage and Administration’ section, the PI should contain the additional information that is currently contained in the relevant section of the FDA label for </w:t>
            </w:r>
            <w:proofErr w:type="spellStart"/>
            <w:r w:rsidR="00FD063C" w:rsidRPr="0045162A">
              <w:t>Belkyra</w:t>
            </w:r>
            <w:proofErr w:type="spellEnd"/>
            <w:r w:rsidRPr="0045162A">
              <w:t xml:space="preserve">, in </w:t>
            </w:r>
            <w:r w:rsidRPr="0045162A">
              <w:lastRenderedPageBreak/>
              <w:t>particular the information on platysma and post-</w:t>
            </w:r>
            <w:proofErr w:type="spellStart"/>
            <w:r w:rsidRPr="0045162A">
              <w:t>platysmal</w:t>
            </w:r>
            <w:proofErr w:type="spellEnd"/>
            <w:r w:rsidRPr="0045162A">
              <w:t xml:space="preserve"> fat.</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5087BEB" w14:textId="6A0280B7" w:rsidR="004C23AC" w:rsidRPr="0045162A" w:rsidRDefault="004C23AC" w:rsidP="00FB56FE">
            <w:r w:rsidRPr="0045162A">
              <w:lastRenderedPageBreak/>
              <w:t>The Dosage and Administration section of the PI has been revised as requested and is now consiste</w:t>
            </w:r>
            <w:r w:rsidR="00414872" w:rsidRPr="0045162A">
              <w:t>nt with the FDA</w:t>
            </w:r>
            <w:r w:rsidR="00B7188E" w:rsidRPr="0045162A">
              <w:t xml:space="preserve"> </w:t>
            </w:r>
            <w:r w:rsidR="00414872" w:rsidRPr="0045162A">
              <w:t>approved label.</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186CDED" w14:textId="5BB6D543" w:rsidR="004C23AC" w:rsidRPr="0045162A" w:rsidRDefault="00FD063C" w:rsidP="00FB56FE">
            <w:r w:rsidRPr="0045162A">
              <w:t>As above.</w:t>
            </w:r>
          </w:p>
        </w:tc>
      </w:tr>
      <w:tr w:rsidR="00C92AE4" w:rsidRPr="0045162A" w14:paraId="488338C3" w14:textId="77777777" w:rsidTr="00C92AE4">
        <w:tc>
          <w:tcPr>
            <w:tcW w:w="120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40881C3" w14:textId="7D10E99B" w:rsidR="004C23AC" w:rsidRPr="0045162A" w:rsidRDefault="004C23AC" w:rsidP="00FB56FE">
            <w:r w:rsidRPr="0045162A">
              <w:lastRenderedPageBreak/>
              <w:t xml:space="preserve">It is recommended to the Delegate that the draft consumer medicines information </w:t>
            </w:r>
            <w:r w:rsidR="00B7188E" w:rsidRPr="0045162A">
              <w:t xml:space="preserve">(CMI) </w:t>
            </w:r>
            <w:r w:rsidRPr="0045162A">
              <w:t xml:space="preserve">document be revised to accommodate the changes made to the </w:t>
            </w:r>
            <w:r w:rsidR="00B7188E" w:rsidRPr="0045162A">
              <w:t>PI</w:t>
            </w:r>
            <w:r w:rsidRPr="0045162A">
              <w:t>.</w:t>
            </w:r>
          </w:p>
        </w:tc>
        <w:tc>
          <w:tcPr>
            <w:tcW w:w="26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81162E1" w14:textId="4A3E6502" w:rsidR="004C23AC" w:rsidRPr="0045162A" w:rsidRDefault="004C23AC" w:rsidP="00FB56FE">
            <w:r w:rsidRPr="0045162A">
              <w:t>The CMI has been revised to accommodate the changes made to the PI document. The updated CMI is provided</w:t>
            </w:r>
            <w:r w:rsidR="00812B62" w:rsidRPr="0045162A">
              <w:t>.</w:t>
            </w:r>
          </w:p>
        </w:tc>
        <w:tc>
          <w:tcPr>
            <w:tcW w:w="111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E0B09C9" w14:textId="0CDFFB74" w:rsidR="004C23AC" w:rsidRPr="0045162A" w:rsidRDefault="0063512E" w:rsidP="00FB56FE">
            <w:r w:rsidRPr="0045162A">
              <w:t>As above.</w:t>
            </w:r>
          </w:p>
        </w:tc>
      </w:tr>
    </w:tbl>
    <w:p w14:paraId="1D3B50A9" w14:textId="77777777" w:rsidR="00875AB1" w:rsidRPr="00875AB1" w:rsidRDefault="00875AB1" w:rsidP="003E07B6">
      <w:pPr>
        <w:pStyle w:val="Heading4"/>
      </w:pPr>
      <w:r w:rsidRPr="00875AB1">
        <w:t>Advice from the Advisory Committee on the Safety of Medicines (ACSOM)</w:t>
      </w:r>
      <w:bookmarkStart w:id="124" w:name="_Toc410136301"/>
      <w:bookmarkStart w:id="125" w:name="_Toc410136456"/>
      <w:bookmarkStart w:id="126" w:name="_Toc411932748"/>
      <w:bookmarkStart w:id="127" w:name="_Toc412039074"/>
      <w:bookmarkStart w:id="128" w:name="_Toc415233765"/>
      <w:bookmarkStart w:id="129" w:name="_Toc417918429"/>
      <w:bookmarkStart w:id="130" w:name="_Toc418171546"/>
      <w:bookmarkStart w:id="131" w:name="_Toc422831024"/>
      <w:bookmarkStart w:id="132" w:name="_Toc422918053"/>
      <w:bookmarkStart w:id="133" w:name="_Toc422919605"/>
      <w:bookmarkStart w:id="134" w:name="_Toc423947233"/>
      <w:bookmarkStart w:id="135" w:name="_Toc428542317"/>
    </w:p>
    <w:bookmarkEnd w:id="124"/>
    <w:bookmarkEnd w:id="125"/>
    <w:bookmarkEnd w:id="126"/>
    <w:bookmarkEnd w:id="127"/>
    <w:bookmarkEnd w:id="128"/>
    <w:bookmarkEnd w:id="129"/>
    <w:bookmarkEnd w:id="130"/>
    <w:bookmarkEnd w:id="131"/>
    <w:bookmarkEnd w:id="132"/>
    <w:bookmarkEnd w:id="133"/>
    <w:bookmarkEnd w:id="134"/>
    <w:bookmarkEnd w:id="135"/>
    <w:p w14:paraId="0CC8B91A" w14:textId="6EB8F37F" w:rsidR="00875AB1" w:rsidRPr="00875AB1" w:rsidRDefault="00875AB1" w:rsidP="00B7188E">
      <w:r w:rsidRPr="00875AB1">
        <w:t>The committee provided advice on specific questions asked</w:t>
      </w:r>
      <w:bookmarkStart w:id="136" w:name="_Toc428542321"/>
      <w:r w:rsidR="003E07B6">
        <w:t xml:space="preserve"> by the TGA relating to the RMP:</w:t>
      </w:r>
    </w:p>
    <w:bookmarkEnd w:id="136"/>
    <w:p w14:paraId="289F40C7" w14:textId="77777777" w:rsidR="00875AB1" w:rsidRPr="003E07B6" w:rsidRDefault="00875AB1" w:rsidP="003E07B6">
      <w:pPr>
        <w:pStyle w:val="Numberbullet0"/>
        <w:rPr>
          <w:i/>
        </w:rPr>
      </w:pPr>
      <w:r w:rsidRPr="003E07B6">
        <w:rPr>
          <w:i/>
        </w:rPr>
        <w:t>Can the committee comment on the need for additional pharmacovigilance activities, such as a drug utilisation study, to evaluate the risk of off-label use further?</w:t>
      </w:r>
    </w:p>
    <w:p w14:paraId="0084DEB9" w14:textId="65D3A081" w:rsidR="00875AB1" w:rsidRPr="00875AB1" w:rsidRDefault="00875AB1" w:rsidP="00875AB1">
      <w:r w:rsidRPr="00875AB1">
        <w:t xml:space="preserve">The committee identified that off-label use is highly likely and could occur via departures from the proposed </w:t>
      </w:r>
      <w:r w:rsidR="00B60D4C">
        <w:t>PI</w:t>
      </w:r>
      <w:r w:rsidRPr="00875AB1">
        <w:t xml:space="preserve"> at several points:</w:t>
      </w:r>
    </w:p>
    <w:p w14:paraId="04611D2D" w14:textId="27D53D82" w:rsidR="00875AB1" w:rsidRPr="00875AB1" w:rsidRDefault="003E07B6" w:rsidP="003E07B6">
      <w:pPr>
        <w:pStyle w:val="ListBullet"/>
      </w:pPr>
      <w:r>
        <w:t>Use in children</w:t>
      </w:r>
      <w:r w:rsidR="00875AB1" w:rsidRPr="00875AB1">
        <w:t xml:space="preserve"> rather than in adults as indicated</w:t>
      </w:r>
      <w:r>
        <w:t>.</w:t>
      </w:r>
    </w:p>
    <w:p w14:paraId="1CA90325" w14:textId="77777777" w:rsidR="00875AB1" w:rsidRPr="00875AB1" w:rsidRDefault="00875AB1" w:rsidP="003E07B6">
      <w:pPr>
        <w:pStyle w:val="ListBullet"/>
      </w:pPr>
      <w:r w:rsidRPr="00875AB1">
        <w:t>Use in mild or extreme, rather than moderate to severe, convexity or fullness associated with submental fat. The committee noted that a clinician’s distinction between ‘mild/minimal’ and ‘moderate/prominent’ convexity may differ from a patient’s subjective view of their appearance. It was also noted that the patient’s expectations and treatment objectives may change (become more specific and demanding) across treatment sessions.</w:t>
      </w:r>
    </w:p>
    <w:p w14:paraId="1AEA5F78" w14:textId="1CF96CF2" w:rsidR="00875AB1" w:rsidRPr="00875AB1" w:rsidRDefault="003E07B6" w:rsidP="003E07B6">
      <w:pPr>
        <w:pStyle w:val="ListBullet"/>
      </w:pPr>
      <w:r>
        <w:t xml:space="preserve">Use outside approved indication such as </w:t>
      </w:r>
      <w:r w:rsidR="00875AB1" w:rsidRPr="00875AB1">
        <w:t>aesthetic sculpting.</w:t>
      </w:r>
    </w:p>
    <w:p w14:paraId="2C5D3B8D" w14:textId="07D71291" w:rsidR="00875AB1" w:rsidRPr="00875AB1" w:rsidRDefault="00875AB1" w:rsidP="003E07B6">
      <w:pPr>
        <w:pStyle w:val="ListBullet"/>
      </w:pPr>
      <w:r w:rsidRPr="00875AB1">
        <w:t xml:space="preserve">Use in fat deposits other than submental fat. The committee noted the existence of numerous media and social media items about the use of </w:t>
      </w:r>
      <w:proofErr w:type="spellStart"/>
      <w:r w:rsidRPr="00875AB1">
        <w:t>deoxycholic</w:t>
      </w:r>
      <w:proofErr w:type="spellEnd"/>
      <w:r w:rsidRPr="00875AB1">
        <w:t xml:space="preserve"> acid to ‘melt fa</w:t>
      </w:r>
      <w:r w:rsidR="00A95595">
        <w:t>t from other parts of the body’</w:t>
      </w:r>
      <w:r w:rsidRPr="00875AB1">
        <w:t xml:space="preserve"> such as under the eyes.</w:t>
      </w:r>
    </w:p>
    <w:p w14:paraId="0FC24DDB" w14:textId="71493F40" w:rsidR="00875AB1" w:rsidRPr="00875AB1" w:rsidRDefault="00875AB1" w:rsidP="003E07B6">
      <w:pPr>
        <w:pStyle w:val="ListBullet"/>
      </w:pPr>
      <w:r w:rsidRPr="00875AB1">
        <w:t>More intensive therapy, via modification to volume per inj</w:t>
      </w:r>
      <w:r w:rsidR="00A95595">
        <w:t xml:space="preserve">ection, injections per session </w:t>
      </w:r>
      <w:r w:rsidRPr="00875AB1">
        <w:t>and/or interval between sessions.</w:t>
      </w:r>
    </w:p>
    <w:p w14:paraId="2C317A2D" w14:textId="77777777" w:rsidR="00875AB1" w:rsidRPr="00875AB1" w:rsidRDefault="00875AB1" w:rsidP="003E07B6">
      <w:pPr>
        <w:pStyle w:val="ListBullet"/>
      </w:pPr>
      <w:r w:rsidRPr="00875AB1">
        <w:t>Administration by health practitioners other than the prescriber.</w:t>
      </w:r>
    </w:p>
    <w:p w14:paraId="0128E79B" w14:textId="77777777" w:rsidR="00875AB1" w:rsidRPr="00875AB1" w:rsidRDefault="00875AB1" w:rsidP="00875AB1">
      <w:r w:rsidRPr="00875AB1">
        <w:t xml:space="preserve">The committee noted that as the PI advises that the number of treatment sessions needed to achieve a satisfactory response depends on the individual patient, it was unclear if use exceeding six treatments across approximately 20 weeks (as allowed in clinical trials) is </w:t>
      </w:r>
      <w:r w:rsidRPr="00875AB1">
        <w:lastRenderedPageBreak/>
        <w:t xml:space="preserve">considered to be off-label use. ACSOM advised that the PI should be clarified in this regard and that the usage allowed in clinical trials should not be exceeded until further studies which assess </w:t>
      </w:r>
      <w:proofErr w:type="spellStart"/>
      <w:r w:rsidRPr="00875AB1">
        <w:t>deoxycholic</w:t>
      </w:r>
      <w:proofErr w:type="spellEnd"/>
      <w:r w:rsidRPr="00875AB1">
        <w:t xml:space="preserve"> acid’s risks and benefits are carried out.</w:t>
      </w:r>
    </w:p>
    <w:p w14:paraId="412C9756" w14:textId="220C744F" w:rsidR="00875AB1" w:rsidRPr="00875AB1" w:rsidRDefault="00875AB1" w:rsidP="00875AB1">
      <w:r w:rsidRPr="00875AB1">
        <w:t xml:space="preserve">The committee advised that a drug utilisation study is important, particularly to address use of </w:t>
      </w:r>
      <w:proofErr w:type="spellStart"/>
      <w:r w:rsidRPr="00875AB1">
        <w:t>deoxycholic</w:t>
      </w:r>
      <w:proofErr w:type="spellEnd"/>
      <w:r w:rsidRPr="00875AB1">
        <w:t xml:space="preserve"> acid in sites other than submental fat, the number of treatment sessions, and administration by health practitioners other than prescribers. Such a study would also be useful to determine </w:t>
      </w:r>
      <w:proofErr w:type="spellStart"/>
      <w:r w:rsidRPr="00875AB1">
        <w:t>deoxycholic</w:t>
      </w:r>
      <w:proofErr w:type="spellEnd"/>
      <w:r w:rsidRPr="00875AB1">
        <w:t xml:space="preserve"> acid’s effectiveness / outcomes compared to the number of treatment sessions.</w:t>
      </w:r>
    </w:p>
    <w:p w14:paraId="66B68B0B" w14:textId="77777777" w:rsidR="00875AB1" w:rsidRPr="00875AB1" w:rsidRDefault="00875AB1" w:rsidP="00875AB1">
      <w:r w:rsidRPr="00875AB1">
        <w:t>The committee noted that advice on the costs and funding of any such drug utilisation study is outside of the ACSOM terms of reference.</w:t>
      </w:r>
    </w:p>
    <w:p w14:paraId="040105CF" w14:textId="77777777" w:rsidR="00875AB1" w:rsidRPr="00A95595" w:rsidRDefault="00875AB1" w:rsidP="00A95595">
      <w:pPr>
        <w:pStyle w:val="Numberbullet0"/>
        <w:rPr>
          <w:i/>
        </w:rPr>
      </w:pPr>
      <w:r w:rsidRPr="00A95595">
        <w:rPr>
          <w:i/>
        </w:rPr>
        <w:t xml:space="preserve">Can the committee comment on the adequacy of the proposed additional risk minimisation activities, including measures to ensure that only medical practitioners sufficiently familiar with </w:t>
      </w:r>
      <w:proofErr w:type="spellStart"/>
      <w:r w:rsidRPr="00A95595">
        <w:rPr>
          <w:i/>
        </w:rPr>
        <w:t>deoxycholic</w:t>
      </w:r>
      <w:proofErr w:type="spellEnd"/>
      <w:r w:rsidRPr="00A95595">
        <w:rPr>
          <w:i/>
        </w:rPr>
        <w:t xml:space="preserve"> acid and its use within the approved indication are able to use this product?</w:t>
      </w:r>
    </w:p>
    <w:p w14:paraId="36487D63" w14:textId="16094ACB" w:rsidR="00875AB1" w:rsidRPr="00875AB1" w:rsidRDefault="00875AB1" w:rsidP="00875AB1">
      <w:r w:rsidRPr="00875AB1">
        <w:t>The Dosage and Administration section of the proposed PI</w:t>
      </w:r>
      <w:r w:rsidR="00A95595">
        <w:t xml:space="preserve"> includes the following advice:</w:t>
      </w:r>
    </w:p>
    <w:p w14:paraId="15FF18BB" w14:textId="118DEB97" w:rsidR="00875AB1" w:rsidRPr="00875AB1" w:rsidRDefault="00875AB1" w:rsidP="00BB75B1">
      <w:pPr>
        <w:pStyle w:val="ListBullet"/>
        <w:numPr>
          <w:ilvl w:val="0"/>
          <w:numId w:val="0"/>
        </w:numPr>
        <w:ind w:left="360" w:hanging="360"/>
      </w:pPr>
      <w:r w:rsidRPr="00BB75B1">
        <w:rPr>
          <w:i/>
        </w:rPr>
        <w:t>Healt</w:t>
      </w:r>
      <w:r w:rsidR="00A95595" w:rsidRPr="00BB75B1">
        <w:rPr>
          <w:i/>
        </w:rPr>
        <w:t xml:space="preserve">h professionals administering </w:t>
      </w:r>
      <w:proofErr w:type="spellStart"/>
      <w:r w:rsidR="00A95595" w:rsidRPr="00BB75B1">
        <w:rPr>
          <w:i/>
        </w:rPr>
        <w:t>Belkyra</w:t>
      </w:r>
      <w:proofErr w:type="spellEnd"/>
      <w:r w:rsidRPr="00BB75B1">
        <w:rPr>
          <w:i/>
        </w:rPr>
        <w:t xml:space="preserve"> must understand the relevant submental anatomy and associated neuromuscular structures in the area involved and any alterations to the anatomy due to prior surgical or aesthetic procedures</w:t>
      </w:r>
      <w:r w:rsidRPr="00875AB1">
        <w:t>.</w:t>
      </w:r>
    </w:p>
    <w:p w14:paraId="09DAB2BB" w14:textId="0C93B38F" w:rsidR="00875AB1" w:rsidRPr="00875AB1" w:rsidRDefault="00875AB1" w:rsidP="00875AB1">
      <w:r w:rsidRPr="00875AB1">
        <w:t xml:space="preserve">The committee endorsed these statements. The anatomy of the area is complex and a thorough understanding of external and internal features and their boundaries and variability is essential for undertaking administration of </w:t>
      </w:r>
      <w:proofErr w:type="spellStart"/>
      <w:r w:rsidRPr="00875AB1">
        <w:t>deoxycholic</w:t>
      </w:r>
      <w:proofErr w:type="spellEnd"/>
      <w:r w:rsidRPr="00875AB1">
        <w:t xml:space="preserve"> acid. A member advised that knowledge of the facial anatomy that is critical for the administering practitioner to consider prior to injection include: palpation of the anatomical landmarks – such as mandible and hyoid bone; and delineation of submental triangle, course of marginal mandibular nerve and ‘danger zone’ for injection. This knowledge is needed to avoid injection close to the possible location of the marginal mandibular nerve.</w:t>
      </w:r>
    </w:p>
    <w:p w14:paraId="02B19983" w14:textId="195C352A" w:rsidR="00875AB1" w:rsidRPr="00875AB1" w:rsidRDefault="00875AB1" w:rsidP="00875AB1">
      <w:r w:rsidRPr="00875AB1">
        <w:t xml:space="preserve">Cases of marginal mandibular nerve motor </w:t>
      </w:r>
      <w:proofErr w:type="spellStart"/>
      <w:r w:rsidRPr="00875AB1">
        <w:t>neuropraxia</w:t>
      </w:r>
      <w:proofErr w:type="spellEnd"/>
      <w:r w:rsidRPr="00875AB1">
        <w:t xml:space="preserve"> occurred in clinical trials, with this nerve damage lasting for a median of 45 days. Such injury to the cervical and marginal mandibular branches of the facial nerve can result in compromised perioral motor function, including an asymmetric smile and facial muscle weakness. Risks of nerve damage may be higher in later treatment sessions, as existent submental fat will have relatively protected vulnerable structures during earlier treatment sessions.</w:t>
      </w:r>
    </w:p>
    <w:p w14:paraId="25D51436" w14:textId="5F259FD5" w:rsidR="00875AB1" w:rsidRPr="00875AB1" w:rsidRDefault="00875AB1" w:rsidP="00875AB1">
      <w:r w:rsidRPr="00875AB1">
        <w:t xml:space="preserve">The committee advised that use of </w:t>
      </w:r>
      <w:proofErr w:type="spellStart"/>
      <w:r w:rsidRPr="00875AB1">
        <w:t>deoxycholic</w:t>
      </w:r>
      <w:proofErr w:type="spellEnd"/>
      <w:r w:rsidRPr="00875AB1">
        <w:t xml:space="preserve"> acid should be limited to practitioners with experience in head and neck surgery (</w:t>
      </w:r>
      <w:r w:rsidR="00B7188E">
        <w:t>for example,</w:t>
      </w:r>
      <w:r w:rsidRPr="00875AB1">
        <w:t xml:space="preserve"> head and neck surgeons (otolaryngologists)</w:t>
      </w:r>
      <w:r w:rsidR="00404977">
        <w:t xml:space="preserve"> and</w:t>
      </w:r>
      <w:r w:rsidRPr="00875AB1">
        <w:t xml:space="preserve"> plastic surgeons). For example, Fellows of the colleges for otolaryngology and plastic surgery could be assumed to have sufficient background knowledge and experience to be able to prescribe and administer </w:t>
      </w:r>
      <w:proofErr w:type="spellStart"/>
      <w:r w:rsidRPr="00875AB1">
        <w:t>deoxycholic</w:t>
      </w:r>
      <w:proofErr w:type="spellEnd"/>
      <w:r w:rsidRPr="00875AB1">
        <w:t xml:space="preserve"> acid safely. Medical practitioners without experience in head and neck surgery would require rigorous education and training, preferably accredited by a relevant specialist college; successful completion of such training should be mandatory before a practitioner can prescribe and administer </w:t>
      </w:r>
      <w:proofErr w:type="spellStart"/>
      <w:r w:rsidRPr="00875AB1">
        <w:t>deoxycholic</w:t>
      </w:r>
      <w:proofErr w:type="spellEnd"/>
      <w:r w:rsidRPr="00875AB1">
        <w:t xml:space="preserve"> acid.</w:t>
      </w:r>
    </w:p>
    <w:p w14:paraId="7D1DA058" w14:textId="0A191458" w:rsidR="00875AB1" w:rsidRPr="00875AB1" w:rsidRDefault="00875AB1" w:rsidP="00875AB1">
      <w:r w:rsidRPr="00875AB1">
        <w:t xml:space="preserve">Only medical practitioners sufficiently familiar with </w:t>
      </w:r>
      <w:proofErr w:type="spellStart"/>
      <w:r w:rsidRPr="00875AB1">
        <w:t>deoxycholic</w:t>
      </w:r>
      <w:proofErr w:type="spellEnd"/>
      <w:r w:rsidRPr="00875AB1">
        <w:t xml:space="preserve"> acid and its use within the approved indication should be able to prescribe this medicine. The committee was advised that the TGA has experience in making decisions that require sponsors to conduct risk management activities such as prescriber training, controlled distribution, and for supply of the medicine to be contingent on the would-be prescriber satisfying training requirements.</w:t>
      </w:r>
    </w:p>
    <w:p w14:paraId="53C2E697" w14:textId="4E1E14DE" w:rsidR="00875AB1" w:rsidRPr="00875AB1" w:rsidRDefault="00875AB1" w:rsidP="00875AB1">
      <w:r w:rsidRPr="00875AB1">
        <w:t xml:space="preserve">The committee was concerned that the incidence of adverse events could increase if unrestricted use of </w:t>
      </w:r>
      <w:proofErr w:type="spellStart"/>
      <w:r w:rsidRPr="00875AB1">
        <w:t>deoxycholic</w:t>
      </w:r>
      <w:proofErr w:type="spellEnd"/>
      <w:r w:rsidRPr="00875AB1">
        <w:t xml:space="preserve"> acid was permitted. Practitioners experienced with the use of botulinum toxins or liposuction may not necessarily have the appropriate skills and </w:t>
      </w:r>
      <w:r w:rsidRPr="00875AB1">
        <w:lastRenderedPageBreak/>
        <w:t xml:space="preserve">experience with regard to knowledge of the facial anatomy and use of </w:t>
      </w:r>
      <w:proofErr w:type="spellStart"/>
      <w:r w:rsidRPr="00875AB1">
        <w:t>deoxycholic</w:t>
      </w:r>
      <w:proofErr w:type="spellEnd"/>
      <w:r w:rsidRPr="00875AB1">
        <w:t xml:space="preserve"> acid. The committee advised against administration by nurses or other health practitioners.</w:t>
      </w:r>
    </w:p>
    <w:p w14:paraId="7715132E" w14:textId="77777777" w:rsidR="00875AB1" w:rsidRPr="00875AB1" w:rsidRDefault="00875AB1" w:rsidP="00875AB1">
      <w:r w:rsidRPr="00875AB1">
        <w:t>The committee advised that the education strategy (training questionnaire) outlined by the sponsor is inadequate to determine if a trainee possesses the adequate skills.</w:t>
      </w:r>
    </w:p>
    <w:p w14:paraId="2213B37A" w14:textId="41719A93" w:rsidR="00875AB1" w:rsidRPr="00875AB1" w:rsidRDefault="00875AB1" w:rsidP="00875AB1">
      <w:r w:rsidRPr="00875AB1">
        <w:t>A thorough understanding of the anatomy will also support patient counselling and management of patient expectations. For example, only the fat in front of the platysma muscle (pre-</w:t>
      </w:r>
      <w:proofErr w:type="spellStart"/>
      <w:r w:rsidRPr="00875AB1">
        <w:t>platysmal</w:t>
      </w:r>
      <w:proofErr w:type="spellEnd"/>
      <w:r w:rsidRPr="00875AB1">
        <w:t xml:space="preserve"> fat) is suited to </w:t>
      </w:r>
      <w:proofErr w:type="spellStart"/>
      <w:r w:rsidRPr="00875AB1">
        <w:t>deoxycholic</w:t>
      </w:r>
      <w:proofErr w:type="spellEnd"/>
      <w:r w:rsidRPr="00875AB1">
        <w:t xml:space="preserve"> acid treatment and </w:t>
      </w:r>
      <w:r w:rsidR="00822418">
        <w:t>it</w:t>
      </w:r>
      <w:r w:rsidR="00822418" w:rsidRPr="00875AB1">
        <w:t xml:space="preserve"> </w:t>
      </w:r>
      <w:r w:rsidRPr="00875AB1">
        <w:t>accounts for no more than 70% of the fat in the submental area.</w:t>
      </w:r>
    </w:p>
    <w:p w14:paraId="6AC58154" w14:textId="4BC43AE1" w:rsidR="00875AB1" w:rsidRPr="00875AB1" w:rsidRDefault="00875AB1" w:rsidP="00875AB1">
      <w:r w:rsidRPr="00875AB1">
        <w:t xml:space="preserve">Apart from hypersensitivity to </w:t>
      </w:r>
      <w:proofErr w:type="spellStart"/>
      <w:r w:rsidRPr="00875AB1">
        <w:t>deoxycholic</w:t>
      </w:r>
      <w:proofErr w:type="spellEnd"/>
      <w:r w:rsidRPr="00875AB1">
        <w:t xml:space="preserve"> acid, the only contraindication mentioned in the PI is infection in the treatment area. ACSOM advised that this is insufficient to manage the risks of </w:t>
      </w:r>
      <w:proofErr w:type="spellStart"/>
      <w:r w:rsidRPr="00875AB1">
        <w:t>deoxycholic</w:t>
      </w:r>
      <w:proofErr w:type="spellEnd"/>
      <w:r w:rsidRPr="00875AB1">
        <w:t xml:space="preserve"> acid injections. Absolute contraindications need to be expanded to include: submental or cervical gland lymphadenopathy; dysphagia of unknown origin or of known upper aero-digestive tract origin; induration, swelling, inflammation in the treatment area; facial nerve paralysis, or facial nerve weakness (paresis). Relative contraindications for injections are: thyroid gland enlargement (</w:t>
      </w:r>
      <w:proofErr w:type="spellStart"/>
      <w:r w:rsidRPr="00875AB1">
        <w:t>thyromegaly</w:t>
      </w:r>
      <w:proofErr w:type="spellEnd"/>
      <w:r w:rsidRPr="00875AB1">
        <w:t xml:space="preserve">); inferiorly located submandibular glands – </w:t>
      </w:r>
      <w:proofErr w:type="spellStart"/>
      <w:r w:rsidRPr="00875AB1">
        <w:t>ptosed</w:t>
      </w:r>
      <w:proofErr w:type="spellEnd"/>
      <w:r w:rsidRPr="00875AB1">
        <w:t xml:space="preserve"> submandibular glands; prominent </w:t>
      </w:r>
      <w:proofErr w:type="spellStart"/>
      <w:r w:rsidRPr="00875AB1">
        <w:t>platysmal</w:t>
      </w:r>
      <w:proofErr w:type="spellEnd"/>
      <w:r w:rsidRPr="00875AB1">
        <w:t xml:space="preserve"> bands with minimal fat excess; excessive skin laxity; scar tissue from previous trauma or surgery; prior surgical or non-surgical or minimally invasive procedures in the area of injections.</w:t>
      </w:r>
    </w:p>
    <w:p w14:paraId="11A5B5C7" w14:textId="56AB5787" w:rsidR="00875AB1" w:rsidRDefault="00875AB1">
      <w:r w:rsidRPr="00875AB1">
        <w:t>The committee also noted that the PI was silent on how long patients should remain under observation before discharge from the clinic.</w:t>
      </w:r>
    </w:p>
    <w:p w14:paraId="5061D923" w14:textId="4BFC08EA" w:rsidR="008E7846" w:rsidRDefault="008E7846" w:rsidP="00C9241A">
      <w:pPr>
        <w:pStyle w:val="Heading5"/>
        <w:rPr>
          <w:lang w:eastAsia="en-AU"/>
        </w:rPr>
      </w:pPr>
      <w:r>
        <w:rPr>
          <w:lang w:eastAsia="en-AU"/>
        </w:rPr>
        <w:t xml:space="preserve">Summary of </w:t>
      </w:r>
      <w:r w:rsidR="003A7F6C">
        <w:rPr>
          <w:lang w:eastAsia="en-AU"/>
        </w:rPr>
        <w:t>r</w:t>
      </w:r>
      <w:r>
        <w:rPr>
          <w:lang w:eastAsia="en-AU"/>
        </w:rPr>
        <w:t>ecommendations</w:t>
      </w:r>
    </w:p>
    <w:p w14:paraId="5BD9F589" w14:textId="73363A50" w:rsidR="00DD405E" w:rsidRPr="00DD405E" w:rsidRDefault="00DD405E" w:rsidP="00C9241A">
      <w:pPr>
        <w:pStyle w:val="ListBullet"/>
      </w:pPr>
      <w:r w:rsidRPr="00DD405E">
        <w:t>The original sponsor submission contain</w:t>
      </w:r>
      <w:r w:rsidR="007D0468">
        <w:t>ed</w:t>
      </w:r>
      <w:r w:rsidRPr="00DD405E">
        <w:t xml:space="preserve"> </w:t>
      </w:r>
      <w:r w:rsidR="00C9241A">
        <w:t>M</w:t>
      </w:r>
      <w:r w:rsidRPr="00DD405E">
        <w:t xml:space="preserve">odules 2, 3, and 5 of the then proposed health care professional training program. Modules 1 and 4 (and potentially other modules) were missing. The sponsor should state which topic areas the missing </w:t>
      </w:r>
      <w:r w:rsidR="00C504E7">
        <w:t>modules contain and submit them.</w:t>
      </w:r>
    </w:p>
    <w:p w14:paraId="4280D4BC" w14:textId="42E9FFF1" w:rsidR="00DD405E" w:rsidRPr="00DD405E" w:rsidRDefault="00DD405E" w:rsidP="00C9241A">
      <w:pPr>
        <w:pStyle w:val="ListBullet"/>
      </w:pPr>
      <w:r w:rsidRPr="00DD405E">
        <w:t xml:space="preserve">The sponsor should provide a study protocol for the CONTOUR </w:t>
      </w:r>
      <w:r w:rsidR="00C504E7">
        <w:t xml:space="preserve">registry study. </w:t>
      </w:r>
      <w:r w:rsidRPr="00DD405E">
        <w:t>Furthermore, the sponsor should outline how this registry study will capture off-</w:t>
      </w:r>
      <w:r w:rsidR="00C504E7">
        <w:t>label use.</w:t>
      </w:r>
    </w:p>
    <w:p w14:paraId="718F65BF" w14:textId="105E81C2" w:rsidR="00DD405E" w:rsidRPr="00DD405E" w:rsidRDefault="00DD405E" w:rsidP="00C9241A">
      <w:pPr>
        <w:pStyle w:val="ListBullet"/>
      </w:pPr>
      <w:r w:rsidRPr="00DD405E">
        <w:t xml:space="preserve">Prescription, administration and supply of </w:t>
      </w:r>
      <w:proofErr w:type="spellStart"/>
      <w:r w:rsidRPr="00DD405E">
        <w:t>Belkyra</w:t>
      </w:r>
      <w:proofErr w:type="spellEnd"/>
      <w:r w:rsidRPr="00DD405E">
        <w:t xml:space="preserve"> should be restricted to medical practitioners that are fellows of the Royal Australasian College of Surgeons</w:t>
      </w:r>
      <w:r w:rsidR="00B60D4C">
        <w:t xml:space="preserve"> (RACS)</w:t>
      </w:r>
      <w:r w:rsidRPr="00DD405E">
        <w:t xml:space="preserve">. This would need to be reflected in the </w:t>
      </w:r>
      <w:r w:rsidR="00C504E7">
        <w:t>controlled distribution program or specifically</w:t>
      </w:r>
      <w:r w:rsidRPr="00DD405E">
        <w:t xml:space="preserve"> restrict</w:t>
      </w:r>
      <w:r w:rsidR="00C504E7">
        <w:t>ed supply to RACS fellows only.</w:t>
      </w:r>
    </w:p>
    <w:p w14:paraId="10B28712" w14:textId="492C6CC8" w:rsidR="00DD405E" w:rsidRPr="00DD405E" w:rsidRDefault="00DD405E" w:rsidP="00C9241A">
      <w:pPr>
        <w:pStyle w:val="ListBullet"/>
      </w:pPr>
      <w:r w:rsidRPr="00DD405E">
        <w:t>The spons</w:t>
      </w:r>
      <w:r w:rsidR="00C504E7">
        <w:t xml:space="preserve">or should provide the details (such as </w:t>
      </w:r>
      <w:r w:rsidRPr="00DD405E">
        <w:t>protocols) on how the effectiveness of the education programme will be</w:t>
      </w:r>
      <w:r w:rsidR="00C504E7">
        <w:t xml:space="preserve"> measured.</w:t>
      </w:r>
    </w:p>
    <w:p w14:paraId="613BF308" w14:textId="77777777" w:rsidR="008E7846" w:rsidRPr="00792A32" w:rsidRDefault="008E7846" w:rsidP="008E7846">
      <w:pPr>
        <w:pStyle w:val="Heading2"/>
      </w:pPr>
      <w:bookmarkStart w:id="137" w:name="_Toc314842510"/>
      <w:bookmarkStart w:id="138" w:name="_Toc482015709"/>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5"/>
      <w:bookmarkEnd w:id="123"/>
      <w:bookmarkEnd w:id="137"/>
      <w:bookmarkEnd w:id="138"/>
    </w:p>
    <w:p w14:paraId="53E76C05" w14:textId="77777777" w:rsidR="008E7846" w:rsidRDefault="008E7846" w:rsidP="008E7846">
      <w:bookmarkStart w:id="139" w:name="_Toc247691528"/>
      <w:r>
        <w:t xml:space="preserve">The submission was summarised in the following </w:t>
      </w:r>
      <w:r w:rsidRPr="00EF5C48">
        <w:t xml:space="preserve">Delegate’s </w:t>
      </w:r>
      <w:r>
        <w:t>overview</w:t>
      </w:r>
      <w:r w:rsidRPr="00EF5C48">
        <w:t xml:space="preserve"> and recommendation</w:t>
      </w:r>
      <w:r>
        <w:t>s:</w:t>
      </w:r>
    </w:p>
    <w:p w14:paraId="7027EE28" w14:textId="77777777" w:rsidR="008E7846" w:rsidRDefault="008E7846" w:rsidP="008E7846">
      <w:pPr>
        <w:pStyle w:val="Heading3"/>
      </w:pPr>
      <w:bookmarkStart w:id="140" w:name="_Toc314842511"/>
      <w:bookmarkStart w:id="141" w:name="_Toc482015710"/>
      <w:r>
        <w:t>Quality</w:t>
      </w:r>
      <w:bookmarkEnd w:id="139"/>
      <w:bookmarkEnd w:id="140"/>
      <w:bookmarkEnd w:id="141"/>
    </w:p>
    <w:p w14:paraId="050AE8D3" w14:textId="06E72C40" w:rsidR="007F1ADC" w:rsidRDefault="007F1ADC" w:rsidP="007F1ADC">
      <w:r>
        <w:t xml:space="preserve">Approval was recommended by the </w:t>
      </w:r>
      <w:r w:rsidR="00822418">
        <w:t>quality</w:t>
      </w:r>
      <w:r>
        <w:t xml:space="preserve"> evaluator.</w:t>
      </w:r>
    </w:p>
    <w:p w14:paraId="6689D867" w14:textId="77777777" w:rsidR="008E7846" w:rsidRDefault="008E7846" w:rsidP="008E7846">
      <w:pPr>
        <w:pStyle w:val="Heading3"/>
      </w:pPr>
      <w:bookmarkStart w:id="142" w:name="_Toc314842512"/>
      <w:bookmarkStart w:id="143" w:name="_Toc482015711"/>
      <w:r>
        <w:lastRenderedPageBreak/>
        <w:t>Nonclinical</w:t>
      </w:r>
      <w:bookmarkEnd w:id="142"/>
      <w:bookmarkEnd w:id="143"/>
    </w:p>
    <w:p w14:paraId="72AC794D" w14:textId="462553DC" w:rsidR="007F1ADC" w:rsidRPr="007F1ADC" w:rsidRDefault="007F1ADC" w:rsidP="007F1ADC">
      <w:bookmarkStart w:id="144" w:name="_Toc247691530"/>
      <w:bookmarkStart w:id="145" w:name="_Toc314842513"/>
      <w:r w:rsidRPr="007F1ADC">
        <w:t xml:space="preserve">There were no nonclinical objections to the registration of </w:t>
      </w:r>
      <w:proofErr w:type="spellStart"/>
      <w:r w:rsidRPr="007F1ADC">
        <w:t>B</w:t>
      </w:r>
      <w:r>
        <w:t>elkyra</w:t>
      </w:r>
      <w:proofErr w:type="spellEnd"/>
      <w:r w:rsidRPr="007F1ADC">
        <w:t xml:space="preserve"> for the proposed indication.</w:t>
      </w:r>
    </w:p>
    <w:p w14:paraId="3D8FB0F3" w14:textId="77777777" w:rsidR="008E7846" w:rsidRDefault="008E7846" w:rsidP="008E7846">
      <w:pPr>
        <w:pStyle w:val="Heading3"/>
      </w:pPr>
      <w:bookmarkStart w:id="146" w:name="_Toc482015712"/>
      <w:r>
        <w:t>Clinical</w:t>
      </w:r>
      <w:bookmarkEnd w:id="144"/>
      <w:bookmarkEnd w:id="145"/>
      <w:bookmarkEnd w:id="146"/>
    </w:p>
    <w:p w14:paraId="1A24735A" w14:textId="65159BBC" w:rsidR="001B44CC" w:rsidRDefault="0049388B" w:rsidP="0049388B">
      <w:pPr>
        <w:pStyle w:val="Heading4"/>
      </w:pPr>
      <w:r>
        <w:t>Clinical efficacy</w:t>
      </w:r>
    </w:p>
    <w:p w14:paraId="2750B93F" w14:textId="6D9953FC" w:rsidR="00B60D4C" w:rsidRPr="00B60D4C" w:rsidRDefault="00B60D4C" w:rsidP="00B60D4C">
      <w:r>
        <w:t xml:space="preserve">A summary of the most important Phase </w:t>
      </w:r>
      <w:r w:rsidR="00822418">
        <w:t>III</w:t>
      </w:r>
      <w:r>
        <w:t xml:space="preserve"> studies is given in the following table.</w:t>
      </w:r>
    </w:p>
    <w:p w14:paraId="39771BF8" w14:textId="31D99DA3" w:rsidR="007F1ADC" w:rsidRDefault="00B60D4C" w:rsidP="0049388B">
      <w:pPr>
        <w:pStyle w:val="TableTitle"/>
        <w:rPr>
          <w:lang w:eastAsia="en-AU"/>
        </w:rPr>
      </w:pPr>
      <w:r>
        <w:rPr>
          <w:lang w:eastAsia="en-AU"/>
        </w:rPr>
        <w:t>Table 8</w:t>
      </w:r>
      <w:r w:rsidR="00E47362">
        <w:rPr>
          <w:lang w:eastAsia="en-AU"/>
        </w:rPr>
        <w:t>:</w:t>
      </w:r>
      <w:r>
        <w:rPr>
          <w:lang w:eastAsia="en-AU"/>
        </w:rPr>
        <w:t xml:space="preserve"> </w:t>
      </w:r>
      <w:r w:rsidR="007F1ADC">
        <w:rPr>
          <w:lang w:eastAsia="en-AU"/>
        </w:rPr>
        <w:t>S</w:t>
      </w:r>
      <w:r w:rsidR="0049388B">
        <w:rPr>
          <w:lang w:eastAsia="en-AU"/>
        </w:rPr>
        <w:t xml:space="preserve">ummary of Phase </w:t>
      </w:r>
      <w:r w:rsidR="00822418">
        <w:rPr>
          <w:lang w:eastAsia="en-AU"/>
        </w:rPr>
        <w:t>III</w:t>
      </w:r>
      <w:r w:rsidR="007F1ADC">
        <w:rPr>
          <w:lang w:eastAsia="en-AU"/>
        </w:rPr>
        <w:t xml:space="preserve"> study designs and primary endpoints</w:t>
      </w:r>
    </w:p>
    <w:tbl>
      <w:tblPr>
        <w:tblStyle w:val="TableTGAblue"/>
        <w:tblW w:w="0" w:type="auto"/>
        <w:tblLook w:val="04A0" w:firstRow="1" w:lastRow="0" w:firstColumn="1" w:lastColumn="0" w:noHBand="0" w:noVBand="1"/>
      </w:tblPr>
      <w:tblGrid>
        <w:gridCol w:w="2541"/>
        <w:gridCol w:w="2880"/>
        <w:gridCol w:w="3299"/>
      </w:tblGrid>
      <w:tr w:rsidR="00EB2926" w:rsidRPr="0049388B" w14:paraId="5A321F2B" w14:textId="77777777" w:rsidTr="00EB2926">
        <w:trPr>
          <w:cnfStyle w:val="100000000000" w:firstRow="1" w:lastRow="0" w:firstColumn="0" w:lastColumn="0" w:oddVBand="0" w:evenVBand="0" w:oddHBand="0" w:evenHBand="0" w:firstRowFirstColumn="0" w:firstRowLastColumn="0" w:lastRowFirstColumn="0" w:lastRowLastColumn="0"/>
        </w:trPr>
        <w:tc>
          <w:tcPr>
            <w:tcW w:w="2541" w:type="dxa"/>
          </w:tcPr>
          <w:p w14:paraId="2978C00D" w14:textId="77777777" w:rsidR="007F1ADC" w:rsidRPr="00BB75B1" w:rsidRDefault="007F1ADC" w:rsidP="009D23EF"/>
        </w:tc>
        <w:tc>
          <w:tcPr>
            <w:tcW w:w="2880" w:type="dxa"/>
          </w:tcPr>
          <w:p w14:paraId="186C8D17" w14:textId="07AB5137" w:rsidR="007F1ADC" w:rsidRPr="00BB75B1" w:rsidRDefault="0049388B" w:rsidP="009D23EF">
            <w:pPr>
              <w:ind w:left="11" w:right="0"/>
            </w:pPr>
            <w:r w:rsidRPr="00BB75B1">
              <w:t xml:space="preserve">Studies </w:t>
            </w:r>
            <w:r w:rsidR="007F1ADC" w:rsidRPr="00BB75B1">
              <w:t>16/17</w:t>
            </w:r>
          </w:p>
        </w:tc>
        <w:tc>
          <w:tcPr>
            <w:tcW w:w="3299" w:type="dxa"/>
          </w:tcPr>
          <w:p w14:paraId="176D6115" w14:textId="7DEC135E" w:rsidR="007F1ADC" w:rsidRPr="00BB75B1" w:rsidRDefault="0049388B" w:rsidP="009D23EF">
            <w:r w:rsidRPr="00BB75B1">
              <w:t xml:space="preserve">Studies </w:t>
            </w:r>
            <w:r w:rsidR="007F1ADC" w:rsidRPr="00BB75B1">
              <w:t>22/23</w:t>
            </w:r>
          </w:p>
        </w:tc>
      </w:tr>
      <w:tr w:rsidR="00EB2926" w:rsidRPr="0049388B" w14:paraId="65030363" w14:textId="77777777" w:rsidTr="00EB2926">
        <w:trPr>
          <w:trHeight w:val="235"/>
        </w:trPr>
        <w:tc>
          <w:tcPr>
            <w:tcW w:w="2541" w:type="dxa"/>
          </w:tcPr>
          <w:p w14:paraId="4FE2ABD5" w14:textId="77777777" w:rsidR="007F1ADC" w:rsidRPr="00BB75B1" w:rsidRDefault="007F1ADC" w:rsidP="009D23EF">
            <w:r w:rsidRPr="00BB75B1">
              <w:t>Location</w:t>
            </w:r>
          </w:p>
        </w:tc>
        <w:tc>
          <w:tcPr>
            <w:tcW w:w="2880" w:type="dxa"/>
          </w:tcPr>
          <w:p w14:paraId="45E6E3D8" w14:textId="77777777" w:rsidR="007F1ADC" w:rsidRPr="00BB75B1" w:rsidRDefault="007F1ADC" w:rsidP="009D23EF">
            <w:pPr>
              <w:ind w:left="11" w:right="0"/>
            </w:pPr>
            <w:r w:rsidRPr="00BB75B1">
              <w:t>EU</w:t>
            </w:r>
          </w:p>
        </w:tc>
        <w:tc>
          <w:tcPr>
            <w:tcW w:w="3299" w:type="dxa"/>
          </w:tcPr>
          <w:p w14:paraId="45BFAAAA" w14:textId="77777777" w:rsidR="007F1ADC" w:rsidRPr="00BB75B1" w:rsidRDefault="007F1ADC" w:rsidP="009D23EF">
            <w:r w:rsidRPr="00BB75B1">
              <w:t>US and Canada</w:t>
            </w:r>
          </w:p>
        </w:tc>
      </w:tr>
      <w:tr w:rsidR="00EB2926" w:rsidRPr="0049388B" w14:paraId="627D10F1" w14:textId="77777777" w:rsidTr="00EB2926">
        <w:tc>
          <w:tcPr>
            <w:tcW w:w="2541" w:type="dxa"/>
          </w:tcPr>
          <w:p w14:paraId="3FA5DFAE" w14:textId="77777777" w:rsidR="007F1ADC" w:rsidRPr="00BB75B1" w:rsidRDefault="007F1ADC" w:rsidP="009D23EF">
            <w:r w:rsidRPr="00BB75B1">
              <w:t>Formulation</w:t>
            </w:r>
          </w:p>
        </w:tc>
        <w:tc>
          <w:tcPr>
            <w:tcW w:w="2880" w:type="dxa"/>
          </w:tcPr>
          <w:p w14:paraId="5982F392" w14:textId="509F7FF5" w:rsidR="007F1ADC" w:rsidRPr="00BB75B1" w:rsidRDefault="007F1ADC" w:rsidP="009D23EF">
            <w:pPr>
              <w:ind w:left="11" w:right="0"/>
            </w:pPr>
            <w:r w:rsidRPr="00BB75B1">
              <w:t>Pres</w:t>
            </w:r>
            <w:r w:rsidR="0049388B" w:rsidRPr="00BB75B1">
              <w:t>ervative-free (no BA</w:t>
            </w:r>
            <w:r w:rsidRPr="00BB75B1">
              <w:t>)</w:t>
            </w:r>
          </w:p>
        </w:tc>
        <w:tc>
          <w:tcPr>
            <w:tcW w:w="3299" w:type="dxa"/>
          </w:tcPr>
          <w:p w14:paraId="0FC70E52" w14:textId="29AE330F" w:rsidR="007F1ADC" w:rsidRPr="00BB75B1" w:rsidRDefault="007F1ADC" w:rsidP="009D23EF">
            <w:r w:rsidRPr="00BB75B1">
              <w:t>Contains preservative (</w:t>
            </w:r>
            <w:r w:rsidR="0049388B" w:rsidRPr="00BB75B1">
              <w:t>BA)</w:t>
            </w:r>
          </w:p>
        </w:tc>
      </w:tr>
      <w:tr w:rsidR="00EB2926" w:rsidRPr="0049388B" w14:paraId="03835BFB" w14:textId="77777777" w:rsidTr="00EB2926">
        <w:tc>
          <w:tcPr>
            <w:tcW w:w="2541" w:type="dxa"/>
          </w:tcPr>
          <w:p w14:paraId="72FFCD62" w14:textId="77777777" w:rsidR="007F1ADC" w:rsidRPr="00BB75B1" w:rsidRDefault="007F1ADC" w:rsidP="009D23EF">
            <w:r w:rsidRPr="00BB75B1">
              <w:t>Treatment groups</w:t>
            </w:r>
          </w:p>
        </w:tc>
        <w:tc>
          <w:tcPr>
            <w:tcW w:w="2880" w:type="dxa"/>
          </w:tcPr>
          <w:p w14:paraId="5A770EA7" w14:textId="77777777" w:rsidR="007F1ADC" w:rsidRPr="00BB75B1" w:rsidRDefault="007F1ADC" w:rsidP="009D23EF">
            <w:pPr>
              <w:ind w:left="11" w:right="0"/>
            </w:pPr>
            <w:r w:rsidRPr="00BB75B1">
              <w:t>Placebo</w:t>
            </w:r>
          </w:p>
          <w:p w14:paraId="247A05CB" w14:textId="77777777" w:rsidR="007F1ADC" w:rsidRPr="00BB75B1" w:rsidRDefault="007F1ADC" w:rsidP="009D23EF">
            <w:pPr>
              <w:ind w:left="11" w:right="0"/>
            </w:pPr>
            <w:r w:rsidRPr="00BB75B1">
              <w:t>1 mg/cm</w:t>
            </w:r>
            <w:r w:rsidRPr="00BB75B1">
              <w:rPr>
                <w:vertAlign w:val="superscript"/>
              </w:rPr>
              <w:t>2</w:t>
            </w:r>
          </w:p>
          <w:p w14:paraId="783D1083" w14:textId="77777777" w:rsidR="007F1ADC" w:rsidRPr="00BB75B1" w:rsidRDefault="007F1ADC" w:rsidP="009D23EF">
            <w:pPr>
              <w:ind w:left="11" w:right="0"/>
            </w:pPr>
            <w:r w:rsidRPr="00BB75B1">
              <w:t>2 mg/cm</w:t>
            </w:r>
            <w:r w:rsidRPr="00BB75B1">
              <w:rPr>
                <w:vertAlign w:val="superscript"/>
              </w:rPr>
              <w:t>2</w:t>
            </w:r>
          </w:p>
        </w:tc>
        <w:tc>
          <w:tcPr>
            <w:tcW w:w="3299" w:type="dxa"/>
          </w:tcPr>
          <w:p w14:paraId="59AF74A3" w14:textId="77777777" w:rsidR="007F1ADC" w:rsidRPr="00BB75B1" w:rsidRDefault="007F1ADC" w:rsidP="009D23EF">
            <w:r w:rsidRPr="00BB75B1">
              <w:t>Placebo</w:t>
            </w:r>
          </w:p>
          <w:p w14:paraId="3B1A8594" w14:textId="77777777" w:rsidR="007F1ADC" w:rsidRPr="00BB75B1" w:rsidRDefault="007F1ADC" w:rsidP="009D23EF">
            <w:r w:rsidRPr="00BB75B1">
              <w:t>2 mg/cm</w:t>
            </w:r>
            <w:r w:rsidRPr="00607F11">
              <w:rPr>
                <w:vertAlign w:val="superscript"/>
              </w:rPr>
              <w:t>2</w:t>
            </w:r>
          </w:p>
        </w:tc>
      </w:tr>
      <w:tr w:rsidR="00EB2926" w:rsidRPr="0049388B" w14:paraId="6A5BDDD8" w14:textId="77777777" w:rsidTr="00EB2926">
        <w:tc>
          <w:tcPr>
            <w:tcW w:w="2541" w:type="dxa"/>
          </w:tcPr>
          <w:p w14:paraId="616C5E29" w14:textId="77777777" w:rsidR="007F1ADC" w:rsidRPr="00BB75B1" w:rsidRDefault="007F1ADC" w:rsidP="009D23EF">
            <w:r w:rsidRPr="00BB75B1">
              <w:t>Number of treatments</w:t>
            </w:r>
          </w:p>
        </w:tc>
        <w:tc>
          <w:tcPr>
            <w:tcW w:w="2880" w:type="dxa"/>
          </w:tcPr>
          <w:p w14:paraId="15652AA8" w14:textId="77777777" w:rsidR="007F1ADC" w:rsidRPr="00BB75B1" w:rsidRDefault="007F1ADC" w:rsidP="009D23EF">
            <w:pPr>
              <w:ind w:left="11" w:right="0"/>
            </w:pPr>
            <w:r w:rsidRPr="00BB75B1">
              <w:t>Up to 4</w:t>
            </w:r>
          </w:p>
        </w:tc>
        <w:tc>
          <w:tcPr>
            <w:tcW w:w="3299" w:type="dxa"/>
          </w:tcPr>
          <w:p w14:paraId="652227C0" w14:textId="77777777" w:rsidR="007F1ADC" w:rsidRPr="00BB75B1" w:rsidRDefault="007F1ADC" w:rsidP="009D23EF">
            <w:r w:rsidRPr="00BB75B1">
              <w:t>Up to 6</w:t>
            </w:r>
          </w:p>
        </w:tc>
      </w:tr>
      <w:tr w:rsidR="00EB2926" w:rsidRPr="0049388B" w14:paraId="35F5B273" w14:textId="77777777" w:rsidTr="00EB2926">
        <w:tc>
          <w:tcPr>
            <w:tcW w:w="2541" w:type="dxa"/>
          </w:tcPr>
          <w:p w14:paraId="615A934A" w14:textId="77777777" w:rsidR="007F1ADC" w:rsidRPr="00BB75B1" w:rsidRDefault="007F1ADC" w:rsidP="009D23EF">
            <w:r w:rsidRPr="00BB75B1">
              <w:t>Primary endpoints</w:t>
            </w:r>
          </w:p>
        </w:tc>
        <w:tc>
          <w:tcPr>
            <w:tcW w:w="2880" w:type="dxa"/>
          </w:tcPr>
          <w:p w14:paraId="6AD16655" w14:textId="77777777" w:rsidR="007F1ADC" w:rsidRPr="00BB75B1" w:rsidRDefault="007F1ADC" w:rsidP="009D23EF">
            <w:pPr>
              <w:ind w:left="11" w:right="0"/>
            </w:pPr>
            <w:r w:rsidRPr="00BB75B1">
              <w:t>CR-SMFRS 1-grade responder rate</w:t>
            </w:r>
          </w:p>
          <w:p w14:paraId="7E4FACA8" w14:textId="48A44C5B" w:rsidR="007F1ADC" w:rsidRPr="00BB75B1" w:rsidRDefault="007F1ADC" w:rsidP="009D23EF">
            <w:pPr>
              <w:ind w:left="11" w:right="0"/>
            </w:pPr>
            <w:r w:rsidRPr="00BB75B1">
              <w:t>SSRS (responder</w:t>
            </w:r>
            <w:r w:rsidR="0049388B" w:rsidRPr="00BB75B1">
              <w:t xml:space="preserve"> </w:t>
            </w:r>
            <w:r w:rsidRPr="00BB75B1">
              <w:t>score ≥ 4)</w:t>
            </w:r>
          </w:p>
        </w:tc>
        <w:tc>
          <w:tcPr>
            <w:tcW w:w="3299" w:type="dxa"/>
          </w:tcPr>
          <w:p w14:paraId="519FAAE2" w14:textId="04099AD3" w:rsidR="007F1ADC" w:rsidRPr="00BB75B1" w:rsidRDefault="007F1ADC" w:rsidP="009D23EF">
            <w:r w:rsidRPr="00BB75B1">
              <w:t xml:space="preserve">Composite SMFRS 1-grade responder rate (CR </w:t>
            </w:r>
            <w:r w:rsidR="00607F11">
              <w:t>and</w:t>
            </w:r>
            <w:r w:rsidRPr="00BB75B1">
              <w:t xml:space="preserve"> PR)</w:t>
            </w:r>
          </w:p>
          <w:p w14:paraId="756B71B2" w14:textId="34577166" w:rsidR="007F1ADC" w:rsidRPr="00BB75B1" w:rsidRDefault="007F1ADC" w:rsidP="009D23EF">
            <w:r w:rsidRPr="00BB75B1">
              <w:t xml:space="preserve">Composite SMFRS 2-grade responder rate (CR </w:t>
            </w:r>
            <w:r w:rsidR="00607F11">
              <w:t>and</w:t>
            </w:r>
            <w:r w:rsidRPr="00BB75B1">
              <w:t xml:space="preserve"> PR)</w:t>
            </w:r>
          </w:p>
        </w:tc>
      </w:tr>
    </w:tbl>
    <w:p w14:paraId="14B05F83" w14:textId="705CA642" w:rsidR="007F1ADC" w:rsidRPr="00EB2926" w:rsidRDefault="007F1ADC" w:rsidP="00EB2926">
      <w:r w:rsidRPr="00EB2926">
        <w:t xml:space="preserve">The formulations used in the studies were slightly different. The </w:t>
      </w:r>
      <w:r w:rsidR="00EB2926">
        <w:t>s</w:t>
      </w:r>
      <w:r w:rsidRPr="00EB2926">
        <w:t xml:space="preserve">ponsor stated that the differences (including the </w:t>
      </w:r>
      <w:r w:rsidR="00EB2926">
        <w:t>BA</w:t>
      </w:r>
      <w:r w:rsidRPr="00EB2926">
        <w:t xml:space="preserve">) were not expected to affect efficacy and safety; a view endorsed by the clinical evaluator. The dosing scheme in </w:t>
      </w:r>
      <w:r w:rsidR="00EB2926">
        <w:t xml:space="preserve">Studies 22 and </w:t>
      </w:r>
      <w:r w:rsidRPr="00EB2926">
        <w:t>23 (up to 6 treatments, 4 weeks apart, 2 mg/cm</w:t>
      </w:r>
      <w:r w:rsidRPr="00EB2926">
        <w:rPr>
          <w:vertAlign w:val="superscript"/>
        </w:rPr>
        <w:t>2</w:t>
      </w:r>
      <w:r w:rsidRPr="00EB2926">
        <w:t xml:space="preserve">) match that in the proposed PI and these studies are therefore considered more pivotal, although they were for the formulation that included </w:t>
      </w:r>
      <w:r w:rsidR="00EB2926">
        <w:t>BA.</w:t>
      </w:r>
    </w:p>
    <w:p w14:paraId="172C7FCF" w14:textId="4BF709DF" w:rsidR="007F1ADC" w:rsidRPr="00EB2926" w:rsidRDefault="007F1ADC" w:rsidP="00EB2926">
      <w:r w:rsidRPr="00EB2926">
        <w:t xml:space="preserve">The studies were </w:t>
      </w:r>
      <w:r w:rsidR="00EB2926" w:rsidRPr="00EB2926">
        <w:t>multicentre</w:t>
      </w:r>
      <w:r w:rsidRPr="00EB2926">
        <w:t>, randomi</w:t>
      </w:r>
      <w:r w:rsidR="00EB2926">
        <w:t>sed, double-blind</w:t>
      </w:r>
      <w:r w:rsidRPr="00EB2926">
        <w:t xml:space="preserve"> and placebo-controlled</w:t>
      </w:r>
      <w:r w:rsidR="00EB2926">
        <w:t xml:space="preserve"> trials.</w:t>
      </w:r>
    </w:p>
    <w:p w14:paraId="212FE5A5" w14:textId="1B2C7218" w:rsidR="007F1ADC" w:rsidRDefault="007F1ADC" w:rsidP="00EB2926">
      <w:pPr>
        <w:pStyle w:val="Heading5"/>
      </w:pPr>
      <w:r w:rsidRPr="00C35CE4">
        <w:t>Clinician-</w:t>
      </w:r>
      <w:r w:rsidR="00FB56FE" w:rsidRPr="00C35CE4">
        <w:t>reported submental fat rating scale</w:t>
      </w:r>
      <w:r w:rsidR="00FB56FE">
        <w:t xml:space="preserve"> </w:t>
      </w:r>
      <w:r>
        <w:rPr>
          <w:rFonts w:ascii="TimesNewRoman,Bold" w:eastAsia="TimesNewRoman,Bold" w:cs="TimesNewRoman,Bold"/>
        </w:rPr>
        <w:t>(</w:t>
      </w:r>
      <w:r>
        <w:t>CR-SMFRS)</w:t>
      </w:r>
    </w:p>
    <w:p w14:paraId="4B3EC42A" w14:textId="16DA5FEE" w:rsidR="007F1ADC" w:rsidRPr="00EB2926" w:rsidRDefault="007F1ADC" w:rsidP="00EB2926">
      <w:r w:rsidRPr="00EB2926">
        <w:t>The CR-SMFRS score was based on the investigator’s clinical evaluation of the subject,</w:t>
      </w:r>
      <w:r w:rsidR="00EB2926">
        <w:t xml:space="preserve"> </w:t>
      </w:r>
      <w:r w:rsidRPr="00EB2926">
        <w:t>including palpation of the chin and neck area; anterior, oblique, and profile views of the chin and neck; as well as observation of pronation, supination, and lateral movement of the head.</w:t>
      </w:r>
    </w:p>
    <w:p w14:paraId="41F858F2" w14:textId="2146D0F0" w:rsidR="007F1ADC" w:rsidRPr="00EB2926" w:rsidRDefault="007F1ADC" w:rsidP="00EB2926">
      <w:r w:rsidRPr="00EB2926">
        <w:t xml:space="preserve">Each investigational </w:t>
      </w:r>
      <w:r w:rsidR="00EB2926" w:rsidRPr="00EB2926">
        <w:t>centre</w:t>
      </w:r>
      <w:r w:rsidRPr="00EB2926">
        <w:t xml:space="preserve"> was provided with the CR-SMFRS book containing representative photographs for each score. The score was determined using the definitions in the rating scale and representative photographs associated with each score. To maintain a consistent posture from which the scores were made, the final determination of the score was made while the subject’s head was in the Frankfort plane posture. Each site had a 2-inch by 2-inch </w:t>
      </w:r>
      <w:r w:rsidR="00EB2926">
        <w:t>(</w:t>
      </w:r>
      <w:r w:rsidR="00B60D4C">
        <w:t xml:space="preserve">approximately </w:t>
      </w:r>
      <w:r w:rsidR="00EB2926">
        <w:t xml:space="preserve">50.8 mm by 50.8 mm) </w:t>
      </w:r>
      <w:r w:rsidRPr="00EB2926">
        <w:t>grid pos</w:t>
      </w:r>
      <w:r w:rsidR="002B2DEE">
        <w:t>ter that was placed on the wall</w:t>
      </w:r>
      <w:r w:rsidRPr="00EB2926">
        <w:t xml:space="preserve"> with the horizontal lines parallel to the floor, in the area where </w:t>
      </w:r>
      <w:r w:rsidRPr="00EB2926">
        <w:lastRenderedPageBreak/>
        <w:t>the assessments were conducted.</w:t>
      </w:r>
      <w:r w:rsidR="002B2DEE">
        <w:t xml:space="preserve"> The CR-SMFRS scoring system is shown in Table</w:t>
      </w:r>
      <w:r w:rsidR="00B60D4C">
        <w:t xml:space="preserve"> 9</w:t>
      </w:r>
      <w:r w:rsidR="002B2DEE">
        <w:t xml:space="preserve"> below.</w:t>
      </w:r>
    </w:p>
    <w:p w14:paraId="6F792603" w14:textId="048140FF" w:rsidR="007F1ADC" w:rsidRPr="002B2DEE" w:rsidRDefault="002B2DEE" w:rsidP="002B2DEE">
      <w:pPr>
        <w:pStyle w:val="TableTitle"/>
      </w:pPr>
      <w:r>
        <w:t>Table</w:t>
      </w:r>
      <w:r w:rsidR="00B60D4C">
        <w:t xml:space="preserve"> 9</w:t>
      </w:r>
      <w:r w:rsidR="00E47362">
        <w:t>:</w:t>
      </w:r>
      <w:r>
        <w:t xml:space="preserve"> CR-SMFRS interpretation</w:t>
      </w:r>
    </w:p>
    <w:tbl>
      <w:tblPr>
        <w:tblStyle w:val="TableTGAblue"/>
        <w:tblW w:w="0" w:type="auto"/>
        <w:tblInd w:w="108" w:type="dxa"/>
        <w:tblLook w:val="04A0" w:firstRow="1" w:lastRow="0" w:firstColumn="1" w:lastColumn="0" w:noHBand="0" w:noVBand="1"/>
      </w:tblPr>
      <w:tblGrid>
        <w:gridCol w:w="1173"/>
        <w:gridCol w:w="2250"/>
      </w:tblGrid>
      <w:tr w:rsidR="002B2DEE" w14:paraId="2FDDA807" w14:textId="77777777" w:rsidTr="00607F11">
        <w:trPr>
          <w:cnfStyle w:val="100000000000" w:firstRow="1" w:lastRow="0" w:firstColumn="0" w:lastColumn="0" w:oddVBand="0" w:evenVBand="0" w:oddHBand="0" w:evenHBand="0" w:firstRowFirstColumn="0" w:firstRowLastColumn="0" w:lastRowFirstColumn="0" w:lastRowLastColumn="0"/>
          <w:trHeight w:val="506"/>
        </w:trPr>
        <w:tc>
          <w:tcPr>
            <w:tcW w:w="1173" w:type="dxa"/>
          </w:tcPr>
          <w:p w14:paraId="7F946242" w14:textId="6583CFA9" w:rsidR="002B2DEE" w:rsidRPr="002B2DEE" w:rsidRDefault="002B2DEE" w:rsidP="002B2DEE">
            <w:r>
              <w:t>Score</w:t>
            </w:r>
          </w:p>
        </w:tc>
        <w:tc>
          <w:tcPr>
            <w:tcW w:w="2250" w:type="dxa"/>
          </w:tcPr>
          <w:p w14:paraId="7A8A8A04" w14:textId="2E8B0062" w:rsidR="002B2DEE" w:rsidRPr="002B2DEE" w:rsidRDefault="002B2DEE" w:rsidP="002B2DEE">
            <w:r>
              <w:t>Severity</w:t>
            </w:r>
          </w:p>
        </w:tc>
      </w:tr>
      <w:tr w:rsidR="002B2DEE" w14:paraId="624F4C3D" w14:textId="77777777" w:rsidTr="00607F11">
        <w:tc>
          <w:tcPr>
            <w:tcW w:w="1173" w:type="dxa"/>
          </w:tcPr>
          <w:p w14:paraId="15B422B9" w14:textId="77777777" w:rsidR="007F1ADC" w:rsidRPr="002B2DEE" w:rsidRDefault="007F1ADC" w:rsidP="002B2DEE">
            <w:r w:rsidRPr="002B2DEE">
              <w:t>0</w:t>
            </w:r>
          </w:p>
        </w:tc>
        <w:tc>
          <w:tcPr>
            <w:tcW w:w="2250" w:type="dxa"/>
          </w:tcPr>
          <w:p w14:paraId="3AA4E0C2" w14:textId="77777777" w:rsidR="007F1ADC" w:rsidRPr="002B2DEE" w:rsidRDefault="007F1ADC" w:rsidP="002B2DEE">
            <w:r w:rsidRPr="002B2DEE">
              <w:t>absent</w:t>
            </w:r>
          </w:p>
        </w:tc>
      </w:tr>
      <w:tr w:rsidR="002B2DEE" w14:paraId="64CFB0FA" w14:textId="77777777" w:rsidTr="00607F11">
        <w:tc>
          <w:tcPr>
            <w:tcW w:w="1173" w:type="dxa"/>
          </w:tcPr>
          <w:p w14:paraId="172CB13B" w14:textId="77777777" w:rsidR="007F1ADC" w:rsidRPr="002B2DEE" w:rsidRDefault="007F1ADC" w:rsidP="002B2DEE">
            <w:r w:rsidRPr="002B2DEE">
              <w:t>1</w:t>
            </w:r>
          </w:p>
        </w:tc>
        <w:tc>
          <w:tcPr>
            <w:tcW w:w="2250" w:type="dxa"/>
          </w:tcPr>
          <w:p w14:paraId="2897DB95" w14:textId="77777777" w:rsidR="007F1ADC" w:rsidRPr="002B2DEE" w:rsidRDefault="007F1ADC" w:rsidP="002B2DEE">
            <w:r w:rsidRPr="002B2DEE">
              <w:t>mild</w:t>
            </w:r>
          </w:p>
        </w:tc>
      </w:tr>
      <w:tr w:rsidR="002B2DEE" w14:paraId="6A938C00" w14:textId="77777777" w:rsidTr="00607F11">
        <w:tc>
          <w:tcPr>
            <w:tcW w:w="1173" w:type="dxa"/>
          </w:tcPr>
          <w:p w14:paraId="0EC55C76" w14:textId="77777777" w:rsidR="007F1ADC" w:rsidRPr="002B2DEE" w:rsidRDefault="007F1ADC" w:rsidP="002B2DEE">
            <w:r w:rsidRPr="002B2DEE">
              <w:t>2</w:t>
            </w:r>
          </w:p>
        </w:tc>
        <w:tc>
          <w:tcPr>
            <w:tcW w:w="2250" w:type="dxa"/>
          </w:tcPr>
          <w:p w14:paraId="4478D516" w14:textId="77777777" w:rsidR="007F1ADC" w:rsidRPr="002B2DEE" w:rsidRDefault="007F1ADC" w:rsidP="002B2DEE">
            <w:r w:rsidRPr="002B2DEE">
              <w:t xml:space="preserve">moderate </w:t>
            </w:r>
          </w:p>
        </w:tc>
      </w:tr>
      <w:tr w:rsidR="002B2DEE" w14:paraId="2D85E3C1" w14:textId="77777777" w:rsidTr="00607F11">
        <w:tc>
          <w:tcPr>
            <w:tcW w:w="1173" w:type="dxa"/>
          </w:tcPr>
          <w:p w14:paraId="396EC221" w14:textId="77777777" w:rsidR="007F1ADC" w:rsidRPr="002B2DEE" w:rsidRDefault="007F1ADC" w:rsidP="002B2DEE">
            <w:r w:rsidRPr="002B2DEE">
              <w:t>3</w:t>
            </w:r>
          </w:p>
        </w:tc>
        <w:tc>
          <w:tcPr>
            <w:tcW w:w="2250" w:type="dxa"/>
          </w:tcPr>
          <w:p w14:paraId="691A3591" w14:textId="77777777" w:rsidR="007F1ADC" w:rsidRPr="002B2DEE" w:rsidRDefault="007F1ADC" w:rsidP="002B2DEE">
            <w:r w:rsidRPr="002B2DEE">
              <w:t>severe</w:t>
            </w:r>
          </w:p>
        </w:tc>
      </w:tr>
      <w:tr w:rsidR="002B2DEE" w14:paraId="67090DB4" w14:textId="77777777" w:rsidTr="00607F11">
        <w:tc>
          <w:tcPr>
            <w:tcW w:w="1173" w:type="dxa"/>
          </w:tcPr>
          <w:p w14:paraId="047F220F" w14:textId="77777777" w:rsidR="007F1ADC" w:rsidRPr="002B2DEE" w:rsidRDefault="007F1ADC" w:rsidP="002B2DEE">
            <w:r w:rsidRPr="002B2DEE">
              <w:t>4</w:t>
            </w:r>
          </w:p>
        </w:tc>
        <w:tc>
          <w:tcPr>
            <w:tcW w:w="2250" w:type="dxa"/>
          </w:tcPr>
          <w:p w14:paraId="1C4A3CBE" w14:textId="77777777" w:rsidR="007F1ADC" w:rsidRPr="002B2DEE" w:rsidRDefault="007F1ADC" w:rsidP="002B2DEE">
            <w:r w:rsidRPr="002B2DEE">
              <w:t>extreme</w:t>
            </w:r>
          </w:p>
        </w:tc>
      </w:tr>
    </w:tbl>
    <w:p w14:paraId="2AAD386F" w14:textId="6DA734C0" w:rsidR="007F1ADC" w:rsidRPr="002B2DEE" w:rsidRDefault="007F1ADC" w:rsidP="002B2DEE">
      <w:r w:rsidRPr="002B2DEE">
        <w:t xml:space="preserve">In </w:t>
      </w:r>
      <w:r w:rsidR="002B2DEE">
        <w:t>S</w:t>
      </w:r>
      <w:r w:rsidRPr="002B2DEE">
        <w:t>tudies 16/17 (EU) the primary efficacy endpoints were reduction from baseline to Visit</w:t>
      </w:r>
      <w:r w:rsidR="00087F2C">
        <w:t xml:space="preserve"> </w:t>
      </w:r>
      <w:r w:rsidRPr="002B2DEE">
        <w:t>7 (</w:t>
      </w:r>
      <w:r w:rsidR="002B2DEE">
        <w:t>Visit 7 = </w:t>
      </w:r>
      <w:r w:rsidRPr="002B2DEE">
        <w:t>12 weeks after the last treatment) of submental fat as assessed by the proportion of patients who had:</w:t>
      </w:r>
    </w:p>
    <w:p w14:paraId="525ABF7B" w14:textId="77777777" w:rsidR="007F1ADC" w:rsidRPr="002B2DEE" w:rsidRDefault="007F1ADC" w:rsidP="002B2DEE">
      <w:pPr>
        <w:pStyle w:val="ListBullet"/>
      </w:pPr>
      <w:r w:rsidRPr="002B2DEE">
        <w:t>at least a 1-grade improvement on the CR-SMFRS</w:t>
      </w:r>
    </w:p>
    <w:p w14:paraId="4733FA07" w14:textId="6805558D" w:rsidR="007F1ADC" w:rsidRDefault="007F1ADC" w:rsidP="007F1ADC">
      <w:pPr>
        <w:pStyle w:val="ListBullet"/>
      </w:pPr>
      <w:r w:rsidRPr="002B2DEE">
        <w:t>at least a SSRS score of 4</w:t>
      </w:r>
    </w:p>
    <w:p w14:paraId="300BB888" w14:textId="429F99D8" w:rsidR="007F1ADC" w:rsidRDefault="007F1ADC" w:rsidP="007F1ADC">
      <w:pPr>
        <w:rPr>
          <w:lang w:eastAsia="en-AU"/>
        </w:rPr>
      </w:pPr>
      <w:r>
        <w:rPr>
          <w:lang w:eastAsia="en-AU"/>
        </w:rPr>
        <w:t xml:space="preserve">In </w:t>
      </w:r>
      <w:r w:rsidR="002B2DEE">
        <w:rPr>
          <w:lang w:eastAsia="en-AU"/>
        </w:rPr>
        <w:t>S</w:t>
      </w:r>
      <w:r>
        <w:rPr>
          <w:lang w:eastAsia="en-AU"/>
        </w:rPr>
        <w:t>tudies 22/23</w:t>
      </w:r>
      <w:r w:rsidR="002B2DEE">
        <w:rPr>
          <w:lang w:eastAsia="en-AU"/>
        </w:rPr>
        <w:t xml:space="preserve"> (US and</w:t>
      </w:r>
      <w:r>
        <w:rPr>
          <w:lang w:eastAsia="en-AU"/>
        </w:rPr>
        <w:t xml:space="preserve"> Canada) the primary efficacy endpoints were reduction from baseline to Visit</w:t>
      </w:r>
      <w:r w:rsidR="00087F2C">
        <w:rPr>
          <w:lang w:eastAsia="en-AU"/>
        </w:rPr>
        <w:t xml:space="preserve"> </w:t>
      </w:r>
      <w:r>
        <w:rPr>
          <w:lang w:eastAsia="en-AU"/>
        </w:rPr>
        <w:t>9</w:t>
      </w:r>
      <w:r w:rsidR="001A3811">
        <w:rPr>
          <w:lang w:eastAsia="en-AU"/>
        </w:rPr>
        <w:t xml:space="preserve"> (Visit 9 = </w:t>
      </w:r>
      <w:r>
        <w:rPr>
          <w:lang w:eastAsia="en-AU"/>
        </w:rPr>
        <w:t xml:space="preserve">12 weeks after the last treatment) of submental fat as assessed by the </w:t>
      </w:r>
      <w:r w:rsidR="001A3811">
        <w:rPr>
          <w:lang w:eastAsia="en-AU"/>
        </w:rPr>
        <w:t>proportion of patients who had:</w:t>
      </w:r>
    </w:p>
    <w:p w14:paraId="4CB31904" w14:textId="77777777" w:rsidR="007F1ADC" w:rsidRDefault="007F1ADC" w:rsidP="001A3811">
      <w:pPr>
        <w:pStyle w:val="ListBullet"/>
        <w:rPr>
          <w:lang w:eastAsia="en-AU"/>
        </w:rPr>
      </w:pPr>
      <w:r>
        <w:rPr>
          <w:lang w:eastAsia="en-AU"/>
        </w:rPr>
        <w:t>at least a 1-grade simultaneous improvement on the CR/PR-SMFRS</w:t>
      </w:r>
    </w:p>
    <w:p w14:paraId="05D305EC" w14:textId="261F8FE8" w:rsidR="007F1ADC" w:rsidRDefault="007F1ADC" w:rsidP="001A3811">
      <w:pPr>
        <w:pStyle w:val="ListBullet"/>
        <w:rPr>
          <w:lang w:eastAsia="en-AU"/>
        </w:rPr>
      </w:pPr>
      <w:r>
        <w:rPr>
          <w:lang w:eastAsia="en-AU"/>
        </w:rPr>
        <w:t>at least a 2-grade simultaneous improvement on the CR/PR-SMFRS</w:t>
      </w:r>
    </w:p>
    <w:p w14:paraId="3906258B" w14:textId="7FDDC31D" w:rsidR="007F1ADC" w:rsidRDefault="007F1ADC" w:rsidP="007F1ADC">
      <w:r w:rsidRPr="001A3811">
        <w:t>The median age of patients in the Phase</w:t>
      </w:r>
      <w:r w:rsidR="001A3811" w:rsidRPr="001A3811">
        <w:t xml:space="preserve"> </w:t>
      </w:r>
      <w:r w:rsidR="00087F2C">
        <w:t>III</w:t>
      </w:r>
      <w:r w:rsidRPr="001A3811">
        <w:t xml:space="preserve"> studies was just below 50 years (patients younger than 18 years or older than 65 years were exclusions); 75% of patients were women. One difference between the studies was that the EU studies enrolled patients up to </w:t>
      </w:r>
      <w:r w:rsidR="001A3811">
        <w:t>BMI of 30</w:t>
      </w:r>
      <w:r w:rsidRPr="001A3811">
        <w:t xml:space="preserve"> whereas the Canadian/US studies enrolled patients up to BMI 40. Patients with submental fat graded as 2 or 3 by themselves or the investigator were included in the studies (patients with submental fat grades 1 or 4 were excluded).</w:t>
      </w:r>
    </w:p>
    <w:p w14:paraId="61EBE54A" w14:textId="0DC9D2FF" w:rsidR="007F1ADC" w:rsidRDefault="007F1ADC" w:rsidP="001A3811">
      <w:pPr>
        <w:pStyle w:val="Heading5"/>
        <w:rPr>
          <w:lang w:eastAsia="en-AU"/>
        </w:rPr>
      </w:pPr>
      <w:r w:rsidRPr="00954AD6">
        <w:rPr>
          <w:lang w:eastAsia="en-AU"/>
        </w:rPr>
        <w:t>Results for primary endpoints</w:t>
      </w:r>
    </w:p>
    <w:p w14:paraId="0576831A" w14:textId="799332F5" w:rsidR="000505BA" w:rsidRPr="000505BA" w:rsidRDefault="000505BA" w:rsidP="000505BA">
      <w:pPr>
        <w:rPr>
          <w:lang w:eastAsia="en-AU"/>
        </w:rPr>
      </w:pPr>
      <w:r>
        <w:rPr>
          <w:lang w:eastAsia="en-AU"/>
        </w:rPr>
        <w:t xml:space="preserve">Results for the primary endpoints of the most important Phase </w:t>
      </w:r>
      <w:r w:rsidR="00087F2C">
        <w:rPr>
          <w:lang w:eastAsia="en-AU"/>
        </w:rPr>
        <w:t>III</w:t>
      </w:r>
      <w:r>
        <w:rPr>
          <w:lang w:eastAsia="en-AU"/>
        </w:rPr>
        <w:t xml:space="preserve"> studies is summarised in Tables 10 and 11.</w:t>
      </w:r>
    </w:p>
    <w:p w14:paraId="31C835A7" w14:textId="1F16D1EC" w:rsidR="007F1ADC" w:rsidRDefault="001A3811" w:rsidP="001A3811">
      <w:pPr>
        <w:pStyle w:val="TableTitle"/>
        <w:rPr>
          <w:lang w:eastAsia="en-AU"/>
        </w:rPr>
      </w:pPr>
      <w:r>
        <w:rPr>
          <w:lang w:eastAsia="en-AU"/>
        </w:rPr>
        <w:t>Table</w:t>
      </w:r>
      <w:r w:rsidR="000505BA">
        <w:rPr>
          <w:lang w:eastAsia="en-AU"/>
        </w:rPr>
        <w:t xml:space="preserve"> 10</w:t>
      </w:r>
      <w:r w:rsidR="00087F2C">
        <w:rPr>
          <w:lang w:eastAsia="en-AU"/>
        </w:rPr>
        <w:t>:</w:t>
      </w:r>
      <w:r>
        <w:rPr>
          <w:lang w:eastAsia="en-AU"/>
        </w:rPr>
        <w:t xml:space="preserve"> Results for </w:t>
      </w:r>
      <w:r w:rsidR="007F1ADC">
        <w:rPr>
          <w:lang w:eastAsia="en-AU"/>
        </w:rPr>
        <w:t>Studies 16/17</w:t>
      </w:r>
    </w:p>
    <w:tbl>
      <w:tblPr>
        <w:tblStyle w:val="TableTGAblue"/>
        <w:tblW w:w="0" w:type="auto"/>
        <w:tblLook w:val="04A0" w:firstRow="1" w:lastRow="0" w:firstColumn="1" w:lastColumn="0" w:noHBand="0" w:noVBand="1"/>
      </w:tblPr>
      <w:tblGrid>
        <w:gridCol w:w="3085"/>
        <w:gridCol w:w="2508"/>
        <w:gridCol w:w="2340"/>
      </w:tblGrid>
      <w:tr w:rsidR="001A3811" w:rsidRPr="002111F7" w14:paraId="0A33D826" w14:textId="77777777" w:rsidTr="003D0C3C">
        <w:trPr>
          <w:cnfStyle w:val="100000000000" w:firstRow="1" w:lastRow="0" w:firstColumn="0" w:lastColumn="0" w:oddVBand="0" w:evenVBand="0" w:oddHBand="0" w:evenHBand="0" w:firstRowFirstColumn="0" w:firstRowLastColumn="0" w:lastRowFirstColumn="0" w:lastRowLastColumn="0"/>
          <w:trHeight w:val="802"/>
        </w:trPr>
        <w:tc>
          <w:tcPr>
            <w:tcW w:w="3085" w:type="dxa"/>
          </w:tcPr>
          <w:p w14:paraId="68BF257A" w14:textId="77777777" w:rsidR="007F1ADC" w:rsidRPr="002111F7" w:rsidRDefault="007F1ADC" w:rsidP="002111F7">
            <w:pPr>
              <w:rPr>
                <w:sz w:val="20"/>
                <w:szCs w:val="20"/>
              </w:rPr>
            </w:pPr>
          </w:p>
        </w:tc>
        <w:tc>
          <w:tcPr>
            <w:tcW w:w="2508" w:type="dxa"/>
          </w:tcPr>
          <w:p w14:paraId="19090DE3" w14:textId="55B7FC9C" w:rsidR="007F1ADC" w:rsidRPr="002111F7" w:rsidRDefault="007F1ADC" w:rsidP="002111F7">
            <w:pPr>
              <w:rPr>
                <w:sz w:val="20"/>
                <w:szCs w:val="20"/>
              </w:rPr>
            </w:pPr>
            <w:proofErr w:type="spellStart"/>
            <w:r w:rsidRPr="002111F7">
              <w:rPr>
                <w:sz w:val="20"/>
                <w:szCs w:val="20"/>
              </w:rPr>
              <w:t>Deoxycholic</w:t>
            </w:r>
            <w:proofErr w:type="spellEnd"/>
            <w:r w:rsidRPr="002111F7">
              <w:rPr>
                <w:sz w:val="20"/>
                <w:szCs w:val="20"/>
              </w:rPr>
              <w:t xml:space="preserve"> acid</w:t>
            </w:r>
            <w:r w:rsidR="001A3811" w:rsidRPr="002111F7">
              <w:rPr>
                <w:sz w:val="20"/>
                <w:szCs w:val="20"/>
              </w:rPr>
              <w:t xml:space="preserve"> 10 </w:t>
            </w:r>
            <w:r w:rsidRPr="002111F7">
              <w:rPr>
                <w:sz w:val="20"/>
                <w:szCs w:val="20"/>
              </w:rPr>
              <w:t>mg/mL</w:t>
            </w:r>
            <w:r w:rsidR="001A3811" w:rsidRPr="002111F7">
              <w:rPr>
                <w:sz w:val="20"/>
                <w:szCs w:val="20"/>
              </w:rPr>
              <w:t xml:space="preserve"> (n </w:t>
            </w:r>
            <w:r w:rsidRPr="002111F7">
              <w:rPr>
                <w:sz w:val="20"/>
                <w:szCs w:val="20"/>
              </w:rPr>
              <w:t>=</w:t>
            </w:r>
            <w:r w:rsidR="001A3811" w:rsidRPr="002111F7">
              <w:rPr>
                <w:sz w:val="20"/>
                <w:szCs w:val="20"/>
              </w:rPr>
              <w:t xml:space="preserve"> </w:t>
            </w:r>
            <w:r w:rsidRPr="002111F7">
              <w:rPr>
                <w:sz w:val="20"/>
                <w:szCs w:val="20"/>
              </w:rPr>
              <w:t>121</w:t>
            </w:r>
            <w:r w:rsidR="001A3811" w:rsidRPr="002111F7">
              <w:rPr>
                <w:sz w:val="20"/>
                <w:szCs w:val="20"/>
              </w:rPr>
              <w:t>)</w:t>
            </w:r>
          </w:p>
        </w:tc>
        <w:tc>
          <w:tcPr>
            <w:tcW w:w="2340" w:type="dxa"/>
          </w:tcPr>
          <w:p w14:paraId="2D8CB621" w14:textId="69882314" w:rsidR="007F1ADC" w:rsidRPr="002111F7" w:rsidRDefault="007F1ADC" w:rsidP="002111F7">
            <w:pPr>
              <w:rPr>
                <w:sz w:val="20"/>
                <w:szCs w:val="20"/>
              </w:rPr>
            </w:pPr>
            <w:r w:rsidRPr="002111F7">
              <w:rPr>
                <w:sz w:val="20"/>
                <w:szCs w:val="20"/>
              </w:rPr>
              <w:t>Placebo</w:t>
            </w:r>
            <w:r w:rsidR="001A3811" w:rsidRPr="002111F7">
              <w:rPr>
                <w:sz w:val="20"/>
                <w:szCs w:val="20"/>
              </w:rPr>
              <w:t xml:space="preserve"> (n </w:t>
            </w:r>
            <w:r w:rsidRPr="002111F7">
              <w:rPr>
                <w:sz w:val="20"/>
                <w:szCs w:val="20"/>
              </w:rPr>
              <w:t>=122</w:t>
            </w:r>
            <w:r w:rsidR="001A3811" w:rsidRPr="002111F7">
              <w:rPr>
                <w:sz w:val="20"/>
                <w:szCs w:val="20"/>
              </w:rPr>
              <w:t>)</w:t>
            </w:r>
          </w:p>
        </w:tc>
      </w:tr>
      <w:tr w:rsidR="001A3811" w:rsidRPr="002111F7" w14:paraId="40040CB2" w14:textId="77777777" w:rsidTr="001A3811">
        <w:tc>
          <w:tcPr>
            <w:tcW w:w="3085" w:type="dxa"/>
          </w:tcPr>
          <w:p w14:paraId="01F7DA36" w14:textId="77777777" w:rsidR="007F1ADC" w:rsidRPr="002111F7" w:rsidRDefault="007F1ADC" w:rsidP="002111F7">
            <w:pPr>
              <w:rPr>
                <w:sz w:val="20"/>
                <w:szCs w:val="20"/>
              </w:rPr>
            </w:pPr>
            <w:r w:rsidRPr="002111F7">
              <w:rPr>
                <w:sz w:val="20"/>
                <w:szCs w:val="20"/>
              </w:rPr>
              <w:t>CR-SMFRS 1-grade responder rate</w:t>
            </w:r>
          </w:p>
        </w:tc>
        <w:tc>
          <w:tcPr>
            <w:tcW w:w="2508" w:type="dxa"/>
          </w:tcPr>
          <w:p w14:paraId="1C7B0A22" w14:textId="77777777" w:rsidR="007F1ADC" w:rsidRPr="002111F7" w:rsidRDefault="007F1ADC" w:rsidP="002111F7">
            <w:pPr>
              <w:rPr>
                <w:sz w:val="20"/>
                <w:szCs w:val="20"/>
              </w:rPr>
            </w:pPr>
            <w:r w:rsidRPr="002111F7">
              <w:rPr>
                <w:sz w:val="20"/>
                <w:szCs w:val="20"/>
              </w:rPr>
              <w:t>79 (65%)</w:t>
            </w:r>
          </w:p>
        </w:tc>
        <w:tc>
          <w:tcPr>
            <w:tcW w:w="2340" w:type="dxa"/>
          </w:tcPr>
          <w:p w14:paraId="37407CE4" w14:textId="77777777" w:rsidR="007F1ADC" w:rsidRPr="002111F7" w:rsidRDefault="007F1ADC" w:rsidP="002111F7">
            <w:pPr>
              <w:rPr>
                <w:sz w:val="20"/>
                <w:szCs w:val="20"/>
              </w:rPr>
            </w:pPr>
            <w:r w:rsidRPr="002111F7">
              <w:rPr>
                <w:sz w:val="20"/>
                <w:szCs w:val="20"/>
              </w:rPr>
              <w:t>28 (23%)</w:t>
            </w:r>
          </w:p>
        </w:tc>
      </w:tr>
      <w:tr w:rsidR="001A3811" w:rsidRPr="002111F7" w14:paraId="19EE20C0" w14:textId="77777777" w:rsidTr="001A3811">
        <w:tc>
          <w:tcPr>
            <w:tcW w:w="3085" w:type="dxa"/>
          </w:tcPr>
          <w:p w14:paraId="7667E8A5" w14:textId="2CA24646" w:rsidR="007F1ADC" w:rsidRPr="002111F7" w:rsidRDefault="001A3811" w:rsidP="002111F7">
            <w:pPr>
              <w:rPr>
                <w:sz w:val="20"/>
                <w:szCs w:val="20"/>
              </w:rPr>
            </w:pPr>
            <w:r w:rsidRPr="002111F7">
              <w:rPr>
                <w:sz w:val="20"/>
                <w:szCs w:val="20"/>
              </w:rPr>
              <w:t xml:space="preserve">SSRS </w:t>
            </w:r>
            <w:r w:rsidR="007F1ADC" w:rsidRPr="002111F7">
              <w:rPr>
                <w:sz w:val="20"/>
                <w:szCs w:val="20"/>
              </w:rPr>
              <w:t>(responder= score ≥ 4)</w:t>
            </w:r>
          </w:p>
        </w:tc>
        <w:tc>
          <w:tcPr>
            <w:tcW w:w="2508" w:type="dxa"/>
          </w:tcPr>
          <w:p w14:paraId="0B54F5EF" w14:textId="77777777" w:rsidR="007F1ADC" w:rsidRPr="002111F7" w:rsidRDefault="007F1ADC" w:rsidP="002111F7">
            <w:pPr>
              <w:rPr>
                <w:sz w:val="20"/>
                <w:szCs w:val="20"/>
              </w:rPr>
            </w:pPr>
            <w:r w:rsidRPr="002111F7">
              <w:rPr>
                <w:sz w:val="20"/>
                <w:szCs w:val="20"/>
              </w:rPr>
              <w:t>80 (66%)</w:t>
            </w:r>
          </w:p>
        </w:tc>
        <w:tc>
          <w:tcPr>
            <w:tcW w:w="2340" w:type="dxa"/>
          </w:tcPr>
          <w:p w14:paraId="556B8C31" w14:textId="77777777" w:rsidR="007F1ADC" w:rsidRPr="002111F7" w:rsidRDefault="007F1ADC" w:rsidP="002111F7">
            <w:pPr>
              <w:rPr>
                <w:sz w:val="20"/>
                <w:szCs w:val="20"/>
              </w:rPr>
            </w:pPr>
            <w:r w:rsidRPr="002111F7">
              <w:rPr>
                <w:sz w:val="20"/>
                <w:szCs w:val="20"/>
              </w:rPr>
              <w:t>35 (29%)</w:t>
            </w:r>
          </w:p>
        </w:tc>
      </w:tr>
    </w:tbl>
    <w:p w14:paraId="2B4ED0C3" w14:textId="49801A62" w:rsidR="007F1ADC" w:rsidRDefault="001A3811" w:rsidP="001A3811">
      <w:pPr>
        <w:pStyle w:val="TableTitle"/>
        <w:rPr>
          <w:lang w:eastAsia="en-AU"/>
        </w:rPr>
      </w:pPr>
      <w:r>
        <w:rPr>
          <w:lang w:eastAsia="en-AU"/>
        </w:rPr>
        <w:lastRenderedPageBreak/>
        <w:t>Table</w:t>
      </w:r>
      <w:r w:rsidR="000505BA">
        <w:rPr>
          <w:lang w:eastAsia="en-AU"/>
        </w:rPr>
        <w:t xml:space="preserve"> 11</w:t>
      </w:r>
      <w:r w:rsidR="00087F2C">
        <w:rPr>
          <w:lang w:eastAsia="en-AU"/>
        </w:rPr>
        <w:t>:</w:t>
      </w:r>
      <w:r>
        <w:rPr>
          <w:lang w:eastAsia="en-AU"/>
        </w:rPr>
        <w:t xml:space="preserve"> Results for </w:t>
      </w:r>
      <w:r w:rsidR="007F1ADC">
        <w:rPr>
          <w:lang w:eastAsia="en-AU"/>
        </w:rPr>
        <w:t>Studies 22/23</w:t>
      </w:r>
    </w:p>
    <w:tbl>
      <w:tblPr>
        <w:tblStyle w:val="TableTGAblue"/>
        <w:tblW w:w="0" w:type="auto"/>
        <w:tblLook w:val="04A0" w:firstRow="1" w:lastRow="0" w:firstColumn="1" w:lastColumn="0" w:noHBand="0" w:noVBand="1"/>
      </w:tblPr>
      <w:tblGrid>
        <w:gridCol w:w="3085"/>
        <w:gridCol w:w="2508"/>
        <w:gridCol w:w="2340"/>
      </w:tblGrid>
      <w:tr w:rsidR="001A3811" w:rsidRPr="002111F7" w14:paraId="4605A1B5" w14:textId="77777777" w:rsidTr="003D0C3C">
        <w:trPr>
          <w:cnfStyle w:val="100000000000" w:firstRow="1" w:lastRow="0" w:firstColumn="0" w:lastColumn="0" w:oddVBand="0" w:evenVBand="0" w:oddHBand="0" w:evenHBand="0" w:firstRowFirstColumn="0" w:firstRowLastColumn="0" w:lastRowFirstColumn="0" w:lastRowLastColumn="0"/>
          <w:trHeight w:val="793"/>
        </w:trPr>
        <w:tc>
          <w:tcPr>
            <w:tcW w:w="3085" w:type="dxa"/>
          </w:tcPr>
          <w:p w14:paraId="09AB8383" w14:textId="77777777" w:rsidR="007F1ADC" w:rsidRPr="002111F7" w:rsidRDefault="007F1ADC" w:rsidP="002111F7">
            <w:pPr>
              <w:rPr>
                <w:sz w:val="20"/>
                <w:szCs w:val="20"/>
              </w:rPr>
            </w:pPr>
          </w:p>
        </w:tc>
        <w:tc>
          <w:tcPr>
            <w:tcW w:w="2508" w:type="dxa"/>
          </w:tcPr>
          <w:p w14:paraId="7F0704A5" w14:textId="2F805FC3" w:rsidR="007F1ADC" w:rsidRPr="002111F7" w:rsidRDefault="007F1ADC" w:rsidP="002111F7">
            <w:pPr>
              <w:rPr>
                <w:sz w:val="20"/>
                <w:szCs w:val="20"/>
              </w:rPr>
            </w:pPr>
            <w:proofErr w:type="spellStart"/>
            <w:r w:rsidRPr="002111F7">
              <w:rPr>
                <w:sz w:val="20"/>
                <w:szCs w:val="20"/>
              </w:rPr>
              <w:t>Deoxycholic</w:t>
            </w:r>
            <w:proofErr w:type="spellEnd"/>
            <w:r w:rsidRPr="002111F7">
              <w:rPr>
                <w:sz w:val="20"/>
                <w:szCs w:val="20"/>
              </w:rPr>
              <w:t xml:space="preserve"> acid</w:t>
            </w:r>
            <w:r w:rsidR="001A3811" w:rsidRPr="002111F7">
              <w:rPr>
                <w:sz w:val="20"/>
                <w:szCs w:val="20"/>
              </w:rPr>
              <w:t xml:space="preserve"> </w:t>
            </w:r>
            <w:r w:rsidR="003D0C3C" w:rsidRPr="002111F7">
              <w:rPr>
                <w:sz w:val="20"/>
                <w:szCs w:val="20"/>
              </w:rPr>
              <w:t>10 </w:t>
            </w:r>
            <w:r w:rsidRPr="002111F7">
              <w:rPr>
                <w:sz w:val="20"/>
                <w:szCs w:val="20"/>
              </w:rPr>
              <w:t>mg/mL</w:t>
            </w:r>
            <w:r w:rsidR="001A3811" w:rsidRPr="002111F7">
              <w:rPr>
                <w:sz w:val="20"/>
                <w:szCs w:val="20"/>
              </w:rPr>
              <w:t xml:space="preserve"> </w:t>
            </w:r>
            <w:r w:rsidR="003D0C3C" w:rsidRPr="002111F7">
              <w:rPr>
                <w:sz w:val="20"/>
                <w:szCs w:val="20"/>
              </w:rPr>
              <w:t>(</w:t>
            </w:r>
            <w:r w:rsidR="001A3811" w:rsidRPr="002111F7">
              <w:rPr>
                <w:sz w:val="20"/>
                <w:szCs w:val="20"/>
              </w:rPr>
              <w:t>n </w:t>
            </w:r>
            <w:r w:rsidRPr="002111F7">
              <w:rPr>
                <w:sz w:val="20"/>
                <w:szCs w:val="20"/>
              </w:rPr>
              <w:t>=</w:t>
            </w:r>
            <w:r w:rsidR="001A3811" w:rsidRPr="002111F7">
              <w:rPr>
                <w:sz w:val="20"/>
                <w:szCs w:val="20"/>
              </w:rPr>
              <w:t> </w:t>
            </w:r>
            <w:r w:rsidRPr="002111F7">
              <w:rPr>
                <w:sz w:val="20"/>
                <w:szCs w:val="20"/>
              </w:rPr>
              <w:t>256</w:t>
            </w:r>
            <w:r w:rsidR="003D0C3C" w:rsidRPr="002111F7">
              <w:rPr>
                <w:sz w:val="20"/>
                <w:szCs w:val="20"/>
              </w:rPr>
              <w:t>)</w:t>
            </w:r>
          </w:p>
        </w:tc>
        <w:tc>
          <w:tcPr>
            <w:tcW w:w="2340" w:type="dxa"/>
          </w:tcPr>
          <w:p w14:paraId="3C73EADB" w14:textId="14E08844" w:rsidR="007F1ADC" w:rsidRPr="002111F7" w:rsidRDefault="007F1ADC" w:rsidP="002111F7">
            <w:pPr>
              <w:rPr>
                <w:sz w:val="20"/>
                <w:szCs w:val="20"/>
              </w:rPr>
            </w:pPr>
            <w:r w:rsidRPr="002111F7">
              <w:rPr>
                <w:sz w:val="20"/>
                <w:szCs w:val="20"/>
              </w:rPr>
              <w:t>Placebo</w:t>
            </w:r>
            <w:r w:rsidR="003D0C3C" w:rsidRPr="002111F7">
              <w:rPr>
                <w:sz w:val="20"/>
                <w:szCs w:val="20"/>
              </w:rPr>
              <w:t xml:space="preserve"> (n </w:t>
            </w:r>
            <w:r w:rsidRPr="002111F7">
              <w:rPr>
                <w:sz w:val="20"/>
                <w:szCs w:val="20"/>
              </w:rPr>
              <w:t>=</w:t>
            </w:r>
            <w:r w:rsidR="003D0C3C" w:rsidRPr="002111F7">
              <w:rPr>
                <w:sz w:val="20"/>
                <w:szCs w:val="20"/>
              </w:rPr>
              <w:t> </w:t>
            </w:r>
            <w:r w:rsidRPr="002111F7">
              <w:rPr>
                <w:sz w:val="20"/>
                <w:szCs w:val="20"/>
              </w:rPr>
              <w:t>250</w:t>
            </w:r>
            <w:r w:rsidR="003D0C3C" w:rsidRPr="002111F7">
              <w:rPr>
                <w:sz w:val="20"/>
                <w:szCs w:val="20"/>
              </w:rPr>
              <w:t>)</w:t>
            </w:r>
          </w:p>
        </w:tc>
      </w:tr>
      <w:tr w:rsidR="001A3811" w:rsidRPr="002111F7" w14:paraId="7EF79F07" w14:textId="77777777" w:rsidTr="003D0C3C">
        <w:tc>
          <w:tcPr>
            <w:tcW w:w="3085" w:type="dxa"/>
          </w:tcPr>
          <w:p w14:paraId="2B7F7905" w14:textId="6AE6912E" w:rsidR="007F1ADC" w:rsidRPr="002111F7" w:rsidRDefault="007F1ADC" w:rsidP="002111F7">
            <w:pPr>
              <w:rPr>
                <w:sz w:val="20"/>
                <w:szCs w:val="20"/>
              </w:rPr>
            </w:pPr>
            <w:r w:rsidRPr="002111F7">
              <w:rPr>
                <w:sz w:val="20"/>
                <w:szCs w:val="20"/>
              </w:rPr>
              <w:t>Composite SMFRS 1-grade responder rate</w:t>
            </w:r>
          </w:p>
        </w:tc>
        <w:tc>
          <w:tcPr>
            <w:tcW w:w="2508" w:type="dxa"/>
          </w:tcPr>
          <w:p w14:paraId="54526EF6" w14:textId="77777777" w:rsidR="007F1ADC" w:rsidRPr="002111F7" w:rsidRDefault="007F1ADC" w:rsidP="002111F7">
            <w:pPr>
              <w:rPr>
                <w:sz w:val="20"/>
                <w:szCs w:val="20"/>
              </w:rPr>
            </w:pPr>
            <w:r w:rsidRPr="002111F7">
              <w:rPr>
                <w:sz w:val="20"/>
                <w:szCs w:val="20"/>
              </w:rPr>
              <w:t>179 (70%)</w:t>
            </w:r>
          </w:p>
        </w:tc>
        <w:tc>
          <w:tcPr>
            <w:tcW w:w="2340" w:type="dxa"/>
          </w:tcPr>
          <w:p w14:paraId="7977AB68" w14:textId="77777777" w:rsidR="007F1ADC" w:rsidRPr="002111F7" w:rsidRDefault="007F1ADC" w:rsidP="002111F7">
            <w:pPr>
              <w:rPr>
                <w:sz w:val="20"/>
                <w:szCs w:val="20"/>
              </w:rPr>
            </w:pPr>
            <w:r w:rsidRPr="002111F7">
              <w:rPr>
                <w:sz w:val="20"/>
                <w:szCs w:val="20"/>
              </w:rPr>
              <w:t>46 (19%)</w:t>
            </w:r>
          </w:p>
        </w:tc>
      </w:tr>
      <w:tr w:rsidR="001A3811" w:rsidRPr="002111F7" w14:paraId="0EABDF7D" w14:textId="77777777" w:rsidTr="003D0C3C">
        <w:tc>
          <w:tcPr>
            <w:tcW w:w="3085" w:type="dxa"/>
          </w:tcPr>
          <w:p w14:paraId="7C9CBF42" w14:textId="77777777" w:rsidR="007F1ADC" w:rsidRPr="002111F7" w:rsidRDefault="007F1ADC" w:rsidP="002111F7">
            <w:pPr>
              <w:rPr>
                <w:sz w:val="20"/>
                <w:szCs w:val="20"/>
              </w:rPr>
            </w:pPr>
            <w:r w:rsidRPr="002111F7">
              <w:rPr>
                <w:sz w:val="20"/>
                <w:szCs w:val="20"/>
              </w:rPr>
              <w:t>Composite SMFRS 2-grade responder rate</w:t>
            </w:r>
          </w:p>
        </w:tc>
        <w:tc>
          <w:tcPr>
            <w:tcW w:w="2508" w:type="dxa"/>
          </w:tcPr>
          <w:p w14:paraId="24624096" w14:textId="77777777" w:rsidR="007F1ADC" w:rsidRPr="002111F7" w:rsidRDefault="007F1ADC" w:rsidP="002111F7">
            <w:pPr>
              <w:rPr>
                <w:sz w:val="20"/>
                <w:szCs w:val="20"/>
              </w:rPr>
            </w:pPr>
            <w:r w:rsidRPr="002111F7">
              <w:rPr>
                <w:sz w:val="20"/>
                <w:szCs w:val="20"/>
              </w:rPr>
              <w:t>34 (13%)</w:t>
            </w:r>
          </w:p>
        </w:tc>
        <w:tc>
          <w:tcPr>
            <w:tcW w:w="2340" w:type="dxa"/>
          </w:tcPr>
          <w:p w14:paraId="68548CD6" w14:textId="2A5C8DA5" w:rsidR="007F1ADC" w:rsidRPr="002111F7" w:rsidRDefault="007F1ADC" w:rsidP="002111F7">
            <w:pPr>
              <w:rPr>
                <w:sz w:val="20"/>
                <w:szCs w:val="20"/>
              </w:rPr>
            </w:pPr>
            <w:r w:rsidRPr="002111F7">
              <w:rPr>
                <w:sz w:val="20"/>
                <w:szCs w:val="20"/>
              </w:rPr>
              <w:t>1 (&lt;</w:t>
            </w:r>
            <w:r w:rsidR="003D0C3C" w:rsidRPr="002111F7">
              <w:rPr>
                <w:sz w:val="20"/>
                <w:szCs w:val="20"/>
              </w:rPr>
              <w:t> </w:t>
            </w:r>
            <w:r w:rsidRPr="002111F7">
              <w:rPr>
                <w:sz w:val="20"/>
                <w:szCs w:val="20"/>
              </w:rPr>
              <w:t>0.1%)</w:t>
            </w:r>
          </w:p>
        </w:tc>
      </w:tr>
    </w:tbl>
    <w:p w14:paraId="758F6957" w14:textId="09A34F4E" w:rsidR="007F1ADC" w:rsidRDefault="007F1ADC" w:rsidP="007949C4">
      <w:pPr>
        <w:rPr>
          <w:lang w:eastAsia="en-AU"/>
        </w:rPr>
      </w:pPr>
      <w:r>
        <w:rPr>
          <w:lang w:eastAsia="en-AU"/>
        </w:rPr>
        <w:t xml:space="preserve">Secondary endpoints were supportive of efficacy and did </w:t>
      </w:r>
      <w:r w:rsidR="003D0C3C">
        <w:rPr>
          <w:lang w:eastAsia="en-AU"/>
        </w:rPr>
        <w:t>not raise any concerns.</w:t>
      </w:r>
    </w:p>
    <w:p w14:paraId="59262067" w14:textId="587B5DE0" w:rsidR="003D0C3C" w:rsidRDefault="009D23EF" w:rsidP="003D0C3C">
      <w:pPr>
        <w:pStyle w:val="Heading4"/>
        <w:rPr>
          <w:lang w:eastAsia="en-AU"/>
        </w:rPr>
      </w:pPr>
      <w:r>
        <w:rPr>
          <w:lang w:eastAsia="en-AU"/>
        </w:rPr>
        <w:t>Clinical s</w:t>
      </w:r>
      <w:r w:rsidR="003D0C3C">
        <w:rPr>
          <w:lang w:eastAsia="en-AU"/>
        </w:rPr>
        <w:t>afety</w:t>
      </w:r>
    </w:p>
    <w:p w14:paraId="3F111F25" w14:textId="5280FEA9" w:rsidR="003D0C3C" w:rsidRPr="003D0C3C" w:rsidRDefault="003D0C3C" w:rsidP="003D0C3C">
      <w:proofErr w:type="spellStart"/>
      <w:r w:rsidRPr="003D0C3C">
        <w:t>Deoxycholic</w:t>
      </w:r>
      <w:proofErr w:type="spellEnd"/>
      <w:r w:rsidRPr="003D0C3C">
        <w:t xml:space="preserve"> </w:t>
      </w:r>
      <w:r w:rsidR="00F43DB1">
        <w:t>acid is an endogenous substance</w:t>
      </w:r>
      <w:r w:rsidRPr="003D0C3C">
        <w:t xml:space="preserve"> which is present in the systemic circulation. The pharmacology studies show that levels peak one hour after injection with </w:t>
      </w:r>
      <w:proofErr w:type="spellStart"/>
      <w:r w:rsidRPr="003D0C3C">
        <w:t>Belkyra</w:t>
      </w:r>
      <w:proofErr w:type="spellEnd"/>
      <w:r w:rsidR="00AF5CEC">
        <w:t xml:space="preserve"> at levels about 2 to </w:t>
      </w:r>
      <w:r w:rsidRPr="003D0C3C">
        <w:t>3 times higher than endogenous le</w:t>
      </w:r>
      <w:r w:rsidR="00AF5CEC">
        <w:t>vels. Levels return to baseline at 12 to </w:t>
      </w:r>
      <w:r w:rsidRPr="003D0C3C">
        <w:t>24 hours after injection.</w:t>
      </w:r>
    </w:p>
    <w:p w14:paraId="75356288" w14:textId="66EF4B80" w:rsidR="003D0C3C" w:rsidRPr="003D0C3C" w:rsidRDefault="003D0C3C" w:rsidP="003D0C3C">
      <w:proofErr w:type="spellStart"/>
      <w:r w:rsidRPr="003D0C3C">
        <w:t>Belkyra</w:t>
      </w:r>
      <w:proofErr w:type="spellEnd"/>
      <w:r w:rsidRPr="003D0C3C">
        <w:t xml:space="preserve"> acts locally in the </w:t>
      </w:r>
      <w:r w:rsidR="008B7C4D">
        <w:t>SC</w:t>
      </w:r>
      <w:r w:rsidRPr="003D0C3C">
        <w:t xml:space="preserve"> fat and the safety profile reflects this local action. As is the case with many new medicinal products, it is not possible, based on the currently available data, to rule out long-term local or systemic adverse reactions.</w:t>
      </w:r>
    </w:p>
    <w:p w14:paraId="786FE71B" w14:textId="46049AD5" w:rsidR="003D0C3C" w:rsidRPr="003D0C3C" w:rsidRDefault="003D0C3C" w:rsidP="003D0C3C">
      <w:r w:rsidRPr="003D0C3C">
        <w:t>About 700 patients were exposed to the dosing regi</w:t>
      </w:r>
      <w:r w:rsidR="005819EC">
        <w:t>men proposed in the PI (up to 6 </w:t>
      </w:r>
      <w:r w:rsidRPr="003D0C3C">
        <w:t>months).</w:t>
      </w:r>
    </w:p>
    <w:p w14:paraId="7DD5A6C3" w14:textId="3B5CCE17" w:rsidR="003D0C3C" w:rsidRPr="003D0C3C" w:rsidRDefault="003D0C3C" w:rsidP="003D0C3C">
      <w:r w:rsidRPr="003D0C3C">
        <w:t xml:space="preserve">Injection site pain occurred in about 70% of patients. Other common adverse reactions </w:t>
      </w:r>
      <w:r w:rsidR="00AF5CEC">
        <w:t>were: injection site haematoma (60%); injection site anaesthesia</w:t>
      </w:r>
      <w:r w:rsidRPr="003D0C3C">
        <w:t xml:space="preserve"> </w:t>
      </w:r>
      <w:r w:rsidR="00AF5CEC">
        <w:t>(</w:t>
      </w:r>
      <w:r w:rsidRPr="003D0C3C">
        <w:t>60%</w:t>
      </w:r>
      <w:r w:rsidR="00AF5CEC">
        <w:t>) and injection site oedema (</w:t>
      </w:r>
      <w:r w:rsidRPr="003D0C3C">
        <w:t>50%</w:t>
      </w:r>
      <w:r w:rsidR="00AF5CEC">
        <w:t>)</w:t>
      </w:r>
      <w:r w:rsidRPr="003D0C3C">
        <w:t>. The pain is of moderate intensity and typically resolves quickly. Overall, the adverse reactions in the administration area were manageable and reversib</w:t>
      </w:r>
      <w:r w:rsidR="005819EC">
        <w:t>le. To date</w:t>
      </w:r>
      <w:r w:rsidRPr="003D0C3C">
        <w:t xml:space="preserve"> no systemic adverse reactions have been identified.</w:t>
      </w:r>
    </w:p>
    <w:p w14:paraId="62E14797" w14:textId="41315F44" w:rsidR="003D0C3C" w:rsidRPr="003D0C3C" w:rsidRDefault="003D0C3C" w:rsidP="003D0C3C">
      <w:r w:rsidRPr="003D0C3C">
        <w:t xml:space="preserve">Injury or irritation of the marginal mandibular branch of the facial nerve occurred in about 2% of patients in the </w:t>
      </w:r>
      <w:proofErr w:type="spellStart"/>
      <w:r w:rsidRPr="003D0C3C">
        <w:t>Belkyra</w:t>
      </w:r>
      <w:proofErr w:type="spellEnd"/>
      <w:r w:rsidRPr="003D0C3C">
        <w:t xml:space="preserve"> group versus 0.2% of the placebo group. It is unclear whether this higher frequency in the </w:t>
      </w:r>
      <w:proofErr w:type="spellStart"/>
      <w:r w:rsidRPr="003D0C3C">
        <w:t>Belkyra</w:t>
      </w:r>
      <w:proofErr w:type="spellEnd"/>
      <w:r w:rsidRPr="003D0C3C">
        <w:t xml:space="preserve"> group is a chance event or related to </w:t>
      </w:r>
      <w:proofErr w:type="spellStart"/>
      <w:r w:rsidRPr="003D0C3C">
        <w:t>deoxycholic</w:t>
      </w:r>
      <w:proofErr w:type="spellEnd"/>
      <w:r w:rsidRPr="003D0C3C">
        <w:t xml:space="preserve"> acid. All cases resolved without treatment.</w:t>
      </w:r>
      <w:r w:rsidR="005819EC">
        <w:t xml:space="preserve"> </w:t>
      </w:r>
      <w:r w:rsidRPr="003D0C3C">
        <w:t>Dysphagia occurred in 2% of patients in the active arm.</w:t>
      </w:r>
    </w:p>
    <w:p w14:paraId="05774418" w14:textId="2ADF2EE6" w:rsidR="007B6132" w:rsidRDefault="007B6132" w:rsidP="00555280">
      <w:pPr>
        <w:pStyle w:val="Heading4"/>
      </w:pPr>
      <w:bookmarkStart w:id="147" w:name="_Toc314842514"/>
      <w:r w:rsidRPr="007B6132">
        <w:t>Clinical evaluator’s recommendation</w:t>
      </w:r>
    </w:p>
    <w:p w14:paraId="133B5B4C" w14:textId="574EA84D" w:rsidR="003D0C3C" w:rsidRPr="003D0C3C" w:rsidRDefault="003D0C3C" w:rsidP="003D0C3C">
      <w:r w:rsidRPr="007F1ADC">
        <w:t xml:space="preserve">The </w:t>
      </w:r>
      <w:r>
        <w:t>c</w:t>
      </w:r>
      <w:r w:rsidRPr="007F1ADC">
        <w:t xml:space="preserve">linical </w:t>
      </w:r>
      <w:r>
        <w:t>e</w:t>
      </w:r>
      <w:r w:rsidRPr="007F1ADC">
        <w:t>valuator advised the TGA that the benefit-risk balance was favourable.</w:t>
      </w:r>
    </w:p>
    <w:p w14:paraId="4B7BFB8C" w14:textId="77777777" w:rsidR="008E7846" w:rsidRDefault="00386150" w:rsidP="007B6132">
      <w:pPr>
        <w:pStyle w:val="Heading3"/>
        <w:rPr>
          <w:lang w:eastAsia="en-AU"/>
        </w:rPr>
      </w:pPr>
      <w:bookmarkStart w:id="148" w:name="_Toc482015713"/>
      <w:r>
        <w:rPr>
          <w:lang w:eastAsia="en-AU"/>
        </w:rPr>
        <w:t>Risk m</w:t>
      </w:r>
      <w:r w:rsidR="008E7846">
        <w:rPr>
          <w:lang w:eastAsia="en-AU"/>
        </w:rPr>
        <w:t xml:space="preserve">anagement </w:t>
      </w:r>
      <w:r>
        <w:rPr>
          <w:lang w:eastAsia="en-AU"/>
        </w:rPr>
        <w:t>p</w:t>
      </w:r>
      <w:r w:rsidR="008E7846">
        <w:rPr>
          <w:lang w:eastAsia="en-AU"/>
        </w:rPr>
        <w:t>lan</w:t>
      </w:r>
      <w:bookmarkEnd w:id="147"/>
      <w:bookmarkEnd w:id="148"/>
    </w:p>
    <w:p w14:paraId="156CF3D4" w14:textId="0FD2C890" w:rsidR="00087F2C" w:rsidRPr="00087F2C" w:rsidRDefault="00087F2C" w:rsidP="00BB75B1">
      <w:pPr>
        <w:rPr>
          <w:lang w:eastAsia="en-AU"/>
        </w:rPr>
      </w:pPr>
      <w:r>
        <w:rPr>
          <w:lang w:eastAsia="en-AU"/>
        </w:rPr>
        <w:t>The following two tables summarise the safety concerns detailed in the EU-RMP and in the ASA version 2.</w:t>
      </w:r>
    </w:p>
    <w:p w14:paraId="338804D7" w14:textId="3691E0E1" w:rsidR="005819EC" w:rsidRPr="005819EC" w:rsidRDefault="005819EC" w:rsidP="005819EC">
      <w:pPr>
        <w:pStyle w:val="TableTitle"/>
      </w:pPr>
      <w:r>
        <w:t>Table</w:t>
      </w:r>
      <w:r w:rsidR="00087F2C">
        <w:t xml:space="preserve"> 12</w:t>
      </w:r>
      <w:r>
        <w:t xml:space="preserve">: </w:t>
      </w:r>
      <w:r w:rsidRPr="005819EC">
        <w:t>Summary of safety concerns in the EU-RMP v1.0</w:t>
      </w:r>
    </w:p>
    <w:tbl>
      <w:tblPr>
        <w:tblStyle w:val="TableTGAblue"/>
        <w:tblW w:w="0" w:type="auto"/>
        <w:tblLook w:val="04A0" w:firstRow="1" w:lastRow="0" w:firstColumn="1" w:lastColumn="0" w:noHBand="0" w:noVBand="1"/>
      </w:tblPr>
      <w:tblGrid>
        <w:gridCol w:w="2804"/>
        <w:gridCol w:w="5220"/>
      </w:tblGrid>
      <w:tr w:rsidR="00794C17" w:rsidRPr="009D23EF" w14:paraId="76D99BB1" w14:textId="77777777" w:rsidTr="00794C17">
        <w:trPr>
          <w:cnfStyle w:val="100000000000" w:firstRow="1" w:lastRow="0" w:firstColumn="0" w:lastColumn="0" w:oddVBand="0" w:evenVBand="0" w:oddHBand="0" w:evenHBand="0" w:firstRowFirstColumn="0" w:firstRowLastColumn="0" w:lastRowFirstColumn="0" w:lastRowLastColumn="0"/>
        </w:trPr>
        <w:tc>
          <w:tcPr>
            <w:tcW w:w="2804" w:type="dxa"/>
          </w:tcPr>
          <w:p w14:paraId="467E64C2" w14:textId="205312A6" w:rsidR="00794C17" w:rsidRPr="009D23EF" w:rsidRDefault="00794C17" w:rsidP="009D23EF">
            <w:pPr>
              <w:rPr>
                <w:sz w:val="20"/>
                <w:szCs w:val="20"/>
              </w:rPr>
            </w:pPr>
            <w:r w:rsidRPr="009D23EF">
              <w:rPr>
                <w:sz w:val="20"/>
                <w:szCs w:val="20"/>
              </w:rPr>
              <w:t>Category</w:t>
            </w:r>
          </w:p>
        </w:tc>
        <w:tc>
          <w:tcPr>
            <w:tcW w:w="5220" w:type="dxa"/>
          </w:tcPr>
          <w:p w14:paraId="79EC3C7E" w14:textId="016280B8" w:rsidR="00794C17" w:rsidRPr="009D23EF" w:rsidRDefault="00794C17" w:rsidP="009D23EF">
            <w:pPr>
              <w:rPr>
                <w:sz w:val="20"/>
                <w:szCs w:val="20"/>
              </w:rPr>
            </w:pPr>
            <w:r w:rsidRPr="009D23EF">
              <w:rPr>
                <w:sz w:val="20"/>
                <w:szCs w:val="20"/>
              </w:rPr>
              <w:t>Identified safety concerns</w:t>
            </w:r>
          </w:p>
        </w:tc>
      </w:tr>
      <w:tr w:rsidR="00794C17" w:rsidRPr="009D23EF" w14:paraId="1AB2C33A" w14:textId="77777777" w:rsidTr="00794C17">
        <w:tc>
          <w:tcPr>
            <w:tcW w:w="2804" w:type="dxa"/>
          </w:tcPr>
          <w:p w14:paraId="042E7DC8" w14:textId="77777777" w:rsidR="005819EC" w:rsidRPr="009D23EF" w:rsidRDefault="005819EC" w:rsidP="009D23EF">
            <w:pPr>
              <w:rPr>
                <w:sz w:val="20"/>
                <w:szCs w:val="20"/>
              </w:rPr>
            </w:pPr>
            <w:r w:rsidRPr="009D23EF">
              <w:rPr>
                <w:sz w:val="20"/>
                <w:szCs w:val="20"/>
              </w:rPr>
              <w:t>Important identified risks</w:t>
            </w:r>
          </w:p>
        </w:tc>
        <w:tc>
          <w:tcPr>
            <w:tcW w:w="5220" w:type="dxa"/>
          </w:tcPr>
          <w:p w14:paraId="069C14B0" w14:textId="77777777" w:rsidR="005819EC" w:rsidRPr="009D23EF" w:rsidRDefault="005819EC" w:rsidP="009D23EF">
            <w:pPr>
              <w:rPr>
                <w:sz w:val="20"/>
                <w:szCs w:val="20"/>
              </w:rPr>
            </w:pPr>
            <w:r w:rsidRPr="009D23EF">
              <w:rPr>
                <w:sz w:val="20"/>
                <w:szCs w:val="20"/>
              </w:rPr>
              <w:t>Injection site nerve injury</w:t>
            </w:r>
          </w:p>
          <w:p w14:paraId="2CD24BCD" w14:textId="77777777" w:rsidR="005819EC" w:rsidRPr="009D23EF" w:rsidRDefault="005819EC" w:rsidP="009D23EF">
            <w:pPr>
              <w:rPr>
                <w:sz w:val="20"/>
                <w:szCs w:val="20"/>
              </w:rPr>
            </w:pPr>
            <w:r w:rsidRPr="009D23EF">
              <w:rPr>
                <w:sz w:val="20"/>
                <w:szCs w:val="20"/>
              </w:rPr>
              <w:t>Injection site skin ulceration</w:t>
            </w:r>
          </w:p>
        </w:tc>
      </w:tr>
      <w:tr w:rsidR="00794C17" w:rsidRPr="009D23EF" w14:paraId="526A37A3" w14:textId="77777777" w:rsidTr="00794C17">
        <w:tc>
          <w:tcPr>
            <w:tcW w:w="2804" w:type="dxa"/>
          </w:tcPr>
          <w:p w14:paraId="56F8540C" w14:textId="77777777" w:rsidR="005819EC" w:rsidRPr="009D23EF" w:rsidRDefault="005819EC" w:rsidP="009D23EF">
            <w:pPr>
              <w:rPr>
                <w:sz w:val="20"/>
                <w:szCs w:val="20"/>
              </w:rPr>
            </w:pPr>
            <w:r w:rsidRPr="009D23EF">
              <w:rPr>
                <w:sz w:val="20"/>
                <w:szCs w:val="20"/>
              </w:rPr>
              <w:t>Important potential risks</w:t>
            </w:r>
          </w:p>
        </w:tc>
        <w:tc>
          <w:tcPr>
            <w:tcW w:w="5220" w:type="dxa"/>
          </w:tcPr>
          <w:p w14:paraId="6816EC0A" w14:textId="27E12D42" w:rsidR="005819EC" w:rsidRPr="009D23EF" w:rsidRDefault="005819EC" w:rsidP="009D23EF">
            <w:pPr>
              <w:rPr>
                <w:sz w:val="20"/>
                <w:szCs w:val="20"/>
              </w:rPr>
            </w:pPr>
            <w:r w:rsidRPr="009D23EF">
              <w:rPr>
                <w:sz w:val="20"/>
                <w:szCs w:val="20"/>
              </w:rPr>
              <w:t>Use in patients</w:t>
            </w:r>
            <w:r w:rsidR="00794C17" w:rsidRPr="009D23EF">
              <w:rPr>
                <w:sz w:val="20"/>
                <w:szCs w:val="20"/>
              </w:rPr>
              <w:t>,</w:t>
            </w:r>
            <w:r w:rsidRPr="009D23EF">
              <w:rPr>
                <w:sz w:val="20"/>
                <w:szCs w:val="20"/>
              </w:rPr>
              <w:t xml:space="preserve"> or for conditions or with doses not yet</w:t>
            </w:r>
            <w:r w:rsidR="00794C17" w:rsidRPr="009D23EF">
              <w:rPr>
                <w:sz w:val="20"/>
                <w:szCs w:val="20"/>
              </w:rPr>
              <w:t xml:space="preserve"> </w:t>
            </w:r>
            <w:r w:rsidRPr="009D23EF">
              <w:rPr>
                <w:sz w:val="20"/>
                <w:szCs w:val="20"/>
              </w:rPr>
              <w:lastRenderedPageBreak/>
              <w:t>studied</w:t>
            </w:r>
          </w:p>
        </w:tc>
      </w:tr>
      <w:tr w:rsidR="00794C17" w:rsidRPr="009D23EF" w14:paraId="11B00B6E" w14:textId="77777777" w:rsidTr="00794C17">
        <w:tc>
          <w:tcPr>
            <w:tcW w:w="2804" w:type="dxa"/>
          </w:tcPr>
          <w:p w14:paraId="4FE559A8" w14:textId="77777777" w:rsidR="005819EC" w:rsidRPr="009D23EF" w:rsidRDefault="005819EC" w:rsidP="009D23EF">
            <w:pPr>
              <w:rPr>
                <w:sz w:val="20"/>
                <w:szCs w:val="20"/>
              </w:rPr>
            </w:pPr>
            <w:r w:rsidRPr="009D23EF">
              <w:rPr>
                <w:sz w:val="20"/>
                <w:szCs w:val="20"/>
              </w:rPr>
              <w:lastRenderedPageBreak/>
              <w:t>Important missing information</w:t>
            </w:r>
          </w:p>
        </w:tc>
        <w:tc>
          <w:tcPr>
            <w:tcW w:w="5220" w:type="dxa"/>
          </w:tcPr>
          <w:p w14:paraId="2CAD5C06" w14:textId="77777777" w:rsidR="005819EC" w:rsidRPr="009D23EF" w:rsidRDefault="005819EC" w:rsidP="009D23EF">
            <w:pPr>
              <w:rPr>
                <w:sz w:val="20"/>
                <w:szCs w:val="20"/>
              </w:rPr>
            </w:pPr>
            <w:r w:rsidRPr="009D23EF">
              <w:rPr>
                <w:sz w:val="20"/>
                <w:szCs w:val="20"/>
              </w:rPr>
              <w:t>None</w:t>
            </w:r>
          </w:p>
        </w:tc>
      </w:tr>
    </w:tbl>
    <w:p w14:paraId="58BBDF5C" w14:textId="2464E6CD" w:rsidR="005819EC" w:rsidRPr="005819EC" w:rsidRDefault="005819EC" w:rsidP="005819EC">
      <w:pPr>
        <w:pStyle w:val="TableTitle"/>
      </w:pPr>
      <w:r>
        <w:t>Table</w:t>
      </w:r>
      <w:r w:rsidR="00087F2C">
        <w:t xml:space="preserve"> 13</w:t>
      </w:r>
      <w:r>
        <w:t xml:space="preserve">: </w:t>
      </w:r>
      <w:r w:rsidRPr="005819EC">
        <w:t>Summary of safety concern in the ASA v2.0 (to apply in the Australian context)</w:t>
      </w:r>
    </w:p>
    <w:tbl>
      <w:tblPr>
        <w:tblStyle w:val="TableTGAblue"/>
        <w:tblW w:w="0" w:type="auto"/>
        <w:tblLook w:val="04A0" w:firstRow="1" w:lastRow="0" w:firstColumn="1" w:lastColumn="0" w:noHBand="0" w:noVBand="1"/>
      </w:tblPr>
      <w:tblGrid>
        <w:gridCol w:w="2804"/>
        <w:gridCol w:w="5220"/>
      </w:tblGrid>
      <w:tr w:rsidR="001F68EE" w:rsidRPr="009D23EF" w14:paraId="030CBF98" w14:textId="77777777" w:rsidTr="001F68EE">
        <w:trPr>
          <w:cnfStyle w:val="100000000000" w:firstRow="1" w:lastRow="0" w:firstColumn="0" w:lastColumn="0" w:oddVBand="0" w:evenVBand="0" w:oddHBand="0" w:evenHBand="0" w:firstRowFirstColumn="0" w:firstRowLastColumn="0" w:lastRowFirstColumn="0" w:lastRowLastColumn="0"/>
        </w:trPr>
        <w:tc>
          <w:tcPr>
            <w:tcW w:w="2804" w:type="dxa"/>
          </w:tcPr>
          <w:p w14:paraId="1EF3C9C6" w14:textId="32DDC886" w:rsidR="00794C17" w:rsidRPr="009D23EF" w:rsidRDefault="00794C17" w:rsidP="009D23EF">
            <w:pPr>
              <w:rPr>
                <w:sz w:val="20"/>
                <w:szCs w:val="20"/>
              </w:rPr>
            </w:pPr>
            <w:r w:rsidRPr="009D23EF">
              <w:rPr>
                <w:sz w:val="20"/>
                <w:szCs w:val="20"/>
              </w:rPr>
              <w:t>Category</w:t>
            </w:r>
          </w:p>
        </w:tc>
        <w:tc>
          <w:tcPr>
            <w:tcW w:w="5220" w:type="dxa"/>
          </w:tcPr>
          <w:p w14:paraId="09906203" w14:textId="3AF0C39F" w:rsidR="00794C17" w:rsidRPr="009D23EF" w:rsidRDefault="00794C17" w:rsidP="009D23EF">
            <w:pPr>
              <w:rPr>
                <w:sz w:val="20"/>
                <w:szCs w:val="20"/>
              </w:rPr>
            </w:pPr>
            <w:r w:rsidRPr="009D23EF">
              <w:rPr>
                <w:sz w:val="20"/>
                <w:szCs w:val="20"/>
              </w:rPr>
              <w:t>Identified safety concerns</w:t>
            </w:r>
          </w:p>
        </w:tc>
      </w:tr>
      <w:tr w:rsidR="001F68EE" w:rsidRPr="009D23EF" w14:paraId="35DD3184" w14:textId="77777777" w:rsidTr="001F68EE">
        <w:tc>
          <w:tcPr>
            <w:tcW w:w="2804" w:type="dxa"/>
          </w:tcPr>
          <w:p w14:paraId="3A74B77F" w14:textId="77777777" w:rsidR="005819EC" w:rsidRPr="009D23EF" w:rsidRDefault="005819EC" w:rsidP="009D23EF">
            <w:pPr>
              <w:rPr>
                <w:sz w:val="20"/>
                <w:szCs w:val="20"/>
              </w:rPr>
            </w:pPr>
            <w:r w:rsidRPr="009D23EF">
              <w:rPr>
                <w:sz w:val="20"/>
                <w:szCs w:val="20"/>
              </w:rPr>
              <w:t>Important identified risks</w:t>
            </w:r>
          </w:p>
        </w:tc>
        <w:tc>
          <w:tcPr>
            <w:tcW w:w="5220" w:type="dxa"/>
          </w:tcPr>
          <w:p w14:paraId="2AB04C45" w14:textId="77777777" w:rsidR="005819EC" w:rsidRPr="009D23EF" w:rsidRDefault="005819EC" w:rsidP="009D23EF">
            <w:pPr>
              <w:rPr>
                <w:sz w:val="20"/>
                <w:szCs w:val="20"/>
              </w:rPr>
            </w:pPr>
            <w:r w:rsidRPr="009D23EF">
              <w:rPr>
                <w:sz w:val="20"/>
                <w:szCs w:val="20"/>
              </w:rPr>
              <w:t>Injection site nerve injury</w:t>
            </w:r>
          </w:p>
          <w:p w14:paraId="486AB155" w14:textId="77777777" w:rsidR="005819EC" w:rsidRPr="009D23EF" w:rsidRDefault="005819EC" w:rsidP="009D23EF">
            <w:pPr>
              <w:rPr>
                <w:sz w:val="20"/>
                <w:szCs w:val="20"/>
              </w:rPr>
            </w:pPr>
            <w:r w:rsidRPr="009D23EF">
              <w:rPr>
                <w:sz w:val="20"/>
                <w:szCs w:val="20"/>
              </w:rPr>
              <w:t>Injection site skin ulceration</w:t>
            </w:r>
          </w:p>
          <w:p w14:paraId="4021E18C" w14:textId="77777777" w:rsidR="005819EC" w:rsidRPr="009D23EF" w:rsidRDefault="005819EC" w:rsidP="009D23EF">
            <w:pPr>
              <w:rPr>
                <w:sz w:val="20"/>
                <w:szCs w:val="20"/>
              </w:rPr>
            </w:pPr>
            <w:r w:rsidRPr="009D23EF">
              <w:rPr>
                <w:sz w:val="20"/>
                <w:szCs w:val="20"/>
              </w:rPr>
              <w:t>Injection site anaesthesia/paraesthesia*</w:t>
            </w:r>
          </w:p>
          <w:p w14:paraId="6ED67F43" w14:textId="77777777" w:rsidR="005819EC" w:rsidRPr="009D23EF" w:rsidRDefault="005819EC" w:rsidP="009D23EF">
            <w:pPr>
              <w:rPr>
                <w:sz w:val="20"/>
                <w:szCs w:val="20"/>
              </w:rPr>
            </w:pPr>
            <w:r w:rsidRPr="009D23EF">
              <w:rPr>
                <w:sz w:val="20"/>
                <w:szCs w:val="20"/>
              </w:rPr>
              <w:t>Dysphagia*</w:t>
            </w:r>
          </w:p>
        </w:tc>
      </w:tr>
      <w:tr w:rsidR="001F68EE" w:rsidRPr="009D23EF" w14:paraId="68A98519" w14:textId="77777777" w:rsidTr="001F68EE">
        <w:tc>
          <w:tcPr>
            <w:tcW w:w="2804" w:type="dxa"/>
          </w:tcPr>
          <w:p w14:paraId="01C15851" w14:textId="77777777" w:rsidR="005819EC" w:rsidRPr="009D23EF" w:rsidRDefault="005819EC" w:rsidP="009D23EF">
            <w:pPr>
              <w:rPr>
                <w:sz w:val="20"/>
                <w:szCs w:val="20"/>
              </w:rPr>
            </w:pPr>
            <w:r w:rsidRPr="009D23EF">
              <w:rPr>
                <w:sz w:val="20"/>
                <w:szCs w:val="20"/>
              </w:rPr>
              <w:t>Important potential risks</w:t>
            </w:r>
          </w:p>
        </w:tc>
        <w:tc>
          <w:tcPr>
            <w:tcW w:w="5220" w:type="dxa"/>
          </w:tcPr>
          <w:p w14:paraId="7165DA37" w14:textId="77777777" w:rsidR="005819EC" w:rsidRPr="009D23EF" w:rsidRDefault="005819EC" w:rsidP="009D23EF">
            <w:pPr>
              <w:rPr>
                <w:sz w:val="20"/>
                <w:szCs w:val="20"/>
              </w:rPr>
            </w:pPr>
            <w:r w:rsidRPr="009D23EF">
              <w:rPr>
                <w:sz w:val="20"/>
                <w:szCs w:val="20"/>
              </w:rPr>
              <w:t>Injection site haemorrhage in patients with bleeding factors*</w:t>
            </w:r>
          </w:p>
          <w:p w14:paraId="6B715210" w14:textId="77777777" w:rsidR="005819EC" w:rsidRPr="009D23EF" w:rsidRDefault="005819EC" w:rsidP="009D23EF">
            <w:pPr>
              <w:rPr>
                <w:sz w:val="20"/>
                <w:szCs w:val="20"/>
              </w:rPr>
            </w:pPr>
            <w:r w:rsidRPr="009D23EF">
              <w:rPr>
                <w:sz w:val="20"/>
                <w:szCs w:val="20"/>
              </w:rPr>
              <w:t>Injury of structures at or near the injection site*</w:t>
            </w:r>
          </w:p>
          <w:p w14:paraId="756617BC" w14:textId="77777777" w:rsidR="005819EC" w:rsidRPr="009D23EF" w:rsidRDefault="005819EC" w:rsidP="009D23EF">
            <w:pPr>
              <w:rPr>
                <w:sz w:val="20"/>
                <w:szCs w:val="20"/>
              </w:rPr>
            </w:pPr>
            <w:r w:rsidRPr="009D23EF">
              <w:rPr>
                <w:sz w:val="20"/>
                <w:szCs w:val="20"/>
              </w:rPr>
              <w:t>Off-label use*</w:t>
            </w:r>
          </w:p>
        </w:tc>
      </w:tr>
      <w:tr w:rsidR="001F68EE" w:rsidRPr="009D23EF" w14:paraId="2C90C6B0" w14:textId="77777777" w:rsidTr="001F68EE">
        <w:tc>
          <w:tcPr>
            <w:tcW w:w="2804" w:type="dxa"/>
          </w:tcPr>
          <w:p w14:paraId="4A640F63" w14:textId="77777777" w:rsidR="005819EC" w:rsidRPr="009D23EF" w:rsidRDefault="005819EC" w:rsidP="009D23EF">
            <w:pPr>
              <w:rPr>
                <w:sz w:val="20"/>
                <w:szCs w:val="20"/>
              </w:rPr>
            </w:pPr>
            <w:r w:rsidRPr="009D23EF">
              <w:rPr>
                <w:sz w:val="20"/>
                <w:szCs w:val="20"/>
              </w:rPr>
              <w:t>Important missing information</w:t>
            </w:r>
          </w:p>
        </w:tc>
        <w:tc>
          <w:tcPr>
            <w:tcW w:w="5220" w:type="dxa"/>
          </w:tcPr>
          <w:p w14:paraId="7BAF13BD" w14:textId="77777777" w:rsidR="005819EC" w:rsidRPr="009D23EF" w:rsidRDefault="005819EC" w:rsidP="009D23EF">
            <w:pPr>
              <w:rPr>
                <w:sz w:val="20"/>
                <w:szCs w:val="20"/>
              </w:rPr>
            </w:pPr>
            <w:r w:rsidRPr="009D23EF">
              <w:rPr>
                <w:sz w:val="20"/>
                <w:szCs w:val="20"/>
              </w:rPr>
              <w:t>Use during pregnancy*</w:t>
            </w:r>
          </w:p>
          <w:p w14:paraId="06954482" w14:textId="77777777" w:rsidR="005819EC" w:rsidRPr="009D23EF" w:rsidRDefault="005819EC" w:rsidP="009D23EF">
            <w:pPr>
              <w:rPr>
                <w:sz w:val="20"/>
                <w:szCs w:val="20"/>
              </w:rPr>
            </w:pPr>
            <w:r w:rsidRPr="009D23EF">
              <w:rPr>
                <w:sz w:val="20"/>
                <w:szCs w:val="20"/>
              </w:rPr>
              <w:t>Use during lactation*</w:t>
            </w:r>
          </w:p>
          <w:p w14:paraId="2771D2AB" w14:textId="77777777" w:rsidR="005819EC" w:rsidRPr="009D23EF" w:rsidRDefault="005819EC" w:rsidP="009D23EF">
            <w:pPr>
              <w:rPr>
                <w:sz w:val="20"/>
                <w:szCs w:val="20"/>
              </w:rPr>
            </w:pPr>
            <w:r w:rsidRPr="009D23EF">
              <w:rPr>
                <w:sz w:val="20"/>
                <w:szCs w:val="20"/>
              </w:rPr>
              <w:t>Use in patients with submental fat (SMF) grade 1 or 4*</w:t>
            </w:r>
          </w:p>
          <w:p w14:paraId="54ABC0BD" w14:textId="77777777" w:rsidR="005819EC" w:rsidRPr="009D23EF" w:rsidRDefault="005819EC" w:rsidP="009D23EF">
            <w:pPr>
              <w:rPr>
                <w:sz w:val="20"/>
                <w:szCs w:val="20"/>
              </w:rPr>
            </w:pPr>
            <w:r w:rsidRPr="009D23EF">
              <w:rPr>
                <w:sz w:val="20"/>
                <w:szCs w:val="20"/>
              </w:rPr>
              <w:t>Use in patients older than 65 years*</w:t>
            </w:r>
          </w:p>
          <w:p w14:paraId="5C0DEB99" w14:textId="77777777" w:rsidR="005819EC" w:rsidRPr="009D23EF" w:rsidRDefault="005819EC" w:rsidP="009D23EF">
            <w:pPr>
              <w:rPr>
                <w:sz w:val="20"/>
                <w:szCs w:val="20"/>
              </w:rPr>
            </w:pPr>
            <w:r w:rsidRPr="009D23EF">
              <w:rPr>
                <w:sz w:val="20"/>
                <w:szCs w:val="20"/>
              </w:rPr>
              <w:t>Use in patients younger than 18 years*</w:t>
            </w:r>
          </w:p>
          <w:p w14:paraId="1D143DBA" w14:textId="77777777" w:rsidR="005819EC" w:rsidRPr="009D23EF" w:rsidRDefault="005819EC" w:rsidP="009D23EF">
            <w:pPr>
              <w:rPr>
                <w:sz w:val="20"/>
                <w:szCs w:val="20"/>
              </w:rPr>
            </w:pPr>
            <w:r w:rsidRPr="009D23EF">
              <w:rPr>
                <w:sz w:val="20"/>
                <w:szCs w:val="20"/>
              </w:rPr>
              <w:t>Use in conjunction with other cosmetic products*</w:t>
            </w:r>
          </w:p>
        </w:tc>
      </w:tr>
      <w:tr w:rsidR="001F68EE" w:rsidRPr="009D23EF" w14:paraId="1F388F1B" w14:textId="77777777" w:rsidTr="001F6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32"/>
        </w:trPr>
        <w:tc>
          <w:tcPr>
            <w:tcW w:w="8024" w:type="dxa"/>
            <w:gridSpan w:val="2"/>
          </w:tcPr>
          <w:p w14:paraId="626B6D39" w14:textId="77777777" w:rsidR="001F68EE" w:rsidRPr="009D23EF" w:rsidRDefault="001F68EE" w:rsidP="009D23EF">
            <w:pPr>
              <w:rPr>
                <w:sz w:val="20"/>
                <w:szCs w:val="20"/>
              </w:rPr>
            </w:pPr>
            <w:r w:rsidRPr="009D23EF">
              <w:rPr>
                <w:sz w:val="20"/>
                <w:szCs w:val="20"/>
              </w:rPr>
              <w:t>*added by the sponsor at the request of the TGA to the ASA; ‘Off-label use’ replaced ‘Use in patients or for conditions or with doses not yet studied’ to reflect that even though a condition or patient group was studied, this may not be part of the approved indication.</w:t>
            </w:r>
          </w:p>
          <w:p w14:paraId="4C93ED02" w14:textId="77777777" w:rsidR="001F68EE" w:rsidRPr="009D23EF" w:rsidRDefault="001F68EE" w:rsidP="009D23EF">
            <w:pPr>
              <w:rPr>
                <w:sz w:val="20"/>
                <w:szCs w:val="20"/>
              </w:rPr>
            </w:pPr>
            <w:r w:rsidRPr="009D23EF">
              <w:rPr>
                <w:sz w:val="20"/>
                <w:szCs w:val="20"/>
              </w:rPr>
              <w:t>To important missing information, add:</w:t>
            </w:r>
          </w:p>
          <w:p w14:paraId="61F84DF3" w14:textId="77777777" w:rsidR="001F68EE" w:rsidRPr="009D23EF" w:rsidRDefault="001F68EE" w:rsidP="009D23EF">
            <w:pPr>
              <w:rPr>
                <w:sz w:val="20"/>
                <w:szCs w:val="20"/>
              </w:rPr>
            </w:pPr>
            <w:r w:rsidRPr="009D23EF">
              <w:rPr>
                <w:sz w:val="20"/>
                <w:szCs w:val="20"/>
              </w:rPr>
              <w:t>the efficacy and safety of re-treatment</w:t>
            </w:r>
          </w:p>
          <w:p w14:paraId="0DD35685" w14:textId="77777777" w:rsidR="001F68EE" w:rsidRPr="009D23EF" w:rsidRDefault="001F68EE" w:rsidP="009D23EF">
            <w:pPr>
              <w:rPr>
                <w:sz w:val="20"/>
                <w:szCs w:val="20"/>
              </w:rPr>
            </w:pPr>
            <w:r w:rsidRPr="009D23EF">
              <w:rPr>
                <w:sz w:val="20"/>
                <w:szCs w:val="20"/>
              </w:rPr>
              <w:t>long-term local safety</w:t>
            </w:r>
          </w:p>
          <w:p w14:paraId="21BE5E68" w14:textId="46589412" w:rsidR="001F68EE" w:rsidRPr="009D23EF" w:rsidRDefault="001F68EE" w:rsidP="009D23EF">
            <w:pPr>
              <w:rPr>
                <w:sz w:val="20"/>
                <w:szCs w:val="20"/>
              </w:rPr>
            </w:pPr>
            <w:r w:rsidRPr="009D23EF">
              <w:rPr>
                <w:sz w:val="20"/>
                <w:szCs w:val="20"/>
              </w:rPr>
              <w:t>long-term systemic safety</w:t>
            </w:r>
          </w:p>
        </w:tc>
      </w:tr>
    </w:tbl>
    <w:p w14:paraId="7C271BEE" w14:textId="4F35448A" w:rsidR="005819EC" w:rsidRPr="005819EC" w:rsidRDefault="005819EC" w:rsidP="005819EC">
      <w:r w:rsidRPr="005819EC">
        <w:t>The sponsor is proposing a registry study (CONTOUR registry) to evaluate safety further and that will also capture off-label-use. This study will include Australian patients.</w:t>
      </w:r>
    </w:p>
    <w:p w14:paraId="347C7774" w14:textId="4F16E587" w:rsidR="005819EC" w:rsidRPr="005819EC" w:rsidRDefault="005819EC" w:rsidP="005819EC">
      <w:r w:rsidRPr="005819EC">
        <w:t xml:space="preserve">An additional risk minimisation measure of prescriber education is proposed to mitigate the risk of injection site nerve; and, more generally, to define the treatment area and safely inject the product. The current materials proposed by the </w:t>
      </w:r>
      <w:r w:rsidR="00087F2C">
        <w:t>s</w:t>
      </w:r>
      <w:r w:rsidRPr="005819EC">
        <w:t>ponsor are considered promotional.</w:t>
      </w:r>
    </w:p>
    <w:p w14:paraId="5281C401" w14:textId="52FFAEFC" w:rsidR="005819EC" w:rsidRPr="005819EC" w:rsidRDefault="005819EC" w:rsidP="005819EC">
      <w:r w:rsidRPr="005819EC">
        <w:t xml:space="preserve">The educational materials are being reviewed by an independent external clinical expert, whose advice will be used to finalise the </w:t>
      </w:r>
      <w:r w:rsidR="000505BA">
        <w:t>ASA</w:t>
      </w:r>
      <w:r w:rsidRPr="005819EC">
        <w:t xml:space="preserve"> of the RMP.</w:t>
      </w:r>
    </w:p>
    <w:p w14:paraId="6E6E17DA" w14:textId="4BDD1575" w:rsidR="008E7846" w:rsidRDefault="005819EC" w:rsidP="008E7846">
      <w:pPr>
        <w:rPr>
          <w:lang w:eastAsia="en-AU"/>
        </w:rPr>
      </w:pPr>
      <w:proofErr w:type="spellStart"/>
      <w:r w:rsidRPr="005819EC">
        <w:t>Belkyra</w:t>
      </w:r>
      <w:proofErr w:type="spellEnd"/>
      <w:r w:rsidRPr="005819EC">
        <w:t xml:space="preserve"> was reviewed at ACSOM. The minutes will be provided to the ACPM.</w:t>
      </w:r>
    </w:p>
    <w:p w14:paraId="1095F8EA" w14:textId="77777777" w:rsidR="008E7846" w:rsidRDefault="00AA0ED0" w:rsidP="008E7846">
      <w:pPr>
        <w:pStyle w:val="Heading3"/>
      </w:pPr>
      <w:bookmarkStart w:id="149" w:name="_Toc247691531"/>
      <w:bookmarkStart w:id="150" w:name="_Toc314842515"/>
      <w:bookmarkStart w:id="151" w:name="_Toc482015714"/>
      <w:bookmarkStart w:id="152" w:name="_Toc196046505"/>
      <w:bookmarkStart w:id="153" w:name="_Toc196046949"/>
      <w:r>
        <w:lastRenderedPageBreak/>
        <w:t>Risk-benefit a</w:t>
      </w:r>
      <w:r w:rsidR="008E7846">
        <w:t>nalysis</w:t>
      </w:r>
      <w:bookmarkEnd w:id="149"/>
      <w:bookmarkEnd w:id="150"/>
      <w:bookmarkEnd w:id="151"/>
    </w:p>
    <w:p w14:paraId="647AE014" w14:textId="256962D1" w:rsidR="00D23139" w:rsidRDefault="00D23139" w:rsidP="00D23139">
      <w:pPr>
        <w:pStyle w:val="Heading4"/>
      </w:pPr>
      <w:r w:rsidRPr="00D23139">
        <w:t>Delegate’s co</w:t>
      </w:r>
      <w:r w:rsidR="001060B6">
        <w:t>nsiderations</w:t>
      </w:r>
    </w:p>
    <w:p w14:paraId="7E9E86DA" w14:textId="3C7039D2" w:rsidR="009C4A8D" w:rsidRPr="009C4A8D" w:rsidRDefault="009C4A8D" w:rsidP="009C4A8D">
      <w:r>
        <w:t xml:space="preserve">The confirmatory Phase </w:t>
      </w:r>
      <w:r w:rsidR="00087F2C">
        <w:t>III</w:t>
      </w:r>
      <w:r w:rsidRPr="009C4A8D">
        <w:t xml:space="preserve"> trials met their pre-specified objective of reducing fat below the chin. Many (but not all) patients expressed their satisfaction with the outcomes. There are no data on the efficacy (or safety) </w:t>
      </w:r>
      <w:r>
        <w:t>of re-treatment.</w:t>
      </w:r>
    </w:p>
    <w:p w14:paraId="2FEA8AD5" w14:textId="4FB2CBA2" w:rsidR="009C4A8D" w:rsidRPr="009C4A8D" w:rsidRDefault="009C4A8D" w:rsidP="009C4A8D">
      <w:r w:rsidRPr="009C4A8D">
        <w:t>The adverse reactions, id</w:t>
      </w:r>
      <w:r>
        <w:t>entified in the pre-market data</w:t>
      </w:r>
      <w:r w:rsidRPr="009C4A8D">
        <w:t xml:space="preserve"> were local, reversible and manageable. A final conclusion on long-term safety or systemic safety cannot be </w:t>
      </w:r>
      <w:r>
        <w:t>made</w:t>
      </w:r>
      <w:r w:rsidRPr="009C4A8D">
        <w:t xml:space="preserve"> based on the available (pre-market) data.</w:t>
      </w:r>
    </w:p>
    <w:p w14:paraId="5D8DB648" w14:textId="017C484C" w:rsidR="009C4A8D" w:rsidRPr="009C4A8D" w:rsidRDefault="009C4A8D" w:rsidP="009C4A8D">
      <w:r w:rsidRPr="009C4A8D">
        <w:t>It is likely that, in Australia, most administration will be by non-specialists. To ensure safe injection of the product, prescriber education is proposed.</w:t>
      </w:r>
    </w:p>
    <w:p w14:paraId="61CA353D" w14:textId="254E89B3" w:rsidR="001060B6" w:rsidRPr="001060B6" w:rsidRDefault="009C4A8D" w:rsidP="001060B6">
      <w:r w:rsidRPr="009C4A8D">
        <w:t xml:space="preserve">Parts of the current educational materials, proposed by the </w:t>
      </w:r>
      <w:r>
        <w:t>s</w:t>
      </w:r>
      <w:r w:rsidRPr="009C4A8D">
        <w:t>ponsor, are considered promotional. The TGA has sought independent external clinical advice on their content. Agreement on the educational materials is required before the RMP can be finalised.</w:t>
      </w:r>
    </w:p>
    <w:p w14:paraId="58F34C83" w14:textId="77777777" w:rsidR="00D23139" w:rsidRDefault="00D23139" w:rsidP="00D23139">
      <w:pPr>
        <w:pStyle w:val="Heading4"/>
      </w:pPr>
      <w:r w:rsidRPr="00D23139">
        <w:t>Proposed action</w:t>
      </w:r>
    </w:p>
    <w:p w14:paraId="5526DED6" w14:textId="0468F563" w:rsidR="009C4A8D" w:rsidRDefault="00394BD8" w:rsidP="009C4A8D">
      <w:r>
        <w:t>The Delegate had</w:t>
      </w:r>
      <w:r w:rsidR="009C4A8D" w:rsidRPr="00C80339">
        <w:t xml:space="preserve"> no reason to say, at this time, that </w:t>
      </w:r>
      <w:proofErr w:type="spellStart"/>
      <w:r w:rsidR="009C4A8D">
        <w:t>Belkyra</w:t>
      </w:r>
      <w:proofErr w:type="spellEnd"/>
      <w:r w:rsidR="009C4A8D">
        <w:t xml:space="preserve"> </w:t>
      </w:r>
      <w:r w:rsidR="009C4A8D" w:rsidRPr="00C80339">
        <w:t>should not be approved for registration</w:t>
      </w:r>
      <w:r w:rsidR="009C4A8D">
        <w:t>.</w:t>
      </w:r>
    </w:p>
    <w:p w14:paraId="586708C5" w14:textId="0DCCF738" w:rsidR="009C4A8D" w:rsidRDefault="009C4A8D" w:rsidP="009C4A8D">
      <w:pPr>
        <w:pStyle w:val="Heading4"/>
      </w:pPr>
      <w:r>
        <w:t>Delegate</w:t>
      </w:r>
      <w:r w:rsidR="00394BD8">
        <w:t>’s issues for sponsor</w:t>
      </w:r>
    </w:p>
    <w:p w14:paraId="34E645E7" w14:textId="3866F598" w:rsidR="00394BD8" w:rsidRPr="00394BD8" w:rsidRDefault="00394BD8" w:rsidP="00394BD8">
      <w:pPr>
        <w:pStyle w:val="Numberbullet0"/>
        <w:numPr>
          <w:ilvl w:val="0"/>
          <w:numId w:val="38"/>
        </w:numPr>
      </w:pPr>
      <w:r w:rsidRPr="00394BD8">
        <w:t xml:space="preserve">Please provide details of the educational qualifications of the health care practitioners who administered </w:t>
      </w:r>
      <w:proofErr w:type="spellStart"/>
      <w:r w:rsidRPr="00394BD8">
        <w:t>Belky</w:t>
      </w:r>
      <w:r w:rsidR="000505BA">
        <w:t>ra</w:t>
      </w:r>
      <w:proofErr w:type="spellEnd"/>
      <w:r w:rsidR="000505BA">
        <w:t xml:space="preserve"> in the four Phase </w:t>
      </w:r>
      <w:r w:rsidR="00A62041">
        <w:t>III</w:t>
      </w:r>
      <w:r>
        <w:t xml:space="preserve"> studies.</w:t>
      </w:r>
    </w:p>
    <w:p w14:paraId="682A2BFC" w14:textId="60E8ACEC" w:rsidR="00394BD8" w:rsidRPr="00394BD8" w:rsidRDefault="00394BD8" w:rsidP="00394BD8">
      <w:pPr>
        <w:pStyle w:val="Numberbullet0"/>
        <w:numPr>
          <w:ilvl w:val="0"/>
          <w:numId w:val="38"/>
        </w:numPr>
      </w:pPr>
      <w:r w:rsidRPr="00394BD8">
        <w:t xml:space="preserve">Please provide details of what training and supervision was provided to the health care practitioners who administered </w:t>
      </w:r>
      <w:proofErr w:type="spellStart"/>
      <w:r w:rsidRPr="00394BD8">
        <w:t>Belky</w:t>
      </w:r>
      <w:r w:rsidR="000505BA">
        <w:t>ra</w:t>
      </w:r>
      <w:proofErr w:type="spellEnd"/>
      <w:r w:rsidR="000505BA">
        <w:t xml:space="preserve"> in the four Phase </w:t>
      </w:r>
      <w:r w:rsidR="00A62041">
        <w:t>III</w:t>
      </w:r>
      <w:r>
        <w:t xml:space="preserve"> studies.</w:t>
      </w:r>
    </w:p>
    <w:p w14:paraId="08CB10FD" w14:textId="77777777" w:rsidR="00D23139" w:rsidRDefault="00D23139" w:rsidP="00D23139">
      <w:pPr>
        <w:pStyle w:val="Heading4"/>
      </w:pPr>
      <w:r w:rsidRPr="00D23139">
        <w:t>Request for ACPM advice</w:t>
      </w:r>
    </w:p>
    <w:p w14:paraId="319DA916" w14:textId="086C7974" w:rsidR="00394BD8" w:rsidRPr="00394BD8" w:rsidRDefault="00394BD8" w:rsidP="00394BD8">
      <w:r>
        <w:t>The committee is</w:t>
      </w:r>
      <w:r w:rsidRPr="00117192">
        <w:t xml:space="preserve"> requested to provide advice on any issues that it thinks may be relevant to a decision on whether or not to approve this application.</w:t>
      </w:r>
    </w:p>
    <w:p w14:paraId="715773C1" w14:textId="103383AB" w:rsidR="00D23139" w:rsidRDefault="000530D1" w:rsidP="00D23139">
      <w:pPr>
        <w:pStyle w:val="Heading4"/>
      </w:pPr>
      <w:r>
        <w:t>Response from s</w:t>
      </w:r>
      <w:r w:rsidR="00035F20">
        <w:t>ponsor</w:t>
      </w:r>
    </w:p>
    <w:p w14:paraId="5F219157" w14:textId="45A3FB8B" w:rsidR="00CE21BA" w:rsidRPr="00CE21BA" w:rsidRDefault="00AA42DC" w:rsidP="00CE21BA">
      <w:pPr>
        <w:pStyle w:val="Heading5"/>
        <w:rPr>
          <w:rFonts w:eastAsiaTheme="minorHAnsi"/>
          <w:lang w:val="en-GB"/>
        </w:rPr>
      </w:pPr>
      <w:r>
        <w:rPr>
          <w:lang w:val="en-GB"/>
        </w:rPr>
        <w:t>Summary</w:t>
      </w:r>
    </w:p>
    <w:p w14:paraId="25D19CE2" w14:textId="5CD8412D" w:rsidR="00CE21BA" w:rsidRPr="00CE21BA" w:rsidRDefault="00CE21BA" w:rsidP="00CE21BA">
      <w:pPr>
        <w:rPr>
          <w:lang w:val="en-GB"/>
        </w:rPr>
      </w:pPr>
      <w:r w:rsidRPr="00CE21BA">
        <w:rPr>
          <w:lang w:val="en-GB"/>
        </w:rPr>
        <w:t xml:space="preserve">Allergan Australia Pty Ltd refers to the Delegate’s </w:t>
      </w:r>
      <w:r>
        <w:rPr>
          <w:lang w:val="en-GB"/>
        </w:rPr>
        <w:t>o</w:t>
      </w:r>
      <w:r w:rsidRPr="00CE21BA">
        <w:rPr>
          <w:lang w:val="en-GB"/>
        </w:rPr>
        <w:t xml:space="preserve">verview and </w:t>
      </w:r>
      <w:r>
        <w:rPr>
          <w:lang w:val="en-GB"/>
        </w:rPr>
        <w:t>r</w:t>
      </w:r>
      <w:r w:rsidRPr="00CE21BA">
        <w:rPr>
          <w:lang w:val="en-GB"/>
        </w:rPr>
        <w:t>equest fo</w:t>
      </w:r>
      <w:r>
        <w:rPr>
          <w:lang w:val="en-GB"/>
        </w:rPr>
        <w:t>r ACPM’s advice (dated 29 April 2016)</w:t>
      </w:r>
      <w:r w:rsidRPr="00CE21BA">
        <w:rPr>
          <w:lang w:val="en-GB"/>
        </w:rPr>
        <w:t xml:space="preserve"> and concurs with the Delegate’s preliminary assessment that there is </w:t>
      </w:r>
      <w:r w:rsidR="00A62041">
        <w:rPr>
          <w:lang w:val="en-GB"/>
        </w:rPr>
        <w:t>‘</w:t>
      </w:r>
      <w:r w:rsidRPr="00CE21BA">
        <w:rPr>
          <w:lang w:val="en-GB"/>
        </w:rPr>
        <w:t xml:space="preserve">no reason to say, at this time, that </w:t>
      </w:r>
      <w:proofErr w:type="spellStart"/>
      <w:r w:rsidRPr="00CE21BA">
        <w:rPr>
          <w:lang w:val="en-GB"/>
        </w:rPr>
        <w:t>Belkyra</w:t>
      </w:r>
      <w:proofErr w:type="spellEnd"/>
      <w:r w:rsidRPr="00CE21BA">
        <w:rPr>
          <w:lang w:val="en-GB"/>
        </w:rPr>
        <w:t xml:space="preserve"> should not be approved for registration</w:t>
      </w:r>
      <w:r w:rsidR="00A62041">
        <w:rPr>
          <w:lang w:val="en-GB"/>
        </w:rPr>
        <w:t>’</w:t>
      </w:r>
      <w:r w:rsidRPr="00CE21BA">
        <w:rPr>
          <w:lang w:val="en-GB"/>
        </w:rPr>
        <w:t xml:space="preserve">. </w:t>
      </w:r>
      <w:r w:rsidR="00A62041">
        <w:rPr>
          <w:lang w:val="en-GB"/>
        </w:rPr>
        <w:t>The sponsor</w:t>
      </w:r>
      <w:r w:rsidR="00A62041" w:rsidRPr="00CE21BA">
        <w:rPr>
          <w:lang w:val="en-GB"/>
        </w:rPr>
        <w:t xml:space="preserve"> </w:t>
      </w:r>
      <w:r w:rsidRPr="00CE21BA">
        <w:rPr>
          <w:lang w:val="en-GB"/>
        </w:rPr>
        <w:t>note</w:t>
      </w:r>
      <w:r w:rsidR="00A62041">
        <w:rPr>
          <w:lang w:val="en-GB"/>
        </w:rPr>
        <w:t>s</w:t>
      </w:r>
      <w:r w:rsidRPr="00CE21BA">
        <w:rPr>
          <w:lang w:val="en-GB"/>
        </w:rPr>
        <w:t xml:space="preserve"> the Delegate’s questions to the ACPM regarding the educational qualifications of the </w:t>
      </w:r>
      <w:r w:rsidR="000505BA">
        <w:rPr>
          <w:lang w:val="en-GB"/>
        </w:rPr>
        <w:t>HCPs</w:t>
      </w:r>
      <w:r w:rsidRPr="00CE21BA">
        <w:rPr>
          <w:lang w:val="en-GB"/>
        </w:rPr>
        <w:t xml:space="preserve"> who administered </w:t>
      </w:r>
      <w:proofErr w:type="spellStart"/>
      <w:r w:rsidRPr="00CE21BA">
        <w:rPr>
          <w:lang w:val="en-GB"/>
        </w:rPr>
        <w:t>Belkyra</w:t>
      </w:r>
      <w:proofErr w:type="spellEnd"/>
      <w:r w:rsidRPr="00CE21BA">
        <w:rPr>
          <w:lang w:val="en-GB"/>
        </w:rPr>
        <w:t xml:space="preserve"> as part of the Phase </w:t>
      </w:r>
      <w:r w:rsidR="00A62041">
        <w:rPr>
          <w:lang w:val="en-GB"/>
        </w:rPr>
        <w:t>III</w:t>
      </w:r>
      <w:r w:rsidRPr="00CE21BA">
        <w:rPr>
          <w:lang w:val="en-GB"/>
        </w:rPr>
        <w:t xml:space="preserve"> program and the training and supervision provided to </w:t>
      </w:r>
      <w:proofErr w:type="gramStart"/>
      <w:r w:rsidRPr="00CE21BA">
        <w:rPr>
          <w:lang w:val="en-GB"/>
        </w:rPr>
        <w:t>these</w:t>
      </w:r>
      <w:proofErr w:type="gramEnd"/>
      <w:r w:rsidRPr="00CE21BA">
        <w:rPr>
          <w:lang w:val="en-GB"/>
        </w:rPr>
        <w:t xml:space="preserve"> HCPs. Allergan’s response to the questions and additional comments raised by t</w:t>
      </w:r>
      <w:r w:rsidR="005200DF">
        <w:rPr>
          <w:lang w:val="en-GB"/>
        </w:rPr>
        <w:t>he Delegate are provided below.</w:t>
      </w:r>
    </w:p>
    <w:p w14:paraId="6BE3929F" w14:textId="258BBF36" w:rsidR="00AA42DC" w:rsidRDefault="000530D1" w:rsidP="00AA42DC">
      <w:pPr>
        <w:pStyle w:val="Heading5"/>
        <w:rPr>
          <w:rFonts w:eastAsiaTheme="minorHAnsi"/>
          <w:lang w:val="en-GB"/>
        </w:rPr>
      </w:pPr>
      <w:r>
        <w:rPr>
          <w:rFonts w:eastAsiaTheme="minorHAnsi"/>
          <w:lang w:val="en-GB"/>
        </w:rPr>
        <w:t>Discussion of d</w:t>
      </w:r>
      <w:r w:rsidR="00AA42DC">
        <w:rPr>
          <w:rFonts w:eastAsiaTheme="minorHAnsi"/>
          <w:lang w:val="en-GB"/>
        </w:rPr>
        <w:t>elegate’s comments</w:t>
      </w:r>
    </w:p>
    <w:p w14:paraId="757C619D" w14:textId="5E1D1B5A" w:rsidR="00CE21BA" w:rsidRDefault="00AA42DC" w:rsidP="00AA42DC">
      <w:pPr>
        <w:pStyle w:val="Heading6"/>
        <w:rPr>
          <w:rFonts w:eastAsiaTheme="minorHAnsi"/>
          <w:lang w:val="en-GB"/>
        </w:rPr>
      </w:pPr>
      <w:r>
        <w:rPr>
          <w:rFonts w:eastAsiaTheme="minorHAnsi"/>
          <w:lang w:val="en-GB"/>
        </w:rPr>
        <w:t>Delegate’s questions for the sponsor</w:t>
      </w:r>
    </w:p>
    <w:p w14:paraId="3FB9CA3B" w14:textId="13EF4283" w:rsidR="00CE21BA" w:rsidRPr="005C1CCA" w:rsidRDefault="00CE21BA" w:rsidP="00AA42DC">
      <w:pPr>
        <w:pStyle w:val="Numberbullet0"/>
        <w:numPr>
          <w:ilvl w:val="0"/>
          <w:numId w:val="39"/>
        </w:numPr>
        <w:rPr>
          <w:i/>
          <w:lang w:val="en-GB"/>
        </w:rPr>
      </w:pPr>
      <w:r w:rsidRPr="005C1CCA">
        <w:rPr>
          <w:i/>
        </w:rPr>
        <w:t xml:space="preserve">Please provide details of the educational qualifications of the health care practitioners who administered </w:t>
      </w:r>
      <w:proofErr w:type="spellStart"/>
      <w:r w:rsidRPr="005C1CCA">
        <w:rPr>
          <w:i/>
        </w:rPr>
        <w:t>Belky</w:t>
      </w:r>
      <w:r w:rsidR="00AA42DC" w:rsidRPr="005C1CCA">
        <w:rPr>
          <w:i/>
        </w:rPr>
        <w:t>ra</w:t>
      </w:r>
      <w:proofErr w:type="spellEnd"/>
      <w:r w:rsidR="00AA42DC" w:rsidRPr="005C1CCA">
        <w:rPr>
          <w:i/>
        </w:rPr>
        <w:t xml:space="preserve"> in the four Phase-3 studies.</w:t>
      </w:r>
    </w:p>
    <w:p w14:paraId="55901F8F" w14:textId="19A6179F" w:rsidR="00CE21BA" w:rsidRPr="00CE21BA" w:rsidRDefault="00AA42DC" w:rsidP="005C1CCA">
      <w:pPr>
        <w:pStyle w:val="Heading5"/>
        <w:rPr>
          <w:rFonts w:eastAsiaTheme="minorHAnsi"/>
          <w:lang w:val="en-GB"/>
        </w:rPr>
      </w:pPr>
      <w:r>
        <w:rPr>
          <w:lang w:val="en-GB"/>
        </w:rPr>
        <w:lastRenderedPageBreak/>
        <w:t>Sponsor’s r</w:t>
      </w:r>
      <w:r w:rsidR="00CE21BA" w:rsidRPr="00CE21BA">
        <w:rPr>
          <w:rFonts w:eastAsiaTheme="minorHAnsi"/>
          <w:lang w:val="en-GB"/>
        </w:rPr>
        <w:t>esponse</w:t>
      </w:r>
    </w:p>
    <w:p w14:paraId="1517A0E5" w14:textId="02C2E21C" w:rsidR="00CE21BA" w:rsidRPr="00CE21BA" w:rsidRDefault="00CE21BA" w:rsidP="00CE21BA">
      <w:pPr>
        <w:rPr>
          <w:lang w:val="en-GB"/>
        </w:rPr>
      </w:pPr>
      <w:r w:rsidRPr="00CE21BA">
        <w:rPr>
          <w:lang w:val="en-GB"/>
        </w:rPr>
        <w:t>In the 4 Phase</w:t>
      </w:r>
      <w:r w:rsidR="000505BA">
        <w:rPr>
          <w:lang w:val="en-GB"/>
        </w:rPr>
        <w:t xml:space="preserve"> </w:t>
      </w:r>
      <w:r w:rsidR="00A62041">
        <w:rPr>
          <w:lang w:val="en-GB"/>
        </w:rPr>
        <w:t>III</w:t>
      </w:r>
      <w:r w:rsidR="00AA42DC">
        <w:rPr>
          <w:lang w:val="en-GB"/>
        </w:rPr>
        <w:t xml:space="preserve"> studies</w:t>
      </w:r>
      <w:r w:rsidRPr="00CE21BA">
        <w:rPr>
          <w:lang w:val="en-GB"/>
        </w:rPr>
        <w:t xml:space="preserve"> the investigator selection criteria specified physicians as investigators who</w:t>
      </w:r>
      <w:r w:rsidR="005C1CCA">
        <w:rPr>
          <w:lang w:val="en-GB"/>
        </w:rPr>
        <w:t xml:space="preserve"> were </w:t>
      </w:r>
      <w:r w:rsidR="005C1CCA" w:rsidRPr="005C1CCA">
        <w:rPr>
          <w:lang w:val="en-GB"/>
        </w:rPr>
        <w:t>‘</w:t>
      </w:r>
      <w:r w:rsidRPr="005C1CCA">
        <w:rPr>
          <w:iCs/>
          <w:lang w:val="en-GB"/>
        </w:rPr>
        <w:t>qualified by training and experience (were selected) as appropriate experts to investigate the study drug</w:t>
      </w:r>
      <w:r w:rsidR="005C1CCA" w:rsidRPr="005C1CCA">
        <w:rPr>
          <w:lang w:val="en-GB"/>
        </w:rPr>
        <w:t>’.</w:t>
      </w:r>
    </w:p>
    <w:p w14:paraId="468432E7" w14:textId="2CAB728C" w:rsidR="00CE21BA" w:rsidRDefault="00CE21BA" w:rsidP="00CE21BA">
      <w:pPr>
        <w:rPr>
          <w:lang w:val="en-GB"/>
        </w:rPr>
      </w:pPr>
      <w:r w:rsidRPr="00CE21BA">
        <w:rPr>
          <w:lang w:val="en-GB"/>
        </w:rPr>
        <w:t xml:space="preserve">Given the aesthetic nature of the indication, investigators were selected based on their training, experience, and clinical research capacity in the area of aesthetic medicine because such investigators have the understanding and experience in the treatment and management of aesthetic patients, knowledge of the relevant anatomy of the face and neck, and experience with the use of minimally invasive </w:t>
      </w:r>
      <w:proofErr w:type="spellStart"/>
      <w:r w:rsidRPr="00CE21BA">
        <w:rPr>
          <w:lang w:val="en-GB"/>
        </w:rPr>
        <w:t>i</w:t>
      </w:r>
      <w:r w:rsidR="005C1CCA">
        <w:rPr>
          <w:lang w:val="en-GB"/>
        </w:rPr>
        <w:t>njectables</w:t>
      </w:r>
      <w:proofErr w:type="spellEnd"/>
      <w:r w:rsidRPr="00CE21BA">
        <w:rPr>
          <w:lang w:val="en-GB"/>
        </w:rPr>
        <w:t xml:space="preserve"> including treatments of </w:t>
      </w:r>
      <w:r w:rsidR="008B7C4D">
        <w:rPr>
          <w:lang w:val="en-GB"/>
        </w:rPr>
        <w:t>SC</w:t>
      </w:r>
      <w:r w:rsidRPr="00CE21BA">
        <w:rPr>
          <w:lang w:val="en-GB"/>
        </w:rPr>
        <w:t xml:space="preserve"> inje</w:t>
      </w:r>
      <w:r w:rsidR="005C1CCA">
        <w:rPr>
          <w:lang w:val="en-GB"/>
        </w:rPr>
        <w:t xml:space="preserve">ction of the </w:t>
      </w:r>
      <w:proofErr w:type="spellStart"/>
      <w:r w:rsidR="005C1CCA">
        <w:rPr>
          <w:lang w:val="en-GB"/>
        </w:rPr>
        <w:t>cervicomental</w:t>
      </w:r>
      <w:proofErr w:type="spellEnd"/>
      <w:r w:rsidR="005C1CCA">
        <w:rPr>
          <w:lang w:val="en-GB"/>
        </w:rPr>
        <w:t xml:space="preserve"> area; h</w:t>
      </w:r>
      <w:r w:rsidRPr="00CE21BA">
        <w:rPr>
          <w:lang w:val="en-GB"/>
        </w:rPr>
        <w:t>ence, the investigators consisted of dermatologists, plastic surgeons, and a small number of other doctors experienced in seeing a</w:t>
      </w:r>
      <w:r w:rsidR="005C1CCA">
        <w:rPr>
          <w:lang w:val="en-GB"/>
        </w:rPr>
        <w:t>nd treating aesthetic patients.</w:t>
      </w:r>
    </w:p>
    <w:p w14:paraId="58A1AD38" w14:textId="09690B7D" w:rsidR="00CE21BA" w:rsidRPr="005C1CCA" w:rsidRDefault="00CE21BA" w:rsidP="005C1CCA">
      <w:pPr>
        <w:pStyle w:val="Numberbullet0"/>
        <w:rPr>
          <w:i/>
          <w:lang w:val="en-GB"/>
        </w:rPr>
      </w:pPr>
      <w:r w:rsidRPr="005C1CCA">
        <w:rPr>
          <w:i/>
        </w:rPr>
        <w:t xml:space="preserve">Please provide details of what training and supervision was provided to the health care practitioners who administered </w:t>
      </w:r>
      <w:proofErr w:type="spellStart"/>
      <w:r w:rsidRPr="005C1CCA">
        <w:rPr>
          <w:i/>
        </w:rPr>
        <w:t>Belky</w:t>
      </w:r>
      <w:r w:rsidR="005C1CCA" w:rsidRPr="005C1CCA">
        <w:rPr>
          <w:i/>
        </w:rPr>
        <w:t>ra</w:t>
      </w:r>
      <w:proofErr w:type="spellEnd"/>
      <w:r w:rsidR="005C1CCA" w:rsidRPr="005C1CCA">
        <w:rPr>
          <w:i/>
        </w:rPr>
        <w:t xml:space="preserve"> in the four Phase </w:t>
      </w:r>
      <w:r w:rsidR="00A62041">
        <w:rPr>
          <w:i/>
        </w:rPr>
        <w:t>III</w:t>
      </w:r>
      <w:r w:rsidR="005C1CCA" w:rsidRPr="005C1CCA">
        <w:rPr>
          <w:i/>
        </w:rPr>
        <w:t xml:space="preserve"> studies.</w:t>
      </w:r>
    </w:p>
    <w:p w14:paraId="4D7F2D5C" w14:textId="1DEA808C" w:rsidR="00CE21BA" w:rsidRPr="00CE21BA" w:rsidRDefault="005C1CCA" w:rsidP="005C1CCA">
      <w:pPr>
        <w:pStyle w:val="Heading5"/>
        <w:rPr>
          <w:rFonts w:eastAsiaTheme="minorHAnsi"/>
          <w:lang w:val="en-GB"/>
        </w:rPr>
      </w:pPr>
      <w:r>
        <w:rPr>
          <w:rFonts w:eastAsiaTheme="minorHAnsi"/>
          <w:lang w:val="en-GB"/>
        </w:rPr>
        <w:t>Sponsor’s r</w:t>
      </w:r>
      <w:r w:rsidR="00CE21BA" w:rsidRPr="00CE21BA">
        <w:rPr>
          <w:rFonts w:eastAsiaTheme="minorHAnsi"/>
          <w:lang w:val="en-GB"/>
        </w:rPr>
        <w:t>esponse</w:t>
      </w:r>
    </w:p>
    <w:p w14:paraId="22FC1178" w14:textId="0EDB7DA0" w:rsidR="00CE21BA" w:rsidRPr="00CE21BA" w:rsidRDefault="00CE21BA" w:rsidP="00CE21BA">
      <w:pPr>
        <w:rPr>
          <w:lang w:val="en-GB"/>
        </w:rPr>
      </w:pPr>
      <w:r w:rsidRPr="00CE21BA">
        <w:rPr>
          <w:lang w:val="en-GB"/>
        </w:rPr>
        <w:t xml:space="preserve">The </w:t>
      </w:r>
      <w:r w:rsidR="005C1CCA">
        <w:rPr>
          <w:lang w:val="en-GB"/>
        </w:rPr>
        <w:t>s</w:t>
      </w:r>
      <w:r w:rsidRPr="00CE21BA">
        <w:rPr>
          <w:lang w:val="en-GB"/>
        </w:rPr>
        <w:t>ponsor conducted and documented training through live investigator training meetings, periodic webinars, and study monitoring visits. Specific to the treatment injection, investigators were required to view a standardised training video that detailed the baseline clinical and anatomic p</w:t>
      </w:r>
      <w:r w:rsidR="005C1CCA">
        <w:rPr>
          <w:lang w:val="en-GB"/>
        </w:rPr>
        <w:t xml:space="preserve">re-treatment evaluation, marking and </w:t>
      </w:r>
      <w:r w:rsidRPr="00CE21BA">
        <w:rPr>
          <w:lang w:val="en-GB"/>
        </w:rPr>
        <w:t>grid application to the target treatment area, product preparation (prepara</w:t>
      </w:r>
      <w:r w:rsidR="005C1CCA">
        <w:rPr>
          <w:lang w:val="en-GB"/>
        </w:rPr>
        <w:t>tion of syringes for injection)</w:t>
      </w:r>
      <w:r w:rsidRPr="00CE21BA">
        <w:rPr>
          <w:lang w:val="en-GB"/>
        </w:rPr>
        <w:t xml:space="preserve"> and the injection technique as well as pre- and post</w:t>
      </w:r>
      <w:r w:rsidR="005C1CCA">
        <w:rPr>
          <w:lang w:val="en-GB"/>
        </w:rPr>
        <w:t>-injection care of the patient.</w:t>
      </w:r>
    </w:p>
    <w:p w14:paraId="3B36E36A" w14:textId="6432A78D" w:rsidR="00CE21BA" w:rsidRPr="00CE21BA" w:rsidRDefault="00CE21BA" w:rsidP="00CE21BA">
      <w:pPr>
        <w:rPr>
          <w:lang w:val="en-GB"/>
        </w:rPr>
      </w:pPr>
      <w:r w:rsidRPr="00CE21BA">
        <w:rPr>
          <w:lang w:val="en-GB"/>
        </w:rPr>
        <w:t xml:space="preserve">Ongoing oversight and supervision of the study conduct, including the HCPs, was performed by medical monitors and regional clinical monitors through clinic </w:t>
      </w:r>
      <w:r w:rsidR="005C1CCA">
        <w:rPr>
          <w:lang w:val="en-GB"/>
        </w:rPr>
        <w:t>visits and telephone follow-up.</w:t>
      </w:r>
    </w:p>
    <w:p w14:paraId="7B502DDA" w14:textId="17518634" w:rsidR="005C1CCA" w:rsidRPr="00CE21BA" w:rsidRDefault="00CE21BA" w:rsidP="005C1CCA">
      <w:pPr>
        <w:rPr>
          <w:lang w:val="en-GB"/>
        </w:rPr>
      </w:pPr>
      <w:r w:rsidRPr="00CE21BA">
        <w:rPr>
          <w:lang w:val="en-GB"/>
        </w:rPr>
        <w:t xml:space="preserve">As a result of the training provided, the outcomes of the clinical studies were consistent across the different specialties. Data from the 4 Phase </w:t>
      </w:r>
      <w:r w:rsidR="00A62041">
        <w:rPr>
          <w:lang w:val="en-GB"/>
        </w:rPr>
        <w:t>III</w:t>
      </w:r>
      <w:r w:rsidRPr="00CE21BA">
        <w:rPr>
          <w:lang w:val="en-GB"/>
        </w:rPr>
        <w:t xml:space="preserve"> studi</w:t>
      </w:r>
      <w:r w:rsidR="005C1CCA">
        <w:rPr>
          <w:lang w:val="en-GB"/>
        </w:rPr>
        <w:t xml:space="preserve">es confirmed that there were no </w:t>
      </w:r>
      <w:r w:rsidR="005C1CCA" w:rsidRPr="00CE21BA">
        <w:rPr>
          <w:lang w:val="en-GB"/>
        </w:rPr>
        <w:t xml:space="preserve">significant differences observed in the number of treatment sessions or volume of </w:t>
      </w:r>
      <w:proofErr w:type="spellStart"/>
      <w:r w:rsidR="00F66CAB">
        <w:rPr>
          <w:lang w:val="en-GB"/>
        </w:rPr>
        <w:t>Belkyra</w:t>
      </w:r>
      <w:proofErr w:type="spellEnd"/>
      <w:r w:rsidR="005C1CCA" w:rsidRPr="00CE21BA">
        <w:rPr>
          <w:lang w:val="en-GB"/>
        </w:rPr>
        <w:t xml:space="preserve"> injected. Safety data from the Phase </w:t>
      </w:r>
      <w:r w:rsidR="00A62041">
        <w:rPr>
          <w:lang w:val="en-GB"/>
        </w:rPr>
        <w:t>III</w:t>
      </w:r>
      <w:r w:rsidR="005C1CCA" w:rsidRPr="00CE21BA">
        <w:rPr>
          <w:lang w:val="en-GB"/>
        </w:rPr>
        <w:t xml:space="preserve"> clinical studies also indicated that, in general, the types and intensities of </w:t>
      </w:r>
      <w:r w:rsidR="003831E0">
        <w:rPr>
          <w:lang w:val="en-GB"/>
        </w:rPr>
        <w:t>TEAEs</w:t>
      </w:r>
      <w:r w:rsidR="005C1CCA" w:rsidRPr="00CE21BA">
        <w:rPr>
          <w:lang w:val="en-GB"/>
        </w:rPr>
        <w:t xml:space="preserve"> were </w:t>
      </w:r>
      <w:r w:rsidR="003831E0">
        <w:rPr>
          <w:lang w:val="en-GB"/>
        </w:rPr>
        <w:t>similar across all specialties.</w:t>
      </w:r>
    </w:p>
    <w:p w14:paraId="5248B524" w14:textId="2411CC31" w:rsidR="00CE21BA" w:rsidRPr="00EC55B4" w:rsidRDefault="005C1CCA" w:rsidP="00EC55B4">
      <w:r w:rsidRPr="00CE21BA">
        <w:rPr>
          <w:lang w:val="en-GB"/>
        </w:rPr>
        <w:t xml:space="preserve">Since the completion of the 4 Phase </w:t>
      </w:r>
      <w:r w:rsidR="00A62041">
        <w:rPr>
          <w:lang w:val="en-GB"/>
        </w:rPr>
        <w:t>III</w:t>
      </w:r>
      <w:r w:rsidRPr="00CE21BA">
        <w:rPr>
          <w:lang w:val="en-GB"/>
        </w:rPr>
        <w:t xml:space="preserve"> clinical studies, the Sponsor worked with HCPs in cadaveric anatomical dissection to better understand the anatomy of the submental region, and therefore how to avoid injections near the area of marginal mandibular nerve. This information has been incorporated into the updated PI and a post</w:t>
      </w:r>
      <w:r>
        <w:rPr>
          <w:lang w:val="en-GB"/>
        </w:rPr>
        <w:t>-</w:t>
      </w:r>
      <w:r w:rsidRPr="00CE21BA">
        <w:rPr>
          <w:lang w:val="en-GB"/>
        </w:rPr>
        <w:t>approval training programme that is currently ongoing in the US and Canada (and proposed to be available for HCPs in Australia), which includes the external and internal anat</w:t>
      </w:r>
      <w:r>
        <w:rPr>
          <w:lang w:val="en-GB"/>
        </w:rPr>
        <w:t xml:space="preserve">omy of the </w:t>
      </w:r>
      <w:proofErr w:type="spellStart"/>
      <w:r>
        <w:rPr>
          <w:lang w:val="en-GB"/>
        </w:rPr>
        <w:t>cervicomental</w:t>
      </w:r>
      <w:proofErr w:type="spellEnd"/>
      <w:r>
        <w:rPr>
          <w:lang w:val="en-GB"/>
        </w:rPr>
        <w:t xml:space="preserve"> region</w:t>
      </w:r>
      <w:r w:rsidRPr="00CE21BA">
        <w:rPr>
          <w:lang w:val="en-GB"/>
        </w:rPr>
        <w:t xml:space="preserve"> as well as proper injection technique for </w:t>
      </w:r>
      <w:proofErr w:type="spellStart"/>
      <w:r>
        <w:rPr>
          <w:lang w:val="en-GB"/>
        </w:rPr>
        <w:t>Belkyra</w:t>
      </w:r>
      <w:proofErr w:type="spellEnd"/>
      <w:r w:rsidRPr="00CE21BA">
        <w:rPr>
          <w:lang w:val="en-GB"/>
        </w:rPr>
        <w:t xml:space="preserve">. As such, HCPs in the commercial setting will receive more specific information on the proper use of </w:t>
      </w:r>
      <w:proofErr w:type="spellStart"/>
      <w:r w:rsidR="00EC55B4">
        <w:rPr>
          <w:lang w:val="en-GB"/>
        </w:rPr>
        <w:t>Belkyra</w:t>
      </w:r>
      <w:proofErr w:type="spellEnd"/>
      <w:r w:rsidR="00EC55B4">
        <w:rPr>
          <w:lang w:val="en-GB"/>
        </w:rPr>
        <w:t xml:space="preserve"> </w:t>
      </w:r>
      <w:r w:rsidRPr="00CE21BA">
        <w:rPr>
          <w:lang w:val="en-GB"/>
        </w:rPr>
        <w:t>than the HCPs who participated in the clinical studies, especially with respect to the likely position of the marginal mandibular nerve in relation to the submental treatment area. Post</w:t>
      </w:r>
      <w:r w:rsidR="00EC55B4">
        <w:rPr>
          <w:lang w:val="en-GB"/>
        </w:rPr>
        <w:t>-</w:t>
      </w:r>
      <w:r w:rsidRPr="00CE21BA">
        <w:rPr>
          <w:lang w:val="en-GB"/>
        </w:rPr>
        <w:t xml:space="preserve">marketing safety data indicated that </w:t>
      </w:r>
      <w:r w:rsidR="00EC55B4">
        <w:rPr>
          <w:lang w:val="en-GB"/>
        </w:rPr>
        <w:t>submental fat</w:t>
      </w:r>
      <w:r w:rsidRPr="00CE21BA">
        <w:rPr>
          <w:lang w:val="en-GB"/>
        </w:rPr>
        <w:t xml:space="preserve"> treatment in both the commercial setting and the registry study in the US, administered by a broad range of qualified US physicians, ha</w:t>
      </w:r>
      <w:r w:rsidR="00404977">
        <w:rPr>
          <w:lang w:val="en-GB"/>
        </w:rPr>
        <w:t>ve</w:t>
      </w:r>
      <w:r w:rsidRPr="00CE21BA">
        <w:rPr>
          <w:lang w:val="en-GB"/>
        </w:rPr>
        <w:t xml:space="preserve"> been associated with a decreasing incidence rate of injection site nerve injury as compared with the adverse event rates reported in the P</w:t>
      </w:r>
      <w:r w:rsidR="00EC55B4">
        <w:rPr>
          <w:lang w:val="en-GB"/>
        </w:rPr>
        <w:t xml:space="preserve">hase </w:t>
      </w:r>
      <w:r w:rsidR="00A62041">
        <w:rPr>
          <w:lang w:val="en-GB"/>
        </w:rPr>
        <w:t>III</w:t>
      </w:r>
      <w:r w:rsidR="00EC55B4">
        <w:rPr>
          <w:lang w:val="en-GB"/>
        </w:rPr>
        <w:t xml:space="preserve"> clinical studies.</w:t>
      </w:r>
    </w:p>
    <w:p w14:paraId="68FCC00E" w14:textId="19DE51EE" w:rsidR="00CE21BA" w:rsidRPr="00EC55B4" w:rsidRDefault="00D91E65" w:rsidP="007949C4">
      <w:pPr>
        <w:pStyle w:val="Heading5"/>
        <w:rPr>
          <w:rFonts w:eastAsiaTheme="minorHAnsi"/>
        </w:rPr>
      </w:pPr>
      <w:r>
        <w:t>Discussion of d</w:t>
      </w:r>
      <w:r w:rsidR="00D054F6">
        <w:t>elegate’s comments on the RMP</w:t>
      </w:r>
      <w:r w:rsidR="00CE21BA" w:rsidRPr="00EC55B4">
        <w:rPr>
          <w:rFonts w:eastAsiaTheme="minorHAnsi"/>
        </w:rPr>
        <w:t xml:space="preserve"> </w:t>
      </w:r>
    </w:p>
    <w:p w14:paraId="09A5EFDC" w14:textId="59D333A3" w:rsidR="00D054F6" w:rsidRDefault="00D054F6" w:rsidP="00D054F6">
      <w:pPr>
        <w:rPr>
          <w:lang w:val="en-GB"/>
        </w:rPr>
      </w:pPr>
      <w:r>
        <w:t>In the</w:t>
      </w:r>
      <w:r w:rsidR="00CE21BA" w:rsidRPr="00EC55B4">
        <w:t xml:space="preserve"> Delegate’s </w:t>
      </w:r>
      <w:r>
        <w:t>o</w:t>
      </w:r>
      <w:r w:rsidR="00CE21BA" w:rsidRPr="00EC55B4">
        <w:t xml:space="preserve">verview, the following comment was included below Table </w:t>
      </w:r>
      <w:r w:rsidR="00A62041">
        <w:t xml:space="preserve">13 </w:t>
      </w:r>
      <w:r w:rsidR="00CE21BA" w:rsidRPr="00EC55B4">
        <w:t>titled ‘S</w:t>
      </w:r>
      <w:r w:rsidR="00CE21BA" w:rsidRPr="003831E0">
        <w:t>ummary of safety concern in the ASA v2.0 (to app</w:t>
      </w:r>
      <w:r w:rsidR="003831E0">
        <w:t>ly in the Australian context)’:</w:t>
      </w:r>
    </w:p>
    <w:p w14:paraId="7052790B" w14:textId="057D6817" w:rsidR="00CE21BA" w:rsidRPr="00D054F6" w:rsidRDefault="00CE21BA" w:rsidP="00D054F6">
      <w:pPr>
        <w:rPr>
          <w:lang w:val="en-GB"/>
        </w:rPr>
      </w:pPr>
      <w:r w:rsidRPr="00D054F6">
        <w:t xml:space="preserve">Add as important </w:t>
      </w:r>
      <w:r w:rsidR="00D054F6">
        <w:t>missing information to the RMP:</w:t>
      </w:r>
    </w:p>
    <w:p w14:paraId="26FA8446" w14:textId="276CF8B0" w:rsidR="00CE21BA" w:rsidRPr="00D054F6" w:rsidRDefault="00CE21BA" w:rsidP="00D054F6">
      <w:pPr>
        <w:pStyle w:val="ListBullet"/>
      </w:pPr>
      <w:r w:rsidRPr="00D054F6">
        <w:t>The effi</w:t>
      </w:r>
      <w:r w:rsidR="00D054F6">
        <w:t>cacy and safety of re-treatment</w:t>
      </w:r>
    </w:p>
    <w:p w14:paraId="73B12CD8" w14:textId="02AC80F6" w:rsidR="00CE21BA" w:rsidRPr="00D054F6" w:rsidRDefault="00D054F6" w:rsidP="00D054F6">
      <w:pPr>
        <w:pStyle w:val="ListBullet"/>
      </w:pPr>
      <w:r>
        <w:lastRenderedPageBreak/>
        <w:t>Long-term local safety</w:t>
      </w:r>
    </w:p>
    <w:p w14:paraId="2C7C4964" w14:textId="2F6BEBA3" w:rsidR="00D054F6" w:rsidRDefault="00D054F6" w:rsidP="00D054F6">
      <w:pPr>
        <w:pStyle w:val="ListBullet"/>
      </w:pPr>
      <w:r>
        <w:t>Long-term systemic safety</w:t>
      </w:r>
    </w:p>
    <w:p w14:paraId="3D7C0534" w14:textId="1670EB21" w:rsidR="00D054F6" w:rsidRPr="00D054F6" w:rsidRDefault="00CB7F4E" w:rsidP="00D054F6">
      <w:pPr>
        <w:pStyle w:val="Heading5"/>
        <w:rPr>
          <w:rFonts w:eastAsia="Cambria"/>
        </w:rPr>
      </w:pPr>
      <w:r>
        <w:rPr>
          <w:rFonts w:eastAsia="Cambria"/>
        </w:rPr>
        <w:t>Sponsor’s response</w:t>
      </w:r>
    </w:p>
    <w:p w14:paraId="2E69A771" w14:textId="648FC08C" w:rsidR="00F666C3" w:rsidRDefault="00CE21BA" w:rsidP="00CB7F4E">
      <w:r w:rsidRPr="00CB7F4E">
        <w:t xml:space="preserve">The </w:t>
      </w:r>
      <w:r w:rsidR="00CB7F4E">
        <w:t>sponsor</w:t>
      </w:r>
      <w:r w:rsidRPr="00CB7F4E">
        <w:t xml:space="preserve"> agrees to include efficacy and safety of retreatment, long-term local safety, and long-term systemic safety as </w:t>
      </w:r>
      <w:r w:rsidR="00CB7F4E">
        <w:t xml:space="preserve">missing information to the RMP. </w:t>
      </w:r>
      <w:r w:rsidRPr="00CB7F4E">
        <w:t xml:space="preserve">The applicant proposes to apply routine pharmacovigilance to collect and monitor information related to efficacy and safety of retreatment, long-term local safety, and long- term systemic safety and identify any potential long term safety signals that may </w:t>
      </w:r>
      <w:r w:rsidR="00CB7F4E">
        <w:t xml:space="preserve">be attributable to </w:t>
      </w:r>
      <w:proofErr w:type="spellStart"/>
      <w:r w:rsidR="00CB7F4E">
        <w:t>Belkyra</w:t>
      </w:r>
      <w:proofErr w:type="spellEnd"/>
      <w:r w:rsidR="00CB7F4E">
        <w:t xml:space="preserve"> use. </w:t>
      </w:r>
      <w:r w:rsidRPr="00CB7F4E">
        <w:t>In addition, Study ATX-101-08-12 (Study 12) and Study ATX-101-13-35(Study 35) are proposed as additional pharmacovigilance activities to collect additional information on maintenance of effect as well as long-</w:t>
      </w:r>
      <w:r w:rsidR="00CB7F4E">
        <w:t xml:space="preserve">term local and systemic safety. </w:t>
      </w:r>
      <w:r w:rsidRPr="00CB7F4E">
        <w:t>Study ATX-101-08-12 (Study 12) is a non</w:t>
      </w:r>
      <w:r w:rsidR="00CB7F4E">
        <w:t>-</w:t>
      </w:r>
      <w:r w:rsidRPr="00CB7F4E">
        <w:t xml:space="preserve">treatment study that collected </w:t>
      </w:r>
      <w:r w:rsidR="00CB7F4E">
        <w:t>long term follow-up</w:t>
      </w:r>
      <w:r w:rsidRPr="00CB7F4E">
        <w:t xml:space="preserve"> data on subjects who received treatment in previous Phase </w:t>
      </w:r>
      <w:r w:rsidR="006F56E1">
        <w:t>II</w:t>
      </w:r>
      <w:r w:rsidRPr="00CB7F4E">
        <w:t xml:space="preserve"> studies of </w:t>
      </w:r>
      <w:proofErr w:type="spellStart"/>
      <w:r w:rsidR="00CB7F4E">
        <w:t>Belkyra</w:t>
      </w:r>
      <w:proofErr w:type="spellEnd"/>
      <w:r w:rsidRPr="00CB7F4E">
        <w:t xml:space="preserve"> for the reduction of </w:t>
      </w:r>
      <w:r w:rsidR="00CB7F4E">
        <w:t>submental fat</w:t>
      </w:r>
      <w:r w:rsidRPr="00CB7F4E">
        <w:t xml:space="preserve">. </w:t>
      </w:r>
      <w:r w:rsidR="00CB7F4E">
        <w:t>The f</w:t>
      </w:r>
      <w:r w:rsidRPr="00CB7F4E">
        <w:t>inal r</w:t>
      </w:r>
      <w:r w:rsidR="00F666C3" w:rsidRPr="00CB7F4E">
        <w:t xml:space="preserve">eport is anticipated in </w:t>
      </w:r>
      <w:r w:rsidR="006F56E1">
        <w:t>fourth</w:t>
      </w:r>
      <w:r w:rsidR="00CB7F4E">
        <w:t xml:space="preserve"> quarter of</w:t>
      </w:r>
      <w:r w:rsidR="00F666C3" w:rsidRPr="00CB7F4E">
        <w:t xml:space="preserve"> 2016</w:t>
      </w:r>
      <w:r w:rsidR="00CB7F4E">
        <w:t>.</w:t>
      </w:r>
    </w:p>
    <w:p w14:paraId="4B03CF01" w14:textId="35208F68" w:rsidR="00CB7F4E" w:rsidRPr="00CB7F4E" w:rsidRDefault="007949C4" w:rsidP="007949C4">
      <w:pPr>
        <w:pStyle w:val="Heading5"/>
      </w:pPr>
      <w:r>
        <w:t xml:space="preserve">Discussion of </w:t>
      </w:r>
      <w:r w:rsidR="000530D1">
        <w:t>d</w:t>
      </w:r>
      <w:r w:rsidR="00CB7F4E">
        <w:t>elegate’s request for information</w:t>
      </w:r>
    </w:p>
    <w:p w14:paraId="38FA3DA8" w14:textId="79DA954B" w:rsidR="00CE21BA" w:rsidRPr="00CE21BA" w:rsidRDefault="00CB7F4E" w:rsidP="00CB7F4E">
      <w:pPr>
        <w:pStyle w:val="Heading5"/>
        <w:rPr>
          <w:rFonts w:eastAsiaTheme="minorHAnsi"/>
          <w:lang w:val="en-GB"/>
        </w:rPr>
      </w:pPr>
      <w:r>
        <w:rPr>
          <w:lang w:val="en-GB"/>
        </w:rPr>
        <w:t>Sponsor’s r</w:t>
      </w:r>
      <w:r w:rsidR="00150326">
        <w:rPr>
          <w:rFonts w:eastAsiaTheme="minorHAnsi"/>
          <w:lang w:val="en-GB"/>
        </w:rPr>
        <w:t>esponse</w:t>
      </w:r>
    </w:p>
    <w:p w14:paraId="731C23E1" w14:textId="098F3C77" w:rsidR="00CE21BA" w:rsidRPr="00CE21BA" w:rsidRDefault="00150326" w:rsidP="00CE21BA">
      <w:pPr>
        <w:rPr>
          <w:lang w:val="en-GB"/>
        </w:rPr>
      </w:pPr>
      <w:r>
        <w:rPr>
          <w:lang w:val="en-GB"/>
        </w:rPr>
        <w:t>Study ATX-101-13-35 (Study 35)</w:t>
      </w:r>
      <w:r w:rsidR="00CE21BA" w:rsidRPr="00CE21BA">
        <w:rPr>
          <w:lang w:val="en-GB"/>
        </w:rPr>
        <w:t xml:space="preserve"> is a non</w:t>
      </w:r>
      <w:r>
        <w:rPr>
          <w:lang w:val="en-GB"/>
        </w:rPr>
        <w:t>-</w:t>
      </w:r>
      <w:r w:rsidR="00CE21BA" w:rsidRPr="00CE21BA">
        <w:rPr>
          <w:lang w:val="en-GB"/>
        </w:rPr>
        <w:t xml:space="preserve">treatment study that collected </w:t>
      </w:r>
      <w:r>
        <w:rPr>
          <w:lang w:val="en-GB"/>
        </w:rPr>
        <w:t>long term follow-up</w:t>
      </w:r>
      <w:r w:rsidR="00CE21BA" w:rsidRPr="00CE21BA">
        <w:rPr>
          <w:lang w:val="en-GB"/>
        </w:rPr>
        <w:t xml:space="preserve"> data on subsets of subjects who participated in Phase </w:t>
      </w:r>
      <w:r w:rsidR="006F56E1">
        <w:rPr>
          <w:lang w:val="en-GB"/>
        </w:rPr>
        <w:t>III</w:t>
      </w:r>
      <w:r w:rsidR="00CE21BA" w:rsidRPr="00CE21BA">
        <w:rPr>
          <w:lang w:val="en-GB"/>
        </w:rPr>
        <w:t xml:space="preserve"> Studies 22 and 23. </w:t>
      </w:r>
      <w:r>
        <w:rPr>
          <w:lang w:val="en-GB"/>
        </w:rPr>
        <w:t>The f</w:t>
      </w:r>
      <w:r w:rsidR="00CE21BA" w:rsidRPr="00CE21BA">
        <w:rPr>
          <w:lang w:val="en-GB"/>
        </w:rPr>
        <w:t xml:space="preserve">inal report is anticipated in </w:t>
      </w:r>
      <w:r>
        <w:rPr>
          <w:lang w:val="en-GB"/>
        </w:rPr>
        <w:t xml:space="preserve">the </w:t>
      </w:r>
      <w:r w:rsidR="006F56E1">
        <w:rPr>
          <w:lang w:val="en-GB"/>
        </w:rPr>
        <w:t>fourth</w:t>
      </w:r>
      <w:r>
        <w:rPr>
          <w:lang w:val="en-GB"/>
        </w:rPr>
        <w:t xml:space="preserve"> quarter of 2016.</w:t>
      </w:r>
    </w:p>
    <w:p w14:paraId="19996461" w14:textId="11FF4E4F" w:rsidR="00CE21BA" w:rsidRDefault="00CE21BA" w:rsidP="00CE21BA">
      <w:pPr>
        <w:rPr>
          <w:lang w:val="en-GB"/>
        </w:rPr>
      </w:pPr>
      <w:r w:rsidRPr="00CE21BA">
        <w:rPr>
          <w:lang w:val="en-GB"/>
        </w:rPr>
        <w:t xml:space="preserve">The applicant considers that routine risk minimisation is sufficient to minimise the risks associated with retreatment or long-term use of </w:t>
      </w:r>
      <w:proofErr w:type="spellStart"/>
      <w:r w:rsidRPr="00CE21BA">
        <w:rPr>
          <w:lang w:val="en-GB"/>
        </w:rPr>
        <w:t>Belkyra</w:t>
      </w:r>
      <w:proofErr w:type="spellEnd"/>
      <w:r w:rsidRPr="00CE21BA">
        <w:rPr>
          <w:lang w:val="en-GB"/>
        </w:rPr>
        <w:t xml:space="preserve">. Once </w:t>
      </w:r>
      <w:proofErr w:type="spellStart"/>
      <w:r w:rsidRPr="00CE21BA">
        <w:rPr>
          <w:lang w:val="en-GB"/>
        </w:rPr>
        <w:t>Belkyra</w:t>
      </w:r>
      <w:proofErr w:type="spellEnd"/>
      <w:r w:rsidRPr="00CE21BA">
        <w:rPr>
          <w:lang w:val="en-GB"/>
        </w:rPr>
        <w:t xml:space="preserve"> is approved and marketed, post</w:t>
      </w:r>
      <w:r w:rsidR="007949C4">
        <w:rPr>
          <w:lang w:val="en-GB"/>
        </w:rPr>
        <w:t>-</w:t>
      </w:r>
      <w:r w:rsidRPr="00CE21BA">
        <w:rPr>
          <w:lang w:val="en-GB"/>
        </w:rPr>
        <w:t>marketing reports relating to the safety concerns described in this RMP will be constantly monitored. Effectiveness of risk minimisation would be reassessed if the current assessment of the frequency or other characteristics of the safety concerns would change as a result of these ongoin</w:t>
      </w:r>
      <w:r w:rsidR="007949C4">
        <w:rPr>
          <w:lang w:val="en-GB"/>
        </w:rPr>
        <w:t>g pharmacovigilance activities.</w:t>
      </w:r>
    </w:p>
    <w:p w14:paraId="13006A6B" w14:textId="3DD1BAC1" w:rsidR="007949C4" w:rsidRPr="00CE21BA" w:rsidRDefault="007949C4" w:rsidP="002E26FD">
      <w:pPr>
        <w:pStyle w:val="Heading5"/>
        <w:rPr>
          <w:rFonts w:eastAsiaTheme="minorHAnsi"/>
          <w:lang w:val="en-GB"/>
        </w:rPr>
      </w:pPr>
      <w:r>
        <w:rPr>
          <w:lang w:val="en-GB"/>
        </w:rPr>
        <w:t>Discussion o</w:t>
      </w:r>
      <w:r w:rsidR="009D23EF">
        <w:rPr>
          <w:lang w:val="en-GB"/>
        </w:rPr>
        <w:t>f d</w:t>
      </w:r>
      <w:r>
        <w:rPr>
          <w:lang w:val="en-GB"/>
        </w:rPr>
        <w:t>elegate’s comments on educational materials</w:t>
      </w:r>
    </w:p>
    <w:p w14:paraId="2CAC979C" w14:textId="047F880D" w:rsidR="00CE21BA" w:rsidRPr="002E26FD" w:rsidRDefault="002E26FD" w:rsidP="002E26FD">
      <w:r>
        <w:t>In the Delegate’s o</w:t>
      </w:r>
      <w:r w:rsidR="00CE21BA" w:rsidRPr="002E26FD">
        <w:t>verview, the Delega</w:t>
      </w:r>
      <w:r w:rsidR="005200DF">
        <w:t>te makes the following comment:</w:t>
      </w:r>
    </w:p>
    <w:p w14:paraId="74410240" w14:textId="157E82EC" w:rsidR="00CE21BA" w:rsidRPr="002E26FD" w:rsidRDefault="002E26FD" w:rsidP="002E26FD">
      <w:pPr>
        <w:ind w:left="720"/>
        <w:rPr>
          <w:i/>
        </w:rPr>
      </w:pPr>
      <w:r w:rsidRPr="002E26FD">
        <w:rPr>
          <w:i/>
        </w:rPr>
        <w:t>‘</w:t>
      </w:r>
      <w:r w:rsidR="00CE21BA" w:rsidRPr="002E26FD">
        <w:rPr>
          <w:i/>
        </w:rPr>
        <w:t>An additional risk minimisation measure of prescriber education is proposed to mitigate the risk of injection site nerve; and, more generally, to define the treatment area and safely inject the product. The current materials proposed by the Sponsor are con</w:t>
      </w:r>
      <w:r w:rsidRPr="002E26FD">
        <w:rPr>
          <w:i/>
        </w:rPr>
        <w:t>sidered promotional.</w:t>
      </w:r>
    </w:p>
    <w:p w14:paraId="7D00557F" w14:textId="4222EDEB" w:rsidR="00CE21BA" w:rsidRDefault="00CE21BA" w:rsidP="002E26FD">
      <w:pPr>
        <w:ind w:left="720"/>
        <w:rPr>
          <w:i/>
        </w:rPr>
      </w:pPr>
      <w:r w:rsidRPr="002E26FD">
        <w:rPr>
          <w:i/>
        </w:rPr>
        <w:t>The educational materials are being reviewed by an independent external clinical expert whose advice will be used to finalise t</w:t>
      </w:r>
      <w:r w:rsidR="002E26FD" w:rsidRPr="002E26FD">
        <w:rPr>
          <w:i/>
        </w:rPr>
        <w:t>he Australian annex of the RMP.</w:t>
      </w:r>
      <w:r w:rsidR="002E26FD">
        <w:rPr>
          <w:i/>
        </w:rPr>
        <w:t>’</w:t>
      </w:r>
    </w:p>
    <w:p w14:paraId="510E18D3" w14:textId="6FDD512D" w:rsidR="002E26FD" w:rsidRPr="002E26FD" w:rsidRDefault="002E26FD" w:rsidP="002E26FD">
      <w:pPr>
        <w:pStyle w:val="Heading5"/>
        <w:rPr>
          <w:rFonts w:eastAsiaTheme="minorHAnsi"/>
        </w:rPr>
      </w:pPr>
      <w:r>
        <w:t>Sponsor’s response</w:t>
      </w:r>
    </w:p>
    <w:p w14:paraId="25BCECBF" w14:textId="66376462" w:rsidR="002E26FD" w:rsidRDefault="00CE21BA" w:rsidP="00CE21BA">
      <w:pPr>
        <w:rPr>
          <w:lang w:val="en-GB"/>
        </w:rPr>
      </w:pPr>
      <w:r w:rsidRPr="00CE21BA">
        <w:rPr>
          <w:lang w:val="en-GB"/>
        </w:rPr>
        <w:t xml:space="preserve">The </w:t>
      </w:r>
      <w:r w:rsidR="002E26FD">
        <w:rPr>
          <w:lang w:val="en-GB"/>
        </w:rPr>
        <w:t>s</w:t>
      </w:r>
      <w:r w:rsidRPr="00CE21BA">
        <w:rPr>
          <w:lang w:val="en-GB"/>
        </w:rPr>
        <w:t xml:space="preserve">ponsor acknowledges the Delegate’s comment relating to the promotional nature of the proposed training material and will work with TGA to develop a training and education programme for </w:t>
      </w:r>
      <w:proofErr w:type="spellStart"/>
      <w:r w:rsidR="002E26FD">
        <w:rPr>
          <w:lang w:val="en-GB"/>
        </w:rPr>
        <w:t>Belkyra</w:t>
      </w:r>
      <w:proofErr w:type="spellEnd"/>
      <w:r w:rsidRPr="00CE21BA">
        <w:rPr>
          <w:lang w:val="en-GB"/>
        </w:rPr>
        <w:t xml:space="preserve"> injection as an additional risk minimisation measure. This will help to ensure that HCPs are adequately trained and qualified in their understanding of facial anatomy and injection technique as a prerequisite to purchasing </w:t>
      </w:r>
      <w:proofErr w:type="spellStart"/>
      <w:r w:rsidR="002E26FD">
        <w:rPr>
          <w:lang w:val="en-GB"/>
        </w:rPr>
        <w:t>Belkyra</w:t>
      </w:r>
      <w:proofErr w:type="spellEnd"/>
      <w:r w:rsidRPr="00CE21BA">
        <w:rPr>
          <w:lang w:val="en-GB"/>
        </w:rPr>
        <w:t>. Allergan, as an aesthetic drug and device manufacturer, has demonstrated extensive experience in the provision of similar aesthetic products to HCPs.</w:t>
      </w:r>
    </w:p>
    <w:p w14:paraId="03A05AFF" w14:textId="7230599C" w:rsidR="00CE21BA" w:rsidRPr="00CE21BA" w:rsidRDefault="00CE21BA" w:rsidP="00CE21BA">
      <w:pPr>
        <w:rPr>
          <w:lang w:val="en-GB"/>
        </w:rPr>
      </w:pPr>
      <w:r w:rsidRPr="00CE21BA">
        <w:rPr>
          <w:lang w:val="en-GB"/>
        </w:rPr>
        <w:t xml:space="preserve">The to-be-updated RMP, including the </w:t>
      </w:r>
      <w:r w:rsidR="000074E0">
        <w:rPr>
          <w:lang w:val="en-GB"/>
        </w:rPr>
        <w:t>ASA</w:t>
      </w:r>
      <w:r w:rsidRPr="00CE21BA">
        <w:rPr>
          <w:lang w:val="en-GB"/>
        </w:rPr>
        <w:t xml:space="preserve">, will provide measures to ensure adequate oversight of any potential safety concerns associated with </w:t>
      </w:r>
      <w:proofErr w:type="spellStart"/>
      <w:r w:rsidR="002E26FD">
        <w:rPr>
          <w:lang w:val="en-GB"/>
        </w:rPr>
        <w:t>Belkyra</w:t>
      </w:r>
      <w:proofErr w:type="spellEnd"/>
      <w:r w:rsidR="002E26FD">
        <w:rPr>
          <w:lang w:val="en-GB"/>
        </w:rPr>
        <w:t>, training for HCPs</w:t>
      </w:r>
      <w:r w:rsidRPr="00CE21BA">
        <w:rPr>
          <w:lang w:val="en-GB"/>
        </w:rPr>
        <w:t xml:space="preserve"> and routine pharmacovigilance monitoring. In addition, the proposed PI includes sufficient information regarding directions for use and associated risks to allow for the safe use of </w:t>
      </w:r>
      <w:proofErr w:type="spellStart"/>
      <w:r w:rsidR="002E26FD">
        <w:rPr>
          <w:lang w:val="en-GB"/>
        </w:rPr>
        <w:t>Belkyra</w:t>
      </w:r>
      <w:proofErr w:type="spellEnd"/>
      <w:r w:rsidRPr="00CE21BA">
        <w:rPr>
          <w:lang w:val="en-GB"/>
        </w:rPr>
        <w:t xml:space="preserve"> in the post</w:t>
      </w:r>
      <w:r w:rsidR="002E26FD">
        <w:rPr>
          <w:lang w:val="en-GB"/>
        </w:rPr>
        <w:t>-</w:t>
      </w:r>
      <w:r w:rsidRPr="00CE21BA">
        <w:rPr>
          <w:lang w:val="en-GB"/>
        </w:rPr>
        <w:t>marketing setting. Therefore, it is reasonable that patients, in consultation with their HCPs, will be able to weigh the benefits and</w:t>
      </w:r>
      <w:r w:rsidR="002E26FD">
        <w:rPr>
          <w:lang w:val="en-GB"/>
        </w:rPr>
        <w:t xml:space="preserve"> risks of treatment with </w:t>
      </w:r>
      <w:proofErr w:type="spellStart"/>
      <w:r w:rsidR="002E26FD">
        <w:rPr>
          <w:lang w:val="en-GB"/>
        </w:rPr>
        <w:t>Belkyra</w:t>
      </w:r>
      <w:proofErr w:type="spellEnd"/>
      <w:r w:rsidRPr="00CE21BA">
        <w:rPr>
          <w:lang w:val="en-GB"/>
        </w:rPr>
        <w:t xml:space="preserve"> on an ongoing basis and decide whether or not to initiate and/or continue </w:t>
      </w:r>
      <w:r w:rsidRPr="00CE21BA">
        <w:rPr>
          <w:lang w:val="en-GB"/>
        </w:rPr>
        <w:lastRenderedPageBreak/>
        <w:t xml:space="preserve">additional treatment. Given the evidence from the Phase </w:t>
      </w:r>
      <w:r w:rsidR="006F56E1">
        <w:rPr>
          <w:lang w:val="en-GB"/>
        </w:rPr>
        <w:t>III</w:t>
      </w:r>
      <w:r w:rsidRPr="00CE21BA">
        <w:rPr>
          <w:lang w:val="en-GB"/>
        </w:rPr>
        <w:t xml:space="preserve"> trials, </w:t>
      </w:r>
      <w:proofErr w:type="spellStart"/>
      <w:r w:rsidR="005E1D84">
        <w:rPr>
          <w:lang w:val="en-GB"/>
        </w:rPr>
        <w:t>Belkyra</w:t>
      </w:r>
      <w:proofErr w:type="spellEnd"/>
      <w:r w:rsidRPr="00CE21BA">
        <w:rPr>
          <w:lang w:val="en-GB"/>
        </w:rPr>
        <w:t xml:space="preserve"> has a clear dosing and treatment guidan</w:t>
      </w:r>
      <w:r w:rsidR="005E1D84">
        <w:rPr>
          <w:lang w:val="en-GB"/>
        </w:rPr>
        <w:t>ce for the proposed indication.</w:t>
      </w:r>
    </w:p>
    <w:p w14:paraId="39CFA794" w14:textId="6C50E255" w:rsidR="00CE21BA" w:rsidRPr="00CE21BA" w:rsidRDefault="00EC55B4" w:rsidP="005E1D84">
      <w:pPr>
        <w:pStyle w:val="Heading5"/>
        <w:rPr>
          <w:rFonts w:eastAsiaTheme="minorHAnsi"/>
          <w:lang w:val="en-GB"/>
        </w:rPr>
      </w:pPr>
      <w:r>
        <w:rPr>
          <w:lang w:val="en-GB"/>
        </w:rPr>
        <w:t>Sponsor’s c</w:t>
      </w:r>
      <w:r w:rsidR="002111F7">
        <w:rPr>
          <w:rFonts w:eastAsiaTheme="minorHAnsi"/>
          <w:lang w:val="en-GB"/>
        </w:rPr>
        <w:t>onclusion</w:t>
      </w:r>
    </w:p>
    <w:p w14:paraId="333BE1BD" w14:textId="09EFBDBB" w:rsidR="00035F20" w:rsidRPr="00EC55B4" w:rsidRDefault="00CE21BA" w:rsidP="00035F20">
      <w:pPr>
        <w:rPr>
          <w:lang w:val="en-GB"/>
        </w:rPr>
      </w:pPr>
      <w:r w:rsidRPr="00CE21BA">
        <w:rPr>
          <w:lang w:val="en-GB"/>
        </w:rPr>
        <w:t xml:space="preserve">Allergan concurs with the Delegate’s conclusion that </w:t>
      </w:r>
      <w:proofErr w:type="spellStart"/>
      <w:r w:rsidR="005E1D84">
        <w:rPr>
          <w:lang w:val="en-GB"/>
        </w:rPr>
        <w:t>Belkyra</w:t>
      </w:r>
      <w:proofErr w:type="spellEnd"/>
      <w:r w:rsidRPr="00CE21BA">
        <w:rPr>
          <w:lang w:val="en-GB"/>
        </w:rPr>
        <w:t xml:space="preserve"> should be approved for the treatment of submental fat. </w:t>
      </w:r>
      <w:r w:rsidR="006F56E1">
        <w:rPr>
          <w:lang w:val="en-GB"/>
        </w:rPr>
        <w:t>The sponsor</w:t>
      </w:r>
      <w:r w:rsidR="006F56E1" w:rsidRPr="00CE21BA">
        <w:rPr>
          <w:lang w:val="en-GB"/>
        </w:rPr>
        <w:t xml:space="preserve"> </w:t>
      </w:r>
      <w:r w:rsidRPr="00CE21BA">
        <w:rPr>
          <w:lang w:val="en-GB"/>
        </w:rPr>
        <w:t>acknowledge</w:t>
      </w:r>
      <w:r w:rsidR="006F56E1">
        <w:rPr>
          <w:lang w:val="en-GB"/>
        </w:rPr>
        <w:t>s</w:t>
      </w:r>
      <w:r w:rsidRPr="00CE21BA">
        <w:rPr>
          <w:lang w:val="en-GB"/>
        </w:rPr>
        <w:t xml:space="preserve"> the Delegate’s comments regarding the promotional nature of the educational materials and </w:t>
      </w:r>
      <w:r w:rsidR="00404977">
        <w:rPr>
          <w:lang w:val="en-GB"/>
        </w:rPr>
        <w:t>is</w:t>
      </w:r>
      <w:r w:rsidR="00404977" w:rsidRPr="00CE21BA">
        <w:rPr>
          <w:lang w:val="en-GB"/>
        </w:rPr>
        <w:t xml:space="preserve"> </w:t>
      </w:r>
      <w:r w:rsidRPr="00CE21BA">
        <w:rPr>
          <w:lang w:val="en-GB"/>
        </w:rPr>
        <w:t>committed to working with TGA in order to produce materials to mee</w:t>
      </w:r>
      <w:r w:rsidR="00EC55B4">
        <w:rPr>
          <w:lang w:val="en-GB"/>
        </w:rPr>
        <w:t>t any educational requirements.</w:t>
      </w:r>
    </w:p>
    <w:p w14:paraId="0879AF64" w14:textId="406E29C8" w:rsidR="008E7846" w:rsidRDefault="000530D1" w:rsidP="008E7846">
      <w:pPr>
        <w:pStyle w:val="Heading4"/>
      </w:pPr>
      <w:r>
        <w:t>Advisory committee c</w:t>
      </w:r>
      <w:r w:rsidR="008E7846">
        <w:t>onsiderations</w:t>
      </w:r>
    </w:p>
    <w:p w14:paraId="7422AB66" w14:textId="027F3E38" w:rsidR="0067414E" w:rsidRPr="0067414E" w:rsidRDefault="0067414E" w:rsidP="0067414E">
      <w:r w:rsidRPr="0067414E">
        <w:t xml:space="preserve">The ACPM, taking into account the submitted evidence of efficacy, safety and quality, agreed with the </w:t>
      </w:r>
      <w:r>
        <w:t>D</w:t>
      </w:r>
      <w:r w:rsidRPr="0067414E">
        <w:t xml:space="preserve">elegate and considered </w:t>
      </w:r>
      <w:proofErr w:type="spellStart"/>
      <w:r w:rsidRPr="0067414E">
        <w:t>B</w:t>
      </w:r>
      <w:r>
        <w:t>elkyra</w:t>
      </w:r>
      <w:proofErr w:type="spellEnd"/>
      <w:r w:rsidRPr="0067414E">
        <w:t xml:space="preserve"> (</w:t>
      </w:r>
      <w:proofErr w:type="spellStart"/>
      <w:r w:rsidRPr="0067414E">
        <w:t>K</w:t>
      </w:r>
      <w:r>
        <w:t>ybella</w:t>
      </w:r>
      <w:proofErr w:type="spellEnd"/>
      <w:r w:rsidRPr="0067414E">
        <w:t xml:space="preserve"> initially proposed) solution for injection containing 10 mg/mL of </w:t>
      </w:r>
      <w:proofErr w:type="spellStart"/>
      <w:r w:rsidRPr="0067414E">
        <w:t>deoxycholic</w:t>
      </w:r>
      <w:proofErr w:type="spellEnd"/>
      <w:r w:rsidRPr="0067414E">
        <w:t xml:space="preserve"> acid to have an overall positive benefit–risk profile for the sponsor indication</w:t>
      </w:r>
      <w:r>
        <w:t>:</w:t>
      </w:r>
    </w:p>
    <w:p w14:paraId="71165513" w14:textId="77777777" w:rsidR="0067414E" w:rsidRPr="0067414E" w:rsidRDefault="0067414E" w:rsidP="0067414E">
      <w:pPr>
        <w:tabs>
          <w:tab w:val="left" w:pos="567"/>
        </w:tabs>
        <w:ind w:left="567"/>
        <w:rPr>
          <w:rFonts w:cs="Calibri"/>
          <w:bCs/>
          <w:i/>
        </w:rPr>
      </w:pPr>
      <w:r w:rsidRPr="0067414E">
        <w:rPr>
          <w:rFonts w:cs="Calibri"/>
          <w:i/>
          <w:noProof/>
        </w:rPr>
        <w:t>Improvement in the appearance of moderate to severe convexity or fullness associated with submental fat in adults.</w:t>
      </w:r>
    </w:p>
    <w:p w14:paraId="6806EF32" w14:textId="4446F085" w:rsidR="0067414E" w:rsidRPr="0067414E" w:rsidRDefault="0067414E" w:rsidP="0067414E">
      <w:r w:rsidRPr="0067414E">
        <w:t>In maki</w:t>
      </w:r>
      <w:r>
        <w:t>ng this recommendation the ACPM:</w:t>
      </w:r>
    </w:p>
    <w:p w14:paraId="6D1350D7" w14:textId="250BA822" w:rsidR="0067414E" w:rsidRPr="004D404F" w:rsidRDefault="005427B7" w:rsidP="0067414E">
      <w:pPr>
        <w:pStyle w:val="ListBullet"/>
      </w:pPr>
      <w:r>
        <w:t>A</w:t>
      </w:r>
      <w:r w:rsidR="0067414E" w:rsidRPr="004D404F">
        <w:t>dvised that the sponsor must submit a RMP to the satisfaction of the TGA.</w:t>
      </w:r>
    </w:p>
    <w:p w14:paraId="4D5C0043" w14:textId="159FDF71" w:rsidR="005427B7" w:rsidRPr="004D404F" w:rsidRDefault="005427B7" w:rsidP="005427B7">
      <w:pPr>
        <w:pStyle w:val="Heading5"/>
        <w:rPr>
          <w:rFonts w:eastAsia="Cambria"/>
          <w:u w:val="single"/>
        </w:rPr>
      </w:pPr>
      <w:r w:rsidRPr="004D404F">
        <w:rPr>
          <w:rFonts w:eastAsia="Cambria"/>
        </w:rPr>
        <w:t xml:space="preserve">Proposed </w:t>
      </w:r>
      <w:r>
        <w:rPr>
          <w:rFonts w:eastAsia="Cambria"/>
        </w:rPr>
        <w:t>PI</w:t>
      </w:r>
      <w:r w:rsidRPr="004D404F">
        <w:rPr>
          <w:rFonts w:eastAsia="Cambria"/>
        </w:rPr>
        <w:t>/</w:t>
      </w:r>
      <w:r>
        <w:rPr>
          <w:rFonts w:eastAsia="Cambria"/>
        </w:rPr>
        <w:t>CMI</w:t>
      </w:r>
      <w:r w:rsidRPr="004D404F">
        <w:rPr>
          <w:rFonts w:eastAsia="Cambria"/>
        </w:rPr>
        <w:t xml:space="preserve"> amendments</w:t>
      </w:r>
    </w:p>
    <w:p w14:paraId="5D82F9AF" w14:textId="3F676EB7" w:rsidR="005427B7" w:rsidRPr="005427B7" w:rsidRDefault="005427B7" w:rsidP="005427B7">
      <w:r w:rsidRPr="005427B7">
        <w:t xml:space="preserve">The ACPM advised on </w:t>
      </w:r>
      <w:r>
        <w:t>the inclusion of the following:</w:t>
      </w:r>
    </w:p>
    <w:p w14:paraId="2952619D" w14:textId="4F193C03" w:rsidR="005427B7" w:rsidRPr="005427B7" w:rsidRDefault="005427B7" w:rsidP="005427B7">
      <w:pPr>
        <w:pStyle w:val="ListBullet"/>
      </w:pPr>
      <w:r>
        <w:t>A</w:t>
      </w:r>
      <w:r w:rsidRPr="005427B7">
        <w:t xml:space="preserve"> statement in the PI under the </w:t>
      </w:r>
      <w:r>
        <w:t>Clinical Trials</w:t>
      </w:r>
      <w:r w:rsidRPr="005427B7">
        <w:t xml:space="preserve"> section highlighting that the investigators in the clinical trials were plastic surgeons, dermatologists and a small number of other doctors with extensive experience in administration of aesthetic treatments.</w:t>
      </w:r>
    </w:p>
    <w:p w14:paraId="58778AB1" w14:textId="37BDBD5E" w:rsidR="005427B7" w:rsidRPr="004D404F" w:rsidRDefault="000530D1" w:rsidP="005427B7">
      <w:pPr>
        <w:tabs>
          <w:tab w:val="left" w:pos="567"/>
        </w:tabs>
        <w:spacing w:after="0"/>
        <w:rPr>
          <w:b/>
          <w:bCs/>
          <w:i/>
          <w:iCs/>
          <w:highlight w:val="yellow"/>
        </w:rPr>
      </w:pPr>
      <w:r>
        <w:rPr>
          <w:b/>
          <w:bCs/>
          <w:i/>
          <w:iCs/>
        </w:rPr>
        <w:t>Specific a</w:t>
      </w:r>
      <w:r w:rsidR="005427B7" w:rsidRPr="004D404F">
        <w:rPr>
          <w:b/>
          <w:bCs/>
          <w:i/>
          <w:iCs/>
        </w:rPr>
        <w:t>dvice</w:t>
      </w:r>
    </w:p>
    <w:p w14:paraId="7D108D27" w14:textId="66828BAF" w:rsidR="005427B7" w:rsidRPr="005427B7" w:rsidRDefault="005427B7" w:rsidP="005427B7">
      <w:pPr>
        <w:rPr>
          <w:highlight w:val="yellow"/>
        </w:rPr>
      </w:pPr>
      <w:r w:rsidRPr="005427B7">
        <w:t xml:space="preserve">The ACPM advised the following in response to the </w:t>
      </w:r>
      <w:r w:rsidR="00F44DA9">
        <w:t>D</w:t>
      </w:r>
      <w:r w:rsidR="00F44DA9" w:rsidRPr="005427B7">
        <w:t xml:space="preserve">elegate’s </w:t>
      </w:r>
      <w:r w:rsidRPr="005427B7">
        <w:t>specific questions on this submission:</w:t>
      </w:r>
    </w:p>
    <w:p w14:paraId="7F03FDBC" w14:textId="3935B243" w:rsidR="005427B7" w:rsidRPr="005427B7" w:rsidRDefault="005427B7" w:rsidP="005427B7">
      <w:pPr>
        <w:pStyle w:val="ListBullet"/>
      </w:pPr>
      <w:r w:rsidRPr="005427B7">
        <w:t xml:space="preserve">The ACPM reiterated the importance of adequate training in product administration which should be developed to the satisfaction of the TGA prior to product approval. The ACPM acknowledged the sponsor has agreed to develop a training and education program as an additional risk minimisation measure, and at the </w:t>
      </w:r>
      <w:r w:rsidR="00F44DA9">
        <w:t>D</w:t>
      </w:r>
      <w:r w:rsidR="00F44DA9" w:rsidRPr="005427B7">
        <w:t xml:space="preserve">elegate’s </w:t>
      </w:r>
      <w:r w:rsidRPr="005427B7">
        <w:t>request, has agreed that such training should be less promotional in nature and content.</w:t>
      </w:r>
    </w:p>
    <w:p w14:paraId="1B83C837" w14:textId="1475F123" w:rsidR="0067414E" w:rsidRPr="00A322B3" w:rsidRDefault="005427B7" w:rsidP="008E7846">
      <w:r w:rsidRPr="005427B7">
        <w:t>The ACPM advised that implementation by the sponsor of the recommendations outlined above to the satisfaction of the TGA, in addition to the evidence of efficacy and safety provided would support the safe and effective use of this product.</w:t>
      </w:r>
    </w:p>
    <w:p w14:paraId="1D455DC8" w14:textId="77777777" w:rsidR="008E7846" w:rsidRPr="002E238E" w:rsidRDefault="008E7846" w:rsidP="008E7846">
      <w:pPr>
        <w:pStyle w:val="Heading3"/>
      </w:pPr>
      <w:bookmarkStart w:id="154" w:name="_Toc247691532"/>
      <w:bookmarkStart w:id="155" w:name="_Toc314842516"/>
      <w:bookmarkStart w:id="156" w:name="_Toc482015715"/>
      <w:bookmarkEnd w:id="106"/>
      <w:bookmarkEnd w:id="152"/>
      <w:bookmarkEnd w:id="153"/>
      <w:r>
        <w:t>Outcome</w:t>
      </w:r>
      <w:bookmarkEnd w:id="154"/>
      <w:bookmarkEnd w:id="155"/>
      <w:bookmarkEnd w:id="156"/>
    </w:p>
    <w:p w14:paraId="6D0641E5" w14:textId="47DA6D51" w:rsidR="004D22F9" w:rsidRPr="001A3563" w:rsidRDefault="00D23139" w:rsidP="001A3563">
      <w:bookmarkStart w:id="157" w:name="_Toc247691533"/>
      <w:bookmarkStart w:id="158" w:name="_Toc314842517"/>
      <w:r w:rsidRPr="001A3563">
        <w:t xml:space="preserve">Based on a review of quality, safety and efficacy, </w:t>
      </w:r>
      <w:r w:rsidR="001A3563" w:rsidRPr="001A3563">
        <w:t xml:space="preserve">the </w:t>
      </w:r>
      <w:r w:rsidRPr="001A3563">
        <w:t xml:space="preserve">TGA approved the registration of </w:t>
      </w:r>
      <w:proofErr w:type="spellStart"/>
      <w:r w:rsidR="004D22F9" w:rsidRPr="001A3563">
        <w:t>B</w:t>
      </w:r>
      <w:r w:rsidR="001A3563">
        <w:t>elkyra</w:t>
      </w:r>
      <w:proofErr w:type="spellEnd"/>
      <w:r w:rsidR="004D22F9" w:rsidRPr="001A3563">
        <w:t xml:space="preserve"> </w:t>
      </w:r>
      <w:proofErr w:type="spellStart"/>
      <w:r w:rsidR="004D22F9" w:rsidRPr="001A3563">
        <w:t>deoxycholic</w:t>
      </w:r>
      <w:proofErr w:type="spellEnd"/>
      <w:r w:rsidR="004D22F9" w:rsidRPr="001A3563">
        <w:t xml:space="preserve"> acid 10 mg/mL solution for injection </w:t>
      </w:r>
      <w:r w:rsidR="001A3563">
        <w:t>indicated for:</w:t>
      </w:r>
    </w:p>
    <w:p w14:paraId="61F860E5" w14:textId="46A38E13" w:rsidR="00D23139" w:rsidRPr="008C492B" w:rsidRDefault="008C492B" w:rsidP="008C492B">
      <w:pPr>
        <w:ind w:left="720"/>
        <w:rPr>
          <w:i/>
          <w:lang w:val="en-GB"/>
        </w:rPr>
      </w:pPr>
      <w:proofErr w:type="spellStart"/>
      <w:r w:rsidRPr="008C492B">
        <w:rPr>
          <w:i/>
          <w:lang w:val="en-GB"/>
        </w:rPr>
        <w:t>Belkyra</w:t>
      </w:r>
      <w:proofErr w:type="spellEnd"/>
      <w:r w:rsidRPr="008C492B">
        <w:rPr>
          <w:i/>
          <w:lang w:val="en-GB"/>
        </w:rPr>
        <w:t xml:space="preserve"> (</w:t>
      </w:r>
      <w:proofErr w:type="spellStart"/>
      <w:r w:rsidRPr="008C492B">
        <w:rPr>
          <w:i/>
          <w:lang w:val="en-GB"/>
        </w:rPr>
        <w:t>deoxycholic</w:t>
      </w:r>
      <w:proofErr w:type="spellEnd"/>
      <w:r w:rsidRPr="008C492B">
        <w:rPr>
          <w:i/>
          <w:lang w:val="en-GB"/>
        </w:rPr>
        <w:t xml:space="preserve"> acid) injection is indicated for improvement in the appearance of moderate to severe convexity or fullness associated with submental fat in adults.</w:t>
      </w:r>
    </w:p>
    <w:p w14:paraId="10AA24A9" w14:textId="77777777" w:rsidR="00D23139" w:rsidRPr="00D23139" w:rsidRDefault="00D23139" w:rsidP="00D23139">
      <w:pPr>
        <w:pStyle w:val="Heading4"/>
      </w:pPr>
      <w:r w:rsidRPr="00D23139">
        <w:t>Specific conditions of registration applying to these goods</w:t>
      </w:r>
    </w:p>
    <w:p w14:paraId="2DE39601" w14:textId="6BE8FCAD" w:rsidR="00165380" w:rsidRDefault="00165380" w:rsidP="00D23139">
      <w:r w:rsidRPr="00165380">
        <w:t xml:space="preserve">The </w:t>
      </w:r>
      <w:proofErr w:type="spellStart"/>
      <w:r w:rsidRPr="00165380">
        <w:t>deoxycholic</w:t>
      </w:r>
      <w:proofErr w:type="spellEnd"/>
      <w:r w:rsidRPr="00165380">
        <w:t xml:space="preserve"> acid European </w:t>
      </w:r>
      <w:r w:rsidR="000505BA">
        <w:t>RMP</w:t>
      </w:r>
      <w:r w:rsidRPr="00165380">
        <w:t xml:space="preserve"> (EU-RMP), Version 3.0, dated </w:t>
      </w:r>
      <w:r w:rsidR="00C2657C">
        <w:t>2 May 2016 (</w:t>
      </w:r>
      <w:r w:rsidRPr="00165380">
        <w:t xml:space="preserve">data lock point </w:t>
      </w:r>
      <w:r w:rsidR="00C2657C">
        <w:t>27 April 2016)</w:t>
      </w:r>
      <w:r w:rsidRPr="00165380">
        <w:t xml:space="preserve"> </w:t>
      </w:r>
      <w:r w:rsidR="00C2657C">
        <w:t xml:space="preserve">with </w:t>
      </w:r>
      <w:r w:rsidR="000505BA">
        <w:t>ASA</w:t>
      </w:r>
      <w:r w:rsidR="00C2657C">
        <w:t xml:space="preserve"> </w:t>
      </w:r>
      <w:r w:rsidRPr="00165380">
        <w:t>Vers</w:t>
      </w:r>
      <w:r w:rsidR="00C2657C">
        <w:t>ion 2.0, dated 9 October 2015 (data lock point</w:t>
      </w:r>
      <w:r w:rsidRPr="00165380">
        <w:t xml:space="preserve"> 24 March 2014), to be revised to the satisfaction of the TGA must be implemented in </w:t>
      </w:r>
      <w:r w:rsidRPr="00165380">
        <w:lastRenderedPageBreak/>
        <w:t>Australia. Any changes to which the sponsor agreed become part of the risk management system, whether they are included in the currently available version of the RMP document, or not includ</w:t>
      </w:r>
      <w:r w:rsidR="00C2657C">
        <w:t>ed, inadvertently or otherwise.</w:t>
      </w:r>
    </w:p>
    <w:p w14:paraId="3C305342" w14:textId="77777777" w:rsidR="008E7846" w:rsidRDefault="00A80B5B" w:rsidP="00D23139">
      <w:pPr>
        <w:pStyle w:val="Heading2"/>
      </w:pPr>
      <w:bookmarkStart w:id="159" w:name="_Toc482015716"/>
      <w:proofErr w:type="gramStart"/>
      <w:r>
        <w:t>Attachment 1.</w:t>
      </w:r>
      <w:proofErr w:type="gramEnd"/>
      <w:r>
        <w:t xml:space="preserve"> </w:t>
      </w:r>
      <w:r w:rsidR="008E7846">
        <w:t xml:space="preserve">Product </w:t>
      </w:r>
      <w:r w:rsidR="00AA0ED0">
        <w:t>I</w:t>
      </w:r>
      <w:r w:rsidR="008E7846">
        <w:t>nformation</w:t>
      </w:r>
      <w:bookmarkEnd w:id="157"/>
      <w:bookmarkEnd w:id="158"/>
      <w:bookmarkEnd w:id="159"/>
    </w:p>
    <w:p w14:paraId="24F6EBF0" w14:textId="762E0AB2" w:rsidR="00C80137" w:rsidRDefault="006136D7" w:rsidP="00C80137">
      <w:pPr>
        <w:rPr>
          <w:color w:val="000000"/>
          <w:lang w:eastAsia="en-AU"/>
        </w:rPr>
      </w:pPr>
      <w:r w:rsidRPr="002B3624">
        <w:t xml:space="preserve">The </w:t>
      </w:r>
      <w:r>
        <w:t>PI</w:t>
      </w:r>
      <w:r w:rsidRPr="002B3624">
        <w:t xml:space="preserve"> for </w:t>
      </w:r>
      <w:proofErr w:type="spellStart"/>
      <w:r w:rsidR="00C00F35">
        <w:t>Belkyra</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6" w:history="1">
        <w:r w:rsidR="007C6B9B" w:rsidRPr="007C6B9B">
          <w:rPr>
            <w:rStyle w:val="Hyperlink"/>
          </w:rPr>
          <w:t>https://www.tga.gov.au/product-information-pi</w:t>
        </w:r>
      </w:hyperlink>
      <w:r w:rsidR="00C00F35">
        <w:t>&gt;.</w:t>
      </w:r>
    </w:p>
    <w:p w14:paraId="4FCE951B" w14:textId="4284E269" w:rsidR="00770CAC" w:rsidRDefault="00C80137" w:rsidP="0020458D">
      <w:pPr>
        <w:pStyle w:val="Heading2"/>
        <w:rPr>
          <w:lang w:eastAsia="en-AU"/>
        </w:rPr>
      </w:pPr>
      <w:bookmarkStart w:id="160" w:name="_Toc482015717"/>
      <w:proofErr w:type="gramStart"/>
      <w:r>
        <w:rPr>
          <w:lang w:eastAsia="en-AU"/>
        </w:rPr>
        <w:t>Attachment 2.</w:t>
      </w:r>
      <w:proofErr w:type="gramEnd"/>
      <w:r w:rsidR="00A80B5B">
        <w:rPr>
          <w:lang w:eastAsia="en-AU"/>
        </w:rPr>
        <w:t xml:space="preserve"> </w:t>
      </w:r>
      <w:r>
        <w:rPr>
          <w:lang w:eastAsia="en-AU"/>
        </w:rPr>
        <w:t>Extract from the Clinical Evaluation Report</w:t>
      </w:r>
      <w:bookmarkEnd w:id="160"/>
    </w:p>
    <w:p w14:paraId="433B1688" w14:textId="77777777" w:rsidR="00291957" w:rsidRDefault="00291957" w:rsidP="00291957">
      <w:pPr>
        <w:rPr>
          <w:lang w:eastAsia="ja-JP"/>
        </w:rPr>
      </w:pPr>
    </w:p>
    <w:p w14:paraId="4CDC448F" w14:textId="77777777" w:rsidR="00C80137" w:rsidRPr="001D043B" w:rsidRDefault="00C80137" w:rsidP="003A7F6C">
      <w:pPr>
        <w:pStyle w:val="TableTitle"/>
        <w:sectPr w:rsidR="00C80137" w:rsidRPr="001D043B" w:rsidSect="00B452CE">
          <w:headerReference w:type="even" r:id="rId17"/>
          <w:headerReference w:type="default" r:id="rId18"/>
          <w:headerReference w:type="first" r:id="rId19"/>
          <w:footerReference w:type="first" r:id="rId2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418A77D4" w14:textId="77777777" w:rsidTr="00A05FA4">
        <w:trPr>
          <w:trHeight w:hRule="exact" w:val="704"/>
        </w:trPr>
        <w:tc>
          <w:tcPr>
            <w:tcW w:w="9175" w:type="dxa"/>
          </w:tcPr>
          <w:p w14:paraId="393F0408" w14:textId="77777777" w:rsidR="001C32CD" w:rsidRPr="00487162" w:rsidRDefault="001C32CD" w:rsidP="00A05FA4">
            <w:pPr>
              <w:pStyle w:val="TGASignoff"/>
            </w:pPr>
            <w:r w:rsidRPr="00487162">
              <w:lastRenderedPageBreak/>
              <w:t>Therapeutic Goods Administration</w:t>
            </w:r>
          </w:p>
        </w:tc>
      </w:tr>
      <w:tr w:rsidR="001C32CD" w:rsidRPr="004C239D" w14:paraId="26D5E677" w14:textId="77777777" w:rsidTr="00A05FA4">
        <w:trPr>
          <w:trHeight w:val="1221"/>
        </w:trPr>
        <w:tc>
          <w:tcPr>
            <w:tcW w:w="9175" w:type="dxa"/>
            <w:tcMar>
              <w:top w:w="28" w:type="dxa"/>
            </w:tcMar>
          </w:tcPr>
          <w:p w14:paraId="7823E072" w14:textId="77777777" w:rsidR="001C32CD" w:rsidRPr="00487162" w:rsidRDefault="001C32CD" w:rsidP="00A05FA4">
            <w:pPr>
              <w:pStyle w:val="Address"/>
            </w:pPr>
            <w:r w:rsidRPr="00487162">
              <w:t>PO Box 100 Woden ACT 2606 Australia</w:t>
            </w:r>
          </w:p>
          <w:p w14:paraId="13666CDA" w14:textId="19E3F3A7" w:rsidR="001C32CD" w:rsidRPr="00487162" w:rsidRDefault="001C32CD" w:rsidP="00A05FA4">
            <w:pPr>
              <w:pStyle w:val="Address"/>
            </w:pPr>
            <w:r w:rsidRPr="00487162">
              <w:t xml:space="preserve">Email: </w:t>
            </w:r>
            <w:hyperlink r:id="rId21" w:history="1">
              <w:r w:rsidRPr="004C239D">
                <w:rPr>
                  <w:rStyle w:val="Hyperlink"/>
                </w:rPr>
                <w:t>info@tga.gov.au</w:t>
              </w:r>
            </w:hyperlink>
            <w:r w:rsidR="005200DF">
              <w:t xml:space="preserve"> Phone: 1800 020 653 </w:t>
            </w:r>
            <w:r w:rsidRPr="00487162">
              <w:t>Fax: 02 6232 8605</w:t>
            </w:r>
          </w:p>
          <w:p w14:paraId="5B6AAF5A" w14:textId="77777777" w:rsidR="001C32CD" w:rsidRPr="004C239D" w:rsidRDefault="00DC4FFE" w:rsidP="00A05FA4">
            <w:pPr>
              <w:pStyle w:val="Address"/>
              <w:spacing w:line="260" w:lineRule="atLeast"/>
              <w:rPr>
                <w:b/>
                <w:color w:val="0000FF"/>
                <w:u w:val="single"/>
              </w:rPr>
            </w:pPr>
            <w:hyperlink r:id="rId22" w:history="1">
              <w:r w:rsidR="007C6B9B" w:rsidRPr="007C6B9B">
                <w:rPr>
                  <w:rStyle w:val="Hyperlink"/>
                  <w:b/>
                </w:rPr>
                <w:t>https://www.tga.gov.au</w:t>
              </w:r>
            </w:hyperlink>
          </w:p>
        </w:tc>
      </w:tr>
    </w:tbl>
    <w:p w14:paraId="76F723BE" w14:textId="77777777" w:rsidR="00774E1D" w:rsidRPr="008A5E0B" w:rsidRDefault="00774E1D" w:rsidP="004C239D"/>
    <w:sectPr w:rsidR="00774E1D" w:rsidRPr="008A5E0B" w:rsidSect="001C32CD">
      <w:headerReference w:type="even" r:id="rId23"/>
      <w:headerReference w:type="default" r:id="rId24"/>
      <w:footerReference w:type="default" r:id="rId25"/>
      <w:headerReference w:type="first" r:id="rId26"/>
      <w:footerReference w:type="first" r:id="rId27"/>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0A606D" w15:done="0"/>
  <w15:commentEx w15:paraId="420DC47F" w15:done="0"/>
  <w15:commentEx w15:paraId="6B9348E0" w15:done="0"/>
  <w15:commentEx w15:paraId="391F13CF" w15:done="0"/>
  <w15:commentEx w15:paraId="2867A759" w15:done="0"/>
  <w15:commentEx w15:paraId="5E4DDB76" w15:done="0"/>
  <w15:commentEx w15:paraId="629B7C0E" w15:done="0"/>
  <w15:commentEx w15:paraId="3E5A12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A602C" w14:textId="77777777" w:rsidR="00FB56FE" w:rsidRDefault="00FB56FE" w:rsidP="00C40A36">
      <w:pPr>
        <w:spacing w:after="0"/>
      </w:pPr>
      <w:r>
        <w:separator/>
      </w:r>
    </w:p>
  </w:endnote>
  <w:endnote w:type="continuationSeparator" w:id="0">
    <w:p w14:paraId="035AB2CC" w14:textId="77777777" w:rsidR="00FB56FE" w:rsidRDefault="00FB56F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Bold">
    <w:altName w:val="Times New Roman"/>
    <w:panose1 w:val="00000000000000000000"/>
    <w:charset w:val="00"/>
    <w:family w:val="auto"/>
    <w:notTrueType/>
    <w:pitch w:val="default"/>
    <w:sig w:usb0="00000083" w:usb1="08070000" w:usb2="00000010" w:usb3="00000000" w:csb0="00020009"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FB56FE" w:rsidRPr="00487162" w14:paraId="67EE62EF" w14:textId="77777777" w:rsidTr="00DB750B">
      <w:trPr>
        <w:trHeight w:val="269"/>
      </w:trPr>
      <w:tc>
        <w:tcPr>
          <w:tcW w:w="7371" w:type="dxa"/>
          <w:tcMar>
            <w:top w:w="142" w:type="dxa"/>
            <w:bottom w:w="0" w:type="dxa"/>
          </w:tcMar>
        </w:tcPr>
        <w:p w14:paraId="0AADDD14" w14:textId="3F28B47A" w:rsidR="00FB56FE" w:rsidRPr="00487162" w:rsidRDefault="00FB56FE" w:rsidP="00214BB8">
          <w:pPr>
            <w:pStyle w:val="Footer"/>
          </w:pPr>
          <w:proofErr w:type="spellStart"/>
          <w:r w:rsidRPr="00487162">
            <w:t>AusPA</w:t>
          </w:r>
          <w:r>
            <w:t>R</w:t>
          </w:r>
          <w:proofErr w:type="spellEnd"/>
          <w:r>
            <w:t xml:space="preserve"> for </w:t>
          </w:r>
          <w:proofErr w:type="spellStart"/>
          <w:r>
            <w:t>Belkyra</w:t>
          </w:r>
          <w:proofErr w:type="spellEnd"/>
          <w:r>
            <w:t xml:space="preserve"> </w:t>
          </w:r>
          <w:proofErr w:type="spellStart"/>
          <w:r>
            <w:t>Deoxycholic</w:t>
          </w:r>
          <w:proofErr w:type="spellEnd"/>
          <w:r>
            <w:t xml:space="preserve"> acid Allergan Australia Pty Ltd PM-2014-04251-1-5</w:t>
          </w:r>
          <w:r>
            <w:br/>
            <w:t>Final 6 April 2017</w:t>
          </w:r>
        </w:p>
      </w:tc>
      <w:tc>
        <w:tcPr>
          <w:tcW w:w="1490" w:type="dxa"/>
          <w:tcMar>
            <w:top w:w="142" w:type="dxa"/>
            <w:bottom w:w="0" w:type="dxa"/>
          </w:tcMar>
        </w:tcPr>
        <w:p w14:paraId="4B0708EE" w14:textId="77777777" w:rsidR="00FB56FE" w:rsidRPr="00487162" w:rsidRDefault="00FB56FE" w:rsidP="00DB750B">
          <w:pPr>
            <w:pStyle w:val="Footer"/>
            <w:jc w:val="right"/>
          </w:pPr>
          <w:r w:rsidRPr="00487162">
            <w:t xml:space="preserve">Page </w:t>
          </w:r>
          <w:r>
            <w:fldChar w:fldCharType="begin"/>
          </w:r>
          <w:r>
            <w:instrText xml:space="preserve"> PAGE  \* Arabic </w:instrText>
          </w:r>
          <w:r>
            <w:fldChar w:fldCharType="separate"/>
          </w:r>
          <w:r w:rsidR="00DC4FFE">
            <w:rPr>
              <w:noProof/>
            </w:rPr>
            <w:t>54</w:t>
          </w:r>
          <w:r>
            <w:fldChar w:fldCharType="end"/>
          </w:r>
          <w:r w:rsidRPr="00487162">
            <w:t xml:space="preserve"> of </w:t>
          </w:r>
          <w:r w:rsidR="00DC4FFE">
            <w:fldChar w:fldCharType="begin"/>
          </w:r>
          <w:r w:rsidR="00DC4FFE">
            <w:instrText xml:space="preserve"> NUMPAGES  \* Arabic </w:instrText>
          </w:r>
          <w:r w:rsidR="00DC4FFE">
            <w:fldChar w:fldCharType="separate"/>
          </w:r>
          <w:r w:rsidR="00DC4FFE">
            <w:rPr>
              <w:noProof/>
            </w:rPr>
            <w:t>55</w:t>
          </w:r>
          <w:r w:rsidR="00DC4FFE">
            <w:rPr>
              <w:noProof/>
            </w:rPr>
            <w:fldChar w:fldCharType="end"/>
          </w:r>
        </w:p>
      </w:tc>
    </w:tr>
  </w:tbl>
  <w:p w14:paraId="3F5647D0" w14:textId="77777777" w:rsidR="00FB56FE" w:rsidRDefault="00FB56FE"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FB56FE" w:rsidRPr="00487162" w14:paraId="482751F3" w14:textId="77777777" w:rsidTr="00E45619">
      <w:trPr>
        <w:trHeight w:val="269"/>
      </w:trPr>
      <w:tc>
        <w:tcPr>
          <w:tcW w:w="4519" w:type="dxa"/>
          <w:tcBorders>
            <w:top w:val="single" w:sz="4" w:space="0" w:color="auto"/>
          </w:tcBorders>
          <w:tcMar>
            <w:top w:w="142" w:type="dxa"/>
            <w:bottom w:w="0" w:type="dxa"/>
          </w:tcMar>
        </w:tcPr>
        <w:p w14:paraId="47B29578" w14:textId="77777777" w:rsidR="00FB56FE" w:rsidRPr="00487162" w:rsidRDefault="00FB56FE" w:rsidP="00FE1DEE">
          <w:pPr>
            <w:pStyle w:val="Footer"/>
          </w:pPr>
          <w:r w:rsidRPr="00487162">
            <w:t>Document title, Part #, Section # - Section title</w:t>
          </w:r>
        </w:p>
        <w:p w14:paraId="291CFCA7" w14:textId="77777777" w:rsidR="00FB56FE" w:rsidRPr="00487162" w:rsidRDefault="00FB56FE" w:rsidP="00FE1DEE">
          <w:pPr>
            <w:pStyle w:val="Footer"/>
          </w:pPr>
          <w:r w:rsidRPr="00487162">
            <w:t>V1.0 October 2010</w:t>
          </w:r>
        </w:p>
      </w:tc>
      <w:tc>
        <w:tcPr>
          <w:tcW w:w="4342" w:type="dxa"/>
          <w:tcBorders>
            <w:top w:val="single" w:sz="4" w:space="0" w:color="auto"/>
          </w:tcBorders>
          <w:tcMar>
            <w:top w:w="142" w:type="dxa"/>
            <w:bottom w:w="0" w:type="dxa"/>
          </w:tcMar>
        </w:tcPr>
        <w:p w14:paraId="58156743" w14:textId="77777777" w:rsidR="00FB56FE" w:rsidRPr="00487162" w:rsidRDefault="00FB56F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DC4FFE">
            <w:fldChar w:fldCharType="begin"/>
          </w:r>
          <w:r w:rsidR="00DC4FFE">
            <w:instrText xml:space="preserve"> NUMPAGES  </w:instrText>
          </w:r>
          <w:r w:rsidR="00DC4FFE">
            <w:fldChar w:fldCharType="separate"/>
          </w:r>
          <w:r>
            <w:rPr>
              <w:noProof/>
            </w:rPr>
            <w:t>1</w:t>
          </w:r>
          <w:r w:rsidR="00DC4FFE">
            <w:rPr>
              <w:noProof/>
            </w:rPr>
            <w:fldChar w:fldCharType="end"/>
          </w:r>
        </w:p>
      </w:tc>
    </w:tr>
  </w:tbl>
  <w:p w14:paraId="277FC499" w14:textId="77777777" w:rsidR="00FB56FE" w:rsidRDefault="00FB56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92C9D" w14:textId="77777777" w:rsidR="00FB56FE" w:rsidRPr="001C32CD" w:rsidRDefault="00FB56FE"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FB56FE" w14:paraId="5E4B2F62" w14:textId="77777777" w:rsidTr="0010601F">
      <w:trPr>
        <w:trHeight w:val="108"/>
      </w:trPr>
      <w:tc>
        <w:tcPr>
          <w:tcW w:w="8875" w:type="dxa"/>
          <w:gridSpan w:val="2"/>
          <w:tcBorders>
            <w:bottom w:val="single" w:sz="4" w:space="0" w:color="auto"/>
          </w:tcBorders>
          <w:tcMar>
            <w:right w:w="284" w:type="dxa"/>
          </w:tcMar>
        </w:tcPr>
        <w:p w14:paraId="00A985E3" w14:textId="77777777" w:rsidR="00FB56FE" w:rsidRDefault="00FB56FE" w:rsidP="006E08B3">
          <w:pPr>
            <w:pStyle w:val="Heading3"/>
          </w:pPr>
          <w:r>
            <w:t>Copyright</w:t>
          </w:r>
        </w:p>
        <w:p w14:paraId="0281F3D1" w14:textId="77777777" w:rsidR="00FB56FE" w:rsidRDefault="00FB56FE" w:rsidP="006E08B3">
          <w:r>
            <w:rPr>
              <w:rFonts w:cs="Arial"/>
            </w:rPr>
            <w:t>©</w:t>
          </w:r>
          <w:r>
            <w:t xml:space="preserve"> Commonwealth of Australia [add year]</w:t>
          </w:r>
        </w:p>
        <w:p w14:paraId="4E7352B0" w14:textId="77777777" w:rsidR="00FB56FE" w:rsidRDefault="00FB56FE" w:rsidP="006E08B3"/>
        <w:p w14:paraId="393818BE" w14:textId="77777777" w:rsidR="00FB56FE" w:rsidRDefault="00FB56F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3819F5CF" w14:textId="77777777" w:rsidR="00FB56FE" w:rsidRDefault="00FB56FE" w:rsidP="006E08B3"/>
        <w:p w14:paraId="56F7D64C" w14:textId="77777777" w:rsidR="00FB56FE" w:rsidRDefault="00FB56FE" w:rsidP="006E08B3">
          <w:pPr>
            <w:pStyle w:val="Heading3"/>
          </w:pPr>
          <w:r>
            <w:t>Confidentiality</w:t>
          </w:r>
        </w:p>
        <w:p w14:paraId="7CE5021D" w14:textId="77777777" w:rsidR="00FB56FE" w:rsidRDefault="00FB56F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88F10F0" w14:textId="77777777" w:rsidR="00FB56FE" w:rsidRDefault="00FB56FE" w:rsidP="006E08B3"/>
        <w:p w14:paraId="2389B183" w14:textId="77777777" w:rsidR="00FB56FE" w:rsidRDefault="00FB56FE" w:rsidP="006E08B3">
          <w:r>
            <w:t>For submission made by individuals, all personal details, other than your name, will be removed from your submission before it is published on the TGA’s Internet site.</w:t>
          </w:r>
        </w:p>
        <w:p w14:paraId="746BBED6" w14:textId="77777777" w:rsidR="00FB56FE" w:rsidRDefault="00FB56FE" w:rsidP="006E08B3"/>
        <w:p w14:paraId="6485062F" w14:textId="77777777" w:rsidR="00FB56FE" w:rsidRDefault="00FB56FE"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FB56FE" w14:paraId="693A95F4" w14:textId="77777777" w:rsidTr="0010601F">
      <w:trPr>
        <w:trHeight w:val="417"/>
      </w:trPr>
      <w:tc>
        <w:tcPr>
          <w:tcW w:w="4519" w:type="dxa"/>
          <w:tcBorders>
            <w:top w:val="single" w:sz="4" w:space="0" w:color="auto"/>
          </w:tcBorders>
          <w:tcMar>
            <w:top w:w="142" w:type="dxa"/>
            <w:bottom w:w="0" w:type="dxa"/>
          </w:tcMar>
        </w:tcPr>
        <w:p w14:paraId="0565BB8A" w14:textId="77777777" w:rsidR="00FB56FE" w:rsidRDefault="00FB56FE" w:rsidP="006E08B3">
          <w:r>
            <w:t>Document title, Part #, Section # - Section title</w:t>
          </w:r>
        </w:p>
        <w:p w14:paraId="2AD8570E" w14:textId="77777777" w:rsidR="00FB56FE" w:rsidRDefault="00FB56FE" w:rsidP="006E08B3">
          <w:r>
            <w:t>V1.0 October 2010</w:t>
          </w:r>
        </w:p>
      </w:tc>
      <w:tc>
        <w:tcPr>
          <w:tcW w:w="4356" w:type="dxa"/>
          <w:tcBorders>
            <w:top w:val="single" w:sz="4" w:space="0" w:color="auto"/>
          </w:tcBorders>
          <w:tcMar>
            <w:top w:w="142" w:type="dxa"/>
            <w:bottom w:w="0" w:type="dxa"/>
          </w:tcMar>
        </w:tcPr>
        <w:p w14:paraId="48907739" w14:textId="77777777" w:rsidR="00FB56FE" w:rsidRDefault="00FB56F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DC4FFE">
            <w:fldChar w:fldCharType="begin"/>
          </w:r>
          <w:r w:rsidR="00DC4FFE">
            <w:instrText xml:space="preserve"> NUMPAGES  \* Arabic </w:instrText>
          </w:r>
          <w:r w:rsidR="00DC4FFE">
            <w:fldChar w:fldCharType="separate"/>
          </w:r>
          <w:r>
            <w:rPr>
              <w:noProof/>
            </w:rPr>
            <w:t>1</w:t>
          </w:r>
          <w:r w:rsidR="00DC4FFE">
            <w:rPr>
              <w:noProof/>
            </w:rPr>
            <w:fldChar w:fldCharType="end"/>
          </w:r>
          <w:r>
            <w:t xml:space="preserve">  </w:t>
          </w:r>
        </w:p>
      </w:tc>
    </w:tr>
  </w:tbl>
  <w:p w14:paraId="0797A017" w14:textId="77777777" w:rsidR="00FB56FE" w:rsidRDefault="00FB56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69E21" w14:textId="77777777" w:rsidR="00FB56FE" w:rsidRDefault="00FB56FE" w:rsidP="00C40A36">
      <w:pPr>
        <w:spacing w:after="0"/>
      </w:pPr>
      <w:r>
        <w:separator/>
      </w:r>
    </w:p>
  </w:footnote>
  <w:footnote w:type="continuationSeparator" w:id="0">
    <w:p w14:paraId="6D4E5C71" w14:textId="77777777" w:rsidR="00FB56FE" w:rsidRDefault="00FB56FE" w:rsidP="00C40A36">
      <w:pPr>
        <w:spacing w:after="0"/>
      </w:pPr>
      <w:r>
        <w:continuationSeparator/>
      </w:r>
    </w:p>
  </w:footnote>
  <w:footnote w:id="1">
    <w:p w14:paraId="69B8564C" w14:textId="16CD3E39" w:rsidR="00FB56FE" w:rsidRPr="00FB3189" w:rsidRDefault="00FB56FE">
      <w:pPr>
        <w:pStyle w:val="FootnoteText"/>
        <w:rPr>
          <w:lang w:val="en-GB"/>
        </w:rPr>
      </w:pPr>
      <w:r>
        <w:rPr>
          <w:rStyle w:val="FootnoteReference"/>
        </w:rPr>
        <w:footnoteRef/>
      </w:r>
      <w:r>
        <w:t xml:space="preserve"> </w:t>
      </w:r>
      <w:r w:rsidRPr="00FB3189">
        <w:rPr>
          <w:lang w:val="en-GB"/>
        </w:rPr>
        <w:t xml:space="preserve">International Conference </w:t>
      </w:r>
      <w:r>
        <w:rPr>
          <w:lang w:val="en-GB"/>
        </w:rPr>
        <w:t>o</w:t>
      </w:r>
      <w:r w:rsidRPr="00FB3189">
        <w:rPr>
          <w:lang w:val="en-GB"/>
        </w:rPr>
        <w:t xml:space="preserve">n Harmonisation </w:t>
      </w:r>
      <w:r>
        <w:rPr>
          <w:lang w:val="en-GB"/>
        </w:rPr>
        <w:t>o</w:t>
      </w:r>
      <w:r w:rsidRPr="00FB3189">
        <w:rPr>
          <w:lang w:val="en-GB"/>
        </w:rPr>
        <w:t xml:space="preserve">f Technical Requirements </w:t>
      </w:r>
      <w:r>
        <w:rPr>
          <w:lang w:val="en-GB"/>
        </w:rPr>
        <w:t>f</w:t>
      </w:r>
      <w:r w:rsidRPr="00FB3189">
        <w:rPr>
          <w:lang w:val="en-GB"/>
        </w:rPr>
        <w:t xml:space="preserve">or Registration </w:t>
      </w:r>
      <w:r>
        <w:rPr>
          <w:lang w:val="en-GB"/>
        </w:rPr>
        <w:t>o</w:t>
      </w:r>
      <w:r w:rsidRPr="00FB3189">
        <w:rPr>
          <w:lang w:val="en-GB"/>
        </w:rPr>
        <w:t xml:space="preserve">f Pharmaceuticals </w:t>
      </w:r>
      <w:r>
        <w:rPr>
          <w:lang w:val="en-GB"/>
        </w:rPr>
        <w:t>f</w:t>
      </w:r>
      <w:r w:rsidRPr="00FB3189">
        <w:rPr>
          <w:lang w:val="en-GB"/>
        </w:rPr>
        <w:t xml:space="preserve">or Human </w:t>
      </w:r>
      <w:proofErr w:type="gramStart"/>
      <w:r w:rsidRPr="00FB3189">
        <w:rPr>
          <w:lang w:val="en-GB"/>
        </w:rPr>
        <w:t xml:space="preserve">Use </w:t>
      </w:r>
      <w:r>
        <w:rPr>
          <w:lang w:val="en-GB"/>
        </w:rPr>
        <w:t>:</w:t>
      </w:r>
      <w:proofErr w:type="gramEnd"/>
      <w:r>
        <w:rPr>
          <w:lang w:val="en-GB"/>
        </w:rPr>
        <w:t xml:space="preserve"> </w:t>
      </w:r>
      <w:r>
        <w:rPr>
          <w:bCs/>
          <w:lang w:val="en-GB"/>
        </w:rPr>
        <w:t>ICH</w:t>
      </w:r>
      <w:r w:rsidRPr="00FB3189">
        <w:rPr>
          <w:bCs/>
          <w:lang w:val="en-GB"/>
        </w:rPr>
        <w:t xml:space="preserve"> Harmonised Tripartite Guideline </w:t>
      </w:r>
      <w:r>
        <w:rPr>
          <w:lang w:val="en-GB"/>
        </w:rPr>
        <w:t xml:space="preserve">- </w:t>
      </w:r>
      <w:r w:rsidRPr="00FB3189">
        <w:rPr>
          <w:bCs/>
          <w:lang w:val="en-GB"/>
        </w:rPr>
        <w:t>Impuriti</w:t>
      </w:r>
      <w:r>
        <w:rPr>
          <w:bCs/>
          <w:lang w:val="en-GB"/>
        </w:rPr>
        <w:t xml:space="preserve">es In New Drug Products Q3b(R2); </w:t>
      </w:r>
      <w:r w:rsidRPr="00FB3189">
        <w:rPr>
          <w:lang w:val="en-GB"/>
        </w:rPr>
        <w:t xml:space="preserve">Current </w:t>
      </w:r>
      <w:r w:rsidRPr="00FB3189">
        <w:rPr>
          <w:i/>
          <w:iCs/>
          <w:lang w:val="en-GB"/>
        </w:rPr>
        <w:t xml:space="preserve">Step 4 </w:t>
      </w:r>
      <w:r>
        <w:rPr>
          <w:lang w:val="en-GB"/>
        </w:rPr>
        <w:t>Version dated 2 June 2006.</w:t>
      </w:r>
    </w:p>
  </w:footnote>
  <w:footnote w:id="2">
    <w:p w14:paraId="4FC05559" w14:textId="6F5B03E1" w:rsidR="00FB56FE" w:rsidRPr="00D27A22" w:rsidRDefault="00FB56FE" w:rsidP="00FB56FE">
      <w:pPr>
        <w:pStyle w:val="FootnoteText"/>
        <w:rPr>
          <w:rStyle w:val="FootnoteTextChar"/>
        </w:rPr>
      </w:pPr>
      <w:r>
        <w:rPr>
          <w:rStyle w:val="FootnoteReference"/>
        </w:rPr>
        <w:footnoteRef/>
      </w:r>
      <w:r>
        <w:t xml:space="preserve"> </w:t>
      </w:r>
      <w:r w:rsidRPr="00D27A22">
        <w:rPr>
          <w:rStyle w:val="FootnoteTextChar"/>
        </w:rPr>
        <w:t xml:space="preserve">International Conference on Harmonisation of Technical Requirements for Registration of Pharmaceuticals for Human Use; ICH Harmonised Tripartite Guideline: Guidance on </w:t>
      </w:r>
      <w:proofErr w:type="spellStart"/>
      <w:r w:rsidRPr="00D27A22">
        <w:rPr>
          <w:rStyle w:val="FootnoteTextChar"/>
        </w:rPr>
        <w:t>Genotoxicity</w:t>
      </w:r>
      <w:proofErr w:type="spellEnd"/>
      <w:r w:rsidRPr="00D27A22">
        <w:rPr>
          <w:rStyle w:val="FootnoteTextChar"/>
        </w:rPr>
        <w:t xml:space="preserve"> Testing and Data Interpretation for Pharmaceuticals Intended for Human Use </w:t>
      </w:r>
      <w:proofErr w:type="gramStart"/>
      <w:r w:rsidRPr="00D27A22">
        <w:rPr>
          <w:rStyle w:val="FootnoteTextChar"/>
        </w:rPr>
        <w:t>S2(</w:t>
      </w:r>
      <w:proofErr w:type="gramEnd"/>
      <w:r w:rsidRPr="00D27A22">
        <w:rPr>
          <w:rStyle w:val="FootnoteTextChar"/>
        </w:rPr>
        <w:t>R1). Current Step 4 version dated 9 November 2011</w:t>
      </w:r>
    </w:p>
  </w:footnote>
  <w:footnote w:id="3">
    <w:p w14:paraId="20971F2F" w14:textId="48670FB6" w:rsidR="00FB56FE" w:rsidRPr="002815E4" w:rsidRDefault="00FB56FE" w:rsidP="00FB56FE">
      <w:pPr>
        <w:pStyle w:val="FootnoteText"/>
        <w:rPr>
          <w:lang w:val="en-GB"/>
        </w:rPr>
      </w:pPr>
      <w:r>
        <w:rPr>
          <w:rStyle w:val="FootnoteReference"/>
        </w:rPr>
        <w:footnoteRef/>
      </w:r>
      <w:r>
        <w:t xml:space="preserve"> </w:t>
      </w:r>
      <w:proofErr w:type="spellStart"/>
      <w:r w:rsidRPr="00D27A22">
        <w:t>Hardie</w:t>
      </w:r>
      <w:proofErr w:type="spellEnd"/>
      <w:r w:rsidRPr="00D27A22">
        <w:t xml:space="preserve"> LJ (2008) </w:t>
      </w:r>
      <w:proofErr w:type="gramStart"/>
      <w:r w:rsidRPr="00D27A22">
        <w:t>The</w:t>
      </w:r>
      <w:proofErr w:type="gramEnd"/>
      <w:r w:rsidRPr="00D27A22">
        <w:t xml:space="preserve"> </w:t>
      </w:r>
      <w:proofErr w:type="spellStart"/>
      <w:r w:rsidRPr="00D27A22">
        <w:t>Genotoxicity</w:t>
      </w:r>
      <w:proofErr w:type="spellEnd"/>
      <w:r w:rsidRPr="00D27A22">
        <w:t xml:space="preserve"> of Bile Acids. In: Jenkins G and </w:t>
      </w:r>
      <w:proofErr w:type="spellStart"/>
      <w:r w:rsidRPr="00D27A22">
        <w:t>Hardie</w:t>
      </w:r>
      <w:proofErr w:type="spellEnd"/>
      <w:r w:rsidRPr="00D27A22">
        <w:t xml:space="preserve"> LJ, ed. Issues in Toxicology, Bile Acids: Toxicology and Bioactivity</w:t>
      </w:r>
      <w:proofErr w:type="gramStart"/>
      <w:r w:rsidRPr="00D27A22">
        <w:t>,.</w:t>
      </w:r>
      <w:proofErr w:type="gramEnd"/>
      <w:r w:rsidRPr="00D27A22">
        <w:t xml:space="preserve"> 4th ed. Leeds, UK: Royal Society of Chemistry. pp. 72–83.</w:t>
      </w:r>
    </w:p>
  </w:footnote>
  <w:footnote w:id="4">
    <w:p w14:paraId="60941E78" w14:textId="51FFBAA5" w:rsidR="00FB56FE" w:rsidRPr="00D27A22" w:rsidRDefault="00FB56FE" w:rsidP="00FB56FE">
      <w:pPr>
        <w:pStyle w:val="FootnoteText"/>
      </w:pPr>
      <w:r>
        <w:rPr>
          <w:rStyle w:val="FootnoteReference"/>
        </w:rPr>
        <w:footnoteRef/>
      </w:r>
      <w:r>
        <w:t xml:space="preserve"> </w:t>
      </w:r>
      <w:proofErr w:type="gramStart"/>
      <w:r w:rsidRPr="00D27A22">
        <w:t xml:space="preserve">Jolly AJ, Wild CP &amp; </w:t>
      </w:r>
      <w:proofErr w:type="spellStart"/>
      <w:r w:rsidRPr="00D27A22">
        <w:t>Hardie</w:t>
      </w:r>
      <w:proofErr w:type="spellEnd"/>
      <w:r w:rsidRPr="00D27A22">
        <w:t xml:space="preserve"> LJ (2004).</w:t>
      </w:r>
      <w:proofErr w:type="gramEnd"/>
      <w:r w:rsidRPr="00D27A22">
        <w:t xml:space="preserve"> Acid and bile salts induce DNA damage in human oesophageal cell lines. </w:t>
      </w:r>
      <w:proofErr w:type="gramStart"/>
      <w:r w:rsidRPr="00D27A22">
        <w:rPr>
          <w:i/>
        </w:rPr>
        <w:t>Mutagenesis.</w:t>
      </w:r>
      <w:proofErr w:type="gramEnd"/>
      <w:r w:rsidRPr="00D27A22">
        <w:t xml:space="preserve"> </w:t>
      </w:r>
      <w:r w:rsidRPr="00D27A22">
        <w:rPr>
          <w:b/>
        </w:rPr>
        <w:t>19:</w:t>
      </w:r>
      <w:r w:rsidRPr="00D27A22">
        <w:t xml:space="preserve"> 319–324.</w:t>
      </w:r>
    </w:p>
  </w:footnote>
  <w:footnote w:id="5">
    <w:p w14:paraId="2D61DDFA" w14:textId="49B9056B" w:rsidR="00FB56FE" w:rsidRPr="00D27A22" w:rsidRDefault="00FB56FE" w:rsidP="00FB56FE">
      <w:pPr>
        <w:pStyle w:val="FootnoteText"/>
      </w:pPr>
      <w:r>
        <w:rPr>
          <w:rStyle w:val="FootnoteReference"/>
        </w:rPr>
        <w:footnoteRef/>
      </w:r>
      <w:r>
        <w:t xml:space="preserve"> </w:t>
      </w:r>
      <w:proofErr w:type="spellStart"/>
      <w:r w:rsidRPr="00D27A22">
        <w:t>Glinghammar</w:t>
      </w:r>
      <w:proofErr w:type="spellEnd"/>
      <w:r w:rsidRPr="00D27A22">
        <w:t xml:space="preserve"> B, Inoue H &amp; Rafter JJ (2002) </w:t>
      </w:r>
      <w:proofErr w:type="spellStart"/>
      <w:r w:rsidRPr="00D27A22">
        <w:t>Deoxycholic</w:t>
      </w:r>
      <w:proofErr w:type="spellEnd"/>
      <w:r w:rsidRPr="00D27A22">
        <w:t xml:space="preserve"> acid causes DNA damage in colonic cells with subsequent induction of caspases, COX-2 promoter activity and the transcription factors NF-kB and AP-1. </w:t>
      </w:r>
      <w:proofErr w:type="gramStart"/>
      <w:r w:rsidRPr="00D27A22">
        <w:rPr>
          <w:i/>
        </w:rPr>
        <w:t>Carcinogenesis.</w:t>
      </w:r>
      <w:proofErr w:type="gramEnd"/>
      <w:r w:rsidRPr="00D27A22">
        <w:t xml:space="preserve"> </w:t>
      </w:r>
      <w:r w:rsidRPr="00D27A22">
        <w:rPr>
          <w:b/>
        </w:rPr>
        <w:t>23:</w:t>
      </w:r>
      <w:r w:rsidRPr="00D27A22">
        <w:t xml:space="preserve"> 839–845.</w:t>
      </w:r>
    </w:p>
  </w:footnote>
  <w:footnote w:id="6">
    <w:p w14:paraId="1E8D8761" w14:textId="20BE1907" w:rsidR="00FB56FE" w:rsidRPr="00450042" w:rsidRDefault="00FB56FE" w:rsidP="00FB56FE">
      <w:pPr>
        <w:pStyle w:val="FootnoteText"/>
      </w:pPr>
      <w:r>
        <w:rPr>
          <w:rStyle w:val="FootnoteReference"/>
        </w:rPr>
        <w:footnoteRef/>
      </w:r>
      <w:r>
        <w:t xml:space="preserve"> </w:t>
      </w:r>
      <w:r w:rsidRPr="00450042">
        <w:t xml:space="preserve">Jenkins GJ, D’Souza FR, </w:t>
      </w:r>
      <w:proofErr w:type="spellStart"/>
      <w:r w:rsidRPr="00450042">
        <w:t>Suzen</w:t>
      </w:r>
      <w:proofErr w:type="spellEnd"/>
      <w:r w:rsidRPr="00450042">
        <w:t xml:space="preserve"> SH, </w:t>
      </w:r>
      <w:proofErr w:type="spellStart"/>
      <w:r w:rsidRPr="00450042">
        <w:t>Eltahir</w:t>
      </w:r>
      <w:proofErr w:type="spellEnd"/>
      <w:r w:rsidRPr="00450042">
        <w:t xml:space="preserve"> ZS, James SA, Parry JM, Griffiths PA &amp; Baxter JN (2007) </w:t>
      </w:r>
      <w:proofErr w:type="spellStart"/>
      <w:r w:rsidRPr="00450042">
        <w:t>Deoxycholic</w:t>
      </w:r>
      <w:proofErr w:type="spellEnd"/>
      <w:r w:rsidRPr="00450042">
        <w:t xml:space="preserve"> acid at neutral and acid pH, is </w:t>
      </w:r>
      <w:proofErr w:type="spellStart"/>
      <w:r w:rsidRPr="00450042">
        <w:t>genotoxic</w:t>
      </w:r>
      <w:proofErr w:type="spellEnd"/>
      <w:r w:rsidRPr="00450042">
        <w:t xml:space="preserve"> to oesophageal cells through the induction of ROS: The potential role of anti-oxidants in Barrett's oesophagus. </w:t>
      </w:r>
      <w:proofErr w:type="gramStart"/>
      <w:r w:rsidRPr="00450042">
        <w:rPr>
          <w:i/>
        </w:rPr>
        <w:t>Carcinogenesis.</w:t>
      </w:r>
      <w:proofErr w:type="gramEnd"/>
      <w:r w:rsidRPr="00450042">
        <w:t xml:space="preserve"> </w:t>
      </w:r>
      <w:r w:rsidRPr="00450042">
        <w:rPr>
          <w:b/>
        </w:rPr>
        <w:t>28:</w:t>
      </w:r>
      <w:r w:rsidRPr="00450042">
        <w:t xml:space="preserve"> 136–42.</w:t>
      </w:r>
    </w:p>
  </w:footnote>
  <w:footnote w:id="7">
    <w:p w14:paraId="368F599F" w14:textId="60984898" w:rsidR="00FB56FE" w:rsidRPr="002815E4" w:rsidRDefault="00FB56FE">
      <w:pPr>
        <w:pStyle w:val="FootnoteText"/>
        <w:rPr>
          <w:lang w:val="en-GB"/>
        </w:rPr>
      </w:pPr>
      <w:r>
        <w:rPr>
          <w:rStyle w:val="FootnoteReference"/>
        </w:rPr>
        <w:footnoteRef/>
      </w:r>
      <w:r>
        <w:t xml:space="preserve"> </w:t>
      </w:r>
      <w:r w:rsidRPr="00D27A22">
        <w:rPr>
          <w:rStyle w:val="FootnoteTextChar"/>
        </w:rPr>
        <w:t>International Conference on Harmonisation of Technical Requirements for Registration of Pharmaceuticals for Human Use; ICH Harmonised Tripartite Guideline:</w:t>
      </w:r>
      <w:r>
        <w:rPr>
          <w:rStyle w:val="FootnoteTextChar"/>
        </w:rPr>
        <w:t xml:space="preserve"> </w:t>
      </w:r>
      <w:r w:rsidRPr="00450042">
        <w:rPr>
          <w:bCs/>
          <w:lang w:val="en-GB"/>
        </w:rPr>
        <w:t xml:space="preserve">Guideline </w:t>
      </w:r>
      <w:r>
        <w:rPr>
          <w:bCs/>
          <w:lang w:val="en-GB"/>
        </w:rPr>
        <w:t>on the need f</w:t>
      </w:r>
      <w:r w:rsidRPr="00450042">
        <w:rPr>
          <w:bCs/>
          <w:lang w:val="en-GB"/>
        </w:rPr>
        <w:t xml:space="preserve">or Carcinogenicity Studies </w:t>
      </w:r>
      <w:r>
        <w:rPr>
          <w:bCs/>
          <w:lang w:val="en-GB"/>
        </w:rPr>
        <w:t xml:space="preserve">of Pharmaceuticals </w:t>
      </w:r>
      <w:r w:rsidRPr="00450042">
        <w:rPr>
          <w:bCs/>
          <w:lang w:val="en-GB"/>
        </w:rPr>
        <w:t>S1a</w:t>
      </w:r>
      <w:r>
        <w:rPr>
          <w:b/>
          <w:bCs/>
          <w:lang w:val="en-GB"/>
        </w:rPr>
        <w:t xml:space="preserve">. </w:t>
      </w:r>
      <w:r w:rsidRPr="00450042">
        <w:rPr>
          <w:lang w:val="en-GB"/>
        </w:rPr>
        <w:t xml:space="preserve">Current </w:t>
      </w:r>
      <w:r w:rsidRPr="00450042">
        <w:rPr>
          <w:i/>
          <w:iCs/>
          <w:lang w:val="en-GB"/>
        </w:rPr>
        <w:t xml:space="preserve">Step 4 </w:t>
      </w:r>
      <w:r>
        <w:rPr>
          <w:lang w:val="en-GB"/>
        </w:rPr>
        <w:t>version dated 29 November 1995.</w:t>
      </w:r>
    </w:p>
  </w:footnote>
  <w:footnote w:id="8">
    <w:p w14:paraId="12CA6D15" w14:textId="6061CFCD" w:rsidR="00FB56FE" w:rsidRPr="0095684F" w:rsidRDefault="00FB56FE">
      <w:pPr>
        <w:pStyle w:val="FootnoteText"/>
        <w:rPr>
          <w:lang w:val="en-GB"/>
        </w:rPr>
      </w:pPr>
      <w:r>
        <w:rPr>
          <w:rStyle w:val="FootnoteReference"/>
        </w:rPr>
        <w:footnoteRef/>
      </w:r>
      <w:r>
        <w:t xml:space="preserve"> </w:t>
      </w:r>
      <w:r w:rsidRPr="00CA1832">
        <w:t>International Conference on Harmonisation of Technical Requirements for Registration of Pharmaceuticals for Human Use; ICH Harmonised Tripartite Guideline:</w:t>
      </w:r>
      <w:r>
        <w:t xml:space="preserve"> </w:t>
      </w:r>
      <w:r w:rsidRPr="00CA1832">
        <w:rPr>
          <w:bCs/>
          <w:lang w:val="en-GB"/>
        </w:rPr>
        <w:t xml:space="preserve">Detection </w:t>
      </w:r>
      <w:r>
        <w:rPr>
          <w:bCs/>
          <w:lang w:val="en-GB"/>
        </w:rPr>
        <w:t>o</w:t>
      </w:r>
      <w:r w:rsidRPr="00CA1832">
        <w:rPr>
          <w:bCs/>
          <w:lang w:val="en-GB"/>
        </w:rPr>
        <w:t xml:space="preserve">f Toxicity </w:t>
      </w:r>
      <w:r>
        <w:rPr>
          <w:bCs/>
          <w:lang w:val="en-GB"/>
        </w:rPr>
        <w:t>to Reproduction f</w:t>
      </w:r>
      <w:r w:rsidRPr="00CA1832">
        <w:rPr>
          <w:bCs/>
          <w:lang w:val="en-GB"/>
        </w:rPr>
        <w:t xml:space="preserve">or Medicinal Products </w:t>
      </w:r>
      <w:r>
        <w:rPr>
          <w:bCs/>
          <w:lang w:val="en-GB"/>
        </w:rPr>
        <w:t>and</w:t>
      </w:r>
      <w:r w:rsidRPr="00CA1832">
        <w:rPr>
          <w:bCs/>
          <w:lang w:val="en-GB"/>
        </w:rPr>
        <w:t xml:space="preserve"> Toxicity </w:t>
      </w:r>
      <w:r>
        <w:rPr>
          <w:bCs/>
          <w:lang w:val="en-GB"/>
        </w:rPr>
        <w:t>t</w:t>
      </w:r>
      <w:r w:rsidRPr="00CA1832">
        <w:rPr>
          <w:bCs/>
          <w:lang w:val="en-GB"/>
        </w:rPr>
        <w:t>o Male Fertility</w:t>
      </w:r>
      <w:r w:rsidRPr="00CA1832">
        <w:rPr>
          <w:b/>
          <w:bCs/>
          <w:lang w:val="en-GB"/>
        </w:rPr>
        <w:t xml:space="preserve"> </w:t>
      </w:r>
      <w:proofErr w:type="gramStart"/>
      <w:r w:rsidRPr="00CA1832">
        <w:rPr>
          <w:bCs/>
          <w:lang w:val="en-GB"/>
        </w:rPr>
        <w:t>S5(</w:t>
      </w:r>
      <w:proofErr w:type="gramEnd"/>
      <w:r w:rsidRPr="00CA1832">
        <w:rPr>
          <w:bCs/>
          <w:lang w:val="en-GB"/>
        </w:rPr>
        <w:t>R2).</w:t>
      </w:r>
      <w:r>
        <w:rPr>
          <w:b/>
          <w:bCs/>
          <w:lang w:val="en-GB"/>
        </w:rPr>
        <w:t xml:space="preserve"> </w:t>
      </w:r>
      <w:r w:rsidRPr="00CA1832">
        <w:rPr>
          <w:lang w:val="en-GB"/>
        </w:rPr>
        <w:t xml:space="preserve">Current </w:t>
      </w:r>
      <w:r w:rsidRPr="00CA1832">
        <w:rPr>
          <w:i/>
          <w:iCs/>
          <w:lang w:val="en-GB"/>
        </w:rPr>
        <w:t xml:space="preserve">Step 4 </w:t>
      </w:r>
      <w:r>
        <w:rPr>
          <w:lang w:val="en-GB"/>
        </w:rPr>
        <w:t>version incorporated in November 2005)</w:t>
      </w:r>
    </w:p>
  </w:footnote>
  <w:footnote w:id="9">
    <w:p w14:paraId="346E0A3F" w14:textId="7F571DA2" w:rsidR="00FB56FE" w:rsidRPr="00DE53D4" w:rsidRDefault="00FB56FE">
      <w:pPr>
        <w:pStyle w:val="FootnoteText"/>
        <w:rPr>
          <w:lang w:val="en-GB"/>
        </w:rPr>
      </w:pPr>
      <w:r>
        <w:rPr>
          <w:rStyle w:val="FootnoteReference"/>
        </w:rPr>
        <w:footnoteRef/>
      </w:r>
      <w:r>
        <w:t xml:space="preserve"> </w:t>
      </w:r>
      <w:r w:rsidRPr="00CA1604">
        <w:rPr>
          <w:bCs/>
          <w:lang w:val="en-GB"/>
        </w:rPr>
        <w:t>Australian categorisation system for prescribing medicines in pregnancy</w:t>
      </w:r>
      <w:r w:rsidRPr="00CA1604">
        <w:rPr>
          <w:lang w:val="en-GB"/>
        </w:rPr>
        <w:t xml:space="preserve"> - </w:t>
      </w:r>
      <w:r w:rsidRPr="00CA1604">
        <w:rPr>
          <w:bCs/>
          <w:lang w:val="en-GB"/>
        </w:rPr>
        <w:t>Category B2:</w:t>
      </w:r>
      <w:r>
        <w:rPr>
          <w:b/>
          <w:bCs/>
          <w:lang w:val="en-GB"/>
        </w:rPr>
        <w:t xml:space="preserve"> </w:t>
      </w:r>
      <w:r w:rsidRPr="00E356F6">
        <w:rPr>
          <w:lang w:val="en-GB"/>
        </w:rPr>
        <w:t>Drugs which have been taken by only a limited number of pregnant women and women of childbearing age, without an increase in the frequency of malformation or other direct or indirect harmful effects on the human f</w:t>
      </w:r>
      <w:r>
        <w:rPr>
          <w:lang w:val="en-GB"/>
        </w:rPr>
        <w:t>o</w:t>
      </w:r>
      <w:r w:rsidRPr="00E356F6">
        <w:rPr>
          <w:lang w:val="en-GB"/>
        </w:rPr>
        <w:t>etus having been observed.</w:t>
      </w:r>
      <w:r>
        <w:rPr>
          <w:lang w:val="en-GB"/>
        </w:rPr>
        <w:t xml:space="preserve"> </w:t>
      </w:r>
      <w:r w:rsidRPr="00E356F6">
        <w:rPr>
          <w:lang w:val="en-GB"/>
        </w:rPr>
        <w:t>Studies in animals are inadequate or may be lacking, but available data show no evidence of an increased occurrence of f</w:t>
      </w:r>
      <w:r>
        <w:rPr>
          <w:lang w:val="en-GB"/>
        </w:rPr>
        <w:t>o</w:t>
      </w:r>
      <w:r w:rsidRPr="00E356F6">
        <w:rPr>
          <w:lang w:val="en-GB"/>
        </w:rPr>
        <w:t>etal damage.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BD3FC" w14:textId="77777777" w:rsidR="00FB56FE" w:rsidRDefault="00FB56FE"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57C2" w14:textId="77777777" w:rsidR="00FB56FE" w:rsidRDefault="00FB56FE">
    <w:pPr>
      <w:rPr>
        <w:noProof/>
        <w:lang w:eastAsia="en-AU"/>
      </w:rPr>
    </w:pPr>
    <w:r w:rsidRPr="00347824">
      <w:rPr>
        <w:noProof/>
        <w:lang w:eastAsia="en-AU"/>
      </w:rPr>
      <w:drawing>
        <wp:anchor distT="0" distB="0" distL="114300" distR="114300" simplePos="0" relativeHeight="251659264" behindDoc="1" locked="0" layoutInCell="1" allowOverlap="1" wp14:anchorId="267634C4" wp14:editId="1FD30598">
          <wp:simplePos x="0" y="0"/>
          <wp:positionH relativeFrom="column">
            <wp:posOffset>-1089660</wp:posOffset>
          </wp:positionH>
          <wp:positionV relativeFrom="paragraph">
            <wp:posOffset>-585470</wp:posOffset>
          </wp:positionV>
          <wp:extent cx="7572375" cy="10706100"/>
          <wp:effectExtent l="19050" t="0" r="0" b="0"/>
          <wp:wrapNone/>
          <wp:docPr id="1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3248B84" w14:textId="77777777" w:rsidR="00FB56FE" w:rsidRDefault="00FB56FE" w:rsidP="00593AD1">
    <w:pPr>
      <w:pStyle w:val="HeaderNoLine"/>
    </w:pPr>
    <w:r>
      <w:rPr>
        <w:noProof/>
        <w:lang w:eastAsia="en-AU"/>
      </w:rPr>
      <w:drawing>
        <wp:inline distT="0" distB="0" distL="0" distR="0" wp14:anchorId="7D8A4925" wp14:editId="3D2501BC">
          <wp:extent cx="5400675" cy="7639050"/>
          <wp:effectExtent l="0" t="0" r="9525" b="0"/>
          <wp:docPr id="13" name="Picture 13"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FC258" w14:textId="77777777" w:rsidR="00FB56FE" w:rsidRDefault="00FB56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A5B70" w14:textId="77777777" w:rsidR="00FB56FE" w:rsidRDefault="00FB56FE">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7D1E5" w14:textId="77777777" w:rsidR="00FB56FE" w:rsidRDefault="00FB56FE">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F4F00" w14:textId="77777777" w:rsidR="00FB56FE" w:rsidRDefault="00FB56F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495FF" w14:textId="77777777" w:rsidR="00FB56FE" w:rsidRDefault="00FB56FE"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E8887" w14:textId="77777777" w:rsidR="00FB56FE" w:rsidRDefault="00FB56FE" w:rsidP="006E08B3">
    <w:r>
      <w:t>Therapeutic Goods Administration</w:t>
    </w:r>
  </w:p>
  <w:p w14:paraId="53085C4A" w14:textId="77777777" w:rsidR="00FB56FE" w:rsidRDefault="00FB56FE"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4D9E1314"/>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510947"/>
    <w:multiLevelType w:val="hybridMultilevel"/>
    <w:tmpl w:val="240EB71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6B54B8C"/>
    <w:multiLevelType w:val="hybridMultilevel"/>
    <w:tmpl w:val="E626E724"/>
    <w:lvl w:ilvl="0" w:tplc="50B24778">
      <w:start w:val="1"/>
      <w:numFmt w:val="decimal"/>
      <w:lvlText w:val="1.%1."/>
      <w:lvlJc w:val="left"/>
      <w:pPr>
        <w:ind w:left="644" w:hanging="360"/>
      </w:pPr>
      <w:rPr>
        <w:rFonts w:hint="default"/>
      </w:rPr>
    </w:lvl>
    <w:lvl w:ilvl="1" w:tplc="E8800802">
      <w:start w:val="1"/>
      <w:numFmt w:val="lowerLetter"/>
      <w:lvlText w:val="%2."/>
      <w:lvlJc w:val="left"/>
      <w:pPr>
        <w:ind w:left="1364" w:hanging="360"/>
      </w:pPr>
    </w:lvl>
    <w:lvl w:ilvl="2" w:tplc="85605320">
      <w:start w:val="1"/>
      <w:numFmt w:val="lowerRoman"/>
      <w:lvlText w:val="%3."/>
      <w:lvlJc w:val="right"/>
      <w:pPr>
        <w:ind w:left="2084" w:hanging="180"/>
      </w:pPr>
    </w:lvl>
    <w:lvl w:ilvl="3" w:tplc="8DA2F316" w:tentative="1">
      <w:start w:val="1"/>
      <w:numFmt w:val="decimal"/>
      <w:lvlText w:val="%4."/>
      <w:lvlJc w:val="left"/>
      <w:pPr>
        <w:ind w:left="2804" w:hanging="360"/>
      </w:pPr>
    </w:lvl>
    <w:lvl w:ilvl="4" w:tplc="18468208" w:tentative="1">
      <w:start w:val="1"/>
      <w:numFmt w:val="lowerLetter"/>
      <w:lvlText w:val="%5."/>
      <w:lvlJc w:val="left"/>
      <w:pPr>
        <w:ind w:left="3524" w:hanging="360"/>
      </w:pPr>
    </w:lvl>
    <w:lvl w:ilvl="5" w:tplc="D470802A" w:tentative="1">
      <w:start w:val="1"/>
      <w:numFmt w:val="lowerRoman"/>
      <w:lvlText w:val="%6."/>
      <w:lvlJc w:val="right"/>
      <w:pPr>
        <w:ind w:left="4244" w:hanging="180"/>
      </w:pPr>
    </w:lvl>
    <w:lvl w:ilvl="6" w:tplc="518840D8" w:tentative="1">
      <w:start w:val="1"/>
      <w:numFmt w:val="decimal"/>
      <w:lvlText w:val="%7."/>
      <w:lvlJc w:val="left"/>
      <w:pPr>
        <w:ind w:left="4964" w:hanging="360"/>
      </w:pPr>
    </w:lvl>
    <w:lvl w:ilvl="7" w:tplc="F85C8670" w:tentative="1">
      <w:start w:val="1"/>
      <w:numFmt w:val="lowerLetter"/>
      <w:lvlText w:val="%8."/>
      <w:lvlJc w:val="left"/>
      <w:pPr>
        <w:ind w:left="5684" w:hanging="360"/>
      </w:pPr>
    </w:lvl>
    <w:lvl w:ilvl="8" w:tplc="1CA8AD22" w:tentative="1">
      <w:start w:val="1"/>
      <w:numFmt w:val="lowerRoman"/>
      <w:lvlText w:val="%9."/>
      <w:lvlJc w:val="right"/>
      <w:pPr>
        <w:ind w:left="6404" w:hanging="180"/>
      </w:pPr>
    </w:lvl>
  </w:abstractNum>
  <w:abstractNum w:abstractNumId="9">
    <w:nsid w:val="184C5F76"/>
    <w:multiLevelType w:val="hybridMultilevel"/>
    <w:tmpl w:val="130E65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9297C15"/>
    <w:multiLevelType w:val="hybridMultilevel"/>
    <w:tmpl w:val="08F05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AD1054C"/>
    <w:multiLevelType w:val="hybridMultilevel"/>
    <w:tmpl w:val="9DB25E80"/>
    <w:lvl w:ilvl="0" w:tplc="5EB6C10C">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2">
    <w:nsid w:val="2D38006F"/>
    <w:multiLevelType w:val="hybridMultilevel"/>
    <w:tmpl w:val="A90CD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D9208B4"/>
    <w:multiLevelType w:val="hybridMultilevel"/>
    <w:tmpl w:val="3260E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5">
    <w:nsid w:val="31CE734A"/>
    <w:multiLevelType w:val="hybridMultilevel"/>
    <w:tmpl w:val="79785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7">
    <w:nsid w:val="3E8E081F"/>
    <w:multiLevelType w:val="hybridMultilevel"/>
    <w:tmpl w:val="1174E19A"/>
    <w:lvl w:ilvl="0" w:tplc="0C090001">
      <w:start w:val="1"/>
      <w:numFmt w:val="bullet"/>
      <w:lvlText w:val=""/>
      <w:lvlJc w:val="left"/>
      <w:pPr>
        <w:ind w:left="720" w:hanging="360"/>
      </w:pPr>
      <w:rPr>
        <w:rFonts w:ascii="Symbol" w:hAnsi="Symbol" w:hint="default"/>
      </w:rPr>
    </w:lvl>
    <w:lvl w:ilvl="1" w:tplc="6764D802">
      <w:numFmt w:val="bullet"/>
      <w:lvlText w:val="•"/>
      <w:lvlJc w:val="left"/>
      <w:pPr>
        <w:ind w:left="1440" w:hanging="360"/>
      </w:pPr>
      <w:rPr>
        <w:rFonts w:ascii="Cambria" w:eastAsia="MS Mincho" w:hAnsi="Cambria" w:cstheme="min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7000EF4"/>
    <w:multiLevelType w:val="hybridMultilevel"/>
    <w:tmpl w:val="B34E5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77C7930"/>
    <w:multiLevelType w:val="hybridMultilevel"/>
    <w:tmpl w:val="0CC65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3B6F1B"/>
    <w:multiLevelType w:val="hybridMultilevel"/>
    <w:tmpl w:val="4F9465E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08F6CD5"/>
    <w:multiLevelType w:val="hybridMultilevel"/>
    <w:tmpl w:val="4912B8C8"/>
    <w:lvl w:ilvl="0" w:tplc="16AAD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36253AF"/>
    <w:multiLevelType w:val="hybridMultilevel"/>
    <w:tmpl w:val="CE3C8462"/>
    <w:lvl w:ilvl="0" w:tplc="C2745E4A">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6"/>
  </w:num>
  <w:num w:numId="17">
    <w:abstractNumId w:val="6"/>
  </w:num>
  <w:num w:numId="18">
    <w:abstractNumId w:val="6"/>
  </w:num>
  <w:num w:numId="19">
    <w:abstractNumId w:val="7"/>
  </w:num>
  <w:num w:numId="20">
    <w:abstractNumId w:val="7"/>
  </w:num>
  <w:num w:numId="21">
    <w:abstractNumId w:val="7"/>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19"/>
  </w:num>
  <w:num w:numId="29">
    <w:abstractNumId w:val="10"/>
  </w:num>
  <w:num w:numId="30">
    <w:abstractNumId w:val="4"/>
  </w:num>
  <w:num w:numId="31">
    <w:abstractNumId w:val="13"/>
  </w:num>
  <w:num w:numId="32">
    <w:abstractNumId w:val="20"/>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8"/>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6"/>
  </w:num>
  <w:num w:numId="42">
    <w:abstractNumId w:val="8"/>
  </w:num>
  <w:num w:numId="43">
    <w:abstractNumId w:val="17"/>
  </w:num>
  <w:num w:numId="44">
    <w:abstractNumId w:val="9"/>
  </w:num>
  <w:num w:numId="45">
    <w:abstractNumId w:val="5"/>
  </w:num>
  <w:num w:numId="46">
    <w:abstractNumId w:val="22"/>
  </w:num>
  <w:num w:numId="47">
    <w:abstractNumId w:val="21"/>
  </w:num>
  <w:num w:numId="48">
    <w:abstractNumId w:val="11"/>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Hillman">
    <w15:presenceInfo w15:providerId="Windows Live" w15:userId="3c9ea4507e25e1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E8"/>
    <w:rsid w:val="00002031"/>
    <w:rsid w:val="00003E26"/>
    <w:rsid w:val="00004734"/>
    <w:rsid w:val="00006B22"/>
    <w:rsid w:val="000074E0"/>
    <w:rsid w:val="0001276A"/>
    <w:rsid w:val="0002012C"/>
    <w:rsid w:val="00024110"/>
    <w:rsid w:val="000246AE"/>
    <w:rsid w:val="00025C67"/>
    <w:rsid w:val="00035F20"/>
    <w:rsid w:val="00044772"/>
    <w:rsid w:val="000505BA"/>
    <w:rsid w:val="000530D1"/>
    <w:rsid w:val="0005559E"/>
    <w:rsid w:val="000604D6"/>
    <w:rsid w:val="00062889"/>
    <w:rsid w:val="00065C52"/>
    <w:rsid w:val="00070A4E"/>
    <w:rsid w:val="000734D8"/>
    <w:rsid w:val="00077775"/>
    <w:rsid w:val="00077B98"/>
    <w:rsid w:val="00085765"/>
    <w:rsid w:val="00086ED3"/>
    <w:rsid w:val="00087F2C"/>
    <w:rsid w:val="00090471"/>
    <w:rsid w:val="000965DA"/>
    <w:rsid w:val="00096AA7"/>
    <w:rsid w:val="00097EE8"/>
    <w:rsid w:val="000A3AED"/>
    <w:rsid w:val="000B3532"/>
    <w:rsid w:val="000B3A75"/>
    <w:rsid w:val="000C00C2"/>
    <w:rsid w:val="000C3F35"/>
    <w:rsid w:val="000C690F"/>
    <w:rsid w:val="000D1295"/>
    <w:rsid w:val="000D391B"/>
    <w:rsid w:val="000D3D6D"/>
    <w:rsid w:val="000D4FC7"/>
    <w:rsid w:val="000D6357"/>
    <w:rsid w:val="000D71F8"/>
    <w:rsid w:val="000E4D78"/>
    <w:rsid w:val="000E6196"/>
    <w:rsid w:val="000E7F50"/>
    <w:rsid w:val="000F4869"/>
    <w:rsid w:val="000F5B42"/>
    <w:rsid w:val="000F6E6F"/>
    <w:rsid w:val="0010601F"/>
    <w:rsid w:val="001060B6"/>
    <w:rsid w:val="0010788A"/>
    <w:rsid w:val="00107A31"/>
    <w:rsid w:val="00110E7B"/>
    <w:rsid w:val="00110EA5"/>
    <w:rsid w:val="00112F56"/>
    <w:rsid w:val="00125318"/>
    <w:rsid w:val="001305A2"/>
    <w:rsid w:val="00133238"/>
    <w:rsid w:val="00133A1B"/>
    <w:rsid w:val="00134638"/>
    <w:rsid w:val="0014197B"/>
    <w:rsid w:val="00142EE9"/>
    <w:rsid w:val="001430BD"/>
    <w:rsid w:val="001447CD"/>
    <w:rsid w:val="001501BB"/>
    <w:rsid w:val="00150326"/>
    <w:rsid w:val="001516B1"/>
    <w:rsid w:val="001529D8"/>
    <w:rsid w:val="00152CA4"/>
    <w:rsid w:val="00154EBB"/>
    <w:rsid w:val="00156316"/>
    <w:rsid w:val="00160B3C"/>
    <w:rsid w:val="00161181"/>
    <w:rsid w:val="00162D14"/>
    <w:rsid w:val="00164E1C"/>
    <w:rsid w:val="00165380"/>
    <w:rsid w:val="00165389"/>
    <w:rsid w:val="0016764F"/>
    <w:rsid w:val="00173D51"/>
    <w:rsid w:val="0017533B"/>
    <w:rsid w:val="001765D6"/>
    <w:rsid w:val="0017693F"/>
    <w:rsid w:val="0018110E"/>
    <w:rsid w:val="00181195"/>
    <w:rsid w:val="00181498"/>
    <w:rsid w:val="00181684"/>
    <w:rsid w:val="001843C6"/>
    <w:rsid w:val="001850E0"/>
    <w:rsid w:val="001854EB"/>
    <w:rsid w:val="001A095A"/>
    <w:rsid w:val="001A2158"/>
    <w:rsid w:val="001A3563"/>
    <w:rsid w:val="001A3811"/>
    <w:rsid w:val="001A525F"/>
    <w:rsid w:val="001B09F9"/>
    <w:rsid w:val="001B44CC"/>
    <w:rsid w:val="001B5C90"/>
    <w:rsid w:val="001B6448"/>
    <w:rsid w:val="001C32CD"/>
    <w:rsid w:val="001C745D"/>
    <w:rsid w:val="001C7596"/>
    <w:rsid w:val="001D1864"/>
    <w:rsid w:val="001D2984"/>
    <w:rsid w:val="001E07CF"/>
    <w:rsid w:val="001E59F1"/>
    <w:rsid w:val="001F0D6F"/>
    <w:rsid w:val="001F2CEE"/>
    <w:rsid w:val="001F49EB"/>
    <w:rsid w:val="001F4D92"/>
    <w:rsid w:val="001F68EE"/>
    <w:rsid w:val="001F6CBA"/>
    <w:rsid w:val="00200D78"/>
    <w:rsid w:val="00201D4E"/>
    <w:rsid w:val="0020458D"/>
    <w:rsid w:val="00205574"/>
    <w:rsid w:val="002076C9"/>
    <w:rsid w:val="002111F7"/>
    <w:rsid w:val="00214BB8"/>
    <w:rsid w:val="00220B8A"/>
    <w:rsid w:val="002257F3"/>
    <w:rsid w:val="00226D34"/>
    <w:rsid w:val="00233456"/>
    <w:rsid w:val="002339A5"/>
    <w:rsid w:val="00236125"/>
    <w:rsid w:val="00257848"/>
    <w:rsid w:val="00257CDA"/>
    <w:rsid w:val="00262721"/>
    <w:rsid w:val="00267A75"/>
    <w:rsid w:val="0027084A"/>
    <w:rsid w:val="00273076"/>
    <w:rsid w:val="002815E4"/>
    <w:rsid w:val="00286434"/>
    <w:rsid w:val="00286C59"/>
    <w:rsid w:val="00291957"/>
    <w:rsid w:val="002942D1"/>
    <w:rsid w:val="0029501A"/>
    <w:rsid w:val="002A1360"/>
    <w:rsid w:val="002A3721"/>
    <w:rsid w:val="002A7B10"/>
    <w:rsid w:val="002B1638"/>
    <w:rsid w:val="002B29AC"/>
    <w:rsid w:val="002B2DEE"/>
    <w:rsid w:val="002B3624"/>
    <w:rsid w:val="002C1C25"/>
    <w:rsid w:val="002D0952"/>
    <w:rsid w:val="002E26FD"/>
    <w:rsid w:val="002E40B3"/>
    <w:rsid w:val="002E418C"/>
    <w:rsid w:val="002E42A3"/>
    <w:rsid w:val="002E4C9A"/>
    <w:rsid w:val="002F11F8"/>
    <w:rsid w:val="002F1F30"/>
    <w:rsid w:val="002F3F56"/>
    <w:rsid w:val="002F44B5"/>
    <w:rsid w:val="002F5D98"/>
    <w:rsid w:val="00311AC0"/>
    <w:rsid w:val="003176FC"/>
    <w:rsid w:val="003217EA"/>
    <w:rsid w:val="00323D5F"/>
    <w:rsid w:val="003246CE"/>
    <w:rsid w:val="0032583B"/>
    <w:rsid w:val="00327883"/>
    <w:rsid w:val="00327A0C"/>
    <w:rsid w:val="00327B2A"/>
    <w:rsid w:val="00335504"/>
    <w:rsid w:val="003406AD"/>
    <w:rsid w:val="00340C18"/>
    <w:rsid w:val="00340D22"/>
    <w:rsid w:val="00342D73"/>
    <w:rsid w:val="003439A1"/>
    <w:rsid w:val="003442FD"/>
    <w:rsid w:val="00347824"/>
    <w:rsid w:val="00350567"/>
    <w:rsid w:val="003521E8"/>
    <w:rsid w:val="00370CE3"/>
    <w:rsid w:val="003714E8"/>
    <w:rsid w:val="003728F3"/>
    <w:rsid w:val="00372921"/>
    <w:rsid w:val="0037496E"/>
    <w:rsid w:val="00375819"/>
    <w:rsid w:val="003831E0"/>
    <w:rsid w:val="00383221"/>
    <w:rsid w:val="00384508"/>
    <w:rsid w:val="003845CE"/>
    <w:rsid w:val="00385ABB"/>
    <w:rsid w:val="00386150"/>
    <w:rsid w:val="003874CE"/>
    <w:rsid w:val="00390900"/>
    <w:rsid w:val="00394BD8"/>
    <w:rsid w:val="003A7F6C"/>
    <w:rsid w:val="003B4D60"/>
    <w:rsid w:val="003B7E39"/>
    <w:rsid w:val="003C1154"/>
    <w:rsid w:val="003C25A5"/>
    <w:rsid w:val="003C58DC"/>
    <w:rsid w:val="003D0C3C"/>
    <w:rsid w:val="003D1E62"/>
    <w:rsid w:val="003E07B6"/>
    <w:rsid w:val="003E0B99"/>
    <w:rsid w:val="003E2486"/>
    <w:rsid w:val="003E3208"/>
    <w:rsid w:val="003E32E3"/>
    <w:rsid w:val="003F0B04"/>
    <w:rsid w:val="0040134E"/>
    <w:rsid w:val="00404977"/>
    <w:rsid w:val="00414872"/>
    <w:rsid w:val="004156DB"/>
    <w:rsid w:val="00416522"/>
    <w:rsid w:val="0042295F"/>
    <w:rsid w:val="00423AF4"/>
    <w:rsid w:val="00427A60"/>
    <w:rsid w:val="004334C7"/>
    <w:rsid w:val="00440A2D"/>
    <w:rsid w:val="00441C3F"/>
    <w:rsid w:val="00450042"/>
    <w:rsid w:val="0045162A"/>
    <w:rsid w:val="004549BA"/>
    <w:rsid w:val="00455F59"/>
    <w:rsid w:val="00456361"/>
    <w:rsid w:val="004564A7"/>
    <w:rsid w:val="004569E3"/>
    <w:rsid w:val="004617BF"/>
    <w:rsid w:val="00463658"/>
    <w:rsid w:val="004637A0"/>
    <w:rsid w:val="004637AB"/>
    <w:rsid w:val="00467F59"/>
    <w:rsid w:val="0047031B"/>
    <w:rsid w:val="004722CC"/>
    <w:rsid w:val="004936E4"/>
    <w:rsid w:val="0049388B"/>
    <w:rsid w:val="00494E60"/>
    <w:rsid w:val="0049715E"/>
    <w:rsid w:val="00497487"/>
    <w:rsid w:val="004A6189"/>
    <w:rsid w:val="004A7390"/>
    <w:rsid w:val="004B5BE8"/>
    <w:rsid w:val="004B6EC9"/>
    <w:rsid w:val="004B7B76"/>
    <w:rsid w:val="004C18DC"/>
    <w:rsid w:val="004C239D"/>
    <w:rsid w:val="004C23AC"/>
    <w:rsid w:val="004C2DCA"/>
    <w:rsid w:val="004C5E1D"/>
    <w:rsid w:val="004C61D2"/>
    <w:rsid w:val="004C7BD4"/>
    <w:rsid w:val="004D22F9"/>
    <w:rsid w:val="004D6429"/>
    <w:rsid w:val="004F0C4A"/>
    <w:rsid w:val="004F0F38"/>
    <w:rsid w:val="004F47D6"/>
    <w:rsid w:val="0050186B"/>
    <w:rsid w:val="00501921"/>
    <w:rsid w:val="00504B31"/>
    <w:rsid w:val="005200DF"/>
    <w:rsid w:val="005214D1"/>
    <w:rsid w:val="0052300B"/>
    <w:rsid w:val="00530354"/>
    <w:rsid w:val="0053625B"/>
    <w:rsid w:val="005427B7"/>
    <w:rsid w:val="005434C6"/>
    <w:rsid w:val="00543B39"/>
    <w:rsid w:val="00546154"/>
    <w:rsid w:val="00546A30"/>
    <w:rsid w:val="00550096"/>
    <w:rsid w:val="00555280"/>
    <w:rsid w:val="00557FF9"/>
    <w:rsid w:val="00562327"/>
    <w:rsid w:val="00570061"/>
    <w:rsid w:val="005711D5"/>
    <w:rsid w:val="00576378"/>
    <w:rsid w:val="00577130"/>
    <w:rsid w:val="00577945"/>
    <w:rsid w:val="00577E38"/>
    <w:rsid w:val="005819EC"/>
    <w:rsid w:val="00585322"/>
    <w:rsid w:val="005857C6"/>
    <w:rsid w:val="00592F6E"/>
    <w:rsid w:val="00593AD1"/>
    <w:rsid w:val="00595EEF"/>
    <w:rsid w:val="00597A5B"/>
    <w:rsid w:val="005A68B6"/>
    <w:rsid w:val="005B4652"/>
    <w:rsid w:val="005B74E9"/>
    <w:rsid w:val="005C09C6"/>
    <w:rsid w:val="005C1CCA"/>
    <w:rsid w:val="005C52C2"/>
    <w:rsid w:val="005C5570"/>
    <w:rsid w:val="005C77B3"/>
    <w:rsid w:val="005C79A4"/>
    <w:rsid w:val="005D4EB7"/>
    <w:rsid w:val="005D5442"/>
    <w:rsid w:val="005E1D84"/>
    <w:rsid w:val="005F1DA3"/>
    <w:rsid w:val="005F6BB3"/>
    <w:rsid w:val="00603F32"/>
    <w:rsid w:val="00605AD4"/>
    <w:rsid w:val="00607F11"/>
    <w:rsid w:val="006136D7"/>
    <w:rsid w:val="00613E9E"/>
    <w:rsid w:val="0062130D"/>
    <w:rsid w:val="0062460E"/>
    <w:rsid w:val="00625A6E"/>
    <w:rsid w:val="00632398"/>
    <w:rsid w:val="0063512E"/>
    <w:rsid w:val="00640FC3"/>
    <w:rsid w:val="00642020"/>
    <w:rsid w:val="00642C5F"/>
    <w:rsid w:val="0065106E"/>
    <w:rsid w:val="0065337B"/>
    <w:rsid w:val="0065419D"/>
    <w:rsid w:val="00656FAF"/>
    <w:rsid w:val="006604D8"/>
    <w:rsid w:val="00664A5B"/>
    <w:rsid w:val="0066635D"/>
    <w:rsid w:val="0066735C"/>
    <w:rsid w:val="0067414E"/>
    <w:rsid w:val="006758F1"/>
    <w:rsid w:val="006763D2"/>
    <w:rsid w:val="00680C08"/>
    <w:rsid w:val="00681DE2"/>
    <w:rsid w:val="00684B83"/>
    <w:rsid w:val="006916A0"/>
    <w:rsid w:val="006931B1"/>
    <w:rsid w:val="006A0AED"/>
    <w:rsid w:val="006A15C0"/>
    <w:rsid w:val="006C3E2A"/>
    <w:rsid w:val="006C642F"/>
    <w:rsid w:val="006D03E5"/>
    <w:rsid w:val="006D5D3E"/>
    <w:rsid w:val="006D7759"/>
    <w:rsid w:val="006E08B3"/>
    <w:rsid w:val="006F17AC"/>
    <w:rsid w:val="006F25B8"/>
    <w:rsid w:val="006F5186"/>
    <w:rsid w:val="006F56E1"/>
    <w:rsid w:val="006F572E"/>
    <w:rsid w:val="006F6A8B"/>
    <w:rsid w:val="007046D6"/>
    <w:rsid w:val="00705DB0"/>
    <w:rsid w:val="00717534"/>
    <w:rsid w:val="007211D5"/>
    <w:rsid w:val="00722B57"/>
    <w:rsid w:val="00722BE6"/>
    <w:rsid w:val="00730F8A"/>
    <w:rsid w:val="00734A8F"/>
    <w:rsid w:val="00735A8C"/>
    <w:rsid w:val="00736874"/>
    <w:rsid w:val="0074253D"/>
    <w:rsid w:val="0074429B"/>
    <w:rsid w:val="007447C1"/>
    <w:rsid w:val="007615BC"/>
    <w:rsid w:val="00762F05"/>
    <w:rsid w:val="007652FF"/>
    <w:rsid w:val="00767261"/>
    <w:rsid w:val="00770CAC"/>
    <w:rsid w:val="00770EF1"/>
    <w:rsid w:val="00770F47"/>
    <w:rsid w:val="00773088"/>
    <w:rsid w:val="00773EF7"/>
    <w:rsid w:val="00774E1D"/>
    <w:rsid w:val="007765D8"/>
    <w:rsid w:val="0077675A"/>
    <w:rsid w:val="00780355"/>
    <w:rsid w:val="007819FD"/>
    <w:rsid w:val="00785717"/>
    <w:rsid w:val="00785721"/>
    <w:rsid w:val="00793A59"/>
    <w:rsid w:val="007949C4"/>
    <w:rsid w:val="00794C17"/>
    <w:rsid w:val="007A2C33"/>
    <w:rsid w:val="007B2A1C"/>
    <w:rsid w:val="007B6132"/>
    <w:rsid w:val="007B6E9F"/>
    <w:rsid w:val="007C1216"/>
    <w:rsid w:val="007C1AF7"/>
    <w:rsid w:val="007C6B9B"/>
    <w:rsid w:val="007D0468"/>
    <w:rsid w:val="007E6E37"/>
    <w:rsid w:val="007E7105"/>
    <w:rsid w:val="007F1ADC"/>
    <w:rsid w:val="007F2993"/>
    <w:rsid w:val="007F7BDA"/>
    <w:rsid w:val="00805D27"/>
    <w:rsid w:val="008067B7"/>
    <w:rsid w:val="00806DCB"/>
    <w:rsid w:val="00812B62"/>
    <w:rsid w:val="00813D6C"/>
    <w:rsid w:val="0081555D"/>
    <w:rsid w:val="00821776"/>
    <w:rsid w:val="00822418"/>
    <w:rsid w:val="008321F5"/>
    <w:rsid w:val="00832369"/>
    <w:rsid w:val="00834660"/>
    <w:rsid w:val="00836BC2"/>
    <w:rsid w:val="008417FB"/>
    <w:rsid w:val="0085156D"/>
    <w:rsid w:val="0085641B"/>
    <w:rsid w:val="00857136"/>
    <w:rsid w:val="00875A6B"/>
    <w:rsid w:val="00875AB1"/>
    <w:rsid w:val="00882EE9"/>
    <w:rsid w:val="00885B11"/>
    <w:rsid w:val="00886D15"/>
    <w:rsid w:val="00887DD8"/>
    <w:rsid w:val="00890974"/>
    <w:rsid w:val="00891BA9"/>
    <w:rsid w:val="00896018"/>
    <w:rsid w:val="008960DD"/>
    <w:rsid w:val="0089635C"/>
    <w:rsid w:val="008A2B9D"/>
    <w:rsid w:val="008A3D9F"/>
    <w:rsid w:val="008A5E0B"/>
    <w:rsid w:val="008A6D59"/>
    <w:rsid w:val="008B4B03"/>
    <w:rsid w:val="008B596F"/>
    <w:rsid w:val="008B7C4D"/>
    <w:rsid w:val="008C159F"/>
    <w:rsid w:val="008C1623"/>
    <w:rsid w:val="008C1850"/>
    <w:rsid w:val="008C1A05"/>
    <w:rsid w:val="008C3EE4"/>
    <w:rsid w:val="008C492B"/>
    <w:rsid w:val="008C4F71"/>
    <w:rsid w:val="008C51A9"/>
    <w:rsid w:val="008E7846"/>
    <w:rsid w:val="008E785B"/>
    <w:rsid w:val="008F0082"/>
    <w:rsid w:val="008F02E5"/>
    <w:rsid w:val="008F1CCC"/>
    <w:rsid w:val="008F2967"/>
    <w:rsid w:val="008F565D"/>
    <w:rsid w:val="008F6943"/>
    <w:rsid w:val="00902A21"/>
    <w:rsid w:val="00920330"/>
    <w:rsid w:val="009219D7"/>
    <w:rsid w:val="00922D53"/>
    <w:rsid w:val="00923B70"/>
    <w:rsid w:val="0092404A"/>
    <w:rsid w:val="00924482"/>
    <w:rsid w:val="00930237"/>
    <w:rsid w:val="00932FD9"/>
    <w:rsid w:val="00937C17"/>
    <w:rsid w:val="00940A89"/>
    <w:rsid w:val="00944250"/>
    <w:rsid w:val="00946EA5"/>
    <w:rsid w:val="00950372"/>
    <w:rsid w:val="00952E04"/>
    <w:rsid w:val="00955FD8"/>
    <w:rsid w:val="0095684F"/>
    <w:rsid w:val="00962979"/>
    <w:rsid w:val="00963C08"/>
    <w:rsid w:val="009752A5"/>
    <w:rsid w:val="00983356"/>
    <w:rsid w:val="0098585A"/>
    <w:rsid w:val="00986932"/>
    <w:rsid w:val="00995DBD"/>
    <w:rsid w:val="009A4CED"/>
    <w:rsid w:val="009A690D"/>
    <w:rsid w:val="009A6CCF"/>
    <w:rsid w:val="009B1669"/>
    <w:rsid w:val="009B1D12"/>
    <w:rsid w:val="009B31D7"/>
    <w:rsid w:val="009B416B"/>
    <w:rsid w:val="009B4281"/>
    <w:rsid w:val="009C1924"/>
    <w:rsid w:val="009C4A8D"/>
    <w:rsid w:val="009C4BD5"/>
    <w:rsid w:val="009D23EF"/>
    <w:rsid w:val="009D3DC1"/>
    <w:rsid w:val="009D7B77"/>
    <w:rsid w:val="009E0BB0"/>
    <w:rsid w:val="009E3FBB"/>
    <w:rsid w:val="009E5744"/>
    <w:rsid w:val="009E7C30"/>
    <w:rsid w:val="009F6734"/>
    <w:rsid w:val="009F7353"/>
    <w:rsid w:val="00A003B0"/>
    <w:rsid w:val="00A04F85"/>
    <w:rsid w:val="00A05FA4"/>
    <w:rsid w:val="00A06CD1"/>
    <w:rsid w:val="00A102E4"/>
    <w:rsid w:val="00A1287F"/>
    <w:rsid w:val="00A12C42"/>
    <w:rsid w:val="00A13343"/>
    <w:rsid w:val="00A14DF7"/>
    <w:rsid w:val="00A20462"/>
    <w:rsid w:val="00A263C8"/>
    <w:rsid w:val="00A3246D"/>
    <w:rsid w:val="00A36FA7"/>
    <w:rsid w:val="00A37EBA"/>
    <w:rsid w:val="00A435FF"/>
    <w:rsid w:val="00A44DDB"/>
    <w:rsid w:val="00A475B7"/>
    <w:rsid w:val="00A47AF7"/>
    <w:rsid w:val="00A47C3E"/>
    <w:rsid w:val="00A50226"/>
    <w:rsid w:val="00A5673C"/>
    <w:rsid w:val="00A60BAD"/>
    <w:rsid w:val="00A62041"/>
    <w:rsid w:val="00A80B5B"/>
    <w:rsid w:val="00A84CA0"/>
    <w:rsid w:val="00A84E36"/>
    <w:rsid w:val="00A862F3"/>
    <w:rsid w:val="00A8756B"/>
    <w:rsid w:val="00A91576"/>
    <w:rsid w:val="00A93AF0"/>
    <w:rsid w:val="00A95595"/>
    <w:rsid w:val="00A964D1"/>
    <w:rsid w:val="00AA0A65"/>
    <w:rsid w:val="00AA0ED0"/>
    <w:rsid w:val="00AA42DC"/>
    <w:rsid w:val="00AB4FAE"/>
    <w:rsid w:val="00AC2B40"/>
    <w:rsid w:val="00AC2BB2"/>
    <w:rsid w:val="00AC2C3C"/>
    <w:rsid w:val="00AC512D"/>
    <w:rsid w:val="00AD0083"/>
    <w:rsid w:val="00AD1248"/>
    <w:rsid w:val="00AD2D59"/>
    <w:rsid w:val="00AD3935"/>
    <w:rsid w:val="00AE65EB"/>
    <w:rsid w:val="00AE67A7"/>
    <w:rsid w:val="00AE7F80"/>
    <w:rsid w:val="00AF1AD8"/>
    <w:rsid w:val="00AF1D94"/>
    <w:rsid w:val="00AF5CEC"/>
    <w:rsid w:val="00AF60C5"/>
    <w:rsid w:val="00B009C6"/>
    <w:rsid w:val="00B01548"/>
    <w:rsid w:val="00B03A6C"/>
    <w:rsid w:val="00B046C3"/>
    <w:rsid w:val="00B07441"/>
    <w:rsid w:val="00B13EBD"/>
    <w:rsid w:val="00B21D29"/>
    <w:rsid w:val="00B25034"/>
    <w:rsid w:val="00B25C13"/>
    <w:rsid w:val="00B33588"/>
    <w:rsid w:val="00B33863"/>
    <w:rsid w:val="00B37D17"/>
    <w:rsid w:val="00B4175E"/>
    <w:rsid w:val="00B452CE"/>
    <w:rsid w:val="00B54C25"/>
    <w:rsid w:val="00B60D4C"/>
    <w:rsid w:val="00B7188E"/>
    <w:rsid w:val="00B743F0"/>
    <w:rsid w:val="00B76B91"/>
    <w:rsid w:val="00B77297"/>
    <w:rsid w:val="00B77AC3"/>
    <w:rsid w:val="00B77EB1"/>
    <w:rsid w:val="00B811C6"/>
    <w:rsid w:val="00B855B0"/>
    <w:rsid w:val="00B8587E"/>
    <w:rsid w:val="00B92E08"/>
    <w:rsid w:val="00B943EF"/>
    <w:rsid w:val="00B94B6A"/>
    <w:rsid w:val="00BA457D"/>
    <w:rsid w:val="00BB067C"/>
    <w:rsid w:val="00BB2C2E"/>
    <w:rsid w:val="00BB343F"/>
    <w:rsid w:val="00BB75B1"/>
    <w:rsid w:val="00BB7CD3"/>
    <w:rsid w:val="00BC152B"/>
    <w:rsid w:val="00BC622A"/>
    <w:rsid w:val="00BE0A78"/>
    <w:rsid w:val="00BE2D93"/>
    <w:rsid w:val="00BE7213"/>
    <w:rsid w:val="00BE79F0"/>
    <w:rsid w:val="00BF046D"/>
    <w:rsid w:val="00BF0546"/>
    <w:rsid w:val="00BF1190"/>
    <w:rsid w:val="00BF5D04"/>
    <w:rsid w:val="00C009AA"/>
    <w:rsid w:val="00C00F35"/>
    <w:rsid w:val="00C1164D"/>
    <w:rsid w:val="00C14A85"/>
    <w:rsid w:val="00C16861"/>
    <w:rsid w:val="00C2657C"/>
    <w:rsid w:val="00C32988"/>
    <w:rsid w:val="00C33139"/>
    <w:rsid w:val="00C346AB"/>
    <w:rsid w:val="00C35D27"/>
    <w:rsid w:val="00C404A6"/>
    <w:rsid w:val="00C40A36"/>
    <w:rsid w:val="00C44419"/>
    <w:rsid w:val="00C45E7B"/>
    <w:rsid w:val="00C469F0"/>
    <w:rsid w:val="00C471B1"/>
    <w:rsid w:val="00C47F5C"/>
    <w:rsid w:val="00C504E7"/>
    <w:rsid w:val="00C522F2"/>
    <w:rsid w:val="00C53871"/>
    <w:rsid w:val="00C55569"/>
    <w:rsid w:val="00C562C9"/>
    <w:rsid w:val="00C61F8B"/>
    <w:rsid w:val="00C6316B"/>
    <w:rsid w:val="00C634A9"/>
    <w:rsid w:val="00C64586"/>
    <w:rsid w:val="00C64F29"/>
    <w:rsid w:val="00C70D53"/>
    <w:rsid w:val="00C73D0B"/>
    <w:rsid w:val="00C7570C"/>
    <w:rsid w:val="00C76558"/>
    <w:rsid w:val="00C772FF"/>
    <w:rsid w:val="00C779F1"/>
    <w:rsid w:val="00C80137"/>
    <w:rsid w:val="00C801AF"/>
    <w:rsid w:val="00C80256"/>
    <w:rsid w:val="00C85C7E"/>
    <w:rsid w:val="00C9241A"/>
    <w:rsid w:val="00C92AE4"/>
    <w:rsid w:val="00C93E81"/>
    <w:rsid w:val="00C94CD4"/>
    <w:rsid w:val="00C954F4"/>
    <w:rsid w:val="00C961F3"/>
    <w:rsid w:val="00C96277"/>
    <w:rsid w:val="00C9747E"/>
    <w:rsid w:val="00CA0CDF"/>
    <w:rsid w:val="00CA1604"/>
    <w:rsid w:val="00CA1832"/>
    <w:rsid w:val="00CA1906"/>
    <w:rsid w:val="00CB6BC0"/>
    <w:rsid w:val="00CB7F4E"/>
    <w:rsid w:val="00CC1B7C"/>
    <w:rsid w:val="00CC25D1"/>
    <w:rsid w:val="00CC727F"/>
    <w:rsid w:val="00CE21BA"/>
    <w:rsid w:val="00CE45A6"/>
    <w:rsid w:val="00CE515F"/>
    <w:rsid w:val="00CF0347"/>
    <w:rsid w:val="00CF15C3"/>
    <w:rsid w:val="00CF2B6F"/>
    <w:rsid w:val="00CF2F3E"/>
    <w:rsid w:val="00CF38D5"/>
    <w:rsid w:val="00CF58B6"/>
    <w:rsid w:val="00D0062D"/>
    <w:rsid w:val="00D017ED"/>
    <w:rsid w:val="00D040D3"/>
    <w:rsid w:val="00D04262"/>
    <w:rsid w:val="00D04C65"/>
    <w:rsid w:val="00D05237"/>
    <w:rsid w:val="00D054F6"/>
    <w:rsid w:val="00D10747"/>
    <w:rsid w:val="00D15D6C"/>
    <w:rsid w:val="00D201D2"/>
    <w:rsid w:val="00D20BCE"/>
    <w:rsid w:val="00D224FE"/>
    <w:rsid w:val="00D23139"/>
    <w:rsid w:val="00D25840"/>
    <w:rsid w:val="00D27A22"/>
    <w:rsid w:val="00D355C3"/>
    <w:rsid w:val="00D378BD"/>
    <w:rsid w:val="00D425BB"/>
    <w:rsid w:val="00D51E13"/>
    <w:rsid w:val="00D6493E"/>
    <w:rsid w:val="00D7195D"/>
    <w:rsid w:val="00D7301E"/>
    <w:rsid w:val="00D83AE1"/>
    <w:rsid w:val="00D8492D"/>
    <w:rsid w:val="00D855D4"/>
    <w:rsid w:val="00D87AB0"/>
    <w:rsid w:val="00D902C9"/>
    <w:rsid w:val="00D91E65"/>
    <w:rsid w:val="00D93466"/>
    <w:rsid w:val="00D93996"/>
    <w:rsid w:val="00D96C2B"/>
    <w:rsid w:val="00DA1124"/>
    <w:rsid w:val="00DB1236"/>
    <w:rsid w:val="00DB6124"/>
    <w:rsid w:val="00DB750B"/>
    <w:rsid w:val="00DB75B7"/>
    <w:rsid w:val="00DC4FFE"/>
    <w:rsid w:val="00DC65A1"/>
    <w:rsid w:val="00DC6E02"/>
    <w:rsid w:val="00DC729D"/>
    <w:rsid w:val="00DD28CD"/>
    <w:rsid w:val="00DD405E"/>
    <w:rsid w:val="00DE02AE"/>
    <w:rsid w:val="00DE40F6"/>
    <w:rsid w:val="00DE4EF8"/>
    <w:rsid w:val="00DE53D4"/>
    <w:rsid w:val="00DE7268"/>
    <w:rsid w:val="00DE72B7"/>
    <w:rsid w:val="00DF1D7F"/>
    <w:rsid w:val="00DF4BE4"/>
    <w:rsid w:val="00E02FB4"/>
    <w:rsid w:val="00E13FC7"/>
    <w:rsid w:val="00E20571"/>
    <w:rsid w:val="00E20CC6"/>
    <w:rsid w:val="00E235F7"/>
    <w:rsid w:val="00E23659"/>
    <w:rsid w:val="00E239D4"/>
    <w:rsid w:val="00E26130"/>
    <w:rsid w:val="00E26AA5"/>
    <w:rsid w:val="00E26B7F"/>
    <w:rsid w:val="00E3171D"/>
    <w:rsid w:val="00E356F6"/>
    <w:rsid w:val="00E40B22"/>
    <w:rsid w:val="00E44ED1"/>
    <w:rsid w:val="00E45619"/>
    <w:rsid w:val="00E4588F"/>
    <w:rsid w:val="00E46DA3"/>
    <w:rsid w:val="00E47362"/>
    <w:rsid w:val="00E51BB1"/>
    <w:rsid w:val="00E5263E"/>
    <w:rsid w:val="00E52D0E"/>
    <w:rsid w:val="00E624A5"/>
    <w:rsid w:val="00E64BA4"/>
    <w:rsid w:val="00E6657F"/>
    <w:rsid w:val="00E7344E"/>
    <w:rsid w:val="00E736DD"/>
    <w:rsid w:val="00E82665"/>
    <w:rsid w:val="00E837BA"/>
    <w:rsid w:val="00EA2C0E"/>
    <w:rsid w:val="00EB0798"/>
    <w:rsid w:val="00EB2926"/>
    <w:rsid w:val="00EB40AD"/>
    <w:rsid w:val="00EB55E7"/>
    <w:rsid w:val="00EB586E"/>
    <w:rsid w:val="00EB5FC8"/>
    <w:rsid w:val="00EC463D"/>
    <w:rsid w:val="00EC55B4"/>
    <w:rsid w:val="00EC7A85"/>
    <w:rsid w:val="00ED2922"/>
    <w:rsid w:val="00ED3CAD"/>
    <w:rsid w:val="00ED5A41"/>
    <w:rsid w:val="00ED7167"/>
    <w:rsid w:val="00ED7FB3"/>
    <w:rsid w:val="00EE1DE8"/>
    <w:rsid w:val="00EE27C2"/>
    <w:rsid w:val="00EE7AEF"/>
    <w:rsid w:val="00EF4BAD"/>
    <w:rsid w:val="00EF59DC"/>
    <w:rsid w:val="00F033EC"/>
    <w:rsid w:val="00F04F68"/>
    <w:rsid w:val="00F11430"/>
    <w:rsid w:val="00F120B0"/>
    <w:rsid w:val="00F12670"/>
    <w:rsid w:val="00F14B27"/>
    <w:rsid w:val="00F151BE"/>
    <w:rsid w:val="00F212D7"/>
    <w:rsid w:val="00F23BE0"/>
    <w:rsid w:val="00F3148D"/>
    <w:rsid w:val="00F325C5"/>
    <w:rsid w:val="00F32FE0"/>
    <w:rsid w:val="00F35298"/>
    <w:rsid w:val="00F403D2"/>
    <w:rsid w:val="00F43DB1"/>
    <w:rsid w:val="00F44DA9"/>
    <w:rsid w:val="00F46374"/>
    <w:rsid w:val="00F47333"/>
    <w:rsid w:val="00F47E37"/>
    <w:rsid w:val="00F53C07"/>
    <w:rsid w:val="00F54B65"/>
    <w:rsid w:val="00F60177"/>
    <w:rsid w:val="00F640B6"/>
    <w:rsid w:val="00F64CDE"/>
    <w:rsid w:val="00F65105"/>
    <w:rsid w:val="00F666C3"/>
    <w:rsid w:val="00F66CAB"/>
    <w:rsid w:val="00F66DF2"/>
    <w:rsid w:val="00F80E40"/>
    <w:rsid w:val="00F848D9"/>
    <w:rsid w:val="00F9073F"/>
    <w:rsid w:val="00F90B28"/>
    <w:rsid w:val="00F9736C"/>
    <w:rsid w:val="00FA5B82"/>
    <w:rsid w:val="00FA639E"/>
    <w:rsid w:val="00FB24BE"/>
    <w:rsid w:val="00FB3189"/>
    <w:rsid w:val="00FB56FE"/>
    <w:rsid w:val="00FC050B"/>
    <w:rsid w:val="00FC1FCA"/>
    <w:rsid w:val="00FC25E4"/>
    <w:rsid w:val="00FC30EC"/>
    <w:rsid w:val="00FC3DB2"/>
    <w:rsid w:val="00FC4EF7"/>
    <w:rsid w:val="00FD063C"/>
    <w:rsid w:val="00FD0824"/>
    <w:rsid w:val="00FD119B"/>
    <w:rsid w:val="00FD1EDC"/>
    <w:rsid w:val="00FD55D5"/>
    <w:rsid w:val="00FE068E"/>
    <w:rsid w:val="00FE1DEE"/>
    <w:rsid w:val="00FF2126"/>
    <w:rsid w:val="00FF329B"/>
    <w:rsid w:val="00FF37BE"/>
    <w:rsid w:val="00FF5755"/>
    <w:rsid w:val="00FF69BE"/>
    <w:rsid w:val="00FF7641"/>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8EA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B56FE"/>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B56FE"/>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apple-converted-space">
    <w:name w:val="apple-converted-space"/>
    <w:basedOn w:val="DefaultParagraphFont"/>
    <w:rsid w:val="00C35D27"/>
  </w:style>
  <w:style w:type="paragraph" w:styleId="ListParagraph">
    <w:name w:val="List Paragraph"/>
    <w:basedOn w:val="Normal"/>
    <w:uiPriority w:val="34"/>
    <w:qFormat/>
    <w:rsid w:val="00BB7CD3"/>
    <w:pPr>
      <w:tabs>
        <w:tab w:val="left" w:pos="567"/>
      </w:tabs>
      <w:spacing w:before="0" w:after="0" w:line="240" w:lineRule="auto"/>
      <w:ind w:left="720"/>
      <w:contextualSpacing/>
      <w:jc w:val="both"/>
    </w:pPr>
    <w:rPr>
      <w:rFonts w:ascii="Arial" w:eastAsia="MS Mincho" w:hAnsi="Arial"/>
      <w:sz w:val="20"/>
      <w:szCs w:val="20"/>
    </w:rPr>
  </w:style>
  <w:style w:type="paragraph" w:customStyle="1" w:styleId="Standard">
    <w:name w:val="Standard"/>
    <w:basedOn w:val="Normal"/>
    <w:link w:val="StandardChar"/>
    <w:rsid w:val="00A862F3"/>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A862F3"/>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rsid w:val="00A862F3"/>
    <w:pPr>
      <w:keepNext/>
      <w:spacing w:after="110"/>
      <w:outlineLvl w:val="2"/>
    </w:pPr>
    <w:rPr>
      <w:b/>
      <w:i/>
    </w:rPr>
  </w:style>
  <w:style w:type="paragraph" w:styleId="NormalWeb">
    <w:name w:val="Normal (Web)"/>
    <w:basedOn w:val="Normal"/>
    <w:uiPriority w:val="99"/>
    <w:unhideWhenUsed/>
    <w:rsid w:val="00D8492D"/>
    <w:pPr>
      <w:spacing w:before="100" w:beforeAutospacing="1" w:after="100" w:afterAutospacing="1" w:line="240" w:lineRule="auto"/>
    </w:pPr>
    <w:rPr>
      <w:rFonts w:ascii="Times New Roman" w:eastAsiaTheme="minorHAnsi" w:hAnsi="Times New Roman"/>
      <w:sz w:val="24"/>
      <w:szCs w:val="24"/>
      <w:lang w:val="en-GB" w:eastAsia="en-GB"/>
    </w:rPr>
  </w:style>
  <w:style w:type="paragraph" w:customStyle="1" w:styleId="WhiteSpace">
    <w:name w:val="White Space"/>
    <w:basedOn w:val="Standard"/>
    <w:next w:val="Standard"/>
    <w:link w:val="WhiteSpaceChar"/>
    <w:rsid w:val="00955FD8"/>
    <w:pPr>
      <w:spacing w:after="0"/>
    </w:pPr>
    <w:rPr>
      <w:sz w:val="16"/>
      <w:szCs w:val="16"/>
    </w:rPr>
  </w:style>
  <w:style w:type="character" w:customStyle="1" w:styleId="WhiteSpaceChar">
    <w:name w:val="White Space Char"/>
    <w:basedOn w:val="DefaultParagraphFont"/>
    <w:link w:val="WhiteSpace"/>
    <w:rsid w:val="00955FD8"/>
    <w:rPr>
      <w:rFonts w:ascii="Cambria" w:eastAsia="Times New Roman" w:hAnsi="Cambria" w:cs="Times New Roman"/>
      <w:snapToGrid w:val="0"/>
      <w:kern w:val="16"/>
      <w:sz w:val="16"/>
      <w:szCs w:val="16"/>
    </w:rPr>
  </w:style>
  <w:style w:type="paragraph" w:customStyle="1" w:styleId="AssessmentSubsection2">
    <w:name w:val="Assessment Subsection 2"/>
    <w:basedOn w:val="AssessmentSubsection"/>
    <w:next w:val="Standard"/>
    <w:rsid w:val="00955FD8"/>
    <w:pPr>
      <w:outlineLvl w:val="3"/>
    </w:pPr>
    <w:rPr>
      <w:b w:val="0"/>
    </w:rPr>
  </w:style>
  <w:style w:type="character" w:customStyle="1" w:styleId="TabletextChar">
    <w:name w:val="Table text Char"/>
    <w:basedOn w:val="DefaultParagraphFont"/>
    <w:link w:val="Tabletext"/>
    <w:rsid w:val="00E736DD"/>
    <w:rPr>
      <w:rFonts w:ascii="Cambria" w:eastAsia="Cambria" w:hAnsi="Cambria" w:cs="Times New Roman"/>
      <w:sz w:val="19"/>
    </w:rPr>
  </w:style>
  <w:style w:type="paragraph" w:customStyle="1" w:styleId="TableHeader">
    <w:name w:val="Table Header"/>
    <w:basedOn w:val="Normal"/>
    <w:rsid w:val="00E736DD"/>
    <w:pPr>
      <w:keepNext/>
      <w:keepLines/>
      <w:widowControl w:val="0"/>
      <w:spacing w:before="60" w:after="60" w:line="200" w:lineRule="exact"/>
      <w:jc w:val="center"/>
    </w:pPr>
    <w:rPr>
      <w:rFonts w:eastAsia="MS Mincho" w:cstheme="minorBidi"/>
      <w:b/>
      <w:kern w:val="2"/>
      <w:sz w:val="19"/>
      <w:szCs w:val="19"/>
    </w:rPr>
  </w:style>
  <w:style w:type="character" w:customStyle="1" w:styleId="TableTitleChar">
    <w:name w:val="Table Title Char"/>
    <w:basedOn w:val="StandardChar"/>
    <w:link w:val="TableTitle"/>
    <w:rsid w:val="00E736DD"/>
    <w:rPr>
      <w:rFonts w:ascii="Cambria" w:eastAsia="Cambria" w:hAnsi="Cambria" w:cs="Times New Roman"/>
      <w:b/>
      <w:snapToGrid/>
      <w:kern w:val="16"/>
      <w:szCs w:val="24"/>
    </w:rPr>
  </w:style>
  <w:style w:type="paragraph" w:customStyle="1" w:styleId="TableCaption">
    <w:name w:val="Table Caption"/>
    <w:basedOn w:val="Standard"/>
    <w:next w:val="Standard"/>
    <w:link w:val="TableCaptionChar"/>
    <w:rsid w:val="00E736DD"/>
    <w:pPr>
      <w:spacing w:before="60" w:after="440" w:line="215" w:lineRule="exact"/>
      <w:ind w:left="170"/>
    </w:pPr>
    <w:rPr>
      <w:sz w:val="18"/>
      <w:szCs w:val="19"/>
    </w:rPr>
  </w:style>
  <w:style w:type="character" w:customStyle="1" w:styleId="TableCaptionChar">
    <w:name w:val="Table Caption Char"/>
    <w:basedOn w:val="TabletextChar"/>
    <w:link w:val="TableCaption"/>
    <w:rsid w:val="00E736DD"/>
    <w:rPr>
      <w:rFonts w:ascii="Cambria" w:eastAsia="Times New Roman" w:hAnsi="Cambria" w:cs="Times New Roman"/>
      <w:snapToGrid w:val="0"/>
      <w:kern w:val="16"/>
      <w:sz w:val="18"/>
      <w:szCs w:val="19"/>
    </w:rPr>
  </w:style>
  <w:style w:type="paragraph" w:customStyle="1" w:styleId="table">
    <w:name w:val="table"/>
    <w:basedOn w:val="Normal"/>
    <w:qFormat/>
    <w:rsid w:val="001854EB"/>
    <w:pPr>
      <w:adjustRightInd w:val="0"/>
      <w:snapToGrid w:val="0"/>
      <w:spacing w:before="0" w:after="0" w:line="240" w:lineRule="auto"/>
    </w:pPr>
    <w:rPr>
      <w:rFonts w:ascii="Times New Roman" w:eastAsia="MS Mincho" w:hAnsi="Times New Roman"/>
      <w:sz w:val="18"/>
      <w:szCs w:val="20"/>
      <w:lang w:eastAsia="ja-JP"/>
    </w:rPr>
  </w:style>
  <w:style w:type="paragraph" w:customStyle="1" w:styleId="mine">
    <w:name w:val="mine"/>
    <w:basedOn w:val="Normal"/>
    <w:next w:val="Normal"/>
    <w:qFormat/>
    <w:rsid w:val="007F1ADC"/>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table" w:customStyle="1" w:styleId="TableGridLight1">
    <w:name w:val="Table Grid Light1"/>
    <w:basedOn w:val="TableNormal"/>
    <w:uiPriority w:val="40"/>
    <w:rsid w:val="00794C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
    <w:name w:val="Bullet 1"/>
    <w:basedOn w:val="Normal"/>
    <w:rsid w:val="003406AD"/>
    <w:pPr>
      <w:numPr>
        <w:numId w:val="40"/>
      </w:numPr>
      <w:spacing w:after="0" w:line="240" w:lineRule="auto"/>
    </w:pPr>
    <w:rPr>
      <w:rFonts w:eastAsia="Times New Roman"/>
      <w:kern w:val="24"/>
      <w:szCs w:val="24"/>
      <w:lang w:eastAsia="en-AU"/>
    </w:rPr>
  </w:style>
  <w:style w:type="paragraph" w:customStyle="1" w:styleId="Bullet2">
    <w:name w:val="Bullet 2"/>
    <w:basedOn w:val="Bullet1"/>
    <w:rsid w:val="003406AD"/>
    <w:pPr>
      <w:numPr>
        <w:numId w:val="41"/>
      </w:numPr>
    </w:pPr>
  </w:style>
  <w:style w:type="paragraph" w:customStyle="1" w:styleId="Tabletitle0">
    <w:name w:val="Table title"/>
    <w:basedOn w:val="Normal"/>
    <w:next w:val="Normal"/>
    <w:rsid w:val="00C47F5C"/>
    <w:pPr>
      <w:keepNext/>
      <w:spacing w:after="180"/>
      <w:outlineLvl w:val="4"/>
    </w:pPr>
    <w:rPr>
      <w:rFonts w:cstheme="minorBidi"/>
      <w:b/>
    </w:rPr>
  </w:style>
  <w:style w:type="character" w:customStyle="1" w:styleId="st1">
    <w:name w:val="st1"/>
    <w:basedOn w:val="DefaultParagraphFont"/>
    <w:rsid w:val="00875AB1"/>
  </w:style>
  <w:style w:type="character" w:customStyle="1" w:styleId="maintitle">
    <w:name w:val="maintitle"/>
    <w:basedOn w:val="DefaultParagraphFont"/>
    <w:rsid w:val="00875AB1"/>
  </w:style>
  <w:style w:type="table" w:customStyle="1" w:styleId="TableTGAblue1">
    <w:name w:val="Table TGA blue1"/>
    <w:basedOn w:val="TableNormal"/>
    <w:uiPriority w:val="99"/>
    <w:qFormat/>
    <w:rsid w:val="00570061"/>
    <w:rPr>
      <w:rFonts w:ascii="Cambria" w:eastAsia="Cambria" w:hAnsi="Cambria"/>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 w:type="table" w:customStyle="1" w:styleId="TableTGAblue2">
    <w:name w:val="Table TGA blue2"/>
    <w:basedOn w:val="TableNormal"/>
    <w:uiPriority w:val="99"/>
    <w:qFormat/>
    <w:rsid w:val="00570061"/>
    <w:rPr>
      <w:rFonts w:ascii="Cambria" w:eastAsia="Cambria" w:hAnsi="Cambria"/>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B56FE"/>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B56FE"/>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apple-converted-space">
    <w:name w:val="apple-converted-space"/>
    <w:basedOn w:val="DefaultParagraphFont"/>
    <w:rsid w:val="00C35D27"/>
  </w:style>
  <w:style w:type="paragraph" w:styleId="ListParagraph">
    <w:name w:val="List Paragraph"/>
    <w:basedOn w:val="Normal"/>
    <w:uiPriority w:val="34"/>
    <w:qFormat/>
    <w:rsid w:val="00BB7CD3"/>
    <w:pPr>
      <w:tabs>
        <w:tab w:val="left" w:pos="567"/>
      </w:tabs>
      <w:spacing w:before="0" w:after="0" w:line="240" w:lineRule="auto"/>
      <w:ind w:left="720"/>
      <w:contextualSpacing/>
      <w:jc w:val="both"/>
    </w:pPr>
    <w:rPr>
      <w:rFonts w:ascii="Arial" w:eastAsia="MS Mincho" w:hAnsi="Arial"/>
      <w:sz w:val="20"/>
      <w:szCs w:val="20"/>
    </w:rPr>
  </w:style>
  <w:style w:type="paragraph" w:customStyle="1" w:styleId="Standard">
    <w:name w:val="Standard"/>
    <w:basedOn w:val="Normal"/>
    <w:link w:val="StandardChar"/>
    <w:rsid w:val="00A862F3"/>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A862F3"/>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rsid w:val="00A862F3"/>
    <w:pPr>
      <w:keepNext/>
      <w:spacing w:after="110"/>
      <w:outlineLvl w:val="2"/>
    </w:pPr>
    <w:rPr>
      <w:b/>
      <w:i/>
    </w:rPr>
  </w:style>
  <w:style w:type="paragraph" w:styleId="NormalWeb">
    <w:name w:val="Normal (Web)"/>
    <w:basedOn w:val="Normal"/>
    <w:uiPriority w:val="99"/>
    <w:unhideWhenUsed/>
    <w:rsid w:val="00D8492D"/>
    <w:pPr>
      <w:spacing w:before="100" w:beforeAutospacing="1" w:after="100" w:afterAutospacing="1" w:line="240" w:lineRule="auto"/>
    </w:pPr>
    <w:rPr>
      <w:rFonts w:ascii="Times New Roman" w:eastAsiaTheme="minorHAnsi" w:hAnsi="Times New Roman"/>
      <w:sz w:val="24"/>
      <w:szCs w:val="24"/>
      <w:lang w:val="en-GB" w:eastAsia="en-GB"/>
    </w:rPr>
  </w:style>
  <w:style w:type="paragraph" w:customStyle="1" w:styleId="WhiteSpace">
    <w:name w:val="White Space"/>
    <w:basedOn w:val="Standard"/>
    <w:next w:val="Standard"/>
    <w:link w:val="WhiteSpaceChar"/>
    <w:rsid w:val="00955FD8"/>
    <w:pPr>
      <w:spacing w:after="0"/>
    </w:pPr>
    <w:rPr>
      <w:sz w:val="16"/>
      <w:szCs w:val="16"/>
    </w:rPr>
  </w:style>
  <w:style w:type="character" w:customStyle="1" w:styleId="WhiteSpaceChar">
    <w:name w:val="White Space Char"/>
    <w:basedOn w:val="DefaultParagraphFont"/>
    <w:link w:val="WhiteSpace"/>
    <w:rsid w:val="00955FD8"/>
    <w:rPr>
      <w:rFonts w:ascii="Cambria" w:eastAsia="Times New Roman" w:hAnsi="Cambria" w:cs="Times New Roman"/>
      <w:snapToGrid w:val="0"/>
      <w:kern w:val="16"/>
      <w:sz w:val="16"/>
      <w:szCs w:val="16"/>
    </w:rPr>
  </w:style>
  <w:style w:type="paragraph" w:customStyle="1" w:styleId="AssessmentSubsection2">
    <w:name w:val="Assessment Subsection 2"/>
    <w:basedOn w:val="AssessmentSubsection"/>
    <w:next w:val="Standard"/>
    <w:rsid w:val="00955FD8"/>
    <w:pPr>
      <w:outlineLvl w:val="3"/>
    </w:pPr>
    <w:rPr>
      <w:b w:val="0"/>
    </w:rPr>
  </w:style>
  <w:style w:type="character" w:customStyle="1" w:styleId="TabletextChar">
    <w:name w:val="Table text Char"/>
    <w:basedOn w:val="DefaultParagraphFont"/>
    <w:link w:val="Tabletext"/>
    <w:rsid w:val="00E736DD"/>
    <w:rPr>
      <w:rFonts w:ascii="Cambria" w:eastAsia="Cambria" w:hAnsi="Cambria" w:cs="Times New Roman"/>
      <w:sz w:val="19"/>
    </w:rPr>
  </w:style>
  <w:style w:type="paragraph" w:customStyle="1" w:styleId="TableHeader">
    <w:name w:val="Table Header"/>
    <w:basedOn w:val="Normal"/>
    <w:rsid w:val="00E736DD"/>
    <w:pPr>
      <w:keepNext/>
      <w:keepLines/>
      <w:widowControl w:val="0"/>
      <w:spacing w:before="60" w:after="60" w:line="200" w:lineRule="exact"/>
      <w:jc w:val="center"/>
    </w:pPr>
    <w:rPr>
      <w:rFonts w:eastAsia="MS Mincho" w:cstheme="minorBidi"/>
      <w:b/>
      <w:kern w:val="2"/>
      <w:sz w:val="19"/>
      <w:szCs w:val="19"/>
    </w:rPr>
  </w:style>
  <w:style w:type="character" w:customStyle="1" w:styleId="TableTitleChar">
    <w:name w:val="Table Title Char"/>
    <w:basedOn w:val="StandardChar"/>
    <w:link w:val="TableTitle"/>
    <w:rsid w:val="00E736DD"/>
    <w:rPr>
      <w:rFonts w:ascii="Cambria" w:eastAsia="Cambria" w:hAnsi="Cambria" w:cs="Times New Roman"/>
      <w:b/>
      <w:snapToGrid/>
      <w:kern w:val="16"/>
      <w:szCs w:val="24"/>
    </w:rPr>
  </w:style>
  <w:style w:type="paragraph" w:customStyle="1" w:styleId="TableCaption">
    <w:name w:val="Table Caption"/>
    <w:basedOn w:val="Standard"/>
    <w:next w:val="Standard"/>
    <w:link w:val="TableCaptionChar"/>
    <w:rsid w:val="00E736DD"/>
    <w:pPr>
      <w:spacing w:before="60" w:after="440" w:line="215" w:lineRule="exact"/>
      <w:ind w:left="170"/>
    </w:pPr>
    <w:rPr>
      <w:sz w:val="18"/>
      <w:szCs w:val="19"/>
    </w:rPr>
  </w:style>
  <w:style w:type="character" w:customStyle="1" w:styleId="TableCaptionChar">
    <w:name w:val="Table Caption Char"/>
    <w:basedOn w:val="TabletextChar"/>
    <w:link w:val="TableCaption"/>
    <w:rsid w:val="00E736DD"/>
    <w:rPr>
      <w:rFonts w:ascii="Cambria" w:eastAsia="Times New Roman" w:hAnsi="Cambria" w:cs="Times New Roman"/>
      <w:snapToGrid w:val="0"/>
      <w:kern w:val="16"/>
      <w:sz w:val="18"/>
      <w:szCs w:val="19"/>
    </w:rPr>
  </w:style>
  <w:style w:type="paragraph" w:customStyle="1" w:styleId="table">
    <w:name w:val="table"/>
    <w:basedOn w:val="Normal"/>
    <w:qFormat/>
    <w:rsid w:val="001854EB"/>
    <w:pPr>
      <w:adjustRightInd w:val="0"/>
      <w:snapToGrid w:val="0"/>
      <w:spacing w:before="0" w:after="0" w:line="240" w:lineRule="auto"/>
    </w:pPr>
    <w:rPr>
      <w:rFonts w:ascii="Times New Roman" w:eastAsia="MS Mincho" w:hAnsi="Times New Roman"/>
      <w:sz w:val="18"/>
      <w:szCs w:val="20"/>
      <w:lang w:eastAsia="ja-JP"/>
    </w:rPr>
  </w:style>
  <w:style w:type="paragraph" w:customStyle="1" w:styleId="mine">
    <w:name w:val="mine"/>
    <w:basedOn w:val="Normal"/>
    <w:next w:val="Normal"/>
    <w:qFormat/>
    <w:rsid w:val="007F1ADC"/>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table" w:customStyle="1" w:styleId="TableGridLight1">
    <w:name w:val="Table Grid Light1"/>
    <w:basedOn w:val="TableNormal"/>
    <w:uiPriority w:val="40"/>
    <w:rsid w:val="00794C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
    <w:name w:val="Bullet 1"/>
    <w:basedOn w:val="Normal"/>
    <w:rsid w:val="003406AD"/>
    <w:pPr>
      <w:numPr>
        <w:numId w:val="40"/>
      </w:numPr>
      <w:spacing w:after="0" w:line="240" w:lineRule="auto"/>
    </w:pPr>
    <w:rPr>
      <w:rFonts w:eastAsia="Times New Roman"/>
      <w:kern w:val="24"/>
      <w:szCs w:val="24"/>
      <w:lang w:eastAsia="en-AU"/>
    </w:rPr>
  </w:style>
  <w:style w:type="paragraph" w:customStyle="1" w:styleId="Bullet2">
    <w:name w:val="Bullet 2"/>
    <w:basedOn w:val="Bullet1"/>
    <w:rsid w:val="003406AD"/>
    <w:pPr>
      <w:numPr>
        <w:numId w:val="41"/>
      </w:numPr>
    </w:pPr>
  </w:style>
  <w:style w:type="paragraph" w:customStyle="1" w:styleId="Tabletitle0">
    <w:name w:val="Table title"/>
    <w:basedOn w:val="Normal"/>
    <w:next w:val="Normal"/>
    <w:rsid w:val="00C47F5C"/>
    <w:pPr>
      <w:keepNext/>
      <w:spacing w:after="180"/>
      <w:outlineLvl w:val="4"/>
    </w:pPr>
    <w:rPr>
      <w:rFonts w:cstheme="minorBidi"/>
      <w:b/>
    </w:rPr>
  </w:style>
  <w:style w:type="character" w:customStyle="1" w:styleId="st1">
    <w:name w:val="st1"/>
    <w:basedOn w:val="DefaultParagraphFont"/>
    <w:rsid w:val="00875AB1"/>
  </w:style>
  <w:style w:type="character" w:customStyle="1" w:styleId="maintitle">
    <w:name w:val="maintitle"/>
    <w:basedOn w:val="DefaultParagraphFont"/>
    <w:rsid w:val="00875AB1"/>
  </w:style>
  <w:style w:type="table" w:customStyle="1" w:styleId="TableTGAblue1">
    <w:name w:val="Table TGA blue1"/>
    <w:basedOn w:val="TableNormal"/>
    <w:uiPriority w:val="99"/>
    <w:qFormat/>
    <w:rsid w:val="00570061"/>
    <w:rPr>
      <w:rFonts w:ascii="Cambria" w:eastAsia="Cambria" w:hAnsi="Cambria"/>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 w:type="table" w:customStyle="1" w:styleId="TableTGAblue2">
    <w:name w:val="Table TGA blue2"/>
    <w:basedOn w:val="TableNormal"/>
    <w:uiPriority w:val="99"/>
    <w:qFormat/>
    <w:rsid w:val="00570061"/>
    <w:rPr>
      <w:rFonts w:ascii="Cambria" w:eastAsia="Cambria" w:hAnsi="Cambria"/>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9015">
      <w:bodyDiv w:val="1"/>
      <w:marLeft w:val="0"/>
      <w:marRight w:val="0"/>
      <w:marTop w:val="0"/>
      <w:marBottom w:val="0"/>
      <w:divBdr>
        <w:top w:val="none" w:sz="0" w:space="0" w:color="auto"/>
        <w:left w:val="none" w:sz="0" w:space="0" w:color="auto"/>
        <w:bottom w:val="none" w:sz="0" w:space="0" w:color="auto"/>
        <w:right w:val="none" w:sz="0" w:space="0" w:color="auto"/>
      </w:divBdr>
      <w:divsChild>
        <w:div w:id="912469699">
          <w:marLeft w:val="0"/>
          <w:marRight w:val="0"/>
          <w:marTop w:val="0"/>
          <w:marBottom w:val="0"/>
          <w:divBdr>
            <w:top w:val="none" w:sz="0" w:space="0" w:color="auto"/>
            <w:left w:val="none" w:sz="0" w:space="0" w:color="auto"/>
            <w:bottom w:val="none" w:sz="0" w:space="0" w:color="auto"/>
            <w:right w:val="none" w:sz="0" w:space="0" w:color="auto"/>
          </w:divBdr>
          <w:divsChild>
            <w:div w:id="1130394390">
              <w:marLeft w:val="0"/>
              <w:marRight w:val="0"/>
              <w:marTop w:val="0"/>
              <w:marBottom w:val="0"/>
              <w:divBdr>
                <w:top w:val="none" w:sz="0" w:space="0" w:color="auto"/>
                <w:left w:val="none" w:sz="0" w:space="0" w:color="auto"/>
                <w:bottom w:val="none" w:sz="0" w:space="0" w:color="auto"/>
                <w:right w:val="none" w:sz="0" w:space="0" w:color="auto"/>
              </w:divBdr>
              <w:divsChild>
                <w:div w:id="11043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19640">
      <w:bodyDiv w:val="1"/>
      <w:marLeft w:val="0"/>
      <w:marRight w:val="0"/>
      <w:marTop w:val="0"/>
      <w:marBottom w:val="0"/>
      <w:divBdr>
        <w:top w:val="none" w:sz="0" w:space="0" w:color="auto"/>
        <w:left w:val="none" w:sz="0" w:space="0" w:color="auto"/>
        <w:bottom w:val="none" w:sz="0" w:space="0" w:color="auto"/>
        <w:right w:val="none" w:sz="0" w:space="0" w:color="auto"/>
      </w:divBdr>
    </w:div>
    <w:div w:id="267079998">
      <w:bodyDiv w:val="1"/>
      <w:marLeft w:val="0"/>
      <w:marRight w:val="0"/>
      <w:marTop w:val="0"/>
      <w:marBottom w:val="0"/>
      <w:divBdr>
        <w:top w:val="none" w:sz="0" w:space="0" w:color="auto"/>
        <w:left w:val="none" w:sz="0" w:space="0" w:color="auto"/>
        <w:bottom w:val="none" w:sz="0" w:space="0" w:color="auto"/>
        <w:right w:val="none" w:sz="0" w:space="0" w:color="auto"/>
      </w:divBdr>
      <w:divsChild>
        <w:div w:id="18363409">
          <w:marLeft w:val="0"/>
          <w:marRight w:val="0"/>
          <w:marTop w:val="0"/>
          <w:marBottom w:val="0"/>
          <w:divBdr>
            <w:top w:val="none" w:sz="0" w:space="0" w:color="auto"/>
            <w:left w:val="none" w:sz="0" w:space="0" w:color="auto"/>
            <w:bottom w:val="none" w:sz="0" w:space="0" w:color="auto"/>
            <w:right w:val="none" w:sz="0" w:space="0" w:color="auto"/>
          </w:divBdr>
          <w:divsChild>
            <w:div w:id="646934582">
              <w:marLeft w:val="0"/>
              <w:marRight w:val="0"/>
              <w:marTop w:val="0"/>
              <w:marBottom w:val="0"/>
              <w:divBdr>
                <w:top w:val="none" w:sz="0" w:space="0" w:color="auto"/>
                <w:left w:val="none" w:sz="0" w:space="0" w:color="auto"/>
                <w:bottom w:val="none" w:sz="0" w:space="0" w:color="auto"/>
                <w:right w:val="none" w:sz="0" w:space="0" w:color="auto"/>
              </w:divBdr>
              <w:divsChild>
                <w:div w:id="1867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85103">
      <w:bodyDiv w:val="1"/>
      <w:marLeft w:val="0"/>
      <w:marRight w:val="0"/>
      <w:marTop w:val="0"/>
      <w:marBottom w:val="0"/>
      <w:divBdr>
        <w:top w:val="none" w:sz="0" w:space="0" w:color="auto"/>
        <w:left w:val="none" w:sz="0" w:space="0" w:color="auto"/>
        <w:bottom w:val="none" w:sz="0" w:space="0" w:color="auto"/>
        <w:right w:val="none" w:sz="0" w:space="0" w:color="auto"/>
      </w:divBdr>
    </w:div>
    <w:div w:id="337924835">
      <w:bodyDiv w:val="1"/>
      <w:marLeft w:val="0"/>
      <w:marRight w:val="0"/>
      <w:marTop w:val="0"/>
      <w:marBottom w:val="0"/>
      <w:divBdr>
        <w:top w:val="none" w:sz="0" w:space="0" w:color="auto"/>
        <w:left w:val="none" w:sz="0" w:space="0" w:color="auto"/>
        <w:bottom w:val="none" w:sz="0" w:space="0" w:color="auto"/>
        <w:right w:val="none" w:sz="0" w:space="0" w:color="auto"/>
      </w:divBdr>
      <w:divsChild>
        <w:div w:id="284847946">
          <w:marLeft w:val="0"/>
          <w:marRight w:val="0"/>
          <w:marTop w:val="0"/>
          <w:marBottom w:val="0"/>
          <w:divBdr>
            <w:top w:val="none" w:sz="0" w:space="0" w:color="auto"/>
            <w:left w:val="none" w:sz="0" w:space="0" w:color="auto"/>
            <w:bottom w:val="none" w:sz="0" w:space="0" w:color="auto"/>
            <w:right w:val="none" w:sz="0" w:space="0" w:color="auto"/>
          </w:divBdr>
          <w:divsChild>
            <w:div w:id="362636856">
              <w:marLeft w:val="0"/>
              <w:marRight w:val="0"/>
              <w:marTop w:val="0"/>
              <w:marBottom w:val="0"/>
              <w:divBdr>
                <w:top w:val="none" w:sz="0" w:space="0" w:color="auto"/>
                <w:left w:val="none" w:sz="0" w:space="0" w:color="auto"/>
                <w:bottom w:val="none" w:sz="0" w:space="0" w:color="auto"/>
                <w:right w:val="none" w:sz="0" w:space="0" w:color="auto"/>
              </w:divBdr>
              <w:divsChild>
                <w:div w:id="574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1912">
      <w:bodyDiv w:val="1"/>
      <w:marLeft w:val="0"/>
      <w:marRight w:val="0"/>
      <w:marTop w:val="0"/>
      <w:marBottom w:val="0"/>
      <w:divBdr>
        <w:top w:val="none" w:sz="0" w:space="0" w:color="auto"/>
        <w:left w:val="none" w:sz="0" w:space="0" w:color="auto"/>
        <w:bottom w:val="none" w:sz="0" w:space="0" w:color="auto"/>
        <w:right w:val="none" w:sz="0" w:space="0" w:color="auto"/>
      </w:divBdr>
      <w:divsChild>
        <w:div w:id="1309436976">
          <w:marLeft w:val="0"/>
          <w:marRight w:val="0"/>
          <w:marTop w:val="0"/>
          <w:marBottom w:val="0"/>
          <w:divBdr>
            <w:top w:val="none" w:sz="0" w:space="0" w:color="auto"/>
            <w:left w:val="none" w:sz="0" w:space="0" w:color="auto"/>
            <w:bottom w:val="none" w:sz="0" w:space="0" w:color="auto"/>
            <w:right w:val="none" w:sz="0" w:space="0" w:color="auto"/>
          </w:divBdr>
          <w:divsChild>
            <w:div w:id="763038936">
              <w:marLeft w:val="0"/>
              <w:marRight w:val="0"/>
              <w:marTop w:val="0"/>
              <w:marBottom w:val="0"/>
              <w:divBdr>
                <w:top w:val="none" w:sz="0" w:space="0" w:color="auto"/>
                <w:left w:val="none" w:sz="0" w:space="0" w:color="auto"/>
                <w:bottom w:val="none" w:sz="0" w:space="0" w:color="auto"/>
                <w:right w:val="none" w:sz="0" w:space="0" w:color="auto"/>
              </w:divBdr>
              <w:divsChild>
                <w:div w:id="21103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7465">
      <w:bodyDiv w:val="1"/>
      <w:marLeft w:val="0"/>
      <w:marRight w:val="0"/>
      <w:marTop w:val="0"/>
      <w:marBottom w:val="0"/>
      <w:divBdr>
        <w:top w:val="none" w:sz="0" w:space="0" w:color="auto"/>
        <w:left w:val="none" w:sz="0" w:space="0" w:color="auto"/>
        <w:bottom w:val="none" w:sz="0" w:space="0" w:color="auto"/>
        <w:right w:val="none" w:sz="0" w:space="0" w:color="auto"/>
      </w:divBdr>
    </w:div>
    <w:div w:id="458376484">
      <w:bodyDiv w:val="1"/>
      <w:marLeft w:val="0"/>
      <w:marRight w:val="0"/>
      <w:marTop w:val="0"/>
      <w:marBottom w:val="0"/>
      <w:divBdr>
        <w:top w:val="none" w:sz="0" w:space="0" w:color="auto"/>
        <w:left w:val="none" w:sz="0" w:space="0" w:color="auto"/>
        <w:bottom w:val="none" w:sz="0" w:space="0" w:color="auto"/>
        <w:right w:val="none" w:sz="0" w:space="0" w:color="auto"/>
      </w:divBdr>
    </w:div>
    <w:div w:id="524096596">
      <w:bodyDiv w:val="1"/>
      <w:marLeft w:val="0"/>
      <w:marRight w:val="0"/>
      <w:marTop w:val="0"/>
      <w:marBottom w:val="0"/>
      <w:divBdr>
        <w:top w:val="none" w:sz="0" w:space="0" w:color="auto"/>
        <w:left w:val="none" w:sz="0" w:space="0" w:color="auto"/>
        <w:bottom w:val="none" w:sz="0" w:space="0" w:color="auto"/>
        <w:right w:val="none" w:sz="0" w:space="0" w:color="auto"/>
      </w:divBdr>
      <w:divsChild>
        <w:div w:id="912814999">
          <w:marLeft w:val="0"/>
          <w:marRight w:val="0"/>
          <w:marTop w:val="0"/>
          <w:marBottom w:val="0"/>
          <w:divBdr>
            <w:top w:val="none" w:sz="0" w:space="0" w:color="auto"/>
            <w:left w:val="none" w:sz="0" w:space="0" w:color="auto"/>
            <w:bottom w:val="none" w:sz="0" w:space="0" w:color="auto"/>
            <w:right w:val="none" w:sz="0" w:space="0" w:color="auto"/>
          </w:divBdr>
          <w:divsChild>
            <w:div w:id="3244022">
              <w:marLeft w:val="0"/>
              <w:marRight w:val="0"/>
              <w:marTop w:val="0"/>
              <w:marBottom w:val="0"/>
              <w:divBdr>
                <w:top w:val="none" w:sz="0" w:space="0" w:color="auto"/>
                <w:left w:val="none" w:sz="0" w:space="0" w:color="auto"/>
                <w:bottom w:val="none" w:sz="0" w:space="0" w:color="auto"/>
                <w:right w:val="none" w:sz="0" w:space="0" w:color="auto"/>
              </w:divBdr>
              <w:divsChild>
                <w:div w:id="5416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01464">
      <w:bodyDiv w:val="1"/>
      <w:marLeft w:val="0"/>
      <w:marRight w:val="0"/>
      <w:marTop w:val="0"/>
      <w:marBottom w:val="0"/>
      <w:divBdr>
        <w:top w:val="none" w:sz="0" w:space="0" w:color="auto"/>
        <w:left w:val="none" w:sz="0" w:space="0" w:color="auto"/>
        <w:bottom w:val="none" w:sz="0" w:space="0" w:color="auto"/>
        <w:right w:val="none" w:sz="0" w:space="0" w:color="auto"/>
      </w:divBdr>
    </w:div>
    <w:div w:id="1029919379">
      <w:bodyDiv w:val="1"/>
      <w:marLeft w:val="0"/>
      <w:marRight w:val="0"/>
      <w:marTop w:val="0"/>
      <w:marBottom w:val="0"/>
      <w:divBdr>
        <w:top w:val="none" w:sz="0" w:space="0" w:color="auto"/>
        <w:left w:val="none" w:sz="0" w:space="0" w:color="auto"/>
        <w:bottom w:val="none" w:sz="0" w:space="0" w:color="auto"/>
        <w:right w:val="none" w:sz="0" w:space="0" w:color="auto"/>
      </w:divBdr>
      <w:divsChild>
        <w:div w:id="430980369">
          <w:marLeft w:val="0"/>
          <w:marRight w:val="0"/>
          <w:marTop w:val="0"/>
          <w:marBottom w:val="0"/>
          <w:divBdr>
            <w:top w:val="none" w:sz="0" w:space="0" w:color="auto"/>
            <w:left w:val="none" w:sz="0" w:space="0" w:color="auto"/>
            <w:bottom w:val="none" w:sz="0" w:space="0" w:color="auto"/>
            <w:right w:val="none" w:sz="0" w:space="0" w:color="auto"/>
          </w:divBdr>
          <w:divsChild>
            <w:div w:id="1158574952">
              <w:marLeft w:val="0"/>
              <w:marRight w:val="0"/>
              <w:marTop w:val="0"/>
              <w:marBottom w:val="0"/>
              <w:divBdr>
                <w:top w:val="none" w:sz="0" w:space="0" w:color="auto"/>
                <w:left w:val="none" w:sz="0" w:space="0" w:color="auto"/>
                <w:bottom w:val="none" w:sz="0" w:space="0" w:color="auto"/>
                <w:right w:val="none" w:sz="0" w:space="0" w:color="auto"/>
              </w:divBdr>
              <w:divsChild>
                <w:div w:id="2835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10386">
      <w:bodyDiv w:val="1"/>
      <w:marLeft w:val="0"/>
      <w:marRight w:val="0"/>
      <w:marTop w:val="0"/>
      <w:marBottom w:val="0"/>
      <w:divBdr>
        <w:top w:val="none" w:sz="0" w:space="0" w:color="auto"/>
        <w:left w:val="none" w:sz="0" w:space="0" w:color="auto"/>
        <w:bottom w:val="none" w:sz="0" w:space="0" w:color="auto"/>
        <w:right w:val="none" w:sz="0" w:space="0" w:color="auto"/>
      </w:divBdr>
      <w:divsChild>
        <w:div w:id="357659317">
          <w:marLeft w:val="0"/>
          <w:marRight w:val="0"/>
          <w:marTop w:val="0"/>
          <w:marBottom w:val="0"/>
          <w:divBdr>
            <w:top w:val="none" w:sz="0" w:space="0" w:color="auto"/>
            <w:left w:val="none" w:sz="0" w:space="0" w:color="auto"/>
            <w:bottom w:val="none" w:sz="0" w:space="0" w:color="auto"/>
            <w:right w:val="none" w:sz="0" w:space="0" w:color="auto"/>
          </w:divBdr>
          <w:divsChild>
            <w:div w:id="344284214">
              <w:marLeft w:val="0"/>
              <w:marRight w:val="0"/>
              <w:marTop w:val="0"/>
              <w:marBottom w:val="0"/>
              <w:divBdr>
                <w:top w:val="none" w:sz="0" w:space="0" w:color="auto"/>
                <w:left w:val="none" w:sz="0" w:space="0" w:color="auto"/>
                <w:bottom w:val="none" w:sz="0" w:space="0" w:color="auto"/>
                <w:right w:val="none" w:sz="0" w:space="0" w:color="auto"/>
              </w:divBdr>
              <w:divsChild>
                <w:div w:id="7509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61771">
      <w:bodyDiv w:val="1"/>
      <w:marLeft w:val="0"/>
      <w:marRight w:val="0"/>
      <w:marTop w:val="0"/>
      <w:marBottom w:val="0"/>
      <w:divBdr>
        <w:top w:val="none" w:sz="0" w:space="0" w:color="auto"/>
        <w:left w:val="none" w:sz="0" w:space="0" w:color="auto"/>
        <w:bottom w:val="none" w:sz="0" w:space="0" w:color="auto"/>
        <w:right w:val="none" w:sz="0" w:space="0" w:color="auto"/>
      </w:divBdr>
    </w:div>
    <w:div w:id="1151407221">
      <w:bodyDiv w:val="1"/>
      <w:marLeft w:val="0"/>
      <w:marRight w:val="0"/>
      <w:marTop w:val="0"/>
      <w:marBottom w:val="0"/>
      <w:divBdr>
        <w:top w:val="none" w:sz="0" w:space="0" w:color="auto"/>
        <w:left w:val="none" w:sz="0" w:space="0" w:color="auto"/>
        <w:bottom w:val="none" w:sz="0" w:space="0" w:color="auto"/>
        <w:right w:val="none" w:sz="0" w:space="0" w:color="auto"/>
      </w:divBdr>
      <w:divsChild>
        <w:div w:id="2104720134">
          <w:marLeft w:val="0"/>
          <w:marRight w:val="0"/>
          <w:marTop w:val="0"/>
          <w:marBottom w:val="0"/>
          <w:divBdr>
            <w:top w:val="none" w:sz="0" w:space="0" w:color="auto"/>
            <w:left w:val="none" w:sz="0" w:space="0" w:color="auto"/>
            <w:bottom w:val="none" w:sz="0" w:space="0" w:color="auto"/>
            <w:right w:val="none" w:sz="0" w:space="0" w:color="auto"/>
          </w:divBdr>
          <w:divsChild>
            <w:div w:id="1385640259">
              <w:marLeft w:val="0"/>
              <w:marRight w:val="0"/>
              <w:marTop w:val="0"/>
              <w:marBottom w:val="0"/>
              <w:divBdr>
                <w:top w:val="none" w:sz="0" w:space="0" w:color="auto"/>
                <w:left w:val="none" w:sz="0" w:space="0" w:color="auto"/>
                <w:bottom w:val="none" w:sz="0" w:space="0" w:color="auto"/>
                <w:right w:val="none" w:sz="0" w:space="0" w:color="auto"/>
              </w:divBdr>
              <w:divsChild>
                <w:div w:id="5540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530">
      <w:bodyDiv w:val="1"/>
      <w:marLeft w:val="0"/>
      <w:marRight w:val="0"/>
      <w:marTop w:val="0"/>
      <w:marBottom w:val="0"/>
      <w:divBdr>
        <w:top w:val="none" w:sz="0" w:space="0" w:color="auto"/>
        <w:left w:val="none" w:sz="0" w:space="0" w:color="auto"/>
        <w:bottom w:val="none" w:sz="0" w:space="0" w:color="auto"/>
        <w:right w:val="none" w:sz="0" w:space="0" w:color="auto"/>
      </w:divBdr>
    </w:div>
    <w:div w:id="1682078782">
      <w:bodyDiv w:val="1"/>
      <w:marLeft w:val="0"/>
      <w:marRight w:val="0"/>
      <w:marTop w:val="0"/>
      <w:marBottom w:val="0"/>
      <w:divBdr>
        <w:top w:val="none" w:sz="0" w:space="0" w:color="auto"/>
        <w:left w:val="none" w:sz="0" w:space="0" w:color="auto"/>
        <w:bottom w:val="none" w:sz="0" w:space="0" w:color="auto"/>
        <w:right w:val="none" w:sz="0" w:space="0" w:color="auto"/>
      </w:divBdr>
      <w:divsChild>
        <w:div w:id="1947301829">
          <w:marLeft w:val="0"/>
          <w:marRight w:val="0"/>
          <w:marTop w:val="0"/>
          <w:marBottom w:val="0"/>
          <w:divBdr>
            <w:top w:val="none" w:sz="0" w:space="0" w:color="auto"/>
            <w:left w:val="none" w:sz="0" w:space="0" w:color="auto"/>
            <w:bottom w:val="none" w:sz="0" w:space="0" w:color="auto"/>
            <w:right w:val="none" w:sz="0" w:space="0" w:color="auto"/>
          </w:divBdr>
          <w:divsChild>
            <w:div w:id="42490979">
              <w:marLeft w:val="0"/>
              <w:marRight w:val="0"/>
              <w:marTop w:val="0"/>
              <w:marBottom w:val="0"/>
              <w:divBdr>
                <w:top w:val="none" w:sz="0" w:space="0" w:color="auto"/>
                <w:left w:val="none" w:sz="0" w:space="0" w:color="auto"/>
                <w:bottom w:val="none" w:sz="0" w:space="0" w:color="auto"/>
                <w:right w:val="none" w:sz="0" w:space="0" w:color="auto"/>
              </w:divBdr>
              <w:divsChild>
                <w:div w:id="1587887151">
                  <w:marLeft w:val="0"/>
                  <w:marRight w:val="0"/>
                  <w:marTop w:val="0"/>
                  <w:marBottom w:val="0"/>
                  <w:divBdr>
                    <w:top w:val="none" w:sz="0" w:space="0" w:color="auto"/>
                    <w:left w:val="none" w:sz="0" w:space="0" w:color="auto"/>
                    <w:bottom w:val="none" w:sz="0" w:space="0" w:color="auto"/>
                    <w:right w:val="none" w:sz="0" w:space="0" w:color="auto"/>
                  </w:divBdr>
                </w:div>
              </w:divsChild>
            </w:div>
            <w:div w:id="1152864494">
              <w:marLeft w:val="0"/>
              <w:marRight w:val="0"/>
              <w:marTop w:val="0"/>
              <w:marBottom w:val="0"/>
              <w:divBdr>
                <w:top w:val="none" w:sz="0" w:space="0" w:color="auto"/>
                <w:left w:val="none" w:sz="0" w:space="0" w:color="auto"/>
                <w:bottom w:val="none" w:sz="0" w:space="0" w:color="auto"/>
                <w:right w:val="none" w:sz="0" w:space="0" w:color="auto"/>
              </w:divBdr>
              <w:divsChild>
                <w:div w:id="7339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07447">
      <w:bodyDiv w:val="1"/>
      <w:marLeft w:val="0"/>
      <w:marRight w:val="0"/>
      <w:marTop w:val="0"/>
      <w:marBottom w:val="0"/>
      <w:divBdr>
        <w:top w:val="none" w:sz="0" w:space="0" w:color="auto"/>
        <w:left w:val="none" w:sz="0" w:space="0" w:color="auto"/>
        <w:bottom w:val="none" w:sz="0" w:space="0" w:color="auto"/>
        <w:right w:val="none" w:sz="0" w:space="0" w:color="auto"/>
      </w:divBdr>
      <w:divsChild>
        <w:div w:id="989015132">
          <w:marLeft w:val="0"/>
          <w:marRight w:val="0"/>
          <w:marTop w:val="0"/>
          <w:marBottom w:val="0"/>
          <w:divBdr>
            <w:top w:val="none" w:sz="0" w:space="0" w:color="auto"/>
            <w:left w:val="none" w:sz="0" w:space="0" w:color="auto"/>
            <w:bottom w:val="none" w:sz="0" w:space="0" w:color="auto"/>
            <w:right w:val="none" w:sz="0" w:space="0" w:color="auto"/>
          </w:divBdr>
          <w:divsChild>
            <w:div w:id="626279537">
              <w:marLeft w:val="0"/>
              <w:marRight w:val="0"/>
              <w:marTop w:val="0"/>
              <w:marBottom w:val="0"/>
              <w:divBdr>
                <w:top w:val="none" w:sz="0" w:space="0" w:color="auto"/>
                <w:left w:val="none" w:sz="0" w:space="0" w:color="auto"/>
                <w:bottom w:val="none" w:sz="0" w:space="0" w:color="auto"/>
                <w:right w:val="none" w:sz="0" w:space="0" w:color="auto"/>
              </w:divBdr>
              <w:divsChild>
                <w:div w:id="17274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03807">
      <w:bodyDiv w:val="1"/>
      <w:marLeft w:val="0"/>
      <w:marRight w:val="0"/>
      <w:marTop w:val="0"/>
      <w:marBottom w:val="0"/>
      <w:divBdr>
        <w:top w:val="none" w:sz="0" w:space="0" w:color="auto"/>
        <w:left w:val="none" w:sz="0" w:space="0" w:color="auto"/>
        <w:bottom w:val="none" w:sz="0" w:space="0" w:color="auto"/>
        <w:right w:val="none" w:sz="0" w:space="0" w:color="auto"/>
      </w:divBdr>
      <w:divsChild>
        <w:div w:id="1447656233">
          <w:marLeft w:val="0"/>
          <w:marRight w:val="0"/>
          <w:marTop w:val="0"/>
          <w:marBottom w:val="0"/>
          <w:divBdr>
            <w:top w:val="none" w:sz="0" w:space="0" w:color="auto"/>
            <w:left w:val="none" w:sz="0" w:space="0" w:color="auto"/>
            <w:bottom w:val="none" w:sz="0" w:space="0" w:color="auto"/>
            <w:right w:val="none" w:sz="0" w:space="0" w:color="auto"/>
          </w:divBdr>
          <w:divsChild>
            <w:div w:id="1592927100">
              <w:marLeft w:val="0"/>
              <w:marRight w:val="0"/>
              <w:marTop w:val="0"/>
              <w:marBottom w:val="0"/>
              <w:divBdr>
                <w:top w:val="none" w:sz="0" w:space="0" w:color="auto"/>
                <w:left w:val="none" w:sz="0" w:space="0" w:color="auto"/>
                <w:bottom w:val="none" w:sz="0" w:space="0" w:color="auto"/>
                <w:right w:val="none" w:sz="0" w:space="0" w:color="auto"/>
              </w:divBdr>
              <w:divsChild>
                <w:div w:id="2050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mailto:tga.copyright@tga.gov.au" TargetMode="External"/><Relationship Id="rId19" Type="http://schemas.openxmlformats.org/officeDocument/2006/relationships/header" Target="header5.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https://www.tga.gov.au"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6704B-9346-4521-BA92-F4BAF368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55</Pages>
  <Words>18826</Words>
  <Characters>105620</Characters>
  <Application>Microsoft Office Word</Application>
  <DocSecurity>0</DocSecurity>
  <Lines>3106</Lines>
  <Paragraphs>1269</Paragraphs>
  <ScaleCrop>false</ScaleCrop>
  <HeadingPairs>
    <vt:vector size="2" baseType="variant">
      <vt:variant>
        <vt:lpstr>Title</vt:lpstr>
      </vt:variant>
      <vt:variant>
        <vt:i4>1</vt:i4>
      </vt:variant>
    </vt:vector>
  </HeadingPairs>
  <TitlesOfParts>
    <vt:vector size="1" baseType="lpstr">
      <vt:lpstr>Australian Public Assessment Report for Deoxycholic acid</vt:lpstr>
    </vt:vector>
  </TitlesOfParts>
  <Manager/>
  <Company/>
  <LinksUpToDate>false</LinksUpToDate>
  <CharactersWithSpaces>123177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Deoxycholic acid</dc:title>
  <dc:subject>Prescription medicines</dc:subject>
  <dc:creator>Therapeutic Goods Administration</dc:creator>
  <cp:keywords>AusPARs</cp:keywords>
  <cp:lastModifiedBy>MORENO, David</cp:lastModifiedBy>
  <cp:revision>10</cp:revision>
  <cp:lastPrinted>2015-09-22T23:39:00Z</cp:lastPrinted>
  <dcterms:created xsi:type="dcterms:W3CDTF">2017-04-06T03:28:00Z</dcterms:created>
  <dcterms:modified xsi:type="dcterms:W3CDTF">2017-05-09T04:31:00Z</dcterms:modified>
  <cp:category/>
</cp:coreProperties>
</file>