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081FF" w14:textId="77777777" w:rsidR="00607E7C" w:rsidRPr="004569EA" w:rsidRDefault="00607E7C" w:rsidP="00FA303C">
      <w:pPr>
        <w:tabs>
          <w:tab w:val="left" w:pos="8222"/>
        </w:tabs>
        <w:rPr>
          <w:sz w:val="22"/>
        </w:rPr>
      </w:pPr>
    </w:p>
    <w:p w14:paraId="45A7F9C4" w14:textId="77777777" w:rsidR="00012E50" w:rsidRPr="004569EA" w:rsidRDefault="00012E50" w:rsidP="006F6CB4">
      <w:pPr>
        <w:pStyle w:val="Title"/>
      </w:pPr>
      <w:r w:rsidRPr="004569EA">
        <w:t>PRODUCT INFORMATION</w:t>
      </w:r>
    </w:p>
    <w:p w14:paraId="46DD8511" w14:textId="50DEE3D4" w:rsidR="007A6C50" w:rsidRDefault="007A6C50" w:rsidP="006F6CB4">
      <w:pPr>
        <w:pStyle w:val="Title"/>
      </w:pPr>
      <w:r>
        <w:t>BELKYRA</w:t>
      </w:r>
      <w:r w:rsidR="006D1AD8" w:rsidRPr="00676001">
        <w:t>™</w:t>
      </w:r>
      <w:r w:rsidR="00054775" w:rsidRPr="00676001">
        <w:rPr>
          <w:sz w:val="22"/>
          <w:szCs w:val="22"/>
        </w:rPr>
        <w:t xml:space="preserve"> </w:t>
      </w:r>
      <w:r w:rsidR="006D1AD8" w:rsidRPr="00676001">
        <w:t>10</w:t>
      </w:r>
      <w:r w:rsidR="006D1AD8" w:rsidRPr="004569EA">
        <w:t xml:space="preserve"> mg/mL</w:t>
      </w:r>
      <w:r w:rsidR="00012E50" w:rsidRPr="004569EA">
        <w:t xml:space="preserve"> </w:t>
      </w:r>
    </w:p>
    <w:p w14:paraId="58259DC8" w14:textId="21699754" w:rsidR="00F22BCA" w:rsidRPr="004569EA" w:rsidRDefault="007A6C50" w:rsidP="006F6CB4">
      <w:pPr>
        <w:pStyle w:val="Title"/>
      </w:pPr>
      <w:r>
        <w:t xml:space="preserve">Solution for </w:t>
      </w:r>
      <w:r w:rsidR="006D1AD8" w:rsidRPr="004569EA">
        <w:t>Injection</w:t>
      </w:r>
    </w:p>
    <w:p w14:paraId="3622E9BC" w14:textId="77777777" w:rsidR="00F22BCA" w:rsidRPr="004569EA" w:rsidRDefault="00F22BCA">
      <w:pPr>
        <w:rPr>
          <w:b/>
        </w:rPr>
      </w:pPr>
    </w:p>
    <w:p w14:paraId="746D903C" w14:textId="77777777" w:rsidR="00F22BCA" w:rsidRPr="004569EA" w:rsidRDefault="00F22BCA" w:rsidP="000632A8">
      <w:pPr>
        <w:pStyle w:val="Heading1"/>
      </w:pPr>
      <w:r w:rsidRPr="004569EA">
        <w:t>N</w:t>
      </w:r>
      <w:r w:rsidR="001E2D56" w:rsidRPr="004569EA">
        <w:t>AME OF THE MEDICINE</w:t>
      </w:r>
      <w:r w:rsidR="009957E1" w:rsidRPr="004569EA">
        <w:t xml:space="preserve"> </w:t>
      </w:r>
    </w:p>
    <w:p w14:paraId="2A433DD1" w14:textId="1A5EC7B1" w:rsidR="00F22BCA" w:rsidRPr="004569EA" w:rsidRDefault="007A6C50">
      <w:r>
        <w:t>BELKYRA</w:t>
      </w:r>
      <w:r w:rsidRPr="004569EA">
        <w:t xml:space="preserve"> </w:t>
      </w:r>
      <w:r w:rsidR="006D1AD8" w:rsidRPr="004569EA">
        <w:t>injection contains deoxycholic acid as the active ingredient.</w:t>
      </w:r>
    </w:p>
    <w:p w14:paraId="70A743AE" w14:textId="77777777" w:rsidR="00224AC7" w:rsidRPr="004569EA" w:rsidRDefault="00224AC7">
      <w:r w:rsidRPr="004569EA">
        <w:t>Structural formula:</w:t>
      </w:r>
    </w:p>
    <w:p w14:paraId="5BDC525C" w14:textId="77777777" w:rsidR="00224AC7" w:rsidRPr="004569EA" w:rsidRDefault="00224AC7" w:rsidP="00224AC7">
      <w:pPr>
        <w:jc w:val="center"/>
      </w:pPr>
      <w:r w:rsidRPr="004569EA">
        <w:rPr>
          <w:noProof/>
          <w:lang w:eastAsia="en-AU"/>
        </w:rPr>
        <w:drawing>
          <wp:inline distT="0" distB="0" distL="0" distR="0" wp14:anchorId="56203CE0" wp14:editId="2DCC4DC5">
            <wp:extent cx="2108200" cy="1109345"/>
            <wp:effectExtent l="0" t="0" r="0" b="825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8200" cy="1109345"/>
                    </a:xfrm>
                    <a:prstGeom prst="rect">
                      <a:avLst/>
                    </a:prstGeom>
                    <a:solidFill>
                      <a:srgbClr val="FFFFFF"/>
                    </a:solidFill>
                    <a:ln>
                      <a:noFill/>
                    </a:ln>
                  </pic:spPr>
                </pic:pic>
              </a:graphicData>
            </a:graphic>
          </wp:inline>
        </w:drawing>
      </w:r>
    </w:p>
    <w:p w14:paraId="2E507FD8" w14:textId="77777777" w:rsidR="002E3BD7" w:rsidRPr="004569EA" w:rsidRDefault="002E3BD7" w:rsidP="002E3BD7"/>
    <w:p w14:paraId="614554F0" w14:textId="77777777" w:rsidR="00224AC7" w:rsidRPr="004569EA" w:rsidRDefault="00224AC7" w:rsidP="00224A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CA"/>
        </w:rPr>
      </w:pPr>
      <w:r w:rsidRPr="004569EA">
        <w:rPr>
          <w:lang w:val="en-CA"/>
        </w:rPr>
        <w:t>Chemical name:  3α</w:t>
      </w:r>
      <w:proofErr w:type="gramStart"/>
      <w:r w:rsidRPr="004569EA">
        <w:rPr>
          <w:lang w:val="en-CA"/>
        </w:rPr>
        <w:t>,12α</w:t>
      </w:r>
      <w:proofErr w:type="gramEnd"/>
      <w:r w:rsidRPr="004569EA">
        <w:rPr>
          <w:lang w:val="en-CA"/>
        </w:rPr>
        <w:t>-dihydroxy-5β-cholan-24-oic acid</w:t>
      </w:r>
    </w:p>
    <w:p w14:paraId="3BD8625D" w14:textId="77777777" w:rsidR="00224AC7" w:rsidRPr="004569EA" w:rsidRDefault="00224AC7" w:rsidP="00224A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CA"/>
        </w:rPr>
      </w:pPr>
      <w:r w:rsidRPr="004569EA">
        <w:rPr>
          <w:lang w:val="en-CA"/>
        </w:rPr>
        <w:t>Molecular formula:  C</w:t>
      </w:r>
      <w:r w:rsidRPr="004569EA">
        <w:rPr>
          <w:vertAlign w:val="subscript"/>
          <w:lang w:val="en-CA"/>
        </w:rPr>
        <w:t>24</w:t>
      </w:r>
      <w:r w:rsidRPr="004569EA">
        <w:rPr>
          <w:lang w:val="en-CA"/>
        </w:rPr>
        <w:t>H</w:t>
      </w:r>
      <w:r w:rsidRPr="004569EA">
        <w:rPr>
          <w:vertAlign w:val="subscript"/>
          <w:lang w:val="en-CA"/>
        </w:rPr>
        <w:t>40</w:t>
      </w:r>
      <w:r w:rsidRPr="004569EA">
        <w:rPr>
          <w:lang w:val="en-CA"/>
        </w:rPr>
        <w:t>O</w:t>
      </w:r>
      <w:r w:rsidRPr="004569EA">
        <w:rPr>
          <w:vertAlign w:val="subscript"/>
          <w:lang w:val="en-CA"/>
        </w:rPr>
        <w:t>4</w:t>
      </w:r>
      <w:r w:rsidRPr="004569EA">
        <w:rPr>
          <w:spacing w:val="1"/>
          <w:lang w:val="en-CA"/>
        </w:rPr>
        <w:t xml:space="preserve"> </w:t>
      </w:r>
    </w:p>
    <w:p w14:paraId="77426831" w14:textId="77777777" w:rsidR="00224AC7" w:rsidRDefault="00224AC7" w:rsidP="00224AC7">
      <w:r w:rsidRPr="004569EA">
        <w:rPr>
          <w:lang w:val="en-CA"/>
        </w:rPr>
        <w:t>Molecular mass</w:t>
      </w:r>
      <w:r w:rsidRPr="004569EA">
        <w:t xml:space="preserve"> </w:t>
      </w:r>
      <w:r w:rsidRPr="004569EA">
        <w:rPr>
          <w:lang w:val="en-CA"/>
        </w:rPr>
        <w:t>392.57 g/mol</w:t>
      </w:r>
      <w:r w:rsidRPr="004569EA">
        <w:t xml:space="preserve"> </w:t>
      </w:r>
    </w:p>
    <w:p w14:paraId="6DE6C7F9" w14:textId="67A3A62A" w:rsidR="007A6C50" w:rsidRPr="00B7429E" w:rsidRDefault="007A6C50" w:rsidP="00B742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CA"/>
        </w:rPr>
      </w:pPr>
      <w:r w:rsidRPr="00DF7CF4">
        <w:rPr>
          <w:lang w:val="en-CA"/>
        </w:rPr>
        <w:t xml:space="preserve">CAS Number: </w:t>
      </w:r>
      <w:r>
        <w:rPr>
          <w:lang w:val="en-US"/>
        </w:rPr>
        <w:t>83-44-3</w:t>
      </w:r>
    </w:p>
    <w:p w14:paraId="49A41AE8" w14:textId="77777777" w:rsidR="00F22BCA" w:rsidRPr="004569EA" w:rsidRDefault="00F22BCA" w:rsidP="000632A8">
      <w:pPr>
        <w:pStyle w:val="Heading1"/>
      </w:pPr>
      <w:r w:rsidRPr="004569EA">
        <w:t>D</w:t>
      </w:r>
      <w:r w:rsidR="001E2D56" w:rsidRPr="004569EA">
        <w:t>ESCRIPTION</w:t>
      </w:r>
    </w:p>
    <w:p w14:paraId="059B63CF" w14:textId="738B7D10" w:rsidR="007A6C50" w:rsidRDefault="007A6C50" w:rsidP="009E2643">
      <w:pPr>
        <w:rPr>
          <w:lang w:val="en-CA"/>
        </w:rPr>
      </w:pPr>
      <w:r>
        <w:rPr>
          <w:lang w:val="en-CA"/>
        </w:rPr>
        <w:t>BELKYRA</w:t>
      </w:r>
      <w:r w:rsidRPr="004569EA">
        <w:rPr>
          <w:lang w:val="en-CA"/>
        </w:rPr>
        <w:t xml:space="preserve"> </w:t>
      </w:r>
      <w:r w:rsidR="00224AC7" w:rsidRPr="004569EA">
        <w:rPr>
          <w:lang w:val="en-CA"/>
        </w:rPr>
        <w:t xml:space="preserve">(deoxycholic acid) injection is </w:t>
      </w:r>
      <w:r w:rsidR="002271F9">
        <w:rPr>
          <w:lang w:val="en-CA"/>
        </w:rPr>
        <w:t xml:space="preserve">a formulation of </w:t>
      </w:r>
      <w:r w:rsidR="00224AC7" w:rsidRPr="004569EA">
        <w:rPr>
          <w:lang w:val="en-CA"/>
        </w:rPr>
        <w:t>synthetically derived deoxycholic acid</w:t>
      </w:r>
      <w:r w:rsidR="002271F9">
        <w:rPr>
          <w:lang w:val="en-CA"/>
        </w:rPr>
        <w:t xml:space="preserve"> </w:t>
      </w:r>
      <w:r w:rsidR="00224AC7" w:rsidRPr="004569EA">
        <w:rPr>
          <w:lang w:val="en-CA"/>
        </w:rPr>
        <w:t xml:space="preserve">in a sterile solution for subcutaneous injection. No human or animal-derived materials are used in the manufacture of synthetic deoxycholic acid. </w:t>
      </w:r>
    </w:p>
    <w:p w14:paraId="37A920E8" w14:textId="008DA2CA" w:rsidR="00224AC7" w:rsidRPr="004569EA" w:rsidRDefault="007A6C50" w:rsidP="009E2643">
      <w:pPr>
        <w:rPr>
          <w:lang w:val="en-CA"/>
        </w:rPr>
      </w:pPr>
      <w:r>
        <w:t>Deoxycholic acid</w:t>
      </w:r>
      <w:r>
        <w:rPr>
          <w:lang w:val="en-US"/>
        </w:rPr>
        <w:t xml:space="preserve"> is a white to off-white crystalline powder</w:t>
      </w:r>
      <w:r>
        <w:t xml:space="preserve"> and is </w:t>
      </w:r>
      <w:r>
        <w:rPr>
          <w:lang w:val="en-US"/>
        </w:rPr>
        <w:t xml:space="preserve">freely soluble in alkaline solutions. </w:t>
      </w:r>
      <w:r w:rsidRPr="001F5B3E">
        <w:rPr>
          <w:lang w:val="en-US"/>
        </w:rPr>
        <w:t xml:space="preserve">The </w:t>
      </w:r>
      <w:proofErr w:type="spellStart"/>
      <w:r w:rsidRPr="001F5B3E">
        <w:rPr>
          <w:lang w:val="en-US"/>
        </w:rPr>
        <w:t>pKa</w:t>
      </w:r>
      <w:proofErr w:type="spellEnd"/>
      <w:r w:rsidRPr="001F5B3E">
        <w:rPr>
          <w:lang w:val="en-US"/>
        </w:rPr>
        <w:t xml:space="preserve"> and </w:t>
      </w:r>
      <w:proofErr w:type="spellStart"/>
      <w:r w:rsidRPr="001F5B3E">
        <w:rPr>
          <w:lang w:val="en-US"/>
        </w:rPr>
        <w:t>logP</w:t>
      </w:r>
      <w:proofErr w:type="spellEnd"/>
      <w:r w:rsidRPr="001F5B3E">
        <w:rPr>
          <w:lang w:val="en-US"/>
        </w:rPr>
        <w:t xml:space="preserve"> </w:t>
      </w:r>
      <w:r>
        <w:rPr>
          <w:lang w:val="en-US"/>
        </w:rPr>
        <w:t xml:space="preserve">of </w:t>
      </w:r>
      <w:proofErr w:type="spellStart"/>
      <w:r>
        <w:rPr>
          <w:lang w:val="en-US"/>
        </w:rPr>
        <w:t>deoxycholic</w:t>
      </w:r>
      <w:proofErr w:type="spellEnd"/>
      <w:r>
        <w:rPr>
          <w:lang w:val="en-US"/>
        </w:rPr>
        <w:t xml:space="preserve"> acid have been determined </w:t>
      </w:r>
      <w:r w:rsidRPr="001F5B3E">
        <w:rPr>
          <w:lang w:val="en-US"/>
        </w:rPr>
        <w:t xml:space="preserve">at 25°C </w:t>
      </w:r>
      <w:r>
        <w:rPr>
          <w:lang w:val="en-US"/>
        </w:rPr>
        <w:t>to be</w:t>
      </w:r>
      <w:r w:rsidRPr="001F5B3E">
        <w:rPr>
          <w:lang w:val="en-US"/>
        </w:rPr>
        <w:t xml:space="preserve"> 6.</w:t>
      </w:r>
      <w:r>
        <w:rPr>
          <w:lang w:val="en-US"/>
        </w:rPr>
        <w:t>0</w:t>
      </w:r>
      <w:r w:rsidRPr="001F5B3E">
        <w:rPr>
          <w:lang w:val="en-US"/>
        </w:rPr>
        <w:t xml:space="preserve"> and </w:t>
      </w:r>
      <w:r>
        <w:rPr>
          <w:lang w:val="en-US"/>
        </w:rPr>
        <w:t>4.1</w:t>
      </w:r>
      <w:r w:rsidRPr="001F5B3E">
        <w:rPr>
          <w:lang w:val="en-US"/>
        </w:rPr>
        <w:t>, respectively.</w:t>
      </w:r>
    </w:p>
    <w:p w14:paraId="6E6029F6" w14:textId="37542003" w:rsidR="00A43980" w:rsidRPr="0056724E" w:rsidRDefault="007A6C50" w:rsidP="007A6C50">
      <w:pPr>
        <w:rPr>
          <w:b/>
          <w:lang w:val="en-CA"/>
        </w:rPr>
      </w:pPr>
      <w:r>
        <w:rPr>
          <w:lang w:val="en-CA"/>
        </w:rPr>
        <w:t>BELKYRA</w:t>
      </w:r>
      <w:r w:rsidRPr="0056724E">
        <w:rPr>
          <w:lang w:val="en-CA"/>
        </w:rPr>
        <w:t xml:space="preserve"> </w:t>
      </w:r>
      <w:r w:rsidR="00A43980" w:rsidRPr="0056724E">
        <w:rPr>
          <w:lang w:val="en-CA"/>
        </w:rPr>
        <w:t>is a clear, colourless, liquid essentially free of visible particulates</w:t>
      </w:r>
      <w:r w:rsidR="00CA355F">
        <w:rPr>
          <w:lang w:val="en-CA"/>
        </w:rPr>
        <w:t>.</w:t>
      </w:r>
      <w:r w:rsidR="00A43980" w:rsidRPr="0056724E">
        <w:rPr>
          <w:lang w:val="en-CA"/>
        </w:rPr>
        <w:t xml:space="preserve"> Each single-use 2 mL vial contains 20 mg (10 mg/mL) of deoxycholic acid formulated in a sterile solution of sodium hydroxide, dibasic sodium phosphate, sodium chloride, and water for injection. The formulation is adjusted to pH 8.3 with hydrochloric acid </w:t>
      </w:r>
      <w:r w:rsidR="00CC3AE9">
        <w:rPr>
          <w:lang w:val="en-CA"/>
        </w:rPr>
        <w:t xml:space="preserve">or sodium hydroxide </w:t>
      </w:r>
      <w:r w:rsidR="00A43980" w:rsidRPr="0056724E">
        <w:rPr>
          <w:lang w:val="en-CA"/>
        </w:rPr>
        <w:t>and has a tonicity compatible with that of biological tissues and fluids.</w:t>
      </w:r>
    </w:p>
    <w:p w14:paraId="7A36BFB8" w14:textId="77777777" w:rsidR="006F6CB4" w:rsidRPr="004569EA" w:rsidRDefault="00F22BCA" w:rsidP="006A0530">
      <w:pPr>
        <w:pStyle w:val="Heading1"/>
      </w:pPr>
      <w:r w:rsidRPr="004569EA">
        <w:lastRenderedPageBreak/>
        <w:t>P</w:t>
      </w:r>
      <w:r w:rsidR="001E2D56" w:rsidRPr="004569EA">
        <w:t>HARMACOLOGY</w:t>
      </w:r>
    </w:p>
    <w:p w14:paraId="2165F1B4" w14:textId="77777777" w:rsidR="00224AC7" w:rsidRPr="004569EA" w:rsidRDefault="00224AC7" w:rsidP="000632A8">
      <w:pPr>
        <w:pStyle w:val="Heading2"/>
        <w:rPr>
          <w:lang w:val="en-CA"/>
        </w:rPr>
      </w:pPr>
      <w:r w:rsidRPr="004569EA">
        <w:rPr>
          <w:lang w:val="en-CA"/>
        </w:rPr>
        <w:t>Mechanism of Action</w:t>
      </w:r>
    </w:p>
    <w:p w14:paraId="5EF6439B" w14:textId="473E2931" w:rsidR="00224AC7" w:rsidRPr="004569EA" w:rsidRDefault="003E3788" w:rsidP="009E2643">
      <w:pPr>
        <w:rPr>
          <w:lang w:val="en-CA"/>
        </w:rPr>
      </w:pPr>
      <w:r>
        <w:rPr>
          <w:lang w:val="en-CA"/>
        </w:rPr>
        <w:t>Deoxycholic acid</w:t>
      </w:r>
      <w:r w:rsidRPr="004569EA">
        <w:rPr>
          <w:lang w:val="en-CA"/>
        </w:rPr>
        <w:t xml:space="preserve"> </w:t>
      </w:r>
      <w:r w:rsidR="00224AC7" w:rsidRPr="004569EA">
        <w:rPr>
          <w:lang w:val="en-CA"/>
        </w:rPr>
        <w:t xml:space="preserve">is </w:t>
      </w:r>
      <w:proofErr w:type="gramStart"/>
      <w:r w:rsidR="00224AC7" w:rsidRPr="004569EA">
        <w:rPr>
          <w:lang w:val="en-CA"/>
        </w:rPr>
        <w:t>an</w:t>
      </w:r>
      <w:proofErr w:type="gramEnd"/>
      <w:r w:rsidR="00224AC7" w:rsidRPr="004569EA">
        <w:rPr>
          <w:lang w:val="en-CA"/>
        </w:rPr>
        <w:t xml:space="preserve"> cytolytic drug, which when injected into </w:t>
      </w:r>
      <w:r w:rsidR="006D2B34">
        <w:rPr>
          <w:lang w:val="en-CA"/>
        </w:rPr>
        <w:t>localised</w:t>
      </w:r>
      <w:r w:rsidR="006D2B34" w:rsidRPr="004569EA">
        <w:rPr>
          <w:lang w:val="en-CA"/>
        </w:rPr>
        <w:t xml:space="preserve"> </w:t>
      </w:r>
      <w:r w:rsidR="00224AC7" w:rsidRPr="004569EA">
        <w:rPr>
          <w:lang w:val="en-CA"/>
        </w:rPr>
        <w:t>subcutaneous fat, physically disrupts the cell membrane of adipocytes</w:t>
      </w:r>
      <w:r w:rsidRPr="003E3788">
        <w:rPr>
          <w:lang w:val="en-CA"/>
        </w:rPr>
        <w:t xml:space="preserve"> </w:t>
      </w:r>
      <w:r>
        <w:rPr>
          <w:lang w:val="en-CA"/>
        </w:rPr>
        <w:t>and causes cell lysis</w:t>
      </w:r>
      <w:r w:rsidR="00DC370C">
        <w:rPr>
          <w:lang w:val="en-CA"/>
        </w:rPr>
        <w:t>.</w:t>
      </w:r>
      <w:r w:rsidR="00224AC7" w:rsidRPr="004569EA">
        <w:rPr>
          <w:lang w:val="en-CA"/>
        </w:rPr>
        <w:t xml:space="preserve"> The destruction of adipocytes elicits an expected tissue response in which macrophages are attracted to the area to eliminate cellular debris and lipids, which are then cleared through natural processes. This is followed by the appearance of fibroblasts and observed thickening of fibrous septa, </w:t>
      </w:r>
      <w:r w:rsidR="00CA355F">
        <w:rPr>
          <w:lang w:val="en-CA"/>
        </w:rPr>
        <w:t xml:space="preserve">likely due to </w:t>
      </w:r>
      <w:r w:rsidR="00224AC7" w:rsidRPr="004569EA">
        <w:rPr>
          <w:lang w:val="en-CA"/>
        </w:rPr>
        <w:t xml:space="preserve">an increase in total collagen (i.e., </w:t>
      </w:r>
      <w:proofErr w:type="spellStart"/>
      <w:r w:rsidR="00224AC7" w:rsidRPr="004569EA">
        <w:rPr>
          <w:lang w:val="en-CA"/>
        </w:rPr>
        <w:t>neocollagenesis</w:t>
      </w:r>
      <w:proofErr w:type="spellEnd"/>
      <w:r w:rsidR="00224AC7" w:rsidRPr="004569EA">
        <w:rPr>
          <w:lang w:val="en-CA"/>
        </w:rPr>
        <w:t xml:space="preserve">). </w:t>
      </w:r>
    </w:p>
    <w:p w14:paraId="288C7A82" w14:textId="77777777" w:rsidR="00224AC7" w:rsidRPr="004569EA" w:rsidRDefault="00224AC7" w:rsidP="000632A8">
      <w:pPr>
        <w:pStyle w:val="Heading2"/>
        <w:rPr>
          <w:lang w:val="en-CA"/>
        </w:rPr>
      </w:pPr>
      <w:r w:rsidRPr="004569EA">
        <w:rPr>
          <w:lang w:val="en-CA"/>
        </w:rPr>
        <w:t>Pharmacodynamics</w:t>
      </w:r>
    </w:p>
    <w:p w14:paraId="3044A7F7" w14:textId="322592AF" w:rsidR="00224AC7" w:rsidRPr="004569EA" w:rsidRDefault="00224AC7" w:rsidP="009E2643">
      <w:pPr>
        <w:rPr>
          <w:lang w:val="en-CA"/>
        </w:rPr>
      </w:pPr>
      <w:r w:rsidRPr="004569EA">
        <w:rPr>
          <w:lang w:val="en-CA"/>
        </w:rPr>
        <w:t xml:space="preserve">In clinical dose-ranging trials of submental fat reduction, higher efficacy was observed with </w:t>
      </w:r>
      <w:r w:rsidR="003E3788">
        <w:rPr>
          <w:lang w:val="en-CA"/>
        </w:rPr>
        <w:t>BELKYRA</w:t>
      </w:r>
      <w:r w:rsidR="003E3788" w:rsidRPr="004569EA">
        <w:rPr>
          <w:lang w:val="en-CA"/>
        </w:rPr>
        <w:t xml:space="preserve"> </w:t>
      </w:r>
      <w:r w:rsidRPr="004569EA">
        <w:rPr>
          <w:lang w:val="en-CA"/>
        </w:rPr>
        <w:t>dosed at 2 mg/cm</w:t>
      </w:r>
      <w:r w:rsidRPr="004569EA">
        <w:rPr>
          <w:vertAlign w:val="superscript"/>
          <w:lang w:val="en-CA"/>
        </w:rPr>
        <w:t>2</w:t>
      </w:r>
      <w:r w:rsidRPr="004569EA">
        <w:rPr>
          <w:lang w:val="en-CA"/>
        </w:rPr>
        <w:t xml:space="preserve"> (based on clinician and patient rating scales, patient-reported outcomes, and MRI measurements) compared with </w:t>
      </w:r>
      <w:r w:rsidR="003E3788">
        <w:rPr>
          <w:lang w:val="en-CA"/>
        </w:rPr>
        <w:t>BELKYRA</w:t>
      </w:r>
      <w:r w:rsidRPr="004569EA">
        <w:rPr>
          <w:lang w:val="en-CA"/>
        </w:rPr>
        <w:t xml:space="preserve"> dosed at 1</w:t>
      </w:r>
      <w:r w:rsidR="00865D5C" w:rsidRPr="004569EA">
        <w:rPr>
          <w:lang w:val="en-CA"/>
        </w:rPr>
        <w:t> </w:t>
      </w:r>
      <w:r w:rsidRPr="004569EA">
        <w:rPr>
          <w:lang w:val="en-CA"/>
        </w:rPr>
        <w:t>mg/cm</w:t>
      </w:r>
      <w:r w:rsidRPr="004569EA">
        <w:rPr>
          <w:vertAlign w:val="superscript"/>
          <w:lang w:val="en-CA"/>
        </w:rPr>
        <w:t>2</w:t>
      </w:r>
      <w:r w:rsidRPr="004569EA">
        <w:rPr>
          <w:lang w:val="en-CA"/>
        </w:rPr>
        <w:t xml:space="preserve">, with little or no difference in safety profile. </w:t>
      </w:r>
    </w:p>
    <w:p w14:paraId="54EC874B" w14:textId="6679085B" w:rsidR="00224AC7" w:rsidRPr="004569EA" w:rsidRDefault="00224AC7" w:rsidP="009E2643">
      <w:pPr>
        <w:rPr>
          <w:lang w:val="en-CA"/>
        </w:rPr>
      </w:pPr>
      <w:r w:rsidRPr="004569EA">
        <w:rPr>
          <w:lang w:val="en-CA"/>
        </w:rPr>
        <w:t xml:space="preserve">In clinical trials, no clinically significant effect of </w:t>
      </w:r>
      <w:r w:rsidR="003E3788">
        <w:rPr>
          <w:lang w:val="en-CA"/>
        </w:rPr>
        <w:t>BELKYRA</w:t>
      </w:r>
      <w:r w:rsidRPr="004569EA">
        <w:rPr>
          <w:lang w:val="en-CA"/>
        </w:rPr>
        <w:t xml:space="preserve"> was observed on circulating lipid levels or any other laboratory parameter. </w:t>
      </w:r>
    </w:p>
    <w:p w14:paraId="110F3CEA" w14:textId="2E6FABD3" w:rsidR="00224AC7" w:rsidRPr="004569EA" w:rsidRDefault="00224AC7" w:rsidP="009E2643">
      <w:pPr>
        <w:rPr>
          <w:lang w:val="en-CA"/>
        </w:rPr>
      </w:pPr>
      <w:r w:rsidRPr="004569EA">
        <w:rPr>
          <w:lang w:val="en-CA"/>
        </w:rPr>
        <w:t xml:space="preserve">A QT/QTc study was conducted and neither 100 mg </w:t>
      </w:r>
      <w:r w:rsidR="003E3788">
        <w:rPr>
          <w:lang w:val="en-CA"/>
        </w:rPr>
        <w:t>BELKYRA</w:t>
      </w:r>
      <w:r w:rsidRPr="004569EA">
        <w:rPr>
          <w:lang w:val="en-CA"/>
        </w:rPr>
        <w:t xml:space="preserve"> nor the supratherapeutic dose of 200 mg </w:t>
      </w:r>
      <w:r w:rsidR="003E3788">
        <w:rPr>
          <w:lang w:val="en-CA"/>
        </w:rPr>
        <w:t>BELKYRA</w:t>
      </w:r>
      <w:r w:rsidRPr="004569EA">
        <w:rPr>
          <w:lang w:val="en-CA"/>
        </w:rPr>
        <w:t xml:space="preserve"> demonstrated a propensity to prolong the ECG QT duration in healthy volunteers. </w:t>
      </w:r>
    </w:p>
    <w:p w14:paraId="10A0895E" w14:textId="77777777" w:rsidR="00224AC7" w:rsidRPr="004569EA" w:rsidRDefault="00224AC7" w:rsidP="000632A8">
      <w:pPr>
        <w:pStyle w:val="Heading2"/>
        <w:rPr>
          <w:lang w:val="en-CA"/>
        </w:rPr>
      </w:pPr>
      <w:r w:rsidRPr="004569EA">
        <w:rPr>
          <w:lang w:val="en-CA"/>
        </w:rPr>
        <w:t>Pharmacokinetics</w:t>
      </w:r>
    </w:p>
    <w:p w14:paraId="3AF43E9F" w14:textId="1C0B4AFB" w:rsidR="00224AC7" w:rsidRPr="004569EA" w:rsidRDefault="00224AC7" w:rsidP="00941A1D">
      <w:pPr>
        <w:rPr>
          <w:lang w:val="en-CA"/>
        </w:rPr>
      </w:pPr>
      <w:r w:rsidRPr="004569EA">
        <w:rPr>
          <w:lang w:val="en-CA"/>
        </w:rPr>
        <w:t xml:space="preserve">Endogenous deoxycholic acid plasma levels are highly variable within and between individuals; most of this natural bile component is sequestered in the enterohepatic circulation loop. Pharmacokinetics of exogenous deoxycholic acid administered via treatment with </w:t>
      </w:r>
      <w:r w:rsidR="003E3788">
        <w:rPr>
          <w:lang w:val="en-CA"/>
        </w:rPr>
        <w:t>BELKYRA</w:t>
      </w:r>
      <w:r w:rsidRPr="004569EA">
        <w:rPr>
          <w:lang w:val="en-CA"/>
        </w:rPr>
        <w:t xml:space="preserve"> was compared against this endogenous background. Absorption: </w:t>
      </w:r>
    </w:p>
    <w:p w14:paraId="47132AE9" w14:textId="62E976E6" w:rsidR="00224AC7" w:rsidRDefault="00224AC7" w:rsidP="009E2643">
      <w:pPr>
        <w:rPr>
          <w:lang w:val="en-CA"/>
        </w:rPr>
      </w:pPr>
      <w:r w:rsidRPr="004569EA">
        <w:rPr>
          <w:lang w:val="en-CA"/>
        </w:rPr>
        <w:t xml:space="preserve">Deoxycholic acid from </w:t>
      </w:r>
      <w:r w:rsidR="003E3788">
        <w:rPr>
          <w:lang w:val="en-CA"/>
        </w:rPr>
        <w:t>BELKYRA</w:t>
      </w:r>
      <w:r w:rsidRPr="004569EA">
        <w:rPr>
          <w:lang w:val="en-CA"/>
        </w:rPr>
        <w:t xml:space="preserve"> is rapidly absorbed following subcutaneous injection. After dosing with the maximum recommended single treatment with </w:t>
      </w:r>
      <w:r w:rsidR="003E3788">
        <w:rPr>
          <w:lang w:val="en-CA"/>
        </w:rPr>
        <w:t>BELKYRA</w:t>
      </w:r>
      <w:r w:rsidRPr="004569EA">
        <w:rPr>
          <w:lang w:val="en-CA"/>
        </w:rPr>
        <w:t xml:space="preserve"> (100</w:t>
      </w:r>
      <w:r w:rsidR="00865D5C" w:rsidRPr="004569EA">
        <w:rPr>
          <w:lang w:val="en-CA"/>
        </w:rPr>
        <w:t> </w:t>
      </w:r>
      <w:r w:rsidRPr="004569EA">
        <w:rPr>
          <w:lang w:val="en-CA"/>
        </w:rPr>
        <w:t>mg), maximum plasma concentrations (mean C</w:t>
      </w:r>
      <w:r w:rsidRPr="004569EA">
        <w:rPr>
          <w:vertAlign w:val="subscript"/>
          <w:lang w:val="en-CA"/>
        </w:rPr>
        <w:t>max</w:t>
      </w:r>
      <w:r w:rsidRPr="004569EA">
        <w:rPr>
          <w:lang w:val="en-CA"/>
        </w:rPr>
        <w:t>) were observed within 30 minutes (median T</w:t>
      </w:r>
      <w:r w:rsidRPr="004569EA">
        <w:rPr>
          <w:vertAlign w:val="subscript"/>
          <w:lang w:val="en-CA"/>
        </w:rPr>
        <w:t>max</w:t>
      </w:r>
      <w:r w:rsidRPr="004569EA">
        <w:rPr>
          <w:lang w:val="en-CA"/>
        </w:rPr>
        <w:t>) after injection and mean C</w:t>
      </w:r>
      <w:r w:rsidRPr="004569EA">
        <w:rPr>
          <w:vertAlign w:val="subscript"/>
          <w:lang w:val="en-CA"/>
        </w:rPr>
        <w:t>max</w:t>
      </w:r>
      <w:r w:rsidRPr="004569EA">
        <w:rPr>
          <w:lang w:val="en-CA"/>
        </w:rPr>
        <w:t xml:space="preserve"> values were 2- to 3-fold higher than average C</w:t>
      </w:r>
      <w:r w:rsidRPr="004569EA">
        <w:rPr>
          <w:vertAlign w:val="subscript"/>
          <w:lang w:val="en-CA"/>
        </w:rPr>
        <w:t>max</w:t>
      </w:r>
      <w:r w:rsidRPr="004569EA">
        <w:rPr>
          <w:lang w:val="en-CA"/>
        </w:rPr>
        <w:t xml:space="preserve"> values observed during a 24-hour baseline endogenous period in the absence of </w:t>
      </w:r>
      <w:r w:rsidR="003E3788">
        <w:rPr>
          <w:lang w:val="en-CA"/>
        </w:rPr>
        <w:t>BELKYRA</w:t>
      </w:r>
      <w:r w:rsidRPr="004569EA">
        <w:rPr>
          <w:lang w:val="en-CA"/>
        </w:rPr>
        <w:t>. After maximum recommended single treatment dose (100 mg), average deoxycholic acid exposure (AUC</w:t>
      </w:r>
      <w:r w:rsidRPr="004569EA">
        <w:rPr>
          <w:vertAlign w:val="subscript"/>
          <w:lang w:val="en-CA"/>
        </w:rPr>
        <w:t>0-24</w:t>
      </w:r>
      <w:r w:rsidRPr="004569EA">
        <w:rPr>
          <w:lang w:val="en-CA"/>
        </w:rPr>
        <w:t>) was less than 2-fold higher over endogenous exposure. Plasma AUC</w:t>
      </w:r>
      <w:r w:rsidRPr="004569EA">
        <w:rPr>
          <w:vertAlign w:val="subscript"/>
          <w:lang w:val="en-CA"/>
        </w:rPr>
        <w:t>0-24</w:t>
      </w:r>
      <w:r w:rsidRPr="004569EA">
        <w:rPr>
          <w:lang w:val="en-CA"/>
        </w:rPr>
        <w:t xml:space="preserve"> increased in a dose-proportional manner up to 100 mg. </w:t>
      </w:r>
      <w:r w:rsidR="00E44404" w:rsidRPr="004569EA">
        <w:rPr>
          <w:lang w:val="en-CA"/>
        </w:rPr>
        <w:t>Post</w:t>
      </w:r>
      <w:r w:rsidR="00E44404">
        <w:rPr>
          <w:lang w:val="en-CA"/>
        </w:rPr>
        <w:noBreakHyphen/>
      </w:r>
      <w:r w:rsidR="00E44404" w:rsidRPr="004569EA">
        <w:rPr>
          <w:lang w:val="en-CA"/>
        </w:rPr>
        <w:t xml:space="preserve">treatment </w:t>
      </w:r>
      <w:r w:rsidRPr="004569EA">
        <w:rPr>
          <w:lang w:val="en-CA"/>
        </w:rPr>
        <w:t xml:space="preserve">deoxycholic acid plasma levels returned to the endogenous range within 24 hours. </w:t>
      </w:r>
      <w:r w:rsidR="009D17B7">
        <w:rPr>
          <w:lang w:val="en-CA"/>
        </w:rPr>
        <w:t xml:space="preserve"> </w:t>
      </w:r>
      <w:r w:rsidR="009D17B7">
        <w:rPr>
          <w:spacing w:val="-1"/>
        </w:rPr>
        <w:t>No accumulation is expected with the proposed treatment frequency.</w:t>
      </w:r>
    </w:p>
    <w:p w14:paraId="4561FB9E" w14:textId="77777777" w:rsidR="00224AC7" w:rsidRPr="004569EA" w:rsidRDefault="00224AC7" w:rsidP="000632A8">
      <w:pPr>
        <w:pStyle w:val="Heading3"/>
        <w:rPr>
          <w:lang w:val="en-CA"/>
        </w:rPr>
      </w:pPr>
      <w:r w:rsidRPr="004569EA">
        <w:rPr>
          <w:lang w:val="en-CA"/>
        </w:rPr>
        <w:t xml:space="preserve">Distribution: </w:t>
      </w:r>
    </w:p>
    <w:p w14:paraId="5AFEC778" w14:textId="31832FFF" w:rsidR="00224AC7" w:rsidRPr="004569EA" w:rsidRDefault="00224AC7" w:rsidP="009E2643">
      <w:pPr>
        <w:rPr>
          <w:lang w:val="en-CA"/>
        </w:rPr>
      </w:pPr>
      <w:r w:rsidRPr="004569EA">
        <w:rPr>
          <w:lang w:val="en-CA"/>
        </w:rPr>
        <w:t xml:space="preserve">The volume of distribution of </w:t>
      </w:r>
      <w:r w:rsidR="003E3788">
        <w:rPr>
          <w:lang w:val="en-CA"/>
        </w:rPr>
        <w:t>BELKYRA</w:t>
      </w:r>
      <w:r w:rsidRPr="004569EA">
        <w:rPr>
          <w:lang w:val="en-CA"/>
        </w:rPr>
        <w:t xml:space="preserve"> was estimated to be 193 L and is independent of the dose up to 100 mg. Deoxycholic acid is extensively bound to proteins in plasma (98%). </w:t>
      </w:r>
    </w:p>
    <w:p w14:paraId="7B373615" w14:textId="77777777" w:rsidR="00224AC7" w:rsidRPr="004569EA" w:rsidRDefault="00224AC7" w:rsidP="000632A8">
      <w:pPr>
        <w:pStyle w:val="Heading3"/>
        <w:rPr>
          <w:lang w:val="en-CA"/>
        </w:rPr>
      </w:pPr>
      <w:r w:rsidRPr="004569EA">
        <w:rPr>
          <w:lang w:val="en-CA"/>
        </w:rPr>
        <w:lastRenderedPageBreak/>
        <w:t xml:space="preserve">Metabolism and Excretion: </w:t>
      </w:r>
    </w:p>
    <w:p w14:paraId="6D73D4DB" w14:textId="39ABE167" w:rsidR="00941A1D" w:rsidRPr="00941A1D" w:rsidRDefault="00941A1D" w:rsidP="00941A1D">
      <w:pPr>
        <w:rPr>
          <w:bCs/>
          <w:lang w:val="en-GB"/>
        </w:rPr>
      </w:pPr>
      <w:r w:rsidRPr="00941A1D">
        <w:rPr>
          <w:bCs/>
          <w:lang w:val="en-US"/>
        </w:rPr>
        <w:t xml:space="preserve">Endogenous deoxycholic acid is a product of cholesterol metabolism and is excreted intact in feces. Deoxycholic acid from </w:t>
      </w:r>
      <w:r w:rsidR="00382A26" w:rsidRPr="00941A1D">
        <w:rPr>
          <w:lang w:val="en-GB"/>
        </w:rPr>
        <w:t>BELKYRA</w:t>
      </w:r>
      <w:r w:rsidRPr="00941A1D">
        <w:rPr>
          <w:lang w:val="en-GB"/>
        </w:rPr>
        <w:t xml:space="preserve"> </w:t>
      </w:r>
      <w:r w:rsidRPr="00941A1D">
        <w:rPr>
          <w:bCs/>
          <w:lang w:val="en-US"/>
        </w:rPr>
        <w:t>joins the endogenous bile acid pool and is excreted along with the endogenous deoxycholic acid.</w:t>
      </w:r>
      <w:r w:rsidRPr="00941A1D">
        <w:rPr>
          <w:b/>
          <w:bCs/>
          <w:lang w:val="en-GB"/>
        </w:rPr>
        <w:t xml:space="preserve"> </w:t>
      </w:r>
      <w:r w:rsidRPr="00941A1D">
        <w:rPr>
          <w:bCs/>
          <w:lang w:val="en-GB"/>
        </w:rPr>
        <w:t>Deoxycholic acid is eliminated via hepatic transport proteins from the blood to the bile without any significant contribution of metabolism.</w:t>
      </w:r>
    </w:p>
    <w:p w14:paraId="0FB9D6D0" w14:textId="77777777" w:rsidR="00941A1D" w:rsidRPr="00941A1D" w:rsidRDefault="00941A1D" w:rsidP="00941A1D">
      <w:pPr>
        <w:rPr>
          <w:bCs/>
          <w:lang w:val="en-GB"/>
        </w:rPr>
      </w:pPr>
      <w:r w:rsidRPr="00941A1D">
        <w:rPr>
          <w:bCs/>
          <w:lang w:val="en-GB"/>
        </w:rPr>
        <w:t>Deoxycholic acid is not an in vitro inhibitor of the enzymes CYP</w:t>
      </w:r>
      <w:r w:rsidRPr="00941A1D">
        <w:rPr>
          <w:lang w:val="en-GB"/>
        </w:rPr>
        <w:t xml:space="preserve">1A2, 2A6, 2B6, 2C8, 2C9, 2C19, 2D6 and 3A4. </w:t>
      </w:r>
      <w:r w:rsidRPr="00941A1D">
        <w:rPr>
          <w:bCs/>
          <w:lang w:val="en-GB"/>
        </w:rPr>
        <w:t xml:space="preserve">Deoxycholic acid did not induce CYP1A, 2B6 and 3A at a clinically level. </w:t>
      </w:r>
    </w:p>
    <w:p w14:paraId="6EB27E1A" w14:textId="6772A9C6" w:rsidR="00941A1D" w:rsidRDefault="00941A1D" w:rsidP="00941A1D">
      <w:pPr>
        <w:rPr>
          <w:lang w:val="en-CA"/>
        </w:rPr>
      </w:pPr>
      <w:r w:rsidRPr="00941A1D">
        <w:rPr>
          <w:bCs/>
          <w:lang w:val="en-GB"/>
        </w:rPr>
        <w:t>Deoxycholic acid is not an in vitro inhibitor of the transporters BSEP, MRP2, MRP4, MDR1, BCRP, OATP1B1, OATP1B3, OAT1, OAT3, OCT1, OCT2, OATP2B1 and ASBT. Deoxycholic acid inhibited NTCP with an IC50 of 2.14 µM in vitro</w:t>
      </w:r>
    </w:p>
    <w:p w14:paraId="509CAA39" w14:textId="77777777" w:rsidR="00941A1D" w:rsidRPr="004569EA" w:rsidRDefault="00941A1D" w:rsidP="009E2643">
      <w:pPr>
        <w:rPr>
          <w:lang w:val="en-CA"/>
        </w:rPr>
      </w:pPr>
    </w:p>
    <w:p w14:paraId="225D8181" w14:textId="77777777" w:rsidR="00224AC7" w:rsidRPr="004569EA" w:rsidRDefault="00224AC7" w:rsidP="00224AC7">
      <w:pPr>
        <w:widowControl w:val="0"/>
        <w:spacing w:before="120" w:after="120"/>
        <w:rPr>
          <w:iCs/>
          <w:lang w:val="en-CA"/>
        </w:rPr>
      </w:pPr>
      <w:r w:rsidRPr="004569EA">
        <w:rPr>
          <w:b/>
          <w:iCs/>
          <w:lang w:val="en-CA"/>
        </w:rPr>
        <w:t>Special Populations and Conditions</w:t>
      </w:r>
    </w:p>
    <w:p w14:paraId="783E003C" w14:textId="77777777" w:rsidR="00224AC7" w:rsidRPr="004569EA" w:rsidRDefault="00224AC7" w:rsidP="000632A8">
      <w:pPr>
        <w:pStyle w:val="Heading3"/>
        <w:rPr>
          <w:lang w:val="en-CA"/>
        </w:rPr>
      </w:pPr>
      <w:r w:rsidRPr="004569EA">
        <w:rPr>
          <w:lang w:val="en-CA"/>
        </w:rPr>
        <w:t xml:space="preserve">Hepatic </w:t>
      </w:r>
      <w:r w:rsidR="00865D5C" w:rsidRPr="004569EA">
        <w:rPr>
          <w:lang w:val="en-CA"/>
        </w:rPr>
        <w:t>Impairment</w:t>
      </w:r>
      <w:r w:rsidRPr="004569EA">
        <w:rPr>
          <w:lang w:val="en-CA"/>
        </w:rPr>
        <w:t xml:space="preserve">: </w:t>
      </w:r>
    </w:p>
    <w:p w14:paraId="7D9BFDD9" w14:textId="297518C3" w:rsidR="00224AC7" w:rsidRPr="004569EA" w:rsidRDefault="003E3788" w:rsidP="0041567A">
      <w:pPr>
        <w:rPr>
          <w:lang w:val="en-CA"/>
        </w:rPr>
      </w:pPr>
      <w:r>
        <w:rPr>
          <w:lang w:val="en-CA"/>
        </w:rPr>
        <w:t>BELKYRA</w:t>
      </w:r>
      <w:r w:rsidR="00224AC7" w:rsidRPr="004569EA">
        <w:rPr>
          <w:lang w:val="en-CA"/>
        </w:rPr>
        <w:t xml:space="preserve"> has not been studied in </w:t>
      </w:r>
      <w:r w:rsidR="0004763F">
        <w:rPr>
          <w:lang w:val="en-CA"/>
        </w:rPr>
        <w:t>patients</w:t>
      </w:r>
      <w:r w:rsidR="0004763F" w:rsidRPr="004569EA">
        <w:rPr>
          <w:lang w:val="en-CA"/>
        </w:rPr>
        <w:t xml:space="preserve"> </w:t>
      </w:r>
      <w:r w:rsidR="00224AC7" w:rsidRPr="004569EA">
        <w:rPr>
          <w:lang w:val="en-CA"/>
        </w:rPr>
        <w:t xml:space="preserve">with hepatic impairment. Considering the intermittent dose frequency, the small dose administered that represents approximately 3% of the total bile acid pool, and the highly variable endogenous deoxycholic acid levels, the pharmacokinetics of deoxycholic acid following </w:t>
      </w:r>
      <w:r>
        <w:rPr>
          <w:lang w:val="en-CA"/>
        </w:rPr>
        <w:t>BELKYRA</w:t>
      </w:r>
      <w:r w:rsidR="00224AC7" w:rsidRPr="004569EA">
        <w:rPr>
          <w:lang w:val="en-CA"/>
        </w:rPr>
        <w:t xml:space="preserve"> injection is unlikely to be influenced by hepatic impairment. </w:t>
      </w:r>
    </w:p>
    <w:p w14:paraId="64665801" w14:textId="77777777" w:rsidR="00224AC7" w:rsidRPr="004569EA" w:rsidRDefault="00224AC7" w:rsidP="000632A8">
      <w:pPr>
        <w:pStyle w:val="Heading3"/>
        <w:rPr>
          <w:lang w:val="en-CA"/>
        </w:rPr>
      </w:pPr>
      <w:r w:rsidRPr="004569EA">
        <w:rPr>
          <w:lang w:val="en-CA"/>
        </w:rPr>
        <w:t>Renal I</w:t>
      </w:r>
      <w:r w:rsidR="00865D5C" w:rsidRPr="004569EA">
        <w:rPr>
          <w:lang w:val="en-CA"/>
        </w:rPr>
        <w:t>mpairment</w:t>
      </w:r>
      <w:r w:rsidRPr="004569EA">
        <w:rPr>
          <w:lang w:val="en-CA"/>
        </w:rPr>
        <w:t xml:space="preserve">: </w:t>
      </w:r>
    </w:p>
    <w:p w14:paraId="454B070A" w14:textId="1D50A314" w:rsidR="00224AC7" w:rsidRPr="004569EA" w:rsidRDefault="003E3788" w:rsidP="009E2643">
      <w:pPr>
        <w:rPr>
          <w:lang w:val="en-CA"/>
        </w:rPr>
      </w:pPr>
      <w:r>
        <w:rPr>
          <w:lang w:val="en-CA"/>
        </w:rPr>
        <w:t>BELKYRA</w:t>
      </w:r>
      <w:r w:rsidR="00224AC7" w:rsidRPr="004569EA">
        <w:rPr>
          <w:lang w:val="en-CA"/>
        </w:rPr>
        <w:t xml:space="preserve"> has not been studied in </w:t>
      </w:r>
      <w:r w:rsidR="0004763F">
        <w:rPr>
          <w:lang w:val="en-CA"/>
        </w:rPr>
        <w:t>patients</w:t>
      </w:r>
      <w:r w:rsidR="0004763F" w:rsidRPr="004569EA">
        <w:rPr>
          <w:lang w:val="en-CA"/>
        </w:rPr>
        <w:t xml:space="preserve"> </w:t>
      </w:r>
      <w:r w:rsidR="00224AC7" w:rsidRPr="004569EA">
        <w:rPr>
          <w:lang w:val="en-CA"/>
        </w:rPr>
        <w:t xml:space="preserve">with renal impairment. Bile acids including endogenous deoxycholic acid are excreted in the urine in negligible amounts; renal impairment is unlikely to influence deoxycholic acid pharmacokinetics. </w:t>
      </w:r>
    </w:p>
    <w:p w14:paraId="6A59DAF4" w14:textId="77777777" w:rsidR="006A0530" w:rsidRPr="004569EA" w:rsidRDefault="000E60EC" w:rsidP="000632A8">
      <w:pPr>
        <w:pStyle w:val="Heading1"/>
      </w:pPr>
      <w:r w:rsidRPr="004569EA">
        <w:t>C</w:t>
      </w:r>
      <w:r w:rsidR="001E2D56" w:rsidRPr="004569EA">
        <w:t>LINICAL TRIALS</w:t>
      </w:r>
    </w:p>
    <w:p w14:paraId="1431B80E" w14:textId="77777777" w:rsidR="00224AC7" w:rsidRPr="004569EA" w:rsidRDefault="00224AC7" w:rsidP="000632A8">
      <w:pPr>
        <w:pStyle w:val="Heading2"/>
        <w:rPr>
          <w:lang w:val="en-CA"/>
        </w:rPr>
      </w:pPr>
      <w:r w:rsidRPr="004569EA">
        <w:rPr>
          <w:lang w:val="en-CA"/>
        </w:rPr>
        <w:t>Study demographics and trial design</w:t>
      </w:r>
    </w:p>
    <w:p w14:paraId="45F07C7E" w14:textId="398CF954" w:rsidR="003E3788" w:rsidRDefault="00224AC7" w:rsidP="009E2643">
      <w:pPr>
        <w:rPr>
          <w:lang w:val="en-CA"/>
        </w:rPr>
      </w:pPr>
      <w:r w:rsidRPr="004569EA">
        <w:rPr>
          <w:lang w:val="en-CA"/>
        </w:rPr>
        <w:t>Two identical Phase 3, randomi</w:t>
      </w:r>
      <w:r w:rsidR="000F62D9">
        <w:rPr>
          <w:lang w:val="en-CA"/>
        </w:rPr>
        <w:t>s</w:t>
      </w:r>
      <w:r w:rsidRPr="004569EA">
        <w:rPr>
          <w:lang w:val="en-CA"/>
        </w:rPr>
        <w:t>ed</w:t>
      </w:r>
      <w:r w:rsidR="00656920" w:rsidRPr="004569EA">
        <w:rPr>
          <w:lang w:val="en-CA"/>
        </w:rPr>
        <w:t>,</w:t>
      </w:r>
      <w:r w:rsidR="00656920">
        <w:rPr>
          <w:lang w:val="en-CA"/>
        </w:rPr>
        <w:t xml:space="preserve"> multi-</w:t>
      </w:r>
      <w:r w:rsidR="0030500C">
        <w:rPr>
          <w:lang w:val="en-CA"/>
        </w:rPr>
        <w:t>centre</w:t>
      </w:r>
      <w:r w:rsidR="00656920">
        <w:rPr>
          <w:lang w:val="en-CA"/>
        </w:rPr>
        <w:t xml:space="preserve">, </w:t>
      </w:r>
      <w:r w:rsidRPr="004569EA">
        <w:rPr>
          <w:lang w:val="en-CA"/>
        </w:rPr>
        <w:t>double-blind, placebo</w:t>
      </w:r>
      <w:r w:rsidR="0030500C">
        <w:rPr>
          <w:lang w:val="en-CA"/>
        </w:rPr>
        <w:t>-</w:t>
      </w:r>
      <w:r w:rsidRPr="004569EA">
        <w:rPr>
          <w:lang w:val="en-CA"/>
        </w:rPr>
        <w:t xml:space="preserve">controlled trials of </w:t>
      </w:r>
      <w:r w:rsidR="003E3788">
        <w:rPr>
          <w:lang w:val="en-CA"/>
        </w:rPr>
        <w:t>BELKYRA</w:t>
      </w:r>
      <w:r w:rsidRPr="004569EA">
        <w:rPr>
          <w:lang w:val="en-CA"/>
        </w:rPr>
        <w:t xml:space="preserve"> for use in improvement in the appearance of convexity or fullness associated with </w:t>
      </w:r>
      <w:r w:rsidR="000F62D9">
        <w:rPr>
          <w:lang w:val="en-CA"/>
        </w:rPr>
        <w:t>submental fat (SMF)</w:t>
      </w:r>
      <w:r w:rsidRPr="004569EA">
        <w:rPr>
          <w:lang w:val="en-CA"/>
        </w:rPr>
        <w:t xml:space="preserve"> were conducted in Canada and the United States</w:t>
      </w:r>
      <w:r w:rsidR="003E3788">
        <w:rPr>
          <w:lang w:val="en-CA"/>
        </w:rPr>
        <w:t xml:space="preserve"> as pivotal studies</w:t>
      </w:r>
      <w:r w:rsidRPr="004569EA">
        <w:rPr>
          <w:lang w:val="en-CA"/>
        </w:rPr>
        <w:t xml:space="preserve">. </w:t>
      </w:r>
      <w:r w:rsidR="003E3788">
        <w:rPr>
          <w:lang w:val="en-CA"/>
        </w:rPr>
        <w:t>Two supportive, identical Phase 3 studies of BELKYRA</w:t>
      </w:r>
      <w:r w:rsidR="003E3788" w:rsidRPr="004569EA">
        <w:rPr>
          <w:lang w:val="en-CA"/>
        </w:rPr>
        <w:t xml:space="preserve"> </w:t>
      </w:r>
      <w:r w:rsidR="003E3788">
        <w:rPr>
          <w:lang w:val="en-CA"/>
        </w:rPr>
        <w:t>for treatment of convexity or fullness associated with SMF were conducted in the European Union.</w:t>
      </w:r>
      <w:r w:rsidR="003E3788" w:rsidRPr="004569EA">
        <w:rPr>
          <w:lang w:val="en-CA"/>
        </w:rPr>
        <w:t xml:space="preserve"> </w:t>
      </w:r>
      <w:r w:rsidRPr="004569EA">
        <w:rPr>
          <w:lang w:val="en-CA"/>
        </w:rPr>
        <w:t xml:space="preserve">The </w:t>
      </w:r>
      <w:r w:rsidR="003E3788">
        <w:rPr>
          <w:lang w:val="en-CA"/>
        </w:rPr>
        <w:t xml:space="preserve">pivotal </w:t>
      </w:r>
      <w:r w:rsidRPr="004569EA">
        <w:rPr>
          <w:lang w:val="en-CA"/>
        </w:rPr>
        <w:t xml:space="preserve">trials enrolled healthy adults (ages 19 to 65, BMI ≤ 40) with moderate or severe SMF (i.e., grade 2 or 3 on 5-point validated grading scales, where 0 = none, 4 = extreme), as judged by both clinician and </w:t>
      </w:r>
      <w:r w:rsidR="00971A91">
        <w:rPr>
          <w:lang w:val="en-CA"/>
        </w:rPr>
        <w:t>patient</w:t>
      </w:r>
      <w:r w:rsidR="00971A91" w:rsidRPr="004569EA">
        <w:rPr>
          <w:lang w:val="en-CA"/>
        </w:rPr>
        <w:t xml:space="preserve"> </w:t>
      </w:r>
      <w:r w:rsidRPr="004569EA">
        <w:rPr>
          <w:lang w:val="en-CA"/>
        </w:rPr>
        <w:t xml:space="preserve">ratings. </w:t>
      </w:r>
    </w:p>
    <w:p w14:paraId="7D4C7035" w14:textId="17DC7171" w:rsidR="00224AC7" w:rsidRPr="004569EA" w:rsidRDefault="003E3788" w:rsidP="009E2643">
      <w:pPr>
        <w:rPr>
          <w:lang w:val="en-CA"/>
        </w:rPr>
      </w:pPr>
      <w:r>
        <w:rPr>
          <w:lang w:val="en-CA"/>
        </w:rPr>
        <w:t>In the pivotal studies s</w:t>
      </w:r>
      <w:r w:rsidR="00224AC7" w:rsidRPr="004569EA">
        <w:rPr>
          <w:lang w:val="en-CA"/>
        </w:rPr>
        <w:t xml:space="preserve">ubjects received up to six treatments with </w:t>
      </w:r>
      <w:r w:rsidRPr="003E3788">
        <w:rPr>
          <w:lang w:val="en-CA"/>
        </w:rPr>
        <w:t>BELKYRA</w:t>
      </w:r>
      <w:r w:rsidR="00224AC7" w:rsidRPr="004569EA">
        <w:rPr>
          <w:lang w:val="en-CA"/>
        </w:rPr>
        <w:t xml:space="preserve"> (N=515, combined trials) or placebo (N=504, combined trials) at approximately 4-week intervals. Use of ice/cold packs, topical and/or injectable local an</w:t>
      </w:r>
      <w:r w:rsidR="0004763F">
        <w:rPr>
          <w:lang w:val="en-CA"/>
        </w:rPr>
        <w:t>a</w:t>
      </w:r>
      <w:r w:rsidR="00224AC7" w:rsidRPr="004569EA">
        <w:rPr>
          <w:lang w:val="en-CA"/>
        </w:rPr>
        <w:t>esthesia was allowed during the clinical trials. Injection volume was 0.2 mL per injection site, spaced 1 cm apart into the submental fat tissue, which is expressed as dose per area as 2 mg/cm</w:t>
      </w:r>
      <w:r w:rsidR="00224AC7" w:rsidRPr="004569EA">
        <w:rPr>
          <w:vertAlign w:val="superscript"/>
          <w:lang w:val="en-CA"/>
        </w:rPr>
        <w:t>2</w:t>
      </w:r>
      <w:r w:rsidR="00224AC7" w:rsidRPr="004569EA">
        <w:rPr>
          <w:lang w:val="en-CA"/>
        </w:rPr>
        <w:t>. For each treatment session a maximum of 100 mg (10 mL</w:t>
      </w:r>
      <w:r w:rsidR="00207ABF">
        <w:rPr>
          <w:lang w:val="en-CA"/>
        </w:rPr>
        <w:t xml:space="preserve"> or up to 50 injection</w:t>
      </w:r>
      <w:r w:rsidR="009B6E52">
        <w:rPr>
          <w:lang w:val="en-CA"/>
        </w:rPr>
        <w:t>s</w:t>
      </w:r>
      <w:r w:rsidR="00224AC7" w:rsidRPr="004569EA">
        <w:rPr>
          <w:lang w:val="en-CA"/>
        </w:rPr>
        <w:t xml:space="preserve">) was permitted over the </w:t>
      </w:r>
      <w:r w:rsidR="00224AC7" w:rsidRPr="004569EA">
        <w:rPr>
          <w:lang w:val="en-CA"/>
        </w:rPr>
        <w:lastRenderedPageBreak/>
        <w:t xml:space="preserve">entire treatment area. The primary efficacy assessments were based on the composite clinician-reported (CR) and patient-reported (PR) ratings of SMF (concurrent improvement reported by both physician and patient) at 12 weeks after final treatment, relative to baseline. The trials employed co-primary endpoints: At least a 1-grade composite improvement, and at least a 2-grade composite improvement. As a secondary endpoint, visual and emotional impacts of SMF </w:t>
      </w:r>
      <w:r w:rsidR="007E4F51" w:rsidRPr="004569EA">
        <w:rPr>
          <w:lang w:val="en-CA"/>
        </w:rPr>
        <w:t>w</w:t>
      </w:r>
      <w:r w:rsidR="007E4F51">
        <w:rPr>
          <w:lang w:val="en-CA"/>
        </w:rPr>
        <w:t>ere</w:t>
      </w:r>
      <w:r w:rsidR="007E4F51" w:rsidRPr="004569EA">
        <w:rPr>
          <w:lang w:val="en-CA"/>
        </w:rPr>
        <w:t xml:space="preserve"> </w:t>
      </w:r>
      <w:r w:rsidR="00224AC7" w:rsidRPr="004569EA">
        <w:rPr>
          <w:lang w:val="en-CA"/>
        </w:rPr>
        <w:t xml:space="preserve">evaluated using a 6-question survey (happy, bothered, self-conscious, embarrassed, looking older or overweight in relation to the appearance of their SMF), with each question rated from 0 (not at all) to 10 (extremely/very much). </w:t>
      </w:r>
      <w:r w:rsidR="0079497D" w:rsidRPr="0079497D">
        <w:rPr>
          <w:rFonts w:eastAsia="Calibri"/>
          <w:bCs/>
          <w:spacing w:val="-1"/>
          <w:szCs w:val="22"/>
          <w:lang w:val="en-US"/>
        </w:rPr>
        <w:t xml:space="preserve"> </w:t>
      </w:r>
      <w:r w:rsidR="0079497D">
        <w:rPr>
          <w:rFonts w:eastAsia="Calibri"/>
          <w:bCs/>
          <w:spacing w:val="-1"/>
          <w:szCs w:val="22"/>
          <w:lang w:val="en-US"/>
        </w:rPr>
        <w:t>In addition</w:t>
      </w:r>
      <w:r w:rsidR="0079497D" w:rsidRPr="0058254F">
        <w:rPr>
          <w:rFonts w:eastAsia="Calibri"/>
          <w:bCs/>
          <w:spacing w:val="-1"/>
          <w:szCs w:val="22"/>
          <w:lang w:val="en-US"/>
        </w:rPr>
        <w:t xml:space="preserve">, </w:t>
      </w:r>
      <w:r w:rsidR="0079497D">
        <w:rPr>
          <w:rFonts w:eastAsia="Calibri"/>
          <w:bCs/>
          <w:spacing w:val="-1"/>
          <w:szCs w:val="22"/>
          <w:lang w:val="en-US"/>
        </w:rPr>
        <w:t xml:space="preserve">magnetic resonance imaging </w:t>
      </w:r>
      <w:r w:rsidR="0079497D" w:rsidRPr="0058254F">
        <w:rPr>
          <w:rFonts w:eastAsia="Calibri"/>
          <w:bCs/>
          <w:spacing w:val="-1"/>
          <w:szCs w:val="22"/>
          <w:lang w:val="en-US"/>
        </w:rPr>
        <w:t>(</w:t>
      </w:r>
      <w:r w:rsidR="0004763F">
        <w:rPr>
          <w:rFonts w:eastAsia="Calibri"/>
          <w:bCs/>
          <w:spacing w:val="-1"/>
          <w:szCs w:val="22"/>
          <w:lang w:val="en-US"/>
        </w:rPr>
        <w:t>MRI</w:t>
      </w:r>
      <w:r w:rsidR="0079497D" w:rsidRPr="0058254F">
        <w:rPr>
          <w:rFonts w:eastAsia="Calibri"/>
          <w:bCs/>
          <w:spacing w:val="-1"/>
          <w:szCs w:val="22"/>
          <w:lang w:val="en-US"/>
        </w:rPr>
        <w:t xml:space="preserve">) </w:t>
      </w:r>
      <w:r w:rsidR="0079497D">
        <w:rPr>
          <w:rFonts w:eastAsia="Calibri"/>
          <w:bCs/>
          <w:spacing w:val="-1"/>
          <w:szCs w:val="22"/>
          <w:lang w:val="en-US"/>
        </w:rPr>
        <w:t>w</w:t>
      </w:r>
      <w:r w:rsidR="0004763F">
        <w:rPr>
          <w:rFonts w:eastAsia="Calibri"/>
          <w:bCs/>
          <w:spacing w:val="-1"/>
          <w:szCs w:val="22"/>
          <w:lang w:val="en-US"/>
        </w:rPr>
        <w:t>as</w:t>
      </w:r>
      <w:r w:rsidR="0079497D">
        <w:rPr>
          <w:rFonts w:eastAsia="Calibri"/>
          <w:bCs/>
          <w:spacing w:val="-1"/>
          <w:szCs w:val="22"/>
          <w:lang w:val="en-US"/>
        </w:rPr>
        <w:t xml:space="preserve"> performed </w:t>
      </w:r>
      <w:r w:rsidR="0004763F">
        <w:rPr>
          <w:rFonts w:eastAsia="Calibri"/>
          <w:bCs/>
          <w:spacing w:val="-1"/>
          <w:szCs w:val="22"/>
          <w:lang w:val="en-US"/>
        </w:rPr>
        <w:t xml:space="preserve">in a subset of subjects (N=449, combined trials) </w:t>
      </w:r>
      <w:r w:rsidR="0079497D">
        <w:rPr>
          <w:rFonts w:eastAsia="Calibri"/>
          <w:bCs/>
          <w:spacing w:val="-1"/>
          <w:szCs w:val="22"/>
          <w:lang w:val="en-US"/>
        </w:rPr>
        <w:t>to confirm reduction of submental fat</w:t>
      </w:r>
      <w:r w:rsidR="0079497D" w:rsidRPr="0058254F">
        <w:rPr>
          <w:rFonts w:eastAsia="Calibri"/>
          <w:bCs/>
          <w:spacing w:val="-1"/>
          <w:szCs w:val="22"/>
          <w:lang w:val="en-US"/>
        </w:rPr>
        <w:t>.</w:t>
      </w:r>
    </w:p>
    <w:p w14:paraId="7879AC9E" w14:textId="77777777" w:rsidR="00224AC7" w:rsidRDefault="00224AC7" w:rsidP="009E2643">
      <w:pPr>
        <w:rPr>
          <w:lang w:val="en-CA"/>
        </w:rPr>
      </w:pPr>
      <w:r w:rsidRPr="004569EA">
        <w:rPr>
          <w:lang w:val="en-CA"/>
        </w:rPr>
        <w:t>In these trials, the mean age was 49 years and the mean BMI was 29 kg/m</w:t>
      </w:r>
      <w:r w:rsidRPr="004569EA">
        <w:rPr>
          <w:vertAlign w:val="superscript"/>
          <w:lang w:val="en-CA"/>
        </w:rPr>
        <w:t>2</w:t>
      </w:r>
      <w:r w:rsidRPr="004569EA">
        <w:rPr>
          <w:lang w:val="en-CA"/>
        </w:rPr>
        <w:t xml:space="preserve">. Most of the subjects were women (85%) and Caucasian (87%). At baseline, 51% of the subjects had a clinician-rated SMF severity of moderate and 49% had a SMF rating of severe. </w:t>
      </w:r>
    </w:p>
    <w:p w14:paraId="7BD33925" w14:textId="71444403" w:rsidR="005D028C" w:rsidRPr="004569EA" w:rsidRDefault="005D028C" w:rsidP="009E2643">
      <w:pPr>
        <w:rPr>
          <w:lang w:val="en-CA"/>
        </w:rPr>
      </w:pPr>
      <w:r w:rsidRPr="008F2910">
        <w:t>In the pre-market clinical trials, BELKYRA was administered by plastic surgeons, dermatologists and a small number of other medical practitioners with extensive experience in administration of aesthetic treatments</w:t>
      </w:r>
    </w:p>
    <w:p w14:paraId="6EE023E7" w14:textId="7EF8A854" w:rsidR="00224AC7" w:rsidRPr="004569EA" w:rsidRDefault="0079497D" w:rsidP="000632A8">
      <w:pPr>
        <w:pStyle w:val="Heading2"/>
        <w:rPr>
          <w:lang w:val="en-CA"/>
        </w:rPr>
      </w:pPr>
      <w:r>
        <w:rPr>
          <w:lang w:val="en-CA"/>
        </w:rPr>
        <w:t>Pivotal t</w:t>
      </w:r>
      <w:r w:rsidR="00224AC7" w:rsidRPr="004569EA">
        <w:rPr>
          <w:lang w:val="en-CA"/>
        </w:rPr>
        <w:t>rial results</w:t>
      </w:r>
    </w:p>
    <w:p w14:paraId="27CE5486" w14:textId="4ED043EA" w:rsidR="00224AC7" w:rsidRPr="004569EA" w:rsidRDefault="00224AC7" w:rsidP="009E2643">
      <w:pPr>
        <w:rPr>
          <w:lang w:val="en-CA"/>
        </w:rPr>
      </w:pPr>
      <w:r w:rsidRPr="004569EA">
        <w:rPr>
          <w:lang w:val="en-CA"/>
        </w:rPr>
        <w:t xml:space="preserve">Both 1-grade and 2-grade reductions in SMF were observed more frequently in the </w:t>
      </w:r>
      <w:r w:rsidR="0079497D" w:rsidRPr="003E3788">
        <w:rPr>
          <w:lang w:val="en-CA"/>
        </w:rPr>
        <w:t>BELKYRA</w:t>
      </w:r>
      <w:r w:rsidRPr="004569EA">
        <w:rPr>
          <w:lang w:val="en-CA"/>
        </w:rPr>
        <w:t xml:space="preserve"> group compared to the placebo group as measured by the composite clinician and patient ratings</w:t>
      </w:r>
      <w:r w:rsidR="00656920">
        <w:rPr>
          <w:lang w:val="en-CA"/>
        </w:rPr>
        <w:t xml:space="preserve">; </w:t>
      </w:r>
      <w:r w:rsidRPr="004569EA">
        <w:rPr>
          <w:lang w:val="en-CA"/>
        </w:rPr>
        <w:t xml:space="preserve">68.2% of </w:t>
      </w:r>
      <w:r w:rsidR="0079497D" w:rsidRPr="003E3788">
        <w:rPr>
          <w:lang w:val="en-CA"/>
        </w:rPr>
        <w:t>BELKYRA</w:t>
      </w:r>
      <w:r w:rsidRPr="004569EA">
        <w:rPr>
          <w:lang w:val="en-CA"/>
        </w:rPr>
        <w:t xml:space="preserve">-treated subjects had at least a 1-grade composite Submental Fat Rating Scale (SMFRS) response compared to 20.5% of placebo-treated subjects.  Sixteen percent (16.0%) of </w:t>
      </w:r>
      <w:r w:rsidR="0079497D" w:rsidRPr="003E3788">
        <w:rPr>
          <w:lang w:val="en-CA"/>
        </w:rPr>
        <w:t>BELKYRA</w:t>
      </w:r>
      <w:r w:rsidRPr="004569EA">
        <w:rPr>
          <w:lang w:val="en-CA"/>
        </w:rPr>
        <w:t xml:space="preserve">-treated subjects had at least a 2-grade composite SMFRS response compared to 1.5% of placebo-treated subjects (Table </w:t>
      </w:r>
      <w:r w:rsidR="0024461C">
        <w:rPr>
          <w:lang w:val="en-CA"/>
        </w:rPr>
        <w:t>1</w:t>
      </w:r>
      <w:r w:rsidRPr="004569EA">
        <w:rPr>
          <w:lang w:val="en-CA"/>
        </w:rPr>
        <w:t xml:space="preserve">). The individual clinician and patient assessments of response from which the composite response is derived are provided in Figure </w:t>
      </w:r>
      <w:r w:rsidR="00692278">
        <w:rPr>
          <w:lang w:val="en-CA"/>
        </w:rPr>
        <w:t>1</w:t>
      </w:r>
      <w:r w:rsidRPr="004569EA">
        <w:rPr>
          <w:lang w:val="en-CA"/>
        </w:rPr>
        <w:t xml:space="preserve">. The impact of SMF on emotional and self-perceived visual attributes showed a significant improvement in the </w:t>
      </w:r>
      <w:r w:rsidR="0079497D" w:rsidRPr="003E3788">
        <w:rPr>
          <w:lang w:val="en-CA"/>
        </w:rPr>
        <w:t>BELKYRA</w:t>
      </w:r>
      <w:r w:rsidRPr="004569EA">
        <w:rPr>
          <w:lang w:val="en-CA"/>
        </w:rPr>
        <w:t xml:space="preserve"> group compared to the placebo group as shown in Figure </w:t>
      </w:r>
      <w:r w:rsidR="00692278">
        <w:rPr>
          <w:lang w:val="en-CA"/>
        </w:rPr>
        <w:t>2</w:t>
      </w:r>
      <w:r w:rsidRPr="004569EA">
        <w:rPr>
          <w:lang w:val="en-CA"/>
        </w:rPr>
        <w:t xml:space="preserve">. </w:t>
      </w:r>
      <w:r w:rsidR="0079497D" w:rsidRPr="003E3788">
        <w:rPr>
          <w:lang w:val="en-CA"/>
        </w:rPr>
        <w:t>BELKYRA</w:t>
      </w:r>
      <w:r w:rsidRPr="004569EA">
        <w:rPr>
          <w:lang w:val="en-CA"/>
        </w:rPr>
        <w:t>-treated patients dropped 48.6% from a baseline of 7.27 to 3.74, or -3.53, at 12 weeks after the last treatment measured on a scale of 0 (no</w:t>
      </w:r>
      <w:r w:rsidR="0079497D">
        <w:rPr>
          <w:lang w:val="en-CA"/>
        </w:rPr>
        <w:t xml:space="preserve"> impact</w:t>
      </w:r>
      <w:r w:rsidRPr="004569EA">
        <w:rPr>
          <w:lang w:val="en-CA"/>
        </w:rPr>
        <w:t xml:space="preserve"> at all) to 10 (extreme</w:t>
      </w:r>
      <w:r w:rsidR="0079497D">
        <w:rPr>
          <w:lang w:val="en-CA"/>
        </w:rPr>
        <w:t xml:space="preserve"> impact</w:t>
      </w:r>
      <w:r w:rsidRPr="004569EA">
        <w:rPr>
          <w:lang w:val="en-CA"/>
        </w:rPr>
        <w:t xml:space="preserve">). Placebo-treated patients dropped 17.3% from a baseline of 7.28 to 6.02, or -1.26, at 12 weeks after the last treatment. </w:t>
      </w:r>
      <w:r w:rsidR="0079497D" w:rsidRPr="0079497D">
        <w:rPr>
          <w:rFonts w:eastAsia="Calibri"/>
          <w:bCs/>
          <w:szCs w:val="22"/>
          <w:lang w:val="en-US"/>
        </w:rPr>
        <w:t xml:space="preserve"> </w:t>
      </w:r>
      <w:r w:rsidR="0079497D" w:rsidRPr="00B93050">
        <w:rPr>
          <w:rFonts w:eastAsia="Calibri"/>
          <w:bCs/>
          <w:szCs w:val="22"/>
          <w:lang w:val="en-US"/>
        </w:rPr>
        <w:t xml:space="preserve">Statistically significant improvements in </w:t>
      </w:r>
      <w:r w:rsidR="0054175E">
        <w:rPr>
          <w:rFonts w:eastAsia="Calibri"/>
          <w:bCs/>
          <w:szCs w:val="22"/>
          <w:lang w:val="en-US"/>
        </w:rPr>
        <w:t>subject</w:t>
      </w:r>
      <w:r w:rsidR="0079497D" w:rsidRPr="00B93050">
        <w:rPr>
          <w:rFonts w:eastAsia="Calibri"/>
          <w:bCs/>
          <w:szCs w:val="22"/>
          <w:lang w:val="en-US"/>
        </w:rPr>
        <w:t xml:space="preserve"> satisfaction were observed more frequently in the BELKYRA group compared to the placebo group as</w:t>
      </w:r>
      <w:r w:rsidR="0079497D">
        <w:rPr>
          <w:rFonts w:eastAsia="Calibri"/>
          <w:bCs/>
          <w:szCs w:val="22"/>
          <w:lang w:val="en-US"/>
        </w:rPr>
        <w:t xml:space="preserve"> measured by the Subject Sel</w:t>
      </w:r>
      <w:r w:rsidR="0004763F">
        <w:rPr>
          <w:rFonts w:eastAsia="Calibri"/>
          <w:bCs/>
          <w:szCs w:val="22"/>
          <w:lang w:val="en-US"/>
        </w:rPr>
        <w:t>f Rating of Satisfaction scale</w:t>
      </w:r>
      <w:r w:rsidR="0079497D">
        <w:t>.</w:t>
      </w:r>
      <w:r w:rsidR="0054175E">
        <w:t xml:space="preserve"> </w:t>
      </w:r>
      <w:r w:rsidR="0054175E" w:rsidRPr="00A56206">
        <w:t>MRI measurements taken to confirm the reduction of submental fat indicate that a</w:t>
      </w:r>
      <w:r w:rsidR="0054175E">
        <w:t xml:space="preserve"> greater </w:t>
      </w:r>
      <w:r w:rsidR="0054175E" w:rsidRPr="005967D3">
        <w:t xml:space="preserve">proportion of </w:t>
      </w:r>
      <w:r w:rsidR="0054175E">
        <w:t>BELKYRA</w:t>
      </w:r>
      <w:r w:rsidR="0054175E" w:rsidRPr="005967D3">
        <w:t xml:space="preserve">-treated subjects had at least a 10% reduction in </w:t>
      </w:r>
      <w:r w:rsidR="0054175E" w:rsidRPr="00681647">
        <w:t>submental fat volume</w:t>
      </w:r>
      <w:r w:rsidR="0054175E" w:rsidRPr="005967D3">
        <w:t xml:space="preserve"> </w:t>
      </w:r>
      <w:r w:rsidR="0054175E">
        <w:t xml:space="preserve">as compared to </w:t>
      </w:r>
      <w:r w:rsidR="0054175E" w:rsidRPr="005967D3">
        <w:t>placebo-treated subjects</w:t>
      </w:r>
      <w:r w:rsidR="0054175E">
        <w:t xml:space="preserve"> </w:t>
      </w:r>
      <w:r w:rsidR="0054175E" w:rsidRPr="005967D3">
        <w:t>(43% vs 5%, respectively).</w:t>
      </w:r>
    </w:p>
    <w:p w14:paraId="318D590B" w14:textId="77777777" w:rsidR="00224AC7" w:rsidRPr="004569EA" w:rsidRDefault="00224AC7" w:rsidP="00224AC7">
      <w:pPr>
        <w:keepNext/>
        <w:widowControl w:val="0"/>
        <w:tabs>
          <w:tab w:val="left" w:pos="1080"/>
        </w:tabs>
        <w:spacing w:before="240" w:after="120"/>
        <w:ind w:left="1080" w:hanging="1166"/>
        <w:rPr>
          <w:b/>
          <w:lang w:val="en-CA"/>
        </w:rPr>
      </w:pPr>
      <w:r w:rsidRPr="004569EA">
        <w:rPr>
          <w:b/>
          <w:lang w:val="en-CA"/>
        </w:rPr>
        <w:lastRenderedPageBreak/>
        <w:t xml:space="preserve">Table </w:t>
      </w:r>
      <w:r w:rsidR="0024461C">
        <w:rPr>
          <w:b/>
          <w:lang w:val="en-CA"/>
        </w:rPr>
        <w:t>1</w:t>
      </w:r>
      <w:r w:rsidRPr="004569EA">
        <w:rPr>
          <w:b/>
          <w:lang w:val="en-CA"/>
        </w:rPr>
        <w:t>:</w:t>
      </w:r>
      <w:r w:rsidRPr="004569EA">
        <w:rPr>
          <w:b/>
          <w:lang w:val="en-CA"/>
        </w:rPr>
        <w:tab/>
        <w:t xml:space="preserve">Co-Primary Endpoints:  &gt; 1-Grade and &gt; 2-Grade Composite Clinician and Patient Response 12 Weeks After Final Treatment </w:t>
      </w:r>
    </w:p>
    <w:tbl>
      <w:tblPr>
        <w:tblW w:w="7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440"/>
        <w:gridCol w:w="1372"/>
        <w:gridCol w:w="1372"/>
      </w:tblGrid>
      <w:tr w:rsidR="00224AC7" w:rsidRPr="004569EA" w14:paraId="007BCED0" w14:textId="77777777" w:rsidTr="00D70259">
        <w:trPr>
          <w:trHeight w:val="737"/>
          <w:jc w:val="center"/>
        </w:trPr>
        <w:tc>
          <w:tcPr>
            <w:tcW w:w="3024" w:type="dxa"/>
            <w:shd w:val="clear" w:color="auto" w:fill="auto"/>
            <w:vAlign w:val="bottom"/>
          </w:tcPr>
          <w:p w14:paraId="169DD5F6" w14:textId="77777777" w:rsidR="00224AC7" w:rsidRPr="004569EA" w:rsidRDefault="00224AC7" w:rsidP="00B05FB6">
            <w:pPr>
              <w:keepNext/>
              <w:spacing w:after="0"/>
              <w:rPr>
                <w:b/>
                <w:sz w:val="22"/>
                <w:szCs w:val="22"/>
                <w:lang w:val="en-CA"/>
              </w:rPr>
            </w:pPr>
            <w:r w:rsidRPr="004569EA">
              <w:rPr>
                <w:b/>
                <w:sz w:val="22"/>
                <w:szCs w:val="22"/>
                <w:lang w:val="en-CA"/>
              </w:rPr>
              <w:t>Endpoint</w:t>
            </w:r>
          </w:p>
        </w:tc>
        <w:tc>
          <w:tcPr>
            <w:tcW w:w="1440" w:type="dxa"/>
            <w:shd w:val="clear" w:color="auto" w:fill="auto"/>
            <w:vAlign w:val="center"/>
          </w:tcPr>
          <w:p w14:paraId="40260579" w14:textId="77777777" w:rsidR="00224AC7" w:rsidRPr="004569EA" w:rsidRDefault="00224AC7" w:rsidP="00B05FB6">
            <w:pPr>
              <w:keepNext/>
              <w:spacing w:after="0"/>
              <w:jc w:val="center"/>
              <w:rPr>
                <w:b/>
                <w:sz w:val="22"/>
                <w:szCs w:val="22"/>
                <w:lang w:val="en-CA"/>
              </w:rPr>
            </w:pPr>
            <w:r w:rsidRPr="004569EA">
              <w:rPr>
                <w:b/>
                <w:sz w:val="22"/>
                <w:szCs w:val="22"/>
                <w:lang w:val="en-CA"/>
              </w:rPr>
              <w:t>ATX-101</w:t>
            </w:r>
            <w:r w:rsidRPr="004569EA">
              <w:rPr>
                <w:sz w:val="22"/>
                <w:szCs w:val="22"/>
                <w:vertAlign w:val="superscript"/>
                <w:lang w:val="en-CA"/>
              </w:rPr>
              <w:t>TM</w:t>
            </w:r>
            <w:r w:rsidRPr="004569EA">
              <w:rPr>
                <w:sz w:val="22"/>
                <w:szCs w:val="22"/>
                <w:lang w:val="en-CA"/>
              </w:rPr>
              <w:t xml:space="preserve"> </w:t>
            </w:r>
          </w:p>
          <w:p w14:paraId="0DACDB43" w14:textId="77777777" w:rsidR="00224AC7" w:rsidRPr="004569EA" w:rsidRDefault="00224AC7" w:rsidP="00B05FB6">
            <w:pPr>
              <w:keepNext/>
              <w:spacing w:after="0"/>
              <w:jc w:val="center"/>
              <w:rPr>
                <w:b/>
                <w:sz w:val="22"/>
                <w:szCs w:val="22"/>
                <w:lang w:val="en-CA"/>
              </w:rPr>
            </w:pPr>
            <w:r w:rsidRPr="004569EA">
              <w:rPr>
                <w:sz w:val="22"/>
                <w:szCs w:val="22"/>
                <w:lang w:val="en-CA"/>
              </w:rPr>
              <w:t>(N=514)</w:t>
            </w:r>
          </w:p>
        </w:tc>
        <w:tc>
          <w:tcPr>
            <w:tcW w:w="1372" w:type="dxa"/>
            <w:shd w:val="clear" w:color="auto" w:fill="auto"/>
            <w:vAlign w:val="center"/>
          </w:tcPr>
          <w:p w14:paraId="3B6446D2" w14:textId="77777777" w:rsidR="00224AC7" w:rsidRPr="004569EA" w:rsidRDefault="00224AC7" w:rsidP="00B05FB6">
            <w:pPr>
              <w:keepNext/>
              <w:spacing w:after="0"/>
              <w:jc w:val="center"/>
              <w:rPr>
                <w:sz w:val="22"/>
                <w:szCs w:val="22"/>
                <w:lang w:val="en-CA"/>
              </w:rPr>
            </w:pPr>
            <w:r w:rsidRPr="004569EA">
              <w:rPr>
                <w:b/>
                <w:sz w:val="22"/>
                <w:szCs w:val="22"/>
                <w:lang w:val="en-CA"/>
              </w:rPr>
              <w:t>Placebo</w:t>
            </w:r>
          </w:p>
          <w:p w14:paraId="10FDC9F2" w14:textId="77777777" w:rsidR="00224AC7" w:rsidRPr="004569EA" w:rsidRDefault="00224AC7" w:rsidP="00B05FB6">
            <w:pPr>
              <w:keepNext/>
              <w:spacing w:after="0"/>
              <w:jc w:val="center"/>
              <w:rPr>
                <w:b/>
                <w:sz w:val="22"/>
                <w:szCs w:val="22"/>
                <w:lang w:val="en-CA"/>
              </w:rPr>
            </w:pPr>
            <w:r w:rsidRPr="004569EA">
              <w:rPr>
                <w:sz w:val="22"/>
                <w:szCs w:val="22"/>
                <w:lang w:val="en-CA"/>
              </w:rPr>
              <w:t>(N=508)</w:t>
            </w:r>
          </w:p>
        </w:tc>
        <w:tc>
          <w:tcPr>
            <w:tcW w:w="1372" w:type="dxa"/>
            <w:shd w:val="clear" w:color="auto" w:fill="auto"/>
          </w:tcPr>
          <w:p w14:paraId="733912B7" w14:textId="77777777" w:rsidR="00224AC7" w:rsidRPr="004569EA" w:rsidRDefault="00224AC7" w:rsidP="00B05FB6">
            <w:pPr>
              <w:keepNext/>
              <w:spacing w:after="0"/>
              <w:jc w:val="center"/>
              <w:rPr>
                <w:b/>
                <w:sz w:val="22"/>
                <w:szCs w:val="22"/>
                <w:lang w:val="en-CA"/>
              </w:rPr>
            </w:pPr>
          </w:p>
          <w:p w14:paraId="6F8FF375" w14:textId="77777777" w:rsidR="00224AC7" w:rsidRPr="004569EA" w:rsidRDefault="00224AC7" w:rsidP="00B05FB6">
            <w:pPr>
              <w:keepNext/>
              <w:spacing w:after="0"/>
              <w:jc w:val="center"/>
              <w:rPr>
                <w:b/>
                <w:sz w:val="22"/>
                <w:szCs w:val="22"/>
                <w:lang w:val="en-CA"/>
              </w:rPr>
            </w:pPr>
            <w:r w:rsidRPr="004569EA">
              <w:rPr>
                <w:b/>
                <w:sz w:val="22"/>
                <w:szCs w:val="22"/>
                <w:lang w:val="en-CA"/>
              </w:rPr>
              <w:t>p-value</w:t>
            </w:r>
          </w:p>
        </w:tc>
      </w:tr>
      <w:tr w:rsidR="00224AC7" w:rsidRPr="004569EA" w14:paraId="256D52C7" w14:textId="77777777" w:rsidTr="00B05FB6">
        <w:trPr>
          <w:jc w:val="center"/>
        </w:trPr>
        <w:tc>
          <w:tcPr>
            <w:tcW w:w="3024" w:type="dxa"/>
            <w:shd w:val="clear" w:color="auto" w:fill="auto"/>
            <w:vAlign w:val="center"/>
          </w:tcPr>
          <w:p w14:paraId="28B9A60E" w14:textId="77777777" w:rsidR="00224AC7" w:rsidRPr="004569EA" w:rsidRDefault="00224AC7" w:rsidP="00B05FB6">
            <w:pPr>
              <w:keepNext/>
              <w:spacing w:after="0"/>
              <w:rPr>
                <w:sz w:val="22"/>
                <w:szCs w:val="22"/>
                <w:lang w:val="en-CA"/>
              </w:rPr>
            </w:pPr>
            <w:r w:rsidRPr="004569EA">
              <w:rPr>
                <w:sz w:val="22"/>
                <w:szCs w:val="22"/>
                <w:lang w:val="en-CA"/>
              </w:rPr>
              <w:t>1-Grade Composite Response</w:t>
            </w:r>
            <w:r w:rsidRPr="004569EA">
              <w:rPr>
                <w:sz w:val="22"/>
                <w:szCs w:val="22"/>
                <w:vertAlign w:val="superscript"/>
                <w:lang w:val="en-CA"/>
              </w:rPr>
              <w:t xml:space="preserve"> </w:t>
            </w:r>
          </w:p>
        </w:tc>
        <w:tc>
          <w:tcPr>
            <w:tcW w:w="1440" w:type="dxa"/>
            <w:shd w:val="clear" w:color="auto" w:fill="auto"/>
            <w:vAlign w:val="center"/>
          </w:tcPr>
          <w:p w14:paraId="75242C2B" w14:textId="77777777" w:rsidR="005F7699" w:rsidRDefault="00224AC7" w:rsidP="00B05FB6">
            <w:pPr>
              <w:keepNext/>
              <w:spacing w:after="0"/>
              <w:jc w:val="center"/>
              <w:rPr>
                <w:sz w:val="22"/>
                <w:szCs w:val="22"/>
                <w:lang w:val="en-CA"/>
              </w:rPr>
            </w:pPr>
            <w:r w:rsidRPr="004569EA">
              <w:rPr>
                <w:sz w:val="22"/>
                <w:szCs w:val="22"/>
                <w:lang w:val="en-CA"/>
              </w:rPr>
              <w:t>351</w:t>
            </w:r>
          </w:p>
          <w:p w14:paraId="07BF6519" w14:textId="77777777" w:rsidR="00224AC7" w:rsidRPr="004569EA" w:rsidRDefault="00224AC7" w:rsidP="00B05FB6">
            <w:pPr>
              <w:keepNext/>
              <w:spacing w:after="0"/>
              <w:jc w:val="center"/>
              <w:rPr>
                <w:sz w:val="22"/>
                <w:szCs w:val="22"/>
                <w:lang w:val="en-CA"/>
              </w:rPr>
            </w:pPr>
            <w:r w:rsidRPr="004569EA">
              <w:rPr>
                <w:sz w:val="22"/>
                <w:szCs w:val="22"/>
                <w:lang w:val="en-CA"/>
              </w:rPr>
              <w:t>(68.2%)</w:t>
            </w:r>
          </w:p>
        </w:tc>
        <w:tc>
          <w:tcPr>
            <w:tcW w:w="1372" w:type="dxa"/>
            <w:shd w:val="clear" w:color="auto" w:fill="auto"/>
            <w:vAlign w:val="center"/>
          </w:tcPr>
          <w:p w14:paraId="54962881" w14:textId="77777777" w:rsidR="005F7699" w:rsidRDefault="00224AC7" w:rsidP="00B05FB6">
            <w:pPr>
              <w:keepNext/>
              <w:spacing w:after="0"/>
              <w:jc w:val="center"/>
              <w:rPr>
                <w:sz w:val="22"/>
                <w:szCs w:val="22"/>
                <w:lang w:val="en-CA"/>
              </w:rPr>
            </w:pPr>
            <w:r w:rsidRPr="004569EA">
              <w:rPr>
                <w:sz w:val="22"/>
                <w:szCs w:val="22"/>
                <w:lang w:val="en-CA"/>
              </w:rPr>
              <w:t>104</w:t>
            </w:r>
          </w:p>
          <w:p w14:paraId="1F9CAE16" w14:textId="77777777" w:rsidR="00224AC7" w:rsidRPr="004569EA" w:rsidRDefault="00224AC7" w:rsidP="00B05FB6">
            <w:pPr>
              <w:keepNext/>
              <w:spacing w:after="0"/>
              <w:jc w:val="center"/>
              <w:rPr>
                <w:sz w:val="22"/>
                <w:szCs w:val="22"/>
                <w:lang w:val="en-CA"/>
              </w:rPr>
            </w:pPr>
            <w:r w:rsidRPr="004569EA">
              <w:rPr>
                <w:sz w:val="22"/>
                <w:szCs w:val="22"/>
                <w:lang w:val="en-CA"/>
              </w:rPr>
              <w:t>(20.5%)</w:t>
            </w:r>
          </w:p>
        </w:tc>
        <w:tc>
          <w:tcPr>
            <w:tcW w:w="1372" w:type="dxa"/>
            <w:shd w:val="clear" w:color="auto" w:fill="auto"/>
            <w:vAlign w:val="center"/>
          </w:tcPr>
          <w:p w14:paraId="58CF57EF" w14:textId="77777777" w:rsidR="00224AC7" w:rsidRPr="004569EA" w:rsidRDefault="00224AC7" w:rsidP="00B05FB6">
            <w:pPr>
              <w:keepNext/>
              <w:spacing w:after="0"/>
              <w:jc w:val="center"/>
              <w:rPr>
                <w:sz w:val="22"/>
                <w:szCs w:val="22"/>
                <w:lang w:val="en-CA"/>
              </w:rPr>
            </w:pPr>
            <w:r w:rsidRPr="004569EA">
              <w:rPr>
                <w:sz w:val="22"/>
                <w:szCs w:val="22"/>
                <w:lang w:val="en-CA"/>
              </w:rPr>
              <w:t>&lt;0.001</w:t>
            </w:r>
          </w:p>
        </w:tc>
      </w:tr>
      <w:tr w:rsidR="00224AC7" w:rsidRPr="004569EA" w14:paraId="031D8FE6" w14:textId="77777777" w:rsidTr="00B05FB6">
        <w:trPr>
          <w:jc w:val="center"/>
        </w:trPr>
        <w:tc>
          <w:tcPr>
            <w:tcW w:w="3024" w:type="dxa"/>
            <w:shd w:val="clear" w:color="auto" w:fill="auto"/>
            <w:vAlign w:val="center"/>
          </w:tcPr>
          <w:p w14:paraId="6E0D65CC" w14:textId="77777777" w:rsidR="00224AC7" w:rsidRPr="004569EA" w:rsidRDefault="00224AC7" w:rsidP="00B05FB6">
            <w:pPr>
              <w:keepNext/>
              <w:spacing w:after="0"/>
              <w:rPr>
                <w:sz w:val="22"/>
                <w:szCs w:val="22"/>
                <w:lang w:val="en-CA"/>
              </w:rPr>
            </w:pPr>
            <w:r w:rsidRPr="004569EA">
              <w:rPr>
                <w:sz w:val="22"/>
                <w:szCs w:val="22"/>
                <w:lang w:val="en-CA"/>
              </w:rPr>
              <w:t>2-Grade Composite Response</w:t>
            </w:r>
            <w:r w:rsidRPr="004569EA">
              <w:rPr>
                <w:sz w:val="22"/>
                <w:szCs w:val="22"/>
                <w:vertAlign w:val="superscript"/>
                <w:lang w:val="en-CA"/>
              </w:rPr>
              <w:t xml:space="preserve"> </w:t>
            </w:r>
          </w:p>
        </w:tc>
        <w:tc>
          <w:tcPr>
            <w:tcW w:w="1440" w:type="dxa"/>
            <w:shd w:val="clear" w:color="auto" w:fill="auto"/>
            <w:vAlign w:val="center"/>
          </w:tcPr>
          <w:p w14:paraId="13072438" w14:textId="77777777" w:rsidR="005F7699" w:rsidRDefault="00224AC7" w:rsidP="00B05FB6">
            <w:pPr>
              <w:keepNext/>
              <w:spacing w:after="0"/>
              <w:jc w:val="center"/>
              <w:rPr>
                <w:sz w:val="22"/>
                <w:szCs w:val="22"/>
                <w:lang w:val="en-CA"/>
              </w:rPr>
            </w:pPr>
            <w:r w:rsidRPr="004569EA">
              <w:rPr>
                <w:sz w:val="22"/>
                <w:szCs w:val="22"/>
                <w:lang w:val="en-CA"/>
              </w:rPr>
              <w:t>82</w:t>
            </w:r>
          </w:p>
          <w:p w14:paraId="14053B68" w14:textId="77777777" w:rsidR="00224AC7" w:rsidRPr="004569EA" w:rsidRDefault="00224AC7" w:rsidP="00B05FB6">
            <w:pPr>
              <w:keepNext/>
              <w:spacing w:after="0"/>
              <w:jc w:val="center"/>
              <w:rPr>
                <w:sz w:val="22"/>
                <w:szCs w:val="22"/>
                <w:lang w:val="en-CA"/>
              </w:rPr>
            </w:pPr>
            <w:r w:rsidRPr="004569EA">
              <w:rPr>
                <w:sz w:val="22"/>
                <w:szCs w:val="22"/>
                <w:lang w:val="en-CA"/>
              </w:rPr>
              <w:t>(16%)</w:t>
            </w:r>
          </w:p>
        </w:tc>
        <w:tc>
          <w:tcPr>
            <w:tcW w:w="1372" w:type="dxa"/>
            <w:shd w:val="clear" w:color="auto" w:fill="auto"/>
            <w:vAlign w:val="center"/>
          </w:tcPr>
          <w:p w14:paraId="27C4CE10" w14:textId="77777777" w:rsidR="005F7699" w:rsidRDefault="00224AC7" w:rsidP="00B05FB6">
            <w:pPr>
              <w:keepNext/>
              <w:spacing w:after="0"/>
              <w:jc w:val="center"/>
              <w:rPr>
                <w:sz w:val="22"/>
                <w:szCs w:val="22"/>
                <w:lang w:val="en-CA"/>
              </w:rPr>
            </w:pPr>
            <w:r w:rsidRPr="004569EA">
              <w:rPr>
                <w:sz w:val="22"/>
                <w:szCs w:val="22"/>
                <w:lang w:val="en-CA"/>
              </w:rPr>
              <w:t>8</w:t>
            </w:r>
          </w:p>
          <w:p w14:paraId="44220804" w14:textId="77777777" w:rsidR="00224AC7" w:rsidRPr="004569EA" w:rsidRDefault="00224AC7" w:rsidP="00B05FB6">
            <w:pPr>
              <w:keepNext/>
              <w:spacing w:after="0"/>
              <w:jc w:val="center"/>
              <w:rPr>
                <w:sz w:val="22"/>
                <w:szCs w:val="22"/>
                <w:lang w:val="en-CA"/>
              </w:rPr>
            </w:pPr>
            <w:r w:rsidRPr="004569EA">
              <w:rPr>
                <w:sz w:val="22"/>
                <w:szCs w:val="22"/>
                <w:lang w:val="en-CA"/>
              </w:rPr>
              <w:t>(1.5%)</w:t>
            </w:r>
          </w:p>
        </w:tc>
        <w:tc>
          <w:tcPr>
            <w:tcW w:w="1372" w:type="dxa"/>
            <w:shd w:val="clear" w:color="auto" w:fill="auto"/>
            <w:vAlign w:val="center"/>
          </w:tcPr>
          <w:p w14:paraId="689A50E0" w14:textId="77777777" w:rsidR="00224AC7" w:rsidRPr="004569EA" w:rsidRDefault="00224AC7" w:rsidP="00B05FB6">
            <w:pPr>
              <w:keepNext/>
              <w:spacing w:after="0"/>
              <w:jc w:val="center"/>
              <w:rPr>
                <w:sz w:val="22"/>
                <w:szCs w:val="22"/>
                <w:lang w:val="en-CA"/>
              </w:rPr>
            </w:pPr>
            <w:r w:rsidRPr="004569EA">
              <w:rPr>
                <w:sz w:val="22"/>
                <w:szCs w:val="22"/>
                <w:lang w:val="en-CA"/>
              </w:rPr>
              <w:t>&lt;0.001</w:t>
            </w:r>
          </w:p>
        </w:tc>
      </w:tr>
    </w:tbl>
    <w:p w14:paraId="20261AF6" w14:textId="77777777" w:rsidR="00224AC7" w:rsidRPr="004569EA" w:rsidRDefault="00224AC7" w:rsidP="00224AC7">
      <w:pPr>
        <w:pStyle w:val="BodyTextIndent"/>
        <w:spacing w:before="120"/>
        <w:rPr>
          <w:b/>
          <w:lang w:val="en-CA"/>
        </w:rPr>
      </w:pPr>
    </w:p>
    <w:p w14:paraId="70E50FE1" w14:textId="77777777" w:rsidR="00224AC7" w:rsidRPr="004569EA" w:rsidRDefault="00224AC7" w:rsidP="00224AC7">
      <w:pPr>
        <w:pStyle w:val="TableTitle"/>
        <w:tabs>
          <w:tab w:val="left" w:pos="1080"/>
        </w:tabs>
      </w:pPr>
      <w:r w:rsidRPr="004569EA">
        <w:t xml:space="preserve">Figure </w:t>
      </w:r>
      <w:r w:rsidR="00692278">
        <w:t>1</w:t>
      </w:r>
      <w:r w:rsidRPr="004569EA">
        <w:t>:</w:t>
      </w:r>
      <w:r w:rsidRPr="004569EA">
        <w:tab/>
        <w:t>Clinician-Reported and Patient-Reported Assessment of Response (SMFRS)</w:t>
      </w:r>
    </w:p>
    <w:p w14:paraId="1E9F2AA5" w14:textId="1ED5E886" w:rsidR="00224AC7" w:rsidRPr="004569EA" w:rsidRDefault="00E44404" w:rsidP="00224AC7">
      <w:pPr>
        <w:tabs>
          <w:tab w:val="left" w:pos="7110"/>
        </w:tabs>
        <w:spacing w:before="120" w:after="120"/>
        <w:rPr>
          <w:lang w:val="en-CA"/>
        </w:rPr>
      </w:pPr>
      <w:r w:rsidRPr="004569EA">
        <w:rPr>
          <w:noProof/>
          <w:lang w:eastAsia="en-AU"/>
        </w:rPr>
        <w:drawing>
          <wp:inline distT="0" distB="0" distL="0" distR="0" wp14:anchorId="11D043BA" wp14:editId="7DC30325">
            <wp:extent cx="5518150" cy="312872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8150" cy="3128720"/>
                    </a:xfrm>
                    <a:prstGeom prst="rect">
                      <a:avLst/>
                    </a:prstGeom>
                    <a:noFill/>
                    <a:ln>
                      <a:noFill/>
                    </a:ln>
                  </pic:spPr>
                </pic:pic>
              </a:graphicData>
            </a:graphic>
          </wp:inline>
        </w:drawing>
      </w:r>
      <w:r w:rsidR="00AE3A82">
        <w:rPr>
          <w:noProof/>
          <w:lang w:eastAsia="en-AU"/>
        </w:rPr>
        <mc:AlternateContent>
          <mc:Choice Requires="wps">
            <w:drawing>
              <wp:anchor distT="0" distB="0" distL="114300" distR="114300" simplePos="0" relativeHeight="251659264" behindDoc="0" locked="0" layoutInCell="1" allowOverlap="1" wp14:anchorId="3D5C94B5" wp14:editId="01D68C6D">
                <wp:simplePos x="0" y="0"/>
                <wp:positionH relativeFrom="column">
                  <wp:posOffset>739140</wp:posOffset>
                </wp:positionH>
                <wp:positionV relativeFrom="paragraph">
                  <wp:posOffset>3182620</wp:posOffset>
                </wp:positionV>
                <wp:extent cx="3649980" cy="2133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A41B" w14:textId="77777777" w:rsidR="0079497D" w:rsidRPr="00BB29B6" w:rsidRDefault="0079497D" w:rsidP="00224AC7">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8.2pt;margin-top:250.6pt;width:287.4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ss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" filled="f" stroked="f">
                <v:textbox>
                  <w:txbxContent>
                    <w:p w14:paraId="7BE3A41B" w14:textId="77777777" w:rsidR="0079497D" w:rsidRPr="00BB29B6" w:rsidRDefault="0079497D" w:rsidP="00224AC7">
                      <w:pPr>
                        <w:rPr>
                          <w:rFonts w:ascii="Calibri" w:hAnsi="Calibri"/>
                          <w:sz w:val="20"/>
                        </w:rPr>
                      </w:pPr>
                    </w:p>
                  </w:txbxContent>
                </v:textbox>
              </v:shape>
            </w:pict>
          </mc:Fallback>
        </mc:AlternateContent>
      </w:r>
    </w:p>
    <w:p w14:paraId="5B33B1D0" w14:textId="77777777" w:rsidR="00224AC7" w:rsidRPr="004569EA" w:rsidRDefault="00224AC7" w:rsidP="00224A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lang w:val="en-CA"/>
        </w:rPr>
      </w:pPr>
    </w:p>
    <w:p w14:paraId="69396967" w14:textId="77777777" w:rsidR="00224AC7" w:rsidRPr="004569EA" w:rsidRDefault="00224AC7" w:rsidP="00224AC7">
      <w:pPr>
        <w:pStyle w:val="TableTitle"/>
        <w:tabs>
          <w:tab w:val="left" w:pos="1080"/>
        </w:tabs>
      </w:pPr>
      <w:r w:rsidRPr="004569EA">
        <w:lastRenderedPageBreak/>
        <w:t xml:space="preserve">Figure </w:t>
      </w:r>
      <w:r w:rsidR="00692278">
        <w:t>2</w:t>
      </w:r>
      <w:r w:rsidRPr="004569EA">
        <w:t>:</w:t>
      </w:r>
      <w:r w:rsidRPr="004569EA">
        <w:tab/>
        <w:t>Mean SMF Impact Change 12 Weeks after Last Treatment</w:t>
      </w:r>
    </w:p>
    <w:p w14:paraId="5A8D8363" w14:textId="77777777" w:rsidR="00224AC7" w:rsidRPr="004569EA" w:rsidRDefault="00E44404" w:rsidP="00224AC7">
      <w:pPr>
        <w:pStyle w:val="TableTitle"/>
        <w:spacing w:before="0" w:after="0"/>
        <w:ind w:left="0" w:firstLine="0"/>
        <w:jc w:val="left"/>
        <w:rPr>
          <w:spacing w:val="-1"/>
          <w:lang w:val="en-CA"/>
        </w:rPr>
      </w:pPr>
      <w:r w:rsidRPr="004569EA">
        <w:rPr>
          <w:noProof/>
          <w:lang w:val="en-AU" w:eastAsia="en-AU"/>
        </w:rPr>
        <w:drawing>
          <wp:inline distT="0" distB="0" distL="0" distR="0" wp14:anchorId="23C1BDBF" wp14:editId="5A9901A1">
            <wp:extent cx="5518150" cy="3128613"/>
            <wp:effectExtent l="0" t="0" r="635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8150" cy="3128613"/>
                    </a:xfrm>
                    <a:prstGeom prst="rect">
                      <a:avLst/>
                    </a:prstGeom>
                    <a:noFill/>
                    <a:ln>
                      <a:noFill/>
                    </a:ln>
                  </pic:spPr>
                </pic:pic>
              </a:graphicData>
            </a:graphic>
          </wp:inline>
        </w:drawing>
      </w:r>
    </w:p>
    <w:p w14:paraId="01F6472F" w14:textId="77777777" w:rsidR="0041567A" w:rsidRPr="004569EA" w:rsidRDefault="0041567A" w:rsidP="0041567A">
      <w:pPr>
        <w:spacing w:after="0"/>
        <w:rPr>
          <w:lang w:val="en-CA"/>
        </w:rPr>
      </w:pPr>
    </w:p>
    <w:p w14:paraId="60157DDC" w14:textId="392D296B" w:rsidR="00224AC7" w:rsidRPr="004569EA" w:rsidRDefault="0079497D" w:rsidP="009E2643">
      <w:pPr>
        <w:rPr>
          <w:lang w:val="en-CA"/>
        </w:rPr>
      </w:pPr>
      <w:r>
        <w:rPr>
          <w:lang w:val="en-US"/>
        </w:rPr>
        <w:t>T</w:t>
      </w:r>
      <w:r w:rsidRPr="00045A6F">
        <w:rPr>
          <w:lang w:val="en-US"/>
        </w:rPr>
        <w:t>he supportive EU Phase 3 studies met their prospective primary endpoints and also demonstrated efficacy consistent with the pivotal</w:t>
      </w:r>
      <w:r>
        <w:rPr>
          <w:lang w:val="en-US"/>
        </w:rPr>
        <w:t xml:space="preserve"> </w:t>
      </w:r>
      <w:r w:rsidRPr="00045A6F">
        <w:rPr>
          <w:lang w:val="en-US"/>
        </w:rPr>
        <w:t>Phase 3 studies</w:t>
      </w:r>
      <w:r>
        <w:rPr>
          <w:lang w:val="en-US"/>
        </w:rPr>
        <w:t xml:space="preserve">. </w:t>
      </w:r>
      <w:r w:rsidR="00224AC7" w:rsidRPr="004569EA">
        <w:rPr>
          <w:lang w:val="en-CA"/>
        </w:rPr>
        <w:t xml:space="preserve">In long-term follow-up in a subset of subjects who had completed earlier </w:t>
      </w:r>
      <w:r w:rsidRPr="0079497D">
        <w:rPr>
          <w:lang w:val="en-CA"/>
        </w:rPr>
        <w:t>BELKYRA</w:t>
      </w:r>
      <w:r w:rsidR="00224AC7" w:rsidRPr="004569EA">
        <w:rPr>
          <w:spacing w:val="1"/>
          <w:lang w:val="en-CA"/>
        </w:rPr>
        <w:t xml:space="preserve"> </w:t>
      </w:r>
      <w:r w:rsidR="00224AC7" w:rsidRPr="004569EA">
        <w:rPr>
          <w:lang w:val="en-CA"/>
        </w:rPr>
        <w:t xml:space="preserve">trials, reductions in SMF were sustained for at least 4 years. </w:t>
      </w:r>
    </w:p>
    <w:p w14:paraId="338A4C13" w14:textId="77777777" w:rsidR="00F22BCA" w:rsidRPr="004569EA" w:rsidRDefault="00F22BCA" w:rsidP="000632A8">
      <w:pPr>
        <w:pStyle w:val="Heading1"/>
      </w:pPr>
      <w:r w:rsidRPr="004569EA">
        <w:t>I</w:t>
      </w:r>
      <w:r w:rsidR="001E2D56" w:rsidRPr="004569EA">
        <w:t>NDICATIONS</w:t>
      </w:r>
    </w:p>
    <w:p w14:paraId="5B9535A4" w14:textId="149AB8BA" w:rsidR="00224AC7" w:rsidRPr="004569EA" w:rsidRDefault="0079497D" w:rsidP="00224AC7">
      <w:pPr>
        <w:widowControl w:val="0"/>
        <w:spacing w:before="120" w:after="120"/>
        <w:rPr>
          <w:lang w:val="en-CA"/>
        </w:rPr>
      </w:pPr>
      <w:r w:rsidRPr="0079497D">
        <w:rPr>
          <w:lang w:val="en-CA"/>
        </w:rPr>
        <w:t>BELKYRA</w:t>
      </w:r>
      <w:r w:rsidR="00224AC7" w:rsidRPr="004569EA">
        <w:rPr>
          <w:lang w:val="en-CA"/>
        </w:rPr>
        <w:t xml:space="preserve"> (deoxycholic acid) injection is indicated for</w:t>
      </w:r>
      <w:r w:rsidR="00DB4595">
        <w:rPr>
          <w:lang w:val="en-CA"/>
        </w:rPr>
        <w:t xml:space="preserve"> </w:t>
      </w:r>
      <w:r w:rsidR="00DB4595" w:rsidRPr="00AB7721">
        <w:t xml:space="preserve">improvement in the appearance of moderate to severe convexity or </w:t>
      </w:r>
      <w:r w:rsidR="00DB4595" w:rsidRPr="00AB7721">
        <w:rPr>
          <w:bCs/>
        </w:rPr>
        <w:t>fullness associated</w:t>
      </w:r>
      <w:r w:rsidR="00DB4595" w:rsidRPr="00AB7721">
        <w:t xml:space="preserve"> with submental fat</w:t>
      </w:r>
      <w:r w:rsidR="00DB4595">
        <w:t xml:space="preserve"> </w:t>
      </w:r>
      <w:r w:rsidR="00DB4595" w:rsidRPr="00AB7721">
        <w:t>in adults</w:t>
      </w:r>
      <w:r w:rsidR="00DB4595">
        <w:rPr>
          <w:lang w:val="en-CA"/>
        </w:rPr>
        <w:t>.</w:t>
      </w:r>
    </w:p>
    <w:p w14:paraId="0637AC06" w14:textId="77777777" w:rsidR="00F22BCA" w:rsidRPr="004569EA" w:rsidRDefault="00F22BCA" w:rsidP="000632A8">
      <w:pPr>
        <w:pStyle w:val="Heading1"/>
      </w:pPr>
      <w:r w:rsidRPr="004569EA">
        <w:t>C</w:t>
      </w:r>
      <w:r w:rsidR="001E2D56" w:rsidRPr="004569EA">
        <w:t>ONTRAINDICATIONS</w:t>
      </w:r>
    </w:p>
    <w:p w14:paraId="20CF14AF" w14:textId="0EAD7CA8" w:rsidR="00224AC7" w:rsidRPr="004569EA" w:rsidRDefault="0079497D" w:rsidP="0079497D">
      <w:pPr>
        <w:pStyle w:val="Subtitle"/>
      </w:pPr>
      <w:r w:rsidRPr="0079497D">
        <w:t>BELKYRA</w:t>
      </w:r>
      <w:r w:rsidR="00224AC7" w:rsidRPr="004569EA">
        <w:t xml:space="preserve"> is contraindicated in patients who are hypersensitive to this drug or to any ingredient in the formulation or component of the container. For a complete listing</w:t>
      </w:r>
      <w:r w:rsidR="001641C8">
        <w:t xml:space="preserve"> </w:t>
      </w:r>
      <w:r w:rsidR="00224AC7" w:rsidRPr="004569EA">
        <w:t xml:space="preserve">see </w:t>
      </w:r>
      <w:r w:rsidR="00224AC7" w:rsidRPr="00203A8F">
        <w:rPr>
          <w:b/>
        </w:rPr>
        <w:t>D</w:t>
      </w:r>
      <w:r w:rsidR="001641C8" w:rsidRPr="00203A8F">
        <w:rPr>
          <w:b/>
        </w:rPr>
        <w:t>ESCRIPTION</w:t>
      </w:r>
      <w:r w:rsidR="00224AC7" w:rsidRPr="004569EA">
        <w:t xml:space="preserve">. </w:t>
      </w:r>
    </w:p>
    <w:p w14:paraId="43594162" w14:textId="3093FEA4" w:rsidR="00224AC7" w:rsidRPr="004569EA" w:rsidRDefault="0079497D" w:rsidP="0079497D">
      <w:pPr>
        <w:pStyle w:val="Subtitle"/>
      </w:pPr>
      <w:r w:rsidRPr="0079497D">
        <w:t>BELKYRA</w:t>
      </w:r>
      <w:r w:rsidR="00224AC7" w:rsidRPr="004569EA">
        <w:t xml:space="preserve"> is contraindicated in the presence of infection in the treatment area.</w:t>
      </w:r>
    </w:p>
    <w:p w14:paraId="522E3533" w14:textId="77777777" w:rsidR="00F22BCA" w:rsidRPr="004569EA" w:rsidRDefault="00F22BCA" w:rsidP="000632A8">
      <w:pPr>
        <w:pStyle w:val="Heading1"/>
      </w:pPr>
      <w:r w:rsidRPr="004569EA">
        <w:t>P</w:t>
      </w:r>
      <w:r w:rsidR="001E2D56" w:rsidRPr="004569EA">
        <w:t>RECAUTIONS</w:t>
      </w:r>
    </w:p>
    <w:p w14:paraId="51BBD53F" w14:textId="77777777" w:rsidR="00A12661" w:rsidRPr="004569EA" w:rsidRDefault="00A12661" w:rsidP="000632A8">
      <w:pPr>
        <w:pStyle w:val="Heading2"/>
        <w:rPr>
          <w:lang w:val="en-CA"/>
        </w:rPr>
      </w:pPr>
      <w:r w:rsidRPr="004569EA">
        <w:rPr>
          <w:lang w:val="en-CA"/>
        </w:rPr>
        <w:t>General</w:t>
      </w:r>
    </w:p>
    <w:p w14:paraId="3D648E29" w14:textId="77777777" w:rsidR="00941A1D" w:rsidRPr="00941A1D" w:rsidRDefault="00941A1D" w:rsidP="00941A1D">
      <w:pPr>
        <w:rPr>
          <w:lang w:val="en-CA"/>
        </w:rPr>
      </w:pPr>
      <w:r w:rsidRPr="00941A1D">
        <w:rPr>
          <w:lang w:val="en-CA"/>
        </w:rPr>
        <w:t>To be administered only by subcutaneous route.</w:t>
      </w:r>
    </w:p>
    <w:p w14:paraId="15A76151" w14:textId="7098E4AE" w:rsidR="00941A1D" w:rsidRPr="00941A1D" w:rsidRDefault="00A12661" w:rsidP="00941A1D">
      <w:pPr>
        <w:rPr>
          <w:lang w:val="en-CA"/>
        </w:rPr>
      </w:pPr>
      <w:r w:rsidRPr="004569EA">
        <w:rPr>
          <w:lang w:val="en-CA"/>
        </w:rPr>
        <w:t xml:space="preserve">Do not inject within 1 cm of vulnerable anatomic structures. </w:t>
      </w:r>
      <w:r w:rsidR="00941A1D" w:rsidRPr="00941A1D">
        <w:rPr>
          <w:lang w:val="en-CA"/>
        </w:rPr>
        <w:t xml:space="preserve">Efficacy and safety of BELKYRA has not been established outside the submental fat area. </w:t>
      </w:r>
      <w:r w:rsidR="00941A1D" w:rsidRPr="00CB0978">
        <w:rPr>
          <w:lang w:val="en-CA"/>
        </w:rPr>
        <w:t>Do not inject in any other area.</w:t>
      </w:r>
    </w:p>
    <w:p w14:paraId="26C8F3BF" w14:textId="2D7E8C77" w:rsidR="00941A1D" w:rsidRDefault="00941A1D" w:rsidP="009E2643">
      <w:r w:rsidRPr="00F61184">
        <w:rPr>
          <w:lang w:val="en-CA"/>
        </w:rPr>
        <w:lastRenderedPageBreak/>
        <w:t>Efficacy and safety of BELKYRA in patients with m</w:t>
      </w:r>
      <w:proofErr w:type="spellStart"/>
      <w:r w:rsidRPr="00F61184">
        <w:t>ild</w:t>
      </w:r>
      <w:proofErr w:type="spellEnd"/>
      <w:r w:rsidRPr="00F61184">
        <w:t xml:space="preserve"> or extreme submental fat has not been established and is not recommended.</w:t>
      </w:r>
    </w:p>
    <w:p w14:paraId="3B8FD59B" w14:textId="58CEE2E2" w:rsidR="00462904" w:rsidRPr="00BC373B" w:rsidRDefault="00941A1D" w:rsidP="00941A1D">
      <w:r w:rsidRPr="00941A1D">
        <w:t xml:space="preserve">To achieve the efficacy and safety reported from the pre-market clinical trials, medical practitioners administering </w:t>
      </w:r>
      <w:r w:rsidRPr="00941A1D">
        <w:rPr>
          <w:lang w:val="en-CA"/>
        </w:rPr>
        <w:t>BELKYRA</w:t>
      </w:r>
      <w:r w:rsidRPr="00941A1D">
        <w:rPr>
          <w:iCs/>
        </w:rPr>
        <w:t xml:space="preserve"> </w:t>
      </w:r>
      <w:r w:rsidRPr="00941A1D">
        <w:t>must understand the relevant submental anatomy and associated neuromuscular structures</w:t>
      </w:r>
      <w:r>
        <w:t xml:space="preserve">; </w:t>
      </w:r>
      <w:r w:rsidRPr="00941A1D">
        <w:t xml:space="preserve">and any alterations to the anatomy in a </w:t>
      </w:r>
      <w:r w:rsidRPr="00082B9B">
        <w:t xml:space="preserve">particular individual patient (e.g., due to prior surgical or aesthetic procedures). </w:t>
      </w:r>
    </w:p>
    <w:p w14:paraId="7070E7D4" w14:textId="55D5FE94" w:rsidR="00941A1D" w:rsidRPr="00941A1D" w:rsidRDefault="00941A1D" w:rsidP="00941A1D">
      <w:pPr>
        <w:rPr>
          <w:b/>
          <w:lang w:val="en-CA"/>
        </w:rPr>
      </w:pPr>
      <w:r w:rsidRPr="00941A1D">
        <w:rPr>
          <w:b/>
          <w:lang w:val="en-CA"/>
        </w:rPr>
        <w:t>Marginal mandibular nerve injury</w:t>
      </w:r>
    </w:p>
    <w:p w14:paraId="367AA6EE" w14:textId="2A8D9A8F" w:rsidR="00941A1D" w:rsidRPr="00941A1D" w:rsidRDefault="00941A1D" w:rsidP="00941A1D">
      <w:pPr>
        <w:rPr>
          <w:lang w:val="en-CA"/>
        </w:rPr>
      </w:pPr>
      <w:r w:rsidRPr="00941A1D">
        <w:rPr>
          <w:lang w:val="en-CA"/>
        </w:rPr>
        <w:t xml:space="preserve">BELKYRA should not be injected into or in close proximity to the marginal mandibular branch of the facial nerve to avoid the potential for motor neuropraxia, which manifests as an asymmetric smile or facial muscle weakness. </w:t>
      </w:r>
      <w:r w:rsidRPr="00047FA5">
        <w:rPr>
          <w:lang w:val="en-CA"/>
        </w:rPr>
        <w:t>The median time to resolution of marginal mandibular nerve injuries</w:t>
      </w:r>
      <w:r w:rsidR="00082B9B">
        <w:rPr>
          <w:lang w:val="en-CA"/>
        </w:rPr>
        <w:t>,</w:t>
      </w:r>
      <w:r w:rsidRPr="00047FA5">
        <w:rPr>
          <w:lang w:val="en-CA"/>
        </w:rPr>
        <w:t xml:space="preserve"> </w:t>
      </w:r>
      <w:r w:rsidR="00047FA5" w:rsidRPr="00082B9B">
        <w:rPr>
          <w:lang w:val="en-CA"/>
        </w:rPr>
        <w:t xml:space="preserve">which occurred at </w:t>
      </w:r>
      <w:r w:rsidR="005D028C" w:rsidRPr="00082B9B">
        <w:rPr>
          <w:lang w:val="en-CA"/>
        </w:rPr>
        <w:t>an</w:t>
      </w:r>
      <w:r w:rsidR="00047FA5" w:rsidRPr="008F2910">
        <w:rPr>
          <w:lang w:val="en-CA"/>
        </w:rPr>
        <w:t xml:space="preserve"> incidence rate</w:t>
      </w:r>
      <w:r w:rsidR="005D028C">
        <w:rPr>
          <w:lang w:val="en-CA"/>
        </w:rPr>
        <w:t xml:space="preserve"> of </w:t>
      </w:r>
      <w:r w:rsidR="004509EA">
        <w:rPr>
          <w:lang w:val="en-CA"/>
        </w:rPr>
        <w:t>2.0</w:t>
      </w:r>
      <w:r w:rsidR="005D028C">
        <w:rPr>
          <w:lang w:val="en-CA"/>
        </w:rPr>
        <w:t>%</w:t>
      </w:r>
      <w:r w:rsidR="00047FA5" w:rsidRPr="0026229D">
        <w:rPr>
          <w:lang w:val="en-CA"/>
        </w:rPr>
        <w:t xml:space="preserve"> </w:t>
      </w:r>
      <w:r w:rsidRPr="00047FA5">
        <w:rPr>
          <w:lang w:val="en-CA"/>
        </w:rPr>
        <w:t>in the pre-market clinical trials</w:t>
      </w:r>
      <w:r w:rsidR="00082B9B">
        <w:rPr>
          <w:lang w:val="en-CA"/>
        </w:rPr>
        <w:t>,</w:t>
      </w:r>
      <w:r w:rsidRPr="00047FA5">
        <w:rPr>
          <w:lang w:val="en-CA"/>
        </w:rPr>
        <w:t xml:space="preserve"> was 44 days; range</w:t>
      </w:r>
      <w:r w:rsidRPr="00082B9B">
        <w:rPr>
          <w:lang w:val="en-CA"/>
        </w:rPr>
        <w:t>: 1 to 298 days.</w:t>
      </w:r>
    </w:p>
    <w:p w14:paraId="1A62B621" w14:textId="77777777" w:rsidR="00941A1D" w:rsidRPr="00941A1D" w:rsidRDefault="00941A1D" w:rsidP="00941A1D">
      <w:pPr>
        <w:rPr>
          <w:b/>
        </w:rPr>
      </w:pPr>
      <w:r w:rsidRPr="00941A1D">
        <w:rPr>
          <w:b/>
        </w:rPr>
        <w:t>Dysphagia</w:t>
      </w:r>
    </w:p>
    <w:p w14:paraId="57F1D645" w14:textId="6B3089FA" w:rsidR="00941A1D" w:rsidRPr="00941A1D" w:rsidRDefault="00941A1D" w:rsidP="00941A1D">
      <w:r w:rsidRPr="00941A1D">
        <w:t>Difficulty swallowing (dysphagia) occurred in the pre-market clinical trials in the setting of administration site reactions; for example, pain, swelling, and induration of the submental area</w:t>
      </w:r>
      <w:r w:rsidRPr="00082B9B">
        <w:t xml:space="preserve">. The median time to resolution </w:t>
      </w:r>
      <w:r w:rsidR="00082B9B">
        <w:t xml:space="preserve">of dysphagia, </w:t>
      </w:r>
      <w:r w:rsidR="00047FA5" w:rsidRPr="00082B9B">
        <w:t>which occurred at</w:t>
      </w:r>
      <w:r w:rsidR="005D028C" w:rsidRPr="00082B9B">
        <w:t xml:space="preserve"> an </w:t>
      </w:r>
      <w:r w:rsidR="00047FA5" w:rsidRPr="00082B9B">
        <w:t>incidence rate</w:t>
      </w:r>
      <w:r w:rsidR="005D028C" w:rsidRPr="00082B9B">
        <w:t xml:space="preserve"> of </w:t>
      </w:r>
      <w:r w:rsidR="004509EA" w:rsidRPr="00082B9B">
        <w:t>1.1</w:t>
      </w:r>
      <w:r w:rsidR="005D028C" w:rsidRPr="00082B9B">
        <w:t>%</w:t>
      </w:r>
      <w:r w:rsidR="00047FA5" w:rsidRPr="00082B9B">
        <w:t xml:space="preserve"> </w:t>
      </w:r>
      <w:r w:rsidRPr="00082B9B">
        <w:t>in the per-market clinical trials</w:t>
      </w:r>
      <w:r w:rsidR="00082B9B">
        <w:t>,</w:t>
      </w:r>
      <w:r w:rsidRPr="00082B9B">
        <w:t xml:space="preserve"> was 3 days; range: 1 to 81 days.</w:t>
      </w:r>
    </w:p>
    <w:p w14:paraId="73B5FD70" w14:textId="77777777" w:rsidR="00941A1D" w:rsidRPr="00941A1D" w:rsidRDefault="00941A1D" w:rsidP="00941A1D">
      <w:r w:rsidRPr="00941A1D">
        <w:t xml:space="preserve">Patients with current or prior history of dysphagia were excluded from clinical trials; avoid use of BELKYRA in such patients as treatment may exacerbate the condition. </w:t>
      </w:r>
    </w:p>
    <w:p w14:paraId="27C8B2DE" w14:textId="77777777" w:rsidR="00941A1D" w:rsidRPr="00941A1D" w:rsidRDefault="00941A1D" w:rsidP="00941A1D">
      <w:pPr>
        <w:rPr>
          <w:b/>
          <w:lang w:val="en-CA"/>
        </w:rPr>
      </w:pPr>
      <w:r w:rsidRPr="00941A1D">
        <w:rPr>
          <w:b/>
          <w:lang w:val="en-CA"/>
        </w:rPr>
        <w:t>Injection site hematoma/bruising</w:t>
      </w:r>
    </w:p>
    <w:p w14:paraId="5982A7D1" w14:textId="272815DB" w:rsidR="00941A1D" w:rsidRPr="00941A1D" w:rsidRDefault="00941A1D" w:rsidP="00941A1D">
      <w:r w:rsidRPr="00941A1D">
        <w:rPr>
          <w:lang w:val="en-CA"/>
        </w:rPr>
        <w:t xml:space="preserve">BELKYRA </w:t>
      </w:r>
      <w:r w:rsidRPr="00941A1D">
        <w:t xml:space="preserve">should be used with caution in patients with bleeding abnormalities or who are currently being treated with antiplatelet or anticoagulant therapy as excessive bleeding or bruising in the treatment area may occur. In pre-market clinical trials, </w:t>
      </w:r>
      <w:r w:rsidR="00A95939" w:rsidRPr="00082B9B">
        <w:t>61</w:t>
      </w:r>
      <w:r w:rsidRPr="00BC373B">
        <w:t>%</w:t>
      </w:r>
      <w:r w:rsidRPr="00A95939">
        <w:t xml:space="preserve"> of</w:t>
      </w:r>
      <w:r w:rsidRPr="00941A1D">
        <w:t xml:space="preserve"> people treated with </w:t>
      </w:r>
      <w:r w:rsidR="00DA1732" w:rsidRPr="00941A1D">
        <w:t>BELKYRA</w:t>
      </w:r>
      <w:r w:rsidRPr="00941A1D">
        <w:t xml:space="preserve"> experienced injection site bleeding/haematoma. </w:t>
      </w:r>
    </w:p>
    <w:p w14:paraId="046CED79" w14:textId="77777777" w:rsidR="00941A1D" w:rsidRPr="00941A1D" w:rsidRDefault="00941A1D" w:rsidP="00941A1D">
      <w:pPr>
        <w:rPr>
          <w:b/>
          <w:lang w:val="en-CA"/>
        </w:rPr>
      </w:pPr>
      <w:r w:rsidRPr="00941A1D">
        <w:rPr>
          <w:b/>
          <w:lang w:val="en-CA"/>
        </w:rPr>
        <w:t>Risk of injecting in proximity to vulnerable anatomic structures</w:t>
      </w:r>
    </w:p>
    <w:p w14:paraId="61DEE7B0" w14:textId="77777777" w:rsidR="00941A1D" w:rsidRPr="00941A1D" w:rsidRDefault="00941A1D" w:rsidP="00941A1D">
      <w:pPr>
        <w:rPr>
          <w:lang w:val="en-CA"/>
        </w:rPr>
      </w:pPr>
      <w:r w:rsidRPr="00941A1D">
        <w:rPr>
          <w:lang w:val="en-CA"/>
        </w:rPr>
        <w:t xml:space="preserve">Care should be taken to avoid inadvertent intradermal or intramuscular injection. BELKYRA should be injected mid-way into the </w:t>
      </w:r>
      <w:proofErr w:type="spellStart"/>
      <w:r w:rsidRPr="00941A1D">
        <w:rPr>
          <w:lang w:val="en-CA"/>
        </w:rPr>
        <w:t>preplatysmal</w:t>
      </w:r>
      <w:proofErr w:type="spellEnd"/>
      <w:r w:rsidRPr="00941A1D">
        <w:rPr>
          <w:lang w:val="en-CA"/>
        </w:rPr>
        <w:t xml:space="preserve"> subcutaneous fat tissue in the submental area. Do not withdraw the needle from the subcutaneous fat during injection, as this could increase the risk of intradermal exposure and potential skin ulceration. </w:t>
      </w:r>
    </w:p>
    <w:p w14:paraId="3F6B35A3" w14:textId="77777777" w:rsidR="00941A1D" w:rsidRPr="00941A1D" w:rsidRDefault="00941A1D" w:rsidP="00941A1D">
      <w:pPr>
        <w:rPr>
          <w:lang w:val="en-CA"/>
        </w:rPr>
      </w:pPr>
      <w:r w:rsidRPr="00941A1D">
        <w:rPr>
          <w:lang w:val="en-CA"/>
        </w:rPr>
        <w:t xml:space="preserve">Avoid injection into salivary glands, the thyroid gland, lymph nodes and muscles. </w:t>
      </w:r>
    </w:p>
    <w:p w14:paraId="0EF57ADF" w14:textId="77777777" w:rsidR="00941A1D" w:rsidRPr="00941A1D" w:rsidRDefault="00941A1D" w:rsidP="00941A1D">
      <w:pPr>
        <w:rPr>
          <w:lang w:val="en-CA"/>
        </w:rPr>
      </w:pPr>
      <w:r w:rsidRPr="00941A1D">
        <w:rPr>
          <w:lang w:val="en-CA"/>
        </w:rPr>
        <w:t>BELKYRA should not be administered into the periorbital area.</w:t>
      </w:r>
    </w:p>
    <w:p w14:paraId="7A776984" w14:textId="77777777" w:rsidR="00941A1D" w:rsidRPr="00941A1D" w:rsidRDefault="00941A1D" w:rsidP="00941A1D">
      <w:pPr>
        <w:rPr>
          <w:b/>
          <w:lang w:val="en-CA"/>
        </w:rPr>
      </w:pPr>
      <w:r w:rsidRPr="00941A1D">
        <w:rPr>
          <w:b/>
          <w:lang w:val="en-CA"/>
        </w:rPr>
        <w:t>Pre-existing Conditions/Treatments at or Near the Treatment Area</w:t>
      </w:r>
    </w:p>
    <w:p w14:paraId="5217E91C" w14:textId="77777777" w:rsidR="00941A1D" w:rsidRPr="00941A1D" w:rsidRDefault="00941A1D" w:rsidP="00941A1D">
      <w:pPr>
        <w:rPr>
          <w:lang w:val="en-CA"/>
        </w:rPr>
      </w:pPr>
      <w:r w:rsidRPr="00941A1D">
        <w:rPr>
          <w:lang w:val="en-CA"/>
        </w:rPr>
        <w:t>Patients should be screened for other potential causes of submental convexity/fullness (e.g., thyromegaly and cervical lymphadenopathy) prior to use of BELKYRA.</w:t>
      </w:r>
    </w:p>
    <w:p w14:paraId="7A56B042" w14:textId="3DF07D3B" w:rsidR="00941A1D" w:rsidRPr="00941A1D" w:rsidRDefault="00941A1D" w:rsidP="00941A1D">
      <w:pPr>
        <w:rPr>
          <w:lang w:val="en-CA"/>
        </w:rPr>
      </w:pPr>
      <w:r w:rsidRPr="00941A1D">
        <w:rPr>
          <w:lang w:val="en-CA"/>
        </w:rPr>
        <w:lastRenderedPageBreak/>
        <w:t>Caution should be used when BELKYRA is administered in the presence of inflammation or induration at the proposed injection site(s).</w:t>
      </w:r>
    </w:p>
    <w:p w14:paraId="6AB4D30D" w14:textId="77777777" w:rsidR="00941A1D" w:rsidRPr="00941A1D" w:rsidRDefault="00941A1D" w:rsidP="00941A1D">
      <w:pPr>
        <w:rPr>
          <w:lang w:val="en-CA"/>
        </w:rPr>
      </w:pPr>
      <w:r w:rsidRPr="00941A1D">
        <w:rPr>
          <w:lang w:val="en-CA"/>
        </w:rPr>
        <w:t xml:space="preserve">Caution should be used when BELKYRA is administered in patients who have had prior surgical or aesthetic treatment of the submental area. Changes in anatomy/landmarks or the presence of scar tissue may affect the ability to safely administer BELKYRA or to obtain the desired aesthetic result. </w:t>
      </w:r>
    </w:p>
    <w:p w14:paraId="36119C53" w14:textId="4E011746" w:rsidR="00941A1D" w:rsidRPr="00941A1D" w:rsidRDefault="00941A1D" w:rsidP="00941A1D">
      <w:pPr>
        <w:rPr>
          <w:lang w:val="en-CA"/>
        </w:rPr>
      </w:pPr>
      <w:r w:rsidRPr="00941A1D">
        <w:rPr>
          <w:lang w:val="en-CA"/>
        </w:rPr>
        <w:t>Caution should be used in patients with excessive skin laxity, prominent platysmal bands, or other conditions for which reduction of submental fat may resul</w:t>
      </w:r>
      <w:r w:rsidR="00527BF1">
        <w:rPr>
          <w:lang w:val="en-CA"/>
        </w:rPr>
        <w:t>t</w:t>
      </w:r>
      <w:r w:rsidRPr="00941A1D">
        <w:rPr>
          <w:lang w:val="en-CA"/>
        </w:rPr>
        <w:t xml:space="preserve"> in an aesthetically undesirable outcome.</w:t>
      </w:r>
    </w:p>
    <w:p w14:paraId="5CA6E6A1" w14:textId="77777777" w:rsidR="00941A1D" w:rsidRPr="00941A1D" w:rsidRDefault="00941A1D" w:rsidP="00941A1D">
      <w:pPr>
        <w:rPr>
          <w:b/>
          <w:lang w:val="en-CA"/>
        </w:rPr>
      </w:pPr>
      <w:r w:rsidRPr="00941A1D">
        <w:rPr>
          <w:b/>
          <w:lang w:val="en-CA"/>
        </w:rPr>
        <w:t>Controlled sodium diet</w:t>
      </w:r>
    </w:p>
    <w:p w14:paraId="09EA9D76" w14:textId="35555037" w:rsidR="00941A1D" w:rsidRPr="00941A1D" w:rsidRDefault="00DA1732" w:rsidP="00941A1D">
      <w:pPr>
        <w:rPr>
          <w:lang w:val="en-CA"/>
        </w:rPr>
      </w:pPr>
      <w:r w:rsidRPr="00941A1D">
        <w:rPr>
          <w:lang w:val="en-CA"/>
        </w:rPr>
        <w:t>BELKYRA</w:t>
      </w:r>
      <w:r w:rsidR="00941A1D" w:rsidRPr="00941A1D">
        <w:rPr>
          <w:lang w:val="en-CA"/>
        </w:rPr>
        <w:t xml:space="preserve"> contains 184 </w:t>
      </w:r>
      <w:proofErr w:type="spellStart"/>
      <w:r w:rsidR="00941A1D" w:rsidRPr="00941A1D">
        <w:rPr>
          <w:lang w:val="en-CA"/>
        </w:rPr>
        <w:t>micromol</w:t>
      </w:r>
      <w:proofErr w:type="spellEnd"/>
      <w:r w:rsidR="00941A1D" w:rsidRPr="00941A1D">
        <w:rPr>
          <w:lang w:val="en-CA"/>
        </w:rPr>
        <w:t xml:space="preserve"> (or 4.23 mg) sodium per mL. This should be taken into consideration in patients on a controlled sodium diet.</w:t>
      </w:r>
    </w:p>
    <w:p w14:paraId="30AA87F1" w14:textId="77777777" w:rsidR="00A12661" w:rsidRPr="004569EA" w:rsidRDefault="00941E05" w:rsidP="000632A8">
      <w:pPr>
        <w:pStyle w:val="Heading2"/>
        <w:rPr>
          <w:lang w:val="en-CA"/>
        </w:rPr>
      </w:pPr>
      <w:r>
        <w:rPr>
          <w:lang w:val="en-CA"/>
        </w:rPr>
        <w:t>Effects on Fertilit</w:t>
      </w:r>
      <w:r w:rsidR="005E6C0E">
        <w:rPr>
          <w:lang w:val="en-CA"/>
        </w:rPr>
        <w:t>y</w:t>
      </w:r>
    </w:p>
    <w:p w14:paraId="597B45C7" w14:textId="77777777" w:rsidR="00941A1D" w:rsidRPr="00941A1D" w:rsidRDefault="00941A1D" w:rsidP="00941A1D">
      <w:pPr>
        <w:rPr>
          <w:lang w:val="en-CA"/>
        </w:rPr>
      </w:pPr>
      <w:r w:rsidRPr="00941A1D">
        <w:rPr>
          <w:lang w:val="en-CA"/>
        </w:rPr>
        <w:t>There are no clinical data on fertility.</w:t>
      </w:r>
    </w:p>
    <w:p w14:paraId="192DFEA5" w14:textId="0D94497D" w:rsidR="00A12661" w:rsidRPr="004569EA" w:rsidRDefault="00A12661" w:rsidP="009E2643">
      <w:pPr>
        <w:rPr>
          <w:lang w:val="en-CA"/>
        </w:rPr>
      </w:pPr>
      <w:r w:rsidRPr="004569EA">
        <w:rPr>
          <w:lang w:val="en-CA"/>
        </w:rPr>
        <w:t xml:space="preserve">Deoxycholic acid did not affect general reproductive performance or fertility in male or female rats at </w:t>
      </w:r>
      <w:r w:rsidR="0079497D">
        <w:rPr>
          <w:lang w:val="en-CA"/>
        </w:rPr>
        <w:t xml:space="preserve">subcutaneous </w:t>
      </w:r>
      <w:r w:rsidRPr="004569EA">
        <w:rPr>
          <w:lang w:val="en-CA"/>
        </w:rPr>
        <w:t xml:space="preserve">doses up to </w:t>
      </w:r>
      <w:r w:rsidR="0079497D">
        <w:rPr>
          <w:sz w:val="22"/>
          <w:szCs w:val="22"/>
          <w:lang w:val="en-US"/>
        </w:rPr>
        <w:t xml:space="preserve">50 mg/kg once weekly, yielding </w:t>
      </w:r>
      <w:r w:rsidR="0054175E">
        <w:rPr>
          <w:sz w:val="22"/>
          <w:szCs w:val="22"/>
          <w:lang w:val="en-US"/>
        </w:rPr>
        <w:t>5</w:t>
      </w:r>
      <w:r w:rsidR="0079497D">
        <w:rPr>
          <w:sz w:val="22"/>
          <w:szCs w:val="22"/>
          <w:lang w:val="en-US"/>
        </w:rPr>
        <w:t xml:space="preserve"> and 3</w:t>
      </w:r>
      <w:r w:rsidR="0054175E">
        <w:rPr>
          <w:sz w:val="22"/>
          <w:szCs w:val="22"/>
          <w:lang w:val="en-US"/>
        </w:rPr>
        <w:t xml:space="preserve"> </w:t>
      </w:r>
      <w:r w:rsidR="0079497D">
        <w:rPr>
          <w:sz w:val="22"/>
          <w:szCs w:val="22"/>
          <w:lang w:val="en-US"/>
        </w:rPr>
        <w:t xml:space="preserve">times the plasma AUC in </w:t>
      </w:r>
      <w:r w:rsidR="00FA7451">
        <w:rPr>
          <w:sz w:val="22"/>
          <w:szCs w:val="22"/>
          <w:lang w:val="en-US"/>
        </w:rPr>
        <w:t>subjects</w:t>
      </w:r>
      <w:r w:rsidR="0079497D">
        <w:rPr>
          <w:sz w:val="22"/>
          <w:szCs w:val="22"/>
          <w:lang w:val="en-US"/>
        </w:rPr>
        <w:t xml:space="preserve"> at the maximum recommended human dose in the respective sexes.</w:t>
      </w:r>
      <w:r w:rsidRPr="004569EA">
        <w:rPr>
          <w:lang w:val="en-CA"/>
        </w:rPr>
        <w:t xml:space="preserve"> </w:t>
      </w:r>
    </w:p>
    <w:p w14:paraId="459392DB" w14:textId="0CB1DC5F" w:rsidR="00A12661" w:rsidRPr="004569EA" w:rsidRDefault="00A12661" w:rsidP="000632A8">
      <w:pPr>
        <w:pStyle w:val="Heading2"/>
        <w:rPr>
          <w:lang w:val="en-CA"/>
        </w:rPr>
      </w:pPr>
      <w:r w:rsidRPr="004569EA">
        <w:rPr>
          <w:lang w:val="en-CA"/>
        </w:rPr>
        <w:t>Use in Pregnancy</w:t>
      </w:r>
    </w:p>
    <w:p w14:paraId="4975BD6A" w14:textId="77777777" w:rsidR="000301BB" w:rsidRDefault="000301BB" w:rsidP="009E2643">
      <w:pPr>
        <w:rPr>
          <w:lang w:val="en-CA"/>
        </w:rPr>
      </w:pPr>
      <w:r>
        <w:rPr>
          <w:lang w:val="en-CA"/>
        </w:rPr>
        <w:t xml:space="preserve">Pregnancy Category </w:t>
      </w:r>
      <w:r w:rsidR="00676001">
        <w:rPr>
          <w:lang w:val="en-CA"/>
        </w:rPr>
        <w:t>B1</w:t>
      </w:r>
    </w:p>
    <w:p w14:paraId="44F06DE4" w14:textId="0CD3EC19" w:rsidR="00A12661" w:rsidRPr="004569EA" w:rsidRDefault="0079497D" w:rsidP="009E2643">
      <w:pPr>
        <w:rPr>
          <w:lang w:val="en-CA"/>
        </w:rPr>
      </w:pPr>
      <w:r>
        <w:rPr>
          <w:lang w:val="en-CA"/>
        </w:rPr>
        <w:t>Embryof</w:t>
      </w:r>
      <w:r w:rsidR="00216C1E">
        <w:rPr>
          <w:lang w:val="en-CA"/>
        </w:rPr>
        <w:t>etal development</w:t>
      </w:r>
      <w:r w:rsidRPr="004569EA">
        <w:rPr>
          <w:lang w:val="en-CA"/>
        </w:rPr>
        <w:t xml:space="preserve"> </w:t>
      </w:r>
      <w:r w:rsidR="00A12661" w:rsidRPr="004569EA">
        <w:rPr>
          <w:lang w:val="en-CA"/>
        </w:rPr>
        <w:t xml:space="preserve">studies have been performed in rats at doses up to </w:t>
      </w:r>
      <w:r w:rsidR="00216C1E">
        <w:rPr>
          <w:lang w:val="en-CA"/>
        </w:rPr>
        <w:t>50 mg/kg</w:t>
      </w:r>
      <w:r w:rsidR="00A12661" w:rsidRPr="004569EA">
        <w:rPr>
          <w:lang w:val="en-CA"/>
        </w:rPr>
        <w:t xml:space="preserve">, and in rabbits at doses up to </w:t>
      </w:r>
      <w:r w:rsidR="00216C1E" w:rsidRPr="00216C1E">
        <w:rPr>
          <w:lang w:val="en-CA"/>
        </w:rPr>
        <w:t>times</w:t>
      </w:r>
      <w:r w:rsidR="00382A26">
        <w:rPr>
          <w:lang w:val="en-CA"/>
        </w:rPr>
        <w:t xml:space="preserve"> </w:t>
      </w:r>
      <w:r w:rsidR="00216C1E" w:rsidRPr="00216C1E">
        <w:rPr>
          <w:lang w:val="en-CA"/>
        </w:rPr>
        <w:t>30 mg/kg, administered subcutaneously on alternate days during the period of organogenesis. These doses yielded</w:t>
      </w:r>
      <w:r w:rsidR="00FA7451">
        <w:rPr>
          <w:lang w:val="en-CA"/>
        </w:rPr>
        <w:t xml:space="preserve"> approximately</w:t>
      </w:r>
      <w:r w:rsidR="00216C1E" w:rsidRPr="00216C1E">
        <w:rPr>
          <w:lang w:val="en-CA"/>
        </w:rPr>
        <w:t xml:space="preserve"> 2 and </w:t>
      </w:r>
      <w:r w:rsidR="00FA7451">
        <w:rPr>
          <w:lang w:val="en-CA"/>
        </w:rPr>
        <w:t>17</w:t>
      </w:r>
      <w:r w:rsidR="00216C1E" w:rsidRPr="00216C1E">
        <w:rPr>
          <w:lang w:val="en-CA"/>
        </w:rPr>
        <w:t xml:space="preserve"> times the plasma AUC in </w:t>
      </w:r>
      <w:r w:rsidR="00FA7451">
        <w:rPr>
          <w:lang w:val="en-CA"/>
        </w:rPr>
        <w:t>subjects</w:t>
      </w:r>
      <w:r w:rsidR="00216C1E" w:rsidRPr="00216C1E">
        <w:rPr>
          <w:lang w:val="en-CA"/>
        </w:rPr>
        <w:t xml:space="preserve"> at </w:t>
      </w:r>
      <w:r w:rsidR="00A12661" w:rsidRPr="004569EA">
        <w:rPr>
          <w:lang w:val="en-CA"/>
        </w:rPr>
        <w:t xml:space="preserve">the maximum recommended human dose </w:t>
      </w:r>
      <w:r w:rsidR="00216C1E">
        <w:rPr>
          <w:lang w:val="en-CA"/>
        </w:rPr>
        <w:t>in the respective species. They</w:t>
      </w:r>
      <w:r w:rsidR="00A12661" w:rsidRPr="004569EA">
        <w:rPr>
          <w:lang w:val="en-CA"/>
        </w:rPr>
        <w:t xml:space="preserve"> have revealed no evidence of harm to the f</w:t>
      </w:r>
      <w:r w:rsidR="00FA7451">
        <w:rPr>
          <w:lang w:val="en-CA"/>
        </w:rPr>
        <w:t>o</w:t>
      </w:r>
      <w:r w:rsidR="00A12661" w:rsidRPr="004569EA">
        <w:rPr>
          <w:lang w:val="en-CA"/>
        </w:rPr>
        <w:t xml:space="preserve">etus. No adequate and well-controlled studies in pregnant women have been performed. However, because animal reproduction studies are not always predictive of human response, </w:t>
      </w:r>
      <w:r w:rsidRPr="0079497D">
        <w:rPr>
          <w:lang w:val="en-CA"/>
        </w:rPr>
        <w:t>BELKYRA</w:t>
      </w:r>
      <w:r w:rsidR="00A12661" w:rsidRPr="004569EA">
        <w:rPr>
          <w:lang w:val="en-CA"/>
        </w:rPr>
        <w:t xml:space="preserve"> is not recommended for use during pregnancy. </w:t>
      </w:r>
    </w:p>
    <w:p w14:paraId="56B48A42" w14:textId="77777777" w:rsidR="00A12661" w:rsidRPr="004569EA" w:rsidRDefault="00A12661" w:rsidP="000632A8">
      <w:pPr>
        <w:pStyle w:val="Heading2"/>
        <w:rPr>
          <w:lang w:val="en-CA"/>
        </w:rPr>
      </w:pPr>
      <w:r w:rsidRPr="004569EA">
        <w:rPr>
          <w:lang w:val="en-CA"/>
        </w:rPr>
        <w:t>Use in Lactation</w:t>
      </w:r>
    </w:p>
    <w:p w14:paraId="6728FC49" w14:textId="247EE6DC" w:rsidR="00A12661" w:rsidRPr="004569EA" w:rsidRDefault="00A12661" w:rsidP="009E2643">
      <w:pPr>
        <w:rPr>
          <w:b/>
          <w:i/>
          <w:iCs/>
          <w:lang w:val="en-CA"/>
        </w:rPr>
      </w:pPr>
      <w:r w:rsidRPr="004569EA">
        <w:rPr>
          <w:lang w:val="en-CA"/>
        </w:rPr>
        <w:t xml:space="preserve">Endogenous deoxycholic acid has </w:t>
      </w:r>
      <w:r w:rsidR="00DE360C" w:rsidRPr="008772FF">
        <w:rPr>
          <w:lang w:val="en-CA"/>
        </w:rPr>
        <w:t xml:space="preserve">not </w:t>
      </w:r>
      <w:r w:rsidRPr="00C25DC9">
        <w:rPr>
          <w:lang w:val="en-CA"/>
        </w:rPr>
        <w:t>been</w:t>
      </w:r>
      <w:r w:rsidRPr="004569EA">
        <w:rPr>
          <w:lang w:val="en-CA"/>
        </w:rPr>
        <w:t xml:space="preserve"> observed in human milk. Because studies in nursing mothers have not been conducted, </w:t>
      </w:r>
      <w:r w:rsidR="0079497D" w:rsidRPr="0079497D">
        <w:rPr>
          <w:lang w:val="en-CA"/>
        </w:rPr>
        <w:t>BELKYRA</w:t>
      </w:r>
      <w:r w:rsidRPr="004569EA">
        <w:rPr>
          <w:lang w:val="en-CA"/>
        </w:rPr>
        <w:t xml:space="preserve"> is </w:t>
      </w:r>
      <w:r w:rsidR="00941A1D">
        <w:rPr>
          <w:lang w:val="en-CA"/>
        </w:rPr>
        <w:t>not recommended for use by</w:t>
      </w:r>
      <w:r w:rsidRPr="004569EA">
        <w:rPr>
          <w:lang w:val="en-CA"/>
        </w:rPr>
        <w:t xml:space="preserve"> nursing wom</w:t>
      </w:r>
      <w:r w:rsidR="00941A1D">
        <w:rPr>
          <w:lang w:val="en-CA"/>
        </w:rPr>
        <w:t>e</w:t>
      </w:r>
      <w:r w:rsidRPr="004569EA">
        <w:rPr>
          <w:lang w:val="en-CA"/>
        </w:rPr>
        <w:t xml:space="preserve">n. </w:t>
      </w:r>
    </w:p>
    <w:p w14:paraId="2A637575" w14:textId="77777777" w:rsidR="00A12661" w:rsidRPr="004569EA" w:rsidRDefault="00A12661" w:rsidP="009E2643">
      <w:pPr>
        <w:pStyle w:val="Heading2"/>
      </w:pPr>
      <w:r w:rsidRPr="004569EA">
        <w:t>Pediatric Use (&lt; 18 years of age)</w:t>
      </w:r>
    </w:p>
    <w:p w14:paraId="449DC36C" w14:textId="78159F99" w:rsidR="00A12661" w:rsidRPr="004569EA" w:rsidRDefault="00A12661" w:rsidP="009E2643">
      <w:pPr>
        <w:rPr>
          <w:lang w:val="en-CA"/>
        </w:rPr>
      </w:pPr>
      <w:r w:rsidRPr="004569EA">
        <w:rPr>
          <w:lang w:val="en-CA"/>
        </w:rPr>
        <w:t xml:space="preserve">Safety and effectiveness in patients below the age of 18 years have not been established and </w:t>
      </w:r>
      <w:r w:rsidR="0079497D" w:rsidRPr="0079497D">
        <w:rPr>
          <w:lang w:val="en-CA"/>
        </w:rPr>
        <w:t>BELKYRA</w:t>
      </w:r>
      <w:r w:rsidRPr="004569EA">
        <w:rPr>
          <w:lang w:val="en-CA"/>
        </w:rPr>
        <w:t xml:space="preserve"> is not intended for use in children or adolescents. </w:t>
      </w:r>
    </w:p>
    <w:p w14:paraId="735EEFBB" w14:textId="77777777" w:rsidR="00A12661" w:rsidRPr="004569EA" w:rsidRDefault="00A12661" w:rsidP="009E2643">
      <w:pPr>
        <w:pStyle w:val="Heading2"/>
      </w:pPr>
      <w:r w:rsidRPr="004569EA">
        <w:lastRenderedPageBreak/>
        <w:t>Use in the Elderly (&gt; 65 years of age)</w:t>
      </w:r>
    </w:p>
    <w:p w14:paraId="1C1FCF8C" w14:textId="7098B341" w:rsidR="00A12661" w:rsidRPr="004569EA" w:rsidRDefault="00A12661" w:rsidP="009E2643">
      <w:pPr>
        <w:rPr>
          <w:lang w:val="en-CA"/>
        </w:rPr>
      </w:pPr>
      <w:r w:rsidRPr="004569EA">
        <w:rPr>
          <w:lang w:val="en-CA"/>
        </w:rPr>
        <w:t xml:space="preserve">The clinical trials of </w:t>
      </w:r>
      <w:r w:rsidR="0079497D" w:rsidRPr="0079497D">
        <w:rPr>
          <w:lang w:val="en-CA"/>
        </w:rPr>
        <w:t>BELKYRA</w:t>
      </w:r>
      <w:r w:rsidRPr="004569EA">
        <w:rPr>
          <w:lang w:val="en-CA"/>
        </w:rPr>
        <w:t xml:space="preserve"> did not include sufficient numbers of subjects over age 65 to determine whether they respond differently than younger subjects; therefore, caution should be exercised with these patients. </w:t>
      </w:r>
    </w:p>
    <w:p w14:paraId="0B69F605" w14:textId="77777777" w:rsidR="004612BC" w:rsidRPr="004569EA" w:rsidRDefault="004612BC" w:rsidP="009E2643">
      <w:pPr>
        <w:pStyle w:val="Heading2"/>
        <w:rPr>
          <w:lang w:val="en-CA"/>
        </w:rPr>
      </w:pPr>
      <w:r w:rsidRPr="004569EA">
        <w:rPr>
          <w:lang w:val="en-CA"/>
        </w:rPr>
        <w:t xml:space="preserve">Genotoxicity </w:t>
      </w:r>
    </w:p>
    <w:p w14:paraId="7B0FCE38" w14:textId="61C9EE16" w:rsidR="00A12661" w:rsidRPr="004569EA" w:rsidRDefault="00A12661" w:rsidP="009E2643">
      <w:pPr>
        <w:rPr>
          <w:lang w:val="en-CA"/>
        </w:rPr>
      </w:pPr>
      <w:r w:rsidRPr="004569EA">
        <w:rPr>
          <w:lang w:val="en-CA"/>
        </w:rPr>
        <w:t xml:space="preserve">Deoxycholic acid </w:t>
      </w:r>
      <w:r w:rsidR="00216C1E">
        <w:rPr>
          <w:lang w:val="en-CA"/>
        </w:rPr>
        <w:t>was not genotoxic</w:t>
      </w:r>
      <w:r w:rsidRPr="004569EA">
        <w:rPr>
          <w:lang w:val="en-CA"/>
        </w:rPr>
        <w:t xml:space="preserve"> in a comprehensive battery of </w:t>
      </w:r>
      <w:r w:rsidR="00216C1E">
        <w:rPr>
          <w:lang w:val="en-CA"/>
        </w:rPr>
        <w:t>tests performed</w:t>
      </w:r>
      <w:r w:rsidRPr="004569EA">
        <w:rPr>
          <w:lang w:val="en-CA"/>
        </w:rPr>
        <w:t xml:space="preserve"> </w:t>
      </w:r>
      <w:r w:rsidRPr="00B7429E">
        <w:rPr>
          <w:i/>
          <w:lang w:val="en-CA"/>
        </w:rPr>
        <w:t>in vitro</w:t>
      </w:r>
      <w:r w:rsidRPr="004569EA">
        <w:rPr>
          <w:lang w:val="en-CA"/>
        </w:rPr>
        <w:t xml:space="preserve"> </w:t>
      </w:r>
      <w:r w:rsidRPr="004569EA">
        <w:rPr>
          <w:spacing w:val="-1"/>
          <w:lang w:val="en-CA"/>
        </w:rPr>
        <w:t>(m</w:t>
      </w:r>
      <w:r w:rsidRPr="004569EA">
        <w:rPr>
          <w:lang w:val="en-CA"/>
        </w:rPr>
        <w:t>icrobial r</w:t>
      </w:r>
      <w:r w:rsidRPr="004569EA">
        <w:rPr>
          <w:spacing w:val="-1"/>
          <w:lang w:val="en-CA"/>
        </w:rPr>
        <w:t>e</w:t>
      </w:r>
      <w:r w:rsidRPr="004569EA">
        <w:rPr>
          <w:lang w:val="en-CA"/>
        </w:rPr>
        <w:t>ve</w:t>
      </w:r>
      <w:r w:rsidRPr="004569EA">
        <w:rPr>
          <w:spacing w:val="-1"/>
          <w:lang w:val="en-CA"/>
        </w:rPr>
        <w:t>r</w:t>
      </w:r>
      <w:r w:rsidRPr="004569EA">
        <w:rPr>
          <w:lang w:val="en-CA"/>
        </w:rPr>
        <w:t>se</w:t>
      </w:r>
      <w:r w:rsidRPr="004569EA">
        <w:rPr>
          <w:spacing w:val="1"/>
          <w:lang w:val="en-CA"/>
        </w:rPr>
        <w:t xml:space="preserve"> </w:t>
      </w:r>
      <w:r w:rsidRPr="004569EA">
        <w:rPr>
          <w:spacing w:val="-2"/>
          <w:lang w:val="en-CA"/>
        </w:rPr>
        <w:t>m</w:t>
      </w:r>
      <w:r w:rsidRPr="004569EA">
        <w:rPr>
          <w:spacing w:val="1"/>
          <w:lang w:val="en-CA"/>
        </w:rPr>
        <w:t>u</w:t>
      </w:r>
      <w:r w:rsidRPr="004569EA">
        <w:rPr>
          <w:lang w:val="en-CA"/>
        </w:rPr>
        <w:t>tation</w:t>
      </w:r>
      <w:r w:rsidRPr="004569EA">
        <w:rPr>
          <w:spacing w:val="1"/>
          <w:lang w:val="en-CA"/>
        </w:rPr>
        <w:t xml:space="preserve"> </w:t>
      </w:r>
      <w:r w:rsidRPr="004569EA">
        <w:rPr>
          <w:lang w:val="en-CA"/>
        </w:rPr>
        <w:t>as</w:t>
      </w:r>
      <w:r w:rsidRPr="004569EA">
        <w:rPr>
          <w:spacing w:val="-1"/>
          <w:lang w:val="en-CA"/>
        </w:rPr>
        <w:t>s</w:t>
      </w:r>
      <w:r w:rsidRPr="004569EA">
        <w:rPr>
          <w:lang w:val="en-CA"/>
        </w:rPr>
        <w:t>a</w:t>
      </w:r>
      <w:r w:rsidRPr="004569EA">
        <w:rPr>
          <w:spacing w:val="-1"/>
          <w:lang w:val="en-CA"/>
        </w:rPr>
        <w:t>y</w:t>
      </w:r>
      <w:r w:rsidRPr="004569EA">
        <w:rPr>
          <w:lang w:val="en-CA"/>
        </w:rPr>
        <w:t xml:space="preserve"> a</w:t>
      </w:r>
      <w:r w:rsidRPr="004569EA">
        <w:rPr>
          <w:spacing w:val="1"/>
          <w:lang w:val="en-CA"/>
        </w:rPr>
        <w:t>n</w:t>
      </w:r>
      <w:r w:rsidRPr="004569EA">
        <w:rPr>
          <w:lang w:val="en-CA"/>
        </w:rPr>
        <w:t>d c</w:t>
      </w:r>
      <w:r w:rsidRPr="004569EA">
        <w:rPr>
          <w:spacing w:val="1"/>
          <w:lang w:val="en-CA"/>
        </w:rPr>
        <w:t>h</w:t>
      </w:r>
      <w:r w:rsidRPr="004569EA">
        <w:rPr>
          <w:lang w:val="en-CA"/>
        </w:rPr>
        <w:t>r</w:t>
      </w:r>
      <w:r w:rsidRPr="004569EA">
        <w:rPr>
          <w:spacing w:val="1"/>
          <w:lang w:val="en-CA"/>
        </w:rPr>
        <w:t>o</w:t>
      </w:r>
      <w:r w:rsidRPr="004569EA">
        <w:rPr>
          <w:spacing w:val="-2"/>
          <w:lang w:val="en-CA"/>
        </w:rPr>
        <w:t>m</w:t>
      </w:r>
      <w:r w:rsidRPr="004569EA">
        <w:rPr>
          <w:spacing w:val="1"/>
          <w:lang w:val="en-CA"/>
        </w:rPr>
        <w:t>o</w:t>
      </w:r>
      <w:r w:rsidRPr="004569EA">
        <w:rPr>
          <w:lang w:val="en-CA"/>
        </w:rPr>
        <w:t>s</w:t>
      </w:r>
      <w:r w:rsidRPr="004569EA">
        <w:rPr>
          <w:spacing w:val="1"/>
          <w:lang w:val="en-CA"/>
        </w:rPr>
        <w:t>o</w:t>
      </w:r>
      <w:r w:rsidRPr="004569EA">
        <w:rPr>
          <w:spacing w:val="-2"/>
          <w:lang w:val="en-CA"/>
        </w:rPr>
        <w:t>m</w:t>
      </w:r>
      <w:r w:rsidRPr="004569EA">
        <w:rPr>
          <w:lang w:val="en-CA"/>
        </w:rPr>
        <w:t xml:space="preserve">al </w:t>
      </w:r>
      <w:r w:rsidRPr="004569EA">
        <w:rPr>
          <w:spacing w:val="1"/>
          <w:lang w:val="en-CA"/>
        </w:rPr>
        <w:t>ab</w:t>
      </w:r>
      <w:r w:rsidRPr="004569EA">
        <w:rPr>
          <w:lang w:val="en-CA"/>
        </w:rPr>
        <w:t>errati</w:t>
      </w:r>
      <w:r w:rsidRPr="004569EA">
        <w:rPr>
          <w:spacing w:val="1"/>
          <w:lang w:val="en-CA"/>
        </w:rPr>
        <w:t>o</w:t>
      </w:r>
      <w:r w:rsidRPr="004569EA">
        <w:rPr>
          <w:lang w:val="en-CA"/>
        </w:rPr>
        <w:t xml:space="preserve">n test) and </w:t>
      </w:r>
      <w:r w:rsidRPr="00B7429E">
        <w:rPr>
          <w:i/>
          <w:lang w:val="en-CA"/>
        </w:rPr>
        <w:t>in vivo</w:t>
      </w:r>
      <w:r w:rsidRPr="004569EA">
        <w:rPr>
          <w:lang w:val="en-CA"/>
        </w:rPr>
        <w:t xml:space="preserve"> (micr</w:t>
      </w:r>
      <w:r w:rsidRPr="004569EA">
        <w:rPr>
          <w:spacing w:val="1"/>
          <w:lang w:val="en-CA"/>
        </w:rPr>
        <w:t>o</w:t>
      </w:r>
      <w:r w:rsidRPr="004569EA">
        <w:rPr>
          <w:lang w:val="en-CA"/>
        </w:rPr>
        <w:t>n</w:t>
      </w:r>
      <w:r w:rsidRPr="004569EA">
        <w:rPr>
          <w:spacing w:val="1"/>
          <w:lang w:val="en-CA"/>
        </w:rPr>
        <w:t>u</w:t>
      </w:r>
      <w:r w:rsidRPr="004569EA">
        <w:rPr>
          <w:lang w:val="en-CA"/>
        </w:rPr>
        <w:t>cle</w:t>
      </w:r>
      <w:r w:rsidRPr="004569EA">
        <w:rPr>
          <w:spacing w:val="1"/>
          <w:lang w:val="en-CA"/>
        </w:rPr>
        <w:t>u</w:t>
      </w:r>
      <w:r w:rsidRPr="004569EA">
        <w:rPr>
          <w:lang w:val="en-CA"/>
        </w:rPr>
        <w:t xml:space="preserve">s test) genotoxicity assays. </w:t>
      </w:r>
    </w:p>
    <w:p w14:paraId="28672139" w14:textId="77777777" w:rsidR="000E60EC" w:rsidRPr="004569EA" w:rsidRDefault="005175ED" w:rsidP="009E2643">
      <w:pPr>
        <w:pStyle w:val="Heading2"/>
        <w:rPr>
          <w:lang w:val="en-CA"/>
        </w:rPr>
      </w:pPr>
      <w:r w:rsidRPr="004569EA">
        <w:rPr>
          <w:lang w:val="en-CA"/>
        </w:rPr>
        <w:t>Carcinogenicity</w:t>
      </w:r>
    </w:p>
    <w:p w14:paraId="0E9677D1" w14:textId="77777777" w:rsidR="00941A1D" w:rsidRPr="00057B2C" w:rsidRDefault="00216C1E" w:rsidP="009E2643">
      <w:pPr>
        <w:pStyle w:val="Heading2"/>
        <w:rPr>
          <w:b w:val="0"/>
          <w:lang w:val="en-CA"/>
        </w:rPr>
      </w:pPr>
      <w:r w:rsidRPr="00057B2C">
        <w:rPr>
          <w:b w:val="0"/>
          <w:lang w:val="en-CA"/>
        </w:rPr>
        <w:t xml:space="preserve">The carcinogenic potential of deoxycholic acid by the subcutaneous route has not been examined in long-term animal studies. </w:t>
      </w:r>
    </w:p>
    <w:p w14:paraId="1699F1A0" w14:textId="3D7F3CA8" w:rsidR="00F22BCA" w:rsidRPr="004569EA" w:rsidRDefault="0084785E" w:rsidP="00941A1D">
      <w:pPr>
        <w:pStyle w:val="Heading2"/>
        <w:rPr>
          <w:lang w:val="en-CA"/>
        </w:rPr>
      </w:pPr>
      <w:r w:rsidRPr="004569EA">
        <w:rPr>
          <w:lang w:val="en-CA"/>
        </w:rPr>
        <w:t>Effect</w:t>
      </w:r>
      <w:r w:rsidR="00F22BCA" w:rsidRPr="004569EA">
        <w:rPr>
          <w:lang w:val="en-CA"/>
        </w:rPr>
        <w:t xml:space="preserve"> on </w:t>
      </w:r>
      <w:r w:rsidR="00BC2500">
        <w:rPr>
          <w:lang w:val="en-CA"/>
        </w:rPr>
        <w:t>L</w:t>
      </w:r>
      <w:r w:rsidR="00BC2500" w:rsidRPr="004569EA">
        <w:rPr>
          <w:lang w:val="en-CA"/>
        </w:rPr>
        <w:t xml:space="preserve">aboratory </w:t>
      </w:r>
      <w:r w:rsidR="00BC2500">
        <w:rPr>
          <w:lang w:val="en-CA"/>
        </w:rPr>
        <w:t>T</w:t>
      </w:r>
      <w:r w:rsidR="00BC2500" w:rsidRPr="004569EA">
        <w:rPr>
          <w:lang w:val="en-CA"/>
        </w:rPr>
        <w:t>ests</w:t>
      </w:r>
    </w:p>
    <w:p w14:paraId="2AD745B1" w14:textId="77777777" w:rsidR="000F7A05" w:rsidRPr="004569EA" w:rsidRDefault="00A12661" w:rsidP="009E2643">
      <w:pPr>
        <w:rPr>
          <w:lang w:val="en-CA"/>
        </w:rPr>
      </w:pPr>
      <w:r w:rsidRPr="004569EA">
        <w:rPr>
          <w:lang w:val="en-CA"/>
        </w:rPr>
        <w:t>Interactions with laboratory tests have not been established.</w:t>
      </w:r>
    </w:p>
    <w:p w14:paraId="1F99647B" w14:textId="77777777" w:rsidR="004612BC" w:rsidRPr="004569EA" w:rsidRDefault="004612BC" w:rsidP="009E2643">
      <w:pPr>
        <w:pStyle w:val="Heading1"/>
      </w:pPr>
      <w:r w:rsidRPr="004569EA">
        <w:t>INTERACTIONS WITH OTHER MEDICINES</w:t>
      </w:r>
    </w:p>
    <w:p w14:paraId="5AB0799B" w14:textId="1A0833A2" w:rsidR="00D960F8" w:rsidRPr="004569EA" w:rsidRDefault="00D960F8" w:rsidP="009E2643">
      <w:pPr>
        <w:rPr>
          <w:lang w:val="en-CA"/>
        </w:rPr>
      </w:pPr>
      <w:r w:rsidRPr="004569EA">
        <w:rPr>
          <w:lang w:val="en-CA"/>
        </w:rPr>
        <w:t xml:space="preserve">No clinical drug interaction studies have been conducted with </w:t>
      </w:r>
      <w:r w:rsidR="0079497D" w:rsidRPr="0079497D">
        <w:rPr>
          <w:lang w:val="en-CA"/>
        </w:rPr>
        <w:t>BELKYRA</w:t>
      </w:r>
      <w:r w:rsidRPr="004569EA">
        <w:rPr>
          <w:lang w:val="en-CA"/>
        </w:rPr>
        <w:t xml:space="preserve">. </w:t>
      </w:r>
      <w:r w:rsidR="00216C1E" w:rsidRPr="007C614D">
        <w:rPr>
          <w:lang w:val="en-CA"/>
        </w:rPr>
        <w:t xml:space="preserve">The use of </w:t>
      </w:r>
      <w:r w:rsidR="00216C1E">
        <w:rPr>
          <w:lang w:val="en-CA"/>
        </w:rPr>
        <w:t>BELKYRA</w:t>
      </w:r>
      <w:r w:rsidR="00216C1E" w:rsidRPr="007C614D">
        <w:rPr>
          <w:lang w:val="en-CA"/>
        </w:rPr>
        <w:t xml:space="preserve"> concomitantly with botulinum toxin has not been evaluated.</w:t>
      </w:r>
    </w:p>
    <w:p w14:paraId="3F360E9E" w14:textId="02534751" w:rsidR="00D960F8" w:rsidRPr="004569EA" w:rsidRDefault="00164A8B" w:rsidP="009E2643">
      <w:pPr>
        <w:rPr>
          <w:lang w:val="en-CA"/>
        </w:rPr>
      </w:pPr>
      <w:r w:rsidRPr="008F6FA3">
        <w:t>Results from</w:t>
      </w:r>
      <w:r w:rsidR="00D960F8" w:rsidRPr="004569EA">
        <w:rPr>
          <w:lang w:val="en-CA"/>
        </w:rPr>
        <w:t xml:space="preserve"> </w:t>
      </w:r>
      <w:r w:rsidR="00D960F8" w:rsidRPr="004569EA">
        <w:rPr>
          <w:i/>
          <w:lang w:val="en-CA"/>
        </w:rPr>
        <w:t>in vitro</w:t>
      </w:r>
      <w:r w:rsidR="00D960F8" w:rsidRPr="004569EA">
        <w:rPr>
          <w:lang w:val="en-CA"/>
        </w:rPr>
        <w:t xml:space="preserve"> studies on inhibition and induction of cytochrome P450 (CYP) enzymes and</w:t>
      </w:r>
      <w:r w:rsidR="00A03B46">
        <w:rPr>
          <w:lang w:val="en-CA"/>
        </w:rPr>
        <w:t xml:space="preserve"> inhibition of</w:t>
      </w:r>
      <w:r w:rsidR="00D960F8" w:rsidRPr="004569EA">
        <w:rPr>
          <w:lang w:val="en-CA"/>
        </w:rPr>
        <w:t xml:space="preserve"> uptake and efflux transporters</w:t>
      </w:r>
      <w:r w:rsidR="004F2F7A">
        <w:rPr>
          <w:lang w:val="en-CA"/>
        </w:rPr>
        <w:t xml:space="preserve">, </w:t>
      </w:r>
      <w:r w:rsidR="004F2F7A" w:rsidRPr="008F6FA3">
        <w:rPr>
          <w:spacing w:val="-1"/>
        </w:rPr>
        <w:t>including those involved in the enterohepatic circulation of bile acids,</w:t>
      </w:r>
      <w:r w:rsidR="00D960F8" w:rsidRPr="004569EA">
        <w:rPr>
          <w:lang w:val="en-CA"/>
        </w:rPr>
        <w:t xml:space="preserve"> did not predict a potential for drug-drug interactions with </w:t>
      </w:r>
      <w:r w:rsidR="0079497D" w:rsidRPr="0079497D">
        <w:rPr>
          <w:lang w:val="en-CA"/>
        </w:rPr>
        <w:t>BELKYRA</w:t>
      </w:r>
      <w:r w:rsidR="004F2F7A">
        <w:t xml:space="preserve"> </w:t>
      </w:r>
      <w:r w:rsidRPr="008F6FA3">
        <w:t xml:space="preserve">at clinically relevant </w:t>
      </w:r>
      <w:r w:rsidR="00A03B46">
        <w:t>doses</w:t>
      </w:r>
      <w:r w:rsidRPr="008F6FA3">
        <w:t xml:space="preserve">. </w:t>
      </w:r>
      <w:r>
        <w:t xml:space="preserve"> </w:t>
      </w:r>
    </w:p>
    <w:p w14:paraId="17DB9F0A" w14:textId="77777777" w:rsidR="00F22BCA" w:rsidRPr="004569EA" w:rsidRDefault="00F22BCA" w:rsidP="009E2643">
      <w:pPr>
        <w:pStyle w:val="Heading1"/>
      </w:pPr>
      <w:r w:rsidRPr="004569EA">
        <w:t>A</w:t>
      </w:r>
      <w:r w:rsidR="001E2D56" w:rsidRPr="004569EA">
        <w:t>DVERSE EFFECTS</w:t>
      </w:r>
    </w:p>
    <w:p w14:paraId="570BCF13" w14:textId="726AA8EF" w:rsidR="009672FD" w:rsidRPr="00142220" w:rsidRDefault="009672FD" w:rsidP="009672FD">
      <w:pPr>
        <w:spacing w:before="120" w:after="120"/>
        <w:rPr>
          <w:bCs/>
          <w:strike/>
        </w:rPr>
      </w:pPr>
      <w:r w:rsidRPr="00142220">
        <w:rPr>
          <w:bCs/>
          <w:lang w:val="en-GB" w:eastAsia="de-CH" w:bidi="de-CH"/>
        </w:rPr>
        <w:t xml:space="preserve">The data described in the underlying table reflect undesirable effects reported for </w:t>
      </w:r>
      <w:r w:rsidR="00DA1732" w:rsidRPr="00142220">
        <w:rPr>
          <w:noProof/>
          <w:lang w:val="en-GB"/>
        </w:rPr>
        <w:t>BELKYRA</w:t>
      </w:r>
      <w:r w:rsidRPr="00142220">
        <w:rPr>
          <w:noProof/>
          <w:lang w:val="en-GB"/>
        </w:rPr>
        <w:t xml:space="preserve"> </w:t>
      </w:r>
      <w:r w:rsidRPr="00142220">
        <w:rPr>
          <w:bCs/>
          <w:lang w:val="en-GB" w:eastAsia="de-CH" w:bidi="de-CH"/>
        </w:rPr>
        <w:t xml:space="preserve">treated patients (N=1118) who were evaluated in the clinical studies that assessed the use of </w:t>
      </w:r>
      <w:r w:rsidR="00DA1732" w:rsidRPr="00142220">
        <w:rPr>
          <w:noProof/>
          <w:lang w:val="en-GB"/>
        </w:rPr>
        <w:t>BELKYRA</w:t>
      </w:r>
      <w:r w:rsidRPr="00142220">
        <w:rPr>
          <w:noProof/>
          <w:lang w:val="en-GB"/>
        </w:rPr>
        <w:t xml:space="preserve"> </w:t>
      </w:r>
      <w:r w:rsidRPr="00142220">
        <w:rPr>
          <w:bCs/>
          <w:lang w:val="en-GB" w:eastAsia="de-CH" w:bidi="de-CH"/>
        </w:rPr>
        <w:t>for the treatment of submental fat.</w:t>
      </w:r>
      <w:r w:rsidRPr="00142220">
        <w:rPr>
          <w:bCs/>
          <w:strike/>
        </w:rPr>
        <w:t xml:space="preserve"> </w:t>
      </w:r>
    </w:p>
    <w:p w14:paraId="7B1400F0" w14:textId="77777777" w:rsidR="009672FD" w:rsidRPr="00142220" w:rsidRDefault="009672FD" w:rsidP="009672FD">
      <w:pPr>
        <w:tabs>
          <w:tab w:val="left" w:pos="567"/>
        </w:tabs>
        <w:spacing w:line="260" w:lineRule="exact"/>
        <w:rPr>
          <w:color w:val="000000"/>
          <w:lang w:eastAsia="da-DK"/>
        </w:rPr>
      </w:pPr>
      <w:r w:rsidRPr="00142220">
        <w:rPr>
          <w:color w:val="000000"/>
          <w:lang w:eastAsia="da-DK"/>
        </w:rPr>
        <w:t>The following side effects have been evaluated in clinical studies with the following frequencies:</w:t>
      </w:r>
    </w:p>
    <w:p w14:paraId="4974ECC0"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lang w:eastAsia="da-DK"/>
        </w:rPr>
      </w:pPr>
      <w:r w:rsidRPr="00142220">
        <w:rPr>
          <w:lang w:eastAsia="da-DK"/>
        </w:rPr>
        <w:t xml:space="preserve">Very common </w:t>
      </w:r>
      <w:r w:rsidRPr="00142220">
        <w:rPr>
          <w:lang w:eastAsia="da-DK"/>
        </w:rPr>
        <w:tab/>
        <w:t xml:space="preserve">             (≥ 1/10)</w:t>
      </w:r>
    </w:p>
    <w:p w14:paraId="25AB5B71"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lang w:eastAsia="da-DK"/>
        </w:rPr>
      </w:pPr>
      <w:r w:rsidRPr="00142220">
        <w:rPr>
          <w:lang w:eastAsia="da-DK"/>
        </w:rPr>
        <w:t xml:space="preserve">Common </w:t>
      </w:r>
      <w:r w:rsidRPr="00142220">
        <w:rPr>
          <w:lang w:eastAsia="da-DK"/>
        </w:rPr>
        <w:tab/>
      </w:r>
      <w:r w:rsidRPr="00142220">
        <w:rPr>
          <w:lang w:eastAsia="da-DK"/>
        </w:rPr>
        <w:tab/>
        <w:t>(≥ 1/100 to &lt;1/10)</w:t>
      </w:r>
    </w:p>
    <w:p w14:paraId="39DFC1C9"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lang w:eastAsia="da-DK"/>
        </w:rPr>
      </w:pPr>
      <w:r w:rsidRPr="00142220">
        <w:rPr>
          <w:lang w:eastAsia="da-DK"/>
        </w:rPr>
        <w:t xml:space="preserve">Uncommon </w:t>
      </w:r>
      <w:r w:rsidRPr="00142220">
        <w:rPr>
          <w:lang w:eastAsia="da-DK"/>
        </w:rPr>
        <w:tab/>
      </w:r>
      <w:r w:rsidRPr="00142220">
        <w:rPr>
          <w:lang w:eastAsia="da-DK"/>
        </w:rPr>
        <w:tab/>
        <w:t>(≥ 1/1,000 to &lt;1/100)</w:t>
      </w:r>
    </w:p>
    <w:p w14:paraId="581A1DA6"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lang w:eastAsia="da-DK"/>
        </w:rPr>
      </w:pPr>
      <w:r w:rsidRPr="00142220">
        <w:rPr>
          <w:lang w:eastAsia="da-DK"/>
        </w:rPr>
        <w:t xml:space="preserve">Rare </w:t>
      </w:r>
      <w:r w:rsidRPr="00142220">
        <w:rPr>
          <w:lang w:eastAsia="da-DK"/>
        </w:rPr>
        <w:tab/>
      </w:r>
      <w:r w:rsidRPr="00142220">
        <w:rPr>
          <w:lang w:eastAsia="da-DK"/>
        </w:rPr>
        <w:tab/>
      </w:r>
      <w:r w:rsidRPr="00142220">
        <w:rPr>
          <w:lang w:eastAsia="da-DK"/>
        </w:rPr>
        <w:tab/>
        <w:t>(≥ 1/10,000 to &lt;1/1,000)</w:t>
      </w:r>
    </w:p>
    <w:p w14:paraId="7CF05D24"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lang w:eastAsia="da-DK"/>
        </w:rPr>
      </w:pPr>
      <w:r w:rsidRPr="00142220">
        <w:rPr>
          <w:lang w:eastAsia="da-DK"/>
        </w:rPr>
        <w:t xml:space="preserve">Very rare </w:t>
      </w:r>
      <w:r w:rsidRPr="00142220">
        <w:rPr>
          <w:lang w:eastAsia="da-DK"/>
        </w:rPr>
        <w:tab/>
      </w:r>
      <w:r w:rsidRPr="00142220">
        <w:rPr>
          <w:lang w:eastAsia="da-DK"/>
        </w:rPr>
        <w:tab/>
        <w:t>(&lt;1/10,000)</w:t>
      </w:r>
    </w:p>
    <w:p w14:paraId="2C32273D" w14:textId="77777777" w:rsidR="009672FD" w:rsidRPr="00142220" w:rsidRDefault="009672FD" w:rsidP="009672FD">
      <w:pPr>
        <w:numPr>
          <w:ilvl w:val="0"/>
          <w:numId w:val="14"/>
        </w:numPr>
        <w:tabs>
          <w:tab w:val="left" w:pos="567"/>
        </w:tabs>
        <w:autoSpaceDE w:val="0"/>
        <w:autoSpaceDN w:val="0"/>
        <w:adjustRightInd w:val="0"/>
        <w:spacing w:after="200" w:line="276" w:lineRule="auto"/>
        <w:ind w:left="567" w:hanging="567"/>
        <w:contextualSpacing/>
        <w:rPr>
          <w:color w:val="000000"/>
          <w:lang w:eastAsia="da-DK"/>
        </w:rPr>
      </w:pPr>
      <w:r w:rsidRPr="00142220">
        <w:rPr>
          <w:lang w:eastAsia="da-DK"/>
        </w:rPr>
        <w:t xml:space="preserve">Not known </w:t>
      </w:r>
      <w:r w:rsidRPr="00142220">
        <w:rPr>
          <w:lang w:eastAsia="da-DK"/>
        </w:rPr>
        <w:tab/>
      </w:r>
      <w:r w:rsidRPr="00142220">
        <w:rPr>
          <w:lang w:eastAsia="da-DK"/>
        </w:rPr>
        <w:tab/>
        <w:t xml:space="preserve">(cannot be estimated from the available data). </w:t>
      </w:r>
      <w:r w:rsidRPr="00142220">
        <w:rPr>
          <w:color w:val="000000"/>
          <w:lang w:eastAsia="da-DK"/>
        </w:rPr>
        <w:t xml:space="preserve"> </w:t>
      </w:r>
    </w:p>
    <w:p w14:paraId="1B181E10" w14:textId="77777777" w:rsidR="009672FD" w:rsidRPr="00142220" w:rsidRDefault="009672FD" w:rsidP="00DD27AB">
      <w:pPr>
        <w:pageBreakBefore/>
        <w:tabs>
          <w:tab w:val="left" w:pos="567"/>
        </w:tabs>
        <w:spacing w:line="260" w:lineRule="exact"/>
        <w:rPr>
          <w:bCs/>
          <w:iCs/>
          <w:color w:val="000000"/>
          <w:u w:val="single"/>
          <w:lang w:eastAsia="da-D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2938"/>
        <w:gridCol w:w="3274"/>
      </w:tblGrid>
      <w:tr w:rsidR="009672FD" w:rsidRPr="00142220" w14:paraId="4FD1F3D3" w14:textId="77777777" w:rsidTr="00802438">
        <w:trPr>
          <w:trHeight w:val="144"/>
          <w:jc w:val="center"/>
        </w:trPr>
        <w:tc>
          <w:tcPr>
            <w:tcW w:w="2927" w:type="dxa"/>
            <w:tcBorders>
              <w:top w:val="single" w:sz="8" w:space="0" w:color="auto"/>
              <w:left w:val="single" w:sz="8" w:space="0" w:color="auto"/>
              <w:bottom w:val="single" w:sz="8" w:space="0" w:color="auto"/>
              <w:right w:val="single" w:sz="8" w:space="0" w:color="auto"/>
            </w:tcBorders>
            <w:shd w:val="clear" w:color="auto" w:fill="auto"/>
          </w:tcPr>
          <w:p w14:paraId="0746098F" w14:textId="77777777" w:rsidR="009672FD" w:rsidRPr="00142220" w:rsidRDefault="009672FD" w:rsidP="00802438">
            <w:pPr>
              <w:widowControl w:val="0"/>
              <w:tabs>
                <w:tab w:val="left" w:pos="142"/>
              </w:tabs>
              <w:spacing w:after="200" w:line="260" w:lineRule="exact"/>
              <w:contextualSpacing/>
              <w:rPr>
                <w:b/>
                <w:szCs w:val="20"/>
                <w:u w:val="single"/>
                <w:lang w:val="en-GB"/>
              </w:rPr>
            </w:pPr>
            <w:r w:rsidRPr="00142220">
              <w:rPr>
                <w:b/>
                <w:szCs w:val="20"/>
                <w:u w:val="single"/>
                <w:lang w:val="en-GB"/>
              </w:rPr>
              <w:t>System Organ Class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24E959D7" w14:textId="77777777" w:rsidR="009672FD" w:rsidRPr="00142220" w:rsidRDefault="009672FD" w:rsidP="00802438">
            <w:pPr>
              <w:widowControl w:val="0"/>
              <w:tabs>
                <w:tab w:val="left" w:pos="142"/>
              </w:tabs>
              <w:spacing w:after="200" w:line="260" w:lineRule="exact"/>
              <w:contextualSpacing/>
              <w:rPr>
                <w:b/>
                <w:szCs w:val="20"/>
                <w:u w:val="single"/>
                <w:lang w:val="en-GB"/>
              </w:rPr>
            </w:pPr>
            <w:r w:rsidRPr="00142220">
              <w:rPr>
                <w:b/>
                <w:szCs w:val="20"/>
                <w:u w:val="single"/>
                <w:lang w:val="en-GB"/>
              </w:rPr>
              <w:t>Frequency</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27284B00" w14:textId="77777777" w:rsidR="009672FD" w:rsidRPr="00142220" w:rsidRDefault="009672FD" w:rsidP="00802438">
            <w:pPr>
              <w:widowControl w:val="0"/>
              <w:tabs>
                <w:tab w:val="left" w:pos="142"/>
              </w:tabs>
              <w:spacing w:after="200" w:line="260" w:lineRule="exact"/>
              <w:contextualSpacing/>
              <w:rPr>
                <w:b/>
                <w:szCs w:val="20"/>
                <w:u w:val="single"/>
                <w:lang w:val="en-GB"/>
              </w:rPr>
            </w:pPr>
            <w:r w:rsidRPr="00142220">
              <w:rPr>
                <w:b/>
                <w:szCs w:val="20"/>
                <w:u w:val="single"/>
                <w:lang w:val="en-GB"/>
              </w:rPr>
              <w:t>Adverse Reaction</w:t>
            </w:r>
          </w:p>
        </w:tc>
      </w:tr>
      <w:tr w:rsidR="009672FD" w:rsidRPr="00142220" w14:paraId="50E7BC44" w14:textId="77777777" w:rsidTr="00802438">
        <w:trPr>
          <w:trHeight w:val="144"/>
          <w:jc w:val="center"/>
        </w:trPr>
        <w:tc>
          <w:tcPr>
            <w:tcW w:w="2927" w:type="dxa"/>
            <w:vMerge w:val="restart"/>
            <w:tcBorders>
              <w:top w:val="single" w:sz="8" w:space="0" w:color="auto"/>
              <w:left w:val="single" w:sz="8" w:space="0" w:color="auto"/>
              <w:right w:val="single" w:sz="8" w:space="0" w:color="auto"/>
            </w:tcBorders>
            <w:shd w:val="clear" w:color="auto" w:fill="auto"/>
          </w:tcPr>
          <w:p w14:paraId="4483C1AA" w14:textId="77777777" w:rsidR="009672FD" w:rsidRPr="00142220" w:rsidRDefault="009672FD" w:rsidP="00802438">
            <w:pPr>
              <w:widowControl w:val="0"/>
              <w:tabs>
                <w:tab w:val="left" w:pos="567"/>
                <w:tab w:val="left" w:pos="2070"/>
              </w:tabs>
              <w:spacing w:line="260" w:lineRule="exact"/>
              <w:rPr>
                <w:color w:val="000000"/>
                <w:lang w:val="en-GB" w:eastAsia="da-DK"/>
              </w:rPr>
            </w:pPr>
            <w:r w:rsidRPr="00142220">
              <w:rPr>
                <w:bCs/>
                <w:iCs/>
                <w:color w:val="000000"/>
                <w:lang w:val="en-GB" w:eastAsia="da-DK"/>
              </w:rPr>
              <w:t>Nervous system disorders</w:t>
            </w:r>
          </w:p>
          <w:p w14:paraId="0DA972B3" w14:textId="77777777" w:rsidR="009672FD" w:rsidRPr="00142220" w:rsidRDefault="009672FD" w:rsidP="00802438">
            <w:pPr>
              <w:widowControl w:val="0"/>
              <w:tabs>
                <w:tab w:val="left" w:pos="142"/>
              </w:tabs>
              <w:spacing w:after="200" w:line="260" w:lineRule="exact"/>
              <w:contextualSpacing/>
              <w:rPr>
                <w:szCs w:val="20"/>
                <w:lang w:val="en-GB"/>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38A1EBA2"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36D97EF1"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Headache</w:t>
            </w:r>
          </w:p>
        </w:tc>
      </w:tr>
      <w:tr w:rsidR="009672FD" w:rsidRPr="00142220" w14:paraId="45CC8ACE" w14:textId="77777777" w:rsidTr="00802438">
        <w:trPr>
          <w:trHeight w:val="144"/>
          <w:jc w:val="center"/>
        </w:trPr>
        <w:tc>
          <w:tcPr>
            <w:tcW w:w="2927" w:type="dxa"/>
            <w:vMerge/>
            <w:tcBorders>
              <w:left w:val="single" w:sz="8" w:space="0" w:color="auto"/>
              <w:bottom w:val="single" w:sz="8" w:space="0" w:color="auto"/>
              <w:right w:val="single" w:sz="8" w:space="0" w:color="auto"/>
            </w:tcBorders>
            <w:shd w:val="clear" w:color="auto" w:fill="auto"/>
          </w:tcPr>
          <w:p w14:paraId="652E58F0" w14:textId="77777777" w:rsidR="009672FD" w:rsidRPr="00142220" w:rsidRDefault="009672FD" w:rsidP="00802438">
            <w:pPr>
              <w:widowControl w:val="0"/>
              <w:tabs>
                <w:tab w:val="left" w:pos="567"/>
                <w:tab w:val="left" w:pos="2070"/>
              </w:tabs>
              <w:spacing w:line="260" w:lineRule="exact"/>
              <w:rPr>
                <w:bCs/>
                <w:iCs/>
                <w:color w:val="000000"/>
                <w:lang w:val="en-GB" w:eastAsia="da-DK"/>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3E16E008"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Uncommon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0E9D5B84" w14:textId="39152A96"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Dysgeusia</w:t>
            </w:r>
          </w:p>
        </w:tc>
      </w:tr>
      <w:tr w:rsidR="009672FD" w:rsidRPr="00142220" w14:paraId="5DE7C959" w14:textId="77777777" w:rsidTr="00802438">
        <w:trPr>
          <w:trHeight w:val="144"/>
          <w:jc w:val="center"/>
        </w:trPr>
        <w:tc>
          <w:tcPr>
            <w:tcW w:w="2927" w:type="dxa"/>
            <w:tcBorders>
              <w:left w:val="single" w:sz="8" w:space="0" w:color="auto"/>
              <w:right w:val="single" w:sz="8" w:space="0" w:color="auto"/>
            </w:tcBorders>
            <w:shd w:val="clear" w:color="auto" w:fill="auto"/>
          </w:tcPr>
          <w:p w14:paraId="52F5CEFC" w14:textId="77777777" w:rsidR="009672FD" w:rsidRPr="00142220" w:rsidRDefault="009672FD" w:rsidP="00802438">
            <w:pPr>
              <w:widowControl w:val="0"/>
              <w:tabs>
                <w:tab w:val="left" w:pos="567"/>
                <w:tab w:val="left" w:pos="2070"/>
              </w:tabs>
              <w:spacing w:line="260" w:lineRule="exact"/>
              <w:rPr>
                <w:bCs/>
                <w:iCs/>
                <w:color w:val="000000"/>
                <w:lang w:val="en-GB" w:eastAsia="da-DK"/>
              </w:rPr>
            </w:pPr>
            <w:r w:rsidRPr="00142220">
              <w:rPr>
                <w:bCs/>
                <w:iCs/>
                <w:color w:val="000000"/>
                <w:lang w:val="en-GB" w:eastAsia="da-DK"/>
              </w:rPr>
              <w:t>Respiratory, thoracic and mediastinal disorders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3B1284B2"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Uncommon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507970C3"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Dysphonia</w:t>
            </w:r>
          </w:p>
        </w:tc>
      </w:tr>
      <w:tr w:rsidR="009672FD" w:rsidRPr="00142220" w14:paraId="54892098" w14:textId="77777777" w:rsidTr="00802438">
        <w:trPr>
          <w:trHeight w:val="144"/>
          <w:jc w:val="center"/>
        </w:trPr>
        <w:tc>
          <w:tcPr>
            <w:tcW w:w="2927" w:type="dxa"/>
            <w:tcBorders>
              <w:left w:val="single" w:sz="8" w:space="0" w:color="auto"/>
              <w:right w:val="single" w:sz="8" w:space="0" w:color="auto"/>
            </w:tcBorders>
            <w:shd w:val="clear" w:color="auto" w:fill="auto"/>
          </w:tcPr>
          <w:p w14:paraId="20243360" w14:textId="77777777" w:rsidR="009672FD" w:rsidRPr="00142220" w:rsidRDefault="009672FD" w:rsidP="00802438">
            <w:pPr>
              <w:widowControl w:val="0"/>
              <w:tabs>
                <w:tab w:val="left" w:pos="567"/>
                <w:tab w:val="left" w:pos="2070"/>
              </w:tabs>
              <w:spacing w:line="260" w:lineRule="exact"/>
              <w:rPr>
                <w:bCs/>
                <w:iCs/>
                <w:color w:val="000000"/>
                <w:lang w:val="en-GB" w:eastAsia="da-DK"/>
              </w:rPr>
            </w:pPr>
            <w:r w:rsidRPr="00142220">
              <w:rPr>
                <w:bCs/>
                <w:iCs/>
                <w:color w:val="000000"/>
                <w:lang w:val="en-GB" w:eastAsia="da-DK"/>
              </w:rPr>
              <w:t>Gastrointestinal disorders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27D3ADC3"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7EBDDB0B"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Dysphagia, nausea</w:t>
            </w:r>
          </w:p>
        </w:tc>
      </w:tr>
      <w:tr w:rsidR="009672FD" w:rsidRPr="00142220" w14:paraId="41D8E7DC" w14:textId="77777777" w:rsidTr="00802438">
        <w:trPr>
          <w:trHeight w:val="144"/>
          <w:jc w:val="center"/>
        </w:trPr>
        <w:tc>
          <w:tcPr>
            <w:tcW w:w="2927" w:type="dxa"/>
            <w:tcBorders>
              <w:left w:val="single" w:sz="8" w:space="0" w:color="auto"/>
              <w:right w:val="single" w:sz="8" w:space="0" w:color="auto"/>
            </w:tcBorders>
            <w:shd w:val="clear" w:color="auto" w:fill="auto"/>
          </w:tcPr>
          <w:p w14:paraId="2BB43AC4" w14:textId="77777777" w:rsidR="009672FD" w:rsidRPr="00142220" w:rsidRDefault="009672FD" w:rsidP="00802438">
            <w:pPr>
              <w:widowControl w:val="0"/>
              <w:tabs>
                <w:tab w:val="left" w:pos="567"/>
                <w:tab w:val="left" w:pos="2070"/>
              </w:tabs>
              <w:spacing w:line="260" w:lineRule="exact"/>
              <w:rPr>
                <w:bCs/>
                <w:iCs/>
                <w:color w:val="000000"/>
                <w:lang w:val="en-GB" w:eastAsia="da-DK"/>
              </w:rPr>
            </w:pPr>
            <w:r w:rsidRPr="00142220">
              <w:rPr>
                <w:bCs/>
                <w:iCs/>
                <w:color w:val="000000"/>
                <w:lang w:val="en-GB" w:eastAsia="da-DK"/>
              </w:rPr>
              <w:t>Skin and subcutaneous tissue disorders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3C3F38FC"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6079F5D5"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Skin tightness</w:t>
            </w:r>
          </w:p>
        </w:tc>
      </w:tr>
      <w:tr w:rsidR="009672FD" w:rsidRPr="00142220" w14:paraId="5D28672B" w14:textId="77777777" w:rsidTr="00802438">
        <w:trPr>
          <w:trHeight w:val="144"/>
          <w:jc w:val="center"/>
        </w:trPr>
        <w:tc>
          <w:tcPr>
            <w:tcW w:w="2927" w:type="dxa"/>
            <w:vMerge w:val="restart"/>
            <w:tcBorders>
              <w:left w:val="single" w:sz="8" w:space="0" w:color="auto"/>
              <w:right w:val="single" w:sz="8" w:space="0" w:color="auto"/>
            </w:tcBorders>
            <w:shd w:val="clear" w:color="auto" w:fill="auto"/>
          </w:tcPr>
          <w:p w14:paraId="3943C9F3" w14:textId="77777777" w:rsidR="009672FD" w:rsidRPr="00142220" w:rsidRDefault="009672FD" w:rsidP="00802438">
            <w:pPr>
              <w:widowControl w:val="0"/>
              <w:tabs>
                <w:tab w:val="left" w:pos="567"/>
                <w:tab w:val="left" w:pos="2070"/>
              </w:tabs>
              <w:spacing w:line="260" w:lineRule="exact"/>
              <w:rPr>
                <w:bCs/>
                <w:iCs/>
                <w:color w:val="000000"/>
                <w:lang w:val="en-GB" w:eastAsia="da-DK"/>
              </w:rPr>
            </w:pPr>
            <w:r w:rsidRPr="00142220">
              <w:rPr>
                <w:bCs/>
                <w:iCs/>
                <w:color w:val="000000"/>
                <w:lang w:val="en-GB" w:eastAsia="da-DK"/>
              </w:rPr>
              <w:t>General disorders and administration site conditions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78A73FBF"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Very 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434585BC"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Injection site: Pain, oedema, swelling, anaesthesia, nodule, haematoma, paraesthesia, induration, erythema, pruritus.</w:t>
            </w:r>
          </w:p>
        </w:tc>
      </w:tr>
      <w:tr w:rsidR="009672FD" w:rsidRPr="00142220" w14:paraId="31A9701C" w14:textId="77777777" w:rsidTr="00802438">
        <w:trPr>
          <w:trHeight w:val="144"/>
          <w:jc w:val="center"/>
        </w:trPr>
        <w:tc>
          <w:tcPr>
            <w:tcW w:w="2927" w:type="dxa"/>
            <w:vMerge/>
            <w:tcBorders>
              <w:left w:val="single" w:sz="8" w:space="0" w:color="auto"/>
              <w:right w:val="single" w:sz="8" w:space="0" w:color="auto"/>
            </w:tcBorders>
            <w:shd w:val="clear" w:color="auto" w:fill="auto"/>
          </w:tcPr>
          <w:p w14:paraId="720ACFB5" w14:textId="77777777" w:rsidR="009672FD" w:rsidRPr="00142220" w:rsidRDefault="009672FD" w:rsidP="00802438">
            <w:pPr>
              <w:widowControl w:val="0"/>
              <w:tabs>
                <w:tab w:val="left" w:pos="567"/>
                <w:tab w:val="left" w:pos="2070"/>
              </w:tabs>
              <w:spacing w:line="260" w:lineRule="exact"/>
              <w:rPr>
                <w:bCs/>
                <w:iCs/>
                <w:color w:val="000000"/>
                <w:highlight w:val="yellow"/>
                <w:lang w:val="en-GB" w:eastAsia="da-DK"/>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23CF52F5"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63AE52C0"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Injection site: Haemorrhage, discomfort, warmth, discolouration.</w:t>
            </w:r>
          </w:p>
        </w:tc>
      </w:tr>
      <w:tr w:rsidR="009672FD" w:rsidRPr="00142220" w14:paraId="3C287514" w14:textId="77777777" w:rsidTr="00802438">
        <w:trPr>
          <w:trHeight w:val="144"/>
          <w:jc w:val="center"/>
        </w:trPr>
        <w:tc>
          <w:tcPr>
            <w:tcW w:w="2927" w:type="dxa"/>
            <w:vMerge/>
            <w:tcBorders>
              <w:left w:val="single" w:sz="8" w:space="0" w:color="auto"/>
              <w:bottom w:val="single" w:sz="8" w:space="0" w:color="auto"/>
              <w:right w:val="single" w:sz="8" w:space="0" w:color="auto"/>
            </w:tcBorders>
            <w:shd w:val="clear" w:color="auto" w:fill="auto"/>
          </w:tcPr>
          <w:p w14:paraId="4C3EAC47" w14:textId="77777777" w:rsidR="009672FD" w:rsidRPr="00142220" w:rsidRDefault="009672FD" w:rsidP="00802438">
            <w:pPr>
              <w:widowControl w:val="0"/>
              <w:tabs>
                <w:tab w:val="left" w:pos="567"/>
                <w:tab w:val="left" w:pos="2070"/>
              </w:tabs>
              <w:spacing w:line="260" w:lineRule="exact"/>
              <w:rPr>
                <w:bCs/>
                <w:iCs/>
                <w:color w:val="000000"/>
                <w:lang w:val="en-GB" w:eastAsia="da-DK"/>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1B63EBEC"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Uncommon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635E8530"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Injection site: Alopecia, urticaria, ulcer, hypersensitivity.</w:t>
            </w:r>
          </w:p>
        </w:tc>
      </w:tr>
      <w:tr w:rsidR="009672FD" w:rsidRPr="00142220" w14:paraId="60BEACCC" w14:textId="77777777" w:rsidTr="00802438">
        <w:trPr>
          <w:trHeight w:val="144"/>
          <w:jc w:val="center"/>
        </w:trPr>
        <w:tc>
          <w:tcPr>
            <w:tcW w:w="2927" w:type="dxa"/>
            <w:tcBorders>
              <w:left w:val="single" w:sz="8" w:space="0" w:color="auto"/>
              <w:bottom w:val="single" w:sz="8" w:space="0" w:color="auto"/>
              <w:right w:val="single" w:sz="8" w:space="0" w:color="auto"/>
            </w:tcBorders>
            <w:shd w:val="clear" w:color="auto" w:fill="auto"/>
          </w:tcPr>
          <w:p w14:paraId="772056A8" w14:textId="77777777" w:rsidR="009672FD" w:rsidRPr="00142220" w:rsidRDefault="009672FD" w:rsidP="00802438">
            <w:pPr>
              <w:widowControl w:val="0"/>
              <w:tabs>
                <w:tab w:val="left" w:pos="567"/>
                <w:tab w:val="left" w:pos="2070"/>
              </w:tabs>
              <w:spacing w:line="260" w:lineRule="exact"/>
              <w:rPr>
                <w:bCs/>
                <w:iCs/>
                <w:color w:val="000000"/>
                <w:lang w:val="en-GB" w:eastAsia="da-DK"/>
              </w:rPr>
            </w:pPr>
            <w:r w:rsidRPr="00142220">
              <w:rPr>
                <w:bCs/>
                <w:iCs/>
                <w:color w:val="000000"/>
                <w:lang w:val="en-GB" w:eastAsia="da-DK"/>
              </w:rPr>
              <w:t>Injury, poisoning and procedural complications</w:t>
            </w:r>
          </w:p>
        </w:tc>
        <w:tc>
          <w:tcPr>
            <w:tcW w:w="2938" w:type="dxa"/>
            <w:tcBorders>
              <w:top w:val="single" w:sz="8" w:space="0" w:color="auto"/>
              <w:left w:val="single" w:sz="8" w:space="0" w:color="auto"/>
              <w:bottom w:val="single" w:sz="8" w:space="0" w:color="auto"/>
              <w:right w:val="single" w:sz="8" w:space="0" w:color="auto"/>
            </w:tcBorders>
            <w:shd w:val="clear" w:color="auto" w:fill="auto"/>
          </w:tcPr>
          <w:p w14:paraId="2EA9556E"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Common</w:t>
            </w:r>
          </w:p>
        </w:tc>
        <w:tc>
          <w:tcPr>
            <w:tcW w:w="3274" w:type="dxa"/>
            <w:tcBorders>
              <w:top w:val="single" w:sz="8" w:space="0" w:color="auto"/>
              <w:left w:val="single" w:sz="8" w:space="0" w:color="auto"/>
              <w:bottom w:val="single" w:sz="8" w:space="0" w:color="auto"/>
              <w:right w:val="single" w:sz="8" w:space="0" w:color="auto"/>
            </w:tcBorders>
            <w:shd w:val="clear" w:color="auto" w:fill="auto"/>
          </w:tcPr>
          <w:p w14:paraId="313F341B" w14:textId="77777777" w:rsidR="009672FD" w:rsidRPr="00142220" w:rsidRDefault="009672FD" w:rsidP="00802438">
            <w:pPr>
              <w:widowControl w:val="0"/>
              <w:tabs>
                <w:tab w:val="left" w:pos="142"/>
              </w:tabs>
              <w:spacing w:after="200" w:line="260" w:lineRule="exact"/>
              <w:contextualSpacing/>
              <w:rPr>
                <w:szCs w:val="20"/>
                <w:lang w:val="en-GB"/>
              </w:rPr>
            </w:pPr>
            <w:r w:rsidRPr="00142220">
              <w:rPr>
                <w:szCs w:val="20"/>
                <w:lang w:val="en-GB"/>
              </w:rPr>
              <w:t>Injection site nerve injury</w:t>
            </w:r>
          </w:p>
        </w:tc>
      </w:tr>
    </w:tbl>
    <w:p w14:paraId="15738D16" w14:textId="77777777" w:rsidR="00804100" w:rsidRPr="004569EA" w:rsidRDefault="00804100" w:rsidP="003775AC">
      <w:pPr>
        <w:keepNext/>
        <w:keepLines/>
        <w:widowControl w:val="0"/>
        <w:tabs>
          <w:tab w:val="left" w:pos="1080"/>
        </w:tabs>
        <w:spacing w:before="240" w:after="120"/>
        <w:ind w:left="1083" w:hanging="1168"/>
        <w:rPr>
          <w:lang w:val="en-CA"/>
        </w:rPr>
      </w:pPr>
    </w:p>
    <w:p w14:paraId="5339C565" w14:textId="763C2670" w:rsidR="00F22BCA" w:rsidRPr="004569EA" w:rsidRDefault="001E2D56" w:rsidP="009E2643">
      <w:pPr>
        <w:pStyle w:val="Heading1"/>
      </w:pPr>
      <w:r w:rsidRPr="004569EA">
        <w:t>DOSAGE AND ADMINISTRATION</w:t>
      </w:r>
    </w:p>
    <w:p w14:paraId="6A569B8A" w14:textId="77777777" w:rsidR="00D960F8" w:rsidRPr="004569EA" w:rsidRDefault="00D960F8" w:rsidP="009E2643">
      <w:pPr>
        <w:pStyle w:val="Heading2"/>
        <w:rPr>
          <w:lang w:val="en-CA"/>
        </w:rPr>
      </w:pPr>
      <w:r w:rsidRPr="004569EA">
        <w:rPr>
          <w:lang w:val="en-CA"/>
        </w:rPr>
        <w:t>Dosing Considerations</w:t>
      </w:r>
    </w:p>
    <w:p w14:paraId="5CC637E5" w14:textId="0B2398F8" w:rsidR="00057B2C" w:rsidRDefault="00DA1732" w:rsidP="00A03B46">
      <w:pPr>
        <w:widowControl w:val="0"/>
        <w:spacing w:before="120" w:after="120"/>
        <w:rPr>
          <w:lang w:val="en-CA"/>
        </w:rPr>
      </w:pPr>
      <w:r w:rsidRPr="00057B2C">
        <w:rPr>
          <w:lang w:val="en-CA"/>
        </w:rPr>
        <w:t xml:space="preserve">BELKYRA </w:t>
      </w:r>
      <w:r w:rsidR="00057B2C" w:rsidRPr="00057B2C">
        <w:rPr>
          <w:lang w:val="en-CA"/>
        </w:rPr>
        <w:t xml:space="preserve">should be administered by a medical practitioner, who </w:t>
      </w:r>
      <w:r w:rsidR="00057B2C" w:rsidRPr="00057B2C">
        <w:t xml:space="preserve">understands the relevant submental anatomy and associated neuromuscular structures and any alterations to the anatomy in a particular individual patient (e.g., due to prior surgical or aesthetic procedures) </w:t>
      </w:r>
      <w:r w:rsidR="00057B2C" w:rsidRPr="00057B2C">
        <w:rPr>
          <w:i/>
        </w:rPr>
        <w:t>(see Precautions).</w:t>
      </w:r>
    </w:p>
    <w:p w14:paraId="28C937AC" w14:textId="77777777" w:rsidR="00A03B46" w:rsidRPr="00E01610" w:rsidRDefault="00A03B46" w:rsidP="00A03B46">
      <w:pPr>
        <w:pStyle w:val="Bullets"/>
        <w:ind w:left="0" w:firstLine="0"/>
        <w:rPr>
          <w:iCs/>
        </w:rPr>
      </w:pPr>
      <w:r>
        <w:rPr>
          <w:iCs/>
        </w:rPr>
        <w:t>S</w:t>
      </w:r>
      <w:r w:rsidRPr="00E01610">
        <w:rPr>
          <w:iCs/>
        </w:rPr>
        <w:t>creen</w:t>
      </w:r>
      <w:r>
        <w:rPr>
          <w:iCs/>
        </w:rPr>
        <w:t xml:space="preserve"> patients</w:t>
      </w:r>
      <w:r w:rsidRPr="00E01610">
        <w:rPr>
          <w:iCs/>
        </w:rPr>
        <w:t xml:space="preserve"> for other potential causes of submental convexity/fullness (e.g., thyromegaly and cervical lymphade</w:t>
      </w:r>
      <w:r w:rsidRPr="00A670F9">
        <w:rPr>
          <w:iCs/>
        </w:rPr>
        <w:t>nopathy)</w:t>
      </w:r>
      <w:r w:rsidRPr="00E01610">
        <w:rPr>
          <w:iCs/>
        </w:rPr>
        <w:t>.</w:t>
      </w:r>
    </w:p>
    <w:p w14:paraId="4F228037" w14:textId="77777777" w:rsidR="00A03B46" w:rsidRPr="00E01610" w:rsidRDefault="00A03B46" w:rsidP="00A03B46">
      <w:pPr>
        <w:pStyle w:val="Bullets"/>
        <w:ind w:left="0" w:firstLine="0"/>
        <w:rPr>
          <w:iCs/>
        </w:rPr>
      </w:pPr>
      <w:r>
        <w:rPr>
          <w:iCs/>
        </w:rPr>
        <w:t xml:space="preserve">Use caution in </w:t>
      </w:r>
      <w:r w:rsidRPr="00E01610">
        <w:rPr>
          <w:iCs/>
        </w:rPr>
        <w:t xml:space="preserve">patients who have had prior surgical or aesthetic treatment of the submental area. Changes in anatomy/landmarks or the presence of scar tissue may impact the ability to safely administer </w:t>
      </w:r>
      <w:r>
        <w:rPr>
          <w:lang w:val="en-CA"/>
        </w:rPr>
        <w:t>BELKYRA</w:t>
      </w:r>
      <w:r w:rsidRPr="00E01610">
        <w:rPr>
          <w:iCs/>
        </w:rPr>
        <w:t xml:space="preserve"> or to obtain the desired aesthetic result.  </w:t>
      </w:r>
    </w:p>
    <w:p w14:paraId="7846D52C" w14:textId="51F509F0" w:rsidR="00D960F8" w:rsidRPr="004569EA" w:rsidRDefault="00D960F8" w:rsidP="009E2643">
      <w:pPr>
        <w:pStyle w:val="Heading2"/>
        <w:rPr>
          <w:lang w:val="en-CA"/>
        </w:rPr>
      </w:pPr>
      <w:r w:rsidRPr="004569EA">
        <w:rPr>
          <w:lang w:val="en-CA"/>
        </w:rPr>
        <w:t xml:space="preserve">Recommended Dose </w:t>
      </w:r>
    </w:p>
    <w:p w14:paraId="0E3EDC16" w14:textId="77777777" w:rsidR="00A03B46" w:rsidRDefault="00A03B46" w:rsidP="00A03B46">
      <w:r>
        <w:rPr>
          <w:lang w:val="en-CA"/>
        </w:rPr>
        <w:t>BELKYRA</w:t>
      </w:r>
      <w:r w:rsidRPr="00E01610">
        <w:rPr>
          <w:iCs/>
        </w:rPr>
        <w:t xml:space="preserve"> </w:t>
      </w:r>
      <w:r w:rsidRPr="005967D3">
        <w:t>is injected into subcutaneous fat tissue in the submental area</w:t>
      </w:r>
      <w:r>
        <w:t xml:space="preserve"> using an area-adjusted dose of 2 mg/cm</w:t>
      </w:r>
      <w:r w:rsidRPr="00FD42FE">
        <w:rPr>
          <w:vertAlign w:val="superscript"/>
        </w:rPr>
        <w:t>2</w:t>
      </w:r>
      <w:r>
        <w:t xml:space="preserve">. </w:t>
      </w:r>
    </w:p>
    <w:p w14:paraId="1C8E0253" w14:textId="77777777" w:rsidR="00A03B46" w:rsidRPr="005967D3" w:rsidRDefault="00A03B46" w:rsidP="00A03B46">
      <w:pPr>
        <w:pStyle w:val="ListParagraph"/>
        <w:numPr>
          <w:ilvl w:val="0"/>
          <w:numId w:val="11"/>
        </w:numPr>
        <w:spacing w:before="120" w:after="120"/>
      </w:pPr>
      <w:r>
        <w:lastRenderedPageBreak/>
        <w:t xml:space="preserve">A single treatment consists of up to a maximum of 50 injections, 0.2 </w:t>
      </w:r>
      <w:r w:rsidRPr="00DE0A92">
        <w:t xml:space="preserve">mL </w:t>
      </w:r>
      <w:r>
        <w:t xml:space="preserve">each (up to a total of 10 mL), </w:t>
      </w:r>
      <w:proofErr w:type="gramStart"/>
      <w:r w:rsidRPr="00DE0A92">
        <w:t>spaced</w:t>
      </w:r>
      <w:proofErr w:type="gramEnd"/>
      <w:r w:rsidRPr="00DE0A92">
        <w:t xml:space="preserve"> 1</w:t>
      </w:r>
      <w:r>
        <w:t xml:space="preserve"> </w:t>
      </w:r>
      <w:r w:rsidRPr="00DE0A92">
        <w:t>cm apart</w:t>
      </w:r>
      <w:r>
        <w:t>.</w:t>
      </w:r>
    </w:p>
    <w:p w14:paraId="0EFBE4D3" w14:textId="77777777" w:rsidR="00A03B46" w:rsidRPr="005967D3" w:rsidRDefault="00A03B46" w:rsidP="00A03B46">
      <w:pPr>
        <w:pStyle w:val="ListParagraph"/>
        <w:numPr>
          <w:ilvl w:val="0"/>
          <w:numId w:val="10"/>
        </w:numPr>
        <w:spacing w:before="120" w:after="120"/>
      </w:pPr>
      <w:r w:rsidRPr="005967D3">
        <w:t xml:space="preserve">Up to 6 </w:t>
      </w:r>
      <w:r>
        <w:t xml:space="preserve">single </w:t>
      </w:r>
      <w:r w:rsidRPr="005967D3">
        <w:t>treatments may be administered at intervals no less than 1 month apart</w:t>
      </w:r>
      <w:r>
        <w:t>.</w:t>
      </w:r>
    </w:p>
    <w:p w14:paraId="7C8FBB90" w14:textId="77777777" w:rsidR="00D960F8" w:rsidRPr="004569EA" w:rsidRDefault="00D960F8" w:rsidP="009E2643">
      <w:pPr>
        <w:pStyle w:val="Heading2"/>
        <w:rPr>
          <w:lang w:val="en-CA"/>
        </w:rPr>
      </w:pPr>
      <w:r w:rsidRPr="004569EA">
        <w:rPr>
          <w:lang w:val="en-CA"/>
        </w:rPr>
        <w:t>Administration</w:t>
      </w:r>
    </w:p>
    <w:p w14:paraId="6C921DE0" w14:textId="77777777" w:rsidR="00057B2C" w:rsidRDefault="0079497D" w:rsidP="009E2643">
      <w:pPr>
        <w:rPr>
          <w:lang w:val="en-CA"/>
        </w:rPr>
      </w:pPr>
      <w:r w:rsidRPr="0079497D">
        <w:rPr>
          <w:lang w:val="en-CA"/>
        </w:rPr>
        <w:t>BELKYRA</w:t>
      </w:r>
      <w:r w:rsidR="00D960F8" w:rsidRPr="004569EA">
        <w:rPr>
          <w:lang w:val="en-CA"/>
        </w:rPr>
        <w:t xml:space="preserve"> is supplied in vials containing 2 mL of a 10 mg/mL solution and should be clear, colourless, and free of particulate matter. </w:t>
      </w:r>
    </w:p>
    <w:p w14:paraId="2B757F82" w14:textId="77777777" w:rsidR="00057B2C" w:rsidRPr="00057B2C" w:rsidRDefault="00057B2C" w:rsidP="00057B2C">
      <w:r w:rsidRPr="00057B2C">
        <w:t xml:space="preserve">Visually inspect </w:t>
      </w:r>
      <w:r w:rsidRPr="00057B2C">
        <w:rPr>
          <w:lang w:val="en-CA"/>
        </w:rPr>
        <w:t>BELKYRA</w:t>
      </w:r>
      <w:r w:rsidRPr="00057B2C">
        <w:rPr>
          <w:iCs/>
        </w:rPr>
        <w:t xml:space="preserve"> </w:t>
      </w:r>
      <w:r w:rsidRPr="00057B2C">
        <w:t>vials for particulate matter and/or discolouration, and discard the vial if the solution is discoloured and/or contains particulate matter.</w:t>
      </w:r>
    </w:p>
    <w:p w14:paraId="6AF61DB2" w14:textId="77777777" w:rsidR="00382A26" w:rsidRDefault="00D960F8" w:rsidP="00057B2C">
      <w:pPr>
        <w:rPr>
          <w:lang w:val="en-CA"/>
        </w:rPr>
      </w:pPr>
      <w:r w:rsidRPr="004569EA">
        <w:rPr>
          <w:lang w:val="en-CA"/>
        </w:rPr>
        <w:t xml:space="preserve">Gently invert the vial several times prior to use. Do not dilute. After use, discard any remaining solution in the vial. </w:t>
      </w:r>
      <w:r w:rsidR="00A03B46" w:rsidRPr="00A03B46">
        <w:rPr>
          <w:lang w:val="en-CA"/>
        </w:rPr>
        <w:t xml:space="preserve"> </w:t>
      </w:r>
      <w:r w:rsidR="00A03B46">
        <w:rPr>
          <w:lang w:val="en-CA"/>
        </w:rPr>
        <w:t xml:space="preserve">Product is for single use in one patient only. </w:t>
      </w:r>
    </w:p>
    <w:p w14:paraId="05B6E61E" w14:textId="7EDE3184" w:rsidR="00D960F8" w:rsidRPr="00382A26" w:rsidRDefault="00D960F8" w:rsidP="00057B2C">
      <w:pPr>
        <w:rPr>
          <w:i/>
          <w:lang w:val="en-CA"/>
        </w:rPr>
      </w:pPr>
      <w:r w:rsidRPr="00382A26">
        <w:rPr>
          <w:i/>
          <w:lang w:val="en-CA"/>
        </w:rPr>
        <w:t>Injection Technique</w:t>
      </w:r>
    </w:p>
    <w:p w14:paraId="3808D418" w14:textId="0C97CD2E" w:rsidR="00A03B46" w:rsidRDefault="00A03B46" w:rsidP="00A03B46">
      <w:r w:rsidRPr="005967D3">
        <w:t xml:space="preserve">The safe and effective use of </w:t>
      </w:r>
      <w:r>
        <w:rPr>
          <w:lang w:val="en-CA"/>
        </w:rPr>
        <w:t>BELKYRA</w:t>
      </w:r>
      <w:r w:rsidRPr="00E01610">
        <w:rPr>
          <w:iCs/>
        </w:rPr>
        <w:t xml:space="preserve"> </w:t>
      </w:r>
      <w:r w:rsidRPr="005967D3">
        <w:t>depends on the use of the correct number and locations for injections, proper needle placement, and administration techniques</w:t>
      </w:r>
      <w:r w:rsidR="00057B2C">
        <w:t xml:space="preserve"> (</w:t>
      </w:r>
      <w:r w:rsidR="00057B2C">
        <w:rPr>
          <w:i/>
        </w:rPr>
        <w:t>see Precautions)</w:t>
      </w:r>
      <w:r w:rsidRPr="005967D3">
        <w:t xml:space="preserve">. </w:t>
      </w:r>
    </w:p>
    <w:p w14:paraId="45BD6CAB" w14:textId="48D9F465" w:rsidR="00A03B46" w:rsidRPr="008640D1" w:rsidRDefault="00A03B46" w:rsidP="00A03B46">
      <w:pPr>
        <w:rPr>
          <w:b/>
          <w:spacing w:val="4"/>
          <w:u w:val="single"/>
        </w:rPr>
      </w:pPr>
      <w:r w:rsidRPr="005967D3">
        <w:rPr>
          <w:b/>
          <w:spacing w:val="4"/>
          <w:u w:val="single"/>
        </w:rPr>
        <w:t>Avoid injections near the area of the marginal mandibular nerve</w:t>
      </w:r>
      <w:r w:rsidRPr="008640D1">
        <w:rPr>
          <w:b/>
          <w:spacing w:val="4"/>
          <w:u w:val="single"/>
        </w:rPr>
        <w:t xml:space="preserve"> </w:t>
      </w:r>
      <w:r w:rsidRPr="00CE17F7">
        <w:rPr>
          <w:b/>
          <w:i/>
          <w:spacing w:val="4"/>
          <w:u w:val="single"/>
        </w:rPr>
        <w:t>(</w:t>
      </w:r>
      <w:r w:rsidRPr="009C38CE">
        <w:rPr>
          <w:b/>
          <w:i/>
          <w:spacing w:val="4"/>
          <w:u w:val="single"/>
        </w:rPr>
        <w:t>see Precautions</w:t>
      </w:r>
      <w:r>
        <w:rPr>
          <w:b/>
          <w:i/>
          <w:spacing w:val="4"/>
          <w:u w:val="single"/>
        </w:rPr>
        <w:t>).</w:t>
      </w:r>
    </w:p>
    <w:p w14:paraId="0EFEAEB2" w14:textId="77777777" w:rsidR="00A03B46" w:rsidRPr="005967D3" w:rsidRDefault="00A03B46" w:rsidP="00A03B46">
      <w:pPr>
        <w:rPr>
          <w:spacing w:val="4"/>
        </w:rPr>
      </w:pPr>
      <w:r w:rsidRPr="005967D3">
        <w:rPr>
          <w:spacing w:val="4"/>
        </w:rPr>
        <w:t xml:space="preserve">Needle placement with respect to </w:t>
      </w:r>
      <w:r>
        <w:rPr>
          <w:spacing w:val="4"/>
        </w:rPr>
        <w:t xml:space="preserve">the </w:t>
      </w:r>
      <w:r w:rsidRPr="005967D3">
        <w:rPr>
          <w:spacing w:val="4"/>
        </w:rPr>
        <w:t xml:space="preserve">mandible is very important as it reduces the potential for </w:t>
      </w:r>
      <w:r>
        <w:rPr>
          <w:spacing w:val="4"/>
        </w:rPr>
        <w:t>injury to</w:t>
      </w:r>
      <w:r w:rsidRPr="005967D3">
        <w:rPr>
          <w:spacing w:val="4"/>
        </w:rPr>
        <w:t xml:space="preserve"> the marginal mandibular </w:t>
      </w:r>
      <w:r>
        <w:rPr>
          <w:spacing w:val="4"/>
        </w:rPr>
        <w:t xml:space="preserve">nerve, a motor </w:t>
      </w:r>
      <w:r w:rsidRPr="005967D3">
        <w:rPr>
          <w:spacing w:val="4"/>
        </w:rPr>
        <w:t>branch of the facial nerve</w:t>
      </w:r>
      <w:r>
        <w:rPr>
          <w:spacing w:val="4"/>
        </w:rPr>
        <w:t xml:space="preserve">.  Injury to the nerve </w:t>
      </w:r>
      <w:r w:rsidRPr="005967D3">
        <w:rPr>
          <w:spacing w:val="4"/>
        </w:rPr>
        <w:t>present</w:t>
      </w:r>
      <w:r>
        <w:rPr>
          <w:spacing w:val="4"/>
        </w:rPr>
        <w:t>s</w:t>
      </w:r>
      <w:r w:rsidRPr="005967D3">
        <w:rPr>
          <w:spacing w:val="4"/>
        </w:rPr>
        <w:t xml:space="preserve"> as an asymmetrical smile</w:t>
      </w:r>
      <w:r>
        <w:rPr>
          <w:spacing w:val="4"/>
        </w:rPr>
        <w:t xml:space="preserve"> due to paresis of </w:t>
      </w:r>
      <w:r w:rsidRPr="00FB0E50">
        <w:rPr>
          <w:spacing w:val="4"/>
        </w:rPr>
        <w:t>lip depressor</w:t>
      </w:r>
      <w:r>
        <w:rPr>
          <w:spacing w:val="4"/>
        </w:rPr>
        <w:t xml:space="preserve"> muscles </w:t>
      </w:r>
      <w:r>
        <w:rPr>
          <w:i/>
          <w:spacing w:val="4"/>
        </w:rPr>
        <w:t>(</w:t>
      </w:r>
      <w:r w:rsidRPr="009B564A">
        <w:rPr>
          <w:i/>
          <w:spacing w:val="4"/>
        </w:rPr>
        <w:t>see Precautions</w:t>
      </w:r>
      <w:r>
        <w:rPr>
          <w:i/>
          <w:spacing w:val="4"/>
        </w:rPr>
        <w:t>)</w:t>
      </w:r>
      <w:r w:rsidRPr="009B564A">
        <w:rPr>
          <w:spacing w:val="4"/>
        </w:rPr>
        <w:t>.</w:t>
      </w:r>
    </w:p>
    <w:p w14:paraId="5B809C95" w14:textId="77777777" w:rsidR="00A03B46" w:rsidRPr="005967D3" w:rsidRDefault="00A03B46" w:rsidP="00A03B46">
      <w:pPr>
        <w:ind w:left="360"/>
        <w:rPr>
          <w:spacing w:val="4"/>
        </w:rPr>
      </w:pPr>
      <w:r w:rsidRPr="005967D3">
        <w:rPr>
          <w:spacing w:val="4"/>
        </w:rPr>
        <w:t>To avoid injury to the marginal mandibular nerve:</w:t>
      </w:r>
    </w:p>
    <w:p w14:paraId="7003E9A0" w14:textId="77777777" w:rsidR="00A03B46" w:rsidRPr="005967D3" w:rsidRDefault="00A03B46" w:rsidP="00A03B46">
      <w:pPr>
        <w:pStyle w:val="ListParagraph"/>
        <w:numPr>
          <w:ilvl w:val="0"/>
          <w:numId w:val="13"/>
        </w:numPr>
        <w:spacing w:before="120" w:after="120"/>
        <w:rPr>
          <w:spacing w:val="4"/>
        </w:rPr>
      </w:pPr>
      <w:r w:rsidRPr="005967D3">
        <w:t>Do not inject above the inferior border of the mandible.</w:t>
      </w:r>
    </w:p>
    <w:p w14:paraId="612695BC" w14:textId="77777777" w:rsidR="00A03B46" w:rsidRPr="00627C83" w:rsidRDefault="00A03B46" w:rsidP="00A03B46">
      <w:pPr>
        <w:pStyle w:val="ListParagraph"/>
        <w:numPr>
          <w:ilvl w:val="0"/>
          <w:numId w:val="13"/>
        </w:numPr>
        <w:spacing w:before="120" w:after="120"/>
        <w:rPr>
          <w:spacing w:val="4"/>
        </w:rPr>
      </w:pPr>
      <w:r w:rsidRPr="00627C83">
        <w:rPr>
          <w:spacing w:val="4"/>
        </w:rPr>
        <w:t xml:space="preserve">Do not inject </w:t>
      </w:r>
      <w:r w:rsidRPr="00627C83">
        <w:t xml:space="preserve">within a region defined by a 1-1.5 cm line below the inferior border (from the angle of the mandible to the </w:t>
      </w:r>
      <w:proofErr w:type="spellStart"/>
      <w:r w:rsidRPr="00627C83">
        <w:t>mentum</w:t>
      </w:r>
      <w:proofErr w:type="spellEnd"/>
      <w:r w:rsidRPr="00627C83">
        <w:t>)</w:t>
      </w:r>
      <w:r>
        <w:t>.</w:t>
      </w:r>
      <w:r w:rsidRPr="00627C83">
        <w:t xml:space="preserve"> </w:t>
      </w:r>
    </w:p>
    <w:p w14:paraId="204B3BD2" w14:textId="77777777" w:rsidR="00A03B46" w:rsidRPr="005967D3" w:rsidRDefault="00A03B46" w:rsidP="00A03B46">
      <w:pPr>
        <w:pStyle w:val="ListParagraph"/>
        <w:numPr>
          <w:ilvl w:val="0"/>
          <w:numId w:val="13"/>
        </w:numPr>
        <w:spacing w:before="120" w:after="120"/>
        <w:rPr>
          <w:spacing w:val="4"/>
        </w:rPr>
      </w:pPr>
      <w:r w:rsidRPr="005967D3">
        <w:t xml:space="preserve">Inject </w:t>
      </w:r>
      <w:r>
        <w:t>BELKYRA</w:t>
      </w:r>
      <w:r w:rsidRPr="005967D3">
        <w:t xml:space="preserve"> only within the target </w:t>
      </w:r>
      <w:r>
        <w:t xml:space="preserve">submental fat </w:t>
      </w:r>
      <w:r w:rsidRPr="005967D3">
        <w:t xml:space="preserve">treatment area (see Figures 1 and 3). </w:t>
      </w:r>
    </w:p>
    <w:p w14:paraId="014297B2" w14:textId="77777777" w:rsidR="00A03B46" w:rsidRPr="005967D3" w:rsidRDefault="00A03B46" w:rsidP="00A03B46">
      <w:pPr>
        <w:pStyle w:val="TableTitle"/>
        <w:tabs>
          <w:tab w:val="center" w:pos="2070"/>
          <w:tab w:val="left" w:pos="2359"/>
          <w:tab w:val="center" w:pos="4680"/>
          <w:tab w:val="center" w:pos="7020"/>
        </w:tabs>
        <w:ind w:left="360" w:firstLine="0"/>
      </w:pPr>
      <w:proofErr w:type="gramStart"/>
      <w:r w:rsidRPr="005967D3">
        <w:lastRenderedPageBreak/>
        <w:t>Figure 1.</w:t>
      </w:r>
      <w:proofErr w:type="gramEnd"/>
      <w:r w:rsidRPr="005967D3">
        <w:t xml:space="preserve">  Avoid the Marginal Mandibular Nerve Area </w:t>
      </w:r>
    </w:p>
    <w:p w14:paraId="72C2482D" w14:textId="77777777" w:rsidR="00A03B46" w:rsidRPr="00C8093B" w:rsidRDefault="00A03B46" w:rsidP="00A03B46">
      <w:pPr>
        <w:ind w:left="360"/>
        <w:jc w:val="center"/>
        <w:rPr>
          <w:spacing w:val="4"/>
        </w:rPr>
      </w:pPr>
      <w:r w:rsidRPr="00D103CD">
        <w:rPr>
          <w:noProof/>
          <w:spacing w:val="4"/>
          <w:lang w:eastAsia="en-AU"/>
        </w:rPr>
        <w:drawing>
          <wp:inline distT="0" distB="0" distL="0" distR="0" wp14:anchorId="3552E934" wp14:editId="48C92E9B">
            <wp:extent cx="1788160" cy="2110695"/>
            <wp:effectExtent l="0" t="0" r="0" b="0"/>
            <wp:docPr id="2" name="Picture 2" descr="KBP-MBP-163:Users:bcleavenger:Desktop:Screen Shot 2015-03-17 at 10.37.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P-MBP-163:Users:bcleavenger:Desktop:Screen Shot 2015-03-17 at 10.37.55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160" cy="2110695"/>
                    </a:xfrm>
                    <a:prstGeom prst="rect">
                      <a:avLst/>
                    </a:prstGeom>
                    <a:noFill/>
                    <a:ln>
                      <a:noFill/>
                    </a:ln>
                  </pic:spPr>
                </pic:pic>
              </a:graphicData>
            </a:graphic>
          </wp:inline>
        </w:drawing>
      </w:r>
    </w:p>
    <w:p w14:paraId="2257CF40" w14:textId="77777777" w:rsidR="00A03B46" w:rsidRPr="00D853A5" w:rsidRDefault="00A03B46" w:rsidP="00A03B46">
      <w:pPr>
        <w:pStyle w:val="ListParagraph"/>
        <w:spacing w:after="0"/>
      </w:pPr>
    </w:p>
    <w:p w14:paraId="1DB694A8" w14:textId="77777777" w:rsidR="00A03B46" w:rsidRPr="005967D3" w:rsidRDefault="00A03B46" w:rsidP="00A03B46">
      <w:pPr>
        <w:rPr>
          <w:b/>
          <w:u w:val="single"/>
        </w:rPr>
      </w:pPr>
      <w:r w:rsidRPr="005967D3">
        <w:rPr>
          <w:b/>
          <w:u w:val="single"/>
        </w:rPr>
        <w:t xml:space="preserve">Avoid injection into the platysma </w:t>
      </w:r>
    </w:p>
    <w:p w14:paraId="0071B2AC" w14:textId="77777777" w:rsidR="00A03B46" w:rsidRPr="005967D3" w:rsidRDefault="00A03B46" w:rsidP="00A03B46">
      <w:r w:rsidRPr="005967D3">
        <w:t>Prior to each treatment session, palpate the submental area</w:t>
      </w:r>
      <w:r w:rsidRPr="005967D3">
        <w:rPr>
          <w:b/>
          <w:iCs/>
        </w:rPr>
        <w:t xml:space="preserve"> to ensure sufficient </w:t>
      </w:r>
      <w:r>
        <w:rPr>
          <w:b/>
          <w:iCs/>
        </w:rPr>
        <w:t>submental fat</w:t>
      </w:r>
      <w:r w:rsidRPr="005967D3">
        <w:rPr>
          <w:b/>
          <w:iCs/>
        </w:rPr>
        <w:t xml:space="preserve"> </w:t>
      </w:r>
      <w:r w:rsidRPr="005967D3">
        <w:rPr>
          <w:iCs/>
        </w:rPr>
        <w:t>and</w:t>
      </w:r>
      <w:r w:rsidRPr="005967D3">
        <w:t xml:space="preserve"> to identify subcutaneous fat between the dermis and platysma (pre-platysmal fat) within the target treatment area (Figure 2). The number of injections and the number of treatments should be tailored to the individual patient’s submental fat distribution and treatment goals. </w:t>
      </w:r>
    </w:p>
    <w:p w14:paraId="24E02875" w14:textId="77777777" w:rsidR="00A03B46" w:rsidRPr="005967D3" w:rsidRDefault="00A03B46" w:rsidP="00A03B46">
      <w:pPr>
        <w:jc w:val="center"/>
      </w:pPr>
    </w:p>
    <w:p w14:paraId="467CDE48" w14:textId="77777777" w:rsidR="00A03B46" w:rsidRPr="005967D3" w:rsidRDefault="00A03B46" w:rsidP="00A03B46">
      <w:pPr>
        <w:jc w:val="center"/>
        <w:rPr>
          <w:b/>
        </w:rPr>
      </w:pPr>
      <w:proofErr w:type="gramStart"/>
      <w:r w:rsidRPr="005967D3">
        <w:rPr>
          <w:b/>
        </w:rPr>
        <w:t>Figure 2.</w:t>
      </w:r>
      <w:proofErr w:type="gramEnd"/>
      <w:r w:rsidRPr="005967D3">
        <w:rPr>
          <w:b/>
        </w:rPr>
        <w:t xml:space="preserve"> Sagittal View of Platysma Area</w:t>
      </w:r>
    </w:p>
    <w:p w14:paraId="3F6843F7" w14:textId="77777777" w:rsidR="00A03B46" w:rsidRPr="005954A9" w:rsidRDefault="00A03B46" w:rsidP="00A03B46">
      <w:pPr>
        <w:jc w:val="center"/>
        <w:rPr>
          <w:b/>
        </w:rPr>
      </w:pPr>
      <w:r w:rsidRPr="00D103CD">
        <w:rPr>
          <w:b/>
          <w:noProof/>
          <w:lang w:eastAsia="en-AU"/>
        </w:rPr>
        <w:drawing>
          <wp:inline distT="0" distB="0" distL="0" distR="0" wp14:anchorId="690DCB6B" wp14:editId="5141C347">
            <wp:extent cx="1861253" cy="1738267"/>
            <wp:effectExtent l="0" t="0" r="0" b="0"/>
            <wp:docPr id="1" name="Picture 1" descr="KBP-MBP-163:Users:bcleavenger:Desktop:Screen Shot 2015-03-16 at 1.58.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BP-MBP-163:Users:bcleavenger:Desktop:Screen Shot 2015-03-16 at 1.58.32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2317" cy="1739261"/>
                    </a:xfrm>
                    <a:prstGeom prst="rect">
                      <a:avLst/>
                    </a:prstGeom>
                    <a:noFill/>
                    <a:ln>
                      <a:noFill/>
                    </a:ln>
                  </pic:spPr>
                </pic:pic>
              </a:graphicData>
            </a:graphic>
          </wp:inline>
        </w:drawing>
      </w:r>
    </w:p>
    <w:p w14:paraId="1E0427C2" w14:textId="77777777" w:rsidR="00A03B46" w:rsidRDefault="00A03B46" w:rsidP="00A03B46">
      <w:pPr>
        <w:rPr>
          <w:b/>
          <w:u w:val="single"/>
        </w:rPr>
      </w:pPr>
    </w:p>
    <w:p w14:paraId="20760CD4" w14:textId="77777777" w:rsidR="00A03B46" w:rsidRDefault="00A03B46" w:rsidP="00A03B46">
      <w:pPr>
        <w:spacing w:after="0"/>
      </w:pPr>
      <w:r w:rsidRPr="00D853A5">
        <w:rPr>
          <w:b/>
          <w:u w:val="single"/>
        </w:rPr>
        <w:t xml:space="preserve">Injecting </w:t>
      </w:r>
      <w:r w:rsidRPr="005967D3">
        <w:rPr>
          <w:b/>
          <w:u w:val="single"/>
        </w:rPr>
        <w:t>into the treatment area</w:t>
      </w:r>
    </w:p>
    <w:p w14:paraId="6BD6E233" w14:textId="7C99EAD1" w:rsidR="00A03B46" w:rsidRDefault="00A03B46" w:rsidP="00A03B46">
      <w:r w:rsidRPr="008F1BBC">
        <w:t>Use of ice/cold packs, topical and/or injectable local an</w:t>
      </w:r>
      <w:r w:rsidR="00FA7451">
        <w:t>a</w:t>
      </w:r>
      <w:r w:rsidRPr="008F1BBC">
        <w:t>esthesia (e.g., lidocaine) may enhance patient comfort.</w:t>
      </w:r>
    </w:p>
    <w:p w14:paraId="2DB0BFC8" w14:textId="77777777" w:rsidR="00A03B46" w:rsidRPr="005967D3" w:rsidRDefault="00A03B46" w:rsidP="00A03B46">
      <w:r w:rsidRPr="005967D3">
        <w:t>Outline the planned treatment area with a surgical pen and apply a 1 cm injection grid to mark the injection sites (Figures 2 and 3).</w:t>
      </w:r>
    </w:p>
    <w:p w14:paraId="70BA1BDE" w14:textId="77777777" w:rsidR="00A03B46" w:rsidRPr="005967D3" w:rsidRDefault="00A03B46" w:rsidP="00DD27AB">
      <w:pPr>
        <w:pageBreakBefore/>
        <w:jc w:val="center"/>
      </w:pPr>
      <w:bookmarkStart w:id="0" w:name="_GoBack"/>
      <w:bookmarkEnd w:id="0"/>
      <w:proofErr w:type="gramStart"/>
      <w:r w:rsidRPr="005967D3">
        <w:rPr>
          <w:b/>
        </w:rPr>
        <w:lastRenderedPageBreak/>
        <w:t>Figure 3.</w:t>
      </w:r>
      <w:proofErr w:type="gramEnd"/>
      <w:r w:rsidRPr="005967D3">
        <w:rPr>
          <w:b/>
        </w:rPr>
        <w:t xml:space="preserve"> Treatment Area and Injection Pattern</w:t>
      </w:r>
    </w:p>
    <w:p w14:paraId="2ECC070A" w14:textId="77777777" w:rsidR="00A03B46" w:rsidRDefault="00A03B46" w:rsidP="00A03B46">
      <w:pPr>
        <w:pStyle w:val="TableTitle"/>
        <w:tabs>
          <w:tab w:val="center" w:pos="2070"/>
          <w:tab w:val="left" w:pos="2359"/>
          <w:tab w:val="center" w:pos="4680"/>
          <w:tab w:val="center" w:pos="7020"/>
        </w:tabs>
        <w:ind w:left="0" w:firstLine="0"/>
      </w:pPr>
      <w:r w:rsidRPr="005967D3">
        <w:rPr>
          <w:noProof/>
          <w:lang w:val="en-AU" w:eastAsia="en-AU"/>
        </w:rPr>
        <w:drawing>
          <wp:inline distT="0" distB="0" distL="0" distR="0" wp14:anchorId="62ED5AD9" wp14:editId="46C331CA">
            <wp:extent cx="1687029" cy="2054648"/>
            <wp:effectExtent l="0" t="0" r="0" b="3175"/>
            <wp:docPr id="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8377" cy="2056290"/>
                    </a:xfrm>
                    <a:prstGeom prst="rect">
                      <a:avLst/>
                    </a:prstGeom>
                    <a:noFill/>
                    <a:ln>
                      <a:noFill/>
                    </a:ln>
                  </pic:spPr>
                </pic:pic>
              </a:graphicData>
            </a:graphic>
          </wp:inline>
        </w:drawing>
      </w:r>
    </w:p>
    <w:p w14:paraId="6436D9FB" w14:textId="77777777" w:rsidR="00A03B46" w:rsidRPr="005967D3" w:rsidRDefault="00A03B46" w:rsidP="00A03B46">
      <w:pPr>
        <w:pStyle w:val="TableTitle"/>
        <w:tabs>
          <w:tab w:val="center" w:pos="2070"/>
          <w:tab w:val="left" w:pos="2359"/>
          <w:tab w:val="center" w:pos="4680"/>
          <w:tab w:val="center" w:pos="7020"/>
        </w:tabs>
        <w:ind w:left="0" w:firstLine="0"/>
      </w:pPr>
    </w:p>
    <w:p w14:paraId="275559BC" w14:textId="77777777" w:rsidR="00A03B46" w:rsidRPr="005967D3" w:rsidRDefault="00A03B46" w:rsidP="00A03B46">
      <w:pPr>
        <w:rPr>
          <w:b/>
          <w:iCs/>
        </w:rPr>
      </w:pPr>
      <w:r w:rsidRPr="005967D3">
        <w:rPr>
          <w:b/>
          <w:iCs/>
        </w:rPr>
        <w:t xml:space="preserve">Do not inject </w:t>
      </w:r>
      <w:r>
        <w:rPr>
          <w:b/>
          <w:lang w:val="en-CA"/>
        </w:rPr>
        <w:t>BELKYRA</w:t>
      </w:r>
      <w:r>
        <w:rPr>
          <w:lang w:val="en-CA"/>
        </w:rPr>
        <w:t xml:space="preserve"> </w:t>
      </w:r>
      <w:r w:rsidRPr="005967D3">
        <w:rPr>
          <w:b/>
          <w:iCs/>
        </w:rPr>
        <w:t xml:space="preserve">outside the defined parameters </w:t>
      </w:r>
      <w:r>
        <w:rPr>
          <w:b/>
          <w:i/>
          <w:iCs/>
        </w:rPr>
        <w:t>(</w:t>
      </w:r>
      <w:r w:rsidRPr="005967D3">
        <w:rPr>
          <w:b/>
          <w:i/>
          <w:iCs/>
        </w:rPr>
        <w:t>see</w:t>
      </w:r>
      <w:r>
        <w:rPr>
          <w:b/>
          <w:i/>
          <w:iCs/>
        </w:rPr>
        <w:t xml:space="preserve"> </w:t>
      </w:r>
      <w:r w:rsidRPr="005967D3">
        <w:rPr>
          <w:b/>
          <w:i/>
          <w:iCs/>
        </w:rPr>
        <w:t>Precautions</w:t>
      </w:r>
      <w:r>
        <w:rPr>
          <w:b/>
          <w:i/>
          <w:iCs/>
        </w:rPr>
        <w:t>)</w:t>
      </w:r>
      <w:r w:rsidRPr="005967D3">
        <w:rPr>
          <w:b/>
          <w:iCs/>
        </w:rPr>
        <w:t>.</w:t>
      </w:r>
    </w:p>
    <w:p w14:paraId="10605C30" w14:textId="77777777" w:rsidR="00A03B46" w:rsidRPr="005967D3" w:rsidRDefault="00A03B46" w:rsidP="00A03B46">
      <w:pPr>
        <w:pStyle w:val="ListParagraph"/>
        <w:numPr>
          <w:ilvl w:val="0"/>
          <w:numId w:val="12"/>
        </w:numPr>
        <w:spacing w:before="120" w:after="120"/>
      </w:pPr>
      <w:r w:rsidRPr="005967D3">
        <w:t>Using a large bore needle, draw 1</w:t>
      </w:r>
      <w:r w:rsidRPr="005967D3">
        <w:rPr>
          <w:spacing w:val="1"/>
        </w:rPr>
        <w:t> </w:t>
      </w:r>
      <w:r w:rsidRPr="005967D3">
        <w:rPr>
          <w:spacing w:val="-2"/>
        </w:rPr>
        <w:t>m</w:t>
      </w:r>
      <w:r w:rsidRPr="005967D3">
        <w:t xml:space="preserve">L </w:t>
      </w:r>
      <w:r w:rsidRPr="005967D3">
        <w:rPr>
          <w:spacing w:val="1"/>
        </w:rPr>
        <w:t>o</w:t>
      </w:r>
      <w:r w:rsidRPr="005967D3">
        <w:t xml:space="preserve">f </w:t>
      </w:r>
      <w:r>
        <w:rPr>
          <w:lang w:val="en-CA"/>
        </w:rPr>
        <w:t>BELKYRA</w:t>
      </w:r>
      <w:r w:rsidRPr="00E01610">
        <w:rPr>
          <w:iCs/>
        </w:rPr>
        <w:t xml:space="preserve"> </w:t>
      </w:r>
      <w:r w:rsidRPr="005967D3">
        <w:t>i</w:t>
      </w:r>
      <w:r w:rsidRPr="005967D3">
        <w:rPr>
          <w:spacing w:val="1"/>
        </w:rPr>
        <w:t>n</w:t>
      </w:r>
      <w:r w:rsidRPr="005967D3">
        <w:rPr>
          <w:spacing w:val="-2"/>
        </w:rPr>
        <w:t>t</w:t>
      </w:r>
      <w:r w:rsidRPr="005967D3">
        <w:t>o a sterile 1 mL s</w:t>
      </w:r>
      <w:r w:rsidRPr="005967D3">
        <w:rPr>
          <w:spacing w:val="-2"/>
        </w:rPr>
        <w:t>y</w:t>
      </w:r>
      <w:r w:rsidRPr="005967D3">
        <w:t>ri</w:t>
      </w:r>
      <w:r w:rsidRPr="005967D3">
        <w:rPr>
          <w:spacing w:val="1"/>
        </w:rPr>
        <w:t>ng</w:t>
      </w:r>
      <w:r w:rsidRPr="005967D3">
        <w:rPr>
          <w:spacing w:val="-1"/>
        </w:rPr>
        <w:t>e</w:t>
      </w:r>
      <w:r w:rsidRPr="005967D3">
        <w:t xml:space="preserve"> a</w:t>
      </w:r>
      <w:r w:rsidRPr="005967D3">
        <w:rPr>
          <w:spacing w:val="1"/>
        </w:rPr>
        <w:t>n</w:t>
      </w:r>
      <w:r w:rsidRPr="005967D3">
        <w:t>d ex</w:t>
      </w:r>
      <w:r w:rsidRPr="005967D3">
        <w:rPr>
          <w:spacing w:val="1"/>
        </w:rPr>
        <w:t>p</w:t>
      </w:r>
      <w:r w:rsidRPr="005967D3">
        <w:rPr>
          <w:spacing w:val="-1"/>
        </w:rPr>
        <w:t>e</w:t>
      </w:r>
      <w:r w:rsidRPr="005967D3">
        <w:t>l a</w:t>
      </w:r>
      <w:r w:rsidRPr="005967D3">
        <w:rPr>
          <w:spacing w:val="-2"/>
        </w:rPr>
        <w:t>n</w:t>
      </w:r>
      <w:r w:rsidRPr="005967D3">
        <w:t xml:space="preserve">y air </w:t>
      </w:r>
      <w:r w:rsidRPr="005967D3">
        <w:rPr>
          <w:spacing w:val="1"/>
        </w:rPr>
        <w:t>b</w:t>
      </w:r>
      <w:r w:rsidRPr="005967D3">
        <w:t>ub</w:t>
      </w:r>
      <w:r w:rsidRPr="005967D3">
        <w:rPr>
          <w:spacing w:val="1"/>
        </w:rPr>
        <w:t>b</w:t>
      </w:r>
      <w:r w:rsidRPr="005967D3">
        <w:t>les in t</w:t>
      </w:r>
      <w:r w:rsidRPr="005967D3">
        <w:rPr>
          <w:spacing w:val="1"/>
        </w:rPr>
        <w:t>h</w:t>
      </w:r>
      <w:r w:rsidRPr="005967D3">
        <w:t>e</w:t>
      </w:r>
      <w:r w:rsidRPr="005967D3">
        <w:rPr>
          <w:spacing w:val="-1"/>
        </w:rPr>
        <w:t xml:space="preserve"> </w:t>
      </w:r>
      <w:r w:rsidRPr="005967D3">
        <w:t>syri</w:t>
      </w:r>
      <w:r w:rsidRPr="005967D3">
        <w:rPr>
          <w:spacing w:val="1"/>
        </w:rPr>
        <w:t>ng</w:t>
      </w:r>
      <w:r w:rsidRPr="005967D3">
        <w:t>e</w:t>
      </w:r>
      <w:r w:rsidRPr="005967D3">
        <w:rPr>
          <w:spacing w:val="-1"/>
        </w:rPr>
        <w:t xml:space="preserve"> </w:t>
      </w:r>
      <w:r w:rsidRPr="005967D3">
        <w:rPr>
          <w:spacing w:val="1"/>
        </w:rPr>
        <w:t>b</w:t>
      </w:r>
      <w:r w:rsidRPr="005967D3">
        <w:rPr>
          <w:spacing w:val="-1"/>
        </w:rPr>
        <w:t>a</w:t>
      </w:r>
      <w:r w:rsidRPr="005967D3">
        <w:t xml:space="preserve">rrel.  </w:t>
      </w:r>
    </w:p>
    <w:p w14:paraId="5BBD5D93" w14:textId="77777777" w:rsidR="00A03B46" w:rsidRPr="005967D3" w:rsidRDefault="00A03B46" w:rsidP="00A03B46">
      <w:pPr>
        <w:pStyle w:val="ListParagraph"/>
        <w:numPr>
          <w:ilvl w:val="0"/>
          <w:numId w:val="12"/>
        </w:numPr>
        <w:spacing w:before="120" w:after="120"/>
      </w:pPr>
      <w:r w:rsidRPr="005967D3">
        <w:t>Have the patient tense the platysma. Pinch the submental fat and, using a 30 gauge (or smaller) 0.5</w:t>
      </w:r>
      <w:r>
        <w:t xml:space="preserve"> </w:t>
      </w:r>
      <w:r w:rsidRPr="005967D3">
        <w:t xml:space="preserve">inch needle, inject 0.2 mL of </w:t>
      </w:r>
      <w:r>
        <w:rPr>
          <w:lang w:val="en-CA"/>
        </w:rPr>
        <w:t>BELKYRA</w:t>
      </w:r>
      <w:r w:rsidRPr="00E01610">
        <w:rPr>
          <w:iCs/>
        </w:rPr>
        <w:t xml:space="preserve"> </w:t>
      </w:r>
      <w:r w:rsidRPr="005967D3">
        <w:t xml:space="preserve">into the pre-platysmal fat (see Figure 2) next to each of the marked injection sites by advancing the needle perpendicular to the skin. </w:t>
      </w:r>
    </w:p>
    <w:p w14:paraId="0ABBBCD4" w14:textId="77777777" w:rsidR="00A03B46" w:rsidRPr="005967D3" w:rsidRDefault="00A03B46" w:rsidP="00A03B46">
      <w:pPr>
        <w:pStyle w:val="ListParagraph"/>
        <w:numPr>
          <w:ilvl w:val="0"/>
          <w:numId w:val="12"/>
        </w:numPr>
        <w:spacing w:before="120" w:after="120"/>
      </w:pPr>
      <w:r w:rsidRPr="005967D3">
        <w:t>Injections that are too superficial (into the dermis) may result in skin ulceration.</w:t>
      </w:r>
      <w:r w:rsidRPr="005967D3">
        <w:rPr>
          <w:lang w:val="en-CA"/>
        </w:rPr>
        <w:t xml:space="preserve"> Do not withdraw the needle from the subcutaneous fat during injection as this could increase the risk of intradermal exposure and potential skin ulceration</w:t>
      </w:r>
      <w:r w:rsidRPr="005967D3">
        <w:t>.</w:t>
      </w:r>
    </w:p>
    <w:p w14:paraId="5F47BE1F" w14:textId="77777777" w:rsidR="00A03B46" w:rsidRPr="005967D3" w:rsidRDefault="00A03B46" w:rsidP="00A03B46">
      <w:pPr>
        <w:pStyle w:val="ListParagraph"/>
        <w:numPr>
          <w:ilvl w:val="0"/>
          <w:numId w:val="12"/>
        </w:numPr>
        <w:spacing w:before="120" w:after="120"/>
      </w:pPr>
      <w:r w:rsidRPr="005967D3">
        <w:t xml:space="preserve">Avoid injecting into the post-platysmal fat by injecting </w:t>
      </w:r>
      <w:r>
        <w:rPr>
          <w:lang w:val="en-CA"/>
        </w:rPr>
        <w:t>BELKYRA</w:t>
      </w:r>
      <w:r w:rsidRPr="00E01610">
        <w:rPr>
          <w:iCs/>
        </w:rPr>
        <w:t xml:space="preserve"> </w:t>
      </w:r>
      <w:r w:rsidRPr="005967D3">
        <w:t xml:space="preserve">into fat tissue at the depth of approximately mid-way into the subcutaneous fat layer (Figure 2). </w:t>
      </w:r>
    </w:p>
    <w:p w14:paraId="5E559270" w14:textId="77777777" w:rsidR="00A03B46" w:rsidRPr="005967D3" w:rsidRDefault="00A03B46" w:rsidP="00A03B46">
      <w:pPr>
        <w:pStyle w:val="ListParagraph"/>
        <w:numPr>
          <w:ilvl w:val="0"/>
          <w:numId w:val="12"/>
        </w:numPr>
        <w:spacing w:before="120" w:after="120"/>
      </w:pPr>
      <w:r w:rsidRPr="005967D3">
        <w:t>If at any time resistance is met as the needle is inserted, indicating the possibility of contact with fascial or non</w:t>
      </w:r>
      <w:r>
        <w:t>-</w:t>
      </w:r>
      <w:r w:rsidRPr="005967D3">
        <w:t>fat tissue, the needle must be withdrawn to an appropriate depth before the injection is administered.</w:t>
      </w:r>
    </w:p>
    <w:p w14:paraId="13DFB11A" w14:textId="77777777" w:rsidR="00A03B46" w:rsidRPr="005967D3" w:rsidRDefault="00A03B46" w:rsidP="00A03B46">
      <w:pPr>
        <w:pStyle w:val="ListParagraph"/>
        <w:numPr>
          <w:ilvl w:val="0"/>
          <w:numId w:val="12"/>
        </w:numPr>
        <w:spacing w:before="120" w:after="120"/>
      </w:pPr>
      <w:r w:rsidRPr="005967D3">
        <w:t>Avoid injecting into other tissues such as the muscle, salivary glands and lymph nodes.</w:t>
      </w:r>
      <w:r w:rsidRPr="005967D3">
        <w:rPr>
          <w:spacing w:val="-1"/>
        </w:rPr>
        <w:t xml:space="preserve"> </w:t>
      </w:r>
    </w:p>
    <w:p w14:paraId="0799E0D4" w14:textId="2748F7BA" w:rsidR="00A03B46" w:rsidRPr="005967D3" w:rsidRDefault="00A03B46" w:rsidP="00A03B46">
      <w:pPr>
        <w:pStyle w:val="ListParagraph"/>
        <w:numPr>
          <w:ilvl w:val="0"/>
          <w:numId w:val="12"/>
        </w:numPr>
        <w:spacing w:before="120" w:after="0"/>
        <w:rPr>
          <w:spacing w:val="-1"/>
        </w:rPr>
      </w:pPr>
      <w:r w:rsidRPr="005967D3">
        <w:t>Upon needle withdrawal, pressure may be applied to each injection site as necessary to minimi</w:t>
      </w:r>
      <w:r w:rsidR="00FA7451">
        <w:t>s</w:t>
      </w:r>
      <w:r w:rsidRPr="005967D3">
        <w:t xml:space="preserve">e bleeding; an adhesive dressing may be applied. </w:t>
      </w:r>
    </w:p>
    <w:p w14:paraId="577DBC3F" w14:textId="08A651F9" w:rsidR="00D960F8" w:rsidRPr="004569EA" w:rsidRDefault="00D960F8" w:rsidP="009E2643">
      <w:pPr>
        <w:rPr>
          <w:lang w:val="en-CA"/>
        </w:rPr>
      </w:pPr>
      <w:r w:rsidRPr="004569EA">
        <w:t xml:space="preserve"> </w:t>
      </w:r>
    </w:p>
    <w:p w14:paraId="0DABB2E7" w14:textId="77777777" w:rsidR="00F22BCA" w:rsidRPr="004569EA" w:rsidRDefault="00F22BCA" w:rsidP="009E2643">
      <w:pPr>
        <w:pStyle w:val="Heading1"/>
      </w:pPr>
      <w:r w:rsidRPr="004569EA">
        <w:t>O</w:t>
      </w:r>
      <w:r w:rsidR="001E2D56" w:rsidRPr="004569EA">
        <w:t>VERDOSAGE</w:t>
      </w:r>
    </w:p>
    <w:p w14:paraId="0EFAFE9E" w14:textId="6B92399B" w:rsidR="004A0E8D" w:rsidRPr="004569EA" w:rsidRDefault="004A0E8D" w:rsidP="009E2643">
      <w:pPr>
        <w:rPr>
          <w:lang w:val="en-CA"/>
        </w:rPr>
      </w:pPr>
      <w:r w:rsidRPr="004569EA">
        <w:rPr>
          <w:lang w:val="en-CA"/>
        </w:rPr>
        <w:t xml:space="preserve">No overdosing with </w:t>
      </w:r>
      <w:r w:rsidR="0079497D" w:rsidRPr="0079497D">
        <w:rPr>
          <w:lang w:val="en-CA"/>
        </w:rPr>
        <w:t>BELKYRA</w:t>
      </w:r>
      <w:r w:rsidRPr="004569EA">
        <w:rPr>
          <w:lang w:val="en-CA"/>
        </w:rPr>
        <w:t xml:space="preserve"> in humans has been reported. </w:t>
      </w:r>
      <w:r w:rsidRPr="004569EA">
        <w:t xml:space="preserve">Injection of increased volume or decreasing the spacing between injections </w:t>
      </w:r>
      <w:r w:rsidRPr="004569EA">
        <w:rPr>
          <w:lang w:val="en-CA"/>
        </w:rPr>
        <w:t xml:space="preserve">of </w:t>
      </w:r>
      <w:r w:rsidR="0079497D" w:rsidRPr="0079497D">
        <w:rPr>
          <w:lang w:val="en-CA"/>
        </w:rPr>
        <w:t>BELKYRA</w:t>
      </w:r>
      <w:r w:rsidRPr="004569EA">
        <w:rPr>
          <w:lang w:val="en-CA"/>
        </w:rPr>
        <w:t xml:space="preserve"> may be expected to increase risk of local adverse effects. Non-treatment area or systemic adverse reactions were infrequent during clinical studies of doses up to 200 mg. </w:t>
      </w:r>
    </w:p>
    <w:p w14:paraId="4E06BDCD" w14:textId="77777777" w:rsidR="00F07229" w:rsidRPr="004569EA" w:rsidRDefault="00F07229" w:rsidP="009E2643">
      <w:r w:rsidRPr="004569EA">
        <w:t xml:space="preserve">Contact the Poisons Information Centre </w:t>
      </w:r>
      <w:r w:rsidR="008C73C4" w:rsidRPr="004569EA">
        <w:t>by</w:t>
      </w:r>
      <w:r w:rsidRPr="004569EA">
        <w:t xml:space="preserve"> telephone 13 11 26 for advice on management of overdose.</w:t>
      </w:r>
    </w:p>
    <w:p w14:paraId="73AC4978" w14:textId="77777777" w:rsidR="00B60C5F" w:rsidRPr="004569EA" w:rsidRDefault="00F22BCA" w:rsidP="009E2643">
      <w:pPr>
        <w:pStyle w:val="Heading1"/>
      </w:pPr>
      <w:r w:rsidRPr="004569EA">
        <w:lastRenderedPageBreak/>
        <w:t>P</w:t>
      </w:r>
      <w:r w:rsidR="001E2D56" w:rsidRPr="004569EA">
        <w:t>RESENTATION AND STORAGE CONDITIONS</w:t>
      </w:r>
    </w:p>
    <w:p w14:paraId="03DD4348" w14:textId="77777777" w:rsidR="00A03B46" w:rsidRDefault="00A03B46" w:rsidP="00A03B46">
      <w:pPr>
        <w:rPr>
          <w:lang w:val="en-CA"/>
        </w:rPr>
      </w:pPr>
      <w:r>
        <w:rPr>
          <w:lang w:val="en-CA"/>
        </w:rPr>
        <w:t>BELKYRA</w:t>
      </w:r>
      <w:r w:rsidRPr="00E01610">
        <w:rPr>
          <w:iCs/>
        </w:rPr>
        <w:t xml:space="preserve"> </w:t>
      </w:r>
      <w:r w:rsidRPr="004569EA">
        <w:rPr>
          <w:lang w:val="en-CA"/>
        </w:rPr>
        <w:t xml:space="preserve">(deoxycholic acid) 10 mg/mL solution </w:t>
      </w:r>
      <w:r>
        <w:rPr>
          <w:lang w:val="en-CA"/>
        </w:rPr>
        <w:t xml:space="preserve">for </w:t>
      </w:r>
      <w:r w:rsidRPr="004569EA">
        <w:rPr>
          <w:lang w:val="en-CA"/>
        </w:rPr>
        <w:t xml:space="preserve">injection is supplied in single-use </w:t>
      </w:r>
      <w:r>
        <w:rPr>
          <w:lang w:val="en-CA"/>
        </w:rPr>
        <w:t xml:space="preserve">clear, colourless glass </w:t>
      </w:r>
      <w:r w:rsidRPr="004569EA">
        <w:rPr>
          <w:lang w:val="en-CA"/>
        </w:rPr>
        <w:t>vials.</w:t>
      </w:r>
    </w:p>
    <w:p w14:paraId="5A6ADB00" w14:textId="77777777" w:rsidR="00A03B46" w:rsidRDefault="00A03B46" w:rsidP="00A03B46">
      <w:pPr>
        <w:spacing w:after="0"/>
        <w:rPr>
          <w:lang w:val="en-CA"/>
        </w:rPr>
      </w:pPr>
      <w:r>
        <w:rPr>
          <w:lang w:val="en-CA"/>
        </w:rPr>
        <w:t>Pack size:</w:t>
      </w:r>
    </w:p>
    <w:p w14:paraId="50607188" w14:textId="77777777" w:rsidR="00A03B46" w:rsidRDefault="00A03B46" w:rsidP="00A03B46">
      <w:pPr>
        <w:spacing w:after="0"/>
        <w:rPr>
          <w:lang w:val="en-CA"/>
        </w:rPr>
      </w:pPr>
      <w:r>
        <w:rPr>
          <w:lang w:val="en-CA"/>
        </w:rPr>
        <w:t>One carton with four vials</w:t>
      </w:r>
    </w:p>
    <w:p w14:paraId="1EF042C7" w14:textId="77777777" w:rsidR="00A03B46" w:rsidRDefault="00A03B46" w:rsidP="00A03B46">
      <w:pPr>
        <w:spacing w:after="0"/>
        <w:rPr>
          <w:lang w:val="en-CA"/>
        </w:rPr>
      </w:pPr>
      <w:r>
        <w:rPr>
          <w:lang w:val="en-CA"/>
        </w:rPr>
        <w:t>Each vial contains 2 mL solution for injection</w:t>
      </w:r>
    </w:p>
    <w:p w14:paraId="023E9401" w14:textId="77777777" w:rsidR="00A03B46" w:rsidRPr="004569EA" w:rsidRDefault="00A03B46" w:rsidP="00A03B46">
      <w:pPr>
        <w:spacing w:after="0"/>
        <w:rPr>
          <w:lang w:val="en-CA"/>
        </w:rPr>
      </w:pPr>
    </w:p>
    <w:p w14:paraId="35C09752" w14:textId="77777777" w:rsidR="00A03B46" w:rsidRPr="004569EA" w:rsidRDefault="00A03B46" w:rsidP="00A03B46">
      <w:r w:rsidRPr="004569EA">
        <w:t xml:space="preserve">Store below </w:t>
      </w:r>
      <w:r>
        <w:t>30</w:t>
      </w:r>
      <w:r w:rsidRPr="004569EA">
        <w:sym w:font="Symbol" w:char="F0B0"/>
      </w:r>
      <w:r w:rsidRPr="004569EA">
        <w:t xml:space="preserve">C. </w:t>
      </w:r>
    </w:p>
    <w:p w14:paraId="392AFA5B" w14:textId="6C81943D" w:rsidR="0066362F" w:rsidRPr="004569EA" w:rsidRDefault="0079497D" w:rsidP="0066362F">
      <w:pPr>
        <w:rPr>
          <w:lang w:val="en-CA"/>
        </w:rPr>
      </w:pPr>
      <w:r w:rsidRPr="0079497D">
        <w:rPr>
          <w:lang w:val="en-CA"/>
        </w:rPr>
        <w:t>BELKYRA</w:t>
      </w:r>
      <w:r w:rsidR="0066362F" w:rsidRPr="004569EA">
        <w:rPr>
          <w:lang w:val="en-CA"/>
        </w:rPr>
        <w:t xml:space="preserve"> is for </w:t>
      </w:r>
      <w:r w:rsidR="00FA7451">
        <w:rPr>
          <w:lang w:val="en-CA"/>
        </w:rPr>
        <w:t xml:space="preserve">single </w:t>
      </w:r>
      <w:r w:rsidR="0066362F" w:rsidRPr="004569EA">
        <w:rPr>
          <w:lang w:val="en-CA"/>
        </w:rPr>
        <w:t xml:space="preserve">use in one patient. </w:t>
      </w:r>
      <w:r w:rsidR="00A03B46">
        <w:rPr>
          <w:lang w:val="en-CA"/>
        </w:rPr>
        <w:t>D</w:t>
      </w:r>
      <w:r w:rsidR="0066362F" w:rsidRPr="004569EA">
        <w:rPr>
          <w:lang w:val="en-CA"/>
        </w:rPr>
        <w:t xml:space="preserve">iscard any </w:t>
      </w:r>
      <w:r w:rsidR="00A03B46">
        <w:rPr>
          <w:lang w:val="en-CA"/>
        </w:rPr>
        <w:t>residue</w:t>
      </w:r>
      <w:r w:rsidR="0066362F" w:rsidRPr="004569EA">
        <w:rPr>
          <w:lang w:val="en-CA"/>
        </w:rPr>
        <w:t>.</w:t>
      </w:r>
    </w:p>
    <w:p w14:paraId="40D355A4" w14:textId="77777777" w:rsidR="00F22BCA" w:rsidRPr="004569EA" w:rsidRDefault="00B60C5F" w:rsidP="009E2643">
      <w:pPr>
        <w:pStyle w:val="Heading1"/>
      </w:pPr>
      <w:r w:rsidRPr="004569EA">
        <w:t>N</w:t>
      </w:r>
      <w:r w:rsidR="001E2D56" w:rsidRPr="004569EA">
        <w:t>AME AND ADDRESS OF THE SPONSOR</w:t>
      </w:r>
    </w:p>
    <w:p w14:paraId="243C3CBB" w14:textId="77777777" w:rsidR="00FA7451" w:rsidRDefault="00FA7451" w:rsidP="00B7429E">
      <w:pPr>
        <w:spacing w:after="0"/>
      </w:pPr>
      <w:r>
        <w:t>Allergan Australia Pty Ltd</w:t>
      </w:r>
    </w:p>
    <w:p w14:paraId="6ED0B126" w14:textId="22EF6F6F" w:rsidR="00FA7451" w:rsidRDefault="00FA7451" w:rsidP="00B7429E">
      <w:pPr>
        <w:spacing w:after="0"/>
      </w:pPr>
      <w:r>
        <w:t>810 Pacific Highway Gordon</w:t>
      </w:r>
    </w:p>
    <w:p w14:paraId="3753BFBC" w14:textId="765CC8DA" w:rsidR="00FA7451" w:rsidRDefault="00FA7451" w:rsidP="00B7429E">
      <w:pPr>
        <w:spacing w:after="0"/>
      </w:pPr>
      <w:r>
        <w:t>NSW 2072</w:t>
      </w:r>
    </w:p>
    <w:p w14:paraId="5D58879E" w14:textId="1B153CFA" w:rsidR="004569EA" w:rsidRPr="004569EA" w:rsidRDefault="004569EA" w:rsidP="00B7429E">
      <w:pPr>
        <w:spacing w:after="0"/>
      </w:pPr>
    </w:p>
    <w:p w14:paraId="2857A858" w14:textId="77777777" w:rsidR="00B60C5F" w:rsidRPr="004569EA" w:rsidRDefault="00B60C5F" w:rsidP="009E2643">
      <w:pPr>
        <w:pStyle w:val="Heading1"/>
      </w:pPr>
      <w:r w:rsidRPr="004569EA">
        <w:t>P</w:t>
      </w:r>
      <w:r w:rsidR="001E2D56" w:rsidRPr="004569EA">
        <w:t>OISON SCHEDULE OF THE MEDICINE</w:t>
      </w:r>
    </w:p>
    <w:p w14:paraId="45E1F9AE" w14:textId="77777777" w:rsidR="00FA303C" w:rsidRPr="004569EA" w:rsidRDefault="00FA303C" w:rsidP="00B60C5F">
      <w:r w:rsidRPr="004569EA">
        <w:t xml:space="preserve">Schedule 4 – Prescription </w:t>
      </w:r>
      <w:r w:rsidR="007C03BC" w:rsidRPr="004569EA">
        <w:t xml:space="preserve">Only </w:t>
      </w:r>
      <w:r w:rsidRPr="004569EA">
        <w:t>Medicine</w:t>
      </w:r>
    </w:p>
    <w:p w14:paraId="09346D85" w14:textId="77777777" w:rsidR="00D422F4" w:rsidRPr="004569EA" w:rsidRDefault="00E1618C" w:rsidP="009E2643">
      <w:pPr>
        <w:pStyle w:val="Heading1"/>
      </w:pPr>
      <w:r w:rsidRPr="004569EA">
        <w:t>DATE OF FIRST INCLUSION IN THE AUSTRALIAN REGISTER OF THERAPEUTIC GOODS (THE ARTG)</w:t>
      </w:r>
      <w:r w:rsidR="00D422F4" w:rsidRPr="004569EA">
        <w:t>:</w:t>
      </w:r>
    </w:p>
    <w:p w14:paraId="3B5A2A9C" w14:textId="69429A37" w:rsidR="00F22BCA" w:rsidRPr="004569EA" w:rsidRDefault="0012600A" w:rsidP="00D422F4">
      <w:r>
        <w:t>21 July 2016</w:t>
      </w:r>
    </w:p>
    <w:p w14:paraId="0D216B5B" w14:textId="77777777" w:rsidR="00EC0FAD" w:rsidRPr="004569EA" w:rsidRDefault="00EC0FAD"/>
    <w:sectPr w:rsidR="00EC0FAD" w:rsidRPr="004569EA" w:rsidSect="009D6A89">
      <w:headerReference w:type="even" r:id="rId18"/>
      <w:headerReference w:type="default" r:id="rId19"/>
      <w:footerReference w:type="default" r:id="rId20"/>
      <w:pgSz w:w="11906" w:h="16838" w:code="9"/>
      <w:pgMar w:top="776" w:right="1416" w:bottom="1440" w:left="1800" w:header="720" w:footer="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786FB" w14:textId="77777777" w:rsidR="002E0447" w:rsidRDefault="002E0447">
      <w:r>
        <w:separator/>
      </w:r>
    </w:p>
  </w:endnote>
  <w:endnote w:type="continuationSeparator" w:id="0">
    <w:p w14:paraId="54E68700" w14:textId="77777777" w:rsidR="002E0447" w:rsidRDefault="002E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22239113"/>
      <w:docPartObj>
        <w:docPartGallery w:val="Page Numbers (Bottom of Page)"/>
        <w:docPartUnique/>
      </w:docPartObj>
    </w:sdtPr>
    <w:sdtEndPr>
      <w:rPr>
        <w:noProof/>
      </w:rPr>
    </w:sdtEndPr>
    <w:sdtContent>
      <w:p w14:paraId="59DB5466" w14:textId="23CA902E" w:rsidR="0079497D" w:rsidRPr="00B67999" w:rsidRDefault="00A03B46" w:rsidP="00B67999">
        <w:pPr>
          <w:pStyle w:val="Footer"/>
          <w:pBdr>
            <w:top w:val="single" w:sz="4" w:space="1" w:color="auto"/>
          </w:pBdr>
          <w:rPr>
            <w:sz w:val="18"/>
            <w:szCs w:val="18"/>
          </w:rPr>
        </w:pPr>
        <w:r>
          <w:rPr>
            <w:sz w:val="18"/>
            <w:szCs w:val="18"/>
          </w:rPr>
          <w:t>BELKYRA</w:t>
        </w:r>
        <w:r w:rsidR="0079497D" w:rsidRPr="0041567A">
          <w:rPr>
            <w:sz w:val="18"/>
            <w:szCs w:val="18"/>
          </w:rPr>
          <w:tab/>
        </w:r>
        <w:r w:rsidR="0079497D" w:rsidRPr="0041567A">
          <w:rPr>
            <w:sz w:val="18"/>
            <w:szCs w:val="18"/>
          </w:rPr>
          <w:tab/>
        </w:r>
        <w:r w:rsidR="0079497D" w:rsidRPr="0041567A">
          <w:rPr>
            <w:sz w:val="18"/>
            <w:szCs w:val="18"/>
          </w:rPr>
          <w:fldChar w:fldCharType="begin"/>
        </w:r>
        <w:r w:rsidR="0079497D" w:rsidRPr="0041567A">
          <w:rPr>
            <w:sz w:val="18"/>
            <w:szCs w:val="18"/>
          </w:rPr>
          <w:instrText xml:space="preserve"> PAGE   \* MERGEFORMAT </w:instrText>
        </w:r>
        <w:r w:rsidR="0079497D" w:rsidRPr="0041567A">
          <w:rPr>
            <w:sz w:val="18"/>
            <w:szCs w:val="18"/>
          </w:rPr>
          <w:fldChar w:fldCharType="separate"/>
        </w:r>
        <w:r w:rsidR="00DD27AB">
          <w:rPr>
            <w:noProof/>
            <w:sz w:val="18"/>
            <w:szCs w:val="18"/>
          </w:rPr>
          <w:t>1</w:t>
        </w:r>
        <w:r w:rsidR="0079497D" w:rsidRPr="0041567A">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892D" w14:textId="77777777" w:rsidR="002E0447" w:rsidRDefault="002E0447">
      <w:r>
        <w:separator/>
      </w:r>
    </w:p>
  </w:footnote>
  <w:footnote w:type="continuationSeparator" w:id="0">
    <w:p w14:paraId="3BC3791E" w14:textId="77777777" w:rsidR="002E0447" w:rsidRDefault="002E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C31CB" w14:textId="77777777" w:rsidR="0079497D" w:rsidRDefault="0079497D" w:rsidP="007F4A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F30C7" w14:textId="77777777" w:rsidR="0079497D" w:rsidRDefault="0079497D" w:rsidP="007F4A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F1E45" w14:paraId="7440863C" w14:textId="77777777" w:rsidTr="00905270">
      <w:tc>
        <w:tcPr>
          <w:tcW w:w="8720" w:type="dxa"/>
          <w:shd w:val="clear" w:color="auto" w:fill="E4F2E0"/>
        </w:tcPr>
        <w:p w14:paraId="0D96FBA4" w14:textId="43D25687" w:rsidR="004F1E45" w:rsidRPr="00D361CA" w:rsidRDefault="004F1E45" w:rsidP="004F1E45">
          <w:pPr>
            <w:spacing w:before="40" w:after="40"/>
            <w:rPr>
              <w:b/>
              <w:sz w:val="20"/>
              <w:szCs w:val="20"/>
            </w:rPr>
          </w:pPr>
          <w:r w:rsidRPr="00D361CA">
            <w:rPr>
              <w:b/>
              <w:sz w:val="20"/>
              <w:szCs w:val="20"/>
            </w:rPr>
            <w:t xml:space="preserve">Attachment 1: Product information for </w:t>
          </w:r>
          <w:proofErr w:type="spellStart"/>
          <w:r w:rsidRPr="00D361CA">
            <w:rPr>
              <w:b/>
              <w:sz w:val="20"/>
              <w:szCs w:val="20"/>
            </w:rPr>
            <w:t>AusPAR</w:t>
          </w:r>
          <w:proofErr w:type="spellEnd"/>
          <w:r w:rsidRPr="00D361CA">
            <w:rPr>
              <w:b/>
              <w:sz w:val="20"/>
              <w:szCs w:val="20"/>
            </w:rPr>
            <w:t xml:space="preserve"> </w:t>
          </w:r>
          <w:proofErr w:type="spellStart"/>
          <w:r w:rsidRPr="004F1E45">
            <w:rPr>
              <w:b/>
              <w:sz w:val="20"/>
              <w:szCs w:val="20"/>
            </w:rPr>
            <w:t>Belkyra</w:t>
          </w:r>
          <w:proofErr w:type="spellEnd"/>
          <w:r w:rsidRPr="004F1E45">
            <w:rPr>
              <w:b/>
              <w:sz w:val="20"/>
              <w:szCs w:val="20"/>
            </w:rPr>
            <w:t xml:space="preserve"> </w:t>
          </w:r>
          <w:proofErr w:type="spellStart"/>
          <w:r w:rsidRPr="004F1E45">
            <w:rPr>
              <w:b/>
              <w:sz w:val="20"/>
              <w:szCs w:val="20"/>
            </w:rPr>
            <w:t>Deoxycholic</w:t>
          </w:r>
          <w:proofErr w:type="spellEnd"/>
          <w:r w:rsidRPr="004F1E45">
            <w:rPr>
              <w:b/>
              <w:sz w:val="20"/>
              <w:szCs w:val="20"/>
            </w:rPr>
            <w:t xml:space="preserve"> acid</w:t>
          </w:r>
          <w:r>
            <w:rPr>
              <w:b/>
              <w:sz w:val="20"/>
              <w:szCs w:val="20"/>
            </w:rPr>
            <w:t xml:space="preserve"> </w:t>
          </w:r>
          <w:r w:rsidRPr="004F1E45">
            <w:rPr>
              <w:b/>
              <w:sz w:val="20"/>
              <w:szCs w:val="20"/>
            </w:rPr>
            <w:t>Allergan Australia Pty Ltd</w:t>
          </w:r>
          <w:r>
            <w:rPr>
              <w:b/>
              <w:sz w:val="20"/>
              <w:szCs w:val="20"/>
            </w:rPr>
            <w:t xml:space="preserve"> </w:t>
          </w:r>
          <w:r w:rsidRPr="004F1E45">
            <w:rPr>
              <w:b/>
              <w:sz w:val="20"/>
              <w:szCs w:val="20"/>
            </w:rPr>
            <w:t>2014-04251-1-5</w:t>
          </w:r>
          <w:r>
            <w:rPr>
              <w:b/>
              <w:sz w:val="20"/>
              <w:szCs w:val="20"/>
            </w:rPr>
            <w:t xml:space="preserve"> Final </w:t>
          </w:r>
          <w:r w:rsidRPr="00D361CA">
            <w:rPr>
              <w:b/>
              <w:sz w:val="20"/>
              <w:szCs w:val="20"/>
            </w:rPr>
            <w:t xml:space="preserve">6 </w:t>
          </w:r>
          <w:r>
            <w:rPr>
              <w:b/>
              <w:sz w:val="20"/>
              <w:szCs w:val="20"/>
            </w:rPr>
            <w:t>April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78AC1142" w14:textId="77777777" w:rsidR="004F1E45" w:rsidRDefault="004F1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D4C"/>
    <w:multiLevelType w:val="hybridMultilevel"/>
    <w:tmpl w:val="3D68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F56D4"/>
    <w:multiLevelType w:val="singleLevel"/>
    <w:tmpl w:val="9D50982A"/>
    <w:lvl w:ilvl="0">
      <w:start w:val="1"/>
      <w:numFmt w:val="decimal"/>
      <w:lvlText w:val="%1"/>
      <w:lvlJc w:val="left"/>
      <w:pPr>
        <w:tabs>
          <w:tab w:val="num" w:pos="720"/>
        </w:tabs>
        <w:ind w:left="720" w:hanging="720"/>
      </w:pPr>
      <w:rPr>
        <w:rFonts w:hint="default"/>
      </w:rPr>
    </w:lvl>
  </w:abstractNum>
  <w:abstractNum w:abstractNumId="2">
    <w:nsid w:val="0CF07674"/>
    <w:multiLevelType w:val="hybridMultilevel"/>
    <w:tmpl w:val="196A701C"/>
    <w:lvl w:ilvl="0" w:tplc="6C6C095A">
      <w:start w:val="1"/>
      <w:numFmt w:val="bullet"/>
      <w:lvlText w:val="-"/>
      <w:lvlJc w:val="left"/>
      <w:pPr>
        <w:ind w:left="720" w:hanging="360"/>
      </w:pPr>
      <w:rPr>
        <w:rFonts w:ascii="Times New Roman" w:hAnsi="Times New Roman" w:hint="default"/>
        <w:b w:val="0"/>
        <w:i w:val="0"/>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EBE4F8C"/>
    <w:multiLevelType w:val="hybridMultilevel"/>
    <w:tmpl w:val="F7EE2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BC3B05"/>
    <w:multiLevelType w:val="singleLevel"/>
    <w:tmpl w:val="C57C9E4A"/>
    <w:lvl w:ilvl="0">
      <w:start w:val="1"/>
      <w:numFmt w:val="decimal"/>
      <w:lvlText w:val="%1"/>
      <w:lvlJc w:val="left"/>
      <w:pPr>
        <w:tabs>
          <w:tab w:val="num" w:pos="720"/>
        </w:tabs>
        <w:ind w:left="720" w:hanging="720"/>
      </w:pPr>
      <w:rPr>
        <w:rFonts w:hint="default"/>
      </w:rPr>
    </w:lvl>
  </w:abstractNum>
  <w:abstractNum w:abstractNumId="5">
    <w:nsid w:val="2C9169DA"/>
    <w:multiLevelType w:val="hybridMultilevel"/>
    <w:tmpl w:val="2346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35204"/>
    <w:multiLevelType w:val="hybridMultilevel"/>
    <w:tmpl w:val="3BCA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057067"/>
    <w:multiLevelType w:val="hybridMultilevel"/>
    <w:tmpl w:val="C1F67CF2"/>
    <w:lvl w:ilvl="0" w:tplc="46965C42">
      <w:start w:val="1"/>
      <w:numFmt w:val="bullet"/>
      <w:pStyle w:val="Sub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C0C0403"/>
    <w:multiLevelType w:val="hybridMultilevel"/>
    <w:tmpl w:val="16786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D914F6E"/>
    <w:multiLevelType w:val="hybridMultilevel"/>
    <w:tmpl w:val="0138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62632"/>
    <w:multiLevelType w:val="hybridMultilevel"/>
    <w:tmpl w:val="07E2BE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6354FE8"/>
    <w:multiLevelType w:val="hybridMultilevel"/>
    <w:tmpl w:val="6DF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63862"/>
    <w:multiLevelType w:val="hybridMultilevel"/>
    <w:tmpl w:val="E49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53791C"/>
    <w:multiLevelType w:val="hybridMultilevel"/>
    <w:tmpl w:val="16180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3"/>
  </w:num>
  <w:num w:numId="5">
    <w:abstractNumId w:val="13"/>
  </w:num>
  <w:num w:numId="6">
    <w:abstractNumId w:val="5"/>
  </w:num>
  <w:num w:numId="7">
    <w:abstractNumId w:val="6"/>
  </w:num>
  <w:num w:numId="8">
    <w:abstractNumId w:val="8"/>
  </w:num>
  <w:num w:numId="9">
    <w:abstractNumId w:val="7"/>
  </w:num>
  <w:num w:numId="10">
    <w:abstractNumId w:val="11"/>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31"/>
    <w:rsid w:val="00010902"/>
    <w:rsid w:val="00012E50"/>
    <w:rsid w:val="000301BB"/>
    <w:rsid w:val="00032873"/>
    <w:rsid w:val="000440D2"/>
    <w:rsid w:val="00044C23"/>
    <w:rsid w:val="0004763F"/>
    <w:rsid w:val="00047FA5"/>
    <w:rsid w:val="00054775"/>
    <w:rsid w:val="00057B2C"/>
    <w:rsid w:val="000632A8"/>
    <w:rsid w:val="000656B1"/>
    <w:rsid w:val="00070EC7"/>
    <w:rsid w:val="00072105"/>
    <w:rsid w:val="00073BD6"/>
    <w:rsid w:val="00075BBB"/>
    <w:rsid w:val="00082B9B"/>
    <w:rsid w:val="00086EB6"/>
    <w:rsid w:val="0009253A"/>
    <w:rsid w:val="00092C42"/>
    <w:rsid w:val="000968AC"/>
    <w:rsid w:val="000A5CC0"/>
    <w:rsid w:val="000A664A"/>
    <w:rsid w:val="000C7F32"/>
    <w:rsid w:val="000E1606"/>
    <w:rsid w:val="000E60EC"/>
    <w:rsid w:val="000E6406"/>
    <w:rsid w:val="000F4546"/>
    <w:rsid w:val="000F4790"/>
    <w:rsid w:val="000F62D9"/>
    <w:rsid w:val="000F68AD"/>
    <w:rsid w:val="000F7A05"/>
    <w:rsid w:val="00104AB9"/>
    <w:rsid w:val="00123A50"/>
    <w:rsid w:val="0012600A"/>
    <w:rsid w:val="001302B5"/>
    <w:rsid w:val="00135887"/>
    <w:rsid w:val="00143BB1"/>
    <w:rsid w:val="00144194"/>
    <w:rsid w:val="001641C8"/>
    <w:rsid w:val="00164A8B"/>
    <w:rsid w:val="00167137"/>
    <w:rsid w:val="00170612"/>
    <w:rsid w:val="00185124"/>
    <w:rsid w:val="00187807"/>
    <w:rsid w:val="00187FC2"/>
    <w:rsid w:val="001923E6"/>
    <w:rsid w:val="0019706A"/>
    <w:rsid w:val="001A2F0A"/>
    <w:rsid w:val="001A60C0"/>
    <w:rsid w:val="001A6D9D"/>
    <w:rsid w:val="001A6E11"/>
    <w:rsid w:val="001B7BFD"/>
    <w:rsid w:val="001C06B5"/>
    <w:rsid w:val="001C1C05"/>
    <w:rsid w:val="001C2D0A"/>
    <w:rsid w:val="001D1660"/>
    <w:rsid w:val="001D524D"/>
    <w:rsid w:val="001E05CF"/>
    <w:rsid w:val="001E1D14"/>
    <w:rsid w:val="001E2D56"/>
    <w:rsid w:val="001F18C9"/>
    <w:rsid w:val="001F60F8"/>
    <w:rsid w:val="002015E3"/>
    <w:rsid w:val="00203A8F"/>
    <w:rsid w:val="0020523E"/>
    <w:rsid w:val="00207ABF"/>
    <w:rsid w:val="00207C95"/>
    <w:rsid w:val="002139D4"/>
    <w:rsid w:val="00216C1E"/>
    <w:rsid w:val="00221CDC"/>
    <w:rsid w:val="00223279"/>
    <w:rsid w:val="002249F5"/>
    <w:rsid w:val="00224AC7"/>
    <w:rsid w:val="00226D73"/>
    <w:rsid w:val="002271F9"/>
    <w:rsid w:val="00230E82"/>
    <w:rsid w:val="0023186A"/>
    <w:rsid w:val="002330B2"/>
    <w:rsid w:val="0024312B"/>
    <w:rsid w:val="0024461C"/>
    <w:rsid w:val="0025699F"/>
    <w:rsid w:val="0026229D"/>
    <w:rsid w:val="00263E5A"/>
    <w:rsid w:val="002677DD"/>
    <w:rsid w:val="00274A90"/>
    <w:rsid w:val="002759F7"/>
    <w:rsid w:val="00282586"/>
    <w:rsid w:val="002A21B8"/>
    <w:rsid w:val="002A24AE"/>
    <w:rsid w:val="002A3CE9"/>
    <w:rsid w:val="002A6B0B"/>
    <w:rsid w:val="002B52BB"/>
    <w:rsid w:val="002C796F"/>
    <w:rsid w:val="002D34F0"/>
    <w:rsid w:val="002E0447"/>
    <w:rsid w:val="002E27E0"/>
    <w:rsid w:val="002E3BD7"/>
    <w:rsid w:val="002E7EED"/>
    <w:rsid w:val="002F26BC"/>
    <w:rsid w:val="0030500C"/>
    <w:rsid w:val="00314126"/>
    <w:rsid w:val="003147DF"/>
    <w:rsid w:val="00337959"/>
    <w:rsid w:val="0034103F"/>
    <w:rsid w:val="00343790"/>
    <w:rsid w:val="00345041"/>
    <w:rsid w:val="003464B8"/>
    <w:rsid w:val="003569E6"/>
    <w:rsid w:val="00364DB4"/>
    <w:rsid w:val="003775AC"/>
    <w:rsid w:val="00382A26"/>
    <w:rsid w:val="00393566"/>
    <w:rsid w:val="00394E27"/>
    <w:rsid w:val="003A5C71"/>
    <w:rsid w:val="003B6DCA"/>
    <w:rsid w:val="003C0753"/>
    <w:rsid w:val="003C28EB"/>
    <w:rsid w:val="003C2B7F"/>
    <w:rsid w:val="003C4B0B"/>
    <w:rsid w:val="003E1714"/>
    <w:rsid w:val="003E27B1"/>
    <w:rsid w:val="003E3788"/>
    <w:rsid w:val="003F41DA"/>
    <w:rsid w:val="00402E6B"/>
    <w:rsid w:val="00405AD3"/>
    <w:rsid w:val="00413501"/>
    <w:rsid w:val="004150EA"/>
    <w:rsid w:val="0041567A"/>
    <w:rsid w:val="0042194C"/>
    <w:rsid w:val="004260D1"/>
    <w:rsid w:val="00426899"/>
    <w:rsid w:val="00444C12"/>
    <w:rsid w:val="004450BD"/>
    <w:rsid w:val="00447371"/>
    <w:rsid w:val="004509EA"/>
    <w:rsid w:val="00452E48"/>
    <w:rsid w:val="004569EA"/>
    <w:rsid w:val="004577F1"/>
    <w:rsid w:val="004612BC"/>
    <w:rsid w:val="00462904"/>
    <w:rsid w:val="00466DAA"/>
    <w:rsid w:val="00467E75"/>
    <w:rsid w:val="00471649"/>
    <w:rsid w:val="00474B39"/>
    <w:rsid w:val="00477706"/>
    <w:rsid w:val="00480CFB"/>
    <w:rsid w:val="0048740F"/>
    <w:rsid w:val="00493726"/>
    <w:rsid w:val="004948E1"/>
    <w:rsid w:val="004A0E8D"/>
    <w:rsid w:val="004A7EC2"/>
    <w:rsid w:val="004B540E"/>
    <w:rsid w:val="004B5CD0"/>
    <w:rsid w:val="004C2FF0"/>
    <w:rsid w:val="004C6442"/>
    <w:rsid w:val="004D1587"/>
    <w:rsid w:val="004D3D28"/>
    <w:rsid w:val="004D4D25"/>
    <w:rsid w:val="004E0CC6"/>
    <w:rsid w:val="004E7715"/>
    <w:rsid w:val="004F1E45"/>
    <w:rsid w:val="004F2D01"/>
    <w:rsid w:val="004F2F7A"/>
    <w:rsid w:val="004F349D"/>
    <w:rsid w:val="004F3BF1"/>
    <w:rsid w:val="00500919"/>
    <w:rsid w:val="005042BA"/>
    <w:rsid w:val="00507480"/>
    <w:rsid w:val="0051023E"/>
    <w:rsid w:val="005175ED"/>
    <w:rsid w:val="00524528"/>
    <w:rsid w:val="00527BF1"/>
    <w:rsid w:val="0054175E"/>
    <w:rsid w:val="00555166"/>
    <w:rsid w:val="00561F66"/>
    <w:rsid w:val="0056724E"/>
    <w:rsid w:val="00567DEA"/>
    <w:rsid w:val="00580DCE"/>
    <w:rsid w:val="005A09A2"/>
    <w:rsid w:val="005A27B7"/>
    <w:rsid w:val="005A2CB7"/>
    <w:rsid w:val="005A4E5A"/>
    <w:rsid w:val="005A7D4B"/>
    <w:rsid w:val="005B278F"/>
    <w:rsid w:val="005B395F"/>
    <w:rsid w:val="005C13DD"/>
    <w:rsid w:val="005C2257"/>
    <w:rsid w:val="005D028C"/>
    <w:rsid w:val="005D0EF8"/>
    <w:rsid w:val="005D7906"/>
    <w:rsid w:val="005E122F"/>
    <w:rsid w:val="005E268E"/>
    <w:rsid w:val="005E6C0E"/>
    <w:rsid w:val="005F5E85"/>
    <w:rsid w:val="005F7699"/>
    <w:rsid w:val="006004B0"/>
    <w:rsid w:val="00607E7C"/>
    <w:rsid w:val="00612154"/>
    <w:rsid w:val="00614827"/>
    <w:rsid w:val="006417F2"/>
    <w:rsid w:val="00650B20"/>
    <w:rsid w:val="00656920"/>
    <w:rsid w:val="0066362F"/>
    <w:rsid w:val="00676001"/>
    <w:rsid w:val="006842E2"/>
    <w:rsid w:val="006849DA"/>
    <w:rsid w:val="00692278"/>
    <w:rsid w:val="006A0530"/>
    <w:rsid w:val="006A5753"/>
    <w:rsid w:val="006B56C8"/>
    <w:rsid w:val="006B6951"/>
    <w:rsid w:val="006C20FD"/>
    <w:rsid w:val="006C32FF"/>
    <w:rsid w:val="006D1AD8"/>
    <w:rsid w:val="006D2B34"/>
    <w:rsid w:val="006D42E1"/>
    <w:rsid w:val="006D7DD6"/>
    <w:rsid w:val="006E3011"/>
    <w:rsid w:val="006E5F98"/>
    <w:rsid w:val="006F47AB"/>
    <w:rsid w:val="006F5B46"/>
    <w:rsid w:val="006F6CB4"/>
    <w:rsid w:val="00730036"/>
    <w:rsid w:val="007317E6"/>
    <w:rsid w:val="0073305D"/>
    <w:rsid w:val="00744D0F"/>
    <w:rsid w:val="0076356A"/>
    <w:rsid w:val="007756DA"/>
    <w:rsid w:val="00776801"/>
    <w:rsid w:val="00781937"/>
    <w:rsid w:val="00785D9D"/>
    <w:rsid w:val="0079497D"/>
    <w:rsid w:val="007966CA"/>
    <w:rsid w:val="007A6678"/>
    <w:rsid w:val="007A6C50"/>
    <w:rsid w:val="007C03BC"/>
    <w:rsid w:val="007C1DDC"/>
    <w:rsid w:val="007C2527"/>
    <w:rsid w:val="007C2C71"/>
    <w:rsid w:val="007D5CC2"/>
    <w:rsid w:val="007D7FD1"/>
    <w:rsid w:val="007E4F51"/>
    <w:rsid w:val="007F4A71"/>
    <w:rsid w:val="0080167B"/>
    <w:rsid w:val="00804100"/>
    <w:rsid w:val="00804A42"/>
    <w:rsid w:val="00804D06"/>
    <w:rsid w:val="0080640F"/>
    <w:rsid w:val="00813EB3"/>
    <w:rsid w:val="00816FFA"/>
    <w:rsid w:val="0084500C"/>
    <w:rsid w:val="0084785E"/>
    <w:rsid w:val="00854A20"/>
    <w:rsid w:val="00855EE1"/>
    <w:rsid w:val="00856B90"/>
    <w:rsid w:val="00865D5C"/>
    <w:rsid w:val="008706E2"/>
    <w:rsid w:val="00870B56"/>
    <w:rsid w:val="008746E7"/>
    <w:rsid w:val="008772FF"/>
    <w:rsid w:val="00883306"/>
    <w:rsid w:val="008851A6"/>
    <w:rsid w:val="00892900"/>
    <w:rsid w:val="00893200"/>
    <w:rsid w:val="00894D46"/>
    <w:rsid w:val="00895328"/>
    <w:rsid w:val="00895D23"/>
    <w:rsid w:val="00895F5C"/>
    <w:rsid w:val="0089646E"/>
    <w:rsid w:val="008973C3"/>
    <w:rsid w:val="008A4DAB"/>
    <w:rsid w:val="008A675E"/>
    <w:rsid w:val="008B15A7"/>
    <w:rsid w:val="008B60DF"/>
    <w:rsid w:val="008B7B4F"/>
    <w:rsid w:val="008C682D"/>
    <w:rsid w:val="008C73C4"/>
    <w:rsid w:val="008E31E8"/>
    <w:rsid w:val="008E3765"/>
    <w:rsid w:val="008E4BB2"/>
    <w:rsid w:val="008F046B"/>
    <w:rsid w:val="008F04FE"/>
    <w:rsid w:val="008F2910"/>
    <w:rsid w:val="00907FE4"/>
    <w:rsid w:val="009100F0"/>
    <w:rsid w:val="00914252"/>
    <w:rsid w:val="0092047F"/>
    <w:rsid w:val="00924149"/>
    <w:rsid w:val="009355EA"/>
    <w:rsid w:val="00935E9B"/>
    <w:rsid w:val="00941A1D"/>
    <w:rsid w:val="00941E05"/>
    <w:rsid w:val="009510F1"/>
    <w:rsid w:val="00956942"/>
    <w:rsid w:val="00963262"/>
    <w:rsid w:val="00966ED1"/>
    <w:rsid w:val="009672FD"/>
    <w:rsid w:val="00971A91"/>
    <w:rsid w:val="00977A61"/>
    <w:rsid w:val="00980B25"/>
    <w:rsid w:val="009957E1"/>
    <w:rsid w:val="00995A54"/>
    <w:rsid w:val="00997D55"/>
    <w:rsid w:val="009A0F36"/>
    <w:rsid w:val="009B6E52"/>
    <w:rsid w:val="009C2E52"/>
    <w:rsid w:val="009C3874"/>
    <w:rsid w:val="009C3B59"/>
    <w:rsid w:val="009D17B7"/>
    <w:rsid w:val="009D2C02"/>
    <w:rsid w:val="009D461F"/>
    <w:rsid w:val="009D6A89"/>
    <w:rsid w:val="009E215A"/>
    <w:rsid w:val="009E2643"/>
    <w:rsid w:val="009F7D42"/>
    <w:rsid w:val="00A03B46"/>
    <w:rsid w:val="00A04711"/>
    <w:rsid w:val="00A05A19"/>
    <w:rsid w:val="00A123B3"/>
    <w:rsid w:val="00A12661"/>
    <w:rsid w:val="00A263E5"/>
    <w:rsid w:val="00A32865"/>
    <w:rsid w:val="00A361CA"/>
    <w:rsid w:val="00A41052"/>
    <w:rsid w:val="00A43980"/>
    <w:rsid w:val="00A530D6"/>
    <w:rsid w:val="00A55497"/>
    <w:rsid w:val="00A55EC5"/>
    <w:rsid w:val="00A66660"/>
    <w:rsid w:val="00A676F7"/>
    <w:rsid w:val="00A934EC"/>
    <w:rsid w:val="00A956B2"/>
    <w:rsid w:val="00A95939"/>
    <w:rsid w:val="00AA1137"/>
    <w:rsid w:val="00AA2CCC"/>
    <w:rsid w:val="00AB3C17"/>
    <w:rsid w:val="00AC0312"/>
    <w:rsid w:val="00AD02E8"/>
    <w:rsid w:val="00AD2456"/>
    <w:rsid w:val="00AE3A82"/>
    <w:rsid w:val="00AE49DE"/>
    <w:rsid w:val="00AE520E"/>
    <w:rsid w:val="00B05FB6"/>
    <w:rsid w:val="00B12D00"/>
    <w:rsid w:val="00B13E2A"/>
    <w:rsid w:val="00B14E1B"/>
    <w:rsid w:val="00B15B7D"/>
    <w:rsid w:val="00B24BBC"/>
    <w:rsid w:val="00B35659"/>
    <w:rsid w:val="00B413AC"/>
    <w:rsid w:val="00B42C3A"/>
    <w:rsid w:val="00B42EF1"/>
    <w:rsid w:val="00B55C68"/>
    <w:rsid w:val="00B56F56"/>
    <w:rsid w:val="00B60C5F"/>
    <w:rsid w:val="00B67999"/>
    <w:rsid w:val="00B734BE"/>
    <w:rsid w:val="00B7429E"/>
    <w:rsid w:val="00B7731A"/>
    <w:rsid w:val="00B81D1C"/>
    <w:rsid w:val="00B95E91"/>
    <w:rsid w:val="00B96468"/>
    <w:rsid w:val="00BA201C"/>
    <w:rsid w:val="00BB0431"/>
    <w:rsid w:val="00BB44FC"/>
    <w:rsid w:val="00BB4ED2"/>
    <w:rsid w:val="00BB6B6F"/>
    <w:rsid w:val="00BB74BF"/>
    <w:rsid w:val="00BC1A09"/>
    <w:rsid w:val="00BC2500"/>
    <w:rsid w:val="00BC373B"/>
    <w:rsid w:val="00BD7517"/>
    <w:rsid w:val="00BE602D"/>
    <w:rsid w:val="00C13193"/>
    <w:rsid w:val="00C23FF2"/>
    <w:rsid w:val="00C25DC9"/>
    <w:rsid w:val="00C30C20"/>
    <w:rsid w:val="00C50274"/>
    <w:rsid w:val="00C5202B"/>
    <w:rsid w:val="00C535DF"/>
    <w:rsid w:val="00C60110"/>
    <w:rsid w:val="00C607A2"/>
    <w:rsid w:val="00C63597"/>
    <w:rsid w:val="00C823B7"/>
    <w:rsid w:val="00C917E6"/>
    <w:rsid w:val="00CA0746"/>
    <w:rsid w:val="00CA355F"/>
    <w:rsid w:val="00CB0978"/>
    <w:rsid w:val="00CB6749"/>
    <w:rsid w:val="00CC3AE9"/>
    <w:rsid w:val="00CD4FCB"/>
    <w:rsid w:val="00CD5F15"/>
    <w:rsid w:val="00CD6272"/>
    <w:rsid w:val="00CF0B16"/>
    <w:rsid w:val="00CF0CF7"/>
    <w:rsid w:val="00CF21EB"/>
    <w:rsid w:val="00CF4B8F"/>
    <w:rsid w:val="00CF62ED"/>
    <w:rsid w:val="00D00B9D"/>
    <w:rsid w:val="00D00F61"/>
    <w:rsid w:val="00D04004"/>
    <w:rsid w:val="00D04B43"/>
    <w:rsid w:val="00D04F12"/>
    <w:rsid w:val="00D05B3D"/>
    <w:rsid w:val="00D1664F"/>
    <w:rsid w:val="00D221A5"/>
    <w:rsid w:val="00D257C8"/>
    <w:rsid w:val="00D422F4"/>
    <w:rsid w:val="00D43D1A"/>
    <w:rsid w:val="00D447D5"/>
    <w:rsid w:val="00D505D9"/>
    <w:rsid w:val="00D509AE"/>
    <w:rsid w:val="00D62113"/>
    <w:rsid w:val="00D66029"/>
    <w:rsid w:val="00D70259"/>
    <w:rsid w:val="00D71EB8"/>
    <w:rsid w:val="00D8036C"/>
    <w:rsid w:val="00D8201B"/>
    <w:rsid w:val="00D960F8"/>
    <w:rsid w:val="00D973BA"/>
    <w:rsid w:val="00DA1732"/>
    <w:rsid w:val="00DA41C3"/>
    <w:rsid w:val="00DB39CE"/>
    <w:rsid w:val="00DB4595"/>
    <w:rsid w:val="00DC370C"/>
    <w:rsid w:val="00DC45E5"/>
    <w:rsid w:val="00DD27AB"/>
    <w:rsid w:val="00DD767D"/>
    <w:rsid w:val="00DD7E2B"/>
    <w:rsid w:val="00DE2FB7"/>
    <w:rsid w:val="00DE360C"/>
    <w:rsid w:val="00DE5149"/>
    <w:rsid w:val="00DE72FB"/>
    <w:rsid w:val="00DF082C"/>
    <w:rsid w:val="00DF7E6F"/>
    <w:rsid w:val="00E112D7"/>
    <w:rsid w:val="00E12D01"/>
    <w:rsid w:val="00E135E9"/>
    <w:rsid w:val="00E1618C"/>
    <w:rsid w:val="00E16B8D"/>
    <w:rsid w:val="00E20DF9"/>
    <w:rsid w:val="00E23F29"/>
    <w:rsid w:val="00E24B4A"/>
    <w:rsid w:val="00E34D40"/>
    <w:rsid w:val="00E44404"/>
    <w:rsid w:val="00E51848"/>
    <w:rsid w:val="00E54815"/>
    <w:rsid w:val="00E72212"/>
    <w:rsid w:val="00E77D09"/>
    <w:rsid w:val="00E80A9F"/>
    <w:rsid w:val="00E855F0"/>
    <w:rsid w:val="00EA0FF1"/>
    <w:rsid w:val="00EA2643"/>
    <w:rsid w:val="00EA6F8C"/>
    <w:rsid w:val="00EC0FAD"/>
    <w:rsid w:val="00ED34B0"/>
    <w:rsid w:val="00ED57E2"/>
    <w:rsid w:val="00ED5D30"/>
    <w:rsid w:val="00F0051B"/>
    <w:rsid w:val="00F0645B"/>
    <w:rsid w:val="00F07229"/>
    <w:rsid w:val="00F103CF"/>
    <w:rsid w:val="00F22BCA"/>
    <w:rsid w:val="00F34D89"/>
    <w:rsid w:val="00F379E3"/>
    <w:rsid w:val="00F40340"/>
    <w:rsid w:val="00F509FF"/>
    <w:rsid w:val="00F52009"/>
    <w:rsid w:val="00F55326"/>
    <w:rsid w:val="00F61184"/>
    <w:rsid w:val="00F666E7"/>
    <w:rsid w:val="00F7725E"/>
    <w:rsid w:val="00F83144"/>
    <w:rsid w:val="00F8614C"/>
    <w:rsid w:val="00F86CA6"/>
    <w:rsid w:val="00F877A0"/>
    <w:rsid w:val="00F911C7"/>
    <w:rsid w:val="00F9566D"/>
    <w:rsid w:val="00FA0468"/>
    <w:rsid w:val="00FA303C"/>
    <w:rsid w:val="00FA7451"/>
    <w:rsid w:val="00FB055A"/>
    <w:rsid w:val="00FB3909"/>
    <w:rsid w:val="00FB3FE3"/>
    <w:rsid w:val="00FC01A3"/>
    <w:rsid w:val="00FD6860"/>
    <w:rsid w:val="00FE0ED9"/>
    <w:rsid w:val="00FE1FFC"/>
    <w:rsid w:val="00FE2A9B"/>
    <w:rsid w:val="00FE309D"/>
    <w:rsid w:val="00FF1253"/>
    <w:rsid w:val="00FF74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F8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43"/>
    <w:pPr>
      <w:spacing w:after="240"/>
    </w:pPr>
    <w:rPr>
      <w:lang w:val="en-AU"/>
    </w:rPr>
  </w:style>
  <w:style w:type="paragraph" w:styleId="Heading1">
    <w:name w:val="heading 1"/>
    <w:basedOn w:val="Normal"/>
    <w:next w:val="Normal"/>
    <w:qFormat/>
    <w:rsid w:val="009E2643"/>
    <w:pPr>
      <w:keepNext/>
      <w:spacing w:before="240"/>
      <w:outlineLvl w:val="0"/>
    </w:pPr>
    <w:rPr>
      <w:b/>
    </w:rPr>
  </w:style>
  <w:style w:type="paragraph" w:styleId="Heading2">
    <w:name w:val="heading 2"/>
    <w:basedOn w:val="Normal"/>
    <w:next w:val="Normal"/>
    <w:qFormat/>
    <w:rsid w:val="0041567A"/>
    <w:pPr>
      <w:keepNext/>
      <w:spacing w:before="240"/>
      <w:outlineLvl w:val="1"/>
    </w:pPr>
    <w:rPr>
      <w:b/>
    </w:rPr>
  </w:style>
  <w:style w:type="paragraph" w:styleId="Heading3">
    <w:name w:val="heading 3"/>
    <w:basedOn w:val="Normal"/>
    <w:next w:val="Normal"/>
    <w:qFormat/>
    <w:rsid w:val="0041567A"/>
    <w:pPr>
      <w:keepNext/>
      <w:spacing w:after="0"/>
      <w:outlineLvl w:val="2"/>
    </w:pPr>
    <w:rPr>
      <w:b/>
      <w:i/>
    </w:rPr>
  </w:style>
  <w:style w:type="paragraph" w:styleId="Heading4">
    <w:name w:val="heading 4"/>
    <w:basedOn w:val="Normal"/>
    <w:next w:val="Normal"/>
    <w:qFormat/>
    <w:rsid w:val="00D71EB8"/>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1EB8"/>
    <w:pPr>
      <w:jc w:val="center"/>
    </w:pPr>
    <w:rPr>
      <w:b/>
    </w:rPr>
  </w:style>
  <w:style w:type="paragraph" w:styleId="Subtitle">
    <w:name w:val="Subtitle"/>
    <w:aliases w:val="Normal bulleted"/>
    <w:basedOn w:val="Normal"/>
    <w:qFormat/>
    <w:rsid w:val="003775AC"/>
    <w:pPr>
      <w:numPr>
        <w:numId w:val="9"/>
      </w:numPr>
      <w:spacing w:after="120"/>
      <w:ind w:left="714" w:hanging="357"/>
    </w:pPr>
  </w:style>
  <w:style w:type="paragraph" w:styleId="BodyText">
    <w:name w:val="Body Text"/>
    <w:basedOn w:val="Normal"/>
    <w:rsid w:val="00D71EB8"/>
    <w:rPr>
      <w:i/>
    </w:rPr>
  </w:style>
  <w:style w:type="paragraph" w:styleId="Header">
    <w:name w:val="header"/>
    <w:basedOn w:val="Normal"/>
    <w:rsid w:val="00D71EB8"/>
    <w:pPr>
      <w:tabs>
        <w:tab w:val="center" w:pos="4153"/>
        <w:tab w:val="right" w:pos="8306"/>
      </w:tabs>
    </w:pPr>
  </w:style>
  <w:style w:type="paragraph" w:styleId="Footer">
    <w:name w:val="footer"/>
    <w:basedOn w:val="Normal"/>
    <w:link w:val="FooterChar"/>
    <w:uiPriority w:val="99"/>
    <w:rsid w:val="00D71EB8"/>
    <w:pPr>
      <w:tabs>
        <w:tab w:val="center" w:pos="4153"/>
        <w:tab w:val="right" w:pos="8306"/>
      </w:tabs>
    </w:pPr>
  </w:style>
  <w:style w:type="character" w:styleId="PageNumber">
    <w:name w:val="page number"/>
    <w:basedOn w:val="DefaultParagraphFont"/>
    <w:rsid w:val="00D71EB8"/>
  </w:style>
  <w:style w:type="paragraph" w:styleId="BalloonText">
    <w:name w:val="Balloon Text"/>
    <w:basedOn w:val="Normal"/>
    <w:semiHidden/>
    <w:rsid w:val="00730036"/>
    <w:rPr>
      <w:rFonts w:ascii="Tahoma" w:hAnsi="Tahoma" w:cs="Tahoma"/>
      <w:sz w:val="16"/>
      <w:szCs w:val="16"/>
    </w:rPr>
  </w:style>
  <w:style w:type="paragraph" w:styleId="FootnoteText">
    <w:name w:val="footnote text"/>
    <w:basedOn w:val="Normal"/>
    <w:semiHidden/>
    <w:rsid w:val="00607E7C"/>
    <w:pPr>
      <w:widowControl w:val="0"/>
      <w:adjustRightInd w:val="0"/>
      <w:spacing w:line="360" w:lineRule="atLeast"/>
      <w:jc w:val="both"/>
      <w:textAlignment w:val="baseline"/>
    </w:pPr>
  </w:style>
  <w:style w:type="paragraph" w:customStyle="1" w:styleId="TableTitle">
    <w:name w:val="Table Title"/>
    <w:basedOn w:val="Normal"/>
    <w:qFormat/>
    <w:rsid w:val="00224AC7"/>
    <w:pPr>
      <w:keepNext/>
      <w:spacing w:before="240" w:after="120"/>
      <w:ind w:left="1080" w:hanging="1080"/>
      <w:jc w:val="center"/>
    </w:pPr>
    <w:rPr>
      <w:rFonts w:eastAsia="Calibri"/>
      <w:b/>
      <w:bCs/>
      <w:lang w:val="en-US"/>
    </w:rPr>
  </w:style>
  <w:style w:type="paragraph" w:styleId="BodyTextIndent">
    <w:name w:val="Body Text Indent"/>
    <w:basedOn w:val="Normal"/>
    <w:link w:val="BodyTextIndentChar"/>
    <w:rsid w:val="00224AC7"/>
    <w:pPr>
      <w:spacing w:after="120"/>
      <w:ind w:left="360"/>
    </w:pPr>
    <w:rPr>
      <w:lang w:val="en-US" w:eastAsia="en-CA"/>
    </w:rPr>
  </w:style>
  <w:style w:type="character" w:customStyle="1" w:styleId="BodyTextIndentChar">
    <w:name w:val="Body Text Indent Char"/>
    <w:basedOn w:val="DefaultParagraphFont"/>
    <w:link w:val="BodyTextIndent"/>
    <w:rsid w:val="00224AC7"/>
    <w:rPr>
      <w:sz w:val="24"/>
      <w:lang w:eastAsia="en-CA"/>
    </w:rPr>
  </w:style>
  <w:style w:type="paragraph" w:customStyle="1" w:styleId="C-BodyText">
    <w:name w:val="C-Body Text"/>
    <w:link w:val="C-BodyTextChar"/>
    <w:rsid w:val="00224AC7"/>
    <w:pPr>
      <w:spacing w:before="120" w:after="120" w:line="280" w:lineRule="atLeast"/>
    </w:pPr>
  </w:style>
  <w:style w:type="character" w:customStyle="1" w:styleId="C-BodyTextChar">
    <w:name w:val="C-Body Text Char"/>
    <w:link w:val="C-BodyText"/>
    <w:rsid w:val="00224AC7"/>
    <w:rPr>
      <w:sz w:val="24"/>
    </w:rPr>
  </w:style>
  <w:style w:type="paragraph" w:customStyle="1" w:styleId="Level1">
    <w:name w:val="Level 1"/>
    <w:basedOn w:val="Normal"/>
    <w:rsid w:val="00224AC7"/>
    <w:pPr>
      <w:widowControl w:val="0"/>
    </w:pPr>
    <w:rPr>
      <w:lang w:val="en-US" w:eastAsia="en-CA"/>
    </w:rPr>
  </w:style>
  <w:style w:type="paragraph" w:customStyle="1" w:styleId="C-TableFootnote">
    <w:name w:val="C-Table Footnote"/>
    <w:next w:val="Normal"/>
    <w:rsid w:val="00D960F8"/>
    <w:pPr>
      <w:tabs>
        <w:tab w:val="left" w:pos="144"/>
      </w:tabs>
      <w:ind w:left="144" w:hanging="144"/>
    </w:pPr>
    <w:rPr>
      <w:rFonts w:cs="Arial"/>
      <w:sz w:val="18"/>
    </w:rPr>
  </w:style>
  <w:style w:type="paragraph" w:styleId="ListParagraph">
    <w:name w:val="List Paragraph"/>
    <w:basedOn w:val="Normal"/>
    <w:uiPriority w:val="34"/>
    <w:qFormat/>
    <w:rsid w:val="000632A8"/>
    <w:pPr>
      <w:ind w:left="720"/>
      <w:contextualSpacing/>
    </w:pPr>
  </w:style>
  <w:style w:type="character" w:customStyle="1" w:styleId="FooterChar">
    <w:name w:val="Footer Char"/>
    <w:basedOn w:val="DefaultParagraphFont"/>
    <w:link w:val="Footer"/>
    <w:uiPriority w:val="99"/>
    <w:rsid w:val="0041567A"/>
    <w:rPr>
      <w:sz w:val="24"/>
      <w:lang w:val="en-AU"/>
    </w:rPr>
  </w:style>
  <w:style w:type="character" w:styleId="CommentReference">
    <w:name w:val="annotation reference"/>
    <w:basedOn w:val="DefaultParagraphFont"/>
    <w:uiPriority w:val="99"/>
    <w:semiHidden/>
    <w:unhideWhenUsed/>
    <w:rsid w:val="0066362F"/>
    <w:rPr>
      <w:sz w:val="16"/>
      <w:szCs w:val="16"/>
    </w:rPr>
  </w:style>
  <w:style w:type="paragraph" w:styleId="CommentText">
    <w:name w:val="annotation text"/>
    <w:basedOn w:val="Normal"/>
    <w:link w:val="CommentTextChar"/>
    <w:uiPriority w:val="99"/>
    <w:unhideWhenUsed/>
    <w:rsid w:val="0066362F"/>
    <w:rPr>
      <w:sz w:val="20"/>
    </w:rPr>
  </w:style>
  <w:style w:type="character" w:customStyle="1" w:styleId="CommentTextChar">
    <w:name w:val="Comment Text Char"/>
    <w:basedOn w:val="DefaultParagraphFont"/>
    <w:link w:val="CommentText"/>
    <w:uiPriority w:val="99"/>
    <w:rsid w:val="0066362F"/>
    <w:rPr>
      <w:lang w:val="en-AU"/>
    </w:rPr>
  </w:style>
  <w:style w:type="paragraph" w:styleId="CommentSubject">
    <w:name w:val="annotation subject"/>
    <w:basedOn w:val="CommentText"/>
    <w:next w:val="CommentText"/>
    <w:link w:val="CommentSubjectChar"/>
    <w:uiPriority w:val="99"/>
    <w:semiHidden/>
    <w:unhideWhenUsed/>
    <w:rsid w:val="0066362F"/>
    <w:rPr>
      <w:b/>
      <w:bCs/>
    </w:rPr>
  </w:style>
  <w:style w:type="character" w:customStyle="1" w:styleId="CommentSubjectChar">
    <w:name w:val="Comment Subject Char"/>
    <w:basedOn w:val="CommentTextChar"/>
    <w:link w:val="CommentSubject"/>
    <w:uiPriority w:val="99"/>
    <w:semiHidden/>
    <w:rsid w:val="0066362F"/>
    <w:rPr>
      <w:b/>
      <w:bCs/>
      <w:lang w:val="en-AU"/>
    </w:rPr>
  </w:style>
  <w:style w:type="paragraph" w:styleId="Revision">
    <w:name w:val="Revision"/>
    <w:hidden/>
    <w:uiPriority w:val="99"/>
    <w:semiHidden/>
    <w:rsid w:val="00E72212"/>
    <w:rPr>
      <w:lang w:val="en-AU"/>
    </w:rPr>
  </w:style>
  <w:style w:type="table" w:styleId="TableGrid">
    <w:name w:val="Table Grid"/>
    <w:basedOn w:val="TableNormal"/>
    <w:uiPriority w:val="59"/>
    <w:rsid w:val="005C225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0EF8"/>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5D0EF8"/>
    <w:rPr>
      <w:rFonts w:ascii="Lucida Grande" w:hAnsi="Lucida Grande" w:cs="Lucida Grande"/>
      <w:sz w:val="24"/>
      <w:szCs w:val="24"/>
      <w:lang w:val="en-AU"/>
    </w:rPr>
  </w:style>
  <w:style w:type="paragraph" w:customStyle="1" w:styleId="Bullets">
    <w:name w:val="Bullets"/>
    <w:basedOn w:val="Normal"/>
    <w:qFormat/>
    <w:rsid w:val="00A03B46"/>
    <w:pPr>
      <w:spacing w:before="120" w:after="120"/>
      <w:ind w:left="720" w:hanging="360"/>
    </w:pPr>
    <w:rPr>
      <w:rFonts w:eastAsia="Calibri"/>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43"/>
    <w:pPr>
      <w:spacing w:after="240"/>
    </w:pPr>
    <w:rPr>
      <w:lang w:val="en-AU"/>
    </w:rPr>
  </w:style>
  <w:style w:type="paragraph" w:styleId="Heading1">
    <w:name w:val="heading 1"/>
    <w:basedOn w:val="Normal"/>
    <w:next w:val="Normal"/>
    <w:qFormat/>
    <w:rsid w:val="009E2643"/>
    <w:pPr>
      <w:keepNext/>
      <w:spacing w:before="240"/>
      <w:outlineLvl w:val="0"/>
    </w:pPr>
    <w:rPr>
      <w:b/>
    </w:rPr>
  </w:style>
  <w:style w:type="paragraph" w:styleId="Heading2">
    <w:name w:val="heading 2"/>
    <w:basedOn w:val="Normal"/>
    <w:next w:val="Normal"/>
    <w:qFormat/>
    <w:rsid w:val="0041567A"/>
    <w:pPr>
      <w:keepNext/>
      <w:spacing w:before="240"/>
      <w:outlineLvl w:val="1"/>
    </w:pPr>
    <w:rPr>
      <w:b/>
    </w:rPr>
  </w:style>
  <w:style w:type="paragraph" w:styleId="Heading3">
    <w:name w:val="heading 3"/>
    <w:basedOn w:val="Normal"/>
    <w:next w:val="Normal"/>
    <w:qFormat/>
    <w:rsid w:val="0041567A"/>
    <w:pPr>
      <w:keepNext/>
      <w:spacing w:after="0"/>
      <w:outlineLvl w:val="2"/>
    </w:pPr>
    <w:rPr>
      <w:b/>
      <w:i/>
    </w:rPr>
  </w:style>
  <w:style w:type="paragraph" w:styleId="Heading4">
    <w:name w:val="heading 4"/>
    <w:basedOn w:val="Normal"/>
    <w:next w:val="Normal"/>
    <w:qFormat/>
    <w:rsid w:val="00D71EB8"/>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1EB8"/>
    <w:pPr>
      <w:jc w:val="center"/>
    </w:pPr>
    <w:rPr>
      <w:b/>
    </w:rPr>
  </w:style>
  <w:style w:type="paragraph" w:styleId="Subtitle">
    <w:name w:val="Subtitle"/>
    <w:aliases w:val="Normal bulleted"/>
    <w:basedOn w:val="Normal"/>
    <w:qFormat/>
    <w:rsid w:val="003775AC"/>
    <w:pPr>
      <w:numPr>
        <w:numId w:val="9"/>
      </w:numPr>
      <w:spacing w:after="120"/>
      <w:ind w:left="714" w:hanging="357"/>
    </w:pPr>
  </w:style>
  <w:style w:type="paragraph" w:styleId="BodyText">
    <w:name w:val="Body Text"/>
    <w:basedOn w:val="Normal"/>
    <w:rsid w:val="00D71EB8"/>
    <w:rPr>
      <w:i/>
    </w:rPr>
  </w:style>
  <w:style w:type="paragraph" w:styleId="Header">
    <w:name w:val="header"/>
    <w:basedOn w:val="Normal"/>
    <w:rsid w:val="00D71EB8"/>
    <w:pPr>
      <w:tabs>
        <w:tab w:val="center" w:pos="4153"/>
        <w:tab w:val="right" w:pos="8306"/>
      </w:tabs>
    </w:pPr>
  </w:style>
  <w:style w:type="paragraph" w:styleId="Footer">
    <w:name w:val="footer"/>
    <w:basedOn w:val="Normal"/>
    <w:link w:val="FooterChar"/>
    <w:uiPriority w:val="99"/>
    <w:rsid w:val="00D71EB8"/>
    <w:pPr>
      <w:tabs>
        <w:tab w:val="center" w:pos="4153"/>
        <w:tab w:val="right" w:pos="8306"/>
      </w:tabs>
    </w:pPr>
  </w:style>
  <w:style w:type="character" w:styleId="PageNumber">
    <w:name w:val="page number"/>
    <w:basedOn w:val="DefaultParagraphFont"/>
    <w:rsid w:val="00D71EB8"/>
  </w:style>
  <w:style w:type="paragraph" w:styleId="BalloonText">
    <w:name w:val="Balloon Text"/>
    <w:basedOn w:val="Normal"/>
    <w:semiHidden/>
    <w:rsid w:val="00730036"/>
    <w:rPr>
      <w:rFonts w:ascii="Tahoma" w:hAnsi="Tahoma" w:cs="Tahoma"/>
      <w:sz w:val="16"/>
      <w:szCs w:val="16"/>
    </w:rPr>
  </w:style>
  <w:style w:type="paragraph" w:styleId="FootnoteText">
    <w:name w:val="footnote text"/>
    <w:basedOn w:val="Normal"/>
    <w:semiHidden/>
    <w:rsid w:val="00607E7C"/>
    <w:pPr>
      <w:widowControl w:val="0"/>
      <w:adjustRightInd w:val="0"/>
      <w:spacing w:line="360" w:lineRule="atLeast"/>
      <w:jc w:val="both"/>
      <w:textAlignment w:val="baseline"/>
    </w:pPr>
  </w:style>
  <w:style w:type="paragraph" w:customStyle="1" w:styleId="TableTitle">
    <w:name w:val="Table Title"/>
    <w:basedOn w:val="Normal"/>
    <w:qFormat/>
    <w:rsid w:val="00224AC7"/>
    <w:pPr>
      <w:keepNext/>
      <w:spacing w:before="240" w:after="120"/>
      <w:ind w:left="1080" w:hanging="1080"/>
      <w:jc w:val="center"/>
    </w:pPr>
    <w:rPr>
      <w:rFonts w:eastAsia="Calibri"/>
      <w:b/>
      <w:bCs/>
      <w:lang w:val="en-US"/>
    </w:rPr>
  </w:style>
  <w:style w:type="paragraph" w:styleId="BodyTextIndent">
    <w:name w:val="Body Text Indent"/>
    <w:basedOn w:val="Normal"/>
    <w:link w:val="BodyTextIndentChar"/>
    <w:rsid w:val="00224AC7"/>
    <w:pPr>
      <w:spacing w:after="120"/>
      <w:ind w:left="360"/>
    </w:pPr>
    <w:rPr>
      <w:lang w:val="en-US" w:eastAsia="en-CA"/>
    </w:rPr>
  </w:style>
  <w:style w:type="character" w:customStyle="1" w:styleId="BodyTextIndentChar">
    <w:name w:val="Body Text Indent Char"/>
    <w:basedOn w:val="DefaultParagraphFont"/>
    <w:link w:val="BodyTextIndent"/>
    <w:rsid w:val="00224AC7"/>
    <w:rPr>
      <w:sz w:val="24"/>
      <w:lang w:eastAsia="en-CA"/>
    </w:rPr>
  </w:style>
  <w:style w:type="paragraph" w:customStyle="1" w:styleId="C-BodyText">
    <w:name w:val="C-Body Text"/>
    <w:link w:val="C-BodyTextChar"/>
    <w:rsid w:val="00224AC7"/>
    <w:pPr>
      <w:spacing w:before="120" w:after="120" w:line="280" w:lineRule="atLeast"/>
    </w:pPr>
  </w:style>
  <w:style w:type="character" w:customStyle="1" w:styleId="C-BodyTextChar">
    <w:name w:val="C-Body Text Char"/>
    <w:link w:val="C-BodyText"/>
    <w:rsid w:val="00224AC7"/>
    <w:rPr>
      <w:sz w:val="24"/>
    </w:rPr>
  </w:style>
  <w:style w:type="paragraph" w:customStyle="1" w:styleId="Level1">
    <w:name w:val="Level 1"/>
    <w:basedOn w:val="Normal"/>
    <w:rsid w:val="00224AC7"/>
    <w:pPr>
      <w:widowControl w:val="0"/>
    </w:pPr>
    <w:rPr>
      <w:lang w:val="en-US" w:eastAsia="en-CA"/>
    </w:rPr>
  </w:style>
  <w:style w:type="paragraph" w:customStyle="1" w:styleId="C-TableFootnote">
    <w:name w:val="C-Table Footnote"/>
    <w:next w:val="Normal"/>
    <w:rsid w:val="00D960F8"/>
    <w:pPr>
      <w:tabs>
        <w:tab w:val="left" w:pos="144"/>
      </w:tabs>
      <w:ind w:left="144" w:hanging="144"/>
    </w:pPr>
    <w:rPr>
      <w:rFonts w:cs="Arial"/>
      <w:sz w:val="18"/>
    </w:rPr>
  </w:style>
  <w:style w:type="paragraph" w:styleId="ListParagraph">
    <w:name w:val="List Paragraph"/>
    <w:basedOn w:val="Normal"/>
    <w:uiPriority w:val="34"/>
    <w:qFormat/>
    <w:rsid w:val="000632A8"/>
    <w:pPr>
      <w:ind w:left="720"/>
      <w:contextualSpacing/>
    </w:pPr>
  </w:style>
  <w:style w:type="character" w:customStyle="1" w:styleId="FooterChar">
    <w:name w:val="Footer Char"/>
    <w:basedOn w:val="DefaultParagraphFont"/>
    <w:link w:val="Footer"/>
    <w:uiPriority w:val="99"/>
    <w:rsid w:val="0041567A"/>
    <w:rPr>
      <w:sz w:val="24"/>
      <w:lang w:val="en-AU"/>
    </w:rPr>
  </w:style>
  <w:style w:type="character" w:styleId="CommentReference">
    <w:name w:val="annotation reference"/>
    <w:basedOn w:val="DefaultParagraphFont"/>
    <w:uiPriority w:val="99"/>
    <w:semiHidden/>
    <w:unhideWhenUsed/>
    <w:rsid w:val="0066362F"/>
    <w:rPr>
      <w:sz w:val="16"/>
      <w:szCs w:val="16"/>
    </w:rPr>
  </w:style>
  <w:style w:type="paragraph" w:styleId="CommentText">
    <w:name w:val="annotation text"/>
    <w:basedOn w:val="Normal"/>
    <w:link w:val="CommentTextChar"/>
    <w:uiPriority w:val="99"/>
    <w:unhideWhenUsed/>
    <w:rsid w:val="0066362F"/>
    <w:rPr>
      <w:sz w:val="20"/>
    </w:rPr>
  </w:style>
  <w:style w:type="character" w:customStyle="1" w:styleId="CommentTextChar">
    <w:name w:val="Comment Text Char"/>
    <w:basedOn w:val="DefaultParagraphFont"/>
    <w:link w:val="CommentText"/>
    <w:uiPriority w:val="99"/>
    <w:rsid w:val="0066362F"/>
    <w:rPr>
      <w:lang w:val="en-AU"/>
    </w:rPr>
  </w:style>
  <w:style w:type="paragraph" w:styleId="CommentSubject">
    <w:name w:val="annotation subject"/>
    <w:basedOn w:val="CommentText"/>
    <w:next w:val="CommentText"/>
    <w:link w:val="CommentSubjectChar"/>
    <w:uiPriority w:val="99"/>
    <w:semiHidden/>
    <w:unhideWhenUsed/>
    <w:rsid w:val="0066362F"/>
    <w:rPr>
      <w:b/>
      <w:bCs/>
    </w:rPr>
  </w:style>
  <w:style w:type="character" w:customStyle="1" w:styleId="CommentSubjectChar">
    <w:name w:val="Comment Subject Char"/>
    <w:basedOn w:val="CommentTextChar"/>
    <w:link w:val="CommentSubject"/>
    <w:uiPriority w:val="99"/>
    <w:semiHidden/>
    <w:rsid w:val="0066362F"/>
    <w:rPr>
      <w:b/>
      <w:bCs/>
      <w:lang w:val="en-AU"/>
    </w:rPr>
  </w:style>
  <w:style w:type="paragraph" w:styleId="Revision">
    <w:name w:val="Revision"/>
    <w:hidden/>
    <w:uiPriority w:val="99"/>
    <w:semiHidden/>
    <w:rsid w:val="00E72212"/>
    <w:rPr>
      <w:lang w:val="en-AU"/>
    </w:rPr>
  </w:style>
  <w:style w:type="table" w:styleId="TableGrid">
    <w:name w:val="Table Grid"/>
    <w:basedOn w:val="TableNormal"/>
    <w:uiPriority w:val="59"/>
    <w:rsid w:val="005C225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0EF8"/>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5D0EF8"/>
    <w:rPr>
      <w:rFonts w:ascii="Lucida Grande" w:hAnsi="Lucida Grande" w:cs="Lucida Grande"/>
      <w:sz w:val="24"/>
      <w:szCs w:val="24"/>
      <w:lang w:val="en-AU"/>
    </w:rPr>
  </w:style>
  <w:style w:type="paragraph" w:customStyle="1" w:styleId="Bullets">
    <w:name w:val="Bullets"/>
    <w:basedOn w:val="Normal"/>
    <w:qFormat/>
    <w:rsid w:val="00A03B46"/>
    <w:pPr>
      <w:spacing w:before="120" w:after="120"/>
      <w:ind w:left="720" w:hanging="360"/>
    </w:pPr>
    <w:rPr>
      <w:rFonts w:eastAsia="Calibri"/>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6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30FA6ACCACD4397807DBF7C6CF43D" ma:contentTypeVersion="0" ma:contentTypeDescription="Create a new document." ma:contentTypeScope="" ma:versionID="c3baf8725f5ee150745912e534751a80">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14E8-F21B-4A20-AC57-AAC1C880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8415CF-0E72-4ABF-8BC3-4E10C078BE57}">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BB5D4F69-DDAB-4BAA-AE13-7342174D8DEA}">
  <ds:schemaRefs>
    <ds:schemaRef ds:uri="http://schemas.microsoft.com/sharepoint/v3/contenttype/forms"/>
  </ds:schemaRefs>
</ds:datastoreItem>
</file>

<file path=customXml/itemProps4.xml><?xml version="1.0" encoding="utf-8"?>
<ds:datastoreItem xmlns:ds="http://schemas.openxmlformats.org/officeDocument/2006/customXml" ds:itemID="{001E494B-540A-4F0B-B3BD-ECD084C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3553</Words>
  <Characters>20165</Characters>
  <Application>Microsoft Office Word</Application>
  <DocSecurity>0</DocSecurity>
  <Lines>448</Lines>
  <Paragraphs>242</Paragraphs>
  <ScaleCrop>false</ScaleCrop>
  <HeadingPairs>
    <vt:vector size="2" baseType="variant">
      <vt:variant>
        <vt:lpstr>Title</vt:lpstr>
      </vt:variant>
      <vt:variant>
        <vt:i4>1</vt:i4>
      </vt:variant>
    </vt:vector>
  </HeadingPairs>
  <TitlesOfParts>
    <vt:vector size="1" baseType="lpstr">
      <vt:lpstr>AusPAR Attachment 1: Product Information for Deoxycholic acid</vt:lpstr>
    </vt:vector>
  </TitlesOfParts>
  <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Deoxycholic acid</dc:title>
  <dc:subject>Prescription medicines</dc:subject>
  <dc:creator>Allergan Australia Pty Ltd</dc:creator>
  <cp:keywords>AusPARs</cp:keywords>
  <cp:lastModifiedBy>MORENO, David</cp:lastModifiedBy>
  <cp:revision>3</cp:revision>
  <cp:lastPrinted>2016-08-03T06:46:00Z</cp:lastPrinted>
  <dcterms:created xsi:type="dcterms:W3CDTF">2017-03-29T22:56:00Z</dcterms:created>
  <dcterms:modified xsi:type="dcterms:W3CDTF">2017-05-09T05:55:00Z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0x0101009AB30FA6ACCACD4397807DBF7C6CF43D</vt:lpwstr>
  </property>
</Properties>
</file>