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47FA5" w:rsidP="00096AA7">
            <w:pPr>
              <w:rPr>
                <w:rFonts w:ascii="Arial" w:hAnsi="Arial" w:cs="Arial"/>
                <w:b/>
                <w:color w:val="002C47"/>
                <w:sz w:val="36"/>
                <w:szCs w:val="36"/>
              </w:rPr>
            </w:pPr>
            <w:r>
              <w:rPr>
                <w:rFonts w:ascii="Arial" w:hAnsi="Arial" w:cs="Arial"/>
                <w:b/>
                <w:color w:val="002C47"/>
                <w:sz w:val="36"/>
                <w:szCs w:val="36"/>
              </w:rPr>
              <w:t xml:space="preserve">February </w:t>
            </w:r>
            <w:r w:rsidR="00C14212">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w:t>
            </w:r>
            <w:r w:rsidR="009D1491">
              <w:rPr>
                <w:color w:val="FFFFFF" w:themeColor="background1"/>
              </w:rPr>
              <w:t>an Public Assessment Report for</w:t>
            </w:r>
            <w:r w:rsidR="009D1491" w:rsidRPr="009D1491">
              <w:rPr>
                <w:color w:val="FFFFFF" w:themeColor="background1"/>
              </w:rPr>
              <w:t xml:space="preserve"> Denosumab</w:t>
            </w:r>
          </w:p>
        </w:tc>
      </w:tr>
      <w:tr w:rsidR="0032583B" w:rsidRPr="00B64760" w:rsidTr="0032583B">
        <w:tc>
          <w:tcPr>
            <w:tcW w:w="9079" w:type="dxa"/>
          </w:tcPr>
          <w:p w:rsidR="0032583B" w:rsidRPr="008E7846" w:rsidRDefault="0032583B" w:rsidP="009D1491">
            <w:pPr>
              <w:pStyle w:val="Subtitle"/>
              <w:rPr>
                <w:color w:val="FFFFFF" w:themeColor="background1"/>
              </w:rPr>
            </w:pPr>
            <w:r w:rsidRPr="008E7846">
              <w:rPr>
                <w:color w:val="FFFFFF" w:themeColor="background1"/>
              </w:rPr>
              <w:t xml:space="preserve">Proprietary Product Name: </w:t>
            </w:r>
            <w:r w:rsidR="009D1491">
              <w:rPr>
                <w:color w:val="FFFFFF" w:themeColor="background1"/>
              </w:rPr>
              <w:t>P</w:t>
            </w:r>
            <w:r w:rsidR="00B0277C">
              <w:rPr>
                <w:color w:val="FFFFFF" w:themeColor="background1"/>
              </w:rPr>
              <w:t>rolia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211AE1">
              <w:rPr>
                <w:color w:val="FFFFFF" w:themeColor="background1"/>
              </w:rPr>
              <w:t xml:space="preserve"> </w:t>
            </w:r>
            <w:r w:rsidR="009D1491" w:rsidRPr="009D1491">
              <w:rPr>
                <w:color w:val="FFFFFF" w:themeColor="background1"/>
              </w:rPr>
              <w:t>A</w:t>
            </w:r>
            <w:r w:rsidR="001350D8">
              <w:rPr>
                <w:color w:val="FFFFFF" w:themeColor="background1"/>
              </w:rPr>
              <w:t>mg</w:t>
            </w:r>
            <w:r w:rsidR="009D1491" w:rsidRPr="009D1491">
              <w:rPr>
                <w:color w:val="FFFFFF" w:themeColor="background1"/>
              </w:rPr>
              <w:t>en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B2A4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B2A4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4B2A4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B2A4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B2A45">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A32C9A">
        <w:t>&lt;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4B2A45">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4B2A45">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4B2A45">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4B2A45">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4B2A45">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14212">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1350D8">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D3EF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6166675" w:history="1">
            <w:r w:rsidR="00ED3EFA" w:rsidRPr="005F6C34">
              <w:rPr>
                <w:rStyle w:val="Hyperlink"/>
                <w:noProof/>
              </w:rPr>
              <w:t>Common abbreviations</w:t>
            </w:r>
            <w:r w:rsidR="00ED3EFA">
              <w:rPr>
                <w:noProof/>
                <w:webHidden/>
              </w:rPr>
              <w:tab/>
            </w:r>
            <w:r w:rsidR="00ED3EFA">
              <w:rPr>
                <w:noProof/>
                <w:webHidden/>
              </w:rPr>
              <w:fldChar w:fldCharType="begin"/>
            </w:r>
            <w:r w:rsidR="00ED3EFA">
              <w:rPr>
                <w:noProof/>
                <w:webHidden/>
              </w:rPr>
              <w:instrText xml:space="preserve"> PAGEREF _Toc16166675 \h </w:instrText>
            </w:r>
            <w:r w:rsidR="00ED3EFA">
              <w:rPr>
                <w:noProof/>
                <w:webHidden/>
              </w:rPr>
            </w:r>
            <w:r w:rsidR="00ED3EFA">
              <w:rPr>
                <w:noProof/>
                <w:webHidden/>
              </w:rPr>
              <w:fldChar w:fldCharType="separate"/>
            </w:r>
            <w:r w:rsidR="00ED3EFA">
              <w:rPr>
                <w:noProof/>
                <w:webHidden/>
              </w:rPr>
              <w:t>4</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676" w:history="1">
            <w:r w:rsidR="00ED3EFA" w:rsidRPr="005F6C34">
              <w:rPr>
                <w:rStyle w:val="Hyperlink"/>
                <w:noProof/>
              </w:rPr>
              <w:t>I. Introduction to product submission</w:t>
            </w:r>
            <w:r w:rsidR="00ED3EFA">
              <w:rPr>
                <w:noProof/>
                <w:webHidden/>
              </w:rPr>
              <w:tab/>
            </w:r>
            <w:r w:rsidR="00ED3EFA">
              <w:rPr>
                <w:noProof/>
                <w:webHidden/>
              </w:rPr>
              <w:fldChar w:fldCharType="begin"/>
            </w:r>
            <w:r w:rsidR="00ED3EFA">
              <w:rPr>
                <w:noProof/>
                <w:webHidden/>
              </w:rPr>
              <w:instrText xml:space="preserve"> PAGEREF _Toc16166676 \h </w:instrText>
            </w:r>
            <w:r w:rsidR="00ED3EFA">
              <w:rPr>
                <w:noProof/>
                <w:webHidden/>
              </w:rPr>
            </w:r>
            <w:r w:rsidR="00ED3EFA">
              <w:rPr>
                <w:noProof/>
                <w:webHidden/>
              </w:rPr>
              <w:fldChar w:fldCharType="separate"/>
            </w:r>
            <w:r w:rsidR="00ED3EFA">
              <w:rPr>
                <w:noProof/>
                <w:webHidden/>
              </w:rPr>
              <w:t>6</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77" w:history="1">
            <w:r w:rsidR="00ED3EFA" w:rsidRPr="005F6C34">
              <w:rPr>
                <w:rStyle w:val="Hyperlink"/>
                <w:noProof/>
                <w:lang w:eastAsia="en-AU"/>
              </w:rPr>
              <w:t>Submission details</w:t>
            </w:r>
            <w:r w:rsidR="00ED3EFA">
              <w:rPr>
                <w:noProof/>
                <w:webHidden/>
              </w:rPr>
              <w:tab/>
            </w:r>
            <w:r w:rsidR="00ED3EFA">
              <w:rPr>
                <w:noProof/>
                <w:webHidden/>
              </w:rPr>
              <w:fldChar w:fldCharType="begin"/>
            </w:r>
            <w:r w:rsidR="00ED3EFA">
              <w:rPr>
                <w:noProof/>
                <w:webHidden/>
              </w:rPr>
              <w:instrText xml:space="preserve"> PAGEREF _Toc16166677 \h </w:instrText>
            </w:r>
            <w:r w:rsidR="00ED3EFA">
              <w:rPr>
                <w:noProof/>
                <w:webHidden/>
              </w:rPr>
            </w:r>
            <w:r w:rsidR="00ED3EFA">
              <w:rPr>
                <w:noProof/>
                <w:webHidden/>
              </w:rPr>
              <w:fldChar w:fldCharType="separate"/>
            </w:r>
            <w:r w:rsidR="00ED3EFA">
              <w:rPr>
                <w:noProof/>
                <w:webHidden/>
              </w:rPr>
              <w:t>6</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78" w:history="1">
            <w:r w:rsidR="00ED3EFA" w:rsidRPr="005F6C34">
              <w:rPr>
                <w:rStyle w:val="Hyperlink"/>
                <w:noProof/>
              </w:rPr>
              <w:t>Product background</w:t>
            </w:r>
            <w:r w:rsidR="00ED3EFA">
              <w:rPr>
                <w:noProof/>
                <w:webHidden/>
              </w:rPr>
              <w:tab/>
            </w:r>
            <w:r w:rsidR="00ED3EFA">
              <w:rPr>
                <w:noProof/>
                <w:webHidden/>
              </w:rPr>
              <w:fldChar w:fldCharType="begin"/>
            </w:r>
            <w:r w:rsidR="00ED3EFA">
              <w:rPr>
                <w:noProof/>
                <w:webHidden/>
              </w:rPr>
              <w:instrText xml:space="preserve"> PAGEREF _Toc16166678 \h </w:instrText>
            </w:r>
            <w:r w:rsidR="00ED3EFA">
              <w:rPr>
                <w:noProof/>
                <w:webHidden/>
              </w:rPr>
            </w:r>
            <w:r w:rsidR="00ED3EFA">
              <w:rPr>
                <w:noProof/>
                <w:webHidden/>
              </w:rPr>
              <w:fldChar w:fldCharType="separate"/>
            </w:r>
            <w:r w:rsidR="00ED3EFA">
              <w:rPr>
                <w:noProof/>
                <w:webHidden/>
              </w:rPr>
              <w:t>6</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79" w:history="1">
            <w:r w:rsidR="00ED3EFA" w:rsidRPr="005F6C34">
              <w:rPr>
                <w:rStyle w:val="Hyperlink"/>
                <w:noProof/>
              </w:rPr>
              <w:t>Regulatory status</w:t>
            </w:r>
            <w:r w:rsidR="00ED3EFA">
              <w:rPr>
                <w:noProof/>
                <w:webHidden/>
              </w:rPr>
              <w:tab/>
            </w:r>
            <w:r w:rsidR="00ED3EFA">
              <w:rPr>
                <w:noProof/>
                <w:webHidden/>
              </w:rPr>
              <w:fldChar w:fldCharType="begin"/>
            </w:r>
            <w:r w:rsidR="00ED3EFA">
              <w:rPr>
                <w:noProof/>
                <w:webHidden/>
              </w:rPr>
              <w:instrText xml:space="preserve"> PAGEREF _Toc16166679 \h </w:instrText>
            </w:r>
            <w:r w:rsidR="00ED3EFA">
              <w:rPr>
                <w:noProof/>
                <w:webHidden/>
              </w:rPr>
            </w:r>
            <w:r w:rsidR="00ED3EFA">
              <w:rPr>
                <w:noProof/>
                <w:webHidden/>
              </w:rPr>
              <w:fldChar w:fldCharType="separate"/>
            </w:r>
            <w:r w:rsidR="00ED3EFA">
              <w:rPr>
                <w:noProof/>
                <w:webHidden/>
              </w:rPr>
              <w:t>7</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80" w:history="1">
            <w:r w:rsidR="00ED3EFA" w:rsidRPr="005F6C34">
              <w:rPr>
                <w:rStyle w:val="Hyperlink"/>
                <w:noProof/>
              </w:rPr>
              <w:t>Product Information</w:t>
            </w:r>
            <w:r w:rsidR="00ED3EFA">
              <w:rPr>
                <w:noProof/>
                <w:webHidden/>
              </w:rPr>
              <w:tab/>
            </w:r>
            <w:r w:rsidR="00ED3EFA">
              <w:rPr>
                <w:noProof/>
                <w:webHidden/>
              </w:rPr>
              <w:fldChar w:fldCharType="begin"/>
            </w:r>
            <w:r w:rsidR="00ED3EFA">
              <w:rPr>
                <w:noProof/>
                <w:webHidden/>
              </w:rPr>
              <w:instrText xml:space="preserve"> PAGEREF _Toc16166680 \h </w:instrText>
            </w:r>
            <w:r w:rsidR="00ED3EFA">
              <w:rPr>
                <w:noProof/>
                <w:webHidden/>
              </w:rPr>
            </w:r>
            <w:r w:rsidR="00ED3EFA">
              <w:rPr>
                <w:noProof/>
                <w:webHidden/>
              </w:rPr>
              <w:fldChar w:fldCharType="separate"/>
            </w:r>
            <w:r w:rsidR="00ED3EFA">
              <w:rPr>
                <w:noProof/>
                <w:webHidden/>
              </w:rPr>
              <w:t>8</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681" w:history="1">
            <w:r w:rsidR="00ED3EFA" w:rsidRPr="005F6C34">
              <w:rPr>
                <w:rStyle w:val="Hyperlink"/>
                <w:noProof/>
              </w:rPr>
              <w:t>II. Registration time line</w:t>
            </w:r>
            <w:r w:rsidR="00ED3EFA">
              <w:rPr>
                <w:noProof/>
                <w:webHidden/>
              </w:rPr>
              <w:tab/>
            </w:r>
            <w:r w:rsidR="00ED3EFA">
              <w:rPr>
                <w:noProof/>
                <w:webHidden/>
              </w:rPr>
              <w:fldChar w:fldCharType="begin"/>
            </w:r>
            <w:r w:rsidR="00ED3EFA">
              <w:rPr>
                <w:noProof/>
                <w:webHidden/>
              </w:rPr>
              <w:instrText xml:space="preserve"> PAGEREF _Toc16166681 \h </w:instrText>
            </w:r>
            <w:r w:rsidR="00ED3EFA">
              <w:rPr>
                <w:noProof/>
                <w:webHidden/>
              </w:rPr>
            </w:r>
            <w:r w:rsidR="00ED3EFA">
              <w:rPr>
                <w:noProof/>
                <w:webHidden/>
              </w:rPr>
              <w:fldChar w:fldCharType="separate"/>
            </w:r>
            <w:r w:rsidR="00ED3EFA">
              <w:rPr>
                <w:noProof/>
                <w:webHidden/>
              </w:rPr>
              <w:t>8</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682" w:history="1">
            <w:r w:rsidR="00ED3EFA" w:rsidRPr="005F6C34">
              <w:rPr>
                <w:rStyle w:val="Hyperlink"/>
                <w:noProof/>
              </w:rPr>
              <w:t>III. Quality findings</w:t>
            </w:r>
            <w:r w:rsidR="00ED3EFA">
              <w:rPr>
                <w:noProof/>
                <w:webHidden/>
              </w:rPr>
              <w:tab/>
            </w:r>
            <w:r w:rsidR="00ED3EFA">
              <w:rPr>
                <w:noProof/>
                <w:webHidden/>
              </w:rPr>
              <w:fldChar w:fldCharType="begin"/>
            </w:r>
            <w:r w:rsidR="00ED3EFA">
              <w:rPr>
                <w:noProof/>
                <w:webHidden/>
              </w:rPr>
              <w:instrText xml:space="preserve"> PAGEREF _Toc16166682 \h </w:instrText>
            </w:r>
            <w:r w:rsidR="00ED3EFA">
              <w:rPr>
                <w:noProof/>
                <w:webHidden/>
              </w:rPr>
            </w:r>
            <w:r w:rsidR="00ED3EFA">
              <w:rPr>
                <w:noProof/>
                <w:webHidden/>
              </w:rPr>
              <w:fldChar w:fldCharType="separate"/>
            </w:r>
            <w:r w:rsidR="00ED3EFA">
              <w:rPr>
                <w:noProof/>
                <w:webHidden/>
              </w:rPr>
              <w:t>9</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683" w:history="1">
            <w:r w:rsidR="00ED3EFA" w:rsidRPr="005F6C34">
              <w:rPr>
                <w:rStyle w:val="Hyperlink"/>
                <w:noProof/>
              </w:rPr>
              <w:t>IV. Nonclinical findings</w:t>
            </w:r>
            <w:r w:rsidR="00ED3EFA">
              <w:rPr>
                <w:noProof/>
                <w:webHidden/>
              </w:rPr>
              <w:tab/>
            </w:r>
            <w:r w:rsidR="00ED3EFA">
              <w:rPr>
                <w:noProof/>
                <w:webHidden/>
              </w:rPr>
              <w:fldChar w:fldCharType="begin"/>
            </w:r>
            <w:r w:rsidR="00ED3EFA">
              <w:rPr>
                <w:noProof/>
                <w:webHidden/>
              </w:rPr>
              <w:instrText xml:space="preserve"> PAGEREF _Toc16166683 \h </w:instrText>
            </w:r>
            <w:r w:rsidR="00ED3EFA">
              <w:rPr>
                <w:noProof/>
                <w:webHidden/>
              </w:rPr>
            </w:r>
            <w:r w:rsidR="00ED3EFA">
              <w:rPr>
                <w:noProof/>
                <w:webHidden/>
              </w:rPr>
              <w:fldChar w:fldCharType="separate"/>
            </w:r>
            <w:r w:rsidR="00ED3EFA">
              <w:rPr>
                <w:noProof/>
                <w:webHidden/>
              </w:rPr>
              <w:t>9</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684" w:history="1">
            <w:r w:rsidR="00ED3EFA" w:rsidRPr="005F6C34">
              <w:rPr>
                <w:rStyle w:val="Hyperlink"/>
                <w:noProof/>
              </w:rPr>
              <w:t>V. Clinical findings</w:t>
            </w:r>
            <w:r w:rsidR="00ED3EFA">
              <w:rPr>
                <w:noProof/>
                <w:webHidden/>
              </w:rPr>
              <w:tab/>
            </w:r>
            <w:r w:rsidR="00ED3EFA">
              <w:rPr>
                <w:noProof/>
                <w:webHidden/>
              </w:rPr>
              <w:fldChar w:fldCharType="begin"/>
            </w:r>
            <w:r w:rsidR="00ED3EFA">
              <w:rPr>
                <w:noProof/>
                <w:webHidden/>
              </w:rPr>
              <w:instrText xml:space="preserve"> PAGEREF _Toc16166684 \h </w:instrText>
            </w:r>
            <w:r w:rsidR="00ED3EFA">
              <w:rPr>
                <w:noProof/>
                <w:webHidden/>
              </w:rPr>
            </w:r>
            <w:r w:rsidR="00ED3EFA">
              <w:rPr>
                <w:noProof/>
                <w:webHidden/>
              </w:rPr>
              <w:fldChar w:fldCharType="separate"/>
            </w:r>
            <w:r w:rsidR="00ED3EFA">
              <w:rPr>
                <w:noProof/>
                <w:webHidden/>
              </w:rPr>
              <w:t>9</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85" w:history="1">
            <w:r w:rsidR="00ED3EFA" w:rsidRPr="005F6C34">
              <w:rPr>
                <w:rStyle w:val="Hyperlink"/>
                <w:noProof/>
              </w:rPr>
              <w:t>Introduction</w:t>
            </w:r>
            <w:r w:rsidR="00ED3EFA">
              <w:rPr>
                <w:noProof/>
                <w:webHidden/>
              </w:rPr>
              <w:tab/>
            </w:r>
            <w:r w:rsidR="00ED3EFA">
              <w:rPr>
                <w:noProof/>
                <w:webHidden/>
              </w:rPr>
              <w:fldChar w:fldCharType="begin"/>
            </w:r>
            <w:r w:rsidR="00ED3EFA">
              <w:rPr>
                <w:noProof/>
                <w:webHidden/>
              </w:rPr>
              <w:instrText xml:space="preserve"> PAGEREF _Toc16166685 \h </w:instrText>
            </w:r>
            <w:r w:rsidR="00ED3EFA">
              <w:rPr>
                <w:noProof/>
                <w:webHidden/>
              </w:rPr>
            </w:r>
            <w:r w:rsidR="00ED3EFA">
              <w:rPr>
                <w:noProof/>
                <w:webHidden/>
              </w:rPr>
              <w:fldChar w:fldCharType="separate"/>
            </w:r>
            <w:r w:rsidR="00ED3EFA">
              <w:rPr>
                <w:noProof/>
                <w:webHidden/>
              </w:rPr>
              <w:t>9</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86" w:history="1">
            <w:r w:rsidR="00ED3EFA" w:rsidRPr="005F6C34">
              <w:rPr>
                <w:rStyle w:val="Hyperlink"/>
                <w:noProof/>
              </w:rPr>
              <w:t>Clinical rationale</w:t>
            </w:r>
            <w:r w:rsidR="00ED3EFA">
              <w:rPr>
                <w:noProof/>
                <w:webHidden/>
              </w:rPr>
              <w:tab/>
            </w:r>
            <w:r w:rsidR="00ED3EFA">
              <w:rPr>
                <w:noProof/>
                <w:webHidden/>
              </w:rPr>
              <w:fldChar w:fldCharType="begin"/>
            </w:r>
            <w:r w:rsidR="00ED3EFA">
              <w:rPr>
                <w:noProof/>
                <w:webHidden/>
              </w:rPr>
              <w:instrText xml:space="preserve"> PAGEREF _Toc16166686 \h </w:instrText>
            </w:r>
            <w:r w:rsidR="00ED3EFA">
              <w:rPr>
                <w:noProof/>
                <w:webHidden/>
              </w:rPr>
            </w:r>
            <w:r w:rsidR="00ED3EFA">
              <w:rPr>
                <w:noProof/>
                <w:webHidden/>
              </w:rPr>
              <w:fldChar w:fldCharType="separate"/>
            </w:r>
            <w:r w:rsidR="00ED3EFA">
              <w:rPr>
                <w:noProof/>
                <w:webHidden/>
              </w:rPr>
              <w:t>12</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87" w:history="1">
            <w:r w:rsidR="00ED3EFA" w:rsidRPr="005F6C34">
              <w:rPr>
                <w:rStyle w:val="Hyperlink"/>
                <w:noProof/>
              </w:rPr>
              <w:t>Pharmacokinetics</w:t>
            </w:r>
            <w:r w:rsidR="00ED3EFA">
              <w:rPr>
                <w:noProof/>
                <w:webHidden/>
              </w:rPr>
              <w:tab/>
            </w:r>
            <w:r w:rsidR="00ED3EFA">
              <w:rPr>
                <w:noProof/>
                <w:webHidden/>
              </w:rPr>
              <w:fldChar w:fldCharType="begin"/>
            </w:r>
            <w:r w:rsidR="00ED3EFA">
              <w:rPr>
                <w:noProof/>
                <w:webHidden/>
              </w:rPr>
              <w:instrText xml:space="preserve"> PAGEREF _Toc16166687 \h </w:instrText>
            </w:r>
            <w:r w:rsidR="00ED3EFA">
              <w:rPr>
                <w:noProof/>
                <w:webHidden/>
              </w:rPr>
            </w:r>
            <w:r w:rsidR="00ED3EFA">
              <w:rPr>
                <w:noProof/>
                <w:webHidden/>
              </w:rPr>
              <w:fldChar w:fldCharType="separate"/>
            </w:r>
            <w:r w:rsidR="00ED3EFA">
              <w:rPr>
                <w:noProof/>
                <w:webHidden/>
              </w:rPr>
              <w:t>13</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88" w:history="1">
            <w:r w:rsidR="00ED3EFA" w:rsidRPr="005F6C34">
              <w:rPr>
                <w:rStyle w:val="Hyperlink"/>
                <w:noProof/>
              </w:rPr>
              <w:t>Pharmacodynamics</w:t>
            </w:r>
            <w:r w:rsidR="00ED3EFA">
              <w:rPr>
                <w:noProof/>
                <w:webHidden/>
              </w:rPr>
              <w:tab/>
            </w:r>
            <w:r w:rsidR="00ED3EFA">
              <w:rPr>
                <w:noProof/>
                <w:webHidden/>
              </w:rPr>
              <w:fldChar w:fldCharType="begin"/>
            </w:r>
            <w:r w:rsidR="00ED3EFA">
              <w:rPr>
                <w:noProof/>
                <w:webHidden/>
              </w:rPr>
              <w:instrText xml:space="preserve"> PAGEREF _Toc16166688 \h </w:instrText>
            </w:r>
            <w:r w:rsidR="00ED3EFA">
              <w:rPr>
                <w:noProof/>
                <w:webHidden/>
              </w:rPr>
            </w:r>
            <w:r w:rsidR="00ED3EFA">
              <w:rPr>
                <w:noProof/>
                <w:webHidden/>
              </w:rPr>
              <w:fldChar w:fldCharType="separate"/>
            </w:r>
            <w:r w:rsidR="00ED3EFA">
              <w:rPr>
                <w:noProof/>
                <w:webHidden/>
              </w:rPr>
              <w:t>14</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89" w:history="1">
            <w:r w:rsidR="00ED3EFA" w:rsidRPr="005F6C34">
              <w:rPr>
                <w:rStyle w:val="Hyperlink"/>
                <w:noProof/>
              </w:rPr>
              <w:t>Dosage selection for the pivotal studies</w:t>
            </w:r>
            <w:r w:rsidR="00ED3EFA">
              <w:rPr>
                <w:noProof/>
                <w:webHidden/>
              </w:rPr>
              <w:tab/>
            </w:r>
            <w:r w:rsidR="00ED3EFA">
              <w:rPr>
                <w:noProof/>
                <w:webHidden/>
              </w:rPr>
              <w:fldChar w:fldCharType="begin"/>
            </w:r>
            <w:r w:rsidR="00ED3EFA">
              <w:rPr>
                <w:noProof/>
                <w:webHidden/>
              </w:rPr>
              <w:instrText xml:space="preserve"> PAGEREF _Toc16166689 \h </w:instrText>
            </w:r>
            <w:r w:rsidR="00ED3EFA">
              <w:rPr>
                <w:noProof/>
                <w:webHidden/>
              </w:rPr>
            </w:r>
            <w:r w:rsidR="00ED3EFA">
              <w:rPr>
                <w:noProof/>
                <w:webHidden/>
              </w:rPr>
              <w:fldChar w:fldCharType="separate"/>
            </w:r>
            <w:r w:rsidR="00ED3EFA">
              <w:rPr>
                <w:noProof/>
                <w:webHidden/>
              </w:rPr>
              <w:t>15</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0" w:history="1">
            <w:r w:rsidR="00ED3EFA" w:rsidRPr="005F6C34">
              <w:rPr>
                <w:rStyle w:val="Hyperlink"/>
                <w:noProof/>
              </w:rPr>
              <w:t>Efficacy</w:t>
            </w:r>
            <w:r w:rsidR="00ED3EFA">
              <w:rPr>
                <w:noProof/>
                <w:webHidden/>
              </w:rPr>
              <w:tab/>
            </w:r>
            <w:r w:rsidR="00ED3EFA">
              <w:rPr>
                <w:noProof/>
                <w:webHidden/>
              </w:rPr>
              <w:fldChar w:fldCharType="begin"/>
            </w:r>
            <w:r w:rsidR="00ED3EFA">
              <w:rPr>
                <w:noProof/>
                <w:webHidden/>
              </w:rPr>
              <w:instrText xml:space="preserve"> PAGEREF _Toc16166690 \h </w:instrText>
            </w:r>
            <w:r w:rsidR="00ED3EFA">
              <w:rPr>
                <w:noProof/>
                <w:webHidden/>
              </w:rPr>
            </w:r>
            <w:r w:rsidR="00ED3EFA">
              <w:rPr>
                <w:noProof/>
                <w:webHidden/>
              </w:rPr>
              <w:fldChar w:fldCharType="separate"/>
            </w:r>
            <w:r w:rsidR="00ED3EFA">
              <w:rPr>
                <w:noProof/>
                <w:webHidden/>
              </w:rPr>
              <w:t>15</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1" w:history="1">
            <w:r w:rsidR="00ED3EFA" w:rsidRPr="005F6C34">
              <w:rPr>
                <w:rStyle w:val="Hyperlink"/>
                <w:noProof/>
              </w:rPr>
              <w:t>Safety</w:t>
            </w:r>
            <w:r w:rsidR="00ED3EFA">
              <w:rPr>
                <w:noProof/>
                <w:webHidden/>
              </w:rPr>
              <w:tab/>
            </w:r>
            <w:r w:rsidR="00ED3EFA">
              <w:rPr>
                <w:noProof/>
                <w:webHidden/>
              </w:rPr>
              <w:fldChar w:fldCharType="begin"/>
            </w:r>
            <w:r w:rsidR="00ED3EFA">
              <w:rPr>
                <w:noProof/>
                <w:webHidden/>
              </w:rPr>
              <w:instrText xml:space="preserve"> PAGEREF _Toc16166691 \h </w:instrText>
            </w:r>
            <w:r w:rsidR="00ED3EFA">
              <w:rPr>
                <w:noProof/>
                <w:webHidden/>
              </w:rPr>
            </w:r>
            <w:r w:rsidR="00ED3EFA">
              <w:rPr>
                <w:noProof/>
                <w:webHidden/>
              </w:rPr>
              <w:fldChar w:fldCharType="separate"/>
            </w:r>
            <w:r w:rsidR="00ED3EFA">
              <w:rPr>
                <w:noProof/>
                <w:webHidden/>
              </w:rPr>
              <w:t>20</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2" w:history="1">
            <w:r w:rsidR="00ED3EFA" w:rsidRPr="005F6C34">
              <w:rPr>
                <w:rStyle w:val="Hyperlink"/>
                <w:noProof/>
              </w:rPr>
              <w:t>First round benefit-risk assessment</w:t>
            </w:r>
            <w:r w:rsidR="00ED3EFA">
              <w:rPr>
                <w:noProof/>
                <w:webHidden/>
              </w:rPr>
              <w:tab/>
            </w:r>
            <w:r w:rsidR="00ED3EFA">
              <w:rPr>
                <w:noProof/>
                <w:webHidden/>
              </w:rPr>
              <w:fldChar w:fldCharType="begin"/>
            </w:r>
            <w:r w:rsidR="00ED3EFA">
              <w:rPr>
                <w:noProof/>
                <w:webHidden/>
              </w:rPr>
              <w:instrText xml:space="preserve"> PAGEREF _Toc16166692 \h </w:instrText>
            </w:r>
            <w:r w:rsidR="00ED3EFA">
              <w:rPr>
                <w:noProof/>
                <w:webHidden/>
              </w:rPr>
            </w:r>
            <w:r w:rsidR="00ED3EFA">
              <w:rPr>
                <w:noProof/>
                <w:webHidden/>
              </w:rPr>
              <w:fldChar w:fldCharType="separate"/>
            </w:r>
            <w:r w:rsidR="00ED3EFA">
              <w:rPr>
                <w:noProof/>
                <w:webHidden/>
              </w:rPr>
              <w:t>28</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3" w:history="1">
            <w:r w:rsidR="00ED3EFA" w:rsidRPr="005F6C34">
              <w:rPr>
                <w:rStyle w:val="Hyperlink"/>
                <w:noProof/>
              </w:rPr>
              <w:t>First round recommendation regarding authorisation</w:t>
            </w:r>
            <w:r w:rsidR="00ED3EFA">
              <w:rPr>
                <w:noProof/>
                <w:webHidden/>
              </w:rPr>
              <w:tab/>
            </w:r>
            <w:r w:rsidR="00ED3EFA">
              <w:rPr>
                <w:noProof/>
                <w:webHidden/>
              </w:rPr>
              <w:fldChar w:fldCharType="begin"/>
            </w:r>
            <w:r w:rsidR="00ED3EFA">
              <w:rPr>
                <w:noProof/>
                <w:webHidden/>
              </w:rPr>
              <w:instrText xml:space="preserve"> PAGEREF _Toc16166693 \h </w:instrText>
            </w:r>
            <w:r w:rsidR="00ED3EFA">
              <w:rPr>
                <w:noProof/>
                <w:webHidden/>
              </w:rPr>
            </w:r>
            <w:r w:rsidR="00ED3EFA">
              <w:rPr>
                <w:noProof/>
                <w:webHidden/>
              </w:rPr>
              <w:fldChar w:fldCharType="separate"/>
            </w:r>
            <w:r w:rsidR="00ED3EFA">
              <w:rPr>
                <w:noProof/>
                <w:webHidden/>
              </w:rPr>
              <w:t>30</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4" w:history="1">
            <w:r w:rsidR="00ED3EFA" w:rsidRPr="005F6C34">
              <w:rPr>
                <w:rStyle w:val="Hyperlink"/>
                <w:noProof/>
              </w:rPr>
              <w:t>Clinical questions and second round evaluation</w:t>
            </w:r>
            <w:r w:rsidR="00ED3EFA">
              <w:rPr>
                <w:noProof/>
                <w:webHidden/>
              </w:rPr>
              <w:tab/>
            </w:r>
            <w:r w:rsidR="00ED3EFA">
              <w:rPr>
                <w:noProof/>
                <w:webHidden/>
              </w:rPr>
              <w:fldChar w:fldCharType="begin"/>
            </w:r>
            <w:r w:rsidR="00ED3EFA">
              <w:rPr>
                <w:noProof/>
                <w:webHidden/>
              </w:rPr>
              <w:instrText xml:space="preserve"> PAGEREF _Toc16166694 \h </w:instrText>
            </w:r>
            <w:r w:rsidR="00ED3EFA">
              <w:rPr>
                <w:noProof/>
                <w:webHidden/>
              </w:rPr>
            </w:r>
            <w:r w:rsidR="00ED3EFA">
              <w:rPr>
                <w:noProof/>
                <w:webHidden/>
              </w:rPr>
              <w:fldChar w:fldCharType="separate"/>
            </w:r>
            <w:r w:rsidR="00ED3EFA">
              <w:rPr>
                <w:noProof/>
                <w:webHidden/>
              </w:rPr>
              <w:t>30</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5" w:history="1">
            <w:r w:rsidR="00ED3EFA" w:rsidRPr="005F6C34">
              <w:rPr>
                <w:rStyle w:val="Hyperlink"/>
                <w:noProof/>
              </w:rPr>
              <w:t>Second round benefit-risk assessment</w:t>
            </w:r>
            <w:r w:rsidR="00ED3EFA">
              <w:rPr>
                <w:noProof/>
                <w:webHidden/>
              </w:rPr>
              <w:tab/>
            </w:r>
            <w:r w:rsidR="00ED3EFA">
              <w:rPr>
                <w:noProof/>
                <w:webHidden/>
              </w:rPr>
              <w:fldChar w:fldCharType="begin"/>
            </w:r>
            <w:r w:rsidR="00ED3EFA">
              <w:rPr>
                <w:noProof/>
                <w:webHidden/>
              </w:rPr>
              <w:instrText xml:space="preserve"> PAGEREF _Toc16166695 \h </w:instrText>
            </w:r>
            <w:r w:rsidR="00ED3EFA">
              <w:rPr>
                <w:noProof/>
                <w:webHidden/>
              </w:rPr>
            </w:r>
            <w:r w:rsidR="00ED3EFA">
              <w:rPr>
                <w:noProof/>
                <w:webHidden/>
              </w:rPr>
              <w:fldChar w:fldCharType="separate"/>
            </w:r>
            <w:r w:rsidR="00ED3EFA">
              <w:rPr>
                <w:noProof/>
                <w:webHidden/>
              </w:rPr>
              <w:t>48</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696" w:history="1">
            <w:r w:rsidR="00ED3EFA" w:rsidRPr="005F6C34">
              <w:rPr>
                <w:rStyle w:val="Hyperlink"/>
                <w:noProof/>
              </w:rPr>
              <w:t>VI. Pharmacovigilance findings</w:t>
            </w:r>
            <w:r w:rsidR="00ED3EFA">
              <w:rPr>
                <w:noProof/>
                <w:webHidden/>
              </w:rPr>
              <w:tab/>
            </w:r>
            <w:r w:rsidR="00ED3EFA">
              <w:rPr>
                <w:noProof/>
                <w:webHidden/>
              </w:rPr>
              <w:fldChar w:fldCharType="begin"/>
            </w:r>
            <w:r w:rsidR="00ED3EFA">
              <w:rPr>
                <w:noProof/>
                <w:webHidden/>
              </w:rPr>
              <w:instrText xml:space="preserve"> PAGEREF _Toc16166696 \h </w:instrText>
            </w:r>
            <w:r w:rsidR="00ED3EFA">
              <w:rPr>
                <w:noProof/>
                <w:webHidden/>
              </w:rPr>
            </w:r>
            <w:r w:rsidR="00ED3EFA">
              <w:rPr>
                <w:noProof/>
                <w:webHidden/>
              </w:rPr>
              <w:fldChar w:fldCharType="separate"/>
            </w:r>
            <w:r w:rsidR="00ED3EFA">
              <w:rPr>
                <w:noProof/>
                <w:webHidden/>
              </w:rPr>
              <w:t>51</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7" w:history="1">
            <w:r w:rsidR="00ED3EFA" w:rsidRPr="005F6C34">
              <w:rPr>
                <w:rStyle w:val="Hyperlink"/>
                <w:noProof/>
                <w:lang w:eastAsia="en-AU"/>
              </w:rPr>
              <w:t>Risk management plan</w:t>
            </w:r>
            <w:r w:rsidR="00ED3EFA">
              <w:rPr>
                <w:noProof/>
                <w:webHidden/>
              </w:rPr>
              <w:tab/>
            </w:r>
            <w:r w:rsidR="00ED3EFA">
              <w:rPr>
                <w:noProof/>
                <w:webHidden/>
              </w:rPr>
              <w:fldChar w:fldCharType="begin"/>
            </w:r>
            <w:r w:rsidR="00ED3EFA">
              <w:rPr>
                <w:noProof/>
                <w:webHidden/>
              </w:rPr>
              <w:instrText xml:space="preserve"> PAGEREF _Toc16166697 \h </w:instrText>
            </w:r>
            <w:r w:rsidR="00ED3EFA">
              <w:rPr>
                <w:noProof/>
                <w:webHidden/>
              </w:rPr>
            </w:r>
            <w:r w:rsidR="00ED3EFA">
              <w:rPr>
                <w:noProof/>
                <w:webHidden/>
              </w:rPr>
              <w:fldChar w:fldCharType="separate"/>
            </w:r>
            <w:r w:rsidR="00ED3EFA">
              <w:rPr>
                <w:noProof/>
                <w:webHidden/>
              </w:rPr>
              <w:t>51</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698" w:history="1">
            <w:r w:rsidR="00ED3EFA" w:rsidRPr="005F6C34">
              <w:rPr>
                <w:rStyle w:val="Hyperlink"/>
                <w:noProof/>
              </w:rPr>
              <w:t>VII. Overall conclusion and risk/benefit assessment</w:t>
            </w:r>
            <w:r w:rsidR="00ED3EFA">
              <w:rPr>
                <w:noProof/>
                <w:webHidden/>
              </w:rPr>
              <w:tab/>
            </w:r>
            <w:r w:rsidR="00ED3EFA">
              <w:rPr>
                <w:noProof/>
                <w:webHidden/>
              </w:rPr>
              <w:fldChar w:fldCharType="begin"/>
            </w:r>
            <w:r w:rsidR="00ED3EFA">
              <w:rPr>
                <w:noProof/>
                <w:webHidden/>
              </w:rPr>
              <w:instrText xml:space="preserve"> PAGEREF _Toc16166698 \h </w:instrText>
            </w:r>
            <w:r w:rsidR="00ED3EFA">
              <w:rPr>
                <w:noProof/>
                <w:webHidden/>
              </w:rPr>
            </w:r>
            <w:r w:rsidR="00ED3EFA">
              <w:rPr>
                <w:noProof/>
                <w:webHidden/>
              </w:rPr>
              <w:fldChar w:fldCharType="separate"/>
            </w:r>
            <w:r w:rsidR="00ED3EFA">
              <w:rPr>
                <w:noProof/>
                <w:webHidden/>
              </w:rPr>
              <w:t>53</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699" w:history="1">
            <w:r w:rsidR="00ED3EFA" w:rsidRPr="005F6C34">
              <w:rPr>
                <w:rStyle w:val="Hyperlink"/>
                <w:noProof/>
              </w:rPr>
              <w:t>Background</w:t>
            </w:r>
            <w:r w:rsidR="00ED3EFA">
              <w:rPr>
                <w:noProof/>
                <w:webHidden/>
              </w:rPr>
              <w:tab/>
            </w:r>
            <w:r w:rsidR="00ED3EFA">
              <w:rPr>
                <w:noProof/>
                <w:webHidden/>
              </w:rPr>
              <w:fldChar w:fldCharType="begin"/>
            </w:r>
            <w:r w:rsidR="00ED3EFA">
              <w:rPr>
                <w:noProof/>
                <w:webHidden/>
              </w:rPr>
              <w:instrText xml:space="preserve"> PAGEREF _Toc16166699 \h </w:instrText>
            </w:r>
            <w:r w:rsidR="00ED3EFA">
              <w:rPr>
                <w:noProof/>
                <w:webHidden/>
              </w:rPr>
            </w:r>
            <w:r w:rsidR="00ED3EFA">
              <w:rPr>
                <w:noProof/>
                <w:webHidden/>
              </w:rPr>
              <w:fldChar w:fldCharType="separate"/>
            </w:r>
            <w:r w:rsidR="00ED3EFA">
              <w:rPr>
                <w:noProof/>
                <w:webHidden/>
              </w:rPr>
              <w:t>53</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700" w:history="1">
            <w:r w:rsidR="00ED3EFA" w:rsidRPr="005F6C34">
              <w:rPr>
                <w:rStyle w:val="Hyperlink"/>
                <w:noProof/>
              </w:rPr>
              <w:t>Quality</w:t>
            </w:r>
            <w:r w:rsidR="00ED3EFA">
              <w:rPr>
                <w:noProof/>
                <w:webHidden/>
              </w:rPr>
              <w:tab/>
            </w:r>
            <w:r w:rsidR="00ED3EFA">
              <w:rPr>
                <w:noProof/>
                <w:webHidden/>
              </w:rPr>
              <w:fldChar w:fldCharType="begin"/>
            </w:r>
            <w:r w:rsidR="00ED3EFA">
              <w:rPr>
                <w:noProof/>
                <w:webHidden/>
              </w:rPr>
              <w:instrText xml:space="preserve"> PAGEREF _Toc16166700 \h </w:instrText>
            </w:r>
            <w:r w:rsidR="00ED3EFA">
              <w:rPr>
                <w:noProof/>
                <w:webHidden/>
              </w:rPr>
            </w:r>
            <w:r w:rsidR="00ED3EFA">
              <w:rPr>
                <w:noProof/>
                <w:webHidden/>
              </w:rPr>
              <w:fldChar w:fldCharType="separate"/>
            </w:r>
            <w:r w:rsidR="00ED3EFA">
              <w:rPr>
                <w:noProof/>
                <w:webHidden/>
              </w:rPr>
              <w:t>55</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701" w:history="1">
            <w:r w:rsidR="00ED3EFA" w:rsidRPr="005F6C34">
              <w:rPr>
                <w:rStyle w:val="Hyperlink"/>
                <w:noProof/>
              </w:rPr>
              <w:t>Nonclinical</w:t>
            </w:r>
            <w:r w:rsidR="00ED3EFA">
              <w:rPr>
                <w:noProof/>
                <w:webHidden/>
              </w:rPr>
              <w:tab/>
            </w:r>
            <w:r w:rsidR="00ED3EFA">
              <w:rPr>
                <w:noProof/>
                <w:webHidden/>
              </w:rPr>
              <w:fldChar w:fldCharType="begin"/>
            </w:r>
            <w:r w:rsidR="00ED3EFA">
              <w:rPr>
                <w:noProof/>
                <w:webHidden/>
              </w:rPr>
              <w:instrText xml:space="preserve"> PAGEREF _Toc16166701 \h </w:instrText>
            </w:r>
            <w:r w:rsidR="00ED3EFA">
              <w:rPr>
                <w:noProof/>
                <w:webHidden/>
              </w:rPr>
            </w:r>
            <w:r w:rsidR="00ED3EFA">
              <w:rPr>
                <w:noProof/>
                <w:webHidden/>
              </w:rPr>
              <w:fldChar w:fldCharType="separate"/>
            </w:r>
            <w:r w:rsidR="00ED3EFA">
              <w:rPr>
                <w:noProof/>
                <w:webHidden/>
              </w:rPr>
              <w:t>55</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702" w:history="1">
            <w:r w:rsidR="00ED3EFA" w:rsidRPr="005F6C34">
              <w:rPr>
                <w:rStyle w:val="Hyperlink"/>
                <w:noProof/>
              </w:rPr>
              <w:t>Clinical</w:t>
            </w:r>
            <w:r w:rsidR="00ED3EFA">
              <w:rPr>
                <w:noProof/>
                <w:webHidden/>
              </w:rPr>
              <w:tab/>
            </w:r>
            <w:r w:rsidR="00ED3EFA">
              <w:rPr>
                <w:noProof/>
                <w:webHidden/>
              </w:rPr>
              <w:fldChar w:fldCharType="begin"/>
            </w:r>
            <w:r w:rsidR="00ED3EFA">
              <w:rPr>
                <w:noProof/>
                <w:webHidden/>
              </w:rPr>
              <w:instrText xml:space="preserve"> PAGEREF _Toc16166702 \h </w:instrText>
            </w:r>
            <w:r w:rsidR="00ED3EFA">
              <w:rPr>
                <w:noProof/>
                <w:webHidden/>
              </w:rPr>
            </w:r>
            <w:r w:rsidR="00ED3EFA">
              <w:rPr>
                <w:noProof/>
                <w:webHidden/>
              </w:rPr>
              <w:fldChar w:fldCharType="separate"/>
            </w:r>
            <w:r w:rsidR="00ED3EFA">
              <w:rPr>
                <w:noProof/>
                <w:webHidden/>
              </w:rPr>
              <w:t>55</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703" w:history="1">
            <w:r w:rsidR="00ED3EFA" w:rsidRPr="005F6C34">
              <w:rPr>
                <w:rStyle w:val="Hyperlink"/>
                <w:noProof/>
                <w:lang w:eastAsia="en-AU"/>
              </w:rPr>
              <w:t>Risk management plan</w:t>
            </w:r>
            <w:r w:rsidR="00ED3EFA">
              <w:rPr>
                <w:noProof/>
                <w:webHidden/>
              </w:rPr>
              <w:tab/>
            </w:r>
            <w:r w:rsidR="00ED3EFA">
              <w:rPr>
                <w:noProof/>
                <w:webHidden/>
              </w:rPr>
              <w:fldChar w:fldCharType="begin"/>
            </w:r>
            <w:r w:rsidR="00ED3EFA">
              <w:rPr>
                <w:noProof/>
                <w:webHidden/>
              </w:rPr>
              <w:instrText xml:space="preserve"> PAGEREF _Toc16166703 \h </w:instrText>
            </w:r>
            <w:r w:rsidR="00ED3EFA">
              <w:rPr>
                <w:noProof/>
                <w:webHidden/>
              </w:rPr>
            </w:r>
            <w:r w:rsidR="00ED3EFA">
              <w:rPr>
                <w:noProof/>
                <w:webHidden/>
              </w:rPr>
              <w:fldChar w:fldCharType="separate"/>
            </w:r>
            <w:r w:rsidR="00ED3EFA">
              <w:rPr>
                <w:noProof/>
                <w:webHidden/>
              </w:rPr>
              <w:t>61</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704" w:history="1">
            <w:r w:rsidR="00ED3EFA" w:rsidRPr="005F6C34">
              <w:rPr>
                <w:rStyle w:val="Hyperlink"/>
                <w:noProof/>
              </w:rPr>
              <w:t>Risk-benefit analysis</w:t>
            </w:r>
            <w:r w:rsidR="00ED3EFA">
              <w:rPr>
                <w:noProof/>
                <w:webHidden/>
              </w:rPr>
              <w:tab/>
            </w:r>
            <w:r w:rsidR="00ED3EFA">
              <w:rPr>
                <w:noProof/>
                <w:webHidden/>
              </w:rPr>
              <w:fldChar w:fldCharType="begin"/>
            </w:r>
            <w:r w:rsidR="00ED3EFA">
              <w:rPr>
                <w:noProof/>
                <w:webHidden/>
              </w:rPr>
              <w:instrText xml:space="preserve"> PAGEREF _Toc16166704 \h </w:instrText>
            </w:r>
            <w:r w:rsidR="00ED3EFA">
              <w:rPr>
                <w:noProof/>
                <w:webHidden/>
              </w:rPr>
            </w:r>
            <w:r w:rsidR="00ED3EFA">
              <w:rPr>
                <w:noProof/>
                <w:webHidden/>
              </w:rPr>
              <w:fldChar w:fldCharType="separate"/>
            </w:r>
            <w:r w:rsidR="00ED3EFA">
              <w:rPr>
                <w:noProof/>
                <w:webHidden/>
              </w:rPr>
              <w:t>62</w:t>
            </w:r>
            <w:r w:rsidR="00ED3EFA">
              <w:rPr>
                <w:noProof/>
                <w:webHidden/>
              </w:rPr>
              <w:fldChar w:fldCharType="end"/>
            </w:r>
          </w:hyperlink>
        </w:p>
        <w:p w:rsidR="00ED3EFA" w:rsidRDefault="00550A56">
          <w:pPr>
            <w:pStyle w:val="TOC3"/>
            <w:rPr>
              <w:rFonts w:asciiTheme="minorHAnsi" w:eastAsiaTheme="minorEastAsia" w:hAnsiTheme="minorHAnsi" w:cstheme="minorBidi"/>
              <w:noProof/>
              <w:lang w:eastAsia="en-AU"/>
            </w:rPr>
          </w:pPr>
          <w:hyperlink w:anchor="_Toc16166705" w:history="1">
            <w:r w:rsidR="00ED3EFA" w:rsidRPr="005F6C34">
              <w:rPr>
                <w:rStyle w:val="Hyperlink"/>
                <w:noProof/>
              </w:rPr>
              <w:t>Outcome</w:t>
            </w:r>
            <w:r w:rsidR="00ED3EFA">
              <w:rPr>
                <w:noProof/>
                <w:webHidden/>
              </w:rPr>
              <w:tab/>
            </w:r>
            <w:r w:rsidR="00ED3EFA">
              <w:rPr>
                <w:noProof/>
                <w:webHidden/>
              </w:rPr>
              <w:fldChar w:fldCharType="begin"/>
            </w:r>
            <w:r w:rsidR="00ED3EFA">
              <w:rPr>
                <w:noProof/>
                <w:webHidden/>
              </w:rPr>
              <w:instrText xml:space="preserve"> PAGEREF _Toc16166705 \h </w:instrText>
            </w:r>
            <w:r w:rsidR="00ED3EFA">
              <w:rPr>
                <w:noProof/>
                <w:webHidden/>
              </w:rPr>
            </w:r>
            <w:r w:rsidR="00ED3EFA">
              <w:rPr>
                <w:noProof/>
                <w:webHidden/>
              </w:rPr>
              <w:fldChar w:fldCharType="separate"/>
            </w:r>
            <w:r w:rsidR="00ED3EFA">
              <w:rPr>
                <w:noProof/>
                <w:webHidden/>
              </w:rPr>
              <w:t>74</w:t>
            </w:r>
            <w:r w:rsidR="00ED3EFA">
              <w:rPr>
                <w:noProof/>
                <w:webHidden/>
              </w:rPr>
              <w:fldChar w:fldCharType="end"/>
            </w:r>
          </w:hyperlink>
        </w:p>
        <w:p w:rsidR="00ED3EFA" w:rsidRDefault="00550A56">
          <w:pPr>
            <w:pStyle w:val="TOC2"/>
            <w:rPr>
              <w:rFonts w:asciiTheme="minorHAnsi" w:eastAsiaTheme="minorEastAsia" w:hAnsiTheme="minorHAnsi" w:cstheme="minorBidi"/>
              <w:b w:val="0"/>
              <w:noProof/>
              <w:sz w:val="22"/>
              <w:lang w:eastAsia="en-AU"/>
            </w:rPr>
          </w:pPr>
          <w:hyperlink w:anchor="_Toc16166706" w:history="1">
            <w:r w:rsidR="00ED3EFA" w:rsidRPr="005F6C34">
              <w:rPr>
                <w:rStyle w:val="Hyperlink"/>
                <w:noProof/>
              </w:rPr>
              <w:t>Attachment 1. Product Information</w:t>
            </w:r>
            <w:r w:rsidR="00ED3EFA">
              <w:rPr>
                <w:noProof/>
                <w:webHidden/>
              </w:rPr>
              <w:tab/>
            </w:r>
            <w:r w:rsidR="00ED3EFA">
              <w:rPr>
                <w:noProof/>
                <w:webHidden/>
              </w:rPr>
              <w:fldChar w:fldCharType="begin"/>
            </w:r>
            <w:r w:rsidR="00ED3EFA">
              <w:rPr>
                <w:noProof/>
                <w:webHidden/>
              </w:rPr>
              <w:instrText xml:space="preserve"> PAGEREF _Toc16166706 \h </w:instrText>
            </w:r>
            <w:r w:rsidR="00ED3EFA">
              <w:rPr>
                <w:noProof/>
                <w:webHidden/>
              </w:rPr>
            </w:r>
            <w:r w:rsidR="00ED3EFA">
              <w:rPr>
                <w:noProof/>
                <w:webHidden/>
              </w:rPr>
              <w:fldChar w:fldCharType="separate"/>
            </w:r>
            <w:r w:rsidR="00ED3EFA">
              <w:rPr>
                <w:noProof/>
                <w:webHidden/>
              </w:rPr>
              <w:t>74</w:t>
            </w:r>
            <w:r w:rsidR="00ED3EFA">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rsidP="00A32C9A">
      <w:r>
        <w:br w:type="page"/>
      </w:r>
    </w:p>
    <w:p w:rsidR="00FD119B" w:rsidRPr="00FD119B" w:rsidRDefault="00441C3F" w:rsidP="00A32C9A">
      <w:pPr>
        <w:pStyle w:val="Heading2"/>
      </w:pPr>
      <w:bookmarkStart w:id="3" w:name="_Toc351716269"/>
      <w:bookmarkStart w:id="4" w:name="_Toc351718881"/>
      <w:bookmarkStart w:id="5" w:name="_Toc355338616"/>
      <w:bookmarkStart w:id="6" w:name="_Toc356306144"/>
      <w:bookmarkStart w:id="7" w:name="_Toc16166675"/>
      <w:r>
        <w:lastRenderedPageBreak/>
        <w:t>Common</w:t>
      </w:r>
      <w:r w:rsidR="00FD119B" w:rsidRPr="00FD119B">
        <w:t xml:space="preserve"> </w:t>
      </w:r>
      <w:r w:rsidR="00FD119B" w:rsidRPr="00A32C9A">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FD119B" w:rsidRPr="004424E0" w:rsidTr="004424E0">
        <w:trPr>
          <w:cnfStyle w:val="100000000000" w:firstRow="1" w:lastRow="0" w:firstColumn="0" w:lastColumn="0" w:oddVBand="0" w:evenVBand="0" w:oddHBand="0" w:evenHBand="0" w:firstRowFirstColumn="0" w:firstRowLastColumn="0" w:lastRowFirstColumn="0" w:lastRowLastColumn="0"/>
        </w:trPr>
        <w:tc>
          <w:tcPr>
            <w:tcW w:w="1890" w:type="dxa"/>
          </w:tcPr>
          <w:p w:rsidR="00FD119B" w:rsidRPr="004424E0" w:rsidRDefault="00FD119B" w:rsidP="004424E0">
            <w:r w:rsidRPr="004424E0">
              <w:t>Abbreviation</w:t>
            </w:r>
          </w:p>
        </w:tc>
        <w:tc>
          <w:tcPr>
            <w:tcW w:w="6830" w:type="dxa"/>
          </w:tcPr>
          <w:p w:rsidR="00FD119B" w:rsidRPr="004424E0" w:rsidRDefault="00FD119B" w:rsidP="004424E0">
            <w:r w:rsidRPr="004424E0">
              <w:t>Meaning</w:t>
            </w:r>
          </w:p>
        </w:tc>
      </w:tr>
      <w:tr w:rsidR="008634CF" w:rsidRPr="004424E0" w:rsidTr="004424E0">
        <w:tc>
          <w:tcPr>
            <w:tcW w:w="1890" w:type="dxa"/>
          </w:tcPr>
          <w:p w:rsidR="008634CF" w:rsidRPr="004424E0" w:rsidRDefault="008634CF" w:rsidP="004424E0">
            <w:r w:rsidRPr="00551BA9">
              <w:t>ADT</w:t>
            </w:r>
          </w:p>
        </w:tc>
        <w:tc>
          <w:tcPr>
            <w:tcW w:w="6830" w:type="dxa"/>
          </w:tcPr>
          <w:p w:rsidR="008634CF" w:rsidRPr="004424E0" w:rsidRDefault="008634CF" w:rsidP="008634CF">
            <w:r>
              <w:t>Androgen deprivation therapy</w:t>
            </w:r>
          </w:p>
        </w:tc>
      </w:tr>
      <w:tr w:rsidR="005B0763" w:rsidRPr="004424E0" w:rsidTr="004424E0">
        <w:tc>
          <w:tcPr>
            <w:tcW w:w="1890" w:type="dxa"/>
          </w:tcPr>
          <w:p w:rsidR="005B0763" w:rsidRPr="004424E0" w:rsidRDefault="004424E0" w:rsidP="004424E0">
            <w:r w:rsidRPr="004424E0">
              <w:t>ARTG</w:t>
            </w:r>
          </w:p>
        </w:tc>
        <w:tc>
          <w:tcPr>
            <w:tcW w:w="6830" w:type="dxa"/>
          </w:tcPr>
          <w:p w:rsidR="005B0763" w:rsidRPr="004424E0" w:rsidRDefault="004424E0" w:rsidP="004424E0">
            <w:r w:rsidRPr="004424E0">
              <w:t>Australian Register of Therapeutic Goods</w:t>
            </w:r>
          </w:p>
        </w:tc>
      </w:tr>
      <w:tr w:rsidR="005B0763" w:rsidRPr="004424E0" w:rsidTr="004424E0">
        <w:tc>
          <w:tcPr>
            <w:tcW w:w="1890" w:type="dxa"/>
          </w:tcPr>
          <w:p w:rsidR="005B0763" w:rsidRPr="004424E0" w:rsidRDefault="004424E0" w:rsidP="004424E0">
            <w:r w:rsidRPr="004424E0">
              <w:t>AUC</w:t>
            </w:r>
          </w:p>
        </w:tc>
        <w:tc>
          <w:tcPr>
            <w:tcW w:w="6830" w:type="dxa"/>
          </w:tcPr>
          <w:p w:rsidR="005B0763" w:rsidRPr="004424E0" w:rsidRDefault="004424E0" w:rsidP="004424E0">
            <w:r w:rsidRPr="004424E0">
              <w:t xml:space="preserve">Area under the </w:t>
            </w:r>
            <w:r w:rsidR="00A276F3">
              <w:t xml:space="preserve">plasma/serum concentration versus time </w:t>
            </w:r>
            <w:r w:rsidRPr="004424E0">
              <w:t>curve</w:t>
            </w:r>
          </w:p>
        </w:tc>
      </w:tr>
      <w:tr w:rsidR="00DE1EFB" w:rsidRPr="004424E0" w:rsidTr="004424E0">
        <w:tc>
          <w:tcPr>
            <w:tcW w:w="1890" w:type="dxa"/>
          </w:tcPr>
          <w:p w:rsidR="00DE1EFB" w:rsidRPr="004424E0" w:rsidRDefault="00DE1EFB" w:rsidP="004424E0">
            <w:proofErr w:type="spellStart"/>
            <w:r w:rsidRPr="007C14CD">
              <w:t>AUC</w:t>
            </w:r>
            <w:r w:rsidRPr="0065393E">
              <w:rPr>
                <w:vertAlign w:val="subscript"/>
              </w:rPr>
              <w:t>last</w:t>
            </w:r>
            <w:proofErr w:type="spellEnd"/>
          </w:p>
        </w:tc>
        <w:tc>
          <w:tcPr>
            <w:tcW w:w="6830" w:type="dxa"/>
          </w:tcPr>
          <w:p w:rsidR="00DE1EFB" w:rsidRPr="00DE1EFB" w:rsidRDefault="00C14212" w:rsidP="00DE1EFB">
            <w:r>
              <w:t>A</w:t>
            </w:r>
            <w:r w:rsidRPr="00DE1EFB">
              <w:t xml:space="preserve">rea </w:t>
            </w:r>
            <w:r w:rsidR="00DE1EFB" w:rsidRPr="00DE1EFB">
              <w:t>under the plasma/serum concentration versus time curve from time zero to the last quantifiable concentration</w:t>
            </w:r>
          </w:p>
        </w:tc>
      </w:tr>
      <w:tr w:rsidR="005B0763" w:rsidRPr="004424E0" w:rsidTr="004424E0">
        <w:tc>
          <w:tcPr>
            <w:tcW w:w="1890" w:type="dxa"/>
          </w:tcPr>
          <w:p w:rsidR="005B0763" w:rsidRPr="004424E0" w:rsidRDefault="004424E0" w:rsidP="004424E0">
            <w:r w:rsidRPr="004424E0">
              <w:t>BMD</w:t>
            </w:r>
          </w:p>
        </w:tc>
        <w:tc>
          <w:tcPr>
            <w:tcW w:w="6830" w:type="dxa"/>
          </w:tcPr>
          <w:p w:rsidR="005B0763" w:rsidRPr="004424E0" w:rsidRDefault="004424E0" w:rsidP="004424E0">
            <w:r w:rsidRPr="004424E0">
              <w:t>Bone mineral density</w:t>
            </w:r>
          </w:p>
        </w:tc>
      </w:tr>
      <w:tr w:rsidR="005B0763" w:rsidRPr="004424E0" w:rsidTr="004424E0">
        <w:tc>
          <w:tcPr>
            <w:tcW w:w="1890" w:type="dxa"/>
          </w:tcPr>
          <w:p w:rsidR="005B0763" w:rsidRPr="004424E0" w:rsidRDefault="004424E0" w:rsidP="004424E0">
            <w:r w:rsidRPr="004424E0">
              <w:t>CHMP</w:t>
            </w:r>
          </w:p>
        </w:tc>
        <w:tc>
          <w:tcPr>
            <w:tcW w:w="6830" w:type="dxa"/>
          </w:tcPr>
          <w:p w:rsidR="005B0763" w:rsidRPr="004424E0" w:rsidRDefault="004424E0" w:rsidP="004424E0">
            <w:r w:rsidRPr="004424E0">
              <w:t>Committee for Medicinal Products for Human Use</w:t>
            </w:r>
          </w:p>
        </w:tc>
      </w:tr>
      <w:tr w:rsidR="005B0763" w:rsidRPr="004424E0" w:rsidTr="004424E0">
        <w:tc>
          <w:tcPr>
            <w:tcW w:w="1890" w:type="dxa"/>
          </w:tcPr>
          <w:p w:rsidR="005B0763" w:rsidRPr="004424E0" w:rsidRDefault="004424E0" w:rsidP="004424E0">
            <w:r w:rsidRPr="004424E0">
              <w:t>CI</w:t>
            </w:r>
          </w:p>
        </w:tc>
        <w:tc>
          <w:tcPr>
            <w:tcW w:w="6830" w:type="dxa"/>
          </w:tcPr>
          <w:p w:rsidR="005B0763" w:rsidRPr="004424E0" w:rsidRDefault="004424E0" w:rsidP="00DE1EFB">
            <w:r w:rsidRPr="004424E0">
              <w:t xml:space="preserve">Confidence </w:t>
            </w:r>
            <w:r w:rsidR="00DE1EFB">
              <w:t>i</w:t>
            </w:r>
            <w:r w:rsidRPr="004424E0">
              <w:t>nterval</w:t>
            </w:r>
          </w:p>
        </w:tc>
      </w:tr>
      <w:tr w:rsidR="005B0763" w:rsidRPr="004424E0" w:rsidTr="004424E0">
        <w:tc>
          <w:tcPr>
            <w:tcW w:w="1890" w:type="dxa"/>
          </w:tcPr>
          <w:p w:rsidR="005B0763" w:rsidRPr="004424E0" w:rsidRDefault="004424E0" w:rsidP="004424E0">
            <w:r w:rsidRPr="004424E0">
              <w:t>CMI</w:t>
            </w:r>
          </w:p>
        </w:tc>
        <w:tc>
          <w:tcPr>
            <w:tcW w:w="6830" w:type="dxa"/>
          </w:tcPr>
          <w:p w:rsidR="005B0763" w:rsidRPr="004424E0" w:rsidRDefault="004424E0" w:rsidP="004424E0">
            <w:r w:rsidRPr="004424E0">
              <w:t>Consumer Medicines Information</w:t>
            </w:r>
          </w:p>
        </w:tc>
      </w:tr>
      <w:tr w:rsidR="005B0763" w:rsidRPr="004424E0" w:rsidTr="004424E0">
        <w:tc>
          <w:tcPr>
            <w:tcW w:w="1890" w:type="dxa"/>
          </w:tcPr>
          <w:p w:rsidR="005B0763" w:rsidRPr="004424E0" w:rsidRDefault="004424E0" w:rsidP="004424E0">
            <w:r w:rsidRPr="004424E0">
              <w:t>DXA</w:t>
            </w:r>
          </w:p>
        </w:tc>
        <w:tc>
          <w:tcPr>
            <w:tcW w:w="6830" w:type="dxa"/>
          </w:tcPr>
          <w:p w:rsidR="005B0763" w:rsidRPr="004424E0" w:rsidRDefault="008634CF" w:rsidP="004424E0">
            <w:r>
              <w:t>D</w:t>
            </w:r>
            <w:r w:rsidR="004424E0" w:rsidRPr="004424E0">
              <w:t>ual X-ray absorptiometry</w:t>
            </w:r>
          </w:p>
        </w:tc>
      </w:tr>
      <w:tr w:rsidR="00EA17D5" w:rsidRPr="004424E0" w:rsidTr="004424E0">
        <w:tc>
          <w:tcPr>
            <w:tcW w:w="1890" w:type="dxa"/>
          </w:tcPr>
          <w:p w:rsidR="00EA17D5" w:rsidRPr="004424E0" w:rsidRDefault="00EA17D5" w:rsidP="004424E0">
            <w:proofErr w:type="spellStart"/>
            <w:r w:rsidRPr="00B36490">
              <w:t>eCRF</w:t>
            </w:r>
            <w:proofErr w:type="spellEnd"/>
          </w:p>
        </w:tc>
        <w:tc>
          <w:tcPr>
            <w:tcW w:w="6830" w:type="dxa"/>
          </w:tcPr>
          <w:p w:rsidR="00EA17D5" w:rsidRPr="004424E0" w:rsidRDefault="008634CF" w:rsidP="00EA17D5">
            <w:r>
              <w:t>E</w:t>
            </w:r>
            <w:r w:rsidR="00EA17D5">
              <w:t>lectronic case report form</w:t>
            </w:r>
          </w:p>
        </w:tc>
      </w:tr>
      <w:tr w:rsidR="005B0763" w:rsidRPr="004424E0" w:rsidTr="004424E0">
        <w:tc>
          <w:tcPr>
            <w:tcW w:w="1890" w:type="dxa"/>
          </w:tcPr>
          <w:p w:rsidR="005B0763" w:rsidRPr="004424E0" w:rsidRDefault="004424E0" w:rsidP="004424E0">
            <w:r w:rsidRPr="004424E0">
              <w:t>GIOP</w:t>
            </w:r>
          </w:p>
        </w:tc>
        <w:tc>
          <w:tcPr>
            <w:tcW w:w="6830" w:type="dxa"/>
          </w:tcPr>
          <w:p w:rsidR="005B0763" w:rsidRPr="004424E0" w:rsidRDefault="004424E0" w:rsidP="004424E0">
            <w:r w:rsidRPr="004424E0">
              <w:t>Glucocorticoid induced osteoporosis</w:t>
            </w:r>
          </w:p>
        </w:tc>
      </w:tr>
      <w:tr w:rsidR="005B0763" w:rsidRPr="004424E0" w:rsidTr="004424E0">
        <w:tc>
          <w:tcPr>
            <w:tcW w:w="1890" w:type="dxa"/>
          </w:tcPr>
          <w:p w:rsidR="005B0763" w:rsidRPr="004424E0" w:rsidRDefault="004424E0" w:rsidP="004424E0">
            <w:r w:rsidRPr="004424E0">
              <w:t>GC</w:t>
            </w:r>
          </w:p>
        </w:tc>
        <w:tc>
          <w:tcPr>
            <w:tcW w:w="6830" w:type="dxa"/>
          </w:tcPr>
          <w:p w:rsidR="005B0763" w:rsidRPr="004424E0" w:rsidRDefault="004424E0" w:rsidP="004424E0">
            <w:r w:rsidRPr="004424E0">
              <w:t>Glucocorticoid</w:t>
            </w:r>
          </w:p>
        </w:tc>
      </w:tr>
      <w:tr w:rsidR="005B0763" w:rsidRPr="004424E0" w:rsidTr="004424E0">
        <w:tc>
          <w:tcPr>
            <w:tcW w:w="1890" w:type="dxa"/>
          </w:tcPr>
          <w:p w:rsidR="005B0763" w:rsidRPr="004424E0" w:rsidRDefault="004424E0" w:rsidP="004424E0">
            <w:r w:rsidRPr="004424E0">
              <w:t>GC-C</w:t>
            </w:r>
          </w:p>
        </w:tc>
        <w:tc>
          <w:tcPr>
            <w:tcW w:w="6830" w:type="dxa"/>
          </w:tcPr>
          <w:p w:rsidR="005B0763" w:rsidRPr="004424E0" w:rsidRDefault="004424E0" w:rsidP="004424E0">
            <w:r w:rsidRPr="004424E0">
              <w:t>Glucocorticoid-continuing</w:t>
            </w:r>
            <w:r w:rsidR="00F47FA5">
              <w:t xml:space="preserve"> (population)</w:t>
            </w:r>
          </w:p>
        </w:tc>
      </w:tr>
      <w:tr w:rsidR="005B0763" w:rsidRPr="004424E0" w:rsidTr="004424E0">
        <w:tc>
          <w:tcPr>
            <w:tcW w:w="1890" w:type="dxa"/>
          </w:tcPr>
          <w:p w:rsidR="005B0763" w:rsidRPr="004424E0" w:rsidRDefault="004424E0" w:rsidP="004424E0">
            <w:r w:rsidRPr="004424E0">
              <w:t>GC-I</w:t>
            </w:r>
          </w:p>
        </w:tc>
        <w:tc>
          <w:tcPr>
            <w:tcW w:w="6830" w:type="dxa"/>
          </w:tcPr>
          <w:p w:rsidR="005B0763" w:rsidRPr="004424E0" w:rsidRDefault="004424E0" w:rsidP="004424E0">
            <w:r w:rsidRPr="004424E0">
              <w:t>Glucocorticoid-initiating</w:t>
            </w:r>
            <w:r w:rsidR="00F47FA5">
              <w:t xml:space="preserve"> (population)</w:t>
            </w:r>
          </w:p>
        </w:tc>
      </w:tr>
      <w:tr w:rsidR="00016DE4" w:rsidRPr="004424E0" w:rsidTr="004424E0">
        <w:tc>
          <w:tcPr>
            <w:tcW w:w="1890" w:type="dxa"/>
          </w:tcPr>
          <w:p w:rsidR="00016DE4" w:rsidRPr="004424E0" w:rsidRDefault="00016DE4" w:rsidP="004424E0">
            <w:r w:rsidRPr="009032B0">
              <w:t>GCTB</w:t>
            </w:r>
          </w:p>
        </w:tc>
        <w:tc>
          <w:tcPr>
            <w:tcW w:w="6830" w:type="dxa"/>
          </w:tcPr>
          <w:p w:rsidR="00016DE4" w:rsidRPr="004424E0" w:rsidRDefault="00667476" w:rsidP="004424E0">
            <w:r>
              <w:t>G</w:t>
            </w:r>
            <w:r w:rsidRPr="00667476">
              <w:t>iant cell tumour of bone</w:t>
            </w:r>
          </w:p>
        </w:tc>
      </w:tr>
      <w:tr w:rsidR="001350D8" w:rsidRPr="004424E0" w:rsidTr="004424E0">
        <w:tc>
          <w:tcPr>
            <w:tcW w:w="1890" w:type="dxa"/>
          </w:tcPr>
          <w:p w:rsidR="001350D8" w:rsidRPr="004424E0" w:rsidRDefault="001350D8" w:rsidP="004424E0">
            <w:r w:rsidRPr="00332542">
              <w:rPr>
                <w:rFonts w:eastAsiaTheme="minorHAnsi" w:cs="Cambria"/>
                <w:color w:val="000000"/>
              </w:rPr>
              <w:t>GREES</w:t>
            </w:r>
          </w:p>
        </w:tc>
        <w:tc>
          <w:tcPr>
            <w:tcW w:w="6830" w:type="dxa"/>
          </w:tcPr>
          <w:p w:rsidR="001350D8" w:rsidRPr="004424E0" w:rsidRDefault="001350D8" w:rsidP="001350D8">
            <w:r w:rsidRPr="00332542">
              <w:rPr>
                <w:rFonts w:eastAsiaTheme="minorHAnsi" w:cs="Cambria"/>
                <w:color w:val="000000"/>
              </w:rPr>
              <w:t>Group for the Respect of Et</w:t>
            </w:r>
            <w:r>
              <w:rPr>
                <w:rFonts w:eastAsiaTheme="minorHAnsi" w:cs="Cambria"/>
                <w:color w:val="000000"/>
              </w:rPr>
              <w:t>hics and Excellence in Science</w:t>
            </w:r>
          </w:p>
        </w:tc>
      </w:tr>
      <w:tr w:rsidR="005B0763" w:rsidRPr="004424E0" w:rsidTr="004424E0">
        <w:tc>
          <w:tcPr>
            <w:tcW w:w="1890" w:type="dxa"/>
          </w:tcPr>
          <w:p w:rsidR="005B0763" w:rsidRPr="004424E0" w:rsidRDefault="004424E0" w:rsidP="004424E0">
            <w:r w:rsidRPr="004424E0">
              <w:t>HALT</w:t>
            </w:r>
          </w:p>
        </w:tc>
        <w:tc>
          <w:tcPr>
            <w:tcW w:w="6830" w:type="dxa"/>
          </w:tcPr>
          <w:p w:rsidR="005B0763" w:rsidRPr="004424E0" w:rsidRDefault="008634CF" w:rsidP="004424E0">
            <w:r>
              <w:t>H</w:t>
            </w:r>
            <w:r w:rsidR="004424E0" w:rsidRPr="004424E0">
              <w:t>ormone ablation therapy; includes men with prostate cancer receiving androgen deprivation therapy and women with breast cancer receiving aromatase inhibitors</w:t>
            </w:r>
          </w:p>
        </w:tc>
      </w:tr>
      <w:tr w:rsidR="004424E0" w:rsidRPr="004424E0" w:rsidTr="004424E0">
        <w:tc>
          <w:tcPr>
            <w:tcW w:w="1890" w:type="dxa"/>
          </w:tcPr>
          <w:p w:rsidR="004424E0" w:rsidRPr="004424E0" w:rsidRDefault="004424E0" w:rsidP="004424E0">
            <w:r w:rsidRPr="004424E0">
              <w:t>IOF</w:t>
            </w:r>
          </w:p>
        </w:tc>
        <w:tc>
          <w:tcPr>
            <w:tcW w:w="6830" w:type="dxa"/>
          </w:tcPr>
          <w:p w:rsidR="004424E0" w:rsidRPr="004424E0" w:rsidRDefault="004424E0" w:rsidP="004424E0">
            <w:r w:rsidRPr="004424E0">
              <w:t>International Osteoporosis Foundation</w:t>
            </w:r>
          </w:p>
        </w:tc>
      </w:tr>
      <w:tr w:rsidR="004424E0" w:rsidRPr="004424E0" w:rsidTr="004424E0">
        <w:tc>
          <w:tcPr>
            <w:tcW w:w="1890" w:type="dxa"/>
          </w:tcPr>
          <w:p w:rsidR="004424E0" w:rsidRPr="004424E0" w:rsidRDefault="004424E0" w:rsidP="004424E0">
            <w:r w:rsidRPr="004424E0">
              <w:t>ONJ</w:t>
            </w:r>
          </w:p>
        </w:tc>
        <w:tc>
          <w:tcPr>
            <w:tcW w:w="6830" w:type="dxa"/>
          </w:tcPr>
          <w:p w:rsidR="004424E0" w:rsidRPr="004424E0" w:rsidRDefault="008634CF" w:rsidP="004424E0">
            <w:r>
              <w:t>O</w:t>
            </w:r>
            <w:r w:rsidR="004424E0" w:rsidRPr="004424E0">
              <w:t>steonecrosis of the jaw</w:t>
            </w:r>
          </w:p>
        </w:tc>
      </w:tr>
      <w:tr w:rsidR="004424E0" w:rsidRPr="004424E0" w:rsidTr="004424E0">
        <w:tc>
          <w:tcPr>
            <w:tcW w:w="1890" w:type="dxa"/>
          </w:tcPr>
          <w:p w:rsidR="004424E0" w:rsidRPr="004424E0" w:rsidRDefault="004424E0" w:rsidP="004424E0">
            <w:r w:rsidRPr="004424E0">
              <w:t>Q6M</w:t>
            </w:r>
          </w:p>
        </w:tc>
        <w:tc>
          <w:tcPr>
            <w:tcW w:w="6830" w:type="dxa"/>
          </w:tcPr>
          <w:p w:rsidR="004424E0" w:rsidRPr="004424E0" w:rsidRDefault="004424E0" w:rsidP="004424E0">
            <w:r w:rsidRPr="004424E0">
              <w:t>Given every 6 months</w:t>
            </w:r>
          </w:p>
        </w:tc>
      </w:tr>
      <w:tr w:rsidR="004424E0" w:rsidRPr="004424E0" w:rsidTr="004424E0">
        <w:tc>
          <w:tcPr>
            <w:tcW w:w="1890" w:type="dxa"/>
          </w:tcPr>
          <w:p w:rsidR="004424E0" w:rsidRPr="004424E0" w:rsidRDefault="004424E0" w:rsidP="004424E0">
            <w:r w:rsidRPr="004424E0">
              <w:t>PI</w:t>
            </w:r>
          </w:p>
        </w:tc>
        <w:tc>
          <w:tcPr>
            <w:tcW w:w="6830" w:type="dxa"/>
          </w:tcPr>
          <w:p w:rsidR="004424E0" w:rsidRPr="004424E0" w:rsidRDefault="004424E0" w:rsidP="004424E0">
            <w:r w:rsidRPr="004424E0">
              <w:t>Product information</w:t>
            </w:r>
          </w:p>
        </w:tc>
      </w:tr>
      <w:tr w:rsidR="004424E0" w:rsidRPr="004424E0" w:rsidTr="004424E0">
        <w:tc>
          <w:tcPr>
            <w:tcW w:w="1890" w:type="dxa"/>
          </w:tcPr>
          <w:p w:rsidR="004424E0" w:rsidRPr="004424E0" w:rsidRDefault="004424E0" w:rsidP="004424E0">
            <w:r w:rsidRPr="004424E0">
              <w:t>PK</w:t>
            </w:r>
          </w:p>
        </w:tc>
        <w:tc>
          <w:tcPr>
            <w:tcW w:w="6830" w:type="dxa"/>
          </w:tcPr>
          <w:p w:rsidR="004424E0" w:rsidRPr="004424E0" w:rsidRDefault="008634CF" w:rsidP="004424E0">
            <w:r>
              <w:t>P</w:t>
            </w:r>
            <w:r w:rsidR="004424E0" w:rsidRPr="004424E0">
              <w:t>harmacokinetics</w:t>
            </w:r>
          </w:p>
        </w:tc>
      </w:tr>
      <w:tr w:rsidR="000521C1" w:rsidRPr="004424E0" w:rsidTr="004424E0">
        <w:tc>
          <w:tcPr>
            <w:tcW w:w="1890" w:type="dxa"/>
          </w:tcPr>
          <w:p w:rsidR="000521C1" w:rsidRPr="004424E0" w:rsidRDefault="000521C1" w:rsidP="004424E0">
            <w:r w:rsidRPr="00701A9A">
              <w:t>PMO</w:t>
            </w:r>
          </w:p>
        </w:tc>
        <w:tc>
          <w:tcPr>
            <w:tcW w:w="6830" w:type="dxa"/>
          </w:tcPr>
          <w:p w:rsidR="000521C1" w:rsidRPr="004424E0" w:rsidRDefault="008634CF" w:rsidP="000521C1">
            <w:r>
              <w:t>P</w:t>
            </w:r>
            <w:r w:rsidR="000521C1">
              <w:t>ostmenopausal osteoporosis</w:t>
            </w:r>
          </w:p>
        </w:tc>
      </w:tr>
      <w:tr w:rsidR="004424E0" w:rsidRPr="004424E0" w:rsidTr="004424E0">
        <w:tc>
          <w:tcPr>
            <w:tcW w:w="1890" w:type="dxa"/>
          </w:tcPr>
          <w:p w:rsidR="004424E0" w:rsidRPr="004424E0" w:rsidRDefault="004424E0" w:rsidP="004424E0">
            <w:r w:rsidRPr="004424E0">
              <w:lastRenderedPageBreak/>
              <w:t>RANK</w:t>
            </w:r>
          </w:p>
        </w:tc>
        <w:tc>
          <w:tcPr>
            <w:tcW w:w="6830" w:type="dxa"/>
          </w:tcPr>
          <w:p w:rsidR="004424E0" w:rsidRPr="004424E0" w:rsidRDefault="008634CF" w:rsidP="004424E0">
            <w:r>
              <w:t>R</w:t>
            </w:r>
            <w:r w:rsidR="004424E0" w:rsidRPr="004424E0">
              <w:t>eceptor activator of nuclear factor-kappa B</w:t>
            </w:r>
          </w:p>
        </w:tc>
      </w:tr>
      <w:tr w:rsidR="004424E0" w:rsidRPr="004424E0" w:rsidTr="004424E0">
        <w:tc>
          <w:tcPr>
            <w:tcW w:w="1890" w:type="dxa"/>
          </w:tcPr>
          <w:p w:rsidR="004424E0" w:rsidRPr="004424E0" w:rsidRDefault="004424E0" w:rsidP="004424E0">
            <w:r w:rsidRPr="004424E0">
              <w:t>RANKL</w:t>
            </w:r>
          </w:p>
        </w:tc>
        <w:tc>
          <w:tcPr>
            <w:tcW w:w="6830" w:type="dxa"/>
          </w:tcPr>
          <w:p w:rsidR="004424E0" w:rsidRPr="004424E0" w:rsidRDefault="008634CF" w:rsidP="004424E0">
            <w:r>
              <w:t>R</w:t>
            </w:r>
            <w:r w:rsidR="004424E0" w:rsidRPr="004424E0">
              <w:t>eceptor activator of nuclear factor-kappa B ligand</w:t>
            </w:r>
          </w:p>
        </w:tc>
      </w:tr>
      <w:tr w:rsidR="004424E0" w:rsidRPr="004424E0" w:rsidTr="004424E0">
        <w:tc>
          <w:tcPr>
            <w:tcW w:w="1890" w:type="dxa"/>
          </w:tcPr>
          <w:p w:rsidR="004424E0" w:rsidRPr="004424E0" w:rsidRDefault="004424E0" w:rsidP="004424E0">
            <w:r w:rsidRPr="004424E0">
              <w:t>RSI</w:t>
            </w:r>
          </w:p>
        </w:tc>
        <w:tc>
          <w:tcPr>
            <w:tcW w:w="6830" w:type="dxa"/>
          </w:tcPr>
          <w:p w:rsidR="004424E0" w:rsidRPr="004424E0" w:rsidRDefault="004424E0" w:rsidP="004424E0">
            <w:r w:rsidRPr="004424E0">
              <w:t>Request for Supplementary Information</w:t>
            </w:r>
          </w:p>
        </w:tc>
      </w:tr>
      <w:tr w:rsidR="004424E0" w:rsidRPr="004424E0" w:rsidTr="004424E0">
        <w:tc>
          <w:tcPr>
            <w:tcW w:w="1890" w:type="dxa"/>
          </w:tcPr>
          <w:p w:rsidR="004424E0" w:rsidRPr="004424E0" w:rsidRDefault="004424E0" w:rsidP="004424E0">
            <w:r w:rsidRPr="004424E0">
              <w:t>SAE</w:t>
            </w:r>
          </w:p>
        </w:tc>
        <w:tc>
          <w:tcPr>
            <w:tcW w:w="6830" w:type="dxa"/>
          </w:tcPr>
          <w:p w:rsidR="004424E0" w:rsidRPr="004424E0" w:rsidRDefault="004424E0" w:rsidP="004424E0">
            <w:r w:rsidRPr="004424E0">
              <w:t>Serious adverse event</w:t>
            </w:r>
          </w:p>
        </w:tc>
      </w:tr>
      <w:tr w:rsidR="004424E0" w:rsidRPr="004424E0" w:rsidTr="004424E0">
        <w:tc>
          <w:tcPr>
            <w:tcW w:w="1890" w:type="dxa"/>
          </w:tcPr>
          <w:p w:rsidR="004424E0" w:rsidRPr="004424E0" w:rsidRDefault="004424E0" w:rsidP="004424E0">
            <w:r w:rsidRPr="004424E0">
              <w:t>SAG</w:t>
            </w:r>
          </w:p>
        </w:tc>
        <w:tc>
          <w:tcPr>
            <w:tcW w:w="6830" w:type="dxa"/>
          </w:tcPr>
          <w:p w:rsidR="004424E0" w:rsidRPr="004424E0" w:rsidRDefault="004424E0" w:rsidP="004424E0">
            <w:r w:rsidRPr="004424E0">
              <w:t>Scientific Advisory Group</w:t>
            </w:r>
          </w:p>
        </w:tc>
      </w:tr>
      <w:tr w:rsidR="004424E0" w:rsidRPr="004424E0" w:rsidTr="004424E0">
        <w:tc>
          <w:tcPr>
            <w:tcW w:w="1890" w:type="dxa"/>
          </w:tcPr>
          <w:p w:rsidR="004424E0" w:rsidRPr="004424E0" w:rsidRDefault="004424E0" w:rsidP="004424E0">
            <w:r w:rsidRPr="004424E0">
              <w:t>SC</w:t>
            </w:r>
          </w:p>
        </w:tc>
        <w:tc>
          <w:tcPr>
            <w:tcW w:w="6830" w:type="dxa"/>
          </w:tcPr>
          <w:p w:rsidR="004424E0" w:rsidRPr="004424E0" w:rsidRDefault="004424E0" w:rsidP="004424E0">
            <w:r w:rsidRPr="004424E0">
              <w:t>Subcutaneous</w:t>
            </w:r>
            <w:r w:rsidR="00A276F3">
              <w:t>(</w:t>
            </w:r>
            <w:proofErr w:type="spellStart"/>
            <w:r w:rsidRPr="004424E0">
              <w:t>ly</w:t>
            </w:r>
            <w:proofErr w:type="spellEnd"/>
            <w:r w:rsidR="00A276F3">
              <w:t>)</w:t>
            </w:r>
          </w:p>
        </w:tc>
      </w:tr>
      <w:tr w:rsidR="006F0ECC" w:rsidRPr="004424E0" w:rsidTr="004424E0">
        <w:tc>
          <w:tcPr>
            <w:tcW w:w="1890" w:type="dxa"/>
          </w:tcPr>
          <w:p w:rsidR="006F0ECC" w:rsidRPr="006F0ECC" w:rsidRDefault="006F0ECC" w:rsidP="006F0ECC">
            <w:r w:rsidRPr="006F0ECC">
              <w:t>SLE</w:t>
            </w:r>
          </w:p>
        </w:tc>
        <w:tc>
          <w:tcPr>
            <w:tcW w:w="6830" w:type="dxa"/>
          </w:tcPr>
          <w:p w:rsidR="006F0ECC" w:rsidRPr="006F0ECC" w:rsidRDefault="00667476" w:rsidP="006F0ECC">
            <w:r>
              <w:t>S</w:t>
            </w:r>
            <w:r w:rsidR="006F0ECC" w:rsidRPr="006F0ECC">
              <w:t>ystemic lupus erythematosus</w:t>
            </w:r>
          </w:p>
        </w:tc>
      </w:tr>
      <w:tr w:rsidR="004424E0" w:rsidRPr="004424E0" w:rsidTr="004424E0">
        <w:tc>
          <w:tcPr>
            <w:tcW w:w="1890" w:type="dxa"/>
          </w:tcPr>
          <w:p w:rsidR="004424E0" w:rsidRPr="004424E0" w:rsidRDefault="004424E0" w:rsidP="004424E0">
            <w:r w:rsidRPr="004424E0">
              <w:t>TGA</w:t>
            </w:r>
          </w:p>
        </w:tc>
        <w:tc>
          <w:tcPr>
            <w:tcW w:w="6830" w:type="dxa"/>
          </w:tcPr>
          <w:p w:rsidR="004424E0" w:rsidRPr="004424E0" w:rsidRDefault="004424E0" w:rsidP="004424E0">
            <w:r w:rsidRPr="004424E0">
              <w:t>Therapeutic Goods Administration</w:t>
            </w:r>
          </w:p>
        </w:tc>
      </w:tr>
      <w:tr w:rsidR="006F0ECC" w:rsidRPr="004424E0" w:rsidTr="004424E0">
        <w:tc>
          <w:tcPr>
            <w:tcW w:w="1890" w:type="dxa"/>
          </w:tcPr>
          <w:p w:rsidR="006F0ECC" w:rsidRPr="004424E0" w:rsidRDefault="006F0ECC" w:rsidP="004424E0">
            <w:r>
              <w:t>TIA</w:t>
            </w:r>
          </w:p>
        </w:tc>
        <w:tc>
          <w:tcPr>
            <w:tcW w:w="6830" w:type="dxa"/>
          </w:tcPr>
          <w:p w:rsidR="006F0ECC" w:rsidRPr="006F0ECC" w:rsidRDefault="006F0ECC" w:rsidP="006F0ECC">
            <w:r>
              <w:t>T</w:t>
            </w:r>
            <w:r w:rsidRPr="006F0ECC">
              <w:t>ransient ischemic attack</w:t>
            </w:r>
          </w:p>
        </w:tc>
      </w:tr>
      <w:tr w:rsidR="00092A8B" w:rsidRPr="004424E0" w:rsidTr="004424E0">
        <w:tc>
          <w:tcPr>
            <w:tcW w:w="1890" w:type="dxa"/>
          </w:tcPr>
          <w:p w:rsidR="00092A8B" w:rsidRPr="004424E0" w:rsidRDefault="00092A8B" w:rsidP="004424E0">
            <w:r>
              <w:t>T-score</w:t>
            </w:r>
          </w:p>
        </w:tc>
        <w:tc>
          <w:tcPr>
            <w:tcW w:w="6830" w:type="dxa"/>
          </w:tcPr>
          <w:p w:rsidR="00092A8B" w:rsidRPr="004424E0" w:rsidRDefault="00624032" w:rsidP="004424E0">
            <w:r>
              <w:t>The results of a bone density test</w:t>
            </w:r>
          </w:p>
        </w:tc>
      </w:tr>
    </w:tbl>
    <w:p w:rsidR="00FD119B" w:rsidRPr="00FD119B" w:rsidRDefault="00FD119B" w:rsidP="00A32C9A">
      <w:r w:rsidRPr="00FD119B">
        <w:br w:type="page"/>
      </w:r>
    </w:p>
    <w:p w:rsidR="008E7846" w:rsidRDefault="00F53C07" w:rsidP="00A32C9A">
      <w:pPr>
        <w:pStyle w:val="Heading2"/>
      </w:pPr>
      <w:bookmarkStart w:id="8" w:name="_Toc16166676"/>
      <w:r>
        <w:lastRenderedPageBreak/>
        <w:t>I.</w:t>
      </w:r>
      <w:r w:rsidR="008E7846">
        <w:t xml:space="preserve"> </w:t>
      </w:r>
      <w:r w:rsidR="008E7846" w:rsidRPr="00A32C9A">
        <w:t>Introduction</w:t>
      </w:r>
      <w:r w:rsidR="008E7846">
        <w:t xml:space="preserve"> to product submission</w:t>
      </w:r>
      <w:bookmarkEnd w:id="8"/>
      <w:bookmarkEnd w:id="2"/>
      <w:bookmarkEnd w:id="0"/>
    </w:p>
    <w:p w:rsidR="008E7846" w:rsidRDefault="008E7846" w:rsidP="008E7846">
      <w:pPr>
        <w:pStyle w:val="Heading3"/>
        <w:rPr>
          <w:lang w:eastAsia="en-AU"/>
        </w:rPr>
      </w:pPr>
      <w:bookmarkStart w:id="9" w:name="_Toc247691502"/>
      <w:bookmarkStart w:id="10" w:name="_Toc314842483"/>
      <w:bookmarkStart w:id="11" w:name="_Toc16166677"/>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rsidTr="003735BC">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394556" w:rsidP="00394556">
            <w:r>
              <w:t>M</w:t>
            </w:r>
            <w:r w:rsidR="008E7846" w:rsidRPr="003D1E62">
              <w:t xml:space="preserve">ajor </w:t>
            </w:r>
            <w:r w:rsidR="001B5C90">
              <w:t>v</w:t>
            </w:r>
            <w:r w:rsidR="008E7846" w:rsidRPr="003D1E62">
              <w:t>ariation</w:t>
            </w:r>
            <w:r w:rsidR="005401EE">
              <w:t>;</w:t>
            </w:r>
            <w:r>
              <w:t xml:space="preserve"> extension of indications</w:t>
            </w:r>
          </w:p>
        </w:tc>
      </w:tr>
      <w:tr w:rsidR="008E7846" w:rsidRPr="003D1E62" w:rsidTr="003735BC">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5401EE" w:rsidP="005401EE">
            <w:r>
              <w:t>Approved</w:t>
            </w:r>
          </w:p>
        </w:tc>
      </w:tr>
      <w:tr w:rsidR="008E7846" w:rsidRPr="003D1E62" w:rsidTr="003735BC">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5401EE" w:rsidP="001B5C90">
            <w:r>
              <w:t>15 June 2018</w:t>
            </w:r>
          </w:p>
        </w:tc>
      </w:tr>
      <w:tr w:rsidR="00ED2922" w:rsidRPr="003D1E62" w:rsidTr="003735BC">
        <w:tc>
          <w:tcPr>
            <w:tcW w:w="2907" w:type="dxa"/>
          </w:tcPr>
          <w:p w:rsidR="00ED2922" w:rsidRPr="00441C3F" w:rsidRDefault="00ED2922" w:rsidP="001B5C90">
            <w:pPr>
              <w:rPr>
                <w:i/>
              </w:rPr>
            </w:pPr>
            <w:r w:rsidRPr="00441C3F">
              <w:rPr>
                <w:i/>
              </w:rPr>
              <w:t>Date of entry onto ARTG</w:t>
            </w:r>
            <w:r w:rsidR="00500337">
              <w:rPr>
                <w:i/>
              </w:rPr>
              <w:t>:</w:t>
            </w:r>
          </w:p>
        </w:tc>
        <w:tc>
          <w:tcPr>
            <w:tcW w:w="6307" w:type="dxa"/>
          </w:tcPr>
          <w:p w:rsidR="00ED2922" w:rsidRPr="00441C3F" w:rsidRDefault="005401EE" w:rsidP="00EC463D">
            <w:pPr>
              <w:rPr>
                <w:i/>
              </w:rPr>
            </w:pPr>
            <w:r>
              <w:t>22 June 2018</w:t>
            </w:r>
          </w:p>
        </w:tc>
      </w:tr>
      <w:tr w:rsidR="00500337" w:rsidRPr="003D1E62" w:rsidTr="003735BC">
        <w:tc>
          <w:tcPr>
            <w:tcW w:w="2907" w:type="dxa"/>
          </w:tcPr>
          <w:p w:rsidR="00500337" w:rsidRPr="00441C3F" w:rsidRDefault="005401EE" w:rsidP="001B5C90">
            <w:pPr>
              <w:rPr>
                <w:i/>
              </w:rPr>
            </w:pPr>
            <w:r>
              <w:rPr>
                <w:i/>
              </w:rPr>
              <w:t>ARTG numbers</w:t>
            </w:r>
            <w:r w:rsidR="00500337">
              <w:rPr>
                <w:i/>
              </w:rPr>
              <w:t>:</w:t>
            </w:r>
          </w:p>
        </w:tc>
        <w:tc>
          <w:tcPr>
            <w:tcW w:w="6307" w:type="dxa"/>
          </w:tcPr>
          <w:p w:rsidR="00500337" w:rsidRPr="005401EE" w:rsidRDefault="005401EE" w:rsidP="00EC463D">
            <w:pPr>
              <w:rPr>
                <w:rFonts w:cs="Arial"/>
              </w:rPr>
            </w:pPr>
            <w:r>
              <w:rPr>
                <w:rFonts w:cs="Arial"/>
              </w:rPr>
              <w:t>159322, 159323</w:t>
            </w:r>
          </w:p>
        </w:tc>
      </w:tr>
      <w:tr w:rsidR="003735BC" w:rsidRPr="003D1E62" w:rsidTr="003735BC">
        <w:tc>
          <w:tcPr>
            <w:tcW w:w="2907" w:type="dxa"/>
          </w:tcPr>
          <w:p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rsidR="003735BC" w:rsidRPr="00487162" w:rsidRDefault="005D501C" w:rsidP="003735BC">
            <w:r>
              <w:t>No</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5D501C" w:rsidP="00E45619">
            <w:pPr>
              <w:rPr>
                <w:i/>
              </w:rPr>
            </w:pPr>
            <w:r>
              <w:rPr>
                <w:i/>
              </w:rPr>
              <w:t>Active ingredient</w:t>
            </w:r>
            <w:r w:rsidR="001B5C90">
              <w:rPr>
                <w:i/>
              </w:rPr>
              <w:t>:</w:t>
            </w:r>
          </w:p>
        </w:tc>
        <w:tc>
          <w:tcPr>
            <w:tcW w:w="6307" w:type="dxa"/>
          </w:tcPr>
          <w:p w:rsidR="008E7846" w:rsidRPr="00487162" w:rsidRDefault="005D501C" w:rsidP="00E45619">
            <w:r>
              <w:t>Denosumab</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w:t>
            </w:r>
            <w:r w:rsidR="005D501C">
              <w:rPr>
                <w:i/>
              </w:rPr>
              <w:t>name</w:t>
            </w:r>
            <w:r w:rsidR="001B5C90">
              <w:rPr>
                <w:i/>
              </w:rPr>
              <w:t>:</w:t>
            </w:r>
          </w:p>
        </w:tc>
        <w:tc>
          <w:tcPr>
            <w:tcW w:w="6307" w:type="dxa"/>
          </w:tcPr>
          <w:p w:rsidR="008E7846" w:rsidRPr="00487162" w:rsidRDefault="005D501C" w:rsidP="00E45619">
            <w:r>
              <w:t>Prolia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5D501C" w:rsidP="00E45619">
            <w:r>
              <w:t>A</w:t>
            </w:r>
            <w:r w:rsidR="001350D8">
              <w:t>mg</w:t>
            </w:r>
            <w:r>
              <w:t>en Australia Pty Ltd</w:t>
            </w:r>
          </w:p>
          <w:p w:rsidR="005D501C" w:rsidRDefault="005D501C" w:rsidP="00E45619">
            <w:r>
              <w:t>Mezzanine Level 1</w:t>
            </w:r>
          </w:p>
          <w:p w:rsidR="005D501C" w:rsidRDefault="005D501C" w:rsidP="00E45619">
            <w:r>
              <w:t>115 Cotham Road</w:t>
            </w:r>
          </w:p>
          <w:p w:rsidR="005D501C" w:rsidRPr="00487162" w:rsidRDefault="005D501C" w:rsidP="00E45619">
            <w:r>
              <w:t>Kew VIC 3101</w:t>
            </w:r>
          </w:p>
        </w:tc>
      </w:tr>
      <w:tr w:rsidR="008E7846" w:rsidRPr="00487162" w:rsidTr="00BF1190">
        <w:tc>
          <w:tcPr>
            <w:tcW w:w="2907" w:type="dxa"/>
          </w:tcPr>
          <w:p w:rsidR="008E7846" w:rsidRPr="00487162" w:rsidRDefault="005D501C" w:rsidP="00E45619">
            <w:pPr>
              <w:rPr>
                <w:i/>
              </w:rPr>
            </w:pPr>
            <w:r>
              <w:rPr>
                <w:i/>
              </w:rPr>
              <w:t>Dose form</w:t>
            </w:r>
            <w:r w:rsidR="001B5C90">
              <w:rPr>
                <w:i/>
              </w:rPr>
              <w:t>:</w:t>
            </w:r>
          </w:p>
        </w:tc>
        <w:tc>
          <w:tcPr>
            <w:tcW w:w="6307" w:type="dxa"/>
          </w:tcPr>
          <w:p w:rsidR="008E7846" w:rsidRPr="00487162" w:rsidRDefault="005D501C" w:rsidP="00E45619">
            <w:r>
              <w:t>Solution for injection</w:t>
            </w:r>
          </w:p>
        </w:tc>
      </w:tr>
      <w:tr w:rsidR="008E7846" w:rsidRPr="00487162" w:rsidTr="00BF1190">
        <w:tc>
          <w:tcPr>
            <w:tcW w:w="2907" w:type="dxa"/>
          </w:tcPr>
          <w:p w:rsidR="008E7846" w:rsidRPr="00487162" w:rsidRDefault="005D501C" w:rsidP="00E45619">
            <w:pPr>
              <w:rPr>
                <w:i/>
              </w:rPr>
            </w:pPr>
            <w:r>
              <w:rPr>
                <w:i/>
              </w:rPr>
              <w:t>Strength</w:t>
            </w:r>
            <w:r w:rsidR="008E7846" w:rsidRPr="00487162">
              <w:rPr>
                <w:i/>
              </w:rPr>
              <w:t>:</w:t>
            </w:r>
          </w:p>
        </w:tc>
        <w:tc>
          <w:tcPr>
            <w:tcW w:w="6307" w:type="dxa"/>
          </w:tcPr>
          <w:p w:rsidR="008E7846" w:rsidRPr="00487162" w:rsidRDefault="005D501C" w:rsidP="00E45619">
            <w:r>
              <w:t>60</w:t>
            </w:r>
            <w:r w:rsidR="001350D8">
              <w:t xml:space="preserve"> mg</w:t>
            </w:r>
            <w:r>
              <w:t xml:space="preserve"> in 1 mL</w:t>
            </w:r>
          </w:p>
        </w:tc>
      </w:tr>
      <w:tr w:rsidR="008E7846" w:rsidRPr="00487162" w:rsidTr="00BF1190">
        <w:tc>
          <w:tcPr>
            <w:tcW w:w="2907" w:type="dxa"/>
          </w:tcPr>
          <w:p w:rsidR="008E7846" w:rsidRPr="00487162" w:rsidRDefault="005D501C" w:rsidP="00E45619">
            <w:pPr>
              <w:rPr>
                <w:i/>
              </w:rPr>
            </w:pPr>
            <w:r>
              <w:rPr>
                <w:i/>
              </w:rPr>
              <w:t>Container</w:t>
            </w:r>
            <w:r w:rsidR="008E7846" w:rsidRPr="00487162">
              <w:rPr>
                <w:i/>
              </w:rPr>
              <w:t>:</w:t>
            </w:r>
          </w:p>
        </w:tc>
        <w:tc>
          <w:tcPr>
            <w:tcW w:w="6307" w:type="dxa"/>
          </w:tcPr>
          <w:p w:rsidR="008E7846" w:rsidRPr="00487162" w:rsidRDefault="005D501C" w:rsidP="00E45619">
            <w:r>
              <w:t>Prefilled syringe</w:t>
            </w:r>
          </w:p>
        </w:tc>
      </w:tr>
      <w:tr w:rsidR="008E7846" w:rsidRPr="00487162" w:rsidTr="00BF1190">
        <w:tc>
          <w:tcPr>
            <w:tcW w:w="2907" w:type="dxa"/>
          </w:tcPr>
          <w:p w:rsidR="008E7846" w:rsidRPr="00487162" w:rsidRDefault="005D501C" w:rsidP="00E45619">
            <w:pPr>
              <w:rPr>
                <w:i/>
              </w:rPr>
            </w:pPr>
            <w:r>
              <w:rPr>
                <w:i/>
              </w:rPr>
              <w:t>Pack size</w:t>
            </w:r>
            <w:r w:rsidR="008E7846" w:rsidRPr="00487162">
              <w:rPr>
                <w:i/>
              </w:rPr>
              <w:t>:</w:t>
            </w:r>
          </w:p>
        </w:tc>
        <w:tc>
          <w:tcPr>
            <w:tcW w:w="6307" w:type="dxa"/>
          </w:tcPr>
          <w:p w:rsidR="008E7846" w:rsidRPr="00487162" w:rsidRDefault="005D501C" w:rsidP="00E45619">
            <w:r>
              <w:t>1</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D65D10" w:rsidRDefault="00D65D10" w:rsidP="00E45619">
            <w:pPr>
              <w:rPr>
                <w:i/>
              </w:rPr>
            </w:pPr>
            <w:r w:rsidRPr="00D7624C">
              <w:rPr>
                <w:i/>
              </w:rPr>
              <w:t>Treatment to increase bone mass in women and men at increased risk of fracture due to long-term systemic glucocorticoid therapy.</w:t>
            </w:r>
          </w:p>
        </w:tc>
      </w:tr>
      <w:tr w:rsidR="008E7846" w:rsidRPr="00487162" w:rsidTr="00BF1190">
        <w:tc>
          <w:tcPr>
            <w:tcW w:w="2907" w:type="dxa"/>
          </w:tcPr>
          <w:p w:rsidR="008E7846" w:rsidRPr="00487162" w:rsidRDefault="005D501C" w:rsidP="00E45619">
            <w:pPr>
              <w:rPr>
                <w:i/>
              </w:rPr>
            </w:pPr>
            <w:r>
              <w:rPr>
                <w:i/>
              </w:rPr>
              <w:t>Route</w:t>
            </w:r>
            <w:r w:rsidR="008E7846" w:rsidRPr="00487162">
              <w:rPr>
                <w:i/>
              </w:rPr>
              <w:t xml:space="preserve"> of administration:</w:t>
            </w:r>
          </w:p>
        </w:tc>
        <w:tc>
          <w:tcPr>
            <w:tcW w:w="6307" w:type="dxa"/>
          </w:tcPr>
          <w:p w:rsidR="008E7846" w:rsidRPr="00487162" w:rsidRDefault="005D501C" w:rsidP="00E45619">
            <w:r>
              <w:t>Subcutaneous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D65D10" w:rsidRDefault="00D65D10" w:rsidP="00D65D10">
            <w:r w:rsidRPr="00D65D10">
              <w:t>The recommended dose of Prolia is a single subcutaneous (SC) injection of 60</w:t>
            </w:r>
            <w:r w:rsidR="001350D8">
              <w:t xml:space="preserve"> mg</w:t>
            </w:r>
            <w:r w:rsidRPr="00D65D10">
              <w:t>, once every 6 months. If Prolia treatment is discontinued, consider transitioning to an alte</w:t>
            </w:r>
            <w:r>
              <w:t>rnative anti</w:t>
            </w:r>
            <w:r w:rsidR="00F47FA5">
              <w:noBreakHyphen/>
            </w:r>
            <w:proofErr w:type="spellStart"/>
            <w:r>
              <w:t>resorptive</w:t>
            </w:r>
            <w:proofErr w:type="spellEnd"/>
            <w:r>
              <w:t xml:space="preserve"> therapy.</w:t>
            </w:r>
          </w:p>
        </w:tc>
      </w:tr>
    </w:tbl>
    <w:p w:rsidR="008E7846" w:rsidRDefault="008E7846" w:rsidP="00A32C9A">
      <w:pPr>
        <w:pStyle w:val="Heading3"/>
      </w:pPr>
      <w:bookmarkStart w:id="12" w:name="_Toc247691503"/>
      <w:bookmarkStart w:id="13" w:name="_Toc314842484"/>
      <w:bookmarkStart w:id="14" w:name="_Toc16166678"/>
      <w:r>
        <w:t xml:space="preserve">Product </w:t>
      </w:r>
      <w:r w:rsidRPr="00A32C9A">
        <w:t>background</w:t>
      </w:r>
      <w:bookmarkEnd w:id="12"/>
      <w:bookmarkEnd w:id="13"/>
      <w:bookmarkEnd w:id="14"/>
    </w:p>
    <w:p w:rsidR="008E7846" w:rsidRDefault="00940A89" w:rsidP="00A32C9A">
      <w:r w:rsidRPr="00940A89">
        <w:t xml:space="preserve">This AusPAR describes the application by </w:t>
      </w:r>
      <w:r w:rsidR="00D65D10">
        <w:t>A</w:t>
      </w:r>
      <w:r w:rsidR="001350D8">
        <w:t>mg</w:t>
      </w:r>
      <w:r w:rsidR="00D65D10">
        <w:t>en Australia Pty Ltd</w:t>
      </w:r>
      <w:r w:rsidR="00D65D10" w:rsidRPr="00940A89">
        <w:t xml:space="preserve"> </w:t>
      </w:r>
      <w:r w:rsidR="00D65D10">
        <w:t>(</w:t>
      </w:r>
      <w:r w:rsidRPr="00940A89">
        <w:t>the sponsor</w:t>
      </w:r>
      <w:r w:rsidR="00D65D10">
        <w:t>)</w:t>
      </w:r>
      <w:r w:rsidRPr="00940A89">
        <w:t xml:space="preserve"> to register </w:t>
      </w:r>
      <w:r w:rsidR="00D65D10">
        <w:t>Prolia</w:t>
      </w:r>
      <w:r w:rsidRPr="00940A89">
        <w:t xml:space="preserve"> </w:t>
      </w:r>
      <w:r w:rsidR="0072500E">
        <w:t xml:space="preserve">denosumab </w:t>
      </w:r>
      <w:r w:rsidRPr="00940A89">
        <w:t>for the following</w:t>
      </w:r>
      <w:r w:rsidR="00D65D10">
        <w:t xml:space="preserve"> new indication:</w:t>
      </w:r>
    </w:p>
    <w:p w:rsidR="00D65D10" w:rsidRPr="00D65D10" w:rsidRDefault="00D65D10" w:rsidP="00D65D10">
      <w:pPr>
        <w:ind w:left="720"/>
        <w:rPr>
          <w:i/>
        </w:rPr>
      </w:pPr>
      <w:r w:rsidRPr="00D65D10">
        <w:rPr>
          <w:i/>
        </w:rPr>
        <w:t>Treatment of osteoporosis associated with sustained systemic glucocorticoid therapy in women and men at increased risk of fracture.</w:t>
      </w:r>
    </w:p>
    <w:p w:rsidR="00D65D10" w:rsidRPr="00D65D10" w:rsidRDefault="00D65D10" w:rsidP="00D65D10">
      <w:pPr>
        <w:ind w:left="720"/>
        <w:rPr>
          <w:i/>
        </w:rPr>
      </w:pPr>
      <w:r w:rsidRPr="00D65D10">
        <w:rPr>
          <w:i/>
        </w:rPr>
        <w:lastRenderedPageBreak/>
        <w:t>Prevention of osteoporosis in women and men at increased risk of fracture who are starting or have recently started long-term glucocorticoid therapy.</w:t>
      </w:r>
    </w:p>
    <w:p w:rsidR="00211AE1" w:rsidRDefault="00127F72" w:rsidP="00CF755A">
      <w:r>
        <w:t xml:space="preserve">Denosumab is a monoclonal antibody with specificity for </w:t>
      </w:r>
      <w:r w:rsidR="00667476">
        <w:t>receptor activator of nuclear factor-kappa B ligand (</w:t>
      </w:r>
      <w:r>
        <w:t>RANK</w:t>
      </w:r>
      <w:r w:rsidR="00667476">
        <w:t>L)</w:t>
      </w:r>
      <w:r>
        <w:t>.</w:t>
      </w:r>
      <w:r w:rsidR="00211AE1">
        <w:t xml:space="preserve"> </w:t>
      </w:r>
      <w:r>
        <w:t>RANK</w:t>
      </w:r>
      <w:r w:rsidR="00667476">
        <w:t>L</w:t>
      </w:r>
      <w:r>
        <w:t xml:space="preserve"> normally activates the receptor</w:t>
      </w:r>
      <w:r w:rsidR="00667476">
        <w:t xml:space="preserve"> activator of nuclear factor-kappa B (</w:t>
      </w:r>
      <w:r>
        <w:t>RANK</w:t>
      </w:r>
      <w:r w:rsidR="00667476">
        <w:t>)</w:t>
      </w:r>
      <w:r>
        <w:t>, which is present on osteoclasts (and their precursor cells).</w:t>
      </w:r>
      <w:r w:rsidR="00211AE1">
        <w:t xml:space="preserve"> </w:t>
      </w:r>
      <w:r>
        <w:t>Osteoclasts are responsible for resorption of bone</w:t>
      </w:r>
      <w:r w:rsidR="00211AE1">
        <w:t>.</w:t>
      </w:r>
    </w:p>
    <w:p w:rsidR="00211AE1" w:rsidRDefault="00127F72" w:rsidP="00CF755A">
      <w:r>
        <w:t xml:space="preserve">Osteoporosis is characterised by low bone mass and the deterioration in bone microarchitecture; people with osteoporosis are at increased risk of bone fractures. There are many causes or risk factors for osteoporosis, genetics plays a major role, other risk factors include age, low muscle mass, glucocorticoid use, systemic disease, nutritional deficiency, </w:t>
      </w:r>
      <w:proofErr w:type="gramStart"/>
      <w:r>
        <w:t>oestrogen</w:t>
      </w:r>
      <w:proofErr w:type="gramEnd"/>
      <w:r>
        <w:t xml:space="preserve"> or androgen deficiency</w:t>
      </w:r>
      <w:r w:rsidR="00211AE1">
        <w:t>.</w:t>
      </w:r>
    </w:p>
    <w:p w:rsidR="00127F72" w:rsidRDefault="00127F72" w:rsidP="00CF755A">
      <w:r>
        <w:t xml:space="preserve">The use of glucocorticoids is associated with bone loss due to increased bone resorption and reduced bone formation, mediated through </w:t>
      </w:r>
      <w:proofErr w:type="spellStart"/>
      <w:r>
        <w:t>osteoprotegerin</w:t>
      </w:r>
      <w:proofErr w:type="spellEnd"/>
      <w:r>
        <w:t xml:space="preserve"> suppression (an </w:t>
      </w:r>
      <w:proofErr w:type="spellStart"/>
      <w:r>
        <w:t>osteoclastogenesis</w:t>
      </w:r>
      <w:proofErr w:type="spellEnd"/>
      <w:r>
        <w:t xml:space="preserve"> inhibitor) and production of </w:t>
      </w:r>
      <w:r w:rsidR="00667476">
        <w:t>RANK</w:t>
      </w:r>
      <w:r>
        <w:t>.</w:t>
      </w:r>
      <w:r w:rsidR="00211AE1">
        <w:t xml:space="preserve"> </w:t>
      </w:r>
      <w:r>
        <w:t>Initial accelerated bone resorption results in early and rapid bone loss.</w:t>
      </w:r>
      <w:r w:rsidR="00211AE1">
        <w:t xml:space="preserve"> </w:t>
      </w:r>
      <w:r>
        <w:t>With chronic corticosteroid use, reduction of bone formation predominates.</w:t>
      </w:r>
      <w:r w:rsidR="00211AE1">
        <w:t xml:space="preserve"> </w:t>
      </w:r>
      <w:r>
        <w:t>Glucocorticoids also have indirect effects on bone by decreasing secretion of androgens and oestrogens, interfering with parathyroid hormone excretion and actions, decreasing production of insulin-like growth factor and testosterone, decreasing intestinal calcium absorption and decreasi</w:t>
      </w:r>
      <w:r w:rsidR="00CF755A">
        <w:t>ng renal calcium reabsorption.</w:t>
      </w:r>
    </w:p>
    <w:p w:rsidR="00211AE1" w:rsidRDefault="00CF755A" w:rsidP="00CF755A">
      <w:r>
        <w:t>The risk of fracture associated with corticosteroids has been shown to increase within 3 to 6 months of starting oral corticosteroid therapy and reduces upon cessation of therapy</w:t>
      </w:r>
      <w:r w:rsidRPr="00CF755A">
        <w:t xml:space="preserve"> </w:t>
      </w:r>
      <w:r>
        <w:t>Fract</w:t>
      </w:r>
      <w:r w:rsidR="00211AE1">
        <w:t xml:space="preserve">ures are thought to occur in 30 to </w:t>
      </w:r>
      <w:r>
        <w:t>50% of patients receiving long-term glucocorticoids and prevalence increases with age.</w:t>
      </w:r>
      <w:r w:rsidR="00211AE1">
        <w:t xml:space="preserve"> </w:t>
      </w:r>
      <w:r>
        <w:t>Vertebral fractures are the most common</w:t>
      </w:r>
      <w:r>
        <w:rPr>
          <w:rStyle w:val="FootnoteReference"/>
        </w:rPr>
        <w:footnoteReference w:id="1"/>
      </w:r>
      <w:r w:rsidR="00211AE1">
        <w:t>.</w:t>
      </w:r>
    </w:p>
    <w:p w:rsidR="00CF755A" w:rsidRDefault="00CF755A" w:rsidP="00CF755A">
      <w:r>
        <w:t xml:space="preserve">Currently available medicines on the </w:t>
      </w:r>
      <w:r w:rsidR="00DE1EFB">
        <w:t>Australian Register of Therapeutic Goods (</w:t>
      </w:r>
      <w:r>
        <w:t>ARTG</w:t>
      </w:r>
      <w:r w:rsidR="00DE1EFB">
        <w:t>)</w:t>
      </w:r>
      <w:r>
        <w:t xml:space="preserve"> to treat glucocorticoid induced osteoporosis include </w:t>
      </w:r>
      <w:proofErr w:type="spellStart"/>
      <w:r>
        <w:t>aledronate</w:t>
      </w:r>
      <w:proofErr w:type="spellEnd"/>
      <w:r>
        <w:t xml:space="preserve">, </w:t>
      </w:r>
      <w:proofErr w:type="spellStart"/>
      <w:r>
        <w:t>risedronate</w:t>
      </w:r>
      <w:proofErr w:type="spellEnd"/>
      <w:r>
        <w:t xml:space="preserve">, </w:t>
      </w:r>
      <w:proofErr w:type="spellStart"/>
      <w:r>
        <w:t>zoledronic</w:t>
      </w:r>
      <w:proofErr w:type="spellEnd"/>
      <w:r>
        <w:t xml:space="preserve"> acid and </w:t>
      </w:r>
      <w:proofErr w:type="spellStart"/>
      <w:r>
        <w:t>teriparatide</w:t>
      </w:r>
      <w:proofErr w:type="spellEnd"/>
      <w:r>
        <w:t>.</w:t>
      </w:r>
    </w:p>
    <w:p w:rsidR="008E7846" w:rsidRPr="003F31A2" w:rsidRDefault="00386150" w:rsidP="008E7846">
      <w:pPr>
        <w:pStyle w:val="Heading3"/>
      </w:pPr>
      <w:bookmarkStart w:id="15" w:name="_Toc314842485"/>
      <w:bookmarkStart w:id="16" w:name="_Toc247691504"/>
      <w:bookmarkStart w:id="17" w:name="_Toc16166679"/>
      <w:r>
        <w:t>Regulatory s</w:t>
      </w:r>
      <w:r w:rsidR="008E7846">
        <w:t>tatus</w:t>
      </w:r>
      <w:bookmarkEnd w:id="15"/>
      <w:bookmarkEnd w:id="16"/>
      <w:bookmarkEnd w:id="17"/>
    </w:p>
    <w:p w:rsidR="00235019" w:rsidRDefault="00940A89" w:rsidP="00CF755A">
      <w:bookmarkStart w:id="18" w:name="_Toc247691505"/>
      <w:bookmarkStart w:id="19" w:name="_Toc314842486"/>
      <w:r w:rsidRPr="00940A89">
        <w:t>The product received initial registration on the Australian Register</w:t>
      </w:r>
      <w:r w:rsidR="00127F72">
        <w:t xml:space="preserve"> of Therapeutic Goods (ARTG) on June </w:t>
      </w:r>
      <w:r w:rsidR="00235019">
        <w:t>2010.</w:t>
      </w:r>
    </w:p>
    <w:p w:rsidR="00127F72" w:rsidRPr="00D7624C" w:rsidRDefault="00127F72" w:rsidP="00127F72">
      <w:pPr>
        <w:rPr>
          <w:rFonts w:eastAsiaTheme="minorHAnsi" w:cs="Cambria"/>
          <w:color w:val="000000"/>
        </w:rPr>
      </w:pPr>
      <w:r w:rsidRPr="00D7624C">
        <w:rPr>
          <w:rFonts w:eastAsiaTheme="minorHAnsi" w:cs="Cambria"/>
          <w:color w:val="000000"/>
        </w:rPr>
        <w:t>The current approved indicati</w:t>
      </w:r>
      <w:r>
        <w:rPr>
          <w:rFonts w:eastAsiaTheme="minorHAnsi" w:cs="Cambria"/>
          <w:color w:val="000000"/>
        </w:rPr>
        <w:t>ons for Prolia (denosumab) are:</w:t>
      </w:r>
    </w:p>
    <w:p w:rsidR="00211AE1" w:rsidRPr="00A32C9A" w:rsidRDefault="00127F72" w:rsidP="00A32C9A">
      <w:pPr>
        <w:pStyle w:val="ListBullet"/>
        <w:rPr>
          <w:i/>
        </w:rPr>
      </w:pPr>
      <w:r w:rsidRPr="00A32C9A">
        <w:rPr>
          <w:i/>
        </w:rPr>
        <w:t>The treatment of osteoporosis in postmenopausal women. Prolia significantly reduces the risk of vertebral, non-vertebral and hip fractures</w:t>
      </w:r>
      <w:r w:rsidR="00211AE1" w:rsidRPr="00A32C9A">
        <w:rPr>
          <w:i/>
        </w:rPr>
        <w:t>.</w:t>
      </w:r>
    </w:p>
    <w:p w:rsidR="00211AE1" w:rsidRPr="00A32C9A" w:rsidRDefault="00127F72" w:rsidP="00A32C9A">
      <w:pPr>
        <w:pStyle w:val="ListBullet"/>
        <w:rPr>
          <w:i/>
        </w:rPr>
      </w:pPr>
      <w:r w:rsidRPr="00A32C9A">
        <w:rPr>
          <w:i/>
        </w:rPr>
        <w:t xml:space="preserve">Treatment to increase bone mass in men with </w:t>
      </w:r>
      <w:proofErr w:type="spellStart"/>
      <w:r w:rsidRPr="00A32C9A">
        <w:rPr>
          <w:i/>
        </w:rPr>
        <w:t>osteopaenia</w:t>
      </w:r>
      <w:proofErr w:type="spellEnd"/>
      <w:r w:rsidRPr="00A32C9A">
        <w:rPr>
          <w:i/>
        </w:rPr>
        <w:t xml:space="preserve"> receiving androgen deprivation therapy for non-metastatic prostate cancer</w:t>
      </w:r>
      <w:r w:rsidR="00211AE1" w:rsidRPr="00A32C9A">
        <w:rPr>
          <w:i/>
        </w:rPr>
        <w:t>.</w:t>
      </w:r>
    </w:p>
    <w:p w:rsidR="00211AE1" w:rsidRPr="00A32C9A" w:rsidRDefault="00127F72" w:rsidP="00A32C9A">
      <w:pPr>
        <w:pStyle w:val="ListBullet"/>
        <w:rPr>
          <w:i/>
        </w:rPr>
      </w:pPr>
      <w:r w:rsidRPr="00A32C9A">
        <w:rPr>
          <w:i/>
        </w:rPr>
        <w:t>Treatment to increase bone mass in men with osteoporosis at increased risk of fracture</w:t>
      </w:r>
      <w:r w:rsidR="00211AE1" w:rsidRPr="00A32C9A">
        <w:rPr>
          <w:i/>
        </w:rPr>
        <w:t>.</w:t>
      </w:r>
    </w:p>
    <w:p w:rsidR="00254192" w:rsidRDefault="00940A89" w:rsidP="00CF755A">
      <w:r w:rsidRPr="00940A89">
        <w:t xml:space="preserve">At the time the TGA considered this </w:t>
      </w:r>
      <w:r w:rsidR="00211AE1" w:rsidRPr="00940A89">
        <w:t>application;</w:t>
      </w:r>
      <w:r w:rsidRPr="00940A89">
        <w:t xml:space="preserve"> a similar application had been approved </w:t>
      </w:r>
      <w:r w:rsidR="00254192">
        <w:t>or</w:t>
      </w:r>
      <w:r w:rsidRPr="00940A89">
        <w:t xml:space="preserve"> was under co</w:t>
      </w:r>
      <w:r>
        <w:t xml:space="preserve">nsideration </w:t>
      </w:r>
      <w:r w:rsidR="00254192">
        <w:t>in other countries as shown in Table 1.</w:t>
      </w:r>
    </w:p>
    <w:p w:rsidR="00D65D10" w:rsidRDefault="00254192" w:rsidP="00254192">
      <w:pPr>
        <w:pStyle w:val="TableTitle"/>
      </w:pPr>
      <w:r>
        <w:lastRenderedPageBreak/>
        <w:t>Table 1: International regulatory status</w:t>
      </w:r>
    </w:p>
    <w:tbl>
      <w:tblPr>
        <w:tblStyle w:val="TableTGAblue"/>
        <w:tblW w:w="0" w:type="auto"/>
        <w:tblLook w:val="04A0" w:firstRow="1" w:lastRow="0" w:firstColumn="1" w:lastColumn="0" w:noHBand="0" w:noVBand="1"/>
      </w:tblPr>
      <w:tblGrid>
        <w:gridCol w:w="2180"/>
        <w:gridCol w:w="2180"/>
        <w:gridCol w:w="4253"/>
      </w:tblGrid>
      <w:tr w:rsidR="00D65D10" w:rsidTr="00254192">
        <w:trPr>
          <w:cnfStyle w:val="100000000000" w:firstRow="1" w:lastRow="0" w:firstColumn="0" w:lastColumn="0" w:oddVBand="0" w:evenVBand="0" w:oddHBand="0" w:evenHBand="0" w:firstRowFirstColumn="0" w:firstRowLastColumn="0" w:lastRowFirstColumn="0" w:lastRowLastColumn="0"/>
          <w:trHeight w:val="845"/>
        </w:trPr>
        <w:tc>
          <w:tcPr>
            <w:tcW w:w="2180" w:type="dxa"/>
          </w:tcPr>
          <w:p w:rsidR="00D65D10" w:rsidRDefault="00D65D10" w:rsidP="00940A89">
            <w:r>
              <w:t>Country</w:t>
            </w:r>
          </w:p>
        </w:tc>
        <w:tc>
          <w:tcPr>
            <w:tcW w:w="2180" w:type="dxa"/>
          </w:tcPr>
          <w:p w:rsidR="00D65D10" w:rsidRDefault="00D65D10" w:rsidP="00940A89">
            <w:r>
              <w:t>Submission date status</w:t>
            </w:r>
          </w:p>
        </w:tc>
        <w:tc>
          <w:tcPr>
            <w:tcW w:w="4253" w:type="dxa"/>
          </w:tcPr>
          <w:p w:rsidR="00D65D10" w:rsidRDefault="00D65D10" w:rsidP="00940A89">
            <w:r>
              <w:t>Indications</w:t>
            </w:r>
          </w:p>
        </w:tc>
      </w:tr>
      <w:tr w:rsidR="00D65D10" w:rsidTr="00D65D10">
        <w:tc>
          <w:tcPr>
            <w:tcW w:w="2180" w:type="dxa"/>
          </w:tcPr>
          <w:p w:rsidR="00D65D10" w:rsidRDefault="00D65D10" w:rsidP="00D65D10">
            <w:r>
              <w:t xml:space="preserve">EU </w:t>
            </w:r>
            <w:r>
              <w:rPr>
                <w:sz w:val="20"/>
                <w:szCs w:val="20"/>
              </w:rPr>
              <w:t>(Centralised procedure)</w:t>
            </w:r>
          </w:p>
        </w:tc>
        <w:tc>
          <w:tcPr>
            <w:tcW w:w="2180" w:type="dxa"/>
          </w:tcPr>
          <w:p w:rsidR="00D65D10" w:rsidRPr="00D65D10" w:rsidRDefault="00254192" w:rsidP="00254192">
            <w:pPr>
              <w:pStyle w:val="Default"/>
              <w:rPr>
                <w:sz w:val="20"/>
                <w:szCs w:val="20"/>
              </w:rPr>
            </w:pPr>
            <w:r>
              <w:rPr>
                <w:sz w:val="20"/>
                <w:szCs w:val="20"/>
              </w:rPr>
              <w:t xml:space="preserve">8 March 2017 </w:t>
            </w:r>
            <w:r w:rsidR="00D65D10">
              <w:rPr>
                <w:sz w:val="20"/>
                <w:szCs w:val="20"/>
              </w:rPr>
              <w:t>Under evaluation</w:t>
            </w:r>
          </w:p>
        </w:tc>
        <w:tc>
          <w:tcPr>
            <w:tcW w:w="4253" w:type="dxa"/>
          </w:tcPr>
          <w:p w:rsidR="00D65D10" w:rsidRPr="00D65D10" w:rsidRDefault="00D65D10" w:rsidP="00D65D10">
            <w:pPr>
              <w:pStyle w:val="Default"/>
              <w:rPr>
                <w:sz w:val="20"/>
                <w:szCs w:val="20"/>
              </w:rPr>
            </w:pPr>
            <w:r>
              <w:rPr>
                <w:sz w:val="20"/>
                <w:szCs w:val="20"/>
              </w:rPr>
              <w:t>Treatment of bone loss associated with long-term systemic glucocorticoid therapy in adult patients at increased risk of fracture.</w:t>
            </w:r>
          </w:p>
        </w:tc>
      </w:tr>
      <w:tr w:rsidR="00D65D10" w:rsidTr="00D65D10">
        <w:tc>
          <w:tcPr>
            <w:tcW w:w="2180" w:type="dxa"/>
          </w:tcPr>
          <w:p w:rsidR="00D65D10" w:rsidRPr="00254192" w:rsidRDefault="00254192" w:rsidP="00254192">
            <w:pPr>
              <w:pStyle w:val="Default"/>
              <w:rPr>
                <w:sz w:val="20"/>
                <w:szCs w:val="20"/>
              </w:rPr>
            </w:pPr>
            <w:r>
              <w:rPr>
                <w:sz w:val="20"/>
                <w:szCs w:val="20"/>
              </w:rPr>
              <w:t>USA</w:t>
            </w:r>
          </w:p>
        </w:tc>
        <w:tc>
          <w:tcPr>
            <w:tcW w:w="2180" w:type="dxa"/>
          </w:tcPr>
          <w:p w:rsidR="00D65D10" w:rsidRPr="00254192" w:rsidRDefault="00254192" w:rsidP="00254192">
            <w:pPr>
              <w:pStyle w:val="Default"/>
              <w:rPr>
                <w:sz w:val="20"/>
                <w:szCs w:val="20"/>
              </w:rPr>
            </w:pPr>
            <w:r>
              <w:rPr>
                <w:sz w:val="20"/>
                <w:szCs w:val="20"/>
              </w:rPr>
              <w:t>28 July 2017 Under evaluation</w:t>
            </w:r>
          </w:p>
        </w:tc>
        <w:tc>
          <w:tcPr>
            <w:tcW w:w="4253" w:type="dxa"/>
          </w:tcPr>
          <w:p w:rsidR="00D65D10" w:rsidRPr="00254192" w:rsidRDefault="00254192" w:rsidP="00254192">
            <w:pPr>
              <w:pStyle w:val="Default"/>
              <w:rPr>
                <w:sz w:val="20"/>
                <w:szCs w:val="20"/>
              </w:rPr>
            </w:pPr>
            <w:r>
              <w:rPr>
                <w:sz w:val="20"/>
                <w:szCs w:val="20"/>
              </w:rPr>
              <w:t xml:space="preserve">Treatment of osteoporosis associated with newly initiating or sustained systemic glucocorticoid therapy in men and women at high risk for fracture </w:t>
            </w:r>
          </w:p>
        </w:tc>
      </w:tr>
      <w:tr w:rsidR="00D65D10" w:rsidTr="00D65D10">
        <w:tc>
          <w:tcPr>
            <w:tcW w:w="2180" w:type="dxa"/>
          </w:tcPr>
          <w:p w:rsidR="00D65D10" w:rsidRPr="00254192" w:rsidRDefault="00254192" w:rsidP="00254192">
            <w:pPr>
              <w:pStyle w:val="Default"/>
              <w:rPr>
                <w:sz w:val="20"/>
                <w:szCs w:val="20"/>
              </w:rPr>
            </w:pPr>
            <w:r>
              <w:rPr>
                <w:sz w:val="20"/>
                <w:szCs w:val="20"/>
              </w:rPr>
              <w:t>Canada</w:t>
            </w:r>
          </w:p>
        </w:tc>
        <w:tc>
          <w:tcPr>
            <w:tcW w:w="2180" w:type="dxa"/>
          </w:tcPr>
          <w:p w:rsidR="00D65D10" w:rsidRPr="00254192" w:rsidRDefault="00254192" w:rsidP="00254192">
            <w:pPr>
              <w:pStyle w:val="Default"/>
              <w:rPr>
                <w:sz w:val="20"/>
                <w:szCs w:val="20"/>
              </w:rPr>
            </w:pPr>
            <w:r>
              <w:rPr>
                <w:sz w:val="20"/>
                <w:szCs w:val="20"/>
              </w:rPr>
              <w:t>14 February 2018 Approved</w:t>
            </w:r>
          </w:p>
        </w:tc>
        <w:tc>
          <w:tcPr>
            <w:tcW w:w="4253" w:type="dxa"/>
          </w:tcPr>
          <w:p w:rsidR="00254192" w:rsidRPr="00254192" w:rsidRDefault="00254192" w:rsidP="00254192">
            <w:pPr>
              <w:pStyle w:val="Default"/>
              <w:rPr>
                <w:sz w:val="20"/>
                <w:szCs w:val="20"/>
              </w:rPr>
            </w:pPr>
            <w:r w:rsidRPr="00254192">
              <w:rPr>
                <w:bCs/>
                <w:sz w:val="20"/>
                <w:szCs w:val="20"/>
              </w:rPr>
              <w:t xml:space="preserve">Treatment </w:t>
            </w:r>
            <w:r w:rsidR="00A276F3" w:rsidRPr="00254192">
              <w:rPr>
                <w:bCs/>
                <w:sz w:val="20"/>
                <w:szCs w:val="20"/>
              </w:rPr>
              <w:t>to increase bone mass for the treatment and prevention of glucocorticoid-induced osteoporosis in women and men at high risk for fracture</w:t>
            </w:r>
            <w:r w:rsidR="00A276F3">
              <w:rPr>
                <w:bCs/>
                <w:sz w:val="20"/>
                <w:szCs w:val="20"/>
              </w:rPr>
              <w:t>.</w:t>
            </w:r>
          </w:p>
          <w:p w:rsidR="00211AE1" w:rsidRDefault="00A276F3" w:rsidP="00254192">
            <w:pPr>
              <w:pStyle w:val="Default"/>
              <w:rPr>
                <w:sz w:val="20"/>
                <w:szCs w:val="20"/>
              </w:rPr>
            </w:pPr>
            <w:r>
              <w:rPr>
                <w:sz w:val="20"/>
                <w:szCs w:val="20"/>
              </w:rPr>
              <w:t>P</w:t>
            </w:r>
            <w:r w:rsidRPr="00254192">
              <w:rPr>
                <w:sz w:val="20"/>
                <w:szCs w:val="20"/>
              </w:rPr>
              <w:t xml:space="preserve">rolia </w:t>
            </w:r>
            <w:r w:rsidR="00254192" w:rsidRPr="00254192">
              <w:rPr>
                <w:sz w:val="20"/>
                <w:szCs w:val="20"/>
              </w:rPr>
              <w:t xml:space="preserve">is indicated as a treatment to increase bone mass in women and men at high risk for fracture due to sustained systemic glucocorticoid therapy (see </w:t>
            </w:r>
            <w:r w:rsidR="00624032" w:rsidRPr="00254192">
              <w:rPr>
                <w:bCs/>
                <w:sz w:val="20"/>
                <w:szCs w:val="20"/>
              </w:rPr>
              <w:t>clinical trials</w:t>
            </w:r>
            <w:r w:rsidR="00254192" w:rsidRPr="00254192">
              <w:rPr>
                <w:sz w:val="20"/>
                <w:szCs w:val="20"/>
              </w:rPr>
              <w:t>)</w:t>
            </w:r>
            <w:r w:rsidR="00211AE1">
              <w:rPr>
                <w:sz w:val="20"/>
                <w:szCs w:val="20"/>
              </w:rPr>
              <w:t>.</w:t>
            </w:r>
          </w:p>
          <w:p w:rsidR="00D65D10" w:rsidRPr="00254192" w:rsidRDefault="00254192" w:rsidP="00254192">
            <w:r w:rsidRPr="00254192">
              <w:rPr>
                <w:sz w:val="20"/>
                <w:szCs w:val="20"/>
              </w:rPr>
              <w:t>P</w:t>
            </w:r>
            <w:r w:rsidR="00A276F3" w:rsidRPr="00254192">
              <w:rPr>
                <w:sz w:val="20"/>
                <w:szCs w:val="20"/>
              </w:rPr>
              <w:t>rolia</w:t>
            </w:r>
            <w:r w:rsidRPr="00254192">
              <w:rPr>
                <w:sz w:val="20"/>
                <w:szCs w:val="20"/>
              </w:rPr>
              <w:t xml:space="preserve"> is indicated as a treatment to increase bone mass in women and men at high risk for fracture who are starting or have recently started long term glucocorticoid therapy (see </w:t>
            </w:r>
            <w:r w:rsidR="00624032" w:rsidRPr="00254192">
              <w:rPr>
                <w:bCs/>
                <w:sz w:val="20"/>
                <w:szCs w:val="20"/>
              </w:rPr>
              <w:t>clinical trials</w:t>
            </w:r>
            <w:r w:rsidRPr="00254192">
              <w:rPr>
                <w:sz w:val="20"/>
                <w:szCs w:val="20"/>
              </w:rPr>
              <w:t>).</w:t>
            </w:r>
          </w:p>
        </w:tc>
      </w:tr>
      <w:tr w:rsidR="00D65D10" w:rsidTr="00D65D10">
        <w:tc>
          <w:tcPr>
            <w:tcW w:w="2180" w:type="dxa"/>
          </w:tcPr>
          <w:p w:rsidR="00D65D10" w:rsidRPr="00254192" w:rsidRDefault="00254192" w:rsidP="00254192">
            <w:pPr>
              <w:pStyle w:val="Default"/>
              <w:rPr>
                <w:sz w:val="20"/>
                <w:szCs w:val="20"/>
              </w:rPr>
            </w:pPr>
            <w:r>
              <w:rPr>
                <w:sz w:val="20"/>
                <w:szCs w:val="20"/>
              </w:rPr>
              <w:t>Switzerland</w:t>
            </w:r>
          </w:p>
        </w:tc>
        <w:tc>
          <w:tcPr>
            <w:tcW w:w="2180" w:type="dxa"/>
          </w:tcPr>
          <w:p w:rsidR="00D65D10" w:rsidRPr="00254192" w:rsidRDefault="00254192" w:rsidP="00254192">
            <w:pPr>
              <w:pStyle w:val="Default"/>
              <w:rPr>
                <w:sz w:val="20"/>
                <w:szCs w:val="20"/>
              </w:rPr>
            </w:pPr>
            <w:r>
              <w:rPr>
                <w:sz w:val="20"/>
                <w:szCs w:val="20"/>
              </w:rPr>
              <w:t>31 May 2017 Under evaluation</w:t>
            </w:r>
          </w:p>
        </w:tc>
        <w:tc>
          <w:tcPr>
            <w:tcW w:w="4253" w:type="dxa"/>
          </w:tcPr>
          <w:p w:rsidR="00211AE1" w:rsidRDefault="00254192" w:rsidP="00254192">
            <w:pPr>
              <w:pStyle w:val="Default"/>
              <w:rPr>
                <w:sz w:val="20"/>
                <w:szCs w:val="20"/>
              </w:rPr>
            </w:pPr>
            <w:r>
              <w:rPr>
                <w:sz w:val="20"/>
                <w:szCs w:val="20"/>
              </w:rPr>
              <w:t>Treatment of osteoporosis associated with sustained systemic glucocorticoid therapy in women and men at increased risk of fracture</w:t>
            </w:r>
            <w:r w:rsidR="00211AE1">
              <w:rPr>
                <w:sz w:val="20"/>
                <w:szCs w:val="20"/>
              </w:rPr>
              <w:t>.</w:t>
            </w:r>
          </w:p>
          <w:p w:rsidR="00D65D10" w:rsidRDefault="00254192" w:rsidP="00254192">
            <w:r>
              <w:rPr>
                <w:sz w:val="20"/>
                <w:szCs w:val="20"/>
              </w:rPr>
              <w:t>Prevention of osteoporosis in women and men at increased risk of fracture who are starting or have recently started long-term glucocorticoid therapy.</w:t>
            </w:r>
          </w:p>
        </w:tc>
      </w:tr>
    </w:tbl>
    <w:p w:rsidR="008E7846" w:rsidRDefault="008E7846" w:rsidP="00940A89">
      <w:pPr>
        <w:pStyle w:val="Heading3"/>
      </w:pPr>
      <w:bookmarkStart w:id="20" w:name="_Toc16166680"/>
      <w:r>
        <w:t>Product Information</w:t>
      </w:r>
      <w:bookmarkEnd w:id="18"/>
      <w:bookmarkEnd w:id="19"/>
      <w:bookmarkEnd w:id="20"/>
    </w:p>
    <w:p w:rsidR="00940A89" w:rsidRDefault="006136D7" w:rsidP="00940A89">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A32C9A">
        <w:t>&lt;</w:t>
      </w:r>
      <w:hyperlink r:id="rId14"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3" w:name="_Toc504480011"/>
      <w:bookmarkStart w:id="24" w:name="_Toc16166681"/>
      <w:r>
        <w:t>II. Registration time line</w:t>
      </w:r>
      <w:bookmarkEnd w:id="23"/>
      <w:bookmarkEnd w:id="24"/>
    </w:p>
    <w:p w:rsidR="00500337" w:rsidRDefault="00500337" w:rsidP="00500337">
      <w:r>
        <w:t>The following table captures the key steps and dates for this application and which are detailed and discussed in this AusPAR.</w:t>
      </w:r>
    </w:p>
    <w:p w:rsidR="00500337" w:rsidRPr="00377BD4" w:rsidRDefault="00CE74DE" w:rsidP="00CE74DE">
      <w:pPr>
        <w:pStyle w:val="TableTitle"/>
      </w:pPr>
      <w:r>
        <w:t>Table 2: Timeline for Submission PM-2017-01353-1-5</w:t>
      </w:r>
    </w:p>
    <w:tbl>
      <w:tblPr>
        <w:tblStyle w:val="TableTGAblue"/>
        <w:tblW w:w="0" w:type="auto"/>
        <w:tblLook w:val="04A0" w:firstRow="1" w:lastRow="0" w:firstColumn="1" w:lastColumn="0" w:noHBand="0" w:noVBand="1"/>
      </w:tblPr>
      <w:tblGrid>
        <w:gridCol w:w="4360"/>
        <w:gridCol w:w="4360"/>
      </w:tblGrid>
      <w:tr w:rsidR="0050033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500337">
        <w:tc>
          <w:tcPr>
            <w:tcW w:w="4360" w:type="dxa"/>
          </w:tcPr>
          <w:p w:rsidR="00500337" w:rsidRDefault="00500337" w:rsidP="00500337">
            <w:pPr>
              <w:ind w:left="0" w:right="0"/>
            </w:pPr>
            <w:r>
              <w:t>Submission dossier accepted and first round evaluation commenced</w:t>
            </w:r>
          </w:p>
        </w:tc>
        <w:tc>
          <w:tcPr>
            <w:tcW w:w="4360" w:type="dxa"/>
          </w:tcPr>
          <w:p w:rsidR="00500337" w:rsidRDefault="00CF755A" w:rsidP="00500337">
            <w:pPr>
              <w:ind w:left="0" w:right="0"/>
            </w:pPr>
            <w:r>
              <w:t>1 June 2017</w:t>
            </w:r>
          </w:p>
        </w:tc>
      </w:tr>
      <w:tr w:rsidR="00500337" w:rsidTr="00500337">
        <w:tc>
          <w:tcPr>
            <w:tcW w:w="4360" w:type="dxa"/>
          </w:tcPr>
          <w:p w:rsidR="00500337" w:rsidRDefault="00500337" w:rsidP="00500337">
            <w:pPr>
              <w:ind w:left="0" w:right="0"/>
            </w:pPr>
            <w:r>
              <w:lastRenderedPageBreak/>
              <w:t>First round evaluation completed</w:t>
            </w:r>
          </w:p>
        </w:tc>
        <w:tc>
          <w:tcPr>
            <w:tcW w:w="4360" w:type="dxa"/>
          </w:tcPr>
          <w:p w:rsidR="00500337" w:rsidRDefault="00CF755A" w:rsidP="00500337">
            <w:pPr>
              <w:ind w:left="0" w:right="0"/>
            </w:pPr>
            <w:r>
              <w:t>1 November 2017</w:t>
            </w:r>
          </w:p>
        </w:tc>
      </w:tr>
      <w:tr w:rsidR="00500337" w:rsidTr="00500337">
        <w:tc>
          <w:tcPr>
            <w:tcW w:w="4360" w:type="dxa"/>
          </w:tcPr>
          <w:p w:rsidR="00500337" w:rsidRDefault="00500337" w:rsidP="00500337">
            <w:pPr>
              <w:ind w:left="0" w:right="0"/>
            </w:pPr>
            <w:r>
              <w:t>Sponsor provides responses on questions raised in first round evaluation</w:t>
            </w:r>
          </w:p>
        </w:tc>
        <w:tc>
          <w:tcPr>
            <w:tcW w:w="4360" w:type="dxa"/>
          </w:tcPr>
          <w:p w:rsidR="00500337" w:rsidRDefault="00CF755A" w:rsidP="00500337">
            <w:pPr>
              <w:ind w:left="0" w:right="0"/>
            </w:pPr>
            <w:r>
              <w:t>22 December 2017</w:t>
            </w:r>
          </w:p>
        </w:tc>
      </w:tr>
      <w:tr w:rsidR="00500337" w:rsidTr="00500337">
        <w:tc>
          <w:tcPr>
            <w:tcW w:w="4360" w:type="dxa"/>
          </w:tcPr>
          <w:p w:rsidR="00500337" w:rsidRDefault="00500337" w:rsidP="00500337">
            <w:pPr>
              <w:ind w:left="0" w:right="0"/>
            </w:pPr>
            <w:r>
              <w:t>Second round evaluation completed</w:t>
            </w:r>
          </w:p>
        </w:tc>
        <w:tc>
          <w:tcPr>
            <w:tcW w:w="4360" w:type="dxa"/>
          </w:tcPr>
          <w:p w:rsidR="00500337" w:rsidRDefault="00CF755A" w:rsidP="00500337">
            <w:pPr>
              <w:ind w:left="0" w:right="0"/>
            </w:pPr>
            <w:r>
              <w:t>14 February 2018</w:t>
            </w:r>
          </w:p>
        </w:tc>
      </w:tr>
      <w:tr w:rsidR="00500337" w:rsidTr="00500337">
        <w:tc>
          <w:tcPr>
            <w:tcW w:w="4360" w:type="dxa"/>
          </w:tcPr>
          <w:p w:rsidR="00500337" w:rsidRDefault="00500337" w:rsidP="00500337">
            <w:pPr>
              <w:ind w:left="0" w:right="0"/>
            </w:pPr>
            <w:r>
              <w:t>Delegate’s Overall benefit-risk assessment and request for Advisory Committee advice</w:t>
            </w:r>
          </w:p>
        </w:tc>
        <w:tc>
          <w:tcPr>
            <w:tcW w:w="4360" w:type="dxa"/>
          </w:tcPr>
          <w:p w:rsidR="00500337" w:rsidRDefault="00235019" w:rsidP="00500337">
            <w:pPr>
              <w:ind w:left="0" w:right="0"/>
            </w:pPr>
            <w:r>
              <w:t>16 February 2018</w:t>
            </w:r>
          </w:p>
        </w:tc>
      </w:tr>
      <w:tr w:rsidR="00500337" w:rsidTr="00500337">
        <w:tc>
          <w:tcPr>
            <w:tcW w:w="4360" w:type="dxa"/>
          </w:tcPr>
          <w:p w:rsidR="00500337" w:rsidRDefault="00500337" w:rsidP="00500337">
            <w:pPr>
              <w:ind w:left="0" w:right="0"/>
            </w:pPr>
            <w:r>
              <w:t>Sponsor’s pre-Advisory Committee response</w:t>
            </w:r>
          </w:p>
        </w:tc>
        <w:tc>
          <w:tcPr>
            <w:tcW w:w="4360" w:type="dxa"/>
          </w:tcPr>
          <w:p w:rsidR="00500337" w:rsidRDefault="00701A9A" w:rsidP="00500337">
            <w:pPr>
              <w:ind w:left="0" w:right="0"/>
            </w:pPr>
            <w:r>
              <w:t>13 March 2018</w:t>
            </w:r>
          </w:p>
        </w:tc>
      </w:tr>
      <w:tr w:rsidR="00500337" w:rsidTr="00500337">
        <w:tc>
          <w:tcPr>
            <w:tcW w:w="4360" w:type="dxa"/>
          </w:tcPr>
          <w:p w:rsidR="00500337" w:rsidRDefault="00500337" w:rsidP="00500337">
            <w:pPr>
              <w:ind w:left="0" w:right="0"/>
            </w:pPr>
            <w:r>
              <w:t>Advisory Committee meeting</w:t>
            </w:r>
          </w:p>
        </w:tc>
        <w:tc>
          <w:tcPr>
            <w:tcW w:w="4360" w:type="dxa"/>
          </w:tcPr>
          <w:p w:rsidR="00500337" w:rsidRDefault="009B48E9" w:rsidP="00500337">
            <w:pPr>
              <w:ind w:left="0" w:right="0"/>
            </w:pPr>
            <w:r>
              <w:t>5-6 April 2018</w:t>
            </w:r>
          </w:p>
        </w:tc>
      </w:tr>
      <w:tr w:rsidR="00500337" w:rsidTr="00500337">
        <w:tc>
          <w:tcPr>
            <w:tcW w:w="4360" w:type="dxa"/>
          </w:tcPr>
          <w:p w:rsidR="00500337" w:rsidRDefault="00500337" w:rsidP="00500337">
            <w:pPr>
              <w:ind w:left="0" w:right="0"/>
            </w:pPr>
            <w:r>
              <w:t>Registration decision (Outcome)</w:t>
            </w:r>
          </w:p>
        </w:tc>
        <w:tc>
          <w:tcPr>
            <w:tcW w:w="4360" w:type="dxa"/>
          </w:tcPr>
          <w:p w:rsidR="00500337" w:rsidRDefault="009B48E9" w:rsidP="00500337">
            <w:pPr>
              <w:ind w:left="0" w:right="0"/>
            </w:pPr>
            <w:r>
              <w:t>15 June 2018</w:t>
            </w:r>
          </w:p>
        </w:tc>
      </w:tr>
      <w:tr w:rsidR="00500337" w:rsidTr="00500337">
        <w:tc>
          <w:tcPr>
            <w:tcW w:w="4360" w:type="dxa"/>
          </w:tcPr>
          <w:p w:rsidR="00500337" w:rsidRDefault="00500337" w:rsidP="00500337">
            <w:pPr>
              <w:ind w:left="0" w:right="0"/>
            </w:pPr>
            <w:r>
              <w:t>Completion of administrative activities and registration on ARTG</w:t>
            </w:r>
          </w:p>
        </w:tc>
        <w:tc>
          <w:tcPr>
            <w:tcW w:w="4360" w:type="dxa"/>
          </w:tcPr>
          <w:p w:rsidR="00500337" w:rsidRDefault="009B48E9" w:rsidP="00500337">
            <w:pPr>
              <w:ind w:left="0" w:right="0"/>
            </w:pPr>
            <w:r>
              <w:t>22 June 2018</w:t>
            </w:r>
          </w:p>
        </w:tc>
      </w:tr>
      <w:tr w:rsidR="00500337" w:rsidTr="00500337">
        <w:tc>
          <w:tcPr>
            <w:tcW w:w="4360" w:type="dxa"/>
          </w:tcPr>
          <w:p w:rsidR="00500337" w:rsidRDefault="00500337" w:rsidP="00500337">
            <w:pPr>
              <w:ind w:left="0" w:right="0"/>
            </w:pPr>
            <w:r>
              <w:t>Number of working days from submission dossier acceptance to registration decision</w:t>
            </w:r>
            <w:r w:rsidR="006F7770">
              <w:t>*</w:t>
            </w:r>
          </w:p>
        </w:tc>
        <w:tc>
          <w:tcPr>
            <w:tcW w:w="4360" w:type="dxa"/>
          </w:tcPr>
          <w:p w:rsidR="00500337" w:rsidRDefault="00CF755A" w:rsidP="00500337">
            <w:pPr>
              <w:ind w:left="0" w:right="0"/>
            </w:pPr>
            <w:r>
              <w:t>221</w:t>
            </w:r>
          </w:p>
        </w:tc>
      </w:tr>
    </w:tbl>
    <w:p w:rsidR="00500337" w:rsidRDefault="006F7770" w:rsidP="00500337">
      <w:pPr>
        <w:pStyle w:val="TableDescription"/>
      </w:pPr>
      <w:r>
        <w:t>*</w:t>
      </w:r>
      <w:r w:rsidR="00BF3774" w:rsidRPr="00BF3774">
        <w:t xml:space="preserve">Statutory </w:t>
      </w:r>
      <w:r w:rsidR="00500337">
        <w:t>timeframe for standard applications is 2</w:t>
      </w:r>
      <w:r w:rsidR="00BF3774">
        <w:t>55</w:t>
      </w:r>
      <w:r w:rsidR="00500337">
        <w:t xml:space="preserve"> working days</w:t>
      </w:r>
    </w:p>
    <w:p w:rsidR="008E7846" w:rsidRPr="003602A9" w:rsidRDefault="00500337" w:rsidP="00A32C9A">
      <w:pPr>
        <w:pStyle w:val="Heading2"/>
      </w:pPr>
      <w:bookmarkStart w:id="25" w:name="_Toc16166682"/>
      <w:r>
        <w:t>I</w:t>
      </w:r>
      <w:r w:rsidR="008E7846">
        <w:t>II. Quality</w:t>
      </w:r>
      <w:bookmarkEnd w:id="1"/>
      <w:r w:rsidR="008E7846">
        <w:t xml:space="preserve"> </w:t>
      </w:r>
      <w:r w:rsidR="008E7846" w:rsidRPr="00A32C9A">
        <w:t>findings</w:t>
      </w:r>
      <w:bookmarkEnd w:id="21"/>
      <w:bookmarkEnd w:id="22"/>
      <w:bookmarkEnd w:id="25"/>
    </w:p>
    <w:p w:rsidR="008E7846" w:rsidRDefault="00940A89" w:rsidP="008E7846">
      <w:bookmarkStart w:id="26" w:name="_Toc247691507"/>
      <w:bookmarkStart w:id="27" w:name="_Toc314842488"/>
      <w:r w:rsidRPr="00940A89">
        <w:t>There was no requirement for a quality evaluation in a submission of this type.</w:t>
      </w:r>
      <w:bookmarkEnd w:id="26"/>
      <w:bookmarkEnd w:id="27"/>
    </w:p>
    <w:p w:rsidR="008E7846" w:rsidRDefault="008E7846" w:rsidP="00822F69">
      <w:pPr>
        <w:pStyle w:val="Heading2"/>
      </w:pPr>
      <w:bookmarkStart w:id="28" w:name="_Toc196046439"/>
      <w:bookmarkStart w:id="29" w:name="_Toc247691510"/>
      <w:bookmarkStart w:id="30" w:name="_Toc314842494"/>
      <w:bookmarkStart w:id="31" w:name="_Toc16166683"/>
      <w:r>
        <w:t>I</w:t>
      </w:r>
      <w:r w:rsidR="00500337">
        <w:t>V</w:t>
      </w:r>
      <w:r>
        <w:t>. Nonclinical</w:t>
      </w:r>
      <w:bookmarkEnd w:id="28"/>
      <w:r>
        <w:t xml:space="preserve"> </w:t>
      </w:r>
      <w:r w:rsidRPr="00822F69">
        <w:t>findings</w:t>
      </w:r>
      <w:bookmarkEnd w:id="29"/>
      <w:bookmarkEnd w:id="30"/>
      <w:bookmarkEnd w:id="31"/>
    </w:p>
    <w:p w:rsidR="00940A89" w:rsidRDefault="00940A89" w:rsidP="000E6196">
      <w:bookmarkStart w:id="32" w:name="_Toc247691511"/>
      <w:bookmarkStart w:id="33" w:name="_Toc314842495"/>
      <w:r>
        <w:t>There was no requirement for a nonclinical evaluation in a submission of this type.</w:t>
      </w:r>
    </w:p>
    <w:p w:rsidR="008E7846" w:rsidRPr="00254787" w:rsidRDefault="008E7846" w:rsidP="00822F69">
      <w:pPr>
        <w:pStyle w:val="Heading2"/>
      </w:pPr>
      <w:bookmarkStart w:id="34" w:name="_Toc196046462"/>
      <w:bookmarkStart w:id="35" w:name="_Toc247691516"/>
      <w:bookmarkStart w:id="36" w:name="_Toc314842500"/>
      <w:bookmarkStart w:id="37" w:name="_Toc16166684"/>
      <w:bookmarkStart w:id="38" w:name="_Toc163441353"/>
      <w:bookmarkStart w:id="39" w:name="_Toc163441348"/>
      <w:bookmarkEnd w:id="32"/>
      <w:bookmarkEnd w:id="33"/>
      <w:r>
        <w:t xml:space="preserve">V. </w:t>
      </w:r>
      <w:r w:rsidRPr="00254787">
        <w:t>Clinical</w:t>
      </w:r>
      <w:bookmarkEnd w:id="34"/>
      <w:r>
        <w:t xml:space="preserve"> </w:t>
      </w:r>
      <w:r w:rsidR="003A7F6C" w:rsidRPr="00822F69">
        <w:t>f</w:t>
      </w:r>
      <w:r w:rsidRPr="00822F69">
        <w:t>indings</w:t>
      </w:r>
      <w:bookmarkEnd w:id="35"/>
      <w:bookmarkEnd w:id="36"/>
      <w:bookmarkEnd w:id="37"/>
    </w:p>
    <w:p w:rsidR="00C80137" w:rsidRDefault="00C80137" w:rsidP="00D425BB">
      <w:bookmarkStart w:id="40" w:name="_Toc196046463"/>
      <w:r>
        <w:t xml:space="preserve">A summary of the </w:t>
      </w:r>
      <w:r w:rsidRPr="00FD70B8">
        <w:t>clinical findings is presented in this section.</w:t>
      </w:r>
    </w:p>
    <w:p w:rsidR="008E7846" w:rsidRDefault="008E7846" w:rsidP="008E7846">
      <w:pPr>
        <w:pStyle w:val="Heading3"/>
      </w:pPr>
      <w:bookmarkStart w:id="41" w:name="_Toc247691517"/>
      <w:bookmarkStart w:id="42" w:name="_Toc314842501"/>
      <w:bookmarkStart w:id="43" w:name="_Toc16166685"/>
      <w:r w:rsidRPr="00254787">
        <w:t>Introduction</w:t>
      </w:r>
      <w:bookmarkEnd w:id="40"/>
      <w:bookmarkEnd w:id="41"/>
      <w:bookmarkEnd w:id="42"/>
      <w:bookmarkEnd w:id="43"/>
    </w:p>
    <w:p w:rsidR="00D7624C" w:rsidRDefault="00D7624C" w:rsidP="00D7624C">
      <w:r>
        <w:t xml:space="preserve">Denosumab is a human monoclonal antibody which targets the receptor activator of nuclear factor-kappa B ligand (RANKL). It is an </w:t>
      </w:r>
      <w:proofErr w:type="spellStart"/>
      <w:r>
        <w:t>antiresorptive</w:t>
      </w:r>
      <w:proofErr w:type="spellEnd"/>
      <w:r>
        <w:t xml:space="preserve"> drug.</w:t>
      </w:r>
    </w:p>
    <w:p w:rsidR="00D7624C" w:rsidRDefault="00D7624C" w:rsidP="00D7624C">
      <w:r>
        <w:t>This submission is an application to extend the indications of Prolia.</w:t>
      </w:r>
    </w:p>
    <w:p w:rsidR="00D7624C" w:rsidRPr="00D7624C" w:rsidRDefault="00D7624C" w:rsidP="00D7624C">
      <w:r w:rsidRPr="00D7624C">
        <w:t>The registered dosage form and strength is a 1 mL single-use pre-filled syringe containing 60</w:t>
      </w:r>
      <w:r w:rsidR="001350D8">
        <w:t xml:space="preserve"> mg</w:t>
      </w:r>
      <w:r w:rsidRPr="00D7624C">
        <w:t xml:space="preserve"> of denosumab in 1 mL (60</w:t>
      </w:r>
      <w:r w:rsidR="001350D8">
        <w:t xml:space="preserve"> mg</w:t>
      </w:r>
      <w:r w:rsidRPr="00D7624C">
        <w:t>/mL). Prefilled syringes with automatic needle guard and without the needle guard are registered (Australian Register of Therapeutic Goods (ARTG) numbers 159323 and 159322 respectively) however the syringe without the automatic needle guard is not available in Australia.</w:t>
      </w:r>
    </w:p>
    <w:p w:rsidR="00D7624C" w:rsidRPr="00D7624C" w:rsidRDefault="00D7624C" w:rsidP="00822F69">
      <w:pPr>
        <w:pStyle w:val="Heading4"/>
      </w:pPr>
      <w:bookmarkStart w:id="44" w:name="_Toc196046464"/>
      <w:bookmarkStart w:id="45" w:name="_Toc247691518"/>
      <w:bookmarkStart w:id="46" w:name="_Toc314842502"/>
      <w:r w:rsidRPr="00D7624C">
        <w:lastRenderedPageBreak/>
        <w:t>Information</w:t>
      </w:r>
      <w:r w:rsidR="00211AE1">
        <w:t xml:space="preserve"> on the </w:t>
      </w:r>
      <w:r w:rsidR="00211AE1" w:rsidRPr="00822F69">
        <w:t>condition</w:t>
      </w:r>
      <w:r w:rsidR="00211AE1">
        <w:t xml:space="preserve"> being treated</w:t>
      </w:r>
    </w:p>
    <w:p w:rsidR="00D7624C" w:rsidRPr="00D7624C" w:rsidRDefault="00D7624C" w:rsidP="00D7624C">
      <w:r w:rsidRPr="00D7624C">
        <w:t>Osteoporosis is characterised by low bone mass and the deterioration in bone microarchitecture; people with osteoporosis are at increased risk of bone fractures. Bone</w:t>
      </w:r>
      <w:r w:rsidR="00A276F3">
        <w:t xml:space="preserve"> </w:t>
      </w:r>
      <w:r w:rsidR="00DE1EFB" w:rsidRPr="00D7624C">
        <w:t xml:space="preserve">mineral density </w:t>
      </w:r>
      <w:r w:rsidRPr="00D7624C">
        <w:t>(BMD) is a measurement of bone mass and determines a patient’s T</w:t>
      </w:r>
      <w:r w:rsidR="00A276F3">
        <w:noBreakHyphen/>
      </w:r>
      <w:r w:rsidRPr="00D7624C">
        <w:t>score.</w:t>
      </w:r>
      <w:r w:rsidR="00624032">
        <w:rPr>
          <w:rStyle w:val="FootnoteReference"/>
        </w:rPr>
        <w:footnoteReference w:id="2"/>
      </w:r>
      <w:r w:rsidRPr="00D7624C">
        <w:t xml:space="preserve"> A T-score of -2.5 or lower is defined as osteoporosis and a T-score of between </w:t>
      </w:r>
      <w:r w:rsidR="00A276F3">
        <w:noBreakHyphen/>
      </w:r>
      <w:r w:rsidRPr="00D7624C">
        <w:t xml:space="preserve">1 and </w:t>
      </w:r>
      <w:r w:rsidR="00A276F3">
        <w:noBreakHyphen/>
      </w:r>
      <w:r w:rsidRPr="00D7624C">
        <w:t>2.5 is defined as osteop</w:t>
      </w:r>
      <w:r w:rsidR="00A276F3">
        <w:t>a</w:t>
      </w:r>
      <w:r w:rsidRPr="00D7624C">
        <w:t>enia.</w:t>
      </w:r>
      <w:r w:rsidR="002F7DEE">
        <w:rPr>
          <w:rStyle w:val="FootnoteReference"/>
        </w:rPr>
        <w:footnoteReference w:id="3"/>
      </w:r>
    </w:p>
    <w:p w:rsidR="002F7DEE" w:rsidRPr="002F7DEE" w:rsidRDefault="00D7624C" w:rsidP="002F7DEE">
      <w:r w:rsidRPr="002F7DEE">
        <w:t xml:space="preserve">The use of glucocorticoids is associated with bone loss due to increased bone resorption and reduced bone formation, mediated through </w:t>
      </w:r>
      <w:proofErr w:type="spellStart"/>
      <w:r w:rsidRPr="002F7DEE">
        <w:t>osteoprotegerin</w:t>
      </w:r>
      <w:proofErr w:type="spellEnd"/>
      <w:r w:rsidRPr="002F7DEE">
        <w:t xml:space="preserve"> suppression (an </w:t>
      </w:r>
      <w:proofErr w:type="spellStart"/>
      <w:r w:rsidRPr="002F7DEE">
        <w:t>osteoclastogenesis</w:t>
      </w:r>
      <w:proofErr w:type="spellEnd"/>
      <w:r w:rsidRPr="002F7DEE">
        <w:t xml:space="preserve"> inhibitor) and production of the receptor activator of nuclear factor kappa-B (RANK)</w:t>
      </w:r>
      <w:r w:rsidR="002F7DEE" w:rsidRPr="002F7DEE">
        <w:t>.</w:t>
      </w:r>
      <w:bookmarkStart w:id="47" w:name="_Ref531686465"/>
      <w:r w:rsidR="002F7DEE" w:rsidRPr="00211AE1">
        <w:rPr>
          <w:vertAlign w:val="superscript"/>
        </w:rPr>
        <w:footnoteReference w:id="4"/>
      </w:r>
      <w:bookmarkEnd w:id="47"/>
      <w:r w:rsidRPr="002F7DEE">
        <w:t xml:space="preserve"> Initial accelerated bone resorption results in early and rapid bone loss. With chronic corticosteroid use, reduction of bone formation predominates. Glucocorticoids also have indirect effects on</w:t>
      </w:r>
      <w:r w:rsidR="002F7DEE" w:rsidRPr="002F7DEE">
        <w:t xml:space="preserve"> bone by decreasing secretion of androgens and oestrogens, interfering with parathyroid hormone excretion and actions, decreasing production of insulin-like growth factor and testosterone, decreasing intestinal calcium absorption and decreasing renal calcium reabsorption</w:t>
      </w:r>
      <w:r w:rsidR="002F7DEE">
        <w:t>.</w:t>
      </w:r>
      <w:r w:rsidR="001350D8" w:rsidRPr="001350D8">
        <w:rPr>
          <w:vertAlign w:val="superscript"/>
        </w:rPr>
        <w:fldChar w:fldCharType="begin"/>
      </w:r>
      <w:r w:rsidR="001350D8" w:rsidRPr="001350D8">
        <w:rPr>
          <w:vertAlign w:val="superscript"/>
        </w:rPr>
        <w:instrText xml:space="preserve"> NOTEREF _Ref531686465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3</w:t>
      </w:r>
      <w:r w:rsidR="001350D8" w:rsidRPr="001350D8">
        <w:rPr>
          <w:vertAlign w:val="superscript"/>
        </w:rPr>
        <w:fldChar w:fldCharType="end"/>
      </w:r>
    </w:p>
    <w:p w:rsidR="002F7DEE" w:rsidRPr="002F7DEE" w:rsidRDefault="002F7DEE" w:rsidP="002F7DEE">
      <w:r w:rsidRPr="002F7DEE">
        <w:t>The risk of fracture associated with corticosteroids has been shown to increase within 3 to 6 months of starting oral corticosteroid therapy and reduces upon cessation of therapy</w:t>
      </w:r>
      <w:r>
        <w:t>.</w:t>
      </w:r>
      <w:r>
        <w:rPr>
          <w:rStyle w:val="FootnoteReference"/>
        </w:rPr>
        <w:footnoteReference w:id="5"/>
      </w:r>
      <w:r>
        <w:t xml:space="preserve"> </w:t>
      </w:r>
      <w:r w:rsidRPr="002F7DEE">
        <w:t>The fracture risk associated with corticosteroid use is not only related to bone mineral density but also an alteration of bone quality and an increased risk of falls</w:t>
      </w:r>
      <w:r>
        <w:t>;</w:t>
      </w:r>
      <w:bookmarkStart w:id="48" w:name="_Ref531686669"/>
      <w:r>
        <w:rPr>
          <w:rStyle w:val="FootnoteReference"/>
        </w:rPr>
        <w:footnoteReference w:id="6"/>
      </w:r>
      <w:bookmarkEnd w:id="48"/>
      <w:r w:rsidRPr="002F7DEE">
        <w:t xml:space="preserve"> fractures occur at a higher BMD value than those that occur in post-menopausal osteoporosis</w:t>
      </w:r>
      <w:r>
        <w:t>.</w:t>
      </w:r>
      <w:r>
        <w:rPr>
          <w:rStyle w:val="FootnoteReference"/>
        </w:rPr>
        <w:footnoteReference w:id="7"/>
      </w:r>
      <w:r w:rsidRPr="002F7DEE">
        <w:t xml:space="preserve"> In addition, the specific disease for which the corticosteroids are being administered may in itself also </w:t>
      </w:r>
      <w:r w:rsidR="00211AE1">
        <w:t>lead to bone loss and fracture;</w:t>
      </w:r>
      <w:r w:rsidRPr="002F7DEE">
        <w:t xml:space="preserve"> for example, rheumatoid arthritis and inflammatory bowel disease</w:t>
      </w:r>
      <w:r>
        <w:t>.</w:t>
      </w:r>
      <w:r w:rsidR="001350D8" w:rsidRPr="001350D8">
        <w:rPr>
          <w:vertAlign w:val="superscript"/>
        </w:rPr>
        <w:fldChar w:fldCharType="begin"/>
      </w:r>
      <w:r w:rsidR="001350D8" w:rsidRPr="001350D8">
        <w:rPr>
          <w:vertAlign w:val="superscript"/>
        </w:rPr>
        <w:instrText xml:space="preserve"> NOTEREF _Ref531686465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3</w:t>
      </w:r>
      <w:r w:rsidR="001350D8" w:rsidRPr="001350D8">
        <w:rPr>
          <w:vertAlign w:val="superscript"/>
        </w:rPr>
        <w:fldChar w:fldCharType="end"/>
      </w:r>
    </w:p>
    <w:p w:rsidR="00D7624C" w:rsidRDefault="002F7DEE" w:rsidP="002F7DEE">
      <w:r w:rsidRPr="002F7DEE">
        <w:t>Fract</w:t>
      </w:r>
      <w:r w:rsidR="00211AE1">
        <w:t xml:space="preserve">ures are thought to occur in 30 to </w:t>
      </w:r>
      <w:r w:rsidRPr="002F7DEE">
        <w:t>50% of patients receiving long-term glucocorticoids and prevalence increases with age</w:t>
      </w:r>
      <w:r>
        <w:t>.</w:t>
      </w:r>
      <w:bookmarkStart w:id="49" w:name="_Ref531695952"/>
      <w:r>
        <w:rPr>
          <w:rStyle w:val="FootnoteReference"/>
        </w:rPr>
        <w:footnoteReference w:id="8"/>
      </w:r>
      <w:bookmarkEnd w:id="49"/>
      <w:r w:rsidRPr="002F7DEE">
        <w:t xml:space="preserve"> Vertebral fractures are the most common</w:t>
      </w:r>
      <w:r>
        <w:t>.</w:t>
      </w:r>
      <w:r w:rsidR="001350D8" w:rsidRPr="001350D8">
        <w:rPr>
          <w:vertAlign w:val="superscript"/>
        </w:rPr>
        <w:fldChar w:fldCharType="begin"/>
      </w:r>
      <w:r w:rsidR="001350D8" w:rsidRPr="001350D8">
        <w:rPr>
          <w:vertAlign w:val="superscript"/>
        </w:rPr>
        <w:instrText xml:space="preserve"> NOTEREF _Ref531686465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3</w:t>
      </w:r>
      <w:r w:rsidR="001350D8" w:rsidRPr="001350D8">
        <w:rPr>
          <w:vertAlign w:val="superscript"/>
        </w:rPr>
        <w:fldChar w:fldCharType="end"/>
      </w:r>
    </w:p>
    <w:p w:rsidR="002F7DEE" w:rsidRPr="002F7DEE" w:rsidRDefault="002F7DEE" w:rsidP="00211AE1">
      <w:pPr>
        <w:pStyle w:val="Heading4"/>
      </w:pPr>
      <w:r w:rsidRPr="002F7DEE">
        <w:t>Current treatment option</w:t>
      </w:r>
      <w:r w:rsidR="00211AE1">
        <w:t>s</w:t>
      </w:r>
    </w:p>
    <w:p w:rsidR="002F7DEE" w:rsidRPr="002F7DEE" w:rsidRDefault="002F7DEE" w:rsidP="002F7DEE">
      <w:r w:rsidRPr="002F7DEE">
        <w:t>Patients starting long term glucocorticoid treatment should have their BMD measured before starting therapy and BMD</w:t>
      </w:r>
      <w:r>
        <w:t xml:space="preserve"> should be regularly monitored.</w:t>
      </w:r>
    </w:p>
    <w:p w:rsidR="002F7DEE" w:rsidRDefault="002F7DEE" w:rsidP="002F7DEE">
      <w:r w:rsidRPr="002F7DEE">
        <w:t>According to the Endocrinology Therapeutic Guidelines</w:t>
      </w:r>
      <w:r>
        <w:t>,</w:t>
      </w:r>
      <w:r>
        <w:rPr>
          <w:rStyle w:val="FootnoteReference"/>
        </w:rPr>
        <w:footnoteReference w:id="9"/>
      </w:r>
      <w:r w:rsidRPr="002F7DEE">
        <w:t xml:space="preserve"> bisphosphonates (alendronate, </w:t>
      </w:r>
      <w:proofErr w:type="spellStart"/>
      <w:r w:rsidRPr="002F7DEE">
        <w:t>risedronate</w:t>
      </w:r>
      <w:proofErr w:type="spellEnd"/>
      <w:r w:rsidRPr="002F7DEE">
        <w:t xml:space="preserve"> or </w:t>
      </w:r>
      <w:proofErr w:type="spellStart"/>
      <w:r w:rsidRPr="002F7DEE">
        <w:t>zoledronic</w:t>
      </w:r>
      <w:proofErr w:type="spellEnd"/>
      <w:r w:rsidRPr="002F7DEE">
        <w:t xml:space="preserve"> acid) given prophylactically to prevent further bone loss should be considered in patients with either osteop</w:t>
      </w:r>
      <w:r w:rsidR="00A276F3">
        <w:t>a</w:t>
      </w:r>
      <w:r w:rsidRPr="002F7DEE">
        <w:t>enia or oste</w:t>
      </w:r>
      <w:r w:rsidR="00211AE1">
        <w:t xml:space="preserve">oporosis (defined as T-score </w:t>
      </w:r>
      <w:r w:rsidR="001350D8">
        <w:t xml:space="preserve">&lt; </w:t>
      </w:r>
      <w:r w:rsidR="00211AE1">
        <w:noBreakHyphen/>
      </w:r>
      <w:r w:rsidRPr="002F7DEE">
        <w:t>1.0)</w:t>
      </w:r>
      <w:r w:rsidR="00A276F3">
        <w:t>;</w:t>
      </w:r>
      <w:r w:rsidRPr="002F7DEE">
        <w:t xml:space="preserve"> </w:t>
      </w:r>
      <w:r w:rsidR="00A276F3">
        <w:t>and</w:t>
      </w:r>
      <w:r w:rsidR="00A276F3" w:rsidRPr="002F7DEE">
        <w:t xml:space="preserve"> </w:t>
      </w:r>
      <w:r w:rsidRPr="002F7DEE">
        <w:t>planned to receive either more than 5</w:t>
      </w:r>
      <w:r w:rsidR="001350D8">
        <w:t xml:space="preserve"> mg</w:t>
      </w:r>
      <w:r w:rsidRPr="002F7DEE">
        <w:t xml:space="preserve"> oral prednisolone (or equivalent) daily or high doses of inhaled glucocorticoids for three months or more. Oestrogen/progestin therapy may be considered in postmenopausal women and </w:t>
      </w:r>
      <w:proofErr w:type="spellStart"/>
      <w:r w:rsidRPr="002F7DEE">
        <w:lastRenderedPageBreak/>
        <w:t>teriparatide</w:t>
      </w:r>
      <w:proofErr w:type="spellEnd"/>
      <w:r w:rsidRPr="002F7DEE">
        <w:t xml:space="preserve"> is a second line therapy in this setting. Preventive treatment is only required whilst the patient is taking glucocorticoids.</w:t>
      </w:r>
    </w:p>
    <w:p w:rsidR="002F7DEE" w:rsidRDefault="002F7DEE" w:rsidP="002F7DEE">
      <w:r w:rsidRPr="002F7DEE">
        <w:t>Recommendations from Osteoporosis Australia are slightly different</w:t>
      </w:r>
      <w:r w:rsidR="00211AE1">
        <w:t xml:space="preserve"> to the Therapeutic Guidelines;</w:t>
      </w:r>
      <w:r w:rsidRPr="002F7DEE">
        <w:t xml:space="preserve"> this organisation recommends that all people over the age of 50 receiving corticosteroid therapy (oral or inhaled) of </w:t>
      </w:r>
      <w:r w:rsidR="009A3208">
        <w:t>‘</w:t>
      </w:r>
      <w:r w:rsidRPr="002F7DEE">
        <w:t>7.5</w:t>
      </w:r>
      <w:r w:rsidR="001350D8">
        <w:t xml:space="preserve"> mg</w:t>
      </w:r>
      <w:r w:rsidRPr="002F7DEE">
        <w:t xml:space="preserve"> daily</w:t>
      </w:r>
      <w:r w:rsidR="009A3208">
        <w:t>’</w:t>
      </w:r>
      <w:r w:rsidRPr="002F7DEE">
        <w:t>(drug name is not explicitly stated) for at l</w:t>
      </w:r>
      <w:r w:rsidR="00211AE1">
        <w:t xml:space="preserve">east 3 months and a T score of </w:t>
      </w:r>
      <w:r w:rsidR="00211AE1">
        <w:noBreakHyphen/>
      </w:r>
      <w:r w:rsidRPr="002F7DEE">
        <w:t>1.5 or less should receive treatment to prevent osteoporosis</w:t>
      </w:r>
      <w:r>
        <w:t>.</w:t>
      </w:r>
      <w:r>
        <w:rPr>
          <w:rStyle w:val="FootnoteReference"/>
        </w:rPr>
        <w:footnoteReference w:id="10"/>
      </w:r>
    </w:p>
    <w:p w:rsidR="00211AE1" w:rsidRDefault="002F7DEE" w:rsidP="002F7DEE">
      <w:r w:rsidRPr="002F7DEE">
        <w:t>However, the nomenclature is confusing. Neither the Therapeutic Guidelines nor the recommendations from Osteoporosis Australia clearly distinguish between prevention and treatment of osteoporosis, given that both recommendations include people with existing osteoporosis. True preventat</w:t>
      </w:r>
      <w:r w:rsidR="00211AE1">
        <w:t>ive treatment is not discussed;</w:t>
      </w:r>
      <w:r w:rsidRPr="002F7DEE">
        <w:t xml:space="preserve"> that is, prevention of BMD loss in patients with normal BMD</w:t>
      </w:r>
      <w:r w:rsidR="00211AE1">
        <w:t>.</w:t>
      </w:r>
    </w:p>
    <w:p w:rsidR="002F7DEE" w:rsidRPr="002F7DEE" w:rsidRDefault="00211AE1" w:rsidP="002F7DEE">
      <w:pPr>
        <w:pStyle w:val="Heading5"/>
        <w:rPr>
          <w:rFonts w:eastAsiaTheme="minorHAnsi"/>
        </w:rPr>
      </w:pPr>
      <w:r>
        <w:rPr>
          <w:rFonts w:eastAsiaTheme="minorHAnsi"/>
        </w:rPr>
        <w:t>Treatment currently available</w:t>
      </w:r>
    </w:p>
    <w:p w:rsidR="002F7DEE" w:rsidRDefault="002F7DEE" w:rsidP="002F7DEE">
      <w:pPr>
        <w:rPr>
          <w:rFonts w:eastAsiaTheme="minorHAnsi" w:cs="Cambria"/>
          <w:color w:val="000000"/>
        </w:rPr>
      </w:pPr>
      <w:r w:rsidRPr="002F7DEE">
        <w:rPr>
          <w:rFonts w:eastAsiaTheme="minorHAnsi" w:cs="Cambria"/>
          <w:color w:val="000000"/>
        </w:rPr>
        <w:t>The following drugs are approved for use in Australia with regards to gluc</w:t>
      </w:r>
      <w:r w:rsidR="00211AE1">
        <w:rPr>
          <w:rFonts w:eastAsiaTheme="minorHAnsi" w:cs="Cambria"/>
          <w:color w:val="000000"/>
        </w:rPr>
        <w:t>ocorticoid induced o</w:t>
      </w:r>
      <w:r w:rsidR="00B0277C">
        <w:rPr>
          <w:rFonts w:eastAsiaTheme="minorHAnsi" w:cs="Cambria"/>
          <w:color w:val="000000"/>
        </w:rPr>
        <w:t>steoporosis. As shown in Table 3</w:t>
      </w:r>
      <w:r w:rsidR="00211AE1">
        <w:rPr>
          <w:rFonts w:eastAsiaTheme="minorHAnsi" w:cs="Cambria"/>
          <w:color w:val="000000"/>
        </w:rPr>
        <w:t>.</w:t>
      </w:r>
    </w:p>
    <w:p w:rsidR="002F7DEE" w:rsidRDefault="00B0277C" w:rsidP="002F7DEE">
      <w:pPr>
        <w:pStyle w:val="TableTitle"/>
      </w:pPr>
      <w:r>
        <w:t>Table 3</w:t>
      </w:r>
      <w:r w:rsidR="00211AE1">
        <w:t>:</w:t>
      </w:r>
      <w:r w:rsidR="002F7DEE">
        <w:t xml:space="preserve"> Drugs approved for use in the treatment of glucocorticoid induced osteoporosis in Australia</w:t>
      </w:r>
    </w:p>
    <w:tbl>
      <w:tblPr>
        <w:tblStyle w:val="TableTGAblue"/>
        <w:tblW w:w="0" w:type="auto"/>
        <w:tblLook w:val="04A0" w:firstRow="1" w:lastRow="0" w:firstColumn="1" w:lastColumn="0" w:noHBand="0" w:noVBand="1"/>
      </w:tblPr>
      <w:tblGrid>
        <w:gridCol w:w="2906"/>
        <w:gridCol w:w="2907"/>
        <w:gridCol w:w="2907"/>
      </w:tblGrid>
      <w:tr w:rsidR="002F7DEE" w:rsidRPr="002F7DEE" w:rsidTr="002F7DEE">
        <w:trPr>
          <w:cnfStyle w:val="100000000000" w:firstRow="1" w:lastRow="0" w:firstColumn="0" w:lastColumn="0" w:oddVBand="0" w:evenVBand="0" w:oddHBand="0" w:evenHBand="0" w:firstRowFirstColumn="0" w:firstRowLastColumn="0" w:lastRowFirstColumn="0" w:lastRowLastColumn="0"/>
        </w:trPr>
        <w:tc>
          <w:tcPr>
            <w:tcW w:w="2906" w:type="dxa"/>
          </w:tcPr>
          <w:p w:rsidR="002F7DEE" w:rsidRPr="002F7DEE" w:rsidRDefault="002F7DEE" w:rsidP="002F7DEE">
            <w:r w:rsidRPr="002F7DEE">
              <w:t>Drug</w:t>
            </w:r>
          </w:p>
        </w:tc>
        <w:tc>
          <w:tcPr>
            <w:tcW w:w="2907" w:type="dxa"/>
          </w:tcPr>
          <w:p w:rsidR="002F7DEE" w:rsidRPr="002F7DEE" w:rsidRDefault="00624032" w:rsidP="002F7DEE">
            <w:r>
              <w:t>Approved indication(s)</w:t>
            </w:r>
          </w:p>
        </w:tc>
        <w:tc>
          <w:tcPr>
            <w:tcW w:w="2907" w:type="dxa"/>
          </w:tcPr>
          <w:p w:rsidR="002F7DEE" w:rsidRPr="002F7DEE" w:rsidRDefault="002F7DEE" w:rsidP="002F7DEE">
            <w:r w:rsidRPr="002F7DEE">
              <w:t>Population enrolled</w:t>
            </w:r>
          </w:p>
          <w:p w:rsidR="002F7DEE" w:rsidRPr="002F7DEE" w:rsidRDefault="002F7DEE" w:rsidP="002F7DEE">
            <w:r w:rsidRPr="002F7DEE">
              <w:t xml:space="preserve">(based on information in the PI) </w:t>
            </w:r>
          </w:p>
        </w:tc>
      </w:tr>
      <w:tr w:rsidR="002F7DEE" w:rsidRPr="002F7DEE" w:rsidTr="002F7DEE">
        <w:tc>
          <w:tcPr>
            <w:tcW w:w="2906" w:type="dxa"/>
          </w:tcPr>
          <w:p w:rsidR="002F7DEE" w:rsidRPr="00624032" w:rsidRDefault="002F7DEE" w:rsidP="002F7DEE">
            <w:pPr>
              <w:pStyle w:val="Default"/>
              <w:rPr>
                <w:sz w:val="20"/>
                <w:szCs w:val="20"/>
              </w:rPr>
            </w:pPr>
            <w:r w:rsidRPr="00624032">
              <w:rPr>
                <w:sz w:val="20"/>
                <w:szCs w:val="20"/>
              </w:rPr>
              <w:t>Fosamax (alendronate)</w:t>
            </w:r>
          </w:p>
        </w:tc>
        <w:tc>
          <w:tcPr>
            <w:tcW w:w="2907" w:type="dxa"/>
          </w:tcPr>
          <w:p w:rsidR="002F7DEE" w:rsidRPr="00624032" w:rsidRDefault="002F7DEE" w:rsidP="00624032">
            <w:pPr>
              <w:pStyle w:val="ListBullet"/>
              <w:ind w:left="357" w:right="0" w:hanging="357"/>
              <w:rPr>
                <w:sz w:val="20"/>
                <w:szCs w:val="20"/>
              </w:rPr>
            </w:pPr>
            <w:r w:rsidRPr="00624032">
              <w:rPr>
                <w:sz w:val="20"/>
                <w:szCs w:val="20"/>
              </w:rPr>
              <w:t>Treatment of osteoporosis, including gluc</w:t>
            </w:r>
            <w:r w:rsidR="00211AE1" w:rsidRPr="00624032">
              <w:rPr>
                <w:sz w:val="20"/>
                <w:szCs w:val="20"/>
              </w:rPr>
              <w:t>ocorticoid induced osteoporosis</w:t>
            </w:r>
          </w:p>
          <w:p w:rsidR="002F7DEE" w:rsidRPr="00624032" w:rsidRDefault="002F7DEE" w:rsidP="00624032">
            <w:pPr>
              <w:pStyle w:val="ListBullet"/>
              <w:ind w:left="357" w:right="0" w:hanging="357"/>
              <w:rPr>
                <w:sz w:val="20"/>
                <w:szCs w:val="20"/>
              </w:rPr>
            </w:pPr>
            <w:r w:rsidRPr="00624032">
              <w:rPr>
                <w:rFonts w:cstheme="minorBidi"/>
                <w:sz w:val="20"/>
                <w:szCs w:val="20"/>
              </w:rPr>
              <w:t xml:space="preserve">Prevention of glucocorticoid induced osteoporosis in those patients on long </w:t>
            </w:r>
            <w:r w:rsidR="00332542" w:rsidRPr="00624032">
              <w:rPr>
                <w:rFonts w:cstheme="minorBidi"/>
                <w:sz w:val="20"/>
                <w:szCs w:val="20"/>
              </w:rPr>
              <w:t>term corticosteroids</w:t>
            </w:r>
            <w:r w:rsidR="00624032">
              <w:rPr>
                <w:sz w:val="20"/>
                <w:szCs w:val="20"/>
              </w:rPr>
              <w:t>.</w:t>
            </w:r>
          </w:p>
        </w:tc>
        <w:tc>
          <w:tcPr>
            <w:tcW w:w="2907" w:type="dxa"/>
          </w:tcPr>
          <w:p w:rsidR="002F7DEE" w:rsidRPr="00624032" w:rsidRDefault="00332542" w:rsidP="00332542">
            <w:pPr>
              <w:pStyle w:val="Default"/>
              <w:rPr>
                <w:sz w:val="20"/>
                <w:szCs w:val="20"/>
              </w:rPr>
            </w:pPr>
            <w:r w:rsidRPr="00624032">
              <w:rPr>
                <w:sz w:val="20"/>
                <w:szCs w:val="20"/>
              </w:rPr>
              <w:t>Patients were receiving at least 7.5</w:t>
            </w:r>
            <w:r w:rsidR="001350D8" w:rsidRPr="00624032">
              <w:rPr>
                <w:sz w:val="20"/>
                <w:szCs w:val="20"/>
              </w:rPr>
              <w:t xml:space="preserve"> mg</w:t>
            </w:r>
            <w:r w:rsidRPr="00624032">
              <w:rPr>
                <w:sz w:val="20"/>
                <w:szCs w:val="20"/>
              </w:rPr>
              <w:t>/day of prednisolone or equivalent. 57% of patients had osteopenia/osteoporosis at study commencement.</w:t>
            </w:r>
          </w:p>
        </w:tc>
      </w:tr>
      <w:tr w:rsidR="002F7DEE" w:rsidRPr="002F7DEE" w:rsidTr="002F7DEE">
        <w:tc>
          <w:tcPr>
            <w:tcW w:w="2906" w:type="dxa"/>
          </w:tcPr>
          <w:p w:rsidR="002F7DEE" w:rsidRPr="00624032" w:rsidRDefault="00624032" w:rsidP="00332542">
            <w:pPr>
              <w:pStyle w:val="Default"/>
              <w:rPr>
                <w:sz w:val="20"/>
                <w:szCs w:val="20"/>
              </w:rPr>
            </w:pPr>
            <w:r w:rsidRPr="00624032">
              <w:rPr>
                <w:sz w:val="20"/>
                <w:szCs w:val="20"/>
              </w:rPr>
              <w:t>Actonel (risedronate)</w:t>
            </w:r>
          </w:p>
        </w:tc>
        <w:tc>
          <w:tcPr>
            <w:tcW w:w="2907" w:type="dxa"/>
          </w:tcPr>
          <w:p w:rsidR="002F7DEE" w:rsidRPr="00624032" w:rsidRDefault="00332542" w:rsidP="00332542">
            <w:pPr>
              <w:pStyle w:val="Default"/>
              <w:ind w:left="0"/>
              <w:rPr>
                <w:sz w:val="20"/>
                <w:szCs w:val="20"/>
              </w:rPr>
            </w:pPr>
            <w:r w:rsidRPr="00624032">
              <w:rPr>
                <w:sz w:val="20"/>
                <w:szCs w:val="20"/>
              </w:rPr>
              <w:t xml:space="preserve">Treatment of </w:t>
            </w:r>
            <w:r w:rsidR="0065393E" w:rsidRPr="00624032">
              <w:rPr>
                <w:sz w:val="20"/>
                <w:szCs w:val="20"/>
              </w:rPr>
              <w:t>glucocorticoid induced</w:t>
            </w:r>
            <w:r w:rsidR="00624032">
              <w:rPr>
                <w:sz w:val="20"/>
                <w:szCs w:val="20"/>
              </w:rPr>
              <w:t xml:space="preserve"> osteoporosis.</w:t>
            </w:r>
          </w:p>
        </w:tc>
        <w:tc>
          <w:tcPr>
            <w:tcW w:w="2907" w:type="dxa"/>
          </w:tcPr>
          <w:p w:rsidR="00332542" w:rsidRPr="00624032" w:rsidRDefault="00332542" w:rsidP="00211AE1">
            <w:pPr>
              <w:pStyle w:val="Default"/>
              <w:ind w:left="0" w:right="0"/>
              <w:rPr>
                <w:sz w:val="20"/>
                <w:szCs w:val="20"/>
              </w:rPr>
            </w:pPr>
            <w:r w:rsidRPr="00624032">
              <w:rPr>
                <w:sz w:val="20"/>
                <w:szCs w:val="20"/>
              </w:rPr>
              <w:t>1. Initiated corticosteroid therapy (&gt; 7.5</w:t>
            </w:r>
            <w:r w:rsidR="001350D8" w:rsidRPr="00624032">
              <w:rPr>
                <w:sz w:val="20"/>
                <w:szCs w:val="20"/>
              </w:rPr>
              <w:t xml:space="preserve"> mg</w:t>
            </w:r>
            <w:r w:rsidRPr="00624032">
              <w:rPr>
                <w:sz w:val="20"/>
                <w:szCs w:val="20"/>
              </w:rPr>
              <w:t xml:space="preserve">/day of prednisolone or equivalent) within the previous 3 months and normal BMD lumbar spine </w:t>
            </w:r>
          </w:p>
          <w:p w:rsidR="002F7DEE" w:rsidRPr="00624032" w:rsidRDefault="00332542" w:rsidP="00211AE1">
            <w:pPr>
              <w:pStyle w:val="Default"/>
              <w:ind w:left="0" w:right="0"/>
              <w:rPr>
                <w:sz w:val="20"/>
                <w:szCs w:val="20"/>
              </w:rPr>
            </w:pPr>
            <w:r w:rsidRPr="00624032">
              <w:rPr>
                <w:sz w:val="20"/>
                <w:szCs w:val="20"/>
              </w:rPr>
              <w:t>2. Continuing, long-term use (&gt;</w:t>
            </w:r>
            <w:r w:rsidR="009A3208">
              <w:rPr>
                <w:sz w:val="20"/>
                <w:szCs w:val="20"/>
              </w:rPr>
              <w:t> </w:t>
            </w:r>
            <w:r w:rsidRPr="00624032">
              <w:rPr>
                <w:sz w:val="20"/>
                <w:szCs w:val="20"/>
              </w:rPr>
              <w:t>6 months) of corticost</w:t>
            </w:r>
            <w:r w:rsidR="00624032">
              <w:rPr>
                <w:sz w:val="20"/>
                <w:szCs w:val="20"/>
              </w:rPr>
              <w:t>eroids and low BMD lumbar spine.</w:t>
            </w:r>
          </w:p>
        </w:tc>
      </w:tr>
      <w:tr w:rsidR="002F7DEE" w:rsidRPr="002F7DEE" w:rsidTr="007A14BF">
        <w:trPr>
          <w:cantSplit/>
        </w:trPr>
        <w:tc>
          <w:tcPr>
            <w:tcW w:w="2906" w:type="dxa"/>
          </w:tcPr>
          <w:p w:rsidR="002F7DEE" w:rsidRPr="00624032" w:rsidRDefault="00624032" w:rsidP="00332542">
            <w:pPr>
              <w:pStyle w:val="Default"/>
              <w:rPr>
                <w:sz w:val="20"/>
                <w:szCs w:val="20"/>
              </w:rPr>
            </w:pPr>
            <w:proofErr w:type="spellStart"/>
            <w:r w:rsidRPr="00624032">
              <w:rPr>
                <w:sz w:val="20"/>
                <w:szCs w:val="20"/>
              </w:rPr>
              <w:t>Aclasta</w:t>
            </w:r>
            <w:proofErr w:type="spellEnd"/>
            <w:r w:rsidRPr="00624032">
              <w:rPr>
                <w:sz w:val="20"/>
                <w:szCs w:val="20"/>
              </w:rPr>
              <w:t xml:space="preserve"> (</w:t>
            </w:r>
            <w:proofErr w:type="spellStart"/>
            <w:r w:rsidRPr="00624032">
              <w:rPr>
                <w:sz w:val="20"/>
                <w:szCs w:val="20"/>
              </w:rPr>
              <w:t>zoledronic</w:t>
            </w:r>
            <w:proofErr w:type="spellEnd"/>
            <w:r w:rsidRPr="00624032">
              <w:rPr>
                <w:sz w:val="20"/>
                <w:szCs w:val="20"/>
              </w:rPr>
              <w:t xml:space="preserve"> acid)</w:t>
            </w:r>
          </w:p>
        </w:tc>
        <w:tc>
          <w:tcPr>
            <w:tcW w:w="2907" w:type="dxa"/>
          </w:tcPr>
          <w:p w:rsidR="00211AE1" w:rsidRPr="00624032" w:rsidRDefault="00332542" w:rsidP="00211AE1">
            <w:pPr>
              <w:pStyle w:val="Default"/>
              <w:ind w:left="0" w:right="0"/>
              <w:rPr>
                <w:sz w:val="20"/>
                <w:szCs w:val="20"/>
              </w:rPr>
            </w:pPr>
            <w:r w:rsidRPr="00624032">
              <w:rPr>
                <w:sz w:val="20"/>
                <w:szCs w:val="20"/>
              </w:rPr>
              <w:t xml:space="preserve">To prevent </w:t>
            </w:r>
            <w:r w:rsidR="0065393E" w:rsidRPr="00624032">
              <w:rPr>
                <w:sz w:val="20"/>
                <w:szCs w:val="20"/>
              </w:rPr>
              <w:t>glucocorticoid induced</w:t>
            </w:r>
            <w:r w:rsidRPr="00624032">
              <w:rPr>
                <w:sz w:val="20"/>
                <w:szCs w:val="20"/>
              </w:rPr>
              <w:t xml:space="preserve"> bone mineral density loss</w:t>
            </w:r>
            <w:r w:rsidR="00211AE1" w:rsidRPr="00624032">
              <w:rPr>
                <w:sz w:val="20"/>
                <w:szCs w:val="20"/>
              </w:rPr>
              <w:t>.</w:t>
            </w:r>
          </w:p>
          <w:p w:rsidR="002F7DEE" w:rsidRPr="00624032" w:rsidRDefault="00332542" w:rsidP="00624032">
            <w:pPr>
              <w:pStyle w:val="ListBullet"/>
              <w:ind w:left="357" w:right="0" w:hanging="357"/>
              <w:rPr>
                <w:sz w:val="20"/>
                <w:szCs w:val="20"/>
              </w:rPr>
            </w:pPr>
            <w:r w:rsidRPr="00624032">
              <w:rPr>
                <w:sz w:val="20"/>
                <w:szCs w:val="20"/>
              </w:rPr>
              <w:t>To increase Bone mineral density in patients associated wit</w:t>
            </w:r>
            <w:r w:rsidR="00211AE1" w:rsidRPr="00624032">
              <w:rPr>
                <w:sz w:val="20"/>
                <w:szCs w:val="20"/>
              </w:rPr>
              <w:t>h long term glucocorticoid use.</w:t>
            </w:r>
          </w:p>
        </w:tc>
        <w:tc>
          <w:tcPr>
            <w:tcW w:w="2907" w:type="dxa"/>
          </w:tcPr>
          <w:p w:rsidR="00332542" w:rsidRPr="00624032" w:rsidRDefault="00332542" w:rsidP="00211AE1">
            <w:pPr>
              <w:pStyle w:val="Default"/>
              <w:ind w:left="0" w:right="0"/>
              <w:rPr>
                <w:sz w:val="20"/>
                <w:szCs w:val="20"/>
              </w:rPr>
            </w:pPr>
            <w:r w:rsidRPr="00624032">
              <w:rPr>
                <w:sz w:val="20"/>
                <w:szCs w:val="20"/>
              </w:rPr>
              <w:t>1. Patients in the prevention subpopulation were treated with glucocorticoids ≤</w:t>
            </w:r>
            <w:r w:rsidR="009A3208">
              <w:rPr>
                <w:sz w:val="20"/>
                <w:szCs w:val="20"/>
              </w:rPr>
              <w:t> </w:t>
            </w:r>
            <w:r w:rsidRPr="00624032">
              <w:rPr>
                <w:sz w:val="20"/>
                <w:szCs w:val="20"/>
              </w:rPr>
              <w:t>3</w:t>
            </w:r>
            <w:r w:rsidR="009A3208">
              <w:rPr>
                <w:sz w:val="20"/>
                <w:szCs w:val="20"/>
              </w:rPr>
              <w:t> </w:t>
            </w:r>
            <w:r w:rsidRPr="00624032">
              <w:rPr>
                <w:sz w:val="20"/>
                <w:szCs w:val="20"/>
              </w:rPr>
              <w:t xml:space="preserve">months prior to randomisation </w:t>
            </w:r>
          </w:p>
          <w:p w:rsidR="002F7DEE" w:rsidRPr="00624032" w:rsidRDefault="00332542" w:rsidP="00211AE1">
            <w:pPr>
              <w:pStyle w:val="Default"/>
              <w:ind w:left="0" w:right="0"/>
              <w:rPr>
                <w:sz w:val="20"/>
                <w:szCs w:val="20"/>
              </w:rPr>
            </w:pPr>
            <w:r w:rsidRPr="00624032">
              <w:rPr>
                <w:sz w:val="20"/>
                <w:szCs w:val="20"/>
              </w:rPr>
              <w:t xml:space="preserve">2. Treatment subpopulation was treated with glucocorticoids </w:t>
            </w:r>
            <w:r w:rsidR="001350D8" w:rsidRPr="00624032">
              <w:rPr>
                <w:sz w:val="20"/>
                <w:szCs w:val="20"/>
              </w:rPr>
              <w:t xml:space="preserve">≥ </w:t>
            </w:r>
            <w:r w:rsidRPr="00624032">
              <w:rPr>
                <w:sz w:val="20"/>
                <w:szCs w:val="20"/>
              </w:rPr>
              <w:t>3</w:t>
            </w:r>
            <w:r w:rsidR="00624032">
              <w:rPr>
                <w:sz w:val="20"/>
                <w:szCs w:val="20"/>
              </w:rPr>
              <w:t xml:space="preserve"> months prior to randomisation.</w:t>
            </w:r>
          </w:p>
        </w:tc>
      </w:tr>
      <w:tr w:rsidR="002F7DEE" w:rsidRPr="002F7DEE" w:rsidTr="002F7DEE">
        <w:tc>
          <w:tcPr>
            <w:tcW w:w="2906" w:type="dxa"/>
          </w:tcPr>
          <w:p w:rsidR="002F7DEE" w:rsidRPr="00624032" w:rsidRDefault="00624032" w:rsidP="00332542">
            <w:pPr>
              <w:pStyle w:val="Default"/>
              <w:rPr>
                <w:sz w:val="20"/>
                <w:szCs w:val="20"/>
              </w:rPr>
            </w:pPr>
            <w:proofErr w:type="spellStart"/>
            <w:r>
              <w:rPr>
                <w:sz w:val="20"/>
                <w:szCs w:val="20"/>
              </w:rPr>
              <w:t>Forteo</w:t>
            </w:r>
            <w:proofErr w:type="spellEnd"/>
            <w:r>
              <w:rPr>
                <w:sz w:val="20"/>
                <w:szCs w:val="20"/>
              </w:rPr>
              <w:t xml:space="preserve"> (</w:t>
            </w:r>
            <w:proofErr w:type="spellStart"/>
            <w:r>
              <w:rPr>
                <w:sz w:val="20"/>
                <w:szCs w:val="20"/>
              </w:rPr>
              <w:t>teriparatide</w:t>
            </w:r>
            <w:proofErr w:type="spellEnd"/>
            <w:r>
              <w:rPr>
                <w:sz w:val="20"/>
                <w:szCs w:val="20"/>
              </w:rPr>
              <w:t>)</w:t>
            </w:r>
          </w:p>
        </w:tc>
        <w:tc>
          <w:tcPr>
            <w:tcW w:w="2907" w:type="dxa"/>
          </w:tcPr>
          <w:p w:rsidR="002F7DEE" w:rsidRPr="00624032" w:rsidRDefault="00332542" w:rsidP="00211AE1">
            <w:pPr>
              <w:pStyle w:val="Default"/>
              <w:ind w:left="0" w:right="0"/>
              <w:rPr>
                <w:sz w:val="20"/>
                <w:szCs w:val="20"/>
              </w:rPr>
            </w:pPr>
            <w:r w:rsidRPr="00624032">
              <w:rPr>
                <w:sz w:val="20"/>
                <w:szCs w:val="20"/>
              </w:rPr>
              <w:t xml:space="preserve">Treatment of osteoporosis associated with sustained </w:t>
            </w:r>
            <w:r w:rsidRPr="00624032">
              <w:rPr>
                <w:sz w:val="20"/>
                <w:szCs w:val="20"/>
              </w:rPr>
              <w:lastRenderedPageBreak/>
              <w:t>systemic glucocorticoid therapy in women and</w:t>
            </w:r>
            <w:r w:rsidR="00624032">
              <w:rPr>
                <w:sz w:val="20"/>
                <w:szCs w:val="20"/>
              </w:rPr>
              <w:t xml:space="preserve"> men at high risk for fracture.</w:t>
            </w:r>
          </w:p>
        </w:tc>
        <w:tc>
          <w:tcPr>
            <w:tcW w:w="2907" w:type="dxa"/>
          </w:tcPr>
          <w:p w:rsidR="002F7DEE" w:rsidRPr="00624032" w:rsidRDefault="00332542" w:rsidP="00211AE1">
            <w:pPr>
              <w:pStyle w:val="Default"/>
              <w:ind w:left="0" w:right="0"/>
              <w:rPr>
                <w:sz w:val="20"/>
                <w:szCs w:val="20"/>
              </w:rPr>
            </w:pPr>
            <w:r w:rsidRPr="00624032">
              <w:rPr>
                <w:sz w:val="20"/>
                <w:szCs w:val="20"/>
              </w:rPr>
              <w:lastRenderedPageBreak/>
              <w:t xml:space="preserve">Patients had received sustained systemic </w:t>
            </w:r>
            <w:r w:rsidRPr="00624032">
              <w:rPr>
                <w:sz w:val="20"/>
                <w:szCs w:val="20"/>
              </w:rPr>
              <w:lastRenderedPageBreak/>
              <w:t>glucocorticoid therapy (equivalent to 5</w:t>
            </w:r>
            <w:r w:rsidR="001350D8" w:rsidRPr="00624032">
              <w:rPr>
                <w:sz w:val="20"/>
                <w:szCs w:val="20"/>
              </w:rPr>
              <w:t xml:space="preserve"> mg</w:t>
            </w:r>
            <w:r w:rsidRPr="00624032">
              <w:rPr>
                <w:sz w:val="20"/>
                <w:szCs w:val="20"/>
              </w:rPr>
              <w:t xml:space="preserve"> or greater of prednisolone for at least 3 months), had low BMD and a proport</w:t>
            </w:r>
            <w:r w:rsidR="00624032">
              <w:rPr>
                <w:sz w:val="20"/>
                <w:szCs w:val="20"/>
              </w:rPr>
              <w:t>ion of population had fractures.</w:t>
            </w:r>
          </w:p>
        </w:tc>
      </w:tr>
    </w:tbl>
    <w:p w:rsidR="00332542" w:rsidRDefault="00332542" w:rsidP="002F7DEE"/>
    <w:p w:rsidR="002F7DEE" w:rsidRPr="002F7DEE" w:rsidRDefault="00332542" w:rsidP="002F7DEE">
      <w:r>
        <w:t>Other important steps for management of glucocorticoid induced osteoporosis are ensuring that other risk factors are minimised and the administration of Vitamin D supplementation. Calcium supplementation is recommended only if there is insufficient dietary intake.</w:t>
      </w:r>
    </w:p>
    <w:p w:rsidR="00605AD4" w:rsidRDefault="00605AD4" w:rsidP="00A54D03">
      <w:pPr>
        <w:pStyle w:val="Heading3"/>
      </w:pPr>
      <w:bookmarkStart w:id="50" w:name="_Toc16166686"/>
      <w:r w:rsidRPr="00605AD4">
        <w:t xml:space="preserve">Clinical </w:t>
      </w:r>
      <w:r w:rsidR="00EF59DC">
        <w:t>r</w:t>
      </w:r>
      <w:r w:rsidRPr="00605AD4">
        <w:t>ationale</w:t>
      </w:r>
      <w:bookmarkEnd w:id="50"/>
    </w:p>
    <w:p w:rsidR="00211AE1" w:rsidRDefault="00332542" w:rsidP="00332542">
      <w:r w:rsidRPr="00332542">
        <w:t>Long term use of glucocorticoids is associated with increased fracture risk</w:t>
      </w:r>
      <w:r w:rsidR="00211AE1">
        <w:t>.</w:t>
      </w:r>
    </w:p>
    <w:p w:rsidR="00211AE1" w:rsidRDefault="00332542" w:rsidP="00332542">
      <w:r w:rsidRPr="00332542">
        <w:t>Glucocorticoids increase bone resorption and reduce bone formation. At a cellular level, the effects are via the glucocorticoid type 2 receptors which are found on pre</w:t>
      </w:r>
      <w:r w:rsidR="00A276F3">
        <w:noBreakHyphen/>
      </w:r>
      <w:r w:rsidRPr="00332542">
        <w:t>osteoblasts/stromal cells and osteoblasts</w:t>
      </w:r>
      <w:r w:rsidR="00211AE1">
        <w:t>.</w:t>
      </w:r>
    </w:p>
    <w:p w:rsidR="00211AE1" w:rsidRDefault="00332542" w:rsidP="00822F69">
      <w:r w:rsidRPr="00332542">
        <w:t xml:space="preserve">Glucocorticoids stimulate the production of the receptor activator of nuclear factor kappa-B (RANK), which is required for </w:t>
      </w:r>
      <w:proofErr w:type="spellStart"/>
      <w:r w:rsidRPr="00332542">
        <w:t>osteoclastogenesis</w:t>
      </w:r>
      <w:proofErr w:type="spellEnd"/>
      <w:r w:rsidRPr="00332542">
        <w:t>. High glucocorticoid levels also stimulate RANKL synthesis which supports osteoclast differentiation and resulting in increased bone resorption</w:t>
      </w:r>
      <w:r w:rsidR="0065393E">
        <w:t>.</w:t>
      </w:r>
      <w:r w:rsidR="001350D8" w:rsidRPr="001350D8">
        <w:rPr>
          <w:vertAlign w:val="superscript"/>
        </w:rPr>
        <w:fldChar w:fldCharType="begin"/>
      </w:r>
      <w:r w:rsidR="001350D8" w:rsidRPr="001350D8">
        <w:rPr>
          <w:vertAlign w:val="superscript"/>
        </w:rPr>
        <w:instrText xml:space="preserve"> NOTEREF _Ref531686465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3</w:t>
      </w:r>
      <w:r w:rsidR="001350D8" w:rsidRPr="001350D8">
        <w:rPr>
          <w:vertAlign w:val="superscript"/>
        </w:rPr>
        <w:fldChar w:fldCharType="end"/>
      </w:r>
      <w:r w:rsidRPr="00332542">
        <w:t xml:space="preserve"> As </w:t>
      </w:r>
      <w:proofErr w:type="spellStart"/>
      <w:r w:rsidRPr="00332542">
        <w:t>denosumab</w:t>
      </w:r>
      <w:proofErr w:type="spellEnd"/>
      <w:r w:rsidRPr="00332542">
        <w:t xml:space="preserve"> directly acts on RANKL, there may be some specific pathophysiological rationale for its use in this disease</w:t>
      </w:r>
      <w:r w:rsidR="00211AE1">
        <w:t>.</w:t>
      </w:r>
    </w:p>
    <w:p w:rsidR="00211AE1" w:rsidRDefault="00332542" w:rsidP="00332542">
      <w:r w:rsidRPr="00332542">
        <w:t>In addition, glucocorticoids decrease androgens and estrogens by inhibiting gonadotropin secretion, decrease intestinal calcium absorption and increase urinary calcium excretion</w:t>
      </w:r>
      <w:r w:rsidR="00211AE1">
        <w:t>.</w:t>
      </w:r>
    </w:p>
    <w:p w:rsidR="00500337" w:rsidRDefault="00332542" w:rsidP="00332542">
      <w:r w:rsidRPr="00332542">
        <w:t xml:space="preserve">The clinical rationale for the submission, as stated by the </w:t>
      </w:r>
      <w:r w:rsidR="00A54D03">
        <w:t>sponsor</w:t>
      </w:r>
      <w:r w:rsidRPr="00332542">
        <w:t xml:space="preserve">, is that denosumab has the potential to fulfil an unmet need in patients with </w:t>
      </w:r>
      <w:r w:rsidR="0065393E">
        <w:t>glucocorticoid induced</w:t>
      </w:r>
      <w:r w:rsidRPr="00332542">
        <w:t xml:space="preserve"> osteoporosis, which is the most common form of secondary osteoporosis. However the </w:t>
      </w:r>
      <w:r w:rsidR="009A3208">
        <w:t>evaluator</w:t>
      </w:r>
      <w:r w:rsidRPr="00332542">
        <w:t xml:space="preserve"> notes that </w:t>
      </w:r>
      <w:proofErr w:type="spellStart"/>
      <w:r w:rsidRPr="00332542">
        <w:t>teriparatide</w:t>
      </w:r>
      <w:proofErr w:type="spellEnd"/>
      <w:r w:rsidRPr="00332542">
        <w:t xml:space="preserve"> and some bisphosphonates are available for the treatment of </w:t>
      </w:r>
      <w:r w:rsidR="0065393E">
        <w:t>glucocorticoid induced</w:t>
      </w:r>
      <w:r w:rsidRPr="00332542">
        <w:t xml:space="preserve"> osteoporosis. The </w:t>
      </w:r>
      <w:r w:rsidR="00A54D03">
        <w:t>sponsor</w:t>
      </w:r>
      <w:r w:rsidRPr="00332542">
        <w:t xml:space="preserve"> states that patient compliance is variable with bisphosphonates, however has not provided specific evidence to support this.</w:t>
      </w:r>
    </w:p>
    <w:p w:rsidR="00332542" w:rsidRPr="00332542" w:rsidRDefault="00332542" w:rsidP="00822F69">
      <w:pPr>
        <w:pStyle w:val="Heading4"/>
      </w:pPr>
      <w:r w:rsidRPr="00332542">
        <w:t>Evaluator’s commentar</w:t>
      </w:r>
      <w:r w:rsidR="0065393E">
        <w:t>y on the background information</w:t>
      </w:r>
    </w:p>
    <w:p w:rsidR="00332542" w:rsidRPr="00332542" w:rsidRDefault="00332542" w:rsidP="00332542">
      <w:r w:rsidRPr="00332542">
        <w:t xml:space="preserve">The </w:t>
      </w:r>
      <w:r w:rsidR="00A54D03">
        <w:t>sponsor</w:t>
      </w:r>
      <w:r w:rsidRPr="00332542">
        <w:t xml:space="preserve">’s stated clinical rationale is noted although the nature of the </w:t>
      </w:r>
      <w:r w:rsidR="009A3208">
        <w:t>‘</w:t>
      </w:r>
      <w:r w:rsidRPr="00332542">
        <w:t>unmet clinical need</w:t>
      </w:r>
      <w:r w:rsidR="009A3208">
        <w:t>’</w:t>
      </w:r>
      <w:r w:rsidRPr="00332542">
        <w:t xml:space="preserve"> in patients with </w:t>
      </w:r>
      <w:r w:rsidR="0065393E">
        <w:t>glucocorticoid induced</w:t>
      </w:r>
      <w:r w:rsidRPr="00332542">
        <w:t xml:space="preserve"> osteoporosis is unclear to the </w:t>
      </w:r>
      <w:r w:rsidR="0065393E">
        <w:t>e</w:t>
      </w:r>
      <w:r w:rsidRPr="00332542">
        <w:t xml:space="preserve">valuator since there are several drugs already approved for patients with </w:t>
      </w:r>
      <w:r w:rsidR="0065393E">
        <w:t>glucocorticoid induced</w:t>
      </w:r>
      <w:r w:rsidRPr="00332542">
        <w:t xml:space="preserve"> osteoporosis, including </w:t>
      </w:r>
      <w:proofErr w:type="spellStart"/>
      <w:r w:rsidRPr="00332542">
        <w:t>zoledronic</w:t>
      </w:r>
      <w:proofErr w:type="spellEnd"/>
      <w:r w:rsidRPr="00332542">
        <w:t xml:space="preserve"> acid which is administered once a year and may mitigate compliance issues associated with daily oral medications</w:t>
      </w:r>
      <w:r w:rsidR="009A3208">
        <w:t>.</w:t>
      </w:r>
    </w:p>
    <w:p w:rsidR="00605AD4" w:rsidRDefault="00605AD4" w:rsidP="00605AD4">
      <w:pPr>
        <w:pStyle w:val="Heading4"/>
      </w:pPr>
      <w:r w:rsidRPr="00605AD4">
        <w:t>Guidance</w:t>
      </w:r>
    </w:p>
    <w:p w:rsidR="0065393E" w:rsidRDefault="00332542" w:rsidP="00332542">
      <w:r>
        <w:t xml:space="preserve">No pre-submission meeting was held between the </w:t>
      </w:r>
      <w:r w:rsidR="00A54D03">
        <w:t>sponsor</w:t>
      </w:r>
      <w:r>
        <w:t xml:space="preserve"> and the TGA. The </w:t>
      </w:r>
      <w:r w:rsidR="00A54D03">
        <w:t>sponsor</w:t>
      </w:r>
      <w:r>
        <w:t xml:space="preserve"> has noted that there is no official regulatory guidance for secondary osteoporosis in North America or Europe although the </w:t>
      </w:r>
      <w:r w:rsidR="00A54D03">
        <w:t>sponsor</w:t>
      </w:r>
      <w:r>
        <w:t xml:space="preserve"> also noted that a Concept paper on the need for an addendum on the clinical investigation of medicinal products intended for treatment of </w:t>
      </w:r>
      <w:r w:rsidR="0065393E">
        <w:lastRenderedPageBreak/>
        <w:t>glucocorticoid induced</w:t>
      </w:r>
      <w:r>
        <w:t xml:space="preserve"> osteoporosis has been published by the European Medicines Agency (EMA) in 2010 (</w:t>
      </w:r>
      <w:r w:rsidR="001350D8">
        <w:t>EMA/CHMP/EWP/15912/2010).</w:t>
      </w:r>
    </w:p>
    <w:p w:rsidR="00211AE1" w:rsidRDefault="00332542" w:rsidP="00332542">
      <w:r>
        <w:t xml:space="preserve">The </w:t>
      </w:r>
      <w:r w:rsidR="009A3208">
        <w:t>evaluator</w:t>
      </w:r>
      <w:r>
        <w:t xml:space="preserve"> further notes that a </w:t>
      </w:r>
      <w:r w:rsidR="00FF7F0E">
        <w:t xml:space="preserve">concept </w:t>
      </w:r>
      <w:r>
        <w:t>paper on the need for the revision of the guideline on the evaluation of medicinal products in the treatment of primary osteoporosis (EMA/CHMP/520786/2012) is also available on the EMA</w:t>
      </w:r>
      <w:r w:rsidR="0065393E">
        <w:t xml:space="preserve"> </w:t>
      </w:r>
      <w:r w:rsidRPr="00332542">
        <w:t>website</w:t>
      </w:r>
      <w:r w:rsidR="00FF7F0E">
        <w:t>;</w:t>
      </w:r>
      <w:r>
        <w:rPr>
          <w:rStyle w:val="FootnoteReference"/>
        </w:rPr>
        <w:footnoteReference w:id="11"/>
      </w:r>
      <w:r w:rsidRPr="00332542">
        <w:rPr>
          <w:sz w:val="14"/>
          <w:szCs w:val="14"/>
        </w:rPr>
        <w:t xml:space="preserve"> </w:t>
      </w:r>
      <w:r w:rsidRPr="00332542">
        <w:t>and was released for public consultation in 2012. However, no final guidance has been issued from the EMA</w:t>
      </w:r>
      <w:r w:rsidR="00211AE1">
        <w:t>.</w:t>
      </w:r>
    </w:p>
    <w:p w:rsidR="00332542" w:rsidRDefault="00332542" w:rsidP="00332542">
      <w:pPr>
        <w:rPr>
          <w:rFonts w:eastAsiaTheme="minorHAnsi" w:cs="Cambria"/>
          <w:color w:val="000000"/>
        </w:rPr>
      </w:pPr>
      <w:r w:rsidRPr="00332542">
        <w:rPr>
          <w:rFonts w:eastAsiaTheme="minorHAnsi" w:cs="Cambria"/>
          <w:color w:val="000000"/>
        </w:rPr>
        <w:t xml:space="preserve">Sponsor also references recommendations made by the Group for the Respect of Ethics and Excellence in Science (GREES) regarding the registration of agents for the prevention and treatment of </w:t>
      </w:r>
      <w:r w:rsidR="0065393E">
        <w:rPr>
          <w:rFonts w:eastAsiaTheme="minorHAnsi" w:cs="Cambria"/>
          <w:color w:val="000000"/>
        </w:rPr>
        <w:t>glucocorticoid induced</w:t>
      </w:r>
      <w:r w:rsidRPr="00332542">
        <w:rPr>
          <w:rFonts w:eastAsiaTheme="minorHAnsi" w:cs="Cambria"/>
          <w:color w:val="000000"/>
        </w:rPr>
        <w:t xml:space="preserve"> osteoporosis</w:t>
      </w:r>
      <w:r>
        <w:rPr>
          <w:rFonts w:eastAsiaTheme="minorHAnsi" w:cs="Cambria"/>
          <w:color w:val="000000"/>
        </w:rPr>
        <w:t>.</w:t>
      </w:r>
      <w:r>
        <w:rPr>
          <w:rStyle w:val="FootnoteReference"/>
          <w:rFonts w:eastAsiaTheme="minorHAnsi" w:cs="Cambria"/>
          <w:color w:val="000000"/>
        </w:rPr>
        <w:footnoteReference w:id="12"/>
      </w:r>
      <w:r w:rsidRPr="00332542">
        <w:rPr>
          <w:rFonts w:eastAsiaTheme="minorHAnsi" w:cs="Cambria"/>
          <w:color w:val="000000"/>
        </w:rPr>
        <w:t xml:space="preserve"> GREES consists of a relatively large number of industry representatives and a more limited number of non-industry representatives (including two from European regulatory agencies).</w:t>
      </w:r>
    </w:p>
    <w:p w:rsidR="00605AD4" w:rsidRDefault="00605AD4" w:rsidP="00332542">
      <w:pPr>
        <w:pStyle w:val="Heading4"/>
      </w:pPr>
      <w:r w:rsidRPr="00605AD4">
        <w:t>Contents of the clinical dossier</w:t>
      </w:r>
    </w:p>
    <w:p w:rsidR="00332542" w:rsidRPr="00332542" w:rsidRDefault="0065393E" w:rsidP="00332542">
      <w:r>
        <w:t>The clinical module</w:t>
      </w:r>
      <w:r w:rsidR="00332542" w:rsidRPr="00332542">
        <w:t xml:space="preserve"> includes d</w:t>
      </w:r>
      <w:r>
        <w:t>ata from the following studies:</w:t>
      </w:r>
    </w:p>
    <w:p w:rsidR="00332542" w:rsidRDefault="00332542" w:rsidP="00332542">
      <w:pPr>
        <w:pStyle w:val="ListBullet"/>
      </w:pPr>
      <w:r w:rsidRPr="00332542">
        <w:t xml:space="preserve">One pivotal study: </w:t>
      </w:r>
      <w:r w:rsidR="0065393E">
        <w:t xml:space="preserve">Study </w:t>
      </w:r>
      <w:r w:rsidRPr="00332542">
        <w:t>2010012</w:t>
      </w:r>
      <w:r w:rsidR="0065393E">
        <w:t>17 (12 month primary analysis)</w:t>
      </w:r>
    </w:p>
    <w:p w:rsidR="00211AE1" w:rsidRDefault="00332542" w:rsidP="00332542">
      <w:pPr>
        <w:pStyle w:val="ListBullet"/>
      </w:pPr>
      <w:r w:rsidRPr="00332542">
        <w:t>Four supportive studies:</w:t>
      </w:r>
      <w:r w:rsidR="0065393E">
        <w:t xml:space="preserve"> Studies</w:t>
      </w:r>
      <w:r w:rsidRPr="00332542">
        <w:t xml:space="preserve"> 20030216, 20080098, 20040135 and 20040138</w:t>
      </w:r>
      <w:r w:rsidR="00211AE1">
        <w:t>.</w:t>
      </w:r>
    </w:p>
    <w:p w:rsidR="00332542" w:rsidRPr="00332542" w:rsidRDefault="00332542" w:rsidP="00332542">
      <w:pPr>
        <w:pStyle w:val="ListBullet"/>
      </w:pPr>
      <w:r w:rsidRPr="00332542">
        <w:t>Although not described in the cover letter, it is noted that one addition</w:t>
      </w:r>
      <w:r>
        <w:t xml:space="preserve">al study is included: </w:t>
      </w:r>
      <w:r w:rsidR="0065393E">
        <w:t>Study 20040144.</w:t>
      </w:r>
    </w:p>
    <w:p w:rsidR="00500337" w:rsidRPr="00332542" w:rsidRDefault="00332542" w:rsidP="00332542">
      <w:r w:rsidRPr="00332542">
        <w:t xml:space="preserve">Integrated summary of safety, </w:t>
      </w:r>
      <w:r w:rsidR="0065393E" w:rsidRPr="00332542">
        <w:t xml:space="preserve">integrated </w:t>
      </w:r>
      <w:r w:rsidRPr="00332542">
        <w:t>summary of efficacy and literature references are also included.</w:t>
      </w:r>
    </w:p>
    <w:p w:rsidR="00605AD4" w:rsidRDefault="00605AD4" w:rsidP="00605AD4">
      <w:pPr>
        <w:pStyle w:val="Heading4"/>
      </w:pPr>
      <w:r w:rsidRPr="00605AD4">
        <w:t>Paediatric data</w:t>
      </w:r>
    </w:p>
    <w:p w:rsidR="00500337" w:rsidRPr="00500337" w:rsidRDefault="00332542" w:rsidP="00500337">
      <w:r>
        <w:t>No paediatric data is included.</w:t>
      </w:r>
    </w:p>
    <w:p w:rsidR="00605AD4" w:rsidRDefault="00605AD4" w:rsidP="00605AD4">
      <w:pPr>
        <w:pStyle w:val="Heading4"/>
      </w:pPr>
      <w:r w:rsidRPr="00605AD4">
        <w:t>Good clinical practice</w:t>
      </w:r>
    </w:p>
    <w:p w:rsidR="00500337" w:rsidRPr="00500337" w:rsidRDefault="00332542" w:rsidP="00500337">
      <w:r>
        <w:t xml:space="preserve">The </w:t>
      </w:r>
      <w:r w:rsidR="00A54D03">
        <w:t>sponsor</w:t>
      </w:r>
      <w:r>
        <w:t xml:space="preserve"> has stated that clinical studies were conducted under Good Clinical Practice principles.</w:t>
      </w:r>
    </w:p>
    <w:p w:rsidR="008E7846" w:rsidRDefault="008E7846" w:rsidP="00822F69">
      <w:pPr>
        <w:pStyle w:val="Heading3"/>
      </w:pPr>
      <w:bookmarkStart w:id="51" w:name="_Toc16166687"/>
      <w:r w:rsidRPr="00822F69">
        <w:t>Pharmacokinetics</w:t>
      </w:r>
      <w:bookmarkEnd w:id="38"/>
      <w:bookmarkEnd w:id="44"/>
      <w:bookmarkEnd w:id="45"/>
      <w:bookmarkEnd w:id="46"/>
      <w:bookmarkEnd w:id="51"/>
    </w:p>
    <w:p w:rsidR="00605AD4" w:rsidRDefault="00605AD4" w:rsidP="00605AD4">
      <w:pPr>
        <w:pStyle w:val="Heading4"/>
      </w:pPr>
      <w:r>
        <w:t>Studies</w:t>
      </w:r>
      <w:r w:rsidR="00500337">
        <w:t xml:space="preserve"> providing pharmacokinetic data</w:t>
      </w:r>
    </w:p>
    <w:p w:rsidR="00500337" w:rsidRDefault="0065393E" w:rsidP="007C14CD">
      <w:r>
        <w:t>The pivotal S</w:t>
      </w:r>
      <w:r w:rsidR="007C14CD" w:rsidRPr="007C14CD">
        <w:t>tudy 20101217 provided pharmacokinetic data for glucocorticoid treated subjects. This study was not, however, a specific pharmacokinetic study. No other new pharmacokinetic data were presented</w:t>
      </w:r>
      <w:r w:rsidR="007C14CD">
        <w:t>.</w:t>
      </w:r>
    </w:p>
    <w:p w:rsidR="007C14CD" w:rsidRPr="007C14CD" w:rsidRDefault="007C14CD" w:rsidP="007C14CD">
      <w:r w:rsidRPr="007C14CD">
        <w:t>Pharmacokinetic data has been previously evaluated for denosumab. The only new pharmacokinetic data in this submission was relating to the target population.</w:t>
      </w:r>
    </w:p>
    <w:p w:rsidR="00605AD4" w:rsidRDefault="00605AD4" w:rsidP="00822F69">
      <w:pPr>
        <w:pStyle w:val="Heading4"/>
      </w:pPr>
      <w:r w:rsidRPr="00822F69">
        <w:lastRenderedPageBreak/>
        <w:t>Evaluator’s</w:t>
      </w:r>
      <w:r>
        <w:t xml:space="preserve"> conclusions on pharmacokinetics</w:t>
      </w:r>
    </w:p>
    <w:p w:rsidR="00211AE1" w:rsidRDefault="007C14CD" w:rsidP="007C14CD">
      <w:r w:rsidRPr="007C14CD">
        <w:t xml:space="preserve">The main single dose pharmacokinetic outcomes of the </w:t>
      </w:r>
      <w:r w:rsidR="0065393E">
        <w:t>Glucocorticoid-initiating</w:t>
      </w:r>
      <w:r w:rsidR="0065393E" w:rsidRPr="007C14CD">
        <w:t xml:space="preserve"> </w:t>
      </w:r>
      <w:r w:rsidR="0065393E">
        <w:t>(</w:t>
      </w:r>
      <w:r w:rsidRPr="007C14CD">
        <w:t>GC-I</w:t>
      </w:r>
      <w:r w:rsidR="0065393E">
        <w:t>)</w:t>
      </w:r>
      <w:r w:rsidRPr="007C14CD">
        <w:t xml:space="preserve"> and </w:t>
      </w:r>
      <w:r w:rsidR="0065393E">
        <w:t>Glucocorticoid-continuing</w:t>
      </w:r>
      <w:r w:rsidR="0065393E" w:rsidRPr="007C14CD">
        <w:t xml:space="preserve"> </w:t>
      </w:r>
      <w:r w:rsidR="0065393E">
        <w:t>(</w:t>
      </w:r>
      <w:r w:rsidRPr="007C14CD">
        <w:t>GC-C</w:t>
      </w:r>
      <w:r w:rsidR="0065393E">
        <w:t>)</w:t>
      </w:r>
      <w:r w:rsidRPr="007C14CD">
        <w:t xml:space="preserve"> populations were generally comparable to each other in terms of </w:t>
      </w:r>
      <w:proofErr w:type="spellStart"/>
      <w:r w:rsidR="0065393E" w:rsidRPr="007C14CD">
        <w:t>T</w:t>
      </w:r>
      <w:r w:rsidR="0065393E" w:rsidRPr="0065393E">
        <w:rPr>
          <w:vertAlign w:val="subscript"/>
        </w:rPr>
        <w:t>max</w:t>
      </w:r>
      <w:proofErr w:type="spellEnd"/>
      <w:r w:rsidRPr="007C14CD">
        <w:t xml:space="preserve"> and </w:t>
      </w:r>
      <w:proofErr w:type="spellStart"/>
      <w:r w:rsidR="0065393E" w:rsidRPr="007C14CD">
        <w:t>C</w:t>
      </w:r>
      <w:r w:rsidR="0065393E" w:rsidRPr="0065393E">
        <w:rPr>
          <w:vertAlign w:val="subscript"/>
        </w:rPr>
        <w:t>max</w:t>
      </w:r>
      <w:proofErr w:type="spellEnd"/>
      <w:r w:rsidRPr="007C14CD">
        <w:t xml:space="preserve">. The values for </w:t>
      </w:r>
      <w:proofErr w:type="spellStart"/>
      <w:r w:rsidR="0065393E" w:rsidRPr="007C14CD">
        <w:t>AUC</w:t>
      </w:r>
      <w:r w:rsidR="0065393E" w:rsidRPr="0065393E">
        <w:rPr>
          <w:vertAlign w:val="subscript"/>
        </w:rPr>
        <w:t>last</w:t>
      </w:r>
      <w:proofErr w:type="spellEnd"/>
      <w:r w:rsidR="00DE1EFB">
        <w:rPr>
          <w:rStyle w:val="FootnoteReference"/>
        </w:rPr>
        <w:footnoteReference w:id="13"/>
      </w:r>
      <w:r w:rsidRPr="007C14CD">
        <w:t xml:space="preserve"> of the GC-I and GC-C population were within a</w:t>
      </w:r>
      <w:r w:rsidR="007A0EAE">
        <w:t>n</w:t>
      </w:r>
      <w:r w:rsidRPr="007C14CD">
        <w:t xml:space="preserve"> </w:t>
      </w:r>
      <w:r w:rsidR="009A3208">
        <w:t xml:space="preserve">approximate </w:t>
      </w:r>
      <w:r w:rsidRPr="007C14CD">
        <w:t>10% range of each other (mean and median). Mean half</w:t>
      </w:r>
      <w:r w:rsidR="00FF7F0E">
        <w:noBreakHyphen/>
      </w:r>
      <w:r w:rsidRPr="007C14CD">
        <w:t xml:space="preserve">life was similar between the two </w:t>
      </w:r>
      <w:r w:rsidR="00624032" w:rsidRPr="007C14CD">
        <w:t>arms;</w:t>
      </w:r>
      <w:r w:rsidRPr="007C14CD">
        <w:t xml:space="preserve"> however there was a difference of just less than 3</w:t>
      </w:r>
      <w:r w:rsidR="00FF7F0E">
        <w:t> </w:t>
      </w:r>
      <w:r w:rsidRPr="007C14CD">
        <w:t xml:space="preserve">days in median half-life. However, comprehensive </w:t>
      </w:r>
      <w:r w:rsidR="0065393E">
        <w:t>pharmacokinetic (</w:t>
      </w:r>
      <w:r w:rsidRPr="007C14CD">
        <w:t>PK</w:t>
      </w:r>
      <w:r w:rsidR="0065393E">
        <w:t>)</w:t>
      </w:r>
      <w:r w:rsidRPr="007C14CD">
        <w:t xml:space="preserve"> measurements were not done for the second dose, so it is unknown whether the PK change</w:t>
      </w:r>
      <w:r w:rsidR="0065393E">
        <w:t xml:space="preserve">s with additional doses. </w:t>
      </w:r>
      <w:r w:rsidR="00FF7F0E">
        <w:t>T</w:t>
      </w:r>
      <w:r w:rsidR="0065393E">
        <w:t>he 24 </w:t>
      </w:r>
      <w:r w:rsidRPr="007C14CD">
        <w:t xml:space="preserve">month </w:t>
      </w:r>
      <w:r w:rsidR="007A14BF" w:rsidRPr="007C14CD">
        <w:t>measurements are</w:t>
      </w:r>
      <w:r w:rsidRPr="007C14CD">
        <w:t xml:space="preserve"> pending</w:t>
      </w:r>
      <w:r w:rsidR="00211AE1">
        <w:t>.</w:t>
      </w:r>
    </w:p>
    <w:p w:rsidR="00211AE1" w:rsidRDefault="007C14CD" w:rsidP="007C14CD">
      <w:r w:rsidRPr="007C14CD">
        <w:t xml:space="preserve">Some information was lacking regarding the pharmacokinetic study such as how subjects were chosen for inclusion and the baseline characteristics of the population included. There was also a discrepancy between the stated population number of the PK/bone turnover marker subset on the denosumab arm in </w:t>
      </w:r>
      <w:r w:rsidR="00232C85">
        <w:t xml:space="preserve">a specified </w:t>
      </w:r>
      <w:r w:rsidRPr="007C14CD">
        <w:t>sec</w:t>
      </w:r>
      <w:r w:rsidR="0065393E">
        <w:t xml:space="preserve">tion </w:t>
      </w:r>
      <w:r w:rsidR="00232C85">
        <w:t xml:space="preserve">[not included here] </w:t>
      </w:r>
      <w:r w:rsidR="0065393E">
        <w:t>of the study report; stated as 140;</w:t>
      </w:r>
      <w:r w:rsidRPr="007C14CD">
        <w:t xml:space="preserve"> however only 118 were included in the PK analysis. The reason for this discrepancy was not stated</w:t>
      </w:r>
      <w:r w:rsidR="00211AE1">
        <w:t>.</w:t>
      </w:r>
    </w:p>
    <w:p w:rsidR="00211AE1" w:rsidRDefault="007C14CD" w:rsidP="007C14CD">
      <w:r w:rsidRPr="007C14CD">
        <w:t>When compared to other population types (</w:t>
      </w:r>
      <w:r w:rsidR="0065393E">
        <w:t>glucocorticoid induced osteoporosis</w:t>
      </w:r>
      <w:r w:rsidR="0065393E" w:rsidRPr="007C14CD">
        <w:t xml:space="preserve"> </w:t>
      </w:r>
      <w:r w:rsidR="0065393E">
        <w:t>(</w:t>
      </w:r>
      <w:r w:rsidRPr="007C14CD">
        <w:t>GIOP</w:t>
      </w:r>
      <w:r w:rsidR="0065393E">
        <w:t>)</w:t>
      </w:r>
      <w:r w:rsidRPr="007C14CD">
        <w:t xml:space="preserve">, primary osteoporosis and </w:t>
      </w:r>
      <w:r w:rsidR="0065393E">
        <w:t>hormone ablation therapy</w:t>
      </w:r>
      <w:r w:rsidR="0065393E" w:rsidRPr="007C14CD">
        <w:t xml:space="preserve"> </w:t>
      </w:r>
      <w:r w:rsidR="0065393E">
        <w:t>(</w:t>
      </w:r>
      <w:r w:rsidRPr="007C14CD">
        <w:t>HALT</w:t>
      </w:r>
      <w:r w:rsidR="0065393E">
        <w:t>)</w:t>
      </w:r>
      <w:r w:rsidRPr="007C14CD">
        <w:t>), the PK of denosumab did not appear to be significantly impacted by the population type. Some variation was seen in a direct comparison with healthy subjects’ outcome however, overall, the PK outcomes in the GIOP population were relatively consistent with what has been noted previously</w:t>
      </w:r>
      <w:r w:rsidR="00211AE1">
        <w:t>.</w:t>
      </w:r>
    </w:p>
    <w:p w:rsidR="00500337" w:rsidRPr="007C14CD" w:rsidRDefault="007C14CD" w:rsidP="007C14CD">
      <w:r w:rsidRPr="007C14CD">
        <w:t xml:space="preserve">It is noted that the current denosumab </w:t>
      </w:r>
      <w:r w:rsidR="0065393E">
        <w:t>PI</w:t>
      </w:r>
      <w:r w:rsidRPr="007C14CD">
        <w:t xml:space="preserve"> states the denosumab half-life to be 26 </w:t>
      </w:r>
      <w:r w:rsidR="00624032" w:rsidRPr="007C14CD">
        <w:t>days;</w:t>
      </w:r>
      <w:r w:rsidRPr="007C14CD">
        <w:t xml:space="preserve"> however the mean half-life across the combined GIOP subpopulations was 17.5 days. The reason for this difference is unclear.</w:t>
      </w:r>
    </w:p>
    <w:p w:rsidR="008E7846" w:rsidRDefault="008E7846" w:rsidP="00822F69">
      <w:pPr>
        <w:pStyle w:val="Heading3"/>
      </w:pPr>
      <w:bookmarkStart w:id="52" w:name="_Toc196046481"/>
      <w:bookmarkStart w:id="53" w:name="_Toc247691520"/>
      <w:bookmarkStart w:id="54" w:name="_Toc314842503"/>
      <w:bookmarkStart w:id="55" w:name="_Toc16166688"/>
      <w:r w:rsidRPr="00822F69">
        <w:t>Pharmacodynamics</w:t>
      </w:r>
      <w:bookmarkEnd w:id="39"/>
      <w:bookmarkEnd w:id="52"/>
      <w:bookmarkEnd w:id="53"/>
      <w:bookmarkEnd w:id="54"/>
      <w:bookmarkEnd w:id="55"/>
    </w:p>
    <w:p w:rsidR="00605AD4" w:rsidRDefault="00605AD4" w:rsidP="00605AD4">
      <w:pPr>
        <w:pStyle w:val="Heading4"/>
      </w:pPr>
      <w:r>
        <w:t>Studies providing pharmacodynamic data</w:t>
      </w:r>
    </w:p>
    <w:p w:rsidR="00500337" w:rsidRPr="007C14CD" w:rsidRDefault="007C14CD" w:rsidP="007C14CD">
      <w:r w:rsidRPr="007C14CD">
        <w:t xml:space="preserve">Bone turnover markers were an exploratory endpoint of </w:t>
      </w:r>
      <w:r w:rsidR="0065393E">
        <w:t>Study</w:t>
      </w:r>
      <w:r w:rsidRPr="007C14CD">
        <w:t xml:space="preserve"> 20101217.</w:t>
      </w:r>
    </w:p>
    <w:p w:rsidR="00605AD4" w:rsidRDefault="00605AD4" w:rsidP="00605AD4">
      <w:pPr>
        <w:pStyle w:val="Heading4"/>
      </w:pPr>
      <w:r>
        <w:t>Evaluator’s conclusions on pharmacodynamics</w:t>
      </w:r>
    </w:p>
    <w:p w:rsidR="00211AE1" w:rsidRDefault="007C14CD" w:rsidP="007C14CD">
      <w:r w:rsidRPr="007C14CD">
        <w:t xml:space="preserve">The outcomes from the bone turnover marker exploratory endpoint in </w:t>
      </w:r>
      <w:r w:rsidR="0065393E">
        <w:t>Study</w:t>
      </w:r>
      <w:r w:rsidRPr="007C14CD">
        <w:t xml:space="preserve"> 20101217 showed reductions in the markers in both arms, consistent with reduced bone turnover</w:t>
      </w:r>
      <w:r w:rsidR="00211AE1">
        <w:t>.</w:t>
      </w:r>
    </w:p>
    <w:p w:rsidR="00500337" w:rsidRPr="007C14CD" w:rsidRDefault="007C14CD" w:rsidP="00822F69">
      <w:r w:rsidRPr="007C14CD">
        <w:t xml:space="preserve">Trends in </w:t>
      </w:r>
      <w:r w:rsidR="0065393E">
        <w:t>Study</w:t>
      </w:r>
      <w:r w:rsidRPr="007C14CD">
        <w:t xml:space="preserve"> 20101217 (GIOP) for the two bone turnover markers were generally consistent with studies in other indications, although the percentage reduction from baseline was less in population receiving corticosteroids compared to some of the other populations, especially at 12 months. The reason for this is not clear however it was seen for both bone turnover markers measured. The </w:t>
      </w:r>
      <w:r w:rsidR="00A54D03">
        <w:t>sponsor</w:t>
      </w:r>
      <w:r w:rsidRPr="007C14CD">
        <w:t xml:space="preserve"> has hypothesised that this may be due to the lower baseline bone turnover rate in subjects receiving corticosteroids. The </w:t>
      </w:r>
      <w:r w:rsidR="0065393E">
        <w:t>e</w:t>
      </w:r>
      <w:r w:rsidRPr="007C14CD">
        <w:t>valuator also notes that the half-life in the GIOP was slightly reduced compared to other populations, which may potentially impact the duration of action of denosumab. The clinical implications of this difference are not clear.</w:t>
      </w:r>
    </w:p>
    <w:p w:rsidR="008E7846" w:rsidRDefault="00605AD4" w:rsidP="00822F69">
      <w:pPr>
        <w:pStyle w:val="Heading3"/>
      </w:pPr>
      <w:bookmarkStart w:id="56" w:name="_Toc16166689"/>
      <w:r>
        <w:lastRenderedPageBreak/>
        <w:t xml:space="preserve">Dosage </w:t>
      </w:r>
      <w:r w:rsidRPr="00822F69">
        <w:t>selection</w:t>
      </w:r>
      <w:r>
        <w:t xml:space="preserve"> for the pivotal studies</w:t>
      </w:r>
      <w:bookmarkEnd w:id="56"/>
    </w:p>
    <w:p w:rsidR="007C14CD" w:rsidRPr="007C14CD" w:rsidRDefault="007C14CD" w:rsidP="007C14CD">
      <w:r w:rsidRPr="007C14CD">
        <w:t xml:space="preserve">No new information regarding dosage selection was presented; the proposed dosing regimen for denosumab in </w:t>
      </w:r>
      <w:r w:rsidR="0065393E">
        <w:t>g</w:t>
      </w:r>
      <w:r w:rsidRPr="007C14CD">
        <w:t>lucocorticoid induced osteoporosis (GIOP) is consistent with the currently approved dosage for denosumab.</w:t>
      </w:r>
    </w:p>
    <w:p w:rsidR="008E7846" w:rsidRPr="00254787" w:rsidRDefault="008E7846" w:rsidP="00822F69">
      <w:pPr>
        <w:pStyle w:val="Heading3"/>
      </w:pPr>
      <w:bookmarkStart w:id="57" w:name="_Toc163441372"/>
      <w:bookmarkStart w:id="58" w:name="_Toc196046485"/>
      <w:bookmarkStart w:id="59" w:name="_Toc247691521"/>
      <w:bookmarkStart w:id="60" w:name="_Toc314842504"/>
      <w:bookmarkStart w:id="61" w:name="_Toc16166690"/>
      <w:r w:rsidRPr="00822F69">
        <w:t>Efficacy</w:t>
      </w:r>
      <w:bookmarkEnd w:id="57"/>
      <w:bookmarkEnd w:id="58"/>
      <w:bookmarkEnd w:id="59"/>
      <w:bookmarkEnd w:id="60"/>
      <w:bookmarkEnd w:id="61"/>
    </w:p>
    <w:p w:rsidR="00605AD4" w:rsidRDefault="00605AD4" w:rsidP="00605AD4">
      <w:pPr>
        <w:pStyle w:val="Heading4"/>
      </w:pPr>
      <w:bookmarkStart w:id="62" w:name="_Toc184439992"/>
      <w:bookmarkStart w:id="63" w:name="_Toc184440279"/>
      <w:bookmarkStart w:id="64" w:name="_Toc184444657"/>
      <w:bookmarkStart w:id="65" w:name="_Toc196046487"/>
      <w:r>
        <w:t>Studies providing efficacy data</w:t>
      </w:r>
    </w:p>
    <w:p w:rsidR="00500337" w:rsidRPr="007C14CD" w:rsidRDefault="007C14CD" w:rsidP="00500337">
      <w:r>
        <w:t xml:space="preserve">The </w:t>
      </w:r>
      <w:r w:rsidR="00A54D03">
        <w:t>sponsor</w:t>
      </w:r>
      <w:r>
        <w:t xml:space="preserve"> has provided one new pivotal </w:t>
      </w:r>
      <w:r w:rsidRPr="007C14CD">
        <w:t>study</w:t>
      </w:r>
      <w:r w:rsidR="0065393E">
        <w:t>;</w:t>
      </w:r>
      <w:r w:rsidRPr="007C14CD">
        <w:t xml:space="preserve"> Study 20101217; four</w:t>
      </w:r>
      <w:r>
        <w:t xml:space="preserve"> previously evaluated studies are considered to be supportive</w:t>
      </w:r>
      <w:r w:rsidRPr="007C14CD">
        <w:t>:</w:t>
      </w:r>
      <w:r w:rsidR="0065393E" w:rsidRPr="0065393E">
        <w:t xml:space="preserve"> </w:t>
      </w:r>
      <w:r w:rsidR="0065393E" w:rsidRPr="007C14CD">
        <w:t>Study</w:t>
      </w:r>
      <w:r w:rsidRPr="007C14CD">
        <w:t xml:space="preserve"> 20030216 (women with postmenopausal osteoporosis), </w:t>
      </w:r>
      <w:r w:rsidR="0065393E" w:rsidRPr="007C14CD">
        <w:t xml:space="preserve">Study </w:t>
      </w:r>
      <w:r w:rsidRPr="007C14CD">
        <w:t xml:space="preserve">20080098 (men with osteoporosis), </w:t>
      </w:r>
      <w:r w:rsidR="0065393E" w:rsidRPr="007C14CD">
        <w:t>Study</w:t>
      </w:r>
      <w:r w:rsidR="009A3208">
        <w:t> </w:t>
      </w:r>
      <w:r w:rsidRPr="007C14CD">
        <w:t xml:space="preserve">20040138 (men with bone loss due to </w:t>
      </w:r>
      <w:r w:rsidR="00232C85">
        <w:t>a</w:t>
      </w:r>
      <w:r w:rsidR="00232C85" w:rsidRPr="007C14CD">
        <w:t xml:space="preserve">ndrogen </w:t>
      </w:r>
      <w:r w:rsidRPr="007C14CD">
        <w:t xml:space="preserve">deprivation therapy for prostate cancer) and </w:t>
      </w:r>
      <w:r w:rsidR="0065393E" w:rsidRPr="007C14CD">
        <w:t xml:space="preserve">Study </w:t>
      </w:r>
      <w:r w:rsidRPr="007C14CD">
        <w:t>20040135 (women undergoing aromatase inhibitor therapy for non-metastatic breast cancer).</w:t>
      </w:r>
    </w:p>
    <w:p w:rsidR="007C14CD" w:rsidRDefault="007C14CD" w:rsidP="007C14CD">
      <w:pPr>
        <w:pStyle w:val="Heading5"/>
      </w:pPr>
      <w:r>
        <w:t xml:space="preserve">Evaluator commentary on </w:t>
      </w:r>
      <w:r w:rsidR="0065393E">
        <w:t xml:space="preserve">Study </w:t>
      </w:r>
      <w:r w:rsidRPr="007C14CD">
        <w:t>20101217</w:t>
      </w:r>
    </w:p>
    <w:p w:rsidR="007C14CD" w:rsidRDefault="00927606" w:rsidP="007C14CD">
      <w:pPr>
        <w:pStyle w:val="Default"/>
        <w:rPr>
          <w:sz w:val="22"/>
          <w:szCs w:val="22"/>
        </w:rPr>
      </w:pPr>
      <w:r>
        <w:rPr>
          <w:sz w:val="22"/>
          <w:szCs w:val="22"/>
        </w:rPr>
        <w:t xml:space="preserve">The </w:t>
      </w:r>
      <w:r w:rsidR="0065393E">
        <w:rPr>
          <w:sz w:val="22"/>
          <w:szCs w:val="22"/>
        </w:rPr>
        <w:t xml:space="preserve">Study </w:t>
      </w:r>
      <w:r>
        <w:rPr>
          <w:sz w:val="22"/>
          <w:szCs w:val="22"/>
        </w:rPr>
        <w:t>20101217 was a Phase III</w:t>
      </w:r>
      <w:r w:rsidR="007C14CD">
        <w:rPr>
          <w:sz w:val="22"/>
          <w:szCs w:val="22"/>
        </w:rPr>
        <w:t>, double blinded trial which</w:t>
      </w:r>
      <w:r>
        <w:rPr>
          <w:sz w:val="22"/>
          <w:szCs w:val="22"/>
        </w:rPr>
        <w:t xml:space="preserve"> continued two sub</w:t>
      </w:r>
      <w:r w:rsidR="00232C85">
        <w:rPr>
          <w:sz w:val="22"/>
          <w:szCs w:val="22"/>
        </w:rPr>
        <w:noBreakHyphen/>
      </w:r>
      <w:r>
        <w:rPr>
          <w:sz w:val="22"/>
          <w:szCs w:val="22"/>
        </w:rPr>
        <w:t>populations:</w:t>
      </w:r>
    </w:p>
    <w:p w:rsidR="007C14CD" w:rsidRDefault="007C14CD" w:rsidP="00927606">
      <w:pPr>
        <w:pStyle w:val="ListBullet"/>
      </w:pPr>
      <w:r w:rsidRPr="0065393E">
        <w:rPr>
          <w:bCs/>
        </w:rPr>
        <w:t xml:space="preserve">Glucocorticoid-continuing </w:t>
      </w:r>
      <w:r w:rsidR="0065393E" w:rsidRPr="0065393E">
        <w:rPr>
          <w:bCs/>
        </w:rPr>
        <w:t xml:space="preserve">(GC-C) </w:t>
      </w:r>
      <w:r w:rsidRPr="0065393E">
        <w:t>subpopulation (</w:t>
      </w:r>
      <w:r w:rsidR="001350D8">
        <w:t xml:space="preserve">≥ </w:t>
      </w:r>
      <w:r w:rsidRPr="0065393E">
        <w:t>7.5</w:t>
      </w:r>
      <w:r w:rsidR="001350D8">
        <w:t xml:space="preserve"> mg</w:t>
      </w:r>
      <w:r w:rsidRPr="0065393E">
        <w:t xml:space="preserve"> daily prednisolone or its equivalent for </w:t>
      </w:r>
      <w:r w:rsidR="001350D8">
        <w:rPr>
          <w:bCs/>
        </w:rPr>
        <w:t xml:space="preserve">≥ </w:t>
      </w:r>
      <w:r w:rsidRPr="0065393E">
        <w:t>3 months</w:t>
      </w:r>
      <w:r>
        <w:t xml:space="preserve"> and planning to continue trea</w:t>
      </w:r>
      <w:r w:rsidR="0065393E">
        <w:t>tment for a total of at least 6 months)</w:t>
      </w:r>
    </w:p>
    <w:p w:rsidR="00211AE1" w:rsidRDefault="007C14CD" w:rsidP="00927606">
      <w:pPr>
        <w:pStyle w:val="ListBullet"/>
      </w:pPr>
      <w:r w:rsidRPr="0065393E">
        <w:rPr>
          <w:bCs/>
        </w:rPr>
        <w:t xml:space="preserve">Glucocorticoid-initiating </w:t>
      </w:r>
      <w:r w:rsidR="0065393E" w:rsidRPr="0065393E">
        <w:rPr>
          <w:bCs/>
        </w:rPr>
        <w:t xml:space="preserve">(GC-I) </w:t>
      </w:r>
      <w:r w:rsidRPr="0065393E">
        <w:t>subpopulation</w:t>
      </w:r>
      <w:r>
        <w:t xml:space="preserve"> (</w:t>
      </w:r>
      <w:r w:rsidR="001350D8">
        <w:t xml:space="preserve">≥ </w:t>
      </w:r>
      <w:r>
        <w:t>7.5</w:t>
      </w:r>
      <w:r w:rsidR="001350D8">
        <w:t xml:space="preserve"> mg</w:t>
      </w:r>
      <w:r>
        <w:t xml:space="preserve"> daily prednisolone or its equivalent for </w:t>
      </w:r>
      <w:r w:rsidR="001350D8">
        <w:rPr>
          <w:bCs/>
        </w:rPr>
        <w:t xml:space="preserve">&lt; </w:t>
      </w:r>
      <w:r>
        <w:t>3 months and planning to continue treatment for a total of at least 6</w:t>
      </w:r>
      <w:r w:rsidR="009A3208">
        <w:t> </w:t>
      </w:r>
      <w:r>
        <w:t>months)</w:t>
      </w:r>
      <w:r w:rsidR="00211AE1">
        <w:t>.</w:t>
      </w:r>
    </w:p>
    <w:p w:rsidR="007C14CD" w:rsidRPr="00927606" w:rsidRDefault="007C14CD" w:rsidP="00927606">
      <w:r w:rsidRPr="00927606">
        <w:t xml:space="preserve">The primary objective for both subpopulations was to demonstrate that treatment with denosumab is not inferior to risedronate treatment with respect to the percent change from baseline in lumbar spine BMD by </w:t>
      </w:r>
      <w:r w:rsidR="0065393E">
        <w:t>dual X-ray absorptiometry</w:t>
      </w:r>
      <w:r w:rsidR="0065393E" w:rsidRPr="00927606">
        <w:t xml:space="preserve"> </w:t>
      </w:r>
      <w:r w:rsidR="0065393E">
        <w:t>(</w:t>
      </w:r>
      <w:r w:rsidRPr="00927606">
        <w:t>DXA</w:t>
      </w:r>
      <w:r w:rsidR="0065393E">
        <w:t>)</w:t>
      </w:r>
      <w:r w:rsidRPr="00927606">
        <w:t xml:space="preserve"> at 12 months. Although fracture incidence is a more clinically relevant endpoint, the </w:t>
      </w:r>
      <w:r w:rsidR="00A54D03">
        <w:t>sponsor</w:t>
      </w:r>
      <w:r w:rsidRPr="00927606">
        <w:t xml:space="preserve"> has stated that there is precedent for the use of this primary endpoint in the assessment of other therapies to prevent and treat </w:t>
      </w:r>
      <w:r w:rsidR="0065393E">
        <w:t>glucocorticoid induced osteoporosis</w:t>
      </w:r>
      <w:r w:rsidR="0065393E" w:rsidRPr="00927606">
        <w:t xml:space="preserve"> </w:t>
      </w:r>
      <w:r w:rsidR="0065393E">
        <w:t>(</w:t>
      </w:r>
      <w:r w:rsidRPr="00927606">
        <w:t>GIOP</w:t>
      </w:r>
      <w:r w:rsidR="0065393E">
        <w:t>)</w:t>
      </w:r>
      <w:r w:rsidRPr="00927606">
        <w:t xml:space="preserve"> (</w:t>
      </w:r>
      <w:r w:rsidR="0065393E">
        <w:t>for example</w:t>
      </w:r>
      <w:r w:rsidRPr="00927606">
        <w:t xml:space="preserve"> </w:t>
      </w:r>
      <w:proofErr w:type="spellStart"/>
      <w:r w:rsidRPr="00927606">
        <w:t>zoledronic</w:t>
      </w:r>
      <w:proofErr w:type="spellEnd"/>
      <w:r w:rsidRPr="00927606">
        <w:t xml:space="preserve"> acid compared to </w:t>
      </w:r>
      <w:proofErr w:type="spellStart"/>
      <w:r w:rsidRPr="00927606">
        <w:t>risedronate</w:t>
      </w:r>
      <w:proofErr w:type="spellEnd"/>
      <w:r w:rsidR="00232C85">
        <w:t>;</w:t>
      </w:r>
      <w:r w:rsidR="00927606">
        <w:rPr>
          <w:rStyle w:val="FootnoteReference"/>
        </w:rPr>
        <w:footnoteReference w:id="14"/>
      </w:r>
      <w:r w:rsidRPr="00927606">
        <w:t xml:space="preserve"> and </w:t>
      </w:r>
      <w:proofErr w:type="spellStart"/>
      <w:r w:rsidRPr="00927606">
        <w:t>teriparatide</w:t>
      </w:r>
      <w:proofErr w:type="spellEnd"/>
      <w:r w:rsidRPr="00927606">
        <w:t xml:space="preserve"> compared to alendronate</w:t>
      </w:r>
      <w:r w:rsidR="00232C85">
        <w:t>);</w:t>
      </w:r>
      <w:r w:rsidR="00927606">
        <w:rPr>
          <w:rStyle w:val="FootnoteReference"/>
        </w:rPr>
        <w:footnoteReference w:id="15"/>
      </w:r>
      <w:r w:rsidRPr="00927606">
        <w:t xml:space="preserve"> and has indicated that this study is considered to be a bridging study. Nevertheless, appropriateness of BMD as a surrogate in this setting is still an important consideration. It is noted that fractures occur at a higher BMD in women who are taking glucocorticoids compared to those with postmenopausal osteoporosis</w:t>
      </w:r>
      <w:r w:rsidR="00232C85">
        <w:t>;</w:t>
      </w:r>
      <w:r w:rsidR="001350D8" w:rsidRPr="001350D8">
        <w:rPr>
          <w:vertAlign w:val="superscript"/>
        </w:rPr>
        <w:fldChar w:fldCharType="begin"/>
      </w:r>
      <w:r w:rsidR="001350D8" w:rsidRPr="001350D8">
        <w:rPr>
          <w:vertAlign w:val="superscript"/>
        </w:rPr>
        <w:instrText xml:space="preserve"> NOTEREF _Ref531686465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3</w:t>
      </w:r>
      <w:r w:rsidR="001350D8" w:rsidRPr="001350D8">
        <w:rPr>
          <w:vertAlign w:val="superscript"/>
        </w:rPr>
        <w:fldChar w:fldCharType="end"/>
      </w:r>
      <w:r w:rsidR="001350D8">
        <w:t xml:space="preserve"> </w:t>
      </w:r>
      <w:r w:rsidRPr="00927606">
        <w:t>and that it has been suggested that BMD may not adequately indicate fracture risk in patients receiving glucocorticoids due to the alteration of bone quality associated with glucocorticoids</w:t>
      </w:r>
      <w:r w:rsidR="00927606">
        <w:t>.</w:t>
      </w:r>
      <w:r w:rsidR="001350D8" w:rsidRPr="001350D8">
        <w:rPr>
          <w:vertAlign w:val="superscript"/>
        </w:rPr>
        <w:fldChar w:fldCharType="begin"/>
      </w:r>
      <w:r w:rsidR="001350D8" w:rsidRPr="001350D8">
        <w:rPr>
          <w:vertAlign w:val="superscript"/>
        </w:rPr>
        <w:instrText xml:space="preserve"> NOTEREF _Ref531686669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5</w:t>
      </w:r>
      <w:r w:rsidR="001350D8" w:rsidRPr="001350D8">
        <w:rPr>
          <w:vertAlign w:val="superscript"/>
        </w:rPr>
        <w:fldChar w:fldCharType="end"/>
      </w:r>
      <w:r w:rsidRPr="00927606">
        <w:t xml:space="preserve"> The number of fractures occurring on this study may reflect, at least in part, the trial popu</w:t>
      </w:r>
      <w:r w:rsidR="00927606">
        <w:t>lation size and follow up time.</w:t>
      </w:r>
    </w:p>
    <w:p w:rsidR="007C14CD" w:rsidRDefault="007C14CD" w:rsidP="007C14CD">
      <w:r>
        <w:t>In this study, subjects were expected to be treated with oral glucocorticoids for a total of at least 6 months however the measurement of the primary endpoint occurred at 12 months. This is notable since upon the cessation of glucocorticoid therapy, BMD generally increases</w:t>
      </w:r>
      <w:r w:rsidR="00092A8B">
        <w:t>.</w:t>
      </w:r>
      <w:r w:rsidR="00092A8B">
        <w:rPr>
          <w:rStyle w:val="FootnoteReference"/>
        </w:rPr>
        <w:footnoteReference w:id="16"/>
      </w:r>
      <w:r>
        <w:t xml:space="preserve"> In other words, an increase in BMD measured at 12 months in this trial may be </w:t>
      </w:r>
      <w:r>
        <w:lastRenderedPageBreak/>
        <w:t>due to the study treatment</w:t>
      </w:r>
      <w:r w:rsidR="00232C85">
        <w:t>;</w:t>
      </w:r>
      <w:r>
        <w:t xml:space="preserve"> </w:t>
      </w:r>
      <w:r w:rsidR="00232C85">
        <w:t xml:space="preserve">or </w:t>
      </w:r>
      <w:r>
        <w:t>in the case of subjects who have ceased their corticosteroid treatment, due to ‘normalisation’ (relative to age and other factors) of BMD. This would be particularly important if there was a difference between the two arms of corticosteroid use duration however as the average duration of corticosteroid use during the study was not reported, the impact on the outcomes cannot be assessed.</w:t>
      </w:r>
    </w:p>
    <w:p w:rsidR="007C14CD" w:rsidRDefault="007C14CD" w:rsidP="007C14CD">
      <w:pPr>
        <w:pStyle w:val="Default"/>
        <w:rPr>
          <w:sz w:val="22"/>
          <w:szCs w:val="22"/>
        </w:rPr>
      </w:pPr>
      <w:r>
        <w:rPr>
          <w:sz w:val="22"/>
          <w:szCs w:val="22"/>
        </w:rPr>
        <w:t>The comparator was 5</w:t>
      </w:r>
      <w:r w:rsidR="001350D8">
        <w:rPr>
          <w:sz w:val="22"/>
          <w:szCs w:val="22"/>
        </w:rPr>
        <w:t xml:space="preserve"> mg</w:t>
      </w:r>
      <w:r>
        <w:rPr>
          <w:sz w:val="22"/>
          <w:szCs w:val="22"/>
        </w:rPr>
        <w:t xml:space="preserve"> risedronate orally daily and appears to have been associated with significant compliance issues during the trial, which likely reflects the ‘real world’ situation. Given that denosumab is administered every 6 months, a more suitable comparator may have been </w:t>
      </w:r>
      <w:proofErr w:type="spellStart"/>
      <w:r>
        <w:rPr>
          <w:sz w:val="22"/>
          <w:szCs w:val="22"/>
        </w:rPr>
        <w:t>zoledronic</w:t>
      </w:r>
      <w:proofErr w:type="spellEnd"/>
      <w:r>
        <w:rPr>
          <w:sz w:val="22"/>
          <w:szCs w:val="22"/>
        </w:rPr>
        <w:t xml:space="preserve"> acid, which is administered intravenously once a year and indicated in Australia to prevent </w:t>
      </w:r>
      <w:r w:rsidR="0065393E">
        <w:rPr>
          <w:sz w:val="22"/>
          <w:szCs w:val="22"/>
        </w:rPr>
        <w:t>glucocorticoid induced</w:t>
      </w:r>
      <w:r>
        <w:rPr>
          <w:sz w:val="22"/>
          <w:szCs w:val="22"/>
        </w:rPr>
        <w:t xml:space="preserve"> bone mineral density loss; potentially reducing confounding that may have occurred due to patient com</w:t>
      </w:r>
      <w:r w:rsidR="00FA37E5">
        <w:rPr>
          <w:sz w:val="22"/>
          <w:szCs w:val="22"/>
        </w:rPr>
        <w:t>pliance on the risedronate arm.</w:t>
      </w:r>
    </w:p>
    <w:p w:rsidR="007C14CD" w:rsidRPr="007C14CD" w:rsidRDefault="007C14CD" w:rsidP="007C14CD">
      <w:r w:rsidRPr="007C14CD">
        <w:t>The inclusion criteria for this study are not consistent with treatment guidelines in Australia, although it is also acknowledged that there are also discr</w:t>
      </w:r>
      <w:r w:rsidR="00FA37E5">
        <w:t>epancies in guidance referred to:</w:t>
      </w:r>
    </w:p>
    <w:p w:rsidR="007C14CD" w:rsidRPr="007C14CD" w:rsidRDefault="007C14CD" w:rsidP="00927606">
      <w:pPr>
        <w:pStyle w:val="ListBullet"/>
      </w:pPr>
      <w:r w:rsidRPr="007C14CD">
        <w:t>The dose of corticosteroid for eligibility for this study was 7.5</w:t>
      </w:r>
      <w:r w:rsidR="001350D8">
        <w:t xml:space="preserve"> mg</w:t>
      </w:r>
      <w:r w:rsidRPr="007C14CD">
        <w:t xml:space="preserve"> prednisolone (or equivalent) which is inconsistent with the Therapeutic Guidelines (which suggest a minimum dose of 5</w:t>
      </w:r>
      <w:r w:rsidR="001350D8">
        <w:t xml:space="preserve"> mg</w:t>
      </w:r>
      <w:r w:rsidRPr="007C14CD">
        <w:t xml:space="preserve"> prednisolone), but may be consistent with the </w:t>
      </w:r>
      <w:r w:rsidR="00092A8B">
        <w:t>Osteoporosis Australia guidance.</w:t>
      </w:r>
    </w:p>
    <w:p w:rsidR="00211AE1" w:rsidRDefault="007C14CD" w:rsidP="00927606">
      <w:pPr>
        <w:pStyle w:val="ListBullet"/>
      </w:pPr>
      <w:r w:rsidRPr="007C14CD">
        <w:t>Both the Therapeutic Guidelines and Osteoporosis Australia include inhaled steroids; this study did not</w:t>
      </w:r>
      <w:r w:rsidR="00211AE1">
        <w:t>.</w:t>
      </w:r>
    </w:p>
    <w:p w:rsidR="00211AE1" w:rsidRDefault="007C14CD" w:rsidP="00927606">
      <w:pPr>
        <w:pStyle w:val="ListBullet"/>
      </w:pPr>
      <w:r w:rsidRPr="007C14CD">
        <w:t>Neither the Therapeutic Guidelines nor Osteoporosis Australia clearly delineate prevention and treatment of corticosteroid induced steroids</w:t>
      </w:r>
      <w:r w:rsidR="00211AE1">
        <w:t>.</w:t>
      </w:r>
    </w:p>
    <w:p w:rsidR="007C14CD" w:rsidRDefault="007C14CD" w:rsidP="00927606">
      <w:pPr>
        <w:pStyle w:val="ListBullet"/>
      </w:pPr>
      <w:r w:rsidRPr="007C14CD">
        <w:t>Both the Therapeutic Guidelines and Osteoporosis Australia suggest treatment for patients with pre-existing osteoporosis or osteopenia</w:t>
      </w:r>
      <w:r w:rsidR="00092A8B">
        <w:t>;</w:t>
      </w:r>
      <w:r w:rsidRPr="007C14CD">
        <w:t xml:space="preserve"> </w:t>
      </w:r>
      <w:r w:rsidR="00092A8B">
        <w:t>that is disease with a T-score of ≤</w:t>
      </w:r>
      <w:r w:rsidR="00092A8B">
        <w:noBreakHyphen/>
      </w:r>
      <w:r w:rsidRPr="007C14CD">
        <w:t>1. This study’s inclusion criteria enrolled a diverse group of patients with respect to BMD and pre-</w:t>
      </w:r>
      <w:r w:rsidR="00927606">
        <w:t>existing osteoporotic fracture:</w:t>
      </w:r>
    </w:p>
    <w:p w:rsidR="009A3208" w:rsidRPr="009A3208" w:rsidRDefault="009A3208" w:rsidP="007A14BF">
      <w:pPr>
        <w:pStyle w:val="TableTitle"/>
      </w:pPr>
      <w:r>
        <w:t>Table 4: Comparison of inclusion criteria for Study 20101217 and the recommended treatment guidelines</w:t>
      </w:r>
    </w:p>
    <w:tbl>
      <w:tblPr>
        <w:tblStyle w:val="TableTGAblue"/>
        <w:tblW w:w="0" w:type="auto"/>
        <w:tblLook w:val="04A0" w:firstRow="1" w:lastRow="0" w:firstColumn="1" w:lastColumn="0" w:noHBand="0" w:noVBand="1"/>
      </w:tblPr>
      <w:tblGrid>
        <w:gridCol w:w="1913"/>
        <w:gridCol w:w="1035"/>
        <w:gridCol w:w="1763"/>
        <w:gridCol w:w="1837"/>
        <w:gridCol w:w="2172"/>
      </w:tblGrid>
      <w:tr w:rsidR="00371DE6" w:rsidRPr="00371DE6" w:rsidTr="00371DE6">
        <w:trPr>
          <w:cnfStyle w:val="100000000000" w:firstRow="1" w:lastRow="0" w:firstColumn="0" w:lastColumn="0" w:oddVBand="0" w:evenVBand="0" w:oddHBand="0" w:evenHBand="0" w:firstRowFirstColumn="0" w:firstRowLastColumn="0" w:lastRowFirstColumn="0" w:lastRowLastColumn="0"/>
        </w:trPr>
        <w:tc>
          <w:tcPr>
            <w:tcW w:w="1913" w:type="dxa"/>
          </w:tcPr>
          <w:p w:rsidR="00371DE6" w:rsidRPr="00371DE6" w:rsidRDefault="00371DE6" w:rsidP="00371DE6">
            <w:pPr>
              <w:ind w:left="0" w:right="0"/>
              <w:rPr>
                <w:sz w:val="20"/>
                <w:szCs w:val="20"/>
              </w:rPr>
            </w:pPr>
            <w:r w:rsidRPr="00371DE6">
              <w:rPr>
                <w:sz w:val="20"/>
                <w:szCs w:val="20"/>
              </w:rPr>
              <w:t xml:space="preserve">Subpopulation (as defined by </w:t>
            </w:r>
            <w:r w:rsidR="0065393E">
              <w:rPr>
                <w:sz w:val="20"/>
                <w:szCs w:val="20"/>
              </w:rPr>
              <w:t>Study</w:t>
            </w:r>
            <w:r w:rsidR="00232C85">
              <w:rPr>
                <w:sz w:val="20"/>
                <w:szCs w:val="20"/>
              </w:rPr>
              <w:t> </w:t>
            </w:r>
            <w:r w:rsidRPr="00371DE6">
              <w:rPr>
                <w:sz w:val="20"/>
                <w:szCs w:val="20"/>
              </w:rPr>
              <w:t xml:space="preserve"> 20101217)</w:t>
            </w:r>
          </w:p>
        </w:tc>
        <w:tc>
          <w:tcPr>
            <w:tcW w:w="1035" w:type="dxa"/>
          </w:tcPr>
          <w:p w:rsidR="00371DE6" w:rsidRPr="00371DE6" w:rsidRDefault="00371DE6" w:rsidP="00371DE6">
            <w:pPr>
              <w:ind w:left="0" w:right="0"/>
              <w:rPr>
                <w:sz w:val="20"/>
                <w:szCs w:val="20"/>
              </w:rPr>
            </w:pPr>
            <w:r w:rsidRPr="00371DE6">
              <w:rPr>
                <w:sz w:val="20"/>
                <w:szCs w:val="20"/>
              </w:rPr>
              <w:t>Age</w:t>
            </w:r>
          </w:p>
        </w:tc>
        <w:tc>
          <w:tcPr>
            <w:tcW w:w="1763" w:type="dxa"/>
          </w:tcPr>
          <w:p w:rsidR="00371DE6" w:rsidRPr="00371DE6" w:rsidRDefault="00371DE6" w:rsidP="00371DE6">
            <w:pPr>
              <w:ind w:left="0" w:right="0"/>
              <w:rPr>
                <w:sz w:val="20"/>
                <w:szCs w:val="20"/>
              </w:rPr>
            </w:pPr>
            <w:r w:rsidRPr="00371DE6">
              <w:rPr>
                <w:sz w:val="20"/>
                <w:szCs w:val="20"/>
              </w:rPr>
              <w:t xml:space="preserve">Inclusion criteria of </w:t>
            </w:r>
            <w:r w:rsidR="0065393E">
              <w:rPr>
                <w:sz w:val="20"/>
                <w:szCs w:val="20"/>
              </w:rPr>
              <w:t>Study</w:t>
            </w:r>
            <w:r w:rsidR="00232C85">
              <w:rPr>
                <w:sz w:val="20"/>
                <w:szCs w:val="20"/>
              </w:rPr>
              <w:t> </w:t>
            </w:r>
            <w:r w:rsidRPr="00371DE6">
              <w:rPr>
                <w:sz w:val="20"/>
                <w:szCs w:val="20"/>
              </w:rPr>
              <w:t>20101217</w:t>
            </w:r>
          </w:p>
        </w:tc>
        <w:tc>
          <w:tcPr>
            <w:tcW w:w="1837" w:type="dxa"/>
          </w:tcPr>
          <w:p w:rsidR="00371DE6" w:rsidRPr="00371DE6" w:rsidRDefault="00371DE6" w:rsidP="00371DE6">
            <w:pPr>
              <w:ind w:left="0" w:right="0"/>
              <w:rPr>
                <w:sz w:val="20"/>
                <w:szCs w:val="20"/>
              </w:rPr>
            </w:pPr>
            <w:r w:rsidRPr="00371DE6">
              <w:rPr>
                <w:sz w:val="20"/>
                <w:szCs w:val="20"/>
              </w:rPr>
              <w:t>Consistent with Therapeutic Guidelines?</w:t>
            </w:r>
          </w:p>
        </w:tc>
        <w:tc>
          <w:tcPr>
            <w:tcW w:w="2172" w:type="dxa"/>
          </w:tcPr>
          <w:p w:rsidR="00371DE6" w:rsidRPr="00371DE6" w:rsidRDefault="00371DE6" w:rsidP="00371DE6">
            <w:pPr>
              <w:ind w:left="0" w:right="0"/>
              <w:rPr>
                <w:sz w:val="20"/>
                <w:szCs w:val="20"/>
              </w:rPr>
            </w:pPr>
            <w:r w:rsidRPr="00371DE6">
              <w:rPr>
                <w:sz w:val="20"/>
                <w:szCs w:val="20"/>
              </w:rPr>
              <w:t>Consistent with Osteoporosis Australia recommendations?</w:t>
            </w:r>
          </w:p>
        </w:tc>
      </w:tr>
      <w:tr w:rsidR="00371DE6" w:rsidRPr="00371DE6" w:rsidTr="00371DE6">
        <w:tc>
          <w:tcPr>
            <w:tcW w:w="1913" w:type="dxa"/>
          </w:tcPr>
          <w:p w:rsidR="00371DE6" w:rsidRPr="00371DE6" w:rsidRDefault="00371DE6" w:rsidP="00371DE6">
            <w:pPr>
              <w:ind w:left="0" w:right="0"/>
              <w:rPr>
                <w:sz w:val="20"/>
                <w:szCs w:val="20"/>
              </w:rPr>
            </w:pPr>
            <w:r w:rsidRPr="00371DE6">
              <w:rPr>
                <w:sz w:val="20"/>
                <w:szCs w:val="20"/>
              </w:rPr>
              <w:t>Glucocorticoid-continuing</w:t>
            </w:r>
          </w:p>
        </w:tc>
        <w:tc>
          <w:tcPr>
            <w:tcW w:w="1035" w:type="dxa"/>
          </w:tcPr>
          <w:p w:rsidR="00371DE6" w:rsidRPr="00371DE6" w:rsidRDefault="001350D8" w:rsidP="00371DE6">
            <w:pPr>
              <w:ind w:left="0" w:right="0"/>
              <w:rPr>
                <w:sz w:val="20"/>
                <w:szCs w:val="20"/>
              </w:rPr>
            </w:pPr>
            <w:r>
              <w:rPr>
                <w:sz w:val="20"/>
                <w:szCs w:val="20"/>
              </w:rPr>
              <w:t xml:space="preserve">≥ </w:t>
            </w:r>
            <w:r w:rsidR="00371DE6" w:rsidRPr="00371DE6">
              <w:rPr>
                <w:sz w:val="20"/>
                <w:szCs w:val="20"/>
              </w:rPr>
              <w:t>50 years of age</w:t>
            </w:r>
          </w:p>
        </w:tc>
        <w:tc>
          <w:tcPr>
            <w:tcW w:w="1763" w:type="dxa"/>
          </w:tcPr>
          <w:p w:rsidR="00371DE6" w:rsidRPr="00371DE6" w:rsidRDefault="00092A8B" w:rsidP="00371DE6">
            <w:pPr>
              <w:ind w:left="0" w:right="0"/>
              <w:rPr>
                <w:sz w:val="20"/>
                <w:szCs w:val="20"/>
              </w:rPr>
            </w:pPr>
            <w:r>
              <w:rPr>
                <w:sz w:val="20"/>
                <w:szCs w:val="20"/>
              </w:rPr>
              <w:t>BMD value equivalent to a T</w:t>
            </w:r>
            <w:r>
              <w:rPr>
                <w:sz w:val="20"/>
                <w:szCs w:val="20"/>
              </w:rPr>
              <w:noBreakHyphen/>
            </w:r>
            <w:r w:rsidR="00371DE6" w:rsidRPr="00371DE6">
              <w:rPr>
                <w:sz w:val="20"/>
                <w:szCs w:val="20"/>
              </w:rPr>
              <w:t>score ≤ -2.0 at the lumbar spine, total hip, or femoral</w:t>
            </w:r>
            <w:r>
              <w:rPr>
                <w:sz w:val="20"/>
                <w:szCs w:val="20"/>
              </w:rPr>
              <w:t xml:space="preserve"> neck</w:t>
            </w:r>
          </w:p>
          <w:p w:rsidR="00371DE6" w:rsidRDefault="00371DE6" w:rsidP="00371DE6">
            <w:pPr>
              <w:ind w:left="0" w:right="0"/>
              <w:rPr>
                <w:sz w:val="20"/>
                <w:szCs w:val="20"/>
              </w:rPr>
            </w:pPr>
            <w:r>
              <w:rPr>
                <w:sz w:val="20"/>
                <w:szCs w:val="20"/>
              </w:rPr>
              <w:t>OR</w:t>
            </w:r>
          </w:p>
          <w:p w:rsidR="00371DE6" w:rsidRPr="00371DE6" w:rsidRDefault="00092A8B" w:rsidP="00371DE6">
            <w:pPr>
              <w:ind w:left="0" w:right="0"/>
              <w:rPr>
                <w:sz w:val="20"/>
                <w:szCs w:val="20"/>
              </w:rPr>
            </w:pPr>
            <w:proofErr w:type="gramStart"/>
            <w:r>
              <w:rPr>
                <w:sz w:val="20"/>
                <w:szCs w:val="20"/>
              </w:rPr>
              <w:t>a</w:t>
            </w:r>
            <w:proofErr w:type="gramEnd"/>
            <w:r>
              <w:rPr>
                <w:sz w:val="20"/>
                <w:szCs w:val="20"/>
              </w:rPr>
              <w:t xml:space="preserve"> BMD value equivalent to a T</w:t>
            </w:r>
            <w:r>
              <w:rPr>
                <w:sz w:val="20"/>
                <w:szCs w:val="20"/>
              </w:rPr>
              <w:noBreakHyphen/>
            </w:r>
            <w:r w:rsidR="00371DE6" w:rsidRPr="00371DE6">
              <w:rPr>
                <w:sz w:val="20"/>
                <w:szCs w:val="20"/>
              </w:rPr>
              <w:t>score ≤ -1.0 at the lumbar spine, total hip, or femoral neck and a history of osteoporotic fracture.</w:t>
            </w:r>
          </w:p>
        </w:tc>
        <w:tc>
          <w:tcPr>
            <w:tcW w:w="1837" w:type="dxa"/>
          </w:tcPr>
          <w:p w:rsidR="00371DE6" w:rsidRPr="00371DE6" w:rsidRDefault="00371DE6" w:rsidP="00371DE6">
            <w:pPr>
              <w:ind w:left="0" w:right="0"/>
              <w:rPr>
                <w:sz w:val="20"/>
                <w:szCs w:val="20"/>
              </w:rPr>
            </w:pPr>
            <w:r w:rsidRPr="00371DE6">
              <w:rPr>
                <w:sz w:val="20"/>
                <w:szCs w:val="20"/>
              </w:rPr>
              <w:t xml:space="preserve">Yes. These guidelines recommend treatment for patients with either osteopenia or osteoporosis (defined as T score </w:t>
            </w:r>
            <w:r w:rsidR="001350D8">
              <w:rPr>
                <w:sz w:val="20"/>
                <w:szCs w:val="20"/>
              </w:rPr>
              <w:t xml:space="preserve">&lt; </w:t>
            </w:r>
            <w:r w:rsidRPr="00371DE6">
              <w:rPr>
                <w:sz w:val="20"/>
                <w:szCs w:val="20"/>
              </w:rPr>
              <w:t>-1). Note: there are no specific criteria relating to fractures.</w:t>
            </w:r>
          </w:p>
        </w:tc>
        <w:tc>
          <w:tcPr>
            <w:tcW w:w="2172" w:type="dxa"/>
          </w:tcPr>
          <w:p w:rsidR="00371DE6" w:rsidRPr="00371DE6" w:rsidRDefault="00371DE6" w:rsidP="00371DE6">
            <w:pPr>
              <w:ind w:left="0" w:right="0"/>
              <w:rPr>
                <w:sz w:val="20"/>
                <w:szCs w:val="20"/>
              </w:rPr>
            </w:pPr>
            <w:r w:rsidRPr="00371DE6">
              <w:rPr>
                <w:sz w:val="20"/>
                <w:szCs w:val="20"/>
              </w:rPr>
              <w:t xml:space="preserve">Somewhat. These guidelines recommend treatment for patients with a T score </w:t>
            </w:r>
            <w:r w:rsidR="001350D8">
              <w:rPr>
                <w:sz w:val="20"/>
                <w:szCs w:val="20"/>
              </w:rPr>
              <w:t xml:space="preserve">&lt; </w:t>
            </w:r>
            <w:r w:rsidRPr="00371DE6">
              <w:rPr>
                <w:sz w:val="20"/>
                <w:szCs w:val="20"/>
              </w:rPr>
              <w:t>-1.5. There are no specific criteria relating to fractures.</w:t>
            </w:r>
          </w:p>
        </w:tc>
      </w:tr>
      <w:tr w:rsidR="00371DE6" w:rsidRPr="00371DE6" w:rsidTr="00371DE6">
        <w:tc>
          <w:tcPr>
            <w:tcW w:w="1913" w:type="dxa"/>
          </w:tcPr>
          <w:p w:rsidR="00371DE6" w:rsidRPr="00371DE6" w:rsidRDefault="00371DE6" w:rsidP="00371DE6">
            <w:pPr>
              <w:ind w:left="0" w:right="0"/>
              <w:rPr>
                <w:sz w:val="20"/>
                <w:szCs w:val="20"/>
              </w:rPr>
            </w:pPr>
            <w:r w:rsidRPr="00371DE6">
              <w:rPr>
                <w:sz w:val="20"/>
                <w:szCs w:val="20"/>
              </w:rPr>
              <w:lastRenderedPageBreak/>
              <w:t>Glucocorticoid-continuing</w:t>
            </w:r>
          </w:p>
        </w:tc>
        <w:tc>
          <w:tcPr>
            <w:tcW w:w="1035" w:type="dxa"/>
          </w:tcPr>
          <w:p w:rsidR="00371DE6" w:rsidRPr="00371DE6" w:rsidRDefault="001350D8" w:rsidP="00371DE6">
            <w:pPr>
              <w:ind w:left="0" w:right="0"/>
              <w:rPr>
                <w:sz w:val="20"/>
                <w:szCs w:val="20"/>
              </w:rPr>
            </w:pPr>
            <w:r>
              <w:rPr>
                <w:sz w:val="20"/>
                <w:szCs w:val="20"/>
              </w:rPr>
              <w:t xml:space="preserve">&lt; </w:t>
            </w:r>
            <w:r w:rsidR="00371DE6" w:rsidRPr="00371DE6">
              <w:rPr>
                <w:sz w:val="20"/>
                <w:szCs w:val="20"/>
              </w:rPr>
              <w:t>50 years old</w:t>
            </w:r>
          </w:p>
        </w:tc>
        <w:tc>
          <w:tcPr>
            <w:tcW w:w="1763" w:type="dxa"/>
          </w:tcPr>
          <w:p w:rsidR="00371DE6" w:rsidRPr="00371DE6" w:rsidRDefault="00371DE6" w:rsidP="00371DE6">
            <w:pPr>
              <w:ind w:left="0" w:right="0"/>
              <w:rPr>
                <w:sz w:val="20"/>
                <w:szCs w:val="20"/>
              </w:rPr>
            </w:pPr>
            <w:r w:rsidRPr="00371DE6">
              <w:rPr>
                <w:sz w:val="20"/>
                <w:szCs w:val="20"/>
              </w:rPr>
              <w:t>History of osteoporotic fracture</w:t>
            </w:r>
          </w:p>
        </w:tc>
        <w:tc>
          <w:tcPr>
            <w:tcW w:w="1837" w:type="dxa"/>
          </w:tcPr>
          <w:p w:rsidR="00371DE6" w:rsidRPr="00371DE6" w:rsidRDefault="00371DE6" w:rsidP="00371DE6">
            <w:pPr>
              <w:ind w:left="0" w:right="0"/>
              <w:rPr>
                <w:sz w:val="20"/>
                <w:szCs w:val="20"/>
              </w:rPr>
            </w:pPr>
            <w:r w:rsidRPr="00371DE6">
              <w:rPr>
                <w:sz w:val="20"/>
                <w:szCs w:val="20"/>
              </w:rPr>
              <w:t>No; patient population requiring therapy in this guideline is defined by T-score only</w:t>
            </w:r>
          </w:p>
        </w:tc>
        <w:tc>
          <w:tcPr>
            <w:tcW w:w="2172" w:type="dxa"/>
          </w:tcPr>
          <w:p w:rsidR="00371DE6" w:rsidRPr="00371DE6" w:rsidRDefault="00371DE6" w:rsidP="00371DE6">
            <w:pPr>
              <w:ind w:left="0" w:right="0"/>
              <w:rPr>
                <w:sz w:val="20"/>
                <w:szCs w:val="20"/>
              </w:rPr>
            </w:pPr>
            <w:r w:rsidRPr="00371DE6">
              <w:rPr>
                <w:sz w:val="20"/>
                <w:szCs w:val="20"/>
              </w:rPr>
              <w:t>No; these guidelines only recommend treatment for patients &gt; 50 years old</w:t>
            </w:r>
          </w:p>
        </w:tc>
      </w:tr>
      <w:tr w:rsidR="00371DE6" w:rsidRPr="00371DE6" w:rsidTr="00371DE6">
        <w:tc>
          <w:tcPr>
            <w:tcW w:w="1913" w:type="dxa"/>
          </w:tcPr>
          <w:p w:rsidR="00371DE6" w:rsidRPr="00371DE6" w:rsidRDefault="00371DE6" w:rsidP="00371DE6">
            <w:pPr>
              <w:ind w:left="0" w:right="0"/>
              <w:rPr>
                <w:sz w:val="20"/>
                <w:szCs w:val="20"/>
              </w:rPr>
            </w:pPr>
            <w:r w:rsidRPr="00371DE6">
              <w:rPr>
                <w:sz w:val="20"/>
                <w:szCs w:val="20"/>
              </w:rPr>
              <w:t>Glucocorticoid-initiating</w:t>
            </w:r>
          </w:p>
        </w:tc>
        <w:tc>
          <w:tcPr>
            <w:tcW w:w="1035" w:type="dxa"/>
          </w:tcPr>
          <w:p w:rsidR="00371DE6" w:rsidRPr="00371DE6" w:rsidRDefault="001350D8" w:rsidP="00371DE6">
            <w:pPr>
              <w:ind w:left="0" w:right="0"/>
              <w:rPr>
                <w:sz w:val="20"/>
                <w:szCs w:val="20"/>
              </w:rPr>
            </w:pPr>
            <w:r>
              <w:rPr>
                <w:sz w:val="20"/>
                <w:szCs w:val="20"/>
              </w:rPr>
              <w:t xml:space="preserve">≥ </w:t>
            </w:r>
            <w:r w:rsidR="00371DE6" w:rsidRPr="00371DE6">
              <w:rPr>
                <w:sz w:val="20"/>
                <w:szCs w:val="20"/>
              </w:rPr>
              <w:t>50 years of age</w:t>
            </w:r>
          </w:p>
        </w:tc>
        <w:tc>
          <w:tcPr>
            <w:tcW w:w="1763" w:type="dxa"/>
          </w:tcPr>
          <w:p w:rsidR="00371DE6" w:rsidRPr="00371DE6" w:rsidRDefault="00371DE6" w:rsidP="00371DE6">
            <w:pPr>
              <w:ind w:left="0" w:right="0"/>
              <w:rPr>
                <w:sz w:val="20"/>
                <w:szCs w:val="20"/>
              </w:rPr>
            </w:pPr>
            <w:r w:rsidRPr="00371DE6">
              <w:rPr>
                <w:sz w:val="20"/>
                <w:szCs w:val="20"/>
              </w:rPr>
              <w:t>No requirements for BMD or fracture history</w:t>
            </w:r>
          </w:p>
        </w:tc>
        <w:tc>
          <w:tcPr>
            <w:tcW w:w="1837" w:type="dxa"/>
          </w:tcPr>
          <w:p w:rsidR="00371DE6" w:rsidRPr="00371DE6" w:rsidRDefault="00371DE6" w:rsidP="00371DE6">
            <w:pPr>
              <w:ind w:left="0" w:right="0"/>
              <w:rPr>
                <w:sz w:val="20"/>
                <w:szCs w:val="20"/>
              </w:rPr>
            </w:pPr>
            <w:r w:rsidRPr="00371DE6">
              <w:rPr>
                <w:sz w:val="20"/>
                <w:szCs w:val="20"/>
              </w:rPr>
              <w:t>No; only patients with osteopenia or osteoporosis are recommended to receive treatment</w:t>
            </w:r>
          </w:p>
        </w:tc>
        <w:tc>
          <w:tcPr>
            <w:tcW w:w="2172" w:type="dxa"/>
          </w:tcPr>
          <w:p w:rsidR="00371DE6" w:rsidRPr="00371DE6" w:rsidRDefault="00371DE6" w:rsidP="00371DE6">
            <w:pPr>
              <w:ind w:left="0" w:right="0"/>
              <w:rPr>
                <w:sz w:val="20"/>
                <w:szCs w:val="20"/>
              </w:rPr>
            </w:pPr>
            <w:r w:rsidRPr="00371DE6">
              <w:rPr>
                <w:sz w:val="20"/>
                <w:szCs w:val="20"/>
              </w:rPr>
              <w:t xml:space="preserve">No; these guidelines recommend </w:t>
            </w:r>
            <w:r w:rsidR="00092A8B">
              <w:rPr>
                <w:sz w:val="20"/>
                <w:szCs w:val="20"/>
              </w:rPr>
              <w:t>treatment for patients with a T</w:t>
            </w:r>
            <w:r w:rsidR="00092A8B">
              <w:rPr>
                <w:sz w:val="20"/>
                <w:szCs w:val="20"/>
              </w:rPr>
              <w:noBreakHyphen/>
            </w:r>
            <w:r w:rsidRPr="00371DE6">
              <w:rPr>
                <w:sz w:val="20"/>
                <w:szCs w:val="20"/>
              </w:rPr>
              <w:t xml:space="preserve">score </w:t>
            </w:r>
            <w:r w:rsidR="001350D8">
              <w:rPr>
                <w:sz w:val="20"/>
                <w:szCs w:val="20"/>
              </w:rPr>
              <w:t xml:space="preserve">&lt; </w:t>
            </w:r>
            <w:r w:rsidRPr="00371DE6">
              <w:rPr>
                <w:sz w:val="20"/>
                <w:szCs w:val="20"/>
              </w:rPr>
              <w:t>-1.5</w:t>
            </w:r>
          </w:p>
        </w:tc>
      </w:tr>
      <w:tr w:rsidR="00371DE6" w:rsidRPr="00371DE6" w:rsidTr="00371DE6">
        <w:tc>
          <w:tcPr>
            <w:tcW w:w="1913" w:type="dxa"/>
          </w:tcPr>
          <w:p w:rsidR="00371DE6" w:rsidRPr="00371DE6" w:rsidRDefault="00371DE6" w:rsidP="00371DE6">
            <w:pPr>
              <w:ind w:left="0" w:right="0"/>
              <w:rPr>
                <w:sz w:val="20"/>
                <w:szCs w:val="20"/>
              </w:rPr>
            </w:pPr>
            <w:r w:rsidRPr="00371DE6">
              <w:rPr>
                <w:sz w:val="20"/>
                <w:szCs w:val="20"/>
              </w:rPr>
              <w:t>Glucocorticoid-initiating</w:t>
            </w:r>
          </w:p>
        </w:tc>
        <w:tc>
          <w:tcPr>
            <w:tcW w:w="1035" w:type="dxa"/>
          </w:tcPr>
          <w:p w:rsidR="00371DE6" w:rsidRPr="00371DE6" w:rsidRDefault="001350D8" w:rsidP="00371DE6">
            <w:pPr>
              <w:ind w:left="0" w:right="0"/>
              <w:rPr>
                <w:sz w:val="20"/>
                <w:szCs w:val="20"/>
              </w:rPr>
            </w:pPr>
            <w:r>
              <w:rPr>
                <w:sz w:val="20"/>
                <w:szCs w:val="20"/>
              </w:rPr>
              <w:t xml:space="preserve">&lt; </w:t>
            </w:r>
            <w:r w:rsidR="00371DE6" w:rsidRPr="00371DE6">
              <w:rPr>
                <w:sz w:val="20"/>
                <w:szCs w:val="20"/>
              </w:rPr>
              <w:t>50 years old</w:t>
            </w:r>
          </w:p>
        </w:tc>
        <w:tc>
          <w:tcPr>
            <w:tcW w:w="1763" w:type="dxa"/>
          </w:tcPr>
          <w:p w:rsidR="00371DE6" w:rsidRPr="00371DE6" w:rsidRDefault="00371DE6" w:rsidP="00371DE6">
            <w:pPr>
              <w:ind w:left="0" w:right="0"/>
              <w:rPr>
                <w:sz w:val="20"/>
                <w:szCs w:val="20"/>
              </w:rPr>
            </w:pPr>
            <w:r w:rsidRPr="00371DE6">
              <w:rPr>
                <w:sz w:val="20"/>
                <w:szCs w:val="20"/>
              </w:rPr>
              <w:t>History of osteoporotic fracture</w:t>
            </w:r>
          </w:p>
        </w:tc>
        <w:tc>
          <w:tcPr>
            <w:tcW w:w="1837" w:type="dxa"/>
          </w:tcPr>
          <w:p w:rsidR="00371DE6" w:rsidRPr="00371DE6" w:rsidRDefault="00371DE6" w:rsidP="00371DE6">
            <w:pPr>
              <w:ind w:left="0" w:right="0"/>
              <w:rPr>
                <w:sz w:val="20"/>
                <w:szCs w:val="20"/>
              </w:rPr>
            </w:pPr>
            <w:r w:rsidRPr="00371DE6">
              <w:rPr>
                <w:sz w:val="20"/>
                <w:szCs w:val="20"/>
              </w:rPr>
              <w:t>No; patient population requiring therapy in this guideline is defined by T-score only</w:t>
            </w:r>
          </w:p>
        </w:tc>
        <w:tc>
          <w:tcPr>
            <w:tcW w:w="2172" w:type="dxa"/>
          </w:tcPr>
          <w:p w:rsidR="00371DE6" w:rsidRPr="00371DE6" w:rsidRDefault="00371DE6" w:rsidP="00371DE6">
            <w:pPr>
              <w:ind w:left="0" w:right="0"/>
              <w:rPr>
                <w:sz w:val="20"/>
                <w:szCs w:val="20"/>
              </w:rPr>
            </w:pPr>
            <w:r w:rsidRPr="00371DE6">
              <w:rPr>
                <w:sz w:val="20"/>
                <w:szCs w:val="20"/>
              </w:rPr>
              <w:t>No; these guidelines only recommends treatment for patients &gt; 50 years old</w:t>
            </w:r>
          </w:p>
        </w:tc>
      </w:tr>
    </w:tbl>
    <w:p w:rsidR="00371DE6" w:rsidRPr="00371DE6" w:rsidRDefault="00371DE6" w:rsidP="00822F69">
      <w:r w:rsidRPr="00371DE6">
        <w:t>Therefore it is not clear how well the population recruited to this study represents the actual target population in clinical practice. Other potential discrepancies with the</w:t>
      </w:r>
      <w:r w:rsidR="00092A8B">
        <w:t xml:space="preserve"> ‘real-world’ population noted:</w:t>
      </w:r>
    </w:p>
    <w:p w:rsidR="00211AE1" w:rsidRDefault="00371DE6" w:rsidP="00927606">
      <w:pPr>
        <w:pStyle w:val="ListBullet"/>
      </w:pPr>
      <w:r w:rsidRPr="00371DE6">
        <w:t xml:space="preserve">The majority of the subjects recruited in both subpopulations were women, and of these, only a small minority were pre-menopausal. However, it is also noted that denosumab is categorised as Pregnancy </w:t>
      </w:r>
      <w:r w:rsidR="00C722A0">
        <w:t>C</w:t>
      </w:r>
      <w:r w:rsidR="00C722A0" w:rsidRPr="00371DE6">
        <w:t xml:space="preserve">ategory </w:t>
      </w:r>
      <w:r w:rsidRPr="00371DE6">
        <w:t>D</w:t>
      </w:r>
      <w:bookmarkStart w:id="66" w:name="_Ref531700359"/>
      <w:r w:rsidR="00C722A0">
        <w:t>;</w:t>
      </w:r>
      <w:r w:rsidR="00092A8B">
        <w:rPr>
          <w:rStyle w:val="FootnoteReference"/>
        </w:rPr>
        <w:footnoteReference w:id="17"/>
      </w:r>
      <w:bookmarkEnd w:id="66"/>
      <w:r w:rsidRPr="00371DE6">
        <w:t xml:space="preserve"> and therefore contraindicated for use during pregnancy and in women trying to get pregnant. This may reduce the number of pre-menopausal women who are suitable for treatment with denosumab</w:t>
      </w:r>
      <w:r w:rsidR="00211AE1">
        <w:t>.</w:t>
      </w:r>
    </w:p>
    <w:p w:rsidR="00371DE6" w:rsidRPr="00371DE6" w:rsidRDefault="00371DE6" w:rsidP="00927606">
      <w:pPr>
        <w:pStyle w:val="ListBullet"/>
      </w:pPr>
      <w:r w:rsidRPr="00371DE6">
        <w:t>The mean ages for all arms in both sub populations were in the sixties. Of particular note, the mean age for those on the denosumab arm in the GC-</w:t>
      </w:r>
      <w:r w:rsidR="00FA37E5">
        <w:t>I subpopulation was 67.5 years.</w:t>
      </w:r>
    </w:p>
    <w:p w:rsidR="00211AE1" w:rsidRDefault="00371DE6" w:rsidP="00927606">
      <w:pPr>
        <w:pStyle w:val="ListBullet"/>
      </w:pPr>
      <w:r w:rsidRPr="00371DE6">
        <w:t>The follow up time was for 12 months, however many of the conditions for which the patients were taking corticosteroids are chronic condi</w:t>
      </w:r>
      <w:r>
        <w:t xml:space="preserve">tions (for example, rheumatoid </w:t>
      </w:r>
      <w:r w:rsidRPr="00371DE6">
        <w:t xml:space="preserve">arthritis, polymyalgia </w:t>
      </w:r>
      <w:proofErr w:type="spellStart"/>
      <w:r w:rsidRPr="00371DE6">
        <w:t>rheumatica</w:t>
      </w:r>
      <w:proofErr w:type="spellEnd"/>
      <w:r w:rsidRPr="00371DE6">
        <w:t>, asthma and systemic lupus erythema) which may require long term (years) or repeated courses of oral corticosteroid treatment and therefore 12 months may be considered relatively short in this context</w:t>
      </w:r>
      <w:r w:rsidR="00211AE1">
        <w:t>.</w:t>
      </w:r>
    </w:p>
    <w:p w:rsidR="00371DE6" w:rsidRPr="00371DE6" w:rsidRDefault="00371DE6" w:rsidP="00371DE6">
      <w:r w:rsidRPr="00371DE6">
        <w:t>Specific details of the characteristics and the primary endpoint outcomes of the two subpopulation</w:t>
      </w:r>
      <w:r w:rsidR="00FA37E5">
        <w:t>s will be discussed separately.</w:t>
      </w:r>
    </w:p>
    <w:p w:rsidR="00371DE6" w:rsidRPr="00371DE6" w:rsidRDefault="00371DE6" w:rsidP="00371DE6">
      <w:pPr>
        <w:pStyle w:val="Heading6"/>
      </w:pPr>
      <w:r w:rsidRPr="00371DE6">
        <w:t>Glucocort</w:t>
      </w:r>
      <w:r w:rsidR="00092A8B">
        <w:t>icoid-initiating sub-population</w:t>
      </w:r>
    </w:p>
    <w:p w:rsidR="00211AE1" w:rsidRDefault="00371DE6" w:rsidP="00371DE6">
      <w:r w:rsidRPr="00371DE6">
        <w:t xml:space="preserve">In this population, the difference in percent change from baseline in lumbar spine BMD at </w:t>
      </w:r>
      <w:r w:rsidR="00092A8B">
        <w:t>Month</w:t>
      </w:r>
      <w:r w:rsidRPr="00371DE6">
        <w:t xml:space="preserve"> 12 between the two arms was 2.9 % (95% </w:t>
      </w:r>
      <w:r w:rsidR="00DE1EFB">
        <w:t>confidence interval</w:t>
      </w:r>
      <w:r w:rsidR="00DE1EFB" w:rsidRPr="00371DE6">
        <w:t xml:space="preserve"> </w:t>
      </w:r>
      <w:r w:rsidR="00DE1EFB">
        <w:t>(</w:t>
      </w:r>
      <w:r w:rsidRPr="00371DE6">
        <w:t>CI</w:t>
      </w:r>
      <w:r w:rsidR="00DE1EFB">
        <w:t>)</w:t>
      </w:r>
      <w:r w:rsidRPr="00371DE6">
        <w:t xml:space="preserve"> 2.0,</w:t>
      </w:r>
      <w:r w:rsidR="001350D8">
        <w:t xml:space="preserve"> 3.9) in favour of denosumab (p &lt; </w:t>
      </w:r>
      <w:r w:rsidRPr="00371DE6">
        <w:t>0.001) therefore demonstrating not only non-inferiority but also superiority</w:t>
      </w:r>
      <w:r w:rsidR="00211AE1">
        <w:t>.</w:t>
      </w:r>
    </w:p>
    <w:p w:rsidR="00371DE6" w:rsidRPr="00371DE6" w:rsidRDefault="00371DE6" w:rsidP="00371DE6">
      <w:r w:rsidRPr="00371DE6">
        <w:lastRenderedPageBreak/>
        <w:t>However, a number of uncertainties regarding the reliability o</w:t>
      </w:r>
      <w:r w:rsidR="001350D8">
        <w:t>f the efficacy outcomes remain:</w:t>
      </w:r>
    </w:p>
    <w:p w:rsidR="00371DE6" w:rsidRPr="00371DE6" w:rsidRDefault="00371DE6" w:rsidP="00927606">
      <w:pPr>
        <w:pStyle w:val="Numberbullet0"/>
      </w:pPr>
      <w:r w:rsidRPr="00371DE6">
        <w:t>This subpopulation contained a number of baseline discrepancies between the two arms which may affect the outcomes of th</w:t>
      </w:r>
      <w:r w:rsidR="00FA37E5">
        <w:t>e study. Notable discrepancies:</w:t>
      </w:r>
    </w:p>
    <w:p w:rsidR="00927606" w:rsidRPr="007A14BF" w:rsidRDefault="00371DE6" w:rsidP="007A14BF">
      <w:pPr>
        <w:pStyle w:val="Numberbullet2"/>
      </w:pPr>
      <w:r w:rsidRPr="007A14BF">
        <w:t xml:space="preserve">Differences between the two arms in terms of age (older population on denosumab arm), current smokers (more prevalent on risedronate arm) and </w:t>
      </w:r>
      <w:r w:rsidR="001350D8" w:rsidRPr="007A14BF">
        <w:t xml:space="preserve">≥ </w:t>
      </w:r>
      <w:r w:rsidRPr="007A14BF">
        <w:t>3 alcoholic beverages a day (double the number of subjects on the risedronate arm). Advancing age, excessive alcohol intake and cigarette smoking are all risk factors for fracture incidence</w:t>
      </w:r>
      <w:r w:rsidR="00FA37E5" w:rsidRPr="007A14BF">
        <w:t>.</w:t>
      </w:r>
      <w:r w:rsidR="001350D8" w:rsidRPr="007A14BF">
        <w:rPr>
          <w:vertAlign w:val="superscript"/>
        </w:rPr>
        <w:fldChar w:fldCharType="begin"/>
      </w:r>
      <w:r w:rsidR="001350D8" w:rsidRPr="007A14BF">
        <w:rPr>
          <w:vertAlign w:val="superscript"/>
        </w:rPr>
        <w:instrText xml:space="preserve"> NOTEREF _Ref531686465 \h  \* MERGEFORMAT </w:instrText>
      </w:r>
      <w:r w:rsidR="001350D8" w:rsidRPr="007A14BF">
        <w:rPr>
          <w:vertAlign w:val="superscript"/>
        </w:rPr>
      </w:r>
      <w:r w:rsidR="001350D8" w:rsidRPr="007A14BF">
        <w:rPr>
          <w:vertAlign w:val="superscript"/>
        </w:rPr>
        <w:fldChar w:fldCharType="separate"/>
      </w:r>
      <w:r w:rsidR="001350D8" w:rsidRPr="007A14BF">
        <w:rPr>
          <w:vertAlign w:val="superscript"/>
        </w:rPr>
        <w:t>3</w:t>
      </w:r>
      <w:r w:rsidR="001350D8" w:rsidRPr="007A14BF">
        <w:rPr>
          <w:vertAlign w:val="superscript"/>
        </w:rPr>
        <w:fldChar w:fldCharType="end"/>
      </w:r>
    </w:p>
    <w:p w:rsidR="00211AE1" w:rsidRPr="007A14BF" w:rsidRDefault="00927606" w:rsidP="007A14BF">
      <w:pPr>
        <w:pStyle w:val="Numberbullet2"/>
      </w:pPr>
      <w:r w:rsidRPr="007A14BF">
        <w:t>Enrolment of a number of subjects who had been treated for 3 or mo</w:t>
      </w:r>
      <w:r w:rsidR="001350D8" w:rsidRPr="007A14BF">
        <w:t>re months with corticosteroids;</w:t>
      </w:r>
      <w:r w:rsidRPr="007A14BF">
        <w:t xml:space="preserve"> 11% of risedronate subjects and 6.9% of denosumab subjects; 5.5% on the risedronate arm had received glucocorticoid for more than 12 months. Duration of glucocorticoid therapy is a risk factor for fracture incidence</w:t>
      </w:r>
      <w:r w:rsidR="001350D8" w:rsidRPr="007A14BF">
        <w:rPr>
          <w:vertAlign w:val="superscript"/>
        </w:rPr>
        <w:fldChar w:fldCharType="begin"/>
      </w:r>
      <w:r w:rsidR="001350D8" w:rsidRPr="007A14BF">
        <w:rPr>
          <w:vertAlign w:val="superscript"/>
        </w:rPr>
        <w:instrText xml:space="preserve"> NOTEREF _Ref531686465 \h  \* MERGEFORMAT </w:instrText>
      </w:r>
      <w:r w:rsidR="001350D8" w:rsidRPr="007A14BF">
        <w:rPr>
          <w:vertAlign w:val="superscript"/>
        </w:rPr>
      </w:r>
      <w:r w:rsidR="001350D8" w:rsidRPr="007A14BF">
        <w:rPr>
          <w:vertAlign w:val="superscript"/>
        </w:rPr>
        <w:fldChar w:fldCharType="separate"/>
      </w:r>
      <w:r w:rsidR="001350D8" w:rsidRPr="007A14BF">
        <w:rPr>
          <w:vertAlign w:val="superscript"/>
        </w:rPr>
        <w:t>3</w:t>
      </w:r>
      <w:r w:rsidR="001350D8" w:rsidRPr="007A14BF">
        <w:rPr>
          <w:vertAlign w:val="superscript"/>
        </w:rPr>
        <w:fldChar w:fldCharType="end"/>
      </w:r>
      <w:r w:rsidRPr="007A14BF">
        <w:t xml:space="preserve"> and therefore this imbalance is a potential confounding factor. Importantly, it is also a threat to the external validity of this subpopulation given that these subjects do not meet the fundamental pre-determined definition of Glucocorticoid-initiating subjects</w:t>
      </w:r>
      <w:r w:rsidR="00211AE1" w:rsidRPr="007A14BF">
        <w:t>.</w:t>
      </w:r>
    </w:p>
    <w:p w:rsidR="00211AE1" w:rsidRPr="007A14BF" w:rsidRDefault="00927606" w:rsidP="007A14BF">
      <w:pPr>
        <w:pStyle w:val="Numberbullet2"/>
      </w:pPr>
      <w:r w:rsidRPr="007A14BF">
        <w:t>Disproportionately more subjects on the risedronate arm compared to denosumab (risedronate arm 13.8%; denosumab 6.2%) with pre-existing secondary osteoporosis</w:t>
      </w:r>
      <w:r w:rsidR="00211AE1" w:rsidRPr="007A14BF">
        <w:t>.</w:t>
      </w:r>
    </w:p>
    <w:p w:rsidR="00211AE1" w:rsidRDefault="00927606" w:rsidP="00927606">
      <w:r w:rsidRPr="00927606">
        <w:t>The risk of confounding in this subpopulation due to these baseline differences is important given that they may impact fracture risk. Although the primary and secondary objectives for this study relate to BMD outcomes and not fracture outcomes, it is relevant from a clinical point of view to note these differences</w:t>
      </w:r>
      <w:r w:rsidR="00211AE1">
        <w:t>.</w:t>
      </w:r>
    </w:p>
    <w:p w:rsidR="00927606" w:rsidRDefault="00927606" w:rsidP="00927606">
      <w:pPr>
        <w:pStyle w:val="Numberbullet0"/>
      </w:pPr>
      <w:r w:rsidRPr="00927606">
        <w:t xml:space="preserve">A discrepancy in the number of subjects who discontinued the study prior to the first 12 months was </w:t>
      </w:r>
      <w:r w:rsidR="001350D8">
        <w:t>also seen between the two arms;</w:t>
      </w:r>
      <w:r w:rsidRPr="00927606">
        <w:t xml:space="preserve"> 15.9% on the denosumab arm and 9.7% on the risedronate arm. The largest discrepancy was seen for the reason of withdrawn consent (5.5% risedronate compared</w:t>
      </w:r>
      <w:r>
        <w:t xml:space="preserve"> to 9.0% on the denosumab arm).</w:t>
      </w:r>
    </w:p>
    <w:p w:rsidR="00211AE1" w:rsidRDefault="00927606" w:rsidP="00927606">
      <w:pPr>
        <w:pStyle w:val="Numberbullet0"/>
      </w:pPr>
      <w:r w:rsidRPr="00927606">
        <w:t>There were a relatively high number of subjects reporting at least one important deviation with a higher number</w:t>
      </w:r>
      <w:r w:rsidR="001350D8">
        <w:t xml:space="preserve"> on the denosumab arm; 22.1% compared to 15.2%;</w:t>
      </w:r>
      <w:r w:rsidRPr="00927606">
        <w:t xml:space="preserve"> impacting the internal validity of the study</w:t>
      </w:r>
      <w:r w:rsidR="00211AE1">
        <w:t>.</w:t>
      </w:r>
    </w:p>
    <w:p w:rsidR="00211AE1" w:rsidRDefault="00927606" w:rsidP="00927606">
      <w:pPr>
        <w:pStyle w:val="Numberbullet0"/>
      </w:pPr>
      <w:r w:rsidRPr="00927606">
        <w:t xml:space="preserve">The </w:t>
      </w:r>
      <w:r w:rsidR="009A3208">
        <w:t>‘</w:t>
      </w:r>
      <w:r w:rsidRPr="00927606">
        <w:t>projected denosumab advantage</w:t>
      </w:r>
      <w:r w:rsidR="009A3208">
        <w:t>’</w:t>
      </w:r>
      <w:r w:rsidRPr="00927606">
        <w:t xml:space="preserve"> at study start was 1.56%. The clinical significance of the </w:t>
      </w:r>
      <w:r w:rsidR="009A3208">
        <w:t>‘</w:t>
      </w:r>
      <w:r w:rsidRPr="00927606">
        <w:t>denosumab advantage</w:t>
      </w:r>
      <w:r w:rsidR="009A3208">
        <w:t>’</w:t>
      </w:r>
      <w:r w:rsidRPr="00927606">
        <w:t xml:space="preserve"> chosen by the </w:t>
      </w:r>
      <w:r w:rsidR="00A54D03">
        <w:t>sponsor</w:t>
      </w:r>
      <w:r w:rsidRPr="00927606">
        <w:t xml:space="preserve"> is not clearly stated</w:t>
      </w:r>
      <w:r w:rsidR="00211AE1">
        <w:t>.</w:t>
      </w:r>
    </w:p>
    <w:p w:rsidR="00927606" w:rsidRPr="00927606" w:rsidRDefault="00927606" w:rsidP="00927606">
      <w:pPr>
        <w:pStyle w:val="Numberbullet0"/>
      </w:pPr>
      <w:r w:rsidRPr="00927606">
        <w:t>The primary endpoint was BMD, which is only a surrogate endpoint for a more clinically relevant endpoint of fractures. As it is known that fractures associated with glucocorticoid t</w:t>
      </w:r>
      <w:r w:rsidR="001350D8">
        <w:t xml:space="preserve">reatment tend to occur within 3 to </w:t>
      </w:r>
      <w:r w:rsidRPr="00927606">
        <w:t>6 months of initiating treatment</w:t>
      </w:r>
      <w:proofErr w:type="gramStart"/>
      <w:r w:rsidR="003764F8">
        <w:t>;</w:t>
      </w:r>
      <w:proofErr w:type="gramEnd"/>
      <w:r w:rsidR="001350D8" w:rsidRPr="001350D8">
        <w:rPr>
          <w:vertAlign w:val="superscript"/>
        </w:rPr>
        <w:fldChar w:fldCharType="begin"/>
      </w:r>
      <w:r w:rsidR="001350D8" w:rsidRPr="001350D8">
        <w:rPr>
          <w:vertAlign w:val="superscript"/>
        </w:rPr>
        <w:instrText xml:space="preserve"> NOTEREF _Ref531686465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3</w:t>
      </w:r>
      <w:r w:rsidR="001350D8" w:rsidRPr="001350D8">
        <w:rPr>
          <w:vertAlign w:val="superscript"/>
        </w:rPr>
        <w:fldChar w:fldCharType="end"/>
      </w:r>
      <w:r w:rsidRPr="00927606">
        <w:t xml:space="preserve"> the reduction of fracture incidence would be particu</w:t>
      </w:r>
      <w:r w:rsidR="001350D8">
        <w:t>lar interest in this population.</w:t>
      </w:r>
    </w:p>
    <w:p w:rsidR="00927606" w:rsidRPr="00927606" w:rsidRDefault="00927606" w:rsidP="00927606">
      <w:pPr>
        <w:pStyle w:val="Numberbullet0"/>
      </w:pPr>
      <w:r w:rsidRPr="00927606">
        <w:t>This report includes data from only 12 months of follow up;</w:t>
      </w:r>
      <w:r w:rsidR="001350D8">
        <w:t xml:space="preserve"> 24 month data is still pending.</w:t>
      </w:r>
    </w:p>
    <w:p w:rsidR="00927606" w:rsidRDefault="00927606" w:rsidP="00927606">
      <w:pPr>
        <w:pStyle w:val="Numberbullet0"/>
      </w:pPr>
      <w:r w:rsidRPr="00927606">
        <w:t xml:space="preserve">The proposed indication relating to this subpopulation is </w:t>
      </w:r>
      <w:r w:rsidR="009A3208">
        <w:t>‘</w:t>
      </w:r>
      <w:r w:rsidRPr="00927606">
        <w:t>prevention of osteoporosis</w:t>
      </w:r>
      <w:r w:rsidR="009A3208">
        <w:t>’</w:t>
      </w:r>
      <w:r w:rsidRPr="00927606">
        <w:t xml:space="preserve"> however it is noted that many subjects showed characteristics consistent with current or previous osteoporosis at baseline (percentage of full analysis set):</w:t>
      </w:r>
    </w:p>
    <w:p w:rsidR="00927606" w:rsidRPr="00927606" w:rsidRDefault="00927606" w:rsidP="00927606">
      <w:pPr>
        <w:pStyle w:val="Numberbullet2"/>
      </w:pPr>
      <w:r w:rsidRPr="00927606">
        <w:t>13.8% of subjects on the risedronate arm and 6.2% on the denosumab arm were described as having secondary os</w:t>
      </w:r>
      <w:r w:rsidR="00FA37E5">
        <w:t>teoporosis at baseline.</w:t>
      </w:r>
    </w:p>
    <w:p w:rsidR="00927606" w:rsidRPr="00927606" w:rsidRDefault="00927606" w:rsidP="00927606">
      <w:pPr>
        <w:pStyle w:val="Numberbullet2"/>
      </w:pPr>
      <w:r w:rsidRPr="00927606">
        <w:t xml:space="preserve">17.9% of subjects on the denosumab arm and 18.6% on the risedronate arm had </w:t>
      </w:r>
      <w:r w:rsidR="001350D8">
        <w:t xml:space="preserve">a lumbar spine BMD T-score of ≤ </w:t>
      </w:r>
      <w:r w:rsidR="001350D8">
        <w:noBreakHyphen/>
      </w:r>
      <w:r w:rsidRPr="00927606">
        <w:t xml:space="preserve">2.5 and 6.9% on the denosumab arm and 8.3% on the risedronate arm had a </w:t>
      </w:r>
      <w:r w:rsidR="00FA37E5">
        <w:t>total hip BMD T-score of ≤</w:t>
      </w:r>
      <w:r w:rsidR="001350D8">
        <w:t xml:space="preserve"> </w:t>
      </w:r>
      <w:r w:rsidR="001350D8">
        <w:noBreakHyphen/>
      </w:r>
      <w:r w:rsidR="00FA37E5">
        <w:t>2.5.</w:t>
      </w:r>
    </w:p>
    <w:p w:rsidR="00927606" w:rsidRPr="00927606" w:rsidRDefault="00927606" w:rsidP="00927606">
      <w:pPr>
        <w:pStyle w:val="Numberbullet2"/>
      </w:pPr>
      <w:r w:rsidRPr="00927606">
        <w:lastRenderedPageBreak/>
        <w:t>Approximately a third of subjects had a prior osteoporotic fracture (rise</w:t>
      </w:r>
      <w:r w:rsidR="00FA37E5">
        <w:t>dronate 35.2%; denosumab 33.8%).</w:t>
      </w:r>
    </w:p>
    <w:p w:rsidR="00927606" w:rsidRDefault="00927606" w:rsidP="00927606">
      <w:pPr>
        <w:pStyle w:val="Numberbullet2"/>
      </w:pPr>
      <w:r w:rsidRPr="00927606">
        <w:t xml:space="preserve">All subjects less than 50 years old were required to have a history of an osteoporotic fracture (7.8% on the risedronate arm and 8.8% of those on the denosumab </w:t>
      </w:r>
      <w:r w:rsidR="00FA37E5">
        <w:t>arm).</w:t>
      </w:r>
    </w:p>
    <w:p w:rsidR="00927606" w:rsidRPr="00927606" w:rsidRDefault="00927606" w:rsidP="00927606">
      <w:pPr>
        <w:pStyle w:val="Heading6"/>
      </w:pPr>
      <w:r w:rsidRPr="00927606">
        <w:t>Glucocor</w:t>
      </w:r>
      <w:r w:rsidR="001350D8">
        <w:t>ticoid-continuing subpopulation</w:t>
      </w:r>
    </w:p>
    <w:p w:rsidR="00927606" w:rsidRPr="00927606" w:rsidRDefault="00927606" w:rsidP="00927606">
      <w:r w:rsidRPr="00927606">
        <w:t xml:space="preserve">In this population, the difference in percent change from baseline in lumbar spine BMD at </w:t>
      </w:r>
      <w:r w:rsidR="00092A8B">
        <w:t>Month</w:t>
      </w:r>
      <w:r w:rsidRPr="00927606">
        <w:t xml:space="preserve"> 12 between the two arms was 2.2 % (95% confidence interval 1.4, 3.0) in favour of denosumab (p </w:t>
      </w:r>
      <w:r w:rsidR="001350D8">
        <w:t xml:space="preserve">&lt; </w:t>
      </w:r>
      <w:r w:rsidRPr="00927606">
        <w:t>0.001) demonstrating superiority. As would be expected, this subpopulation of subjects had more indicators of bon</w:t>
      </w:r>
      <w:r w:rsidR="001350D8">
        <w:t>e loss compared to the GC-I;</w:t>
      </w:r>
      <w:r w:rsidRPr="00927606">
        <w:t xml:space="preserve"> such as higher rates of existing </w:t>
      </w:r>
      <w:r w:rsidR="001350D8">
        <w:t>osteoporotic fractures, lower T-</w:t>
      </w:r>
      <w:r w:rsidRPr="00927606">
        <w:t>scores and higher calcu</w:t>
      </w:r>
      <w:r>
        <w:t>lated probability of fractures.</w:t>
      </w:r>
    </w:p>
    <w:p w:rsidR="00927606" w:rsidRPr="00927606" w:rsidRDefault="00927606" w:rsidP="00927606">
      <w:r w:rsidRPr="00927606">
        <w:t>However, a number of uncertainties regarding the reliability o</w:t>
      </w:r>
      <w:r>
        <w:t>f the efficacy outcomes remain:</w:t>
      </w:r>
    </w:p>
    <w:p w:rsidR="00927606" w:rsidRDefault="00927606" w:rsidP="004B2A45">
      <w:pPr>
        <w:pStyle w:val="Numberbullet0"/>
        <w:numPr>
          <w:ilvl w:val="0"/>
          <w:numId w:val="13"/>
        </w:numPr>
      </w:pPr>
      <w:r w:rsidRPr="00927606">
        <w:t>Baseline characteristics were generally well balanced for both arms although there were some notable discrepancies (although fewer compared to the GC-I subpopulation). On the risedronate arm, rheumatoid arthritis was more prevalent (this is of note as rheumatoid arthritis is associated with risk of fracture independent of corticosteroid use</w:t>
      </w:r>
      <w:r w:rsidR="001350D8" w:rsidRPr="001350D8">
        <w:rPr>
          <w:vertAlign w:val="superscript"/>
        </w:rPr>
        <w:fldChar w:fldCharType="begin"/>
      </w:r>
      <w:r w:rsidR="001350D8" w:rsidRPr="001350D8">
        <w:rPr>
          <w:vertAlign w:val="superscript"/>
        </w:rPr>
        <w:instrText xml:space="preserve"> NOTEREF _Ref531686669 \h </w:instrText>
      </w:r>
      <w:r w:rsidR="001350D8">
        <w:rPr>
          <w:vertAlign w:val="superscript"/>
        </w:rPr>
        <w:instrText xml:space="preserve"> \* MERGEFORMAT </w:instrText>
      </w:r>
      <w:r w:rsidR="001350D8" w:rsidRPr="001350D8">
        <w:rPr>
          <w:vertAlign w:val="superscript"/>
        </w:rPr>
      </w:r>
      <w:r w:rsidR="001350D8" w:rsidRPr="001350D8">
        <w:rPr>
          <w:vertAlign w:val="superscript"/>
        </w:rPr>
        <w:fldChar w:fldCharType="separate"/>
      </w:r>
      <w:r w:rsidR="001350D8" w:rsidRPr="001350D8">
        <w:rPr>
          <w:vertAlign w:val="superscript"/>
        </w:rPr>
        <w:t>5</w:t>
      </w:r>
      <w:r w:rsidR="001350D8" w:rsidRPr="001350D8">
        <w:rPr>
          <w:vertAlign w:val="superscript"/>
        </w:rPr>
        <w:fldChar w:fldCharType="end"/>
      </w:r>
      <w:r w:rsidRPr="00927606">
        <w:t xml:space="preserve">) and more subjects had prior usage of a glucocorticoid for </w:t>
      </w:r>
      <w:r w:rsidR="001350D8">
        <w:t xml:space="preserve">≥ </w:t>
      </w:r>
      <w:r w:rsidRPr="00927606">
        <w:t>12 months; on the denosumab arm, more subjects took a dose equi</w:t>
      </w:r>
      <w:r>
        <w:t xml:space="preserve">valent to </w:t>
      </w:r>
      <w:r w:rsidR="001350D8">
        <w:t xml:space="preserve">≥ </w:t>
      </w:r>
      <w:r>
        <w:t>10</w:t>
      </w:r>
      <w:r w:rsidR="001350D8">
        <w:t xml:space="preserve"> mg</w:t>
      </w:r>
      <w:r>
        <w:t xml:space="preserve"> prednisolone.</w:t>
      </w:r>
    </w:p>
    <w:p w:rsidR="00211AE1" w:rsidRDefault="00927606" w:rsidP="004B2A45">
      <w:pPr>
        <w:pStyle w:val="Numberbullet0"/>
        <w:numPr>
          <w:ilvl w:val="0"/>
          <w:numId w:val="13"/>
        </w:numPr>
      </w:pPr>
      <w:r w:rsidRPr="00927606">
        <w:t>Important deviations were also a relatively common occurrence across both arms (21.8% of subjects on the risedronate arm and 18.6% on the denosumab arm) which may impact the study internal validity</w:t>
      </w:r>
      <w:r w:rsidR="00211AE1">
        <w:t>.</w:t>
      </w:r>
    </w:p>
    <w:p w:rsidR="00211AE1" w:rsidRDefault="00927606" w:rsidP="00927606">
      <w:pPr>
        <w:pStyle w:val="Numberbullet0"/>
      </w:pPr>
      <w:r w:rsidRPr="00927606">
        <w:t xml:space="preserve">The projected denosumab advantage at study start was 1.06% however the clinical significance of the </w:t>
      </w:r>
      <w:r w:rsidR="009A3208">
        <w:t>‘</w:t>
      </w:r>
      <w:r w:rsidRPr="00927606">
        <w:t>denosumab advantage</w:t>
      </w:r>
      <w:r w:rsidR="009A3208">
        <w:t>’</w:t>
      </w:r>
      <w:r w:rsidRPr="00927606">
        <w:t xml:space="preserve"> chosen by the </w:t>
      </w:r>
      <w:r w:rsidR="00A54D03">
        <w:t>sponsor</w:t>
      </w:r>
      <w:r w:rsidRPr="00927606">
        <w:t xml:space="preserve"> is not clearly stated by the </w:t>
      </w:r>
      <w:r w:rsidR="00A54D03">
        <w:t>sponsor</w:t>
      </w:r>
      <w:r w:rsidR="00211AE1">
        <w:t>.</w:t>
      </w:r>
    </w:p>
    <w:p w:rsidR="00211AE1" w:rsidRDefault="00927606" w:rsidP="00927606">
      <w:pPr>
        <w:pStyle w:val="Numberbullet0"/>
      </w:pPr>
      <w:r w:rsidRPr="00927606">
        <w:t>The primary endpoint was BMD, which is only a surrogate endpoint for a more clinically relevant endpoint of fractures</w:t>
      </w:r>
      <w:r w:rsidR="00211AE1">
        <w:t>.</w:t>
      </w:r>
    </w:p>
    <w:p w:rsidR="007C14CD" w:rsidRPr="007C14CD" w:rsidRDefault="00927606" w:rsidP="007C14CD">
      <w:pPr>
        <w:pStyle w:val="Numberbullet0"/>
      </w:pPr>
      <w:r w:rsidRPr="00927606">
        <w:t xml:space="preserve">This report includes data from only 12 months of follow up; </w:t>
      </w:r>
      <w:r w:rsidR="00FA37E5">
        <w:t>24 month data is still pending.</w:t>
      </w:r>
    </w:p>
    <w:p w:rsidR="008E7846" w:rsidRDefault="00605AD4" w:rsidP="00CE25DB">
      <w:pPr>
        <w:pStyle w:val="Heading4"/>
      </w:pPr>
      <w:r>
        <w:t xml:space="preserve">Evaluator’s </w:t>
      </w:r>
      <w:r w:rsidRPr="00CE25DB">
        <w:t>conclusions</w:t>
      </w:r>
      <w:r>
        <w:t xml:space="preserve"> on efficacy</w:t>
      </w:r>
    </w:p>
    <w:p w:rsidR="00211AE1" w:rsidRDefault="007C14CD" w:rsidP="007C14CD">
      <w:r w:rsidRPr="007C14CD">
        <w:t>Denosumab is already approv</w:t>
      </w:r>
      <w:r w:rsidR="001350D8">
        <w:t>ed for a number of indications;</w:t>
      </w:r>
      <w:r w:rsidRPr="007C14CD">
        <w:t xml:space="preserve"> for the treatment of osteoporosis in postmenopausal women, treatment to increase bone mass in men with osteopenia receiving androgen deprivation therapy for non-metastatic prostate cancer and treatment to increase bone mass in men with osteoporosis at increased risk of fracture</w:t>
      </w:r>
      <w:r w:rsidR="00211AE1">
        <w:t>.</w:t>
      </w:r>
    </w:p>
    <w:p w:rsidR="00211AE1" w:rsidRDefault="007C14CD" w:rsidP="007C14CD">
      <w:r w:rsidRPr="007C14CD">
        <w:t xml:space="preserve">The </w:t>
      </w:r>
      <w:r w:rsidR="00A54D03">
        <w:t>sponsor</w:t>
      </w:r>
      <w:r w:rsidRPr="007C14CD">
        <w:t xml:space="preserve"> has indicated that efficacy in GIOP is established based on data from the </w:t>
      </w:r>
      <w:r w:rsidR="001350D8">
        <w:t xml:space="preserve">Study </w:t>
      </w:r>
      <w:r w:rsidRPr="007C14CD">
        <w:t xml:space="preserve">20101217 in combination with efficacy data from </w:t>
      </w:r>
      <w:r w:rsidR="001350D8">
        <w:t>Study 20030216 in post</w:t>
      </w:r>
      <w:r w:rsidR="001350D8">
        <w:noBreakHyphen/>
      </w:r>
      <w:r w:rsidRPr="007C14CD">
        <w:t xml:space="preserve">menopausal women. However, it is noted that the existing data (from </w:t>
      </w:r>
      <w:r w:rsidR="001350D8">
        <w:t>Study</w:t>
      </w:r>
      <w:r w:rsidR="007A0EAE">
        <w:t> </w:t>
      </w:r>
      <w:r w:rsidRPr="007C14CD">
        <w:t>20030216 and other supporting studies) do not address the prevention of osteoporosis, as is the indication being sought for the GI-I subpopulation</w:t>
      </w:r>
      <w:r w:rsidR="00211AE1">
        <w:t>.</w:t>
      </w:r>
    </w:p>
    <w:p w:rsidR="00500337" w:rsidRPr="007C14CD" w:rsidRDefault="007C14CD" w:rsidP="00CE25DB">
      <w:r w:rsidRPr="007C14CD">
        <w:t xml:space="preserve">As discussed </w:t>
      </w:r>
      <w:r>
        <w:t>above</w:t>
      </w:r>
      <w:r w:rsidRPr="007C14CD">
        <w:t>, there are a number of uncertainties that are present for both subpopulations. Therefore, even though the clinical trial met its primary endpoint, questions remain.</w:t>
      </w:r>
    </w:p>
    <w:p w:rsidR="008E7846" w:rsidRPr="002E238E" w:rsidRDefault="008E7846" w:rsidP="00CE25DB">
      <w:pPr>
        <w:pStyle w:val="Heading3"/>
      </w:pPr>
      <w:bookmarkStart w:id="67" w:name="_Toc163441378"/>
      <w:bookmarkStart w:id="68" w:name="_Toc196046495"/>
      <w:bookmarkStart w:id="69" w:name="_Toc247691522"/>
      <w:bookmarkStart w:id="70" w:name="_Toc314842505"/>
      <w:bookmarkStart w:id="71" w:name="_Toc16166691"/>
      <w:bookmarkEnd w:id="62"/>
      <w:bookmarkEnd w:id="63"/>
      <w:bookmarkEnd w:id="64"/>
      <w:bookmarkEnd w:id="65"/>
      <w:r w:rsidRPr="00CE25DB">
        <w:lastRenderedPageBreak/>
        <w:t>Safety</w:t>
      </w:r>
      <w:bookmarkEnd w:id="67"/>
      <w:bookmarkEnd w:id="68"/>
      <w:bookmarkEnd w:id="69"/>
      <w:bookmarkEnd w:id="70"/>
      <w:bookmarkEnd w:id="71"/>
    </w:p>
    <w:p w:rsidR="00605AD4" w:rsidRDefault="00605AD4" w:rsidP="00605AD4">
      <w:pPr>
        <w:pStyle w:val="Heading4"/>
      </w:pPr>
      <w:bookmarkStart w:id="72" w:name="_Toc247691524"/>
      <w:bookmarkStart w:id="73" w:name="_Toc314842508"/>
      <w:bookmarkStart w:id="74" w:name="_Toc196046504"/>
      <w:bookmarkStart w:id="75" w:name="_Toc163441390"/>
      <w:r w:rsidRPr="00605AD4">
        <w:t>Studies providing safety data</w:t>
      </w:r>
    </w:p>
    <w:p w:rsidR="00500337" w:rsidRDefault="002B2348" w:rsidP="002B2348">
      <w:pPr>
        <w:pStyle w:val="Heading5"/>
      </w:pPr>
      <w:r>
        <w:t>Pivotal and/or main efficacy studies</w:t>
      </w:r>
    </w:p>
    <w:p w:rsidR="00211AE1" w:rsidRDefault="002B2348" w:rsidP="00CE25DB">
      <w:r w:rsidRPr="002B2348">
        <w:t xml:space="preserve">The pivotal study for this submission is </w:t>
      </w:r>
      <w:r w:rsidR="0065393E">
        <w:t>Study</w:t>
      </w:r>
      <w:r w:rsidRPr="002B2348">
        <w:t xml:space="preserve"> 20101217. The study was a </w:t>
      </w:r>
      <w:r w:rsidR="001350D8">
        <w:t>Phase III</w:t>
      </w:r>
      <w:r w:rsidRPr="002B2348">
        <w:t xml:space="preserve"> multicentre, randomised double blinded, double dummy, active controlled, parallel group stud</w:t>
      </w:r>
      <w:r w:rsidR="001350D8">
        <w:t xml:space="preserve">y for which results from the 12 </w:t>
      </w:r>
      <w:r w:rsidRPr="002B2348">
        <w:t>month primary analysis are available</w:t>
      </w:r>
      <w:r w:rsidR="00211AE1">
        <w:t>.</w:t>
      </w:r>
    </w:p>
    <w:p w:rsidR="00211AE1" w:rsidRDefault="002B2348" w:rsidP="002B2348">
      <w:r w:rsidRPr="002B2348">
        <w:t>The subpopulations of GC-I and GC-C have been combined to provide safety data from this study</w:t>
      </w:r>
      <w:r w:rsidR="00211AE1">
        <w:t>.</w:t>
      </w:r>
    </w:p>
    <w:p w:rsidR="002B2348" w:rsidRDefault="002B2348" w:rsidP="002B2348">
      <w:pPr>
        <w:pStyle w:val="Heading5"/>
      </w:pPr>
      <w:r>
        <w:t>Other studies</w:t>
      </w:r>
    </w:p>
    <w:p w:rsidR="002B2348" w:rsidRPr="002B2348" w:rsidRDefault="002B2348" w:rsidP="00CE25DB">
      <w:r w:rsidRPr="002B2348">
        <w:t xml:space="preserve">A number of other studies were presented as supporting studies: </w:t>
      </w:r>
      <w:r w:rsidR="001350D8">
        <w:t xml:space="preserve">Study </w:t>
      </w:r>
      <w:r w:rsidRPr="002B2348">
        <w:t xml:space="preserve">20030216 (women with postmenopausal osteoporosis), </w:t>
      </w:r>
      <w:r w:rsidR="001350D8">
        <w:t xml:space="preserve">Study </w:t>
      </w:r>
      <w:r w:rsidRPr="002B2348">
        <w:t xml:space="preserve">20080098 (men with osteoporosis), </w:t>
      </w:r>
      <w:r w:rsidR="001350D8">
        <w:t xml:space="preserve">Study </w:t>
      </w:r>
      <w:r w:rsidRPr="002B2348">
        <w:t xml:space="preserve">20040138 (men with bone loss due to </w:t>
      </w:r>
      <w:r w:rsidR="003764F8">
        <w:t>a</w:t>
      </w:r>
      <w:r w:rsidR="003764F8" w:rsidRPr="002B2348">
        <w:t xml:space="preserve">ndrogen </w:t>
      </w:r>
      <w:r w:rsidRPr="002B2348">
        <w:t xml:space="preserve">deprivation therapy for prostate cancer) and </w:t>
      </w:r>
      <w:r w:rsidR="001350D8">
        <w:t xml:space="preserve">Study </w:t>
      </w:r>
      <w:r w:rsidRPr="002B2348">
        <w:t>20040135 (women undergoing aromatase inhibitor therapy for non-metastatic breast cancer). As these are considered to be supportive studies only and data from each of these studies up to at least 12 months have been evaluated by the TGA, evaluation of their study reports is not included as part of this report.</w:t>
      </w:r>
    </w:p>
    <w:p w:rsidR="00605AD4" w:rsidRDefault="00605AD4" w:rsidP="002B2348">
      <w:pPr>
        <w:pStyle w:val="Heading4"/>
      </w:pPr>
      <w:r w:rsidRPr="00605AD4">
        <w:t>Patient exposure</w:t>
      </w:r>
    </w:p>
    <w:p w:rsidR="00500337" w:rsidRPr="002B2348" w:rsidRDefault="002B2348" w:rsidP="002B2348">
      <w:r w:rsidRPr="002B2348">
        <w:t xml:space="preserve">The following patient exposure table </w:t>
      </w:r>
      <w:r w:rsidR="00B0277C">
        <w:t xml:space="preserve">(Table </w:t>
      </w:r>
      <w:r w:rsidR="009A3208">
        <w:t>5</w:t>
      </w:r>
      <w:r w:rsidR="00B0277C">
        <w:t xml:space="preserve">) </w:t>
      </w:r>
      <w:r w:rsidRPr="002B2348">
        <w:t xml:space="preserve">includes data from </w:t>
      </w:r>
      <w:r w:rsidR="0065393E">
        <w:t>Study</w:t>
      </w:r>
      <w:r w:rsidR="001350D8">
        <w:t xml:space="preserve"> 20101217;</w:t>
      </w:r>
      <w:r w:rsidRPr="002B2348">
        <w:t xml:space="preserve"> please note that exposure data is only available for the combined subpopulations.</w:t>
      </w:r>
    </w:p>
    <w:p w:rsidR="002B2348" w:rsidRDefault="002B2348" w:rsidP="002B2348">
      <w:pPr>
        <w:pStyle w:val="TableTitle"/>
      </w:pPr>
      <w:r>
        <w:lastRenderedPageBreak/>
        <w:t xml:space="preserve">Table </w:t>
      </w:r>
      <w:r w:rsidR="009A3208">
        <w:t>5</w:t>
      </w:r>
      <w:r w:rsidR="00B0277C">
        <w:t>:</w:t>
      </w:r>
      <w:r>
        <w:t xml:space="preserve"> Summary of</w:t>
      </w:r>
      <w:r w:rsidR="00B0277C">
        <w:t xml:space="preserve"> investigational product administration, combined subpopulatio</w:t>
      </w:r>
      <w:r w:rsidR="001350D8">
        <w:t xml:space="preserve">ns (Safety </w:t>
      </w:r>
      <w:r w:rsidR="003764F8">
        <w:t xml:space="preserve">analysis set, </w:t>
      </w:r>
      <w:r w:rsidR="001350D8">
        <w:t xml:space="preserve">12 month </w:t>
      </w:r>
      <w:r w:rsidR="003764F8">
        <w:t>primary analysis)</w:t>
      </w:r>
    </w:p>
    <w:p w:rsidR="002B2348" w:rsidRPr="002B2348" w:rsidRDefault="002B2348" w:rsidP="00CE25DB">
      <w:r>
        <w:rPr>
          <w:noProof/>
          <w:lang w:eastAsia="en-AU"/>
        </w:rPr>
        <w:drawing>
          <wp:inline distT="0" distB="0" distL="0" distR="0" wp14:anchorId="07A27D54" wp14:editId="7FAEA3C7">
            <wp:extent cx="4396435" cy="5914423"/>
            <wp:effectExtent l="0" t="0" r="4445" b="0"/>
            <wp:docPr id="12" name="Picture 12" descr="Table 5: Summary of Investigational Product Administration, Combined Subpopulations (Safety Analysis Set)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97594" cy="5915982"/>
                    </a:xfrm>
                    <a:prstGeom prst="rect">
                      <a:avLst/>
                    </a:prstGeom>
                  </pic:spPr>
                </pic:pic>
              </a:graphicData>
            </a:graphic>
          </wp:inline>
        </w:drawing>
      </w:r>
    </w:p>
    <w:p w:rsidR="00211AE1" w:rsidRDefault="002B2348" w:rsidP="00CE25DB">
      <w:r w:rsidRPr="002B2348">
        <w:t>With regards to the subcutaneous drug (active or placebo), only 85% of subjects received the full course of two doses in the first 12 months</w:t>
      </w:r>
      <w:r w:rsidR="00211AE1">
        <w:t>.</w:t>
      </w:r>
    </w:p>
    <w:p w:rsidR="002B2348" w:rsidRPr="002B2348" w:rsidRDefault="002B2348" w:rsidP="002B2348">
      <w:r w:rsidRPr="002B2348">
        <w:t>With regards to the oral investigational product, the data is consistent with the known compliance issue. Of particular relevance, 13% of subjects on the active risedronate arm in the safety analysis set received less than half of their planned medication.</w:t>
      </w:r>
    </w:p>
    <w:p w:rsidR="00605AD4" w:rsidRDefault="00605AD4" w:rsidP="00605AD4">
      <w:pPr>
        <w:pStyle w:val="Heading4"/>
      </w:pPr>
      <w:r w:rsidRPr="00605AD4">
        <w:t>Safety issues with the potential for major regulatory impact</w:t>
      </w:r>
    </w:p>
    <w:p w:rsidR="00500337" w:rsidRDefault="002B2348" w:rsidP="002B2348">
      <w:pPr>
        <w:pStyle w:val="Heading5"/>
      </w:pPr>
      <w:r>
        <w:t>Events of interest</w:t>
      </w:r>
    </w:p>
    <w:p w:rsidR="002B2348" w:rsidRPr="002B2348" w:rsidRDefault="002B2348" w:rsidP="002B2348">
      <w:r w:rsidRPr="002B2348">
        <w:t xml:space="preserve">A number of events have been designated as events of interest by the </w:t>
      </w:r>
      <w:r w:rsidR="00A54D03">
        <w:t>sponsor</w:t>
      </w:r>
      <w:r w:rsidRPr="002B2348">
        <w:t xml:space="preserve"> due to their possible association with anti</w:t>
      </w:r>
      <w:r w:rsidR="009A3208">
        <w:t>-</w:t>
      </w:r>
      <w:proofErr w:type="spellStart"/>
      <w:r w:rsidRPr="002B2348">
        <w:t>resorptive</w:t>
      </w:r>
      <w:proofErr w:type="spellEnd"/>
      <w:r w:rsidRPr="002B2348">
        <w:t xml:space="preserve"> activity or RANKL inhibition, association with monoclonal antibodies or based on results from previous de</w:t>
      </w:r>
      <w:r>
        <w:t>nosumab studies. These include:</w:t>
      </w:r>
    </w:p>
    <w:p w:rsidR="002B2348" w:rsidRPr="002B2348" w:rsidRDefault="001963A6" w:rsidP="002B2348">
      <w:pPr>
        <w:pStyle w:val="ListBullet"/>
      </w:pPr>
      <w:r>
        <w:t>Hypocalcaemia</w:t>
      </w:r>
    </w:p>
    <w:p w:rsidR="002B2348" w:rsidRPr="002B2348" w:rsidRDefault="002B2348" w:rsidP="002B2348">
      <w:pPr>
        <w:pStyle w:val="ListBullet"/>
      </w:pPr>
      <w:r w:rsidRPr="002B2348">
        <w:lastRenderedPageBreak/>
        <w:t>Positively adjudicated osteonecrosis of the jaw (ONJ)</w:t>
      </w:r>
    </w:p>
    <w:p w:rsidR="002B2348" w:rsidRPr="002B2348" w:rsidRDefault="002B2348" w:rsidP="002B2348">
      <w:pPr>
        <w:pStyle w:val="ListBullet"/>
      </w:pPr>
      <w:r w:rsidRPr="002B2348">
        <w:t>Adverse events potentially related to hypersensitivity</w:t>
      </w:r>
    </w:p>
    <w:p w:rsidR="002B2348" w:rsidRPr="002B2348" w:rsidRDefault="001350D8" w:rsidP="002B2348">
      <w:pPr>
        <w:pStyle w:val="ListBullet"/>
      </w:pPr>
      <w:r>
        <w:t>Serious i</w:t>
      </w:r>
      <w:r w:rsidR="002B2348" w:rsidRPr="002B2348">
        <w:t>nfection</w:t>
      </w:r>
    </w:p>
    <w:p w:rsidR="002B2348" w:rsidRPr="002B2348" w:rsidRDefault="002B2348" w:rsidP="002B2348">
      <w:pPr>
        <w:pStyle w:val="ListBullet"/>
      </w:pPr>
      <w:r w:rsidRPr="002B2348">
        <w:t>Serious bacterial cellulitis (skin infections)</w:t>
      </w:r>
    </w:p>
    <w:p w:rsidR="002B2348" w:rsidRPr="002B2348" w:rsidRDefault="002B2348" w:rsidP="002B2348">
      <w:pPr>
        <w:pStyle w:val="ListBullet"/>
      </w:pPr>
      <w:r w:rsidRPr="002B2348">
        <w:t>Malignancy</w:t>
      </w:r>
    </w:p>
    <w:p w:rsidR="002B2348" w:rsidRPr="002B2348" w:rsidRDefault="002B2348" w:rsidP="002B2348">
      <w:pPr>
        <w:pStyle w:val="ListBullet"/>
      </w:pPr>
      <w:r w:rsidRPr="002B2348">
        <w:t>Cardiac disorders</w:t>
      </w:r>
    </w:p>
    <w:p w:rsidR="002B2348" w:rsidRPr="002B2348" w:rsidRDefault="002B2348" w:rsidP="002B2348">
      <w:pPr>
        <w:pStyle w:val="ListBullet"/>
      </w:pPr>
      <w:r w:rsidRPr="002B2348">
        <w:t>Vascular disorders</w:t>
      </w:r>
    </w:p>
    <w:p w:rsidR="002B2348" w:rsidRPr="002B2348" w:rsidRDefault="002B2348" w:rsidP="002B2348">
      <w:pPr>
        <w:pStyle w:val="ListBullet"/>
      </w:pPr>
      <w:r w:rsidRPr="002B2348">
        <w:t>Adjudicated positive atypical femoral fracture</w:t>
      </w:r>
    </w:p>
    <w:p w:rsidR="002B2348" w:rsidRPr="002B2348" w:rsidRDefault="002B2348" w:rsidP="002B2348">
      <w:pPr>
        <w:pStyle w:val="ListBullet"/>
      </w:pPr>
      <w:r w:rsidRPr="002B2348">
        <w:t>Eczema</w:t>
      </w:r>
    </w:p>
    <w:p w:rsidR="002B2348" w:rsidRPr="002B2348" w:rsidRDefault="002B2348" w:rsidP="002B2348">
      <w:pPr>
        <w:pStyle w:val="ListBullet"/>
      </w:pPr>
      <w:r w:rsidRPr="002B2348">
        <w:t>Acute pancreatitis</w:t>
      </w:r>
    </w:p>
    <w:p w:rsidR="002B2348" w:rsidRPr="002B2348" w:rsidRDefault="002B2348" w:rsidP="002B2348">
      <w:pPr>
        <w:pStyle w:val="ListBullet"/>
      </w:pPr>
      <w:r w:rsidRPr="002B2348">
        <w:t>Musculoskeletal pain</w:t>
      </w:r>
    </w:p>
    <w:p w:rsidR="001963A6" w:rsidRPr="001963A6" w:rsidRDefault="002B2348" w:rsidP="00CE25DB">
      <w:r w:rsidRPr="001963A6">
        <w:t>Compared with the primary osteoporosis studies (Studies 20030216 and 20080098) and hormone ablation therapy (HALT) studies (Studies 20040135 and 20040138; includes men with prostate cancer receiving androgen deprivation therapy and women with breast cancer receiving aromatase inhibitors), the incidence for the events of interest were generally somewhat similar or lower on the GIOP study for the denosumab arm. The main exception was the incidence of infections:</w:t>
      </w:r>
    </w:p>
    <w:p w:rsidR="00211AE1" w:rsidRDefault="001963A6" w:rsidP="001963A6">
      <w:pPr>
        <w:pStyle w:val="ListBullet"/>
      </w:pPr>
      <w:r w:rsidRPr="001963A6">
        <w:t>The incidence of adverse events on the denosumab arm was higher on the GIOP study (</w:t>
      </w:r>
      <w:r w:rsidR="0065393E">
        <w:t>Study</w:t>
      </w:r>
      <w:r w:rsidRPr="001963A6">
        <w:t xml:space="preserve"> 20101217) compared to the HALT studies but lower than the primary osteoporosis studies. However, compared to the risedronate arm on </w:t>
      </w:r>
      <w:r w:rsidR="0065393E">
        <w:t>Study</w:t>
      </w:r>
      <w:r w:rsidR="0065393E" w:rsidRPr="001963A6">
        <w:t xml:space="preserve"> </w:t>
      </w:r>
      <w:r w:rsidRPr="001963A6">
        <w:t>20101217, the incidence on the denosumab was slightly lower</w:t>
      </w:r>
      <w:r w:rsidR="00211AE1">
        <w:t>.</w:t>
      </w:r>
    </w:p>
    <w:p w:rsidR="001963A6" w:rsidRPr="001963A6" w:rsidRDefault="001963A6" w:rsidP="001963A6">
      <w:pPr>
        <w:pStyle w:val="ListBullet"/>
      </w:pPr>
      <w:r w:rsidRPr="001963A6">
        <w:t xml:space="preserve">The incidence of serious infections was higher in </w:t>
      </w:r>
      <w:r w:rsidR="0065393E">
        <w:t>Study</w:t>
      </w:r>
      <w:r w:rsidR="0065393E" w:rsidRPr="001963A6">
        <w:t xml:space="preserve"> </w:t>
      </w:r>
      <w:r w:rsidRPr="001963A6">
        <w:t>20101217 compared to the other indications, but the incidence on the denosumab arm was similar to the risedronate arm within this study (4.3%</w:t>
      </w:r>
      <w:r w:rsidR="001350D8">
        <w:t xml:space="preserve"> compared to 3.9% respectively).</w:t>
      </w:r>
    </w:p>
    <w:p w:rsidR="00211AE1" w:rsidRDefault="001963A6" w:rsidP="001963A6">
      <w:r w:rsidRPr="001963A6">
        <w:t>These differences compared to other indications may reflect the different features of the study population enrolled. In particular, increased susceptibility to infection is also a potential complication of corticosteroid use</w:t>
      </w:r>
      <w:r w:rsidR="00211AE1">
        <w:t>.</w:t>
      </w:r>
    </w:p>
    <w:p w:rsidR="001963A6" w:rsidRPr="001963A6" w:rsidRDefault="00B0277C" w:rsidP="001963A6">
      <w:pPr>
        <w:pStyle w:val="TableTitle"/>
      </w:pPr>
      <w:r>
        <w:t xml:space="preserve">Table </w:t>
      </w:r>
      <w:r w:rsidR="009A3208">
        <w:t>6</w:t>
      </w:r>
      <w:r>
        <w:t xml:space="preserve">: </w:t>
      </w:r>
      <w:r w:rsidR="001963A6" w:rsidRPr="001963A6">
        <w:t xml:space="preserve">Summary of </w:t>
      </w:r>
      <w:r w:rsidRPr="001963A6">
        <w:t xml:space="preserve">treatment emergent adverse events of interest </w:t>
      </w:r>
      <w:r w:rsidR="001963A6" w:rsidRPr="001963A6">
        <w:t>(</w:t>
      </w:r>
      <w:r w:rsidR="00A7285A">
        <w:t>s</w:t>
      </w:r>
      <w:r w:rsidR="00A7285A" w:rsidRPr="001963A6">
        <w:t xml:space="preserve">afety </w:t>
      </w:r>
      <w:r w:rsidR="00A7285A">
        <w:t>s</w:t>
      </w:r>
      <w:r w:rsidR="00A7285A" w:rsidRPr="001963A6">
        <w:t>ubjects</w:t>
      </w:r>
      <w:r w:rsidR="001963A6" w:rsidRPr="001963A6">
        <w:t>, Integrated Analysis of Safety)</w:t>
      </w:r>
    </w:p>
    <w:p w:rsidR="001963A6" w:rsidRDefault="001963A6" w:rsidP="00CE25DB">
      <w:r>
        <w:rPr>
          <w:noProof/>
          <w:lang w:eastAsia="en-AU"/>
        </w:rPr>
        <w:drawing>
          <wp:inline distT="0" distB="0" distL="0" distR="0" wp14:anchorId="2C7961C2" wp14:editId="47A82D5D">
            <wp:extent cx="5400040" cy="1309048"/>
            <wp:effectExtent l="0" t="0" r="0" b="5715"/>
            <wp:docPr id="13" name="Picture 13" descr="Table 6: Summary of treatment emergent adverse events of interest (Safety Subjects, Integrated Analysis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309048"/>
                    </a:xfrm>
                    <a:prstGeom prst="rect">
                      <a:avLst/>
                    </a:prstGeom>
                  </pic:spPr>
                </pic:pic>
              </a:graphicData>
            </a:graphic>
          </wp:inline>
        </w:drawing>
      </w:r>
    </w:p>
    <w:p w:rsidR="001963A6" w:rsidRPr="001963A6" w:rsidRDefault="001963A6" w:rsidP="00CE25DB">
      <w:r w:rsidRPr="001963A6">
        <w:t>Interestingly, the incidence of musculoskeletal pain was much lower in the GIOP study compared to the others (13.7% on denosumab and 14.6% on risedro</w:t>
      </w:r>
      <w:r w:rsidR="001350D8">
        <w:t xml:space="preserve">nate compared to ranges of 32.9 to </w:t>
      </w:r>
      <w:r w:rsidRPr="001963A6">
        <w:t>33.5% in th</w:t>
      </w:r>
      <w:r w:rsidR="001350D8">
        <w:t xml:space="preserve">e osteoporotic cohorts and 21.0 to </w:t>
      </w:r>
      <w:r w:rsidRPr="001963A6">
        <w:t xml:space="preserve">22.9% in the HALT cohorts). This is somewhat surprising given the underlying diseases in this study (for example, polymyalgia </w:t>
      </w:r>
      <w:proofErr w:type="spellStart"/>
      <w:r w:rsidRPr="001963A6">
        <w:t>rheumatica</w:t>
      </w:r>
      <w:proofErr w:type="spellEnd"/>
      <w:r w:rsidRPr="001963A6">
        <w:t xml:space="preserve"> was the most common underlying disease in the GC-I group) but may also reflect the use of corticosteroids.</w:t>
      </w:r>
    </w:p>
    <w:p w:rsidR="001963A6" w:rsidRDefault="001963A6" w:rsidP="006E615B">
      <w:pPr>
        <w:pStyle w:val="Heading5"/>
      </w:pPr>
      <w:r>
        <w:lastRenderedPageBreak/>
        <w:t>Pivotal and/or main efficacy studies</w:t>
      </w:r>
      <w:r w:rsidR="00A7285A">
        <w:t xml:space="preserve">; </w:t>
      </w:r>
      <w:r>
        <w:t>Study 20101217</w:t>
      </w:r>
    </w:p>
    <w:p w:rsidR="001963A6" w:rsidRPr="001963A6" w:rsidRDefault="00624032" w:rsidP="001963A6">
      <w:pPr>
        <w:pStyle w:val="Heading6"/>
        <w:rPr>
          <w:rFonts w:eastAsiaTheme="minorHAnsi"/>
        </w:rPr>
      </w:pPr>
      <w:r>
        <w:rPr>
          <w:rFonts w:eastAsiaTheme="minorHAnsi"/>
        </w:rPr>
        <w:t>Hypocalcaemia</w:t>
      </w:r>
    </w:p>
    <w:p w:rsidR="001963A6" w:rsidRPr="001963A6" w:rsidRDefault="001963A6" w:rsidP="001963A6">
      <w:r w:rsidRPr="001963A6">
        <w:t xml:space="preserve">Denosumab decreases the rate of bone resorption and therefore may lower serum calcium levels. As part of the protocol, all subjects were to receive calcium and </w:t>
      </w:r>
      <w:r w:rsidR="00A7285A">
        <w:t>v</w:t>
      </w:r>
      <w:r w:rsidR="00A7285A" w:rsidRPr="001963A6">
        <w:t xml:space="preserve">itamin </w:t>
      </w:r>
      <w:r w:rsidRPr="001963A6">
        <w:t>D supplements.</w:t>
      </w:r>
    </w:p>
    <w:p w:rsidR="001963A6" w:rsidRDefault="00B0277C" w:rsidP="001963A6">
      <w:pPr>
        <w:pStyle w:val="TableTitle"/>
      </w:pPr>
      <w:r>
        <w:t xml:space="preserve">Table </w:t>
      </w:r>
      <w:r w:rsidR="009A3208">
        <w:t>7</w:t>
      </w:r>
      <w:r>
        <w:t>:</w:t>
      </w:r>
      <w:r w:rsidR="001963A6">
        <w:t xml:space="preserve"> Hypocalcaemia at 12 month analysis (combined subpopulations), safety analysis set</w:t>
      </w:r>
    </w:p>
    <w:p w:rsidR="001963A6" w:rsidRDefault="001963A6" w:rsidP="00CE25DB">
      <w:r>
        <w:rPr>
          <w:noProof/>
          <w:lang w:eastAsia="en-AU"/>
        </w:rPr>
        <w:drawing>
          <wp:inline distT="0" distB="0" distL="0" distR="0" wp14:anchorId="1E01CDF1" wp14:editId="4646697F">
            <wp:extent cx="5400040" cy="1324048"/>
            <wp:effectExtent l="0" t="0" r="0" b="9525"/>
            <wp:docPr id="14" name="Picture 14" descr="Table 7: Hypocalcaemia at 12 month analysis (combined subpopul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324048"/>
                    </a:xfrm>
                    <a:prstGeom prst="rect">
                      <a:avLst/>
                    </a:prstGeom>
                  </pic:spPr>
                </pic:pic>
              </a:graphicData>
            </a:graphic>
          </wp:inline>
        </w:drawing>
      </w:r>
    </w:p>
    <w:p w:rsidR="00211AE1" w:rsidRDefault="001963A6" w:rsidP="001963A6">
      <w:r w:rsidRPr="001963A6">
        <w:t xml:space="preserve">One subject on the denosumab arm had a reported adverse </w:t>
      </w:r>
      <w:r w:rsidR="00B0277C">
        <w:t>event related to hypocalcaemia.</w:t>
      </w:r>
    </w:p>
    <w:p w:rsidR="001963A6" w:rsidRPr="001963A6" w:rsidRDefault="001963A6" w:rsidP="001963A6">
      <w:pPr>
        <w:pStyle w:val="Heading6"/>
        <w:rPr>
          <w:rFonts w:eastAsiaTheme="minorHAnsi"/>
        </w:rPr>
      </w:pPr>
      <w:r w:rsidRPr="001963A6">
        <w:rPr>
          <w:rFonts w:eastAsiaTheme="minorHAnsi"/>
        </w:rPr>
        <w:t>Adjudicated positive</w:t>
      </w:r>
      <w:r w:rsidR="006E615B">
        <w:rPr>
          <w:rFonts w:eastAsiaTheme="minorHAnsi"/>
        </w:rPr>
        <w:t xml:space="preserve"> </w:t>
      </w:r>
      <w:r w:rsidR="00A7285A">
        <w:rPr>
          <w:rFonts w:eastAsiaTheme="minorHAnsi"/>
        </w:rPr>
        <w:t xml:space="preserve">osteonecrosis </w:t>
      </w:r>
      <w:r w:rsidR="006E615B">
        <w:rPr>
          <w:rFonts w:eastAsiaTheme="minorHAnsi"/>
        </w:rPr>
        <w:t>of the jaw (ONJ)</w:t>
      </w:r>
    </w:p>
    <w:p w:rsidR="00211AE1" w:rsidRDefault="001963A6" w:rsidP="001963A6">
      <w:r w:rsidRPr="001963A6">
        <w:t>Osteonecrosis of the jaw has been reported in subjects receiving treatment with denosumab</w:t>
      </w:r>
      <w:r w:rsidR="00211AE1">
        <w:t>.</w:t>
      </w:r>
    </w:p>
    <w:p w:rsidR="00211AE1" w:rsidRDefault="001963A6" w:rsidP="001963A6">
      <w:r w:rsidRPr="001963A6">
        <w:t>No events were reported in the 12 month primary analysis period in this study</w:t>
      </w:r>
      <w:r w:rsidR="00211AE1">
        <w:t>.</w:t>
      </w:r>
    </w:p>
    <w:p w:rsidR="001963A6" w:rsidRPr="001963A6" w:rsidRDefault="006E615B" w:rsidP="00174D63">
      <w:pPr>
        <w:pStyle w:val="Heading6"/>
        <w:rPr>
          <w:rFonts w:eastAsiaTheme="minorHAnsi"/>
        </w:rPr>
      </w:pPr>
      <w:r>
        <w:rPr>
          <w:rFonts w:eastAsiaTheme="minorHAnsi"/>
        </w:rPr>
        <w:t>Hypersensitivity</w:t>
      </w:r>
    </w:p>
    <w:p w:rsidR="00211AE1" w:rsidRDefault="001963A6" w:rsidP="001963A6">
      <w:r w:rsidRPr="001963A6">
        <w:t>Monoclonal antibodies may theoretically be associated with hypersensitivity reactions; hypersensitivity is recognised as an adverse reaction with denosumab use</w:t>
      </w:r>
      <w:r w:rsidR="00211AE1">
        <w:t>.</w:t>
      </w:r>
    </w:p>
    <w:p w:rsidR="001963A6" w:rsidRDefault="00B0277C" w:rsidP="00174D63">
      <w:pPr>
        <w:pStyle w:val="TableTitle"/>
      </w:pPr>
      <w:r>
        <w:t xml:space="preserve">Table </w:t>
      </w:r>
      <w:r w:rsidR="009A3208">
        <w:t>8</w:t>
      </w:r>
      <w:r>
        <w:t>:</w:t>
      </w:r>
      <w:r w:rsidR="001963A6" w:rsidRPr="001963A6">
        <w:t xml:space="preserve"> Hypersensitivity at 12 month analysis (combined subpopulations), safety analysis set</w:t>
      </w:r>
    </w:p>
    <w:p w:rsidR="00174D63" w:rsidRPr="001963A6" w:rsidRDefault="00174D63" w:rsidP="00CE25DB">
      <w:r w:rsidRPr="00174D63">
        <w:rPr>
          <w:noProof/>
          <w:lang w:eastAsia="en-AU"/>
        </w:rPr>
        <w:drawing>
          <wp:inline distT="0" distB="0" distL="0" distR="0" wp14:anchorId="605ABAE6" wp14:editId="13C0E665">
            <wp:extent cx="4718304" cy="2860220"/>
            <wp:effectExtent l="0" t="0" r="6350" b="0"/>
            <wp:docPr id="17" name="Picture 17" descr="Table 8: Hypersensitivity at 12 month analysis (combined subpopul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19548" cy="2860974"/>
                    </a:xfrm>
                    <a:prstGeom prst="rect">
                      <a:avLst/>
                    </a:prstGeom>
                  </pic:spPr>
                </pic:pic>
              </a:graphicData>
            </a:graphic>
          </wp:inline>
        </w:drawing>
      </w:r>
    </w:p>
    <w:p w:rsidR="00211AE1" w:rsidRDefault="00174D63" w:rsidP="00174D63">
      <w:r w:rsidRPr="00174D63">
        <w:t xml:space="preserve">Hypersensitivity events occurred in 4.8% of subjects on the denosumab arm and 3.1% on the risedronate arm. Of the two events of Immune thrombocytopenic purpura that occurred on the denosumab arm, one was in a subject with a history of autoimmune thrombocytopenia and not considered to be study drug related by the investigator; the </w:t>
      </w:r>
      <w:r w:rsidRPr="00174D63">
        <w:lastRenderedPageBreak/>
        <w:t>other was considered to be related to study drug by the investigator and the subject discontinued the study due to it</w:t>
      </w:r>
      <w:r w:rsidR="00211AE1">
        <w:t>.</w:t>
      </w:r>
    </w:p>
    <w:p w:rsidR="00174D63" w:rsidRPr="00174D63" w:rsidRDefault="001350D8" w:rsidP="00174D63">
      <w:pPr>
        <w:pStyle w:val="Heading6"/>
        <w:rPr>
          <w:rFonts w:eastAsiaTheme="minorHAnsi"/>
        </w:rPr>
      </w:pPr>
      <w:r>
        <w:rPr>
          <w:rFonts w:eastAsiaTheme="minorHAnsi"/>
        </w:rPr>
        <w:t>Serious infection</w:t>
      </w:r>
    </w:p>
    <w:p w:rsidR="00211AE1" w:rsidRDefault="00174D63" w:rsidP="00174D63">
      <w:r w:rsidRPr="00174D63">
        <w:t>RANKL is expressed on activated T and B cells and in the lymph nodes and infection has been identified as an event of interest. Nonclinical studies suggest that a normal immune response to infectious pathogens is not dependent on RANKL</w:t>
      </w:r>
      <w:r w:rsidR="00211AE1">
        <w:t>.</w:t>
      </w:r>
    </w:p>
    <w:p w:rsidR="001963A6" w:rsidRPr="00174D63" w:rsidRDefault="00B0277C" w:rsidP="00174D63">
      <w:pPr>
        <w:pStyle w:val="TableTitle"/>
      </w:pPr>
      <w:r>
        <w:t xml:space="preserve">Table </w:t>
      </w:r>
      <w:r w:rsidR="009A3208">
        <w:t>9</w:t>
      </w:r>
      <w:r>
        <w:t>:</w:t>
      </w:r>
      <w:r w:rsidR="00174D63" w:rsidRPr="00174D63">
        <w:t xml:space="preserve"> Serious infection at 12 month analysis (combined subpopulations), safety analysis set</w:t>
      </w:r>
    </w:p>
    <w:p w:rsidR="001963A6" w:rsidRDefault="00174D63" w:rsidP="00CE25DB">
      <w:r>
        <w:rPr>
          <w:noProof/>
          <w:lang w:eastAsia="en-AU"/>
        </w:rPr>
        <w:drawing>
          <wp:inline distT="0" distB="0" distL="0" distR="0" wp14:anchorId="16C41CB0" wp14:editId="7C8D3DE9">
            <wp:extent cx="4806086" cy="1477768"/>
            <wp:effectExtent l="0" t="0" r="0" b="8255"/>
            <wp:docPr id="18" name="Picture 18" descr="Table 9: Serious infection at 12 month analysis (combined subpopul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07353" cy="1478158"/>
                    </a:xfrm>
                    <a:prstGeom prst="rect">
                      <a:avLst/>
                    </a:prstGeom>
                  </pic:spPr>
                </pic:pic>
              </a:graphicData>
            </a:graphic>
          </wp:inline>
        </w:drawing>
      </w:r>
    </w:p>
    <w:p w:rsidR="00211AE1" w:rsidRDefault="00174D63" w:rsidP="00174D63">
      <w:r w:rsidRPr="00174D63">
        <w:t xml:space="preserve">Infections (defined as all adverse events and serious adverse events mapped to the infections and infestations System Organ Class in </w:t>
      </w:r>
      <w:proofErr w:type="spellStart"/>
      <w:r w:rsidRPr="00174D63">
        <w:t>MedDRA</w:t>
      </w:r>
      <w:proofErr w:type="spellEnd"/>
      <w:r w:rsidRPr="00174D63">
        <w:t>) occurred in 26.6% of subjects on the denosumab arm and 28.9% on the risedronate arm. 4.3% of subjects on the denosumab arm and 3.9% on the risedronate arm had serious adverse events of infection</w:t>
      </w:r>
      <w:r w:rsidR="00211AE1">
        <w:t>.</w:t>
      </w:r>
    </w:p>
    <w:p w:rsidR="00211AE1" w:rsidRDefault="00174D63" w:rsidP="00174D63">
      <w:r w:rsidRPr="00174D63">
        <w:t>In terms of serious adverse events, the most common event of infection was pneumonia on both arms (denosumab 5 subjects, 1.3%; and risedronate 6 subjects, 1.6%) although it is noted that ‘pneumonia bacterial’ and ‘lower respiratory tract infection’ were also reported once each as separate preferred terms on the denosumab arm). All other preferred terms for serious events on the denosumab arm were reported only once. Two subjects in the denosumab group (0.5%) had serious adverse event infections conside</w:t>
      </w:r>
      <w:r w:rsidR="006E615B">
        <w:t>red to be related to treatment;</w:t>
      </w:r>
      <w:r w:rsidRPr="00174D63">
        <w:t xml:space="preserve"> lung abscess and bacterial pneumonia</w:t>
      </w:r>
      <w:r w:rsidR="00211AE1">
        <w:t>.</w:t>
      </w:r>
    </w:p>
    <w:p w:rsidR="00174D63" w:rsidRPr="00174D63" w:rsidRDefault="00174D63" w:rsidP="00174D63">
      <w:r w:rsidRPr="00174D63">
        <w:t>The median daily dose of glucocorticoid was 10</w:t>
      </w:r>
      <w:r w:rsidR="001350D8">
        <w:t xml:space="preserve"> mg</w:t>
      </w:r>
      <w:r w:rsidRPr="00174D63">
        <w:t xml:space="preserve"> for both treatment groups regardless of infection status (no infection, non-serious infections or serious infections) with the exception of subjects with serious infection in the denosumab group (15</w:t>
      </w:r>
      <w:r w:rsidR="001350D8">
        <w:t xml:space="preserve"> mg</w:t>
      </w:r>
      <w:r w:rsidRPr="00174D63">
        <w:t xml:space="preserve"> median daily dose of glucocorticoid). Cultures were only obtained at the investigators discretion. The study report indicates that a serious opportunistic infection was reported for 1 subject (0.3%) in e</w:t>
      </w:r>
      <w:r w:rsidR="006E615B">
        <w:t>ach treatment group: denosumab;</w:t>
      </w:r>
      <w:r w:rsidRPr="00174D63">
        <w:t xml:space="preserve"> lymph node tuberculo</w:t>
      </w:r>
      <w:r w:rsidR="006E615B">
        <w:t>sis and risedronate;</w:t>
      </w:r>
      <w:r w:rsidRPr="00174D63">
        <w:t xml:space="preserve"> Clostridium colitis. The denosumab subject with lymph node tuberculosis had multiple lung lesions prior to study initiation. It is noted by the </w:t>
      </w:r>
      <w:r w:rsidR="006E615B">
        <w:t>e</w:t>
      </w:r>
      <w:r w:rsidRPr="00174D63">
        <w:t xml:space="preserve">valuator that a </w:t>
      </w:r>
      <w:proofErr w:type="spellStart"/>
      <w:r w:rsidRPr="006E615B">
        <w:rPr>
          <w:i/>
        </w:rPr>
        <w:t>Serratia</w:t>
      </w:r>
      <w:proofErr w:type="spellEnd"/>
      <w:r w:rsidRPr="006E615B">
        <w:rPr>
          <w:i/>
        </w:rPr>
        <w:t xml:space="preserve"> </w:t>
      </w:r>
      <w:proofErr w:type="spellStart"/>
      <w:r w:rsidRPr="006E615B">
        <w:rPr>
          <w:i/>
        </w:rPr>
        <w:t>marcescens</w:t>
      </w:r>
      <w:proofErr w:type="spellEnd"/>
      <w:r w:rsidRPr="00174D63">
        <w:t xml:space="preserve"> infection was also reported</w:t>
      </w:r>
      <w:r w:rsidR="006E615B">
        <w:t xml:space="preserve"> </w:t>
      </w:r>
      <w:r w:rsidRPr="00174D63">
        <w:t xml:space="preserve">on the denosumab arm. Very little additional information regarding this infection is available in narrative however it is noted that </w:t>
      </w:r>
      <w:proofErr w:type="spellStart"/>
      <w:r w:rsidRPr="006E615B">
        <w:rPr>
          <w:i/>
        </w:rPr>
        <w:t>Serratia</w:t>
      </w:r>
      <w:proofErr w:type="spellEnd"/>
      <w:r w:rsidRPr="006E615B">
        <w:rPr>
          <w:i/>
        </w:rPr>
        <w:t xml:space="preserve"> </w:t>
      </w:r>
      <w:proofErr w:type="spellStart"/>
      <w:r w:rsidRPr="006E615B">
        <w:rPr>
          <w:i/>
        </w:rPr>
        <w:t>marcescens</w:t>
      </w:r>
      <w:proofErr w:type="spellEnd"/>
      <w:r w:rsidRPr="00174D63">
        <w:t xml:space="preserve"> is considered to be an opportunistic pathogen in published literature</w:t>
      </w:r>
      <w:r>
        <w:t>.</w:t>
      </w:r>
      <w:r>
        <w:rPr>
          <w:rStyle w:val="FootnoteReference"/>
        </w:rPr>
        <w:footnoteReference w:id="18"/>
      </w:r>
    </w:p>
    <w:p w:rsidR="00211AE1" w:rsidRDefault="00174D63" w:rsidP="00174D63">
      <w:r w:rsidRPr="00174D63">
        <w:t>227 subjects on the risedronate arm and 208 on the denosumab arm received a concomitant immunosuppressant agent or biolo</w:t>
      </w:r>
      <w:r w:rsidR="006E615B">
        <w:t xml:space="preserve">gic. The incidence of treatment </w:t>
      </w:r>
      <w:r w:rsidRPr="00174D63">
        <w:t>emergent serious infections in subjects with use of a concomitant immunosuppressant agent or biologic by preferred term was 6 (2.9%) on the denosumab arm and 9 (4.0%) subjects on the risedronate arm. In contrast, serious infection was reported for 11 subjects (5.9%) in the denosumab group and 4 subjects (2.5%) in the risedronate group in those not receiving a biologic/immunosuppressant medication</w:t>
      </w:r>
      <w:r w:rsidR="00211AE1">
        <w:t>.</w:t>
      </w:r>
    </w:p>
    <w:p w:rsidR="00174D63" w:rsidRPr="00174D63" w:rsidRDefault="00174D63" w:rsidP="00174D63">
      <w:pPr>
        <w:pStyle w:val="Heading6"/>
        <w:rPr>
          <w:rFonts w:eastAsiaTheme="minorHAnsi"/>
        </w:rPr>
      </w:pPr>
      <w:r w:rsidRPr="00174D63">
        <w:rPr>
          <w:rFonts w:eastAsiaTheme="minorHAnsi"/>
        </w:rPr>
        <w:lastRenderedPageBreak/>
        <w:t xml:space="preserve">Serious </w:t>
      </w:r>
      <w:r w:rsidR="00A7285A">
        <w:rPr>
          <w:rFonts w:eastAsiaTheme="minorHAnsi"/>
        </w:rPr>
        <w:t>b</w:t>
      </w:r>
      <w:r w:rsidR="00A7285A" w:rsidRPr="00174D63">
        <w:rPr>
          <w:rFonts w:eastAsiaTheme="minorHAnsi"/>
        </w:rPr>
        <w:t>acteri</w:t>
      </w:r>
      <w:r w:rsidR="00A7285A">
        <w:rPr>
          <w:rFonts w:eastAsiaTheme="minorHAnsi"/>
        </w:rPr>
        <w:t xml:space="preserve">al cellulitis </w:t>
      </w:r>
      <w:r w:rsidR="006E615B">
        <w:rPr>
          <w:rFonts w:eastAsiaTheme="minorHAnsi"/>
        </w:rPr>
        <w:t>(Skin Infections)</w:t>
      </w:r>
    </w:p>
    <w:p w:rsidR="001963A6" w:rsidRPr="00174D63" w:rsidRDefault="00B0277C" w:rsidP="00174D63">
      <w:pPr>
        <w:pStyle w:val="TableTitle"/>
      </w:pPr>
      <w:r>
        <w:t xml:space="preserve">Table </w:t>
      </w:r>
      <w:r w:rsidR="009A3208">
        <w:t>10</w:t>
      </w:r>
      <w:r>
        <w:t>:</w:t>
      </w:r>
      <w:r w:rsidR="00174D63" w:rsidRPr="00174D63">
        <w:t xml:space="preserve"> Serious </w:t>
      </w:r>
      <w:r w:rsidR="00A7285A">
        <w:t>b</w:t>
      </w:r>
      <w:r w:rsidR="00A7285A" w:rsidRPr="00174D63">
        <w:t xml:space="preserve">acterial </w:t>
      </w:r>
      <w:r w:rsidR="00A7285A">
        <w:t>c</w:t>
      </w:r>
      <w:r w:rsidR="00A7285A" w:rsidRPr="00174D63">
        <w:t xml:space="preserve">ellulitis </w:t>
      </w:r>
      <w:r w:rsidR="00174D63" w:rsidRPr="00174D63">
        <w:t>at 12 month analysis (combined subpopulations), safety analysis set</w:t>
      </w:r>
    </w:p>
    <w:p w:rsidR="001963A6" w:rsidRDefault="00174D63" w:rsidP="00CE25DB">
      <w:r>
        <w:rPr>
          <w:noProof/>
          <w:lang w:eastAsia="en-AU"/>
        </w:rPr>
        <w:drawing>
          <wp:inline distT="0" distB="0" distL="0" distR="0" wp14:anchorId="18E2049E" wp14:editId="31D7E6DC">
            <wp:extent cx="4359859" cy="1513374"/>
            <wp:effectExtent l="0" t="0" r="3175" b="0"/>
            <wp:docPr id="19" name="Picture 19" descr="Table 10: Serious Bacterial Cellulitis at 12 month analysis (combined subpopul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63924" cy="1514785"/>
                    </a:xfrm>
                    <a:prstGeom prst="rect">
                      <a:avLst/>
                    </a:prstGeom>
                  </pic:spPr>
                </pic:pic>
              </a:graphicData>
            </a:graphic>
          </wp:inline>
        </w:drawing>
      </w:r>
    </w:p>
    <w:p w:rsidR="00211AE1" w:rsidRDefault="00174D63" w:rsidP="00174D63">
      <w:r w:rsidRPr="00174D63">
        <w:t>Adverse events of bacterial cellulitis reported in the denosumab group included erysipelas (3 subjects, 0.8%), cellulitis (1 subject, 0.3%), and pustular rash (1 subject, 0.3%). One of the erysipelas events (denosumab arm) was considered to be serious but not related to the investigational product. The only bacterial cellulitis event reported on the risedronate arm was cellulitis and was considered to be serious</w:t>
      </w:r>
      <w:r w:rsidR="00211AE1">
        <w:t>.</w:t>
      </w:r>
    </w:p>
    <w:p w:rsidR="00174D63" w:rsidRPr="00174D63" w:rsidRDefault="006E615B" w:rsidP="00174D63">
      <w:pPr>
        <w:pStyle w:val="Heading6"/>
        <w:rPr>
          <w:rFonts w:eastAsiaTheme="minorHAnsi"/>
        </w:rPr>
      </w:pPr>
      <w:r>
        <w:rPr>
          <w:rFonts w:eastAsiaTheme="minorHAnsi"/>
        </w:rPr>
        <w:t>Malignancy</w:t>
      </w:r>
    </w:p>
    <w:p w:rsidR="001963A6" w:rsidRPr="00174D63" w:rsidRDefault="00B0277C" w:rsidP="00174D63">
      <w:pPr>
        <w:pStyle w:val="TableTitle"/>
      </w:pPr>
      <w:r>
        <w:t>Table 1</w:t>
      </w:r>
      <w:r w:rsidR="009A3208">
        <w:t>1</w:t>
      </w:r>
      <w:r>
        <w:t>:</w:t>
      </w:r>
      <w:r w:rsidR="00174D63" w:rsidRPr="00174D63">
        <w:t xml:space="preserve"> Malignancy at 12 month analysis (combined subpopulations), safety analysis set</w:t>
      </w:r>
    </w:p>
    <w:p w:rsidR="001963A6" w:rsidRDefault="00174D63" w:rsidP="001963A6">
      <w:r>
        <w:rPr>
          <w:noProof/>
          <w:lang w:eastAsia="en-AU"/>
        </w:rPr>
        <w:drawing>
          <wp:inline distT="0" distB="0" distL="0" distR="0" wp14:anchorId="0347D8F7" wp14:editId="765B2935">
            <wp:extent cx="4937760" cy="972253"/>
            <wp:effectExtent l="0" t="0" r="0" b="0"/>
            <wp:docPr id="20" name="Picture 20" descr="Table 11: Malignancy at 12 month analysis (combined subpopul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49738" cy="974611"/>
                    </a:xfrm>
                    <a:prstGeom prst="rect">
                      <a:avLst/>
                    </a:prstGeom>
                  </pic:spPr>
                </pic:pic>
              </a:graphicData>
            </a:graphic>
          </wp:inline>
        </w:drawing>
      </w:r>
    </w:p>
    <w:p w:rsidR="001963A6" w:rsidRPr="00174D63" w:rsidRDefault="00174D63" w:rsidP="00174D63">
      <w:r w:rsidRPr="00174D63">
        <w:t>Malignancy was reported in 1.3% of denosumab subjects and 0.8% of risedronate subjects. Each preferred term reported was reported only once.</w:t>
      </w:r>
    </w:p>
    <w:p w:rsidR="00174D63" w:rsidRPr="00174D63" w:rsidRDefault="006E615B" w:rsidP="00174D63">
      <w:pPr>
        <w:pStyle w:val="Heading6"/>
        <w:rPr>
          <w:rFonts w:eastAsiaTheme="minorHAnsi"/>
        </w:rPr>
      </w:pPr>
      <w:r>
        <w:rPr>
          <w:rFonts w:eastAsiaTheme="minorHAnsi"/>
        </w:rPr>
        <w:lastRenderedPageBreak/>
        <w:t>Cardiac and vascular disorders</w:t>
      </w:r>
    </w:p>
    <w:p w:rsidR="001963A6" w:rsidRDefault="00B0277C" w:rsidP="00174D63">
      <w:pPr>
        <w:pStyle w:val="TableTitle"/>
      </w:pPr>
      <w:r>
        <w:t>Table 1</w:t>
      </w:r>
      <w:r w:rsidR="009A3208">
        <w:t>2</w:t>
      </w:r>
      <w:r>
        <w:t>:</w:t>
      </w:r>
      <w:r w:rsidR="00174D63" w:rsidRPr="00174D63">
        <w:t xml:space="preserve"> Cardiac disorders at 12 month analysis (combined subpopulations), safety analysis set</w:t>
      </w:r>
    </w:p>
    <w:p w:rsidR="00174D63" w:rsidRDefault="00174D63" w:rsidP="00CE25DB">
      <w:r>
        <w:rPr>
          <w:noProof/>
          <w:lang w:eastAsia="en-AU"/>
        </w:rPr>
        <w:drawing>
          <wp:inline distT="0" distB="0" distL="0" distR="0" wp14:anchorId="28512B2A" wp14:editId="4CF1AEBE">
            <wp:extent cx="4337913" cy="4059842"/>
            <wp:effectExtent l="0" t="0" r="5715" b="0"/>
            <wp:docPr id="23" name="Picture 23" descr="Table 12: Cardiac disorders at 12 month analysis (combined subpopula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39056" cy="4060912"/>
                    </a:xfrm>
                    <a:prstGeom prst="rect">
                      <a:avLst/>
                    </a:prstGeom>
                  </pic:spPr>
                </pic:pic>
              </a:graphicData>
            </a:graphic>
          </wp:inline>
        </w:drawing>
      </w:r>
    </w:p>
    <w:p w:rsidR="00211AE1" w:rsidRDefault="00174D63" w:rsidP="00174D63">
      <w:r w:rsidRPr="00174D63">
        <w:t>Cardiac disorders occurred in 5.1% of subjects on the denosumab arm and 4.2% on the risedronate arm. ‘Cardiac failure’ was the most commonly reported preferred term on the denosumab arm in 4 subjects (1.0%) compared to 1 (0.3%) on the risedronate arm and an additional 2 subjects (0.5%) on the denosumab arm reported the related preferred term of ‘cardiac failure congestive’ compared to 1 (0.3%) on the risedronate arm. Of the four subjects who reported an event of ‘cardiac failure’, two had a history of cardiac failure and one had other cardiovascular risk factors at baseline. Of the two subjects who reported ‘cardiac failure congestive’ on the denosumab arm, both had a history of cardiac failure</w:t>
      </w:r>
      <w:r w:rsidR="00211AE1">
        <w:t>.</w:t>
      </w:r>
    </w:p>
    <w:p w:rsidR="00211AE1" w:rsidRDefault="00174D63" w:rsidP="00174D63">
      <w:r w:rsidRPr="00174D63">
        <w:t>Vascular disorders occurred in 6.3% of subjects on the denosumab arm and 6.5% on the risedronate arm and hypertension was the most commonly reported event on both arms</w:t>
      </w:r>
      <w:r w:rsidR="00211AE1">
        <w:t>.</w:t>
      </w:r>
    </w:p>
    <w:p w:rsidR="00174D63" w:rsidRPr="00174D63" w:rsidRDefault="00174D63" w:rsidP="00174D63">
      <w:pPr>
        <w:pStyle w:val="Heading6"/>
        <w:rPr>
          <w:rFonts w:eastAsiaTheme="minorHAnsi"/>
        </w:rPr>
      </w:pPr>
      <w:r w:rsidRPr="00174D63">
        <w:rPr>
          <w:rFonts w:eastAsiaTheme="minorHAnsi"/>
        </w:rPr>
        <w:t xml:space="preserve">Adjudicated </w:t>
      </w:r>
      <w:r w:rsidR="00451696">
        <w:rPr>
          <w:rFonts w:eastAsiaTheme="minorHAnsi"/>
        </w:rPr>
        <w:t>p</w:t>
      </w:r>
      <w:r w:rsidR="00A7285A" w:rsidRPr="00174D63">
        <w:rPr>
          <w:rFonts w:eastAsiaTheme="minorHAnsi"/>
        </w:rPr>
        <w:t>os</w:t>
      </w:r>
      <w:r w:rsidR="00A7285A">
        <w:rPr>
          <w:rFonts w:eastAsiaTheme="minorHAnsi"/>
        </w:rPr>
        <w:t>itive atypical femoral fracture</w:t>
      </w:r>
    </w:p>
    <w:p w:rsidR="00211AE1" w:rsidRDefault="00174D63" w:rsidP="00CE25DB">
      <w:r w:rsidRPr="00174D63">
        <w:t>One subject in the denosumab group had a positively adjudicated atypical femoral fracture; none occurred in the risedronate arm. The event occurred in a subject with a long history of</w:t>
      </w:r>
      <w:r w:rsidR="006E615B">
        <w:t xml:space="preserve"> </w:t>
      </w:r>
      <w:r w:rsidRPr="00174D63">
        <w:t>receiving glucocorticoid therapy, one previous fracture and no history of bisphosphonate or proton pump inhibitor use. It occurred approximately 2 months after the second dose of denosumab and resolved after the</w:t>
      </w:r>
      <w:r w:rsidR="006E615B">
        <w:t xml:space="preserve"> database lock point for the 12 </w:t>
      </w:r>
      <w:r w:rsidRPr="00174D63">
        <w:t xml:space="preserve">month primary analysis following closed reduction and </w:t>
      </w:r>
      <w:proofErr w:type="spellStart"/>
      <w:r w:rsidRPr="00174D63">
        <w:t>osteosynthesis</w:t>
      </w:r>
      <w:proofErr w:type="spellEnd"/>
      <w:r w:rsidR="00211AE1">
        <w:t>.</w:t>
      </w:r>
    </w:p>
    <w:p w:rsidR="00174D63" w:rsidRPr="00174D63" w:rsidRDefault="006E615B" w:rsidP="00174D63">
      <w:pPr>
        <w:pStyle w:val="Heading6"/>
        <w:rPr>
          <w:rFonts w:eastAsiaTheme="minorHAnsi"/>
        </w:rPr>
      </w:pPr>
      <w:r>
        <w:rPr>
          <w:rFonts w:eastAsiaTheme="minorHAnsi"/>
        </w:rPr>
        <w:t>Eczema</w:t>
      </w:r>
    </w:p>
    <w:p w:rsidR="00211AE1" w:rsidRDefault="00174D63" w:rsidP="00174D63">
      <w:r w:rsidRPr="00174D63">
        <w:t>Two subjects on the denosumab arm had non-serious adverse events of eczema (</w:t>
      </w:r>
      <w:r w:rsidR="00A7285A">
        <w:t>P</w:t>
      </w:r>
      <w:r w:rsidR="00A7285A" w:rsidRPr="00174D63">
        <w:t xml:space="preserve">referred </w:t>
      </w:r>
      <w:r w:rsidR="00A7285A">
        <w:t>T</w:t>
      </w:r>
      <w:r w:rsidR="00A7285A" w:rsidRPr="00174D63">
        <w:t xml:space="preserve">erms </w:t>
      </w:r>
      <w:r w:rsidR="00A7285A">
        <w:t>‘</w:t>
      </w:r>
      <w:r w:rsidRPr="00174D63">
        <w:t>atopic dermatitis</w:t>
      </w:r>
      <w:r w:rsidR="00A7285A">
        <w:t>’</w:t>
      </w:r>
      <w:r w:rsidRPr="00174D63">
        <w:t xml:space="preserve"> and </w:t>
      </w:r>
      <w:r w:rsidR="00A7285A">
        <w:t>‘</w:t>
      </w:r>
      <w:r w:rsidRPr="00174D63">
        <w:t>eczema</w:t>
      </w:r>
      <w:r w:rsidR="00A7285A">
        <w:t>’</w:t>
      </w:r>
      <w:r w:rsidRPr="00174D63">
        <w:t>); none occurred on the risedronate arm</w:t>
      </w:r>
      <w:r w:rsidR="00211AE1">
        <w:t>.</w:t>
      </w:r>
    </w:p>
    <w:p w:rsidR="00174D63" w:rsidRPr="00174D63" w:rsidRDefault="00174D63" w:rsidP="00174D63">
      <w:pPr>
        <w:pStyle w:val="Heading6"/>
        <w:rPr>
          <w:rFonts w:eastAsiaTheme="minorHAnsi"/>
        </w:rPr>
      </w:pPr>
      <w:r w:rsidRPr="00174D63">
        <w:rPr>
          <w:rFonts w:eastAsiaTheme="minorHAnsi"/>
        </w:rPr>
        <w:lastRenderedPageBreak/>
        <w:t>Acute pancreatiti</w:t>
      </w:r>
      <w:r w:rsidR="006E615B">
        <w:rPr>
          <w:rFonts w:eastAsiaTheme="minorHAnsi"/>
        </w:rPr>
        <w:t>s</w:t>
      </w:r>
    </w:p>
    <w:p w:rsidR="00211AE1" w:rsidRDefault="00174D63" w:rsidP="00174D63">
      <w:r w:rsidRPr="00174D63">
        <w:t>No subject on the denosumab arm had an adverse event of acute pancreatitis; one subject on the risedronate arm reported a serious event</w:t>
      </w:r>
      <w:r w:rsidR="00211AE1">
        <w:t>.</w:t>
      </w:r>
    </w:p>
    <w:p w:rsidR="00174D63" w:rsidRPr="00174D63" w:rsidRDefault="006E615B" w:rsidP="00174D63">
      <w:pPr>
        <w:pStyle w:val="Heading6"/>
        <w:rPr>
          <w:rFonts w:eastAsiaTheme="minorHAnsi"/>
        </w:rPr>
      </w:pPr>
      <w:r>
        <w:rPr>
          <w:rFonts w:eastAsiaTheme="minorHAnsi"/>
        </w:rPr>
        <w:t>Musculoskeletal pain</w:t>
      </w:r>
    </w:p>
    <w:p w:rsidR="00174D63" w:rsidRPr="00174D63" w:rsidRDefault="00B0277C" w:rsidP="00174D63">
      <w:pPr>
        <w:pStyle w:val="TableTitle"/>
      </w:pPr>
      <w:r>
        <w:t>Table 1</w:t>
      </w:r>
      <w:r w:rsidR="009A3208">
        <w:t>3</w:t>
      </w:r>
      <w:r>
        <w:t>:</w:t>
      </w:r>
      <w:r w:rsidR="00174D63" w:rsidRPr="00174D63">
        <w:t xml:space="preserve"> Subject </w:t>
      </w:r>
      <w:r w:rsidR="00A7285A">
        <w:t>i</w:t>
      </w:r>
      <w:r w:rsidR="00A7285A" w:rsidRPr="00174D63">
        <w:t xml:space="preserve">ncidence </w:t>
      </w:r>
      <w:r w:rsidR="00174D63" w:rsidRPr="00174D63">
        <w:t xml:space="preserve">of </w:t>
      </w:r>
      <w:r w:rsidR="007A0EAE" w:rsidRPr="00174D63">
        <w:t>treatment-emergent adverse events of musculoskeletal pain repor</w:t>
      </w:r>
      <w:r w:rsidR="00174D63" w:rsidRPr="00174D63">
        <w:t xml:space="preserve">ted in </w:t>
      </w:r>
      <w:r w:rsidR="001350D8">
        <w:t xml:space="preserve">≥ </w:t>
      </w:r>
      <w:r w:rsidR="00174D63" w:rsidRPr="00174D63">
        <w:t xml:space="preserve">1% of </w:t>
      </w:r>
      <w:r w:rsidR="007A0EAE" w:rsidRPr="00174D63">
        <w:t>subjects in either treatment group by preferred term, combined subpopula</w:t>
      </w:r>
      <w:r w:rsidR="007A0EAE">
        <w:t>tions</w:t>
      </w:r>
      <w:r w:rsidR="00A7285A">
        <w:t>;</w:t>
      </w:r>
      <w:r w:rsidR="007A0EAE">
        <w:t xml:space="preserve"> </w:t>
      </w:r>
      <w:r w:rsidR="00A7285A">
        <w:t xml:space="preserve">safety analysis set, </w:t>
      </w:r>
      <w:r>
        <w:t xml:space="preserve">12 </w:t>
      </w:r>
      <w:r w:rsidR="00174D63" w:rsidRPr="00174D63">
        <w:t xml:space="preserve">month </w:t>
      </w:r>
      <w:r w:rsidR="00A7285A">
        <w:t>p</w:t>
      </w:r>
      <w:r w:rsidR="00A7285A" w:rsidRPr="00174D63">
        <w:t xml:space="preserve">rimary </w:t>
      </w:r>
      <w:r w:rsidR="00A7285A">
        <w:t>a</w:t>
      </w:r>
      <w:r w:rsidR="00A7285A" w:rsidRPr="00174D63">
        <w:t>nalysis</w:t>
      </w:r>
      <w:r w:rsidR="00174D63" w:rsidRPr="00174D63">
        <w:t>)</w:t>
      </w:r>
    </w:p>
    <w:p w:rsidR="00174D63" w:rsidRDefault="00174D63" w:rsidP="00CE25DB">
      <w:r>
        <w:rPr>
          <w:noProof/>
          <w:lang w:eastAsia="en-AU"/>
        </w:rPr>
        <w:drawing>
          <wp:inline distT="0" distB="0" distL="0" distR="0" wp14:anchorId="2D565FD1" wp14:editId="65A692AA">
            <wp:extent cx="4564684" cy="2294046"/>
            <wp:effectExtent l="0" t="0" r="7620" b="0"/>
            <wp:docPr id="24" name="Picture 24" descr="Table 13: Subject Incidence of Treatment-emergent Adverse Events of Musculoskeletal Pain Reported in ≥ 1% of Subjects in Either Treatment Group by Preferred Term, Combined Subpopulations (Safety Analysis Set)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65887" cy="2294651"/>
                    </a:xfrm>
                    <a:prstGeom prst="rect">
                      <a:avLst/>
                    </a:prstGeom>
                  </pic:spPr>
                </pic:pic>
              </a:graphicData>
            </a:graphic>
          </wp:inline>
        </w:drawing>
      </w:r>
    </w:p>
    <w:p w:rsidR="00174D63" w:rsidRPr="003378B6" w:rsidRDefault="00174D63" w:rsidP="003378B6">
      <w:r w:rsidRPr="003378B6">
        <w:t>Musculoskeletal pain occurred in 13.7% of subjects on the denosumab arm and 14.6% on the risedronate arm. Back pain was the most commonly reported event followed by arthralgia on the denosumab arm. Serious adverse events relating to musculoskeletal pain occurred in 2 (0.5%) of subjects on the denosumab arm and 4 (1%) of subjects on the risedronate arm.</w:t>
      </w:r>
    </w:p>
    <w:p w:rsidR="00605AD4" w:rsidRDefault="00605AD4" w:rsidP="00605AD4">
      <w:pPr>
        <w:pStyle w:val="Heading4"/>
      </w:pPr>
      <w:r w:rsidRPr="00605AD4">
        <w:t>Post</w:t>
      </w:r>
      <w:r w:rsidR="003378B6">
        <w:t>-</w:t>
      </w:r>
      <w:r w:rsidRPr="00605AD4">
        <w:t>marketing data</w:t>
      </w:r>
    </w:p>
    <w:p w:rsidR="00500337" w:rsidRPr="00500337" w:rsidRDefault="003378B6" w:rsidP="00500337">
      <w:r>
        <w:t>Very limited post-marketing data was presented in</w:t>
      </w:r>
      <w:r w:rsidR="006E615B">
        <w:t xml:space="preserve"> the Summary of clinical safety</w:t>
      </w:r>
      <w:r>
        <w:t xml:space="preserve"> regarding overall numbers of adverse drug reactions (serious and non-serious) but no details of the types of reactions were provided.</w:t>
      </w:r>
    </w:p>
    <w:p w:rsidR="00605AD4" w:rsidRPr="00605AD4" w:rsidRDefault="00605AD4" w:rsidP="00605AD4">
      <w:pPr>
        <w:pStyle w:val="Heading4"/>
      </w:pPr>
      <w:r w:rsidRPr="00605AD4">
        <w:t>Evaluator’s conclusions on safety</w:t>
      </w:r>
    </w:p>
    <w:p w:rsidR="00211AE1" w:rsidRDefault="003378B6" w:rsidP="00CE25DB">
      <w:r w:rsidRPr="003378B6">
        <w:t xml:space="preserve">The new safety data presented by the </w:t>
      </w:r>
      <w:r w:rsidR="00A54D03">
        <w:t>sponsor</w:t>
      </w:r>
      <w:r w:rsidRPr="003378B6">
        <w:t xml:space="preserve"> was from the </w:t>
      </w:r>
      <w:r w:rsidR="0065393E">
        <w:t>Study</w:t>
      </w:r>
      <w:r w:rsidR="0065393E" w:rsidRPr="003378B6">
        <w:t xml:space="preserve"> </w:t>
      </w:r>
      <w:r w:rsidRPr="003378B6">
        <w:t>20101217 and no new, significant safety signals were detected in this study. However, as the use of corticosteroids is associated with a number of significant side effects there is potential for additive toxicities of corticosteroids and denosumab (for example, tho</w:t>
      </w:r>
      <w:r w:rsidR="006E615B">
        <w:t>se listed as events of interest</w:t>
      </w:r>
      <w:r w:rsidRPr="003378B6">
        <w:t>) such as hypertension, pancreatitis, heightened risk of infections and opportunistic infections. This trial did not show any clear indication of potential additive effects of corticosteroids and denosumab compared to risedronate/corticosteroids (however all conclusions from this study are limited by a r</w:t>
      </w:r>
      <w:r w:rsidR="006E615B">
        <w:t>elatively short follow up of 12 </w:t>
      </w:r>
      <w:r w:rsidRPr="003378B6">
        <w:t>months, especially in the context of potential long term corticosteroid use/ recurrent courses of corticosteroids with chronic disease), relatively small numbers of subjects enrolled (compared to other denosumab studies and considering the rarity of some events) and the heterogeneous corticosteroid use in the baseline population</w:t>
      </w:r>
      <w:r w:rsidR="00211AE1">
        <w:t>.</w:t>
      </w:r>
    </w:p>
    <w:p w:rsidR="00605AD4" w:rsidRPr="003378B6" w:rsidRDefault="003378B6" w:rsidP="003378B6">
      <w:r w:rsidRPr="003378B6">
        <w:t>Safety information was provided only f</w:t>
      </w:r>
      <w:r w:rsidR="006E615B">
        <w:t>or the combined subpopulations;</w:t>
      </w:r>
      <w:r w:rsidRPr="003378B6">
        <w:t xml:space="preserve"> that is, data was not shown for the two individual subpopulations. From the point of view of rare adverse event detection, this may be reasonable as there is a larger data set available for comparison to the risedronate arm. However, based on the data presented, no conclusions </w:t>
      </w:r>
      <w:r w:rsidRPr="003378B6">
        <w:lastRenderedPageBreak/>
        <w:t>can be made about potential any differences in the safety profile between the two subpopulations.</w:t>
      </w:r>
    </w:p>
    <w:p w:rsidR="00605AD4" w:rsidRPr="00605AD4" w:rsidRDefault="00605AD4" w:rsidP="00CE25DB">
      <w:pPr>
        <w:pStyle w:val="Heading3"/>
        <w:rPr>
          <w:rFonts w:eastAsia="Cambria"/>
        </w:rPr>
      </w:pPr>
      <w:bookmarkStart w:id="76" w:name="_Toc16166692"/>
      <w:r w:rsidRPr="00605AD4">
        <w:rPr>
          <w:rFonts w:eastAsia="Cambria"/>
        </w:rPr>
        <w:t xml:space="preserve">First </w:t>
      </w:r>
      <w:r w:rsidR="00CE25DB">
        <w:rPr>
          <w:rFonts w:eastAsia="Cambria"/>
        </w:rPr>
        <w:t>r</w:t>
      </w:r>
      <w:r w:rsidRPr="00605AD4">
        <w:rPr>
          <w:rFonts w:eastAsia="Cambria"/>
        </w:rPr>
        <w:t xml:space="preserve">ound </w:t>
      </w:r>
      <w:r w:rsidR="00CE25DB">
        <w:rPr>
          <w:rFonts w:eastAsia="Cambria"/>
        </w:rPr>
        <w:t>b</w:t>
      </w:r>
      <w:r w:rsidRPr="00605AD4">
        <w:rPr>
          <w:rFonts w:eastAsia="Cambria"/>
        </w:rPr>
        <w:t>enefit-</w:t>
      </w:r>
      <w:r w:rsidR="00CE25DB">
        <w:rPr>
          <w:rFonts w:eastAsia="Cambria"/>
        </w:rPr>
        <w:t>r</w:t>
      </w:r>
      <w:r w:rsidRPr="00605AD4">
        <w:rPr>
          <w:rFonts w:eastAsia="Cambria"/>
        </w:rPr>
        <w:t xml:space="preserve">isk </w:t>
      </w:r>
      <w:r w:rsidR="00CE25DB" w:rsidRPr="00CE25DB">
        <w:rPr>
          <w:rFonts w:eastAsia="Cambria"/>
        </w:rPr>
        <w:t>a</w:t>
      </w:r>
      <w:r w:rsidRPr="00CE25DB">
        <w:rPr>
          <w:rFonts w:eastAsia="Cambria"/>
        </w:rPr>
        <w:t>ssessment</w:t>
      </w:r>
      <w:bookmarkEnd w:id="76"/>
    </w:p>
    <w:p w:rsidR="00605AD4" w:rsidRDefault="00605AD4" w:rsidP="00605AD4">
      <w:pPr>
        <w:pStyle w:val="Heading4"/>
      </w:pPr>
      <w:r w:rsidRPr="00605AD4">
        <w:t>First round assessment of benefits</w:t>
      </w:r>
    </w:p>
    <w:p w:rsidR="006E615B" w:rsidRPr="006E615B" w:rsidRDefault="00B0277C" w:rsidP="006E615B">
      <w:pPr>
        <w:pStyle w:val="TableTitle"/>
      </w:pPr>
      <w:r>
        <w:t>Table 1</w:t>
      </w:r>
      <w:r w:rsidR="009A3208">
        <w:t>4</w:t>
      </w:r>
      <w:r w:rsidR="006E615B">
        <w:t>: First round benefits and strengths and uncertainties</w:t>
      </w:r>
    </w:p>
    <w:tbl>
      <w:tblPr>
        <w:tblStyle w:val="TableTGAblue"/>
        <w:tblW w:w="0" w:type="auto"/>
        <w:tblLook w:val="04A0" w:firstRow="1" w:lastRow="0" w:firstColumn="1" w:lastColumn="0" w:noHBand="0" w:noVBand="1"/>
      </w:tblPr>
      <w:tblGrid>
        <w:gridCol w:w="4360"/>
        <w:gridCol w:w="4360"/>
      </w:tblGrid>
      <w:tr w:rsidR="003378B6" w:rsidRPr="003378B6" w:rsidTr="003378B6">
        <w:trPr>
          <w:cnfStyle w:val="100000000000" w:firstRow="1" w:lastRow="0" w:firstColumn="0" w:lastColumn="0" w:oddVBand="0" w:evenVBand="0" w:oddHBand="0" w:evenHBand="0" w:firstRowFirstColumn="0" w:firstRowLastColumn="0" w:lastRowFirstColumn="0" w:lastRowLastColumn="0"/>
        </w:trPr>
        <w:tc>
          <w:tcPr>
            <w:tcW w:w="4360" w:type="dxa"/>
          </w:tcPr>
          <w:p w:rsidR="003378B6" w:rsidRPr="003378B6" w:rsidRDefault="006E615B" w:rsidP="003378B6">
            <w:r>
              <w:t>Benefits</w:t>
            </w:r>
          </w:p>
        </w:tc>
        <w:tc>
          <w:tcPr>
            <w:tcW w:w="4360" w:type="dxa"/>
          </w:tcPr>
          <w:p w:rsidR="003378B6" w:rsidRPr="003378B6" w:rsidRDefault="006E615B" w:rsidP="003378B6">
            <w:r>
              <w:t>Strengths and Uncertainties</w:t>
            </w:r>
          </w:p>
        </w:tc>
      </w:tr>
      <w:tr w:rsidR="003378B6" w:rsidRPr="003378B6" w:rsidTr="003378B6">
        <w:tc>
          <w:tcPr>
            <w:tcW w:w="4360" w:type="dxa"/>
          </w:tcPr>
          <w:p w:rsidR="003378B6" w:rsidRPr="00451696" w:rsidRDefault="003378B6" w:rsidP="00451696">
            <w:pPr>
              <w:rPr>
                <w:sz w:val="21"/>
              </w:rPr>
            </w:pPr>
            <w:r w:rsidRPr="00451696">
              <w:rPr>
                <w:color w:val="auto"/>
                <w:sz w:val="21"/>
                <w:szCs w:val="22"/>
              </w:rPr>
              <w:t xml:space="preserve">Denosumab </w:t>
            </w:r>
            <w:r w:rsidR="00AF6EF3" w:rsidRPr="00451696">
              <w:rPr>
                <w:color w:val="auto"/>
                <w:sz w:val="21"/>
                <w:szCs w:val="22"/>
              </w:rPr>
              <w:t xml:space="preserve">was </w:t>
            </w:r>
            <w:r w:rsidRPr="00451696">
              <w:rPr>
                <w:color w:val="auto"/>
                <w:sz w:val="21"/>
                <w:szCs w:val="22"/>
              </w:rPr>
              <w:t>non-inferior to risedronate for the primary endpoint</w:t>
            </w:r>
            <w:r w:rsidR="00AF6EF3" w:rsidRPr="00451696">
              <w:rPr>
                <w:color w:val="auto"/>
                <w:sz w:val="21"/>
                <w:szCs w:val="22"/>
              </w:rPr>
              <w:t xml:space="preserve"> of</w:t>
            </w:r>
            <w:r w:rsidRPr="00451696">
              <w:rPr>
                <w:color w:val="auto"/>
                <w:sz w:val="21"/>
                <w:szCs w:val="22"/>
              </w:rPr>
              <w:t xml:space="preserve"> lumbar spine BMD at 12 months in the glucocorticoid-initiating s</w:t>
            </w:r>
            <w:r w:rsidR="006E615B" w:rsidRPr="00451696">
              <w:rPr>
                <w:color w:val="auto"/>
                <w:sz w:val="21"/>
                <w:szCs w:val="22"/>
              </w:rPr>
              <w:t>ubpopulation (primary endpoint).</w:t>
            </w:r>
          </w:p>
        </w:tc>
        <w:tc>
          <w:tcPr>
            <w:tcW w:w="4360" w:type="dxa"/>
          </w:tcPr>
          <w:p w:rsidR="003378B6" w:rsidRPr="00451696" w:rsidRDefault="003378B6" w:rsidP="00451696">
            <w:pPr>
              <w:rPr>
                <w:sz w:val="21"/>
              </w:rPr>
            </w:pPr>
            <w:r w:rsidRPr="00451696">
              <w:rPr>
                <w:color w:val="auto"/>
                <w:sz w:val="21"/>
                <w:szCs w:val="22"/>
              </w:rPr>
              <w:t>Although this study met its primary endpoint in both the GC-I and GC-C subpopulations, a numb</w:t>
            </w:r>
            <w:r w:rsidR="006E615B" w:rsidRPr="00451696">
              <w:rPr>
                <w:color w:val="auto"/>
                <w:sz w:val="21"/>
                <w:szCs w:val="22"/>
              </w:rPr>
              <w:t>er of key uncertainties remain:</w:t>
            </w:r>
          </w:p>
          <w:p w:rsidR="003378B6" w:rsidRPr="00451696" w:rsidRDefault="003378B6" w:rsidP="00451696">
            <w:pPr>
              <w:pStyle w:val="ListBullet"/>
              <w:rPr>
                <w:sz w:val="21"/>
              </w:rPr>
            </w:pPr>
            <w:r w:rsidRPr="00451696">
              <w:rPr>
                <w:color w:val="auto"/>
                <w:sz w:val="21"/>
                <w:szCs w:val="22"/>
              </w:rPr>
              <w:t>How well do the differences in BMD reflect the more clinically</w:t>
            </w:r>
            <w:r w:rsidR="006E615B" w:rsidRPr="00451696">
              <w:rPr>
                <w:color w:val="auto"/>
                <w:sz w:val="21"/>
                <w:szCs w:val="22"/>
              </w:rPr>
              <w:t xml:space="preserve"> relevant endpoint of fractures</w:t>
            </w:r>
          </w:p>
          <w:p w:rsidR="003378B6" w:rsidRPr="00451696" w:rsidRDefault="003378B6" w:rsidP="00451696">
            <w:pPr>
              <w:pStyle w:val="ListBullet"/>
              <w:rPr>
                <w:sz w:val="21"/>
              </w:rPr>
            </w:pPr>
            <w:r w:rsidRPr="00451696">
              <w:rPr>
                <w:color w:val="auto"/>
                <w:sz w:val="21"/>
                <w:szCs w:val="22"/>
              </w:rPr>
              <w:t>Longer term data is still pending (24 mont</w:t>
            </w:r>
            <w:r w:rsidR="006E615B" w:rsidRPr="00451696">
              <w:rPr>
                <w:color w:val="auto"/>
                <w:sz w:val="21"/>
                <w:szCs w:val="22"/>
              </w:rPr>
              <w:t>h follow up)</w:t>
            </w:r>
          </w:p>
          <w:p w:rsidR="003378B6" w:rsidRPr="00451696" w:rsidRDefault="003378B6" w:rsidP="00451696">
            <w:pPr>
              <w:pStyle w:val="ListBullet"/>
              <w:rPr>
                <w:sz w:val="21"/>
              </w:rPr>
            </w:pPr>
            <w:r w:rsidRPr="00451696">
              <w:rPr>
                <w:color w:val="auto"/>
                <w:sz w:val="21"/>
                <w:szCs w:val="22"/>
              </w:rPr>
              <w:t>Imbalances in baseline characteristics between the two arms ma</w:t>
            </w:r>
            <w:r w:rsidR="006E615B" w:rsidRPr="00451696">
              <w:rPr>
                <w:color w:val="auto"/>
                <w:sz w:val="21"/>
                <w:szCs w:val="22"/>
              </w:rPr>
              <w:t>y result in bias of the results</w:t>
            </w:r>
          </w:p>
          <w:p w:rsidR="003378B6" w:rsidRPr="00451696" w:rsidRDefault="003378B6" w:rsidP="00451696">
            <w:pPr>
              <w:pStyle w:val="ListBullet"/>
              <w:rPr>
                <w:sz w:val="21"/>
              </w:rPr>
            </w:pPr>
            <w:r w:rsidRPr="00451696">
              <w:rPr>
                <w:color w:val="auto"/>
                <w:sz w:val="21"/>
                <w:szCs w:val="22"/>
              </w:rPr>
              <w:t>Whether the population enrolled into this study is a true reflection of the subpopulations seen in cl</w:t>
            </w:r>
            <w:r w:rsidR="006E615B" w:rsidRPr="00451696">
              <w:rPr>
                <w:color w:val="auto"/>
                <w:sz w:val="21"/>
                <w:szCs w:val="22"/>
              </w:rPr>
              <w:t>inical practice</w:t>
            </w:r>
          </w:p>
          <w:p w:rsidR="003378B6" w:rsidRPr="00451696" w:rsidRDefault="003378B6" w:rsidP="00451696">
            <w:pPr>
              <w:rPr>
                <w:sz w:val="21"/>
              </w:rPr>
            </w:pPr>
            <w:r w:rsidRPr="00451696">
              <w:rPr>
                <w:sz w:val="21"/>
              </w:rPr>
              <w:t xml:space="preserve">With particular reference to the GC-I subpopulation, a number of subjects had baseline characteristics consistent with pre-existing osteoporotic fractures and/or had received long-term corticosteroids already, compromising the validity of the baseline population and the applicability of the </w:t>
            </w:r>
            <w:r w:rsidR="009A3208" w:rsidRPr="00451696">
              <w:rPr>
                <w:sz w:val="21"/>
              </w:rPr>
              <w:t>‘</w:t>
            </w:r>
            <w:r w:rsidRPr="00451696">
              <w:rPr>
                <w:i/>
                <w:sz w:val="21"/>
              </w:rPr>
              <w:t>prevention</w:t>
            </w:r>
            <w:r w:rsidR="009A3208" w:rsidRPr="00451696">
              <w:rPr>
                <w:sz w:val="21"/>
              </w:rPr>
              <w:t>’</w:t>
            </w:r>
            <w:r w:rsidRPr="00451696">
              <w:rPr>
                <w:sz w:val="21"/>
              </w:rPr>
              <w:t xml:space="preserve"> word</w:t>
            </w:r>
            <w:r w:rsidR="006E615B" w:rsidRPr="00451696">
              <w:rPr>
                <w:sz w:val="21"/>
              </w:rPr>
              <w:t>ing in the proposed indication.</w:t>
            </w:r>
          </w:p>
        </w:tc>
      </w:tr>
      <w:tr w:rsidR="003378B6" w:rsidRPr="003378B6" w:rsidTr="003378B6">
        <w:tc>
          <w:tcPr>
            <w:tcW w:w="4360" w:type="dxa"/>
          </w:tcPr>
          <w:p w:rsidR="003378B6" w:rsidRPr="00451696" w:rsidRDefault="003378B6" w:rsidP="00451696">
            <w:pPr>
              <w:rPr>
                <w:sz w:val="21"/>
              </w:rPr>
            </w:pPr>
            <w:r w:rsidRPr="00451696">
              <w:rPr>
                <w:color w:val="auto"/>
                <w:sz w:val="21"/>
                <w:szCs w:val="22"/>
              </w:rPr>
              <w:t>Denosumab non-inferior to risedronate for the primary endpoint lumbar spine BMD at 12 months in the glucocorticoid-continuing s</w:t>
            </w:r>
            <w:r w:rsidR="006E615B" w:rsidRPr="00451696">
              <w:rPr>
                <w:color w:val="auto"/>
                <w:sz w:val="21"/>
                <w:szCs w:val="22"/>
              </w:rPr>
              <w:t>ubpopulation (primary endpoint).</w:t>
            </w:r>
          </w:p>
        </w:tc>
        <w:tc>
          <w:tcPr>
            <w:tcW w:w="4360" w:type="dxa"/>
          </w:tcPr>
          <w:p w:rsidR="003378B6" w:rsidRPr="00451696" w:rsidRDefault="001E2C93" w:rsidP="00451696">
            <w:pPr>
              <w:rPr>
                <w:sz w:val="21"/>
              </w:rPr>
            </w:pPr>
            <w:r w:rsidRPr="00451696">
              <w:rPr>
                <w:color w:val="auto"/>
                <w:sz w:val="21"/>
                <w:szCs w:val="22"/>
              </w:rPr>
              <w:t>This study demonstrated statistical superiority for the two secondary endpoints reporting at the 12 month mark (others are due to report at 24</w:t>
            </w:r>
            <w:r w:rsidR="00AF6EF3" w:rsidRPr="00451696">
              <w:rPr>
                <w:color w:val="auto"/>
                <w:sz w:val="21"/>
                <w:szCs w:val="22"/>
              </w:rPr>
              <w:t> </w:t>
            </w:r>
            <w:r w:rsidRPr="00451696">
              <w:rPr>
                <w:color w:val="auto"/>
                <w:sz w:val="21"/>
                <w:szCs w:val="22"/>
              </w:rPr>
              <w:t xml:space="preserve">month follow up), however the clinical significance of the difference detected was not addressed by the </w:t>
            </w:r>
            <w:r w:rsidR="00A54D03" w:rsidRPr="00451696">
              <w:rPr>
                <w:color w:val="auto"/>
                <w:sz w:val="21"/>
                <w:szCs w:val="22"/>
              </w:rPr>
              <w:t>sponsor</w:t>
            </w:r>
            <w:r w:rsidR="006E615B" w:rsidRPr="00451696">
              <w:rPr>
                <w:color w:val="auto"/>
                <w:sz w:val="21"/>
                <w:szCs w:val="22"/>
              </w:rPr>
              <w:t>.</w:t>
            </w:r>
          </w:p>
        </w:tc>
      </w:tr>
      <w:tr w:rsidR="003378B6" w:rsidRPr="003378B6" w:rsidTr="003378B6">
        <w:tc>
          <w:tcPr>
            <w:tcW w:w="4360" w:type="dxa"/>
          </w:tcPr>
          <w:p w:rsidR="003378B6" w:rsidRPr="00451696" w:rsidRDefault="001E2C93" w:rsidP="00451696">
            <w:pPr>
              <w:rPr>
                <w:sz w:val="21"/>
              </w:rPr>
            </w:pPr>
            <w:r w:rsidRPr="00451696">
              <w:rPr>
                <w:color w:val="auto"/>
                <w:sz w:val="21"/>
                <w:szCs w:val="22"/>
              </w:rPr>
              <w:t>6 monthly injections of denosumab are associated with better compliance compa</w:t>
            </w:r>
            <w:r w:rsidR="006E615B" w:rsidRPr="00451696">
              <w:rPr>
                <w:color w:val="auto"/>
                <w:sz w:val="21"/>
                <w:szCs w:val="22"/>
              </w:rPr>
              <w:t>red with daily oral risedronate.</w:t>
            </w:r>
          </w:p>
        </w:tc>
        <w:tc>
          <w:tcPr>
            <w:tcW w:w="4360" w:type="dxa"/>
          </w:tcPr>
          <w:p w:rsidR="003378B6" w:rsidRPr="00451696" w:rsidRDefault="001E2C93" w:rsidP="00451696">
            <w:pPr>
              <w:rPr>
                <w:sz w:val="21"/>
              </w:rPr>
            </w:pPr>
            <w:r w:rsidRPr="00451696">
              <w:rPr>
                <w:color w:val="auto"/>
                <w:sz w:val="21"/>
                <w:szCs w:val="22"/>
              </w:rPr>
              <w:t xml:space="preserve">Poor compliance with risedronate may have biased the results toward denosumab. The comparison with another parenteral comparator given at infrequent intervals may have been more </w:t>
            </w:r>
            <w:r w:rsidR="006E615B" w:rsidRPr="00451696">
              <w:rPr>
                <w:color w:val="auto"/>
                <w:sz w:val="21"/>
                <w:szCs w:val="22"/>
              </w:rPr>
              <w:t>appropriate.</w:t>
            </w:r>
          </w:p>
        </w:tc>
      </w:tr>
    </w:tbl>
    <w:p w:rsidR="00605AD4" w:rsidRDefault="00605AD4" w:rsidP="00CE25DB">
      <w:pPr>
        <w:pStyle w:val="Heading4"/>
      </w:pPr>
      <w:r w:rsidRPr="00605AD4">
        <w:lastRenderedPageBreak/>
        <w:t xml:space="preserve">First round </w:t>
      </w:r>
      <w:r w:rsidRPr="00CE25DB">
        <w:t>assessment</w:t>
      </w:r>
      <w:r w:rsidRPr="00605AD4">
        <w:t xml:space="preserve"> of risks</w:t>
      </w:r>
    </w:p>
    <w:p w:rsidR="001E2C93" w:rsidRPr="001E2C93" w:rsidRDefault="00B0277C" w:rsidP="006E615B">
      <w:pPr>
        <w:pStyle w:val="TableTitle"/>
      </w:pPr>
      <w:r>
        <w:t>Table 1</w:t>
      </w:r>
      <w:r w:rsidR="009A3208">
        <w:t>5</w:t>
      </w:r>
      <w:r w:rsidR="006E615B">
        <w:t>: First round assessment of risks</w:t>
      </w:r>
    </w:p>
    <w:tbl>
      <w:tblPr>
        <w:tblStyle w:val="TableTGAblue"/>
        <w:tblW w:w="0" w:type="auto"/>
        <w:tblLook w:val="04A0" w:firstRow="1" w:lastRow="0" w:firstColumn="1" w:lastColumn="0" w:noHBand="0" w:noVBand="1"/>
      </w:tblPr>
      <w:tblGrid>
        <w:gridCol w:w="4360"/>
        <w:gridCol w:w="4360"/>
      </w:tblGrid>
      <w:tr w:rsidR="001E2C93" w:rsidRPr="001E2C93" w:rsidTr="001E2C93">
        <w:trPr>
          <w:cnfStyle w:val="100000000000" w:firstRow="1" w:lastRow="0" w:firstColumn="0" w:lastColumn="0" w:oddVBand="0" w:evenVBand="0" w:oddHBand="0" w:evenHBand="0" w:firstRowFirstColumn="0" w:firstRowLastColumn="0" w:lastRowFirstColumn="0" w:lastRowLastColumn="0"/>
        </w:trPr>
        <w:tc>
          <w:tcPr>
            <w:tcW w:w="4360" w:type="dxa"/>
          </w:tcPr>
          <w:p w:rsidR="001E2C93" w:rsidRPr="001E2C93" w:rsidRDefault="001E2C93" w:rsidP="001E2C93">
            <w:r w:rsidRPr="001E2C93">
              <w:t xml:space="preserve">Risks </w:t>
            </w:r>
          </w:p>
        </w:tc>
        <w:tc>
          <w:tcPr>
            <w:tcW w:w="4360" w:type="dxa"/>
          </w:tcPr>
          <w:p w:rsidR="001E2C93" w:rsidRPr="001E2C93" w:rsidRDefault="00CE25DB" w:rsidP="001E2C93">
            <w:r>
              <w:t>Strengths and Uncertainties</w:t>
            </w:r>
          </w:p>
        </w:tc>
      </w:tr>
      <w:tr w:rsidR="001E2C93" w:rsidRPr="001E2C93" w:rsidTr="001E2C93">
        <w:tc>
          <w:tcPr>
            <w:tcW w:w="4360" w:type="dxa"/>
          </w:tcPr>
          <w:p w:rsidR="001E2C93" w:rsidRPr="00AD7CFF" w:rsidRDefault="001E2C93" w:rsidP="00451696">
            <w:pPr>
              <w:rPr>
                <w:sz w:val="21"/>
                <w:lang w:eastAsia="en-US"/>
              </w:rPr>
            </w:pPr>
            <w:r w:rsidRPr="00AF6EF3">
              <w:rPr>
                <w:sz w:val="21"/>
              </w:rPr>
              <w:t>The safety profile of denosumab is well documented across a number of studies in different indications; no new sa</w:t>
            </w:r>
            <w:r w:rsidRPr="00AD7CFF">
              <w:rPr>
                <w:sz w:val="21"/>
              </w:rPr>
              <w:t>fety signals were detected in this new population of pati</w:t>
            </w:r>
            <w:r w:rsidR="006E615B" w:rsidRPr="00AD7CFF">
              <w:rPr>
                <w:sz w:val="21"/>
              </w:rPr>
              <w:t>ents.</w:t>
            </w:r>
          </w:p>
        </w:tc>
        <w:tc>
          <w:tcPr>
            <w:tcW w:w="4360" w:type="dxa"/>
          </w:tcPr>
          <w:p w:rsidR="00211AE1" w:rsidRPr="00451696" w:rsidRDefault="001E2C93" w:rsidP="00451696">
            <w:pPr>
              <w:rPr>
                <w:sz w:val="21"/>
              </w:rPr>
            </w:pPr>
            <w:r w:rsidRPr="00AD7CFF">
              <w:rPr>
                <w:sz w:val="21"/>
              </w:rPr>
              <w:t>Uncertainties remain for this population due to li</w:t>
            </w:r>
            <w:r w:rsidR="006E615B" w:rsidRPr="00451696">
              <w:rPr>
                <w:color w:val="auto"/>
                <w:sz w:val="21"/>
                <w:szCs w:val="22"/>
              </w:rPr>
              <w:t>mited duration of follow up (12 </w:t>
            </w:r>
            <w:r w:rsidRPr="00451696">
              <w:rPr>
                <w:color w:val="auto"/>
                <w:sz w:val="21"/>
                <w:szCs w:val="22"/>
              </w:rPr>
              <w:t>months; 24 month follow up is planned)</w:t>
            </w:r>
            <w:r w:rsidR="00211AE1" w:rsidRPr="00451696">
              <w:rPr>
                <w:color w:val="auto"/>
                <w:sz w:val="21"/>
                <w:szCs w:val="22"/>
              </w:rPr>
              <w:t>.</w:t>
            </w:r>
          </w:p>
          <w:p w:rsidR="001E2C93" w:rsidRPr="00451696" w:rsidRDefault="001E2C93" w:rsidP="00451696">
            <w:pPr>
              <w:rPr>
                <w:sz w:val="21"/>
              </w:rPr>
            </w:pPr>
            <w:r w:rsidRPr="00AF6EF3">
              <w:rPr>
                <w:sz w:val="21"/>
              </w:rPr>
              <w:t>Data for the individual subpopulations was not provided therefore any differences in safety profile between the two subpopulati</w:t>
            </w:r>
            <w:r w:rsidR="006E615B" w:rsidRPr="00AF6EF3">
              <w:rPr>
                <w:sz w:val="21"/>
              </w:rPr>
              <w:t>ons is not known.</w:t>
            </w:r>
          </w:p>
        </w:tc>
      </w:tr>
      <w:tr w:rsidR="001E2C93" w:rsidRPr="001E2C93" w:rsidTr="001E2C93">
        <w:tc>
          <w:tcPr>
            <w:tcW w:w="4360" w:type="dxa"/>
          </w:tcPr>
          <w:p w:rsidR="001E2C93" w:rsidRPr="00AD7CFF" w:rsidRDefault="001E2C93" w:rsidP="00451696">
            <w:pPr>
              <w:rPr>
                <w:sz w:val="21"/>
                <w:lang w:eastAsia="en-US"/>
              </w:rPr>
            </w:pPr>
            <w:r w:rsidRPr="00AF6EF3">
              <w:rPr>
                <w:sz w:val="21"/>
              </w:rPr>
              <w:t>Rare adverse events, such as osteonecrosis of the jaw, have been docum</w:t>
            </w:r>
            <w:r w:rsidR="006E615B" w:rsidRPr="00AD7CFF">
              <w:rPr>
                <w:sz w:val="21"/>
              </w:rPr>
              <w:t>ented with the use of denosumab.</w:t>
            </w:r>
          </w:p>
        </w:tc>
        <w:tc>
          <w:tcPr>
            <w:tcW w:w="4360" w:type="dxa"/>
          </w:tcPr>
          <w:p w:rsidR="001E2C93" w:rsidRPr="00AD7CFF" w:rsidRDefault="001E2C93" w:rsidP="00451696">
            <w:pPr>
              <w:rPr>
                <w:sz w:val="21"/>
                <w:lang w:eastAsia="en-US"/>
              </w:rPr>
            </w:pPr>
            <w:r w:rsidRPr="00AD7CFF">
              <w:rPr>
                <w:sz w:val="21"/>
              </w:rPr>
              <w:t>Relatively small total number of patients (N</w:t>
            </w:r>
            <w:r w:rsidR="006E615B" w:rsidRPr="00AD7CFF">
              <w:rPr>
                <w:sz w:val="21"/>
              </w:rPr>
              <w:t xml:space="preserve"> </w:t>
            </w:r>
            <w:r w:rsidRPr="00451696">
              <w:rPr>
                <w:color w:val="auto"/>
                <w:sz w:val="21"/>
                <w:szCs w:val="22"/>
              </w:rPr>
              <w:t>=</w:t>
            </w:r>
            <w:r w:rsidR="006E615B" w:rsidRPr="00451696">
              <w:rPr>
                <w:color w:val="auto"/>
                <w:sz w:val="21"/>
                <w:szCs w:val="22"/>
              </w:rPr>
              <w:t xml:space="preserve"> </w:t>
            </w:r>
            <w:r w:rsidRPr="00451696">
              <w:rPr>
                <w:color w:val="auto"/>
                <w:sz w:val="21"/>
                <w:szCs w:val="22"/>
              </w:rPr>
              <w:t>7</w:t>
            </w:r>
            <w:r w:rsidR="006E615B" w:rsidRPr="00451696">
              <w:rPr>
                <w:color w:val="auto"/>
                <w:sz w:val="21"/>
                <w:szCs w:val="22"/>
              </w:rPr>
              <w:t>78) exposed to denosumab for 12 </w:t>
            </w:r>
            <w:r w:rsidRPr="00451696">
              <w:rPr>
                <w:color w:val="auto"/>
                <w:sz w:val="21"/>
                <w:szCs w:val="22"/>
              </w:rPr>
              <w:t xml:space="preserve">months in the corticosteroid initiated/continuing subpopulations (compared to combined HALT approximately </w:t>
            </w:r>
            <w:r w:rsidRPr="00AF6EF3">
              <w:rPr>
                <w:sz w:val="21"/>
              </w:rPr>
              <w:t>1</w:t>
            </w:r>
            <w:r w:rsidR="006E615B" w:rsidRPr="00AF6EF3">
              <w:rPr>
                <w:sz w:val="21"/>
              </w:rPr>
              <w:t>,</w:t>
            </w:r>
            <w:r w:rsidRPr="00AF6EF3">
              <w:rPr>
                <w:sz w:val="21"/>
              </w:rPr>
              <w:t xml:space="preserve">600 and primary osteoporosis populations </w:t>
            </w:r>
            <w:r w:rsidRPr="00451696">
              <w:rPr>
                <w:color w:val="auto"/>
                <w:sz w:val="21"/>
                <w:szCs w:val="22"/>
              </w:rPr>
              <w:t xml:space="preserve">approximately </w:t>
            </w:r>
            <w:r w:rsidRPr="00AF6EF3">
              <w:rPr>
                <w:sz w:val="21"/>
              </w:rPr>
              <w:t>8</w:t>
            </w:r>
            <w:r w:rsidR="006E615B" w:rsidRPr="00AF6EF3">
              <w:rPr>
                <w:sz w:val="21"/>
              </w:rPr>
              <w:t>,</w:t>
            </w:r>
            <w:r w:rsidRPr="00AF6EF3">
              <w:rPr>
                <w:sz w:val="21"/>
              </w:rPr>
              <w:t>000) which may not adequately determine the risk of these r</w:t>
            </w:r>
            <w:r w:rsidR="006E615B" w:rsidRPr="00AD7CFF">
              <w:rPr>
                <w:sz w:val="21"/>
              </w:rPr>
              <w:t>arer events in this population.</w:t>
            </w:r>
          </w:p>
        </w:tc>
      </w:tr>
    </w:tbl>
    <w:p w:rsidR="00605AD4" w:rsidRPr="00605AD4" w:rsidRDefault="00605AD4" w:rsidP="00CE25DB">
      <w:pPr>
        <w:pStyle w:val="Heading4"/>
      </w:pPr>
      <w:r w:rsidRPr="00605AD4">
        <w:t>First round assessment of benefit-risk balance</w:t>
      </w:r>
    </w:p>
    <w:p w:rsidR="00605AD4" w:rsidRDefault="001E2C93" w:rsidP="001E2C93">
      <w:r w:rsidRPr="001E2C93">
        <w:t>There are some issues associated with the glucocorticoid treated population seen in this clinical trial.</w:t>
      </w:r>
    </w:p>
    <w:p w:rsidR="00211AE1" w:rsidRDefault="001E2C93" w:rsidP="00CE25DB">
      <w:r w:rsidRPr="001E2C93">
        <w:t xml:space="preserve">Ideally, an osteoporosis prevention patient population would not have osteoporosis at baseline (or other baseline risk of osteoporosis) and have only recently started on glucocorticoids. A </w:t>
      </w:r>
      <w:r w:rsidR="0065393E">
        <w:t>glucocorticoid induced</w:t>
      </w:r>
      <w:r w:rsidRPr="001E2C93">
        <w:t xml:space="preserve"> osteoporosis indication would ideally include patients with established osteoporosis, long term use of glucocorticoids and no other risk factors for osteoporosis (for example, family history or age)</w:t>
      </w:r>
      <w:r w:rsidR="00211AE1">
        <w:t>.</w:t>
      </w:r>
    </w:p>
    <w:p w:rsidR="00211AE1" w:rsidRDefault="001E2C93" w:rsidP="001E2C93">
      <w:r w:rsidRPr="001E2C93">
        <w:t>It is also difficult to determine whether osteoporosis is due to glucocorticoids alone, as other contributing factors such as underlying inflammation, poor nutrition, poor mobility, age, and other factors may also play a role. Defining osteoporosis also has challenges (</w:t>
      </w:r>
      <w:r w:rsidR="0065393E">
        <w:t>for example</w:t>
      </w:r>
      <w:r w:rsidRPr="001E2C93">
        <w:t xml:space="preserve"> based on fracture risk or fracture)</w:t>
      </w:r>
      <w:r w:rsidR="00211AE1">
        <w:t>.</w:t>
      </w:r>
    </w:p>
    <w:p w:rsidR="001E2C93" w:rsidRPr="001E2C93" w:rsidRDefault="001E2C93" w:rsidP="001E2C93">
      <w:r w:rsidRPr="001E2C93">
        <w:t>Two indications are proposed, therefore each</w:t>
      </w:r>
      <w:r w:rsidR="006E615B">
        <w:t xml:space="preserve"> will be considered separately:</w:t>
      </w:r>
    </w:p>
    <w:p w:rsidR="00211AE1" w:rsidRPr="00451696" w:rsidRDefault="001E2C93" w:rsidP="00451696">
      <w:pPr>
        <w:ind w:left="720"/>
        <w:rPr>
          <w:i/>
        </w:rPr>
      </w:pPr>
      <w:r w:rsidRPr="00451696">
        <w:rPr>
          <w:i/>
        </w:rPr>
        <w:t>Prevention of osteoporosis in women and men at increased risk of fracture who are starting or have recently started long-term glucocorticoid therapy</w:t>
      </w:r>
      <w:r w:rsidR="00211AE1" w:rsidRPr="00451696">
        <w:rPr>
          <w:i/>
        </w:rPr>
        <w:t>.</w:t>
      </w:r>
    </w:p>
    <w:p w:rsidR="001E2C93" w:rsidRPr="001E2C93" w:rsidRDefault="001E2C93" w:rsidP="001E2C93">
      <w:r w:rsidRPr="001E2C93">
        <w:t>With regards to this indication, the study met its primary endpoint and denosumab appears to be non-inferior to risedronate. Indeed denosumab also demonstrated statistical superiority to risedronate. No significant, new safety risks were detected. However, as outlined previously, there are a number of uncertainties remaining. Of these, the following are of particular note:</w:t>
      </w:r>
    </w:p>
    <w:p w:rsidR="001E2C93" w:rsidRPr="001E2C93" w:rsidRDefault="001E2C93" w:rsidP="001E2C93">
      <w:pPr>
        <w:pStyle w:val="ListBullet"/>
      </w:pPr>
      <w:r w:rsidRPr="001E2C93">
        <w:t xml:space="preserve">Despite the proposed indication being </w:t>
      </w:r>
      <w:r w:rsidR="009A3208">
        <w:t>‘</w:t>
      </w:r>
      <w:r w:rsidRPr="00451696">
        <w:rPr>
          <w:i/>
        </w:rPr>
        <w:t>prevention of osteoporosis</w:t>
      </w:r>
      <w:r w:rsidR="009A3208">
        <w:t>’</w:t>
      </w:r>
      <w:r w:rsidRPr="001E2C93">
        <w:t>, there is evidence to suggest that a si</w:t>
      </w:r>
      <w:r w:rsidR="006E615B">
        <w:t xml:space="preserve">gnificant minority of denosumab </w:t>
      </w:r>
      <w:r w:rsidRPr="001E2C93">
        <w:t>receiving subjects in this sub</w:t>
      </w:r>
      <w:r w:rsidR="006E615B">
        <w:t> </w:t>
      </w:r>
      <w:r w:rsidRPr="001E2C93">
        <w:t xml:space="preserve">study already had osteoporosis either currently or in the past. Of the subjects on the denosumab arm, 6.2% on the denosumab arm (and 13.8% on the risedronate arm) </w:t>
      </w:r>
      <w:r w:rsidRPr="001E2C93">
        <w:lastRenderedPageBreak/>
        <w:t>were determined to have secondary osteoporosis at baseline. Additionally at</w:t>
      </w:r>
      <w:r>
        <w:t xml:space="preserve"> baseline on the denosumab arm:</w:t>
      </w:r>
    </w:p>
    <w:p w:rsidR="001E2C93" w:rsidRPr="001E2C93" w:rsidRDefault="001E2C93" w:rsidP="001E2C93">
      <w:pPr>
        <w:pStyle w:val="ListBullet2"/>
      </w:pPr>
      <w:r w:rsidRPr="001E2C93">
        <w:t xml:space="preserve">17.9% of subjects had </w:t>
      </w:r>
      <w:r w:rsidR="006E615B">
        <w:t>a lumbar spine BMD T-score of ≤</w:t>
      </w:r>
      <w:r w:rsidR="006E615B">
        <w:noBreakHyphen/>
        <w:t>2.5</w:t>
      </w:r>
    </w:p>
    <w:p w:rsidR="001E2C93" w:rsidRPr="001E2C93" w:rsidRDefault="001E2C93" w:rsidP="001E2C93">
      <w:pPr>
        <w:pStyle w:val="ListBullet2"/>
      </w:pPr>
      <w:r w:rsidRPr="001E2C93">
        <w:t xml:space="preserve">7.6% of subjects on the denosumab arm had </w:t>
      </w:r>
      <w:r w:rsidR="006E615B">
        <w:t>a femoral neck BMD T-score of ≤</w:t>
      </w:r>
      <w:r w:rsidR="006E615B">
        <w:noBreakHyphen/>
        <w:t>2.5</w:t>
      </w:r>
    </w:p>
    <w:p w:rsidR="00211AE1" w:rsidRDefault="001E2C93" w:rsidP="001E2C93">
      <w:pPr>
        <w:pStyle w:val="ListBullet2"/>
      </w:pPr>
      <w:r w:rsidRPr="001E2C93">
        <w:t xml:space="preserve">33.8% of subjects on the denosumab arm had </w:t>
      </w:r>
      <w:r>
        <w:t>a prior osteoporotic fracture</w:t>
      </w:r>
      <w:r w:rsidR="00211AE1">
        <w:t>.</w:t>
      </w:r>
    </w:p>
    <w:p w:rsidR="00211AE1" w:rsidRDefault="001E2C93" w:rsidP="001E2C93">
      <w:pPr>
        <w:pStyle w:val="ListBullet"/>
      </w:pPr>
      <w:r w:rsidRPr="001E2C93">
        <w:t xml:space="preserve">Despite the proposed indication relating to patients </w:t>
      </w:r>
      <w:r w:rsidR="009A3208">
        <w:t>‘</w:t>
      </w:r>
      <w:r w:rsidRPr="00451696">
        <w:rPr>
          <w:i/>
        </w:rPr>
        <w:t>who are starting or have recently started long-term glucocorticoid therapy</w:t>
      </w:r>
      <w:r w:rsidR="009A3208">
        <w:t>’</w:t>
      </w:r>
      <w:r w:rsidRPr="001E2C93">
        <w:t>, 11% on the risedronate arm and 6.9% on denosumab arm had received prior oral glucocorticoids for more than 3 months (consistent with the GC-C population definition rather than the GC-I)</w:t>
      </w:r>
      <w:r w:rsidR="00211AE1">
        <w:t>.</w:t>
      </w:r>
    </w:p>
    <w:p w:rsidR="00211AE1" w:rsidRDefault="001E2C93" w:rsidP="001E2C93">
      <w:pPr>
        <w:pStyle w:val="ListBullet"/>
      </w:pPr>
      <w:r w:rsidRPr="001E2C93">
        <w:t>Whether the population enrolled into this study is a true reflection of the subpopula</w:t>
      </w:r>
      <w:r w:rsidR="006E615B">
        <w:t>tion seen in clinical practice;</w:t>
      </w:r>
      <w:r w:rsidRPr="001E2C93">
        <w:t xml:space="preserve"> for example, more than 50% of subjects enrolled were post-menopausal women and the mean age was mid-sixties</w:t>
      </w:r>
      <w:r w:rsidR="00211AE1">
        <w:t>.</w:t>
      </w:r>
    </w:p>
    <w:p w:rsidR="001E2C93" w:rsidRPr="001E2C93" w:rsidRDefault="001E2C93" w:rsidP="001E2C93">
      <w:r w:rsidRPr="001E2C93">
        <w:rPr>
          <w:rFonts w:eastAsiaTheme="minorHAnsi" w:cs="Cambria"/>
          <w:color w:val="000000"/>
        </w:rPr>
        <w:t xml:space="preserve">The </w:t>
      </w:r>
      <w:r w:rsidR="00A54D03">
        <w:rPr>
          <w:rFonts w:eastAsiaTheme="minorHAnsi" w:cs="Cambria"/>
          <w:color w:val="000000"/>
        </w:rPr>
        <w:t>sponsor</w:t>
      </w:r>
      <w:r w:rsidRPr="001E2C93">
        <w:rPr>
          <w:rFonts w:eastAsiaTheme="minorHAnsi" w:cs="Cambria"/>
          <w:color w:val="000000"/>
        </w:rPr>
        <w:t xml:space="preserve"> has stated that this is considered to be a bridging study from the studies which relate to the </w:t>
      </w:r>
      <w:r w:rsidRPr="001E2C93">
        <w:rPr>
          <w:rFonts w:eastAsiaTheme="minorHAnsi" w:cs="Cambria"/>
          <w:i/>
          <w:color w:val="000000"/>
        </w:rPr>
        <w:t>treatment</w:t>
      </w:r>
      <w:r w:rsidRPr="001E2C93">
        <w:rPr>
          <w:rFonts w:eastAsiaTheme="minorHAnsi" w:cs="Cambria"/>
          <w:color w:val="000000"/>
        </w:rPr>
        <w:t xml:space="preserve"> of osteoporosis. However</w:t>
      </w:r>
      <w:r w:rsidRPr="001E2C93">
        <w:rPr>
          <w:rFonts w:eastAsiaTheme="minorHAnsi" w:cs="Cambria"/>
          <w:i/>
          <w:color w:val="000000"/>
        </w:rPr>
        <w:t>, prevention</w:t>
      </w:r>
      <w:r w:rsidRPr="001E2C93">
        <w:rPr>
          <w:rFonts w:eastAsiaTheme="minorHAnsi" w:cs="Cambria"/>
          <w:color w:val="000000"/>
        </w:rPr>
        <w:t xml:space="preserve"> implies that osteoporosis is not present at the time of treatment initiation. Thus, bridging from a treatment study is not relevant.</w:t>
      </w:r>
    </w:p>
    <w:p w:rsidR="00211AE1" w:rsidRPr="00451696" w:rsidRDefault="001E2C93" w:rsidP="00451696">
      <w:pPr>
        <w:ind w:left="720"/>
        <w:rPr>
          <w:i/>
        </w:rPr>
      </w:pPr>
      <w:r w:rsidRPr="00451696">
        <w:rPr>
          <w:i/>
        </w:rPr>
        <w:t>Treatment of osteoporosis associated with sustained systemic glucocorticoid therapy in women and men at increased risk of fracture</w:t>
      </w:r>
      <w:r w:rsidR="00211AE1" w:rsidRPr="00451696">
        <w:rPr>
          <w:i/>
        </w:rPr>
        <w:t>.</w:t>
      </w:r>
    </w:p>
    <w:p w:rsidR="00211AE1" w:rsidRDefault="001E2C93" w:rsidP="001E2C93">
      <w:pPr>
        <w:autoSpaceDE w:val="0"/>
        <w:autoSpaceDN w:val="0"/>
        <w:adjustRightInd w:val="0"/>
        <w:spacing w:before="0" w:after="0" w:line="240" w:lineRule="auto"/>
        <w:rPr>
          <w:rFonts w:eastAsiaTheme="minorHAnsi" w:cs="Cambria"/>
          <w:color w:val="000000"/>
        </w:rPr>
      </w:pPr>
      <w:r w:rsidRPr="001E2C93">
        <w:rPr>
          <w:rFonts w:eastAsiaTheme="minorHAnsi" w:cs="Cambria"/>
          <w:color w:val="000000"/>
        </w:rPr>
        <w:t xml:space="preserve">As outlined </w:t>
      </w:r>
      <w:r w:rsidR="006E615B">
        <w:rPr>
          <w:rFonts w:eastAsiaTheme="minorHAnsi" w:cs="Cambria"/>
          <w:color w:val="000000"/>
        </w:rPr>
        <w:t>above</w:t>
      </w:r>
      <w:r w:rsidRPr="001E2C93">
        <w:rPr>
          <w:rFonts w:eastAsiaTheme="minorHAnsi" w:cs="Cambria"/>
          <w:color w:val="000000"/>
        </w:rPr>
        <w:t>, some uncertainties remain; however some of these will be mitigated with longer term efficacy and safety data due for this study after 24 months follow up</w:t>
      </w:r>
      <w:r w:rsidR="00211AE1">
        <w:rPr>
          <w:rFonts w:eastAsiaTheme="minorHAnsi" w:cs="Cambria"/>
          <w:color w:val="000000"/>
        </w:rPr>
        <w:t>.</w:t>
      </w:r>
    </w:p>
    <w:p w:rsidR="001E2C93" w:rsidRDefault="001E2C93" w:rsidP="001E2C93">
      <w:r w:rsidRPr="001E2C93">
        <w:rPr>
          <w:rFonts w:eastAsiaTheme="minorHAnsi" w:cs="Cambria"/>
          <w:color w:val="000000"/>
        </w:rPr>
        <w:t>The primary endpoint was met showing that denosumab is non-inferior to risedronate and no significant, new safety risks were detected.</w:t>
      </w:r>
    </w:p>
    <w:p w:rsidR="00211AE1" w:rsidRDefault="00B5042C" w:rsidP="00B5042C">
      <w:pPr>
        <w:autoSpaceDE w:val="0"/>
        <w:autoSpaceDN w:val="0"/>
        <w:adjustRightInd w:val="0"/>
        <w:spacing w:before="0" w:after="0" w:line="240" w:lineRule="auto"/>
        <w:rPr>
          <w:rFonts w:eastAsiaTheme="minorHAnsi" w:cs="Cambria"/>
          <w:color w:val="000000"/>
        </w:rPr>
      </w:pPr>
      <w:r w:rsidRPr="00B5042C">
        <w:rPr>
          <w:rFonts w:eastAsiaTheme="minorHAnsi" w:cs="Cambria"/>
          <w:color w:val="000000"/>
        </w:rPr>
        <w:t xml:space="preserve">The wording of the indication is for the </w:t>
      </w:r>
      <w:r w:rsidR="009A3208">
        <w:rPr>
          <w:rFonts w:eastAsiaTheme="minorHAnsi" w:cs="Cambria"/>
          <w:color w:val="000000"/>
        </w:rPr>
        <w:t>‘</w:t>
      </w:r>
      <w:r w:rsidRPr="006E615B">
        <w:rPr>
          <w:rFonts w:eastAsiaTheme="minorHAnsi" w:cs="Cambria"/>
          <w:i/>
          <w:color w:val="000000"/>
        </w:rPr>
        <w:t>treatment</w:t>
      </w:r>
      <w:r w:rsidR="009A3208">
        <w:rPr>
          <w:rFonts w:eastAsiaTheme="minorHAnsi" w:cs="Cambria"/>
          <w:color w:val="000000"/>
        </w:rPr>
        <w:t>’</w:t>
      </w:r>
      <w:r w:rsidRPr="00B5042C">
        <w:rPr>
          <w:rFonts w:eastAsiaTheme="minorHAnsi" w:cs="Cambria"/>
          <w:color w:val="000000"/>
        </w:rPr>
        <w:t xml:space="preserve"> of osteoporosis, however not all subjects enrolled had a BMD consistent with the diagnosis of osteoporosis</w:t>
      </w:r>
      <w:r w:rsidR="00211AE1">
        <w:rPr>
          <w:rFonts w:eastAsiaTheme="minorHAnsi" w:cs="Cambria"/>
          <w:color w:val="000000"/>
        </w:rPr>
        <w:t>.</w:t>
      </w:r>
    </w:p>
    <w:p w:rsidR="001E2C93" w:rsidRDefault="00B5042C" w:rsidP="00B5042C">
      <w:r w:rsidRPr="00B5042C">
        <w:rPr>
          <w:rFonts w:eastAsiaTheme="minorHAnsi" w:cs="Cambria"/>
          <w:color w:val="000000"/>
        </w:rPr>
        <w:t xml:space="preserve">Further information has been requested from the </w:t>
      </w:r>
      <w:r w:rsidR="00A54D03">
        <w:rPr>
          <w:rFonts w:eastAsiaTheme="minorHAnsi" w:cs="Cambria"/>
          <w:color w:val="000000"/>
        </w:rPr>
        <w:t>sponsor</w:t>
      </w:r>
      <w:r w:rsidRPr="00B5042C">
        <w:rPr>
          <w:rFonts w:eastAsiaTheme="minorHAnsi" w:cs="Cambria"/>
          <w:color w:val="000000"/>
        </w:rPr>
        <w:t>.</w:t>
      </w:r>
    </w:p>
    <w:p w:rsidR="00605AD4" w:rsidRPr="00605AD4" w:rsidRDefault="00605AD4" w:rsidP="00605AD4">
      <w:pPr>
        <w:pStyle w:val="Heading3"/>
        <w:rPr>
          <w:rFonts w:eastAsia="Cambria"/>
        </w:rPr>
      </w:pPr>
      <w:bookmarkStart w:id="77" w:name="_Toc16166693"/>
      <w:r w:rsidRPr="00605AD4">
        <w:rPr>
          <w:rFonts w:eastAsia="Cambria"/>
        </w:rPr>
        <w:t xml:space="preserve">First </w:t>
      </w:r>
      <w:r w:rsidR="00ED3EFA">
        <w:rPr>
          <w:rFonts w:eastAsia="Cambria"/>
        </w:rPr>
        <w:t>r</w:t>
      </w:r>
      <w:r w:rsidRPr="00605AD4">
        <w:rPr>
          <w:rFonts w:eastAsia="Cambria"/>
        </w:rPr>
        <w:t xml:space="preserve">ound </w:t>
      </w:r>
      <w:r w:rsidR="00ED3EFA">
        <w:rPr>
          <w:rFonts w:eastAsia="Cambria"/>
        </w:rPr>
        <w:t>r</w:t>
      </w:r>
      <w:r w:rsidRPr="00605AD4">
        <w:rPr>
          <w:rFonts w:eastAsia="Cambria"/>
        </w:rPr>
        <w:t xml:space="preserve">ecommendation </w:t>
      </w:r>
      <w:r w:rsidR="00ED3EFA">
        <w:rPr>
          <w:rFonts w:eastAsia="Cambria"/>
        </w:rPr>
        <w:t>r</w:t>
      </w:r>
      <w:r w:rsidRPr="00605AD4">
        <w:rPr>
          <w:rFonts w:eastAsia="Cambria"/>
        </w:rPr>
        <w:t xml:space="preserve">egarding </w:t>
      </w:r>
      <w:r w:rsidR="00ED3EFA">
        <w:rPr>
          <w:rFonts w:eastAsia="Cambria"/>
        </w:rPr>
        <w:t>a</w:t>
      </w:r>
      <w:r w:rsidRPr="00605AD4">
        <w:rPr>
          <w:rFonts w:eastAsia="Cambria"/>
        </w:rPr>
        <w:t>uthorisation</w:t>
      </w:r>
      <w:bookmarkEnd w:id="77"/>
    </w:p>
    <w:p w:rsidR="00605AD4" w:rsidRPr="00B5042C" w:rsidRDefault="00B5042C" w:rsidP="00B5042C">
      <w:r w:rsidRPr="00B5042C">
        <w:t xml:space="preserve">Further information is sought from the </w:t>
      </w:r>
      <w:r w:rsidR="00A54D03">
        <w:t>sponsor</w:t>
      </w:r>
      <w:r w:rsidRPr="00B5042C">
        <w:t xml:space="preserve"> prior to a recommendation being made.</w:t>
      </w:r>
    </w:p>
    <w:p w:rsidR="00B5042C" w:rsidRDefault="002F5122" w:rsidP="00B5042C">
      <w:pPr>
        <w:pStyle w:val="Heading3"/>
        <w:rPr>
          <w:rFonts w:eastAsia="Cambria"/>
        </w:rPr>
      </w:pPr>
      <w:bookmarkStart w:id="78" w:name="_Toc16166694"/>
      <w:r w:rsidRPr="002F5122">
        <w:t xml:space="preserve">Clinical </w:t>
      </w:r>
      <w:r w:rsidR="00ED3EFA">
        <w:t>q</w:t>
      </w:r>
      <w:r w:rsidRPr="002F5122">
        <w:t>uestions</w:t>
      </w:r>
      <w:r w:rsidR="00B5042C">
        <w:t xml:space="preserve"> and </w:t>
      </w:r>
      <w:r w:rsidR="00ED3EFA">
        <w:rPr>
          <w:rFonts w:eastAsia="Cambria"/>
        </w:rPr>
        <w:t>s</w:t>
      </w:r>
      <w:r w:rsidR="00605AD4" w:rsidRPr="00605AD4">
        <w:rPr>
          <w:rFonts w:eastAsia="Cambria"/>
        </w:rPr>
        <w:t xml:space="preserve">econd </w:t>
      </w:r>
      <w:r w:rsidR="00ED3EFA">
        <w:rPr>
          <w:rFonts w:eastAsia="Cambria"/>
        </w:rPr>
        <w:t>r</w:t>
      </w:r>
      <w:r w:rsidR="00605AD4" w:rsidRPr="00605AD4">
        <w:rPr>
          <w:rFonts w:eastAsia="Cambria"/>
        </w:rPr>
        <w:t xml:space="preserve">ound </w:t>
      </w:r>
      <w:r w:rsidR="00ED3EFA">
        <w:rPr>
          <w:rFonts w:eastAsia="Cambria"/>
        </w:rPr>
        <w:t>e</w:t>
      </w:r>
      <w:r w:rsidR="00605AD4" w:rsidRPr="00605AD4">
        <w:rPr>
          <w:rFonts w:eastAsia="Cambria"/>
        </w:rPr>
        <w:t>valuation</w:t>
      </w:r>
      <w:bookmarkEnd w:id="78"/>
    </w:p>
    <w:p w:rsidR="00106015" w:rsidRDefault="00106015" w:rsidP="00106015">
      <w:pPr>
        <w:pStyle w:val="Heading4"/>
      </w:pPr>
      <w:r>
        <w:t>Administrative questions</w:t>
      </w:r>
    </w:p>
    <w:p w:rsidR="00AF6EF3" w:rsidRPr="00AF6EF3" w:rsidRDefault="00AF6EF3" w:rsidP="00451696">
      <w:pPr>
        <w:pStyle w:val="Heading5"/>
      </w:pPr>
      <w:r>
        <w:t>Question 1</w:t>
      </w:r>
    </w:p>
    <w:p w:rsidR="00211AE1" w:rsidRPr="00451696" w:rsidRDefault="00B5042C" w:rsidP="00451696">
      <w:pPr>
        <w:rPr>
          <w:b/>
          <w:i/>
        </w:rPr>
      </w:pPr>
      <w:r w:rsidRPr="00451696">
        <w:rPr>
          <w:b/>
          <w:i/>
        </w:rPr>
        <w:t xml:space="preserve">According to </w:t>
      </w:r>
      <w:r w:rsidR="00AF6EF3" w:rsidRPr="00451696">
        <w:rPr>
          <w:b/>
          <w:i/>
        </w:rPr>
        <w:t>the submitted dossier</w:t>
      </w:r>
      <w:r w:rsidRPr="00451696">
        <w:rPr>
          <w:b/>
          <w:i/>
        </w:rPr>
        <w:t>, a similar application has not been submitted to the US FDA and the date of submission to be determined. Please explain why a submission to the US FDA has not been made; or if this status has changed, please provide updated information</w:t>
      </w:r>
      <w:r w:rsidR="00211AE1" w:rsidRPr="00451696">
        <w:rPr>
          <w:b/>
          <w:i/>
        </w:rPr>
        <w:t>.</w:t>
      </w:r>
    </w:p>
    <w:p w:rsidR="00B5042C" w:rsidRPr="00B5042C" w:rsidRDefault="006E615B" w:rsidP="00451696">
      <w:pPr>
        <w:pStyle w:val="Heading6"/>
      </w:pPr>
      <w:r>
        <w:t>Sponsor’s response</w:t>
      </w:r>
    </w:p>
    <w:p w:rsidR="00211AE1" w:rsidRDefault="00B5042C" w:rsidP="00B5042C">
      <w:r w:rsidRPr="00B5042C">
        <w:t xml:space="preserve">A similar application was submitted to the US FDA on 28 July 2017; the expected approval date is 28 May 2018. The proposed US prescribing information was submitted with the </w:t>
      </w:r>
      <w:r w:rsidR="00A54D03">
        <w:t>sponsor</w:t>
      </w:r>
      <w:r w:rsidRPr="00B5042C">
        <w:t>’s response</w:t>
      </w:r>
      <w:r w:rsidR="00211AE1">
        <w:t>.</w:t>
      </w:r>
    </w:p>
    <w:p w:rsidR="00B5042C" w:rsidRPr="00B5042C" w:rsidRDefault="006E615B" w:rsidP="00451696">
      <w:pPr>
        <w:pStyle w:val="Heading6"/>
      </w:pPr>
      <w:r>
        <w:t>Evaluator comment</w:t>
      </w:r>
    </w:p>
    <w:p w:rsidR="00B5042C" w:rsidRDefault="00B5042C" w:rsidP="00B5042C">
      <w:r w:rsidRPr="00B5042C">
        <w:t>No further comments.</w:t>
      </w:r>
    </w:p>
    <w:p w:rsidR="00AF6EF3" w:rsidRPr="00B5042C" w:rsidRDefault="00AF6EF3" w:rsidP="00451696">
      <w:pPr>
        <w:pStyle w:val="Heading5"/>
      </w:pPr>
      <w:r>
        <w:lastRenderedPageBreak/>
        <w:t>Question 2</w:t>
      </w:r>
    </w:p>
    <w:p w:rsidR="00211AE1" w:rsidRPr="00451696" w:rsidRDefault="00B5042C" w:rsidP="00451696">
      <w:pPr>
        <w:rPr>
          <w:b/>
          <w:i/>
        </w:rPr>
      </w:pPr>
      <w:r w:rsidRPr="00451696">
        <w:rPr>
          <w:b/>
          <w:i/>
        </w:rPr>
        <w:t xml:space="preserve">According to </w:t>
      </w:r>
      <w:r w:rsidR="00AF6EF3" w:rsidRPr="00451696">
        <w:rPr>
          <w:b/>
          <w:i/>
        </w:rPr>
        <w:t>the submitted dossier</w:t>
      </w:r>
      <w:r w:rsidRPr="00451696">
        <w:rPr>
          <w:b/>
          <w:i/>
        </w:rPr>
        <w:t>, at the time of the current submission, the outcomes of the related EMA and Health Canada applications were still pending. Please provide updated information regarding the status of these applications including relevant product documentation (</w:t>
      </w:r>
      <w:r w:rsidR="0065393E" w:rsidRPr="00451696">
        <w:rPr>
          <w:b/>
          <w:i/>
        </w:rPr>
        <w:t>for example</w:t>
      </w:r>
      <w:r w:rsidRPr="00451696">
        <w:rPr>
          <w:b/>
          <w:i/>
        </w:rPr>
        <w:t xml:space="preserve"> Summary of Product Characteristics) if applicable</w:t>
      </w:r>
      <w:r w:rsidR="00211AE1" w:rsidRPr="00451696">
        <w:rPr>
          <w:b/>
          <w:i/>
        </w:rPr>
        <w:t>.</w:t>
      </w:r>
    </w:p>
    <w:p w:rsidR="00106015" w:rsidRPr="00106015" w:rsidRDefault="006E615B" w:rsidP="00451696">
      <w:pPr>
        <w:pStyle w:val="Heading6"/>
      </w:pPr>
      <w:r>
        <w:t>Sponsor’s response</w:t>
      </w:r>
    </w:p>
    <w:p w:rsidR="00211AE1" w:rsidRDefault="00106015" w:rsidP="00106015">
      <w:pPr>
        <w:pStyle w:val="ListBullet"/>
      </w:pPr>
      <w:r w:rsidRPr="00106015">
        <w:t>Health C</w:t>
      </w:r>
      <w:r w:rsidR="006E615B">
        <w:t>anada: Approval is expected mid-</w:t>
      </w:r>
      <w:r w:rsidR="006E615B" w:rsidRPr="00106015">
        <w:t>February</w:t>
      </w:r>
      <w:r w:rsidRPr="00106015">
        <w:t xml:space="preserve"> 2018 and at the time of response to TGA, the </w:t>
      </w:r>
      <w:r w:rsidR="00A54D03">
        <w:t>sponsor</w:t>
      </w:r>
      <w:r w:rsidRPr="00106015">
        <w:t xml:space="preserve"> had not received requests for additional information</w:t>
      </w:r>
      <w:r w:rsidR="00211AE1">
        <w:t>.</w:t>
      </w:r>
    </w:p>
    <w:p w:rsidR="00106015" w:rsidRPr="00106015" w:rsidRDefault="006E615B" w:rsidP="00106015">
      <w:pPr>
        <w:pStyle w:val="ListBullet"/>
      </w:pPr>
      <w:r>
        <w:t>EMA: a</w:t>
      </w:r>
      <w:r w:rsidR="00106015" w:rsidRPr="00106015">
        <w:t xml:space="preserve"> Committee for Medicinal Products for Human Use (CHMP) Request for Supplementary Information (RSI) was received on 22 June 2017; the </w:t>
      </w:r>
      <w:r w:rsidR="00A54D03">
        <w:t>sponsor</w:t>
      </w:r>
      <w:r>
        <w:t xml:space="preserve"> responded on 07 September 2017</w:t>
      </w:r>
    </w:p>
    <w:p w:rsidR="00106015" w:rsidRPr="00106015" w:rsidRDefault="00106015" w:rsidP="00106015">
      <w:pPr>
        <w:pStyle w:val="ListBullet2"/>
      </w:pPr>
      <w:r w:rsidRPr="00106015">
        <w:t>An EMA ad hoc expert Scientific Advisory Group (SAG) was convened by the EMA CHMP in the context of this extension of indication procedure (23 October 2017),</w:t>
      </w:r>
      <w:r w:rsidR="006E615B">
        <w:t xml:space="preserve"> and final minutes were issued </w:t>
      </w:r>
      <w:r w:rsidRPr="00106015">
        <w:t>1 November 2017. On 10 November 2017, A</w:t>
      </w:r>
      <w:r w:rsidR="001350D8">
        <w:t>mg</w:t>
      </w:r>
      <w:r w:rsidRPr="00106015">
        <w:t>en received an additional CHMP RSI a</w:t>
      </w:r>
      <w:r w:rsidR="006E615B">
        <w:t xml:space="preserve">nd an annotated, redlined </w:t>
      </w:r>
      <w:proofErr w:type="spellStart"/>
      <w:r w:rsidR="006E615B">
        <w:t>SmPC</w:t>
      </w:r>
      <w:proofErr w:type="spellEnd"/>
    </w:p>
    <w:p w:rsidR="00211AE1" w:rsidRDefault="00106015" w:rsidP="00106015">
      <w:pPr>
        <w:pStyle w:val="ListBullet2"/>
        <w:rPr>
          <w:rFonts w:eastAsiaTheme="minorHAnsi" w:cs="Cambria"/>
          <w:color w:val="000000"/>
        </w:rPr>
      </w:pPr>
      <w:r w:rsidRPr="00106015">
        <w:rPr>
          <w:rFonts w:eastAsiaTheme="minorHAnsi" w:cs="Cambria"/>
          <w:color w:val="000000"/>
        </w:rPr>
        <w:t xml:space="preserve">The originally proposed indications (which were consistent with those proposed to the TGA) have not been endorsed by the EMA. The CHMP is currently proposing the following indication: </w:t>
      </w:r>
      <w:r w:rsidRPr="00106015">
        <w:rPr>
          <w:rFonts w:eastAsiaTheme="minorHAnsi" w:cs="Cambria"/>
          <w:i/>
          <w:iCs/>
          <w:color w:val="000000"/>
        </w:rPr>
        <w:t xml:space="preserve">Treatment of osteoporosis associated with long-term systemic glucocorticoid therapy in patients at increased risk of fracture </w:t>
      </w:r>
      <w:r w:rsidRPr="00106015">
        <w:rPr>
          <w:rFonts w:eastAsiaTheme="minorHAnsi" w:cs="Cambria"/>
          <w:color w:val="000000"/>
        </w:rPr>
        <w:t xml:space="preserve">and the </w:t>
      </w:r>
      <w:r w:rsidR="00A54D03">
        <w:rPr>
          <w:rFonts w:eastAsiaTheme="minorHAnsi" w:cs="Cambria"/>
          <w:color w:val="000000"/>
        </w:rPr>
        <w:t>sponsor</w:t>
      </w:r>
      <w:r w:rsidRPr="00106015">
        <w:rPr>
          <w:rFonts w:eastAsiaTheme="minorHAnsi" w:cs="Cambria"/>
          <w:color w:val="000000"/>
        </w:rPr>
        <w:t xml:space="preserve"> intends to propose the following indication in response: </w:t>
      </w:r>
      <w:r w:rsidRPr="00106015">
        <w:rPr>
          <w:rFonts w:eastAsiaTheme="minorHAnsi" w:cs="Cambria"/>
          <w:i/>
          <w:iCs/>
          <w:color w:val="000000"/>
        </w:rPr>
        <w:t>Treatment of bone loss associated with long-term systemic glucocorticoid therapy in adult patients at increased risk of fracture</w:t>
      </w:r>
      <w:r w:rsidR="00211AE1">
        <w:rPr>
          <w:rFonts w:eastAsiaTheme="minorHAnsi" w:cs="Cambria"/>
          <w:color w:val="000000"/>
        </w:rPr>
        <w:t>.</w:t>
      </w:r>
    </w:p>
    <w:p w:rsidR="00211AE1" w:rsidRDefault="00106015" w:rsidP="00106015">
      <w:pPr>
        <w:pStyle w:val="ListBullet2"/>
        <w:rPr>
          <w:rFonts w:eastAsiaTheme="minorHAnsi" w:cs="Cambria"/>
          <w:color w:val="000000"/>
        </w:rPr>
      </w:pPr>
      <w:r w:rsidRPr="00106015">
        <w:rPr>
          <w:rFonts w:eastAsiaTheme="minorHAnsi" w:cs="Cambria"/>
          <w:color w:val="000000"/>
        </w:rPr>
        <w:t xml:space="preserve">The </w:t>
      </w:r>
      <w:r w:rsidR="00A54D03">
        <w:rPr>
          <w:rFonts w:eastAsiaTheme="minorHAnsi" w:cs="Cambria"/>
          <w:color w:val="000000"/>
        </w:rPr>
        <w:t>sponsor</w:t>
      </w:r>
      <w:r w:rsidRPr="00106015">
        <w:rPr>
          <w:rFonts w:eastAsiaTheme="minorHAnsi" w:cs="Cambria"/>
          <w:color w:val="000000"/>
        </w:rPr>
        <w:t xml:space="preserve"> has provided additional documentation relating to the EMA</w:t>
      </w:r>
      <w:r w:rsidR="006E615B">
        <w:rPr>
          <w:rFonts w:eastAsiaTheme="minorHAnsi" w:cs="Cambria"/>
          <w:color w:val="000000"/>
        </w:rPr>
        <w:t xml:space="preserve"> submission;</w:t>
      </w:r>
      <w:r w:rsidRPr="00106015">
        <w:rPr>
          <w:rFonts w:eastAsiaTheme="minorHAnsi" w:cs="Cambria"/>
          <w:color w:val="000000"/>
        </w:rPr>
        <w:t xml:space="preserve"> the </w:t>
      </w:r>
      <w:r w:rsidR="00A54D03">
        <w:rPr>
          <w:rFonts w:eastAsiaTheme="minorHAnsi" w:cs="Cambria"/>
          <w:color w:val="000000"/>
        </w:rPr>
        <w:t>sponsor</w:t>
      </w:r>
      <w:r w:rsidRPr="00106015">
        <w:rPr>
          <w:rFonts w:eastAsiaTheme="minorHAnsi" w:cs="Cambria"/>
          <w:color w:val="000000"/>
        </w:rPr>
        <w:t xml:space="preserve">’s response to the CHMP’s RSI (22 June 2017) and the additional CHMP RSI and annotated, redlined </w:t>
      </w:r>
      <w:proofErr w:type="spellStart"/>
      <w:r w:rsidRPr="00106015">
        <w:rPr>
          <w:rFonts w:eastAsiaTheme="minorHAnsi" w:cs="Cambria"/>
          <w:color w:val="000000"/>
        </w:rPr>
        <w:t>SmPC</w:t>
      </w:r>
      <w:proofErr w:type="spellEnd"/>
      <w:r w:rsidRPr="00106015">
        <w:rPr>
          <w:rFonts w:eastAsiaTheme="minorHAnsi" w:cs="Cambria"/>
          <w:color w:val="000000"/>
        </w:rPr>
        <w:t xml:space="preserve"> (10 November 2017) </w:t>
      </w:r>
      <w:r w:rsidR="006E615B">
        <w:rPr>
          <w:rFonts w:eastAsiaTheme="minorHAnsi" w:cs="Cambria"/>
          <w:color w:val="000000"/>
        </w:rPr>
        <w:t>is provided</w:t>
      </w:r>
      <w:r w:rsidR="00211AE1">
        <w:rPr>
          <w:rFonts w:eastAsiaTheme="minorHAnsi" w:cs="Cambria"/>
          <w:color w:val="000000"/>
        </w:rPr>
        <w:t>.</w:t>
      </w:r>
    </w:p>
    <w:p w:rsidR="00211AE1" w:rsidRDefault="00106015" w:rsidP="00106015">
      <w:pPr>
        <w:pStyle w:val="ListBullet"/>
      </w:pPr>
      <w:r w:rsidRPr="00106015">
        <w:t xml:space="preserve">Other regulatory authorities: the </w:t>
      </w:r>
      <w:r w:rsidR="00A54D03">
        <w:t>sponsor</w:t>
      </w:r>
      <w:r w:rsidRPr="00106015">
        <w:t xml:space="preserve"> has also indicated that a similar application was also filed with </w:t>
      </w:r>
      <w:proofErr w:type="spellStart"/>
      <w:r w:rsidRPr="00106015">
        <w:t>SwissMedic</w:t>
      </w:r>
      <w:proofErr w:type="spellEnd"/>
      <w:r w:rsidRPr="00106015">
        <w:t xml:space="preserve"> on 31 May 2017. The draft Physicians information was submitted with the </w:t>
      </w:r>
      <w:r w:rsidR="00A54D03">
        <w:t>sponsor</w:t>
      </w:r>
      <w:r w:rsidRPr="00106015">
        <w:t>’s response</w:t>
      </w:r>
      <w:r w:rsidR="00211AE1">
        <w:t>.</w:t>
      </w:r>
    </w:p>
    <w:p w:rsidR="00106015" w:rsidRPr="00106015" w:rsidRDefault="00EA17D5" w:rsidP="004228BC">
      <w:pPr>
        <w:pStyle w:val="Heading6"/>
        <w:rPr>
          <w:rFonts w:eastAsiaTheme="minorHAnsi"/>
        </w:rPr>
      </w:pPr>
      <w:r>
        <w:rPr>
          <w:rFonts w:eastAsiaTheme="minorHAnsi"/>
        </w:rPr>
        <w:t>Evaluator comment</w:t>
      </w:r>
    </w:p>
    <w:p w:rsidR="00211AE1" w:rsidRDefault="00106015" w:rsidP="00B5042C">
      <w:r w:rsidRPr="00106015">
        <w:t xml:space="preserve">An updated </w:t>
      </w:r>
      <w:proofErr w:type="spellStart"/>
      <w:r w:rsidRPr="00106015">
        <w:t>SmPC</w:t>
      </w:r>
      <w:proofErr w:type="spellEnd"/>
      <w:r w:rsidRPr="00106015">
        <w:t xml:space="preserve"> (Europe) was not submitted and is presumed to be an error </w:t>
      </w:r>
      <w:proofErr w:type="gramStart"/>
      <w:r w:rsidR="00EA17D5">
        <w:t>A</w:t>
      </w:r>
      <w:proofErr w:type="gramEnd"/>
      <w:r w:rsidRPr="00106015">
        <w:t xml:space="preserve"> similar issue is found for the proposed Canadian product monograph. However, </w:t>
      </w:r>
      <w:proofErr w:type="gramStart"/>
      <w:r w:rsidRPr="00106015">
        <w:t>an</w:t>
      </w:r>
      <w:proofErr w:type="gramEnd"/>
      <w:r w:rsidRPr="00106015">
        <w:t xml:space="preserve"> </w:t>
      </w:r>
      <w:proofErr w:type="spellStart"/>
      <w:r w:rsidRPr="00106015">
        <w:t>SmPC</w:t>
      </w:r>
      <w:proofErr w:type="spellEnd"/>
      <w:r w:rsidRPr="00106015">
        <w:t xml:space="preserve"> was included as part of the EMA correspondence and this version also contains comments from the EMA</w:t>
      </w:r>
      <w:r w:rsidR="00211AE1">
        <w:t>.</w:t>
      </w:r>
    </w:p>
    <w:p w:rsidR="00B5042C" w:rsidRDefault="00B5042C" w:rsidP="00106015">
      <w:pPr>
        <w:pStyle w:val="Heading4"/>
      </w:pPr>
      <w:r>
        <w:t>Pharmacokinetics</w:t>
      </w:r>
    </w:p>
    <w:p w:rsidR="00AF6EF3" w:rsidRPr="00AF6EF3" w:rsidRDefault="00AF6EF3" w:rsidP="003A71A6">
      <w:pPr>
        <w:pStyle w:val="Heading5"/>
      </w:pPr>
      <w:r>
        <w:t>Question 3</w:t>
      </w:r>
    </w:p>
    <w:p w:rsidR="00211AE1" w:rsidRPr="003A71A6" w:rsidRDefault="00B5042C" w:rsidP="003A71A6">
      <w:pPr>
        <w:rPr>
          <w:b/>
          <w:i/>
        </w:rPr>
      </w:pPr>
      <w:r w:rsidRPr="003A71A6">
        <w:rPr>
          <w:b/>
          <w:i/>
        </w:rPr>
        <w:t>Please provide an updated version of Figure 3 which includes data from healthy subjects as indicated was intended</w:t>
      </w:r>
      <w:r w:rsidR="00F96704" w:rsidRPr="003A71A6">
        <w:rPr>
          <w:b/>
          <w:i/>
        </w:rPr>
        <w:t xml:space="preserve"> </w:t>
      </w:r>
      <w:r w:rsidR="00AF6EF3" w:rsidRPr="003A71A6">
        <w:rPr>
          <w:b/>
          <w:i/>
        </w:rPr>
        <w:t>to be includ</w:t>
      </w:r>
      <w:r w:rsidR="003A71A6">
        <w:rPr>
          <w:b/>
          <w:i/>
        </w:rPr>
        <w:t xml:space="preserve">ed </w:t>
      </w:r>
      <w:r w:rsidRPr="003A71A6">
        <w:rPr>
          <w:b/>
          <w:i/>
        </w:rPr>
        <w:t xml:space="preserve">in the original figure in </w:t>
      </w:r>
      <w:r w:rsidR="00A54D03" w:rsidRPr="003A71A6">
        <w:rPr>
          <w:b/>
          <w:i/>
        </w:rPr>
        <w:t>sponsor</w:t>
      </w:r>
      <w:r w:rsidRPr="003A71A6">
        <w:rPr>
          <w:b/>
          <w:i/>
        </w:rPr>
        <w:t xml:space="preserve">’s </w:t>
      </w:r>
      <w:r w:rsidR="00AF6EF3" w:rsidRPr="003A71A6">
        <w:rPr>
          <w:b/>
          <w:i/>
        </w:rPr>
        <w:t>submission.</w:t>
      </w:r>
    </w:p>
    <w:p w:rsidR="00106015" w:rsidRPr="00106015" w:rsidRDefault="00EA17D5" w:rsidP="003A71A6">
      <w:pPr>
        <w:pStyle w:val="Heading6"/>
      </w:pPr>
      <w:r>
        <w:t>Sponsor’s response</w:t>
      </w:r>
    </w:p>
    <w:p w:rsidR="00211AE1" w:rsidRDefault="00106015" w:rsidP="00106015">
      <w:r w:rsidRPr="00106015">
        <w:t xml:space="preserve">Data for healthy volunteers beyond </w:t>
      </w:r>
      <w:r w:rsidR="00092A8B">
        <w:t>Month</w:t>
      </w:r>
      <w:r w:rsidRPr="00106015">
        <w:t xml:space="preserve"> 4 are not available for </w:t>
      </w:r>
      <w:r w:rsidR="0065393E">
        <w:t>Study</w:t>
      </w:r>
      <w:r w:rsidRPr="00106015">
        <w:t xml:space="preserve"> 20050146 and the reference to ‘Healthy Volunteers’ title of the original figure is an error and has been amended. Given the similarity in denosumab exposures between healthy volunteers and subjects with GIOP at other time</w:t>
      </w:r>
      <w:r w:rsidR="00EA17D5">
        <w:t>-points (D</w:t>
      </w:r>
      <w:r w:rsidRPr="00106015">
        <w:t xml:space="preserve">ay 10, and </w:t>
      </w:r>
      <w:r w:rsidR="00092A8B">
        <w:t>Month</w:t>
      </w:r>
      <w:r w:rsidRPr="00106015">
        <w:t>s 3 and 4), these results suggest there is no difference in denosumab exposure between the two populations</w:t>
      </w:r>
      <w:r w:rsidR="00211AE1">
        <w:t>.</w:t>
      </w:r>
    </w:p>
    <w:p w:rsidR="00106015" w:rsidRPr="00106015" w:rsidRDefault="00EA17D5" w:rsidP="003A71A6">
      <w:pPr>
        <w:pStyle w:val="Heading6"/>
      </w:pPr>
      <w:r>
        <w:lastRenderedPageBreak/>
        <w:t>Evaluator comment</w:t>
      </w:r>
    </w:p>
    <w:p w:rsidR="00106015" w:rsidRDefault="00106015" w:rsidP="00106015">
      <w:r w:rsidRPr="00106015">
        <w:t>The lack of comparative data for healthy volunteers beyond 4 months (despite availability of this in diseased populations) is noted.</w:t>
      </w:r>
    </w:p>
    <w:p w:rsidR="00F96704" w:rsidRPr="00106015" w:rsidRDefault="00F96704" w:rsidP="003A71A6">
      <w:pPr>
        <w:pStyle w:val="Heading5"/>
      </w:pPr>
      <w:r>
        <w:t>Question 4</w:t>
      </w:r>
    </w:p>
    <w:p w:rsidR="00211AE1" w:rsidRPr="003A71A6" w:rsidRDefault="00B5042C" w:rsidP="003A71A6">
      <w:pPr>
        <w:rPr>
          <w:b/>
          <w:i/>
        </w:rPr>
      </w:pPr>
      <w:r w:rsidRPr="003A71A6">
        <w:rPr>
          <w:b/>
          <w:i/>
        </w:rPr>
        <w:t>Please explain how the difference in the mean post</w:t>
      </w:r>
      <w:r w:rsidR="00EA17D5" w:rsidRPr="003A71A6">
        <w:rPr>
          <w:b/>
          <w:i/>
        </w:rPr>
        <w:t xml:space="preserve"> </w:t>
      </w:r>
      <w:r w:rsidRPr="003A71A6">
        <w:rPr>
          <w:b/>
          <w:i/>
        </w:rPr>
        <w:t xml:space="preserve">dose concentrations between healthy subjects and subjects with GIOP at </w:t>
      </w:r>
      <w:r w:rsidR="00092A8B" w:rsidRPr="003A71A6">
        <w:rPr>
          <w:b/>
          <w:i/>
        </w:rPr>
        <w:t>Month</w:t>
      </w:r>
      <w:r w:rsidRPr="003A71A6">
        <w:rPr>
          <w:b/>
          <w:i/>
        </w:rPr>
        <w:t xml:space="preserve">s 3 and 4 of </w:t>
      </w:r>
      <w:r w:rsidR="001350D8" w:rsidRPr="003A71A6">
        <w:rPr>
          <w:b/>
          <w:i/>
        </w:rPr>
        <w:t xml:space="preserve">&lt; </w:t>
      </w:r>
      <w:r w:rsidRPr="003A71A6">
        <w:rPr>
          <w:b/>
          <w:i/>
        </w:rPr>
        <w:t xml:space="preserve">9% and </w:t>
      </w:r>
      <w:r w:rsidR="001350D8" w:rsidRPr="003A71A6">
        <w:rPr>
          <w:b/>
          <w:i/>
        </w:rPr>
        <w:t>&lt;</w:t>
      </w:r>
      <w:r w:rsidR="00F96704" w:rsidRPr="003A71A6">
        <w:rPr>
          <w:b/>
          <w:i/>
        </w:rPr>
        <w:t> </w:t>
      </w:r>
      <w:r w:rsidRPr="003A71A6">
        <w:rPr>
          <w:b/>
          <w:i/>
        </w:rPr>
        <w:t xml:space="preserve">36% were derived (as stated in the Summary of Clinical Efficacy); the difference at </w:t>
      </w:r>
      <w:r w:rsidR="00092A8B" w:rsidRPr="003A71A6">
        <w:rPr>
          <w:b/>
          <w:i/>
        </w:rPr>
        <w:t>Month</w:t>
      </w:r>
      <w:r w:rsidRPr="003A71A6">
        <w:rPr>
          <w:b/>
          <w:i/>
        </w:rPr>
        <w:t xml:space="preserve"> 3 does not seem to reflect the difference between the GC-C subjects and healthy subjects (see Table </w:t>
      </w:r>
      <w:r w:rsidR="00B0277C" w:rsidRPr="003A71A6">
        <w:rPr>
          <w:b/>
          <w:i/>
        </w:rPr>
        <w:t>1</w:t>
      </w:r>
      <w:r w:rsidR="009A3208" w:rsidRPr="003A71A6">
        <w:rPr>
          <w:b/>
          <w:i/>
        </w:rPr>
        <w:t>6</w:t>
      </w:r>
      <w:r w:rsidRPr="003A71A6">
        <w:rPr>
          <w:b/>
          <w:i/>
        </w:rPr>
        <w:t>)</w:t>
      </w:r>
      <w:r w:rsidR="00211AE1" w:rsidRPr="003A71A6">
        <w:rPr>
          <w:b/>
          <w:i/>
        </w:rPr>
        <w:t>.</w:t>
      </w:r>
    </w:p>
    <w:p w:rsidR="00B0277C" w:rsidRDefault="00B0277C" w:rsidP="00B0277C">
      <w:pPr>
        <w:pStyle w:val="TableTitle"/>
      </w:pPr>
      <w:r>
        <w:t>Table 1</w:t>
      </w:r>
      <w:r w:rsidR="009A3208">
        <w:t>6</w:t>
      </w:r>
      <w:r>
        <w:t>: Serum concentrations after SC administration of 60 mg denosumab to healthy subjects (Study 20050146) and subjects with glucocorticoid-induced osteoporosis (Study 20101217)</w:t>
      </w:r>
    </w:p>
    <w:p w:rsidR="00B0277C" w:rsidRPr="00B0277C" w:rsidRDefault="00B0277C" w:rsidP="00CE25DB">
      <w:r>
        <w:rPr>
          <w:noProof/>
          <w:lang w:eastAsia="en-AU"/>
        </w:rPr>
        <w:drawing>
          <wp:inline distT="0" distB="0" distL="0" distR="0" wp14:anchorId="4B48D674" wp14:editId="4457ED77">
            <wp:extent cx="4323283" cy="5129554"/>
            <wp:effectExtent l="0" t="0" r="1270" b="0"/>
            <wp:docPr id="29" name="Picture 29" descr="Table 16: Serum concentrations after SC administration of 60 mg denosumab to healthy subjects (Study 20050146) and subjects with glucocorticoid-induced osteoporosis (Study 2010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4423" cy="5130906"/>
                    </a:xfrm>
                    <a:prstGeom prst="rect">
                      <a:avLst/>
                    </a:prstGeom>
                  </pic:spPr>
                </pic:pic>
              </a:graphicData>
            </a:graphic>
          </wp:inline>
        </w:drawing>
      </w:r>
    </w:p>
    <w:p w:rsidR="00106015" w:rsidRPr="00106015" w:rsidRDefault="00106015" w:rsidP="003A71A6">
      <w:pPr>
        <w:pStyle w:val="Heading6"/>
      </w:pPr>
      <w:r w:rsidRPr="00106015">
        <w:t>Sponsor’s response</w:t>
      </w:r>
    </w:p>
    <w:p w:rsidR="00211AE1" w:rsidRDefault="00106015" w:rsidP="00106015">
      <w:r w:rsidRPr="00106015">
        <w:t xml:space="preserve">The previously stated calculated exposure difference between heathy volunteers and subjects with GIOP at </w:t>
      </w:r>
      <w:r w:rsidR="00092A8B">
        <w:t>Month</w:t>
      </w:r>
      <w:r w:rsidRPr="00106015">
        <w:t xml:space="preserve"> 3 in the Summary Clinical Efficacy has been amended to ‘</w:t>
      </w:r>
      <w:r w:rsidR="00EA17D5">
        <w:t>&lt; </w:t>
      </w:r>
      <w:r w:rsidRPr="00106015">
        <w:t>35%’</w:t>
      </w:r>
      <w:r w:rsidR="00211AE1">
        <w:t>.</w:t>
      </w:r>
    </w:p>
    <w:p w:rsidR="00106015" w:rsidRPr="00106015" w:rsidRDefault="00EA17D5" w:rsidP="003A71A6">
      <w:pPr>
        <w:pStyle w:val="Heading6"/>
      </w:pPr>
      <w:r>
        <w:t>Evaluator comment</w:t>
      </w:r>
    </w:p>
    <w:p w:rsidR="00106015" w:rsidRDefault="00106015" w:rsidP="00106015">
      <w:r w:rsidRPr="00106015">
        <w:t>Updated wording is noted; no further comment.</w:t>
      </w:r>
    </w:p>
    <w:p w:rsidR="00F96704" w:rsidRPr="00106015" w:rsidRDefault="00F96704" w:rsidP="003A71A6">
      <w:pPr>
        <w:pStyle w:val="Heading5"/>
      </w:pPr>
      <w:r>
        <w:lastRenderedPageBreak/>
        <w:t>Question 5</w:t>
      </w:r>
    </w:p>
    <w:p w:rsidR="00B5042C" w:rsidRPr="003A71A6" w:rsidRDefault="00B5042C" w:rsidP="003A71A6">
      <w:pPr>
        <w:rPr>
          <w:b/>
          <w:i/>
        </w:rPr>
      </w:pPr>
      <w:r w:rsidRPr="003A71A6">
        <w:rPr>
          <w:b/>
          <w:i/>
        </w:rPr>
        <w:t xml:space="preserve">The current denosumab PI states that the denosumab half-life is 26 </w:t>
      </w:r>
      <w:proofErr w:type="gramStart"/>
      <w:r w:rsidRPr="003A71A6">
        <w:rPr>
          <w:b/>
          <w:i/>
        </w:rPr>
        <w:t>days,</w:t>
      </w:r>
      <w:proofErr w:type="gramEnd"/>
      <w:r w:rsidRPr="003A71A6">
        <w:rPr>
          <w:b/>
          <w:i/>
        </w:rPr>
        <w:t xml:space="preserve"> however the mean half-life across the combined GIOP subpopulations was 17.5 days. Please provide an explanation fo</w:t>
      </w:r>
      <w:r w:rsidR="00106015" w:rsidRPr="003A71A6">
        <w:rPr>
          <w:b/>
          <w:i/>
        </w:rPr>
        <w:t>r the difference seen.</w:t>
      </w:r>
    </w:p>
    <w:p w:rsidR="00106015" w:rsidRPr="00106015" w:rsidRDefault="00106015" w:rsidP="003A71A6">
      <w:pPr>
        <w:pStyle w:val="Heading6"/>
      </w:pPr>
      <w:r w:rsidRPr="00106015">
        <w:t>Sponsor’s response</w:t>
      </w:r>
    </w:p>
    <w:p w:rsidR="00211AE1" w:rsidRDefault="00106015" w:rsidP="00106015">
      <w:r w:rsidRPr="00106015">
        <w:t xml:space="preserve">The mean denosumab half-life of 26 days, as described in the Prolia </w:t>
      </w:r>
      <w:r w:rsidR="00EA17D5">
        <w:t>PI</w:t>
      </w:r>
      <w:r w:rsidRPr="00106015">
        <w:t>, was derived from data which included time</w:t>
      </w:r>
      <w:r w:rsidR="00EA17D5">
        <w:t>-</w:t>
      </w:r>
      <w:r w:rsidRPr="00106015">
        <w:t xml:space="preserve">points immediately following the </w:t>
      </w:r>
      <w:proofErr w:type="spellStart"/>
      <w:r w:rsidR="0065393E" w:rsidRPr="007C14CD">
        <w:t>C</w:t>
      </w:r>
      <w:r w:rsidR="0065393E" w:rsidRPr="0065393E">
        <w:rPr>
          <w:vertAlign w:val="subscript"/>
        </w:rPr>
        <w:t>max</w:t>
      </w:r>
      <w:proofErr w:type="spellEnd"/>
      <w:r w:rsidRPr="00106015">
        <w:t xml:space="preserve"> primarily representing the beta-phase half-life (or elimination phase)</w:t>
      </w:r>
      <w:r w:rsidR="00211AE1">
        <w:t>.</w:t>
      </w:r>
    </w:p>
    <w:p w:rsidR="00211AE1" w:rsidRDefault="00106015" w:rsidP="00106015">
      <w:r w:rsidRPr="00106015">
        <w:t xml:space="preserve">The mean half-life value of 17.4 to 17.6 days for the GC-C and GC-I subjects, respectively, was based on PK concentrations measured at </w:t>
      </w:r>
      <w:r w:rsidR="00092A8B">
        <w:t>Month</w:t>
      </w:r>
      <w:r w:rsidRPr="00106015">
        <w:t xml:space="preserve">s 3, 4 and 6 </w:t>
      </w:r>
      <w:r w:rsidR="00DE1EFB">
        <w:t>(</w:t>
      </w:r>
      <w:r w:rsidRPr="00106015">
        <w:t>representing the beta-phase as well as, in part, the gamma-phase (terminal) half-life profile</w:t>
      </w:r>
      <w:r w:rsidR="00DE1EFB">
        <w:t>)</w:t>
      </w:r>
      <w:r w:rsidRPr="00106015">
        <w:t xml:space="preserve"> and did not include time</w:t>
      </w:r>
      <w:r w:rsidR="00EA17D5">
        <w:t>-</w:t>
      </w:r>
      <w:r w:rsidRPr="00106015">
        <w:t xml:space="preserve">points immediately following </w:t>
      </w:r>
      <w:proofErr w:type="spellStart"/>
      <w:r w:rsidR="0065393E" w:rsidRPr="007C14CD">
        <w:t>C</w:t>
      </w:r>
      <w:r w:rsidR="0065393E" w:rsidRPr="0065393E">
        <w:rPr>
          <w:vertAlign w:val="subscript"/>
        </w:rPr>
        <w:t>max</w:t>
      </w:r>
      <w:proofErr w:type="spellEnd"/>
      <w:r w:rsidR="00211AE1">
        <w:t>.</w:t>
      </w:r>
    </w:p>
    <w:p w:rsidR="00211AE1" w:rsidRDefault="00106015" w:rsidP="00106015">
      <w:r w:rsidRPr="00106015">
        <w:t>Denosumab has nonlinear PK properties; it is cleared faster at lower concentrations, due to target-mediated drug disposition. The differences in the PK time</w:t>
      </w:r>
      <w:r w:rsidR="00EA17D5">
        <w:t>-</w:t>
      </w:r>
      <w:r w:rsidRPr="00106015">
        <w:t>points used for the half-life calculation is the reason for the noted discrepancy</w:t>
      </w:r>
      <w:r w:rsidR="00211AE1">
        <w:t>.</w:t>
      </w:r>
    </w:p>
    <w:p w:rsidR="00106015" w:rsidRPr="00106015" w:rsidRDefault="00EA17D5" w:rsidP="003A71A6">
      <w:pPr>
        <w:pStyle w:val="Heading6"/>
      </w:pPr>
      <w:r>
        <w:t>Evaluator comment</w:t>
      </w:r>
    </w:p>
    <w:p w:rsidR="00106015" w:rsidRPr="00106015" w:rsidRDefault="00106015" w:rsidP="00106015">
      <w:r w:rsidRPr="00106015">
        <w:t>No further comment.</w:t>
      </w:r>
    </w:p>
    <w:p w:rsidR="00B5042C" w:rsidRPr="00B5042C" w:rsidRDefault="00EA17D5" w:rsidP="00B5042C">
      <w:pPr>
        <w:pStyle w:val="Heading4"/>
      </w:pPr>
      <w:r>
        <w:t>Pharmacodynamics</w:t>
      </w:r>
    </w:p>
    <w:p w:rsidR="00B5042C" w:rsidRPr="00B5042C" w:rsidRDefault="00B5042C" w:rsidP="00B5042C">
      <w:r w:rsidRPr="00B5042C">
        <w:t>No questions</w:t>
      </w:r>
      <w:r w:rsidR="00F96704">
        <w:t>.</w:t>
      </w:r>
    </w:p>
    <w:p w:rsidR="00B5042C" w:rsidRDefault="00B5042C" w:rsidP="00B5042C">
      <w:pPr>
        <w:pStyle w:val="Heading4"/>
      </w:pPr>
      <w:r w:rsidRPr="00B5042C">
        <w:t>Ef</w:t>
      </w:r>
      <w:r w:rsidR="00EA17D5">
        <w:t>ficacy</w:t>
      </w:r>
    </w:p>
    <w:p w:rsidR="00F96704" w:rsidRPr="00F96704" w:rsidRDefault="00F96704" w:rsidP="003A71A6">
      <w:pPr>
        <w:pStyle w:val="Heading5"/>
      </w:pPr>
      <w:r>
        <w:t>Question 6</w:t>
      </w:r>
    </w:p>
    <w:p w:rsidR="00B5042C" w:rsidRPr="003A71A6" w:rsidRDefault="00B5042C" w:rsidP="003A71A6">
      <w:pPr>
        <w:rPr>
          <w:b/>
          <w:i/>
        </w:rPr>
      </w:pPr>
      <w:r w:rsidRPr="003A71A6">
        <w:rPr>
          <w:b/>
          <w:i/>
        </w:rPr>
        <w:t>Provide information regarding the duration of use and dose of corticosteroids during the trial for the</w:t>
      </w:r>
      <w:r w:rsidR="00106015" w:rsidRPr="003A71A6">
        <w:rPr>
          <w:b/>
          <w:i/>
        </w:rPr>
        <w:t xml:space="preserve"> two subpopulations and by arm.</w:t>
      </w:r>
    </w:p>
    <w:p w:rsidR="00106015" w:rsidRPr="00106015" w:rsidRDefault="00EA17D5" w:rsidP="003A71A6">
      <w:pPr>
        <w:pStyle w:val="Heading6"/>
      </w:pPr>
      <w:r>
        <w:t>Sponsor’s response</w:t>
      </w:r>
    </w:p>
    <w:p w:rsidR="00211AE1" w:rsidRDefault="00106015" w:rsidP="00106015">
      <w:r w:rsidRPr="00106015">
        <w:t>The pattern of glucocorticoids usage in Study 20101217 was similar between the denosumab and risedronate treatment g</w:t>
      </w:r>
      <w:r w:rsidR="00EA17D5">
        <w:t xml:space="preserve">roups for both subpopulations; </w:t>
      </w:r>
      <w:r w:rsidR="00B0277C">
        <w:t>see Table 1</w:t>
      </w:r>
      <w:r w:rsidR="009A3208">
        <w:t>7</w:t>
      </w:r>
      <w:r w:rsidR="00B0277C">
        <w:t>, Table 1</w:t>
      </w:r>
      <w:r w:rsidR="009A3208">
        <w:t>8</w:t>
      </w:r>
      <w:r w:rsidRPr="00106015">
        <w:t>,</w:t>
      </w:r>
      <w:r w:rsidR="00B0277C">
        <w:t xml:space="preserve"> Table 1</w:t>
      </w:r>
      <w:r w:rsidR="009A3208">
        <w:t>9</w:t>
      </w:r>
      <w:r w:rsidR="00B0277C">
        <w:t xml:space="preserve"> and Table </w:t>
      </w:r>
      <w:r w:rsidR="009A3208">
        <w:t>20</w:t>
      </w:r>
      <w:r w:rsidR="00211AE1">
        <w:t>.</w:t>
      </w:r>
    </w:p>
    <w:p w:rsidR="00106015" w:rsidRDefault="00106015" w:rsidP="00106015">
      <w:r w:rsidRPr="00106015">
        <w:t xml:space="preserve">The </w:t>
      </w:r>
      <w:r w:rsidR="00A54D03">
        <w:t>sponsor</w:t>
      </w:r>
      <w:r w:rsidRPr="00106015">
        <w:t xml:space="preserve"> noted that the average duration of </w:t>
      </w:r>
      <w:r w:rsidR="00DE1EFB">
        <w:t>glucocorticoid</w:t>
      </w:r>
      <w:r w:rsidR="00DE1EFB" w:rsidRPr="00106015">
        <w:t xml:space="preserve"> </w:t>
      </w:r>
      <w:r w:rsidR="00DE1EFB">
        <w:t>(</w:t>
      </w:r>
      <w:r w:rsidRPr="00106015">
        <w:t>GC</w:t>
      </w:r>
      <w:r w:rsidR="00DE1EFB">
        <w:t>) therapy was nearly 1 </w:t>
      </w:r>
      <w:r w:rsidRPr="00106015">
        <w:t xml:space="preserve">year, a substantial proportion of study subjects remained on GC therapy through </w:t>
      </w:r>
      <w:r w:rsidR="00092A8B">
        <w:t>Month</w:t>
      </w:r>
      <w:r w:rsidRPr="00106015">
        <w:t xml:space="preserve"> 12, a majority of study subjects remained on a d</w:t>
      </w:r>
      <w:r w:rsidR="00EA17D5">
        <w:t xml:space="preserve">aily glucocorticoid (prednisone </w:t>
      </w:r>
      <w:r w:rsidRPr="00106015">
        <w:t xml:space="preserve">equivalent) dose </w:t>
      </w:r>
      <w:r w:rsidR="001350D8">
        <w:t xml:space="preserve">≥ </w:t>
      </w:r>
      <w:r w:rsidRPr="00106015">
        <w:t>7.5</w:t>
      </w:r>
      <w:r w:rsidR="001350D8">
        <w:t xml:space="preserve"> mg</w:t>
      </w:r>
      <w:r w:rsidRPr="00106015">
        <w:t xml:space="preserve"> and the percentage of subjects on a d</w:t>
      </w:r>
      <w:r w:rsidR="00EA17D5">
        <w:t xml:space="preserve">aily glucocorticoid (prednisone </w:t>
      </w:r>
      <w:r w:rsidRPr="00106015">
        <w:t>equivalent) dose of at least 7.5</w:t>
      </w:r>
      <w:r w:rsidR="001350D8">
        <w:t xml:space="preserve"> mg</w:t>
      </w:r>
      <w:r w:rsidRPr="00106015">
        <w:t xml:space="preserve"> at </w:t>
      </w:r>
      <w:r w:rsidR="00092A8B">
        <w:t>Month</w:t>
      </w:r>
      <w:r w:rsidRPr="00106015">
        <w:t xml:space="preserve"> 12 was similar between the denosumab and risedronate treatment groups in both the GC-C and GC-I subpopulations.</w:t>
      </w:r>
    </w:p>
    <w:p w:rsidR="00106015" w:rsidRPr="003A71A6" w:rsidRDefault="00106015" w:rsidP="003A71A6">
      <w:pPr>
        <w:rPr>
          <w:i/>
        </w:rPr>
      </w:pPr>
      <w:r w:rsidRPr="003A71A6">
        <w:rPr>
          <w:i/>
        </w:rPr>
        <w:t>Glucocorticoid-initia</w:t>
      </w:r>
      <w:r w:rsidR="00624032" w:rsidRPr="003A71A6">
        <w:rPr>
          <w:i/>
        </w:rPr>
        <w:t xml:space="preserve">ting (GC-I) </w:t>
      </w:r>
      <w:r w:rsidR="00F96704" w:rsidRPr="003A71A6">
        <w:rPr>
          <w:i/>
        </w:rPr>
        <w:t>subpopulation</w:t>
      </w:r>
    </w:p>
    <w:p w:rsidR="00106015" w:rsidRDefault="00106015" w:rsidP="00106015">
      <w:pPr>
        <w:pStyle w:val="TableTitle"/>
      </w:pPr>
      <w:r>
        <w:lastRenderedPageBreak/>
        <w:t xml:space="preserve">Table </w:t>
      </w:r>
      <w:r w:rsidR="00B0277C">
        <w:t>1</w:t>
      </w:r>
      <w:r w:rsidR="009A3208">
        <w:t>7</w:t>
      </w:r>
      <w:r w:rsidR="00B0277C">
        <w:t>:</w:t>
      </w:r>
      <w:r>
        <w:t xml:space="preserve"> Glucocorticoid-initiating (GC-I) </w:t>
      </w:r>
      <w:r w:rsidR="00F96704">
        <w:t>subpopulation</w:t>
      </w:r>
      <w:r>
        <w:t xml:space="preserve">: duration of glucocorticoid medications use between </w:t>
      </w:r>
      <w:r w:rsidR="00F96704">
        <w:t xml:space="preserve">Baseline </w:t>
      </w:r>
      <w:r>
        <w:t xml:space="preserve">and 12 months </w:t>
      </w:r>
      <w:r w:rsidR="00EA17D5">
        <w:t>(</w:t>
      </w:r>
      <w:r w:rsidR="00F96704">
        <w:t>full analysis set</w:t>
      </w:r>
      <w:r w:rsidR="00EA17D5">
        <w:t xml:space="preserve">; </w:t>
      </w:r>
      <w:r w:rsidR="00F96704">
        <w:t xml:space="preserve">Study </w:t>
      </w:r>
      <w:r w:rsidR="00EA17D5">
        <w:t>20101217</w:t>
      </w:r>
      <w:r w:rsidR="00F96704">
        <w:t>,</w:t>
      </w:r>
      <w:r w:rsidR="00EA17D5">
        <w:t xml:space="preserve"> 12 </w:t>
      </w:r>
      <w:r>
        <w:t xml:space="preserve">month </w:t>
      </w:r>
      <w:r w:rsidR="00F96704">
        <w:t xml:space="preserve">primary </w:t>
      </w:r>
      <w:r>
        <w:t>Analysis)</w:t>
      </w:r>
    </w:p>
    <w:p w:rsidR="00106015" w:rsidRDefault="00106015" w:rsidP="00106015">
      <w:r>
        <w:rPr>
          <w:noProof/>
          <w:lang w:eastAsia="en-AU"/>
        </w:rPr>
        <w:drawing>
          <wp:inline distT="0" distB="0" distL="0" distR="0" wp14:anchorId="5FD25746" wp14:editId="236B0C32">
            <wp:extent cx="5400040" cy="3447718"/>
            <wp:effectExtent l="0" t="0" r="0" b="635"/>
            <wp:docPr id="25" name="Picture 25" descr="Table 17: Glucocorticoid-initiating (GC-I) Subpopulation: duration of glucocorticoid medications use between baseline and 12 months (Full Analysis Set;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447718"/>
                    </a:xfrm>
                    <a:prstGeom prst="rect">
                      <a:avLst/>
                    </a:prstGeom>
                  </pic:spPr>
                </pic:pic>
              </a:graphicData>
            </a:graphic>
          </wp:inline>
        </w:drawing>
      </w:r>
    </w:p>
    <w:p w:rsidR="00106015" w:rsidRPr="00106015" w:rsidRDefault="00106015" w:rsidP="00106015">
      <w:pPr>
        <w:pStyle w:val="TableTitle"/>
      </w:pPr>
      <w:r w:rsidRPr="00106015">
        <w:t xml:space="preserve">Table </w:t>
      </w:r>
      <w:r w:rsidR="00B0277C">
        <w:t>17:</w:t>
      </w:r>
      <w:r w:rsidRPr="00106015">
        <w:t xml:space="preserve"> Glucocorticoid-initiating (GC-I) </w:t>
      </w:r>
      <w:r w:rsidR="00865DFA" w:rsidRPr="00106015">
        <w:t xml:space="preserve">subpopulation: use of glucocorticoid medications </w:t>
      </w:r>
      <w:r w:rsidRPr="00106015">
        <w:t xml:space="preserve">at Baseline at 12 Months (Full Analysis Set; 20101217 12 month Primary </w:t>
      </w:r>
      <w:r w:rsidR="00F96704">
        <w:t>a</w:t>
      </w:r>
      <w:r w:rsidR="00F96704" w:rsidRPr="00106015">
        <w:t>nalysis</w:t>
      </w:r>
      <w:r w:rsidRPr="00106015">
        <w:t>)</w:t>
      </w:r>
    </w:p>
    <w:p w:rsidR="00106015" w:rsidRDefault="00106015" w:rsidP="00106015">
      <w:r>
        <w:rPr>
          <w:noProof/>
          <w:lang w:eastAsia="en-AU"/>
        </w:rPr>
        <w:drawing>
          <wp:inline distT="0" distB="0" distL="0" distR="0" wp14:anchorId="5CBFA5FD" wp14:editId="3F4FD438">
            <wp:extent cx="5400040" cy="2126554"/>
            <wp:effectExtent l="0" t="0" r="0" b="7620"/>
            <wp:docPr id="26" name="Picture 26" descr="Table 18: Glucocorticoid-initiating (GC-I) Subpopulation: Use of Glucocorticoid Medications at Baseline at 12 Months (Full Analysis Set;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126554"/>
                    </a:xfrm>
                    <a:prstGeom prst="rect">
                      <a:avLst/>
                    </a:prstGeom>
                  </pic:spPr>
                </pic:pic>
              </a:graphicData>
            </a:graphic>
          </wp:inline>
        </w:drawing>
      </w:r>
    </w:p>
    <w:p w:rsidR="00106015" w:rsidRPr="003A71A6" w:rsidRDefault="00106015" w:rsidP="003A71A6">
      <w:pPr>
        <w:rPr>
          <w:i/>
        </w:rPr>
      </w:pPr>
      <w:r w:rsidRPr="003A71A6">
        <w:rPr>
          <w:i/>
        </w:rPr>
        <w:t>Glucocorticoid-c</w:t>
      </w:r>
      <w:r w:rsidR="00624032" w:rsidRPr="003A71A6">
        <w:rPr>
          <w:i/>
        </w:rPr>
        <w:t xml:space="preserve">ontinuing (GC-C) </w:t>
      </w:r>
      <w:r w:rsidR="00F96704" w:rsidRPr="003A71A6">
        <w:rPr>
          <w:i/>
        </w:rPr>
        <w:t>subpopulation</w:t>
      </w:r>
    </w:p>
    <w:p w:rsidR="00106015" w:rsidRPr="00106015" w:rsidRDefault="00B0277C" w:rsidP="00106015">
      <w:pPr>
        <w:pStyle w:val="TableTitle"/>
      </w:pPr>
      <w:r>
        <w:lastRenderedPageBreak/>
        <w:t>Table 1</w:t>
      </w:r>
      <w:r w:rsidR="009A3208">
        <w:t>9</w:t>
      </w:r>
      <w:r>
        <w:t>:</w:t>
      </w:r>
      <w:r w:rsidR="00106015" w:rsidRPr="00106015">
        <w:t xml:space="preserve"> Glucocorticoid-continuing (GC-C) </w:t>
      </w:r>
      <w:r w:rsidR="00F96704">
        <w:t>s</w:t>
      </w:r>
      <w:r w:rsidR="00F96704" w:rsidRPr="00106015">
        <w:t>ubpopulation</w:t>
      </w:r>
      <w:r w:rsidR="00106015" w:rsidRPr="00106015">
        <w:t xml:space="preserve">: duration of glucocorticoid medications use between </w:t>
      </w:r>
      <w:r w:rsidR="00F96704">
        <w:t>B</w:t>
      </w:r>
      <w:r w:rsidR="00F96704" w:rsidRPr="00106015">
        <w:t xml:space="preserve">aseline </w:t>
      </w:r>
      <w:r w:rsidR="00106015" w:rsidRPr="00106015">
        <w:t xml:space="preserve">and 12 months </w:t>
      </w:r>
      <w:r>
        <w:t>(</w:t>
      </w:r>
      <w:r w:rsidR="00F96704">
        <w:t xml:space="preserve">full analysis set; Study 20101217, 12 </w:t>
      </w:r>
      <w:r w:rsidR="00F96704" w:rsidRPr="00106015">
        <w:t>month primary analysis)</w:t>
      </w:r>
    </w:p>
    <w:p w:rsidR="00106015" w:rsidRDefault="00106015" w:rsidP="00106015">
      <w:r>
        <w:rPr>
          <w:noProof/>
          <w:lang w:eastAsia="en-AU"/>
        </w:rPr>
        <w:drawing>
          <wp:inline distT="0" distB="0" distL="0" distR="0" wp14:anchorId="748D451A" wp14:editId="6AA0F1B3">
            <wp:extent cx="4608576" cy="2949784"/>
            <wp:effectExtent l="0" t="0" r="1905" b="3175"/>
            <wp:docPr id="27" name="Picture 27" descr="Table 19: Glucocorticoid-continuing (GC-C) Subpopulation: duration of glucocorticoid medications use between baseline and 12 months (Full Analysis Set;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13378" cy="2952858"/>
                    </a:xfrm>
                    <a:prstGeom prst="rect">
                      <a:avLst/>
                    </a:prstGeom>
                  </pic:spPr>
                </pic:pic>
              </a:graphicData>
            </a:graphic>
          </wp:inline>
        </w:drawing>
      </w:r>
    </w:p>
    <w:p w:rsidR="00106015" w:rsidRDefault="00B0277C" w:rsidP="001773DF">
      <w:pPr>
        <w:pStyle w:val="TableTitle"/>
      </w:pPr>
      <w:r>
        <w:t xml:space="preserve">Table </w:t>
      </w:r>
      <w:r w:rsidR="009A3208">
        <w:t>20</w:t>
      </w:r>
      <w:r>
        <w:t>:</w:t>
      </w:r>
      <w:r w:rsidR="001773DF">
        <w:t xml:space="preserve"> Glucocorticoid-continuing (GC-C) Subpopulation: </w:t>
      </w:r>
      <w:r w:rsidR="00865DFA">
        <w:t xml:space="preserve">use of glucocorticoid medications </w:t>
      </w:r>
      <w:r w:rsidR="001773DF">
        <w:t xml:space="preserve">at Baseline and at 12 </w:t>
      </w:r>
      <w:r w:rsidR="00F96704">
        <w:t xml:space="preserve">months </w:t>
      </w:r>
      <w:r w:rsidR="001773DF">
        <w:t>(</w:t>
      </w:r>
      <w:r w:rsidR="00F96704">
        <w:t>full analysis set; Study 20101217, 12 month primary analysis)</w:t>
      </w:r>
    </w:p>
    <w:p w:rsidR="001773DF" w:rsidRDefault="001773DF" w:rsidP="00106015">
      <w:r>
        <w:rPr>
          <w:noProof/>
          <w:lang w:eastAsia="en-AU"/>
        </w:rPr>
        <w:drawing>
          <wp:inline distT="0" distB="0" distL="0" distR="0" wp14:anchorId="3B655896" wp14:editId="3A04564C">
            <wp:extent cx="5400040" cy="2172708"/>
            <wp:effectExtent l="0" t="0" r="0" b="0"/>
            <wp:docPr id="28" name="Picture 28" descr="Table 20: Glucocorticoid-continuing (GC-C) Subpopulation: Use of Glucocorticoid Medications at Baseline and at 12 Months (Full Analysis Set;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172708"/>
                    </a:xfrm>
                    <a:prstGeom prst="rect">
                      <a:avLst/>
                    </a:prstGeom>
                  </pic:spPr>
                </pic:pic>
              </a:graphicData>
            </a:graphic>
          </wp:inline>
        </w:drawing>
      </w:r>
    </w:p>
    <w:p w:rsidR="001773DF" w:rsidRPr="001773DF" w:rsidRDefault="001773DF" w:rsidP="003A71A6">
      <w:pPr>
        <w:pStyle w:val="Heading6"/>
      </w:pPr>
      <w:r w:rsidRPr="001773DF">
        <w:t>Evaluator comment</w:t>
      </w:r>
    </w:p>
    <w:p w:rsidR="00211AE1" w:rsidRDefault="00EA17D5" w:rsidP="001773DF">
      <w:r>
        <w:t>The e</w:t>
      </w:r>
      <w:r w:rsidR="001773DF" w:rsidRPr="001773DF">
        <w:t>valuator notes some differences between the two arms in terms of glucocorticoid therapy during the study in both subpopulations, especially in the GC-I subpopulation</w:t>
      </w:r>
      <w:r w:rsidR="00211AE1">
        <w:t>.</w:t>
      </w:r>
    </w:p>
    <w:p w:rsidR="00211AE1" w:rsidRDefault="001773DF" w:rsidP="001773DF">
      <w:r w:rsidRPr="001773DF">
        <w:t xml:space="preserve">For example, with respect to the GC-I subpopulation, more subjects on the denosumab (9.7%) arm treated for 3 or fewer months compared to risedronate arm (5.5%). At baseline, more subjects on the risedronate arm were on a lower dose (7.5 to </w:t>
      </w:r>
      <w:r w:rsidR="001350D8">
        <w:t xml:space="preserve">&lt; </w:t>
      </w:r>
      <w:r w:rsidRPr="001773DF">
        <w:t>10</w:t>
      </w:r>
      <w:r w:rsidR="001350D8">
        <w:t xml:space="preserve"> mg</w:t>
      </w:r>
      <w:r w:rsidRPr="001773DF">
        <w:t xml:space="preserve"> prednisolone equivalent) compared to the denosumab arm (29.0% compared to 22.8% respectively); at 12 months, more subjects on the denosumab were on a lower dose overall (0 to </w:t>
      </w:r>
      <w:r w:rsidR="001350D8">
        <w:t xml:space="preserve">&lt; </w:t>
      </w:r>
      <w:r w:rsidRPr="001773DF">
        <w:t>7.5</w:t>
      </w:r>
      <w:r w:rsidR="001350D8">
        <w:t xml:space="preserve"> mg</w:t>
      </w:r>
      <w:r w:rsidRPr="001773DF">
        <w:t>; 40.0% and 35.9% respectively). It is also noted that 49% of subjects on the risedronate arm and 40% on the denosumab arm in the GC-I subpopulation were treated for 12 months or more between baseline and 12 months, however it is unclear what the true difference is given that this is a 12 month analysis. These differences contribute further to the uncertainty with regards to the outcomes in the GC-I subpopulation</w:t>
      </w:r>
      <w:r w:rsidR="00211AE1">
        <w:t>.</w:t>
      </w:r>
    </w:p>
    <w:p w:rsidR="00F96704" w:rsidRDefault="001773DF" w:rsidP="001773DF">
      <w:r w:rsidRPr="001773DF">
        <w:lastRenderedPageBreak/>
        <w:t xml:space="preserve">Overall, it is noted that the average duration of GC treatment during the study was relatively long (mean ranged from 316.8 to 335.3 days </w:t>
      </w:r>
      <w:r w:rsidR="00EA17D5">
        <w:t>across the four arms) and at 12 </w:t>
      </w:r>
      <w:r w:rsidRPr="001773DF">
        <w:t>months, although the average dose of GC (prednisolone equivalent) had decreased from baseline, the mean dose remained greater than 7.5</w:t>
      </w:r>
      <w:r w:rsidR="001350D8">
        <w:t xml:space="preserve"> mg</w:t>
      </w:r>
      <w:r w:rsidR="00EA17D5">
        <w:t xml:space="preserve"> on all arms (range 8.10 to</w:t>
      </w:r>
      <w:r w:rsidRPr="001773DF">
        <w:t xml:space="preserve"> 9.74</w:t>
      </w:r>
      <w:r w:rsidR="00EA17D5">
        <w:t> </w:t>
      </w:r>
      <w:r w:rsidR="001350D8">
        <w:t>mg</w:t>
      </w:r>
      <w:r w:rsidRPr="001773DF">
        <w:t xml:space="preserve"> across the four arms). This data helps to address issues regarding the potential for early cessation of glucocorticoids to contribute to BMD recovery.</w:t>
      </w:r>
    </w:p>
    <w:p w:rsidR="00F96704" w:rsidRPr="001773DF" w:rsidRDefault="00F96704" w:rsidP="003A71A6">
      <w:pPr>
        <w:pStyle w:val="Heading5"/>
      </w:pPr>
      <w:r>
        <w:t>Question 7</w:t>
      </w:r>
    </w:p>
    <w:p w:rsidR="00B5042C" w:rsidRPr="003A71A6" w:rsidRDefault="00B5042C" w:rsidP="003A71A6">
      <w:pPr>
        <w:rPr>
          <w:b/>
          <w:i/>
        </w:rPr>
      </w:pPr>
      <w:r w:rsidRPr="003A71A6">
        <w:rPr>
          <w:b/>
          <w:i/>
        </w:rPr>
        <w:t xml:space="preserve">Please provide explanation as to why there are discrepancies in the number of subjects in the </w:t>
      </w:r>
      <w:r w:rsidR="009A3208" w:rsidRPr="003A71A6">
        <w:rPr>
          <w:b/>
          <w:i/>
        </w:rPr>
        <w:t>‘</w:t>
      </w:r>
      <w:r w:rsidRPr="003A71A6">
        <w:rPr>
          <w:b/>
          <w:i/>
        </w:rPr>
        <w:t>primary efficacy analysis set</w:t>
      </w:r>
      <w:r w:rsidR="009A3208" w:rsidRPr="003A71A6">
        <w:rPr>
          <w:b/>
          <w:i/>
        </w:rPr>
        <w:t>’</w:t>
      </w:r>
      <w:r w:rsidRPr="003A71A6">
        <w:rPr>
          <w:b/>
          <w:i/>
        </w:rPr>
        <w:t xml:space="preserve"> between the primary, secondary and exploratory endpoint analyses. Please also confirm which analysis subset the explorator</w:t>
      </w:r>
      <w:r w:rsidR="00106015" w:rsidRPr="003A71A6">
        <w:rPr>
          <w:b/>
          <w:i/>
        </w:rPr>
        <w:t>y analyses were carried out on.</w:t>
      </w:r>
    </w:p>
    <w:p w:rsidR="00106015" w:rsidRPr="001773DF" w:rsidRDefault="001773DF" w:rsidP="003A71A6">
      <w:pPr>
        <w:pStyle w:val="Heading6"/>
      </w:pPr>
      <w:r w:rsidRPr="001773DF">
        <w:t>Sponsor’s response</w:t>
      </w:r>
    </w:p>
    <w:p w:rsidR="00211AE1" w:rsidRDefault="009A3208" w:rsidP="001773DF">
      <w:r>
        <w:t>‘</w:t>
      </w:r>
      <w:r w:rsidR="001773DF" w:rsidRPr="001773DF">
        <w:t xml:space="preserve">The reason for the discrepancies in the number of subjects in the primary efficacy analysis set between the primary, secondary, and exploratory endpoint analyses is that the primary efficacy analysis set definition was applied to each bone mineral density (BMD) endpoint. The primary efficacy analysis was to only include subjects with observed BMD data. Both lumbar spine and total hip BMDs were assessed at baseline, but post-baseline assessments were conducted at </w:t>
      </w:r>
      <w:r w:rsidR="00092A8B">
        <w:t>Month</w:t>
      </w:r>
      <w:r w:rsidR="001773DF" w:rsidRPr="001773DF">
        <w:t xml:space="preserve">s 6 and 12 for the former and </w:t>
      </w:r>
      <w:r w:rsidR="00092A8B">
        <w:t>Month</w:t>
      </w:r>
      <w:r w:rsidR="001773DF" w:rsidRPr="001773DF">
        <w:t xml:space="preserve"> 12 only for the latter. Therefore, the number of subjects in the primary efficacy analysis set may differ across endpoints, based on the number of missing data by skeletal sites and time point (which is expected to be different among subject</w:t>
      </w:r>
      <w:r w:rsidR="00211AE1">
        <w:t>.</w:t>
      </w:r>
    </w:p>
    <w:p w:rsidR="001773DF" w:rsidRPr="001773DF" w:rsidRDefault="001773DF" w:rsidP="001773DF">
      <w:r w:rsidRPr="001773DF">
        <w:t>The exploratory analyses were based on the primary efficacy analysis set.</w:t>
      </w:r>
      <w:r w:rsidR="009A3208">
        <w:t>’</w:t>
      </w:r>
    </w:p>
    <w:p w:rsidR="001773DF" w:rsidRPr="001773DF" w:rsidRDefault="00EA17D5" w:rsidP="003A71A6">
      <w:pPr>
        <w:pStyle w:val="Heading6"/>
      </w:pPr>
      <w:r>
        <w:t>Evaluator comment</w:t>
      </w:r>
    </w:p>
    <w:p w:rsidR="001773DF" w:rsidRDefault="001773DF" w:rsidP="00106015">
      <w:r>
        <w:t>No further comments</w:t>
      </w:r>
    </w:p>
    <w:p w:rsidR="00F96704" w:rsidRPr="00106015" w:rsidRDefault="00F96704" w:rsidP="003A71A6">
      <w:pPr>
        <w:pStyle w:val="Heading5"/>
      </w:pPr>
      <w:r>
        <w:t>Question 8</w:t>
      </w:r>
    </w:p>
    <w:p w:rsidR="00B5042C" w:rsidRPr="003A71A6" w:rsidRDefault="00B5042C" w:rsidP="003A71A6">
      <w:pPr>
        <w:rPr>
          <w:b/>
          <w:i/>
        </w:rPr>
      </w:pPr>
      <w:r w:rsidRPr="003A71A6">
        <w:rPr>
          <w:b/>
          <w:i/>
        </w:rPr>
        <w:t>Please provide explanation regarding rationale for the definition of clini</w:t>
      </w:r>
      <w:r w:rsidR="00EA17D5" w:rsidRPr="003A71A6">
        <w:rPr>
          <w:b/>
          <w:i/>
        </w:rPr>
        <w:t>cal fracture and in particular:</w:t>
      </w:r>
    </w:p>
    <w:p w:rsidR="00B5042C" w:rsidRPr="003A71A6" w:rsidRDefault="00B5042C" w:rsidP="003A71A6">
      <w:pPr>
        <w:pStyle w:val="Numberbullet2"/>
        <w:rPr>
          <w:b/>
          <w:i/>
        </w:rPr>
      </w:pPr>
      <w:proofErr w:type="gramStart"/>
      <w:r w:rsidRPr="003A71A6">
        <w:rPr>
          <w:b/>
          <w:i/>
        </w:rPr>
        <w:t>explain</w:t>
      </w:r>
      <w:proofErr w:type="gramEnd"/>
      <w:r w:rsidRPr="003A71A6">
        <w:rPr>
          <w:b/>
          <w:i/>
        </w:rPr>
        <w:t xml:space="preserve"> why fractures associated with high trauma severity and pat</w:t>
      </w:r>
      <w:r w:rsidR="00EA17D5" w:rsidRPr="003A71A6">
        <w:rPr>
          <w:b/>
          <w:i/>
        </w:rPr>
        <w:t>hologic fractures were excluded</w:t>
      </w:r>
      <w:r w:rsidR="00F96704" w:rsidRPr="003A71A6">
        <w:rPr>
          <w:b/>
          <w:i/>
        </w:rPr>
        <w:t>?</w:t>
      </w:r>
    </w:p>
    <w:p w:rsidR="00B5042C" w:rsidRPr="003A71A6" w:rsidRDefault="00B5042C" w:rsidP="003A71A6">
      <w:pPr>
        <w:pStyle w:val="Numberbullet2"/>
        <w:rPr>
          <w:b/>
          <w:i/>
        </w:rPr>
      </w:pPr>
      <w:proofErr w:type="gramStart"/>
      <w:r w:rsidRPr="003A71A6">
        <w:rPr>
          <w:b/>
          <w:i/>
        </w:rPr>
        <w:t>why</w:t>
      </w:r>
      <w:proofErr w:type="gramEnd"/>
      <w:r w:rsidRPr="003A71A6">
        <w:rPr>
          <w:b/>
          <w:i/>
        </w:rPr>
        <w:t xml:space="preserve"> the definition was changed and the potential impact on the collection of data relating to t</w:t>
      </w:r>
      <w:r w:rsidR="00EA17D5" w:rsidRPr="003A71A6">
        <w:rPr>
          <w:b/>
          <w:i/>
        </w:rPr>
        <w:t>his outcome</w:t>
      </w:r>
      <w:r w:rsidR="00F96704" w:rsidRPr="003A71A6">
        <w:rPr>
          <w:b/>
          <w:i/>
        </w:rPr>
        <w:t>?</w:t>
      </w:r>
    </w:p>
    <w:p w:rsidR="00B36490" w:rsidRPr="00B36490" w:rsidRDefault="00EA17D5" w:rsidP="003A71A6">
      <w:pPr>
        <w:pStyle w:val="Heading6"/>
      </w:pPr>
      <w:r>
        <w:t>Sponsor’s response</w:t>
      </w:r>
    </w:p>
    <w:p w:rsidR="00211AE1" w:rsidRDefault="00B36490" w:rsidP="00B36490">
      <w:r w:rsidRPr="00B36490">
        <w:t xml:space="preserve">The definition of ‘clinical fracture’ (which includes clinical vertebral and non-vertebral fractures) in the </w:t>
      </w:r>
      <w:r w:rsidR="0065393E">
        <w:t>Study</w:t>
      </w:r>
      <w:r w:rsidR="0065393E" w:rsidRPr="00B36490">
        <w:t xml:space="preserve"> </w:t>
      </w:r>
      <w:r w:rsidRPr="00B36490">
        <w:t xml:space="preserve">20101217 is consistent with the definition used throughout the denosumab clinical development program, including the </w:t>
      </w:r>
      <w:r w:rsidR="001350D8">
        <w:t>Phase III</w:t>
      </w:r>
      <w:r w:rsidRPr="00B36490">
        <w:t xml:space="preserve"> pivotal fracture study</w:t>
      </w:r>
      <w:r w:rsidR="00211AE1">
        <w:t>.</w:t>
      </w:r>
    </w:p>
    <w:p w:rsidR="00B36490" w:rsidRPr="00B36490" w:rsidRDefault="00B36490" w:rsidP="003A71A6">
      <w:pPr>
        <w:pStyle w:val="ListBullet"/>
      </w:pPr>
      <w:r w:rsidRPr="00B36490">
        <w:t>(</w:t>
      </w:r>
      <w:r w:rsidR="00AD7CFF">
        <w:t>Regarding part (a); v</w:t>
      </w:r>
      <w:r w:rsidRPr="00B36490">
        <w:t xml:space="preserve">erbatim excerpt of </w:t>
      </w:r>
      <w:r w:rsidR="00A54D03">
        <w:t>sponsor</w:t>
      </w:r>
      <w:r w:rsidRPr="00B36490">
        <w:t xml:space="preserve">’s response): </w:t>
      </w:r>
      <w:r w:rsidR="009A3208">
        <w:t>‘</w:t>
      </w:r>
      <w:r w:rsidRPr="00B36490">
        <w:t>Fractures associated with high trauma severity or pathologic fractures are excluded from the fragility or osteoporosis-related fracture category, as they are not directly related to bone loss, but to high force trauma. This approach used in Study 20101217 is consistent with the approach used throughout the denosumab clinical development program. Importantly, however, high trauma severity and pathologic fractures were reported in the</w:t>
      </w:r>
      <w:r w:rsidR="00EA17D5">
        <w:t xml:space="preserve"> adverse event summary tables.</w:t>
      </w:r>
      <w:r w:rsidR="009A3208">
        <w:t>’</w:t>
      </w:r>
    </w:p>
    <w:p w:rsidR="00B36490" w:rsidRPr="00B36490" w:rsidRDefault="00B36490" w:rsidP="003A71A6">
      <w:pPr>
        <w:pStyle w:val="ListBullet"/>
      </w:pPr>
      <w:r w:rsidRPr="00B36490">
        <w:t>(</w:t>
      </w:r>
      <w:r w:rsidR="00AD7CFF">
        <w:t>Regarding part (b); v</w:t>
      </w:r>
      <w:r w:rsidRPr="00B36490">
        <w:t xml:space="preserve">erbatim excerpt of </w:t>
      </w:r>
      <w:r w:rsidR="00A54D03">
        <w:t>sponsor</w:t>
      </w:r>
      <w:r w:rsidRPr="00B36490">
        <w:t xml:space="preserve">’s response): </w:t>
      </w:r>
      <w:r w:rsidR="009A3208">
        <w:t>‘</w:t>
      </w:r>
      <w:r w:rsidRPr="00B36490">
        <w:t xml:space="preserve">The revision of the definition of clinical fracture in the Statistical Analysis Plan (SAP) amendment was not a change to the definition, but only a clarification, as clinical vertebral fractures, by definition, are a subset of vertebral fractures that are associated with signs and/or symptoms indicative of a fracture. Both clinical vertebral fractures and non-vertebral </w:t>
      </w:r>
      <w:r w:rsidRPr="00B36490">
        <w:lastRenderedPageBreak/>
        <w:t>fractures were captured on the Clinical Fracture Summary electronic case report form (</w:t>
      </w:r>
      <w:proofErr w:type="spellStart"/>
      <w:r w:rsidRPr="00B36490">
        <w:t>eCRF</w:t>
      </w:r>
      <w:proofErr w:type="spellEnd"/>
      <w:r w:rsidRPr="00B36490">
        <w:t xml:space="preserve">) from the beginning of the study. Removing the clause, </w:t>
      </w:r>
      <w:r w:rsidR="009A3208">
        <w:t>‘</w:t>
      </w:r>
      <w:r w:rsidRPr="00B36490">
        <w:t>that are associated with signs and/or symptoms indicative of a fracture</w:t>
      </w:r>
      <w:r w:rsidR="009A3208">
        <w:t>’</w:t>
      </w:r>
      <w:r w:rsidRPr="00B36490">
        <w:t>, from the definition in the SAP did not alter fracture collection, which remained consistent through</w:t>
      </w:r>
      <w:r w:rsidR="00EA17D5">
        <w:t>out the duration of the study.</w:t>
      </w:r>
      <w:r w:rsidR="009A3208">
        <w:t>’</w:t>
      </w:r>
    </w:p>
    <w:p w:rsidR="00B36490" w:rsidRPr="00B36490" w:rsidRDefault="00EA17D5" w:rsidP="00FB54F5">
      <w:pPr>
        <w:pStyle w:val="Heading6"/>
      </w:pPr>
      <w:r>
        <w:t>Evaluator comment</w:t>
      </w:r>
    </w:p>
    <w:p w:rsidR="00B36490" w:rsidRPr="00B36490" w:rsidRDefault="00AD7CFF" w:rsidP="00FB54F5">
      <w:pPr>
        <w:pStyle w:val="ListBullet"/>
      </w:pPr>
      <w:r>
        <w:t>Regarding the answer to part (a); t</w:t>
      </w:r>
      <w:r w:rsidR="00B36490" w:rsidRPr="00B36490">
        <w:t xml:space="preserve">he </w:t>
      </w:r>
      <w:r w:rsidR="00A54D03">
        <w:t>sponsor</w:t>
      </w:r>
      <w:r w:rsidR="00EA17D5">
        <w:t xml:space="preserve"> has referred the e</w:t>
      </w:r>
      <w:r w:rsidR="00B36490" w:rsidRPr="00B36490">
        <w:t>valuator to the adverse event summary tables for a more fulsome picture of the fractures that occurred on study. Upon review of the safety adverse event data (no</w:t>
      </w:r>
      <w:r w:rsidR="00EA17D5">
        <w:t>te: manually calculated by the e</w:t>
      </w:r>
      <w:r w:rsidR="00B36490" w:rsidRPr="00B36490">
        <w:t>valuator), the following is noted with regards to the preferred term of ‘fracture’ (note that tooth fracture has been excluded from this list since bone fractures are of specific interest) and back/spinal/bone pain (included as may be a clinical sign of f</w:t>
      </w:r>
      <w:r w:rsidR="00EA17D5">
        <w:t>racture, especially vertebral):</w:t>
      </w:r>
    </w:p>
    <w:p w:rsidR="001773DF" w:rsidRDefault="00B0277C" w:rsidP="00B36490">
      <w:pPr>
        <w:pStyle w:val="TableTitle"/>
      </w:pPr>
      <w:r>
        <w:t>Table 2</w:t>
      </w:r>
      <w:r w:rsidR="009A3208">
        <w:t>1</w:t>
      </w:r>
      <w:r>
        <w:t>:</w:t>
      </w:r>
      <w:r w:rsidR="00B36490">
        <w:t xml:space="preserve"> Tre</w:t>
      </w:r>
      <w:r>
        <w:t xml:space="preserve">atment emergent adverse events; fractures and other potentially fracture </w:t>
      </w:r>
      <w:r w:rsidR="00B36490">
        <w:t>related events (</w:t>
      </w:r>
      <w:r w:rsidR="00F96704">
        <w:t>safety analysis set</w:t>
      </w:r>
      <w:r w:rsidR="00EA17D5">
        <w:t xml:space="preserve">; </w:t>
      </w:r>
      <w:r w:rsidR="00F96704">
        <w:t xml:space="preserve">Study </w:t>
      </w:r>
      <w:r w:rsidR="00EA17D5">
        <w:t>20101217</w:t>
      </w:r>
      <w:r w:rsidR="00F96704">
        <w:t>,</w:t>
      </w:r>
      <w:r w:rsidR="00EA17D5">
        <w:t xml:space="preserve"> 12</w:t>
      </w:r>
      <w:r w:rsidR="00F96704">
        <w:t> </w:t>
      </w:r>
      <w:r w:rsidR="00B36490">
        <w:t xml:space="preserve">month </w:t>
      </w:r>
      <w:r w:rsidR="00F96704">
        <w:t>primary analysis</w:t>
      </w:r>
      <w:r w:rsidR="00B36490">
        <w:t>)</w:t>
      </w:r>
    </w:p>
    <w:p w:rsidR="001350D8" w:rsidRDefault="00B36490" w:rsidP="004943AE">
      <w:r>
        <w:rPr>
          <w:noProof/>
          <w:lang w:eastAsia="en-AU"/>
        </w:rPr>
        <w:drawing>
          <wp:inline distT="0" distB="0" distL="0" distR="0" wp14:anchorId="57DEA60A" wp14:editId="1394B26A">
            <wp:extent cx="4535424" cy="5074248"/>
            <wp:effectExtent l="0" t="0" r="0" b="0"/>
            <wp:docPr id="31" name="Picture 31" descr="Table 21: Treatment emergent adverse events; fractures and other potentially fracture related events (Safety Analysis Set;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36619" cy="5075586"/>
                    </a:xfrm>
                    <a:prstGeom prst="rect">
                      <a:avLst/>
                    </a:prstGeom>
                  </pic:spPr>
                </pic:pic>
              </a:graphicData>
            </a:graphic>
          </wp:inline>
        </w:drawing>
      </w:r>
    </w:p>
    <w:p w:rsidR="00B36490" w:rsidRPr="00B36490" w:rsidRDefault="00B36490" w:rsidP="004943AE">
      <w:pPr>
        <w:pStyle w:val="TableDescription"/>
      </w:pPr>
      <w:r>
        <w:t xml:space="preserve">N = Number of subjects who received </w:t>
      </w:r>
      <w:r w:rsidR="001350D8">
        <w:t xml:space="preserve">≥ </w:t>
      </w:r>
      <w:r>
        <w:t xml:space="preserve">1 dose of investigational product, n = Number of subjects reporting </w:t>
      </w:r>
      <w:r w:rsidR="001350D8">
        <w:t xml:space="preserve">≥ </w:t>
      </w:r>
      <w:r>
        <w:t xml:space="preserve">1 event; coded using </w:t>
      </w:r>
      <w:proofErr w:type="spellStart"/>
      <w:r>
        <w:t>MedDRA</w:t>
      </w:r>
      <w:proofErr w:type="spellEnd"/>
      <w:r>
        <w:t xml:space="preserve"> version 19.0.</w:t>
      </w:r>
    </w:p>
    <w:p w:rsidR="00211AE1" w:rsidRDefault="00B36490" w:rsidP="00B36490">
      <w:r w:rsidRPr="00B36490">
        <w:t xml:space="preserve">Based on the </w:t>
      </w:r>
      <w:r w:rsidR="009A3208">
        <w:t>evaluator</w:t>
      </w:r>
      <w:r w:rsidRPr="00B36490">
        <w:t>’s manual calculation, in terms of bone ‘fractures’ reported as adverse events, there were more subjects reporti</w:t>
      </w:r>
      <w:r w:rsidR="00EA17D5">
        <w:t>ng events on the denosumab arm;</w:t>
      </w:r>
      <w:r w:rsidRPr="00B36490">
        <w:t xml:space="preserve"> 34 (8.6%) subjects on the denosumab arm and 25 (6.5%) subjects on the risedronate arm</w:t>
      </w:r>
      <w:r w:rsidR="00211AE1">
        <w:t>.</w:t>
      </w:r>
    </w:p>
    <w:p w:rsidR="00211AE1" w:rsidRDefault="00AD7CFF" w:rsidP="00FB54F5">
      <w:pPr>
        <w:pStyle w:val="ListBullet"/>
      </w:pPr>
      <w:r>
        <w:lastRenderedPageBreak/>
        <w:t>Regarding the answer to part (b); the evaluator has n</w:t>
      </w:r>
      <w:r w:rsidR="00B36490" w:rsidRPr="00B36490">
        <w:t>o further comments</w:t>
      </w:r>
      <w:r w:rsidR="00211AE1">
        <w:t>.</w:t>
      </w:r>
    </w:p>
    <w:p w:rsidR="00AD7CFF" w:rsidRDefault="00AD7CFF" w:rsidP="00FB54F5">
      <w:pPr>
        <w:pStyle w:val="Heading5"/>
      </w:pPr>
      <w:r>
        <w:t>Question 9</w:t>
      </w:r>
    </w:p>
    <w:p w:rsidR="00B5042C" w:rsidRPr="00FB54F5" w:rsidRDefault="00B5042C" w:rsidP="00FB54F5">
      <w:pPr>
        <w:rPr>
          <w:b/>
          <w:i/>
        </w:rPr>
      </w:pPr>
      <w:r w:rsidRPr="00FB54F5">
        <w:rPr>
          <w:b/>
          <w:i/>
        </w:rPr>
        <w:t>Provide fracture incidence data at 12 months for the individual subpopul</w:t>
      </w:r>
      <w:r w:rsidR="001350D8" w:rsidRPr="00FB54F5">
        <w:rPr>
          <w:b/>
          <w:i/>
        </w:rPr>
        <w:t>ations (that is, not combined data)</w:t>
      </w:r>
    </w:p>
    <w:p w:rsidR="00B36490" w:rsidRPr="00B36490" w:rsidRDefault="00EA17D5" w:rsidP="00FB54F5">
      <w:pPr>
        <w:pStyle w:val="Heading6"/>
      </w:pPr>
      <w:r>
        <w:t>Sponsor’s response</w:t>
      </w:r>
    </w:p>
    <w:p w:rsidR="00B36490" w:rsidRPr="00B36490" w:rsidRDefault="00B36490" w:rsidP="00B36490">
      <w:r w:rsidRPr="00B36490">
        <w:t xml:space="preserve">The </w:t>
      </w:r>
      <w:r w:rsidR="00A54D03">
        <w:t>sponsor</w:t>
      </w:r>
      <w:r w:rsidRPr="00B36490">
        <w:t xml:space="preserve"> has stated that the results in each subpopulation are overall consistent with those in the two subpopulations combined</w:t>
      </w:r>
      <w:r w:rsidR="00AD7CFF">
        <w:t>;</w:t>
      </w:r>
      <w:r w:rsidR="00FB54F5">
        <w:t xml:space="preserve"> </w:t>
      </w:r>
      <w:r w:rsidRPr="00B36490">
        <w:t>new data submitted is shown in Table 75, Table 76, Table 77 and Table 78 (</w:t>
      </w:r>
      <w:r w:rsidR="00EA17D5">
        <w:t>not included</w:t>
      </w:r>
      <w:r w:rsidRPr="00B36490">
        <w:t xml:space="preserve"> </w:t>
      </w:r>
      <w:r w:rsidR="00EA17D5">
        <w:t xml:space="preserve">in AusPAR </w:t>
      </w:r>
      <w:r w:rsidRPr="00B36490">
        <w:t>due to size of tables). Results for non-vertebral fractures are presented by location and population (</w:t>
      </w:r>
      <w:r w:rsidR="001350D8">
        <w:t>for example</w:t>
      </w:r>
      <w:r w:rsidRPr="00B36490">
        <w:t xml:space="preserve"> </w:t>
      </w:r>
      <w:r w:rsidR="001350D8" w:rsidRPr="00B36490">
        <w:t>post-menopausal</w:t>
      </w:r>
      <w:r w:rsidRPr="00B36490">
        <w:t>, premenopausal woman etc</w:t>
      </w:r>
      <w:r w:rsidR="001350D8">
        <w:t>etera</w:t>
      </w:r>
      <w:r w:rsidRPr="00B36490">
        <w:t>); vertebral fractures are presented by type and population. Selected data</w:t>
      </w:r>
      <w:r w:rsidR="001350D8">
        <w:t xml:space="preserve"> </w:t>
      </w:r>
      <w:r w:rsidRPr="00B36490">
        <w:t xml:space="preserve">points are shown in Table </w:t>
      </w:r>
      <w:r w:rsidR="00B0277C">
        <w:t>2</w:t>
      </w:r>
      <w:r w:rsidR="009A3208">
        <w:t>2</w:t>
      </w:r>
      <w:r w:rsidRPr="00B36490">
        <w:t>.</w:t>
      </w:r>
    </w:p>
    <w:p w:rsidR="00B36490" w:rsidRDefault="00B36490" w:rsidP="00B36490">
      <w:pPr>
        <w:pStyle w:val="TableTitle"/>
      </w:pPr>
      <w:r>
        <w:t xml:space="preserve">Table </w:t>
      </w:r>
      <w:r w:rsidR="00B0277C">
        <w:t>2</w:t>
      </w:r>
      <w:r w:rsidR="009A3208">
        <w:t>2</w:t>
      </w:r>
      <w:r w:rsidR="00B0277C">
        <w:t>:</w:t>
      </w:r>
      <w:r>
        <w:t xml:space="preserve"> Selected data points relating to fractures in the two separate sub</w:t>
      </w:r>
      <w:r w:rsidR="00B0277C">
        <w:t>populations (full analysis set)</w:t>
      </w:r>
    </w:p>
    <w:p w:rsidR="00B36490" w:rsidRDefault="00B36490" w:rsidP="00B36490">
      <w:r>
        <w:rPr>
          <w:noProof/>
          <w:lang w:eastAsia="en-AU"/>
        </w:rPr>
        <w:drawing>
          <wp:inline distT="0" distB="0" distL="0" distR="0" wp14:anchorId="7099CC3A" wp14:editId="573CB73E">
            <wp:extent cx="5400040" cy="3944452"/>
            <wp:effectExtent l="0" t="0" r="0" b="0"/>
            <wp:docPr id="32" name="Picture 32" descr="Table 22: Selected data points relating to fractures in the two separate subpopulation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944452"/>
                    </a:xfrm>
                    <a:prstGeom prst="rect">
                      <a:avLst/>
                    </a:prstGeom>
                  </pic:spPr>
                </pic:pic>
              </a:graphicData>
            </a:graphic>
          </wp:inline>
        </w:drawing>
      </w:r>
    </w:p>
    <w:p w:rsidR="00B36490" w:rsidRPr="00B36490" w:rsidRDefault="00EA17D5" w:rsidP="00FB54F5">
      <w:pPr>
        <w:pStyle w:val="Heading6"/>
      </w:pPr>
      <w:r>
        <w:t>Evaluator comment</w:t>
      </w:r>
    </w:p>
    <w:p w:rsidR="00211AE1" w:rsidRDefault="00B36490" w:rsidP="00B36490">
      <w:r w:rsidRPr="00B36490">
        <w:t>The additional data (</w:t>
      </w:r>
      <w:r w:rsidR="00EA17D5">
        <w:t>that is</w:t>
      </w:r>
      <w:r w:rsidRPr="00B36490">
        <w:t xml:space="preserve"> Table 75, Table 76, Table 77 and Table 78) regarding fractures contains much more detail than that which was originally submitted with a number of new subcategories of fractures were reported. However, there is little explanation provided by the </w:t>
      </w:r>
      <w:r w:rsidR="00A54D03">
        <w:t>sponsor</w:t>
      </w:r>
      <w:r w:rsidRPr="00B36490">
        <w:t xml:space="preserve"> with regards to this new data and it is not clear how all of the subcategories relate to each other. Thus, the new data is difficult to interpret and conclusions are limited by the relatively small subcategories/population subgroups within each subpopulation</w:t>
      </w:r>
      <w:r w:rsidR="00211AE1">
        <w:t>.</w:t>
      </w:r>
    </w:p>
    <w:p w:rsidR="00B36490" w:rsidRPr="00B36490" w:rsidRDefault="00EA17D5" w:rsidP="00B36490">
      <w:r>
        <w:t>Some general observations:</w:t>
      </w:r>
    </w:p>
    <w:p w:rsidR="00B36490" w:rsidRPr="00B36490" w:rsidRDefault="00B36490" w:rsidP="00FB54F5">
      <w:pPr>
        <w:pStyle w:val="ListBullet"/>
      </w:pPr>
      <w:r w:rsidRPr="00B36490">
        <w:t>Glucocor</w:t>
      </w:r>
      <w:r w:rsidR="00EA17D5">
        <w:t xml:space="preserve">ticoid-initiating </w:t>
      </w:r>
      <w:r w:rsidR="00AD7CFF">
        <w:t>subpopulation:</w:t>
      </w:r>
    </w:p>
    <w:p w:rsidR="00B36490" w:rsidRPr="00B36490" w:rsidRDefault="00B36490" w:rsidP="00FB54F5">
      <w:pPr>
        <w:pStyle w:val="ListBullet2"/>
      </w:pPr>
      <w:r w:rsidRPr="00B36490">
        <w:t>More subjects had non-vertebral fractures as defined by the protocol on the denosumab arm (3.4% compared to 1.4%)</w:t>
      </w:r>
      <w:proofErr w:type="gramStart"/>
      <w:r w:rsidRPr="00B36490">
        <w:t>,</w:t>
      </w:r>
      <w:proofErr w:type="gramEnd"/>
      <w:r w:rsidRPr="00B36490">
        <w:t xml:space="preserve"> however the risedronate arm had more non-vertebral fractures </w:t>
      </w:r>
      <w:r w:rsidRPr="001F59B5">
        <w:rPr>
          <w:i/>
        </w:rPr>
        <w:t>when definitions were removed</w:t>
      </w:r>
      <w:r w:rsidRPr="00B36490">
        <w:t xml:space="preserve"> (‘all’; 4.1% compared </w:t>
      </w:r>
      <w:r w:rsidRPr="00B36490">
        <w:lastRenderedPageBreak/>
        <w:t>to 3.4%). However, the absolute difference in terms of numbers of subjects is relatively low (≤</w:t>
      </w:r>
      <w:r w:rsidR="00EA17D5">
        <w:t xml:space="preserve"> </w:t>
      </w:r>
      <w:r w:rsidRPr="00B36490">
        <w:t>3) and the smaller subpopulation limits firm conclusions.</w:t>
      </w:r>
    </w:p>
    <w:p w:rsidR="00211AE1" w:rsidRDefault="001F59B5" w:rsidP="00FB54F5">
      <w:pPr>
        <w:pStyle w:val="ListBullet2"/>
      </w:pPr>
      <w:r w:rsidRPr="001F59B5">
        <w:t>Vertebral fractures were presented in a number of subcategories/population subgroups. Risedronate had a higher percentage of vertebral fractures for all subcategories (not including demographic subgroups) compared to denosumab however the absolute difference was mostly low, the largest being 3 for ‘new and worsening fracture’</w:t>
      </w:r>
      <w:r w:rsidR="00211AE1">
        <w:t>.</w:t>
      </w:r>
    </w:p>
    <w:p w:rsidR="001F59B5" w:rsidRPr="001F59B5" w:rsidRDefault="001F59B5" w:rsidP="00FB54F5">
      <w:pPr>
        <w:pStyle w:val="ListBullet"/>
      </w:pPr>
      <w:r w:rsidRPr="001F59B5">
        <w:t>Glucocort</w:t>
      </w:r>
      <w:r w:rsidR="00EA17D5">
        <w:t xml:space="preserve">icoid-continuing </w:t>
      </w:r>
      <w:r w:rsidR="00AD7CFF">
        <w:t>s</w:t>
      </w:r>
      <w:r w:rsidR="00EA17D5">
        <w:t>ubpopulation</w:t>
      </w:r>
    </w:p>
    <w:p w:rsidR="00211AE1" w:rsidRDefault="001F59B5" w:rsidP="00FB54F5">
      <w:pPr>
        <w:pStyle w:val="ListBullet2"/>
      </w:pPr>
      <w:r w:rsidRPr="001F59B5">
        <w:t>More subjects had non-vertebral fractures on the denosumab arm (4.7% compared to 3.2% as defined by the protocol; not those specified as ‘all’). Rib and pelvic fractures were the most common types of non-vertebral fractures on the denosumab arm</w:t>
      </w:r>
      <w:r w:rsidR="00211AE1">
        <w:t>.</w:t>
      </w:r>
    </w:p>
    <w:p w:rsidR="00211AE1" w:rsidRDefault="001F59B5" w:rsidP="00FB54F5">
      <w:pPr>
        <w:pStyle w:val="ListBullet2"/>
      </w:pPr>
      <w:r w:rsidRPr="001F59B5">
        <w:t>For all subgroups of vertebral fractures, risedronate had a higher percentage of fractures except for mo</w:t>
      </w:r>
      <w:r w:rsidR="00EA17D5">
        <w:t>rphometric vertebral fractures (</w:t>
      </w:r>
      <w:r w:rsidRPr="001F59B5">
        <w:t>denosumab 2.8% (6) c</w:t>
      </w:r>
      <w:r w:rsidR="00EA17D5">
        <w:t>ompared to risedronate 0.9% (2))</w:t>
      </w:r>
      <w:r w:rsidRPr="001F59B5">
        <w:t>; the largest difference was for</w:t>
      </w:r>
      <w:r w:rsidR="00EA17D5">
        <w:t xml:space="preserve"> ‘clinical vertebral fracture’ (</w:t>
      </w:r>
      <w:r w:rsidRPr="001F59B5">
        <w:t xml:space="preserve">denosumab 0.9% (2) compared to risedronate </w:t>
      </w:r>
      <w:proofErr w:type="gramStart"/>
      <w:r w:rsidRPr="001F59B5">
        <w:t>2.8%</w:t>
      </w:r>
      <w:proofErr w:type="gramEnd"/>
      <w:r w:rsidRPr="001F59B5">
        <w:t>(6)</w:t>
      </w:r>
      <w:r w:rsidR="00EA17D5">
        <w:t>)</w:t>
      </w:r>
      <w:r w:rsidR="00211AE1">
        <w:t>.</w:t>
      </w:r>
    </w:p>
    <w:p w:rsidR="00B36490" w:rsidRPr="001F59B5" w:rsidRDefault="001F59B5" w:rsidP="001F59B5">
      <w:r w:rsidRPr="001F59B5">
        <w:t xml:space="preserve">However, the </w:t>
      </w:r>
      <w:r w:rsidR="00A54D03">
        <w:t>sponsor</w:t>
      </w:r>
      <w:r w:rsidRPr="001F59B5">
        <w:t xml:space="preserve">’s statement that </w:t>
      </w:r>
      <w:r w:rsidR="009A3208">
        <w:t>‘</w:t>
      </w:r>
      <w:r w:rsidRPr="001F59B5">
        <w:t>the results in each subpopulation are overall consistent with those in the 2 subpopulations combined</w:t>
      </w:r>
      <w:r w:rsidR="009A3208">
        <w:t>’</w:t>
      </w:r>
      <w:r w:rsidRPr="001F59B5">
        <w:t xml:space="preserve"> cannot be confirmed since the data submitted for the two subpopulations is different to that which was originally presented for the overall population in the study report. The originally submitted fracture data for the combined subpopulations in the study report reported outcomes for ‘new vertebral fractures’ and ‘clinical fractures’. In terms of ‘new vertebral fractures’, the new data shows that 2.3% of subjects on the risedronate arm compared to 0.8% on the denosumab arm developed new vertebral fractures in the GC-I subpopulation and this accounts for the numerical difference seen in the combined populations. In terms of ‘clinical fractures’, these are not specifically reported in Table</w:t>
      </w:r>
      <w:r w:rsidR="006F7770">
        <w:t>s</w:t>
      </w:r>
      <w:r w:rsidRPr="001F59B5">
        <w:t xml:space="preserve"> 75, </w:t>
      </w:r>
      <w:r w:rsidR="006F7770">
        <w:t>to 78</w:t>
      </w:r>
      <w:r w:rsidRPr="001F59B5">
        <w:t>) and it is not clear what are the corresponding measures (if present).</w:t>
      </w:r>
    </w:p>
    <w:p w:rsidR="00211AE1" w:rsidRDefault="001F59B5" w:rsidP="001F59B5">
      <w:r w:rsidRPr="001F59B5">
        <w:t xml:space="preserve">Potentially of relevance, the </w:t>
      </w:r>
      <w:r w:rsidR="009A3208">
        <w:t>evaluator</w:t>
      </w:r>
      <w:r w:rsidRPr="001F59B5">
        <w:t xml:space="preserve"> notes that data has been provided to the EMA (</w:t>
      </w:r>
      <w:r w:rsidR="006F7770">
        <w:t>provided in the r</w:t>
      </w:r>
      <w:r w:rsidRPr="001F59B5">
        <w:t>esponse) for ‘new vertebral fractures’ and ‘clinical fractures’ by subpopulation which could potentially be more useful for comparison purposes. However the combined population data submitted to the EMA (Table</w:t>
      </w:r>
      <w:r w:rsidR="00B0277C">
        <w:t xml:space="preserve"> 2</w:t>
      </w:r>
      <w:r w:rsidR="009A3208">
        <w:t>3</w:t>
      </w:r>
      <w:r w:rsidRPr="001F59B5">
        <w:t xml:space="preserve">) does not appear to be consistent with that which was reported in the original study report (Table </w:t>
      </w:r>
      <w:r w:rsidR="00B0277C">
        <w:t>2</w:t>
      </w:r>
      <w:r w:rsidR="009A3208">
        <w:t>4</w:t>
      </w:r>
      <w:r w:rsidRPr="001F59B5">
        <w:t>), nor does it appear to be consistent with what has been submitted to the TGA in the current response (Table 76 and Tab</w:t>
      </w:r>
      <w:r w:rsidR="006F7770">
        <w:t>le 78 ‘new vertebral fractures’</w:t>
      </w:r>
      <w:r w:rsidRPr="001F59B5">
        <w:t>)</w:t>
      </w:r>
      <w:r w:rsidR="00211AE1">
        <w:t>.</w:t>
      </w:r>
    </w:p>
    <w:p w:rsidR="00B36490" w:rsidRDefault="00B0277C" w:rsidP="001F59B5">
      <w:pPr>
        <w:pStyle w:val="TableTitle"/>
      </w:pPr>
      <w:r>
        <w:t>Table 2</w:t>
      </w:r>
      <w:r w:rsidR="009A3208">
        <w:t>3</w:t>
      </w:r>
      <w:r>
        <w:t>:</w:t>
      </w:r>
      <w:r w:rsidR="001F59B5" w:rsidRPr="001F59B5">
        <w:t xml:space="preserve"> Number of New Vertebral Fractures and Clinical Fractures at Month 12 (</w:t>
      </w:r>
      <w:r w:rsidR="00AD7CFF" w:rsidRPr="001F59B5">
        <w:t xml:space="preserve">full analysis set; </w:t>
      </w:r>
      <w:r w:rsidR="00AD7CFF">
        <w:t xml:space="preserve">Study </w:t>
      </w:r>
      <w:r w:rsidR="00AD7CFF" w:rsidRPr="001F59B5">
        <w:t>20101217 12</w:t>
      </w:r>
      <w:r w:rsidR="00FB54F5">
        <w:t xml:space="preserve"> </w:t>
      </w:r>
      <w:r w:rsidR="00AD7CFF" w:rsidRPr="001F59B5">
        <w:t>month primary analysis</w:t>
      </w:r>
      <w:r w:rsidR="001F59B5" w:rsidRPr="001F59B5">
        <w:t xml:space="preserve">) as contained in the EMA </w:t>
      </w:r>
      <w:r w:rsidR="00AD7CFF">
        <w:t>e</w:t>
      </w:r>
      <w:r w:rsidR="00AD7CFF" w:rsidRPr="001F59B5">
        <w:t xml:space="preserve">xtension </w:t>
      </w:r>
      <w:r w:rsidR="001F59B5" w:rsidRPr="001F59B5">
        <w:t>of indication variation assessment report (9 November</w:t>
      </w:r>
      <w:r w:rsidR="00AD7CFF">
        <w:t> </w:t>
      </w:r>
      <w:r w:rsidR="001F59B5" w:rsidRPr="001F59B5">
        <w:t>2017)</w:t>
      </w:r>
    </w:p>
    <w:p w:rsidR="001F59B5" w:rsidRPr="001F59B5" w:rsidRDefault="001F59B5" w:rsidP="004943AE">
      <w:r>
        <w:rPr>
          <w:noProof/>
          <w:lang w:eastAsia="en-AU"/>
        </w:rPr>
        <w:drawing>
          <wp:inline distT="0" distB="0" distL="0" distR="0" wp14:anchorId="00880472" wp14:editId="7D1F297B">
            <wp:extent cx="5400040" cy="2166362"/>
            <wp:effectExtent l="0" t="0" r="0" b="5715"/>
            <wp:docPr id="35" name="Picture 35" descr="Table 23: Number of New Vertebral Fractures and Clinical Fractures at Month 12 (Full Analysis Set; 20101217 12-month Primary Analysis) as contained in the EMA Extension of indication variation assessment report (9 Nov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166362"/>
                    </a:xfrm>
                    <a:prstGeom prst="rect">
                      <a:avLst/>
                    </a:prstGeom>
                  </pic:spPr>
                </pic:pic>
              </a:graphicData>
            </a:graphic>
          </wp:inline>
        </w:drawing>
      </w:r>
    </w:p>
    <w:p w:rsidR="00B36490" w:rsidRDefault="00B0277C" w:rsidP="001F59B5">
      <w:pPr>
        <w:pStyle w:val="TableTitle"/>
      </w:pPr>
      <w:r>
        <w:lastRenderedPageBreak/>
        <w:t>Table 2</w:t>
      </w:r>
      <w:r w:rsidR="009A3208">
        <w:t>4</w:t>
      </w:r>
      <w:r>
        <w:t>:</w:t>
      </w:r>
      <w:r w:rsidR="001F59B5">
        <w:t xml:space="preserve"> Subject </w:t>
      </w:r>
      <w:r w:rsidR="00C3258C">
        <w:t xml:space="preserve">incidence of new vertebral fractures and clinical fractures </w:t>
      </w:r>
      <w:r w:rsidR="001F59B5">
        <w:t>at Month 12 (</w:t>
      </w:r>
      <w:r w:rsidR="00AD7CFF">
        <w:t>full analysis set; combined subpopulations</w:t>
      </w:r>
      <w:r w:rsidR="001F59B5">
        <w:t xml:space="preserve">; </w:t>
      </w:r>
      <w:r w:rsidR="00AD7CFF">
        <w:t xml:space="preserve">Study </w:t>
      </w:r>
      <w:r w:rsidR="001F59B5">
        <w:t>20101217 12</w:t>
      </w:r>
      <w:r w:rsidR="00C3258C">
        <w:t xml:space="preserve"> </w:t>
      </w:r>
      <w:r w:rsidR="001F59B5">
        <w:t xml:space="preserve">month </w:t>
      </w:r>
      <w:r w:rsidR="00AD7CFF">
        <w:t>primary analysis</w:t>
      </w:r>
      <w:r w:rsidR="001F59B5">
        <w:t xml:space="preserve">) as reported in </w:t>
      </w:r>
      <w:r w:rsidR="0065393E">
        <w:t xml:space="preserve">Study </w:t>
      </w:r>
      <w:r w:rsidR="001F59B5">
        <w:t>20101217 report</w:t>
      </w:r>
    </w:p>
    <w:p w:rsidR="001F59B5" w:rsidRDefault="001F59B5" w:rsidP="00B36490">
      <w:r>
        <w:rPr>
          <w:noProof/>
          <w:lang w:eastAsia="en-AU"/>
        </w:rPr>
        <w:drawing>
          <wp:inline distT="0" distB="0" distL="0" distR="0" wp14:anchorId="28103C3F" wp14:editId="11E40891">
            <wp:extent cx="5400040" cy="1532896"/>
            <wp:effectExtent l="0" t="0" r="0" b="0"/>
            <wp:docPr id="36" name="Picture 36" descr="Table 24: Subject Incidence of New Vertebral Fractures and Clinical Fractures at Month 12 (Full Analysis Set; Combined Subpopulations; 20101217 12-month Primary Analysis) as reported in Study 20101217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532896"/>
                    </a:xfrm>
                    <a:prstGeom prst="rect">
                      <a:avLst/>
                    </a:prstGeom>
                  </pic:spPr>
                </pic:pic>
              </a:graphicData>
            </a:graphic>
          </wp:inline>
        </w:drawing>
      </w:r>
    </w:p>
    <w:p w:rsidR="00211AE1" w:rsidRDefault="001F59B5" w:rsidP="001F59B5">
      <w:r w:rsidRPr="001F59B5">
        <w:t xml:space="preserve">The reason for this discrepancy is unclear and thus the EMA data does not contribute further insight after all. Furthermore, it is unclear why the TGA has been provided with different data to that which was provided to the EMA. It is also noted that the EMA has made specific comment about the fracture </w:t>
      </w:r>
      <w:r w:rsidR="006F7770">
        <w:t>data</w:t>
      </w:r>
      <w:r w:rsidRPr="001F59B5">
        <w:t xml:space="preserve"> and in particular, clinical fractures and non-vertebral fractures. However, the data for non-vertebral fractures quoted by the EMA assessor (</w:t>
      </w:r>
      <w:proofErr w:type="gramStart"/>
      <w:r w:rsidR="009A3208">
        <w:t>‘</w:t>
      </w:r>
      <w:r w:rsidRPr="001F59B5">
        <w:rPr>
          <w:i/>
        </w:rPr>
        <w:t>Specifically</w:t>
      </w:r>
      <w:proofErr w:type="gramEnd"/>
      <w:r w:rsidRPr="001F59B5">
        <w:rPr>
          <w:i/>
        </w:rPr>
        <w:t xml:space="preserve">, an imbalance in non-vertebral fractures is noted with a total of 20 fractures in the denosumab group compared to 10 non-vertebral fractures in the </w:t>
      </w:r>
      <w:r w:rsidR="006F7770" w:rsidRPr="001F59B5">
        <w:rPr>
          <w:i/>
        </w:rPr>
        <w:t>risedronate</w:t>
      </w:r>
      <w:r w:rsidRPr="001F59B5">
        <w:rPr>
          <w:i/>
        </w:rPr>
        <w:t xml:space="preserve"> group</w:t>
      </w:r>
      <w:r w:rsidR="009A3208">
        <w:t>’</w:t>
      </w:r>
      <w:r w:rsidRPr="001F59B5">
        <w:t xml:space="preserve">) is not consistent with data provided to the TGA; again the reason for this discrepancy is unclear. The data provided to the TGA (Table </w:t>
      </w:r>
      <w:r w:rsidR="00B0277C">
        <w:t>2</w:t>
      </w:r>
      <w:r w:rsidR="009A3208">
        <w:t>2</w:t>
      </w:r>
      <w:r w:rsidRPr="001F59B5">
        <w:t>) shows that the number of non-vertebral frac</w:t>
      </w:r>
      <w:r w:rsidR="006F7770">
        <w:t>tures (as defined by the study;</w:t>
      </w:r>
      <w:r w:rsidRPr="001F59B5">
        <w:t xml:space="preserve"> see </w:t>
      </w:r>
      <w:r w:rsidR="00C3258C">
        <w:t>*</w:t>
      </w:r>
      <w:r w:rsidRPr="001F59B5">
        <w:t xml:space="preserve"> in same table) in the combined population was 10 on the risedronate arm and 17 on the denosumab arm (for ‘</w:t>
      </w:r>
      <w:r w:rsidRPr="001F59B5">
        <w:rPr>
          <w:i/>
        </w:rPr>
        <w:t>all</w:t>
      </w:r>
      <w:r w:rsidRPr="001F59B5">
        <w:t>’ non-vertebral fractures, the difference was 21 on the risedronate arm compared to 25 on the denosumab arm)</w:t>
      </w:r>
      <w:r w:rsidR="00211AE1">
        <w:t>.</w:t>
      </w:r>
    </w:p>
    <w:p w:rsidR="00211AE1" w:rsidRDefault="001F59B5" w:rsidP="001F59B5">
      <w:r w:rsidRPr="001F59B5">
        <w:t xml:space="preserve">With regards to fractures, the EMA assessor has concluded that </w:t>
      </w:r>
      <w:r w:rsidR="009A3208">
        <w:t>‘</w:t>
      </w:r>
      <w:r w:rsidRPr="001F59B5">
        <w:rPr>
          <w:i/>
        </w:rPr>
        <w:t xml:space="preserve">Fracture data in </w:t>
      </w:r>
      <w:r w:rsidR="0065393E">
        <w:rPr>
          <w:i/>
        </w:rPr>
        <w:t>Study</w:t>
      </w:r>
      <w:r w:rsidR="00AD7CFF">
        <w:rPr>
          <w:i/>
        </w:rPr>
        <w:t> </w:t>
      </w:r>
      <w:r w:rsidRPr="001F59B5">
        <w:rPr>
          <w:i/>
        </w:rPr>
        <w:t xml:space="preserve">20101217 needs to be evaluated at </w:t>
      </w:r>
      <w:r w:rsidR="00092A8B">
        <w:rPr>
          <w:i/>
        </w:rPr>
        <w:t>Month</w:t>
      </w:r>
      <w:r w:rsidRPr="001F59B5">
        <w:rPr>
          <w:i/>
        </w:rPr>
        <w:t xml:space="preserve"> 24. Meanwhile, fracture data from 12 month analyses needs to be included in the </w:t>
      </w:r>
      <w:proofErr w:type="spellStart"/>
      <w:r w:rsidRPr="001F59B5">
        <w:rPr>
          <w:i/>
        </w:rPr>
        <w:t>SmPC</w:t>
      </w:r>
      <w:proofErr w:type="spellEnd"/>
      <w:r w:rsidR="009A3208">
        <w:t>’</w:t>
      </w:r>
      <w:r w:rsidRPr="001F59B5">
        <w:t>. Furthermore, it is noted that the EMA assessor has raised a Major Objection that in part</w:t>
      </w:r>
      <w:r w:rsidR="006F7770">
        <w:t xml:space="preserve"> relates to this fracture data;</w:t>
      </w:r>
      <w:r w:rsidRPr="001F59B5">
        <w:t xml:space="preserve"> the following is stated </w:t>
      </w:r>
      <w:r w:rsidR="009A3208">
        <w:t>‘</w:t>
      </w:r>
      <w:r w:rsidRPr="001F59B5">
        <w:rPr>
          <w:i/>
        </w:rPr>
        <w:t xml:space="preserve">A numerical imbalance in non-vertebral fractures in favour of comparator was noted at </w:t>
      </w:r>
      <w:r w:rsidR="00092A8B">
        <w:rPr>
          <w:i/>
        </w:rPr>
        <w:t>Month</w:t>
      </w:r>
      <w:r w:rsidR="006F7770">
        <w:rPr>
          <w:i/>
        </w:rPr>
        <w:t xml:space="preserve"> 12. Therefore, the final 24 </w:t>
      </w:r>
      <w:r w:rsidRPr="001F59B5">
        <w:rPr>
          <w:i/>
        </w:rPr>
        <w:t xml:space="preserve">month analysis results of the </w:t>
      </w:r>
      <w:r w:rsidR="0065393E">
        <w:rPr>
          <w:i/>
        </w:rPr>
        <w:t>Study</w:t>
      </w:r>
      <w:r w:rsidRPr="001F59B5">
        <w:rPr>
          <w:i/>
        </w:rPr>
        <w:t xml:space="preserve"> 20101217 are required before a potential approval to provide additional information concerning this imbalance.</w:t>
      </w:r>
      <w:r w:rsidR="009A3208">
        <w:t>’</w:t>
      </w:r>
      <w:r w:rsidRPr="001F59B5">
        <w:t xml:space="preserve"> As a result of the ongoing Major Objection, it is stated in</w:t>
      </w:r>
      <w:r>
        <w:t xml:space="preserve"> </w:t>
      </w:r>
      <w:r w:rsidRPr="001F59B5">
        <w:t xml:space="preserve">the EMA report that </w:t>
      </w:r>
      <w:r w:rsidR="009A3208">
        <w:t>‘</w:t>
      </w:r>
      <w:r w:rsidRPr="001F59B5">
        <w:t>the application is not approvable since a major objections has been identified…</w:t>
      </w:r>
      <w:proofErr w:type="gramStart"/>
      <w:r w:rsidR="009A3208">
        <w:t>’</w:t>
      </w:r>
      <w:r w:rsidR="00211AE1">
        <w:t>.</w:t>
      </w:r>
      <w:proofErr w:type="gramEnd"/>
    </w:p>
    <w:p w:rsidR="001F59B5" w:rsidRPr="001F59B5" w:rsidRDefault="001F59B5" w:rsidP="001F59B5">
      <w:r w:rsidRPr="001F59B5">
        <w:t>Overall, conclusions relating to denosumab and fractures, a particularly clinically relevant endpoint, remain limited in this s</w:t>
      </w:r>
      <w:r w:rsidR="006F7770">
        <w:t>tudy for the following reasons:</w:t>
      </w:r>
    </w:p>
    <w:p w:rsidR="001F59B5" w:rsidRPr="001F59B5" w:rsidRDefault="001F59B5" w:rsidP="001F59B5">
      <w:pPr>
        <w:pStyle w:val="ListBullet"/>
      </w:pPr>
      <w:r w:rsidRPr="001F59B5">
        <w:t>the study was not adequately powered to compared fracture rate be</w:t>
      </w:r>
      <w:r w:rsidR="006F7770">
        <w:t>tween risedronate and denosumab</w:t>
      </w:r>
    </w:p>
    <w:p w:rsidR="001F59B5" w:rsidRPr="001F59B5" w:rsidRDefault="001F59B5" w:rsidP="001F59B5">
      <w:pPr>
        <w:pStyle w:val="ListBullet"/>
      </w:pPr>
      <w:r w:rsidRPr="001F59B5">
        <w:t xml:space="preserve">the additional data for fractures provided was not clearly defined in the </w:t>
      </w:r>
      <w:r w:rsidR="00A54D03">
        <w:t>sponsor</w:t>
      </w:r>
      <w:r w:rsidRPr="001F59B5">
        <w:t>’s response and is di</w:t>
      </w:r>
      <w:r w:rsidR="006F7770">
        <w:t>fficult to interpret</w:t>
      </w:r>
    </w:p>
    <w:p w:rsidR="00211AE1" w:rsidRDefault="001F59B5" w:rsidP="00B36490">
      <w:pPr>
        <w:pStyle w:val="ListBullet"/>
      </w:pPr>
      <w:proofErr w:type="gramStart"/>
      <w:r w:rsidRPr="001F59B5">
        <w:t>data</w:t>
      </w:r>
      <w:proofErr w:type="gramEnd"/>
      <w:r w:rsidRPr="001F59B5">
        <w:t xml:space="preserve"> provided to the TGA appears to conflict </w:t>
      </w:r>
      <w:r>
        <w:t>with data provided to the EMA</w:t>
      </w:r>
      <w:r w:rsidR="00211AE1">
        <w:t>.</w:t>
      </w:r>
    </w:p>
    <w:p w:rsidR="001F59B5" w:rsidRDefault="001F59B5" w:rsidP="00B36490">
      <w:r>
        <w:t xml:space="preserve">As mentioned in the first round report, the </w:t>
      </w:r>
      <w:r w:rsidR="00A54D03">
        <w:t>sponsor</w:t>
      </w:r>
      <w:r>
        <w:t xml:space="preserve"> has postulated that data from other patient populations which show that denosumab both increases BMD and decreases fracture incidence can be extrapolated to this population. The </w:t>
      </w:r>
      <w:r w:rsidR="0065393E">
        <w:t xml:space="preserve">Study </w:t>
      </w:r>
      <w:r>
        <w:t xml:space="preserve">20030216 in women with postmenopausal osteoporosis demonstrated significant increases in BMD at all skeletal sites measured (lumbar spine, proximal femur </w:t>
      </w:r>
      <w:r w:rsidR="00DE1EFB">
        <w:t>(</w:t>
      </w:r>
      <w:r>
        <w:t>total hip, femoral neck, trochanter</w:t>
      </w:r>
      <w:r w:rsidR="00DE1EFB">
        <w:t>)</w:t>
      </w:r>
      <w:r>
        <w:t xml:space="preserve">, and 1/3 radius) and the primary efficacy analysis showed that denosumab decreased fracture risk compared with placebo, with relative risk reductions at </w:t>
      </w:r>
      <w:r w:rsidR="00092A8B">
        <w:t>Month</w:t>
      </w:r>
      <w:r>
        <w:t xml:space="preserve"> 36 for new vertebral, non</w:t>
      </w:r>
      <w:r w:rsidR="006F7770">
        <w:t xml:space="preserve"> </w:t>
      </w:r>
      <w:r>
        <w:t xml:space="preserve">vertebral, and hip fractures of 68% (absolute risk reduction 4.8%), 20%, and 40%, respectively. The </w:t>
      </w:r>
      <w:r w:rsidR="0065393E">
        <w:t xml:space="preserve">Study </w:t>
      </w:r>
      <w:r>
        <w:t>20040138 in men with bone loss from androgen-</w:t>
      </w:r>
      <w:r>
        <w:lastRenderedPageBreak/>
        <w:t xml:space="preserve">deprivation therapy for non-metastatic prostate cancer also showed demonstrated significant increases in BMD at all skeletal sites measured and a 62% decrease in the incidence of new vertebral fractures in the denosumab group relative to the placebo group at </w:t>
      </w:r>
      <w:r w:rsidR="00092A8B">
        <w:t>Month</w:t>
      </w:r>
      <w:r>
        <w:t xml:space="preserve"> 36 (2.4% absolute risk reduction). However, little supporting evidence was </w:t>
      </w:r>
      <w:r w:rsidR="006F7770">
        <w:t>provided for the extrapolation;</w:t>
      </w:r>
      <w:r>
        <w:t xml:space="preserve"> the </w:t>
      </w:r>
      <w:r w:rsidR="00A54D03">
        <w:t>sponsor</w:t>
      </w:r>
      <w:r>
        <w:t xml:space="preserve"> has stated the following in th</w:t>
      </w:r>
      <w:r w:rsidR="006F7770">
        <w:t>e Summary of Clinical Efficacy</w:t>
      </w:r>
      <w:r>
        <w:t xml:space="preserve">: </w:t>
      </w:r>
      <w:r w:rsidR="009A3208">
        <w:t>‘</w:t>
      </w:r>
      <w:r w:rsidR="006F7770">
        <w:rPr>
          <w:i/>
          <w:iCs/>
        </w:rPr>
        <w:t xml:space="preserve">In denosumab </w:t>
      </w:r>
      <w:r>
        <w:rPr>
          <w:i/>
          <w:iCs/>
        </w:rPr>
        <w:t xml:space="preserve">treated subjects, mean increases in BMD in Study 20101217 were overall similar to the mean increases in BMD in Studies 20030216 and 20040138 at </w:t>
      </w:r>
      <w:r w:rsidR="00092A8B">
        <w:rPr>
          <w:i/>
          <w:iCs/>
        </w:rPr>
        <w:t>Month</w:t>
      </w:r>
      <w:r>
        <w:rPr>
          <w:i/>
          <w:iCs/>
        </w:rPr>
        <w:t xml:space="preserve"> 12. Since BMD increases were associated with fracture risk reduction in Studies 20030216 and 20040138, and BMD increases within the same range of the above were observed in Study 20101217, it is reasonable to extrapolate the anti</w:t>
      </w:r>
      <w:r w:rsidR="006F7770">
        <w:rPr>
          <w:i/>
          <w:iCs/>
        </w:rPr>
        <w:t>-</w:t>
      </w:r>
      <w:r>
        <w:rPr>
          <w:i/>
          <w:iCs/>
        </w:rPr>
        <w:t>fracture efficacy of denosumab 60</w:t>
      </w:r>
      <w:r w:rsidR="001350D8">
        <w:rPr>
          <w:i/>
          <w:iCs/>
        </w:rPr>
        <w:t xml:space="preserve"> </w:t>
      </w:r>
      <w:r w:rsidR="001350D8" w:rsidRPr="00667476">
        <w:rPr>
          <w:i/>
          <w:iCs/>
        </w:rPr>
        <w:t>mg</w:t>
      </w:r>
      <w:r w:rsidRPr="00667476">
        <w:rPr>
          <w:i/>
          <w:iCs/>
        </w:rPr>
        <w:t xml:space="preserve"> </w:t>
      </w:r>
      <w:r w:rsidR="00667476" w:rsidRPr="00667476">
        <w:rPr>
          <w:i/>
        </w:rPr>
        <w:t>given every 6 months</w:t>
      </w:r>
      <w:r w:rsidR="00667476">
        <w:rPr>
          <w:i/>
          <w:iCs/>
        </w:rPr>
        <w:t xml:space="preserve"> (</w:t>
      </w:r>
      <w:r>
        <w:rPr>
          <w:i/>
          <w:iCs/>
        </w:rPr>
        <w:t>Q6M</w:t>
      </w:r>
      <w:r w:rsidR="00667476">
        <w:rPr>
          <w:i/>
          <w:iCs/>
        </w:rPr>
        <w:t>)</w:t>
      </w:r>
      <w:r>
        <w:rPr>
          <w:i/>
          <w:iCs/>
        </w:rPr>
        <w:t xml:space="preserve"> to patients with GIOP.</w:t>
      </w:r>
      <w:r w:rsidR="009A3208">
        <w:rPr>
          <w:i/>
          <w:iCs/>
        </w:rPr>
        <w:t>’</w:t>
      </w:r>
      <w:r>
        <w:rPr>
          <w:i/>
          <w:iCs/>
        </w:rPr>
        <w:t xml:space="preserve"> </w:t>
      </w:r>
      <w:r>
        <w:t>Of the two studies for which extrapolation are proposed, the postmenopausal group study included 7</w:t>
      </w:r>
      <w:r w:rsidR="006F7770">
        <w:t>,</w:t>
      </w:r>
      <w:r>
        <w:t>808 women and incidence of new vertebral fractures was also the primary endpoi</w:t>
      </w:r>
      <w:r w:rsidR="006F7770">
        <w:t>nt of that study. However, the e</w:t>
      </w:r>
      <w:r>
        <w:t>valuator notes that fractures tend to occur at a higher BMD in patients receiving glucocorticoid therapy than in postmenopausal osteoporosis</w:t>
      </w:r>
      <w:r w:rsidR="00D30800">
        <w:t>;</w:t>
      </w:r>
      <w:r>
        <w:rPr>
          <w:rStyle w:val="FootnoteReference"/>
        </w:rPr>
        <w:footnoteReference w:id="19"/>
      </w:r>
      <w:r w:rsidR="00211AE1">
        <w:rPr>
          <w:sz w:val="14"/>
          <w:szCs w:val="14"/>
        </w:rPr>
        <w:t xml:space="preserve"> </w:t>
      </w:r>
      <w:r>
        <w:t>and there are differences in the underlying pathogenesis</w:t>
      </w:r>
      <w:r w:rsidR="00D30800">
        <w:t>;</w:t>
      </w:r>
      <w:r w:rsidR="00D30800">
        <w:rPr>
          <w:rStyle w:val="FootnoteReference"/>
        </w:rPr>
        <w:footnoteReference w:id="20"/>
      </w:r>
      <w:r>
        <w:t xml:space="preserve"> therefore extrapolation should be interpreted with caution. In addition, only 12 month data is available for the glucocorticoid study, whereas the two referenced stud</w:t>
      </w:r>
      <w:r w:rsidR="00667476">
        <w:t>ies both have data for up to 36 </w:t>
      </w:r>
      <w:r>
        <w:t>months.</w:t>
      </w:r>
    </w:p>
    <w:p w:rsidR="00AD7CFF" w:rsidRPr="00B36490" w:rsidRDefault="00AD7CFF" w:rsidP="00FB54F5">
      <w:pPr>
        <w:pStyle w:val="Heading5"/>
      </w:pPr>
      <w:r>
        <w:t>Question 10</w:t>
      </w:r>
    </w:p>
    <w:p w:rsidR="00B5042C" w:rsidRPr="00FB54F5" w:rsidRDefault="00B5042C" w:rsidP="00FB54F5">
      <w:pPr>
        <w:rPr>
          <w:b/>
          <w:i/>
        </w:rPr>
      </w:pPr>
      <w:r w:rsidRPr="00FB54F5">
        <w:rPr>
          <w:b/>
          <w:i/>
        </w:rPr>
        <w:t>Provide further justification regarding why the population enrolled in the GC-I sub-population is representative of the treatment population that would be treated in clinical practice – that is, those at high risk of osteoporosis and wi</w:t>
      </w:r>
      <w:r w:rsidR="00D30800" w:rsidRPr="00FB54F5">
        <w:rPr>
          <w:b/>
          <w:i/>
        </w:rPr>
        <w:t>thout established osteoporosis.</w:t>
      </w:r>
    </w:p>
    <w:p w:rsidR="00D30800" w:rsidRPr="00D30800" w:rsidRDefault="006F7770" w:rsidP="00FB54F5">
      <w:pPr>
        <w:pStyle w:val="Heading6"/>
      </w:pPr>
      <w:r>
        <w:t>Sponsor’s response</w:t>
      </w:r>
    </w:p>
    <w:p w:rsidR="00D30800" w:rsidRPr="00D30800" w:rsidRDefault="00D30800" w:rsidP="00D30800">
      <w:r w:rsidRPr="00D30800">
        <w:t xml:space="preserve">The </w:t>
      </w:r>
      <w:r w:rsidR="00A54D03">
        <w:t>sponsor</w:t>
      </w:r>
      <w:r w:rsidRPr="00D30800">
        <w:t xml:space="preserve"> refe</w:t>
      </w:r>
      <w:r w:rsidR="006F7770">
        <w:t>rred to a number of guidelines:</w:t>
      </w:r>
    </w:p>
    <w:p w:rsidR="00D30800" w:rsidRPr="00D30800" w:rsidRDefault="00D30800" w:rsidP="00D30800">
      <w:pPr>
        <w:pStyle w:val="ListBullet"/>
      </w:pPr>
      <w:r w:rsidRPr="00D30800">
        <w:t>International Osteoporosis Foundation (IOF)</w:t>
      </w:r>
      <w:bookmarkStart w:id="79" w:name="_Ref531694506"/>
      <w:r w:rsidR="00AD7CFF">
        <w:t>;</w:t>
      </w:r>
      <w:r w:rsidR="002579D9">
        <w:rPr>
          <w:rStyle w:val="FootnoteReference"/>
        </w:rPr>
        <w:footnoteReference w:id="21"/>
      </w:r>
      <w:bookmarkEnd w:id="79"/>
      <w:r w:rsidRPr="00D30800">
        <w:t xml:space="preserve"> recommends that pharmacologic tre</w:t>
      </w:r>
      <w:r w:rsidR="006F7770">
        <w:t>atment should be considered for</w:t>
      </w:r>
    </w:p>
    <w:p w:rsidR="00D30800" w:rsidRPr="00D30800" w:rsidRDefault="00D30800" w:rsidP="00D30800">
      <w:pPr>
        <w:pStyle w:val="ListBullet2"/>
      </w:pPr>
      <w:r w:rsidRPr="00D30800">
        <w:t xml:space="preserve">postmenopausal women and men </w:t>
      </w:r>
      <w:r w:rsidR="001350D8">
        <w:t xml:space="preserve">≥ </w:t>
      </w:r>
      <w:r w:rsidR="006F7770">
        <w:t>50 years committed to high dose GC therapy (that is,</w:t>
      </w:r>
      <w:r w:rsidRPr="00D30800">
        <w:t xml:space="preserve"> </w:t>
      </w:r>
      <w:r w:rsidR="001350D8">
        <w:t xml:space="preserve">≥ </w:t>
      </w:r>
      <w:r w:rsidRPr="00D30800">
        <w:t>7.5</w:t>
      </w:r>
      <w:r w:rsidR="001350D8">
        <w:t xml:space="preserve"> mg</w:t>
      </w:r>
      <w:r w:rsidR="006F7770">
        <w:t xml:space="preserve">/day prednisone </w:t>
      </w:r>
      <w:r w:rsidRPr="00D30800">
        <w:t xml:space="preserve">equivalent) for </w:t>
      </w:r>
      <w:r w:rsidR="001350D8">
        <w:t xml:space="preserve">≥ </w:t>
      </w:r>
      <w:r w:rsidR="006F7770">
        <w:t>3 months</w:t>
      </w:r>
    </w:p>
    <w:p w:rsidR="00D30800" w:rsidRPr="00D30800" w:rsidRDefault="00D30800" w:rsidP="00D30800">
      <w:pPr>
        <w:pStyle w:val="ListBullet2"/>
      </w:pPr>
      <w:proofErr w:type="gramStart"/>
      <w:r w:rsidRPr="00D30800">
        <w:t>premenopausal</w:t>
      </w:r>
      <w:proofErr w:type="gramEnd"/>
      <w:r w:rsidRPr="00D30800">
        <w:t xml:space="preserve"> women</w:t>
      </w:r>
      <w:r w:rsidR="00C3258C">
        <w:t>,</w:t>
      </w:r>
      <w:r w:rsidRPr="00D30800">
        <w:t xml:space="preserve"> and men </w:t>
      </w:r>
      <w:r w:rsidR="001350D8">
        <w:t xml:space="preserve">&lt; </w:t>
      </w:r>
      <w:r w:rsidRPr="00D30800">
        <w:t>50 years of age if they have a history of fracture or, in the absence of it, based on clinical judg</w:t>
      </w:r>
      <w:r>
        <w:t>ment o</w:t>
      </w:r>
      <w:r w:rsidR="006F7770">
        <w:t>f the treating physician.</w:t>
      </w:r>
    </w:p>
    <w:p w:rsidR="00211AE1" w:rsidRDefault="00D30800" w:rsidP="00D30800">
      <w:r w:rsidRPr="00D30800">
        <w:t xml:space="preserve">GC-I subjects from Study 20101217 fulfilled the IOF criteria for pharmacologic treatment of osteoporosis as they were </w:t>
      </w:r>
      <w:r w:rsidR="006F7770">
        <w:t xml:space="preserve">all committed to receiving high </w:t>
      </w:r>
      <w:r w:rsidRPr="00D30800">
        <w:t>dose GC therapy (</w:t>
      </w:r>
      <w:r w:rsidR="006F7770">
        <w:t>that is,</w:t>
      </w:r>
      <w:r w:rsidRPr="00D30800">
        <w:t xml:space="preserve"> </w:t>
      </w:r>
      <w:r w:rsidR="006F7770">
        <w:t>≥ </w:t>
      </w:r>
      <w:r w:rsidRPr="00D30800">
        <w:t>7.5</w:t>
      </w:r>
      <w:r w:rsidR="006F7770">
        <w:t> </w:t>
      </w:r>
      <w:r w:rsidR="001350D8">
        <w:t>mg</w:t>
      </w:r>
      <w:r w:rsidRPr="00D30800">
        <w:t xml:space="preserve">/day prednisone-equivalent) for </w:t>
      </w:r>
      <w:r w:rsidR="001350D8">
        <w:t xml:space="preserve">≥ </w:t>
      </w:r>
      <w:r w:rsidRPr="00D30800">
        <w:t xml:space="preserve">6 months and those </w:t>
      </w:r>
      <w:r w:rsidR="001350D8">
        <w:t xml:space="preserve">&lt; </w:t>
      </w:r>
      <w:r w:rsidRPr="00D30800">
        <w:t>50 years of age were required to have a history of fragility fracture</w:t>
      </w:r>
      <w:r w:rsidR="00211AE1">
        <w:t>.</w:t>
      </w:r>
    </w:p>
    <w:p w:rsidR="00D30800" w:rsidRPr="00D30800" w:rsidRDefault="00D30800" w:rsidP="00D30800">
      <w:pPr>
        <w:pStyle w:val="ListBullet"/>
      </w:pPr>
      <w:r w:rsidRPr="00D30800">
        <w:t>There are inconsistencies among</w:t>
      </w:r>
      <w:r w:rsidR="006F7770">
        <w:t>st local Australian guidelines:</w:t>
      </w:r>
    </w:p>
    <w:p w:rsidR="00211AE1" w:rsidRDefault="00D30800" w:rsidP="00D30800">
      <w:pPr>
        <w:pStyle w:val="ListBullet2"/>
      </w:pPr>
      <w:r w:rsidRPr="00D30800">
        <w:t xml:space="preserve">Endocrinology Therapeutic Guideline on </w:t>
      </w:r>
      <w:r w:rsidR="009A3208">
        <w:t>‘</w:t>
      </w:r>
      <w:r w:rsidRPr="00D30800">
        <w:t>Osteoporosis</w:t>
      </w:r>
      <w:r w:rsidR="009A3208">
        <w:t>’</w:t>
      </w:r>
      <w:r w:rsidRPr="00D30800">
        <w:t xml:space="preserve"> recommends BMD monitoring and prophylactic treatment for patients with osteopenia or osteoporosis (T score </w:t>
      </w:r>
      <w:r w:rsidR="001350D8">
        <w:t xml:space="preserve">&lt; </w:t>
      </w:r>
      <w:r w:rsidR="006F7770">
        <w:noBreakHyphen/>
      </w:r>
      <w:r w:rsidRPr="00D30800">
        <w:t>1) taking glucocorticoids (prednisolone equivalent of 5</w:t>
      </w:r>
      <w:r w:rsidR="006F7770">
        <w:t> </w:t>
      </w:r>
      <w:r w:rsidR="001350D8">
        <w:t>mg</w:t>
      </w:r>
      <w:r w:rsidRPr="00D30800">
        <w:t xml:space="preserve"> daily or more), with no mention of age</w:t>
      </w:r>
      <w:r w:rsidR="00211AE1">
        <w:t>.</w:t>
      </w:r>
    </w:p>
    <w:p w:rsidR="00211AE1" w:rsidRDefault="00D30800" w:rsidP="00D30800">
      <w:pPr>
        <w:pStyle w:val="ListBullet2"/>
      </w:pPr>
      <w:r w:rsidRPr="00D30800">
        <w:lastRenderedPageBreak/>
        <w:t xml:space="preserve">Osteoporosis Australia recommends preventative therapy for patients older than 50 years on corticosteroid therapy of </w:t>
      </w:r>
      <w:r w:rsidR="001350D8">
        <w:t xml:space="preserve">≥ </w:t>
      </w:r>
      <w:r w:rsidRPr="00D30800">
        <w:t>7.5</w:t>
      </w:r>
      <w:r w:rsidR="001350D8">
        <w:t xml:space="preserve"> mg</w:t>
      </w:r>
      <w:r w:rsidRPr="00D30800">
        <w:t xml:space="preserve"> per day (prednisolone equivalent) for at least 3 months and with a T-score of </w:t>
      </w:r>
      <w:r w:rsidR="001350D8">
        <w:t xml:space="preserve">&lt; </w:t>
      </w:r>
      <w:r w:rsidR="006F7770">
        <w:noBreakHyphen/>
      </w:r>
      <w:r w:rsidRPr="00D30800">
        <w:t>1.5</w:t>
      </w:r>
      <w:r w:rsidR="00211AE1">
        <w:t>.</w:t>
      </w:r>
    </w:p>
    <w:p w:rsidR="00211AE1" w:rsidRDefault="00D30800" w:rsidP="00D30800">
      <w:pPr>
        <w:pStyle w:val="ListBullet2"/>
      </w:pPr>
      <w:r w:rsidRPr="00D30800">
        <w:t xml:space="preserve">The Royal Australian College of General Practitioners (RACGP) guideline on </w:t>
      </w:r>
      <w:r w:rsidR="009A3208">
        <w:t>‘</w:t>
      </w:r>
      <w:r w:rsidRPr="00D30800">
        <w:t>Osteoporosis prevention, diagnosis, and management in postmenopausal women and men over 50 years of age</w:t>
      </w:r>
      <w:r w:rsidR="009A3208">
        <w:t>’</w:t>
      </w:r>
      <w:r w:rsidRPr="00D30800">
        <w:t xml:space="preserve"> recognises the use of glucocorticoid 7.5</w:t>
      </w:r>
      <w:r w:rsidR="001350D8">
        <w:t xml:space="preserve"> mg</w:t>
      </w:r>
      <w:r w:rsidRPr="00D30800">
        <w:t xml:space="preserve"> or more daily for more than 3 months as a major osteoporosis risk factor and recommends anti-osteoporosis medication</w:t>
      </w:r>
      <w:r w:rsidR="00211AE1">
        <w:t>.</w:t>
      </w:r>
    </w:p>
    <w:p w:rsidR="00D30800" w:rsidRDefault="00D30800" w:rsidP="00D30800">
      <w:r>
        <w:t>A significant proportion of GC-I subjects from Study 20101217, especially those 50 years of age or more, also fulfilled local guidelines’ criteria for GIOP intervention.</w:t>
      </w:r>
    </w:p>
    <w:p w:rsidR="00D30800" w:rsidRPr="00D30800" w:rsidRDefault="006F7770" w:rsidP="00FB54F5">
      <w:pPr>
        <w:pStyle w:val="Heading6"/>
      </w:pPr>
      <w:r>
        <w:t>Evaluator comment</w:t>
      </w:r>
    </w:p>
    <w:p w:rsidR="00D30800" w:rsidRDefault="00D30800" w:rsidP="00D30800">
      <w:r w:rsidRPr="00D30800">
        <w:t>It is agreed that the study population is consistent with some elements of the international IOF/European Calcified Tissue Society Framework. It is also noted that the international IOF/European Calcified Tissue Society Framework highlighted that there are other patient groups who may be considered for pharmacological intervention however this is dependent on their risk factors and for some populations, there is limited evidence available to inform this</w:t>
      </w:r>
      <w:r>
        <w:t>.</w:t>
      </w:r>
      <w:r w:rsidR="006F7770" w:rsidRPr="006F7770">
        <w:rPr>
          <w:vertAlign w:val="superscript"/>
        </w:rPr>
        <w:fldChar w:fldCharType="begin"/>
      </w:r>
      <w:r w:rsidR="006F7770" w:rsidRPr="006F7770">
        <w:rPr>
          <w:vertAlign w:val="superscript"/>
        </w:rPr>
        <w:instrText xml:space="preserve"> NOTEREF _Ref531694506 \h </w:instrText>
      </w:r>
      <w:r w:rsidR="006F7770">
        <w:rPr>
          <w:vertAlign w:val="superscript"/>
        </w:rPr>
        <w:instrText xml:space="preserve"> \* MERGEFORMAT </w:instrText>
      </w:r>
      <w:r w:rsidR="006F7770" w:rsidRPr="006F7770">
        <w:rPr>
          <w:vertAlign w:val="superscript"/>
        </w:rPr>
      </w:r>
      <w:r w:rsidR="006F7770" w:rsidRPr="006F7770">
        <w:rPr>
          <w:vertAlign w:val="superscript"/>
        </w:rPr>
        <w:fldChar w:fldCharType="separate"/>
      </w:r>
      <w:r w:rsidR="006F7770" w:rsidRPr="006F7770">
        <w:rPr>
          <w:vertAlign w:val="superscript"/>
        </w:rPr>
        <w:t>19</w:t>
      </w:r>
      <w:r w:rsidR="006F7770" w:rsidRPr="006F7770">
        <w:rPr>
          <w:vertAlign w:val="superscript"/>
        </w:rPr>
        <w:fldChar w:fldCharType="end"/>
      </w:r>
      <w:r w:rsidRPr="00D30800">
        <w:t xml:space="preserve"> This is consistent with the </w:t>
      </w:r>
      <w:r w:rsidR="0065393E">
        <w:t>Study</w:t>
      </w:r>
      <w:r w:rsidR="0065393E" w:rsidRPr="00D30800">
        <w:t xml:space="preserve"> </w:t>
      </w:r>
      <w:r w:rsidRPr="00D30800">
        <w:t xml:space="preserve">20101217 which mostly recruited postmenopausal women and/or an older population (&gt; 95% of subjects were </w:t>
      </w:r>
      <w:r w:rsidR="006F7770">
        <w:t>≥ </w:t>
      </w:r>
      <w:r w:rsidRPr="00D30800">
        <w:t>50 years old in the GC-I) however, there is limited data in this trial to support treatment of other patient subgroups (most notably, younger patients).</w:t>
      </w:r>
    </w:p>
    <w:p w:rsidR="002579D9" w:rsidRDefault="006F7770" w:rsidP="002579D9">
      <w:r>
        <w:t>As noted by the e</w:t>
      </w:r>
      <w:r w:rsidR="002579D9" w:rsidRPr="002579D9">
        <w:t xml:space="preserve">valuator previously and the </w:t>
      </w:r>
      <w:r w:rsidR="00A54D03">
        <w:t>sponsor</w:t>
      </w:r>
      <w:r w:rsidR="002579D9" w:rsidRPr="002579D9">
        <w:t xml:space="preserve"> above, local guidelines offer differing advice regarding the treatment of glucocorticoid associated osteoporosis. This lack of clear local guidance may lead to variation in clinical practice in the local setting. Although reference to T-score is a consistent theme in guidelines at a local level, there was no specific reference to T-score for the GC-I subpopulation in the </w:t>
      </w:r>
      <w:r w:rsidR="0065393E">
        <w:t>Study</w:t>
      </w:r>
      <w:r w:rsidR="0065393E" w:rsidRPr="002579D9">
        <w:t xml:space="preserve"> </w:t>
      </w:r>
      <w:r w:rsidR="002579D9" w:rsidRPr="002579D9">
        <w:t>20101217.</w:t>
      </w:r>
    </w:p>
    <w:p w:rsidR="00AD7CFF" w:rsidRPr="002579D9" w:rsidRDefault="00AD7CFF" w:rsidP="00FB54F5">
      <w:pPr>
        <w:pStyle w:val="Heading5"/>
      </w:pPr>
      <w:r>
        <w:t>Question 11</w:t>
      </w:r>
    </w:p>
    <w:p w:rsidR="00B5042C" w:rsidRPr="00FB54F5" w:rsidRDefault="00B5042C" w:rsidP="00C614F7">
      <w:pPr>
        <w:rPr>
          <w:b/>
          <w:i/>
        </w:rPr>
      </w:pPr>
      <w:r w:rsidRPr="00FB54F5">
        <w:rPr>
          <w:b/>
          <w:i/>
        </w:rPr>
        <w:t>Please provide a subset analysis for the following populations which are more specific to</w:t>
      </w:r>
      <w:r w:rsidR="006F7770" w:rsidRPr="00FB54F5">
        <w:rPr>
          <w:b/>
          <w:i/>
        </w:rPr>
        <w:t xml:space="preserve"> the subpopulations of interes</w:t>
      </w:r>
      <w:r w:rsidR="00D72832" w:rsidRPr="00FB54F5">
        <w:rPr>
          <w:b/>
          <w:i/>
        </w:rPr>
        <w:t>t:</w:t>
      </w:r>
    </w:p>
    <w:p w:rsidR="00B5042C" w:rsidRPr="00FB54F5" w:rsidRDefault="00B5042C" w:rsidP="00B5042C">
      <w:pPr>
        <w:pStyle w:val="ListBullet"/>
        <w:rPr>
          <w:b/>
          <w:i/>
        </w:rPr>
      </w:pPr>
      <w:r w:rsidRPr="00FB54F5">
        <w:rPr>
          <w:b/>
          <w:i/>
        </w:rPr>
        <w:t>The glucocorticoid-continuing subpopulation which</w:t>
      </w:r>
      <w:r w:rsidR="006F7770" w:rsidRPr="00FB54F5">
        <w:rPr>
          <w:b/>
          <w:i/>
        </w:rPr>
        <w:t xml:space="preserve"> excludes post-menopausal women</w:t>
      </w:r>
    </w:p>
    <w:p w:rsidR="00211AE1" w:rsidRPr="00FB54F5" w:rsidRDefault="00B5042C" w:rsidP="00B5042C">
      <w:pPr>
        <w:pStyle w:val="ListBullet"/>
        <w:rPr>
          <w:b/>
          <w:i/>
        </w:rPr>
      </w:pPr>
      <w:r w:rsidRPr="00FB54F5">
        <w:rPr>
          <w:b/>
          <w:i/>
        </w:rPr>
        <w:t xml:space="preserve">The glucocorticoid-initiating subpopulation which excludes subjects with pre-existing osteoporosis (either a history of osteoporotic fracture, current osteoporotic fracture or T score ≤-2.5) and those who had initiated their glucocorticoid treatment </w:t>
      </w:r>
      <w:r w:rsidR="001350D8" w:rsidRPr="00FB54F5">
        <w:rPr>
          <w:b/>
          <w:i/>
        </w:rPr>
        <w:t xml:space="preserve">≥ </w:t>
      </w:r>
      <w:r w:rsidRPr="00FB54F5">
        <w:rPr>
          <w:b/>
          <w:i/>
        </w:rPr>
        <w:t>3 months ago</w:t>
      </w:r>
    </w:p>
    <w:p w:rsidR="00B5042C" w:rsidRPr="00FB54F5" w:rsidRDefault="00B5042C" w:rsidP="00B5042C">
      <w:pPr>
        <w:rPr>
          <w:b/>
          <w:i/>
        </w:rPr>
      </w:pPr>
      <w:r w:rsidRPr="00FB54F5">
        <w:rPr>
          <w:b/>
          <w:i/>
        </w:rPr>
        <w:t>For these subsets, please provide primary and secondary efficacy outcomes</w:t>
      </w:r>
      <w:r w:rsidR="00D72832" w:rsidRPr="00FB54F5">
        <w:rPr>
          <w:b/>
          <w:i/>
        </w:rPr>
        <w:t>.</w:t>
      </w:r>
    </w:p>
    <w:p w:rsidR="002579D9" w:rsidRDefault="006F7770" w:rsidP="00FB54F5">
      <w:pPr>
        <w:pStyle w:val="Heading6"/>
      </w:pPr>
      <w:r>
        <w:t>Sponsor’s response</w:t>
      </w:r>
      <w:r w:rsidR="00FB54F5">
        <w:t xml:space="preserve"> </w:t>
      </w:r>
      <w:r w:rsidR="00D72832">
        <w:t>(first subpopulation)</w:t>
      </w:r>
    </w:p>
    <w:p w:rsidR="00D72832" w:rsidRPr="00D72832" w:rsidRDefault="00D72832" w:rsidP="00FB54F5">
      <w:pPr>
        <w:pStyle w:val="ListBullet"/>
        <w:rPr>
          <w:i/>
        </w:rPr>
      </w:pPr>
      <w:r w:rsidRPr="00CB0BA6">
        <w:rPr>
          <w:i/>
        </w:rPr>
        <w:t>The glucocorticoid-continuing subpopulation which excludes post-menopausal women</w:t>
      </w:r>
    </w:p>
    <w:p w:rsidR="002579D9" w:rsidRDefault="002579D9" w:rsidP="002579D9">
      <w:r w:rsidRPr="002579D9">
        <w:t>The following two tables were provided</w:t>
      </w:r>
      <w:r w:rsidR="00D72832">
        <w:t>.</w:t>
      </w:r>
    </w:p>
    <w:p w:rsidR="002579D9" w:rsidRDefault="00B0277C" w:rsidP="002579D9">
      <w:pPr>
        <w:pStyle w:val="TableTitle"/>
      </w:pPr>
      <w:r>
        <w:lastRenderedPageBreak/>
        <w:t>Table 2</w:t>
      </w:r>
      <w:r w:rsidR="009A3208">
        <w:t>5</w:t>
      </w:r>
      <w:r>
        <w:t>:</w:t>
      </w:r>
      <w:r w:rsidR="002579D9">
        <w:t xml:space="preserve"> Lumbar </w:t>
      </w:r>
      <w:r>
        <w:t>spine bone mineral density percent change from</w:t>
      </w:r>
      <w:r w:rsidR="002579D9">
        <w:t xml:space="preserve"> Baseline at Month 12 by </w:t>
      </w:r>
      <w:r w:rsidR="00D72832">
        <w:t>subgroup (men/premenopausal women versus postmenopausal women)</w:t>
      </w:r>
      <w:r w:rsidR="002579D9">
        <w:t xml:space="preserve"> (ANCOVA) </w:t>
      </w:r>
      <w:r w:rsidR="00D72832">
        <w:t xml:space="preserve">(primary efficacy set, observed data) (glucocorticoid-continuing subpopulation; Study </w:t>
      </w:r>
      <w:r>
        <w:t xml:space="preserve">20101217 12 </w:t>
      </w:r>
      <w:r w:rsidR="002579D9">
        <w:t xml:space="preserve">month </w:t>
      </w:r>
      <w:r w:rsidR="00D72832">
        <w:t>primary analysis</w:t>
      </w:r>
      <w:r w:rsidR="002579D9">
        <w:t>)</w:t>
      </w:r>
    </w:p>
    <w:p w:rsidR="002579D9" w:rsidRPr="002579D9" w:rsidRDefault="002579D9" w:rsidP="002579D9">
      <w:r>
        <w:rPr>
          <w:noProof/>
          <w:lang w:eastAsia="en-AU"/>
        </w:rPr>
        <w:drawing>
          <wp:inline distT="0" distB="0" distL="0" distR="0" wp14:anchorId="742967AF" wp14:editId="737B8993">
            <wp:extent cx="4037990" cy="4401119"/>
            <wp:effectExtent l="0" t="0" r="635" b="0"/>
            <wp:docPr id="37" name="Picture 37" descr="Table 25: Lumbar spine bone mineral density percent change from Baseline at Month 12 by Subgroup (Men/Premenopausal Women versus Postmenopausal Women) (ANCOVA) (Primary Efficacy Set, Observed Data) (Glucocorticoid-continuing Subpopulation;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38309" cy="4401467"/>
                    </a:xfrm>
                    <a:prstGeom prst="rect">
                      <a:avLst/>
                    </a:prstGeom>
                  </pic:spPr>
                </pic:pic>
              </a:graphicData>
            </a:graphic>
          </wp:inline>
        </w:drawing>
      </w:r>
    </w:p>
    <w:p w:rsidR="002579D9" w:rsidRPr="002579D9" w:rsidRDefault="00B0277C" w:rsidP="002579D9">
      <w:pPr>
        <w:pStyle w:val="TableTitle"/>
      </w:pPr>
      <w:r>
        <w:lastRenderedPageBreak/>
        <w:t>Table 2</w:t>
      </w:r>
      <w:r w:rsidR="009A3208">
        <w:t>6</w:t>
      </w:r>
      <w:r>
        <w:t>:</w:t>
      </w:r>
      <w:r w:rsidR="002579D9">
        <w:t xml:space="preserve"> Total </w:t>
      </w:r>
      <w:r>
        <w:t>hip bone mineral density percent change fro</w:t>
      </w:r>
      <w:r w:rsidR="002579D9">
        <w:t>m Baseline at Month</w:t>
      </w:r>
      <w:r w:rsidR="00D72832">
        <w:t> </w:t>
      </w:r>
      <w:r w:rsidR="002579D9">
        <w:t xml:space="preserve">12 by </w:t>
      </w:r>
      <w:r w:rsidR="00D72832">
        <w:t>subgroup (men/premenopausal women versus postmenopausal women)</w:t>
      </w:r>
      <w:r w:rsidR="002579D9">
        <w:t xml:space="preserve"> (ANCOVA) </w:t>
      </w:r>
      <w:r w:rsidR="00D72832">
        <w:t xml:space="preserve">(primary efficacy set, observed data) (glucocorticoid-continuing subpopulation; Study </w:t>
      </w:r>
      <w:r>
        <w:t xml:space="preserve">20101217 12 </w:t>
      </w:r>
      <w:r w:rsidR="002579D9">
        <w:t xml:space="preserve">month </w:t>
      </w:r>
      <w:r w:rsidR="00D72832">
        <w:t>primary analysis</w:t>
      </w:r>
      <w:r w:rsidR="002579D9">
        <w:t>)</w:t>
      </w:r>
    </w:p>
    <w:p w:rsidR="002579D9" w:rsidRPr="002579D9" w:rsidRDefault="002579D9" w:rsidP="002579D9">
      <w:r>
        <w:rPr>
          <w:noProof/>
          <w:lang w:eastAsia="en-AU"/>
        </w:rPr>
        <w:drawing>
          <wp:inline distT="0" distB="0" distL="0" distR="0" wp14:anchorId="6559C6E8" wp14:editId="4030B1E2">
            <wp:extent cx="3855110" cy="4237018"/>
            <wp:effectExtent l="0" t="0" r="0" b="0"/>
            <wp:docPr id="38" name="Picture 38" descr="Table 25: Total hip bone mineral density percent change from Baseline at Month 12 by Subgroup (Men/Premenopausal Women versus Postmenopausal Women) (ANCOVA) (Primary Efficacy Set, Observed Data) (Glucocorticoid-continuing Subpopulation;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53223" cy="4234944"/>
                    </a:xfrm>
                    <a:prstGeom prst="rect">
                      <a:avLst/>
                    </a:prstGeom>
                  </pic:spPr>
                </pic:pic>
              </a:graphicData>
            </a:graphic>
          </wp:inline>
        </w:drawing>
      </w:r>
    </w:p>
    <w:p w:rsidR="002579D9" w:rsidRPr="002579D9" w:rsidRDefault="002579D9" w:rsidP="00FB54F5">
      <w:pPr>
        <w:pStyle w:val="Heading6"/>
      </w:pPr>
      <w:r w:rsidRPr="002579D9">
        <w:t>Evaluator co</w:t>
      </w:r>
      <w:r w:rsidR="00B0277C">
        <w:t>mment</w:t>
      </w:r>
    </w:p>
    <w:p w:rsidR="00211AE1" w:rsidRDefault="002579D9" w:rsidP="002579D9">
      <w:r w:rsidRPr="002579D9">
        <w:t xml:space="preserve">The subset of pre-menopausal women and men only was smaller than that of post-menopausal women and although the magnitude of difference in BMD percent change from baseline at </w:t>
      </w:r>
      <w:r w:rsidR="00092A8B">
        <w:t>Month</w:t>
      </w:r>
      <w:r w:rsidRPr="002579D9">
        <w:t xml:space="preserve"> 12 was smaller for both lumbar spine and total hip compared to both the total population and the post-menopausal subset, it remained statistically significant for both measures - lumbar spine 1.5% (95% CI 0.1, 2.8) and total hip 1.0% (95% CI 0.1, 1.9)</w:t>
      </w:r>
      <w:r w:rsidR="00211AE1">
        <w:t>.</w:t>
      </w:r>
    </w:p>
    <w:p w:rsidR="00D72832" w:rsidRPr="00D72832" w:rsidRDefault="00D72832" w:rsidP="00FB54F5">
      <w:pPr>
        <w:pStyle w:val="Heading6"/>
      </w:pPr>
      <w:r>
        <w:t>Sponsor’s response (second subpopulation)</w:t>
      </w:r>
    </w:p>
    <w:p w:rsidR="002579D9" w:rsidRPr="006F7770" w:rsidRDefault="002579D9" w:rsidP="00FB54F5">
      <w:pPr>
        <w:pStyle w:val="ListBullet"/>
      </w:pPr>
      <w:r w:rsidRPr="006F7770">
        <w:t>The glucocorticoid-initiating subpopulation which excludes subjects with pre-existing osteoporosis (either a history of osteoporotic fracture, current ost</w:t>
      </w:r>
      <w:r w:rsidR="006F7770">
        <w:t>eoporotic fracture or T</w:t>
      </w:r>
      <w:r w:rsidR="006F7770">
        <w:noBreakHyphen/>
        <w:t xml:space="preserve">score ≤ </w:t>
      </w:r>
      <w:r w:rsidR="006F7770">
        <w:noBreakHyphen/>
      </w:r>
      <w:r w:rsidRPr="006F7770">
        <w:t xml:space="preserve">2.5) and those who had initiated their glucocorticoid treatment </w:t>
      </w:r>
      <w:r w:rsidR="001350D8" w:rsidRPr="006F7770">
        <w:t xml:space="preserve">≥ </w:t>
      </w:r>
      <w:r w:rsidR="006F7770">
        <w:t>3 months ago.</w:t>
      </w:r>
    </w:p>
    <w:p w:rsidR="002579D9" w:rsidRDefault="002579D9" w:rsidP="002579D9">
      <w:r w:rsidRPr="002579D9">
        <w:t>The following two tables were provided:</w:t>
      </w:r>
    </w:p>
    <w:p w:rsidR="002579D9" w:rsidRPr="002579D9" w:rsidRDefault="00B0277C" w:rsidP="002579D9">
      <w:pPr>
        <w:pStyle w:val="TableTitle"/>
        <w:keepLines/>
      </w:pPr>
      <w:r>
        <w:lastRenderedPageBreak/>
        <w:t>Table 2</w:t>
      </w:r>
      <w:r w:rsidR="009A3208">
        <w:t>7</w:t>
      </w:r>
      <w:r>
        <w:t>:</w:t>
      </w:r>
      <w:r w:rsidR="002579D9" w:rsidRPr="002579D9">
        <w:t xml:space="preserve"> Lumbar </w:t>
      </w:r>
      <w:r w:rsidRPr="002579D9">
        <w:t>spine bone mineral density percent change from</w:t>
      </w:r>
      <w:r w:rsidR="002579D9" w:rsidRPr="002579D9">
        <w:t xml:space="preserve"> Baseline at Month 12 by </w:t>
      </w:r>
      <w:r w:rsidR="00D72832" w:rsidRPr="002579D9">
        <w:t xml:space="preserve">subgroup (low risk </w:t>
      </w:r>
      <w:r w:rsidR="00D72832">
        <w:t>versus</w:t>
      </w:r>
      <w:r w:rsidR="00D72832" w:rsidRPr="002579D9">
        <w:t xml:space="preserve"> others)</w:t>
      </w:r>
      <w:r w:rsidR="002579D9" w:rsidRPr="002579D9">
        <w:t xml:space="preserve"> (ANCOVA) </w:t>
      </w:r>
      <w:r w:rsidR="00D72832" w:rsidRPr="002579D9">
        <w:t>(primary efficacy set, observed data) (glucocorticoid-initia</w:t>
      </w:r>
      <w:r w:rsidR="00D72832">
        <w:t>ting subpopulation</w:t>
      </w:r>
      <w:r w:rsidR="006F7770">
        <w:t xml:space="preserve">; </w:t>
      </w:r>
      <w:r w:rsidR="00D72832">
        <w:t xml:space="preserve">Study </w:t>
      </w:r>
      <w:r w:rsidR="006F7770">
        <w:t xml:space="preserve">20101217 12 </w:t>
      </w:r>
      <w:r w:rsidR="002579D9" w:rsidRPr="002579D9">
        <w:t xml:space="preserve">month </w:t>
      </w:r>
      <w:r w:rsidR="00D72832" w:rsidRPr="002579D9">
        <w:t>primary analysis)</w:t>
      </w:r>
    </w:p>
    <w:p w:rsidR="002579D9" w:rsidRDefault="002579D9" w:rsidP="002579D9">
      <w:r>
        <w:rPr>
          <w:noProof/>
          <w:lang w:eastAsia="en-AU"/>
        </w:rPr>
        <w:drawing>
          <wp:inline distT="0" distB="0" distL="0" distR="0" wp14:anchorId="272511C1" wp14:editId="5426ED1B">
            <wp:extent cx="4301337" cy="4893055"/>
            <wp:effectExtent l="0" t="0" r="4445" b="3175"/>
            <wp:docPr id="39" name="Picture 39" descr="Table 27: Lumbar spine bone mineral density percent change from Baseline at Month 12 by Subgroup (Low Risk vs Others) (ANCOVA) (Primary Efficacy Set, Observed Data) (Glucocorticoid-initiating Subpopulation;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02471" cy="4894345"/>
                    </a:xfrm>
                    <a:prstGeom prst="rect">
                      <a:avLst/>
                    </a:prstGeom>
                  </pic:spPr>
                </pic:pic>
              </a:graphicData>
            </a:graphic>
          </wp:inline>
        </w:drawing>
      </w:r>
    </w:p>
    <w:p w:rsidR="002579D9" w:rsidRDefault="00B0277C" w:rsidP="002579D9">
      <w:pPr>
        <w:pStyle w:val="TableTitle"/>
      </w:pPr>
      <w:r>
        <w:lastRenderedPageBreak/>
        <w:t>Table 2</w:t>
      </w:r>
      <w:r w:rsidR="009A3208">
        <w:t>8</w:t>
      </w:r>
      <w:r>
        <w:t>:</w:t>
      </w:r>
      <w:r w:rsidR="002579D9">
        <w:t xml:space="preserve"> Total </w:t>
      </w:r>
      <w:r>
        <w:t xml:space="preserve">hip bone mineral density percent change from </w:t>
      </w:r>
      <w:r w:rsidR="002579D9">
        <w:t>Baseline at M</w:t>
      </w:r>
      <w:r w:rsidR="00747C3C">
        <w:t>onth</w:t>
      </w:r>
      <w:r w:rsidR="006A0CDE">
        <w:t> </w:t>
      </w:r>
      <w:r w:rsidR="00747C3C">
        <w:t xml:space="preserve">12 by </w:t>
      </w:r>
      <w:r w:rsidR="006A0CDE">
        <w:t xml:space="preserve">subgroup </w:t>
      </w:r>
      <w:r w:rsidR="00747C3C">
        <w:t>(</w:t>
      </w:r>
      <w:r w:rsidR="006A0CDE">
        <w:t>low risk versus others</w:t>
      </w:r>
      <w:r w:rsidR="002579D9">
        <w:t>) (ANCOVA) (</w:t>
      </w:r>
      <w:r w:rsidR="006A0CDE">
        <w:t>primary efficacy set, observed data) (glucocorticoid-initiating subpopulation; Study 20101217 12 month primary analysis)</w:t>
      </w:r>
    </w:p>
    <w:p w:rsidR="002579D9" w:rsidRDefault="002579D9" w:rsidP="002579D9">
      <w:r>
        <w:rPr>
          <w:noProof/>
          <w:lang w:eastAsia="en-AU"/>
        </w:rPr>
        <w:drawing>
          <wp:inline distT="0" distB="0" distL="0" distR="0" wp14:anchorId="74631666" wp14:editId="185F2EFC">
            <wp:extent cx="3855110" cy="4446039"/>
            <wp:effectExtent l="0" t="0" r="0" b="0"/>
            <wp:docPr id="40" name="Picture 40" descr="Table 28: Total hip bone mineral density percent change from Baseline at Month 12 by Subgroup (Low Risk vs Others) (ANCOVA) (Primary Efficacy Set, Observed Data) (Glucocorticoid-initiating Subpopulation;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54719" cy="4445589"/>
                    </a:xfrm>
                    <a:prstGeom prst="rect">
                      <a:avLst/>
                    </a:prstGeom>
                  </pic:spPr>
                </pic:pic>
              </a:graphicData>
            </a:graphic>
          </wp:inline>
        </w:drawing>
      </w:r>
    </w:p>
    <w:p w:rsidR="002579D9" w:rsidRPr="002579D9" w:rsidRDefault="006F7770" w:rsidP="009F1A06">
      <w:pPr>
        <w:pStyle w:val="Heading6"/>
      </w:pPr>
      <w:r>
        <w:t>Evaluator comment</w:t>
      </w:r>
    </w:p>
    <w:p w:rsidR="002579D9" w:rsidRPr="002579D9" w:rsidRDefault="002579D9" w:rsidP="002579D9">
      <w:r w:rsidRPr="002579D9">
        <w:t xml:space="preserve">In the subgroup which excluded subjects with pre-existing osteoporosis and those who had initiated their glucocorticoid treatment 3 or more months ago (named ‘low risk’ by the </w:t>
      </w:r>
      <w:r w:rsidR="00A54D03">
        <w:t>sponsor</w:t>
      </w:r>
      <w:r w:rsidRPr="002579D9">
        <w:t xml:space="preserve">), with respect to the lumbar spine BMD percentage change from baseline at </w:t>
      </w:r>
      <w:r w:rsidR="00092A8B">
        <w:t>Month</w:t>
      </w:r>
      <w:r w:rsidRPr="002579D9">
        <w:t xml:space="preserve"> 12 the subgroup showed a similar, but smaller magnitude change, compared to the overall population and the alternate ‘others’ subset: 2.4 (95% confidence interval 1.1, 3.7). For the total hip analysis, the percent change from baseline at 12 months was the same as the overall population and ‘others’ subset with similar 95% confidence interval: 1.5 (0.5, 2.4).</w:t>
      </w:r>
    </w:p>
    <w:p w:rsidR="00B5042C" w:rsidRDefault="006F7770" w:rsidP="00B5042C">
      <w:pPr>
        <w:pStyle w:val="Heading4"/>
      </w:pPr>
      <w:r>
        <w:t>Safety</w:t>
      </w:r>
    </w:p>
    <w:p w:rsidR="006A0CDE" w:rsidRPr="006A0CDE" w:rsidRDefault="006A0CDE" w:rsidP="008C575C">
      <w:pPr>
        <w:pStyle w:val="Heading5"/>
      </w:pPr>
      <w:r>
        <w:t>Question 12</w:t>
      </w:r>
    </w:p>
    <w:p w:rsidR="00211AE1" w:rsidRPr="008C575C" w:rsidRDefault="00B5042C" w:rsidP="008C575C">
      <w:pPr>
        <w:rPr>
          <w:b/>
          <w:i/>
        </w:rPr>
      </w:pPr>
      <w:r w:rsidRPr="008C575C">
        <w:rPr>
          <w:b/>
          <w:i/>
        </w:rPr>
        <w:t>The study report notes that one serious opportunistic infection occurred on the denosumab arm however it is noted that in addition a serious adverse event of ‘</w:t>
      </w:r>
      <w:proofErr w:type="spellStart"/>
      <w:r w:rsidRPr="008C575C">
        <w:rPr>
          <w:b/>
          <w:i/>
        </w:rPr>
        <w:t>Serratia</w:t>
      </w:r>
      <w:proofErr w:type="spellEnd"/>
      <w:r w:rsidRPr="008C575C">
        <w:rPr>
          <w:b/>
          <w:i/>
        </w:rPr>
        <w:t xml:space="preserve"> infection’ was also reported. </w:t>
      </w:r>
      <w:proofErr w:type="spellStart"/>
      <w:r w:rsidRPr="008C575C">
        <w:rPr>
          <w:b/>
          <w:i/>
        </w:rPr>
        <w:t>Serratia</w:t>
      </w:r>
      <w:proofErr w:type="spellEnd"/>
      <w:r w:rsidRPr="008C575C">
        <w:rPr>
          <w:b/>
          <w:i/>
        </w:rPr>
        <w:t xml:space="preserve"> </w:t>
      </w:r>
      <w:proofErr w:type="spellStart"/>
      <w:r w:rsidRPr="008C575C">
        <w:rPr>
          <w:b/>
          <w:i/>
        </w:rPr>
        <w:t>marcescens</w:t>
      </w:r>
      <w:proofErr w:type="spellEnd"/>
      <w:r w:rsidRPr="008C575C">
        <w:rPr>
          <w:b/>
          <w:i/>
        </w:rPr>
        <w:t xml:space="preserve"> is a known opportunistic pathogen; please comment on this case and the significance of this infection</w:t>
      </w:r>
      <w:r w:rsidR="00211AE1" w:rsidRPr="008C575C">
        <w:rPr>
          <w:b/>
          <w:i/>
        </w:rPr>
        <w:t>.</w:t>
      </w:r>
    </w:p>
    <w:p w:rsidR="002579D9" w:rsidRPr="002579D9" w:rsidRDefault="006F7770" w:rsidP="008C575C">
      <w:pPr>
        <w:pStyle w:val="Heading6"/>
      </w:pPr>
      <w:r>
        <w:t>Sponsor’s response</w:t>
      </w:r>
    </w:p>
    <w:p w:rsidR="002579D9" w:rsidRPr="002579D9" w:rsidRDefault="002579D9" w:rsidP="002579D9">
      <w:r w:rsidRPr="002579D9">
        <w:t>This 56 year old male patient had history of</w:t>
      </w:r>
      <w:r w:rsidR="006A0CDE">
        <w:t>:</w:t>
      </w:r>
    </w:p>
    <w:p w:rsidR="00211AE1" w:rsidRDefault="002579D9" w:rsidP="002579D9">
      <w:pPr>
        <w:pStyle w:val="ListBullet"/>
      </w:pPr>
      <w:r w:rsidRPr="002579D9">
        <w:lastRenderedPageBreak/>
        <w:t>Vasculitis for which he had received methylprednisolone 6</w:t>
      </w:r>
      <w:r w:rsidR="001350D8">
        <w:t xml:space="preserve"> mg</w:t>
      </w:r>
      <w:r w:rsidRPr="002579D9">
        <w:t xml:space="preserve"> daily for vasculitis (duration 13 months prior to study initiation) with 6 instances of boluses of 1</w:t>
      </w:r>
      <w:r w:rsidR="00C3258C">
        <w:t>,</w:t>
      </w:r>
      <w:r w:rsidRPr="002579D9">
        <w:t>500</w:t>
      </w:r>
      <w:r w:rsidR="001350D8">
        <w:t xml:space="preserve"> mg</w:t>
      </w:r>
      <w:r w:rsidRPr="002579D9">
        <w:t xml:space="preserve"> daily x 2 days</w:t>
      </w:r>
      <w:r w:rsidR="00211AE1">
        <w:t>.</w:t>
      </w:r>
    </w:p>
    <w:p w:rsidR="002579D9" w:rsidRPr="002579D9" w:rsidRDefault="006F7770" w:rsidP="002579D9">
      <w:pPr>
        <w:pStyle w:val="ListBullet"/>
      </w:pPr>
      <w:r>
        <w:t>Raynaud’s phenomenon</w:t>
      </w:r>
    </w:p>
    <w:p w:rsidR="002579D9" w:rsidRPr="002579D9" w:rsidRDefault="002579D9" w:rsidP="002579D9">
      <w:pPr>
        <w:pStyle w:val="ListBullet"/>
      </w:pPr>
      <w:r w:rsidRPr="002579D9">
        <w:t>Infection of the right foot fifth toe with subsequent amputation and post-operative infection 3 m</w:t>
      </w:r>
      <w:r w:rsidR="006F7770">
        <w:t>onths prior to study initiation.</w:t>
      </w:r>
    </w:p>
    <w:p w:rsidR="00211AE1" w:rsidRDefault="002579D9" w:rsidP="002579D9">
      <w:r w:rsidRPr="002579D9">
        <w:t xml:space="preserve">At baseline, the subject had an </w:t>
      </w:r>
      <w:r w:rsidR="006F7770">
        <w:t xml:space="preserve">elevated white cell count 12.53 x </w:t>
      </w:r>
      <w:r w:rsidRPr="002579D9">
        <w:t>10</w:t>
      </w:r>
      <w:r w:rsidRPr="006F7770">
        <w:rPr>
          <w:vertAlign w:val="superscript"/>
        </w:rPr>
        <w:t>3</w:t>
      </w:r>
      <w:r w:rsidRPr="002579D9">
        <w:t>/</w:t>
      </w:r>
      <w:r w:rsidR="006A0CDE">
        <w:t>µ</w:t>
      </w:r>
      <w:r w:rsidR="006F7770">
        <w:t>L. Approximately 5 </w:t>
      </w:r>
      <w:r w:rsidRPr="002579D9">
        <w:t xml:space="preserve">months after the first dose of study medication, the subject developed a bacterial infection of a purulent necrotic toe (unspecified); the toe wound culture found </w:t>
      </w:r>
      <w:proofErr w:type="spellStart"/>
      <w:r w:rsidRPr="006F7770">
        <w:rPr>
          <w:i/>
        </w:rPr>
        <w:t>Serratia</w:t>
      </w:r>
      <w:proofErr w:type="spellEnd"/>
      <w:r w:rsidRPr="006F7770">
        <w:rPr>
          <w:i/>
        </w:rPr>
        <w:t xml:space="preserve"> </w:t>
      </w:r>
      <w:proofErr w:type="spellStart"/>
      <w:r w:rsidRPr="006F7770">
        <w:rPr>
          <w:i/>
        </w:rPr>
        <w:t>marcescens</w:t>
      </w:r>
      <w:proofErr w:type="spellEnd"/>
      <w:r w:rsidRPr="002579D9">
        <w:t xml:space="preserve"> bacteria. Treatment included antibiotic treatment (ciprofloxacin and fluconazole) and subsequent amputation of the second toe of the right foot. The event resolved approximately after 1 month from the onset and the investigator did not consider the event to be related to investigational product</w:t>
      </w:r>
      <w:r w:rsidR="00211AE1">
        <w:t>.</w:t>
      </w:r>
    </w:p>
    <w:p w:rsidR="002579D9" w:rsidRPr="002579D9" w:rsidRDefault="002579D9" w:rsidP="002579D9">
      <w:r w:rsidRPr="002579D9">
        <w:t xml:space="preserve">The </w:t>
      </w:r>
      <w:r w:rsidR="00A54D03">
        <w:t>sponsor</w:t>
      </w:r>
      <w:r w:rsidRPr="002579D9">
        <w:t xml:space="preserve"> stated that </w:t>
      </w:r>
      <w:r w:rsidR="009A3208">
        <w:t>‘</w:t>
      </w:r>
      <w:r w:rsidRPr="002579D9">
        <w:rPr>
          <w:i/>
        </w:rPr>
        <w:t xml:space="preserve">These pre-existing medical conditions and complications, in conjunction with the prednisone therapy, make this subject more susceptible to infection including an opportunistic infection such as </w:t>
      </w:r>
      <w:proofErr w:type="spellStart"/>
      <w:r w:rsidRPr="002579D9">
        <w:rPr>
          <w:i/>
        </w:rPr>
        <w:t>Serratia</w:t>
      </w:r>
      <w:proofErr w:type="spellEnd"/>
      <w:r w:rsidRPr="002579D9">
        <w:rPr>
          <w:i/>
        </w:rPr>
        <w:t xml:space="preserve"> </w:t>
      </w:r>
      <w:proofErr w:type="spellStart"/>
      <w:r w:rsidRPr="002579D9">
        <w:rPr>
          <w:i/>
        </w:rPr>
        <w:t>marcescens</w:t>
      </w:r>
      <w:proofErr w:type="spellEnd"/>
      <w:r w:rsidR="009A3208">
        <w:rPr>
          <w:i/>
        </w:rPr>
        <w:t>’</w:t>
      </w:r>
      <w:r w:rsidRPr="002579D9">
        <w:t>.</w:t>
      </w:r>
    </w:p>
    <w:p w:rsidR="002579D9" w:rsidRPr="002579D9" w:rsidRDefault="006F7770" w:rsidP="008C575C">
      <w:pPr>
        <w:pStyle w:val="Heading6"/>
      </w:pPr>
      <w:r>
        <w:t>Evaluator comment</w:t>
      </w:r>
    </w:p>
    <w:p w:rsidR="002579D9" w:rsidRPr="002579D9" w:rsidRDefault="002579D9" w:rsidP="002579D9">
      <w:r w:rsidRPr="002579D9">
        <w:t>No further comments.</w:t>
      </w:r>
    </w:p>
    <w:p w:rsidR="00211AE1" w:rsidRPr="008C575C" w:rsidRDefault="00B5042C" w:rsidP="00C614F7">
      <w:pPr>
        <w:rPr>
          <w:b/>
          <w:i/>
        </w:rPr>
      </w:pPr>
      <w:r w:rsidRPr="008C575C">
        <w:rPr>
          <w:b/>
          <w:i/>
        </w:rPr>
        <w:t xml:space="preserve">An event of </w:t>
      </w:r>
      <w:r w:rsidR="009A3208" w:rsidRPr="008C575C">
        <w:rPr>
          <w:b/>
          <w:i/>
        </w:rPr>
        <w:t>‘</w:t>
      </w:r>
      <w:r w:rsidRPr="008C575C">
        <w:rPr>
          <w:b/>
          <w:i/>
        </w:rPr>
        <w:t>drug</w:t>
      </w:r>
      <w:r w:rsidR="00C3258C" w:rsidRPr="008C575C">
        <w:rPr>
          <w:b/>
          <w:i/>
        </w:rPr>
        <w:t xml:space="preserve"> </w:t>
      </w:r>
      <w:r w:rsidRPr="008C575C">
        <w:rPr>
          <w:b/>
          <w:i/>
        </w:rPr>
        <w:t>induced liver injury</w:t>
      </w:r>
      <w:r w:rsidR="009A3208" w:rsidRPr="008C575C">
        <w:rPr>
          <w:b/>
          <w:i/>
        </w:rPr>
        <w:t>’</w:t>
      </w:r>
      <w:r w:rsidRPr="008C575C">
        <w:rPr>
          <w:b/>
          <w:i/>
        </w:rPr>
        <w:t xml:space="preserve"> was reported on the denosumab arm. Please provide additional details about this case</w:t>
      </w:r>
      <w:r w:rsidR="00211AE1" w:rsidRPr="008C575C">
        <w:rPr>
          <w:b/>
          <w:i/>
        </w:rPr>
        <w:t>.</w:t>
      </w:r>
    </w:p>
    <w:p w:rsidR="00AA3318" w:rsidRPr="00AA3318" w:rsidRDefault="00AA3318" w:rsidP="008C575C">
      <w:pPr>
        <w:pStyle w:val="Heading6"/>
        <w:rPr>
          <w:rFonts w:eastAsiaTheme="minorHAnsi"/>
        </w:rPr>
      </w:pPr>
      <w:r>
        <w:t>Sponsor’s comment</w:t>
      </w:r>
    </w:p>
    <w:p w:rsidR="002579D9" w:rsidRPr="002579D9" w:rsidRDefault="002579D9" w:rsidP="002579D9">
      <w:r w:rsidRPr="002579D9">
        <w:t xml:space="preserve">This 44 year old female subject </w:t>
      </w:r>
      <w:r w:rsidR="00AA3318">
        <w:t>[</w:t>
      </w:r>
      <w:r w:rsidR="006F7770">
        <w:t>information redacted</w:t>
      </w:r>
      <w:r w:rsidR="00AA3318">
        <w:t>]</w:t>
      </w:r>
      <w:r w:rsidR="006F7770">
        <w:t xml:space="preserve"> had a history of:</w:t>
      </w:r>
    </w:p>
    <w:p w:rsidR="002579D9" w:rsidRPr="002579D9" w:rsidRDefault="006F7770" w:rsidP="002579D9">
      <w:pPr>
        <w:pStyle w:val="ListBullet"/>
      </w:pPr>
      <w:r>
        <w:t>diabetes mellitus type 2</w:t>
      </w:r>
    </w:p>
    <w:p w:rsidR="002579D9" w:rsidRPr="002579D9" w:rsidRDefault="006F7770" w:rsidP="002579D9">
      <w:pPr>
        <w:pStyle w:val="ListBullet"/>
      </w:pPr>
      <w:r>
        <w:t>hypertension</w:t>
      </w:r>
    </w:p>
    <w:p w:rsidR="002579D9" w:rsidRPr="002579D9" w:rsidRDefault="006F7770" w:rsidP="002579D9">
      <w:pPr>
        <w:pStyle w:val="ListBullet"/>
      </w:pPr>
      <w:r>
        <w:t>rheumatoid arthritis</w:t>
      </w:r>
    </w:p>
    <w:p w:rsidR="002579D9" w:rsidRPr="002579D9" w:rsidRDefault="002579D9" w:rsidP="002579D9">
      <w:pPr>
        <w:pStyle w:val="ListBullet"/>
      </w:pPr>
      <w:r w:rsidRPr="002579D9">
        <w:t>knee</w:t>
      </w:r>
      <w:r w:rsidR="006F7770">
        <w:t xml:space="preserve"> osteoarthritis</w:t>
      </w:r>
    </w:p>
    <w:p w:rsidR="002579D9" w:rsidRPr="002579D9" w:rsidRDefault="002579D9" w:rsidP="002579D9">
      <w:pPr>
        <w:pStyle w:val="ListBullet"/>
      </w:pPr>
      <w:proofErr w:type="gramStart"/>
      <w:r w:rsidRPr="002579D9">
        <w:t>concomitant</w:t>
      </w:r>
      <w:proofErr w:type="gramEnd"/>
      <w:r w:rsidRPr="002579D9">
        <w:t xml:space="preserve"> medication of methotrexate</w:t>
      </w:r>
      <w:r w:rsidR="00C3258C">
        <w:t xml:space="preserve"> </w:t>
      </w:r>
      <w:r w:rsidRPr="002579D9">
        <w:t>15</w:t>
      </w:r>
      <w:r w:rsidR="001350D8">
        <w:t xml:space="preserve"> mg</w:t>
      </w:r>
      <w:r w:rsidR="006F7770">
        <w:t xml:space="preserve"> subcutaneous every 2 weeks.</w:t>
      </w:r>
    </w:p>
    <w:p w:rsidR="00B5042C" w:rsidRPr="005A4276" w:rsidRDefault="002579D9" w:rsidP="005A4276">
      <w:r w:rsidRPr="005A4276">
        <w:t>Approximately 6 months after the first dose of blinded investigational product, the subject developed a no</w:t>
      </w:r>
      <w:r w:rsidR="006F7770">
        <w:t xml:space="preserve">n-serious adverse event of drug </w:t>
      </w:r>
      <w:r w:rsidRPr="005A4276">
        <w:t xml:space="preserve">induced liver injury (verbatim: methotrexate </w:t>
      </w:r>
      <w:proofErr w:type="spellStart"/>
      <w:r w:rsidRPr="005A4276">
        <w:t>hepatoxicity</w:t>
      </w:r>
      <w:proofErr w:type="spellEnd"/>
      <w:r w:rsidRPr="005A4276">
        <w:t xml:space="preserve">). Routine study liver function tests remained </w:t>
      </w:r>
      <w:r w:rsidR="001350D8">
        <w:t xml:space="preserve">&lt; </w:t>
      </w:r>
      <w:r w:rsidRPr="005A4276">
        <w:t xml:space="preserve">3 x within normal limits (WNL) throughout the duration of the adverse event. Treatment included </w:t>
      </w:r>
      <w:proofErr w:type="spellStart"/>
      <w:r w:rsidRPr="005A4276">
        <w:t>Silymarin</w:t>
      </w:r>
      <w:proofErr w:type="spellEnd"/>
      <w:r w:rsidRPr="005A4276">
        <w:t xml:space="preserve"> and the investigational product was continued. The event resolved and the investigator did not consider the event to be related to investigational product.</w:t>
      </w:r>
    </w:p>
    <w:p w:rsidR="00B5042C" w:rsidRDefault="00B0277C" w:rsidP="005A4276">
      <w:pPr>
        <w:pStyle w:val="TableTitle"/>
      </w:pPr>
      <w:r>
        <w:t>Table 2</w:t>
      </w:r>
      <w:r w:rsidR="009A3208">
        <w:t>9</w:t>
      </w:r>
      <w:r>
        <w:t>:</w:t>
      </w:r>
      <w:r w:rsidR="005A4276">
        <w:t xml:space="preserve"> Liver function for subject </w:t>
      </w:r>
      <w:r w:rsidR="00AA3318">
        <w:t>[</w:t>
      </w:r>
      <w:r w:rsidR="006F7770">
        <w:t>information redacted</w:t>
      </w:r>
      <w:r w:rsidR="00AA3318">
        <w:t>]</w:t>
      </w:r>
    </w:p>
    <w:p w:rsidR="005A4276" w:rsidRDefault="005A4276" w:rsidP="004943AE">
      <w:r>
        <w:rPr>
          <w:noProof/>
          <w:lang w:eastAsia="en-AU"/>
        </w:rPr>
        <w:drawing>
          <wp:inline distT="0" distB="0" distL="0" distR="0" wp14:anchorId="3ACA33C0" wp14:editId="7A302589">
            <wp:extent cx="5400040" cy="1589435"/>
            <wp:effectExtent l="0" t="0" r="0" b="0"/>
            <wp:docPr id="43" name="Picture 43" descr="Table 29: Liver function for subject [informatio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1589435"/>
                    </a:xfrm>
                    <a:prstGeom prst="rect">
                      <a:avLst/>
                    </a:prstGeom>
                  </pic:spPr>
                </pic:pic>
              </a:graphicData>
            </a:graphic>
          </wp:inline>
        </w:drawing>
      </w:r>
    </w:p>
    <w:p w:rsidR="005A4276" w:rsidRPr="005A4276" w:rsidRDefault="005A4276" w:rsidP="005A4276">
      <w:r w:rsidRPr="005A4276">
        <w:t xml:space="preserve">The </w:t>
      </w:r>
      <w:r w:rsidR="00A54D03">
        <w:t>sponsor</w:t>
      </w:r>
      <w:r w:rsidRPr="005A4276">
        <w:t xml:space="preserve"> has stated that </w:t>
      </w:r>
      <w:r w:rsidR="009A3208">
        <w:t>‘</w:t>
      </w:r>
      <w:proofErr w:type="gramStart"/>
      <w:r w:rsidRPr="005A4276">
        <w:rPr>
          <w:i/>
        </w:rPr>
        <w:t>The</w:t>
      </w:r>
      <w:proofErr w:type="gramEnd"/>
      <w:r w:rsidRPr="005A4276">
        <w:rPr>
          <w:i/>
        </w:rPr>
        <w:t xml:space="preserve"> investigator reported this non-serious event as </w:t>
      </w:r>
      <w:r w:rsidR="009A3208">
        <w:rPr>
          <w:i/>
        </w:rPr>
        <w:t>‘</w:t>
      </w:r>
      <w:r w:rsidRPr="005A4276">
        <w:rPr>
          <w:i/>
        </w:rPr>
        <w:t xml:space="preserve">methotrexate </w:t>
      </w:r>
      <w:proofErr w:type="spellStart"/>
      <w:r w:rsidRPr="005A4276">
        <w:rPr>
          <w:i/>
        </w:rPr>
        <w:t>hepatoxicity</w:t>
      </w:r>
      <w:proofErr w:type="spellEnd"/>
      <w:r w:rsidR="009A3208">
        <w:rPr>
          <w:i/>
        </w:rPr>
        <w:t>’</w:t>
      </w:r>
      <w:r w:rsidRPr="005A4276">
        <w:rPr>
          <w:i/>
        </w:rPr>
        <w:t xml:space="preserve"> and liver functions test did not support liver injury as the liver </w:t>
      </w:r>
      <w:r w:rsidRPr="005A4276">
        <w:rPr>
          <w:i/>
        </w:rPr>
        <w:lastRenderedPageBreak/>
        <w:t xml:space="preserve">function tests were </w:t>
      </w:r>
      <w:r w:rsidR="001350D8">
        <w:rPr>
          <w:i/>
        </w:rPr>
        <w:t xml:space="preserve">&lt; </w:t>
      </w:r>
      <w:r w:rsidRPr="005A4276">
        <w:rPr>
          <w:i/>
        </w:rPr>
        <w:t xml:space="preserve">3 x within normal limits. This event did not meet </w:t>
      </w:r>
      <w:proofErr w:type="spellStart"/>
      <w:r w:rsidRPr="005A4276">
        <w:rPr>
          <w:i/>
        </w:rPr>
        <w:t>Hy’s</w:t>
      </w:r>
      <w:proofErr w:type="spellEnd"/>
      <w:r w:rsidRPr="005A4276">
        <w:rPr>
          <w:i/>
        </w:rPr>
        <w:t xml:space="preserve"> Law laboratory criteria. </w:t>
      </w:r>
      <w:proofErr w:type="spellStart"/>
      <w:r w:rsidRPr="005A4276">
        <w:rPr>
          <w:i/>
        </w:rPr>
        <w:t>Methofill</w:t>
      </w:r>
      <w:proofErr w:type="spellEnd"/>
      <w:r w:rsidRPr="005A4276">
        <w:rPr>
          <w:i/>
        </w:rPr>
        <w:t xml:space="preserve"> (injectable methotrexate) (Summary of Product Characteristics </w:t>
      </w:r>
      <w:r w:rsidR="00DE1EFB">
        <w:rPr>
          <w:i/>
        </w:rPr>
        <w:t>(</w:t>
      </w:r>
      <w:proofErr w:type="spellStart"/>
      <w:r w:rsidRPr="005A4276">
        <w:rPr>
          <w:i/>
        </w:rPr>
        <w:t>SMPc</w:t>
      </w:r>
      <w:proofErr w:type="spellEnd"/>
      <w:r w:rsidR="00DE1EFB">
        <w:rPr>
          <w:i/>
        </w:rPr>
        <w:t>)</w:t>
      </w:r>
      <w:r w:rsidRPr="005A4276">
        <w:rPr>
          <w:i/>
        </w:rPr>
        <w:t xml:space="preserve"> Section 4.8 </w:t>
      </w:r>
      <w:r w:rsidR="00DE1EFB">
        <w:rPr>
          <w:i/>
        </w:rPr>
        <w:t>(</w:t>
      </w:r>
      <w:r w:rsidRPr="005A4276">
        <w:rPr>
          <w:i/>
        </w:rPr>
        <w:t>Hepatobiliary disorders</w:t>
      </w:r>
      <w:r w:rsidR="00DE1EFB">
        <w:rPr>
          <w:i/>
        </w:rPr>
        <w:t>)</w:t>
      </w:r>
      <w:r w:rsidRPr="005A4276">
        <w:rPr>
          <w:i/>
        </w:rPr>
        <w:t>) is known to cause elevated transaminases (very common) and hepatic failure (very rare)</w:t>
      </w:r>
      <w:r w:rsidR="009A3208">
        <w:t>’</w:t>
      </w:r>
      <w:r w:rsidR="00C3258C">
        <w:t>.</w:t>
      </w:r>
    </w:p>
    <w:p w:rsidR="005A4276" w:rsidRPr="005A4276" w:rsidRDefault="006F7770" w:rsidP="008C575C">
      <w:pPr>
        <w:pStyle w:val="Heading6"/>
      </w:pPr>
      <w:r>
        <w:t>Evaluator comment</w:t>
      </w:r>
    </w:p>
    <w:p w:rsidR="00B5042C" w:rsidRPr="005A4276" w:rsidRDefault="005A4276" w:rsidP="005A4276">
      <w:r w:rsidRPr="005A4276">
        <w:t>No further comments.</w:t>
      </w:r>
    </w:p>
    <w:p w:rsidR="00605AD4" w:rsidRPr="00605AD4" w:rsidRDefault="00605AD4" w:rsidP="00546154">
      <w:pPr>
        <w:pStyle w:val="Heading3"/>
        <w:rPr>
          <w:rFonts w:eastAsia="Cambria"/>
        </w:rPr>
      </w:pPr>
      <w:bookmarkStart w:id="80" w:name="_Toc16166695"/>
      <w:r w:rsidRPr="00605AD4">
        <w:rPr>
          <w:rFonts w:eastAsia="Cambria"/>
        </w:rPr>
        <w:t xml:space="preserve">Second </w:t>
      </w:r>
      <w:r w:rsidR="004943AE">
        <w:rPr>
          <w:rFonts w:eastAsia="Cambria"/>
        </w:rPr>
        <w:t>r</w:t>
      </w:r>
      <w:r w:rsidRPr="00605AD4">
        <w:rPr>
          <w:rFonts w:eastAsia="Cambria"/>
        </w:rPr>
        <w:t xml:space="preserve">ound </w:t>
      </w:r>
      <w:r w:rsidR="004943AE">
        <w:rPr>
          <w:rFonts w:eastAsia="Cambria"/>
        </w:rPr>
        <w:t>b</w:t>
      </w:r>
      <w:r w:rsidRPr="00605AD4">
        <w:rPr>
          <w:rFonts w:eastAsia="Cambria"/>
        </w:rPr>
        <w:t>enefit-</w:t>
      </w:r>
      <w:r w:rsidR="004943AE">
        <w:rPr>
          <w:rFonts w:eastAsia="Cambria"/>
        </w:rPr>
        <w:t>r</w:t>
      </w:r>
      <w:r w:rsidRPr="00605AD4">
        <w:rPr>
          <w:rFonts w:eastAsia="Cambria"/>
        </w:rPr>
        <w:t xml:space="preserve">isk </w:t>
      </w:r>
      <w:r w:rsidR="004943AE">
        <w:rPr>
          <w:rFonts w:eastAsia="Cambria"/>
        </w:rPr>
        <w:t>a</w:t>
      </w:r>
      <w:r w:rsidRPr="00605AD4">
        <w:rPr>
          <w:rFonts w:eastAsia="Cambria"/>
        </w:rPr>
        <w:t>ssessment</w:t>
      </w:r>
      <w:bookmarkEnd w:id="80"/>
    </w:p>
    <w:p w:rsidR="00605AD4" w:rsidRDefault="005A4276" w:rsidP="005A4276">
      <w:r>
        <w:t>T</w:t>
      </w:r>
      <w:r w:rsidRPr="005A4276">
        <w:t xml:space="preserve">he </w:t>
      </w:r>
      <w:r w:rsidR="00A54D03">
        <w:t>sponsor</w:t>
      </w:r>
      <w:r w:rsidRPr="005A4276">
        <w:t xml:space="preserve"> has withdrawn the proposed indications relating to the submitted data and is now proposi</w:t>
      </w:r>
      <w:r w:rsidR="006F7770">
        <w:t>ng a new indication as follows:</w:t>
      </w:r>
    </w:p>
    <w:p w:rsidR="005A4276" w:rsidRDefault="005A4276" w:rsidP="005A4276">
      <w:pPr>
        <w:ind w:left="720"/>
        <w:rPr>
          <w:i/>
        </w:rPr>
      </w:pPr>
      <w:r w:rsidRPr="005A4276">
        <w:rPr>
          <w:i/>
        </w:rPr>
        <w:t>Treatment of bone loss associated with long-term systemic glucocorticoid therapy in adult patients at increased risk of fracture.</w:t>
      </w:r>
    </w:p>
    <w:p w:rsidR="005A4276" w:rsidRDefault="005A4276" w:rsidP="005A4276">
      <w:r w:rsidRPr="005A4276">
        <w:t>The second round benefit-risk assessment has been updated from the first round and also made in the context of the revised indication</w:t>
      </w:r>
      <w:r>
        <w:t>.</w:t>
      </w:r>
    </w:p>
    <w:p w:rsidR="005A4276" w:rsidRPr="005A4276" w:rsidRDefault="005A4276" w:rsidP="005A4276">
      <w:pPr>
        <w:pStyle w:val="Heading4"/>
      </w:pPr>
      <w:r w:rsidRPr="005A4276">
        <w:t>Second round assessment of benefits</w:t>
      </w:r>
    </w:p>
    <w:p w:rsidR="005A4276" w:rsidRDefault="00B0277C" w:rsidP="006F7770">
      <w:pPr>
        <w:pStyle w:val="TableTitle"/>
      </w:pPr>
      <w:r>
        <w:t xml:space="preserve">Table </w:t>
      </w:r>
      <w:r w:rsidR="009A3208">
        <w:t>30</w:t>
      </w:r>
      <w:r w:rsidR="006F7770">
        <w:t>: Second round assessment of benefits</w:t>
      </w:r>
    </w:p>
    <w:tbl>
      <w:tblPr>
        <w:tblStyle w:val="TableTGAblue"/>
        <w:tblW w:w="0" w:type="auto"/>
        <w:tblLook w:val="04A0" w:firstRow="1" w:lastRow="0" w:firstColumn="1" w:lastColumn="0" w:noHBand="0" w:noVBand="1"/>
      </w:tblPr>
      <w:tblGrid>
        <w:gridCol w:w="4360"/>
        <w:gridCol w:w="4360"/>
      </w:tblGrid>
      <w:tr w:rsidR="00383C31" w:rsidRPr="00383C31" w:rsidTr="00383C31">
        <w:trPr>
          <w:cnfStyle w:val="100000000000" w:firstRow="1" w:lastRow="0" w:firstColumn="0" w:lastColumn="0" w:oddVBand="0" w:evenVBand="0" w:oddHBand="0" w:evenHBand="0" w:firstRowFirstColumn="0" w:firstRowLastColumn="0" w:lastRowFirstColumn="0" w:lastRowLastColumn="0"/>
        </w:trPr>
        <w:tc>
          <w:tcPr>
            <w:tcW w:w="4360" w:type="dxa"/>
          </w:tcPr>
          <w:p w:rsidR="00383C31" w:rsidRPr="00383C31" w:rsidRDefault="004943AE" w:rsidP="00383C31">
            <w:r>
              <w:t>Benefits</w:t>
            </w:r>
          </w:p>
        </w:tc>
        <w:tc>
          <w:tcPr>
            <w:tcW w:w="4360" w:type="dxa"/>
          </w:tcPr>
          <w:p w:rsidR="00383C31" w:rsidRPr="00383C31" w:rsidRDefault="00383C31" w:rsidP="00383C31">
            <w:r w:rsidRPr="00383C31">
              <w:t>Strengths and U</w:t>
            </w:r>
            <w:r w:rsidR="004943AE">
              <w:t>ncertainties</w:t>
            </w:r>
          </w:p>
        </w:tc>
      </w:tr>
      <w:tr w:rsidR="00383C31" w:rsidRPr="00383C31" w:rsidTr="00383C31">
        <w:tc>
          <w:tcPr>
            <w:tcW w:w="4360" w:type="dxa"/>
          </w:tcPr>
          <w:p w:rsidR="00383C31" w:rsidRPr="00383C31" w:rsidRDefault="00383C31" w:rsidP="006F7770">
            <w:r>
              <w:t>Denosumab was non-inferior to risedronate for the primary endpoint lumbar spine BMD at 12 months in the glucocorticoid-initiating subpopulation (primary endpoint)</w:t>
            </w:r>
          </w:p>
        </w:tc>
        <w:tc>
          <w:tcPr>
            <w:tcW w:w="4360" w:type="dxa"/>
            <w:vMerge w:val="restart"/>
          </w:tcPr>
          <w:p w:rsidR="00383C31" w:rsidRDefault="00383C31" w:rsidP="006F7770">
            <w:r>
              <w:t>Although this study met its primary endpoint in both the GC-I and GC-C subpopulations, a numb</w:t>
            </w:r>
            <w:r w:rsidR="006F7770">
              <w:t>er of key uncertainties remain:</w:t>
            </w:r>
          </w:p>
          <w:p w:rsidR="00383C31" w:rsidRDefault="00383C31" w:rsidP="006F7770">
            <w:pPr>
              <w:pStyle w:val="ListBullet"/>
            </w:pPr>
            <w:r>
              <w:t>How well do the differences in BMD reflect the more clinically relevant endpoint</w:t>
            </w:r>
            <w:r w:rsidR="006F7770">
              <w:t xml:space="preserve"> of fractures (see risks below)</w:t>
            </w:r>
          </w:p>
          <w:p w:rsidR="00383C31" w:rsidRPr="00383C31" w:rsidRDefault="00383C31" w:rsidP="006F7770">
            <w:pPr>
              <w:pStyle w:val="ListBullet"/>
            </w:pPr>
            <w:r>
              <w:t>Longer term data is still pending (24 month follow up)</w:t>
            </w:r>
            <w:r w:rsidR="006F7770">
              <w:t xml:space="preserve"> therefore longer term efficacy</w:t>
            </w:r>
          </w:p>
          <w:p w:rsidR="00383C31" w:rsidRDefault="00383C31" w:rsidP="006F7770">
            <w:pPr>
              <w:pStyle w:val="ListBullet"/>
            </w:pPr>
            <w:r>
              <w:t xml:space="preserve">Imbalances in baseline characteristics between the two arms may </w:t>
            </w:r>
            <w:r w:rsidR="006F7770">
              <w:t>result in bias of the results</w:t>
            </w:r>
          </w:p>
          <w:p w:rsidR="00383C31" w:rsidRDefault="00383C31" w:rsidP="006F7770">
            <w:pPr>
              <w:pStyle w:val="ListBullet"/>
            </w:pPr>
            <w:r>
              <w:t>Whether the population enrolled into this study is a true reflection of the population likely to be considered for</w:t>
            </w:r>
            <w:r w:rsidR="006F7770">
              <w:t xml:space="preserve"> treatment in clinical practice</w:t>
            </w:r>
          </w:p>
          <w:p w:rsidR="00383C31" w:rsidRPr="00383C31" w:rsidRDefault="00383C31" w:rsidP="006F7770">
            <w:pPr>
              <w:pStyle w:val="ListBullet"/>
            </w:pPr>
            <w:proofErr w:type="gramStart"/>
            <w:r>
              <w:t>the</w:t>
            </w:r>
            <w:proofErr w:type="gramEnd"/>
            <w:r>
              <w:t xml:space="preserve"> optimal dur</w:t>
            </w:r>
            <w:r w:rsidR="006F7770">
              <w:t>ation of treatment is not known.</w:t>
            </w:r>
          </w:p>
        </w:tc>
      </w:tr>
      <w:tr w:rsidR="00383C31" w:rsidRPr="00383C31" w:rsidTr="00383C31">
        <w:tc>
          <w:tcPr>
            <w:tcW w:w="4360" w:type="dxa"/>
          </w:tcPr>
          <w:p w:rsidR="00383C31" w:rsidRPr="00383C31" w:rsidRDefault="00383C31" w:rsidP="006F7770">
            <w:r>
              <w:t>Denosumab was non-inferior to risedronate for the primary endpoint lumbar spine BMD at 12 months in the glucocorticoid-continuing s</w:t>
            </w:r>
            <w:r w:rsidR="006F7770">
              <w:t>ubpopulation (primary endpoint).</w:t>
            </w:r>
          </w:p>
        </w:tc>
        <w:tc>
          <w:tcPr>
            <w:tcW w:w="4360" w:type="dxa"/>
            <w:vMerge/>
          </w:tcPr>
          <w:p w:rsidR="00383C31" w:rsidRPr="00383C31" w:rsidRDefault="00383C31" w:rsidP="00383C31"/>
        </w:tc>
      </w:tr>
      <w:tr w:rsidR="00383C31" w:rsidRPr="00383C31" w:rsidTr="00383C31">
        <w:tc>
          <w:tcPr>
            <w:tcW w:w="4360" w:type="dxa"/>
          </w:tcPr>
          <w:p w:rsidR="00383C31" w:rsidRPr="00383C31" w:rsidRDefault="00383C31" w:rsidP="006F7770">
            <w:r>
              <w:t>Denosumab demonstrated superiority to risedronate for the lumbar spine and total hip BMD at 12 months in both glucocorticoid-continuing and glucocorticoid-initiating subp</w:t>
            </w:r>
            <w:r w:rsidR="006F7770">
              <w:t>opulations (secondary endpoint).</w:t>
            </w:r>
          </w:p>
        </w:tc>
        <w:tc>
          <w:tcPr>
            <w:tcW w:w="4360" w:type="dxa"/>
          </w:tcPr>
          <w:p w:rsidR="00383C31" w:rsidRPr="00383C31" w:rsidRDefault="00383C31" w:rsidP="006F7770">
            <w:r>
              <w:t xml:space="preserve">This study demonstrated statistical superiority for the two secondary endpoints reporting at the 12 month mark (others are due to report at 24 month follow up), however the clinical significance of the difference detected </w:t>
            </w:r>
            <w:r>
              <w:lastRenderedPageBreak/>
              <w:t xml:space="preserve">was not addressed by the </w:t>
            </w:r>
            <w:r w:rsidR="00A54D03">
              <w:t>sponsor</w:t>
            </w:r>
            <w:r w:rsidR="006F7770">
              <w:t>.</w:t>
            </w:r>
          </w:p>
        </w:tc>
      </w:tr>
      <w:tr w:rsidR="00383C31" w:rsidRPr="00383C31" w:rsidTr="00383C31">
        <w:tc>
          <w:tcPr>
            <w:tcW w:w="4360" w:type="dxa"/>
          </w:tcPr>
          <w:p w:rsidR="00383C31" w:rsidRDefault="00383C31" w:rsidP="006F7770">
            <w:r>
              <w:lastRenderedPageBreak/>
              <w:t>6 monthly injections of denosumab are associated with better compliance compa</w:t>
            </w:r>
            <w:r w:rsidR="006F7770">
              <w:t>red with daily oral risedronate.</w:t>
            </w:r>
          </w:p>
        </w:tc>
        <w:tc>
          <w:tcPr>
            <w:tcW w:w="4360" w:type="dxa"/>
          </w:tcPr>
          <w:p w:rsidR="00383C31" w:rsidRDefault="00383C31" w:rsidP="006F7770">
            <w:r>
              <w:t xml:space="preserve">Poor compliance with risedronate may have biased the results toward denosumab. The comparison with another parenteral comparator given at infrequent intervals </w:t>
            </w:r>
            <w:r w:rsidR="006F7770">
              <w:t>may have been more appropriate.</w:t>
            </w:r>
          </w:p>
        </w:tc>
      </w:tr>
      <w:tr w:rsidR="00383C31" w:rsidRPr="00383C31" w:rsidTr="00383C31">
        <w:tc>
          <w:tcPr>
            <w:tcW w:w="4360" w:type="dxa"/>
          </w:tcPr>
          <w:p w:rsidR="00383C31" w:rsidRDefault="00383C31" w:rsidP="006F7770">
            <w:r>
              <w:t>The safety profile of denosumab is well documented across a number of studies in different indications; no new safety signals were detected in t</w:t>
            </w:r>
            <w:r w:rsidR="006F7770">
              <w:t>his new population of patients.</w:t>
            </w:r>
          </w:p>
        </w:tc>
        <w:tc>
          <w:tcPr>
            <w:tcW w:w="4360" w:type="dxa"/>
          </w:tcPr>
          <w:p w:rsidR="00211AE1" w:rsidRDefault="00383C31" w:rsidP="006F7770">
            <w:r>
              <w:t>Uncertainties remain for this population due to li</w:t>
            </w:r>
            <w:r w:rsidR="006F7770">
              <w:t>mited duration of follow up (12 </w:t>
            </w:r>
            <w:r>
              <w:t>months; 24 month follow up is planned)</w:t>
            </w:r>
            <w:r w:rsidR="00211AE1">
              <w:t>.</w:t>
            </w:r>
          </w:p>
          <w:p w:rsidR="00383C31" w:rsidRDefault="00383C31" w:rsidP="006F7770">
            <w:r>
              <w:t>Data for the individual subpopulations was not provided therefore any differences in safety profile between the t</w:t>
            </w:r>
            <w:r w:rsidR="006F7770">
              <w:t>wo subpopulations is not known.</w:t>
            </w:r>
          </w:p>
        </w:tc>
      </w:tr>
    </w:tbl>
    <w:p w:rsidR="00383C31" w:rsidRDefault="00383C31" w:rsidP="00383C31">
      <w:pPr>
        <w:pStyle w:val="Heading4"/>
      </w:pPr>
      <w:r>
        <w:t>Second round assessment of risks</w:t>
      </w:r>
    </w:p>
    <w:p w:rsidR="006F7770" w:rsidRPr="006F7770" w:rsidRDefault="00B0277C" w:rsidP="006F7770">
      <w:pPr>
        <w:pStyle w:val="TableTitle"/>
      </w:pPr>
      <w:r>
        <w:t>Table 3</w:t>
      </w:r>
      <w:r w:rsidR="009A3208">
        <w:t>1</w:t>
      </w:r>
      <w:r w:rsidR="006F7770">
        <w:t>: Second round assessment of risks</w:t>
      </w:r>
    </w:p>
    <w:tbl>
      <w:tblPr>
        <w:tblStyle w:val="TableTGAblue"/>
        <w:tblW w:w="0" w:type="auto"/>
        <w:tblLook w:val="04A0" w:firstRow="1" w:lastRow="0" w:firstColumn="1" w:lastColumn="0" w:noHBand="0" w:noVBand="1"/>
      </w:tblPr>
      <w:tblGrid>
        <w:gridCol w:w="4360"/>
        <w:gridCol w:w="4360"/>
      </w:tblGrid>
      <w:tr w:rsidR="00383C31" w:rsidRPr="00383C31" w:rsidTr="00383C31">
        <w:trPr>
          <w:cnfStyle w:val="100000000000" w:firstRow="1" w:lastRow="0" w:firstColumn="0" w:lastColumn="0" w:oddVBand="0" w:evenVBand="0" w:oddHBand="0" w:evenHBand="0" w:firstRowFirstColumn="0" w:firstRowLastColumn="0" w:lastRowFirstColumn="0" w:lastRowLastColumn="0"/>
        </w:trPr>
        <w:tc>
          <w:tcPr>
            <w:tcW w:w="4360" w:type="dxa"/>
          </w:tcPr>
          <w:p w:rsidR="00383C31" w:rsidRPr="00383C31" w:rsidRDefault="004943AE" w:rsidP="00383C31">
            <w:r>
              <w:t>Risks</w:t>
            </w:r>
          </w:p>
        </w:tc>
        <w:tc>
          <w:tcPr>
            <w:tcW w:w="4360" w:type="dxa"/>
          </w:tcPr>
          <w:p w:rsidR="00383C31" w:rsidRPr="00383C31" w:rsidRDefault="004943AE" w:rsidP="00383C31">
            <w:r>
              <w:t>Strengths and Uncertainties</w:t>
            </w:r>
          </w:p>
        </w:tc>
      </w:tr>
      <w:tr w:rsidR="00383C31" w:rsidRPr="00383C31" w:rsidTr="00383C31">
        <w:tc>
          <w:tcPr>
            <w:tcW w:w="4360" w:type="dxa"/>
          </w:tcPr>
          <w:p w:rsidR="00383C31" w:rsidRPr="00383C31" w:rsidRDefault="00383C31" w:rsidP="006F7770">
            <w:r>
              <w:t xml:space="preserve">The fracture risk for this population has not been not clearly determined based on the </w:t>
            </w:r>
            <w:r w:rsidR="0065393E">
              <w:t xml:space="preserve">Study </w:t>
            </w:r>
            <w:r w:rsidR="006F7770">
              <w:t>20101217:</w:t>
            </w:r>
            <w:r>
              <w:t xml:space="preserve"> BMD was the primary endpoint however may not reflect fracture tendency accurately in a population receiving corticosteroids. In terms of fractures reported as adverse events (not an efficacy endpoint reported by the </w:t>
            </w:r>
            <w:r w:rsidR="00A54D03">
              <w:t>sponsor</w:t>
            </w:r>
            <w:r>
              <w:t>; manual calcula</w:t>
            </w:r>
            <w:r w:rsidR="006F7770">
              <w:t>tion by e</w:t>
            </w:r>
            <w:r>
              <w:t>valuator), 34 subjects on the denosumab arm reported a fracture compared to 25 s</w:t>
            </w:r>
            <w:r w:rsidR="006F7770">
              <w:t>ubjects on the risedronate arm.</w:t>
            </w:r>
          </w:p>
        </w:tc>
        <w:tc>
          <w:tcPr>
            <w:tcW w:w="4360" w:type="dxa"/>
          </w:tcPr>
          <w:p w:rsidR="00383C31" w:rsidRPr="00383C31" w:rsidRDefault="00383C31" w:rsidP="006F7770">
            <w:r>
              <w:t xml:space="preserve">It remains unclear to the </w:t>
            </w:r>
            <w:r w:rsidR="009A3208">
              <w:t>evaluator</w:t>
            </w:r>
            <w:r>
              <w:t xml:space="preserve"> whether BMD increase will correlate with a </w:t>
            </w:r>
            <w:r w:rsidR="006F7770">
              <w:t xml:space="preserve">decrease in fracture incidence; </w:t>
            </w:r>
            <w:r>
              <w:t xml:space="preserve">the most clinically relevant outcome. Unfortunately, interpretation of fracture outcomes for this study is limited (for example, this trial was not powered for fracture outcomes and has only 12 month follow up). Extrapolation is proposed by the </w:t>
            </w:r>
            <w:r w:rsidR="00A54D03">
              <w:t>sponsor</w:t>
            </w:r>
            <w:r>
              <w:t xml:space="preserve"> however the robustness of this approach is questioned. The various definitions of ‘fracture’ are also somewhat confusing and the supplied EMA report highlighted a numerical difference in the number of non-vertebral fractures between the risedronate and denosumab arms however this data does not appear to </w:t>
            </w:r>
            <w:r w:rsidR="006F7770">
              <w:t>have been submitted to the TGA.</w:t>
            </w:r>
          </w:p>
        </w:tc>
      </w:tr>
      <w:tr w:rsidR="00383C31" w:rsidRPr="00383C31" w:rsidTr="00383C31">
        <w:tc>
          <w:tcPr>
            <w:tcW w:w="4360" w:type="dxa"/>
          </w:tcPr>
          <w:p w:rsidR="00383C31" w:rsidRPr="00383C31" w:rsidRDefault="00383C31" w:rsidP="006F7770">
            <w:r>
              <w:t>There is potential for additive toxicities of corticosteroids and denosumab due to overlap in the saf</w:t>
            </w:r>
            <w:r w:rsidR="006F7770">
              <w:t>ety profile of these two drugs.</w:t>
            </w:r>
          </w:p>
        </w:tc>
        <w:tc>
          <w:tcPr>
            <w:tcW w:w="4360" w:type="dxa"/>
          </w:tcPr>
          <w:p w:rsidR="00383C31" w:rsidRPr="00383C31" w:rsidRDefault="00383C31" w:rsidP="006F7770">
            <w:r>
              <w:t xml:space="preserve">This study may not be adequate to determine the longer term risk of this combination </w:t>
            </w:r>
            <w:r w:rsidR="006F7770">
              <w:t>(that is &gt; 12 months) or rare risks.</w:t>
            </w:r>
          </w:p>
        </w:tc>
      </w:tr>
      <w:tr w:rsidR="00383C31" w:rsidRPr="00383C31" w:rsidTr="00383C31">
        <w:tc>
          <w:tcPr>
            <w:tcW w:w="4360" w:type="dxa"/>
          </w:tcPr>
          <w:p w:rsidR="00383C31" w:rsidRPr="00383C31" w:rsidRDefault="00383C31" w:rsidP="006F7770">
            <w:r>
              <w:t xml:space="preserve">Rare adverse events, such as </w:t>
            </w:r>
            <w:r>
              <w:lastRenderedPageBreak/>
              <w:t>osteonecrosis of the jaw, have been docum</w:t>
            </w:r>
            <w:r w:rsidR="006F7770">
              <w:t>ented with the use of denosumab.</w:t>
            </w:r>
          </w:p>
        </w:tc>
        <w:tc>
          <w:tcPr>
            <w:tcW w:w="4360" w:type="dxa"/>
          </w:tcPr>
          <w:p w:rsidR="00383C31" w:rsidRPr="00383C31" w:rsidRDefault="00383C31" w:rsidP="006F7770">
            <w:r>
              <w:lastRenderedPageBreak/>
              <w:t xml:space="preserve">Relatively small total number of </w:t>
            </w:r>
            <w:r>
              <w:lastRenderedPageBreak/>
              <w:t xml:space="preserve">patients (N=778) exposed to denosumab for 12 months in the corticosteroid initiated/continuing subpopulations (compared to combined HALT </w:t>
            </w:r>
            <w:r>
              <w:rPr>
                <w:i/>
                <w:iCs/>
              </w:rPr>
              <w:t xml:space="preserve">approximately </w:t>
            </w:r>
            <w:r>
              <w:t xml:space="preserve">1600 and primary osteoporosis populations </w:t>
            </w:r>
            <w:r>
              <w:rPr>
                <w:i/>
                <w:iCs/>
              </w:rPr>
              <w:t xml:space="preserve">approximately </w:t>
            </w:r>
            <w:r>
              <w:t>8000) which may not adequately determine the risk of these r</w:t>
            </w:r>
            <w:r w:rsidR="006F7770">
              <w:t>arer events in this population.</w:t>
            </w:r>
          </w:p>
        </w:tc>
      </w:tr>
    </w:tbl>
    <w:p w:rsidR="00383C31" w:rsidRDefault="00383C31" w:rsidP="00383C31">
      <w:pPr>
        <w:pStyle w:val="Heading4"/>
      </w:pPr>
      <w:r>
        <w:lastRenderedPageBreak/>
        <w:t>Second round assessment of benefit-risk balance</w:t>
      </w:r>
    </w:p>
    <w:p w:rsidR="00383C31" w:rsidRPr="00383C31" w:rsidRDefault="00383C31" w:rsidP="00383C31">
      <w:r w:rsidRPr="00383C31">
        <w:t xml:space="preserve">The benefit-risk balance of denosumab is currently considered unfavourable for the proposed indication. Although the </w:t>
      </w:r>
      <w:r w:rsidR="0065393E">
        <w:t>Study</w:t>
      </w:r>
      <w:r w:rsidR="0065393E" w:rsidRPr="00383C31">
        <w:t xml:space="preserve"> </w:t>
      </w:r>
      <w:r w:rsidRPr="00383C31">
        <w:t>20101217 met its primary endpoint and no new safety signals have been detected, uncertainties remain. In particular, the clinical relevance of BMD has not been clearly shown in this population and there is a lack of corresponding evidence with respect to the mos</w:t>
      </w:r>
      <w:r w:rsidR="006F7770">
        <w:t>t clinically relevant endpoint;</w:t>
      </w:r>
      <w:r w:rsidRPr="00383C31">
        <w:t xml:space="preserve"> fractures. Fractures have been rep</w:t>
      </w:r>
      <w:r w:rsidR="006F7770">
        <w:t xml:space="preserve">orted to occur in as many as 30 to </w:t>
      </w:r>
      <w:r w:rsidRPr="00383C31">
        <w:t>50% of patients receiving long-term glucocorticoids</w:t>
      </w:r>
      <w:r>
        <w:t>.</w:t>
      </w:r>
      <w:r w:rsidR="006F7770" w:rsidRPr="006F7770">
        <w:rPr>
          <w:vertAlign w:val="superscript"/>
        </w:rPr>
        <w:fldChar w:fldCharType="begin"/>
      </w:r>
      <w:r w:rsidR="006F7770" w:rsidRPr="006F7770">
        <w:rPr>
          <w:vertAlign w:val="superscript"/>
        </w:rPr>
        <w:instrText xml:space="preserve"> NOTEREF _Ref531695952 \h </w:instrText>
      </w:r>
      <w:r w:rsidR="006F7770">
        <w:rPr>
          <w:vertAlign w:val="superscript"/>
        </w:rPr>
        <w:instrText xml:space="preserve"> \* MERGEFORMAT </w:instrText>
      </w:r>
      <w:r w:rsidR="006F7770" w:rsidRPr="006F7770">
        <w:rPr>
          <w:vertAlign w:val="superscript"/>
        </w:rPr>
      </w:r>
      <w:r w:rsidR="006F7770" w:rsidRPr="006F7770">
        <w:rPr>
          <w:vertAlign w:val="superscript"/>
        </w:rPr>
        <w:fldChar w:fldCharType="separate"/>
      </w:r>
      <w:r w:rsidR="006F7770" w:rsidRPr="006F7770">
        <w:rPr>
          <w:vertAlign w:val="superscript"/>
        </w:rPr>
        <w:t>7</w:t>
      </w:r>
      <w:r w:rsidR="006F7770" w:rsidRPr="006F7770">
        <w:rPr>
          <w:vertAlign w:val="superscript"/>
        </w:rPr>
        <w:fldChar w:fldCharType="end"/>
      </w:r>
      <w:r w:rsidRPr="00383C31">
        <w:t xml:space="preserve"> A Bayesian meta-regression of data from 22 randomised controlled trials found an annual incidence of vertebral and non-vertebral fracture of 5.1 </w:t>
      </w:r>
      <w:r w:rsidR="006F7770">
        <w:t xml:space="preserve">% (95 % credible interval = 2.8 to </w:t>
      </w:r>
      <w:r w:rsidRPr="00383C31">
        <w:t xml:space="preserve">8.2) and 2.5 </w:t>
      </w:r>
      <w:r w:rsidR="006F7770">
        <w:t xml:space="preserve">% (95 % credible interval = 1.2 to </w:t>
      </w:r>
      <w:r w:rsidRPr="00383C31">
        <w:t>4.2) respectively among glucocorticoid initiators (≤</w:t>
      </w:r>
      <w:r w:rsidR="006F7770">
        <w:t xml:space="preserve"> </w:t>
      </w:r>
      <w:r w:rsidRPr="00383C31">
        <w:t>6 months), and 3.2</w:t>
      </w:r>
      <w:r w:rsidR="006F7770">
        <w:t xml:space="preserve"> % (95 % credible interval = 1.8 to </w:t>
      </w:r>
      <w:r w:rsidRPr="00383C31">
        <w:t>5.0) and 3.0 % (95 % credible inte</w:t>
      </w:r>
      <w:r w:rsidR="006F7770">
        <w:t xml:space="preserve">rval = 0.8 to </w:t>
      </w:r>
      <w:r w:rsidRPr="00383C31">
        <w:t>5.9) respectively among chronic glucocorticoid (&gt; 6 months) users</w:t>
      </w:r>
      <w:r>
        <w:t>.</w:t>
      </w:r>
      <w:r>
        <w:rPr>
          <w:rStyle w:val="FootnoteReference"/>
        </w:rPr>
        <w:footnoteReference w:id="22"/>
      </w:r>
    </w:p>
    <w:p w:rsidR="00383C31" w:rsidRDefault="00383C31" w:rsidP="00383C31">
      <w:r w:rsidRPr="00383C31">
        <w:t xml:space="preserve">In the </w:t>
      </w:r>
      <w:r w:rsidR="0065393E">
        <w:t>Study</w:t>
      </w:r>
      <w:r w:rsidR="0065393E" w:rsidRPr="00383C31">
        <w:t xml:space="preserve"> </w:t>
      </w:r>
      <w:r w:rsidRPr="00383C31">
        <w:t xml:space="preserve">20101217, the various definitions of ‘fracture’ </w:t>
      </w:r>
      <w:proofErr w:type="gramStart"/>
      <w:r w:rsidRPr="00383C31">
        <w:t>adds</w:t>
      </w:r>
      <w:proofErr w:type="gramEnd"/>
      <w:r w:rsidRPr="00383C31">
        <w:t xml:space="preserve"> another level of complication to the interpretation of this data. When considering all fractures (as reported as adverse events), there appears to be a higher number of subjects who reported fractures on the denosumab arm compared to the risedronate arm.</w:t>
      </w:r>
    </w:p>
    <w:p w:rsidR="00383C31" w:rsidRDefault="00383C31" w:rsidP="00383C31">
      <w:pPr>
        <w:pStyle w:val="Heading4"/>
      </w:pPr>
      <w:r>
        <w:t>Second round recommendation regarding authorisation</w:t>
      </w:r>
    </w:p>
    <w:p w:rsidR="00383C31" w:rsidRPr="00383C31" w:rsidRDefault="00383C31" w:rsidP="00383C31">
      <w:r w:rsidRPr="00383C31">
        <w:t>The pro</w:t>
      </w:r>
      <w:r w:rsidR="006F7770">
        <w:t>posed indication is as follows:</w:t>
      </w:r>
    </w:p>
    <w:p w:rsidR="00211AE1" w:rsidRDefault="009A3208" w:rsidP="00383C31">
      <w:pPr>
        <w:ind w:left="720"/>
      </w:pPr>
      <w:r>
        <w:rPr>
          <w:i/>
        </w:rPr>
        <w:t>‘</w:t>
      </w:r>
      <w:r w:rsidR="00383C31" w:rsidRPr="00383C31">
        <w:rPr>
          <w:i/>
        </w:rPr>
        <w:t>Treatment of bone loss associated with long-term systemic glucocorticoid therapy in adult patients at increased risk of fracture</w:t>
      </w:r>
      <w:r>
        <w:rPr>
          <w:i/>
        </w:rPr>
        <w:t>’</w:t>
      </w:r>
      <w:r w:rsidR="00211AE1">
        <w:t>.</w:t>
      </w:r>
    </w:p>
    <w:p w:rsidR="00383C31" w:rsidRPr="00383C31" w:rsidRDefault="00383C31" w:rsidP="00383C31">
      <w:r w:rsidRPr="00383C31">
        <w:t>Approval of denosumab is not recommended for this indica</w:t>
      </w:r>
      <w:r w:rsidR="006F7770">
        <w:t>tion for the following reasons:</w:t>
      </w:r>
    </w:p>
    <w:p w:rsidR="00211AE1" w:rsidRDefault="00383C31" w:rsidP="004B2A45">
      <w:pPr>
        <w:pStyle w:val="Numberbullet0"/>
        <w:numPr>
          <w:ilvl w:val="0"/>
          <w:numId w:val="21"/>
        </w:numPr>
      </w:pPr>
      <w:r w:rsidRPr="00383C31">
        <w:t>Strong evidence regarding the efficacy of denosumab for preventing fracture, the most clinically relevant endpoint, is lacking</w:t>
      </w:r>
      <w:r w:rsidR="00211AE1">
        <w:t>.</w:t>
      </w:r>
    </w:p>
    <w:p w:rsidR="00211AE1" w:rsidRDefault="00383C31" w:rsidP="004B2A45">
      <w:pPr>
        <w:pStyle w:val="Numberbullet0"/>
        <w:numPr>
          <w:ilvl w:val="0"/>
          <w:numId w:val="21"/>
        </w:numPr>
      </w:pPr>
      <w:r w:rsidRPr="00383C31">
        <w:t>Possible increased risk of fracture with denosumab in safety data</w:t>
      </w:r>
      <w:r w:rsidR="00211AE1">
        <w:t>.</w:t>
      </w:r>
    </w:p>
    <w:p w:rsidR="00211AE1" w:rsidRDefault="00383C31" w:rsidP="004B2A45">
      <w:pPr>
        <w:pStyle w:val="Numberbullet0"/>
        <w:numPr>
          <w:ilvl w:val="0"/>
          <w:numId w:val="21"/>
        </w:numPr>
      </w:pPr>
      <w:r w:rsidRPr="00383C31">
        <w:t>It is unclear whether the population recruited to this study adequately represents the range of patients who may be considered for treatment. Overall, more than 90% of subjects were older than 50 years old and many were post-menopausal women. Although patients are likely to be treated according to risk and increasing age is an important risk factor, other populations such as younger patients are still of relevance</w:t>
      </w:r>
      <w:r w:rsidR="00211AE1">
        <w:t>.</w:t>
      </w:r>
    </w:p>
    <w:p w:rsidR="006A0050" w:rsidRDefault="00383C31" w:rsidP="004B2A45">
      <w:pPr>
        <w:pStyle w:val="Numberbullet0"/>
        <w:numPr>
          <w:ilvl w:val="0"/>
          <w:numId w:val="21"/>
        </w:numPr>
      </w:pPr>
      <w:r w:rsidRPr="00383C31">
        <w:lastRenderedPageBreak/>
        <w:t>This study has 12 months of follow up data, providing limited data from both a safety and efficacy point of vi</w:t>
      </w:r>
      <w:r w:rsidR="006F7770">
        <w:t>ew, especially considering that</w:t>
      </w:r>
    </w:p>
    <w:p w:rsidR="00383C31" w:rsidRPr="00383C31" w:rsidRDefault="00383C31" w:rsidP="006A0050">
      <w:pPr>
        <w:pStyle w:val="ListBullet"/>
      </w:pPr>
      <w:r w:rsidRPr="00383C31">
        <w:t>patients may receive corticosteroids to treat chronic diseases and treatment beyond 12 months is feasible</w:t>
      </w:r>
    </w:p>
    <w:p w:rsidR="00383C31" w:rsidRPr="00383C31" w:rsidRDefault="00383C31" w:rsidP="006A0050">
      <w:pPr>
        <w:pStyle w:val="ListBullet"/>
      </w:pPr>
      <w:r w:rsidRPr="00383C31">
        <w:t xml:space="preserve">there is overlap in the safety profiles of denosumab and corticosteroids </w:t>
      </w:r>
    </w:p>
    <w:p w:rsidR="00211AE1" w:rsidRDefault="00383C31" w:rsidP="006A0050">
      <w:pPr>
        <w:pStyle w:val="ListBullet"/>
      </w:pPr>
      <w:proofErr w:type="gramStart"/>
      <w:r w:rsidRPr="00383C31">
        <w:t>there</w:t>
      </w:r>
      <w:proofErr w:type="gramEnd"/>
      <w:r w:rsidRPr="00383C31">
        <w:t xml:space="preserve"> are some rare but important adverse events associa</w:t>
      </w:r>
      <w:r w:rsidR="006A0050">
        <w:t>ted with the use of denosumab</w:t>
      </w:r>
      <w:r w:rsidR="00211AE1">
        <w:t>.</w:t>
      </w:r>
    </w:p>
    <w:p w:rsidR="00383C31" w:rsidRPr="006A0050" w:rsidRDefault="00383C31" w:rsidP="006A0050">
      <w:r w:rsidRPr="006A0050">
        <w:t>Twenty-four month fo</w:t>
      </w:r>
      <w:r w:rsidR="006A0050" w:rsidRPr="006A0050">
        <w:t>llow-up data are still pending.</w:t>
      </w:r>
    </w:p>
    <w:p w:rsidR="008E7846" w:rsidRPr="00E41208" w:rsidRDefault="008E7846" w:rsidP="00546154">
      <w:pPr>
        <w:pStyle w:val="Heading2"/>
      </w:pPr>
      <w:bookmarkStart w:id="81" w:name="_Toc16166696"/>
      <w:r w:rsidRPr="00E41208">
        <w:t>V</w:t>
      </w:r>
      <w:r w:rsidR="00500337">
        <w:t>I</w:t>
      </w:r>
      <w:r w:rsidRPr="00E41208">
        <w:t xml:space="preserve">. Pharmacovigilance </w:t>
      </w:r>
      <w:r>
        <w:t>f</w:t>
      </w:r>
      <w:r w:rsidRPr="00E41208">
        <w:t>indings</w:t>
      </w:r>
      <w:bookmarkEnd w:id="72"/>
      <w:bookmarkEnd w:id="73"/>
      <w:bookmarkEnd w:id="81"/>
    </w:p>
    <w:p w:rsidR="008E7846" w:rsidRDefault="00386150" w:rsidP="008E7846">
      <w:pPr>
        <w:pStyle w:val="Heading3"/>
        <w:rPr>
          <w:lang w:eastAsia="en-AU"/>
        </w:rPr>
      </w:pPr>
      <w:bookmarkStart w:id="82" w:name="_Toc247691526"/>
      <w:bookmarkStart w:id="83" w:name="_Toc314842509"/>
      <w:bookmarkStart w:id="84" w:name="_Toc16166697"/>
      <w:r>
        <w:rPr>
          <w:lang w:eastAsia="en-AU"/>
        </w:rPr>
        <w:t>Risk m</w:t>
      </w:r>
      <w:r w:rsidR="008E7846">
        <w:rPr>
          <w:lang w:eastAsia="en-AU"/>
        </w:rPr>
        <w:t xml:space="preserve">anagement </w:t>
      </w:r>
      <w:r>
        <w:rPr>
          <w:lang w:eastAsia="en-AU"/>
        </w:rPr>
        <w:t>p</w:t>
      </w:r>
      <w:r w:rsidR="008E7846">
        <w:rPr>
          <w:lang w:eastAsia="en-AU"/>
        </w:rPr>
        <w:t>lan</w:t>
      </w:r>
      <w:bookmarkEnd w:id="82"/>
      <w:bookmarkEnd w:id="83"/>
      <w:bookmarkEnd w:id="84"/>
    </w:p>
    <w:p w:rsidR="00456765" w:rsidRDefault="00456765" w:rsidP="00456765">
      <w:pPr>
        <w:pStyle w:val="Heading4"/>
        <w:rPr>
          <w:lang w:eastAsia="en-AU"/>
        </w:rPr>
      </w:pPr>
      <w:bookmarkStart w:id="85" w:name="_Toc247691527"/>
      <w:bookmarkStart w:id="86" w:name="_Toc314842510"/>
      <w:r>
        <w:rPr>
          <w:lang w:eastAsia="en-AU"/>
        </w:rPr>
        <w:t>Summary of RMP evaluation</w:t>
      </w:r>
      <w:r>
        <w:rPr>
          <w:rStyle w:val="FootnoteReference"/>
          <w:lang w:eastAsia="en-AU"/>
        </w:rPr>
        <w:footnoteReference w:id="23"/>
      </w:r>
    </w:p>
    <w:p w:rsidR="00014E57" w:rsidRPr="00014E57" w:rsidRDefault="00014E57" w:rsidP="00014E57">
      <w:pPr>
        <w:pStyle w:val="ListBullet"/>
      </w:pPr>
      <w:r w:rsidRPr="00014E57">
        <w:t>The most recently evaluated AU-RMP for denosumab was version 2.0 (dated 29</w:t>
      </w:r>
      <w:r w:rsidR="00AA3318">
        <w:t> </w:t>
      </w:r>
      <w:r w:rsidRPr="00014E57">
        <w:t xml:space="preserve">August 2012; DLP 26 May 2012) as part of submission PM-2012-02302-3-5. In support of the extended indications, the </w:t>
      </w:r>
      <w:r w:rsidR="00A54D03">
        <w:t>sponsor</w:t>
      </w:r>
      <w:r w:rsidRPr="00014E57">
        <w:t xml:space="preserve"> has submitted EU-RMP version 19 (dated 13 February 2017; DLP 26 September 2016) and ASA version 2.0 (dated 12</w:t>
      </w:r>
      <w:r w:rsidR="00C3258C">
        <w:t> </w:t>
      </w:r>
      <w:r w:rsidRPr="00014E57">
        <w:t xml:space="preserve">April 2017). In its Section 31 response, the </w:t>
      </w:r>
      <w:r w:rsidR="00A54D03">
        <w:t>sponsor</w:t>
      </w:r>
      <w:r w:rsidRPr="00014E57">
        <w:t xml:space="preserve"> submitted EU-RMP version 20 (dated 14 March 2017; DLP 26 September 2015) and ASA version 3.0 (dated 30</w:t>
      </w:r>
      <w:r w:rsidR="00AA3318">
        <w:t> </w:t>
      </w:r>
      <w:r w:rsidRPr="00014E57">
        <w:t>June</w:t>
      </w:r>
      <w:r w:rsidR="00AA3318">
        <w:t> </w:t>
      </w:r>
      <w:r w:rsidRPr="00014E57">
        <w:t>2017).</w:t>
      </w:r>
    </w:p>
    <w:p w:rsidR="00456765" w:rsidRDefault="00014E57" w:rsidP="00014E57">
      <w:pPr>
        <w:pStyle w:val="ListBullet"/>
      </w:pPr>
      <w:r w:rsidRPr="00014E57">
        <w:t xml:space="preserve">The proposed Summary of Safety Concerns and their associated risk monitoring and mitigation strategies are summarised in </w:t>
      </w:r>
      <w:r w:rsidR="00B0277C">
        <w:t>Table 3</w:t>
      </w:r>
      <w:r w:rsidR="009A3208">
        <w:t>2</w:t>
      </w:r>
      <w:r w:rsidRPr="00014E57">
        <w:t xml:space="preserve"> with </w:t>
      </w:r>
      <w:r w:rsidRPr="00014E57">
        <w:rPr>
          <w:b/>
        </w:rPr>
        <w:t>bold text</w:t>
      </w:r>
      <w:r>
        <w:t xml:space="preserve"> </w:t>
      </w:r>
      <w:r w:rsidRPr="00014E57">
        <w:t>the safety con</w:t>
      </w:r>
      <w:r w:rsidR="00B0277C">
        <w:t>cern applicable to the ASA only.</w:t>
      </w:r>
    </w:p>
    <w:p w:rsidR="00014E57" w:rsidRDefault="00B0277C" w:rsidP="00B0277C">
      <w:pPr>
        <w:pStyle w:val="TableTitle"/>
      </w:pPr>
      <w:r>
        <w:t>Table 3</w:t>
      </w:r>
      <w:r w:rsidR="009A3208">
        <w:t>2</w:t>
      </w:r>
      <w:r>
        <w:t>: Summary of safety concerns and pharmacovigilance and risk minimisation measures</w:t>
      </w:r>
    </w:p>
    <w:tbl>
      <w:tblPr>
        <w:tblStyle w:val="TableTGAblue"/>
        <w:tblW w:w="8649" w:type="dxa"/>
        <w:tblLayout w:type="fixed"/>
        <w:tblLook w:val="04A0" w:firstRow="1" w:lastRow="0" w:firstColumn="1" w:lastColumn="0" w:noHBand="0" w:noVBand="1"/>
      </w:tblPr>
      <w:tblGrid>
        <w:gridCol w:w="1384"/>
        <w:gridCol w:w="2977"/>
        <w:gridCol w:w="992"/>
        <w:gridCol w:w="1134"/>
        <w:gridCol w:w="992"/>
        <w:gridCol w:w="1170"/>
      </w:tblGrid>
      <w:tr w:rsidR="00014E57" w:rsidRPr="004F1C07" w:rsidTr="00550A56">
        <w:trPr>
          <w:cnfStyle w:val="100000000000" w:firstRow="1" w:lastRow="0" w:firstColumn="0" w:lastColumn="0" w:oddVBand="0" w:evenVBand="0" w:oddHBand="0" w:evenHBand="0" w:firstRowFirstColumn="0" w:firstRowLastColumn="0" w:lastRowFirstColumn="0" w:lastRowLastColumn="0"/>
          <w:trHeight w:val="126"/>
        </w:trPr>
        <w:tc>
          <w:tcPr>
            <w:tcW w:w="4361" w:type="dxa"/>
            <w:gridSpan w:val="2"/>
            <w:vMerge w:val="restart"/>
          </w:tcPr>
          <w:p w:rsidR="00014E57" w:rsidRPr="004F1C07" w:rsidRDefault="00014E57" w:rsidP="006F7770">
            <w:pPr>
              <w:pStyle w:val="Tabletext"/>
              <w:ind w:left="0" w:right="0"/>
              <w:rPr>
                <w:b w:val="0"/>
              </w:rPr>
            </w:pPr>
            <w:bookmarkStart w:id="87" w:name="_GoBack" w:colFirst="0" w:colLast="5"/>
            <w:r w:rsidRPr="004F1C07">
              <w:t>Summary of safety concerns</w:t>
            </w:r>
          </w:p>
        </w:tc>
        <w:tc>
          <w:tcPr>
            <w:tcW w:w="2126" w:type="dxa"/>
            <w:gridSpan w:val="2"/>
          </w:tcPr>
          <w:p w:rsidR="00014E57" w:rsidRPr="0011726C" w:rsidRDefault="00014E57" w:rsidP="006F7770">
            <w:pPr>
              <w:pStyle w:val="Tabletext"/>
              <w:ind w:left="0" w:right="0"/>
              <w:rPr>
                <w:b w:val="0"/>
                <w:sz w:val="18"/>
              </w:rPr>
            </w:pPr>
            <w:r w:rsidRPr="0011726C">
              <w:rPr>
                <w:sz w:val="18"/>
              </w:rPr>
              <w:t>Pharmacovigilance</w:t>
            </w:r>
          </w:p>
        </w:tc>
        <w:tc>
          <w:tcPr>
            <w:tcW w:w="2162" w:type="dxa"/>
            <w:gridSpan w:val="2"/>
          </w:tcPr>
          <w:p w:rsidR="00014E57" w:rsidRPr="0011726C" w:rsidRDefault="00014E57" w:rsidP="006F7770">
            <w:pPr>
              <w:pStyle w:val="Tabletext"/>
              <w:ind w:left="0" w:right="0"/>
              <w:rPr>
                <w:b w:val="0"/>
                <w:sz w:val="18"/>
              </w:rPr>
            </w:pPr>
            <w:r w:rsidRPr="0011726C">
              <w:rPr>
                <w:sz w:val="18"/>
              </w:rPr>
              <w:t>Risk Minimisation</w:t>
            </w:r>
          </w:p>
        </w:tc>
      </w:tr>
      <w:tr w:rsidR="00014E57" w:rsidRPr="004F1C07" w:rsidTr="00550A56">
        <w:trPr>
          <w:cnfStyle w:val="100000000000" w:firstRow="1" w:lastRow="0" w:firstColumn="0" w:lastColumn="0" w:oddVBand="0" w:evenVBand="0" w:oddHBand="0" w:evenHBand="0" w:firstRowFirstColumn="0" w:firstRowLastColumn="0" w:lastRowFirstColumn="0" w:lastRowLastColumn="0"/>
          <w:trHeight w:val="145"/>
        </w:trPr>
        <w:tc>
          <w:tcPr>
            <w:tcW w:w="4361" w:type="dxa"/>
            <w:gridSpan w:val="2"/>
            <w:vMerge/>
          </w:tcPr>
          <w:p w:rsidR="00014E57" w:rsidRPr="004F1C07" w:rsidRDefault="00014E57" w:rsidP="006F7770">
            <w:pPr>
              <w:pStyle w:val="Tabletext"/>
              <w:ind w:left="0" w:right="0"/>
              <w:rPr>
                <w:b w:val="0"/>
              </w:rPr>
            </w:pPr>
          </w:p>
        </w:tc>
        <w:tc>
          <w:tcPr>
            <w:tcW w:w="992" w:type="dxa"/>
          </w:tcPr>
          <w:p w:rsidR="00014E57" w:rsidRPr="0011726C" w:rsidRDefault="00014E57" w:rsidP="006F7770">
            <w:pPr>
              <w:pStyle w:val="Tabletext"/>
              <w:ind w:left="0" w:right="0"/>
              <w:rPr>
                <w:sz w:val="18"/>
              </w:rPr>
            </w:pPr>
            <w:r w:rsidRPr="0011726C">
              <w:rPr>
                <w:sz w:val="18"/>
              </w:rPr>
              <w:t>Routine</w:t>
            </w:r>
          </w:p>
        </w:tc>
        <w:tc>
          <w:tcPr>
            <w:tcW w:w="1134" w:type="dxa"/>
          </w:tcPr>
          <w:p w:rsidR="00014E57" w:rsidRPr="0011726C" w:rsidRDefault="00014E57" w:rsidP="006F7770">
            <w:pPr>
              <w:pStyle w:val="Tabletext"/>
              <w:ind w:left="0" w:right="0"/>
              <w:rPr>
                <w:sz w:val="18"/>
              </w:rPr>
            </w:pPr>
            <w:r w:rsidRPr="0011726C">
              <w:rPr>
                <w:sz w:val="18"/>
              </w:rPr>
              <w:t>Additional</w:t>
            </w:r>
          </w:p>
        </w:tc>
        <w:tc>
          <w:tcPr>
            <w:tcW w:w="992" w:type="dxa"/>
          </w:tcPr>
          <w:p w:rsidR="00014E57" w:rsidRPr="0011726C" w:rsidRDefault="00014E57" w:rsidP="006F7770">
            <w:pPr>
              <w:pStyle w:val="Tabletext"/>
              <w:ind w:left="0" w:right="0"/>
              <w:rPr>
                <w:sz w:val="18"/>
              </w:rPr>
            </w:pPr>
            <w:r w:rsidRPr="0011726C">
              <w:rPr>
                <w:sz w:val="18"/>
              </w:rPr>
              <w:t>Routine</w:t>
            </w:r>
          </w:p>
        </w:tc>
        <w:tc>
          <w:tcPr>
            <w:tcW w:w="1170" w:type="dxa"/>
          </w:tcPr>
          <w:p w:rsidR="00014E57" w:rsidRPr="0011726C" w:rsidRDefault="00014E57" w:rsidP="006F7770">
            <w:pPr>
              <w:pStyle w:val="Tabletext"/>
              <w:ind w:left="0" w:right="0"/>
              <w:rPr>
                <w:sz w:val="18"/>
              </w:rPr>
            </w:pPr>
            <w:r w:rsidRPr="0011726C">
              <w:rPr>
                <w:sz w:val="18"/>
              </w:rPr>
              <w:t>Additional</w:t>
            </w:r>
          </w:p>
        </w:tc>
      </w:tr>
      <w:bookmarkEnd w:id="87"/>
      <w:tr w:rsidR="00014E57" w:rsidRPr="004F1C07" w:rsidTr="004943AE">
        <w:trPr>
          <w:trHeight w:val="132"/>
        </w:trPr>
        <w:tc>
          <w:tcPr>
            <w:tcW w:w="1384" w:type="dxa"/>
            <w:vMerge w:val="restart"/>
          </w:tcPr>
          <w:p w:rsidR="00014E57" w:rsidRPr="00680101" w:rsidRDefault="00014E57" w:rsidP="006F7770">
            <w:pPr>
              <w:pStyle w:val="Tabletext"/>
              <w:ind w:left="0" w:right="0"/>
              <w:rPr>
                <w:b/>
              </w:rPr>
            </w:pPr>
            <w:r w:rsidRPr="00680101">
              <w:rPr>
                <w:b/>
              </w:rPr>
              <w:t>Important identified risks</w:t>
            </w:r>
          </w:p>
        </w:tc>
        <w:tc>
          <w:tcPr>
            <w:tcW w:w="2977" w:type="dxa"/>
          </w:tcPr>
          <w:p w:rsidR="00014E57" w:rsidRPr="004F1C07" w:rsidRDefault="00014E57" w:rsidP="006F7770">
            <w:pPr>
              <w:pStyle w:val="Tabletext"/>
              <w:ind w:left="0" w:right="0"/>
            </w:pPr>
            <w:r>
              <w:t>Hypocalcaemia</w:t>
            </w:r>
          </w:p>
        </w:tc>
        <w:tc>
          <w:tcPr>
            <w:tcW w:w="992" w:type="dxa"/>
          </w:tcPr>
          <w:p w:rsidR="00014E57" w:rsidRPr="003719E1" w:rsidRDefault="00014E57" w:rsidP="006F7770">
            <w:pPr>
              <w:pStyle w:val="Tabletext"/>
              <w:ind w:left="0" w:right="0"/>
              <w:jc w:val="center"/>
            </w:pPr>
            <w:r w:rsidRPr="003719E1">
              <w:sym w:font="Wingdings" w:char="F0FC"/>
            </w:r>
          </w:p>
        </w:tc>
        <w:tc>
          <w:tcPr>
            <w:tcW w:w="1134" w:type="dxa"/>
          </w:tcPr>
          <w:p w:rsidR="00014E57" w:rsidRPr="003719E1" w:rsidRDefault="00014E57" w:rsidP="006F7770">
            <w:pPr>
              <w:pStyle w:val="Tabletext"/>
              <w:ind w:left="0" w:right="0"/>
              <w:jc w:val="center"/>
            </w:pPr>
            <w:r w:rsidRPr="003719E1">
              <w:sym w:font="Wingdings" w:char="F0FC"/>
            </w:r>
          </w:p>
        </w:tc>
        <w:tc>
          <w:tcPr>
            <w:tcW w:w="992" w:type="dxa"/>
          </w:tcPr>
          <w:p w:rsidR="00014E57" w:rsidRPr="003719E1" w:rsidRDefault="00014E57" w:rsidP="006F7770">
            <w:pPr>
              <w:pStyle w:val="Tabletext"/>
              <w:ind w:left="0" w:right="0"/>
              <w:jc w:val="center"/>
            </w:pPr>
            <w:r w:rsidRPr="003719E1">
              <w:sym w:font="Wingdings" w:char="F0FC"/>
            </w:r>
          </w:p>
        </w:tc>
        <w:tc>
          <w:tcPr>
            <w:tcW w:w="1170" w:type="dxa"/>
          </w:tcPr>
          <w:p w:rsidR="00014E57" w:rsidRPr="003719E1" w:rsidRDefault="00014E57" w:rsidP="006F7770">
            <w:pPr>
              <w:pStyle w:val="Tabletext"/>
              <w:ind w:left="0" w:right="0"/>
              <w:jc w:val="center"/>
            </w:pPr>
            <w:r w:rsidRPr="004E0A4A">
              <w:sym w:font="Wingdings" w:char="F0FC"/>
            </w:r>
            <w:r w:rsidR="006F7770">
              <w:t>*</w:t>
            </w:r>
          </w:p>
        </w:tc>
      </w:tr>
      <w:tr w:rsidR="00014E57" w:rsidRPr="004F1C07" w:rsidTr="004943AE">
        <w:trPr>
          <w:trHeight w:val="159"/>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Skin infection leading to hospitalisation</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t>-</w:t>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45"/>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Osteonecrosis of the jaw</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sym w:font="Wingdings" w:char="F0FC"/>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rsidRPr="004E0A4A">
              <w:sym w:font="Wingdings" w:char="F0FC"/>
            </w:r>
            <w:r w:rsidR="006F7770">
              <w:t>*</w:t>
            </w:r>
          </w:p>
        </w:tc>
      </w:tr>
      <w:tr w:rsidR="00014E57" w:rsidRPr="004F1C07" w:rsidTr="004943AE">
        <w:trPr>
          <w:trHeight w:val="131"/>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Hypersensitivity reactions</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30"/>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Atypical femoral fracture</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sym w:font="Wingdings" w:char="F0FC"/>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rsidRPr="004E0A4A">
              <w:sym w:font="Wingdings" w:char="F0FC"/>
            </w:r>
            <w:r w:rsidR="006F7770">
              <w:t>*</w:t>
            </w:r>
          </w:p>
        </w:tc>
      </w:tr>
      <w:tr w:rsidR="00014E57" w:rsidRPr="004F1C07" w:rsidTr="004943AE">
        <w:trPr>
          <w:trHeight w:val="145"/>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Musculoskeletal pain</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 xml:space="preserve">- </w:t>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45"/>
        </w:trPr>
        <w:tc>
          <w:tcPr>
            <w:tcW w:w="1384" w:type="dxa"/>
            <w:vMerge/>
          </w:tcPr>
          <w:p w:rsidR="00014E57" w:rsidRPr="00680101" w:rsidRDefault="00014E57" w:rsidP="006F7770">
            <w:pPr>
              <w:pStyle w:val="Tabletext"/>
              <w:ind w:left="0" w:right="0"/>
              <w:rPr>
                <w:b/>
              </w:rPr>
            </w:pPr>
          </w:p>
        </w:tc>
        <w:tc>
          <w:tcPr>
            <w:tcW w:w="2977" w:type="dxa"/>
          </w:tcPr>
          <w:p w:rsidR="00014E57" w:rsidRPr="00014E57" w:rsidRDefault="00014E57" w:rsidP="006F7770">
            <w:pPr>
              <w:pStyle w:val="Tabletext"/>
              <w:ind w:left="0" w:right="0"/>
              <w:rPr>
                <w:b/>
              </w:rPr>
            </w:pPr>
            <w:r w:rsidRPr="00014E57">
              <w:rPr>
                <w:b/>
              </w:rPr>
              <w:t xml:space="preserve">Multiple vertebral fractures following discontinuation of </w:t>
            </w:r>
            <w:r w:rsidRPr="00014E57">
              <w:rPr>
                <w:b/>
                <w:smallCaps/>
              </w:rPr>
              <w:t>Prolia</w:t>
            </w:r>
            <w:r w:rsidRPr="00014E57">
              <w:rPr>
                <w:b/>
              </w:rPr>
              <w:t xml:space="preserve"> treatments</w:t>
            </w:r>
            <w:r w:rsidRPr="00014E57">
              <w:rPr>
                <w:b/>
                <w:vertAlign w:val="superscript"/>
              </w:rPr>
              <w:t>#</w:t>
            </w:r>
          </w:p>
        </w:tc>
        <w:tc>
          <w:tcPr>
            <w:tcW w:w="992" w:type="dxa"/>
          </w:tcPr>
          <w:p w:rsidR="00014E57" w:rsidRPr="00014E57" w:rsidRDefault="00014E57" w:rsidP="006F7770">
            <w:pPr>
              <w:pStyle w:val="Tabletext"/>
              <w:ind w:left="0" w:right="0"/>
              <w:jc w:val="center"/>
              <w:rPr>
                <w:b/>
              </w:rPr>
            </w:pPr>
            <w:r w:rsidRPr="00014E57">
              <w:rPr>
                <w:b/>
              </w:rPr>
              <w:sym w:font="Wingdings" w:char="F0FC"/>
            </w:r>
          </w:p>
        </w:tc>
        <w:tc>
          <w:tcPr>
            <w:tcW w:w="1134" w:type="dxa"/>
          </w:tcPr>
          <w:p w:rsidR="00014E57" w:rsidRPr="00014E57" w:rsidRDefault="00014E57" w:rsidP="006F7770">
            <w:pPr>
              <w:pStyle w:val="Tabletext"/>
              <w:ind w:left="0" w:right="0"/>
              <w:jc w:val="center"/>
              <w:rPr>
                <w:b/>
              </w:rPr>
            </w:pPr>
            <w:r w:rsidRPr="00014E57">
              <w:rPr>
                <w:b/>
              </w:rPr>
              <w:t>-</w:t>
            </w:r>
          </w:p>
        </w:tc>
        <w:tc>
          <w:tcPr>
            <w:tcW w:w="992" w:type="dxa"/>
          </w:tcPr>
          <w:p w:rsidR="00014E57" w:rsidRPr="00014E57" w:rsidRDefault="00014E57" w:rsidP="006F7770">
            <w:pPr>
              <w:pStyle w:val="Tabletext"/>
              <w:ind w:left="0" w:right="0"/>
              <w:jc w:val="center"/>
              <w:rPr>
                <w:b/>
              </w:rPr>
            </w:pPr>
            <w:r w:rsidRPr="00014E57">
              <w:rPr>
                <w:b/>
              </w:rPr>
              <w:sym w:font="Wingdings" w:char="F0FC"/>
            </w:r>
          </w:p>
        </w:tc>
        <w:tc>
          <w:tcPr>
            <w:tcW w:w="1170" w:type="dxa"/>
          </w:tcPr>
          <w:p w:rsidR="00014E57" w:rsidRPr="00014E57" w:rsidRDefault="00014E57" w:rsidP="006F7770">
            <w:pPr>
              <w:pStyle w:val="Tabletext"/>
              <w:ind w:left="0" w:right="0"/>
              <w:jc w:val="center"/>
              <w:rPr>
                <w:b/>
              </w:rPr>
            </w:pPr>
            <w:r w:rsidRPr="00014E57">
              <w:rPr>
                <w:b/>
              </w:rPr>
              <w:t>-</w:t>
            </w:r>
          </w:p>
        </w:tc>
      </w:tr>
      <w:tr w:rsidR="00014E57" w:rsidRPr="004F1C07" w:rsidTr="004943AE">
        <w:trPr>
          <w:trHeight w:val="159"/>
        </w:trPr>
        <w:tc>
          <w:tcPr>
            <w:tcW w:w="1384" w:type="dxa"/>
            <w:vMerge w:val="restart"/>
          </w:tcPr>
          <w:p w:rsidR="00014E57" w:rsidRPr="00680101" w:rsidRDefault="00014E57" w:rsidP="006F7770">
            <w:pPr>
              <w:pStyle w:val="Tabletext"/>
              <w:ind w:left="0" w:right="0"/>
              <w:rPr>
                <w:b/>
              </w:rPr>
            </w:pPr>
            <w:r w:rsidRPr="00680101">
              <w:rPr>
                <w:b/>
              </w:rPr>
              <w:t>Important potential risks</w:t>
            </w:r>
          </w:p>
        </w:tc>
        <w:tc>
          <w:tcPr>
            <w:tcW w:w="2977" w:type="dxa"/>
          </w:tcPr>
          <w:p w:rsidR="00014E57" w:rsidRPr="004F1C07" w:rsidRDefault="00014E57" w:rsidP="006F7770">
            <w:pPr>
              <w:pStyle w:val="Tabletext"/>
              <w:ind w:left="0" w:right="0"/>
            </w:pPr>
            <w:r>
              <w:t>Fracture healing complications</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t>-</w:t>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59"/>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Infection</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t>-</w:t>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02"/>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Cataracts in men with prostate cancer receiving androgen deprivation therapy</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sym w:font="Wingdings" w:char="F0FC"/>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59"/>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 xml:space="preserve">Cardiovascular events </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t>-</w:t>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88"/>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Malignancy</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sym w:font="Wingdings" w:char="F0FC"/>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45"/>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Immunogenicity</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sym w:font="Wingdings" w:char="F0FC"/>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17"/>
        </w:trPr>
        <w:tc>
          <w:tcPr>
            <w:tcW w:w="1384" w:type="dxa"/>
            <w:vMerge/>
          </w:tcPr>
          <w:p w:rsidR="00014E57" w:rsidRPr="00680101" w:rsidRDefault="00014E57" w:rsidP="006F7770">
            <w:pPr>
              <w:pStyle w:val="Tabletext"/>
              <w:ind w:left="0" w:right="0"/>
              <w:rPr>
                <w:b/>
              </w:rPr>
            </w:pPr>
          </w:p>
        </w:tc>
        <w:tc>
          <w:tcPr>
            <w:tcW w:w="2977" w:type="dxa"/>
          </w:tcPr>
          <w:p w:rsidR="00014E57" w:rsidRDefault="00014E57" w:rsidP="006F7770">
            <w:pPr>
              <w:pStyle w:val="Tabletext"/>
              <w:ind w:left="0" w:right="0"/>
            </w:pPr>
            <w:r>
              <w:t>Osteonecrosis outside the jaw including external auditory canal</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t>-</w:t>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88"/>
        </w:trPr>
        <w:tc>
          <w:tcPr>
            <w:tcW w:w="1384" w:type="dxa"/>
            <w:vMerge/>
          </w:tcPr>
          <w:p w:rsidR="00014E57" w:rsidRPr="00680101" w:rsidRDefault="00014E57" w:rsidP="006F7770">
            <w:pPr>
              <w:pStyle w:val="Tabletext"/>
              <w:ind w:left="0" w:right="0"/>
              <w:rPr>
                <w:b/>
              </w:rPr>
            </w:pPr>
          </w:p>
        </w:tc>
        <w:tc>
          <w:tcPr>
            <w:tcW w:w="2977" w:type="dxa"/>
          </w:tcPr>
          <w:p w:rsidR="00014E57" w:rsidRPr="004F1C07" w:rsidRDefault="00014E57" w:rsidP="006F7770">
            <w:pPr>
              <w:pStyle w:val="Tabletext"/>
              <w:ind w:left="0" w:right="0"/>
            </w:pPr>
            <w:r>
              <w:t>Hypercalcaemia following treatment discontinuation in patients with growing skeletons</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sym w:font="Wingdings" w:char="F0FC"/>
            </w:r>
          </w:p>
        </w:tc>
        <w:tc>
          <w:tcPr>
            <w:tcW w:w="992" w:type="dxa"/>
          </w:tcPr>
          <w:p w:rsidR="00014E57" w:rsidRPr="004E0A4A" w:rsidRDefault="00014E57" w:rsidP="006F7770">
            <w:pPr>
              <w:pStyle w:val="Tabletext"/>
              <w:ind w:left="0" w:right="0"/>
              <w:jc w:val="center"/>
            </w:pPr>
            <w:r>
              <w:t>-</w:t>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72"/>
        </w:trPr>
        <w:tc>
          <w:tcPr>
            <w:tcW w:w="1384" w:type="dxa"/>
            <w:vMerge w:val="restart"/>
          </w:tcPr>
          <w:p w:rsidR="00014E57" w:rsidRPr="00680101" w:rsidRDefault="00014E57" w:rsidP="006F7770">
            <w:pPr>
              <w:pStyle w:val="Tabletext"/>
              <w:ind w:left="0" w:right="0"/>
              <w:rPr>
                <w:b/>
              </w:rPr>
            </w:pPr>
            <w:r w:rsidRPr="00680101">
              <w:rPr>
                <w:b/>
              </w:rPr>
              <w:t>Missing information</w:t>
            </w:r>
          </w:p>
        </w:tc>
        <w:tc>
          <w:tcPr>
            <w:tcW w:w="2977" w:type="dxa"/>
          </w:tcPr>
          <w:p w:rsidR="00014E57" w:rsidRPr="004F1C07" w:rsidRDefault="00014E57" w:rsidP="006F7770">
            <w:pPr>
              <w:pStyle w:val="Tabletext"/>
              <w:ind w:left="0" w:right="0"/>
            </w:pPr>
            <w:r>
              <w:t>Risks with pregnancy/lactation</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99"/>
        </w:trPr>
        <w:tc>
          <w:tcPr>
            <w:tcW w:w="1384" w:type="dxa"/>
            <w:vMerge/>
          </w:tcPr>
          <w:p w:rsidR="00014E57" w:rsidRPr="004F1C07" w:rsidRDefault="00014E57" w:rsidP="006F7770">
            <w:pPr>
              <w:pStyle w:val="Tabletext"/>
              <w:ind w:left="0" w:right="0"/>
            </w:pPr>
          </w:p>
        </w:tc>
        <w:tc>
          <w:tcPr>
            <w:tcW w:w="2977" w:type="dxa"/>
          </w:tcPr>
          <w:p w:rsidR="00014E57" w:rsidRPr="004F1C07" w:rsidRDefault="00014E57" w:rsidP="006F7770">
            <w:pPr>
              <w:pStyle w:val="Tabletext"/>
              <w:ind w:left="0" w:right="0"/>
            </w:pPr>
            <w:r>
              <w:t>Use in paediatric patients</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rsidRPr="004E0A4A">
              <w:sym w:font="Wingdings" w:char="F0FC"/>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02"/>
        </w:trPr>
        <w:tc>
          <w:tcPr>
            <w:tcW w:w="1384" w:type="dxa"/>
            <w:vMerge/>
          </w:tcPr>
          <w:p w:rsidR="00014E57" w:rsidRPr="004F1C07" w:rsidRDefault="00014E57" w:rsidP="006F7770">
            <w:pPr>
              <w:pStyle w:val="Tabletext"/>
              <w:ind w:left="0" w:right="0"/>
            </w:pPr>
          </w:p>
        </w:tc>
        <w:tc>
          <w:tcPr>
            <w:tcW w:w="2977" w:type="dxa"/>
          </w:tcPr>
          <w:p w:rsidR="00014E57" w:rsidRPr="004F1C07" w:rsidRDefault="00014E57" w:rsidP="006F7770">
            <w:pPr>
              <w:pStyle w:val="Tabletext"/>
              <w:ind w:left="0" w:right="0"/>
            </w:pPr>
            <w:r>
              <w:t>Use in patients with hepatic impairment</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rsidRPr="004E0A4A">
              <w:sym w:font="Wingdings" w:char="F0FC"/>
            </w:r>
          </w:p>
        </w:tc>
        <w:tc>
          <w:tcPr>
            <w:tcW w:w="1170" w:type="dxa"/>
          </w:tcPr>
          <w:p w:rsidR="00014E57" w:rsidRPr="004E0A4A" w:rsidRDefault="00014E57" w:rsidP="006F7770">
            <w:pPr>
              <w:pStyle w:val="Tabletext"/>
              <w:ind w:left="0" w:right="0"/>
              <w:jc w:val="center"/>
            </w:pPr>
            <w:r>
              <w:t>-</w:t>
            </w:r>
          </w:p>
        </w:tc>
      </w:tr>
      <w:tr w:rsidR="00014E57" w:rsidRPr="004F1C07" w:rsidTr="004943AE">
        <w:trPr>
          <w:trHeight w:val="159"/>
        </w:trPr>
        <w:tc>
          <w:tcPr>
            <w:tcW w:w="1384" w:type="dxa"/>
            <w:vMerge/>
          </w:tcPr>
          <w:p w:rsidR="00014E57" w:rsidRPr="004F1C07" w:rsidRDefault="00014E57" w:rsidP="006F7770">
            <w:pPr>
              <w:pStyle w:val="Tabletext"/>
              <w:ind w:left="0" w:right="0"/>
            </w:pPr>
          </w:p>
        </w:tc>
        <w:tc>
          <w:tcPr>
            <w:tcW w:w="2977" w:type="dxa"/>
          </w:tcPr>
          <w:p w:rsidR="00014E57" w:rsidRPr="004F1C07" w:rsidRDefault="00014E57" w:rsidP="006F7770">
            <w:pPr>
              <w:pStyle w:val="Tabletext"/>
              <w:ind w:left="0" w:right="0"/>
            </w:pPr>
            <w:r>
              <w:t>Potential adult off-label use</w:t>
            </w:r>
          </w:p>
        </w:tc>
        <w:tc>
          <w:tcPr>
            <w:tcW w:w="992" w:type="dxa"/>
          </w:tcPr>
          <w:p w:rsidR="00014E57" w:rsidRPr="004E0A4A" w:rsidRDefault="00014E57" w:rsidP="006F7770">
            <w:pPr>
              <w:pStyle w:val="Tabletext"/>
              <w:ind w:left="0" w:right="0"/>
              <w:jc w:val="center"/>
            </w:pPr>
            <w:r w:rsidRPr="004E0A4A">
              <w:sym w:font="Wingdings" w:char="F0FC"/>
            </w:r>
          </w:p>
        </w:tc>
        <w:tc>
          <w:tcPr>
            <w:tcW w:w="1134" w:type="dxa"/>
          </w:tcPr>
          <w:p w:rsidR="00014E57" w:rsidRPr="004E0A4A" w:rsidRDefault="00014E57" w:rsidP="006F7770">
            <w:pPr>
              <w:pStyle w:val="Tabletext"/>
              <w:ind w:left="0" w:right="0"/>
              <w:jc w:val="center"/>
            </w:pPr>
            <w:r>
              <w:t>-</w:t>
            </w:r>
          </w:p>
        </w:tc>
        <w:tc>
          <w:tcPr>
            <w:tcW w:w="992" w:type="dxa"/>
          </w:tcPr>
          <w:p w:rsidR="00014E57" w:rsidRPr="004E0A4A" w:rsidRDefault="00014E57" w:rsidP="006F7770">
            <w:pPr>
              <w:pStyle w:val="Tabletext"/>
              <w:ind w:left="0" w:right="0"/>
              <w:jc w:val="center"/>
            </w:pPr>
            <w:r>
              <w:t>-</w:t>
            </w:r>
          </w:p>
        </w:tc>
        <w:tc>
          <w:tcPr>
            <w:tcW w:w="1170" w:type="dxa"/>
          </w:tcPr>
          <w:p w:rsidR="00014E57" w:rsidRPr="004E0A4A" w:rsidRDefault="00014E57" w:rsidP="006F7770">
            <w:pPr>
              <w:pStyle w:val="Tabletext"/>
              <w:ind w:left="0" w:right="0"/>
              <w:jc w:val="center"/>
            </w:pPr>
            <w:r>
              <w:t>-</w:t>
            </w:r>
          </w:p>
        </w:tc>
      </w:tr>
    </w:tbl>
    <w:p w:rsidR="00014E57" w:rsidRPr="00572273" w:rsidRDefault="00014E57" w:rsidP="00014E57">
      <w:pPr>
        <w:pStyle w:val="TableDescription"/>
      </w:pPr>
      <w:r w:rsidRPr="00572273">
        <w:rPr>
          <w:vertAlign w:val="superscript"/>
        </w:rPr>
        <w:t>#</w:t>
      </w:r>
      <w:r w:rsidRPr="00572273">
        <w:t>Australia-specific risk</w:t>
      </w:r>
      <w:r w:rsidR="006F7770">
        <w:t xml:space="preserve"> *</w:t>
      </w:r>
      <w:r w:rsidRPr="00572273">
        <w:t>Additional risk minimisation measures only in the EU</w:t>
      </w:r>
      <w:r>
        <w:t xml:space="preserve"> (Dear HCP letter and for </w:t>
      </w:r>
      <w:r w:rsidR="009A3208">
        <w:t>‘</w:t>
      </w:r>
      <w:r>
        <w:t>Osteonecrosis of the jaw</w:t>
      </w:r>
      <w:r w:rsidR="009A3208">
        <w:t>’</w:t>
      </w:r>
      <w:r>
        <w:t>- Dear HCP letter and Patient Reminder Card)</w:t>
      </w:r>
    </w:p>
    <w:p w:rsidR="00014E57" w:rsidRDefault="00014E57" w:rsidP="00014E57">
      <w:pPr>
        <w:pStyle w:val="ListBullet"/>
      </w:pPr>
      <w:r w:rsidRPr="00DC386A">
        <w:t>Routine pharmacovigilance has been proposed to monitor all the safety concerns. All additional pharmacovigilance studies are ongoing, four of which involve Australian patients.</w:t>
      </w:r>
    </w:p>
    <w:p w:rsidR="00211AE1" w:rsidRDefault="00014E57" w:rsidP="00014E57">
      <w:pPr>
        <w:pStyle w:val="ListBullet"/>
      </w:pPr>
      <w:r w:rsidRPr="00AA6CBE">
        <w:t>Routine risk minimisation activities are proposed</w:t>
      </w:r>
      <w:r>
        <w:t xml:space="preserve"> for all important identified risks and most important potential risks and missing information except: Fracture healing complications, Infection, Cardiovascular events, Osteonecrosis outside of the jaw including external auditory canal, Hypercalcaemia following treatment discontinuation in patients with growing skeletons, and Potential adult off-label use. </w:t>
      </w:r>
      <w:r>
        <w:lastRenderedPageBreak/>
        <w:t>No a</w:t>
      </w:r>
      <w:r w:rsidRPr="00AA6CBE">
        <w:t>dditional</w:t>
      </w:r>
      <w:r>
        <w:t xml:space="preserve"> risk minimisation activities are proposed for Australia. As there are no new safety concerns </w:t>
      </w:r>
      <w:r w:rsidRPr="00585783">
        <w:t>relating to this submission, this is considered appropriate</w:t>
      </w:r>
      <w:r w:rsidR="00211AE1">
        <w:t>.</w:t>
      </w:r>
    </w:p>
    <w:p w:rsidR="00456765" w:rsidRDefault="00456765" w:rsidP="00456765">
      <w:pPr>
        <w:pStyle w:val="Heading4"/>
      </w:pPr>
      <w:bookmarkStart w:id="88" w:name="_Toc477354123"/>
      <w:r>
        <w:t>New and outstanding recommendations from second round evaluation</w:t>
      </w:r>
      <w:bookmarkEnd w:id="88"/>
    </w:p>
    <w:p w:rsidR="00014E57" w:rsidRPr="00014E57" w:rsidRDefault="00014E57" w:rsidP="00014E57">
      <w:r w:rsidRPr="00014E57">
        <w:t>There is one minor issue at the Round 2 evaluation that should not impede registration:</w:t>
      </w:r>
    </w:p>
    <w:p w:rsidR="00014E57" w:rsidRPr="00014E57" w:rsidRDefault="00014E57" w:rsidP="00014E57">
      <w:r>
        <w:t xml:space="preserve">Recommendation 4: </w:t>
      </w:r>
      <w:r w:rsidRPr="00014E57">
        <w:t xml:space="preserve">The data lock points for versions 19 and 20 of the EU RMP are 26 September 2016 and 26 September 2015 respectively. The </w:t>
      </w:r>
      <w:r w:rsidR="00A54D03">
        <w:t>sponsor</w:t>
      </w:r>
      <w:r w:rsidRPr="00014E57">
        <w:t xml:space="preserve"> should clarify the correct data lock point date.</w:t>
      </w:r>
    </w:p>
    <w:p w:rsidR="00456765" w:rsidRPr="00014E57" w:rsidRDefault="00014E57" w:rsidP="00014E57">
      <w:r w:rsidRPr="00014E57">
        <w:t>In addition, the sponsor should note the proposed wording for the condition of registration relating to PSUR submission, which requires PSURs to be provided in line with the EU reporting schedule</w:t>
      </w:r>
      <w:r w:rsidR="00360841">
        <w:t>.</w:t>
      </w:r>
    </w:p>
    <w:p w:rsidR="00014E57" w:rsidRDefault="00014E57" w:rsidP="00014E57">
      <w:pPr>
        <w:pStyle w:val="Heading4"/>
      </w:pPr>
      <w:bookmarkStart w:id="89" w:name="_Toc485992921"/>
      <w:r w:rsidRPr="00585783">
        <w:t>Other advice to the Delegate</w:t>
      </w:r>
      <w:bookmarkEnd w:id="89"/>
    </w:p>
    <w:p w:rsidR="00211AE1" w:rsidRDefault="00014E57" w:rsidP="00456765">
      <w:r w:rsidRPr="00585783">
        <w:t xml:space="preserve">The Delegate should note that the </w:t>
      </w:r>
      <w:r w:rsidR="00A54D03">
        <w:t>sponsor</w:t>
      </w:r>
      <w:r w:rsidRPr="00585783">
        <w:t xml:space="preserve"> has removed </w:t>
      </w:r>
      <w:r w:rsidR="009A3208">
        <w:t>‘</w:t>
      </w:r>
      <w:r w:rsidRPr="00585783">
        <w:t xml:space="preserve">cataracts in men with prostate cancer receiving androgen deprivation </w:t>
      </w:r>
      <w:r w:rsidRPr="005E0E69">
        <w:t>therapy</w:t>
      </w:r>
      <w:r w:rsidR="009A3208">
        <w:t>’</w:t>
      </w:r>
      <w:r>
        <w:t xml:space="preserve"> as an important identified risk from the EU RMP (version 20.0) and the ASA (version 3.0), following the completion of Study</w:t>
      </w:r>
      <w:r w:rsidR="00360841">
        <w:t> </w:t>
      </w:r>
      <w:r>
        <w:t>20080560 (see section 3.1)</w:t>
      </w:r>
      <w:r w:rsidR="00211AE1">
        <w:t>.</w:t>
      </w:r>
    </w:p>
    <w:p w:rsidR="008E7846" w:rsidRPr="00792A32" w:rsidRDefault="008E7846" w:rsidP="008E7846">
      <w:pPr>
        <w:pStyle w:val="Heading2"/>
      </w:pPr>
      <w:bookmarkStart w:id="90" w:name="_Toc1616669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4"/>
      <w:bookmarkEnd w:id="85"/>
      <w:bookmarkEnd w:id="86"/>
      <w:bookmarkEnd w:id="90"/>
    </w:p>
    <w:p w:rsidR="008E7846" w:rsidRDefault="008E7846" w:rsidP="008E7846">
      <w:bookmarkStart w:id="91" w:name="_Toc247691528"/>
      <w:r>
        <w:t xml:space="preserve">The submission was summarised in the following </w:t>
      </w:r>
      <w:r w:rsidRPr="00EF5C48">
        <w:t xml:space="preserve">Delegate’s </w:t>
      </w:r>
      <w:r>
        <w:t>overview</w:t>
      </w:r>
      <w:r w:rsidRPr="00EF5C48">
        <w:t xml:space="preserve"> and recommendation</w:t>
      </w:r>
      <w:r>
        <w:t>s:</w:t>
      </w:r>
    </w:p>
    <w:p w:rsidR="00235019" w:rsidRDefault="00235019" w:rsidP="00235019">
      <w:pPr>
        <w:pStyle w:val="Heading3"/>
      </w:pPr>
      <w:bookmarkStart w:id="92" w:name="_Toc16166699"/>
      <w:r>
        <w:t>Background</w:t>
      </w:r>
      <w:bookmarkEnd w:id="92"/>
    </w:p>
    <w:p w:rsidR="00211AE1" w:rsidRDefault="00235019" w:rsidP="00235019">
      <w:r>
        <w:t>Denosumab is a monoclonal antibody with specificity for RANK ligand.</w:t>
      </w:r>
      <w:r w:rsidR="00211AE1">
        <w:t xml:space="preserve"> </w:t>
      </w:r>
      <w:r>
        <w:t>RANK ligand normally activates the receptor RANK, which is present on osteoclasts (and their precursor cells).</w:t>
      </w:r>
      <w:r w:rsidR="00211AE1">
        <w:t xml:space="preserve"> </w:t>
      </w:r>
      <w:r>
        <w:t>Osteoclasts are responsible for resorption of bone</w:t>
      </w:r>
      <w:r w:rsidR="00211AE1">
        <w:t>.</w:t>
      </w:r>
    </w:p>
    <w:p w:rsidR="00211AE1" w:rsidRDefault="00235019" w:rsidP="00127F72">
      <w:r>
        <w:t xml:space="preserve">Osteoporosis is characterised by low bone mass and the deterioration in bone microarchitecture; people with osteoporosis are at increased risk of bone fractures. There are many causes or risk factors for osteoporosis, genetics plays a major role, other risk factors include age, low muscle mass, glucocorticoid use, systemic disease, nutritional deficiency, </w:t>
      </w:r>
      <w:proofErr w:type="gramStart"/>
      <w:r>
        <w:t>oes</w:t>
      </w:r>
      <w:r w:rsidR="00127F72">
        <w:t>trogen</w:t>
      </w:r>
      <w:proofErr w:type="gramEnd"/>
      <w:r w:rsidR="00127F72">
        <w:t xml:space="preserve"> or androgen deficiency</w:t>
      </w:r>
      <w:r w:rsidR="00211AE1">
        <w:t>.</w:t>
      </w:r>
    </w:p>
    <w:p w:rsidR="00235019" w:rsidRDefault="00235019" w:rsidP="00235019">
      <w:pPr>
        <w:spacing w:before="0" w:after="0" w:line="240" w:lineRule="auto"/>
      </w:pPr>
      <w:r>
        <w:t xml:space="preserve">The use of glucocorticoids is associated with bone loss due to increased bone resorption and reduced bone formation, mediated through </w:t>
      </w:r>
      <w:proofErr w:type="spellStart"/>
      <w:r>
        <w:t>osteoprotegerin</w:t>
      </w:r>
      <w:proofErr w:type="spellEnd"/>
      <w:r>
        <w:t xml:space="preserve"> suppression (an </w:t>
      </w:r>
      <w:proofErr w:type="spellStart"/>
      <w:r>
        <w:t>osteoclastogenesis</w:t>
      </w:r>
      <w:proofErr w:type="spellEnd"/>
      <w:r>
        <w:t xml:space="preserve"> inhibitor) and production of the receptor activator of nuclear factor kappa-B (RANK).</w:t>
      </w:r>
      <w:r w:rsidR="00211AE1">
        <w:t xml:space="preserve"> </w:t>
      </w:r>
      <w:r>
        <w:t>Initial accelerated bone resorption results in early and rapid bone loss.</w:t>
      </w:r>
      <w:r w:rsidR="00211AE1">
        <w:t xml:space="preserve"> </w:t>
      </w:r>
      <w:r>
        <w:t>With chronic corticosteroid use, reduction of bone formation predominates.</w:t>
      </w:r>
      <w:r w:rsidR="00211AE1">
        <w:t xml:space="preserve"> </w:t>
      </w:r>
      <w:r>
        <w:t>Glucocorticoids also have indirect effects on bone by decreasing secretion of androgens and oestrogens, interfering with parathyroid hormone excretion and actions, decreasing production of insulin-like growth factor and testosterone, decreasing intestinal calcium absorption and decreasing renal calcium reabsorption.</w:t>
      </w:r>
      <w:r w:rsidR="00211AE1">
        <w:t xml:space="preserve"> </w:t>
      </w:r>
      <w:r>
        <w:t>High dose glucocorticoids may cause muscle wasting.</w:t>
      </w:r>
    </w:p>
    <w:p w:rsidR="00235019" w:rsidRDefault="00235019" w:rsidP="00235019">
      <w:r w:rsidRPr="00D06A7B">
        <w:t xml:space="preserve">The risk of fracture </w:t>
      </w:r>
      <w:r>
        <w:t xml:space="preserve">associated with corticosteroids has been shown to increase </w:t>
      </w:r>
      <w:r w:rsidRPr="00D06A7B">
        <w:t>within 3 to 6 months</w:t>
      </w:r>
      <w:r>
        <w:t xml:space="preserve"> of starting</w:t>
      </w:r>
      <w:r w:rsidRPr="00D06A7B">
        <w:t xml:space="preserve"> oral corticosteroid therapy</w:t>
      </w:r>
      <w:r>
        <w:t xml:space="preserve"> and reduces upon cessation of therapy</w:t>
      </w:r>
      <w:r w:rsidRPr="00D06A7B">
        <w:t>.</w:t>
      </w:r>
      <w:r w:rsidR="00211AE1">
        <w:t xml:space="preserve"> </w:t>
      </w:r>
      <w:r>
        <w:t>The fracture risk associated with corticosteroid use is not only related to bone mineral density but also an alteration of bone quality and an increased risk of falls; fractures occur at a higher BMD value than those that occur in post-menopausal osteoporosis.</w:t>
      </w:r>
      <w:r w:rsidR="00211AE1">
        <w:t xml:space="preserve"> </w:t>
      </w:r>
      <w:r>
        <w:t xml:space="preserve">In addition, the specific disease for which the corticosteroids are being administered may in itself also </w:t>
      </w:r>
      <w:r>
        <w:lastRenderedPageBreak/>
        <w:t>l</w:t>
      </w:r>
      <w:r w:rsidR="000521C1">
        <w:t xml:space="preserve">ead to bone loss and fracture; </w:t>
      </w:r>
      <w:r>
        <w:t>for example, rheumatoid arthritis and inflammatory bowel disease.</w:t>
      </w:r>
    </w:p>
    <w:p w:rsidR="00235019" w:rsidRDefault="00235019" w:rsidP="00235019">
      <w:r>
        <w:t>Fractures are thought to occur in 30</w:t>
      </w:r>
      <w:r w:rsidR="00505480">
        <w:t xml:space="preserve"> to </w:t>
      </w:r>
      <w:r>
        <w:t>50% of patients receiving long-term glucocorticoids and prevalence increases with age.</w:t>
      </w:r>
      <w:r w:rsidR="00211AE1">
        <w:t xml:space="preserve"> </w:t>
      </w:r>
      <w:r>
        <w:t>Vertebral fractures are the most common</w:t>
      </w:r>
      <w:r w:rsidR="000521C1">
        <w:t>.</w:t>
      </w:r>
      <w:r>
        <w:rPr>
          <w:rStyle w:val="FootnoteReference"/>
        </w:rPr>
        <w:footnoteReference w:id="24"/>
      </w:r>
    </w:p>
    <w:p w:rsidR="00235019" w:rsidRDefault="00235019" w:rsidP="00235019">
      <w:pPr>
        <w:spacing w:before="0" w:after="0" w:line="240" w:lineRule="auto"/>
      </w:pPr>
      <w:r>
        <w:t xml:space="preserve">The future risk of fracture can be estimated with the FRAX tool (see </w:t>
      </w:r>
      <w:r w:rsidR="00B0277C">
        <w:t>Table 3</w:t>
      </w:r>
      <w:r w:rsidR="009A3208">
        <w:t>3</w:t>
      </w:r>
      <w:r w:rsidR="006F0ECC">
        <w:t xml:space="preserve"> and Figure</w:t>
      </w:r>
      <w:r w:rsidR="000B1E25">
        <w:t> </w:t>
      </w:r>
      <w:r w:rsidR="006F0ECC">
        <w:t>1</w:t>
      </w:r>
      <w:r>
        <w:t xml:space="preserve">). However, this tool may not be accurate in patients aged </w:t>
      </w:r>
      <w:r w:rsidR="001350D8">
        <w:t xml:space="preserve">&lt; </w:t>
      </w:r>
      <w:r>
        <w:t>40years, those on glucocorticoids (as it does not take into consideration dose or duration of use). Fracture risk also depends on racial origin. In analysis of trials of anti-</w:t>
      </w:r>
      <w:proofErr w:type="spellStart"/>
      <w:r>
        <w:t>resorptive</w:t>
      </w:r>
      <w:proofErr w:type="spellEnd"/>
      <w:r>
        <w:t xml:space="preserve"> agents, logistic regression analysis has demonstrated that an improvement in BMD contributes to only about 16% of th</w:t>
      </w:r>
      <w:r w:rsidR="00127F72">
        <w:t>e improvement in fracture risk.</w:t>
      </w:r>
    </w:p>
    <w:p w:rsidR="00235019" w:rsidRDefault="00235019" w:rsidP="008C575C">
      <w:r>
        <w:t xml:space="preserve">Currently available medicines on the ARTG to treat glucocorticoid induced osteoporosis include </w:t>
      </w:r>
      <w:proofErr w:type="spellStart"/>
      <w:r>
        <w:t>aledronate</w:t>
      </w:r>
      <w:proofErr w:type="spellEnd"/>
      <w:r>
        <w:t xml:space="preserve">, </w:t>
      </w:r>
      <w:proofErr w:type="spellStart"/>
      <w:r>
        <w:t>risedronate</w:t>
      </w:r>
      <w:proofErr w:type="spellEnd"/>
      <w:r>
        <w:t xml:space="preserve">, </w:t>
      </w:r>
      <w:proofErr w:type="spellStart"/>
      <w:r>
        <w:t>zo</w:t>
      </w:r>
      <w:r w:rsidR="00127F72">
        <w:t>ledronic</w:t>
      </w:r>
      <w:proofErr w:type="spellEnd"/>
      <w:r w:rsidR="00127F72">
        <w:t xml:space="preserve"> acid and </w:t>
      </w:r>
      <w:proofErr w:type="spellStart"/>
      <w:r w:rsidR="00127F72">
        <w:t>teriparatide</w:t>
      </w:r>
      <w:proofErr w:type="spellEnd"/>
      <w:r w:rsidR="00127F72">
        <w:t>.</w:t>
      </w:r>
    </w:p>
    <w:p w:rsidR="00211AE1" w:rsidRDefault="00235019" w:rsidP="00235019">
      <w:pPr>
        <w:spacing w:before="0" w:after="0" w:line="240" w:lineRule="auto"/>
      </w:pPr>
      <w:r>
        <w:t>There was no paediatric data submitted. However, children may also be treated with long term glucocorticoids</w:t>
      </w:r>
      <w:r w:rsidR="00211AE1">
        <w:t>.</w:t>
      </w:r>
    </w:p>
    <w:p w:rsidR="006F0ECC" w:rsidRDefault="006F0ECC" w:rsidP="006F0ECC">
      <w:pPr>
        <w:pStyle w:val="TableTitle"/>
      </w:pPr>
      <w:r>
        <w:t xml:space="preserve">Table </w:t>
      </w:r>
      <w:r w:rsidR="00B0277C">
        <w:t>3</w:t>
      </w:r>
      <w:r w:rsidR="009A3208">
        <w:t>3</w:t>
      </w:r>
      <w:r w:rsidR="00B0277C">
        <w:t>:</w:t>
      </w:r>
      <w:r>
        <w:t xml:space="preserve"> Clinical risk factors for FRAX</w:t>
      </w:r>
    </w:p>
    <w:p w:rsidR="006F0ECC" w:rsidRDefault="006F0ECC" w:rsidP="0018105A">
      <w:r>
        <w:rPr>
          <w:noProof/>
          <w:lang w:eastAsia="en-AU"/>
        </w:rPr>
        <w:drawing>
          <wp:inline distT="0" distB="0" distL="0" distR="0" wp14:anchorId="0AAC3887" wp14:editId="0C013AFC">
            <wp:extent cx="5295900" cy="2466975"/>
            <wp:effectExtent l="0" t="0" r="0" b="9525"/>
            <wp:docPr id="15" name="Picture 15" descr="Table 33: Clinical risk factors for F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295900" cy="2466975"/>
                    </a:xfrm>
                    <a:prstGeom prst="rect">
                      <a:avLst/>
                    </a:prstGeom>
                  </pic:spPr>
                </pic:pic>
              </a:graphicData>
            </a:graphic>
          </wp:inline>
        </w:drawing>
      </w:r>
    </w:p>
    <w:p w:rsidR="006F0ECC" w:rsidRDefault="00747C3C" w:rsidP="006F0ECC">
      <w:pPr>
        <w:pStyle w:val="FigureTitle"/>
      </w:pPr>
      <w:r>
        <w:lastRenderedPageBreak/>
        <w:t>Figure 1:</w:t>
      </w:r>
      <w:r w:rsidR="006F0ECC">
        <w:t xml:space="preserve"> The American College of Rheumatology </w:t>
      </w:r>
      <w:r w:rsidR="000B1E25">
        <w:t xml:space="preserve">(ACR) </w:t>
      </w:r>
      <w:r w:rsidR="006F0ECC">
        <w:t>2010 recommendations for the treatment of pre</w:t>
      </w:r>
      <w:r w:rsidR="000B1E25">
        <w:t>-</w:t>
      </w:r>
      <w:r w:rsidR="006F0ECC">
        <w:t>menopausal women and men &lt; 50 years receiving glucocorticoids</w:t>
      </w:r>
    </w:p>
    <w:p w:rsidR="006F0ECC" w:rsidRPr="006F0ECC" w:rsidRDefault="006F0ECC" w:rsidP="0018105A">
      <w:r>
        <w:rPr>
          <w:noProof/>
          <w:lang w:eastAsia="en-AU"/>
        </w:rPr>
        <w:drawing>
          <wp:inline distT="0" distB="0" distL="0" distR="0" wp14:anchorId="264081E8" wp14:editId="13C46924">
            <wp:extent cx="5400040" cy="3658873"/>
            <wp:effectExtent l="0" t="0" r="0" b="0"/>
            <wp:docPr id="16" name="Picture 16" descr="Figure 1: The American College of Rheumatology 2010 recommendations for the treatment of premenopausal women and men &lt; 50 years receiving glucocortic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3658873"/>
                    </a:xfrm>
                    <a:prstGeom prst="rect">
                      <a:avLst/>
                    </a:prstGeom>
                  </pic:spPr>
                </pic:pic>
              </a:graphicData>
            </a:graphic>
          </wp:inline>
        </w:drawing>
      </w:r>
    </w:p>
    <w:p w:rsidR="008E7846" w:rsidRDefault="008E7846" w:rsidP="008E7846">
      <w:pPr>
        <w:pStyle w:val="Heading3"/>
      </w:pPr>
      <w:bookmarkStart w:id="93" w:name="_Toc314842511"/>
      <w:bookmarkStart w:id="94" w:name="_Toc16166700"/>
      <w:r>
        <w:t>Quality</w:t>
      </w:r>
      <w:bookmarkEnd w:id="91"/>
      <w:bookmarkEnd w:id="93"/>
      <w:bookmarkEnd w:id="94"/>
    </w:p>
    <w:p w:rsidR="00E45619" w:rsidRDefault="008E7846" w:rsidP="003A7F6C">
      <w:r>
        <w:t>There was no requirement for a quality evaluation in a submission of this type.</w:t>
      </w:r>
    </w:p>
    <w:p w:rsidR="008E7846" w:rsidRDefault="008E7846" w:rsidP="008E7846">
      <w:pPr>
        <w:pStyle w:val="Heading3"/>
      </w:pPr>
      <w:bookmarkStart w:id="95" w:name="_Toc314842512"/>
      <w:bookmarkStart w:id="96" w:name="_Toc16166701"/>
      <w:r>
        <w:t>Nonclinical</w:t>
      </w:r>
      <w:bookmarkEnd w:id="95"/>
      <w:bookmarkEnd w:id="96"/>
    </w:p>
    <w:p w:rsidR="008E7846" w:rsidRDefault="008E7846" w:rsidP="008E7846">
      <w:r>
        <w:t>There was no requirement for a nonclinical evaluation in a submission of this type.</w:t>
      </w:r>
    </w:p>
    <w:p w:rsidR="008E7846" w:rsidRDefault="008E7846" w:rsidP="008E7846">
      <w:pPr>
        <w:pStyle w:val="Heading3"/>
      </w:pPr>
      <w:bookmarkStart w:id="97" w:name="_Toc247691530"/>
      <w:bookmarkStart w:id="98" w:name="_Toc314842513"/>
      <w:bookmarkStart w:id="99" w:name="_Toc16166702"/>
      <w:r>
        <w:t>Clinical</w:t>
      </w:r>
      <w:bookmarkEnd w:id="97"/>
      <w:bookmarkEnd w:id="98"/>
      <w:bookmarkEnd w:id="99"/>
    </w:p>
    <w:p w:rsidR="00235019" w:rsidRDefault="00235019" w:rsidP="00235019">
      <w:pPr>
        <w:pStyle w:val="Heading4"/>
      </w:pPr>
      <w:bookmarkStart w:id="100" w:name="_Toc314842514"/>
      <w:r w:rsidRPr="003F08CF">
        <w:t>Pharmacology</w:t>
      </w:r>
    </w:p>
    <w:p w:rsidR="00235019" w:rsidRDefault="00235019" w:rsidP="00235019">
      <w:r w:rsidRPr="00265C93">
        <w:t xml:space="preserve">The PK characteristics </w:t>
      </w:r>
      <w:r>
        <w:t>of denosumab in the clinical studies were described. These were similar to the known PK characteristics of denosumab.</w:t>
      </w:r>
    </w:p>
    <w:p w:rsidR="00211AE1" w:rsidRDefault="00235019" w:rsidP="00235019">
      <w:r>
        <w:t>Following a 60</w:t>
      </w:r>
      <w:r w:rsidR="001350D8">
        <w:t xml:space="preserve"> mg</w:t>
      </w:r>
      <w:r>
        <w:t xml:space="preserve"> dose of denosumab, maximum seru</w:t>
      </w:r>
      <w:r w:rsidR="006F0ECC">
        <w:t>m concentrations occurred in 10 </w:t>
      </w:r>
      <w:r>
        <w:t xml:space="preserve">days. The </w:t>
      </w:r>
      <w:r w:rsidR="006F0ECC">
        <w:t xml:space="preserve">half-life was 26 days (range 6 to </w:t>
      </w:r>
      <w:r>
        <w:t>52 days). However the pharmacodynamic effects (changes in bone turnover) were observed as early as 6 hours after dosing and remain partially suppressed after 6 months</w:t>
      </w:r>
      <w:r w:rsidR="00211AE1">
        <w:t>.</w:t>
      </w:r>
    </w:p>
    <w:p w:rsidR="00235019" w:rsidRDefault="00235019" w:rsidP="00235019">
      <w:pPr>
        <w:pStyle w:val="Heading4"/>
      </w:pPr>
      <w:r w:rsidRPr="003F08CF">
        <w:t>Efficacy</w:t>
      </w:r>
    </w:p>
    <w:p w:rsidR="00235019" w:rsidRDefault="00235019" w:rsidP="00235019">
      <w:pPr>
        <w:pStyle w:val="Heading5"/>
      </w:pPr>
      <w:r w:rsidRPr="00235019">
        <w:t>Study 20101217</w:t>
      </w:r>
    </w:p>
    <w:p w:rsidR="00235019" w:rsidRPr="00235019" w:rsidRDefault="00235019" w:rsidP="00235019">
      <w:r w:rsidRPr="00235019">
        <w:t>One clinical study was submitted</w:t>
      </w:r>
      <w:r w:rsidR="000B1E25">
        <w:t>,</w:t>
      </w:r>
      <w:r w:rsidRPr="00235019">
        <w:t xml:space="preserve"> </w:t>
      </w:r>
      <w:r w:rsidR="006F0ECC">
        <w:t>Study</w:t>
      </w:r>
      <w:r w:rsidRPr="00235019">
        <w:t xml:space="preserve"> 20101217</w:t>
      </w:r>
      <w:r w:rsidR="006F0ECC">
        <w:t>.</w:t>
      </w:r>
    </w:p>
    <w:p w:rsidR="00235019" w:rsidRDefault="00235019" w:rsidP="00235019">
      <w:r w:rsidRPr="00235019">
        <w:lastRenderedPageBreak/>
        <w:t xml:space="preserve">Study 20101217 was a </w:t>
      </w:r>
      <w:r w:rsidR="001350D8">
        <w:t>Phase III</w:t>
      </w:r>
      <w:r w:rsidRPr="00235019">
        <w:t xml:space="preserve"> multicentre, randomised, 24 month, double blinded, double dummy, active controlled, parallel group study, however only the 12 month data were available.</w:t>
      </w:r>
    </w:p>
    <w:p w:rsidR="00235019" w:rsidRPr="004A5D26" w:rsidRDefault="00235019" w:rsidP="00235019">
      <w:pPr>
        <w:pStyle w:val="Heading6"/>
      </w:pPr>
      <w:r w:rsidRPr="004A5D26">
        <w:t>Endpoints</w:t>
      </w:r>
    </w:p>
    <w:p w:rsidR="00235019" w:rsidRPr="00235019" w:rsidRDefault="00235019" w:rsidP="00235019">
      <w:r w:rsidRPr="008C575C">
        <w:rPr>
          <w:i/>
        </w:rPr>
        <w:t>Primary</w:t>
      </w:r>
      <w:r w:rsidR="000B1E25">
        <w:t xml:space="preserve">: </w:t>
      </w:r>
      <w:r w:rsidRPr="00235019">
        <w:t>Non inferiority to treatment with oral risedronate 5</w:t>
      </w:r>
      <w:r w:rsidR="001350D8">
        <w:t xml:space="preserve"> mg</w:t>
      </w:r>
      <w:r w:rsidRPr="00235019">
        <w:t xml:space="preserve"> every day with respect to the percent change from baseline in lumbar spine BMD by </w:t>
      </w:r>
      <w:r w:rsidR="006F0ECC">
        <w:t>dual X-ray absorptiometry (DXA) at 12 </w:t>
      </w:r>
      <w:r w:rsidRPr="00235019">
        <w:t>months.</w:t>
      </w:r>
    </w:p>
    <w:p w:rsidR="00235019" w:rsidRPr="000B1E25" w:rsidRDefault="00235019" w:rsidP="008C575C">
      <w:r w:rsidRPr="008C575C">
        <w:rPr>
          <w:i/>
        </w:rPr>
        <w:t>Secondary</w:t>
      </w:r>
      <w:r w:rsidR="000B1E25">
        <w:rPr>
          <w:i/>
        </w:rPr>
        <w:t xml:space="preserve">: </w:t>
      </w:r>
      <w:r w:rsidR="000B1E25">
        <w:t>These included:</w:t>
      </w:r>
    </w:p>
    <w:p w:rsidR="00235019" w:rsidRDefault="00235019" w:rsidP="00235019">
      <w:pPr>
        <w:pStyle w:val="ListBullet"/>
      </w:pPr>
      <w:r>
        <w:t>Percent change from baseline in lumbar spine BMD by DXA at 12 months</w:t>
      </w:r>
    </w:p>
    <w:p w:rsidR="00235019" w:rsidRDefault="00235019" w:rsidP="00235019">
      <w:pPr>
        <w:pStyle w:val="ListBullet"/>
      </w:pPr>
      <w:r>
        <w:t>Percent change from baseline in total hip BMD by DXA at 12 months</w:t>
      </w:r>
    </w:p>
    <w:p w:rsidR="00235019" w:rsidRDefault="00235019" w:rsidP="00235019">
      <w:pPr>
        <w:pStyle w:val="ListBullet"/>
      </w:pPr>
      <w:r>
        <w:t>Percent change from baseline in lumbar spine BMD by DXA at 24 months</w:t>
      </w:r>
    </w:p>
    <w:p w:rsidR="00235019" w:rsidRPr="00F84A39" w:rsidRDefault="00235019" w:rsidP="00235019">
      <w:pPr>
        <w:pStyle w:val="ListBullet"/>
        <w:rPr>
          <w:rFonts w:asciiTheme="minorHAnsi" w:hAnsiTheme="minorHAnsi"/>
          <w:b/>
        </w:rPr>
      </w:pPr>
      <w:r>
        <w:t>Percent change from baseline in total hip BMD by DXA at 24 months</w:t>
      </w:r>
    </w:p>
    <w:p w:rsidR="00235019" w:rsidRPr="00235019" w:rsidRDefault="006F0ECC" w:rsidP="007B6132">
      <w:pPr>
        <w:pStyle w:val="ListBullet"/>
        <w:rPr>
          <w:rFonts w:asciiTheme="minorHAnsi" w:hAnsiTheme="minorHAnsi"/>
          <w:b/>
        </w:rPr>
      </w:pPr>
      <w:r>
        <w:t>Fracture was exploratory;</w:t>
      </w:r>
      <w:r w:rsidR="00235019">
        <w:t xml:space="preserve"> only lumbar and clinical fractures described. Traumatic and pathological fractures were excluded (This is not consistent with guidelines and potentially under-reports fracture rates as it is not always possible to determine the cause of a fracture)</w:t>
      </w:r>
      <w:r>
        <w:t>.</w:t>
      </w:r>
    </w:p>
    <w:p w:rsidR="00235019" w:rsidRPr="00927B5E" w:rsidRDefault="006F0ECC" w:rsidP="00235019">
      <w:pPr>
        <w:pStyle w:val="Heading6"/>
      </w:pPr>
      <w:r>
        <w:t>Key inclusion criteria</w:t>
      </w:r>
    </w:p>
    <w:p w:rsidR="00235019" w:rsidRDefault="00235019" w:rsidP="006F0ECC">
      <w:pPr>
        <w:pStyle w:val="Numberbullet0"/>
        <w:numPr>
          <w:ilvl w:val="0"/>
          <w:numId w:val="24"/>
        </w:numPr>
      </w:pPr>
      <w:r w:rsidRPr="00235019">
        <w:t xml:space="preserve">Glucocorticoid-initiating subpopulation: </w:t>
      </w:r>
      <w:r>
        <w:t xml:space="preserve">Men and women </w:t>
      </w:r>
      <w:r w:rsidR="001350D8">
        <w:t xml:space="preserve">≥ </w:t>
      </w:r>
      <w:r>
        <w:t xml:space="preserve">18 years of age who have initiated prednisolone </w:t>
      </w:r>
      <w:r w:rsidR="001350D8">
        <w:t xml:space="preserve">≥ </w:t>
      </w:r>
      <w:r>
        <w:t>7.5</w:t>
      </w:r>
      <w:r w:rsidR="001350D8">
        <w:t xml:space="preserve"> mg</w:t>
      </w:r>
      <w:r>
        <w:t xml:space="preserve"> daily or its equivalent within 3 months prior to screening and are expected to be treated with oral glucocorticoids for a total of at least 6 months</w:t>
      </w:r>
    </w:p>
    <w:p w:rsidR="00235019" w:rsidRPr="00235019" w:rsidRDefault="00235019" w:rsidP="008C575C">
      <w:pPr>
        <w:ind w:left="720"/>
      </w:pPr>
      <w:r w:rsidRPr="00235019">
        <w:t>OR</w:t>
      </w:r>
    </w:p>
    <w:p w:rsidR="00211AE1" w:rsidRDefault="00235019" w:rsidP="00235019">
      <w:pPr>
        <w:pStyle w:val="Numberbullet0"/>
      </w:pPr>
      <w:r w:rsidRPr="00235019">
        <w:t xml:space="preserve">Glucocorticoid-continuing subpopulation: </w:t>
      </w:r>
      <w:r w:rsidRPr="00927B5E">
        <w:t xml:space="preserve">Men and women </w:t>
      </w:r>
      <w:r w:rsidR="001350D8">
        <w:t xml:space="preserve">≥ </w:t>
      </w:r>
      <w:r w:rsidRPr="00927B5E">
        <w:t>18 years of age who are taking</w:t>
      </w:r>
      <w:r w:rsidRPr="00796788">
        <w:t xml:space="preserve"> </w:t>
      </w:r>
      <w:r>
        <w:t>prednisolone</w:t>
      </w:r>
      <w:r w:rsidRPr="00927B5E">
        <w:t xml:space="preserve"> </w:t>
      </w:r>
      <w:r w:rsidR="001350D8">
        <w:t xml:space="preserve">≥ </w:t>
      </w:r>
      <w:r w:rsidRPr="00927B5E">
        <w:t>7.5</w:t>
      </w:r>
      <w:r w:rsidR="001350D8">
        <w:t xml:space="preserve"> mg</w:t>
      </w:r>
      <w:r w:rsidRPr="00927B5E">
        <w:t xml:space="preserve"> daily or its equivalent for </w:t>
      </w:r>
      <w:r w:rsidR="001350D8">
        <w:t xml:space="preserve">≥ </w:t>
      </w:r>
      <w:r w:rsidRPr="00927B5E">
        <w:t>3 months preceding screening and</w:t>
      </w:r>
      <w:r w:rsidRPr="00796788">
        <w:t xml:space="preserve"> </w:t>
      </w:r>
      <w:r w:rsidRPr="00927B5E">
        <w:t>are expected to be treated with oral glucocorticoids for a total of at least 6 months</w:t>
      </w:r>
      <w:r w:rsidR="00211AE1">
        <w:t>.</w:t>
      </w:r>
    </w:p>
    <w:p w:rsidR="00211AE1" w:rsidRDefault="006F0ECC" w:rsidP="00235019">
      <w:r>
        <w:t xml:space="preserve">Glucocorticoid </w:t>
      </w:r>
      <w:r w:rsidR="00235019">
        <w:t xml:space="preserve">continuing subjects who are </w:t>
      </w:r>
      <w:r w:rsidR="001350D8">
        <w:t xml:space="preserve">≥ </w:t>
      </w:r>
      <w:r w:rsidR="00235019">
        <w:t>50 years of age will be required to have a BMD v</w:t>
      </w:r>
      <w:r>
        <w:t xml:space="preserve">alue equivalent to a T-score ≤ </w:t>
      </w:r>
      <w:r>
        <w:noBreakHyphen/>
      </w:r>
      <w:r w:rsidR="00235019">
        <w:t>2.0 at the lumbar spine, total hip, or femoral neck; or a BMD v</w:t>
      </w:r>
      <w:r>
        <w:t xml:space="preserve">alue equivalent to a T-score ≤ </w:t>
      </w:r>
      <w:r>
        <w:noBreakHyphen/>
      </w:r>
      <w:r w:rsidR="00235019">
        <w:t>1.0 at the lumbar spine, total hip, or femoral neck and with a history of osteoporotic fracture</w:t>
      </w:r>
      <w:r w:rsidR="00211AE1">
        <w:t>.</w:t>
      </w:r>
    </w:p>
    <w:p w:rsidR="00235019" w:rsidRDefault="00235019" w:rsidP="00235019">
      <w:r>
        <w:t xml:space="preserve">Subjects who were </w:t>
      </w:r>
      <w:r w:rsidR="001350D8" w:rsidRPr="008C575C">
        <w:t xml:space="preserve">&lt; </w:t>
      </w:r>
      <w:r w:rsidRPr="008C575C">
        <w:t>50 years old</w:t>
      </w:r>
      <w:r>
        <w:t xml:space="preserve"> at the time of screening were required to have a history of osteoporotic </w:t>
      </w:r>
      <w:r w:rsidR="006F0ECC">
        <w:t xml:space="preserve">fracture in both glucocorticoid </w:t>
      </w:r>
      <w:r>
        <w:t>continuing and glucocort</w:t>
      </w:r>
      <w:r w:rsidR="006F0ECC">
        <w:t>icoid initiating subpopulations</w:t>
      </w:r>
      <w:r>
        <w:t>.</w:t>
      </w:r>
    </w:p>
    <w:p w:rsidR="00235019" w:rsidRDefault="00235019" w:rsidP="00235019">
      <w:r>
        <w:t>Note: By definition, those who have already had an osteoporotic fracture already have osteoporosis. It is likely that many patie</w:t>
      </w:r>
      <w:r w:rsidRPr="00C41172">
        <w:t>nts</w:t>
      </w:r>
      <w:r>
        <w:t xml:space="preserve"> in the study would have qualified for treatment under the current indications. Previous or current </w:t>
      </w:r>
      <w:proofErr w:type="gramStart"/>
      <w:r>
        <w:t xml:space="preserve">use of bisphosphonates or </w:t>
      </w:r>
      <w:proofErr w:type="spellStart"/>
      <w:r>
        <w:t>teriparatide</w:t>
      </w:r>
      <w:proofErr w:type="spellEnd"/>
      <w:r>
        <w:t xml:space="preserve"> were</w:t>
      </w:r>
      <w:proofErr w:type="gramEnd"/>
      <w:r>
        <w:t xml:space="preserve"> exclusion criteria. The study design does not help determine if young people with no history of fracture but who may have low or normal BMD and are treated with glucocorticoids benefit from treatment. Overall, the inclusion criteria were not consistent with clinical guidelines.</w:t>
      </w:r>
    </w:p>
    <w:p w:rsidR="00235019" w:rsidRDefault="00235019" w:rsidP="00235019">
      <w:pPr>
        <w:rPr>
          <w:rFonts w:asciiTheme="minorHAnsi" w:hAnsiTheme="minorHAnsi"/>
        </w:rPr>
      </w:pPr>
      <w:r w:rsidRPr="00847426">
        <w:rPr>
          <w:rFonts w:asciiTheme="minorHAnsi" w:hAnsiTheme="minorHAnsi"/>
        </w:rPr>
        <w:t>All patients were treated with 1000</w:t>
      </w:r>
      <w:r w:rsidR="001350D8">
        <w:rPr>
          <w:rFonts w:asciiTheme="minorHAnsi" w:hAnsiTheme="minorHAnsi"/>
        </w:rPr>
        <w:t xml:space="preserve"> mg</w:t>
      </w:r>
      <w:r w:rsidRPr="00847426">
        <w:rPr>
          <w:rFonts w:asciiTheme="minorHAnsi" w:hAnsiTheme="minorHAnsi"/>
        </w:rPr>
        <w:t xml:space="preserve"> calcium and at least 800</w:t>
      </w:r>
      <w:r w:rsidR="006F0ECC">
        <w:rPr>
          <w:rFonts w:asciiTheme="minorHAnsi" w:hAnsiTheme="minorHAnsi"/>
        </w:rPr>
        <w:t xml:space="preserve"> </w:t>
      </w:r>
      <w:r w:rsidRPr="00847426">
        <w:rPr>
          <w:rFonts w:asciiTheme="minorHAnsi" w:hAnsiTheme="minorHAnsi"/>
        </w:rPr>
        <w:t>IU vitamin D during the study.</w:t>
      </w:r>
    </w:p>
    <w:p w:rsidR="00235019" w:rsidRDefault="006F0ECC" w:rsidP="00235019">
      <w:pPr>
        <w:pStyle w:val="Heading6"/>
      </w:pPr>
      <w:r>
        <w:lastRenderedPageBreak/>
        <w:t>Baseline p</w:t>
      </w:r>
      <w:r w:rsidR="00235019">
        <w:t>opulations</w:t>
      </w:r>
    </w:p>
    <w:p w:rsidR="00D17DA7" w:rsidRPr="00D17DA7" w:rsidRDefault="00B0277C" w:rsidP="00D17DA7">
      <w:pPr>
        <w:pStyle w:val="TableTitle"/>
      </w:pPr>
      <w:r>
        <w:t>Table 3</w:t>
      </w:r>
      <w:r w:rsidR="009A3208">
        <w:t>4</w:t>
      </w:r>
      <w:r>
        <w:t>:</w:t>
      </w:r>
      <w:r w:rsidR="00D17DA7">
        <w:t xml:space="preserve"> Description of baseline populations</w:t>
      </w:r>
    </w:p>
    <w:tbl>
      <w:tblPr>
        <w:tblStyle w:val="TableTGAblue"/>
        <w:tblW w:w="0" w:type="auto"/>
        <w:tblLook w:val="04A0" w:firstRow="1" w:lastRow="0" w:firstColumn="1" w:lastColumn="0" w:noHBand="0" w:noVBand="1"/>
      </w:tblPr>
      <w:tblGrid>
        <w:gridCol w:w="2830"/>
        <w:gridCol w:w="2760"/>
        <w:gridCol w:w="2795"/>
      </w:tblGrid>
      <w:tr w:rsidR="00235019" w:rsidRPr="00235019" w:rsidTr="008C575C">
        <w:trPr>
          <w:cnfStyle w:val="100000000000" w:firstRow="1" w:lastRow="0" w:firstColumn="0" w:lastColumn="0" w:oddVBand="0" w:evenVBand="0" w:oddHBand="0" w:evenHBand="0" w:firstRowFirstColumn="0" w:firstRowLastColumn="0" w:lastRowFirstColumn="0" w:lastRowLastColumn="0"/>
          <w:trHeight w:val="698"/>
        </w:trPr>
        <w:tc>
          <w:tcPr>
            <w:tcW w:w="2830" w:type="dxa"/>
          </w:tcPr>
          <w:p w:rsidR="00235019" w:rsidRPr="00235019" w:rsidRDefault="00235019" w:rsidP="00235019">
            <w:pPr>
              <w:rPr>
                <w:sz w:val="20"/>
                <w:szCs w:val="20"/>
              </w:rPr>
            </w:pPr>
          </w:p>
        </w:tc>
        <w:tc>
          <w:tcPr>
            <w:tcW w:w="2760" w:type="dxa"/>
          </w:tcPr>
          <w:p w:rsidR="00235019" w:rsidRPr="00235019" w:rsidRDefault="00235019" w:rsidP="00235019">
            <w:pPr>
              <w:rPr>
                <w:sz w:val="20"/>
                <w:szCs w:val="20"/>
              </w:rPr>
            </w:pPr>
            <w:r w:rsidRPr="00235019">
              <w:rPr>
                <w:sz w:val="20"/>
                <w:szCs w:val="20"/>
              </w:rPr>
              <w:t>Glucocorticoid Continuing</w:t>
            </w:r>
          </w:p>
        </w:tc>
        <w:tc>
          <w:tcPr>
            <w:tcW w:w="2795" w:type="dxa"/>
          </w:tcPr>
          <w:p w:rsidR="00235019" w:rsidRPr="00235019" w:rsidRDefault="00235019" w:rsidP="00235019">
            <w:pPr>
              <w:rPr>
                <w:sz w:val="20"/>
                <w:szCs w:val="20"/>
              </w:rPr>
            </w:pPr>
            <w:r w:rsidRPr="00235019">
              <w:rPr>
                <w:sz w:val="20"/>
                <w:szCs w:val="20"/>
              </w:rPr>
              <w:t>Glucocorticoid Initiating</w:t>
            </w:r>
          </w:p>
        </w:tc>
      </w:tr>
      <w:tr w:rsidR="00235019" w:rsidRPr="00235019" w:rsidTr="008C575C">
        <w:trPr>
          <w:trHeight w:val="473"/>
        </w:trPr>
        <w:tc>
          <w:tcPr>
            <w:tcW w:w="2830" w:type="dxa"/>
          </w:tcPr>
          <w:p w:rsidR="00235019" w:rsidRPr="00235019" w:rsidRDefault="00235019" w:rsidP="00235019">
            <w:pPr>
              <w:rPr>
                <w:sz w:val="20"/>
                <w:szCs w:val="20"/>
              </w:rPr>
            </w:pPr>
            <w:r w:rsidRPr="00235019">
              <w:rPr>
                <w:sz w:val="20"/>
                <w:szCs w:val="20"/>
              </w:rPr>
              <w:t>n</w:t>
            </w:r>
          </w:p>
        </w:tc>
        <w:tc>
          <w:tcPr>
            <w:tcW w:w="2760" w:type="dxa"/>
          </w:tcPr>
          <w:p w:rsidR="00235019" w:rsidRPr="00235019" w:rsidRDefault="00235019" w:rsidP="00235019">
            <w:pPr>
              <w:rPr>
                <w:sz w:val="20"/>
                <w:szCs w:val="20"/>
              </w:rPr>
            </w:pPr>
            <w:r w:rsidRPr="00235019">
              <w:rPr>
                <w:sz w:val="20"/>
                <w:szCs w:val="20"/>
              </w:rPr>
              <w:t>505</w:t>
            </w:r>
          </w:p>
        </w:tc>
        <w:tc>
          <w:tcPr>
            <w:tcW w:w="2795" w:type="dxa"/>
          </w:tcPr>
          <w:p w:rsidR="00235019" w:rsidRPr="00235019" w:rsidRDefault="00235019" w:rsidP="00235019">
            <w:pPr>
              <w:rPr>
                <w:sz w:val="20"/>
                <w:szCs w:val="20"/>
              </w:rPr>
            </w:pPr>
            <w:r w:rsidRPr="00235019">
              <w:rPr>
                <w:sz w:val="20"/>
                <w:szCs w:val="20"/>
              </w:rPr>
              <w:t>290</w:t>
            </w:r>
          </w:p>
        </w:tc>
      </w:tr>
      <w:tr w:rsidR="00235019" w:rsidRPr="00235019" w:rsidTr="008C575C">
        <w:trPr>
          <w:trHeight w:val="462"/>
        </w:trPr>
        <w:tc>
          <w:tcPr>
            <w:tcW w:w="2830" w:type="dxa"/>
          </w:tcPr>
          <w:p w:rsidR="00235019" w:rsidRPr="00235019" w:rsidRDefault="00235019" w:rsidP="00235019">
            <w:pPr>
              <w:rPr>
                <w:sz w:val="20"/>
                <w:szCs w:val="20"/>
              </w:rPr>
            </w:pPr>
            <w:r w:rsidRPr="00235019">
              <w:rPr>
                <w:sz w:val="20"/>
                <w:szCs w:val="20"/>
              </w:rPr>
              <w:t>Women</w:t>
            </w:r>
          </w:p>
        </w:tc>
        <w:tc>
          <w:tcPr>
            <w:tcW w:w="2760" w:type="dxa"/>
          </w:tcPr>
          <w:p w:rsidR="00235019" w:rsidRPr="00235019" w:rsidRDefault="00235019" w:rsidP="00235019">
            <w:pPr>
              <w:rPr>
                <w:sz w:val="20"/>
                <w:szCs w:val="20"/>
              </w:rPr>
            </w:pPr>
            <w:r w:rsidRPr="00235019">
              <w:rPr>
                <w:sz w:val="20"/>
                <w:szCs w:val="20"/>
              </w:rPr>
              <w:t>73%</w:t>
            </w:r>
          </w:p>
        </w:tc>
        <w:tc>
          <w:tcPr>
            <w:tcW w:w="2795" w:type="dxa"/>
          </w:tcPr>
          <w:p w:rsidR="00235019" w:rsidRPr="00235019" w:rsidRDefault="00235019" w:rsidP="00235019">
            <w:pPr>
              <w:rPr>
                <w:sz w:val="20"/>
                <w:szCs w:val="20"/>
              </w:rPr>
            </w:pPr>
            <w:r w:rsidRPr="00235019">
              <w:rPr>
                <w:sz w:val="20"/>
                <w:szCs w:val="20"/>
              </w:rPr>
              <w:t>93%</w:t>
            </w:r>
          </w:p>
        </w:tc>
      </w:tr>
      <w:tr w:rsidR="00235019" w:rsidRPr="00235019" w:rsidTr="008C575C">
        <w:trPr>
          <w:trHeight w:val="1870"/>
        </w:trPr>
        <w:tc>
          <w:tcPr>
            <w:tcW w:w="2830" w:type="dxa"/>
          </w:tcPr>
          <w:p w:rsidR="00235019" w:rsidRPr="00D17DA7" w:rsidRDefault="00235019" w:rsidP="00235019">
            <w:pPr>
              <w:rPr>
                <w:b/>
                <w:sz w:val="20"/>
                <w:szCs w:val="20"/>
              </w:rPr>
            </w:pPr>
            <w:r w:rsidRPr="00D17DA7">
              <w:rPr>
                <w:b/>
                <w:sz w:val="20"/>
                <w:szCs w:val="20"/>
              </w:rPr>
              <w:t>Age</w:t>
            </w:r>
          </w:p>
          <w:p w:rsidR="00235019" w:rsidRPr="00235019" w:rsidRDefault="001350D8" w:rsidP="00235019">
            <w:pPr>
              <w:rPr>
                <w:sz w:val="20"/>
                <w:szCs w:val="20"/>
              </w:rPr>
            </w:pPr>
            <w:r>
              <w:rPr>
                <w:sz w:val="20"/>
                <w:szCs w:val="20"/>
              </w:rPr>
              <w:t xml:space="preserve">&lt; </w:t>
            </w:r>
            <w:r w:rsidR="00235019" w:rsidRPr="00235019">
              <w:rPr>
                <w:sz w:val="20"/>
                <w:szCs w:val="20"/>
              </w:rPr>
              <w:t>50</w:t>
            </w:r>
          </w:p>
          <w:p w:rsidR="00235019" w:rsidRPr="00235019" w:rsidRDefault="00235019" w:rsidP="00235019">
            <w:pPr>
              <w:rPr>
                <w:sz w:val="20"/>
                <w:szCs w:val="20"/>
              </w:rPr>
            </w:pPr>
            <w:r w:rsidRPr="00235019">
              <w:rPr>
                <w:sz w:val="20"/>
                <w:szCs w:val="20"/>
              </w:rPr>
              <w:t>50-65</w:t>
            </w:r>
          </w:p>
          <w:p w:rsidR="00235019" w:rsidRPr="00235019" w:rsidRDefault="00235019" w:rsidP="00235019">
            <w:pPr>
              <w:rPr>
                <w:sz w:val="20"/>
                <w:szCs w:val="20"/>
              </w:rPr>
            </w:pPr>
            <w:r w:rsidRPr="00235019">
              <w:rPr>
                <w:sz w:val="20"/>
                <w:szCs w:val="20"/>
              </w:rPr>
              <w:t>65-75</w:t>
            </w:r>
          </w:p>
          <w:p w:rsidR="00235019" w:rsidRPr="00235019" w:rsidRDefault="00235019" w:rsidP="00235019">
            <w:pPr>
              <w:rPr>
                <w:sz w:val="20"/>
                <w:szCs w:val="20"/>
              </w:rPr>
            </w:pPr>
            <w:r w:rsidRPr="00235019">
              <w:rPr>
                <w:sz w:val="20"/>
                <w:szCs w:val="20"/>
              </w:rPr>
              <w:t>&gt;75years</w:t>
            </w:r>
          </w:p>
        </w:tc>
        <w:tc>
          <w:tcPr>
            <w:tcW w:w="2760" w:type="dxa"/>
          </w:tcPr>
          <w:p w:rsidR="00235019" w:rsidRPr="00235019" w:rsidRDefault="00235019" w:rsidP="00235019">
            <w:pPr>
              <w:rPr>
                <w:sz w:val="20"/>
                <w:szCs w:val="20"/>
              </w:rPr>
            </w:pPr>
          </w:p>
          <w:p w:rsidR="00235019" w:rsidRPr="00235019" w:rsidRDefault="00235019" w:rsidP="00235019">
            <w:pPr>
              <w:rPr>
                <w:sz w:val="20"/>
                <w:szCs w:val="20"/>
              </w:rPr>
            </w:pPr>
            <w:r w:rsidRPr="00235019">
              <w:rPr>
                <w:sz w:val="20"/>
                <w:szCs w:val="20"/>
              </w:rPr>
              <w:t>59</w:t>
            </w:r>
          </w:p>
          <w:p w:rsidR="00235019" w:rsidRPr="00235019" w:rsidRDefault="00235019" w:rsidP="00235019">
            <w:pPr>
              <w:rPr>
                <w:sz w:val="20"/>
                <w:szCs w:val="20"/>
              </w:rPr>
            </w:pPr>
            <w:r w:rsidRPr="00235019">
              <w:rPr>
                <w:sz w:val="20"/>
                <w:szCs w:val="20"/>
              </w:rPr>
              <w:t>244</w:t>
            </w:r>
          </w:p>
          <w:p w:rsidR="00235019" w:rsidRPr="00235019" w:rsidRDefault="00235019" w:rsidP="00235019">
            <w:pPr>
              <w:rPr>
                <w:sz w:val="20"/>
                <w:szCs w:val="20"/>
              </w:rPr>
            </w:pPr>
            <w:r w:rsidRPr="00235019">
              <w:rPr>
                <w:sz w:val="20"/>
                <w:szCs w:val="20"/>
              </w:rPr>
              <w:t>135</w:t>
            </w:r>
          </w:p>
          <w:p w:rsidR="00235019" w:rsidRPr="00235019" w:rsidRDefault="00235019" w:rsidP="00235019">
            <w:pPr>
              <w:rPr>
                <w:sz w:val="20"/>
                <w:szCs w:val="20"/>
              </w:rPr>
            </w:pPr>
            <w:r w:rsidRPr="00235019">
              <w:rPr>
                <w:sz w:val="20"/>
                <w:szCs w:val="20"/>
              </w:rPr>
              <w:t>67</w:t>
            </w:r>
          </w:p>
        </w:tc>
        <w:tc>
          <w:tcPr>
            <w:tcW w:w="2795" w:type="dxa"/>
          </w:tcPr>
          <w:p w:rsidR="00235019" w:rsidRPr="00235019" w:rsidRDefault="00235019" w:rsidP="00235019">
            <w:pPr>
              <w:rPr>
                <w:sz w:val="20"/>
                <w:szCs w:val="20"/>
              </w:rPr>
            </w:pPr>
          </w:p>
          <w:p w:rsidR="00235019" w:rsidRPr="00235019" w:rsidRDefault="00235019" w:rsidP="00235019">
            <w:pPr>
              <w:rPr>
                <w:sz w:val="20"/>
                <w:szCs w:val="20"/>
              </w:rPr>
            </w:pPr>
            <w:r w:rsidRPr="00235019">
              <w:rPr>
                <w:sz w:val="20"/>
                <w:szCs w:val="20"/>
              </w:rPr>
              <w:t>7</w:t>
            </w:r>
          </w:p>
          <w:p w:rsidR="00235019" w:rsidRPr="00235019" w:rsidRDefault="00235019" w:rsidP="00235019">
            <w:pPr>
              <w:rPr>
                <w:sz w:val="20"/>
                <w:szCs w:val="20"/>
              </w:rPr>
            </w:pPr>
            <w:r w:rsidRPr="00235019">
              <w:rPr>
                <w:sz w:val="20"/>
                <w:szCs w:val="20"/>
              </w:rPr>
              <w:t>55</w:t>
            </w:r>
          </w:p>
          <w:p w:rsidR="00235019" w:rsidRPr="00235019" w:rsidRDefault="00235019" w:rsidP="00235019">
            <w:pPr>
              <w:rPr>
                <w:sz w:val="20"/>
                <w:szCs w:val="20"/>
              </w:rPr>
            </w:pPr>
            <w:r w:rsidRPr="00235019">
              <w:rPr>
                <w:sz w:val="20"/>
                <w:szCs w:val="20"/>
              </w:rPr>
              <w:t>50</w:t>
            </w:r>
          </w:p>
          <w:p w:rsidR="00235019" w:rsidRPr="00235019" w:rsidRDefault="00235019" w:rsidP="00235019">
            <w:pPr>
              <w:rPr>
                <w:sz w:val="20"/>
                <w:szCs w:val="20"/>
              </w:rPr>
            </w:pPr>
            <w:r w:rsidRPr="00235019">
              <w:rPr>
                <w:sz w:val="20"/>
                <w:szCs w:val="20"/>
              </w:rPr>
              <w:t>38</w:t>
            </w:r>
          </w:p>
        </w:tc>
      </w:tr>
      <w:tr w:rsidR="00235019" w:rsidRPr="00235019" w:rsidTr="008C575C">
        <w:trPr>
          <w:trHeight w:val="473"/>
        </w:trPr>
        <w:tc>
          <w:tcPr>
            <w:tcW w:w="2830" w:type="dxa"/>
          </w:tcPr>
          <w:p w:rsidR="00235019" w:rsidRPr="00235019" w:rsidRDefault="00235019" w:rsidP="00235019">
            <w:pPr>
              <w:rPr>
                <w:sz w:val="20"/>
                <w:szCs w:val="20"/>
              </w:rPr>
            </w:pPr>
            <w:r w:rsidRPr="00235019">
              <w:rPr>
                <w:sz w:val="20"/>
                <w:szCs w:val="20"/>
              </w:rPr>
              <w:t>Pre-menopause</w:t>
            </w:r>
          </w:p>
        </w:tc>
        <w:tc>
          <w:tcPr>
            <w:tcW w:w="2760" w:type="dxa"/>
          </w:tcPr>
          <w:p w:rsidR="00235019" w:rsidRPr="00235019" w:rsidRDefault="00235019" w:rsidP="00235019">
            <w:pPr>
              <w:rPr>
                <w:sz w:val="20"/>
                <w:szCs w:val="20"/>
              </w:rPr>
            </w:pPr>
            <w:r w:rsidRPr="00235019">
              <w:rPr>
                <w:sz w:val="20"/>
                <w:szCs w:val="20"/>
              </w:rPr>
              <w:t>49 (10%)</w:t>
            </w:r>
          </w:p>
        </w:tc>
        <w:tc>
          <w:tcPr>
            <w:tcW w:w="2795" w:type="dxa"/>
          </w:tcPr>
          <w:p w:rsidR="00235019" w:rsidRPr="00235019" w:rsidRDefault="00235019" w:rsidP="00235019">
            <w:pPr>
              <w:rPr>
                <w:sz w:val="20"/>
                <w:szCs w:val="20"/>
              </w:rPr>
            </w:pPr>
            <w:r w:rsidRPr="00235019">
              <w:rPr>
                <w:sz w:val="20"/>
                <w:szCs w:val="20"/>
              </w:rPr>
              <w:t>17 (6%)</w:t>
            </w:r>
          </w:p>
        </w:tc>
      </w:tr>
      <w:tr w:rsidR="00235019" w:rsidRPr="00235019" w:rsidTr="008C575C">
        <w:trPr>
          <w:trHeight w:val="698"/>
        </w:trPr>
        <w:tc>
          <w:tcPr>
            <w:tcW w:w="2830" w:type="dxa"/>
          </w:tcPr>
          <w:p w:rsidR="00235019" w:rsidRPr="00235019" w:rsidRDefault="00235019" w:rsidP="00235019">
            <w:pPr>
              <w:rPr>
                <w:sz w:val="20"/>
                <w:szCs w:val="20"/>
              </w:rPr>
            </w:pPr>
            <w:r w:rsidRPr="00235019">
              <w:rPr>
                <w:sz w:val="20"/>
                <w:szCs w:val="20"/>
              </w:rPr>
              <w:t>Daily oral prednisone dose equivalent</w:t>
            </w:r>
          </w:p>
        </w:tc>
        <w:tc>
          <w:tcPr>
            <w:tcW w:w="2760" w:type="dxa"/>
          </w:tcPr>
          <w:p w:rsidR="00235019" w:rsidRPr="00235019" w:rsidRDefault="00235019" w:rsidP="00235019">
            <w:pPr>
              <w:rPr>
                <w:sz w:val="20"/>
                <w:szCs w:val="20"/>
              </w:rPr>
            </w:pPr>
            <w:r w:rsidRPr="00235019">
              <w:rPr>
                <w:sz w:val="20"/>
                <w:szCs w:val="20"/>
              </w:rPr>
              <w:t>About 11</w:t>
            </w:r>
            <w:r w:rsidR="001350D8">
              <w:rPr>
                <w:sz w:val="20"/>
                <w:szCs w:val="20"/>
              </w:rPr>
              <w:t xml:space="preserve"> mg</w:t>
            </w:r>
          </w:p>
        </w:tc>
        <w:tc>
          <w:tcPr>
            <w:tcW w:w="2795" w:type="dxa"/>
          </w:tcPr>
          <w:p w:rsidR="00235019" w:rsidRPr="00235019" w:rsidRDefault="00235019" w:rsidP="00235019">
            <w:pPr>
              <w:rPr>
                <w:sz w:val="20"/>
                <w:szCs w:val="20"/>
              </w:rPr>
            </w:pPr>
            <w:r w:rsidRPr="00235019">
              <w:rPr>
                <w:sz w:val="20"/>
                <w:szCs w:val="20"/>
              </w:rPr>
              <w:t>About 16</w:t>
            </w:r>
            <w:r w:rsidR="001350D8">
              <w:rPr>
                <w:sz w:val="20"/>
                <w:szCs w:val="20"/>
              </w:rPr>
              <w:t xml:space="preserve"> mg</w:t>
            </w:r>
          </w:p>
        </w:tc>
      </w:tr>
      <w:tr w:rsidR="00235019" w:rsidRPr="00235019" w:rsidTr="008C575C">
        <w:trPr>
          <w:trHeight w:val="935"/>
        </w:trPr>
        <w:tc>
          <w:tcPr>
            <w:tcW w:w="2830" w:type="dxa"/>
          </w:tcPr>
          <w:p w:rsidR="00235019" w:rsidRPr="00235019" w:rsidRDefault="00235019" w:rsidP="00235019">
            <w:pPr>
              <w:rPr>
                <w:sz w:val="20"/>
                <w:szCs w:val="20"/>
              </w:rPr>
            </w:pPr>
            <w:r w:rsidRPr="00235019">
              <w:rPr>
                <w:sz w:val="20"/>
                <w:szCs w:val="20"/>
              </w:rPr>
              <w:t xml:space="preserve">Duration or oral </w:t>
            </w:r>
            <w:proofErr w:type="spellStart"/>
            <w:r w:rsidRPr="00235019">
              <w:rPr>
                <w:sz w:val="20"/>
                <w:szCs w:val="20"/>
              </w:rPr>
              <w:t>glucorticoid</w:t>
            </w:r>
            <w:proofErr w:type="spellEnd"/>
            <w:r w:rsidRPr="00235019">
              <w:rPr>
                <w:sz w:val="20"/>
                <w:szCs w:val="20"/>
              </w:rPr>
              <w:t xml:space="preserve"> use &gt; 7.5</w:t>
            </w:r>
            <w:r w:rsidR="001350D8">
              <w:rPr>
                <w:sz w:val="20"/>
                <w:szCs w:val="20"/>
              </w:rPr>
              <w:t xml:space="preserve"> mg</w:t>
            </w:r>
            <w:r w:rsidR="00211AE1">
              <w:rPr>
                <w:sz w:val="20"/>
                <w:szCs w:val="20"/>
              </w:rPr>
              <w:t xml:space="preserve"> </w:t>
            </w:r>
            <w:r w:rsidRPr="00235019">
              <w:rPr>
                <w:sz w:val="20"/>
                <w:szCs w:val="20"/>
              </w:rPr>
              <w:t>prior to study</w:t>
            </w:r>
          </w:p>
        </w:tc>
        <w:tc>
          <w:tcPr>
            <w:tcW w:w="2760" w:type="dxa"/>
          </w:tcPr>
          <w:p w:rsidR="00235019" w:rsidRPr="00235019" w:rsidRDefault="00235019" w:rsidP="00235019">
            <w:pPr>
              <w:rPr>
                <w:sz w:val="20"/>
                <w:szCs w:val="20"/>
              </w:rPr>
            </w:pPr>
            <w:r w:rsidRPr="00235019">
              <w:rPr>
                <w:sz w:val="20"/>
                <w:szCs w:val="20"/>
              </w:rPr>
              <w:t>481 &gt; 3 months</w:t>
            </w:r>
          </w:p>
          <w:p w:rsidR="00235019" w:rsidRPr="00235019" w:rsidRDefault="00235019" w:rsidP="00235019">
            <w:pPr>
              <w:rPr>
                <w:sz w:val="20"/>
                <w:szCs w:val="20"/>
              </w:rPr>
            </w:pPr>
            <w:r w:rsidRPr="00235019">
              <w:rPr>
                <w:sz w:val="20"/>
                <w:szCs w:val="20"/>
              </w:rPr>
              <w:t>125 &gt; 12 months</w:t>
            </w:r>
          </w:p>
        </w:tc>
        <w:tc>
          <w:tcPr>
            <w:tcW w:w="2795" w:type="dxa"/>
          </w:tcPr>
          <w:p w:rsidR="00235019" w:rsidRPr="00235019" w:rsidRDefault="00235019" w:rsidP="00235019">
            <w:pPr>
              <w:rPr>
                <w:sz w:val="20"/>
                <w:szCs w:val="20"/>
              </w:rPr>
            </w:pPr>
            <w:r w:rsidRPr="00235019">
              <w:rPr>
                <w:sz w:val="20"/>
                <w:szCs w:val="20"/>
              </w:rPr>
              <w:t>26</w:t>
            </w:r>
            <w:r w:rsidR="00211AE1">
              <w:rPr>
                <w:sz w:val="20"/>
                <w:szCs w:val="20"/>
              </w:rPr>
              <w:t xml:space="preserve"> </w:t>
            </w:r>
            <w:r w:rsidRPr="00235019">
              <w:rPr>
                <w:sz w:val="20"/>
                <w:szCs w:val="20"/>
              </w:rPr>
              <w:t>&gt; 3</w:t>
            </w:r>
            <w:r w:rsidR="006F0ECC">
              <w:rPr>
                <w:sz w:val="20"/>
                <w:szCs w:val="20"/>
              </w:rPr>
              <w:t xml:space="preserve"> </w:t>
            </w:r>
            <w:r w:rsidRPr="00235019">
              <w:rPr>
                <w:sz w:val="20"/>
                <w:szCs w:val="20"/>
              </w:rPr>
              <w:t>months</w:t>
            </w:r>
          </w:p>
          <w:p w:rsidR="00235019" w:rsidRPr="00235019" w:rsidRDefault="00235019" w:rsidP="00235019">
            <w:pPr>
              <w:rPr>
                <w:sz w:val="20"/>
                <w:szCs w:val="20"/>
              </w:rPr>
            </w:pPr>
            <w:r w:rsidRPr="00235019">
              <w:rPr>
                <w:sz w:val="20"/>
                <w:szCs w:val="20"/>
              </w:rPr>
              <w:t>11 &gt; 12 months</w:t>
            </w:r>
          </w:p>
        </w:tc>
      </w:tr>
      <w:tr w:rsidR="00235019" w:rsidRPr="00235019" w:rsidTr="008C575C">
        <w:trPr>
          <w:trHeight w:val="473"/>
        </w:trPr>
        <w:tc>
          <w:tcPr>
            <w:tcW w:w="2830" w:type="dxa"/>
          </w:tcPr>
          <w:p w:rsidR="00235019" w:rsidRPr="00235019" w:rsidRDefault="00235019" w:rsidP="00235019">
            <w:pPr>
              <w:rPr>
                <w:sz w:val="20"/>
                <w:szCs w:val="20"/>
              </w:rPr>
            </w:pPr>
            <w:r w:rsidRPr="00235019">
              <w:rPr>
                <w:sz w:val="20"/>
                <w:szCs w:val="20"/>
              </w:rPr>
              <w:t>Secondary osteoporosis</w:t>
            </w:r>
          </w:p>
        </w:tc>
        <w:tc>
          <w:tcPr>
            <w:tcW w:w="2760" w:type="dxa"/>
          </w:tcPr>
          <w:p w:rsidR="00235019" w:rsidRPr="00235019" w:rsidRDefault="00235019" w:rsidP="00235019">
            <w:pPr>
              <w:rPr>
                <w:sz w:val="20"/>
                <w:szCs w:val="20"/>
              </w:rPr>
            </w:pPr>
            <w:r w:rsidRPr="00235019">
              <w:rPr>
                <w:sz w:val="20"/>
                <w:szCs w:val="20"/>
              </w:rPr>
              <w:t>188 (37%)</w:t>
            </w:r>
          </w:p>
        </w:tc>
        <w:tc>
          <w:tcPr>
            <w:tcW w:w="2795" w:type="dxa"/>
          </w:tcPr>
          <w:p w:rsidR="00235019" w:rsidRPr="00235019" w:rsidRDefault="00235019" w:rsidP="00235019">
            <w:pPr>
              <w:rPr>
                <w:sz w:val="20"/>
                <w:szCs w:val="20"/>
              </w:rPr>
            </w:pPr>
            <w:r w:rsidRPr="00235019">
              <w:rPr>
                <w:sz w:val="20"/>
                <w:szCs w:val="20"/>
              </w:rPr>
              <w:t>29 (10%)</w:t>
            </w:r>
          </w:p>
        </w:tc>
      </w:tr>
      <w:tr w:rsidR="00235019" w:rsidRPr="00235019" w:rsidTr="008C575C">
        <w:trPr>
          <w:trHeight w:val="462"/>
        </w:trPr>
        <w:tc>
          <w:tcPr>
            <w:tcW w:w="2830" w:type="dxa"/>
          </w:tcPr>
          <w:p w:rsidR="00235019" w:rsidRPr="00235019" w:rsidRDefault="00235019" w:rsidP="00235019">
            <w:pPr>
              <w:rPr>
                <w:sz w:val="20"/>
                <w:szCs w:val="20"/>
              </w:rPr>
            </w:pPr>
            <w:r w:rsidRPr="00235019">
              <w:rPr>
                <w:sz w:val="20"/>
                <w:szCs w:val="20"/>
              </w:rPr>
              <w:t>Previous vertebral fracture</w:t>
            </w:r>
          </w:p>
        </w:tc>
        <w:tc>
          <w:tcPr>
            <w:tcW w:w="2760" w:type="dxa"/>
          </w:tcPr>
          <w:p w:rsidR="00235019" w:rsidRPr="00235019" w:rsidRDefault="00235019" w:rsidP="00235019">
            <w:pPr>
              <w:rPr>
                <w:sz w:val="20"/>
                <w:szCs w:val="20"/>
              </w:rPr>
            </w:pPr>
            <w:r w:rsidRPr="00235019">
              <w:rPr>
                <w:sz w:val="20"/>
                <w:szCs w:val="20"/>
              </w:rPr>
              <w:t>147 (29%)</w:t>
            </w:r>
          </w:p>
        </w:tc>
        <w:tc>
          <w:tcPr>
            <w:tcW w:w="2795" w:type="dxa"/>
          </w:tcPr>
          <w:p w:rsidR="00235019" w:rsidRPr="00235019" w:rsidRDefault="00235019" w:rsidP="00235019">
            <w:pPr>
              <w:rPr>
                <w:sz w:val="20"/>
                <w:szCs w:val="20"/>
              </w:rPr>
            </w:pPr>
            <w:r w:rsidRPr="00235019">
              <w:rPr>
                <w:sz w:val="20"/>
                <w:szCs w:val="20"/>
              </w:rPr>
              <w:t>47 (16%)</w:t>
            </w:r>
          </w:p>
        </w:tc>
      </w:tr>
      <w:tr w:rsidR="00235019" w:rsidRPr="00235019" w:rsidTr="008C575C">
        <w:trPr>
          <w:trHeight w:val="823"/>
        </w:trPr>
        <w:tc>
          <w:tcPr>
            <w:tcW w:w="2830" w:type="dxa"/>
          </w:tcPr>
          <w:p w:rsidR="00235019" w:rsidRPr="00235019" w:rsidRDefault="006F0ECC" w:rsidP="00235019">
            <w:pPr>
              <w:rPr>
                <w:sz w:val="20"/>
                <w:szCs w:val="20"/>
              </w:rPr>
            </w:pPr>
            <w:r>
              <w:rPr>
                <w:sz w:val="20"/>
                <w:szCs w:val="20"/>
              </w:rPr>
              <w:t>Lumbar spine BMD T</w:t>
            </w:r>
            <w:r w:rsidR="00235019" w:rsidRPr="00235019">
              <w:rPr>
                <w:sz w:val="20"/>
                <w:szCs w:val="20"/>
              </w:rPr>
              <w:t>-score</w:t>
            </w:r>
          </w:p>
          <w:p w:rsidR="00235019" w:rsidRPr="00235019" w:rsidRDefault="006F0ECC" w:rsidP="00235019">
            <w:pPr>
              <w:rPr>
                <w:sz w:val="20"/>
                <w:szCs w:val="20"/>
              </w:rPr>
            </w:pPr>
            <w:r>
              <w:rPr>
                <w:sz w:val="20"/>
                <w:szCs w:val="20"/>
              </w:rPr>
              <w:t xml:space="preserve">Less than </w:t>
            </w:r>
            <w:r>
              <w:rPr>
                <w:sz w:val="20"/>
                <w:szCs w:val="20"/>
              </w:rPr>
              <w:noBreakHyphen/>
            </w:r>
            <w:r w:rsidR="00235019" w:rsidRPr="00235019">
              <w:rPr>
                <w:sz w:val="20"/>
                <w:szCs w:val="20"/>
              </w:rPr>
              <w:t>2.5</w:t>
            </w:r>
          </w:p>
        </w:tc>
        <w:tc>
          <w:tcPr>
            <w:tcW w:w="2760" w:type="dxa"/>
          </w:tcPr>
          <w:p w:rsidR="00235019" w:rsidRPr="00235019" w:rsidRDefault="00235019" w:rsidP="00235019">
            <w:pPr>
              <w:rPr>
                <w:sz w:val="20"/>
                <w:szCs w:val="20"/>
              </w:rPr>
            </w:pPr>
            <w:r w:rsidRPr="00235019">
              <w:rPr>
                <w:sz w:val="20"/>
                <w:szCs w:val="20"/>
              </w:rPr>
              <w:t>194 (38%)</w:t>
            </w:r>
          </w:p>
        </w:tc>
        <w:tc>
          <w:tcPr>
            <w:tcW w:w="2795" w:type="dxa"/>
          </w:tcPr>
          <w:p w:rsidR="00235019" w:rsidRPr="00235019" w:rsidRDefault="00235019" w:rsidP="00235019">
            <w:pPr>
              <w:rPr>
                <w:sz w:val="20"/>
                <w:szCs w:val="20"/>
              </w:rPr>
            </w:pPr>
            <w:r w:rsidRPr="00235019">
              <w:rPr>
                <w:sz w:val="20"/>
                <w:szCs w:val="20"/>
              </w:rPr>
              <w:t>53 (18%)</w:t>
            </w:r>
          </w:p>
        </w:tc>
      </w:tr>
      <w:tr w:rsidR="00235019" w:rsidRPr="00235019" w:rsidTr="008C575C">
        <w:trPr>
          <w:trHeight w:val="2152"/>
        </w:trPr>
        <w:tc>
          <w:tcPr>
            <w:tcW w:w="2830" w:type="dxa"/>
          </w:tcPr>
          <w:p w:rsidR="00235019" w:rsidRPr="00D17DA7" w:rsidRDefault="00235019" w:rsidP="00235019">
            <w:pPr>
              <w:rPr>
                <w:b/>
                <w:sz w:val="20"/>
                <w:szCs w:val="20"/>
              </w:rPr>
            </w:pPr>
            <w:r w:rsidRPr="00D17DA7">
              <w:rPr>
                <w:b/>
                <w:sz w:val="20"/>
                <w:szCs w:val="20"/>
              </w:rPr>
              <w:t>Prior medical condition</w:t>
            </w:r>
          </w:p>
          <w:p w:rsidR="00235019" w:rsidRPr="00235019" w:rsidRDefault="006F0ECC" w:rsidP="00235019">
            <w:pPr>
              <w:rPr>
                <w:sz w:val="20"/>
                <w:szCs w:val="20"/>
              </w:rPr>
            </w:pPr>
            <w:r>
              <w:rPr>
                <w:sz w:val="20"/>
                <w:szCs w:val="20"/>
              </w:rPr>
              <w:t xml:space="preserve">Polymyalgia </w:t>
            </w:r>
            <w:proofErr w:type="spellStart"/>
            <w:r>
              <w:rPr>
                <w:sz w:val="20"/>
                <w:szCs w:val="20"/>
              </w:rPr>
              <w:t>rheumatica</w:t>
            </w:r>
            <w:proofErr w:type="spellEnd"/>
          </w:p>
          <w:p w:rsidR="00235019" w:rsidRPr="00235019" w:rsidRDefault="00235019" w:rsidP="00235019">
            <w:pPr>
              <w:rPr>
                <w:sz w:val="20"/>
                <w:szCs w:val="20"/>
              </w:rPr>
            </w:pPr>
            <w:r w:rsidRPr="00235019">
              <w:rPr>
                <w:sz w:val="20"/>
                <w:szCs w:val="20"/>
              </w:rPr>
              <w:t>Rheumatoid arthritis</w:t>
            </w:r>
          </w:p>
          <w:p w:rsidR="00235019" w:rsidRPr="00235019" w:rsidRDefault="00235019" w:rsidP="00235019">
            <w:pPr>
              <w:rPr>
                <w:sz w:val="20"/>
                <w:szCs w:val="20"/>
              </w:rPr>
            </w:pPr>
            <w:r w:rsidRPr="00235019">
              <w:rPr>
                <w:sz w:val="20"/>
                <w:szCs w:val="20"/>
              </w:rPr>
              <w:t>Asthma</w:t>
            </w:r>
          </w:p>
          <w:p w:rsidR="00235019" w:rsidRPr="00235019" w:rsidRDefault="00667476" w:rsidP="00235019">
            <w:pPr>
              <w:rPr>
                <w:sz w:val="20"/>
                <w:szCs w:val="20"/>
              </w:rPr>
            </w:pPr>
            <w:r w:rsidRPr="008C575C">
              <w:rPr>
                <w:sz w:val="20"/>
              </w:rPr>
              <w:t>Systemic lupus erythematosus</w:t>
            </w:r>
            <w:r w:rsidRPr="008C575C">
              <w:rPr>
                <w:sz w:val="18"/>
                <w:szCs w:val="20"/>
              </w:rPr>
              <w:t xml:space="preserve"> (</w:t>
            </w:r>
            <w:r w:rsidR="00235019" w:rsidRPr="008C575C">
              <w:rPr>
                <w:sz w:val="18"/>
                <w:szCs w:val="20"/>
              </w:rPr>
              <w:t>SLE</w:t>
            </w:r>
            <w:r w:rsidRPr="008C575C">
              <w:rPr>
                <w:sz w:val="18"/>
                <w:szCs w:val="20"/>
              </w:rPr>
              <w:t>)</w:t>
            </w:r>
          </w:p>
        </w:tc>
        <w:tc>
          <w:tcPr>
            <w:tcW w:w="2760" w:type="dxa"/>
          </w:tcPr>
          <w:p w:rsidR="00235019" w:rsidRPr="00235019" w:rsidRDefault="00235019" w:rsidP="00235019">
            <w:pPr>
              <w:rPr>
                <w:sz w:val="20"/>
                <w:szCs w:val="20"/>
              </w:rPr>
            </w:pPr>
          </w:p>
          <w:p w:rsidR="00235019" w:rsidRPr="00235019" w:rsidRDefault="00235019" w:rsidP="00235019">
            <w:pPr>
              <w:rPr>
                <w:sz w:val="20"/>
                <w:szCs w:val="20"/>
              </w:rPr>
            </w:pPr>
            <w:r w:rsidRPr="00235019">
              <w:rPr>
                <w:sz w:val="20"/>
                <w:szCs w:val="20"/>
              </w:rPr>
              <w:t>38</w:t>
            </w:r>
          </w:p>
          <w:p w:rsidR="00235019" w:rsidRPr="00235019" w:rsidRDefault="00235019" w:rsidP="00235019">
            <w:pPr>
              <w:rPr>
                <w:sz w:val="20"/>
                <w:szCs w:val="20"/>
              </w:rPr>
            </w:pPr>
            <w:r w:rsidRPr="00235019">
              <w:rPr>
                <w:sz w:val="20"/>
                <w:szCs w:val="20"/>
              </w:rPr>
              <w:t>226</w:t>
            </w:r>
          </w:p>
          <w:p w:rsidR="00235019" w:rsidRPr="00235019" w:rsidRDefault="00235019" w:rsidP="00235019">
            <w:pPr>
              <w:rPr>
                <w:sz w:val="20"/>
                <w:szCs w:val="20"/>
              </w:rPr>
            </w:pPr>
            <w:r w:rsidRPr="00235019">
              <w:rPr>
                <w:sz w:val="20"/>
                <w:szCs w:val="20"/>
              </w:rPr>
              <w:t>33</w:t>
            </w:r>
          </w:p>
          <w:p w:rsidR="00235019" w:rsidRPr="00235019" w:rsidRDefault="00235019" w:rsidP="00235019">
            <w:pPr>
              <w:rPr>
                <w:sz w:val="20"/>
                <w:szCs w:val="20"/>
              </w:rPr>
            </w:pPr>
            <w:r w:rsidRPr="00235019">
              <w:rPr>
                <w:sz w:val="20"/>
                <w:szCs w:val="20"/>
              </w:rPr>
              <w:t>31</w:t>
            </w:r>
          </w:p>
        </w:tc>
        <w:tc>
          <w:tcPr>
            <w:tcW w:w="2795" w:type="dxa"/>
          </w:tcPr>
          <w:p w:rsidR="00235019" w:rsidRPr="00235019" w:rsidRDefault="00235019" w:rsidP="00235019">
            <w:pPr>
              <w:rPr>
                <w:sz w:val="20"/>
                <w:szCs w:val="20"/>
              </w:rPr>
            </w:pPr>
          </w:p>
          <w:p w:rsidR="00235019" w:rsidRPr="00235019" w:rsidRDefault="00235019" w:rsidP="00235019">
            <w:pPr>
              <w:rPr>
                <w:sz w:val="20"/>
                <w:szCs w:val="20"/>
              </w:rPr>
            </w:pPr>
            <w:r w:rsidRPr="00235019">
              <w:rPr>
                <w:sz w:val="20"/>
                <w:szCs w:val="20"/>
              </w:rPr>
              <w:t>102</w:t>
            </w:r>
          </w:p>
          <w:p w:rsidR="00235019" w:rsidRPr="00235019" w:rsidRDefault="00235019" w:rsidP="00235019">
            <w:pPr>
              <w:rPr>
                <w:sz w:val="20"/>
                <w:szCs w:val="20"/>
              </w:rPr>
            </w:pPr>
            <w:r w:rsidRPr="00235019">
              <w:rPr>
                <w:sz w:val="20"/>
                <w:szCs w:val="20"/>
              </w:rPr>
              <w:t>91</w:t>
            </w:r>
          </w:p>
          <w:p w:rsidR="00235019" w:rsidRPr="00235019" w:rsidRDefault="00235019" w:rsidP="00235019">
            <w:pPr>
              <w:rPr>
                <w:sz w:val="20"/>
                <w:szCs w:val="20"/>
              </w:rPr>
            </w:pPr>
            <w:r w:rsidRPr="00235019">
              <w:rPr>
                <w:sz w:val="20"/>
                <w:szCs w:val="20"/>
              </w:rPr>
              <w:t>5</w:t>
            </w:r>
          </w:p>
          <w:p w:rsidR="00235019" w:rsidRPr="00235019" w:rsidRDefault="00235019" w:rsidP="00235019">
            <w:pPr>
              <w:rPr>
                <w:sz w:val="20"/>
                <w:szCs w:val="20"/>
              </w:rPr>
            </w:pPr>
            <w:r w:rsidRPr="00235019">
              <w:rPr>
                <w:sz w:val="20"/>
                <w:szCs w:val="20"/>
              </w:rPr>
              <w:t>6</w:t>
            </w:r>
          </w:p>
        </w:tc>
      </w:tr>
    </w:tbl>
    <w:p w:rsidR="00211AE1" w:rsidRDefault="00235019" w:rsidP="0018105A">
      <w:r>
        <w:t>There was clearly a lot of cross over between these two po</w:t>
      </w:r>
      <w:r w:rsidR="006F0ECC">
        <w:t>pulations. Most patients were &gt; </w:t>
      </w:r>
      <w:r>
        <w:t>50 years. There was little data in men and pre</w:t>
      </w:r>
      <w:r w:rsidR="00D17DA7">
        <w:t xml:space="preserve">-menopausal women </w:t>
      </w:r>
      <w:r w:rsidR="001350D8">
        <w:t xml:space="preserve">&lt; </w:t>
      </w:r>
      <w:r w:rsidR="00D17DA7">
        <w:t>50 years</w:t>
      </w:r>
      <w:r w:rsidR="00211AE1">
        <w:t>.</w:t>
      </w:r>
    </w:p>
    <w:p w:rsidR="00D17DA7" w:rsidRPr="00D17DA7" w:rsidRDefault="00D17DA7" w:rsidP="00D17DA7">
      <w:pPr>
        <w:pStyle w:val="Heading6"/>
      </w:pPr>
      <w:r>
        <w:t xml:space="preserve">Primary </w:t>
      </w:r>
      <w:r w:rsidR="000B1E25">
        <w:t>efficacy outcome</w:t>
      </w:r>
    </w:p>
    <w:p w:rsidR="00D17DA7" w:rsidRPr="00D17DA7" w:rsidRDefault="00D17DA7" w:rsidP="00D17DA7">
      <w:r w:rsidRPr="00D17DA7">
        <w:t>The duration of glucocorticoid use during the study was similar in both groups,</w:t>
      </w:r>
      <w:r w:rsidR="00211AE1">
        <w:t xml:space="preserve"> </w:t>
      </w:r>
      <w:r w:rsidRPr="00D17DA7">
        <w:t xml:space="preserve">mean 324 days, </w:t>
      </w:r>
      <w:proofErr w:type="gramStart"/>
      <w:r w:rsidRPr="00D17DA7">
        <w:t>mean</w:t>
      </w:r>
      <w:proofErr w:type="gramEnd"/>
      <w:r w:rsidRPr="00D17DA7">
        <w:t xml:space="preserve"> dose was 10.3</w:t>
      </w:r>
      <w:r w:rsidR="001350D8">
        <w:t xml:space="preserve"> mg</w:t>
      </w:r>
      <w:r w:rsidRPr="00D17DA7">
        <w:t xml:space="preserve"> in the risedronate group and 9.8</w:t>
      </w:r>
      <w:r w:rsidR="001350D8">
        <w:t xml:space="preserve"> mg</w:t>
      </w:r>
      <w:r w:rsidR="00211AE1">
        <w:t xml:space="preserve"> </w:t>
      </w:r>
      <w:r w:rsidRPr="00D17DA7">
        <w:t>in the denosumab group.</w:t>
      </w:r>
    </w:p>
    <w:p w:rsidR="00D17DA7" w:rsidRPr="00D17DA7" w:rsidRDefault="00D17DA7" w:rsidP="00D17DA7">
      <w:pPr>
        <w:pStyle w:val="TableTitle"/>
      </w:pPr>
      <w:r w:rsidRPr="00D17DA7">
        <w:lastRenderedPageBreak/>
        <w:t xml:space="preserve">Table </w:t>
      </w:r>
      <w:r w:rsidR="00B0277C">
        <w:t>3</w:t>
      </w:r>
      <w:r w:rsidR="009A3208">
        <w:t>5</w:t>
      </w:r>
      <w:r w:rsidR="00B0277C">
        <w:t xml:space="preserve">: </w:t>
      </w:r>
      <w:r w:rsidRPr="00D17DA7">
        <w:t xml:space="preserve">Percent change from </w:t>
      </w:r>
      <w:r w:rsidR="000B1E25">
        <w:t>B</w:t>
      </w:r>
      <w:r w:rsidR="000B1E25" w:rsidRPr="00D17DA7">
        <w:t xml:space="preserve">aseline </w:t>
      </w:r>
      <w:r w:rsidRPr="00D17DA7">
        <w:t xml:space="preserve">in lumbar BMD at </w:t>
      </w:r>
      <w:r w:rsidR="00092A8B">
        <w:t>Month</w:t>
      </w:r>
      <w:r w:rsidRPr="00D17DA7">
        <w:t xml:space="preserve"> 12</w:t>
      </w:r>
    </w:p>
    <w:p w:rsidR="00235019" w:rsidRDefault="00D17DA7" w:rsidP="0018105A">
      <w:r>
        <w:rPr>
          <w:noProof/>
          <w:lang w:eastAsia="en-AU"/>
        </w:rPr>
        <w:drawing>
          <wp:inline distT="0" distB="0" distL="0" distR="0" wp14:anchorId="7745D34B" wp14:editId="4CC7E1FA">
            <wp:extent cx="4800600" cy="1990725"/>
            <wp:effectExtent l="0" t="0" r="0" b="9525"/>
            <wp:docPr id="1" name="Picture 1" descr="Table 35: Percent change from baseline in lumbar BMD at Mont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00600" cy="1990725"/>
                    </a:xfrm>
                    <a:prstGeom prst="rect">
                      <a:avLst/>
                    </a:prstGeom>
                  </pic:spPr>
                </pic:pic>
              </a:graphicData>
            </a:graphic>
          </wp:inline>
        </w:drawing>
      </w:r>
    </w:p>
    <w:p w:rsidR="00D17DA7" w:rsidRPr="00D17DA7" w:rsidRDefault="00D17DA7" w:rsidP="00D17DA7">
      <w:r w:rsidRPr="00D17DA7">
        <w:t>There was a greater improvement in lumbar BMD in the denosumab treatment group compared to the risedronate treatment group.</w:t>
      </w:r>
      <w:r w:rsidR="00211AE1">
        <w:t xml:space="preserve"> </w:t>
      </w:r>
      <w:r w:rsidRPr="00D17DA7">
        <w:t>Non inferiority to risedronate was demonstrated. The secondary analysis of BMD was supportive.</w:t>
      </w:r>
    </w:p>
    <w:p w:rsidR="00D17DA7" w:rsidRPr="00D17DA7" w:rsidRDefault="00D17DA7" w:rsidP="00D17DA7">
      <w:pPr>
        <w:pStyle w:val="Heading6"/>
      </w:pPr>
      <w:r>
        <w:t xml:space="preserve">Other </w:t>
      </w:r>
      <w:r w:rsidR="000B1E25">
        <w:t>efficacy outcomes</w:t>
      </w:r>
    </w:p>
    <w:p w:rsidR="00D17DA7" w:rsidRDefault="000B1E25" w:rsidP="008C575C">
      <w:r>
        <w:t xml:space="preserve">For the </w:t>
      </w:r>
      <w:r w:rsidR="00D17DA7" w:rsidRPr="00D17DA7">
        <w:t>GC-I population</w:t>
      </w:r>
      <w:r>
        <w:t>, these are shown in Table 36.</w:t>
      </w:r>
    </w:p>
    <w:p w:rsidR="006F0ECC" w:rsidRPr="006F0ECC" w:rsidRDefault="00B0277C" w:rsidP="006F0ECC">
      <w:pPr>
        <w:pStyle w:val="TableTitle"/>
      </w:pPr>
      <w:r>
        <w:t>Table 3</w:t>
      </w:r>
      <w:r w:rsidR="009A3208">
        <w:t>6</w:t>
      </w:r>
      <w:r w:rsidR="006F0ECC">
        <w:t xml:space="preserve">: 12 month endpoint results for </w:t>
      </w:r>
      <w:r w:rsidR="006F0ECC" w:rsidRPr="00D17DA7">
        <w:t>GC-I population</w:t>
      </w:r>
    </w:p>
    <w:p w:rsidR="00235019" w:rsidRDefault="00D17DA7" w:rsidP="007B6132">
      <w:r>
        <w:rPr>
          <w:noProof/>
          <w:lang w:eastAsia="en-AU"/>
        </w:rPr>
        <w:drawing>
          <wp:inline distT="0" distB="0" distL="0" distR="0" wp14:anchorId="10776BAC" wp14:editId="506A5164">
            <wp:extent cx="5400040" cy="1927933"/>
            <wp:effectExtent l="0" t="0" r="0" b="0"/>
            <wp:docPr id="2" name="Picture 2" descr="Table 36: 12 month endpoint results for GC-I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1927933"/>
                    </a:xfrm>
                    <a:prstGeom prst="rect">
                      <a:avLst/>
                    </a:prstGeom>
                  </pic:spPr>
                </pic:pic>
              </a:graphicData>
            </a:graphic>
          </wp:inline>
        </w:drawing>
      </w:r>
    </w:p>
    <w:p w:rsidR="00D17DA7" w:rsidRDefault="000B1E25" w:rsidP="008C575C">
      <w:r>
        <w:t>For the g</w:t>
      </w:r>
      <w:r w:rsidR="00DE1EFB">
        <w:t>lucocorticoid-continuing</w:t>
      </w:r>
      <w:r w:rsidR="00DE1EFB" w:rsidRPr="00D17DA7">
        <w:t xml:space="preserve"> </w:t>
      </w:r>
      <w:r w:rsidR="00DE1EFB">
        <w:t>(</w:t>
      </w:r>
      <w:r w:rsidR="00D17DA7" w:rsidRPr="00D17DA7">
        <w:t>GC-C</w:t>
      </w:r>
      <w:r w:rsidR="00DE1EFB">
        <w:t>)</w:t>
      </w:r>
      <w:r w:rsidR="00D17DA7" w:rsidRPr="00D17DA7">
        <w:t xml:space="preserve"> population</w:t>
      </w:r>
      <w:r>
        <w:t>, these are shown in Table 37.</w:t>
      </w:r>
    </w:p>
    <w:p w:rsidR="006F0ECC" w:rsidRPr="006F0ECC" w:rsidRDefault="00B0277C" w:rsidP="006F0ECC">
      <w:pPr>
        <w:pStyle w:val="TableTitle"/>
      </w:pPr>
      <w:r>
        <w:t>Table 3</w:t>
      </w:r>
      <w:r w:rsidR="009A3208">
        <w:t>7</w:t>
      </w:r>
      <w:r w:rsidR="006F0ECC">
        <w:t>: 12 month endpoint results for GC-C</w:t>
      </w:r>
      <w:r w:rsidR="006F0ECC" w:rsidRPr="00D17DA7">
        <w:t xml:space="preserve"> population</w:t>
      </w:r>
    </w:p>
    <w:p w:rsidR="00235019" w:rsidRDefault="00D17DA7" w:rsidP="007B6132">
      <w:r>
        <w:rPr>
          <w:noProof/>
          <w:lang w:eastAsia="en-AU"/>
        </w:rPr>
        <w:drawing>
          <wp:inline distT="0" distB="0" distL="0" distR="0" wp14:anchorId="19C1541B" wp14:editId="28C43D11">
            <wp:extent cx="5400040" cy="1873110"/>
            <wp:effectExtent l="0" t="0" r="0" b="0"/>
            <wp:docPr id="3" name="Picture 3" descr="Table 37: 12 month endpoint results for GC-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1873110"/>
                    </a:xfrm>
                    <a:prstGeom prst="rect">
                      <a:avLst/>
                    </a:prstGeom>
                  </pic:spPr>
                </pic:pic>
              </a:graphicData>
            </a:graphic>
          </wp:inline>
        </w:drawing>
      </w:r>
    </w:p>
    <w:p w:rsidR="00D17DA7" w:rsidRDefault="00D17DA7" w:rsidP="00D17DA7">
      <w:pPr>
        <w:pStyle w:val="TableTitle"/>
      </w:pPr>
      <w:r>
        <w:lastRenderedPageBreak/>
        <w:t xml:space="preserve">Table </w:t>
      </w:r>
      <w:r w:rsidR="00B0277C">
        <w:t>3</w:t>
      </w:r>
      <w:r w:rsidR="009A3208">
        <w:t>8</w:t>
      </w:r>
      <w:r w:rsidR="00B0277C">
        <w:t>:</w:t>
      </w:r>
      <w:r w:rsidR="006F0ECC">
        <w:rPr>
          <w:noProof/>
        </w:rPr>
        <w:t xml:space="preserve"> </w:t>
      </w:r>
      <w:r>
        <w:t>Fracture data for the combined analysis set</w:t>
      </w:r>
    </w:p>
    <w:p w:rsidR="00235019" w:rsidRDefault="00D17DA7" w:rsidP="007B6132">
      <w:r>
        <w:rPr>
          <w:noProof/>
          <w:lang w:eastAsia="en-AU"/>
        </w:rPr>
        <w:drawing>
          <wp:inline distT="0" distB="0" distL="0" distR="0" wp14:anchorId="0B6783EE" wp14:editId="1D3CF145">
            <wp:extent cx="5334000" cy="1524000"/>
            <wp:effectExtent l="0" t="0" r="0" b="0"/>
            <wp:docPr id="4" name="Picture 4" descr="Table 38: Fracture data for the combin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34000" cy="1524000"/>
                    </a:xfrm>
                    <a:prstGeom prst="rect">
                      <a:avLst/>
                    </a:prstGeom>
                  </pic:spPr>
                </pic:pic>
              </a:graphicData>
            </a:graphic>
          </wp:inline>
        </w:drawing>
      </w:r>
    </w:p>
    <w:p w:rsidR="00D17DA7" w:rsidRDefault="00D17DA7" w:rsidP="00D17DA7">
      <w:r>
        <w:t>There were numerically less vertebral fracture and more non vertebral fracture in the denosumab group. However it is important to note that clinical fracture did not include traumatic or pathological fractures.</w:t>
      </w:r>
    </w:p>
    <w:p w:rsidR="00D17DA7" w:rsidRDefault="00D17DA7" w:rsidP="00D17DA7">
      <w:r>
        <w:t>6 subjects on the denosumab arm and 11 subjects on the risedronate arm had bone biopsies.</w:t>
      </w:r>
      <w:r w:rsidR="00211AE1">
        <w:t xml:space="preserve"> </w:t>
      </w:r>
      <w:r>
        <w:t>All collected bone biopsies showed normal bone histology with normal lamellar bone, normal mineralisation and normal osteoid.</w:t>
      </w:r>
      <w:r w:rsidR="00211AE1">
        <w:t xml:space="preserve"> </w:t>
      </w:r>
      <w:proofErr w:type="spellStart"/>
      <w:r>
        <w:t>Osteomalacia</w:t>
      </w:r>
      <w:proofErr w:type="spellEnd"/>
      <w:r>
        <w:t>, marrow fibrosis, woven bone and clinically significant marrow abnormalities were not detected. Tetracycline labelling showe</w:t>
      </w:r>
      <w:r w:rsidR="006F0ECC">
        <w:t>d more double labelling in the r</w:t>
      </w:r>
      <w:r>
        <w:t>isedronate arm than the denosumab arm, consistent with other studies and the mechanism of action.</w:t>
      </w:r>
    </w:p>
    <w:p w:rsidR="00D17DA7" w:rsidRDefault="00D17DA7" w:rsidP="00D17DA7">
      <w:pPr>
        <w:rPr>
          <w:rFonts w:asciiTheme="minorHAnsi" w:hAnsiTheme="minorHAnsi"/>
        </w:rPr>
      </w:pPr>
      <w:r>
        <w:t>Bone markers indicated reduced bone resorption and formation.</w:t>
      </w:r>
    </w:p>
    <w:p w:rsidR="00D17DA7" w:rsidRDefault="00D17DA7" w:rsidP="00D17DA7">
      <w:pPr>
        <w:rPr>
          <w:rFonts w:asciiTheme="minorHAnsi" w:hAnsiTheme="minorHAnsi"/>
        </w:rPr>
      </w:pPr>
      <w:r>
        <w:rPr>
          <w:rFonts w:asciiTheme="minorHAnsi" w:hAnsiTheme="minorHAnsi"/>
        </w:rPr>
        <w:t>Patients preferred injections than a daily tablet. Compliance with the oral tablets was unclear.</w:t>
      </w:r>
    </w:p>
    <w:p w:rsidR="00D17DA7" w:rsidRDefault="00D17DA7" w:rsidP="00D17DA7">
      <w:pPr>
        <w:rPr>
          <w:rFonts w:asciiTheme="minorHAnsi" w:hAnsiTheme="minorHAnsi"/>
          <w:b/>
        </w:rPr>
      </w:pPr>
      <w:r>
        <w:rPr>
          <w:rFonts w:asciiTheme="minorHAnsi" w:hAnsiTheme="minorHAnsi"/>
        </w:rPr>
        <w:t>Subgroup analysis shows a numerical improvement in lumbar BMD in pre-menopausal women, the numbers are too small for valid statistical analysis. Treatment was efficacious in those with and without pre-existing osteoporosis, but with a numerically greater improvement in percent increase in lumbar BMD with those with lower baseline BMD.</w:t>
      </w:r>
    </w:p>
    <w:p w:rsidR="00235019" w:rsidRDefault="00CD7E08" w:rsidP="00CD7E08">
      <w:pPr>
        <w:pStyle w:val="TableTitle"/>
      </w:pPr>
      <w:r>
        <w:t xml:space="preserve">Table </w:t>
      </w:r>
      <w:r w:rsidR="00B0277C">
        <w:t>3</w:t>
      </w:r>
      <w:r w:rsidR="009A3208">
        <w:t>9</w:t>
      </w:r>
      <w:r w:rsidR="00B0277C">
        <w:t>:</w:t>
      </w:r>
      <w:r>
        <w:t xml:space="preserve"> </w:t>
      </w:r>
      <w:r w:rsidR="000B1E25">
        <w:t>L</w:t>
      </w:r>
      <w:r w:rsidR="00B0277C">
        <w:t xml:space="preserve">umbar spine bone mineral density percent change from </w:t>
      </w:r>
      <w:r>
        <w:t xml:space="preserve">Baseline at Month 12 for </w:t>
      </w:r>
      <w:r w:rsidR="000B1E25">
        <w:t xml:space="preserve">female subjects </w:t>
      </w:r>
      <w:r>
        <w:t xml:space="preserve">by </w:t>
      </w:r>
      <w:r w:rsidR="000B1E25">
        <w:t xml:space="preserve">menopausal status </w:t>
      </w:r>
      <w:r>
        <w:t>(ANCOVA)</w:t>
      </w:r>
      <w:r w:rsidR="000B1E25">
        <w:t>;</w:t>
      </w:r>
      <w:r>
        <w:t xml:space="preserve"> </w:t>
      </w:r>
      <w:r w:rsidR="000B1E25">
        <w:t>primary efficacy set</w:t>
      </w:r>
      <w:r>
        <w:t xml:space="preserve">, </w:t>
      </w:r>
      <w:r w:rsidR="000B1E25">
        <w:t>observed data</w:t>
      </w:r>
      <w:r>
        <w:t xml:space="preserve"> (</w:t>
      </w:r>
      <w:r w:rsidR="000B1E25">
        <w:t>glucocorticoid</w:t>
      </w:r>
      <w:r>
        <w:t xml:space="preserve">-initiating </w:t>
      </w:r>
      <w:r w:rsidR="000B1E25">
        <w:t>subpopulation</w:t>
      </w:r>
      <w:r>
        <w:t>)</w:t>
      </w:r>
      <w:r w:rsidR="000B1E25">
        <w:t xml:space="preserve"> </w:t>
      </w:r>
      <w:r>
        <w:t>(</w:t>
      </w:r>
      <w:r w:rsidR="006F0ECC">
        <w:t>Study</w:t>
      </w:r>
      <w:r w:rsidR="000B1E25">
        <w:t> </w:t>
      </w:r>
      <w:r w:rsidR="006F0ECC">
        <w:t>20101217 12 </w:t>
      </w:r>
      <w:r>
        <w:t xml:space="preserve">month </w:t>
      </w:r>
      <w:r w:rsidR="000B1E25">
        <w:t>primary analysis</w:t>
      </w:r>
      <w:r>
        <w:t>)</w:t>
      </w:r>
    </w:p>
    <w:p w:rsidR="00624032" w:rsidRDefault="00CD7E08" w:rsidP="0018105A">
      <w:r w:rsidRPr="008C575C">
        <w:rPr>
          <w:noProof/>
          <w:lang w:eastAsia="en-AU"/>
        </w:rPr>
        <w:drawing>
          <wp:inline distT="0" distB="0" distL="0" distR="0" wp14:anchorId="42813328" wp14:editId="71945268">
            <wp:extent cx="4308652" cy="2868291"/>
            <wp:effectExtent l="0" t="0" r="0" b="8890"/>
            <wp:docPr id="6" name="Picture 6" descr="Table 39: lumbar spine bone mineral density percent change from Baseline at Month 12 for Female Subjects by Menopausal Status (ANCOVA) (Primary Efficacy Set, Observed Data) (Glucocorticoid-initiating Subpopulation) (Study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12336" cy="2870743"/>
                    </a:xfrm>
                    <a:prstGeom prst="rect">
                      <a:avLst/>
                    </a:prstGeom>
                  </pic:spPr>
                </pic:pic>
              </a:graphicData>
            </a:graphic>
          </wp:inline>
        </w:drawing>
      </w:r>
    </w:p>
    <w:p w:rsidR="0018105A" w:rsidRDefault="0018105A" w:rsidP="0018105A"/>
    <w:p w:rsidR="00235019" w:rsidRPr="008C575C" w:rsidRDefault="00CD7E08" w:rsidP="0018105A">
      <w:pPr>
        <w:pStyle w:val="TableTitle"/>
      </w:pPr>
      <w:r w:rsidRPr="008C575C">
        <w:lastRenderedPageBreak/>
        <w:t xml:space="preserve">Table </w:t>
      </w:r>
      <w:r w:rsidR="009A3208" w:rsidRPr="008C575C">
        <w:t>40</w:t>
      </w:r>
      <w:r w:rsidR="00747C3C" w:rsidRPr="008C575C">
        <w:t>:</w:t>
      </w:r>
      <w:r w:rsidRPr="008C575C">
        <w:t xml:space="preserve"> Lumbar </w:t>
      </w:r>
      <w:r w:rsidR="00747C3C" w:rsidRPr="008C575C">
        <w:t xml:space="preserve">spine bone mineral density percent change from </w:t>
      </w:r>
      <w:r w:rsidRPr="008C575C">
        <w:t xml:space="preserve">Baseline at Month 12 for </w:t>
      </w:r>
      <w:r w:rsidR="000B1E25" w:rsidRPr="008C575C">
        <w:t xml:space="preserve">female subjects by menopausal status </w:t>
      </w:r>
      <w:r w:rsidRPr="008C575C">
        <w:t>(ANCOVA)</w:t>
      </w:r>
      <w:r w:rsidR="000B1E25" w:rsidRPr="008C575C">
        <w:t xml:space="preserve">; </w:t>
      </w:r>
      <w:r w:rsidR="000B1E25" w:rsidRPr="0018105A">
        <w:t>primary</w:t>
      </w:r>
      <w:r w:rsidR="000B1E25" w:rsidRPr="008C575C">
        <w:t xml:space="preserve"> efficacy set, observed data (glucocorticoid-initiating subpopulation) (Study 20101217 12 month primary analysis)</w:t>
      </w:r>
    </w:p>
    <w:p w:rsidR="00235019" w:rsidRDefault="00CD7E08" w:rsidP="007B6132">
      <w:r>
        <w:rPr>
          <w:noProof/>
          <w:lang w:eastAsia="en-AU"/>
        </w:rPr>
        <w:drawing>
          <wp:inline distT="0" distB="0" distL="0" distR="0" wp14:anchorId="07EE2A5B" wp14:editId="56DB9D8E">
            <wp:extent cx="4623206" cy="3157709"/>
            <wp:effectExtent l="0" t="0" r="6350" b="5080"/>
            <wp:docPr id="7" name="Picture 7" descr="Table 40: Lumbar spine bone mineral density percent change from Baseline at Month 12 for Female Subjects by Menopausal Status (ANCOVA) (Primary Efficacy Set, Observed Data) (Glucocorticoid-continuing Subpopulation) (Study 20101217 12 month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25008" cy="3158940"/>
                    </a:xfrm>
                    <a:prstGeom prst="rect">
                      <a:avLst/>
                    </a:prstGeom>
                  </pic:spPr>
                </pic:pic>
              </a:graphicData>
            </a:graphic>
          </wp:inline>
        </w:drawing>
      </w:r>
    </w:p>
    <w:p w:rsidR="00CD7E08" w:rsidRPr="00CD7E08" w:rsidRDefault="00CD7E08" w:rsidP="005842F2">
      <w:pPr>
        <w:pStyle w:val="Heading6"/>
      </w:pPr>
      <w:r w:rsidRPr="00CD7E08">
        <w:t xml:space="preserve">Evidence to support </w:t>
      </w:r>
      <w:r w:rsidRPr="005842F2">
        <w:t>bridging</w:t>
      </w:r>
    </w:p>
    <w:p w:rsidR="00CD7E08" w:rsidRDefault="00CD7E08" w:rsidP="00CD7E08">
      <w:r w:rsidRPr="00CD7E08">
        <w:t xml:space="preserve">Previous studies </w:t>
      </w:r>
      <w:r w:rsidR="00747C3C">
        <w:t>for denosumab from PI</w:t>
      </w:r>
      <w:r w:rsidR="000B1E25">
        <w:t xml:space="preserve"> are shown in Table 41, below.</w:t>
      </w:r>
    </w:p>
    <w:p w:rsidR="00747C3C" w:rsidRPr="00CD7E08" w:rsidRDefault="00747C3C" w:rsidP="00747C3C">
      <w:pPr>
        <w:pStyle w:val="TableTitle"/>
      </w:pPr>
      <w:r>
        <w:t>Table 4</w:t>
      </w:r>
      <w:r w:rsidR="009A3208">
        <w:t>1</w:t>
      </w:r>
      <w:r>
        <w:t>:</w:t>
      </w:r>
      <w:r w:rsidRPr="00747C3C">
        <w:t xml:space="preserve"> </w:t>
      </w:r>
      <w:r w:rsidRPr="00CD7E08">
        <w:t xml:space="preserve">Previous studies for denosumab from </w:t>
      </w:r>
      <w:r w:rsidR="000B1E25">
        <w:t xml:space="preserve">the Prolia </w:t>
      </w:r>
      <w:r w:rsidRPr="00CD7E08">
        <w:t>PI</w:t>
      </w:r>
    </w:p>
    <w:p w:rsidR="00235019" w:rsidRDefault="00CD7E08" w:rsidP="007B6132">
      <w:r>
        <w:rPr>
          <w:noProof/>
          <w:lang w:eastAsia="en-AU"/>
        </w:rPr>
        <w:drawing>
          <wp:inline distT="0" distB="0" distL="0" distR="0" wp14:anchorId="423828C7" wp14:editId="7F812C1C">
            <wp:extent cx="5400040" cy="3253293"/>
            <wp:effectExtent l="0" t="0" r="0" b="4445"/>
            <wp:docPr id="9" name="Picture 9" descr="Table 41: Previous studies for denosumab from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40" cy="3253293"/>
                    </a:xfrm>
                    <a:prstGeom prst="rect">
                      <a:avLst/>
                    </a:prstGeom>
                  </pic:spPr>
                </pic:pic>
              </a:graphicData>
            </a:graphic>
          </wp:inline>
        </w:drawing>
      </w:r>
    </w:p>
    <w:p w:rsidR="00CD7E08" w:rsidRDefault="00CD7E08" w:rsidP="00CD7E08">
      <w:pPr>
        <w:pStyle w:val="Heading5"/>
      </w:pPr>
      <w:r w:rsidRPr="003F08CF">
        <w:t>Safety</w:t>
      </w:r>
    </w:p>
    <w:p w:rsidR="00CD7E08" w:rsidRDefault="00CD7E08" w:rsidP="00CD7E08">
      <w:r>
        <w:t>Incidence of adverse events was 72.3% on th</w:t>
      </w:r>
      <w:r w:rsidR="006F0ECC">
        <w:t>e denosumab arm and 69% on the r</w:t>
      </w:r>
      <w:r>
        <w:t>isedronate arm. Overall, both drugs were well tolerated.</w:t>
      </w:r>
    </w:p>
    <w:p w:rsidR="00CD7E08" w:rsidRDefault="00CD7E08" w:rsidP="00CD7E08">
      <w:r>
        <w:lastRenderedPageBreak/>
        <w:t>Treatment related and serious AEs occurred in a similar proport</w:t>
      </w:r>
      <w:r w:rsidR="006F0ECC">
        <w:t>ion of patients in the r</w:t>
      </w:r>
      <w:r>
        <w:t xml:space="preserve">isedronate and denosumab treatment groups. It is notable that cardiac failure, </w:t>
      </w:r>
      <w:r w:rsidR="00016DE4">
        <w:t>transient ischemic attack (</w:t>
      </w:r>
      <w:r>
        <w:t>TIA</w:t>
      </w:r>
      <w:r w:rsidR="00016DE4">
        <w:t>)</w:t>
      </w:r>
      <w:r>
        <w:t xml:space="preserve"> and stroke were more common with denosumab. Cardiovascular events are in the RMP as a potential risk.</w:t>
      </w:r>
    </w:p>
    <w:p w:rsidR="00CD7E08" w:rsidRPr="00CD7E08" w:rsidRDefault="00CD7E08" w:rsidP="00CD7E08">
      <w:pPr>
        <w:rPr>
          <w:rFonts w:asciiTheme="minorHAnsi" w:hAnsiTheme="minorHAnsi"/>
        </w:rPr>
      </w:pPr>
      <w:r>
        <w:rPr>
          <w:rFonts w:asciiTheme="minorHAnsi" w:hAnsiTheme="minorHAnsi"/>
        </w:rPr>
        <w:t>Hypocalcaemia was seen in one patient who received denosumab, and no patient who received risedronate. There were no cases of osteonecrosis of the jaw. Hypersensitivity occurred in 19 patients treated with denosumab and 12 who received risedronate. One patient in the denosumab group had an atypical femoral fracture.</w:t>
      </w:r>
    </w:p>
    <w:p w:rsidR="00CD7E08" w:rsidRPr="00016DE4" w:rsidRDefault="00747C3C" w:rsidP="00016DE4">
      <w:pPr>
        <w:pStyle w:val="TableTitle"/>
      </w:pPr>
      <w:r>
        <w:t>Table 4</w:t>
      </w:r>
      <w:r w:rsidR="009A3208">
        <w:t>2</w:t>
      </w:r>
      <w:r w:rsidR="00016DE4" w:rsidRPr="00016DE4">
        <w:t xml:space="preserve">: </w:t>
      </w:r>
      <w:r w:rsidR="00CD7E08" w:rsidRPr="00016DE4">
        <w:t xml:space="preserve">Treatment </w:t>
      </w:r>
      <w:r w:rsidR="00905A2D" w:rsidRPr="00016DE4">
        <w:t>e</w:t>
      </w:r>
      <w:r w:rsidR="00CD7E08" w:rsidRPr="00016DE4">
        <w:t xml:space="preserve">mergent AEs related to fractures in </w:t>
      </w:r>
      <w:r w:rsidR="000B1E25">
        <w:t xml:space="preserve">the </w:t>
      </w:r>
      <w:r w:rsidR="00CD7E08" w:rsidRPr="00016DE4">
        <w:t>safety set</w:t>
      </w:r>
    </w:p>
    <w:p w:rsidR="00CD7E08" w:rsidRDefault="00CD7E08" w:rsidP="0018105A">
      <w:r>
        <w:rPr>
          <w:noProof/>
          <w:lang w:eastAsia="en-AU"/>
        </w:rPr>
        <w:drawing>
          <wp:inline distT="0" distB="0" distL="0" distR="0" wp14:anchorId="3A2767C4" wp14:editId="14C498F5">
            <wp:extent cx="5400040" cy="3482910"/>
            <wp:effectExtent l="0" t="0" r="0" b="3810"/>
            <wp:docPr id="10" name="Picture 10" descr="Table 42: Treatment Emergent AEs related to fractures i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400040" cy="3482910"/>
                    </a:xfrm>
                    <a:prstGeom prst="rect">
                      <a:avLst/>
                    </a:prstGeom>
                  </pic:spPr>
                </pic:pic>
              </a:graphicData>
            </a:graphic>
          </wp:inline>
        </w:drawing>
      </w:r>
    </w:p>
    <w:p w:rsidR="00CD7E08" w:rsidRPr="00A34BF2" w:rsidRDefault="00CD7E08" w:rsidP="00CD7E08">
      <w:r w:rsidRPr="00A34BF2">
        <w:t>It appears that there was an increased rate of non vertebral fracture in the denosumab group</w:t>
      </w:r>
      <w:r>
        <w:t xml:space="preserve"> compared to the risedronate group.</w:t>
      </w:r>
    </w:p>
    <w:p w:rsidR="008E7846" w:rsidRDefault="00386150" w:rsidP="007B6132">
      <w:pPr>
        <w:pStyle w:val="Heading3"/>
        <w:rPr>
          <w:lang w:eastAsia="en-AU"/>
        </w:rPr>
      </w:pPr>
      <w:bookmarkStart w:id="101" w:name="_Toc16166703"/>
      <w:r>
        <w:rPr>
          <w:lang w:eastAsia="en-AU"/>
        </w:rPr>
        <w:t>Risk m</w:t>
      </w:r>
      <w:r w:rsidR="008E7846">
        <w:rPr>
          <w:lang w:eastAsia="en-AU"/>
        </w:rPr>
        <w:t xml:space="preserve">anagement </w:t>
      </w:r>
      <w:r>
        <w:rPr>
          <w:lang w:eastAsia="en-AU"/>
        </w:rPr>
        <w:t>p</w:t>
      </w:r>
      <w:r w:rsidR="008E7846">
        <w:rPr>
          <w:lang w:eastAsia="en-AU"/>
        </w:rPr>
        <w:t>lan</w:t>
      </w:r>
      <w:bookmarkEnd w:id="100"/>
      <w:bookmarkEnd w:id="101"/>
    </w:p>
    <w:p w:rsidR="00CD7E08" w:rsidRDefault="00016DE4" w:rsidP="00070CB8">
      <w:r>
        <w:t xml:space="preserve">The risk management plan (RMP) provided was </w:t>
      </w:r>
      <w:r w:rsidR="00CD7E08">
        <w:t>V</w:t>
      </w:r>
      <w:r w:rsidR="00CD7E08" w:rsidRPr="009E1B9F">
        <w:t>ersion 19 of the EU-RMP and version 3.0 of the ASA.</w:t>
      </w:r>
    </w:p>
    <w:p w:rsidR="00016DE4" w:rsidRPr="009E1B9F" w:rsidRDefault="00747C3C" w:rsidP="00016DE4">
      <w:pPr>
        <w:pStyle w:val="TableTitle"/>
      </w:pPr>
      <w:r>
        <w:t>Table 4</w:t>
      </w:r>
      <w:r w:rsidR="009A3208">
        <w:t>3</w:t>
      </w:r>
      <w:r w:rsidR="00016DE4">
        <w:t>: Summary of safety concerns</w:t>
      </w:r>
    </w:p>
    <w:tbl>
      <w:tblPr>
        <w:tblStyle w:val="TableTGAblue"/>
        <w:tblW w:w="0" w:type="auto"/>
        <w:tblLook w:val="04A0" w:firstRow="1" w:lastRow="0" w:firstColumn="1" w:lastColumn="0" w:noHBand="0" w:noVBand="1"/>
      </w:tblPr>
      <w:tblGrid>
        <w:gridCol w:w="2660"/>
        <w:gridCol w:w="6060"/>
      </w:tblGrid>
      <w:tr w:rsidR="00070CB8" w:rsidRPr="00070CB8" w:rsidTr="00070CB8">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070CB8" w:rsidRPr="00070CB8" w:rsidRDefault="00070CB8" w:rsidP="00070CB8">
            <w:r w:rsidRPr="00070CB8">
              <w:t>Summary of safety concerns</w:t>
            </w:r>
          </w:p>
        </w:tc>
      </w:tr>
      <w:tr w:rsidR="00070CB8" w:rsidRPr="00070CB8" w:rsidTr="00070CB8">
        <w:tc>
          <w:tcPr>
            <w:tcW w:w="2660" w:type="dxa"/>
          </w:tcPr>
          <w:p w:rsidR="00070CB8" w:rsidRPr="00070CB8" w:rsidRDefault="00070CB8" w:rsidP="00070CB8">
            <w:r w:rsidRPr="00070CB8">
              <w:t>Important identified risks</w:t>
            </w:r>
          </w:p>
        </w:tc>
        <w:tc>
          <w:tcPr>
            <w:tcW w:w="6060" w:type="dxa"/>
          </w:tcPr>
          <w:p w:rsidR="00070CB8" w:rsidRPr="00070CB8" w:rsidRDefault="00070CB8" w:rsidP="00070CB8">
            <w:r w:rsidRPr="00070CB8">
              <w:t>Hypocalcaemia</w:t>
            </w:r>
          </w:p>
          <w:p w:rsidR="00070CB8" w:rsidRPr="00070CB8" w:rsidRDefault="00070CB8" w:rsidP="00070CB8">
            <w:r w:rsidRPr="00070CB8">
              <w:t>Skin infection leading to hospitalisation</w:t>
            </w:r>
          </w:p>
          <w:p w:rsidR="00070CB8" w:rsidRPr="00070CB8" w:rsidRDefault="00070CB8" w:rsidP="00070CB8">
            <w:r w:rsidRPr="00070CB8">
              <w:t>Osteonecrosis of the jaw</w:t>
            </w:r>
          </w:p>
          <w:p w:rsidR="00070CB8" w:rsidRPr="00070CB8" w:rsidRDefault="00070CB8" w:rsidP="00070CB8">
            <w:r w:rsidRPr="00070CB8">
              <w:t>Hypersensitivity reactions</w:t>
            </w:r>
          </w:p>
          <w:p w:rsidR="00070CB8" w:rsidRPr="00070CB8" w:rsidRDefault="00070CB8" w:rsidP="00070CB8">
            <w:r w:rsidRPr="00070CB8">
              <w:t>Atypical femoral fracture</w:t>
            </w:r>
          </w:p>
          <w:p w:rsidR="00070CB8" w:rsidRPr="00070CB8" w:rsidRDefault="00070CB8" w:rsidP="00070CB8">
            <w:r w:rsidRPr="00070CB8">
              <w:t>Musculoskeletal pain</w:t>
            </w:r>
          </w:p>
        </w:tc>
      </w:tr>
      <w:tr w:rsidR="00070CB8" w:rsidRPr="00070CB8" w:rsidTr="00070CB8">
        <w:tc>
          <w:tcPr>
            <w:tcW w:w="2660" w:type="dxa"/>
          </w:tcPr>
          <w:p w:rsidR="00070CB8" w:rsidRPr="00070CB8" w:rsidRDefault="00070CB8" w:rsidP="00070CB8">
            <w:r w:rsidRPr="00070CB8">
              <w:lastRenderedPageBreak/>
              <w:t>Important potential risk</w:t>
            </w:r>
          </w:p>
        </w:tc>
        <w:tc>
          <w:tcPr>
            <w:tcW w:w="6060" w:type="dxa"/>
          </w:tcPr>
          <w:p w:rsidR="00070CB8" w:rsidRPr="00070CB8" w:rsidRDefault="00070CB8" w:rsidP="00070CB8">
            <w:r w:rsidRPr="00070CB8">
              <w:t>Fracture healing complications</w:t>
            </w:r>
          </w:p>
          <w:p w:rsidR="00070CB8" w:rsidRPr="00070CB8" w:rsidRDefault="00070CB8" w:rsidP="00070CB8">
            <w:r w:rsidRPr="00070CB8">
              <w:t>Infection</w:t>
            </w:r>
          </w:p>
          <w:p w:rsidR="00070CB8" w:rsidRPr="00070CB8" w:rsidRDefault="00070CB8" w:rsidP="00070CB8">
            <w:r w:rsidRPr="00070CB8">
              <w:t>Cardiovascular events</w:t>
            </w:r>
          </w:p>
          <w:p w:rsidR="00070CB8" w:rsidRPr="00070CB8" w:rsidRDefault="00070CB8" w:rsidP="00070CB8">
            <w:r w:rsidRPr="00070CB8">
              <w:t>Malignancy</w:t>
            </w:r>
          </w:p>
          <w:p w:rsidR="00070CB8" w:rsidRPr="00070CB8" w:rsidRDefault="00070CB8" w:rsidP="00070CB8">
            <w:r w:rsidRPr="00070CB8">
              <w:t>Immunogenicity</w:t>
            </w:r>
          </w:p>
          <w:p w:rsidR="00070CB8" w:rsidRPr="00070CB8" w:rsidRDefault="00070CB8" w:rsidP="00070CB8">
            <w:r w:rsidRPr="00070CB8">
              <w:t>Osteonecrosis outside the jaw including external auditory canal</w:t>
            </w:r>
          </w:p>
          <w:p w:rsidR="00070CB8" w:rsidRPr="00070CB8" w:rsidRDefault="005B077A" w:rsidP="00070CB8">
            <w:r>
              <w:t>Hyper</w:t>
            </w:r>
            <w:r w:rsidRPr="00070CB8">
              <w:t>calca</w:t>
            </w:r>
            <w:r>
              <w:t>e</w:t>
            </w:r>
            <w:r w:rsidRPr="00070CB8">
              <w:t>mia</w:t>
            </w:r>
            <w:r w:rsidR="00070CB8" w:rsidRPr="00070CB8">
              <w:t xml:space="preserve"> following discon</w:t>
            </w:r>
            <w:r w:rsidR="00070CB8">
              <w:t>tinuation with growing skeleton</w:t>
            </w:r>
          </w:p>
        </w:tc>
      </w:tr>
      <w:tr w:rsidR="00070CB8" w:rsidRPr="00070CB8" w:rsidTr="00070CB8">
        <w:tc>
          <w:tcPr>
            <w:tcW w:w="2660" w:type="dxa"/>
          </w:tcPr>
          <w:p w:rsidR="00070CB8" w:rsidRPr="00070CB8" w:rsidRDefault="00070CB8" w:rsidP="00070CB8">
            <w:r w:rsidRPr="00070CB8">
              <w:t>Missing information</w:t>
            </w:r>
          </w:p>
        </w:tc>
        <w:tc>
          <w:tcPr>
            <w:tcW w:w="6060" w:type="dxa"/>
          </w:tcPr>
          <w:p w:rsidR="00070CB8" w:rsidRPr="00070CB8" w:rsidRDefault="00070CB8" w:rsidP="00070CB8">
            <w:r w:rsidRPr="00070CB8">
              <w:t>Risks with pregnancy/lactation</w:t>
            </w:r>
          </w:p>
          <w:p w:rsidR="00070CB8" w:rsidRPr="00070CB8" w:rsidRDefault="00070CB8" w:rsidP="00070CB8">
            <w:r w:rsidRPr="00070CB8">
              <w:t>Use in paediatric patients</w:t>
            </w:r>
          </w:p>
          <w:p w:rsidR="00070CB8" w:rsidRPr="00070CB8" w:rsidRDefault="00070CB8" w:rsidP="00070CB8">
            <w:r w:rsidRPr="00070CB8">
              <w:t>Use in patients with hepatic impairment</w:t>
            </w:r>
          </w:p>
          <w:p w:rsidR="00070CB8" w:rsidRPr="00070CB8" w:rsidRDefault="00070CB8" w:rsidP="00070CB8">
            <w:r w:rsidRPr="00070CB8">
              <w:t>Potential off label use</w:t>
            </w:r>
          </w:p>
        </w:tc>
      </w:tr>
    </w:tbl>
    <w:p w:rsidR="00070CB8" w:rsidRDefault="00070CB8" w:rsidP="0018105A">
      <w:r w:rsidRPr="009032B0">
        <w:t>Routine risk mitigation and pharmacovigilance is p</w:t>
      </w:r>
      <w:r>
        <w:t>roposed for all safety concerns</w:t>
      </w:r>
      <w:r w:rsidR="005B077A">
        <w:t>.</w:t>
      </w:r>
    </w:p>
    <w:p w:rsidR="00070CB8" w:rsidRDefault="00070CB8" w:rsidP="00070CB8">
      <w:r>
        <w:t>There are a number of ongoing studies</w:t>
      </w:r>
      <w:r w:rsidR="005B077A">
        <w:t>:</w:t>
      </w:r>
    </w:p>
    <w:p w:rsidR="00070CB8" w:rsidRDefault="00016DE4" w:rsidP="004B2A45">
      <w:pPr>
        <w:pStyle w:val="Numberbullet0"/>
        <w:numPr>
          <w:ilvl w:val="0"/>
          <w:numId w:val="7"/>
        </w:numPr>
      </w:pPr>
      <w:r>
        <w:t xml:space="preserve">Study </w:t>
      </w:r>
      <w:r w:rsidR="00070CB8" w:rsidRPr="009032B0">
        <w:t xml:space="preserve">20050209: A randomised, </w:t>
      </w:r>
      <w:r>
        <w:t>double blind</w:t>
      </w:r>
      <w:r w:rsidR="00070CB8" w:rsidRPr="009032B0">
        <w:t xml:space="preserve">, </w:t>
      </w:r>
      <w:r>
        <w:t>placebo controlled</w:t>
      </w:r>
      <w:r w:rsidR="00070CB8" w:rsidRPr="009032B0">
        <w:t xml:space="preserve">, </w:t>
      </w:r>
      <w:proofErr w:type="gramStart"/>
      <w:r w:rsidR="00070CB8" w:rsidRPr="009032B0">
        <w:t>multicentre</w:t>
      </w:r>
      <w:proofErr w:type="gramEnd"/>
      <w:r w:rsidR="00070CB8">
        <w:t xml:space="preserve"> </w:t>
      </w:r>
      <w:r>
        <w:t>Phase </w:t>
      </w:r>
      <w:r w:rsidR="001350D8">
        <w:t>III</w:t>
      </w:r>
      <w:r w:rsidR="00070CB8" w:rsidRPr="009032B0">
        <w:t xml:space="preserve"> study to determine the treatment effect of denosumab </w:t>
      </w:r>
      <w:r w:rsidR="00070CB8">
        <w:t>in subjects with non</w:t>
      </w:r>
      <w:r w:rsidR="000B1E25">
        <w:noBreakHyphen/>
      </w:r>
      <w:r w:rsidR="00070CB8">
        <w:t xml:space="preserve">metastatic breast cancer receiving </w:t>
      </w:r>
      <w:r w:rsidR="00070CB8" w:rsidRPr="009032B0">
        <w:t>aromatase inhibitor therapy</w:t>
      </w:r>
      <w:r w:rsidR="005B077A">
        <w:t>.</w:t>
      </w:r>
    </w:p>
    <w:p w:rsidR="00070CB8" w:rsidRDefault="00016DE4" w:rsidP="004B2A45">
      <w:pPr>
        <w:pStyle w:val="Numberbullet0"/>
        <w:numPr>
          <w:ilvl w:val="0"/>
          <w:numId w:val="7"/>
        </w:numPr>
      </w:pPr>
      <w:r>
        <w:t>Study</w:t>
      </w:r>
      <w:r w:rsidRPr="009032B0">
        <w:t xml:space="preserve"> </w:t>
      </w:r>
      <w:r>
        <w:t>20060359</w:t>
      </w:r>
      <w:r w:rsidR="005B077A">
        <w:t>:</w:t>
      </w:r>
      <w:r w:rsidR="00070CB8">
        <w:t xml:space="preserve"> </w:t>
      </w:r>
      <w:r w:rsidR="00070CB8" w:rsidRPr="009032B0">
        <w:t xml:space="preserve">A randomised, </w:t>
      </w:r>
      <w:r>
        <w:t>double blind</w:t>
      </w:r>
      <w:r w:rsidR="00070CB8" w:rsidRPr="009032B0">
        <w:t xml:space="preserve">, </w:t>
      </w:r>
      <w:r>
        <w:t>placebo controlled</w:t>
      </w:r>
      <w:r w:rsidR="00070CB8" w:rsidRPr="009032B0">
        <w:t xml:space="preserve">, </w:t>
      </w:r>
      <w:proofErr w:type="gramStart"/>
      <w:r w:rsidR="00070CB8" w:rsidRPr="009032B0">
        <w:t>multi</w:t>
      </w:r>
      <w:proofErr w:type="gramEnd"/>
      <w:r w:rsidR="00070CB8" w:rsidRPr="009032B0">
        <w:t>-centre</w:t>
      </w:r>
      <w:r w:rsidR="00070CB8">
        <w:t xml:space="preserve"> </w:t>
      </w:r>
      <w:r>
        <w:t>Phase </w:t>
      </w:r>
      <w:r w:rsidR="001350D8">
        <w:t>III</w:t>
      </w:r>
      <w:r w:rsidR="00070CB8" w:rsidRPr="009032B0">
        <w:t xml:space="preserve"> study of denosumab as</w:t>
      </w:r>
      <w:r w:rsidR="00070CB8">
        <w:t xml:space="preserve"> adjuvant treatment for women </w:t>
      </w:r>
      <w:r w:rsidR="00070CB8" w:rsidRPr="009032B0">
        <w:t xml:space="preserve">with early-stage breast </w:t>
      </w:r>
      <w:r w:rsidR="005B077A">
        <w:t>c</w:t>
      </w:r>
      <w:r w:rsidR="005B077A" w:rsidRPr="009032B0">
        <w:t xml:space="preserve">ancer </w:t>
      </w:r>
      <w:r w:rsidR="00070CB8" w:rsidRPr="009032B0">
        <w:t xml:space="preserve">at high risk of </w:t>
      </w:r>
      <w:r w:rsidR="005B077A">
        <w:t>r</w:t>
      </w:r>
      <w:r w:rsidR="005B077A" w:rsidRPr="009032B0">
        <w:t xml:space="preserve">ecurrence </w:t>
      </w:r>
      <w:r w:rsidR="00070CB8" w:rsidRPr="009032B0">
        <w:t>(D-CARE</w:t>
      </w:r>
      <w:r w:rsidR="005B077A">
        <w:t xml:space="preserve"> study</w:t>
      </w:r>
      <w:r w:rsidR="00070CB8" w:rsidRPr="009032B0">
        <w:t>)</w:t>
      </w:r>
      <w:r w:rsidR="005B077A">
        <w:t>.</w:t>
      </w:r>
    </w:p>
    <w:p w:rsidR="00070CB8" w:rsidRDefault="00016DE4" w:rsidP="004B2A45">
      <w:pPr>
        <w:pStyle w:val="Numberbullet0"/>
        <w:numPr>
          <w:ilvl w:val="0"/>
          <w:numId w:val="7"/>
        </w:numPr>
      </w:pPr>
      <w:r>
        <w:t>Study</w:t>
      </w:r>
      <w:r w:rsidRPr="009032B0">
        <w:t xml:space="preserve"> </w:t>
      </w:r>
      <w:r>
        <w:t>20080560</w:t>
      </w:r>
      <w:r w:rsidR="005B077A">
        <w:t>:</w:t>
      </w:r>
      <w:r w:rsidR="00070CB8">
        <w:t xml:space="preserve"> </w:t>
      </w:r>
      <w:r w:rsidR="00070CB8" w:rsidRPr="009032B0">
        <w:t xml:space="preserve">A </w:t>
      </w:r>
      <w:r>
        <w:t>double blind</w:t>
      </w:r>
      <w:r w:rsidR="00070CB8" w:rsidRPr="009032B0">
        <w:t xml:space="preserve">, </w:t>
      </w:r>
      <w:r>
        <w:t>placebo controlled</w:t>
      </w:r>
      <w:r w:rsidR="00070CB8" w:rsidRPr="009032B0">
        <w:t>;</w:t>
      </w:r>
      <w:r w:rsidR="00070CB8">
        <w:t xml:space="preserve"> </w:t>
      </w:r>
      <w:r w:rsidR="00070CB8" w:rsidRPr="009032B0">
        <w:t>study to evaluate new or worsening lens opacification in subjects with non-metastatic prostate cancer receiving denosumab for bone loss due to androgen-deprivation therapy</w:t>
      </w:r>
      <w:r w:rsidR="005B077A">
        <w:t>.</w:t>
      </w:r>
    </w:p>
    <w:p w:rsidR="00070CB8" w:rsidRPr="009032B0" w:rsidRDefault="00016DE4" w:rsidP="004B2A45">
      <w:pPr>
        <w:pStyle w:val="Numberbullet0"/>
        <w:numPr>
          <w:ilvl w:val="0"/>
          <w:numId w:val="7"/>
        </w:numPr>
      </w:pPr>
      <w:r>
        <w:t>Study</w:t>
      </w:r>
      <w:r w:rsidRPr="009032B0">
        <w:t xml:space="preserve"> </w:t>
      </w:r>
      <w:r>
        <w:t>20062004</w:t>
      </w:r>
      <w:r w:rsidR="005B077A">
        <w:t>:</w:t>
      </w:r>
      <w:r>
        <w:t xml:space="preserve"> An open-label, multi-centre, Phase II</w:t>
      </w:r>
      <w:r w:rsidR="00070CB8" w:rsidRPr="009032B0">
        <w:t xml:space="preserve"> study of denosumab in subjects </w:t>
      </w:r>
      <w:r w:rsidR="00070CB8" w:rsidRPr="00667476">
        <w:t xml:space="preserve">with </w:t>
      </w:r>
      <w:r w:rsidR="00667476" w:rsidRPr="00667476">
        <w:t>giant cell tumour of bone</w:t>
      </w:r>
      <w:r w:rsidR="00667476" w:rsidRPr="009032B0">
        <w:t xml:space="preserve"> </w:t>
      </w:r>
      <w:r w:rsidR="00667476">
        <w:t>(</w:t>
      </w:r>
      <w:r w:rsidR="00070CB8" w:rsidRPr="009032B0">
        <w:t>GCTB</w:t>
      </w:r>
      <w:r w:rsidR="00667476">
        <w:t>)</w:t>
      </w:r>
      <w:r w:rsidR="005B077A">
        <w:t>.</w:t>
      </w:r>
    </w:p>
    <w:p w:rsidR="00070CB8" w:rsidRPr="009032B0" w:rsidRDefault="00016DE4" w:rsidP="004B2A45">
      <w:pPr>
        <w:pStyle w:val="Numberbullet0"/>
        <w:numPr>
          <w:ilvl w:val="0"/>
          <w:numId w:val="7"/>
        </w:numPr>
      </w:pPr>
      <w:r>
        <w:t>Study</w:t>
      </w:r>
      <w:r w:rsidRPr="009032B0">
        <w:t xml:space="preserve"> </w:t>
      </w:r>
      <w:r>
        <w:t>20130173</w:t>
      </w:r>
      <w:r w:rsidR="005B077A">
        <w:t>: A</w:t>
      </w:r>
      <w:r>
        <w:t xml:space="preserve"> </w:t>
      </w:r>
      <w:r w:rsidR="005B077A">
        <w:t>p</w:t>
      </w:r>
      <w:r w:rsidR="005B077A" w:rsidRPr="009032B0">
        <w:t>rospective</w:t>
      </w:r>
      <w:r w:rsidR="00070CB8" w:rsidRPr="009032B0">
        <w:t>, multicentre, single arm study to evaluate the efficacy, safety, and pharmacokinetics of denosumab in children with osteogenesis imperfecta (OI)</w:t>
      </w:r>
      <w:r w:rsidR="005B077A">
        <w:t>.</w:t>
      </w:r>
    </w:p>
    <w:p w:rsidR="00070CB8" w:rsidRPr="00070CB8" w:rsidRDefault="00016DE4" w:rsidP="004B2A45">
      <w:pPr>
        <w:pStyle w:val="Numberbullet0"/>
        <w:numPr>
          <w:ilvl w:val="0"/>
          <w:numId w:val="7"/>
        </w:numPr>
      </w:pPr>
      <w:r>
        <w:t>Study</w:t>
      </w:r>
      <w:r w:rsidRPr="009032B0">
        <w:t xml:space="preserve"> </w:t>
      </w:r>
      <w:r w:rsidR="00070CB8" w:rsidRPr="009032B0">
        <w:t>20090522</w:t>
      </w:r>
      <w:r w:rsidR="005B077A">
        <w:t>: A</w:t>
      </w:r>
      <w:r w:rsidR="00070CB8">
        <w:t xml:space="preserve"> </w:t>
      </w:r>
      <w:r w:rsidR="005B077A">
        <w:t>p</w:t>
      </w:r>
      <w:r w:rsidR="005B077A" w:rsidRPr="009032B0">
        <w:t xml:space="preserve">ost </w:t>
      </w:r>
      <w:r w:rsidR="00070CB8" w:rsidRPr="009032B0">
        <w:t xml:space="preserve">marketing observational Study; </w:t>
      </w:r>
      <w:r w:rsidR="00905A2D">
        <w:t>d</w:t>
      </w:r>
      <w:r w:rsidR="00070CB8" w:rsidRPr="009032B0">
        <w:t xml:space="preserve">enosumab global safety assessment among women with </w:t>
      </w:r>
      <w:r w:rsidR="00667476">
        <w:t>postmenopausal osteoporosis</w:t>
      </w:r>
      <w:r w:rsidR="00667476" w:rsidRPr="009032B0">
        <w:t xml:space="preserve"> </w:t>
      </w:r>
      <w:r w:rsidR="00667476">
        <w:t>(</w:t>
      </w:r>
      <w:r w:rsidR="00070CB8" w:rsidRPr="009032B0">
        <w:t>PMO</w:t>
      </w:r>
      <w:r w:rsidR="00667476">
        <w:t>)</w:t>
      </w:r>
      <w:r w:rsidR="00070CB8" w:rsidRPr="009032B0">
        <w:t xml:space="preserve"> and men with osteoporosis using multiple observational databases</w:t>
      </w:r>
      <w:r w:rsidR="00905A2D">
        <w:t>.</w:t>
      </w:r>
    </w:p>
    <w:p w:rsidR="008E7846" w:rsidRDefault="00AA0ED0" w:rsidP="008E7846">
      <w:pPr>
        <w:pStyle w:val="Heading3"/>
      </w:pPr>
      <w:bookmarkStart w:id="102" w:name="_Toc247691531"/>
      <w:bookmarkStart w:id="103" w:name="_Toc314842515"/>
      <w:bookmarkStart w:id="104" w:name="_Toc16166704"/>
      <w:bookmarkStart w:id="105" w:name="_Toc196046505"/>
      <w:bookmarkStart w:id="106" w:name="_Toc196046949"/>
      <w:r>
        <w:t>Risk-benefit a</w:t>
      </w:r>
      <w:r w:rsidR="008E7846">
        <w:t>nalysis</w:t>
      </w:r>
      <w:bookmarkEnd w:id="102"/>
      <w:bookmarkEnd w:id="103"/>
      <w:bookmarkEnd w:id="104"/>
    </w:p>
    <w:p w:rsidR="00D23139" w:rsidRPr="00070CB8" w:rsidRDefault="00D23139" w:rsidP="00070CB8">
      <w:pPr>
        <w:pStyle w:val="Heading4"/>
      </w:pPr>
      <w:r w:rsidRPr="00070CB8">
        <w:t xml:space="preserve">Delegate’s considerations </w:t>
      </w:r>
    </w:p>
    <w:p w:rsidR="00016DE4" w:rsidRDefault="00070CB8" w:rsidP="00070CB8">
      <w:r w:rsidRPr="00890D7E">
        <w:t xml:space="preserve">The </w:t>
      </w:r>
      <w:r>
        <w:t>sponsor proposed a new indication with response</w:t>
      </w:r>
      <w:r w:rsidR="00016DE4">
        <w:t xml:space="preserve"> to questions:</w:t>
      </w:r>
    </w:p>
    <w:p w:rsidR="00070CB8" w:rsidRPr="00016DE4" w:rsidRDefault="00070CB8" w:rsidP="00016DE4">
      <w:pPr>
        <w:ind w:left="720"/>
        <w:rPr>
          <w:i/>
        </w:rPr>
      </w:pPr>
      <w:r w:rsidRPr="00016DE4">
        <w:rPr>
          <w:i/>
        </w:rPr>
        <w:t>Treatment of bone loss associated with long-term systemic glucocorticoid therapy in adults at increased risk of fracture.</w:t>
      </w:r>
    </w:p>
    <w:p w:rsidR="00070CB8" w:rsidRDefault="00070CB8" w:rsidP="00070CB8">
      <w:r>
        <w:lastRenderedPageBreak/>
        <w:t>The treatment of osteoporosis in postmenopausal women and men is already cov</w:t>
      </w:r>
      <w:r w:rsidR="00016DE4">
        <w:t>ered in the current indication;</w:t>
      </w:r>
      <w:r>
        <w:t xml:space="preserve"> regardless of whether this was associated with glucocorticoid use or not.</w:t>
      </w:r>
      <w:r w:rsidR="00211AE1">
        <w:t xml:space="preserve"> </w:t>
      </w:r>
      <w:r w:rsidRPr="00237B59">
        <w:t xml:space="preserve">The </w:t>
      </w:r>
      <w:r>
        <w:t>proposed</w:t>
      </w:r>
      <w:r w:rsidRPr="00237B59">
        <w:t xml:space="preserve"> </w:t>
      </w:r>
      <w:r>
        <w:t xml:space="preserve">new </w:t>
      </w:r>
      <w:r w:rsidRPr="00237B59">
        <w:t xml:space="preserve">indication would support treatment </w:t>
      </w:r>
      <w:r>
        <w:t>in men or post-menopausal women treated with glucocorticoids with</w:t>
      </w:r>
      <w:r w:rsidR="00211AE1">
        <w:t xml:space="preserve"> </w:t>
      </w:r>
      <w:r>
        <w:t xml:space="preserve">an increased risk of fracture but who do not have established osteoporosis </w:t>
      </w:r>
      <w:r w:rsidR="00FD7238">
        <w:t>a</w:t>
      </w:r>
      <w:r>
        <w:t>nd would support use in pre-menopausal women treated with glucocorticoids with and without osteoporosis.</w:t>
      </w:r>
    </w:p>
    <w:p w:rsidR="00211AE1" w:rsidRDefault="00070CB8" w:rsidP="00070CB8">
      <w:r>
        <w:t>The proposed indication specifies that patients would include those on glucocorticoids and that have an increased risk of fracture. However, fracture risk is not well defined and may be subjective.</w:t>
      </w:r>
      <w:r w:rsidR="00211AE1">
        <w:t xml:space="preserve"> </w:t>
      </w:r>
      <w:r>
        <w:t>The 10 year fracture risk in the clinical study varied from 1.7 to 89 % with a median of around 11% in the glucocorticoid initiating group and 14%</w:t>
      </w:r>
      <w:r w:rsidR="00211AE1">
        <w:t xml:space="preserve"> </w:t>
      </w:r>
      <w:r>
        <w:t>in the glucocorticoid continuing group. This was calculated using BMD</w:t>
      </w:r>
      <w:r w:rsidR="00211AE1">
        <w:t>.</w:t>
      </w:r>
    </w:p>
    <w:p w:rsidR="00070CB8" w:rsidRPr="00222601" w:rsidRDefault="00070CB8" w:rsidP="00070CB8">
      <w:pPr>
        <w:pStyle w:val="Heading5"/>
      </w:pPr>
      <w:r w:rsidRPr="00222601">
        <w:t>Extrapolation of efficacy</w:t>
      </w:r>
    </w:p>
    <w:p w:rsidR="00211AE1" w:rsidRDefault="00070CB8" w:rsidP="00070CB8">
      <w:r>
        <w:t xml:space="preserve">The clinical study submitted demonstrated efficacy in terms of improvement in lumbar BMD which was non-inferior to risedronate. However, </w:t>
      </w:r>
      <w:r w:rsidRPr="004B4C45">
        <w:t xml:space="preserve">fractures occur at a higher BMD in women who are taking </w:t>
      </w:r>
      <w:r>
        <w:t>glucocorticoids</w:t>
      </w:r>
      <w:r w:rsidRPr="004B4C45">
        <w:t xml:space="preserve"> compared to those with postmenopausal osteoporosis</w:t>
      </w:r>
      <w:r w:rsidR="00016DE4" w:rsidRPr="00016DE4">
        <w:rPr>
          <w:vertAlign w:val="superscript"/>
        </w:rPr>
        <w:fldChar w:fldCharType="begin"/>
      </w:r>
      <w:r w:rsidR="00016DE4" w:rsidRPr="00016DE4">
        <w:rPr>
          <w:vertAlign w:val="superscript"/>
        </w:rPr>
        <w:instrText xml:space="preserve"> NOTEREF _Ref531686465 \h </w:instrText>
      </w:r>
      <w:r w:rsidR="00016DE4">
        <w:rPr>
          <w:vertAlign w:val="superscript"/>
        </w:rPr>
        <w:instrText xml:space="preserve"> \* MERGEFORMAT </w:instrText>
      </w:r>
      <w:r w:rsidR="00016DE4" w:rsidRPr="00016DE4">
        <w:rPr>
          <w:vertAlign w:val="superscript"/>
        </w:rPr>
      </w:r>
      <w:r w:rsidR="00016DE4" w:rsidRPr="00016DE4">
        <w:rPr>
          <w:vertAlign w:val="superscript"/>
        </w:rPr>
        <w:fldChar w:fldCharType="separate"/>
      </w:r>
      <w:r w:rsidR="00016DE4" w:rsidRPr="00016DE4">
        <w:rPr>
          <w:vertAlign w:val="superscript"/>
        </w:rPr>
        <w:t>3</w:t>
      </w:r>
      <w:r w:rsidR="00016DE4" w:rsidRPr="00016DE4">
        <w:rPr>
          <w:vertAlign w:val="superscript"/>
        </w:rPr>
        <w:fldChar w:fldCharType="end"/>
      </w:r>
      <w:r w:rsidRPr="004B4C45">
        <w:t xml:space="preserve"> and that it has been suggested that BMD may not adequately </w:t>
      </w:r>
      <w:r>
        <w:t xml:space="preserve">indicate </w:t>
      </w:r>
      <w:r w:rsidRPr="004B4C45">
        <w:t>fracture risk in patients receiving glucocorticoids due to the alteration of bone quality associated with glucocorticoids</w:t>
      </w:r>
      <w:r w:rsidR="00016DE4">
        <w:t>.</w:t>
      </w:r>
      <w:r w:rsidR="00016DE4" w:rsidRPr="00016DE4">
        <w:rPr>
          <w:vertAlign w:val="superscript"/>
        </w:rPr>
        <w:fldChar w:fldCharType="begin"/>
      </w:r>
      <w:r w:rsidR="00016DE4" w:rsidRPr="00016DE4">
        <w:rPr>
          <w:vertAlign w:val="superscript"/>
        </w:rPr>
        <w:instrText xml:space="preserve"> NOTEREF _Ref531686669 \h </w:instrText>
      </w:r>
      <w:r w:rsidR="00016DE4">
        <w:rPr>
          <w:vertAlign w:val="superscript"/>
        </w:rPr>
        <w:instrText xml:space="preserve"> \* MERGEFORMAT </w:instrText>
      </w:r>
      <w:r w:rsidR="00016DE4" w:rsidRPr="00016DE4">
        <w:rPr>
          <w:vertAlign w:val="superscript"/>
        </w:rPr>
      </w:r>
      <w:r w:rsidR="00016DE4" w:rsidRPr="00016DE4">
        <w:rPr>
          <w:vertAlign w:val="superscript"/>
        </w:rPr>
        <w:fldChar w:fldCharType="separate"/>
      </w:r>
      <w:r w:rsidR="00016DE4" w:rsidRPr="00016DE4">
        <w:rPr>
          <w:vertAlign w:val="superscript"/>
        </w:rPr>
        <w:t>5</w:t>
      </w:r>
      <w:r w:rsidR="00016DE4" w:rsidRPr="00016DE4">
        <w:rPr>
          <w:vertAlign w:val="superscript"/>
        </w:rPr>
        <w:fldChar w:fldCharType="end"/>
      </w:r>
      <w:r w:rsidR="00211AE1">
        <w:t xml:space="preserve"> </w:t>
      </w:r>
      <w:r>
        <w:t xml:space="preserve">Thus, </w:t>
      </w:r>
      <w:r w:rsidR="00FD7238">
        <w:t>the Delegate is</w:t>
      </w:r>
      <w:r>
        <w:t xml:space="preserve"> unsure if bridging results for a fracture risk reduction in women with osteoporosis based on similar reduction in BMD is appropriate. The sponsor has not submitted data to show a reduction in fracture risk with denosumab in pre-menopausal women or men for any osteoporosis indication. There is data to support improved BMD and fracture in patients with glucocorticoid induced osteoporosis treated with risedronate</w:t>
      </w:r>
      <w:r w:rsidR="00FD7238">
        <w:t>;</w:t>
      </w:r>
      <w:r>
        <w:t xml:space="preserve"> however</w:t>
      </w:r>
      <w:r w:rsidR="00FD7238">
        <w:t>,</w:t>
      </w:r>
      <w:r>
        <w:t xml:space="preserve"> this drug has a different mechanism of action thus extrapolation to denosumab is uncertain</w:t>
      </w:r>
      <w:r w:rsidR="00211AE1">
        <w:t>.</w:t>
      </w:r>
    </w:p>
    <w:p w:rsidR="00070CB8" w:rsidRDefault="00070CB8" w:rsidP="00070CB8">
      <w:r>
        <w:t>It is noted that the indications for osteoporosis in men includes is to improve BMD in those at increased risk of fracture. Although a similar indication could be claimed for pre</w:t>
      </w:r>
      <w:r w:rsidR="00FD7238">
        <w:noBreakHyphen/>
      </w:r>
      <w:r>
        <w:t xml:space="preserve">menopausal women for glucocorticoid induced osteoporosis, the main aim of treatment for osteoporosis is to reduce fracture risk. A surrogate endpoint used </w:t>
      </w:r>
      <w:proofErr w:type="gramStart"/>
      <w:r>
        <w:t>in a regulatory setting needs</w:t>
      </w:r>
      <w:proofErr w:type="gramEnd"/>
      <w:r>
        <w:t xml:space="preserve"> to be valid marker of clinically significant events.</w:t>
      </w:r>
    </w:p>
    <w:p w:rsidR="00070CB8" w:rsidRPr="00222601" w:rsidRDefault="00070CB8" w:rsidP="00070CB8">
      <w:pPr>
        <w:pStyle w:val="Heading5"/>
      </w:pPr>
      <w:r w:rsidRPr="00222601">
        <w:t>Risedronate as comparator</w:t>
      </w:r>
    </w:p>
    <w:p w:rsidR="00070CB8" w:rsidRPr="00016DE4" w:rsidRDefault="00070CB8" w:rsidP="00070CB8">
      <w:r>
        <w:t xml:space="preserve">Risedronate has been studied in a placebo controlled trial in 224 men and women with glucocorticoid induced osteoporosis in 1999. After 12 months of treatment, mean lumbar spine BMD did not change significantly from </w:t>
      </w:r>
      <w:r w:rsidR="00016DE4">
        <w:t>baseline in those who received r</w:t>
      </w:r>
      <w:r>
        <w:t>isedronate 5</w:t>
      </w:r>
      <w:r w:rsidR="00016DE4">
        <w:t> </w:t>
      </w:r>
      <w:r w:rsidR="001350D8">
        <w:t>mg</w:t>
      </w:r>
      <w:r>
        <w:t xml:space="preserve"> (0.6% +/1 0.5%), but d</w:t>
      </w:r>
      <w:r w:rsidR="00016DE4">
        <w:t>ecreased in the placebo group (</w:t>
      </w:r>
      <w:r w:rsidR="00016DE4">
        <w:noBreakHyphen/>
      </w:r>
      <w:r>
        <w:t>2.8% +/1 0.5%). A decrease in fracture risk was observed in the Risedronate group (5.7% compared to 17.3%)</w:t>
      </w:r>
      <w:r w:rsidR="00016DE4">
        <w:t>.</w:t>
      </w:r>
      <w:r w:rsidR="00016DE4">
        <w:rPr>
          <w:rStyle w:val="FootnoteReference"/>
        </w:rPr>
        <w:footnoteReference w:id="25"/>
      </w:r>
      <w:r>
        <w:t xml:space="preserve"> In this study, the patient population was younger, were on a higher dose of glucocorticoids, had better baseline BMD than in </w:t>
      </w:r>
      <w:r w:rsidR="0065393E" w:rsidRPr="00016DE4">
        <w:t>Study</w:t>
      </w:r>
      <w:r w:rsidRPr="00016DE4">
        <w:t xml:space="preserve"> </w:t>
      </w:r>
      <w:r w:rsidRPr="00016DE4">
        <w:rPr>
          <w:rFonts w:asciiTheme="minorHAnsi" w:hAnsiTheme="minorHAnsi"/>
        </w:rPr>
        <w:t>20101217.</w:t>
      </w:r>
    </w:p>
    <w:p w:rsidR="00070CB8" w:rsidRDefault="00070CB8" w:rsidP="00070CB8">
      <w:pPr>
        <w:pStyle w:val="Heading5"/>
      </w:pPr>
      <w:r w:rsidRPr="007D3927">
        <w:t>Other studies for drugs used in glucocorticoid induced osteoporosis</w:t>
      </w:r>
    </w:p>
    <w:p w:rsidR="00070CB8" w:rsidRDefault="00FD7238" w:rsidP="00070CB8">
      <w:r>
        <w:t xml:space="preserve">Studies using </w:t>
      </w:r>
      <w:proofErr w:type="spellStart"/>
      <w:r>
        <w:t>r</w:t>
      </w:r>
      <w:r w:rsidR="00070CB8" w:rsidRPr="008A0106">
        <w:t>isedronate</w:t>
      </w:r>
      <w:proofErr w:type="spellEnd"/>
      <w:r w:rsidR="00070CB8" w:rsidRPr="008A0106">
        <w:t xml:space="preserve">, </w:t>
      </w:r>
      <w:proofErr w:type="spellStart"/>
      <w:r w:rsidR="00070CB8" w:rsidRPr="008A0106">
        <w:t>teriparatide</w:t>
      </w:r>
      <w:proofErr w:type="spellEnd"/>
      <w:r w:rsidR="00070CB8" w:rsidRPr="008A0106">
        <w:t xml:space="preserve"> and </w:t>
      </w:r>
      <w:proofErr w:type="spellStart"/>
      <w:r w:rsidR="00070CB8" w:rsidRPr="008A0106">
        <w:t>zoledronic</w:t>
      </w:r>
      <w:proofErr w:type="spellEnd"/>
      <w:r w:rsidR="00070CB8" w:rsidRPr="008A0106">
        <w:t xml:space="preserve"> acid all </w:t>
      </w:r>
      <w:r>
        <w:t xml:space="preserve">included </w:t>
      </w:r>
      <w:r w:rsidR="00070CB8" w:rsidRPr="008A0106">
        <w:t>fracture data</w:t>
      </w:r>
      <w:r w:rsidR="00016DE4">
        <w:t xml:space="preserve"> as a secondary endpoint.</w:t>
      </w:r>
    </w:p>
    <w:p w:rsidR="00070CB8" w:rsidRDefault="00070CB8" w:rsidP="00070CB8">
      <w:pPr>
        <w:pStyle w:val="Heading5"/>
      </w:pPr>
      <w:r>
        <w:t xml:space="preserve">Use in </w:t>
      </w:r>
      <w:r w:rsidR="0018105A">
        <w:t>p</w:t>
      </w:r>
      <w:r>
        <w:t>regnancy</w:t>
      </w:r>
    </w:p>
    <w:p w:rsidR="00211AE1" w:rsidRDefault="00070CB8" w:rsidP="00070CB8">
      <w:r>
        <w:t xml:space="preserve">Denosumab has a </w:t>
      </w:r>
      <w:r w:rsidR="00FD7238">
        <w:t xml:space="preserve">Pregnancy Category </w:t>
      </w:r>
      <w:r>
        <w:t>D</w:t>
      </w:r>
      <w:r w:rsidR="00FD7238">
        <w:t>.</w:t>
      </w:r>
      <w:r w:rsidR="000521C1" w:rsidRPr="000521C1">
        <w:rPr>
          <w:vertAlign w:val="superscript"/>
        </w:rPr>
        <w:fldChar w:fldCharType="begin"/>
      </w:r>
      <w:r w:rsidR="000521C1" w:rsidRPr="000521C1">
        <w:rPr>
          <w:vertAlign w:val="superscript"/>
        </w:rPr>
        <w:instrText xml:space="preserve"> NOTEREF _Ref531700359 \h </w:instrText>
      </w:r>
      <w:r w:rsidR="000521C1">
        <w:rPr>
          <w:vertAlign w:val="superscript"/>
        </w:rPr>
        <w:instrText xml:space="preserve"> \* MERGEFORMAT </w:instrText>
      </w:r>
      <w:r w:rsidR="000521C1" w:rsidRPr="000521C1">
        <w:rPr>
          <w:vertAlign w:val="superscript"/>
        </w:rPr>
      </w:r>
      <w:r w:rsidR="000521C1" w:rsidRPr="000521C1">
        <w:rPr>
          <w:vertAlign w:val="superscript"/>
        </w:rPr>
        <w:fldChar w:fldCharType="separate"/>
      </w:r>
      <w:r w:rsidR="000521C1" w:rsidRPr="000521C1">
        <w:rPr>
          <w:vertAlign w:val="superscript"/>
        </w:rPr>
        <w:t>15</w:t>
      </w:r>
      <w:r w:rsidR="000521C1" w:rsidRPr="000521C1">
        <w:rPr>
          <w:vertAlign w:val="superscript"/>
        </w:rPr>
        <w:fldChar w:fldCharType="end"/>
      </w:r>
      <w:r>
        <w:t xml:space="preserve"> It is known to cross the placenta. In a study in monkeys who received a higher dose/kg than that recommended in humans, there was an increased rate of stillbirths, abnormal bone growth, obliteration of marrow spaces, tooth malalignment, dental dysplasia, altered appearance of the eyes, and absence of lymph nodes</w:t>
      </w:r>
      <w:r w:rsidR="00211AE1">
        <w:t>.</w:t>
      </w:r>
    </w:p>
    <w:p w:rsidR="00211AE1" w:rsidRDefault="00070CB8" w:rsidP="00070CB8">
      <w:r>
        <w:lastRenderedPageBreak/>
        <w:t>If the indications were to extend to pre-menopausal women, there needs to be clear instructions about the need for contraception and planning of pregnancy</w:t>
      </w:r>
      <w:r w:rsidR="00211AE1">
        <w:t>.</w:t>
      </w:r>
    </w:p>
    <w:p w:rsidR="00070CB8" w:rsidRPr="006F17EC" w:rsidRDefault="00070CB8" w:rsidP="00070CB8">
      <w:pPr>
        <w:pStyle w:val="Heading5"/>
      </w:pPr>
      <w:r w:rsidRPr="006F17EC">
        <w:t>Limitations of the data</w:t>
      </w:r>
    </w:p>
    <w:p w:rsidR="00070CB8" w:rsidRPr="000521C1" w:rsidRDefault="00070CB8" w:rsidP="00070CB8">
      <w:r w:rsidRPr="006F17EC">
        <w:rPr>
          <w:lang w:eastAsia="en-AU"/>
        </w:rPr>
        <w:t>Lack of fracture data is in important limitation in this submissi</w:t>
      </w:r>
      <w:r w:rsidR="000521C1">
        <w:rPr>
          <w:lang w:eastAsia="en-AU"/>
        </w:rPr>
        <w:t>on. Based on the data submitted;</w:t>
      </w:r>
      <w:r w:rsidRPr="006F17EC">
        <w:rPr>
          <w:lang w:eastAsia="en-AU"/>
        </w:rPr>
        <w:t xml:space="preserve"> the duration of treatment, long term effects and risk of </w:t>
      </w:r>
      <w:r>
        <w:rPr>
          <w:lang w:eastAsia="en-AU"/>
        </w:rPr>
        <w:t>fracture after discontinuation</w:t>
      </w:r>
      <w:r w:rsidRPr="006F17EC">
        <w:rPr>
          <w:lang w:eastAsia="en-AU"/>
        </w:rPr>
        <w:t xml:space="preserve"> is unknown</w:t>
      </w:r>
      <w:r w:rsidR="000521C1">
        <w:rPr>
          <w:rFonts w:ascii="Times New Roman" w:hAnsi="Times New Roman"/>
          <w:sz w:val="24"/>
          <w:szCs w:val="24"/>
          <w:lang w:eastAsia="en-AU"/>
        </w:rPr>
        <w:t>.</w:t>
      </w:r>
    </w:p>
    <w:p w:rsidR="00394556" w:rsidRDefault="00394556" w:rsidP="00394556">
      <w:pPr>
        <w:pStyle w:val="Heading4"/>
      </w:pPr>
      <w:r w:rsidRPr="00D23139">
        <w:t>Proposed action</w:t>
      </w:r>
    </w:p>
    <w:p w:rsidR="00070CB8" w:rsidRDefault="000521C1" w:rsidP="00394556">
      <w:pPr>
        <w:rPr>
          <w:lang w:eastAsia="en-AU"/>
        </w:rPr>
      </w:pPr>
      <w:r>
        <w:rPr>
          <w:lang w:eastAsia="en-AU"/>
        </w:rPr>
        <w:t>The Delegate</w:t>
      </w:r>
      <w:r w:rsidR="00070CB8">
        <w:rPr>
          <w:lang w:eastAsia="en-AU"/>
        </w:rPr>
        <w:t xml:space="preserve"> </w:t>
      </w:r>
      <w:r w:rsidR="0053067C">
        <w:rPr>
          <w:lang w:eastAsia="en-AU"/>
        </w:rPr>
        <w:t>did not consider that the</w:t>
      </w:r>
      <w:r w:rsidR="00070CB8">
        <w:rPr>
          <w:lang w:eastAsia="en-AU"/>
        </w:rPr>
        <w:t xml:space="preserve"> </w:t>
      </w:r>
      <w:r>
        <w:rPr>
          <w:lang w:eastAsia="en-AU"/>
        </w:rPr>
        <w:t>revised indication:</w:t>
      </w:r>
    </w:p>
    <w:p w:rsidR="0053067C" w:rsidRDefault="00070CB8" w:rsidP="0053067C">
      <w:pPr>
        <w:ind w:left="720"/>
        <w:rPr>
          <w:i/>
        </w:rPr>
      </w:pPr>
      <w:r w:rsidRPr="00070CB8">
        <w:rPr>
          <w:rFonts w:ascii="Times New Roman" w:eastAsia="Times New Roman" w:hAnsi="Times New Roman"/>
          <w:i/>
          <w:sz w:val="24"/>
          <w:szCs w:val="24"/>
          <w:lang w:eastAsia="en-AU"/>
        </w:rPr>
        <w:t>‘</w:t>
      </w:r>
      <w:r w:rsidRPr="00070CB8">
        <w:rPr>
          <w:i/>
        </w:rPr>
        <w:t>Treatment of bone loss associated with long-term systemic glucocorticoid therapy in adults at increased risk of fracture</w:t>
      </w:r>
      <w:r w:rsidR="00211AE1">
        <w:rPr>
          <w:i/>
        </w:rPr>
        <w:t>.</w:t>
      </w:r>
      <w:r w:rsidR="0053067C">
        <w:rPr>
          <w:i/>
        </w:rPr>
        <w:t>’</w:t>
      </w:r>
    </w:p>
    <w:p w:rsidR="00070CB8" w:rsidRPr="009032B0" w:rsidRDefault="0053067C" w:rsidP="00070CB8">
      <w:proofErr w:type="gramStart"/>
      <w:r>
        <w:t>was</w:t>
      </w:r>
      <w:proofErr w:type="gramEnd"/>
      <w:r>
        <w:t xml:space="preserve"> acceptable </w:t>
      </w:r>
      <w:r w:rsidR="00070CB8" w:rsidRPr="009032B0">
        <w:t>for the following reasons</w:t>
      </w:r>
      <w:r w:rsidR="00FD7238">
        <w:t>:</w:t>
      </w:r>
    </w:p>
    <w:p w:rsidR="00070CB8" w:rsidRPr="006F17EC" w:rsidRDefault="00070CB8" w:rsidP="00070CB8">
      <w:pPr>
        <w:pStyle w:val="ListBullet"/>
        <w:rPr>
          <w:lang w:eastAsia="en-AU"/>
        </w:rPr>
      </w:pPr>
      <w:proofErr w:type="gramStart"/>
      <w:r w:rsidRPr="006F17EC">
        <w:rPr>
          <w:lang w:eastAsia="en-AU"/>
        </w:rPr>
        <w:t>a</w:t>
      </w:r>
      <w:proofErr w:type="gramEnd"/>
      <w:r w:rsidRPr="006F17EC">
        <w:rPr>
          <w:lang w:eastAsia="en-AU"/>
        </w:rPr>
        <w:t xml:space="preserve"> treatment for osteoporosis should have good evidence that is effective at reducing fracture. Improved BMD may not equate with reduced risk of fracture due to a number of other variables</w:t>
      </w:r>
      <w:r w:rsidR="00FD7238">
        <w:rPr>
          <w:lang w:eastAsia="en-AU"/>
        </w:rPr>
        <w:t>.</w:t>
      </w:r>
    </w:p>
    <w:p w:rsidR="00070CB8" w:rsidRPr="006212D8" w:rsidRDefault="00070CB8" w:rsidP="00070CB8">
      <w:pPr>
        <w:pStyle w:val="ListBullet"/>
        <w:rPr>
          <w:lang w:eastAsia="en-AU"/>
        </w:rPr>
      </w:pPr>
      <w:proofErr w:type="gramStart"/>
      <w:r w:rsidRPr="006F17EC">
        <w:rPr>
          <w:lang w:eastAsia="en-AU"/>
        </w:rPr>
        <w:t>there</w:t>
      </w:r>
      <w:proofErr w:type="gramEnd"/>
      <w:r w:rsidRPr="006F17EC">
        <w:rPr>
          <w:lang w:eastAsia="en-AU"/>
        </w:rPr>
        <w:t xml:space="preserve"> was an imbalance in non-vertebral fractures, with more in the denosumab group</w:t>
      </w:r>
      <w:r w:rsidR="00905A2D">
        <w:rPr>
          <w:lang w:eastAsia="en-AU"/>
        </w:rPr>
        <w:t>.</w:t>
      </w:r>
    </w:p>
    <w:p w:rsidR="00070CB8" w:rsidRPr="006F17EC" w:rsidRDefault="00070CB8" w:rsidP="00070CB8">
      <w:pPr>
        <w:rPr>
          <w:rFonts w:asciiTheme="minorHAnsi" w:hAnsiTheme="minorHAnsi"/>
          <w:lang w:eastAsia="en-AU"/>
        </w:rPr>
      </w:pPr>
      <w:r w:rsidRPr="006F17EC">
        <w:rPr>
          <w:lang w:eastAsia="en-AU"/>
        </w:rPr>
        <w:t>In addition:</w:t>
      </w:r>
    </w:p>
    <w:p w:rsidR="00211AE1" w:rsidRDefault="009A3208" w:rsidP="00394556">
      <w:pPr>
        <w:pStyle w:val="ListBullet"/>
        <w:rPr>
          <w:lang w:eastAsia="en-AU"/>
        </w:rPr>
      </w:pPr>
      <w:r>
        <w:rPr>
          <w:lang w:eastAsia="en-AU"/>
        </w:rPr>
        <w:t>‘</w:t>
      </w:r>
      <w:r w:rsidR="00070CB8" w:rsidRPr="00C614F7">
        <w:rPr>
          <w:i/>
          <w:lang w:eastAsia="en-AU"/>
        </w:rPr>
        <w:t>Increased risk of fracture</w:t>
      </w:r>
      <w:r w:rsidR="00070CB8" w:rsidRPr="006F17EC">
        <w:rPr>
          <w:lang w:eastAsia="en-AU"/>
        </w:rPr>
        <w:t xml:space="preserve"> </w:t>
      </w:r>
      <w:r>
        <w:rPr>
          <w:lang w:eastAsia="en-AU"/>
        </w:rPr>
        <w:t>‘</w:t>
      </w:r>
      <w:r w:rsidR="00070CB8" w:rsidRPr="006F17EC">
        <w:rPr>
          <w:lang w:eastAsia="en-AU"/>
        </w:rPr>
        <w:t xml:space="preserve">is not well defined. It was </w:t>
      </w:r>
      <w:r w:rsidR="00070CB8">
        <w:rPr>
          <w:lang w:eastAsia="en-AU"/>
        </w:rPr>
        <w:t xml:space="preserve">not an entry </w:t>
      </w:r>
      <w:proofErr w:type="gramStart"/>
      <w:r w:rsidR="00070CB8">
        <w:rPr>
          <w:lang w:eastAsia="en-AU"/>
        </w:rPr>
        <w:t>criteria</w:t>
      </w:r>
      <w:proofErr w:type="gramEnd"/>
      <w:r w:rsidR="00070CB8">
        <w:rPr>
          <w:lang w:eastAsia="en-AU"/>
        </w:rPr>
        <w:t xml:space="preserve"> in the </w:t>
      </w:r>
      <w:r w:rsidR="00070CB8" w:rsidRPr="006F17EC">
        <w:rPr>
          <w:lang w:eastAsia="en-AU"/>
        </w:rPr>
        <w:t xml:space="preserve">clinical studies. FRAX assessment is not valid for patients less than 40 years and is not accurate for patients on glucocorticoids. </w:t>
      </w:r>
      <w:r w:rsidR="00070CB8">
        <w:rPr>
          <w:lang w:eastAsia="en-AU"/>
        </w:rPr>
        <w:t xml:space="preserve">From a regulatory perspective, it is difficult to assess the efficacy and safety (or risk/benefit) of a medicine under </w:t>
      </w:r>
      <w:r w:rsidR="00FD7238">
        <w:rPr>
          <w:lang w:eastAsia="en-AU"/>
        </w:rPr>
        <w:t xml:space="preserve">Section </w:t>
      </w:r>
      <w:r w:rsidR="00070CB8">
        <w:rPr>
          <w:lang w:eastAsia="en-AU"/>
        </w:rPr>
        <w:t>25 of the Therapeutic Goods Act if the purpose of use (patient population and disease to be treated) are poorly defined</w:t>
      </w:r>
      <w:r w:rsidR="00211AE1">
        <w:rPr>
          <w:lang w:eastAsia="en-AU"/>
        </w:rPr>
        <w:t>.</w:t>
      </w:r>
    </w:p>
    <w:p w:rsidR="00211AE1" w:rsidRDefault="00070CB8" w:rsidP="00456765">
      <w:pPr>
        <w:rPr>
          <w:rFonts w:eastAsia="Times New Roman"/>
          <w:lang w:eastAsia="en-AU"/>
        </w:rPr>
      </w:pPr>
      <w:r w:rsidRPr="006F17EC">
        <w:t xml:space="preserve">There is no unmet clinical need as there are other treatments on the ARTG for this indication. </w:t>
      </w:r>
      <w:r w:rsidRPr="006F17EC">
        <w:rPr>
          <w:rFonts w:eastAsia="Times New Roman"/>
          <w:lang w:eastAsia="en-AU"/>
        </w:rPr>
        <w:t>This decision could be reconsidered with the results of the 24 months study and/or other long term studies</w:t>
      </w:r>
      <w:r>
        <w:rPr>
          <w:rFonts w:eastAsia="Times New Roman"/>
          <w:lang w:eastAsia="en-AU"/>
        </w:rPr>
        <w:t xml:space="preserve"> and further consideration for the wording of the indication</w:t>
      </w:r>
      <w:r w:rsidR="00211AE1">
        <w:rPr>
          <w:rFonts w:eastAsia="Times New Roman"/>
          <w:lang w:eastAsia="en-AU"/>
        </w:rPr>
        <w:t>.</w:t>
      </w:r>
    </w:p>
    <w:p w:rsidR="00D23139" w:rsidRDefault="00A22D57" w:rsidP="00D23139">
      <w:pPr>
        <w:pStyle w:val="Heading4"/>
      </w:pPr>
      <w:r>
        <w:t>Request for AC</w:t>
      </w:r>
      <w:r w:rsidR="00D23139" w:rsidRPr="00D23139">
        <w:t>M advice</w:t>
      </w:r>
    </w:p>
    <w:p w:rsidR="00394556" w:rsidRPr="00394556" w:rsidRDefault="0053067C" w:rsidP="00394556">
      <w:r>
        <w:t>In relation to the sponsor’s proposed indication</w:t>
      </w:r>
      <w:r w:rsidR="00394556" w:rsidRPr="00394556">
        <w:t>:</w:t>
      </w:r>
    </w:p>
    <w:p w:rsidR="00211AE1" w:rsidRDefault="00394556" w:rsidP="00394556">
      <w:pPr>
        <w:ind w:left="709"/>
        <w:rPr>
          <w:i/>
        </w:rPr>
      </w:pPr>
      <w:r w:rsidRPr="00394556">
        <w:rPr>
          <w:i/>
        </w:rPr>
        <w:t>Treatment of bone loss associated with long-term systemic glucocorticoid therapy in adults at increased risk of fracture</w:t>
      </w:r>
      <w:r w:rsidR="00211AE1">
        <w:rPr>
          <w:i/>
        </w:rPr>
        <w:t>.</w:t>
      </w:r>
    </w:p>
    <w:p w:rsidR="00394556" w:rsidRDefault="00394556" w:rsidP="004B2A45">
      <w:pPr>
        <w:pStyle w:val="Numberbullet0"/>
        <w:numPr>
          <w:ilvl w:val="0"/>
          <w:numId w:val="8"/>
        </w:numPr>
      </w:pPr>
      <w:r>
        <w:t>Is it appropriate to improve an indication for treatment of bone loss (surrogate measure)</w:t>
      </w:r>
      <w:r w:rsidR="00211AE1">
        <w:t xml:space="preserve"> </w:t>
      </w:r>
      <w:r>
        <w:t>when there is no data on fractures</w:t>
      </w:r>
      <w:r w:rsidR="000521C1">
        <w:t>?</w:t>
      </w:r>
    </w:p>
    <w:p w:rsidR="00394556" w:rsidRDefault="00394556" w:rsidP="004B2A45">
      <w:pPr>
        <w:pStyle w:val="Numberbullet0"/>
        <w:numPr>
          <w:ilvl w:val="0"/>
          <w:numId w:val="8"/>
        </w:numPr>
      </w:pPr>
      <w:r>
        <w:t xml:space="preserve">Is it appropriate </w:t>
      </w:r>
      <w:r w:rsidR="00624032">
        <w:t xml:space="preserve">to </w:t>
      </w:r>
      <w:r>
        <w:t>extrapolate the reduced fracture rate with denosumab in post-menopausal women with osteoporosis to men and pre-menopausal women on long term glucocorticoids</w:t>
      </w:r>
      <w:r w:rsidR="000521C1">
        <w:t>?</w:t>
      </w:r>
    </w:p>
    <w:p w:rsidR="00394556" w:rsidRDefault="00394556" w:rsidP="004B2A45">
      <w:pPr>
        <w:pStyle w:val="Numberbullet0"/>
        <w:numPr>
          <w:ilvl w:val="0"/>
          <w:numId w:val="8"/>
        </w:numPr>
      </w:pPr>
      <w:r>
        <w:t xml:space="preserve">Is it appropriate to extrapolate the reduced fracture rate that has been observed with </w:t>
      </w:r>
      <w:r w:rsidR="00FD7238">
        <w:t xml:space="preserve">risedronate </w:t>
      </w:r>
      <w:r>
        <w:t xml:space="preserve">to </w:t>
      </w:r>
      <w:r w:rsidR="00FD7238">
        <w:t>d</w:t>
      </w:r>
      <w:r>
        <w:t>enosumab based on the common feature of reduced rate of bone loss?</w:t>
      </w:r>
    </w:p>
    <w:p w:rsidR="00456765" w:rsidRPr="00394556" w:rsidRDefault="00FD7238" w:rsidP="004B2A45">
      <w:pPr>
        <w:pStyle w:val="Numberbullet0"/>
        <w:numPr>
          <w:ilvl w:val="0"/>
          <w:numId w:val="8"/>
        </w:numPr>
        <w:rPr>
          <w:rFonts w:asciiTheme="minorHAnsi" w:hAnsiTheme="minorHAnsi"/>
        </w:rPr>
      </w:pPr>
      <w:r>
        <w:t>T</w:t>
      </w:r>
      <w:r w:rsidR="00394556" w:rsidRPr="00394556">
        <w:t>here are no valid tools for the assessment of fracture risk in pre-menopausal women and those on glucocorticoids</w:t>
      </w:r>
      <w:r w:rsidR="000521C1">
        <w:t>;</w:t>
      </w:r>
      <w:r w:rsidR="00394556" w:rsidRPr="00394556">
        <w:t xml:space="preserve"> please comment on whether </w:t>
      </w:r>
      <w:r w:rsidR="00394556" w:rsidRPr="00C614F7">
        <w:rPr>
          <w:i/>
        </w:rPr>
        <w:t>‘increased risk of fracture’</w:t>
      </w:r>
      <w:r w:rsidR="00394556" w:rsidRPr="00394556">
        <w:t xml:space="preserve"> should be included in the indication, and if/how it should be defined</w:t>
      </w:r>
      <w:r w:rsidR="000521C1">
        <w:t>?</w:t>
      </w:r>
    </w:p>
    <w:p w:rsidR="00D23139" w:rsidRDefault="00456765" w:rsidP="0018105A">
      <w:pPr>
        <w:pStyle w:val="Heading4"/>
      </w:pPr>
      <w:r>
        <w:lastRenderedPageBreak/>
        <w:t xml:space="preserve">Response from </w:t>
      </w:r>
      <w:r w:rsidRPr="0018105A">
        <w:t>Sponsor</w:t>
      </w:r>
    </w:p>
    <w:p w:rsidR="00701A9A" w:rsidRDefault="00701A9A" w:rsidP="00701A9A">
      <w:r w:rsidRPr="00701A9A">
        <w:t>The indication proposed with the initial application was</w:t>
      </w:r>
      <w:r>
        <w:t>:</w:t>
      </w:r>
    </w:p>
    <w:p w:rsidR="00701A9A" w:rsidRPr="00701A9A" w:rsidRDefault="009A3208" w:rsidP="00701A9A">
      <w:pPr>
        <w:ind w:left="720"/>
        <w:rPr>
          <w:i/>
        </w:rPr>
      </w:pPr>
      <w:r>
        <w:rPr>
          <w:i/>
        </w:rPr>
        <w:t>‘</w:t>
      </w:r>
      <w:r w:rsidR="00701A9A" w:rsidRPr="00701A9A">
        <w:rPr>
          <w:i/>
        </w:rPr>
        <w:t>Treatment of osteoporosis associated with sustained systemic glucocorticoid therapy in women and men at in</w:t>
      </w:r>
      <w:r w:rsidR="000521C1">
        <w:rPr>
          <w:i/>
        </w:rPr>
        <w:t>creased risk of fracture</w:t>
      </w:r>
      <w:r>
        <w:rPr>
          <w:i/>
        </w:rPr>
        <w:t>’</w:t>
      </w:r>
      <w:r w:rsidR="000521C1">
        <w:rPr>
          <w:i/>
        </w:rPr>
        <w:t xml:space="preserve"> and </w:t>
      </w:r>
      <w:r>
        <w:rPr>
          <w:i/>
        </w:rPr>
        <w:t>‘</w:t>
      </w:r>
      <w:r w:rsidR="00701A9A" w:rsidRPr="00701A9A">
        <w:rPr>
          <w:i/>
        </w:rPr>
        <w:t>Prevention of osteoporosis in women and men at increased risk of fracture who are starting or have recently started long-term glu</w:t>
      </w:r>
      <w:r w:rsidR="000521C1">
        <w:rPr>
          <w:i/>
        </w:rPr>
        <w:t>cocorticoid therapy.</w:t>
      </w:r>
      <w:r>
        <w:rPr>
          <w:i/>
        </w:rPr>
        <w:t>’</w:t>
      </w:r>
    </w:p>
    <w:p w:rsidR="00701A9A" w:rsidRDefault="000521C1" w:rsidP="00701A9A">
      <w:r>
        <w:t>W</w:t>
      </w:r>
      <w:r w:rsidRPr="00701A9A">
        <w:t>ith the s</w:t>
      </w:r>
      <w:r>
        <w:t>ubsequent response to questions t</w:t>
      </w:r>
      <w:r w:rsidR="00701A9A" w:rsidRPr="00701A9A">
        <w:t>his indicati</w:t>
      </w:r>
      <w:r w:rsidR="00701A9A">
        <w:t>on was amended to:</w:t>
      </w:r>
    </w:p>
    <w:p w:rsidR="00701A9A" w:rsidRPr="000521C1" w:rsidRDefault="009A3208" w:rsidP="000521C1">
      <w:pPr>
        <w:ind w:left="720"/>
        <w:rPr>
          <w:i/>
        </w:rPr>
      </w:pPr>
      <w:r>
        <w:rPr>
          <w:i/>
        </w:rPr>
        <w:t>‘</w:t>
      </w:r>
      <w:r w:rsidR="00701A9A" w:rsidRPr="00701A9A">
        <w:rPr>
          <w:i/>
        </w:rPr>
        <w:t>Treatment of bone loss associated with long-term systemic glucocorticoid therapy in adult patients</w:t>
      </w:r>
      <w:r w:rsidR="000521C1">
        <w:rPr>
          <w:i/>
        </w:rPr>
        <w:t xml:space="preserve"> at increased risk of fracture</w:t>
      </w:r>
      <w:r>
        <w:rPr>
          <w:i/>
        </w:rPr>
        <w:t>’</w:t>
      </w:r>
    </w:p>
    <w:p w:rsidR="00701A9A" w:rsidRDefault="00701A9A" w:rsidP="00701A9A">
      <w:r w:rsidRPr="00701A9A">
        <w:t>In response to comments in the clinical evalu</w:t>
      </w:r>
      <w:r>
        <w:t xml:space="preserve">ation report and the Delegate’s </w:t>
      </w:r>
      <w:r w:rsidR="000521C1">
        <w:t>o</w:t>
      </w:r>
      <w:r w:rsidRPr="00701A9A">
        <w:t xml:space="preserve">verview, </w:t>
      </w:r>
      <w:r w:rsidR="000521C1">
        <w:t>the sponsor</w:t>
      </w:r>
      <w:r w:rsidRPr="00701A9A">
        <w:t xml:space="preserve"> proposes to amend the indic</w:t>
      </w:r>
      <w:r>
        <w:t>ation to:</w:t>
      </w:r>
    </w:p>
    <w:p w:rsidR="00701A9A" w:rsidRPr="00701A9A" w:rsidRDefault="009A3208" w:rsidP="00701A9A">
      <w:pPr>
        <w:ind w:left="720"/>
        <w:rPr>
          <w:i/>
        </w:rPr>
      </w:pPr>
      <w:proofErr w:type="gramStart"/>
      <w:r>
        <w:rPr>
          <w:i/>
        </w:rPr>
        <w:t>‘</w:t>
      </w:r>
      <w:r w:rsidR="00701A9A" w:rsidRPr="00701A9A">
        <w:rPr>
          <w:i/>
        </w:rPr>
        <w:t>Treatment to increase bone mass in women and men at increased risk of fracture due to long-term, systemic glucocorticoid therapy.</w:t>
      </w:r>
      <w:r>
        <w:rPr>
          <w:i/>
        </w:rPr>
        <w:t>’</w:t>
      </w:r>
      <w:proofErr w:type="gramEnd"/>
    </w:p>
    <w:p w:rsidR="00701A9A" w:rsidRPr="00701A9A" w:rsidRDefault="00701A9A" w:rsidP="00701A9A">
      <w:r w:rsidRPr="00701A9A">
        <w:t xml:space="preserve">The Delegate posed 4 questions to the ACM. </w:t>
      </w:r>
      <w:r w:rsidR="000521C1">
        <w:t>The sponsor’s</w:t>
      </w:r>
      <w:r w:rsidRPr="00701A9A">
        <w:t xml:space="preserve"> responses to these</w:t>
      </w:r>
      <w:r>
        <w:t xml:space="preserve"> </w:t>
      </w:r>
      <w:r w:rsidRPr="00701A9A">
        <w:t>questions are provided below.</w:t>
      </w:r>
    </w:p>
    <w:p w:rsidR="00701A9A" w:rsidRPr="00701A9A" w:rsidRDefault="00701A9A" w:rsidP="004B2A45">
      <w:pPr>
        <w:pStyle w:val="Numberbullet0"/>
        <w:numPr>
          <w:ilvl w:val="0"/>
          <w:numId w:val="10"/>
        </w:numPr>
        <w:rPr>
          <w:b/>
          <w:i/>
        </w:rPr>
      </w:pPr>
      <w:r w:rsidRPr="00701A9A">
        <w:rPr>
          <w:b/>
          <w:i/>
        </w:rPr>
        <w:t>Is it appropriate to approve an indication for treatment of bone loss (surrogate measure) when there is no data on fractures?</w:t>
      </w:r>
    </w:p>
    <w:p w:rsidR="00701A9A" w:rsidRDefault="00701A9A" w:rsidP="00701A9A">
      <w:r w:rsidRPr="00701A9A">
        <w:t>There is no official guideline from any regulatory authority for the evaluation of</w:t>
      </w:r>
      <w:r>
        <w:t xml:space="preserve"> </w:t>
      </w:r>
      <w:r w:rsidRPr="00701A9A">
        <w:t>medicinal products for the treatment or prevention of secondary osteoporosis, the</w:t>
      </w:r>
      <w:r>
        <w:t xml:space="preserve"> </w:t>
      </w:r>
      <w:r w:rsidRPr="00701A9A">
        <w:t>most common form of which is glucocorticoid (G</w:t>
      </w:r>
      <w:r>
        <w:t xml:space="preserve">C)-induced osteoporosis (GIOP). </w:t>
      </w:r>
      <w:r w:rsidRPr="00701A9A">
        <w:t>Recommendations for the registration of agents f</w:t>
      </w:r>
      <w:r>
        <w:t xml:space="preserve">or the prevention and treatment </w:t>
      </w:r>
      <w:r w:rsidRPr="00701A9A">
        <w:t>of GIOP have been produced by the Grou</w:t>
      </w:r>
      <w:r>
        <w:t xml:space="preserve">p for the Respect of Ethics and </w:t>
      </w:r>
      <w:r w:rsidRPr="00701A9A">
        <w:t>Excellence in Science (GREES</w:t>
      </w:r>
      <w:proofErr w:type="gramStart"/>
      <w:r w:rsidRPr="00701A9A">
        <w:t>)</w:t>
      </w:r>
      <w:r w:rsidR="00FD7238">
        <w:t>;</w:t>
      </w:r>
      <w:bookmarkStart w:id="107" w:name="_Ref531678892"/>
      <w:r w:rsidR="00503F15" w:rsidRPr="00FD7238">
        <w:rPr>
          <w:rStyle w:val="FootnoteReference"/>
        </w:rPr>
        <w:footnoteReference w:id="26"/>
      </w:r>
      <w:bookmarkEnd w:id="107"/>
      <w:r w:rsidR="00503F15" w:rsidRPr="00C614F7">
        <w:rPr>
          <w:vertAlign w:val="superscript"/>
        </w:rPr>
        <w:t>,</w:t>
      </w:r>
      <w:r w:rsidR="00503F15" w:rsidRPr="00FD7238">
        <w:rPr>
          <w:rStyle w:val="FootnoteReference"/>
        </w:rPr>
        <w:footnoteReference w:id="27"/>
      </w:r>
      <w:r w:rsidR="00503F15" w:rsidRPr="00C614F7">
        <w:rPr>
          <w:vertAlign w:val="superscript"/>
        </w:rPr>
        <w:t>,</w:t>
      </w:r>
      <w:proofErr w:type="gramEnd"/>
      <w:r w:rsidR="00503F15" w:rsidRPr="00FD7238">
        <w:rPr>
          <w:rStyle w:val="FootnoteReference"/>
        </w:rPr>
        <w:footnoteReference w:id="28"/>
      </w:r>
      <w:r w:rsidRPr="00701A9A">
        <w:t xml:space="preserve"> though these recomme</w:t>
      </w:r>
      <w:r>
        <w:t xml:space="preserve">ndations have not been formally </w:t>
      </w:r>
      <w:r w:rsidRPr="00701A9A">
        <w:t>endorsed by any regulatory authority. F</w:t>
      </w:r>
      <w:r>
        <w:t xml:space="preserve">or GIOP, the GREES recommends a </w:t>
      </w:r>
      <w:r w:rsidRPr="00701A9A">
        <w:t xml:space="preserve">bridging study based on bone mineral density </w:t>
      </w:r>
      <w:r>
        <w:t xml:space="preserve">(BMD) for agents that have been </w:t>
      </w:r>
      <w:r w:rsidRPr="00701A9A">
        <w:t xml:space="preserve">granted marketing authorisation for </w:t>
      </w:r>
      <w:r>
        <w:t xml:space="preserve">the treatment of postmenopausal </w:t>
      </w:r>
      <w:r w:rsidRPr="00701A9A">
        <w:t>osteoporosis (PMO) in women at increased risk</w:t>
      </w:r>
      <w:r>
        <w:t xml:space="preserve"> of fracture. The design should </w:t>
      </w:r>
      <w:r w:rsidRPr="00701A9A">
        <w:t>be a non</w:t>
      </w:r>
      <w:r w:rsidR="000521C1">
        <w:t xml:space="preserve"> </w:t>
      </w:r>
      <w:r w:rsidRPr="00701A9A">
        <w:t>inferiority study with lumbar spi</w:t>
      </w:r>
      <w:r>
        <w:t xml:space="preserve">ne BMD at 1 year as the primary </w:t>
      </w:r>
      <w:r w:rsidRPr="00701A9A">
        <w:t xml:space="preserve">endpoint. Approved and established drug therapies </w:t>
      </w:r>
      <w:r>
        <w:t xml:space="preserve">for GIOP should be used as </w:t>
      </w:r>
      <w:r w:rsidRPr="00701A9A">
        <w:t>the active comparator</w:t>
      </w:r>
      <w:r w:rsidR="00503F15">
        <w:t>.</w:t>
      </w:r>
      <w:r w:rsidR="00503F15" w:rsidRPr="00503F15">
        <w:rPr>
          <w:vertAlign w:val="superscript"/>
        </w:rPr>
        <w:fldChar w:fldCharType="begin"/>
      </w:r>
      <w:r w:rsidR="00503F15" w:rsidRPr="00503F15">
        <w:rPr>
          <w:vertAlign w:val="superscript"/>
        </w:rPr>
        <w:instrText xml:space="preserve"> NOTEREF _Ref531678892 \h </w:instrText>
      </w:r>
      <w:r w:rsidR="00503F15">
        <w:rPr>
          <w:vertAlign w:val="superscript"/>
        </w:rPr>
        <w:instrText xml:space="preserve"> \* MERGEFORMAT </w:instrText>
      </w:r>
      <w:r w:rsidR="00503F15" w:rsidRPr="00503F15">
        <w:rPr>
          <w:vertAlign w:val="superscript"/>
        </w:rPr>
      </w:r>
      <w:r w:rsidR="00503F15" w:rsidRPr="00503F15">
        <w:rPr>
          <w:vertAlign w:val="superscript"/>
        </w:rPr>
        <w:fldChar w:fldCharType="separate"/>
      </w:r>
      <w:r w:rsidR="00503F15" w:rsidRPr="00503F15">
        <w:rPr>
          <w:vertAlign w:val="superscript"/>
        </w:rPr>
        <w:t>37</w:t>
      </w:r>
      <w:r w:rsidR="00503F15" w:rsidRPr="00503F15">
        <w:rPr>
          <w:vertAlign w:val="superscript"/>
        </w:rPr>
        <w:fldChar w:fldCharType="end"/>
      </w:r>
      <w:r w:rsidRPr="00701A9A">
        <w:t xml:space="preserve"> The p</w:t>
      </w:r>
      <w:r>
        <w:t xml:space="preserve">ivotal trial for Prolia in GIOP </w:t>
      </w:r>
      <w:r w:rsidRPr="00701A9A">
        <w:t>(Study 20101217) was a non</w:t>
      </w:r>
      <w:r w:rsidR="000521C1">
        <w:t xml:space="preserve"> </w:t>
      </w:r>
      <w:r w:rsidRPr="00701A9A">
        <w:t>inferiority, active (ris</w:t>
      </w:r>
      <w:r w:rsidR="000521C1">
        <w:t xml:space="preserve">edronate) </w:t>
      </w:r>
      <w:r>
        <w:t xml:space="preserve">controlled study that </w:t>
      </w:r>
      <w:r w:rsidRPr="00701A9A">
        <w:t xml:space="preserve">enrolled 795 GC-treated subjects for </w:t>
      </w:r>
      <w:proofErr w:type="gramStart"/>
      <w:r w:rsidRPr="00701A9A">
        <w:t>a treatment</w:t>
      </w:r>
      <w:proofErr w:type="gramEnd"/>
      <w:r w:rsidRPr="00701A9A">
        <w:t xml:space="preserve"> duration of 2 y</w:t>
      </w:r>
      <w:r>
        <w:t xml:space="preserve">ears, thus fulfilling </w:t>
      </w:r>
      <w:r w:rsidRPr="00701A9A">
        <w:t xml:space="preserve">the above GREES recommendations for GIOP. </w:t>
      </w:r>
      <w:r>
        <w:t xml:space="preserve">This design is aligned with the </w:t>
      </w:r>
      <w:r w:rsidRPr="00701A9A">
        <w:t>clinical studies used to support registration of a</w:t>
      </w:r>
      <w:r>
        <w:t xml:space="preserve">ll agents currently approved in </w:t>
      </w:r>
      <w:r w:rsidRPr="00701A9A">
        <w:t>Australia for GIOP, which have been granted ap</w:t>
      </w:r>
      <w:r>
        <w:t>proval based on non</w:t>
      </w:r>
      <w:r w:rsidR="000521C1">
        <w:t> </w:t>
      </w:r>
      <w:r>
        <w:t xml:space="preserve">inferiority, </w:t>
      </w:r>
      <w:r w:rsidR="000521C1">
        <w:t xml:space="preserve">active </w:t>
      </w:r>
      <w:r w:rsidRPr="00701A9A">
        <w:t>controlled studies (</w:t>
      </w:r>
      <w:proofErr w:type="spellStart"/>
      <w:r w:rsidRPr="00701A9A">
        <w:t>zoledronic</w:t>
      </w:r>
      <w:proofErr w:type="spellEnd"/>
      <w:r>
        <w:t xml:space="preserve"> acid and </w:t>
      </w:r>
      <w:proofErr w:type="spellStart"/>
      <w:r>
        <w:t>teriparatide</w:t>
      </w:r>
      <w:proofErr w:type="spellEnd"/>
      <w:r>
        <w:t xml:space="preserve">) or even </w:t>
      </w:r>
      <w:r w:rsidR="00016DE4">
        <w:t>placebo controlled</w:t>
      </w:r>
      <w:r w:rsidRPr="00701A9A">
        <w:t xml:space="preserve"> studies (alendronate an</w:t>
      </w:r>
      <w:r>
        <w:t xml:space="preserve">d risedronate), with BMD as the </w:t>
      </w:r>
      <w:r w:rsidRPr="00701A9A">
        <w:t>primary endpoint.</w:t>
      </w:r>
    </w:p>
    <w:p w:rsidR="000521C1" w:rsidRDefault="00701A9A" w:rsidP="00701A9A">
      <w:r w:rsidRPr="00701A9A">
        <w:t xml:space="preserve">To provide support for fracture risk reduction in the current application, </w:t>
      </w:r>
      <w:r w:rsidR="000521C1">
        <w:t>the sponsor</w:t>
      </w:r>
      <w:r>
        <w:t xml:space="preserve"> </w:t>
      </w:r>
      <w:r w:rsidRPr="00701A9A">
        <w:t>has evaluated the consistency of the effects of</w:t>
      </w:r>
      <w:r>
        <w:t xml:space="preserve"> denosumab across the following </w:t>
      </w:r>
      <w:r w:rsidRPr="00701A9A">
        <w:t xml:space="preserve">4 populations with different </w:t>
      </w:r>
      <w:r w:rsidR="000521C1" w:rsidRPr="00701A9A">
        <w:t>aetiologies</w:t>
      </w:r>
      <w:r w:rsidRPr="00701A9A">
        <w:t xml:space="preserve"> for bo</w:t>
      </w:r>
      <w:r w:rsidR="00624032">
        <w:t>ne loss:</w:t>
      </w:r>
    </w:p>
    <w:p w:rsidR="000521C1" w:rsidRDefault="00701A9A" w:rsidP="00263282">
      <w:pPr>
        <w:pStyle w:val="ListBullet"/>
      </w:pPr>
      <w:r>
        <w:t xml:space="preserve">PMO (FREEDOM, Study </w:t>
      </w:r>
      <w:r w:rsidRPr="00701A9A">
        <w:t>20030216), which represents the basis for br</w:t>
      </w:r>
      <w:r w:rsidR="00624032">
        <w:t>idging to other indications</w:t>
      </w:r>
      <w:r w:rsidR="00FD7238">
        <w:t>.</w:t>
      </w:r>
    </w:p>
    <w:p w:rsidR="000521C1" w:rsidRDefault="00FD7238" w:rsidP="00263282">
      <w:pPr>
        <w:pStyle w:val="ListBullet"/>
      </w:pPr>
      <w:r>
        <w:lastRenderedPageBreak/>
        <w:t>H</w:t>
      </w:r>
      <w:r w:rsidRPr="00701A9A">
        <w:t xml:space="preserve">ormone </w:t>
      </w:r>
      <w:r w:rsidR="00701A9A" w:rsidRPr="00701A9A">
        <w:t>ablation therapy (androgen deprivatio</w:t>
      </w:r>
      <w:r w:rsidR="00701A9A">
        <w:t xml:space="preserve">n therapy </w:t>
      </w:r>
      <w:r w:rsidR="00DE1EFB">
        <w:t>(</w:t>
      </w:r>
      <w:r w:rsidR="00701A9A">
        <w:t>ADT</w:t>
      </w:r>
      <w:r w:rsidR="00DE1EFB">
        <w:t>)</w:t>
      </w:r>
      <w:r w:rsidR="00701A9A">
        <w:t xml:space="preserve"> Study 20040138; </w:t>
      </w:r>
      <w:r w:rsidR="00701A9A" w:rsidRPr="00701A9A">
        <w:t xml:space="preserve">adjuvant aromatase inhibitor therapy for </w:t>
      </w:r>
      <w:proofErr w:type="spellStart"/>
      <w:r w:rsidR="00701A9A" w:rsidRPr="00701A9A">
        <w:t>non</w:t>
      </w:r>
      <w:r w:rsidR="00701A9A">
        <w:t>metastatic</w:t>
      </w:r>
      <w:proofErr w:type="spellEnd"/>
      <w:r w:rsidR="00701A9A">
        <w:t xml:space="preserve"> breast cancer, Study </w:t>
      </w:r>
      <w:r w:rsidR="00701A9A" w:rsidRPr="00701A9A">
        <w:t>20040135), which has supportive information regarding fracture outcomes</w:t>
      </w:r>
      <w:r w:rsidR="00263282">
        <w:t>.</w:t>
      </w:r>
    </w:p>
    <w:p w:rsidR="000521C1" w:rsidRDefault="00263282" w:rsidP="00263282">
      <w:pPr>
        <w:pStyle w:val="ListBullet"/>
      </w:pPr>
      <w:r>
        <w:t>M</w:t>
      </w:r>
      <w:r w:rsidRPr="00701A9A">
        <w:t xml:space="preserve">ale </w:t>
      </w:r>
      <w:r w:rsidR="00701A9A" w:rsidRPr="00701A9A">
        <w:t>osteoporosis (ADAMO, Study</w:t>
      </w:r>
      <w:r w:rsidR="00624032">
        <w:t xml:space="preserve"> 20080098)</w:t>
      </w:r>
      <w:r>
        <w:t>.</w:t>
      </w:r>
    </w:p>
    <w:p w:rsidR="00263282" w:rsidRDefault="00701A9A" w:rsidP="00263282">
      <w:pPr>
        <w:pStyle w:val="ListBullet"/>
      </w:pPr>
      <w:r>
        <w:t xml:space="preserve">GIOP (Study </w:t>
      </w:r>
      <w:r w:rsidRPr="00701A9A">
        <w:t>20101217).</w:t>
      </w:r>
    </w:p>
    <w:p w:rsidR="00701A9A" w:rsidRPr="00701A9A" w:rsidRDefault="00701A9A" w:rsidP="00263282">
      <w:r w:rsidRPr="00701A9A">
        <w:t>Results from the primary analysis o</w:t>
      </w:r>
      <w:r>
        <w:t xml:space="preserve">f Study 20101217, together with </w:t>
      </w:r>
      <w:r w:rsidRPr="00701A9A">
        <w:t>results from Studies</w:t>
      </w:r>
      <w:r w:rsidR="00263282">
        <w:t> </w:t>
      </w:r>
      <w:r w:rsidRPr="00701A9A">
        <w:t>20030216, 20</w:t>
      </w:r>
      <w:r w:rsidR="00551BA9">
        <w:t xml:space="preserve">080098, 20040138, and 20040135, </w:t>
      </w:r>
      <w:r w:rsidRPr="00701A9A">
        <w:t>demonstrate the following:</w:t>
      </w:r>
    </w:p>
    <w:p w:rsidR="00701A9A" w:rsidRPr="00701A9A" w:rsidRDefault="000521C1" w:rsidP="00551BA9">
      <w:pPr>
        <w:pStyle w:val="ListBullet"/>
      </w:pPr>
      <w:r>
        <w:t xml:space="preserve">The distribution of baseline 10 </w:t>
      </w:r>
      <w:r w:rsidR="00701A9A" w:rsidRPr="00701A9A">
        <w:t>year probabilit</w:t>
      </w:r>
      <w:r w:rsidR="00551BA9">
        <w:t xml:space="preserve">y of major osteoporosis-related </w:t>
      </w:r>
      <w:r w:rsidR="00701A9A" w:rsidRPr="00701A9A">
        <w:t>fracture (FRAX) in subjects who receiv</w:t>
      </w:r>
      <w:r w:rsidR="00551BA9">
        <w:t xml:space="preserve">ed GC therapy in Study 20101217 </w:t>
      </w:r>
      <w:r w:rsidR="00701A9A" w:rsidRPr="00701A9A">
        <w:t>showed considerable overlap with that in t</w:t>
      </w:r>
      <w:r w:rsidR="00551BA9">
        <w:t xml:space="preserve">he population of women with PMO </w:t>
      </w:r>
      <w:r w:rsidR="00701A9A" w:rsidRPr="00701A9A">
        <w:t xml:space="preserve">from Study 20030216. This was </w:t>
      </w:r>
      <w:r w:rsidR="00551BA9">
        <w:t xml:space="preserve">true for both the GC-C and GC-I </w:t>
      </w:r>
      <w:r w:rsidR="00701A9A" w:rsidRPr="00701A9A">
        <w:t>subpopulations</w:t>
      </w:r>
    </w:p>
    <w:p w:rsidR="00701A9A" w:rsidRPr="00701A9A" w:rsidRDefault="00701A9A" w:rsidP="00551BA9">
      <w:pPr>
        <w:pStyle w:val="ListBullet"/>
      </w:pPr>
      <w:r w:rsidRPr="00701A9A">
        <w:t>The magnitude of the BMD increases</w:t>
      </w:r>
      <w:r w:rsidR="00551BA9">
        <w:t xml:space="preserve"> observed in Study 20101217 was </w:t>
      </w:r>
      <w:r w:rsidRPr="00701A9A">
        <w:t xml:space="preserve">similar to that observed in Study 20030216 and the 3 </w:t>
      </w:r>
      <w:r w:rsidR="00551BA9">
        <w:t xml:space="preserve">other supportive studies </w:t>
      </w:r>
      <w:r w:rsidRPr="00701A9A">
        <w:t>after 12 months of denosumab treatment, d</w:t>
      </w:r>
      <w:r w:rsidR="00551BA9">
        <w:t xml:space="preserve">emonstrating the consistency of </w:t>
      </w:r>
      <w:r w:rsidRPr="00701A9A">
        <w:t>the effects of denosumab across primary and</w:t>
      </w:r>
      <w:r w:rsidR="00551BA9">
        <w:t xml:space="preserve"> secondary osteoporosis patient </w:t>
      </w:r>
      <w:r w:rsidRPr="00701A9A">
        <w:t>populations</w:t>
      </w:r>
    </w:p>
    <w:p w:rsidR="00211AE1" w:rsidRDefault="00701A9A" w:rsidP="00551BA9">
      <w:pPr>
        <w:pStyle w:val="ListBullet"/>
      </w:pPr>
      <w:r w:rsidRPr="00701A9A">
        <w:t>The safety profile observed in Study 20101217 was consistent with th</w:t>
      </w:r>
      <w:r w:rsidR="00551BA9">
        <w:t xml:space="preserve">at </w:t>
      </w:r>
      <w:r w:rsidRPr="00701A9A">
        <w:t>observed in the pivotal clinical studies in pri</w:t>
      </w:r>
      <w:r w:rsidR="00551BA9">
        <w:t xml:space="preserve">mary osteoporosis and bone loss </w:t>
      </w:r>
      <w:r w:rsidRPr="00701A9A">
        <w:t>due to hormone ablation therapy. No n</w:t>
      </w:r>
      <w:r w:rsidR="00551BA9">
        <w:t xml:space="preserve">ew safety risks associated with </w:t>
      </w:r>
      <w:r w:rsidRPr="00701A9A">
        <w:t>denosumab treatment wer</w:t>
      </w:r>
      <w:r w:rsidR="00551BA9">
        <w:t>e identified in Study 20101217</w:t>
      </w:r>
      <w:r w:rsidR="00211AE1">
        <w:t>.</w:t>
      </w:r>
    </w:p>
    <w:p w:rsidR="00701A9A" w:rsidRPr="00701A9A" w:rsidRDefault="00701A9A" w:rsidP="00701A9A">
      <w:r w:rsidRPr="00701A9A">
        <w:t>The mean increases in BMD with denosumab treatment</w:t>
      </w:r>
      <w:r w:rsidR="00551BA9">
        <w:t xml:space="preserve"> in both subpopulations in </w:t>
      </w:r>
      <w:r w:rsidRPr="00701A9A">
        <w:t>Study</w:t>
      </w:r>
      <w:r w:rsidR="00263282">
        <w:t> </w:t>
      </w:r>
      <w:r w:rsidRPr="00701A9A">
        <w:t>20101217 were similar to mean increa</w:t>
      </w:r>
      <w:r w:rsidR="00551BA9">
        <w:t xml:space="preserve">ses in BMD in Studies 20030216, </w:t>
      </w:r>
      <w:r w:rsidRPr="00701A9A">
        <w:t>20080098, 20040138, and 20040135 at 12</w:t>
      </w:r>
      <w:r w:rsidR="00551BA9">
        <w:t xml:space="preserve"> months. Because Study 20030216 </w:t>
      </w:r>
      <w:r w:rsidRPr="00701A9A">
        <w:t>demonstrated that increases in BMD were associate</w:t>
      </w:r>
      <w:r w:rsidR="00551BA9">
        <w:t xml:space="preserve">d with fracture risk reduction, </w:t>
      </w:r>
      <w:r w:rsidRPr="00701A9A">
        <w:t>it is reasonable to extrapolate the anti</w:t>
      </w:r>
      <w:r w:rsidR="000521C1">
        <w:t>-</w:t>
      </w:r>
      <w:r w:rsidRPr="00701A9A">
        <w:t xml:space="preserve">fracture </w:t>
      </w:r>
      <w:r w:rsidR="00551BA9">
        <w:t>efficacy of denosumab 60</w:t>
      </w:r>
      <w:r w:rsidR="001350D8">
        <w:t xml:space="preserve"> mg</w:t>
      </w:r>
      <w:r w:rsidR="00551BA9">
        <w:t xml:space="preserve"> Q6M </w:t>
      </w:r>
      <w:r w:rsidRPr="00701A9A">
        <w:t>to subjects with GIOP.</w:t>
      </w:r>
    </w:p>
    <w:p w:rsidR="00701A9A" w:rsidRPr="00701A9A" w:rsidRDefault="00701A9A" w:rsidP="00701A9A">
      <w:r w:rsidRPr="00701A9A">
        <w:t xml:space="preserve">Finally, when data were pooled from studies </w:t>
      </w:r>
      <w:r w:rsidR="00551BA9">
        <w:t xml:space="preserve">of </w:t>
      </w:r>
      <w:proofErr w:type="spellStart"/>
      <w:r w:rsidR="00551BA9">
        <w:t>risedronate</w:t>
      </w:r>
      <w:proofErr w:type="spellEnd"/>
      <w:r w:rsidR="00551BA9">
        <w:t xml:space="preserve">, </w:t>
      </w:r>
      <w:proofErr w:type="spellStart"/>
      <w:r w:rsidR="00551BA9">
        <w:t>etidronate</w:t>
      </w:r>
      <w:proofErr w:type="spellEnd"/>
      <w:r w:rsidR="00551BA9">
        <w:t xml:space="preserve">, and </w:t>
      </w:r>
      <w:r w:rsidRPr="00701A9A">
        <w:t>alendronate in GIOP, the combined effects of a</w:t>
      </w:r>
      <w:r w:rsidR="00551BA9">
        <w:t xml:space="preserve">ll bisphosphonates on vertebral </w:t>
      </w:r>
      <w:r w:rsidRPr="00701A9A">
        <w:t>and non</w:t>
      </w:r>
      <w:r w:rsidR="000521C1">
        <w:t xml:space="preserve"> </w:t>
      </w:r>
      <w:r w:rsidRPr="00701A9A">
        <w:t>vertebral fracture incidence were comp</w:t>
      </w:r>
      <w:r w:rsidR="00551BA9">
        <w:t>arable to those observed in PMO</w:t>
      </w:r>
      <w:r w:rsidR="00263282">
        <w:t>;</w:t>
      </w:r>
      <w:bookmarkStart w:id="108" w:name="_Ref531679727"/>
      <w:r w:rsidR="00503F15">
        <w:rPr>
          <w:rStyle w:val="FootnoteReference"/>
        </w:rPr>
        <w:footnoteReference w:id="29"/>
      </w:r>
      <w:bookmarkEnd w:id="108"/>
      <w:r w:rsidR="00551BA9">
        <w:t xml:space="preserve"> </w:t>
      </w:r>
      <w:r w:rsidRPr="00701A9A">
        <w:t>thus supporting the notio</w:t>
      </w:r>
      <w:r w:rsidR="00551BA9">
        <w:t>n that anti</w:t>
      </w:r>
      <w:r w:rsidR="000521C1">
        <w:t>-</w:t>
      </w:r>
      <w:r w:rsidR="00551BA9">
        <w:t xml:space="preserve">fracture efficacy of </w:t>
      </w:r>
      <w:r w:rsidRPr="00701A9A">
        <w:t>anti</w:t>
      </w:r>
      <w:r w:rsidR="000521C1">
        <w:t>-</w:t>
      </w:r>
      <w:proofErr w:type="spellStart"/>
      <w:r w:rsidRPr="00701A9A">
        <w:t>resorptive</w:t>
      </w:r>
      <w:proofErr w:type="spellEnd"/>
      <w:r w:rsidRPr="00701A9A">
        <w:t xml:space="preserve"> medications is likely to be similar between PMO and GIOP.</w:t>
      </w:r>
    </w:p>
    <w:p w:rsidR="00551BA9" w:rsidRPr="00C614F7" w:rsidRDefault="00551BA9" w:rsidP="00C614F7">
      <w:pPr>
        <w:pStyle w:val="Numberbullet0"/>
        <w:numPr>
          <w:ilvl w:val="0"/>
          <w:numId w:val="10"/>
        </w:numPr>
        <w:rPr>
          <w:b/>
          <w:i/>
        </w:rPr>
      </w:pPr>
      <w:r w:rsidRPr="00C614F7">
        <w:rPr>
          <w:b/>
          <w:i/>
        </w:rPr>
        <w:t xml:space="preserve">Is it appropriate to extrapolate the reduced fracture rate with denosumab in </w:t>
      </w:r>
      <w:r w:rsidR="000521C1" w:rsidRPr="00C614F7">
        <w:rPr>
          <w:b/>
          <w:i/>
        </w:rPr>
        <w:t>post-menopausal</w:t>
      </w:r>
      <w:r w:rsidRPr="00C614F7">
        <w:rPr>
          <w:b/>
          <w:i/>
        </w:rPr>
        <w:t xml:space="preserve"> women with osteoporosis to men and premenopausal women on long term glucocorticoids?</w:t>
      </w:r>
    </w:p>
    <w:p w:rsidR="00551BA9" w:rsidRPr="00551BA9" w:rsidRDefault="000521C1" w:rsidP="00551BA9">
      <w:r>
        <w:t>The sponsor</w:t>
      </w:r>
      <w:r w:rsidR="00551BA9" w:rsidRPr="00551BA9">
        <w:t xml:space="preserve"> acknowledges that extrapolation of anti</w:t>
      </w:r>
      <w:r>
        <w:t>-</w:t>
      </w:r>
      <w:r w:rsidR="00551BA9" w:rsidRPr="00551BA9">
        <w:t>f</w:t>
      </w:r>
      <w:r w:rsidR="00551BA9">
        <w:t xml:space="preserve">racture benefits established in </w:t>
      </w:r>
      <w:r w:rsidR="00551BA9" w:rsidRPr="00551BA9">
        <w:t>PMO to men and premenopausal women on lo</w:t>
      </w:r>
      <w:r w:rsidR="00551BA9">
        <w:t xml:space="preserve">ng-term glucocorticoids may not </w:t>
      </w:r>
      <w:r w:rsidR="00551BA9" w:rsidRPr="00551BA9">
        <w:t>be straightforward. In fact, most GIOP manag</w:t>
      </w:r>
      <w:r w:rsidR="00551BA9">
        <w:t xml:space="preserve">ement guidelines are focused on </w:t>
      </w:r>
      <w:r w:rsidR="00551BA9" w:rsidRPr="00551BA9">
        <w:t xml:space="preserve">postmenopausal women and men </w:t>
      </w:r>
      <w:r w:rsidR="001350D8">
        <w:t xml:space="preserve">≥ </w:t>
      </w:r>
      <w:r w:rsidR="00551BA9" w:rsidRPr="00551BA9">
        <w:t>50 years old,</w:t>
      </w:r>
      <w:r w:rsidR="00551BA9">
        <w:t xml:space="preserve"> and evidence for the treatment </w:t>
      </w:r>
      <w:r w:rsidR="00551BA9" w:rsidRPr="00551BA9">
        <w:t xml:space="preserve">of premenopausal women and of men </w:t>
      </w:r>
      <w:r w:rsidR="001350D8">
        <w:t xml:space="preserve">&lt; </w:t>
      </w:r>
      <w:r w:rsidR="00551BA9" w:rsidRPr="00551BA9">
        <w:t>50 years old is weak</w:t>
      </w:r>
      <w:r w:rsidR="00503F15">
        <w:t>.</w:t>
      </w:r>
      <w:r w:rsidR="00503F15">
        <w:rPr>
          <w:rStyle w:val="FootnoteReference"/>
        </w:rPr>
        <w:footnoteReference w:id="30"/>
      </w:r>
    </w:p>
    <w:p w:rsidR="00551BA9" w:rsidRPr="00551BA9" w:rsidRDefault="00551BA9" w:rsidP="00551BA9">
      <w:r w:rsidRPr="00551BA9">
        <w:t xml:space="preserve">It is </w:t>
      </w:r>
      <w:r w:rsidR="000521C1">
        <w:t>the sponsor</w:t>
      </w:r>
      <w:r w:rsidRPr="00551BA9">
        <w:t>’s position, however, that it is reasona</w:t>
      </w:r>
      <w:r>
        <w:t>ble to extrapolate anti</w:t>
      </w:r>
      <w:r w:rsidR="000521C1">
        <w:t>-</w:t>
      </w:r>
      <w:r>
        <w:t xml:space="preserve">fracture </w:t>
      </w:r>
      <w:r w:rsidRPr="00551BA9">
        <w:t>benefit established in women with PMO to</w:t>
      </w:r>
      <w:r>
        <w:t xml:space="preserve"> men and premenopausal women on </w:t>
      </w:r>
      <w:r w:rsidRPr="00551BA9">
        <w:t>long-term glucocorticoids, based on the following considerations:</w:t>
      </w:r>
    </w:p>
    <w:p w:rsidR="00701A9A" w:rsidRPr="00551BA9" w:rsidRDefault="00551BA9" w:rsidP="00551BA9">
      <w:pPr>
        <w:pStyle w:val="ListBullet"/>
      </w:pPr>
      <w:r w:rsidRPr="00551BA9">
        <w:t>Approval of therapies with a GIOP indic</w:t>
      </w:r>
      <w:r>
        <w:t xml:space="preserve">ation in Australia was based on </w:t>
      </w:r>
      <w:r w:rsidRPr="00551BA9">
        <w:t>bridging studies with BMD as a primar</w:t>
      </w:r>
      <w:r>
        <w:t xml:space="preserve">y endpoint and extrapolation of </w:t>
      </w:r>
      <w:r w:rsidRPr="00551BA9">
        <w:t>anti</w:t>
      </w:r>
      <w:r w:rsidR="000521C1">
        <w:t>-</w:t>
      </w:r>
      <w:r w:rsidRPr="00551BA9">
        <w:t>fracture benefits, previously establish</w:t>
      </w:r>
      <w:r>
        <w:t>ed in post</w:t>
      </w:r>
      <w:r w:rsidR="000521C1">
        <w:t>-</w:t>
      </w:r>
      <w:r>
        <w:t xml:space="preserve">menopausal women with </w:t>
      </w:r>
      <w:r w:rsidRPr="00551BA9">
        <w:t>osteoporosis, to GC-treated subjects, without</w:t>
      </w:r>
      <w:r>
        <w:t xml:space="preserve"> the exclusion of premenopausal </w:t>
      </w:r>
      <w:r w:rsidRPr="00551BA9">
        <w:t>women and men.</w:t>
      </w:r>
    </w:p>
    <w:p w:rsidR="00551BA9" w:rsidRPr="00551BA9" w:rsidRDefault="00551BA9" w:rsidP="00551BA9">
      <w:pPr>
        <w:pStyle w:val="ListBullet"/>
      </w:pPr>
      <w:r w:rsidRPr="00551BA9">
        <w:lastRenderedPageBreak/>
        <w:t>There was a considerable ov</w:t>
      </w:r>
      <w:r w:rsidR="000521C1">
        <w:t xml:space="preserve">erlap in the distribution of 10 </w:t>
      </w:r>
      <w:r w:rsidRPr="00551BA9">
        <w:t>year probabilities of</w:t>
      </w:r>
      <w:r>
        <w:t xml:space="preserve"> </w:t>
      </w:r>
      <w:r w:rsidR="00747C3C">
        <w:t>major osteoporotic (Figure 2</w:t>
      </w:r>
      <w:r w:rsidRPr="00551BA9">
        <w:t>) and hip (Figur</w:t>
      </w:r>
      <w:r w:rsidR="00747C3C">
        <w:t>e 3</w:t>
      </w:r>
      <w:r>
        <w:t xml:space="preserve">) </w:t>
      </w:r>
      <w:r w:rsidRPr="00551BA9">
        <w:t>fractures across postmenopausal women wit</w:t>
      </w:r>
      <w:r>
        <w:t xml:space="preserve">h osteoporosis (Study 20030216) </w:t>
      </w:r>
      <w:r w:rsidR="000521C1">
        <w:t xml:space="preserve">and GC </w:t>
      </w:r>
      <w:r w:rsidRPr="00551BA9">
        <w:t>treated pre</w:t>
      </w:r>
      <w:r w:rsidR="000521C1">
        <w:t>-</w:t>
      </w:r>
      <w:r w:rsidRPr="00551BA9">
        <w:t>menopausal women</w:t>
      </w:r>
      <w:r>
        <w:t xml:space="preserve"> and men (Study 20101217), thus </w:t>
      </w:r>
      <w:r w:rsidRPr="00551BA9">
        <w:t>indicating a similar level of fracture risk.</w:t>
      </w:r>
    </w:p>
    <w:p w:rsidR="00551BA9" w:rsidRPr="00551BA9" w:rsidRDefault="00551BA9" w:rsidP="00551BA9">
      <w:pPr>
        <w:pStyle w:val="ListBullet"/>
      </w:pPr>
      <w:r w:rsidRPr="00551BA9">
        <w:t>The least squares mean (95% confidence</w:t>
      </w:r>
      <w:r>
        <w:t xml:space="preserve"> interval) percent changes from </w:t>
      </w:r>
      <w:r w:rsidRPr="00551BA9">
        <w:t>baseline in lumbar spine BMD at 12 month</w:t>
      </w:r>
      <w:r w:rsidR="008634CF">
        <w:t xml:space="preserve">s in denosumab </w:t>
      </w:r>
      <w:r>
        <w:t xml:space="preserve">treated subjects </w:t>
      </w:r>
      <w:r w:rsidRPr="00551BA9">
        <w:t>were similar across postmenopausal</w:t>
      </w:r>
      <w:r>
        <w:t xml:space="preserve"> women with osteoporosis (Study </w:t>
      </w:r>
      <w:r w:rsidRPr="00551BA9">
        <w:t>20030216) and GC-treated men</w:t>
      </w:r>
      <w:r>
        <w:t xml:space="preserve"> and premenopausal women (Study </w:t>
      </w:r>
      <w:r w:rsidRPr="00551BA9">
        <w:t xml:space="preserve">20101217) (Table </w:t>
      </w:r>
      <w:r w:rsidR="00747C3C">
        <w:t>4</w:t>
      </w:r>
      <w:r w:rsidR="009A3208">
        <w:t>4</w:t>
      </w:r>
      <w:r w:rsidRPr="00551BA9">
        <w:t>), thus ind</w:t>
      </w:r>
      <w:r>
        <w:t xml:space="preserve">icating consistent BMD benefits </w:t>
      </w:r>
      <w:r w:rsidRPr="00551BA9">
        <w:t>from denosumab treatment.</w:t>
      </w:r>
    </w:p>
    <w:p w:rsidR="00551BA9" w:rsidRPr="00551BA9" w:rsidRDefault="00551BA9" w:rsidP="00551BA9">
      <w:pPr>
        <w:pStyle w:val="ListBullet"/>
      </w:pPr>
      <w:r w:rsidRPr="00551BA9">
        <w:t xml:space="preserve">When data were pooled from studies </w:t>
      </w:r>
      <w:r>
        <w:t xml:space="preserve">of </w:t>
      </w:r>
      <w:proofErr w:type="spellStart"/>
      <w:r>
        <w:t>risedronate</w:t>
      </w:r>
      <w:proofErr w:type="spellEnd"/>
      <w:r>
        <w:t xml:space="preserve">, </w:t>
      </w:r>
      <w:proofErr w:type="spellStart"/>
      <w:r>
        <w:t>etidronate</w:t>
      </w:r>
      <w:proofErr w:type="spellEnd"/>
      <w:r>
        <w:t xml:space="preserve">, and </w:t>
      </w:r>
      <w:r w:rsidRPr="00551BA9">
        <w:t>alendronate in GIOP that also included m</w:t>
      </w:r>
      <w:r>
        <w:t xml:space="preserve">en and premenopausal women, the </w:t>
      </w:r>
      <w:r w:rsidRPr="00551BA9">
        <w:t>combined effects of all bisphosphonate</w:t>
      </w:r>
      <w:r>
        <w:t xml:space="preserve">s on vertebral and </w:t>
      </w:r>
      <w:proofErr w:type="spellStart"/>
      <w:r>
        <w:t>nonvertebral</w:t>
      </w:r>
      <w:proofErr w:type="spellEnd"/>
      <w:r>
        <w:t xml:space="preserve"> </w:t>
      </w:r>
      <w:r w:rsidRPr="00551BA9">
        <w:t>fracture incidence were comp</w:t>
      </w:r>
      <w:r w:rsidR="00503F15">
        <w:t>arable to those observed in PMO.</w:t>
      </w:r>
      <w:r w:rsidR="00503F15" w:rsidRPr="00503F15">
        <w:rPr>
          <w:vertAlign w:val="superscript"/>
        </w:rPr>
        <w:fldChar w:fldCharType="begin"/>
      </w:r>
      <w:r w:rsidR="00503F15" w:rsidRPr="00503F15">
        <w:rPr>
          <w:vertAlign w:val="superscript"/>
        </w:rPr>
        <w:instrText xml:space="preserve"> NOTEREF _Ref531679727 \h </w:instrText>
      </w:r>
      <w:r w:rsidR="00503F15">
        <w:rPr>
          <w:vertAlign w:val="superscript"/>
        </w:rPr>
        <w:instrText xml:space="preserve"> \* MERGEFORMAT </w:instrText>
      </w:r>
      <w:r w:rsidR="00503F15" w:rsidRPr="00503F15">
        <w:rPr>
          <w:vertAlign w:val="superscript"/>
        </w:rPr>
      </w:r>
      <w:r w:rsidR="00503F15" w:rsidRPr="00503F15">
        <w:rPr>
          <w:vertAlign w:val="superscript"/>
        </w:rPr>
        <w:fldChar w:fldCharType="separate"/>
      </w:r>
      <w:r w:rsidR="00503F15" w:rsidRPr="00503F15">
        <w:rPr>
          <w:vertAlign w:val="superscript"/>
        </w:rPr>
        <w:t>40</w:t>
      </w:r>
      <w:r w:rsidR="00503F15" w:rsidRPr="00503F15">
        <w:rPr>
          <w:vertAlign w:val="superscript"/>
        </w:rPr>
        <w:fldChar w:fldCharType="end"/>
      </w:r>
    </w:p>
    <w:p w:rsidR="00551BA9" w:rsidRPr="00551BA9" w:rsidRDefault="00551BA9" w:rsidP="00551BA9">
      <w:pPr>
        <w:pStyle w:val="ListBullet"/>
      </w:pPr>
      <w:r w:rsidRPr="00551BA9">
        <w:t xml:space="preserve">According to International Osteoporosis </w:t>
      </w:r>
      <w:r>
        <w:t>Foundation</w:t>
      </w:r>
      <w:r w:rsidR="00263282">
        <w:t>,</w:t>
      </w:r>
      <w:r>
        <w:t xml:space="preserve"> European Calcified </w:t>
      </w:r>
      <w:r w:rsidRPr="00551BA9">
        <w:t xml:space="preserve">Tissue Society (IOF–ECTS) GIOP guidelines, in </w:t>
      </w:r>
      <w:r>
        <w:t xml:space="preserve">premenopausal women and </w:t>
      </w:r>
      <w:r w:rsidRPr="00551BA9">
        <w:t>in men age</w:t>
      </w:r>
      <w:r w:rsidR="00263282">
        <w:t>d</w:t>
      </w:r>
      <w:r w:rsidRPr="00551BA9">
        <w:t xml:space="preserve"> </w:t>
      </w:r>
      <w:r w:rsidR="001350D8">
        <w:t>&lt;</w:t>
      </w:r>
      <w:r w:rsidR="00263282">
        <w:t> </w:t>
      </w:r>
      <w:r w:rsidRPr="00551BA9">
        <w:t>50</w:t>
      </w:r>
      <w:r w:rsidR="00263282">
        <w:t> </w:t>
      </w:r>
      <w:r w:rsidRPr="00551BA9">
        <w:t>years committed to or ex</w:t>
      </w:r>
      <w:r>
        <w:t xml:space="preserve">posed to </w:t>
      </w:r>
      <w:r w:rsidR="001350D8">
        <w:t xml:space="preserve">≥ </w:t>
      </w:r>
      <w:r>
        <w:t xml:space="preserve">3 months of oral GC, </w:t>
      </w:r>
      <w:r w:rsidRPr="00551BA9">
        <w:t>treatment should be considered in patients with</w:t>
      </w:r>
      <w:r>
        <w:t xml:space="preserve"> a history of previous fracture </w:t>
      </w:r>
      <w:r w:rsidRPr="00551BA9">
        <w:t>and should be based on clinical judgment</w:t>
      </w:r>
      <w:r>
        <w:t xml:space="preserve"> in patients with no history of </w:t>
      </w:r>
      <w:r w:rsidRPr="00551BA9">
        <w:t>fracture</w:t>
      </w:r>
      <w:r w:rsidR="00503F15">
        <w:t>.</w:t>
      </w:r>
      <w:bookmarkStart w:id="109" w:name="_Ref531679386"/>
      <w:r w:rsidR="00503F15">
        <w:rPr>
          <w:rStyle w:val="FootnoteReference"/>
        </w:rPr>
        <w:footnoteReference w:id="31"/>
      </w:r>
      <w:bookmarkEnd w:id="109"/>
      <w:r w:rsidRPr="00551BA9">
        <w:t xml:space="preserve"> </w:t>
      </w:r>
      <w:r>
        <w:t xml:space="preserve">For both the GC-C and GC-I </w:t>
      </w:r>
      <w:r w:rsidRPr="00551BA9">
        <w:t>subpopulations of Study 20101217, men and</w:t>
      </w:r>
      <w:r>
        <w:t xml:space="preserve"> women </w:t>
      </w:r>
      <w:r w:rsidR="001350D8">
        <w:t xml:space="preserve">&lt; </w:t>
      </w:r>
      <w:r>
        <w:t xml:space="preserve">50 years of age had to </w:t>
      </w:r>
      <w:r w:rsidRPr="00551BA9">
        <w:t>have a history of fragility fracture and be ex</w:t>
      </w:r>
      <w:r>
        <w:t xml:space="preserve">pected to continue receiving GC </w:t>
      </w:r>
      <w:r w:rsidR="008634CF">
        <w:t>for at least 6 </w:t>
      </w:r>
      <w:r w:rsidRPr="00551BA9">
        <w:t>months. Therefore, according to inter</w:t>
      </w:r>
      <w:r>
        <w:t xml:space="preserve">national guidelines, these </w:t>
      </w:r>
      <w:r w:rsidRPr="00551BA9">
        <w:t>subjects would be considered for GIOP treatment.</w:t>
      </w:r>
    </w:p>
    <w:p w:rsidR="00551BA9" w:rsidRDefault="00551BA9" w:rsidP="00551BA9">
      <w:r w:rsidRPr="00551BA9">
        <w:t>Based on the above considerations, it is reasona</w:t>
      </w:r>
      <w:r>
        <w:t>ble to extrapolate anti</w:t>
      </w:r>
      <w:r w:rsidR="008634CF">
        <w:t>-</w:t>
      </w:r>
      <w:r>
        <w:t xml:space="preserve">fracture </w:t>
      </w:r>
      <w:r w:rsidRPr="00551BA9">
        <w:t>benefit established in women with PMO to</w:t>
      </w:r>
      <w:r>
        <w:t xml:space="preserve"> men and premenopausal women on </w:t>
      </w:r>
      <w:r w:rsidRPr="00551BA9">
        <w:t>long-term glucocorticoids.</w:t>
      </w:r>
    </w:p>
    <w:p w:rsidR="00CB21C4" w:rsidRDefault="00747C3C" w:rsidP="00CB21C4">
      <w:pPr>
        <w:pStyle w:val="FigureTitle"/>
      </w:pPr>
      <w:r>
        <w:t xml:space="preserve">Figure 2: Distribution of 10 </w:t>
      </w:r>
      <w:r w:rsidR="00CB21C4">
        <w:t xml:space="preserve">year </w:t>
      </w:r>
      <w:r>
        <w:t xml:space="preserve">major osteoporotic fracture risk with </w:t>
      </w:r>
      <w:r w:rsidR="00CB21C4">
        <w:t>BMD for Studies 20101217 (</w:t>
      </w:r>
      <w:r w:rsidR="00263282">
        <w:t xml:space="preserve">pre-menopausal women, </w:t>
      </w:r>
      <w:r w:rsidR="00CB21C4">
        <w:t>and Men) and 20030216</w:t>
      </w:r>
      <w:r w:rsidR="00263282">
        <w:t>;</w:t>
      </w:r>
      <w:r w:rsidR="00CB21C4">
        <w:t xml:space="preserve"> </w:t>
      </w:r>
      <w:r w:rsidR="00263282">
        <w:t>r</w:t>
      </w:r>
      <w:r w:rsidR="00CB21C4">
        <w:t>andom</w:t>
      </w:r>
      <w:r w:rsidR="009A3208">
        <w:t>ise</w:t>
      </w:r>
      <w:r w:rsidR="00CB21C4">
        <w:t xml:space="preserve">d </w:t>
      </w:r>
      <w:r w:rsidR="00263282">
        <w:t>analysis set</w:t>
      </w:r>
      <w:r w:rsidR="00CB21C4">
        <w:t>, Integrated Analysis of Efficacy</w:t>
      </w:r>
    </w:p>
    <w:p w:rsidR="00CB21C4" w:rsidRDefault="00CB21C4" w:rsidP="00CB21C4">
      <w:r>
        <w:rPr>
          <w:noProof/>
          <w:lang w:eastAsia="en-AU"/>
        </w:rPr>
        <w:drawing>
          <wp:inline distT="0" distB="0" distL="0" distR="0" wp14:anchorId="73912A70" wp14:editId="2315F1DE">
            <wp:extent cx="5400040" cy="2440980"/>
            <wp:effectExtent l="0" t="0" r="0" b="0"/>
            <wp:docPr id="5" name="Picture 5" descr="Figure 2: Distribution of 10 year major osteoporotic fracture risk with BMD for Studies 20101217 (Premenopausal Women and Men) and 20030216 (Randomized Analysis Set, Integrated Analysis o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40" cy="2440980"/>
                    </a:xfrm>
                    <a:prstGeom prst="rect">
                      <a:avLst/>
                    </a:prstGeom>
                  </pic:spPr>
                </pic:pic>
              </a:graphicData>
            </a:graphic>
          </wp:inline>
        </w:drawing>
      </w:r>
    </w:p>
    <w:p w:rsidR="00CB21C4" w:rsidRPr="00CB21C4" w:rsidRDefault="00747C3C" w:rsidP="00CB21C4">
      <w:pPr>
        <w:pStyle w:val="FigureTitle"/>
      </w:pPr>
      <w:r>
        <w:lastRenderedPageBreak/>
        <w:t>Figure 3</w:t>
      </w:r>
      <w:r w:rsidR="00CB21C4">
        <w:t>:</w:t>
      </w:r>
      <w:r w:rsidR="00CB21C4" w:rsidRPr="00CB21C4">
        <w:t xml:space="preserve"> </w:t>
      </w:r>
      <w:r w:rsidR="008634CF">
        <w:t xml:space="preserve">Distribution of 10 </w:t>
      </w:r>
      <w:r>
        <w:t xml:space="preserve">year hip fracture risk with </w:t>
      </w:r>
      <w:r w:rsidR="00CB21C4">
        <w:t>BMD for Studies 20101217 (</w:t>
      </w:r>
      <w:r w:rsidR="00263282">
        <w:t xml:space="preserve">pre-menopausal women, </w:t>
      </w:r>
      <w:r w:rsidR="00CB21C4">
        <w:t xml:space="preserve">and </w:t>
      </w:r>
      <w:r w:rsidR="00263282">
        <w:t>men</w:t>
      </w:r>
      <w:r w:rsidR="00CB21C4">
        <w:t>) and 20030216</w:t>
      </w:r>
      <w:r w:rsidR="00263282">
        <w:t>; r</w:t>
      </w:r>
      <w:r w:rsidR="00CB21C4">
        <w:t>andom</w:t>
      </w:r>
      <w:r w:rsidR="009A3208">
        <w:t>ise</w:t>
      </w:r>
      <w:r w:rsidR="00CB21C4">
        <w:t xml:space="preserve">d </w:t>
      </w:r>
      <w:r w:rsidR="00263282">
        <w:t>analysis set</w:t>
      </w:r>
      <w:r w:rsidR="00CB21C4">
        <w:t>, Integrated Analysis of Efficacy</w:t>
      </w:r>
    </w:p>
    <w:p w:rsidR="00CB21C4" w:rsidRDefault="00CB21C4" w:rsidP="00CB21C4">
      <w:r>
        <w:rPr>
          <w:noProof/>
          <w:lang w:eastAsia="en-AU"/>
        </w:rPr>
        <w:drawing>
          <wp:inline distT="0" distB="0" distL="0" distR="0" wp14:anchorId="1BEC89C6" wp14:editId="5C6E2647">
            <wp:extent cx="5400040" cy="2389633"/>
            <wp:effectExtent l="0" t="0" r="0" b="0"/>
            <wp:docPr id="8" name="Picture 8" descr="Figure 3: Distribution of 10 year hip fracture risk with BMD for Studies 20101217 (Premenopausal Women and Men) and 20030216 (Randomized Analysis Set, Integrated Analysis o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40" cy="2389633"/>
                    </a:xfrm>
                    <a:prstGeom prst="rect">
                      <a:avLst/>
                    </a:prstGeom>
                  </pic:spPr>
                </pic:pic>
              </a:graphicData>
            </a:graphic>
          </wp:inline>
        </w:drawing>
      </w:r>
    </w:p>
    <w:p w:rsidR="00CB21C4" w:rsidRDefault="00CB21C4" w:rsidP="00CB21C4">
      <w:pPr>
        <w:pStyle w:val="TableTitle"/>
      </w:pPr>
      <w:r>
        <w:t xml:space="preserve">Table </w:t>
      </w:r>
      <w:r w:rsidR="00747C3C">
        <w:t>4</w:t>
      </w:r>
      <w:r w:rsidR="009A3208">
        <w:t>4</w:t>
      </w:r>
      <w:r>
        <w:t xml:space="preserve">: Lumbar </w:t>
      </w:r>
      <w:r w:rsidR="00747C3C">
        <w:t xml:space="preserve">spine bone mineral density </w:t>
      </w:r>
      <w:r>
        <w:t xml:space="preserve">by DXA </w:t>
      </w:r>
      <w:r w:rsidR="00747C3C">
        <w:t xml:space="preserve">percent change from </w:t>
      </w:r>
      <w:r>
        <w:t>Baseline at Month 12 for Studies 20101217 (</w:t>
      </w:r>
      <w:r w:rsidR="00263282">
        <w:t xml:space="preserve">pre-menopausal women, </w:t>
      </w:r>
      <w:r>
        <w:t xml:space="preserve">and </w:t>
      </w:r>
      <w:r w:rsidR="00263282">
        <w:t>men</w:t>
      </w:r>
      <w:r>
        <w:t>) and 20030216 (ANCOVA Model)</w:t>
      </w:r>
      <w:r w:rsidR="00263282">
        <w:t>;</w:t>
      </w:r>
      <w:r>
        <w:t xml:space="preserve"> </w:t>
      </w:r>
      <w:r w:rsidR="00263282">
        <w:t>e</w:t>
      </w:r>
      <w:r>
        <w:t xml:space="preserve">fficacy </w:t>
      </w:r>
      <w:r w:rsidR="00263282">
        <w:t>a</w:t>
      </w:r>
      <w:r>
        <w:t xml:space="preserve">nalysis </w:t>
      </w:r>
      <w:r w:rsidR="00263282">
        <w:t>set</w:t>
      </w:r>
      <w:r>
        <w:t>, Integrated Analysis of Efficacy</w:t>
      </w:r>
    </w:p>
    <w:p w:rsidR="00CB21C4" w:rsidRPr="00CB21C4" w:rsidRDefault="00CB21C4" w:rsidP="00CB21C4">
      <w:r>
        <w:rPr>
          <w:noProof/>
          <w:lang w:eastAsia="en-AU"/>
        </w:rPr>
        <w:drawing>
          <wp:inline distT="0" distB="0" distL="0" distR="0" wp14:anchorId="08BF5839" wp14:editId="2FA841CC">
            <wp:extent cx="5400040" cy="1712897"/>
            <wp:effectExtent l="0" t="0" r="0" b="1905"/>
            <wp:docPr id="11" name="Picture 11" descr="Table 44: Lumbar spine bone mineral density by DXA percent change from Baseline at Month 12 for Studies 20101217 (Premenopausal Women and Men) and 20030216 (ANCOVA Model) (Efficacy Analysis Set, Integrated Analysis o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1712897"/>
                    </a:xfrm>
                    <a:prstGeom prst="rect">
                      <a:avLst/>
                    </a:prstGeom>
                  </pic:spPr>
                </pic:pic>
              </a:graphicData>
            </a:graphic>
          </wp:inline>
        </w:drawing>
      </w:r>
    </w:p>
    <w:p w:rsidR="00551BA9" w:rsidRPr="00551BA9" w:rsidRDefault="00551BA9" w:rsidP="00263282">
      <w:pPr>
        <w:pStyle w:val="Numberbullet0"/>
        <w:rPr>
          <w:b/>
          <w:i/>
        </w:rPr>
      </w:pPr>
      <w:r w:rsidRPr="00551BA9">
        <w:rPr>
          <w:b/>
          <w:i/>
        </w:rPr>
        <w:t>Is it appropriate to extrapolate the reduced fracture rate in glucocorticoid induced osteoporosis that has been observed with risedronate to denosumab based on the common feature of reduced rate of bone loss?</w:t>
      </w:r>
    </w:p>
    <w:p w:rsidR="00701A9A" w:rsidRPr="00551BA9" w:rsidRDefault="008634CF" w:rsidP="00551BA9">
      <w:r>
        <w:t>The sponsor</w:t>
      </w:r>
      <w:r w:rsidR="00551BA9" w:rsidRPr="00551BA9">
        <w:t xml:space="preserve"> acknowledges that anti</w:t>
      </w:r>
      <w:r>
        <w:t>-</w:t>
      </w:r>
      <w:r w:rsidR="00551BA9" w:rsidRPr="00551BA9">
        <w:t>fracture efficacy m</w:t>
      </w:r>
      <w:r w:rsidR="00551BA9">
        <w:t xml:space="preserve">ay not be directly extrapolated </w:t>
      </w:r>
      <w:r w:rsidR="00551BA9" w:rsidRPr="00551BA9">
        <w:t>between osteoporosis medications with diff</w:t>
      </w:r>
      <w:r w:rsidR="00551BA9">
        <w:t>erent mechanisms of action (</w:t>
      </w:r>
      <w:r>
        <w:t>for example</w:t>
      </w:r>
      <w:r w:rsidR="00551BA9">
        <w:t xml:space="preserve">, </w:t>
      </w:r>
      <w:r w:rsidR="00551BA9" w:rsidRPr="00551BA9">
        <w:t>denosumab and risedronate). Instead, extrapolat</w:t>
      </w:r>
      <w:r w:rsidR="00551BA9">
        <w:t>ion of anti</w:t>
      </w:r>
      <w:r>
        <w:t>-</w:t>
      </w:r>
      <w:r w:rsidR="00551BA9">
        <w:t xml:space="preserve">fracture efficacy of </w:t>
      </w:r>
      <w:r w:rsidR="00551BA9" w:rsidRPr="00551BA9">
        <w:t>denosumab to the GIOP population is based on multiple considerations:</w:t>
      </w:r>
    </w:p>
    <w:p w:rsidR="00701A9A" w:rsidRPr="00551BA9" w:rsidRDefault="00551BA9" w:rsidP="0050487B">
      <w:pPr>
        <w:pStyle w:val="ListBullet"/>
      </w:pPr>
      <w:r w:rsidRPr="00551BA9">
        <w:t>The magnitude of lumbar spine BMD increases at 12 months across</w:t>
      </w:r>
      <w:r w:rsidR="0050487B">
        <w:t xml:space="preserve"> </w:t>
      </w:r>
      <w:r w:rsidRPr="00551BA9">
        <w:t>4 osteoporosis settings, including GI</w:t>
      </w:r>
      <w:r w:rsidR="0050487B">
        <w:t xml:space="preserve">OP, PMO, male osteoporosis, and </w:t>
      </w:r>
      <w:r w:rsidRPr="00551BA9">
        <w:t>androgen deprivation therapy (ADT), demonstr</w:t>
      </w:r>
      <w:r w:rsidR="0050487B">
        <w:t xml:space="preserve">ated the consistency of effects </w:t>
      </w:r>
      <w:r w:rsidRPr="00551BA9">
        <w:t>of denosumab. Similar increases in lumbar spin</w:t>
      </w:r>
      <w:r w:rsidR="0050487B">
        <w:t xml:space="preserve">e BMD with denosumab </w:t>
      </w:r>
      <w:r w:rsidRPr="00551BA9">
        <w:t>60</w:t>
      </w:r>
      <w:r w:rsidR="001350D8">
        <w:t xml:space="preserve"> mg</w:t>
      </w:r>
      <w:r w:rsidRPr="00551BA9">
        <w:t xml:space="preserve"> every 6 months were associated with de</w:t>
      </w:r>
      <w:r w:rsidR="0050487B">
        <w:t xml:space="preserve">creases in the risk of fracture </w:t>
      </w:r>
      <w:r w:rsidRPr="00551BA9">
        <w:t>in both PMO and ADT. This suggests that th</w:t>
      </w:r>
      <w:r w:rsidR="0050487B">
        <w:t xml:space="preserve">e BMD increases observed in the </w:t>
      </w:r>
      <w:r w:rsidRPr="00551BA9">
        <w:t>GIOP population are clinically meaningf</w:t>
      </w:r>
      <w:r w:rsidR="0050487B">
        <w:t xml:space="preserve">ul and support extrapolation of </w:t>
      </w:r>
      <w:r w:rsidR="008634CF">
        <w:t>anti-fracture</w:t>
      </w:r>
      <w:r w:rsidRPr="00551BA9">
        <w:t xml:space="preserve"> benefit from PMO to GIOP.</w:t>
      </w:r>
    </w:p>
    <w:p w:rsidR="0050487B" w:rsidRPr="0050487B" w:rsidRDefault="0050487B" w:rsidP="0050487B">
      <w:pPr>
        <w:pStyle w:val="ListBullet"/>
      </w:pPr>
      <w:r>
        <w:t xml:space="preserve">Denosumab demonstrated </w:t>
      </w:r>
      <w:r w:rsidR="008634CF">
        <w:t>anti-fracture</w:t>
      </w:r>
      <w:r>
        <w:t xml:space="preserve"> efficacy in both men on ADT for </w:t>
      </w:r>
      <w:r w:rsidRPr="0050487B">
        <w:t>prostate cancer</w:t>
      </w:r>
      <w:bookmarkStart w:id="110" w:name="_Ref531679243"/>
      <w:r w:rsidR="005B077A">
        <w:t>;</w:t>
      </w:r>
      <w:r w:rsidR="00503F15">
        <w:rPr>
          <w:rStyle w:val="FootnoteReference"/>
        </w:rPr>
        <w:footnoteReference w:id="32"/>
      </w:r>
      <w:bookmarkEnd w:id="110"/>
      <w:r w:rsidRPr="0050487B">
        <w:t xml:space="preserve"> and women with breast cancer receiving</w:t>
      </w:r>
      <w:r>
        <w:t xml:space="preserve"> </w:t>
      </w:r>
      <w:r w:rsidRPr="0050487B">
        <w:t xml:space="preserve">treatment with aromatase </w:t>
      </w:r>
      <w:r w:rsidRPr="0050487B">
        <w:lastRenderedPageBreak/>
        <w:t>inhibitors</w:t>
      </w:r>
      <w:bookmarkStart w:id="111" w:name="_Ref531679268"/>
      <w:r w:rsidR="005B077A">
        <w:t>;</w:t>
      </w:r>
      <w:r w:rsidR="00503F15">
        <w:rPr>
          <w:rStyle w:val="FootnoteReference"/>
        </w:rPr>
        <w:footnoteReference w:id="33"/>
      </w:r>
      <w:bookmarkEnd w:id="111"/>
      <w:r w:rsidRPr="0050487B">
        <w:t xml:space="preserve"> (</w:t>
      </w:r>
      <w:r w:rsidR="008634CF">
        <w:t>that is</w:t>
      </w:r>
      <w:r w:rsidRPr="0050487B">
        <w:t>, 2 secondary</w:t>
      </w:r>
      <w:r>
        <w:t xml:space="preserve"> </w:t>
      </w:r>
      <w:r w:rsidRPr="0050487B">
        <w:t>osteoporosis settings in which, like GIOP, fractures occur at a higher BMD</w:t>
      </w:r>
      <w:r>
        <w:t xml:space="preserve"> </w:t>
      </w:r>
      <w:r w:rsidRPr="0050487B">
        <w:t>threshold than in PMO).</w:t>
      </w:r>
    </w:p>
    <w:p w:rsidR="0050487B" w:rsidRPr="0050487B" w:rsidRDefault="0050487B" w:rsidP="0050487B">
      <w:pPr>
        <w:pStyle w:val="ListBullet"/>
      </w:pPr>
      <w:r w:rsidRPr="0050487B">
        <w:t>A systematic review of interventions in GIO</w:t>
      </w:r>
      <w:r>
        <w:t xml:space="preserve">P and PMO demonstrated that the </w:t>
      </w:r>
      <w:r w:rsidRPr="0050487B">
        <w:t>combined effects of bisphosphonates on vert</w:t>
      </w:r>
      <w:r>
        <w:t>ebral and non</w:t>
      </w:r>
      <w:r w:rsidR="008634CF">
        <w:t xml:space="preserve"> </w:t>
      </w:r>
      <w:r>
        <w:t xml:space="preserve">vertebral fracture </w:t>
      </w:r>
      <w:r w:rsidRPr="0050487B">
        <w:t>incidence in GIOP were comparable to those observed in PMO</w:t>
      </w:r>
      <w:proofErr w:type="gramStart"/>
      <w:r w:rsidR="005B077A">
        <w:t>;</w:t>
      </w:r>
      <w:proofErr w:type="gramEnd"/>
      <w:r w:rsidR="00503F15" w:rsidRPr="00503F15">
        <w:rPr>
          <w:vertAlign w:val="superscript"/>
        </w:rPr>
        <w:fldChar w:fldCharType="begin"/>
      </w:r>
      <w:r w:rsidR="00503F15" w:rsidRPr="00503F15">
        <w:rPr>
          <w:vertAlign w:val="superscript"/>
        </w:rPr>
        <w:instrText xml:space="preserve"> NOTEREF _Ref531679138 \h </w:instrText>
      </w:r>
      <w:r w:rsidR="00503F15">
        <w:rPr>
          <w:vertAlign w:val="superscript"/>
        </w:rPr>
        <w:instrText xml:space="preserve"> \* MERGEFORMAT </w:instrText>
      </w:r>
      <w:r w:rsidR="00503F15" w:rsidRPr="00503F15">
        <w:rPr>
          <w:vertAlign w:val="superscript"/>
        </w:rPr>
      </w:r>
      <w:r w:rsidR="00503F15" w:rsidRPr="00503F15">
        <w:rPr>
          <w:vertAlign w:val="superscript"/>
        </w:rPr>
        <w:fldChar w:fldCharType="separate"/>
      </w:r>
      <w:r w:rsidR="00503F15" w:rsidRPr="00503F15">
        <w:rPr>
          <w:vertAlign w:val="superscript"/>
        </w:rPr>
        <w:t>41</w:t>
      </w:r>
      <w:r w:rsidR="00503F15" w:rsidRPr="00503F15">
        <w:rPr>
          <w:vertAlign w:val="superscript"/>
        </w:rPr>
        <w:fldChar w:fldCharType="end"/>
      </w:r>
      <w:r w:rsidRPr="0050487B">
        <w:t xml:space="preserve"> thus suggesting that the </w:t>
      </w:r>
      <w:r w:rsidR="008634CF">
        <w:t>anti-fracture</w:t>
      </w:r>
      <w:r>
        <w:t xml:space="preserve"> efficacy of anti</w:t>
      </w:r>
      <w:r w:rsidR="008634CF">
        <w:t>-</w:t>
      </w:r>
      <w:proofErr w:type="spellStart"/>
      <w:r>
        <w:t>resorptive</w:t>
      </w:r>
      <w:proofErr w:type="spellEnd"/>
      <w:r>
        <w:t xml:space="preserve"> </w:t>
      </w:r>
      <w:r w:rsidRPr="0050487B">
        <w:t>medications is similar between these 2</w:t>
      </w:r>
      <w:r w:rsidR="005B077A">
        <w:t> </w:t>
      </w:r>
      <w:r w:rsidRPr="0050487B">
        <w:t>osteoporosis settings.</w:t>
      </w:r>
    </w:p>
    <w:p w:rsidR="0050487B" w:rsidRPr="0050487B" w:rsidRDefault="0050487B" w:rsidP="0050487B">
      <w:pPr>
        <w:pStyle w:val="ListBullet"/>
      </w:pPr>
      <w:r w:rsidRPr="0050487B">
        <w:t xml:space="preserve">A meta-analysis of two </w:t>
      </w:r>
      <w:r w:rsidR="00016DE4">
        <w:t>placebo controlled</w:t>
      </w:r>
      <w:r w:rsidRPr="0050487B">
        <w:t xml:space="preserve"> clinical studies of risedr</w:t>
      </w:r>
      <w:r>
        <w:t xml:space="preserve">onate 5 and </w:t>
      </w:r>
      <w:r w:rsidRPr="0050487B">
        <w:t>2.5</w:t>
      </w:r>
      <w:r w:rsidR="001350D8">
        <w:t xml:space="preserve"> mg</w:t>
      </w:r>
      <w:r w:rsidRPr="0050487B">
        <w:t xml:space="preserve"> in men and women receiving GCs, al</w:t>
      </w:r>
      <w:r>
        <w:t xml:space="preserve">beit not designed with adequate </w:t>
      </w:r>
      <w:r w:rsidRPr="0050487B">
        <w:t>statistical power to show differences in</w:t>
      </w:r>
      <w:r>
        <w:t xml:space="preserve"> fracture rates, demonstrated a </w:t>
      </w:r>
      <w:r w:rsidRPr="0050487B">
        <w:t>significant reduction in new vertebral fractu</w:t>
      </w:r>
      <w:r>
        <w:t>re risk in the risedronate 5</w:t>
      </w:r>
      <w:r w:rsidR="001350D8">
        <w:t xml:space="preserve"> mg</w:t>
      </w:r>
      <w:r>
        <w:t xml:space="preserve"> </w:t>
      </w:r>
      <w:r w:rsidRPr="0050487B">
        <w:t>group compared with the placebo group</w:t>
      </w:r>
      <w:r w:rsidR="00503F15">
        <w:t>.</w:t>
      </w:r>
      <w:r w:rsidR="00503F15">
        <w:rPr>
          <w:rStyle w:val="FootnoteReference"/>
        </w:rPr>
        <w:footnoteReference w:id="34"/>
      </w:r>
      <w:r>
        <w:t xml:space="preserve"> Denosumab </w:t>
      </w:r>
      <w:r w:rsidRPr="0050487B">
        <w:t>met the secondary endpoints of superiority o</w:t>
      </w:r>
      <w:r>
        <w:t xml:space="preserve">ver risedronate with respect to </w:t>
      </w:r>
      <w:r w:rsidRPr="0050487B">
        <w:t>the percent change from baseline in lumbar sp</w:t>
      </w:r>
      <w:r>
        <w:t xml:space="preserve">ine and total hip BMD at 12 and </w:t>
      </w:r>
      <w:r w:rsidR="008634CF">
        <w:t xml:space="preserve">24 months in GC </w:t>
      </w:r>
      <w:r w:rsidRPr="0050487B">
        <w:t xml:space="preserve">treated subjects from Study 20101217. </w:t>
      </w:r>
      <w:r>
        <w:t xml:space="preserve">Furthermore, both </w:t>
      </w:r>
      <w:r w:rsidRPr="0050487B">
        <w:t>denosumab and risedronate reduced the inci</w:t>
      </w:r>
      <w:r>
        <w:t xml:space="preserve">dence of new vertebral fracture </w:t>
      </w:r>
      <w:r w:rsidR="008634CF">
        <w:t xml:space="preserve">at 3 years by 68% and 41 to </w:t>
      </w:r>
      <w:r w:rsidRPr="0050487B">
        <w:t>49%, respectively, in PMO</w:t>
      </w:r>
      <w:r w:rsidR="00503F15">
        <w:t>.</w:t>
      </w:r>
      <w:r w:rsidR="00503F15">
        <w:rPr>
          <w:rStyle w:val="FootnoteReference"/>
        </w:rPr>
        <w:footnoteReference w:id="35"/>
      </w:r>
      <w:r>
        <w:t xml:space="preserve"> </w:t>
      </w:r>
      <w:r w:rsidRPr="0050487B">
        <w:t>In addition, as indicated above, denosumab al</w:t>
      </w:r>
      <w:r>
        <w:t xml:space="preserve">so decreases fracture incidence </w:t>
      </w:r>
      <w:r w:rsidRPr="0050487B">
        <w:t>in 2 secondary osteoporosis settings; that is,</w:t>
      </w:r>
      <w:r>
        <w:t xml:space="preserve"> men on ADT for prostate cancer</w:t>
      </w:r>
      <w:proofErr w:type="gramStart"/>
      <w:r w:rsidR="005B077A">
        <w:t>;</w:t>
      </w:r>
      <w:proofErr w:type="gramEnd"/>
      <w:r w:rsidR="00503F15" w:rsidRPr="00503F15">
        <w:rPr>
          <w:vertAlign w:val="superscript"/>
        </w:rPr>
        <w:fldChar w:fldCharType="begin"/>
      </w:r>
      <w:r w:rsidR="00503F15" w:rsidRPr="00503F15">
        <w:rPr>
          <w:vertAlign w:val="superscript"/>
        </w:rPr>
        <w:instrText xml:space="preserve"> NOTEREF _Ref531679243 \h </w:instrText>
      </w:r>
      <w:r w:rsidR="00503F15">
        <w:rPr>
          <w:vertAlign w:val="superscript"/>
        </w:rPr>
        <w:instrText xml:space="preserve"> \* MERGEFORMAT </w:instrText>
      </w:r>
      <w:r w:rsidR="00503F15" w:rsidRPr="00503F15">
        <w:rPr>
          <w:vertAlign w:val="superscript"/>
        </w:rPr>
      </w:r>
      <w:r w:rsidR="00503F15" w:rsidRPr="00503F15">
        <w:rPr>
          <w:vertAlign w:val="superscript"/>
        </w:rPr>
        <w:fldChar w:fldCharType="separate"/>
      </w:r>
      <w:r w:rsidR="00503F15" w:rsidRPr="00503F15">
        <w:rPr>
          <w:vertAlign w:val="superscript"/>
        </w:rPr>
        <w:t>43</w:t>
      </w:r>
      <w:r w:rsidR="00503F15" w:rsidRPr="00503F15">
        <w:rPr>
          <w:vertAlign w:val="superscript"/>
        </w:rPr>
        <w:fldChar w:fldCharType="end"/>
      </w:r>
      <w:r>
        <w:t xml:space="preserve"> </w:t>
      </w:r>
      <w:r w:rsidRPr="0050487B">
        <w:t xml:space="preserve">and women with breast </w:t>
      </w:r>
      <w:r>
        <w:t xml:space="preserve">cancer receiving treatment with </w:t>
      </w:r>
      <w:r w:rsidRPr="0050487B">
        <w:t>aromatase inhibitors</w:t>
      </w:r>
      <w:r w:rsidR="00503F15">
        <w:t>.</w:t>
      </w:r>
      <w:r w:rsidR="00503F15" w:rsidRPr="00503F15">
        <w:rPr>
          <w:vertAlign w:val="superscript"/>
        </w:rPr>
        <w:fldChar w:fldCharType="begin"/>
      </w:r>
      <w:r w:rsidR="00503F15" w:rsidRPr="00503F15">
        <w:rPr>
          <w:vertAlign w:val="superscript"/>
        </w:rPr>
        <w:instrText xml:space="preserve"> NOTEREF _Ref531679268 \h </w:instrText>
      </w:r>
      <w:r w:rsidR="00503F15">
        <w:rPr>
          <w:vertAlign w:val="superscript"/>
        </w:rPr>
        <w:instrText xml:space="preserve"> \* MERGEFORMAT </w:instrText>
      </w:r>
      <w:r w:rsidR="00503F15" w:rsidRPr="00503F15">
        <w:rPr>
          <w:vertAlign w:val="superscript"/>
        </w:rPr>
      </w:r>
      <w:r w:rsidR="00503F15" w:rsidRPr="00503F15">
        <w:rPr>
          <w:vertAlign w:val="superscript"/>
        </w:rPr>
        <w:fldChar w:fldCharType="separate"/>
      </w:r>
      <w:r w:rsidR="00503F15" w:rsidRPr="00503F15">
        <w:rPr>
          <w:vertAlign w:val="superscript"/>
        </w:rPr>
        <w:t>44</w:t>
      </w:r>
      <w:r w:rsidR="00503F15" w:rsidRPr="00503F15">
        <w:rPr>
          <w:vertAlign w:val="superscript"/>
        </w:rPr>
        <w:fldChar w:fldCharType="end"/>
      </w:r>
    </w:p>
    <w:p w:rsidR="0050487B" w:rsidRPr="0050487B" w:rsidRDefault="0050487B" w:rsidP="0050487B">
      <w:r w:rsidRPr="0050487B">
        <w:t xml:space="preserve">In conclusion, while denosumab and risedronate have different mechanisms </w:t>
      </w:r>
      <w:r>
        <w:t xml:space="preserve">of </w:t>
      </w:r>
      <w:r w:rsidRPr="0050487B">
        <w:t>action, they are both anti</w:t>
      </w:r>
      <w:r w:rsidR="008634CF">
        <w:t>-</w:t>
      </w:r>
      <w:proofErr w:type="spellStart"/>
      <w:r w:rsidRPr="0050487B">
        <w:t>resorptive</w:t>
      </w:r>
      <w:proofErr w:type="spellEnd"/>
      <w:r w:rsidRPr="0050487B">
        <w:t xml:space="preserve"> treatments, a</w:t>
      </w:r>
      <w:r>
        <w:t xml:space="preserve">nd there is no plausible reason </w:t>
      </w:r>
      <w:r w:rsidRPr="0050487B">
        <w:t>to believe that a greater increase in BM</w:t>
      </w:r>
      <w:r>
        <w:t xml:space="preserve">D with denosumab, compared with </w:t>
      </w:r>
      <w:r w:rsidRPr="0050487B">
        <w:t xml:space="preserve">risedronate, would be associated with no </w:t>
      </w:r>
      <w:r w:rsidR="008634CF">
        <w:t>anti-fracture</w:t>
      </w:r>
      <w:r w:rsidRPr="0050487B">
        <w:t xml:space="preserve"> efficacy only in GIOP.</w:t>
      </w:r>
    </w:p>
    <w:p w:rsidR="0050487B" w:rsidRPr="0050487B" w:rsidRDefault="0050487B" w:rsidP="00C614F7">
      <w:pPr>
        <w:pStyle w:val="Numberbullet0"/>
        <w:keepNext/>
        <w:rPr>
          <w:b/>
          <w:i/>
        </w:rPr>
      </w:pPr>
      <w:r w:rsidRPr="0050487B">
        <w:rPr>
          <w:b/>
          <w:i/>
        </w:rPr>
        <w:t>There are no valid tools for the assessment of fracture risk in premenopausal women and those on glucocorticoids - please comment on whether ‘increased risk of fracture’ should be included in the indication, and if/how it should be defined?</w:t>
      </w:r>
    </w:p>
    <w:p w:rsidR="0050487B" w:rsidRDefault="0050487B" w:rsidP="0050487B">
      <w:r w:rsidRPr="0050487B">
        <w:t xml:space="preserve">The European Medicines Agency (EMA) </w:t>
      </w:r>
      <w:bookmarkStart w:id="112" w:name="_Ref531703500"/>
      <w:r w:rsidR="005B077A">
        <w:t>g</w:t>
      </w:r>
      <w:r w:rsidR="005B077A" w:rsidRPr="0050487B">
        <w:t>uideline</w:t>
      </w:r>
      <w:r w:rsidR="005B077A">
        <w:t>;</w:t>
      </w:r>
      <w:r w:rsidR="008634CF">
        <w:rPr>
          <w:rStyle w:val="FootnoteReference"/>
        </w:rPr>
        <w:footnoteReference w:id="36"/>
      </w:r>
      <w:bookmarkEnd w:id="112"/>
      <w:r>
        <w:t xml:space="preserve"> recommends </w:t>
      </w:r>
      <w:r w:rsidRPr="0050487B">
        <w:t xml:space="preserve">indication language that includes an </w:t>
      </w:r>
      <w:r w:rsidR="009A3208" w:rsidRPr="00C614F7">
        <w:rPr>
          <w:i/>
        </w:rPr>
        <w:t>‘</w:t>
      </w:r>
      <w:r w:rsidRPr="00C614F7">
        <w:rPr>
          <w:i/>
        </w:rPr>
        <w:t>increased risk of fracture</w:t>
      </w:r>
      <w:r w:rsidR="009A3208">
        <w:t>’</w:t>
      </w:r>
      <w:r>
        <w:t xml:space="preserve"> clause. The </w:t>
      </w:r>
      <w:r w:rsidR="009A3208">
        <w:t>‘</w:t>
      </w:r>
      <w:r w:rsidRPr="00C614F7">
        <w:rPr>
          <w:i/>
        </w:rPr>
        <w:t xml:space="preserve">increased risk </w:t>
      </w:r>
      <w:r w:rsidR="008634CF" w:rsidRPr="00C614F7">
        <w:rPr>
          <w:i/>
        </w:rPr>
        <w:t>of fracture</w:t>
      </w:r>
      <w:r w:rsidR="009A3208" w:rsidRPr="00C614F7">
        <w:rPr>
          <w:i/>
        </w:rPr>
        <w:t>’</w:t>
      </w:r>
      <w:r w:rsidR="008634CF">
        <w:t xml:space="preserve"> clause allows bone </w:t>
      </w:r>
      <w:r w:rsidRPr="0050487B">
        <w:t>related independen</w:t>
      </w:r>
      <w:r>
        <w:t xml:space="preserve">t risk factors for </w:t>
      </w:r>
      <w:r w:rsidRPr="0050487B">
        <w:t xml:space="preserve">fractures to be considered when a physician </w:t>
      </w:r>
      <w:r w:rsidR="009A3208">
        <w:t>‘</w:t>
      </w:r>
      <w:r w:rsidRPr="00C614F7">
        <w:rPr>
          <w:i/>
        </w:rPr>
        <w:t>provides a global assessment of future fracture risk, allowing the identification of women who should benefit from a treatment</w:t>
      </w:r>
      <w:r w:rsidR="009A3208">
        <w:t>’</w:t>
      </w:r>
      <w:r w:rsidRPr="0050487B">
        <w:t xml:space="preserve"> to prevent the occurrence of fractures</w:t>
      </w:r>
      <w:r w:rsidR="008634CF">
        <w:t>.</w:t>
      </w:r>
      <w:r w:rsidR="008634CF" w:rsidRPr="008634CF">
        <w:rPr>
          <w:vertAlign w:val="superscript"/>
        </w:rPr>
        <w:fldChar w:fldCharType="begin"/>
      </w:r>
      <w:r w:rsidR="008634CF" w:rsidRPr="008634CF">
        <w:rPr>
          <w:vertAlign w:val="superscript"/>
        </w:rPr>
        <w:instrText xml:space="preserve"> NOTEREF _Ref531703500 \h </w:instrText>
      </w:r>
      <w:r w:rsidR="008634CF">
        <w:rPr>
          <w:vertAlign w:val="superscript"/>
        </w:rPr>
        <w:instrText xml:space="preserve"> \* MERGEFORMAT </w:instrText>
      </w:r>
      <w:r w:rsidR="008634CF" w:rsidRPr="008634CF">
        <w:rPr>
          <w:vertAlign w:val="superscript"/>
        </w:rPr>
      </w:r>
      <w:r w:rsidR="008634CF" w:rsidRPr="008634CF">
        <w:rPr>
          <w:vertAlign w:val="superscript"/>
        </w:rPr>
        <w:fldChar w:fldCharType="separate"/>
      </w:r>
      <w:r w:rsidR="008634CF" w:rsidRPr="008634CF">
        <w:rPr>
          <w:vertAlign w:val="superscript"/>
        </w:rPr>
        <w:t>34</w:t>
      </w:r>
      <w:r w:rsidR="008634CF" w:rsidRPr="008634CF">
        <w:rPr>
          <w:vertAlign w:val="superscript"/>
        </w:rPr>
        <w:fldChar w:fldCharType="end"/>
      </w:r>
      <w:r w:rsidRPr="0050487B">
        <w:t xml:space="preserve"> As stated in</w:t>
      </w:r>
      <w:r>
        <w:t xml:space="preserve"> the </w:t>
      </w:r>
      <w:r w:rsidRPr="0050487B">
        <w:t>EMA 2007 guidelines, several independent factors f</w:t>
      </w:r>
      <w:r>
        <w:t xml:space="preserve">or fracture, in addition to low </w:t>
      </w:r>
      <w:r w:rsidRPr="0050487B">
        <w:t xml:space="preserve">bone mass, contribute towards a patient being at </w:t>
      </w:r>
      <w:r w:rsidR="009A3208">
        <w:t>‘</w:t>
      </w:r>
      <w:r w:rsidRPr="00C614F7">
        <w:rPr>
          <w:i/>
        </w:rPr>
        <w:t>increased risk of fracture.</w:t>
      </w:r>
      <w:r w:rsidR="009A3208">
        <w:t>’</w:t>
      </w:r>
      <w:r>
        <w:t xml:space="preserve"> Of </w:t>
      </w:r>
      <w:r w:rsidRPr="0050487B">
        <w:t>these factors, age, prior fracture, a family hist</w:t>
      </w:r>
      <w:r>
        <w:t xml:space="preserve">ory of hip fractures, high bone </w:t>
      </w:r>
      <w:r w:rsidRPr="0050487B">
        <w:t>turnover, low body mass index, tobacco, use,</w:t>
      </w:r>
      <w:r>
        <w:t xml:space="preserve"> and alcohol abuse are the most </w:t>
      </w:r>
      <w:r w:rsidRPr="0050487B">
        <w:t>important to be considered. Genetic and nutritio</w:t>
      </w:r>
      <w:r w:rsidR="008634CF">
        <w:t>nal factors (for example</w:t>
      </w:r>
      <w:r>
        <w:t xml:space="preserve">, calcium intake </w:t>
      </w:r>
      <w:r w:rsidRPr="0050487B">
        <w:t xml:space="preserve">and vitamin D repletion) play significant roles. </w:t>
      </w:r>
      <w:r w:rsidR="008634CF">
        <w:t>The sponsor</w:t>
      </w:r>
      <w:r>
        <w:t xml:space="preserve"> supports this approach for </w:t>
      </w:r>
      <w:r w:rsidRPr="0050487B">
        <w:t>PMO and for other bone loss indications incl</w:t>
      </w:r>
      <w:r>
        <w:t xml:space="preserve">uding secondary osteoporosis, a </w:t>
      </w:r>
      <w:r w:rsidRPr="0050487B">
        <w:t>category that includes premenopausal women with GIOP.</w:t>
      </w:r>
    </w:p>
    <w:p w:rsidR="0050487B" w:rsidRPr="0050487B" w:rsidRDefault="0050487B" w:rsidP="0050487B">
      <w:r w:rsidRPr="0050487B">
        <w:t>In addition, IOF-ECTS GIOP guidelines recommend that premenopausal women</w:t>
      </w:r>
      <w:r>
        <w:t xml:space="preserve"> </w:t>
      </w:r>
      <w:r w:rsidRPr="0050487B">
        <w:t>should be considered for treatment if they have a history of fracture or, in the</w:t>
      </w:r>
      <w:r>
        <w:t xml:space="preserve"> </w:t>
      </w:r>
      <w:r w:rsidRPr="0050487B">
        <w:t>absence of it, based on clinical judgment of the treating physician</w:t>
      </w:r>
      <w:r w:rsidR="00503F15">
        <w:t>.</w:t>
      </w:r>
      <w:r w:rsidR="008634CF" w:rsidRPr="008634CF">
        <w:rPr>
          <w:vertAlign w:val="superscript"/>
        </w:rPr>
        <w:fldChar w:fldCharType="begin"/>
      </w:r>
      <w:r w:rsidR="008634CF" w:rsidRPr="008634CF">
        <w:rPr>
          <w:vertAlign w:val="superscript"/>
        </w:rPr>
        <w:instrText xml:space="preserve"> NOTEREF _Ref531679386 \h </w:instrText>
      </w:r>
      <w:r w:rsidR="008634CF">
        <w:rPr>
          <w:vertAlign w:val="superscript"/>
        </w:rPr>
        <w:instrText xml:space="preserve"> \* MERGEFORMAT </w:instrText>
      </w:r>
      <w:r w:rsidR="008634CF" w:rsidRPr="008634CF">
        <w:rPr>
          <w:vertAlign w:val="superscript"/>
        </w:rPr>
      </w:r>
      <w:r w:rsidR="008634CF" w:rsidRPr="008634CF">
        <w:rPr>
          <w:vertAlign w:val="superscript"/>
        </w:rPr>
        <w:fldChar w:fldCharType="separate"/>
      </w:r>
      <w:r w:rsidR="008634CF" w:rsidRPr="008634CF">
        <w:rPr>
          <w:vertAlign w:val="superscript"/>
        </w:rPr>
        <w:t>29</w:t>
      </w:r>
      <w:r w:rsidR="008634CF" w:rsidRPr="008634CF">
        <w:rPr>
          <w:vertAlign w:val="superscript"/>
        </w:rPr>
        <w:fldChar w:fldCharType="end"/>
      </w:r>
      <w:r w:rsidR="008634CF">
        <w:rPr>
          <w:vertAlign w:val="superscript"/>
        </w:rPr>
        <w:t xml:space="preserve"> </w:t>
      </w:r>
      <w:r w:rsidRPr="0050487B">
        <w:t>Fracture risk in GC-treated indivi</w:t>
      </w:r>
      <w:r>
        <w:t xml:space="preserve">duals is also affected by other </w:t>
      </w:r>
      <w:r w:rsidRPr="0050487B">
        <w:t>factors, such as the underlying disease for whi</w:t>
      </w:r>
      <w:r>
        <w:t xml:space="preserve">ch GC therapy is given, </w:t>
      </w:r>
      <w:r>
        <w:lastRenderedPageBreak/>
        <w:t xml:space="preserve">smoking </w:t>
      </w:r>
      <w:r w:rsidRPr="0050487B">
        <w:t>habit, alcohol intake, family history, concomitant m</w:t>
      </w:r>
      <w:r w:rsidR="008634CF">
        <w:t>edications, et</w:t>
      </w:r>
      <w:r w:rsidR="005B077A">
        <w:t xml:space="preserve"> </w:t>
      </w:r>
      <w:r w:rsidR="008634CF">
        <w:t>cetera.</w:t>
      </w:r>
      <w:r>
        <w:t xml:space="preserve"> Therefore, the </w:t>
      </w:r>
      <w:r w:rsidRPr="0050487B">
        <w:t>treating physician is in the best position to d</w:t>
      </w:r>
      <w:r>
        <w:t xml:space="preserve">etermine which patients, in the </w:t>
      </w:r>
      <w:r w:rsidRPr="0050487B">
        <w:t>absence of a history of fragility fracture, are at inc</w:t>
      </w:r>
      <w:r>
        <w:t xml:space="preserve">reased risk of fracture and, as </w:t>
      </w:r>
      <w:r w:rsidRPr="0050487B">
        <w:t>such, warrant GIOP intervention based on the a</w:t>
      </w:r>
      <w:r w:rsidR="008634CF">
        <w:t xml:space="preserve">bove </w:t>
      </w:r>
      <w:r>
        <w:t xml:space="preserve">mentioned risk factors for </w:t>
      </w:r>
      <w:r w:rsidRPr="0050487B">
        <w:t>fracture.</w:t>
      </w:r>
    </w:p>
    <w:p w:rsidR="0050487B" w:rsidRPr="0050487B" w:rsidRDefault="0050487B" w:rsidP="0050487B">
      <w:r w:rsidRPr="0050487B">
        <w:t>A consistent theme in Australian guidelines is</w:t>
      </w:r>
      <w:r>
        <w:t xml:space="preserve"> that systemic GC therapy is an </w:t>
      </w:r>
      <w:r w:rsidRPr="0050487B">
        <w:t>independent risk factor for fracture, with rapid b</w:t>
      </w:r>
      <w:r>
        <w:t xml:space="preserve">one loss and increased fracture </w:t>
      </w:r>
      <w:r w:rsidRPr="0050487B">
        <w:t>risk occurring early (within 3 to 6 months on GC</w:t>
      </w:r>
      <w:r w:rsidR="008634CF">
        <w:t xml:space="preserve"> </w:t>
      </w:r>
      <w:r>
        <w:t xml:space="preserve">therapy) before T-scores reach </w:t>
      </w:r>
      <w:r w:rsidRPr="0050487B">
        <w:t>levels conventionally considered diagnostic of ost</w:t>
      </w:r>
      <w:r>
        <w:t xml:space="preserve">eoporosis. Fractures occur at a </w:t>
      </w:r>
      <w:r w:rsidRPr="0050487B">
        <w:t>higher BMD in patients on G</w:t>
      </w:r>
      <w:r w:rsidR="008634CF">
        <w:t xml:space="preserve">C </w:t>
      </w:r>
      <w:r w:rsidRPr="0050487B">
        <w:t>therapy compare</w:t>
      </w:r>
      <w:r w:rsidR="008634CF">
        <w:t xml:space="preserve">d to non </w:t>
      </w:r>
      <w:r>
        <w:t xml:space="preserve">GC users, contributing </w:t>
      </w:r>
      <w:r w:rsidRPr="0050487B">
        <w:t>to patients not being treated early enough.</w:t>
      </w:r>
      <w:r>
        <w:t xml:space="preserve"> It is recommended that, from a </w:t>
      </w:r>
      <w:r w:rsidRPr="0050487B">
        <w:t xml:space="preserve">clinical perspective, the optimal approach is to </w:t>
      </w:r>
      <w:r>
        <w:t xml:space="preserve">treat patients who have not yet </w:t>
      </w:r>
      <w:r w:rsidRPr="0050487B">
        <w:t>lost bone</w:t>
      </w:r>
      <w:r w:rsidR="00503F15">
        <w:t>.</w:t>
      </w:r>
      <w:r w:rsidR="00503F15">
        <w:rPr>
          <w:rStyle w:val="FootnoteReference"/>
        </w:rPr>
        <w:footnoteReference w:id="37"/>
      </w:r>
    </w:p>
    <w:p w:rsidR="0050487B" w:rsidRPr="0050487B" w:rsidRDefault="0050487B" w:rsidP="0050487B">
      <w:r w:rsidRPr="0050487B">
        <w:t xml:space="preserve">Considering the above, </w:t>
      </w:r>
      <w:r w:rsidR="008634CF">
        <w:t>the sponsor</w:t>
      </w:r>
      <w:r w:rsidRPr="0050487B">
        <w:t xml:space="preserve"> believes that the proposed clause </w:t>
      </w:r>
      <w:r w:rsidRPr="00C614F7">
        <w:rPr>
          <w:i/>
        </w:rPr>
        <w:t>‘increased risk of fracture’</w:t>
      </w:r>
      <w:r w:rsidRPr="0050487B">
        <w:t xml:space="preserve"> should be included in the indication statement.</w:t>
      </w:r>
    </w:p>
    <w:p w:rsidR="0050487B" w:rsidRDefault="0050487B" w:rsidP="0050487B">
      <w:pPr>
        <w:pStyle w:val="Heading5"/>
      </w:pPr>
      <w:r>
        <w:t>Sponsor responses to other clinical comments raised by the Delegate or the evaluator</w:t>
      </w:r>
    </w:p>
    <w:p w:rsidR="0050487B" w:rsidRPr="0050487B" w:rsidRDefault="008634CF" w:rsidP="004B2A45">
      <w:pPr>
        <w:pStyle w:val="Numberbullet0"/>
        <w:numPr>
          <w:ilvl w:val="0"/>
          <w:numId w:val="11"/>
        </w:numPr>
        <w:rPr>
          <w:b/>
          <w:i/>
        </w:rPr>
      </w:pPr>
      <w:r>
        <w:rPr>
          <w:b/>
          <w:i/>
        </w:rPr>
        <w:t>Imbalance in n</w:t>
      </w:r>
      <w:r w:rsidR="0050487B" w:rsidRPr="0050487B">
        <w:rPr>
          <w:b/>
          <w:i/>
        </w:rPr>
        <w:t>on</w:t>
      </w:r>
      <w:r>
        <w:rPr>
          <w:b/>
          <w:i/>
        </w:rPr>
        <w:t xml:space="preserve"> vertebral f</w:t>
      </w:r>
      <w:r w:rsidR="0050487B" w:rsidRPr="0050487B">
        <w:rPr>
          <w:b/>
          <w:i/>
        </w:rPr>
        <w:t>ractures</w:t>
      </w:r>
    </w:p>
    <w:p w:rsidR="0050487B" w:rsidRPr="0050487B" w:rsidRDefault="0050487B" w:rsidP="0050487B">
      <w:r w:rsidRPr="0050487B">
        <w:t xml:space="preserve">In the </w:t>
      </w:r>
      <w:r>
        <w:t xml:space="preserve">Delegate’s Overview, the </w:t>
      </w:r>
      <w:r w:rsidRPr="0050487B">
        <w:t xml:space="preserve">Delegate commented, </w:t>
      </w:r>
      <w:r w:rsidR="009A3208">
        <w:t>‘</w:t>
      </w:r>
      <w:r w:rsidRPr="0050487B">
        <w:t xml:space="preserve">there was an imbalance </w:t>
      </w:r>
      <w:r>
        <w:t>of non</w:t>
      </w:r>
      <w:r w:rsidR="008634CF">
        <w:t> </w:t>
      </w:r>
      <w:r>
        <w:t xml:space="preserve">vertebral fractures, with </w:t>
      </w:r>
      <w:r w:rsidRPr="0050487B">
        <w:t>more in the denosumab group.</w:t>
      </w:r>
      <w:r w:rsidR="009A3208">
        <w:t>’</w:t>
      </w:r>
      <w:r w:rsidRPr="0050487B">
        <w:t xml:space="preserve"> This statement is ba</w:t>
      </w:r>
      <w:r>
        <w:t xml:space="preserve">sed on manual calculations </w:t>
      </w:r>
      <w:r w:rsidRPr="0050487B">
        <w:t>that inaccurately describe the incidence of fr</w:t>
      </w:r>
      <w:r>
        <w:t xml:space="preserve">acture adverse events for the 2 </w:t>
      </w:r>
      <w:r w:rsidRPr="0050487B">
        <w:t xml:space="preserve">treatment groups. </w:t>
      </w:r>
      <w:r w:rsidR="008634CF">
        <w:t>The sponsor</w:t>
      </w:r>
      <w:r w:rsidRPr="0050487B">
        <w:t xml:space="preserve"> provided a res</w:t>
      </w:r>
      <w:r>
        <w:t xml:space="preserve">ponse to the Delegate regarding </w:t>
      </w:r>
      <w:r w:rsidRPr="0050487B">
        <w:t>fracture adverse events across subject popul</w:t>
      </w:r>
      <w:r w:rsidR="008634CF">
        <w:t xml:space="preserve">ations from the final, 24 </w:t>
      </w:r>
      <w:r>
        <w:t xml:space="preserve">month </w:t>
      </w:r>
      <w:r w:rsidRPr="0050487B">
        <w:t xml:space="preserve">analysis of Study 20101217 that further support </w:t>
      </w:r>
      <w:r>
        <w:t xml:space="preserve">that denosumab treatment is not </w:t>
      </w:r>
      <w:r w:rsidRPr="0050487B">
        <w:t>associated with an increased risk of fra</w:t>
      </w:r>
      <w:r>
        <w:t xml:space="preserve">cture in GC-treated individuals </w:t>
      </w:r>
      <w:r w:rsidRPr="0050487B">
        <w:t>(Appendix 2</w:t>
      </w:r>
      <w:r w:rsidR="008634CF">
        <w:t>; not included in the AusPAR</w:t>
      </w:r>
      <w:r w:rsidRPr="0050487B">
        <w:t>).</w:t>
      </w:r>
    </w:p>
    <w:p w:rsidR="00154870" w:rsidRPr="00154870" w:rsidRDefault="008634CF" w:rsidP="00263282">
      <w:pPr>
        <w:pStyle w:val="Numberbullet0"/>
        <w:rPr>
          <w:b/>
          <w:i/>
        </w:rPr>
      </w:pPr>
      <w:r>
        <w:rPr>
          <w:b/>
          <w:i/>
        </w:rPr>
        <w:t xml:space="preserve">Study 20101217 24 </w:t>
      </w:r>
      <w:r w:rsidR="00154870" w:rsidRPr="00154870">
        <w:rPr>
          <w:b/>
          <w:i/>
        </w:rPr>
        <w:t xml:space="preserve">month </w:t>
      </w:r>
      <w:r w:rsidRPr="00154870">
        <w:rPr>
          <w:b/>
          <w:i/>
        </w:rPr>
        <w:t>final analysis</w:t>
      </w:r>
    </w:p>
    <w:p w:rsidR="0050487B" w:rsidRPr="00154870" w:rsidRDefault="00154870" w:rsidP="00154870">
      <w:r w:rsidRPr="00154870">
        <w:t>Both the clinical evaluator and Delegate raised uncert</w:t>
      </w:r>
      <w:r>
        <w:t xml:space="preserve">ainties based on limited </w:t>
      </w:r>
      <w:r w:rsidR="008634CF">
        <w:t>data (12 months) but commented that 24 </w:t>
      </w:r>
      <w:r w:rsidRPr="00154870">
        <w:t>month d</w:t>
      </w:r>
      <w:r>
        <w:t xml:space="preserve">ata will provide clarification. </w:t>
      </w:r>
      <w:r w:rsidR="008634CF">
        <w:t>Results of the final 24 </w:t>
      </w:r>
      <w:r w:rsidRPr="00154870">
        <w:t>month analysis (d</w:t>
      </w:r>
      <w:r>
        <w:t xml:space="preserve">ated 20 January 2018) for Study </w:t>
      </w:r>
      <w:r w:rsidRPr="00154870">
        <w:t>20101217 are now available and confirm the p</w:t>
      </w:r>
      <w:r w:rsidR="008634CF">
        <w:t>rimary (12 </w:t>
      </w:r>
      <w:r>
        <w:t xml:space="preserve">month) analysis. The </w:t>
      </w:r>
      <w:r w:rsidRPr="00154870">
        <w:t xml:space="preserve">percent change from baseline in lumbar spine </w:t>
      </w:r>
      <w:r>
        <w:t xml:space="preserve">and total hip BMD through </w:t>
      </w:r>
      <w:r w:rsidR="00092A8B">
        <w:t>Month</w:t>
      </w:r>
      <w:r>
        <w:t xml:space="preserve"> </w:t>
      </w:r>
      <w:r w:rsidRPr="00154870">
        <w:t>24 (secondary and exploratory endpoints) w</w:t>
      </w:r>
      <w:r>
        <w:t xml:space="preserve">as significantly greater in the </w:t>
      </w:r>
      <w:r w:rsidRPr="00154870">
        <w:t>denosumab group compared with the risedro</w:t>
      </w:r>
      <w:r>
        <w:t xml:space="preserve">nate group in both the GC-C and </w:t>
      </w:r>
      <w:r w:rsidRPr="00154870">
        <w:t>GC-I subpopulations. Safety findings were si</w:t>
      </w:r>
      <w:r>
        <w:t xml:space="preserve">milar to those presented in the </w:t>
      </w:r>
      <w:r w:rsidR="008634CF">
        <w:t>12 </w:t>
      </w:r>
      <w:r w:rsidRPr="00154870">
        <w:t>month primary analysis submitted with the ini</w:t>
      </w:r>
      <w:r>
        <w:t xml:space="preserve">tial application. No new safety </w:t>
      </w:r>
      <w:r w:rsidRPr="00154870">
        <w:t xml:space="preserve">risks related to denosumab treatment have been </w:t>
      </w:r>
      <w:r>
        <w:t xml:space="preserve">identified. The synopsis of the </w:t>
      </w:r>
      <w:r w:rsidR="008634CF">
        <w:t>24 </w:t>
      </w:r>
      <w:r w:rsidRPr="00154870">
        <w:t>month final analysis clinical study report is provided in Appendix 3</w:t>
      </w:r>
      <w:r w:rsidR="008634CF">
        <w:t xml:space="preserve"> (not included in the AusPAR)</w:t>
      </w:r>
      <w:r w:rsidRPr="00154870">
        <w:t>.</w:t>
      </w:r>
    </w:p>
    <w:p w:rsidR="0050487B" w:rsidRDefault="00154870" w:rsidP="00154870">
      <w:pPr>
        <w:pStyle w:val="Heading5"/>
      </w:pPr>
      <w:r>
        <w:t>Conclusion</w:t>
      </w:r>
    </w:p>
    <w:p w:rsidR="00154870" w:rsidRPr="00154870" w:rsidRDefault="008634CF" w:rsidP="00154870">
      <w:r>
        <w:t>The sponsor</w:t>
      </w:r>
      <w:r w:rsidR="00154870" w:rsidRPr="00154870">
        <w:t xml:space="preserve"> believes that the benefit:</w:t>
      </w:r>
      <w:r>
        <w:t xml:space="preserve"> </w:t>
      </w:r>
      <w:r w:rsidR="00154870" w:rsidRPr="00154870">
        <w:t>risk established in GC-treated individuals in</w:t>
      </w:r>
      <w:r w:rsidR="00154870">
        <w:t xml:space="preserve"> </w:t>
      </w:r>
      <w:r>
        <w:t>Study </w:t>
      </w:r>
      <w:r w:rsidR="00154870" w:rsidRPr="00154870">
        <w:t xml:space="preserve">20101217 supports approval of </w:t>
      </w:r>
      <w:r w:rsidR="00154870">
        <w:t xml:space="preserve">Prolia for the GIOP indication. </w:t>
      </w:r>
      <w:r w:rsidR="00154870" w:rsidRPr="00154870">
        <w:t xml:space="preserve">Study 20101217 is based on the same principles </w:t>
      </w:r>
      <w:r w:rsidR="00154870">
        <w:t xml:space="preserve">used to support other therapies </w:t>
      </w:r>
      <w:r w:rsidR="00154870" w:rsidRPr="00154870">
        <w:t>currently approved in Australia for similar GIOP in</w:t>
      </w:r>
      <w:r w:rsidR="00154870">
        <w:t xml:space="preserve">dications, including use of BMD </w:t>
      </w:r>
      <w:r w:rsidR="00154870" w:rsidRPr="00154870">
        <w:t xml:space="preserve">as a primary endpoint and extrapolation of </w:t>
      </w:r>
      <w:r>
        <w:t>anti-fracture</w:t>
      </w:r>
      <w:r w:rsidR="00154870">
        <w:t xml:space="preserve"> benefits established in </w:t>
      </w:r>
      <w:r w:rsidR="00154870" w:rsidRPr="00154870">
        <w:t>post-menopausal women with osteoporosis.</w:t>
      </w:r>
    </w:p>
    <w:p w:rsidR="00154870" w:rsidRDefault="00154870" w:rsidP="00154870">
      <w:r w:rsidRPr="00154870">
        <w:t xml:space="preserve">To address the Delegate’s key concerns, </w:t>
      </w:r>
      <w:r w:rsidR="008634CF">
        <w:t>the sponsor</w:t>
      </w:r>
      <w:r w:rsidRPr="00154870">
        <w:t xml:space="preserve"> has proposed to modify</w:t>
      </w:r>
      <w:r>
        <w:t xml:space="preserve"> the </w:t>
      </w:r>
      <w:r w:rsidRPr="00154870">
        <w:t>indication statement to</w:t>
      </w:r>
      <w:r>
        <w:t>:</w:t>
      </w:r>
    </w:p>
    <w:p w:rsidR="00154870" w:rsidRPr="00154870" w:rsidRDefault="009A3208" w:rsidP="00154870">
      <w:pPr>
        <w:ind w:left="720"/>
        <w:rPr>
          <w:i/>
        </w:rPr>
      </w:pPr>
      <w:proofErr w:type="gramStart"/>
      <w:r>
        <w:rPr>
          <w:i/>
        </w:rPr>
        <w:t>‘</w:t>
      </w:r>
      <w:r w:rsidR="00154870" w:rsidRPr="00154870">
        <w:rPr>
          <w:i/>
        </w:rPr>
        <w:t>Treatment to increase bone mass in women and men at increased risk of fracture due to long-term, systemic glucocorticoid</w:t>
      </w:r>
      <w:r w:rsidR="00154870">
        <w:rPr>
          <w:i/>
        </w:rPr>
        <w:t xml:space="preserve"> therapy.</w:t>
      </w:r>
      <w:r>
        <w:rPr>
          <w:i/>
        </w:rPr>
        <w:t>’</w:t>
      </w:r>
      <w:proofErr w:type="gramEnd"/>
    </w:p>
    <w:p w:rsidR="0050487B" w:rsidRPr="00701A9A" w:rsidRDefault="00154870" w:rsidP="00701A9A">
      <w:r>
        <w:lastRenderedPageBreak/>
        <w:t xml:space="preserve">The </w:t>
      </w:r>
      <w:r w:rsidRPr="00154870">
        <w:t>amended indication further aligns with the primary endpoint of Study 20101217</w:t>
      </w:r>
      <w:r>
        <w:t xml:space="preserve"> </w:t>
      </w:r>
      <w:r w:rsidRPr="00154870">
        <w:t>and better reflects the treatment population.</w:t>
      </w:r>
    </w:p>
    <w:p w:rsidR="008E7846" w:rsidRDefault="008E7846" w:rsidP="008E7846">
      <w:pPr>
        <w:pStyle w:val="Heading4"/>
      </w:pPr>
      <w:r>
        <w:t xml:space="preserve">Advisory </w:t>
      </w:r>
      <w:r w:rsidR="0018105A">
        <w:t>c</w:t>
      </w:r>
      <w:r>
        <w:t xml:space="preserve">ommittee </w:t>
      </w:r>
      <w:r w:rsidR="0018105A">
        <w:t>c</w:t>
      </w:r>
      <w:r>
        <w:t>onsiderations</w:t>
      </w:r>
      <w:r w:rsidR="00456765">
        <w:rPr>
          <w:rStyle w:val="FootnoteReference"/>
        </w:rPr>
        <w:footnoteReference w:id="38"/>
      </w:r>
    </w:p>
    <w:p w:rsidR="00394D1E" w:rsidRPr="00394D1E" w:rsidRDefault="00456765" w:rsidP="00394D1E">
      <w:pPr>
        <w:rPr>
          <w:bCs/>
        </w:rPr>
      </w:pPr>
      <w:r w:rsidRPr="00456765">
        <w:rPr>
          <w:bCs/>
        </w:rPr>
        <w:t>The Advisory Committee on Medicines (ACM), having considered the evaluations and the Delegate’s overview, as well as the sponsor’s response to these documents, advised the following:</w:t>
      </w:r>
    </w:p>
    <w:p w:rsidR="00394D1E" w:rsidRPr="00394D1E" w:rsidRDefault="00394D1E" w:rsidP="00394D1E">
      <w:r w:rsidRPr="00394D1E">
        <w:t>The ACM taking into account the submitted evidence of efficacy, safety and quality, agreed with the delegate and considered P</w:t>
      </w:r>
      <w:r w:rsidR="008634CF" w:rsidRPr="00394D1E">
        <w:t>rolia</w:t>
      </w:r>
      <w:r w:rsidRPr="00394D1E">
        <w:t xml:space="preserve"> pre-filled syringe containing 60</w:t>
      </w:r>
      <w:r w:rsidR="001350D8">
        <w:t xml:space="preserve"> mg</w:t>
      </w:r>
      <w:r w:rsidR="008634CF">
        <w:t>/mL</w:t>
      </w:r>
      <w:r w:rsidRPr="00394D1E">
        <w:t xml:space="preserve"> of Denosumab to have an overall positive benefit-risk profile for this submission. It was recommended the proposed indica</w:t>
      </w:r>
      <w:r w:rsidR="008634CF">
        <w:t xml:space="preserve">tion be amended to </w:t>
      </w:r>
      <w:r w:rsidR="0072500E">
        <w:t xml:space="preserve">[the following] </w:t>
      </w:r>
      <w:r w:rsidR="008634CF">
        <w:t>indication</w:t>
      </w:r>
      <w:r w:rsidR="0072500E">
        <w:t>:</w:t>
      </w:r>
    </w:p>
    <w:p w:rsidR="00394D1E" w:rsidRPr="00394D1E" w:rsidRDefault="00394D1E" w:rsidP="00394D1E">
      <w:pPr>
        <w:ind w:left="720"/>
        <w:rPr>
          <w:i/>
        </w:rPr>
      </w:pPr>
      <w:r w:rsidRPr="00394D1E">
        <w:rPr>
          <w:i/>
        </w:rPr>
        <w:t>Treatment to preserve bone mass in women and men at increased risk of fracture due to long-term systemic glucocorti</w:t>
      </w:r>
      <w:r>
        <w:rPr>
          <w:i/>
        </w:rPr>
        <w:t>c</w:t>
      </w:r>
      <w:r w:rsidRPr="00394D1E">
        <w:rPr>
          <w:i/>
        </w:rPr>
        <w:t xml:space="preserve">oid therapy </w:t>
      </w:r>
    </w:p>
    <w:p w:rsidR="00394D1E" w:rsidRPr="00394D1E" w:rsidRDefault="00394D1E" w:rsidP="00394D1E">
      <w:r w:rsidRPr="00394D1E">
        <w:t>In makin</w:t>
      </w:r>
      <w:r w:rsidR="008634CF">
        <w:t>g this recommendation, the ACM:</w:t>
      </w:r>
    </w:p>
    <w:p w:rsidR="00211AE1" w:rsidRDefault="00394D1E" w:rsidP="00394D1E">
      <w:pPr>
        <w:pStyle w:val="ListBullet"/>
      </w:pPr>
      <w:proofErr w:type="gramStart"/>
      <w:r w:rsidRPr="00394D1E">
        <w:t>noted</w:t>
      </w:r>
      <w:proofErr w:type="gramEnd"/>
      <w:r w:rsidRPr="00394D1E">
        <w:t xml:space="preserve"> that fracture prevention is the most important measure of efficacy in patient with osteoporosis. However in patients with glucocorticoid induced osteoporosis (GIOP), it is difficult to adequately power studies with this as the primary endpoint due to the relatively low fracture event rate and the heterogeneity of fracture type. ACM also noted that there are limitations with using the surrogate measure of bone mineral density (BMD) as an indicator for fracture risk in post-menopausal osteoporosis (PMO) due to glucocorticoid induced osteoporosis</w:t>
      </w:r>
      <w:r w:rsidR="00211AE1">
        <w:t>.</w:t>
      </w:r>
    </w:p>
    <w:p w:rsidR="00394D1E" w:rsidRPr="00394D1E" w:rsidRDefault="00394D1E" w:rsidP="00394D1E">
      <w:pPr>
        <w:pStyle w:val="ListBullet"/>
      </w:pPr>
      <w:proofErr w:type="gramStart"/>
      <w:r w:rsidRPr="00394D1E">
        <w:t>noted</w:t>
      </w:r>
      <w:proofErr w:type="gramEnd"/>
      <w:r w:rsidRPr="00394D1E">
        <w:t xml:space="preserve"> that the current tools available to determine </w:t>
      </w:r>
      <w:r w:rsidR="009A3208">
        <w:t>‘</w:t>
      </w:r>
      <w:r w:rsidRPr="00394D1E">
        <w:t>risk of</w:t>
      </w:r>
      <w:r>
        <w:t xml:space="preserve"> fracture</w:t>
      </w:r>
      <w:r w:rsidR="009A3208">
        <w:t>’</w:t>
      </w:r>
      <w:r>
        <w:t xml:space="preserve"> i</w:t>
      </w:r>
      <w:r w:rsidR="008634CF">
        <w:t>n GIOP are limited.</w:t>
      </w:r>
    </w:p>
    <w:p w:rsidR="00211AE1" w:rsidRDefault="00394D1E" w:rsidP="00394D1E">
      <w:pPr>
        <w:pStyle w:val="ListBullet"/>
      </w:pPr>
      <w:proofErr w:type="gramStart"/>
      <w:r w:rsidRPr="00394D1E">
        <w:t>expressed</w:t>
      </w:r>
      <w:proofErr w:type="gramEnd"/>
      <w:r w:rsidRPr="00394D1E">
        <w:t xml:space="preserve"> concern regarding the use of denosumab in young patients and the possible increase risk of fracture at the time of discontinuation due to the potential in rebound bone turnover which may lead to a reduction in bone density</w:t>
      </w:r>
      <w:r w:rsidR="00211AE1">
        <w:t>.</w:t>
      </w:r>
    </w:p>
    <w:p w:rsidR="00394D1E" w:rsidRPr="00394D1E" w:rsidRDefault="00394D1E" w:rsidP="00394D1E">
      <w:pPr>
        <w:pStyle w:val="ListBullet"/>
      </w:pPr>
      <w:proofErr w:type="gramStart"/>
      <w:r w:rsidRPr="00394D1E">
        <w:t>expressed</w:t>
      </w:r>
      <w:proofErr w:type="gramEnd"/>
      <w:r w:rsidRPr="00394D1E">
        <w:t xml:space="preserve"> concern that there had been no studies in patients on immunosuppressant therapy or </w:t>
      </w:r>
      <w:r w:rsidR="008634CF" w:rsidRPr="00394D1E">
        <w:t>post-transplant</w:t>
      </w:r>
      <w:r w:rsidR="008634CF">
        <w:t>.</w:t>
      </w:r>
    </w:p>
    <w:p w:rsidR="00394D1E" w:rsidRPr="00394D1E" w:rsidRDefault="00394D1E" w:rsidP="00394D1E">
      <w:pPr>
        <w:pStyle w:val="ListBullet"/>
      </w:pPr>
      <w:proofErr w:type="gramStart"/>
      <w:r w:rsidRPr="00394D1E">
        <w:t>that</w:t>
      </w:r>
      <w:proofErr w:type="gramEnd"/>
      <w:r w:rsidRPr="00394D1E">
        <w:t xml:space="preserve"> there was an unmet need for the management of GIOP in patients with renal impairment where bisph</w:t>
      </w:r>
      <w:r>
        <w:t>osphonates are contraindicated</w:t>
      </w:r>
      <w:r w:rsidR="008634CF">
        <w:t>.</w:t>
      </w:r>
    </w:p>
    <w:p w:rsidR="00394D1E" w:rsidRPr="00394D1E" w:rsidRDefault="00394D1E" w:rsidP="00394D1E">
      <w:pPr>
        <w:pStyle w:val="Heading5"/>
        <w:rPr>
          <w:rFonts w:eastAsiaTheme="minorHAnsi"/>
        </w:rPr>
      </w:pPr>
      <w:r w:rsidRPr="00394D1E">
        <w:rPr>
          <w:rFonts w:eastAsiaTheme="minorHAnsi"/>
        </w:rPr>
        <w:t>Proposed Product Information (PI)/ Consumer Medici</w:t>
      </w:r>
      <w:r w:rsidR="00DE1EFB">
        <w:rPr>
          <w:rFonts w:eastAsiaTheme="minorHAnsi"/>
        </w:rPr>
        <w:t>ne Information (CMI) amendments</w:t>
      </w:r>
    </w:p>
    <w:p w:rsidR="00394D1E" w:rsidRPr="00394D1E" w:rsidRDefault="00394D1E" w:rsidP="00394D1E">
      <w:r w:rsidRPr="00394D1E">
        <w:t xml:space="preserve">The ACM agreed with the delegate to the proposed amendments to the PI and CMI and specifically advised on </w:t>
      </w:r>
      <w:r>
        <w:t>the inclusion of the following:</w:t>
      </w:r>
    </w:p>
    <w:p w:rsidR="00394D1E" w:rsidRPr="00394D1E" w:rsidRDefault="00394D1E" w:rsidP="00394D1E">
      <w:pPr>
        <w:pStyle w:val="ListBullet"/>
      </w:pPr>
      <w:r w:rsidRPr="00394D1E">
        <w:t xml:space="preserve">A statement in the Precautions sections of the PI and relevant sections of the CMI to ensure a clear and strong warning regarding </w:t>
      </w:r>
      <w:r w:rsidR="008634CF">
        <w:t>contraception use and denosumab.</w:t>
      </w:r>
    </w:p>
    <w:p w:rsidR="00394D1E" w:rsidRPr="00394D1E" w:rsidRDefault="00394D1E" w:rsidP="00394D1E">
      <w:pPr>
        <w:pStyle w:val="ListBullet"/>
      </w:pPr>
      <w:r w:rsidRPr="00394D1E">
        <w:lastRenderedPageBreak/>
        <w:t>A statement in the Precautions sections of the PI to more accurately reflect the limitations of the data , optimal duration of therapy, risk of rebound increases in bone turnover upon discontinuation of denosumab an</w:t>
      </w:r>
      <w:r w:rsidR="008634CF">
        <w:t>d possible higher fracture risk.</w:t>
      </w:r>
    </w:p>
    <w:p w:rsidR="00394D1E" w:rsidRPr="00394D1E" w:rsidRDefault="00394D1E" w:rsidP="00394D1E">
      <w:pPr>
        <w:pStyle w:val="ListBullet"/>
      </w:pPr>
      <w:r w:rsidRPr="00394D1E">
        <w:t>Amendment of the CMI to include reference to the availability of patient support program, which include reminders for patient for their</w:t>
      </w:r>
      <w:r w:rsidR="008634CF">
        <w:t xml:space="preserve"> next scheduled denosumab doses.</w:t>
      </w:r>
    </w:p>
    <w:p w:rsidR="00394D1E" w:rsidRPr="00394D1E" w:rsidRDefault="00503F15" w:rsidP="00394D1E">
      <w:pPr>
        <w:pStyle w:val="Heading5"/>
        <w:rPr>
          <w:rFonts w:eastAsiaTheme="minorHAnsi"/>
        </w:rPr>
      </w:pPr>
      <w:r>
        <w:rPr>
          <w:rFonts w:eastAsiaTheme="minorHAnsi"/>
        </w:rPr>
        <w:t xml:space="preserve">Specific </w:t>
      </w:r>
      <w:r w:rsidR="0018105A">
        <w:rPr>
          <w:rFonts w:eastAsiaTheme="minorHAnsi"/>
        </w:rPr>
        <w:t>a</w:t>
      </w:r>
      <w:r>
        <w:rPr>
          <w:rFonts w:eastAsiaTheme="minorHAnsi"/>
        </w:rPr>
        <w:t>dvice</w:t>
      </w:r>
    </w:p>
    <w:p w:rsidR="00394D1E" w:rsidRPr="00394D1E" w:rsidRDefault="00394D1E" w:rsidP="00394D1E">
      <w:r w:rsidRPr="00394D1E">
        <w:t>The ACM advised the following in response to the delegate’s specific questions on the submission:</w:t>
      </w:r>
    </w:p>
    <w:p w:rsidR="00394D1E" w:rsidRPr="00394D1E" w:rsidRDefault="00394D1E" w:rsidP="004B2A45">
      <w:pPr>
        <w:pStyle w:val="Numberbullet0"/>
        <w:numPr>
          <w:ilvl w:val="0"/>
          <w:numId w:val="12"/>
        </w:numPr>
        <w:rPr>
          <w:b/>
          <w:i/>
        </w:rPr>
      </w:pPr>
      <w:r w:rsidRPr="00394D1E">
        <w:rPr>
          <w:b/>
          <w:i/>
        </w:rPr>
        <w:t>Is it appropriate to approve an indication for treatment of bone loss (surrogate measure) when</w:t>
      </w:r>
      <w:r w:rsidR="00503F15">
        <w:rPr>
          <w:b/>
          <w:i/>
        </w:rPr>
        <w:t xml:space="preserve"> there is no data on fractures?</w:t>
      </w:r>
    </w:p>
    <w:p w:rsidR="00211AE1" w:rsidRDefault="00394D1E" w:rsidP="00394D1E">
      <w:r w:rsidRPr="00394D1E">
        <w:t>The ACM noted the limitations of extrapolating BMD data as the surrogate measure of the risk of fracture in GIOP patients. BMD is only one of the many factors that contribute to fracture risk. However, for a clinical trial to be powered to demonstrate a reduction of fractures, an impractically large sample size would be required. The extrapolation from bone loss to fracture risk has been made previously in the clinical trials with bisphosphonates. The ACM was of the view that it was appropriate to approve the indication for the treatment of bone loss (surrogate measure) without evidence of fracture reductions</w:t>
      </w:r>
      <w:r w:rsidR="00211AE1">
        <w:t>.</w:t>
      </w:r>
    </w:p>
    <w:p w:rsidR="00394D1E" w:rsidRPr="00394D1E" w:rsidRDefault="00394D1E" w:rsidP="00263282">
      <w:pPr>
        <w:pStyle w:val="Numberbullet0"/>
        <w:rPr>
          <w:b/>
          <w:i/>
        </w:rPr>
      </w:pPr>
      <w:r w:rsidRPr="00394D1E">
        <w:rPr>
          <w:b/>
          <w:i/>
        </w:rPr>
        <w:t>Is it appropriate to extrapolate the reduced fracture rate with denosumab in post-menopausal women with osteoporosis to men and pre-menopausal wome</w:t>
      </w:r>
      <w:r w:rsidR="00503F15">
        <w:rPr>
          <w:b/>
          <w:i/>
        </w:rPr>
        <w:t>n on long term glucocorticoids?</w:t>
      </w:r>
    </w:p>
    <w:p w:rsidR="00211AE1" w:rsidRDefault="00394D1E" w:rsidP="00394D1E">
      <w:r w:rsidRPr="00394D1E">
        <w:t>The ACM agreed that PMO and GIOP are two different conditions with different pathophysiology, with one primarily having an effect on osteoclasts and one on osteoblasts. The committee noted that the same extrapolation of reduced fracture rate in PMO to GIOP had been made for bisphosphates. The ACM was of the view that it was acceptable to use the same extrapolation in denosumab</w:t>
      </w:r>
      <w:r w:rsidR="00211AE1">
        <w:t>.</w:t>
      </w:r>
    </w:p>
    <w:p w:rsidR="00394D1E" w:rsidRPr="00394D1E" w:rsidRDefault="00394D1E" w:rsidP="00263282">
      <w:pPr>
        <w:pStyle w:val="Numberbullet0"/>
        <w:rPr>
          <w:b/>
          <w:i/>
        </w:rPr>
      </w:pPr>
      <w:r w:rsidRPr="00394D1E">
        <w:rPr>
          <w:b/>
          <w:i/>
        </w:rPr>
        <w:t>Is it appropriate to extrapolate the reduced fracture rate in glucocorticoid induced osteoporosis that has been observed with risedronate to denosumab based on the common featur</w:t>
      </w:r>
      <w:r w:rsidR="00503F15">
        <w:rPr>
          <w:b/>
          <w:i/>
        </w:rPr>
        <w:t>e of reduced rate of bone loss?</w:t>
      </w:r>
    </w:p>
    <w:p w:rsidR="00394D1E" w:rsidRPr="00394D1E" w:rsidRDefault="00394D1E" w:rsidP="00394D1E">
      <w:r w:rsidRPr="00394D1E">
        <w:t xml:space="preserve">Both risedronate and denosumab inhibit the reabsorption of bones, but with different mechanism and both medicines have demonstrated a reduction in the incidence of fractures in </w:t>
      </w:r>
      <w:r w:rsidR="00503F15" w:rsidRPr="00394D1E">
        <w:t>post-menopausal</w:t>
      </w:r>
      <w:r w:rsidRPr="00394D1E">
        <w:t xml:space="preserve"> women. The committee was of the view that it is acceptable to extrapolate the reduced fracture rate in GIOP observed in risedronate group to denosumab.</w:t>
      </w:r>
    </w:p>
    <w:p w:rsidR="00211AE1" w:rsidRDefault="00394D1E" w:rsidP="00263282">
      <w:pPr>
        <w:pStyle w:val="Numberbullet0"/>
        <w:rPr>
          <w:b/>
          <w:i/>
        </w:rPr>
      </w:pPr>
      <w:r w:rsidRPr="00394D1E">
        <w:rPr>
          <w:b/>
          <w:i/>
        </w:rPr>
        <w:t>There are no valid tools for the assessment of fracture risk in pre-menopausal women and those on glucocorticoids - please comment on whether ‘increased risk of fracture’ should be included in the indication, and if/how it should be defined</w:t>
      </w:r>
      <w:r w:rsidR="00211AE1">
        <w:rPr>
          <w:b/>
          <w:i/>
        </w:rPr>
        <w:t>.</w:t>
      </w:r>
    </w:p>
    <w:p w:rsidR="00394D1E" w:rsidRDefault="00394D1E" w:rsidP="008E7846">
      <w:r w:rsidRPr="00394D1E">
        <w:t xml:space="preserve">The committee noted that there are multiple factors which can affect fracture risk in GIOP, including steroid dose, age and individual patient’s susceptibility to </w:t>
      </w:r>
      <w:proofErr w:type="spellStart"/>
      <w:r w:rsidRPr="00394D1E">
        <w:t>glucocosteriod</w:t>
      </w:r>
      <w:proofErr w:type="spellEnd"/>
      <w:r w:rsidRPr="00394D1E">
        <w:t xml:space="preserve"> therapy. In addition, the current tools available for assessing fracture risk, such as the </w:t>
      </w:r>
      <w:r w:rsidR="0072500E">
        <w:t>Fracture Risk Assessment tool/calculator (</w:t>
      </w:r>
      <w:r w:rsidRPr="00394D1E">
        <w:t>FRAX</w:t>
      </w:r>
      <w:r w:rsidR="0072500E">
        <w:t>)</w:t>
      </w:r>
      <w:r w:rsidRPr="00394D1E">
        <w:t xml:space="preserve">, are not well validated for men or </w:t>
      </w:r>
      <w:r w:rsidR="00503F15" w:rsidRPr="00394D1E">
        <w:t>pre-menopausal</w:t>
      </w:r>
      <w:r w:rsidRPr="00394D1E">
        <w:t xml:space="preserve"> women. The committee was of the view that clinician will consider clinical experiences, international</w:t>
      </w:r>
      <w:r>
        <w:t xml:space="preserve"> guidelines and risk assessment calculators to determine fracture risk in patients. The ACM advises </w:t>
      </w:r>
      <w:r w:rsidR="009A3208" w:rsidRPr="00C614F7">
        <w:rPr>
          <w:i/>
        </w:rPr>
        <w:t>‘</w:t>
      </w:r>
      <w:r w:rsidRPr="00C614F7">
        <w:rPr>
          <w:i/>
        </w:rPr>
        <w:t>increase risk of fracture</w:t>
      </w:r>
      <w:r w:rsidR="009A3208">
        <w:t>’</w:t>
      </w:r>
      <w:r>
        <w:t xml:space="preserve"> should be included in the indication.</w:t>
      </w:r>
    </w:p>
    <w:p w:rsidR="00394D1E" w:rsidRDefault="00394D1E" w:rsidP="00394D1E">
      <w:r w:rsidRPr="00394D1E">
        <w:t>The ACM advised that implementation by the sponsor of the recommendations outlined above to the satisfaction of the TGA, in addition to the evidence of efficacy and safety provided would support the safe and effective use of these/this products.</w:t>
      </w:r>
    </w:p>
    <w:p w:rsidR="008634CF" w:rsidRDefault="008634CF" w:rsidP="008634CF">
      <w:pPr>
        <w:pStyle w:val="Heading4"/>
      </w:pPr>
      <w:r>
        <w:lastRenderedPageBreak/>
        <w:t>Post ACM negotiations</w:t>
      </w:r>
    </w:p>
    <w:p w:rsidR="0072500E" w:rsidRPr="0072500E" w:rsidRDefault="0072500E" w:rsidP="00C614F7">
      <w:pPr>
        <w:pStyle w:val="Heading5"/>
      </w:pPr>
      <w:r>
        <w:t>Delegate’s correspondence with sponsor</w:t>
      </w:r>
    </w:p>
    <w:p w:rsidR="00B0277C" w:rsidRDefault="00B0277C" w:rsidP="00B0277C">
      <w:r>
        <w:t>On 20 April 2018 the Delegate provided the sponsor with the following correspondence:</w:t>
      </w:r>
    </w:p>
    <w:p w:rsidR="00B0277C" w:rsidRPr="00955F48" w:rsidRDefault="00B0277C" w:rsidP="00B0277C">
      <w:r w:rsidRPr="00955F48">
        <w:t>The Delegate has reviewed your pre-ACM response and considered the recommendations of the ACM. The Delegate has decided to approve the submission conditional to addressing the changes made to the attached clean version of the PI provided with your pre-</w:t>
      </w:r>
      <w:r w:rsidR="0053067C">
        <w:t>ACM response and the following:</w:t>
      </w:r>
    </w:p>
    <w:p w:rsidR="00B0277C" w:rsidRPr="00955F48" w:rsidRDefault="00B0277C" w:rsidP="00B0277C">
      <w:pPr>
        <w:pStyle w:val="Numberbullet0"/>
        <w:numPr>
          <w:ilvl w:val="0"/>
          <w:numId w:val="26"/>
        </w:numPr>
      </w:pPr>
      <w:r w:rsidRPr="00955F48">
        <w:t>An amendment to the indication to:</w:t>
      </w:r>
    </w:p>
    <w:p w:rsidR="00B0277C" w:rsidRPr="00955F48" w:rsidRDefault="009A3208" w:rsidP="00B0277C">
      <w:pPr>
        <w:ind w:left="720"/>
      </w:pPr>
      <w:r>
        <w:t>‘</w:t>
      </w:r>
      <w:r w:rsidR="00B0277C" w:rsidRPr="00955F48">
        <w:rPr>
          <w:i/>
        </w:rPr>
        <w:t>Preservation of bone mass associated with long term systemic glucocorticoid therapy in adults at risk of fracture</w:t>
      </w:r>
      <w:r>
        <w:t>’</w:t>
      </w:r>
      <w:r w:rsidR="00624032" w:rsidRPr="00955F48">
        <w:t>.</w:t>
      </w:r>
    </w:p>
    <w:p w:rsidR="00B0277C" w:rsidRPr="00955F48" w:rsidRDefault="00B0277C" w:rsidP="00B0277C">
      <w:pPr>
        <w:ind w:left="720"/>
      </w:pPr>
      <w:r w:rsidRPr="00955F48">
        <w:t>The rationale being not all patients may increase bone mass.</w:t>
      </w:r>
    </w:p>
    <w:p w:rsidR="00B672B0" w:rsidRDefault="00B672B0" w:rsidP="00C614F7">
      <w:pPr>
        <w:pStyle w:val="Heading5"/>
      </w:pPr>
      <w:r>
        <w:t>Sponsor</w:t>
      </w:r>
      <w:r w:rsidR="0072500E">
        <w:t>’s</w:t>
      </w:r>
      <w:r>
        <w:t xml:space="preserve"> response</w:t>
      </w:r>
    </w:p>
    <w:p w:rsidR="0072500E" w:rsidRDefault="0072500E" w:rsidP="0072500E">
      <w:pPr>
        <w:autoSpaceDE w:val="0"/>
        <w:autoSpaceDN w:val="0"/>
        <w:adjustRightInd w:val="0"/>
        <w:spacing w:before="0" w:after="0" w:line="240" w:lineRule="auto"/>
      </w:pPr>
      <w:r>
        <w:t>On 4 May 2018 the s</w:t>
      </w:r>
      <w:r w:rsidRPr="00955F48">
        <w:t xml:space="preserve">ponsor provided a response which provided information </w:t>
      </w:r>
      <w:r>
        <w:t xml:space="preserve">and justification </w:t>
      </w:r>
      <w:r w:rsidRPr="00955F48">
        <w:t>supporting</w:t>
      </w:r>
      <w:r>
        <w:t xml:space="preserve"> the sponsor’s proposed indication:</w:t>
      </w:r>
    </w:p>
    <w:p w:rsidR="0072500E" w:rsidRPr="00C614F7" w:rsidRDefault="0072500E" w:rsidP="00C614F7">
      <w:pPr>
        <w:ind w:left="720"/>
        <w:rPr>
          <w:i/>
        </w:rPr>
      </w:pPr>
      <w:r>
        <w:rPr>
          <w:i/>
        </w:rPr>
        <w:t>‘</w:t>
      </w:r>
      <w:r w:rsidRPr="00955F48">
        <w:rPr>
          <w:i/>
        </w:rPr>
        <w:t>Treatment to increase bone mass in women and men at increased risk of fracture due to long-term systemic glucocorticoid therapy</w:t>
      </w:r>
      <w:r>
        <w:rPr>
          <w:i/>
        </w:rPr>
        <w:t>’</w:t>
      </w:r>
    </w:p>
    <w:p w:rsidR="00B672B0" w:rsidRPr="00B672B0" w:rsidRDefault="00B672B0" w:rsidP="00B672B0">
      <w:bookmarkStart w:id="113" w:name="_Toc247691532"/>
      <w:bookmarkStart w:id="114" w:name="_Toc314842516"/>
      <w:bookmarkEnd w:id="75"/>
      <w:bookmarkEnd w:id="105"/>
      <w:bookmarkEnd w:id="106"/>
      <w:r w:rsidRPr="00B672B0">
        <w:t xml:space="preserve">It is </w:t>
      </w:r>
      <w:r>
        <w:t>the sponsor’s</w:t>
      </w:r>
      <w:r w:rsidRPr="00B672B0">
        <w:t xml:space="preserve"> opinion that the indication language proposed by TGA does not accurately</w:t>
      </w:r>
      <w:r>
        <w:t xml:space="preserve"> </w:t>
      </w:r>
      <w:r w:rsidRPr="00B672B0">
        <w:t>capture the disease condition being treated and the effect of Pr</w:t>
      </w:r>
      <w:r>
        <w:t xml:space="preserve">olia in this setting and, as </w:t>
      </w:r>
      <w:r w:rsidRPr="00B672B0">
        <w:t>such, may be unclear to healthcare professionals, based on the following considerations:</w:t>
      </w:r>
    </w:p>
    <w:p w:rsidR="00B672B0" w:rsidRPr="00B672B0" w:rsidRDefault="00B672B0" w:rsidP="00B672B0">
      <w:pPr>
        <w:pStyle w:val="ListBullet"/>
      </w:pPr>
      <w:r w:rsidRPr="00B672B0">
        <w:t xml:space="preserve">The rationale provided for replacing </w:t>
      </w:r>
      <w:r w:rsidR="009A3208">
        <w:t>‘</w:t>
      </w:r>
      <w:r w:rsidRPr="00C614F7">
        <w:rPr>
          <w:i/>
        </w:rPr>
        <w:t>Treatment to increase bone mass</w:t>
      </w:r>
      <w:r w:rsidR="009A3208">
        <w:t>’</w:t>
      </w:r>
      <w:r>
        <w:t xml:space="preserve"> with </w:t>
      </w:r>
      <w:r w:rsidR="009A3208">
        <w:t>‘</w:t>
      </w:r>
      <w:r w:rsidRPr="00C614F7">
        <w:rPr>
          <w:i/>
        </w:rPr>
        <w:t>Preservation of bone mass</w:t>
      </w:r>
      <w:r w:rsidR="009A3208">
        <w:t>’</w:t>
      </w:r>
      <w:r w:rsidRPr="00B672B0">
        <w:t xml:space="preserve"> is that not all patients may exp</w:t>
      </w:r>
      <w:r>
        <w:t xml:space="preserve">erience an increase in </w:t>
      </w:r>
      <w:r w:rsidRPr="00B672B0">
        <w:t>bone mass. This is true of any medications in any dis</w:t>
      </w:r>
      <w:r>
        <w:t xml:space="preserve">ease condition, whereby not all </w:t>
      </w:r>
      <w:r w:rsidRPr="00B672B0">
        <w:t>patients respond to treatment.</w:t>
      </w:r>
    </w:p>
    <w:p w:rsidR="00B672B0" w:rsidRDefault="00B672B0" w:rsidP="00B672B0">
      <w:pPr>
        <w:pStyle w:val="ListBullet"/>
      </w:pPr>
      <w:r w:rsidRPr="00B672B0">
        <w:t>The vast majority of denosumab-treated subjects i</w:t>
      </w:r>
      <w:r>
        <w:t xml:space="preserve">n Study 20101217 experienced an </w:t>
      </w:r>
      <w:r w:rsidRPr="00B672B0">
        <w:t>increase in bone mineral density (BMD) from base</w:t>
      </w:r>
      <w:r>
        <w:t xml:space="preserve">line to 12 months (defined as a </w:t>
      </w:r>
      <w:r w:rsidRPr="00B672B0">
        <w:t>percent change from baseline in BMD &gt;</w:t>
      </w:r>
      <w:r>
        <w:t xml:space="preserve"> </w:t>
      </w:r>
      <w:r w:rsidRPr="00B672B0">
        <w:t>0)</w:t>
      </w:r>
      <w:r>
        <w:t xml:space="preserve">. Specifically, 85.7% </w:t>
      </w:r>
      <w:r w:rsidRPr="00B672B0">
        <w:t>and 89.0% of denosumab-treated subjects experien</w:t>
      </w:r>
      <w:r>
        <w:t xml:space="preserve">ced an increase in lumbar spine </w:t>
      </w:r>
      <w:r w:rsidRPr="00B672B0">
        <w:t>BMD in the glucocorticoid-initiating (GC-I) and g</w:t>
      </w:r>
      <w:r>
        <w:t xml:space="preserve">lucocorticoid continuing (GC-C) </w:t>
      </w:r>
      <w:r w:rsidRPr="00B672B0">
        <w:t>sub-populations, respectively, and 77.3% and 80.6</w:t>
      </w:r>
      <w:r>
        <w:t xml:space="preserve">% of denosumab-treated subjects </w:t>
      </w:r>
      <w:r w:rsidRPr="00B672B0">
        <w:t>experienced an increase in total hip BMD in the</w:t>
      </w:r>
      <w:r>
        <w:t xml:space="preserve"> GC-I and GC-C sub-populations, </w:t>
      </w:r>
      <w:r w:rsidRPr="00B672B0">
        <w:t>respectively. By comparison, 55.6% and 67.8% of risedronate-tr</w:t>
      </w:r>
      <w:r>
        <w:t xml:space="preserve">eated subjects </w:t>
      </w:r>
      <w:r w:rsidRPr="00B672B0">
        <w:t>experienced an increase in lumbar</w:t>
      </w:r>
      <w:r>
        <w:t xml:space="preserve"> spine BMD in the GC-I and GC-C </w:t>
      </w:r>
      <w:r w:rsidRPr="00B672B0">
        <w:t xml:space="preserve">sub-populations, respectively, and 50.0% and 60.0% </w:t>
      </w:r>
      <w:r>
        <w:t xml:space="preserve">of risedronate-treated subjects </w:t>
      </w:r>
      <w:r w:rsidRPr="00B672B0">
        <w:t>experienced an increase in total hip BMD in the</w:t>
      </w:r>
      <w:r>
        <w:t xml:space="preserve"> GC-I and GC-C sub-populations, </w:t>
      </w:r>
      <w:r w:rsidRPr="00B672B0">
        <w:t>respectively.</w:t>
      </w:r>
    </w:p>
    <w:p w:rsidR="00B672B0" w:rsidRPr="00B672B0" w:rsidRDefault="009A3208" w:rsidP="00B672B0">
      <w:pPr>
        <w:pStyle w:val="ListBullet"/>
      </w:pPr>
      <w:r>
        <w:t>‘</w:t>
      </w:r>
      <w:r w:rsidR="00B672B0" w:rsidRPr="00C614F7">
        <w:rPr>
          <w:i/>
        </w:rPr>
        <w:t>Bone mass associated with long term systemic glucocorticoid therapy</w:t>
      </w:r>
      <w:r>
        <w:t>’</w:t>
      </w:r>
      <w:r w:rsidR="00B672B0" w:rsidRPr="00B672B0">
        <w:t xml:space="preserve"> is not a well</w:t>
      </w:r>
      <w:r w:rsidR="00B672B0">
        <w:t>-</w:t>
      </w:r>
      <w:r w:rsidR="00B672B0" w:rsidRPr="00B672B0">
        <w:t>recognised</w:t>
      </w:r>
      <w:r w:rsidR="00B672B0">
        <w:t xml:space="preserve"> </w:t>
      </w:r>
      <w:proofErr w:type="spellStart"/>
      <w:r w:rsidR="00B672B0" w:rsidRPr="00B672B0">
        <w:t>nosological</w:t>
      </w:r>
      <w:proofErr w:type="spellEnd"/>
      <w:r w:rsidR="00B672B0" w:rsidRPr="00B672B0">
        <w:t xml:space="preserve"> entity, as glucocorticoid therapy is associated with bone loss.</w:t>
      </w:r>
    </w:p>
    <w:p w:rsidR="00B672B0" w:rsidRPr="00B672B0" w:rsidRDefault="00B672B0" w:rsidP="00B672B0">
      <w:pPr>
        <w:pStyle w:val="ListBullet"/>
      </w:pPr>
      <w:r w:rsidRPr="00B672B0">
        <w:t>The following similar language has been adopted by the Committee for Medicinal</w:t>
      </w:r>
      <w:r>
        <w:t xml:space="preserve"> </w:t>
      </w:r>
      <w:r w:rsidRPr="00B672B0">
        <w:t xml:space="preserve">Products for Human Use (CHMP) </w:t>
      </w:r>
      <w:r w:rsidR="009A3208" w:rsidRPr="00C614F7">
        <w:rPr>
          <w:i/>
        </w:rPr>
        <w:t>‘</w:t>
      </w:r>
      <w:r w:rsidRPr="00C614F7">
        <w:rPr>
          <w:i/>
        </w:rPr>
        <w:t>Treatment of bone loss associated with long-term systemic glucocorticoid therapy in adult patients at increased risk of fracture</w:t>
      </w:r>
      <w:r w:rsidR="009A3208">
        <w:t>’</w:t>
      </w:r>
      <w:r w:rsidR="0072500E">
        <w:t>.</w:t>
      </w:r>
    </w:p>
    <w:p w:rsidR="00B672B0" w:rsidRPr="00B672B0" w:rsidRDefault="009A3208" w:rsidP="00B672B0">
      <w:pPr>
        <w:pStyle w:val="ListBullet"/>
      </w:pPr>
      <w:r>
        <w:t>‘</w:t>
      </w:r>
      <w:r w:rsidR="00B672B0" w:rsidRPr="00B672B0">
        <w:rPr>
          <w:i/>
        </w:rPr>
        <w:t>Preservation of bone mass</w:t>
      </w:r>
      <w:r>
        <w:t>’</w:t>
      </w:r>
      <w:r w:rsidR="00B672B0" w:rsidRPr="00B672B0">
        <w:t xml:space="preserve"> is not used in the glucocorticoid-induced osteoporosi</w:t>
      </w:r>
      <w:r w:rsidR="00B672B0">
        <w:t xml:space="preserve">s </w:t>
      </w:r>
      <w:r w:rsidR="00B672B0" w:rsidRPr="00B672B0">
        <w:t>indication statement for any other medications approve</w:t>
      </w:r>
      <w:r w:rsidR="00B672B0">
        <w:t xml:space="preserve">d in Australia for this disease </w:t>
      </w:r>
      <w:r w:rsidR="00B672B0" w:rsidRPr="00B672B0">
        <w:t xml:space="preserve">condition, including risedronate, to which Prolia </w:t>
      </w:r>
      <w:r w:rsidR="00B672B0">
        <w:t xml:space="preserve">is superior with respect to BMD </w:t>
      </w:r>
      <w:r w:rsidR="00B672B0" w:rsidRPr="00B672B0">
        <w:t>effects, as demonstrated in Study 20101217.</w:t>
      </w:r>
    </w:p>
    <w:p w:rsidR="00B672B0" w:rsidRPr="00B672B0" w:rsidRDefault="00B672B0" w:rsidP="00B672B0">
      <w:r w:rsidRPr="00B672B0">
        <w:t xml:space="preserve">Therefore, it is </w:t>
      </w:r>
      <w:r>
        <w:t>the sponsor’s</w:t>
      </w:r>
      <w:r w:rsidRPr="00B672B0">
        <w:t xml:space="preserve"> position that the indication statement, </w:t>
      </w:r>
      <w:r w:rsidR="009A3208">
        <w:t>‘</w:t>
      </w:r>
      <w:r w:rsidRPr="00B672B0">
        <w:rPr>
          <w:i/>
        </w:rPr>
        <w:t>Treatment to increase bone mass in women and men at increased risk of fracture due to long-term systemic glucocorticoid therapy</w:t>
      </w:r>
      <w:r w:rsidR="009A3208">
        <w:t>’</w:t>
      </w:r>
      <w:r w:rsidRPr="00B672B0">
        <w:t xml:space="preserve"> more accurately reflects the dise</w:t>
      </w:r>
      <w:r>
        <w:t xml:space="preserve">ase condition being treated and </w:t>
      </w:r>
      <w:r w:rsidRPr="00B672B0">
        <w:lastRenderedPageBreak/>
        <w:t>the effect of Prolia in this setting, as well as provid</w:t>
      </w:r>
      <w:r>
        <w:t xml:space="preserve">es better clarity to healthcare </w:t>
      </w:r>
      <w:r w:rsidRPr="00B672B0">
        <w:t>professionals.</w:t>
      </w:r>
    </w:p>
    <w:p w:rsidR="008E7846" w:rsidRPr="002E238E" w:rsidRDefault="008E7846" w:rsidP="00B672B0">
      <w:pPr>
        <w:pStyle w:val="Heading3"/>
      </w:pPr>
      <w:bookmarkStart w:id="115" w:name="_Toc16166705"/>
      <w:r>
        <w:t>Outcome</w:t>
      </w:r>
      <w:bookmarkEnd w:id="113"/>
      <w:bookmarkEnd w:id="114"/>
      <w:bookmarkEnd w:id="115"/>
    </w:p>
    <w:p w:rsidR="00D23139" w:rsidRPr="00D23139" w:rsidRDefault="00D23139" w:rsidP="00D23139">
      <w:bookmarkStart w:id="116" w:name="_Toc247691533"/>
      <w:bookmarkStart w:id="117" w:name="_Toc314842517"/>
      <w:r w:rsidRPr="00D23139">
        <w:t xml:space="preserve">Based on a review of quality, safety and efficacy, TGA approved the registration of </w:t>
      </w:r>
      <w:r w:rsidR="0072500E">
        <w:t>Prolia denosumab,</w:t>
      </w:r>
      <w:r w:rsidRPr="00D23139">
        <w:t xml:space="preserve"> indicated for:</w:t>
      </w:r>
    </w:p>
    <w:p w:rsidR="00D7624C" w:rsidRPr="00D7624C" w:rsidRDefault="00D7624C" w:rsidP="00D7624C">
      <w:pPr>
        <w:ind w:left="720"/>
        <w:rPr>
          <w:i/>
        </w:rPr>
      </w:pPr>
      <w:proofErr w:type="gramStart"/>
      <w:r w:rsidRPr="00D7624C">
        <w:rPr>
          <w:i/>
        </w:rPr>
        <w:t>Treatment to increase bone mass in women and men at increased risk of fracture due to long-term systemic glucocorticoid therapy.</w:t>
      </w:r>
      <w:proofErr w:type="gramEnd"/>
    </w:p>
    <w:p w:rsidR="00D7624C" w:rsidRDefault="00D7624C" w:rsidP="00D7624C">
      <w:r>
        <w:t>The full indications are now</w:t>
      </w:r>
      <w:r w:rsidR="00905A2D">
        <w:t>:</w:t>
      </w:r>
    </w:p>
    <w:p w:rsidR="00D7624C" w:rsidRPr="00D7624C" w:rsidRDefault="00D7624C" w:rsidP="00D7624C">
      <w:pPr>
        <w:ind w:left="720"/>
        <w:rPr>
          <w:i/>
        </w:rPr>
      </w:pPr>
      <w:proofErr w:type="gramStart"/>
      <w:r w:rsidRPr="00D7624C">
        <w:rPr>
          <w:i/>
        </w:rPr>
        <w:t>The treatment of osteoporosis in postmenopausal women.</w:t>
      </w:r>
      <w:proofErr w:type="gramEnd"/>
      <w:r w:rsidRPr="00D7624C">
        <w:rPr>
          <w:i/>
        </w:rPr>
        <w:t xml:space="preserve"> Prolia significantly reduces the risk of vertebral, non-vertebral and hip fractures.</w:t>
      </w:r>
    </w:p>
    <w:p w:rsidR="00D7624C" w:rsidRPr="00D7624C" w:rsidRDefault="00D7624C" w:rsidP="00D7624C">
      <w:pPr>
        <w:ind w:left="720"/>
        <w:rPr>
          <w:i/>
        </w:rPr>
      </w:pPr>
      <w:proofErr w:type="gramStart"/>
      <w:r w:rsidRPr="00D7624C">
        <w:rPr>
          <w:i/>
        </w:rPr>
        <w:t>Treatment to increase bone mass in men with osteopaenia receiving androgen deprivation therapy for non-metastatic prostate cancer (see Clinical Trials).</w:t>
      </w:r>
      <w:proofErr w:type="gramEnd"/>
    </w:p>
    <w:p w:rsidR="00D7624C" w:rsidRPr="00D7624C" w:rsidRDefault="00D7624C" w:rsidP="00D7624C">
      <w:pPr>
        <w:ind w:left="720"/>
        <w:rPr>
          <w:i/>
        </w:rPr>
      </w:pPr>
      <w:proofErr w:type="gramStart"/>
      <w:r w:rsidRPr="00D7624C">
        <w:rPr>
          <w:i/>
        </w:rPr>
        <w:t>Treatment to increase bone mass in men with osteoporosis at increased risk of fracture.</w:t>
      </w:r>
      <w:proofErr w:type="gramEnd"/>
    </w:p>
    <w:p w:rsidR="00D23139" w:rsidRPr="00D7624C" w:rsidRDefault="00D7624C" w:rsidP="00D7624C">
      <w:pPr>
        <w:ind w:left="720"/>
        <w:rPr>
          <w:i/>
        </w:rPr>
      </w:pPr>
      <w:proofErr w:type="gramStart"/>
      <w:r w:rsidRPr="00D7624C">
        <w:rPr>
          <w:i/>
        </w:rPr>
        <w:t>Treatment to increase bone mass in women and men at increased risk of fracture due to long-term systemic glucocorticoid therapy.</w:t>
      </w:r>
      <w:proofErr w:type="gramEnd"/>
    </w:p>
    <w:p w:rsidR="008E7846" w:rsidRDefault="00A80B5B" w:rsidP="00D23139">
      <w:pPr>
        <w:pStyle w:val="Heading2"/>
      </w:pPr>
      <w:bookmarkStart w:id="118" w:name="_Toc16166706"/>
      <w:proofErr w:type="gramStart"/>
      <w:r>
        <w:t>Attachment 1.</w:t>
      </w:r>
      <w:proofErr w:type="gramEnd"/>
      <w:r>
        <w:t xml:space="preserve"> </w:t>
      </w:r>
      <w:r w:rsidR="008E7846">
        <w:t xml:space="preserve">Product </w:t>
      </w:r>
      <w:r w:rsidR="00AA0ED0">
        <w:t>I</w:t>
      </w:r>
      <w:r w:rsidR="008E7846">
        <w:t>nformation</w:t>
      </w:r>
      <w:bookmarkEnd w:id="116"/>
      <w:bookmarkEnd w:id="117"/>
      <w:bookmarkEnd w:id="118"/>
    </w:p>
    <w:p w:rsidR="00211AE1" w:rsidRDefault="006136D7" w:rsidP="00C80137">
      <w:r w:rsidRPr="002B3624">
        <w:t xml:space="preserve">The </w:t>
      </w:r>
      <w:r>
        <w:t>PI</w:t>
      </w:r>
      <w:r w:rsidRPr="002B3624">
        <w:t xml:space="preserve"> for </w:t>
      </w:r>
      <w:r w:rsidR="00D7624C">
        <w:t>Prolia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1350D8">
        <w:t>&lt;</w:t>
      </w:r>
      <w:hyperlink r:id="rId53" w:history="1">
        <w:r w:rsidR="007C6B9B" w:rsidRPr="007C6B9B">
          <w:rPr>
            <w:rStyle w:val="Hyperlink"/>
          </w:rPr>
          <w:t>https://www.tga.gov.au/product-information-pi</w:t>
        </w:r>
      </w:hyperlink>
      <w:r w:rsidR="007C6B9B" w:rsidRPr="007C6B9B">
        <w:t>&gt;</w:t>
      </w:r>
      <w:r w:rsidR="00211AE1">
        <w:t>.</w:t>
      </w:r>
    </w:p>
    <w:p w:rsidR="00C80137" w:rsidRPr="001D043B" w:rsidRDefault="008E7846" w:rsidP="008634CF">
      <w:pPr>
        <w:autoSpaceDE w:val="0"/>
        <w:autoSpaceDN w:val="0"/>
        <w:adjustRightInd w:val="0"/>
        <w:spacing w:after="0"/>
        <w:rPr>
          <w:lang w:eastAsia="ja-JP"/>
        </w:rPr>
        <w:sectPr w:rsidR="00C80137" w:rsidRPr="001D043B" w:rsidSect="00B452CE">
          <w:headerReference w:type="even" r:id="rId54"/>
          <w:headerReference w:type="default" r:id="rId55"/>
          <w:headerReference w:type="first" r:id="rId56"/>
          <w:footerReference w:type="first" r:id="rId57"/>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8" w:history="1">
              <w:r w:rsidRPr="004C239D">
                <w:rPr>
                  <w:rStyle w:val="Hyperlink"/>
                </w:rPr>
                <w:t>info@tga.gov.au</w:t>
              </w:r>
            </w:hyperlink>
            <w:r w:rsidR="00211AE1">
              <w:t xml:space="preserve"> </w:t>
            </w:r>
            <w:r w:rsidRPr="00487162">
              <w:t>Phone: 1800 020 653</w:t>
            </w:r>
            <w:r w:rsidR="00211AE1">
              <w:t xml:space="preserve"> </w:t>
            </w:r>
            <w:r w:rsidRPr="00487162">
              <w:t>Fax: 02 6232 8605</w:t>
            </w:r>
          </w:p>
          <w:p w:rsidR="001C32CD" w:rsidRPr="004C239D" w:rsidRDefault="00550A56" w:rsidP="00A05FA4">
            <w:pPr>
              <w:pStyle w:val="Address"/>
              <w:spacing w:line="260" w:lineRule="atLeast"/>
              <w:rPr>
                <w:b/>
                <w:color w:val="0000FF"/>
                <w:u w:val="single"/>
              </w:rPr>
            </w:pPr>
            <w:hyperlink r:id="rId5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60"/>
      <w:headerReference w:type="default" r:id="rId61"/>
      <w:footerReference w:type="default" r:id="rId62"/>
      <w:headerReference w:type="first" r:id="rId63"/>
      <w:footerReference w:type="first" r:id="rId6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C9A" w:rsidRDefault="00A32C9A" w:rsidP="00C40A36">
      <w:pPr>
        <w:spacing w:after="0"/>
      </w:pPr>
      <w:r>
        <w:separator/>
      </w:r>
    </w:p>
  </w:endnote>
  <w:endnote w:type="continuationSeparator" w:id="0">
    <w:p w:rsidR="00A32C9A" w:rsidRDefault="00A32C9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32C9A" w:rsidRPr="00487162" w:rsidTr="00DB750B">
      <w:trPr>
        <w:trHeight w:val="269"/>
      </w:trPr>
      <w:tc>
        <w:tcPr>
          <w:tcW w:w="7371" w:type="dxa"/>
          <w:tcMar>
            <w:top w:w="142" w:type="dxa"/>
            <w:bottom w:w="0" w:type="dxa"/>
          </w:tcMar>
        </w:tcPr>
        <w:p w:rsidR="00A32C9A" w:rsidRPr="00487162" w:rsidRDefault="00A32C9A" w:rsidP="00C614F7">
          <w:pPr>
            <w:pStyle w:val="Footer"/>
          </w:pPr>
          <w:r w:rsidRPr="00487162">
            <w:t>AusPA</w:t>
          </w:r>
          <w:r>
            <w:t xml:space="preserve">R </w:t>
          </w:r>
          <w:r w:rsidRPr="009D1491">
            <w:t>PROLIA - Denosumab - Amgen Australia Pty Ltd - PM-2017-01353-1-</w:t>
          </w:r>
          <w:r>
            <w:t xml:space="preserve"> 5 - FINAL</w:t>
          </w:r>
          <w:r w:rsidRPr="00487162">
            <w:t xml:space="preserve"> </w:t>
          </w:r>
          <w:r>
            <w:t>13 February 2019</w:t>
          </w:r>
        </w:p>
      </w:tc>
      <w:tc>
        <w:tcPr>
          <w:tcW w:w="1490" w:type="dxa"/>
          <w:tcMar>
            <w:top w:w="142" w:type="dxa"/>
            <w:bottom w:w="0" w:type="dxa"/>
          </w:tcMar>
        </w:tcPr>
        <w:p w:rsidR="00A32C9A" w:rsidRPr="00487162" w:rsidRDefault="00A32C9A" w:rsidP="00DB750B">
          <w:pPr>
            <w:pStyle w:val="Footer"/>
            <w:jc w:val="right"/>
          </w:pPr>
          <w:r w:rsidRPr="00487162">
            <w:t xml:space="preserve">Page </w:t>
          </w:r>
          <w:r>
            <w:fldChar w:fldCharType="begin"/>
          </w:r>
          <w:r>
            <w:instrText xml:space="preserve"> PAGE  \* Arabic </w:instrText>
          </w:r>
          <w:r>
            <w:fldChar w:fldCharType="separate"/>
          </w:r>
          <w:r w:rsidR="00550A56">
            <w:rPr>
              <w:noProof/>
            </w:rPr>
            <w:t>51</w:t>
          </w:r>
          <w:r>
            <w:fldChar w:fldCharType="end"/>
          </w:r>
          <w:r w:rsidRPr="00487162">
            <w:t xml:space="preserve"> of </w:t>
          </w:r>
          <w:fldSimple w:instr=" NUMPAGES  \* Arabic ">
            <w:r w:rsidR="00550A56">
              <w:rPr>
                <w:noProof/>
              </w:rPr>
              <w:t>75</w:t>
            </w:r>
          </w:fldSimple>
        </w:p>
      </w:tc>
    </w:tr>
  </w:tbl>
  <w:p w:rsidR="00A32C9A" w:rsidRDefault="00A32C9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32C9A" w:rsidRPr="00487162" w:rsidTr="00E45619">
      <w:trPr>
        <w:trHeight w:val="269"/>
      </w:trPr>
      <w:tc>
        <w:tcPr>
          <w:tcW w:w="4519" w:type="dxa"/>
          <w:tcBorders>
            <w:top w:val="single" w:sz="4" w:space="0" w:color="auto"/>
          </w:tcBorders>
          <w:tcMar>
            <w:top w:w="142" w:type="dxa"/>
            <w:bottom w:w="0" w:type="dxa"/>
          </w:tcMar>
        </w:tcPr>
        <w:p w:rsidR="00A32C9A" w:rsidRPr="00487162" w:rsidRDefault="00A32C9A" w:rsidP="00FE1DEE">
          <w:pPr>
            <w:pStyle w:val="Footer"/>
          </w:pPr>
          <w:r w:rsidRPr="00487162">
            <w:t>Document title, Part #, Section # - Section title</w:t>
          </w:r>
        </w:p>
        <w:p w:rsidR="00A32C9A" w:rsidRPr="00487162" w:rsidRDefault="00A32C9A" w:rsidP="00FE1DEE">
          <w:pPr>
            <w:pStyle w:val="Footer"/>
          </w:pPr>
          <w:r w:rsidRPr="00487162">
            <w:t>V1.0 October 2010</w:t>
          </w:r>
        </w:p>
      </w:tc>
      <w:tc>
        <w:tcPr>
          <w:tcW w:w="4342" w:type="dxa"/>
          <w:tcBorders>
            <w:top w:val="single" w:sz="4" w:space="0" w:color="auto"/>
          </w:tcBorders>
          <w:tcMar>
            <w:top w:w="142" w:type="dxa"/>
            <w:bottom w:w="0" w:type="dxa"/>
          </w:tcMar>
        </w:tcPr>
        <w:p w:rsidR="00A32C9A" w:rsidRPr="00487162" w:rsidRDefault="00A32C9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A32C9A" w:rsidRDefault="00A32C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Pr="001C32CD" w:rsidRDefault="00A32C9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32C9A" w:rsidTr="0010601F">
      <w:trPr>
        <w:trHeight w:val="108"/>
      </w:trPr>
      <w:tc>
        <w:tcPr>
          <w:tcW w:w="8875" w:type="dxa"/>
          <w:gridSpan w:val="2"/>
          <w:tcBorders>
            <w:bottom w:val="single" w:sz="4" w:space="0" w:color="auto"/>
          </w:tcBorders>
          <w:tcMar>
            <w:right w:w="284" w:type="dxa"/>
          </w:tcMar>
        </w:tcPr>
        <w:p w:rsidR="00A32C9A" w:rsidRDefault="00A32C9A" w:rsidP="006E08B3">
          <w:pPr>
            <w:pStyle w:val="Heading3"/>
          </w:pPr>
          <w:r>
            <w:t>Copyright</w:t>
          </w:r>
        </w:p>
        <w:p w:rsidR="00A32C9A" w:rsidRDefault="00A32C9A" w:rsidP="006E08B3">
          <w:r>
            <w:rPr>
              <w:rFonts w:cs="Arial"/>
            </w:rPr>
            <w:t>©</w:t>
          </w:r>
          <w:r>
            <w:t xml:space="preserve"> Commonwealth of Australia (add year)</w:t>
          </w:r>
        </w:p>
        <w:p w:rsidR="00A32C9A" w:rsidRDefault="00A32C9A" w:rsidP="006E08B3"/>
        <w:p w:rsidR="00A32C9A" w:rsidRDefault="00A32C9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32C9A" w:rsidRDefault="00A32C9A" w:rsidP="006E08B3"/>
        <w:p w:rsidR="00A32C9A" w:rsidRDefault="00A32C9A" w:rsidP="006E08B3">
          <w:pPr>
            <w:pStyle w:val="Heading3"/>
          </w:pPr>
          <w:r>
            <w:t>Confidentiality</w:t>
          </w:r>
        </w:p>
        <w:p w:rsidR="00A32C9A" w:rsidRDefault="00A32C9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32C9A" w:rsidRDefault="00A32C9A" w:rsidP="006E08B3"/>
        <w:p w:rsidR="00A32C9A" w:rsidRDefault="00A32C9A" w:rsidP="006E08B3">
          <w:r>
            <w:t>For submission made by individuals, all personal details, other than your name, will be removed from your submission before it is published on the TGA’s Internet site.</w:t>
          </w:r>
        </w:p>
        <w:p w:rsidR="00A32C9A" w:rsidRDefault="00A32C9A" w:rsidP="006E08B3"/>
        <w:p w:rsidR="00A32C9A" w:rsidRDefault="00A32C9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32C9A" w:rsidTr="0010601F">
      <w:trPr>
        <w:trHeight w:val="417"/>
      </w:trPr>
      <w:tc>
        <w:tcPr>
          <w:tcW w:w="4519" w:type="dxa"/>
          <w:tcBorders>
            <w:top w:val="single" w:sz="4" w:space="0" w:color="auto"/>
          </w:tcBorders>
          <w:tcMar>
            <w:top w:w="142" w:type="dxa"/>
            <w:bottom w:w="0" w:type="dxa"/>
          </w:tcMar>
        </w:tcPr>
        <w:p w:rsidR="00A32C9A" w:rsidRDefault="00A32C9A" w:rsidP="006E08B3">
          <w:r>
            <w:t>Document title, Part #, Section # - Section title</w:t>
          </w:r>
        </w:p>
        <w:p w:rsidR="00A32C9A" w:rsidRDefault="00A32C9A" w:rsidP="006E08B3">
          <w:r>
            <w:t>V1.0 October 2010</w:t>
          </w:r>
        </w:p>
      </w:tc>
      <w:tc>
        <w:tcPr>
          <w:tcW w:w="4356" w:type="dxa"/>
          <w:tcBorders>
            <w:top w:val="single" w:sz="4" w:space="0" w:color="auto"/>
          </w:tcBorders>
          <w:tcMar>
            <w:top w:w="142" w:type="dxa"/>
            <w:bottom w:w="0" w:type="dxa"/>
          </w:tcMar>
        </w:tcPr>
        <w:p w:rsidR="00A32C9A" w:rsidRDefault="00A32C9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A32C9A" w:rsidRDefault="00A32C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C9A" w:rsidRDefault="00A32C9A" w:rsidP="00C40A36">
      <w:pPr>
        <w:spacing w:after="0"/>
      </w:pPr>
      <w:r>
        <w:separator/>
      </w:r>
    </w:p>
  </w:footnote>
  <w:footnote w:type="continuationSeparator" w:id="0">
    <w:p w:rsidR="00A32C9A" w:rsidRDefault="00A32C9A" w:rsidP="00C40A36">
      <w:pPr>
        <w:spacing w:after="0"/>
      </w:pPr>
      <w:r>
        <w:continuationSeparator/>
      </w:r>
    </w:p>
  </w:footnote>
  <w:footnote w:id="1">
    <w:p w:rsidR="00A32C9A" w:rsidRDefault="00A32C9A" w:rsidP="00CF755A">
      <w:pPr>
        <w:pStyle w:val="FootnoteText"/>
      </w:pPr>
      <w:r>
        <w:rPr>
          <w:rStyle w:val="FootnoteReference"/>
        </w:rPr>
        <w:footnoteRef/>
      </w:r>
      <w:r>
        <w:t xml:space="preserve"> Rosen H. Pathogenesis, clinical features and evaluation of glucocorticoid induced osteoporosis (topic updated 8 July 2016) at </w:t>
      </w:r>
      <w:hyperlink r:id="rId1" w:history="1">
        <w:r>
          <w:rPr>
            <w:rStyle w:val="Hyperlink"/>
          </w:rPr>
          <w:t>www.uptodate.com</w:t>
        </w:r>
      </w:hyperlink>
      <w:r>
        <w:t xml:space="preserve">. </w:t>
      </w:r>
      <w:proofErr w:type="gramStart"/>
      <w:r>
        <w:t>Accessed 11 August 2017.</w:t>
      </w:r>
      <w:proofErr w:type="gramEnd"/>
    </w:p>
  </w:footnote>
  <w:footnote w:id="2">
    <w:p w:rsidR="00A32C9A" w:rsidRPr="00624032" w:rsidRDefault="00A32C9A" w:rsidP="00624032">
      <w:pPr>
        <w:pStyle w:val="FootnoteText"/>
      </w:pPr>
      <w:r w:rsidRPr="00624032">
        <w:rPr>
          <w:rStyle w:val="FootnoteReference"/>
        </w:rPr>
        <w:footnoteRef/>
      </w:r>
      <w:r w:rsidRPr="00624032">
        <w:t xml:space="preserve"> A T-score shows how much your bone density is higher or lower than the bone density of a healthy 30-year old adult. A T-score of -1.0 or above is normal bone density. A T-score between -1.0 and -2.5 means low bone density or osteopenia. A T-score of -2.5 or below is a diagnosis of osteoporosis</w:t>
      </w:r>
    </w:p>
  </w:footnote>
  <w:footnote w:id="3">
    <w:p w:rsidR="00A32C9A" w:rsidRPr="00624032" w:rsidRDefault="00A32C9A" w:rsidP="00624032">
      <w:pPr>
        <w:pStyle w:val="FootnoteText"/>
      </w:pPr>
      <w:r>
        <w:rPr>
          <w:rStyle w:val="FootnoteReference"/>
        </w:rPr>
        <w:footnoteRef/>
      </w:r>
      <w:r>
        <w:t xml:space="preserve"> Osteoporosis” in Endocrinology Therapeutic guideline (revised March 2014; amended June 2014) </w:t>
      </w:r>
      <w:proofErr w:type="gramStart"/>
      <w:r>
        <w:t>In</w:t>
      </w:r>
      <w:proofErr w:type="gramEnd"/>
      <w:r>
        <w:t xml:space="preserve"> </w:t>
      </w:r>
      <w:proofErr w:type="spellStart"/>
      <w:r w:rsidRPr="00624032">
        <w:t>eTG</w:t>
      </w:r>
      <w:proofErr w:type="spellEnd"/>
      <w:r w:rsidRPr="00624032">
        <w:t xml:space="preserve"> complete (Internet). Melbourne: Therapeutic Guidelines limited; July 2017</w:t>
      </w:r>
    </w:p>
  </w:footnote>
  <w:footnote w:id="4">
    <w:p w:rsidR="00A32C9A" w:rsidRPr="00624032" w:rsidRDefault="00A32C9A" w:rsidP="00624032">
      <w:pPr>
        <w:pStyle w:val="FootnoteText"/>
      </w:pPr>
      <w:r w:rsidRPr="00624032">
        <w:rPr>
          <w:rStyle w:val="FootnoteReference"/>
        </w:rPr>
        <w:footnoteRef/>
      </w:r>
      <w:r w:rsidRPr="00624032">
        <w:t xml:space="preserve"> Rosen H. Pathogenesis, clinical features and evaluation of glucocorticoid induced osteoporosis (topic updated 8 July 2016) at www.uptodate.com. Accessed 11 August 2017 </w:t>
      </w:r>
    </w:p>
  </w:footnote>
  <w:footnote w:id="5">
    <w:p w:rsidR="00A32C9A" w:rsidRPr="00624032" w:rsidRDefault="00A32C9A" w:rsidP="00624032">
      <w:pPr>
        <w:pStyle w:val="FootnoteText"/>
      </w:pPr>
      <w:r w:rsidRPr="00624032">
        <w:rPr>
          <w:rStyle w:val="FootnoteReference"/>
        </w:rPr>
        <w:footnoteRef/>
      </w:r>
      <w:r w:rsidRPr="00624032">
        <w:t xml:space="preserve"> </w:t>
      </w:r>
      <w:proofErr w:type="spellStart"/>
      <w:r w:rsidRPr="00624032">
        <w:t>Staa</w:t>
      </w:r>
      <w:proofErr w:type="spellEnd"/>
      <w:r w:rsidRPr="00624032">
        <w:t xml:space="preserve"> T, </w:t>
      </w:r>
      <w:r>
        <w:t xml:space="preserve">et al. The epidemiology of corticosteroid induced osteoporosis: a </w:t>
      </w:r>
      <w:proofErr w:type="spellStart"/>
      <w:r>
        <w:t>meta-ana</w:t>
      </w:r>
      <w:proofErr w:type="gramStart"/>
      <w:r>
        <w:t>;ysis</w:t>
      </w:r>
      <w:proofErr w:type="spellEnd"/>
      <w:proofErr w:type="gramEnd"/>
      <w:r>
        <w:t>.</w:t>
      </w:r>
      <w:r w:rsidRPr="00624032">
        <w:t xml:space="preserve"> </w:t>
      </w:r>
      <w:proofErr w:type="spellStart"/>
      <w:r w:rsidRPr="00C614F7">
        <w:rPr>
          <w:i/>
        </w:rPr>
        <w:t>Osteoporos</w:t>
      </w:r>
      <w:proofErr w:type="spellEnd"/>
      <w:r w:rsidRPr="00C614F7">
        <w:rPr>
          <w:i/>
        </w:rPr>
        <w:t xml:space="preserve"> </w:t>
      </w:r>
      <w:proofErr w:type="spellStart"/>
      <w:r w:rsidRPr="00C614F7">
        <w:rPr>
          <w:i/>
        </w:rPr>
        <w:t>Int</w:t>
      </w:r>
      <w:proofErr w:type="spellEnd"/>
      <w:r w:rsidRPr="00624032">
        <w:t xml:space="preserve"> 2002</w:t>
      </w:r>
      <w:r>
        <w:t>;</w:t>
      </w:r>
      <w:r w:rsidRPr="00624032">
        <w:t xml:space="preserve"> 13: 777</w:t>
      </w:r>
      <w:r>
        <w:t>-787.</w:t>
      </w:r>
    </w:p>
  </w:footnote>
  <w:footnote w:id="6">
    <w:p w:rsidR="00A32C9A" w:rsidRPr="00624032" w:rsidRDefault="00A32C9A" w:rsidP="00624032">
      <w:pPr>
        <w:pStyle w:val="FootnoteText"/>
      </w:pPr>
      <w:r w:rsidRPr="00624032">
        <w:rPr>
          <w:rStyle w:val="FootnoteReference"/>
        </w:rPr>
        <w:footnoteRef/>
      </w:r>
      <w:r w:rsidRPr="00624032">
        <w:t xml:space="preserve"> </w:t>
      </w:r>
      <w:proofErr w:type="spellStart"/>
      <w:r w:rsidRPr="00624032">
        <w:t>Briot</w:t>
      </w:r>
      <w:proofErr w:type="spellEnd"/>
      <w:r w:rsidRPr="00624032">
        <w:t xml:space="preserve"> K and Roux </w:t>
      </w:r>
      <w:proofErr w:type="gramStart"/>
      <w:r w:rsidRPr="00624032">
        <w:t xml:space="preserve">C </w:t>
      </w:r>
      <w:r>
        <w:t xml:space="preserve"> Glucocorticoid</w:t>
      </w:r>
      <w:proofErr w:type="gramEnd"/>
      <w:r>
        <w:t xml:space="preserve"> induced osteoporosis. </w:t>
      </w:r>
      <w:r w:rsidRPr="00C614F7">
        <w:rPr>
          <w:i/>
        </w:rPr>
        <w:t>RMD Open</w:t>
      </w:r>
      <w:r w:rsidRPr="00624032">
        <w:t xml:space="preserve"> 2015; 1: e00014 </w:t>
      </w:r>
    </w:p>
  </w:footnote>
  <w:footnote w:id="7">
    <w:p w:rsidR="00A32C9A" w:rsidRPr="00624032" w:rsidRDefault="00A32C9A" w:rsidP="00624032">
      <w:pPr>
        <w:pStyle w:val="FootnoteText"/>
      </w:pPr>
      <w:r w:rsidRPr="00624032">
        <w:rPr>
          <w:rStyle w:val="FootnoteReference"/>
        </w:rPr>
        <w:footnoteRef/>
      </w:r>
      <w:r w:rsidRPr="00624032">
        <w:rPr>
          <w:vertAlign w:val="superscript"/>
        </w:rPr>
        <w:t xml:space="preserve"> </w:t>
      </w:r>
      <w:r w:rsidRPr="00624032">
        <w:t xml:space="preserve">Rosen H and </w:t>
      </w:r>
      <w:proofErr w:type="spellStart"/>
      <w:r w:rsidRPr="00624032">
        <w:t>Saag</w:t>
      </w:r>
      <w:proofErr w:type="spellEnd"/>
      <w:r w:rsidRPr="00624032">
        <w:t xml:space="preserve"> K Prevention and treatment of glucocorticoid induced osteoporosis (topic last updated June 2015) at www.UpToDate.com accessed on 11 August 2017. </w:t>
      </w:r>
    </w:p>
  </w:footnote>
  <w:footnote w:id="8">
    <w:p w:rsidR="00A32C9A" w:rsidRPr="00624032" w:rsidRDefault="00A32C9A" w:rsidP="00624032">
      <w:pPr>
        <w:pStyle w:val="FootnoteText"/>
      </w:pPr>
      <w:r w:rsidRPr="00624032">
        <w:rPr>
          <w:rStyle w:val="FootnoteReference"/>
        </w:rPr>
        <w:footnoteRef/>
      </w:r>
      <w:r w:rsidRPr="00624032">
        <w:rPr>
          <w:vertAlign w:val="superscript"/>
        </w:rPr>
        <w:t xml:space="preserve"> </w:t>
      </w:r>
      <w:proofErr w:type="spellStart"/>
      <w:r w:rsidRPr="00624032">
        <w:t>Briot</w:t>
      </w:r>
      <w:proofErr w:type="spellEnd"/>
      <w:r w:rsidRPr="00624032">
        <w:t xml:space="preserve"> K and Roux C </w:t>
      </w:r>
      <w:r>
        <w:t>Glucocorticoid induced osteoporosis</w:t>
      </w:r>
      <w:r w:rsidRPr="00624032">
        <w:t xml:space="preserve"> </w:t>
      </w:r>
      <w:r w:rsidRPr="00C614F7">
        <w:rPr>
          <w:i/>
        </w:rPr>
        <w:t>RMD Open</w:t>
      </w:r>
      <w:r w:rsidRPr="00624032">
        <w:t xml:space="preserve"> 2015; 1: e00014 </w:t>
      </w:r>
    </w:p>
  </w:footnote>
  <w:footnote w:id="9">
    <w:p w:rsidR="00A32C9A" w:rsidRPr="00624032" w:rsidRDefault="00A32C9A" w:rsidP="00624032">
      <w:pPr>
        <w:pStyle w:val="FootnoteText"/>
      </w:pPr>
      <w:r w:rsidRPr="00624032">
        <w:rPr>
          <w:rStyle w:val="FootnoteReference"/>
        </w:rPr>
        <w:footnoteRef/>
      </w:r>
      <w:r w:rsidRPr="00624032">
        <w:rPr>
          <w:vertAlign w:val="superscript"/>
        </w:rPr>
        <w:t xml:space="preserve"> </w:t>
      </w:r>
      <w:r w:rsidRPr="00624032">
        <w:t xml:space="preserve">Osteoporosis” in Endocrinology Therapeutic guideline (revised March 2014; amended June 2014) </w:t>
      </w:r>
      <w:proofErr w:type="gramStart"/>
      <w:r w:rsidRPr="00624032">
        <w:t>In</w:t>
      </w:r>
      <w:proofErr w:type="gramEnd"/>
      <w:r w:rsidRPr="00624032">
        <w:t xml:space="preserve"> </w:t>
      </w:r>
      <w:proofErr w:type="spellStart"/>
      <w:r w:rsidRPr="00624032">
        <w:t>eTG</w:t>
      </w:r>
      <w:proofErr w:type="spellEnd"/>
      <w:r w:rsidRPr="00624032">
        <w:t xml:space="preserve"> complete (Internet). Melbourne: Therapeutic Guidelines limited; July 2017 </w:t>
      </w:r>
    </w:p>
  </w:footnote>
  <w:footnote w:id="10">
    <w:p w:rsidR="00A32C9A" w:rsidRPr="002F7DEE" w:rsidRDefault="00A32C9A">
      <w:pPr>
        <w:pStyle w:val="FootnoteText"/>
        <w:rPr>
          <w:lang w:val="en-US"/>
        </w:rPr>
      </w:pPr>
      <w:r>
        <w:rPr>
          <w:rStyle w:val="FootnoteReference"/>
        </w:rPr>
        <w:footnoteRef/>
      </w:r>
      <w:r>
        <w:t xml:space="preserve"> </w:t>
      </w:r>
      <w:r>
        <w:rPr>
          <w:sz w:val="20"/>
        </w:rPr>
        <w:t>Therapeutic Management on Osteoporosis Australia website last updated 14 July 2017; reviewed at https://www.osteoporosis.org.au/therapeutic-management</w:t>
      </w:r>
    </w:p>
  </w:footnote>
  <w:footnote w:id="11">
    <w:p w:rsidR="00A32C9A" w:rsidRPr="00332542" w:rsidRDefault="00A32C9A">
      <w:pPr>
        <w:pStyle w:val="FootnoteText"/>
        <w:rPr>
          <w:lang w:val="en-US"/>
        </w:rPr>
      </w:pPr>
      <w:r>
        <w:rPr>
          <w:rStyle w:val="FootnoteReference"/>
        </w:rPr>
        <w:footnoteRef/>
      </w:r>
      <w:r>
        <w:t xml:space="preserve"> </w:t>
      </w:r>
      <w:r>
        <w:rPr>
          <w:sz w:val="20"/>
        </w:rPr>
        <w:t>‘</w:t>
      </w:r>
      <w:r w:rsidRPr="00624032">
        <w:t>Concept paper on the need for the revision of the guideline on the evaluation of medicinal products in the treatment of primary osteoporosis</w:t>
      </w:r>
      <w:r>
        <w:t>’</w:t>
      </w:r>
      <w:r w:rsidRPr="00624032">
        <w:t xml:space="preserve"> available at http://www.ema.europa.eu/docs/en_GB/document_library/Scientific_guideline/2012/10/WC500134467.pdf</w:t>
      </w:r>
      <w:r>
        <w:rPr>
          <w:sz w:val="20"/>
        </w:rPr>
        <w:t xml:space="preserve"> </w:t>
      </w:r>
    </w:p>
  </w:footnote>
  <w:footnote w:id="12">
    <w:p w:rsidR="00A32C9A" w:rsidRPr="00503F15" w:rsidRDefault="00A32C9A" w:rsidP="00503F15">
      <w:pPr>
        <w:pStyle w:val="FootnoteText"/>
      </w:pPr>
      <w:r>
        <w:rPr>
          <w:rStyle w:val="FootnoteReference"/>
        </w:rPr>
        <w:footnoteRef/>
      </w:r>
      <w:r>
        <w:t xml:space="preserve"> </w:t>
      </w:r>
      <w:proofErr w:type="spellStart"/>
      <w:r w:rsidRPr="00624032">
        <w:t>Compston</w:t>
      </w:r>
      <w:proofErr w:type="spellEnd"/>
      <w:r w:rsidRPr="00624032">
        <w:t xml:space="preserve">, J, et al. Recommendations for the registration of agents for prevention and treatment of glucocorticoid-induced osteoporosis: an update from the Group for the Respect of Ethics and Excellence in Science </w:t>
      </w:r>
      <w:proofErr w:type="spellStart"/>
      <w:r w:rsidRPr="00C614F7">
        <w:rPr>
          <w:i/>
        </w:rPr>
        <w:t>Osteoporos</w:t>
      </w:r>
      <w:proofErr w:type="spellEnd"/>
      <w:r w:rsidRPr="00C614F7">
        <w:rPr>
          <w:i/>
        </w:rPr>
        <w:t xml:space="preserve"> Int</w:t>
      </w:r>
      <w:r w:rsidRPr="00624032">
        <w:t>. 2008; 19: 1247-1250</w:t>
      </w:r>
    </w:p>
  </w:footnote>
  <w:footnote w:id="13">
    <w:p w:rsidR="00A32C9A" w:rsidRPr="00DE1EFB" w:rsidRDefault="00A32C9A">
      <w:pPr>
        <w:pStyle w:val="FootnoteText"/>
        <w:rPr>
          <w:lang w:val="en-US"/>
        </w:rPr>
      </w:pPr>
      <w:r>
        <w:rPr>
          <w:rStyle w:val="FootnoteReference"/>
        </w:rPr>
        <w:footnoteRef/>
      </w:r>
      <w:r>
        <w:t xml:space="preserve"> </w:t>
      </w:r>
      <w:proofErr w:type="spellStart"/>
      <w:r>
        <w:t>AUC</w:t>
      </w:r>
      <w:r>
        <w:rPr>
          <w:vertAlign w:val="subscript"/>
        </w:rPr>
        <w:t>last</w:t>
      </w:r>
      <w:proofErr w:type="spellEnd"/>
      <w:r w:rsidRPr="00DE1EFB">
        <w:t>: area under the plasma/serum concentration versus time curve from time zero to the last quantifiable concentration</w:t>
      </w:r>
    </w:p>
  </w:footnote>
  <w:footnote w:id="14">
    <w:p w:rsidR="00A32C9A" w:rsidRPr="00503F15" w:rsidRDefault="00A32C9A" w:rsidP="00503F15">
      <w:pPr>
        <w:pStyle w:val="FootnoteText"/>
      </w:pPr>
      <w:r>
        <w:rPr>
          <w:rStyle w:val="FootnoteReference"/>
        </w:rPr>
        <w:footnoteRef/>
      </w:r>
      <w:r>
        <w:t xml:space="preserve"> </w:t>
      </w:r>
      <w:r w:rsidRPr="00624032">
        <w:t>Reid D, et al (2009)</w:t>
      </w:r>
      <w:r>
        <w:t xml:space="preserve"> </w:t>
      </w:r>
      <w:proofErr w:type="spellStart"/>
      <w:r w:rsidRPr="00624032">
        <w:t>Zoledronic</w:t>
      </w:r>
      <w:proofErr w:type="spellEnd"/>
      <w:r w:rsidRPr="00624032">
        <w:t xml:space="preserve"> acid and </w:t>
      </w:r>
      <w:proofErr w:type="spellStart"/>
      <w:r w:rsidRPr="00624032">
        <w:t>risedronate</w:t>
      </w:r>
      <w:proofErr w:type="spellEnd"/>
      <w:r w:rsidRPr="00624032">
        <w:t xml:space="preserve"> in the prevention and treatment of glucocorticoid-induced osteoporosis (HORIZON): a multicentre, double-blind, double-dummy, randomised controlled trial </w:t>
      </w:r>
      <w:r w:rsidRPr="00C614F7">
        <w:rPr>
          <w:i/>
        </w:rPr>
        <w:t xml:space="preserve">Lancet </w:t>
      </w:r>
      <w:r w:rsidRPr="00624032">
        <w:t>2009; 373: 1253-1263</w:t>
      </w:r>
    </w:p>
  </w:footnote>
  <w:footnote w:id="15">
    <w:p w:rsidR="00A32C9A" w:rsidRPr="00503F15" w:rsidRDefault="00A32C9A" w:rsidP="00503F15">
      <w:pPr>
        <w:pStyle w:val="FootnoteText"/>
      </w:pPr>
      <w:r>
        <w:rPr>
          <w:rStyle w:val="FootnoteReference"/>
        </w:rPr>
        <w:footnoteRef/>
      </w:r>
      <w:r>
        <w:t xml:space="preserve"> </w:t>
      </w:r>
      <w:proofErr w:type="spellStart"/>
      <w:r w:rsidRPr="00624032">
        <w:t>Saag</w:t>
      </w:r>
      <w:proofErr w:type="spellEnd"/>
      <w:r w:rsidRPr="00624032">
        <w:t xml:space="preserve"> K, et al (2007) </w:t>
      </w:r>
      <w:proofErr w:type="spellStart"/>
      <w:r w:rsidRPr="00624032">
        <w:t>Teriparatide</w:t>
      </w:r>
      <w:proofErr w:type="spellEnd"/>
      <w:r w:rsidRPr="00624032">
        <w:t xml:space="preserve"> or Alendronate in Glucocorticoid-Induced Osteoporosis </w:t>
      </w:r>
      <w:r w:rsidRPr="00C614F7">
        <w:rPr>
          <w:i/>
        </w:rPr>
        <w:t xml:space="preserve">N </w:t>
      </w:r>
      <w:proofErr w:type="spellStart"/>
      <w:r w:rsidRPr="00C614F7">
        <w:rPr>
          <w:i/>
        </w:rPr>
        <w:t>Engl</w:t>
      </w:r>
      <w:proofErr w:type="spellEnd"/>
      <w:r w:rsidRPr="00C614F7">
        <w:rPr>
          <w:i/>
        </w:rPr>
        <w:t xml:space="preserve"> J Med</w:t>
      </w:r>
      <w:r w:rsidRPr="00624032">
        <w:t xml:space="preserve"> 2007; 357: 2028-2039</w:t>
      </w:r>
      <w:r>
        <w:rPr>
          <w:sz w:val="20"/>
        </w:rPr>
        <w:t>.</w:t>
      </w:r>
    </w:p>
  </w:footnote>
  <w:footnote w:id="16">
    <w:p w:rsidR="00A32C9A" w:rsidRPr="00092A8B" w:rsidRDefault="00A32C9A">
      <w:pPr>
        <w:pStyle w:val="FootnoteText"/>
        <w:rPr>
          <w:lang w:val="en-US"/>
        </w:rPr>
      </w:pPr>
      <w:r>
        <w:rPr>
          <w:rStyle w:val="FootnoteReference"/>
        </w:rPr>
        <w:footnoteRef/>
      </w:r>
      <w:r>
        <w:t xml:space="preserve"> </w:t>
      </w:r>
      <w:r w:rsidRPr="00092A8B">
        <w:t xml:space="preserve">Rosen H and </w:t>
      </w:r>
      <w:proofErr w:type="spellStart"/>
      <w:r w:rsidRPr="00092A8B">
        <w:t>Saag</w:t>
      </w:r>
      <w:proofErr w:type="spellEnd"/>
      <w:r w:rsidRPr="00092A8B">
        <w:t xml:space="preserve"> K, Prevention and treatment of glucocorticoid-induced osteoporosis (last updated 5 June 2015) at www.up</w:t>
      </w:r>
      <w:r>
        <w:t>todate.com, accessed 11/9/2017</w:t>
      </w:r>
    </w:p>
  </w:footnote>
  <w:footnote w:id="17">
    <w:p w:rsidR="00A32C9A" w:rsidRPr="00092A8B" w:rsidRDefault="00A32C9A">
      <w:pPr>
        <w:pStyle w:val="FootnoteText"/>
        <w:rPr>
          <w:lang w:val="en-US"/>
        </w:rPr>
      </w:pPr>
      <w:r>
        <w:rPr>
          <w:rStyle w:val="FootnoteReference"/>
        </w:rPr>
        <w:footnoteRef/>
      </w:r>
      <w:r>
        <w:t xml:space="preserve"> </w:t>
      </w:r>
      <w:r w:rsidRPr="00371DE6">
        <w:t xml:space="preserve">Pregnancy </w:t>
      </w:r>
      <w:r>
        <w:t>C</w:t>
      </w:r>
      <w:r w:rsidRPr="00371DE6">
        <w:t>ategory D</w:t>
      </w:r>
      <w:r>
        <w:t xml:space="preserve"> is defined </w:t>
      </w:r>
      <w:r w:rsidRPr="00092A8B">
        <w:t>as</w:t>
      </w:r>
      <w:r>
        <w:t>:</w:t>
      </w:r>
      <w:r w:rsidRPr="00092A8B">
        <w:t xml:space="preserve">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8">
    <w:p w:rsidR="00A32C9A" w:rsidRPr="00503F15" w:rsidRDefault="00A32C9A" w:rsidP="00503F15">
      <w:pPr>
        <w:pStyle w:val="FootnoteText"/>
      </w:pPr>
      <w:r>
        <w:rPr>
          <w:rStyle w:val="FootnoteReference"/>
        </w:rPr>
        <w:footnoteRef/>
      </w:r>
      <w:r>
        <w:t xml:space="preserve"> </w:t>
      </w:r>
      <w:proofErr w:type="spellStart"/>
      <w:proofErr w:type="gramStart"/>
      <w:r>
        <w:t>Mahlen</w:t>
      </w:r>
      <w:proofErr w:type="spellEnd"/>
      <w:r>
        <w:t xml:space="preserve"> SD (2011) </w:t>
      </w:r>
      <w:proofErr w:type="spellStart"/>
      <w:r>
        <w:t>Serratia</w:t>
      </w:r>
      <w:proofErr w:type="spellEnd"/>
      <w:r>
        <w:t xml:space="preserve"> infections: from military experiments to current practice.</w:t>
      </w:r>
      <w:proofErr w:type="gramEnd"/>
      <w:r>
        <w:t xml:space="preserve"> </w:t>
      </w:r>
      <w:r w:rsidRPr="00503F15">
        <w:rPr>
          <w:i/>
          <w:sz w:val="20"/>
        </w:rPr>
        <w:t>Clinical Microbiology reviews</w:t>
      </w:r>
      <w:r>
        <w:rPr>
          <w:sz w:val="20"/>
        </w:rPr>
        <w:t xml:space="preserve"> 2011; 24: 755-791</w:t>
      </w:r>
    </w:p>
  </w:footnote>
  <w:footnote w:id="19">
    <w:p w:rsidR="00A32C9A" w:rsidRPr="001F59B5" w:rsidRDefault="00A32C9A">
      <w:pPr>
        <w:pStyle w:val="FootnoteText"/>
        <w:rPr>
          <w:lang w:val="en-US"/>
        </w:rPr>
      </w:pPr>
      <w:r>
        <w:rPr>
          <w:rStyle w:val="FootnoteReference"/>
        </w:rPr>
        <w:footnoteRef/>
      </w:r>
      <w:r>
        <w:t xml:space="preserve"> </w:t>
      </w:r>
      <w:r>
        <w:rPr>
          <w:sz w:val="20"/>
        </w:rPr>
        <w:t xml:space="preserve">Rosen H “Clinical features and evaluation of glucocorticoid induced osteoporosis” </w:t>
      </w:r>
      <w:proofErr w:type="spellStart"/>
      <w:r>
        <w:rPr>
          <w:sz w:val="20"/>
        </w:rPr>
        <w:t>UpToDate</w:t>
      </w:r>
      <w:proofErr w:type="spellEnd"/>
      <w:r>
        <w:rPr>
          <w:sz w:val="20"/>
        </w:rPr>
        <w:t xml:space="preserve"> 30 October 2017; accessed at www.uptodate.com </w:t>
      </w:r>
    </w:p>
  </w:footnote>
  <w:footnote w:id="20">
    <w:p w:rsidR="00A32C9A" w:rsidRPr="00D30800" w:rsidRDefault="00A32C9A">
      <w:pPr>
        <w:pStyle w:val="FootnoteText"/>
        <w:rPr>
          <w:lang w:val="en-US"/>
        </w:rPr>
      </w:pPr>
      <w:r>
        <w:rPr>
          <w:rStyle w:val="FootnoteReference"/>
        </w:rPr>
        <w:footnoteRef/>
      </w:r>
      <w:r>
        <w:t xml:space="preserve"> </w:t>
      </w:r>
      <w:proofErr w:type="spellStart"/>
      <w:r>
        <w:rPr>
          <w:sz w:val="20"/>
        </w:rPr>
        <w:t>Manolagas</w:t>
      </w:r>
      <w:proofErr w:type="spellEnd"/>
      <w:r>
        <w:rPr>
          <w:sz w:val="20"/>
        </w:rPr>
        <w:t xml:space="preserve"> S “Pathogenesis of osteoporosis” </w:t>
      </w:r>
      <w:proofErr w:type="spellStart"/>
      <w:r>
        <w:rPr>
          <w:sz w:val="20"/>
        </w:rPr>
        <w:t>UpToDate</w:t>
      </w:r>
      <w:proofErr w:type="spellEnd"/>
      <w:r>
        <w:rPr>
          <w:sz w:val="20"/>
        </w:rPr>
        <w:t xml:space="preserve"> 20 July 2017, accessed at www.uptodate.com </w:t>
      </w:r>
    </w:p>
  </w:footnote>
  <w:footnote w:id="21">
    <w:p w:rsidR="00A32C9A" w:rsidRPr="002579D9" w:rsidRDefault="00A32C9A">
      <w:pPr>
        <w:pStyle w:val="FootnoteText"/>
        <w:rPr>
          <w:lang w:val="en-US"/>
        </w:rPr>
      </w:pPr>
      <w:r>
        <w:rPr>
          <w:rStyle w:val="FootnoteReference"/>
        </w:rPr>
        <w:footnoteRef/>
      </w:r>
      <w:r>
        <w:t xml:space="preserve"> </w:t>
      </w:r>
      <w:proofErr w:type="spellStart"/>
      <w:proofErr w:type="gramStart"/>
      <w:r>
        <w:rPr>
          <w:sz w:val="20"/>
        </w:rPr>
        <w:t>Lekamwasam</w:t>
      </w:r>
      <w:proofErr w:type="spellEnd"/>
      <w:r>
        <w:rPr>
          <w:sz w:val="20"/>
        </w:rPr>
        <w:t xml:space="preserve"> et al (2012) </w:t>
      </w:r>
      <w:r>
        <w:t xml:space="preserve">A framework for the development of guidelines for the management of glucocorticoid-induced osteoporosis </w:t>
      </w:r>
      <w:proofErr w:type="spellStart"/>
      <w:r w:rsidRPr="00503F15">
        <w:rPr>
          <w:i/>
          <w:sz w:val="20"/>
        </w:rPr>
        <w:t>Osteoporos</w:t>
      </w:r>
      <w:proofErr w:type="spellEnd"/>
      <w:r w:rsidRPr="00503F15">
        <w:rPr>
          <w:i/>
          <w:sz w:val="20"/>
        </w:rPr>
        <w:t xml:space="preserve"> Int</w:t>
      </w:r>
      <w:r>
        <w:rPr>
          <w:sz w:val="20"/>
        </w:rPr>
        <w:t>. 2012; 23: 2257-2276.</w:t>
      </w:r>
      <w:proofErr w:type="gramEnd"/>
    </w:p>
  </w:footnote>
  <w:footnote w:id="22">
    <w:p w:rsidR="00A32C9A" w:rsidRDefault="00A32C9A" w:rsidP="00383C31">
      <w:pPr>
        <w:pStyle w:val="Default"/>
        <w:rPr>
          <w:sz w:val="20"/>
          <w:szCs w:val="20"/>
        </w:rPr>
      </w:pPr>
      <w:r w:rsidRPr="00503F15">
        <w:rPr>
          <w:rStyle w:val="FootnoteReference"/>
          <w:sz w:val="18"/>
          <w:szCs w:val="18"/>
        </w:rPr>
        <w:footnoteRef/>
      </w:r>
      <w:r>
        <w:t xml:space="preserve"> </w:t>
      </w:r>
      <w:proofErr w:type="spellStart"/>
      <w:r>
        <w:rPr>
          <w:sz w:val="20"/>
          <w:szCs w:val="20"/>
        </w:rPr>
        <w:t>Amiche</w:t>
      </w:r>
      <w:proofErr w:type="spellEnd"/>
      <w:r>
        <w:rPr>
          <w:sz w:val="20"/>
          <w:szCs w:val="20"/>
        </w:rPr>
        <w:t xml:space="preserve"> M, et al (2016) Fracture risk in oral glucocorticoid users: a Bayesian </w:t>
      </w:r>
    </w:p>
    <w:p w:rsidR="00A32C9A" w:rsidRPr="00383C31" w:rsidRDefault="00A32C9A" w:rsidP="00383C31">
      <w:pPr>
        <w:pStyle w:val="FootnoteText"/>
        <w:rPr>
          <w:lang w:val="en-US"/>
        </w:rPr>
      </w:pPr>
      <w:r>
        <w:rPr>
          <w:sz w:val="20"/>
        </w:rPr>
        <w:t xml:space="preserve">meta-regression leveraging control arms of osteoporosis clinical trials </w:t>
      </w:r>
      <w:proofErr w:type="spellStart"/>
      <w:r w:rsidRPr="00503F15">
        <w:rPr>
          <w:i/>
          <w:sz w:val="20"/>
        </w:rPr>
        <w:t>Osteoporos</w:t>
      </w:r>
      <w:proofErr w:type="spellEnd"/>
      <w:r w:rsidRPr="00503F15">
        <w:rPr>
          <w:i/>
          <w:sz w:val="20"/>
        </w:rPr>
        <w:t xml:space="preserve"> </w:t>
      </w:r>
      <w:proofErr w:type="spellStart"/>
      <w:r w:rsidRPr="00503F15">
        <w:rPr>
          <w:i/>
          <w:sz w:val="20"/>
        </w:rPr>
        <w:t>Int</w:t>
      </w:r>
      <w:proofErr w:type="spellEnd"/>
      <w:r>
        <w:rPr>
          <w:sz w:val="20"/>
        </w:rPr>
        <w:t xml:space="preserve"> 2016; 27: 1709–1718</w:t>
      </w:r>
    </w:p>
  </w:footnote>
  <w:footnote w:id="23">
    <w:p w:rsidR="00A32C9A" w:rsidRDefault="00A32C9A"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A32C9A" w:rsidRDefault="00A32C9A" w:rsidP="00456765">
      <w:pPr>
        <w:pStyle w:val="FootnoteText"/>
      </w:pPr>
      <w:r w:rsidRPr="00F12492">
        <w:rPr>
          <w:i/>
        </w:rPr>
        <w:t>Routine pharmacovigilance</w:t>
      </w:r>
      <w:r>
        <w:t xml:space="preserve"> practices involve the following activities:</w:t>
      </w:r>
    </w:p>
    <w:p w:rsidR="00A32C9A" w:rsidRDefault="00A32C9A" w:rsidP="004B2A45">
      <w:pPr>
        <w:pStyle w:val="FootnoteText"/>
        <w:numPr>
          <w:ilvl w:val="0"/>
          <w:numId w:val="6"/>
        </w:numPr>
      </w:pPr>
      <w:r>
        <w:t>All suspected adverse reactions that are reported to the personnel of the company are collected and collated in an accessible manner;</w:t>
      </w:r>
    </w:p>
    <w:p w:rsidR="00A32C9A" w:rsidRDefault="00A32C9A" w:rsidP="004B2A45">
      <w:pPr>
        <w:pStyle w:val="FootnoteText"/>
        <w:numPr>
          <w:ilvl w:val="0"/>
          <w:numId w:val="6"/>
        </w:numPr>
      </w:pPr>
      <w:r>
        <w:t>Reporting to regulatory authorities;</w:t>
      </w:r>
    </w:p>
    <w:p w:rsidR="00A32C9A" w:rsidRDefault="00A32C9A" w:rsidP="004B2A45">
      <w:pPr>
        <w:pStyle w:val="FootnoteText"/>
        <w:numPr>
          <w:ilvl w:val="0"/>
          <w:numId w:val="6"/>
        </w:numPr>
      </w:pPr>
      <w:r>
        <w:t>Continuous monitoring of the safety profiles of approved products including signal detection and updating of labelling;</w:t>
      </w:r>
    </w:p>
    <w:p w:rsidR="00A32C9A" w:rsidRDefault="00A32C9A" w:rsidP="004B2A45">
      <w:pPr>
        <w:pStyle w:val="FootnoteText"/>
        <w:numPr>
          <w:ilvl w:val="0"/>
          <w:numId w:val="6"/>
        </w:numPr>
      </w:pPr>
      <w:r>
        <w:t>Submission of PSURs;</w:t>
      </w:r>
    </w:p>
    <w:p w:rsidR="00A32C9A" w:rsidRPr="00F12492" w:rsidRDefault="00A32C9A" w:rsidP="004B2A45">
      <w:pPr>
        <w:pStyle w:val="FootnoteText"/>
        <w:numPr>
          <w:ilvl w:val="0"/>
          <w:numId w:val="6"/>
        </w:numPr>
        <w:rPr>
          <w:lang w:val="en-US"/>
        </w:rPr>
      </w:pPr>
      <w:r>
        <w:t>Meeting other local regulatory agency requirements.</w:t>
      </w:r>
    </w:p>
  </w:footnote>
  <w:footnote w:id="24">
    <w:p w:rsidR="00A32C9A" w:rsidRDefault="00A32C9A" w:rsidP="00235019">
      <w:pPr>
        <w:pStyle w:val="FootnoteText"/>
      </w:pPr>
      <w:r>
        <w:rPr>
          <w:rStyle w:val="FootnoteReference"/>
        </w:rPr>
        <w:footnoteRef/>
      </w:r>
      <w:r>
        <w:t xml:space="preserve"> </w:t>
      </w:r>
      <w:r w:rsidRPr="00607F1F">
        <w:t>Rosen H. Pathogenesis,</w:t>
      </w:r>
      <w:r>
        <w:t xml:space="preserve"> </w:t>
      </w:r>
      <w:r w:rsidRPr="00607F1F">
        <w:t xml:space="preserve">clinical features and evaluation of </w:t>
      </w:r>
      <w:r>
        <w:t>glucocorticoid induced</w:t>
      </w:r>
      <w:r w:rsidRPr="00607F1F">
        <w:t xml:space="preserve"> osteoporosis </w:t>
      </w:r>
      <w:r>
        <w:t>(</w:t>
      </w:r>
      <w:r w:rsidRPr="00607F1F">
        <w:t>topic updated 8 July 2016</w:t>
      </w:r>
      <w:r>
        <w:t>)</w:t>
      </w:r>
      <w:r w:rsidRPr="00607F1F">
        <w:t xml:space="preserve"> at </w:t>
      </w:r>
      <w:r w:rsidRPr="00624032">
        <w:t>www.uptodate.com</w:t>
      </w:r>
      <w:r w:rsidRPr="00607F1F">
        <w:t>.</w:t>
      </w:r>
      <w:r>
        <w:t xml:space="preserve"> </w:t>
      </w:r>
      <w:proofErr w:type="gramStart"/>
      <w:r w:rsidRPr="00607F1F">
        <w:t>Accessed 11 August 2017.</w:t>
      </w:r>
      <w:proofErr w:type="gramEnd"/>
    </w:p>
  </w:footnote>
  <w:footnote w:id="25">
    <w:p w:rsidR="00A32C9A" w:rsidRPr="00016DE4" w:rsidRDefault="00A32C9A" w:rsidP="00016DE4">
      <w:pPr>
        <w:pStyle w:val="FootnoteText"/>
      </w:pPr>
      <w:r>
        <w:rPr>
          <w:rStyle w:val="FootnoteReference"/>
        </w:rPr>
        <w:footnoteRef/>
      </w:r>
      <w:r>
        <w:t xml:space="preserve"> </w:t>
      </w:r>
      <w:r w:rsidRPr="00016DE4">
        <w:t xml:space="preserve">Cohen S et al (1999) Risedronate therapy prevents corticosteroid-induced bone loss. </w:t>
      </w:r>
      <w:r w:rsidRPr="00016DE4">
        <w:rPr>
          <w:i/>
        </w:rPr>
        <w:t>Arthritis &amp; rheumatism</w:t>
      </w:r>
      <w:r>
        <w:t xml:space="preserve"> 1999; </w:t>
      </w:r>
      <w:r w:rsidRPr="00016DE4">
        <w:t>42</w:t>
      </w:r>
      <w:r>
        <w:t>:</w:t>
      </w:r>
      <w:r w:rsidRPr="00016DE4">
        <w:t xml:space="preserve"> 2309–2318</w:t>
      </w:r>
    </w:p>
  </w:footnote>
  <w:footnote w:id="26">
    <w:p w:rsidR="00A32C9A" w:rsidRPr="00503F15" w:rsidRDefault="00A32C9A">
      <w:pPr>
        <w:pStyle w:val="FootnoteText"/>
        <w:rPr>
          <w:lang w:val="en-US"/>
        </w:rPr>
      </w:pPr>
      <w:r>
        <w:rPr>
          <w:rStyle w:val="FootnoteReference"/>
        </w:rPr>
        <w:footnoteRef/>
      </w:r>
      <w:r>
        <w:t xml:space="preserve"> </w:t>
      </w:r>
      <w:proofErr w:type="spellStart"/>
      <w:r w:rsidRPr="00701A9A">
        <w:t>Compston</w:t>
      </w:r>
      <w:r>
        <w:t>J</w:t>
      </w:r>
      <w:proofErr w:type="spellEnd"/>
      <w:r w:rsidRPr="00701A9A">
        <w:t xml:space="preserve"> et al, </w:t>
      </w:r>
      <w:r>
        <w:t>(</w:t>
      </w:r>
      <w:r w:rsidRPr="00701A9A">
        <w:t>2008</w:t>
      </w:r>
      <w:r>
        <w:t>)</w:t>
      </w:r>
      <w:r w:rsidRPr="00CB21C4">
        <w:t xml:space="preserve"> Recommendations for the registration </w:t>
      </w:r>
      <w:r>
        <w:t xml:space="preserve">of </w:t>
      </w:r>
      <w:r w:rsidRPr="00CB21C4">
        <w:t xml:space="preserve">agents for prevention and treatment of </w:t>
      </w:r>
      <w:r>
        <w:t xml:space="preserve">glucocorticoid induced osteoporosis: an update </w:t>
      </w:r>
      <w:r w:rsidRPr="00CB21C4">
        <w:t xml:space="preserve">from the Group for the Respect of Ethics and Excellence in Science. </w:t>
      </w:r>
      <w:proofErr w:type="spellStart"/>
      <w:r w:rsidRPr="00503F15">
        <w:rPr>
          <w:i/>
        </w:rPr>
        <w:t>Osteoporos</w:t>
      </w:r>
      <w:proofErr w:type="spellEnd"/>
      <w:r w:rsidRPr="00503F15">
        <w:rPr>
          <w:i/>
        </w:rPr>
        <w:t xml:space="preserve"> Int.</w:t>
      </w:r>
      <w:r>
        <w:t xml:space="preserve"> </w:t>
      </w:r>
      <w:r w:rsidRPr="00CB21C4">
        <w:t>2008;</w:t>
      </w:r>
      <w:r>
        <w:t xml:space="preserve"> </w:t>
      </w:r>
      <w:r w:rsidRPr="00CB21C4">
        <w:t>19:</w:t>
      </w:r>
      <w:r>
        <w:t xml:space="preserve"> </w:t>
      </w:r>
      <w:r w:rsidRPr="00CB21C4">
        <w:t>1247-1250</w:t>
      </w:r>
    </w:p>
  </w:footnote>
  <w:footnote w:id="27">
    <w:p w:rsidR="00A32C9A" w:rsidRPr="00503F15" w:rsidRDefault="00A32C9A">
      <w:pPr>
        <w:pStyle w:val="FootnoteText"/>
        <w:rPr>
          <w:lang w:val="en-US"/>
        </w:rPr>
      </w:pPr>
      <w:r>
        <w:rPr>
          <w:rStyle w:val="FootnoteReference"/>
        </w:rPr>
        <w:footnoteRef/>
      </w:r>
      <w:r>
        <w:t xml:space="preserve"> </w:t>
      </w:r>
      <w:proofErr w:type="spellStart"/>
      <w:r>
        <w:t>Abadie</w:t>
      </w:r>
      <w:proofErr w:type="spellEnd"/>
      <w:r>
        <w:t xml:space="preserve"> EC et al, (2005)</w:t>
      </w:r>
      <w:r w:rsidRPr="00CB21C4">
        <w:t xml:space="preserve"> Recommendations for the registration of</w:t>
      </w:r>
      <w:r>
        <w:t xml:space="preserve"> </w:t>
      </w:r>
      <w:r w:rsidRPr="00CB21C4">
        <w:t>agents to be used in the prevention and trea</w:t>
      </w:r>
      <w:r>
        <w:t xml:space="preserve">tment of glucocorticoid induced </w:t>
      </w:r>
      <w:r w:rsidRPr="00CB21C4">
        <w:t>osteoporosis: updated recommendations from the Grou</w:t>
      </w:r>
      <w:r>
        <w:t xml:space="preserve">p for the Respect of Ethics and </w:t>
      </w:r>
      <w:r w:rsidRPr="00CB21C4">
        <w:t xml:space="preserve">Excellence in Science. </w:t>
      </w:r>
      <w:proofErr w:type="spellStart"/>
      <w:proofErr w:type="gramStart"/>
      <w:r w:rsidRPr="00503F15">
        <w:rPr>
          <w:i/>
        </w:rPr>
        <w:t>Sem</w:t>
      </w:r>
      <w:proofErr w:type="spellEnd"/>
      <w:r w:rsidRPr="00503F15">
        <w:rPr>
          <w:i/>
        </w:rPr>
        <w:t xml:space="preserve"> Arthritis Rheum</w:t>
      </w:r>
      <w:r w:rsidRPr="00CB21C4">
        <w:t>.</w:t>
      </w:r>
      <w:proofErr w:type="gramEnd"/>
      <w:r w:rsidRPr="00CB21C4">
        <w:t xml:space="preserve"> 2005;</w:t>
      </w:r>
      <w:r>
        <w:t xml:space="preserve"> </w:t>
      </w:r>
      <w:r w:rsidRPr="00CB21C4">
        <w:t>35:</w:t>
      </w:r>
      <w:r>
        <w:t xml:space="preserve"> 1-4</w:t>
      </w:r>
    </w:p>
  </w:footnote>
  <w:footnote w:id="28">
    <w:p w:rsidR="00A32C9A" w:rsidRPr="00503F15" w:rsidRDefault="00A32C9A">
      <w:pPr>
        <w:pStyle w:val="FootnoteText"/>
        <w:rPr>
          <w:lang w:val="en-US"/>
        </w:rPr>
      </w:pPr>
      <w:r>
        <w:rPr>
          <w:rStyle w:val="FootnoteReference"/>
        </w:rPr>
        <w:footnoteRef/>
      </w:r>
      <w:r>
        <w:t xml:space="preserve"> </w:t>
      </w:r>
      <w:proofErr w:type="spellStart"/>
      <w:r>
        <w:t>Compston</w:t>
      </w:r>
      <w:proofErr w:type="spellEnd"/>
      <w:r>
        <w:t xml:space="preserve"> J E et al, (1996)</w:t>
      </w:r>
      <w:r w:rsidRPr="00503F15">
        <w:t xml:space="preserve"> </w:t>
      </w:r>
      <w:r w:rsidRPr="00CB21C4">
        <w:t xml:space="preserve">Recommendations for </w:t>
      </w:r>
      <w:r>
        <w:t xml:space="preserve">the registration of </w:t>
      </w:r>
      <w:r w:rsidRPr="00CB21C4">
        <w:t xml:space="preserve">agents used in the prevention and treatment of </w:t>
      </w:r>
      <w:r>
        <w:t xml:space="preserve">glucocorticoid induced osteoporosis. </w:t>
      </w:r>
      <w:proofErr w:type="spellStart"/>
      <w:r w:rsidRPr="00503F15">
        <w:rPr>
          <w:i/>
        </w:rPr>
        <w:t>Calcif</w:t>
      </w:r>
      <w:proofErr w:type="spellEnd"/>
      <w:r w:rsidRPr="00503F15">
        <w:rPr>
          <w:i/>
        </w:rPr>
        <w:t xml:space="preserve"> Tissue </w:t>
      </w:r>
      <w:proofErr w:type="spellStart"/>
      <w:r w:rsidRPr="00503F15">
        <w:rPr>
          <w:i/>
        </w:rPr>
        <w:t>Int</w:t>
      </w:r>
      <w:proofErr w:type="spellEnd"/>
      <w:r w:rsidRPr="00CB21C4">
        <w:t xml:space="preserve"> 1996;</w:t>
      </w:r>
      <w:r>
        <w:t xml:space="preserve"> </w:t>
      </w:r>
      <w:r w:rsidRPr="00CB21C4">
        <w:t>59:</w:t>
      </w:r>
      <w:r>
        <w:t xml:space="preserve"> 323-</w:t>
      </w:r>
      <w:r w:rsidRPr="00CB21C4">
        <w:t>327</w:t>
      </w:r>
    </w:p>
  </w:footnote>
  <w:footnote w:id="29">
    <w:p w:rsidR="00A32C9A" w:rsidRPr="00503F15" w:rsidRDefault="00A32C9A">
      <w:pPr>
        <w:pStyle w:val="FootnoteText"/>
        <w:rPr>
          <w:lang w:val="en-US"/>
        </w:rPr>
      </w:pPr>
      <w:r>
        <w:rPr>
          <w:rStyle w:val="FootnoteReference"/>
        </w:rPr>
        <w:footnoteRef/>
      </w:r>
      <w:r>
        <w:t xml:space="preserve"> </w:t>
      </w:r>
      <w:proofErr w:type="spellStart"/>
      <w:r>
        <w:t>Kanis</w:t>
      </w:r>
      <w:proofErr w:type="spellEnd"/>
      <w:r>
        <w:t xml:space="preserve"> JA et al, (</w:t>
      </w:r>
      <w:r w:rsidRPr="00551BA9">
        <w:t>2007</w:t>
      </w:r>
      <w:r>
        <w:t xml:space="preserve">) </w:t>
      </w:r>
      <w:proofErr w:type="spellStart"/>
      <w:r>
        <w:t>Glucocorticoidinduced</w:t>
      </w:r>
      <w:proofErr w:type="spellEnd"/>
      <w:r>
        <w:t xml:space="preserve"> </w:t>
      </w:r>
      <w:r w:rsidRPr="00CB21C4">
        <w:t xml:space="preserve">osteoporosis: a systematic review and cost-utility analysis. </w:t>
      </w:r>
      <w:r w:rsidRPr="00503F15">
        <w:rPr>
          <w:i/>
        </w:rPr>
        <w:t xml:space="preserve">Health </w:t>
      </w:r>
      <w:proofErr w:type="spellStart"/>
      <w:r w:rsidRPr="00503F15">
        <w:rPr>
          <w:i/>
        </w:rPr>
        <w:t>Technol</w:t>
      </w:r>
      <w:proofErr w:type="spellEnd"/>
      <w:r w:rsidRPr="00503F15">
        <w:rPr>
          <w:i/>
        </w:rPr>
        <w:t xml:space="preserve"> Assess</w:t>
      </w:r>
      <w:r w:rsidRPr="00CB21C4">
        <w:t>. 2007;11:iii-iv, ix xi,1-231</w:t>
      </w:r>
    </w:p>
  </w:footnote>
  <w:footnote w:id="30">
    <w:p w:rsidR="00A32C9A" w:rsidRPr="00503F15" w:rsidRDefault="00A32C9A">
      <w:pPr>
        <w:pStyle w:val="FootnoteText"/>
        <w:rPr>
          <w:lang w:val="en-US"/>
        </w:rPr>
      </w:pPr>
      <w:r>
        <w:rPr>
          <w:rStyle w:val="FootnoteReference"/>
        </w:rPr>
        <w:footnoteRef/>
      </w:r>
      <w:r>
        <w:t xml:space="preserve"> Rizzoli R and </w:t>
      </w:r>
      <w:proofErr w:type="spellStart"/>
      <w:r>
        <w:t>Biver</w:t>
      </w:r>
      <w:proofErr w:type="spellEnd"/>
      <w:r>
        <w:t xml:space="preserve"> E (2015)</w:t>
      </w:r>
      <w:r w:rsidRPr="00503F15">
        <w:t xml:space="preserve"> </w:t>
      </w:r>
      <w:r w:rsidRPr="00CB21C4">
        <w:t>Glucocorticoid-induced osteopo</w:t>
      </w:r>
      <w:r>
        <w:t xml:space="preserve">rosis: who to treat with what </w:t>
      </w:r>
      <w:r w:rsidRPr="00CB21C4">
        <w:t xml:space="preserve">agent? </w:t>
      </w:r>
      <w:proofErr w:type="gramStart"/>
      <w:r w:rsidRPr="00503F15">
        <w:rPr>
          <w:i/>
        </w:rPr>
        <w:t xml:space="preserve">Nat Rev </w:t>
      </w:r>
      <w:proofErr w:type="spellStart"/>
      <w:r w:rsidRPr="00503F15">
        <w:rPr>
          <w:i/>
        </w:rPr>
        <w:t>Rheumatol</w:t>
      </w:r>
      <w:proofErr w:type="spellEnd"/>
      <w:r w:rsidRPr="00503F15">
        <w:rPr>
          <w:i/>
        </w:rPr>
        <w:t>.</w:t>
      </w:r>
      <w:proofErr w:type="gramEnd"/>
      <w:r w:rsidRPr="00503F15">
        <w:rPr>
          <w:i/>
        </w:rPr>
        <w:t xml:space="preserve"> </w:t>
      </w:r>
      <w:r w:rsidRPr="00CB21C4">
        <w:t>2015;</w:t>
      </w:r>
      <w:r>
        <w:t xml:space="preserve"> </w:t>
      </w:r>
      <w:r w:rsidRPr="00CB21C4">
        <w:t>11:</w:t>
      </w:r>
      <w:r>
        <w:t xml:space="preserve"> </w:t>
      </w:r>
      <w:r w:rsidRPr="00CB21C4">
        <w:t>98-109</w:t>
      </w:r>
    </w:p>
  </w:footnote>
  <w:footnote w:id="31">
    <w:p w:rsidR="00A32C9A" w:rsidRPr="00503F15" w:rsidRDefault="00A32C9A">
      <w:pPr>
        <w:pStyle w:val="FootnoteText"/>
        <w:rPr>
          <w:lang w:val="en-US"/>
        </w:rPr>
      </w:pPr>
      <w:r>
        <w:rPr>
          <w:rStyle w:val="FootnoteReference"/>
        </w:rPr>
        <w:footnoteRef/>
      </w:r>
      <w:r>
        <w:t xml:space="preserve"> </w:t>
      </w:r>
      <w:proofErr w:type="spellStart"/>
      <w:r>
        <w:t>Lekamwasam</w:t>
      </w:r>
      <w:proofErr w:type="spellEnd"/>
      <w:r>
        <w:t xml:space="preserve"> S et al, (2012)</w:t>
      </w:r>
      <w:r w:rsidRPr="00503F15">
        <w:t xml:space="preserve"> </w:t>
      </w:r>
      <w:r w:rsidRPr="00CB21C4">
        <w:t>A f</w:t>
      </w:r>
      <w:r>
        <w:t xml:space="preserve">ramework for the development of </w:t>
      </w:r>
      <w:r w:rsidRPr="00CB21C4">
        <w:t xml:space="preserve">guidelines for the management of </w:t>
      </w:r>
      <w:r>
        <w:t>glucocorticoid induced osteoporosis</w:t>
      </w:r>
      <w:r w:rsidRPr="00503F15">
        <w:rPr>
          <w:i/>
        </w:rPr>
        <w:t xml:space="preserve">. </w:t>
      </w:r>
      <w:proofErr w:type="spellStart"/>
      <w:r w:rsidRPr="00503F15">
        <w:rPr>
          <w:i/>
        </w:rPr>
        <w:t>Osteoporos</w:t>
      </w:r>
      <w:proofErr w:type="spellEnd"/>
      <w:r w:rsidRPr="00503F15">
        <w:rPr>
          <w:i/>
        </w:rPr>
        <w:t xml:space="preserve"> Int.</w:t>
      </w:r>
      <w:r>
        <w:t xml:space="preserve"> </w:t>
      </w:r>
      <w:r w:rsidRPr="00CB21C4">
        <w:t>2012;</w:t>
      </w:r>
      <w:r>
        <w:t xml:space="preserve"> </w:t>
      </w:r>
      <w:r w:rsidRPr="00CB21C4">
        <w:t>23:</w:t>
      </w:r>
      <w:r>
        <w:t xml:space="preserve"> 2257-2276</w:t>
      </w:r>
    </w:p>
  </w:footnote>
  <w:footnote w:id="32">
    <w:p w:rsidR="00A32C9A" w:rsidRPr="00503F15" w:rsidRDefault="00A32C9A">
      <w:pPr>
        <w:pStyle w:val="FootnoteText"/>
        <w:rPr>
          <w:lang w:val="en-US"/>
        </w:rPr>
      </w:pPr>
      <w:r>
        <w:rPr>
          <w:rStyle w:val="FootnoteReference"/>
        </w:rPr>
        <w:footnoteRef/>
      </w:r>
      <w:r>
        <w:t xml:space="preserve"> </w:t>
      </w:r>
      <w:r w:rsidRPr="0050487B">
        <w:t xml:space="preserve">Smith </w:t>
      </w:r>
      <w:r>
        <w:t xml:space="preserve">MR </w:t>
      </w:r>
      <w:r w:rsidRPr="0050487B">
        <w:t xml:space="preserve">et al, </w:t>
      </w:r>
      <w:r>
        <w:t>(</w:t>
      </w:r>
      <w:r w:rsidRPr="0050487B">
        <w:t>2009</w:t>
      </w:r>
      <w:r>
        <w:t>)</w:t>
      </w:r>
      <w:r w:rsidRPr="00CB21C4">
        <w:t xml:space="preserve"> Denosumab in men receiving</w:t>
      </w:r>
      <w:r>
        <w:t xml:space="preserve"> </w:t>
      </w:r>
      <w:r w:rsidRPr="00CB21C4">
        <w:t xml:space="preserve">androgen-deprivation therapy for prostate cancer. </w:t>
      </w:r>
      <w:r w:rsidRPr="00503F15">
        <w:rPr>
          <w:i/>
        </w:rPr>
        <w:t xml:space="preserve">N </w:t>
      </w:r>
      <w:proofErr w:type="spellStart"/>
      <w:r w:rsidRPr="00503F15">
        <w:rPr>
          <w:i/>
        </w:rPr>
        <w:t>Engl</w:t>
      </w:r>
      <w:proofErr w:type="spellEnd"/>
      <w:r w:rsidRPr="00503F15">
        <w:rPr>
          <w:i/>
        </w:rPr>
        <w:t xml:space="preserve"> J Med.</w:t>
      </w:r>
      <w:r w:rsidRPr="00CB21C4">
        <w:t xml:space="preserve"> 2009;</w:t>
      </w:r>
      <w:r>
        <w:t xml:space="preserve"> </w:t>
      </w:r>
      <w:r w:rsidRPr="00CB21C4">
        <w:t>361:</w:t>
      </w:r>
      <w:r>
        <w:t xml:space="preserve"> </w:t>
      </w:r>
      <w:r w:rsidRPr="00CB21C4">
        <w:t>745-755</w:t>
      </w:r>
    </w:p>
  </w:footnote>
  <w:footnote w:id="33">
    <w:p w:rsidR="00A32C9A" w:rsidRPr="00503F15" w:rsidRDefault="00A32C9A">
      <w:pPr>
        <w:pStyle w:val="FootnoteText"/>
        <w:rPr>
          <w:lang w:val="en-US"/>
        </w:rPr>
      </w:pPr>
      <w:r>
        <w:rPr>
          <w:rStyle w:val="FootnoteReference"/>
        </w:rPr>
        <w:footnoteRef/>
      </w:r>
      <w:r>
        <w:t xml:space="preserve"> </w:t>
      </w:r>
      <w:proofErr w:type="spellStart"/>
      <w:r w:rsidRPr="0050487B">
        <w:t>Gnant</w:t>
      </w:r>
      <w:proofErr w:type="spellEnd"/>
      <w:r w:rsidRPr="0050487B">
        <w:t xml:space="preserve"> </w:t>
      </w:r>
      <w:r>
        <w:t xml:space="preserve">M </w:t>
      </w:r>
      <w:r w:rsidRPr="0050487B">
        <w:t xml:space="preserve">et al, </w:t>
      </w:r>
      <w:r>
        <w:t>(</w:t>
      </w:r>
      <w:r w:rsidRPr="0050487B">
        <w:t>2015</w:t>
      </w:r>
      <w:r>
        <w:t>)</w:t>
      </w:r>
      <w:r w:rsidRPr="00CB21C4">
        <w:t xml:space="preserve"> Adjuvan</w:t>
      </w:r>
      <w:r>
        <w:t xml:space="preserve">t denosumab in breast cancer </w:t>
      </w:r>
      <w:r w:rsidRPr="00CB21C4">
        <w:t xml:space="preserve">(ABCSG-18): a </w:t>
      </w:r>
      <w:proofErr w:type="spellStart"/>
      <w:r w:rsidRPr="00CB21C4">
        <w:t>multicenter</w:t>
      </w:r>
      <w:proofErr w:type="spellEnd"/>
      <w:r w:rsidRPr="00CB21C4">
        <w:t xml:space="preserve">, randomized, double-blind, placebo-controlled trial. </w:t>
      </w:r>
      <w:proofErr w:type="gramStart"/>
      <w:r w:rsidRPr="00503F15">
        <w:rPr>
          <w:i/>
        </w:rPr>
        <w:t>Lancet.</w:t>
      </w:r>
      <w:proofErr w:type="gramEnd"/>
      <w:r>
        <w:t xml:space="preserve"> </w:t>
      </w:r>
      <w:r w:rsidRPr="00CB21C4">
        <w:t>2015;</w:t>
      </w:r>
      <w:r>
        <w:t xml:space="preserve"> </w:t>
      </w:r>
      <w:r w:rsidRPr="00CB21C4">
        <w:t>386:</w:t>
      </w:r>
      <w:r>
        <w:t xml:space="preserve"> </w:t>
      </w:r>
      <w:r w:rsidRPr="00CB21C4">
        <w:t>433-443</w:t>
      </w:r>
    </w:p>
  </w:footnote>
  <w:footnote w:id="34">
    <w:p w:rsidR="00A32C9A" w:rsidRPr="00503F15" w:rsidRDefault="00A32C9A">
      <w:pPr>
        <w:pStyle w:val="FootnoteText"/>
        <w:rPr>
          <w:lang w:val="en-US"/>
        </w:rPr>
      </w:pPr>
      <w:r>
        <w:rPr>
          <w:rStyle w:val="FootnoteReference"/>
        </w:rPr>
        <w:footnoteRef/>
      </w:r>
      <w:r>
        <w:t xml:space="preserve"> </w:t>
      </w:r>
      <w:proofErr w:type="gramStart"/>
      <w:r w:rsidRPr="0050487B">
        <w:t xml:space="preserve">Wallach </w:t>
      </w:r>
      <w:r>
        <w:t xml:space="preserve">S </w:t>
      </w:r>
      <w:r w:rsidRPr="0050487B">
        <w:t xml:space="preserve">et al, </w:t>
      </w:r>
      <w:r>
        <w:t>(</w:t>
      </w:r>
      <w:r w:rsidRPr="0050487B">
        <w:t>2000</w:t>
      </w:r>
      <w:r>
        <w:t>)</w:t>
      </w:r>
      <w:r w:rsidRPr="00503F15">
        <w:t xml:space="preserve"> </w:t>
      </w:r>
      <w:r w:rsidRPr="00CB21C4">
        <w:t>Effects of risedr</w:t>
      </w:r>
      <w:r>
        <w:t xml:space="preserve">onate treatment on bone density </w:t>
      </w:r>
      <w:r w:rsidRPr="00CB21C4">
        <w:t>and vertebral fracture in patients on corticosteroid therapy.</w:t>
      </w:r>
      <w:proofErr w:type="gramEnd"/>
      <w:r w:rsidRPr="00CB21C4">
        <w:t xml:space="preserve"> </w:t>
      </w:r>
      <w:proofErr w:type="spellStart"/>
      <w:r w:rsidRPr="00503F15">
        <w:rPr>
          <w:i/>
        </w:rPr>
        <w:t>Calcif</w:t>
      </w:r>
      <w:proofErr w:type="spellEnd"/>
      <w:r w:rsidRPr="00503F15">
        <w:rPr>
          <w:i/>
        </w:rPr>
        <w:t xml:space="preserve"> Tissue Int.</w:t>
      </w:r>
      <w:r>
        <w:t xml:space="preserve"> </w:t>
      </w:r>
      <w:r w:rsidRPr="00CB21C4">
        <w:t>2000;</w:t>
      </w:r>
      <w:r>
        <w:t xml:space="preserve"> </w:t>
      </w:r>
      <w:r w:rsidRPr="00CB21C4">
        <w:t>67:</w:t>
      </w:r>
      <w:r>
        <w:t xml:space="preserve"> </w:t>
      </w:r>
      <w:r w:rsidRPr="00CB21C4">
        <w:t>277-28</w:t>
      </w:r>
      <w:r>
        <w:t>0</w:t>
      </w:r>
    </w:p>
  </w:footnote>
  <w:footnote w:id="35">
    <w:p w:rsidR="00A32C9A" w:rsidRPr="00503F15" w:rsidRDefault="00A32C9A">
      <w:pPr>
        <w:pStyle w:val="FootnoteText"/>
        <w:rPr>
          <w:lang w:val="en-US"/>
        </w:rPr>
      </w:pPr>
      <w:r>
        <w:rPr>
          <w:rStyle w:val="FootnoteReference"/>
        </w:rPr>
        <w:footnoteRef/>
      </w:r>
      <w:r>
        <w:t xml:space="preserve"> </w:t>
      </w:r>
      <w:proofErr w:type="spellStart"/>
      <w:r w:rsidRPr="0050487B">
        <w:t>Reginster</w:t>
      </w:r>
      <w:proofErr w:type="spellEnd"/>
      <w:r w:rsidRPr="0050487B">
        <w:t xml:space="preserve"> </w:t>
      </w:r>
      <w:r>
        <w:t xml:space="preserve">J </w:t>
      </w:r>
      <w:r w:rsidRPr="0050487B">
        <w:t xml:space="preserve">et al, </w:t>
      </w:r>
      <w:r>
        <w:t>(</w:t>
      </w:r>
      <w:r w:rsidRPr="0050487B">
        <w:t>2000</w:t>
      </w:r>
      <w:r>
        <w:t>)</w:t>
      </w:r>
      <w:r w:rsidRPr="00CB21C4">
        <w:t xml:space="preserve"> Randomized trial </w:t>
      </w:r>
      <w:r>
        <w:t xml:space="preserve">of the effects of </w:t>
      </w:r>
      <w:r w:rsidRPr="00CB21C4">
        <w:t xml:space="preserve">risedronate on vertebral fractures in women </w:t>
      </w:r>
      <w:r>
        <w:t xml:space="preserve">with established postmenopausal </w:t>
      </w:r>
      <w:r w:rsidRPr="00CB21C4">
        <w:t xml:space="preserve">osteoporosis. </w:t>
      </w:r>
      <w:proofErr w:type="gramStart"/>
      <w:r w:rsidRPr="00CB21C4">
        <w:t>Vertebral Efficacy with Risedron</w:t>
      </w:r>
      <w:r>
        <w:t>ate Therapy (VERT) Study Group.</w:t>
      </w:r>
      <w:proofErr w:type="gramEnd"/>
      <w:r>
        <w:t xml:space="preserve"> </w:t>
      </w:r>
      <w:proofErr w:type="spellStart"/>
      <w:r w:rsidRPr="00503F15">
        <w:rPr>
          <w:i/>
        </w:rPr>
        <w:t>Osteoporos</w:t>
      </w:r>
      <w:proofErr w:type="spellEnd"/>
      <w:r w:rsidRPr="00503F15">
        <w:rPr>
          <w:i/>
        </w:rPr>
        <w:t xml:space="preserve"> Int. </w:t>
      </w:r>
      <w:r w:rsidRPr="00CB21C4">
        <w:t>2000;</w:t>
      </w:r>
      <w:r>
        <w:t xml:space="preserve"> </w:t>
      </w:r>
      <w:r w:rsidRPr="00CB21C4">
        <w:t>11:</w:t>
      </w:r>
      <w:r>
        <w:t xml:space="preserve"> </w:t>
      </w:r>
      <w:r w:rsidRPr="00CB21C4">
        <w:t>83-91</w:t>
      </w:r>
    </w:p>
  </w:footnote>
  <w:footnote w:id="36">
    <w:p w:rsidR="00A32C9A" w:rsidRPr="008634CF" w:rsidRDefault="00A32C9A">
      <w:pPr>
        <w:pStyle w:val="FootnoteText"/>
        <w:rPr>
          <w:lang w:val="en-US"/>
        </w:rPr>
      </w:pPr>
      <w:r>
        <w:rPr>
          <w:rStyle w:val="FootnoteReference"/>
        </w:rPr>
        <w:footnoteRef/>
      </w:r>
      <w:r>
        <w:t xml:space="preserve"> </w:t>
      </w:r>
      <w:r w:rsidRPr="00CB21C4">
        <w:t>European Medicines Agency (EMA), Committee for M</w:t>
      </w:r>
      <w:r>
        <w:t xml:space="preserve">edicinal Products for Human Use </w:t>
      </w:r>
      <w:r w:rsidRPr="00CB21C4">
        <w:t xml:space="preserve">(CHMP). </w:t>
      </w:r>
      <w:proofErr w:type="gramStart"/>
      <w:r w:rsidRPr="00CB21C4">
        <w:t>Guideline on the Evaluation of Medicinal Produ</w:t>
      </w:r>
      <w:r>
        <w:t xml:space="preserve">cts in the Treatment of Primary </w:t>
      </w:r>
      <w:r w:rsidRPr="00CB21C4">
        <w:t>Osteo</w:t>
      </w:r>
      <w:r>
        <w:t>porosis.</w:t>
      </w:r>
      <w:proofErr w:type="gramEnd"/>
      <w:r>
        <w:t xml:space="preserve"> Effective 31 May 2007</w:t>
      </w:r>
    </w:p>
  </w:footnote>
  <w:footnote w:id="37">
    <w:p w:rsidR="00A32C9A" w:rsidRPr="00503F15" w:rsidRDefault="00A32C9A">
      <w:pPr>
        <w:pStyle w:val="FootnoteText"/>
        <w:rPr>
          <w:lang w:val="en-US"/>
        </w:rPr>
      </w:pPr>
      <w:r>
        <w:rPr>
          <w:rStyle w:val="FootnoteReference"/>
        </w:rPr>
        <w:footnoteRef/>
      </w:r>
      <w:r>
        <w:t xml:space="preserve"> </w:t>
      </w:r>
      <w:proofErr w:type="spellStart"/>
      <w:r w:rsidRPr="0050487B">
        <w:t>Sambrook</w:t>
      </w:r>
      <w:proofErr w:type="spellEnd"/>
      <w:r w:rsidRPr="0050487B">
        <w:t xml:space="preserve">, </w:t>
      </w:r>
      <w:r>
        <w:t>PN (</w:t>
      </w:r>
      <w:r w:rsidRPr="0050487B">
        <w:t>2005</w:t>
      </w:r>
      <w:r>
        <w:t>)</w:t>
      </w:r>
      <w:r w:rsidRPr="00503F15">
        <w:t xml:space="preserve"> </w:t>
      </w:r>
      <w:r w:rsidRPr="00CB21C4">
        <w:t xml:space="preserve">How to prevent steroid induced osteoporosis. </w:t>
      </w:r>
      <w:r w:rsidRPr="00503F15">
        <w:rPr>
          <w:i/>
        </w:rPr>
        <w:t>Ann Rheum Dis</w:t>
      </w:r>
      <w:r>
        <w:t xml:space="preserve"> </w:t>
      </w:r>
      <w:r w:rsidRPr="00CB21C4">
        <w:t>2005;</w:t>
      </w:r>
      <w:r>
        <w:t xml:space="preserve"> </w:t>
      </w:r>
      <w:r w:rsidRPr="00CB21C4">
        <w:t>64:</w:t>
      </w:r>
      <w:r>
        <w:t xml:space="preserve"> </w:t>
      </w:r>
      <w:r w:rsidRPr="00CB21C4">
        <w:t>176–178</w:t>
      </w:r>
    </w:p>
  </w:footnote>
  <w:footnote w:id="38">
    <w:p w:rsidR="00A32C9A" w:rsidRDefault="00A32C9A"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A32C9A" w:rsidRPr="00456765" w:rsidRDefault="00A32C9A"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pPr>
      <w:rPr>
        <w:noProof/>
        <w:lang w:eastAsia="en-AU"/>
      </w:rPr>
    </w:pPr>
    <w:r w:rsidRPr="00347824">
      <w:rPr>
        <w:noProof/>
        <w:lang w:eastAsia="en-AU"/>
      </w:rPr>
      <w:drawing>
        <wp:anchor distT="0" distB="0" distL="114300" distR="114300" simplePos="0" relativeHeight="251659264" behindDoc="1" locked="0" layoutInCell="1" allowOverlap="1" wp14:anchorId="1E0A8516" wp14:editId="14A06B4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32C9A" w:rsidRDefault="00A32C9A" w:rsidP="00593AD1">
    <w:pPr>
      <w:pStyle w:val="HeaderNoLine"/>
    </w:pPr>
    <w:r>
      <w:rPr>
        <w:noProof/>
        <w:lang w:eastAsia="en-AU"/>
      </w:rPr>
      <w:drawing>
        <wp:inline distT="0" distB="0" distL="0" distR="0" wp14:anchorId="6940EEF7" wp14:editId="7B1C67F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C9A" w:rsidRDefault="00A32C9A" w:rsidP="006E08B3">
    <w:r>
      <w:t>Therapeutic Goods Administration</w:t>
    </w:r>
  </w:p>
  <w:p w:rsidR="00A32C9A" w:rsidRDefault="00A32C9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D4CDAA"/>
    <w:lvl w:ilvl="0">
      <w:start w:val="1"/>
      <w:numFmt w:val="bullet"/>
      <w:lvlText w:val=""/>
      <w:lvlJc w:val="left"/>
      <w:pPr>
        <w:tabs>
          <w:tab w:val="num" w:pos="360"/>
        </w:tabs>
        <w:ind w:left="360" w:hanging="360"/>
      </w:pPr>
      <w:rPr>
        <w:rFonts w:ascii="Symbol" w:hAnsi="Symbol" w:hint="default"/>
      </w:rPr>
    </w:lvl>
  </w:abstractNum>
  <w:abstractNum w:abstractNumId="1">
    <w:nsid w:val="0E9108CD"/>
    <w:multiLevelType w:val="hybridMultilevel"/>
    <w:tmpl w:val="F662C596"/>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2C139FE"/>
    <w:multiLevelType w:val="hybridMultilevel"/>
    <w:tmpl w:val="E2CC4DDC"/>
    <w:lvl w:ilvl="0" w:tplc="4BC63B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68F13E9"/>
    <w:multiLevelType w:val="multilevel"/>
    <w:tmpl w:val="C3925E36"/>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decimal"/>
        <w:pStyle w:val="Numberbullet2"/>
        <w:lvlText w:val=""/>
        <w:lvlJc w:val="left"/>
      </w:lvl>
    </w:lvlOverride>
    <w:lvlOverride w:ilvl="2">
      <w:startOverride w:val="1"/>
      <w:lvl w:ilvl="2">
        <w:start w:val="1"/>
        <w:numFmt w:val="decimal"/>
        <w:pStyle w:val="Number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F5D"/>
    <w:rsid w:val="00002031"/>
    <w:rsid w:val="00004734"/>
    <w:rsid w:val="00006B22"/>
    <w:rsid w:val="0001276A"/>
    <w:rsid w:val="00014E57"/>
    <w:rsid w:val="00016DE4"/>
    <w:rsid w:val="000246AE"/>
    <w:rsid w:val="00025C67"/>
    <w:rsid w:val="00044772"/>
    <w:rsid w:val="000521C1"/>
    <w:rsid w:val="0005559E"/>
    <w:rsid w:val="000604D6"/>
    <w:rsid w:val="00070CB8"/>
    <w:rsid w:val="000734D8"/>
    <w:rsid w:val="00077775"/>
    <w:rsid w:val="00090471"/>
    <w:rsid w:val="00092A8B"/>
    <w:rsid w:val="00096AA7"/>
    <w:rsid w:val="000A3AED"/>
    <w:rsid w:val="000B1E25"/>
    <w:rsid w:val="000B3532"/>
    <w:rsid w:val="000B3A75"/>
    <w:rsid w:val="000C00C2"/>
    <w:rsid w:val="000C690F"/>
    <w:rsid w:val="000D1295"/>
    <w:rsid w:val="000D391B"/>
    <w:rsid w:val="000D3D6D"/>
    <w:rsid w:val="000D4FC7"/>
    <w:rsid w:val="000E6196"/>
    <w:rsid w:val="000F4869"/>
    <w:rsid w:val="000F5B42"/>
    <w:rsid w:val="000F6E6F"/>
    <w:rsid w:val="00106015"/>
    <w:rsid w:val="0010601F"/>
    <w:rsid w:val="0010788A"/>
    <w:rsid w:val="00107A31"/>
    <w:rsid w:val="00110EA5"/>
    <w:rsid w:val="00112F56"/>
    <w:rsid w:val="00124ACD"/>
    <w:rsid w:val="00125318"/>
    <w:rsid w:val="00127F72"/>
    <w:rsid w:val="001305A2"/>
    <w:rsid w:val="00133238"/>
    <w:rsid w:val="00133A1B"/>
    <w:rsid w:val="001350D8"/>
    <w:rsid w:val="0014197B"/>
    <w:rsid w:val="001447CD"/>
    <w:rsid w:val="001516B1"/>
    <w:rsid w:val="00154870"/>
    <w:rsid w:val="00154EBB"/>
    <w:rsid w:val="00156316"/>
    <w:rsid w:val="00161181"/>
    <w:rsid w:val="00162D14"/>
    <w:rsid w:val="00163780"/>
    <w:rsid w:val="00165389"/>
    <w:rsid w:val="00174D63"/>
    <w:rsid w:val="0017693F"/>
    <w:rsid w:val="001773DF"/>
    <w:rsid w:val="0018105A"/>
    <w:rsid w:val="0018110E"/>
    <w:rsid w:val="00181684"/>
    <w:rsid w:val="001843C6"/>
    <w:rsid w:val="001850E0"/>
    <w:rsid w:val="001963A6"/>
    <w:rsid w:val="001A2158"/>
    <w:rsid w:val="001A525F"/>
    <w:rsid w:val="001B09F9"/>
    <w:rsid w:val="001B5C90"/>
    <w:rsid w:val="001B6448"/>
    <w:rsid w:val="001C32CD"/>
    <w:rsid w:val="001D2984"/>
    <w:rsid w:val="001E07CF"/>
    <w:rsid w:val="001E1377"/>
    <w:rsid w:val="001E2C93"/>
    <w:rsid w:val="001E59F1"/>
    <w:rsid w:val="001F2CEE"/>
    <w:rsid w:val="001F49EB"/>
    <w:rsid w:val="001F59B5"/>
    <w:rsid w:val="001F6CBA"/>
    <w:rsid w:val="00201D4E"/>
    <w:rsid w:val="002076C9"/>
    <w:rsid w:val="00211AE1"/>
    <w:rsid w:val="00220B8A"/>
    <w:rsid w:val="002257F3"/>
    <w:rsid w:val="00232C85"/>
    <w:rsid w:val="00233456"/>
    <w:rsid w:val="002339A5"/>
    <w:rsid w:val="00235019"/>
    <w:rsid w:val="00254192"/>
    <w:rsid w:val="00257848"/>
    <w:rsid w:val="002579D9"/>
    <w:rsid w:val="00263282"/>
    <w:rsid w:val="0027084A"/>
    <w:rsid w:val="00286434"/>
    <w:rsid w:val="00286C59"/>
    <w:rsid w:val="00291957"/>
    <w:rsid w:val="002942D1"/>
    <w:rsid w:val="0029501A"/>
    <w:rsid w:val="002A3721"/>
    <w:rsid w:val="002B1638"/>
    <w:rsid w:val="002B2348"/>
    <w:rsid w:val="002B3624"/>
    <w:rsid w:val="002B7F52"/>
    <w:rsid w:val="002C171A"/>
    <w:rsid w:val="002D0952"/>
    <w:rsid w:val="002E40B3"/>
    <w:rsid w:val="002E4C9A"/>
    <w:rsid w:val="002F11F8"/>
    <w:rsid w:val="002F3F56"/>
    <w:rsid w:val="002F44B5"/>
    <w:rsid w:val="002F5122"/>
    <w:rsid w:val="002F7DEE"/>
    <w:rsid w:val="00311AC0"/>
    <w:rsid w:val="003176FC"/>
    <w:rsid w:val="0032583B"/>
    <w:rsid w:val="00327883"/>
    <w:rsid w:val="00332542"/>
    <w:rsid w:val="00335504"/>
    <w:rsid w:val="003378B6"/>
    <w:rsid w:val="00340C18"/>
    <w:rsid w:val="003442FD"/>
    <w:rsid w:val="00347824"/>
    <w:rsid w:val="00350567"/>
    <w:rsid w:val="003521E8"/>
    <w:rsid w:val="00360841"/>
    <w:rsid w:val="00370CE3"/>
    <w:rsid w:val="00371DE6"/>
    <w:rsid w:val="003728F3"/>
    <w:rsid w:val="003735BC"/>
    <w:rsid w:val="0037496E"/>
    <w:rsid w:val="003764F8"/>
    <w:rsid w:val="00383221"/>
    <w:rsid w:val="00383C31"/>
    <w:rsid w:val="00386150"/>
    <w:rsid w:val="003874CE"/>
    <w:rsid w:val="00390900"/>
    <w:rsid w:val="00394556"/>
    <w:rsid w:val="00394D1E"/>
    <w:rsid w:val="003A71A6"/>
    <w:rsid w:val="003A7F6C"/>
    <w:rsid w:val="003B4D60"/>
    <w:rsid w:val="003B7E39"/>
    <w:rsid w:val="003C58DC"/>
    <w:rsid w:val="003D1E62"/>
    <w:rsid w:val="003E0B99"/>
    <w:rsid w:val="003E2486"/>
    <w:rsid w:val="003E3208"/>
    <w:rsid w:val="003F0B04"/>
    <w:rsid w:val="0040134E"/>
    <w:rsid w:val="004228BC"/>
    <w:rsid w:val="004334C7"/>
    <w:rsid w:val="00440A2D"/>
    <w:rsid w:val="00441C3F"/>
    <w:rsid w:val="004424E0"/>
    <w:rsid w:val="00451696"/>
    <w:rsid w:val="004564A7"/>
    <w:rsid w:val="00456765"/>
    <w:rsid w:val="004617BF"/>
    <w:rsid w:val="00463658"/>
    <w:rsid w:val="004637A0"/>
    <w:rsid w:val="004722CC"/>
    <w:rsid w:val="004936E4"/>
    <w:rsid w:val="004943AE"/>
    <w:rsid w:val="00494E60"/>
    <w:rsid w:val="00497487"/>
    <w:rsid w:val="004A6189"/>
    <w:rsid w:val="004A7390"/>
    <w:rsid w:val="004B2A45"/>
    <w:rsid w:val="004B7B76"/>
    <w:rsid w:val="004C239D"/>
    <w:rsid w:val="004C2DCA"/>
    <w:rsid w:val="004C61D2"/>
    <w:rsid w:val="004F0C4A"/>
    <w:rsid w:val="004F0F38"/>
    <w:rsid w:val="004F47D6"/>
    <w:rsid w:val="00500337"/>
    <w:rsid w:val="00501921"/>
    <w:rsid w:val="00503F15"/>
    <w:rsid w:val="0050487B"/>
    <w:rsid w:val="00505480"/>
    <w:rsid w:val="00530354"/>
    <w:rsid w:val="0053067C"/>
    <w:rsid w:val="0053625B"/>
    <w:rsid w:val="005401EE"/>
    <w:rsid w:val="005434C6"/>
    <w:rsid w:val="00543B39"/>
    <w:rsid w:val="00546154"/>
    <w:rsid w:val="00550096"/>
    <w:rsid w:val="00550A56"/>
    <w:rsid w:val="00551BA9"/>
    <w:rsid w:val="00555280"/>
    <w:rsid w:val="00557FF9"/>
    <w:rsid w:val="00562327"/>
    <w:rsid w:val="005711D5"/>
    <w:rsid w:val="00576378"/>
    <w:rsid w:val="00577130"/>
    <w:rsid w:val="00577945"/>
    <w:rsid w:val="00577E38"/>
    <w:rsid w:val="005842F2"/>
    <w:rsid w:val="00585322"/>
    <w:rsid w:val="005857C6"/>
    <w:rsid w:val="00592F6E"/>
    <w:rsid w:val="00593AD1"/>
    <w:rsid w:val="005A4276"/>
    <w:rsid w:val="005A68B6"/>
    <w:rsid w:val="005B0763"/>
    <w:rsid w:val="005B077A"/>
    <w:rsid w:val="005C5570"/>
    <w:rsid w:val="005C79A4"/>
    <w:rsid w:val="005D501C"/>
    <w:rsid w:val="005D5442"/>
    <w:rsid w:val="00603F32"/>
    <w:rsid w:val="00605AD4"/>
    <w:rsid w:val="006136D7"/>
    <w:rsid w:val="00624032"/>
    <w:rsid w:val="00625A6E"/>
    <w:rsid w:val="00632398"/>
    <w:rsid w:val="00640FC3"/>
    <w:rsid w:val="00642020"/>
    <w:rsid w:val="0065337B"/>
    <w:rsid w:val="0065393E"/>
    <w:rsid w:val="0065419D"/>
    <w:rsid w:val="006603BC"/>
    <w:rsid w:val="006604D8"/>
    <w:rsid w:val="00664A5B"/>
    <w:rsid w:val="0066735C"/>
    <w:rsid w:val="00667476"/>
    <w:rsid w:val="006763D2"/>
    <w:rsid w:val="00680C08"/>
    <w:rsid w:val="006916A0"/>
    <w:rsid w:val="006931B1"/>
    <w:rsid w:val="006A0050"/>
    <w:rsid w:val="006A0CDE"/>
    <w:rsid w:val="006A15C0"/>
    <w:rsid w:val="006C3E2A"/>
    <w:rsid w:val="006C642F"/>
    <w:rsid w:val="006D03E5"/>
    <w:rsid w:val="006D5D3E"/>
    <w:rsid w:val="006E08B3"/>
    <w:rsid w:val="006E615B"/>
    <w:rsid w:val="006F0ECC"/>
    <w:rsid w:val="006F17AC"/>
    <w:rsid w:val="006F25B8"/>
    <w:rsid w:val="006F572E"/>
    <w:rsid w:val="006F7770"/>
    <w:rsid w:val="00701A9A"/>
    <w:rsid w:val="007046D6"/>
    <w:rsid w:val="00705DB0"/>
    <w:rsid w:val="00722B57"/>
    <w:rsid w:val="0072500E"/>
    <w:rsid w:val="00730F8A"/>
    <w:rsid w:val="00735A8C"/>
    <w:rsid w:val="0074253D"/>
    <w:rsid w:val="0074429B"/>
    <w:rsid w:val="00747C3C"/>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0EAE"/>
    <w:rsid w:val="007A14BF"/>
    <w:rsid w:val="007A46F5"/>
    <w:rsid w:val="007B6132"/>
    <w:rsid w:val="007B6E9F"/>
    <w:rsid w:val="007C1216"/>
    <w:rsid w:val="007C14CD"/>
    <w:rsid w:val="007C1AF7"/>
    <w:rsid w:val="007C6B9B"/>
    <w:rsid w:val="00805D27"/>
    <w:rsid w:val="00806DCB"/>
    <w:rsid w:val="00821776"/>
    <w:rsid w:val="00822F69"/>
    <w:rsid w:val="008321F5"/>
    <w:rsid w:val="00832369"/>
    <w:rsid w:val="00834660"/>
    <w:rsid w:val="00836BC2"/>
    <w:rsid w:val="0085156D"/>
    <w:rsid w:val="00852B28"/>
    <w:rsid w:val="0085641B"/>
    <w:rsid w:val="00857136"/>
    <w:rsid w:val="008634CF"/>
    <w:rsid w:val="00865DFA"/>
    <w:rsid w:val="00875A6B"/>
    <w:rsid w:val="00885B11"/>
    <w:rsid w:val="00886D15"/>
    <w:rsid w:val="00887DD8"/>
    <w:rsid w:val="00891BA9"/>
    <w:rsid w:val="00896018"/>
    <w:rsid w:val="008960DD"/>
    <w:rsid w:val="0089635C"/>
    <w:rsid w:val="008A2B9D"/>
    <w:rsid w:val="008A3D9F"/>
    <w:rsid w:val="008A5E0B"/>
    <w:rsid w:val="008A5F05"/>
    <w:rsid w:val="008A6D59"/>
    <w:rsid w:val="008B4B03"/>
    <w:rsid w:val="008B596F"/>
    <w:rsid w:val="008C159F"/>
    <w:rsid w:val="008C1623"/>
    <w:rsid w:val="008C1850"/>
    <w:rsid w:val="008C51A9"/>
    <w:rsid w:val="008C575C"/>
    <w:rsid w:val="008E7846"/>
    <w:rsid w:val="008F02E5"/>
    <w:rsid w:val="008F1CCC"/>
    <w:rsid w:val="008F2967"/>
    <w:rsid w:val="008F6943"/>
    <w:rsid w:val="00902A21"/>
    <w:rsid w:val="00905A2D"/>
    <w:rsid w:val="0091523F"/>
    <w:rsid w:val="00920330"/>
    <w:rsid w:val="009219D7"/>
    <w:rsid w:val="00922D53"/>
    <w:rsid w:val="00923B70"/>
    <w:rsid w:val="00924482"/>
    <w:rsid w:val="00927606"/>
    <w:rsid w:val="00930237"/>
    <w:rsid w:val="00937C17"/>
    <w:rsid w:val="00940A89"/>
    <w:rsid w:val="00946EA5"/>
    <w:rsid w:val="00955F48"/>
    <w:rsid w:val="00963C08"/>
    <w:rsid w:val="009752A5"/>
    <w:rsid w:val="0098585A"/>
    <w:rsid w:val="009A3208"/>
    <w:rsid w:val="009A4CED"/>
    <w:rsid w:val="009A690D"/>
    <w:rsid w:val="009B1D12"/>
    <w:rsid w:val="009B416B"/>
    <w:rsid w:val="009B48E9"/>
    <w:rsid w:val="009C4BD5"/>
    <w:rsid w:val="009D1491"/>
    <w:rsid w:val="009D7B77"/>
    <w:rsid w:val="009E0BB0"/>
    <w:rsid w:val="009E3FBB"/>
    <w:rsid w:val="009F1A06"/>
    <w:rsid w:val="009F7353"/>
    <w:rsid w:val="00A04F85"/>
    <w:rsid w:val="00A05FA4"/>
    <w:rsid w:val="00A102E4"/>
    <w:rsid w:val="00A12C42"/>
    <w:rsid w:val="00A14DF7"/>
    <w:rsid w:val="00A22D57"/>
    <w:rsid w:val="00A276F3"/>
    <w:rsid w:val="00A3246D"/>
    <w:rsid w:val="00A32C9A"/>
    <w:rsid w:val="00A36FA7"/>
    <w:rsid w:val="00A44DDB"/>
    <w:rsid w:val="00A475B7"/>
    <w:rsid w:val="00A47AF7"/>
    <w:rsid w:val="00A47C3E"/>
    <w:rsid w:val="00A50226"/>
    <w:rsid w:val="00A54D03"/>
    <w:rsid w:val="00A60BAD"/>
    <w:rsid w:val="00A7285A"/>
    <w:rsid w:val="00A77F87"/>
    <w:rsid w:val="00A80B5B"/>
    <w:rsid w:val="00A84E36"/>
    <w:rsid w:val="00A964D1"/>
    <w:rsid w:val="00AA0ED0"/>
    <w:rsid w:val="00AA3318"/>
    <w:rsid w:val="00AC2B40"/>
    <w:rsid w:val="00AC2BB2"/>
    <w:rsid w:val="00AC2C3C"/>
    <w:rsid w:val="00AC512D"/>
    <w:rsid w:val="00AC6C5B"/>
    <w:rsid w:val="00AD0083"/>
    <w:rsid w:val="00AD3935"/>
    <w:rsid w:val="00AD7CFF"/>
    <w:rsid w:val="00AE65EB"/>
    <w:rsid w:val="00AE67A7"/>
    <w:rsid w:val="00AF1D94"/>
    <w:rsid w:val="00AF60C5"/>
    <w:rsid w:val="00AF6EF3"/>
    <w:rsid w:val="00B009C6"/>
    <w:rsid w:val="00B01548"/>
    <w:rsid w:val="00B0277C"/>
    <w:rsid w:val="00B13EBD"/>
    <w:rsid w:val="00B21D29"/>
    <w:rsid w:val="00B25034"/>
    <w:rsid w:val="00B33588"/>
    <w:rsid w:val="00B33863"/>
    <w:rsid w:val="00B36490"/>
    <w:rsid w:val="00B37D17"/>
    <w:rsid w:val="00B4175E"/>
    <w:rsid w:val="00B41C85"/>
    <w:rsid w:val="00B452CE"/>
    <w:rsid w:val="00B5042C"/>
    <w:rsid w:val="00B54C25"/>
    <w:rsid w:val="00B672B0"/>
    <w:rsid w:val="00B76B91"/>
    <w:rsid w:val="00B77EB1"/>
    <w:rsid w:val="00B811C6"/>
    <w:rsid w:val="00B855B0"/>
    <w:rsid w:val="00B92E08"/>
    <w:rsid w:val="00BC622A"/>
    <w:rsid w:val="00BE0A78"/>
    <w:rsid w:val="00BE79F0"/>
    <w:rsid w:val="00BF046D"/>
    <w:rsid w:val="00BF1190"/>
    <w:rsid w:val="00BF3774"/>
    <w:rsid w:val="00BF5D04"/>
    <w:rsid w:val="00C009AA"/>
    <w:rsid w:val="00C1164D"/>
    <w:rsid w:val="00C14212"/>
    <w:rsid w:val="00C16861"/>
    <w:rsid w:val="00C3258C"/>
    <w:rsid w:val="00C346AB"/>
    <w:rsid w:val="00C404A6"/>
    <w:rsid w:val="00C40A36"/>
    <w:rsid w:val="00C44419"/>
    <w:rsid w:val="00C45E7B"/>
    <w:rsid w:val="00C471B1"/>
    <w:rsid w:val="00C614F7"/>
    <w:rsid w:val="00C6316B"/>
    <w:rsid w:val="00C634A9"/>
    <w:rsid w:val="00C64586"/>
    <w:rsid w:val="00C70D53"/>
    <w:rsid w:val="00C722A0"/>
    <w:rsid w:val="00C73D0B"/>
    <w:rsid w:val="00C772FF"/>
    <w:rsid w:val="00C80137"/>
    <w:rsid w:val="00C801AF"/>
    <w:rsid w:val="00C80256"/>
    <w:rsid w:val="00C94CD4"/>
    <w:rsid w:val="00C9747E"/>
    <w:rsid w:val="00CA53BD"/>
    <w:rsid w:val="00CB21C4"/>
    <w:rsid w:val="00CB6BC0"/>
    <w:rsid w:val="00CC1B7C"/>
    <w:rsid w:val="00CC727F"/>
    <w:rsid w:val="00CD7E08"/>
    <w:rsid w:val="00CE25DB"/>
    <w:rsid w:val="00CE5F5D"/>
    <w:rsid w:val="00CE74DE"/>
    <w:rsid w:val="00CF15C3"/>
    <w:rsid w:val="00CF2B6F"/>
    <w:rsid w:val="00CF2F3E"/>
    <w:rsid w:val="00CF58B6"/>
    <w:rsid w:val="00CF755A"/>
    <w:rsid w:val="00D0062D"/>
    <w:rsid w:val="00D017ED"/>
    <w:rsid w:val="00D040D3"/>
    <w:rsid w:val="00D04C65"/>
    <w:rsid w:val="00D17DA7"/>
    <w:rsid w:val="00D201D2"/>
    <w:rsid w:val="00D224FE"/>
    <w:rsid w:val="00D22E21"/>
    <w:rsid w:val="00D23139"/>
    <w:rsid w:val="00D30800"/>
    <w:rsid w:val="00D425BB"/>
    <w:rsid w:val="00D453FA"/>
    <w:rsid w:val="00D62AC5"/>
    <w:rsid w:val="00D6493E"/>
    <w:rsid w:val="00D65D10"/>
    <w:rsid w:val="00D7195D"/>
    <w:rsid w:val="00D72832"/>
    <w:rsid w:val="00D7301E"/>
    <w:rsid w:val="00D7624C"/>
    <w:rsid w:val="00D83AE1"/>
    <w:rsid w:val="00D855D4"/>
    <w:rsid w:val="00D902C9"/>
    <w:rsid w:val="00D93466"/>
    <w:rsid w:val="00DA1124"/>
    <w:rsid w:val="00DB06B8"/>
    <w:rsid w:val="00DB6124"/>
    <w:rsid w:val="00DB750B"/>
    <w:rsid w:val="00DB75B7"/>
    <w:rsid w:val="00DC6E02"/>
    <w:rsid w:val="00DD28CD"/>
    <w:rsid w:val="00DE02AE"/>
    <w:rsid w:val="00DE1EFB"/>
    <w:rsid w:val="00DE39D1"/>
    <w:rsid w:val="00DE4C53"/>
    <w:rsid w:val="00DF1D7F"/>
    <w:rsid w:val="00DF4BE4"/>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A17D5"/>
    <w:rsid w:val="00EB0798"/>
    <w:rsid w:val="00EB40AD"/>
    <w:rsid w:val="00EB586E"/>
    <w:rsid w:val="00EB5FC8"/>
    <w:rsid w:val="00EC463D"/>
    <w:rsid w:val="00EC7A85"/>
    <w:rsid w:val="00ED2922"/>
    <w:rsid w:val="00ED3CAD"/>
    <w:rsid w:val="00ED3EFA"/>
    <w:rsid w:val="00ED5A41"/>
    <w:rsid w:val="00EE1DE8"/>
    <w:rsid w:val="00EE22BF"/>
    <w:rsid w:val="00EE27C2"/>
    <w:rsid w:val="00EF4BAD"/>
    <w:rsid w:val="00EF59DC"/>
    <w:rsid w:val="00F033EC"/>
    <w:rsid w:val="00F04F68"/>
    <w:rsid w:val="00F12670"/>
    <w:rsid w:val="00F14B27"/>
    <w:rsid w:val="00F3148D"/>
    <w:rsid w:val="00F325C5"/>
    <w:rsid w:val="00F32FE0"/>
    <w:rsid w:val="00F35298"/>
    <w:rsid w:val="00F47333"/>
    <w:rsid w:val="00F47E37"/>
    <w:rsid w:val="00F47FA5"/>
    <w:rsid w:val="00F53C07"/>
    <w:rsid w:val="00F54B65"/>
    <w:rsid w:val="00F640B6"/>
    <w:rsid w:val="00F66DF2"/>
    <w:rsid w:val="00F80E40"/>
    <w:rsid w:val="00F80E51"/>
    <w:rsid w:val="00F848D9"/>
    <w:rsid w:val="00F96704"/>
    <w:rsid w:val="00FA37E5"/>
    <w:rsid w:val="00FA5069"/>
    <w:rsid w:val="00FA5B82"/>
    <w:rsid w:val="00FA639E"/>
    <w:rsid w:val="00FB54F5"/>
    <w:rsid w:val="00FC1FCA"/>
    <w:rsid w:val="00FC25E4"/>
    <w:rsid w:val="00FC4EF7"/>
    <w:rsid w:val="00FD0824"/>
    <w:rsid w:val="00FD119B"/>
    <w:rsid w:val="00FD1EDC"/>
    <w:rsid w:val="00FD7238"/>
    <w:rsid w:val="00FE1DEE"/>
    <w:rsid w:val="00FF2126"/>
    <w:rsid w:val="00FF5755"/>
    <w:rsid w:val="00FF69BE"/>
    <w:rsid w:val="00FF7B93"/>
    <w:rsid w:val="00FF7F0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53B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32C9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5"/>
      </w:numPr>
    </w:pPr>
  </w:style>
  <w:style w:type="paragraph" w:customStyle="1" w:styleId="Numberbullet2">
    <w:name w:val="Number bullet 2"/>
    <w:basedOn w:val="ListBullet2"/>
    <w:uiPriority w:val="2"/>
    <w:qFormat/>
    <w:rsid w:val="004C2DCA"/>
    <w:pPr>
      <w:numPr>
        <w:numId w:val="25"/>
      </w:numPr>
    </w:pPr>
  </w:style>
  <w:style w:type="paragraph" w:customStyle="1" w:styleId="Numberbullet3">
    <w:name w:val="Number bullet 3"/>
    <w:basedOn w:val="ListBullet3"/>
    <w:uiPriority w:val="2"/>
    <w:qFormat/>
    <w:rsid w:val="004C2DCA"/>
    <w:pPr>
      <w:numPr>
        <w:numId w:val="25"/>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235019"/>
    <w:pPr>
      <w:adjustRightInd w:val="0"/>
      <w:snapToGrid w:val="0"/>
      <w:spacing w:before="180" w:after="180"/>
      <w:ind w:left="720"/>
      <w:contextualSpacing/>
    </w:pPr>
    <w:rPr>
      <w:rFonts w:eastAsia="MS Mincho"/>
      <w:szCs w:val="20"/>
      <w:lang w:eastAsia="ja-JP"/>
    </w:rPr>
  </w:style>
  <w:style w:type="paragraph" w:customStyle="1" w:styleId="Default">
    <w:name w:val="Default"/>
    <w:rsid w:val="005B0763"/>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014E57"/>
    <w:pPr>
      <w:numPr>
        <w:numId w:val="22"/>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014E57"/>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14E57"/>
    <w:rPr>
      <w:rFonts w:ascii="Cambria" w:eastAsia="Cambria" w:hAnsi="Cambria" w:cs="Times New Roman"/>
      <w:sz w:val="19"/>
    </w:rPr>
  </w:style>
  <w:style w:type="paragraph" w:customStyle="1" w:styleId="Standard">
    <w:name w:val="Standard"/>
    <w:basedOn w:val="Normal"/>
    <w:link w:val="StandardChar"/>
    <w:qFormat/>
    <w:rsid w:val="00014E5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14E57"/>
    <w:rPr>
      <w:rFonts w:ascii="Cambria" w:eastAsia="Times New Roman" w:hAnsi="Cambria" w:cs="Times New Roman"/>
      <w:snapToGrid w:val="0"/>
      <w:kern w:val="16"/>
      <w:sz w:val="23"/>
      <w:szCs w:val="24"/>
    </w:rPr>
  </w:style>
  <w:style w:type="character" w:customStyle="1" w:styleId="apple-converted-space">
    <w:name w:val="apple-converted-space"/>
    <w:basedOn w:val="DefaultParagraphFont"/>
    <w:rsid w:val="006F0E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53B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32C9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5"/>
      </w:numPr>
    </w:pPr>
  </w:style>
  <w:style w:type="paragraph" w:customStyle="1" w:styleId="Numberbullet2">
    <w:name w:val="Number bullet 2"/>
    <w:basedOn w:val="ListBullet2"/>
    <w:uiPriority w:val="2"/>
    <w:qFormat/>
    <w:rsid w:val="004C2DCA"/>
    <w:pPr>
      <w:numPr>
        <w:numId w:val="25"/>
      </w:numPr>
    </w:pPr>
  </w:style>
  <w:style w:type="paragraph" w:customStyle="1" w:styleId="Numberbullet3">
    <w:name w:val="Number bullet 3"/>
    <w:basedOn w:val="ListBullet3"/>
    <w:uiPriority w:val="2"/>
    <w:qFormat/>
    <w:rsid w:val="004C2DCA"/>
    <w:pPr>
      <w:numPr>
        <w:numId w:val="25"/>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235019"/>
    <w:pPr>
      <w:adjustRightInd w:val="0"/>
      <w:snapToGrid w:val="0"/>
      <w:spacing w:before="180" w:after="180"/>
      <w:ind w:left="720"/>
      <w:contextualSpacing/>
    </w:pPr>
    <w:rPr>
      <w:rFonts w:eastAsia="MS Mincho"/>
      <w:szCs w:val="20"/>
      <w:lang w:eastAsia="ja-JP"/>
    </w:rPr>
  </w:style>
  <w:style w:type="paragraph" w:customStyle="1" w:styleId="Default">
    <w:name w:val="Default"/>
    <w:rsid w:val="005B0763"/>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014E57"/>
    <w:pPr>
      <w:numPr>
        <w:numId w:val="22"/>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014E57"/>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014E57"/>
    <w:rPr>
      <w:rFonts w:ascii="Cambria" w:eastAsia="Cambria" w:hAnsi="Cambria" w:cs="Times New Roman"/>
      <w:sz w:val="19"/>
    </w:rPr>
  </w:style>
  <w:style w:type="paragraph" w:customStyle="1" w:styleId="Standard">
    <w:name w:val="Standard"/>
    <w:basedOn w:val="Normal"/>
    <w:link w:val="StandardChar"/>
    <w:qFormat/>
    <w:rsid w:val="00014E5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14E57"/>
    <w:rPr>
      <w:rFonts w:ascii="Cambria" w:eastAsia="Times New Roman" w:hAnsi="Cambria" w:cs="Times New Roman"/>
      <w:snapToGrid w:val="0"/>
      <w:kern w:val="16"/>
      <w:sz w:val="23"/>
      <w:szCs w:val="24"/>
    </w:rPr>
  </w:style>
  <w:style w:type="character" w:customStyle="1" w:styleId="apple-converted-space">
    <w:name w:val="apple-converted-space"/>
    <w:basedOn w:val="DefaultParagraphFont"/>
    <w:rsid w:val="006F0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605150">
      <w:bodyDiv w:val="1"/>
      <w:marLeft w:val="0"/>
      <w:marRight w:val="0"/>
      <w:marTop w:val="0"/>
      <w:marBottom w:val="0"/>
      <w:divBdr>
        <w:top w:val="none" w:sz="0" w:space="0" w:color="auto"/>
        <w:left w:val="none" w:sz="0" w:space="0" w:color="auto"/>
        <w:bottom w:val="none" w:sz="0" w:space="0" w:color="auto"/>
        <w:right w:val="none" w:sz="0" w:space="0" w:color="auto"/>
      </w:divBdr>
    </w:div>
    <w:div w:id="997003814">
      <w:bodyDiv w:val="1"/>
      <w:marLeft w:val="0"/>
      <w:marRight w:val="0"/>
      <w:marTop w:val="0"/>
      <w:marBottom w:val="0"/>
      <w:divBdr>
        <w:top w:val="none" w:sz="0" w:space="0" w:color="auto"/>
        <w:left w:val="none" w:sz="0" w:space="0" w:color="auto"/>
        <w:bottom w:val="none" w:sz="0" w:space="0" w:color="auto"/>
        <w:right w:val="none" w:sz="0" w:space="0" w:color="auto"/>
      </w:divBdr>
    </w:div>
    <w:div w:id="1121414244">
      <w:bodyDiv w:val="1"/>
      <w:marLeft w:val="0"/>
      <w:marRight w:val="0"/>
      <w:marTop w:val="0"/>
      <w:marBottom w:val="0"/>
      <w:divBdr>
        <w:top w:val="none" w:sz="0" w:space="0" w:color="auto"/>
        <w:left w:val="none" w:sz="0" w:space="0" w:color="auto"/>
        <w:bottom w:val="none" w:sz="0" w:space="0" w:color="auto"/>
        <w:right w:val="none" w:sz="0" w:space="0" w:color="auto"/>
      </w:divBdr>
    </w:div>
    <w:div w:id="1906455260">
      <w:bodyDiv w:val="1"/>
      <w:marLeft w:val="0"/>
      <w:marRight w:val="0"/>
      <w:marTop w:val="0"/>
      <w:marBottom w:val="0"/>
      <w:divBdr>
        <w:top w:val="none" w:sz="0" w:space="0" w:color="auto"/>
        <w:left w:val="none" w:sz="0" w:space="0" w:color="auto"/>
        <w:bottom w:val="none" w:sz="0" w:space="0" w:color="auto"/>
        <w:right w:val="none" w:sz="0" w:space="0" w:color="auto"/>
      </w:divBdr>
    </w:div>
    <w:div w:id="199448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hdphoto" Target="media/hdphoto1.wdp"/><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header" Target="header4.xml"/><Relationship Id="rId63"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header" Target="header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tga.gov.au/product-information-pi" TargetMode="External"/><Relationship Id="rId58" Type="http://schemas.openxmlformats.org/officeDocument/2006/relationships/hyperlink" Target="mailto:info@tga.gov.au"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2.wdp"/><Relationship Id="rId57" Type="http://schemas.openxmlformats.org/officeDocument/2006/relationships/footer" Target="footer2.xml"/><Relationship Id="rId61"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eader" Target="header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5.xml"/><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ptodate.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06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3DB9D-FC99-4D88-8187-BCE0953C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77</TotalTime>
  <Pages>75</Pages>
  <Words>22643</Words>
  <Characters>129751</Characters>
  <Application>Microsoft Office Word</Application>
  <DocSecurity>0</DocSecurity>
  <Lines>2883</Lines>
  <Paragraphs>1360</Paragraphs>
  <ScaleCrop>false</ScaleCrop>
  <HeadingPairs>
    <vt:vector size="2" baseType="variant">
      <vt:variant>
        <vt:lpstr>Title</vt:lpstr>
      </vt:variant>
      <vt:variant>
        <vt:i4>1</vt:i4>
      </vt:variant>
    </vt:vector>
  </HeadingPairs>
  <TitlesOfParts>
    <vt:vector size="1" baseType="lpstr">
      <vt:lpstr>Australian Public Assessment Report for Denosumab</vt:lpstr>
    </vt:vector>
  </TitlesOfParts>
  <Company>Therapeutic Goods Administration</Company>
  <LinksUpToDate>false</LinksUpToDate>
  <CharactersWithSpaces>151034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Denosumab</dc:title>
  <dc:subject>Prescription medicines</dc:subject>
  <dc:creator>Therapeutic Goods Administration</dc:creator>
  <cp:keywords>AusPARs</cp:keywords>
  <cp:lastModifiedBy>SEARSON, Lisa</cp:lastModifiedBy>
  <cp:revision>11</cp:revision>
  <cp:lastPrinted>2015-09-22T23:39:00Z</cp:lastPrinted>
  <dcterms:created xsi:type="dcterms:W3CDTF">2019-08-01T03:42:00Z</dcterms:created>
  <dcterms:modified xsi:type="dcterms:W3CDTF">2019-08-12T02:17:00Z</dcterms:modified>
</cp:coreProperties>
</file>