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7698BF8C" w14:textId="77777777" w:rsidTr="00BF1190">
        <w:trPr>
          <w:trHeight w:val="1863"/>
        </w:trPr>
        <w:tc>
          <w:tcPr>
            <w:tcW w:w="3652" w:type="dxa"/>
            <w:tcBorders>
              <w:top w:val="nil"/>
              <w:left w:val="nil"/>
              <w:bottom w:val="nil"/>
              <w:right w:val="nil"/>
            </w:tcBorders>
          </w:tcPr>
          <w:p w14:paraId="7202F5B3" w14:textId="4460BF1B" w:rsidR="008E7846" w:rsidRPr="00096AA7" w:rsidRDefault="00EB5271" w:rsidP="00096AA7">
            <w:pPr>
              <w:rPr>
                <w:rFonts w:ascii="Arial" w:hAnsi="Arial" w:cs="Arial"/>
                <w:b/>
                <w:color w:val="002C47"/>
                <w:sz w:val="36"/>
                <w:szCs w:val="36"/>
              </w:rPr>
            </w:pPr>
            <w:r>
              <w:rPr>
                <w:rFonts w:ascii="Arial" w:hAnsi="Arial" w:cs="Arial"/>
                <w:b/>
                <w:color w:val="002C47"/>
                <w:sz w:val="36"/>
                <w:szCs w:val="36"/>
              </w:rPr>
              <w:t>December</w:t>
            </w:r>
            <w:r w:rsidR="00A077F5">
              <w:rPr>
                <w:rFonts w:ascii="Arial" w:hAnsi="Arial" w:cs="Arial"/>
                <w:b/>
                <w:color w:val="002C47"/>
                <w:sz w:val="36"/>
                <w:szCs w:val="36"/>
              </w:rPr>
              <w:t xml:space="preserve"> 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63A07452" w14:textId="77777777" w:rsidTr="0032583B">
        <w:trPr>
          <w:trHeight w:val="868"/>
        </w:trPr>
        <w:tc>
          <w:tcPr>
            <w:tcW w:w="9079" w:type="dxa"/>
          </w:tcPr>
          <w:p w14:paraId="5CF950DF" w14:textId="77777777" w:rsidR="0032583B" w:rsidRPr="00A964D1" w:rsidRDefault="0032583B" w:rsidP="00A077F5">
            <w:pPr>
              <w:pStyle w:val="Title"/>
              <w:rPr>
                <w:color w:val="FFFFFF" w:themeColor="background1"/>
              </w:rPr>
            </w:pPr>
            <w:r w:rsidRPr="00A964D1">
              <w:rPr>
                <w:color w:val="FFFFFF" w:themeColor="background1"/>
              </w:rPr>
              <w:t>Australia</w:t>
            </w:r>
            <w:r w:rsidR="00A077F5">
              <w:rPr>
                <w:color w:val="FFFFFF" w:themeColor="background1"/>
              </w:rPr>
              <w:t xml:space="preserve">n Public Assessment Report for </w:t>
            </w:r>
            <w:r w:rsidR="00A077F5" w:rsidRPr="00A077F5">
              <w:rPr>
                <w:color w:val="FFFFFF" w:themeColor="background1"/>
              </w:rPr>
              <w:t>Defibrotide</w:t>
            </w:r>
          </w:p>
        </w:tc>
      </w:tr>
      <w:tr w:rsidR="0032583B" w:rsidRPr="00B64760" w14:paraId="6987D81D" w14:textId="77777777" w:rsidTr="0032583B">
        <w:tc>
          <w:tcPr>
            <w:tcW w:w="9079" w:type="dxa"/>
          </w:tcPr>
          <w:p w14:paraId="1D9B4A8D" w14:textId="77777777" w:rsidR="0032583B" w:rsidRPr="008E7846" w:rsidRDefault="00A077F5" w:rsidP="00A077F5">
            <w:pPr>
              <w:pStyle w:val="Subtitle"/>
              <w:rPr>
                <w:color w:val="FFFFFF" w:themeColor="background1"/>
              </w:rPr>
            </w:pPr>
            <w:r>
              <w:rPr>
                <w:color w:val="FFFFFF" w:themeColor="background1"/>
              </w:rPr>
              <w:t xml:space="preserve">Proprietary Product Name: </w:t>
            </w:r>
            <w:proofErr w:type="spellStart"/>
            <w:r w:rsidRPr="00A077F5">
              <w:rPr>
                <w:color w:val="FFFFFF" w:themeColor="background1"/>
              </w:rPr>
              <w:t>D</w:t>
            </w:r>
            <w:r>
              <w:rPr>
                <w:color w:val="FFFFFF" w:themeColor="background1"/>
              </w:rPr>
              <w:t>efitelio</w:t>
            </w:r>
            <w:proofErr w:type="spellEnd"/>
          </w:p>
        </w:tc>
      </w:tr>
      <w:tr w:rsidR="0032583B" w:rsidRPr="00B64760" w14:paraId="507EA1A7" w14:textId="77777777" w:rsidTr="0032583B">
        <w:trPr>
          <w:trHeight w:val="486"/>
        </w:trPr>
        <w:tc>
          <w:tcPr>
            <w:tcW w:w="9079" w:type="dxa"/>
          </w:tcPr>
          <w:p w14:paraId="1B7AC906" w14:textId="77777777" w:rsidR="0032583B" w:rsidRPr="008E7846" w:rsidRDefault="00A077F5" w:rsidP="0032583B">
            <w:pPr>
              <w:pStyle w:val="Subtitle"/>
              <w:rPr>
                <w:color w:val="FFFFFF" w:themeColor="background1"/>
              </w:rPr>
            </w:pPr>
            <w:r>
              <w:rPr>
                <w:color w:val="FFFFFF" w:themeColor="background1"/>
              </w:rPr>
              <w:t xml:space="preserve">Sponsor: </w:t>
            </w:r>
            <w:r w:rsidRPr="00A077F5">
              <w:rPr>
                <w:color w:val="FFFFFF" w:themeColor="background1"/>
              </w:rPr>
              <w:t>Link Medical Products Pty Ltd</w:t>
            </w:r>
          </w:p>
        </w:tc>
      </w:tr>
    </w:tbl>
    <w:p w14:paraId="250C5F88" w14:textId="77777777" w:rsidR="008E7846" w:rsidRPr="0085156D" w:rsidRDefault="008E7846" w:rsidP="0085156D">
      <w:r w:rsidRPr="0085156D">
        <w:br w:type="page"/>
      </w:r>
    </w:p>
    <w:p w14:paraId="66B9B268" w14:textId="77777777" w:rsidR="008E7846" w:rsidRPr="001F6CBA" w:rsidRDefault="008E7846" w:rsidP="008E7846">
      <w:pPr>
        <w:pStyle w:val="NonTOCHeading2"/>
      </w:pPr>
      <w:r w:rsidRPr="001F6CBA">
        <w:lastRenderedPageBreak/>
        <w:t>About the Therapeutic Goods Administration (TGA)</w:t>
      </w:r>
    </w:p>
    <w:p w14:paraId="7CFE1CFD" w14:textId="77777777" w:rsidR="008E7846" w:rsidRDefault="008E7846" w:rsidP="00206F08">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3BAB149D" w14:textId="77777777" w:rsidR="008E7846" w:rsidRDefault="00C80137" w:rsidP="00206F08">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2D42AADF" w14:textId="77777777" w:rsidR="008E7846" w:rsidRDefault="008E7846" w:rsidP="00206F08">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14:paraId="71A1ECB3" w14:textId="77777777" w:rsidR="008E7846" w:rsidRDefault="008E7846" w:rsidP="00206F08">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14:paraId="6C027800" w14:textId="77777777" w:rsidR="00441C3F" w:rsidRDefault="008E7846" w:rsidP="00206F08">
      <w:pPr>
        <w:pStyle w:val="ListBullet"/>
        <w:numPr>
          <w:ilvl w:val="0"/>
          <w:numId w:val="1"/>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35C28446" w14:textId="77777777" w:rsidR="008E7846" w:rsidRDefault="008E7846" w:rsidP="00875A6B">
      <w:pPr>
        <w:pStyle w:val="NonTOCHeading2"/>
      </w:pPr>
      <w:r>
        <w:t xml:space="preserve">About </w:t>
      </w:r>
      <w:proofErr w:type="spellStart"/>
      <w:r>
        <w:t>AusPARs</w:t>
      </w:r>
      <w:proofErr w:type="spellEnd"/>
    </w:p>
    <w:p w14:paraId="0259370B" w14:textId="77777777" w:rsidR="008E7846" w:rsidRDefault="008E7846" w:rsidP="00206F08">
      <w:pPr>
        <w:pStyle w:val="ListBullet"/>
        <w:numPr>
          <w:ilvl w:val="0"/>
          <w:numId w:val="1"/>
        </w:numPr>
        <w:ind w:left="357" w:hanging="357"/>
      </w:pPr>
      <w:r>
        <w:t>An Australian Public Assessment Re</w:t>
      </w:r>
      <w:r w:rsidR="00133A1B">
        <w:t>port</w:t>
      </w:r>
      <w:r>
        <w:t xml:space="preserve"> (</w:t>
      </w:r>
      <w:proofErr w:type="spellStart"/>
      <w:r>
        <w:t>AusPAR</w:t>
      </w:r>
      <w:proofErr w:type="spellEnd"/>
      <w:r>
        <w:t>) provides information about the evaluation of a prescription medicine and the considerations that led the TGA to approve or not approve a pr</w:t>
      </w:r>
      <w:r w:rsidR="00441C3F">
        <w:t>escription medicine submission.</w:t>
      </w:r>
    </w:p>
    <w:p w14:paraId="33A14AA8" w14:textId="77777777" w:rsidR="008E7846" w:rsidRDefault="008E7846" w:rsidP="00206F08">
      <w:pPr>
        <w:pStyle w:val="ListBullet"/>
        <w:numPr>
          <w:ilvl w:val="0"/>
          <w:numId w:val="1"/>
        </w:numPr>
        <w:ind w:left="357" w:hanging="357"/>
      </w:pPr>
      <w:proofErr w:type="spellStart"/>
      <w:r>
        <w:t>AusPARs</w:t>
      </w:r>
      <w:proofErr w:type="spellEnd"/>
      <w:r>
        <w:t xml:space="preserve"> are prepared and published by the TGA.</w:t>
      </w:r>
    </w:p>
    <w:p w14:paraId="4DB9E893" w14:textId="77777777" w:rsidR="008E7846" w:rsidRDefault="008E7846" w:rsidP="00206F08">
      <w:pPr>
        <w:pStyle w:val="ListBullet"/>
        <w:numPr>
          <w:ilvl w:val="0"/>
          <w:numId w:val="1"/>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14:paraId="701C1C34" w14:textId="77777777" w:rsidR="008E7846" w:rsidRDefault="008E7846" w:rsidP="00206F08">
      <w:pPr>
        <w:pStyle w:val="ListBullet"/>
        <w:numPr>
          <w:ilvl w:val="0"/>
          <w:numId w:val="1"/>
        </w:numPr>
        <w:ind w:left="357" w:hanging="357"/>
      </w:pPr>
      <w:r>
        <w:t xml:space="preserve">An </w:t>
      </w:r>
      <w:proofErr w:type="spellStart"/>
      <w:r>
        <w:t>AusPAR</w:t>
      </w:r>
      <w:proofErr w:type="spellEnd"/>
      <w:r>
        <w:t xml:space="preserve"> is a static document</w:t>
      </w:r>
      <w:r w:rsidR="00133A1B">
        <w:t>;</w:t>
      </w:r>
      <w:r>
        <w:t xml:space="preserve"> it provide</w:t>
      </w:r>
      <w:r w:rsidR="00133A1B">
        <w:t>s</w:t>
      </w:r>
      <w:r>
        <w:t xml:space="preserve"> information that relates to a submission at a particular point in time.</w:t>
      </w:r>
    </w:p>
    <w:p w14:paraId="0172D7B4" w14:textId="77777777" w:rsidR="00B452CE" w:rsidRDefault="008E7846" w:rsidP="00206F08">
      <w:pPr>
        <w:pStyle w:val="ListBullet"/>
        <w:numPr>
          <w:ilvl w:val="0"/>
          <w:numId w:val="1"/>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14:paraId="2DC9BB94" w14:textId="77777777" w:rsidR="00924482" w:rsidRPr="00DF1D7F" w:rsidRDefault="00924482" w:rsidP="00F54B65">
      <w:pPr>
        <w:pStyle w:val="LegalSubheading"/>
        <w:spacing w:before="3120"/>
      </w:pPr>
      <w:r w:rsidRPr="00DF1D7F">
        <w:t>Copyright</w:t>
      </w:r>
    </w:p>
    <w:p w14:paraId="2F2DF688" w14:textId="77777777"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20</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1157959D" w14:textId="77777777" w:rsidR="00924482" w:rsidRDefault="00924482" w:rsidP="00924482">
      <w:pPr>
        <w:pStyle w:val="LegalCopy"/>
        <w:sectPr w:rsidR="00924482" w:rsidSect="008C0054">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68136DD4" w14:textId="77777777" w:rsidR="0089635C" w:rsidRPr="0089635C" w:rsidRDefault="0089635C" w:rsidP="0010788A">
          <w:pPr>
            <w:pStyle w:val="Contents"/>
          </w:pPr>
          <w:r w:rsidRPr="0010788A">
            <w:t>Contents</w:t>
          </w:r>
          <w:bookmarkStart w:id="2" w:name="_GoBack"/>
          <w:bookmarkEnd w:id="2"/>
        </w:p>
        <w:p w14:paraId="4C6952A4" w14:textId="67C904F8" w:rsidR="00384939"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56604920" w:history="1">
            <w:r w:rsidR="00384939" w:rsidRPr="000B017E">
              <w:rPr>
                <w:rStyle w:val="Hyperlink"/>
                <w:noProof/>
              </w:rPr>
              <w:t>Common abbreviations</w:t>
            </w:r>
            <w:r w:rsidR="00384939">
              <w:rPr>
                <w:noProof/>
                <w:webHidden/>
              </w:rPr>
              <w:tab/>
            </w:r>
            <w:r w:rsidR="00384939">
              <w:rPr>
                <w:noProof/>
                <w:webHidden/>
              </w:rPr>
              <w:fldChar w:fldCharType="begin"/>
            </w:r>
            <w:r w:rsidR="00384939">
              <w:rPr>
                <w:noProof/>
                <w:webHidden/>
              </w:rPr>
              <w:instrText xml:space="preserve"> PAGEREF _Toc56604920 \h </w:instrText>
            </w:r>
            <w:r w:rsidR="00384939">
              <w:rPr>
                <w:noProof/>
                <w:webHidden/>
              </w:rPr>
            </w:r>
            <w:r w:rsidR="00384939">
              <w:rPr>
                <w:noProof/>
                <w:webHidden/>
              </w:rPr>
              <w:fldChar w:fldCharType="separate"/>
            </w:r>
            <w:r w:rsidR="004C10EE">
              <w:rPr>
                <w:noProof/>
                <w:webHidden/>
              </w:rPr>
              <w:t>4</w:t>
            </w:r>
            <w:r w:rsidR="00384939">
              <w:rPr>
                <w:noProof/>
                <w:webHidden/>
              </w:rPr>
              <w:fldChar w:fldCharType="end"/>
            </w:r>
          </w:hyperlink>
        </w:p>
        <w:p w14:paraId="7F944008" w14:textId="1C9D6377" w:rsidR="00384939" w:rsidRDefault="004C10EE">
          <w:pPr>
            <w:pStyle w:val="TOC1"/>
            <w:rPr>
              <w:rFonts w:asciiTheme="minorHAnsi" w:eastAsiaTheme="minorEastAsia" w:hAnsiTheme="minorHAnsi" w:cstheme="minorBidi"/>
              <w:b w:val="0"/>
              <w:noProof/>
              <w:sz w:val="22"/>
              <w:lang w:eastAsia="en-AU"/>
            </w:rPr>
          </w:pPr>
          <w:hyperlink w:anchor="_Toc56604921" w:history="1">
            <w:r w:rsidR="00384939" w:rsidRPr="000B017E">
              <w:rPr>
                <w:rStyle w:val="Hyperlink"/>
                <w:noProof/>
              </w:rPr>
              <w:t>I. Introduction to product submission</w:t>
            </w:r>
            <w:r w:rsidR="00384939">
              <w:rPr>
                <w:noProof/>
                <w:webHidden/>
              </w:rPr>
              <w:tab/>
            </w:r>
            <w:r w:rsidR="00384939">
              <w:rPr>
                <w:noProof/>
                <w:webHidden/>
              </w:rPr>
              <w:fldChar w:fldCharType="begin"/>
            </w:r>
            <w:r w:rsidR="00384939">
              <w:rPr>
                <w:noProof/>
                <w:webHidden/>
              </w:rPr>
              <w:instrText xml:space="preserve"> PAGEREF _Toc56604921 \h </w:instrText>
            </w:r>
            <w:r w:rsidR="00384939">
              <w:rPr>
                <w:noProof/>
                <w:webHidden/>
              </w:rPr>
            </w:r>
            <w:r w:rsidR="00384939">
              <w:rPr>
                <w:noProof/>
                <w:webHidden/>
              </w:rPr>
              <w:fldChar w:fldCharType="separate"/>
            </w:r>
            <w:r>
              <w:rPr>
                <w:noProof/>
                <w:webHidden/>
              </w:rPr>
              <w:t>7</w:t>
            </w:r>
            <w:r w:rsidR="00384939">
              <w:rPr>
                <w:noProof/>
                <w:webHidden/>
              </w:rPr>
              <w:fldChar w:fldCharType="end"/>
            </w:r>
          </w:hyperlink>
        </w:p>
        <w:p w14:paraId="756966AB" w14:textId="0A4B1A8E" w:rsidR="00384939" w:rsidRDefault="004C10EE">
          <w:pPr>
            <w:pStyle w:val="TOC2"/>
            <w:rPr>
              <w:rFonts w:asciiTheme="minorHAnsi" w:eastAsiaTheme="minorEastAsia" w:hAnsiTheme="minorHAnsi" w:cstheme="minorBidi"/>
              <w:b w:val="0"/>
              <w:noProof/>
              <w:sz w:val="22"/>
              <w:lang w:eastAsia="en-AU"/>
            </w:rPr>
          </w:pPr>
          <w:hyperlink w:anchor="_Toc56604922" w:history="1">
            <w:r w:rsidR="00384939" w:rsidRPr="000B017E">
              <w:rPr>
                <w:rStyle w:val="Hyperlink"/>
                <w:noProof/>
                <w:lang w:eastAsia="en-AU"/>
              </w:rPr>
              <w:t>Submission details</w:t>
            </w:r>
            <w:r w:rsidR="00384939">
              <w:rPr>
                <w:noProof/>
                <w:webHidden/>
              </w:rPr>
              <w:tab/>
            </w:r>
            <w:r w:rsidR="00384939">
              <w:rPr>
                <w:noProof/>
                <w:webHidden/>
              </w:rPr>
              <w:fldChar w:fldCharType="begin"/>
            </w:r>
            <w:r w:rsidR="00384939">
              <w:rPr>
                <w:noProof/>
                <w:webHidden/>
              </w:rPr>
              <w:instrText xml:space="preserve"> PAGEREF _Toc56604922 \h </w:instrText>
            </w:r>
            <w:r w:rsidR="00384939">
              <w:rPr>
                <w:noProof/>
                <w:webHidden/>
              </w:rPr>
            </w:r>
            <w:r w:rsidR="00384939">
              <w:rPr>
                <w:noProof/>
                <w:webHidden/>
              </w:rPr>
              <w:fldChar w:fldCharType="separate"/>
            </w:r>
            <w:r>
              <w:rPr>
                <w:noProof/>
                <w:webHidden/>
              </w:rPr>
              <w:t>7</w:t>
            </w:r>
            <w:r w:rsidR="00384939">
              <w:rPr>
                <w:noProof/>
                <w:webHidden/>
              </w:rPr>
              <w:fldChar w:fldCharType="end"/>
            </w:r>
          </w:hyperlink>
        </w:p>
        <w:p w14:paraId="6794A062" w14:textId="01732747" w:rsidR="00384939" w:rsidRDefault="004C10EE">
          <w:pPr>
            <w:pStyle w:val="TOC2"/>
            <w:rPr>
              <w:rFonts w:asciiTheme="minorHAnsi" w:eastAsiaTheme="minorEastAsia" w:hAnsiTheme="minorHAnsi" w:cstheme="minorBidi"/>
              <w:b w:val="0"/>
              <w:noProof/>
              <w:sz w:val="22"/>
              <w:lang w:eastAsia="en-AU"/>
            </w:rPr>
          </w:pPr>
          <w:hyperlink w:anchor="_Toc56604923" w:history="1">
            <w:r w:rsidR="00384939" w:rsidRPr="000B017E">
              <w:rPr>
                <w:rStyle w:val="Hyperlink"/>
                <w:noProof/>
              </w:rPr>
              <w:t>Product background</w:t>
            </w:r>
            <w:r w:rsidR="00384939">
              <w:rPr>
                <w:noProof/>
                <w:webHidden/>
              </w:rPr>
              <w:tab/>
            </w:r>
            <w:r w:rsidR="00384939">
              <w:rPr>
                <w:noProof/>
                <w:webHidden/>
              </w:rPr>
              <w:fldChar w:fldCharType="begin"/>
            </w:r>
            <w:r w:rsidR="00384939">
              <w:rPr>
                <w:noProof/>
                <w:webHidden/>
              </w:rPr>
              <w:instrText xml:space="preserve"> PAGEREF _Toc56604923 \h </w:instrText>
            </w:r>
            <w:r w:rsidR="00384939">
              <w:rPr>
                <w:noProof/>
                <w:webHidden/>
              </w:rPr>
            </w:r>
            <w:r w:rsidR="00384939">
              <w:rPr>
                <w:noProof/>
                <w:webHidden/>
              </w:rPr>
              <w:fldChar w:fldCharType="separate"/>
            </w:r>
            <w:r>
              <w:rPr>
                <w:noProof/>
                <w:webHidden/>
              </w:rPr>
              <w:t>8</w:t>
            </w:r>
            <w:r w:rsidR="00384939">
              <w:rPr>
                <w:noProof/>
                <w:webHidden/>
              </w:rPr>
              <w:fldChar w:fldCharType="end"/>
            </w:r>
          </w:hyperlink>
        </w:p>
        <w:p w14:paraId="4BD9CFF4" w14:textId="712C2A01" w:rsidR="00384939" w:rsidRDefault="004C10EE">
          <w:pPr>
            <w:pStyle w:val="TOC2"/>
            <w:rPr>
              <w:rFonts w:asciiTheme="minorHAnsi" w:eastAsiaTheme="minorEastAsia" w:hAnsiTheme="minorHAnsi" w:cstheme="minorBidi"/>
              <w:b w:val="0"/>
              <w:noProof/>
              <w:sz w:val="22"/>
              <w:lang w:eastAsia="en-AU"/>
            </w:rPr>
          </w:pPr>
          <w:hyperlink w:anchor="_Toc56604924" w:history="1">
            <w:r w:rsidR="00384939" w:rsidRPr="000B017E">
              <w:rPr>
                <w:rStyle w:val="Hyperlink"/>
                <w:noProof/>
              </w:rPr>
              <w:t>Regulatory status</w:t>
            </w:r>
            <w:r w:rsidR="00384939">
              <w:rPr>
                <w:noProof/>
                <w:webHidden/>
              </w:rPr>
              <w:tab/>
            </w:r>
            <w:r w:rsidR="00384939">
              <w:rPr>
                <w:noProof/>
                <w:webHidden/>
              </w:rPr>
              <w:fldChar w:fldCharType="begin"/>
            </w:r>
            <w:r w:rsidR="00384939">
              <w:rPr>
                <w:noProof/>
                <w:webHidden/>
              </w:rPr>
              <w:instrText xml:space="preserve"> PAGEREF _Toc56604924 \h </w:instrText>
            </w:r>
            <w:r w:rsidR="00384939">
              <w:rPr>
                <w:noProof/>
                <w:webHidden/>
              </w:rPr>
            </w:r>
            <w:r w:rsidR="00384939">
              <w:rPr>
                <w:noProof/>
                <w:webHidden/>
              </w:rPr>
              <w:fldChar w:fldCharType="separate"/>
            </w:r>
            <w:r>
              <w:rPr>
                <w:noProof/>
                <w:webHidden/>
              </w:rPr>
              <w:t>9</w:t>
            </w:r>
            <w:r w:rsidR="00384939">
              <w:rPr>
                <w:noProof/>
                <w:webHidden/>
              </w:rPr>
              <w:fldChar w:fldCharType="end"/>
            </w:r>
          </w:hyperlink>
        </w:p>
        <w:p w14:paraId="7E0BA33F" w14:textId="02077EBD" w:rsidR="00384939" w:rsidRDefault="004C10EE">
          <w:pPr>
            <w:pStyle w:val="TOC2"/>
            <w:rPr>
              <w:rFonts w:asciiTheme="minorHAnsi" w:eastAsiaTheme="minorEastAsia" w:hAnsiTheme="minorHAnsi" w:cstheme="minorBidi"/>
              <w:b w:val="0"/>
              <w:noProof/>
              <w:sz w:val="22"/>
              <w:lang w:eastAsia="en-AU"/>
            </w:rPr>
          </w:pPr>
          <w:hyperlink w:anchor="_Toc56604925" w:history="1">
            <w:r w:rsidR="00384939" w:rsidRPr="000B017E">
              <w:rPr>
                <w:rStyle w:val="Hyperlink"/>
                <w:noProof/>
              </w:rPr>
              <w:t>Product Information</w:t>
            </w:r>
            <w:r w:rsidR="00384939">
              <w:rPr>
                <w:noProof/>
                <w:webHidden/>
              </w:rPr>
              <w:tab/>
            </w:r>
            <w:r w:rsidR="00384939">
              <w:rPr>
                <w:noProof/>
                <w:webHidden/>
              </w:rPr>
              <w:fldChar w:fldCharType="begin"/>
            </w:r>
            <w:r w:rsidR="00384939">
              <w:rPr>
                <w:noProof/>
                <w:webHidden/>
              </w:rPr>
              <w:instrText xml:space="preserve"> PAGEREF _Toc56604925 \h </w:instrText>
            </w:r>
            <w:r w:rsidR="00384939">
              <w:rPr>
                <w:noProof/>
                <w:webHidden/>
              </w:rPr>
            </w:r>
            <w:r w:rsidR="00384939">
              <w:rPr>
                <w:noProof/>
                <w:webHidden/>
              </w:rPr>
              <w:fldChar w:fldCharType="separate"/>
            </w:r>
            <w:r>
              <w:rPr>
                <w:noProof/>
                <w:webHidden/>
              </w:rPr>
              <w:t>12</w:t>
            </w:r>
            <w:r w:rsidR="00384939">
              <w:rPr>
                <w:noProof/>
                <w:webHidden/>
              </w:rPr>
              <w:fldChar w:fldCharType="end"/>
            </w:r>
          </w:hyperlink>
        </w:p>
        <w:p w14:paraId="1F829F66" w14:textId="21789D30" w:rsidR="00384939" w:rsidRDefault="004C10EE">
          <w:pPr>
            <w:pStyle w:val="TOC1"/>
            <w:rPr>
              <w:rFonts w:asciiTheme="minorHAnsi" w:eastAsiaTheme="minorEastAsia" w:hAnsiTheme="minorHAnsi" w:cstheme="minorBidi"/>
              <w:b w:val="0"/>
              <w:noProof/>
              <w:sz w:val="22"/>
              <w:lang w:eastAsia="en-AU"/>
            </w:rPr>
          </w:pPr>
          <w:hyperlink w:anchor="_Toc56604926" w:history="1">
            <w:r w:rsidR="00384939" w:rsidRPr="000B017E">
              <w:rPr>
                <w:rStyle w:val="Hyperlink"/>
                <w:noProof/>
              </w:rPr>
              <w:t>II. Registration timeline</w:t>
            </w:r>
            <w:r w:rsidR="00384939">
              <w:rPr>
                <w:noProof/>
                <w:webHidden/>
              </w:rPr>
              <w:tab/>
            </w:r>
            <w:r w:rsidR="00384939">
              <w:rPr>
                <w:noProof/>
                <w:webHidden/>
              </w:rPr>
              <w:fldChar w:fldCharType="begin"/>
            </w:r>
            <w:r w:rsidR="00384939">
              <w:rPr>
                <w:noProof/>
                <w:webHidden/>
              </w:rPr>
              <w:instrText xml:space="preserve"> PAGEREF _Toc56604926 \h </w:instrText>
            </w:r>
            <w:r w:rsidR="00384939">
              <w:rPr>
                <w:noProof/>
                <w:webHidden/>
              </w:rPr>
            </w:r>
            <w:r w:rsidR="00384939">
              <w:rPr>
                <w:noProof/>
                <w:webHidden/>
              </w:rPr>
              <w:fldChar w:fldCharType="separate"/>
            </w:r>
            <w:r>
              <w:rPr>
                <w:noProof/>
                <w:webHidden/>
              </w:rPr>
              <w:t>13</w:t>
            </w:r>
            <w:r w:rsidR="00384939">
              <w:rPr>
                <w:noProof/>
                <w:webHidden/>
              </w:rPr>
              <w:fldChar w:fldCharType="end"/>
            </w:r>
          </w:hyperlink>
        </w:p>
        <w:p w14:paraId="7129DB1A" w14:textId="7BBAAF5D" w:rsidR="00384939" w:rsidRDefault="004C10EE">
          <w:pPr>
            <w:pStyle w:val="TOC1"/>
            <w:rPr>
              <w:rFonts w:asciiTheme="minorHAnsi" w:eastAsiaTheme="minorEastAsia" w:hAnsiTheme="minorHAnsi" w:cstheme="minorBidi"/>
              <w:b w:val="0"/>
              <w:noProof/>
              <w:sz w:val="22"/>
              <w:lang w:eastAsia="en-AU"/>
            </w:rPr>
          </w:pPr>
          <w:hyperlink w:anchor="_Toc56604927" w:history="1">
            <w:r w:rsidR="00384939" w:rsidRPr="000B017E">
              <w:rPr>
                <w:rStyle w:val="Hyperlink"/>
                <w:noProof/>
              </w:rPr>
              <w:t>III. Submission overview and risk/benefit assessment</w:t>
            </w:r>
            <w:r w:rsidR="00384939">
              <w:rPr>
                <w:noProof/>
                <w:webHidden/>
              </w:rPr>
              <w:tab/>
            </w:r>
            <w:r w:rsidR="00384939">
              <w:rPr>
                <w:noProof/>
                <w:webHidden/>
              </w:rPr>
              <w:fldChar w:fldCharType="begin"/>
            </w:r>
            <w:r w:rsidR="00384939">
              <w:rPr>
                <w:noProof/>
                <w:webHidden/>
              </w:rPr>
              <w:instrText xml:space="preserve"> PAGEREF _Toc56604927 \h </w:instrText>
            </w:r>
            <w:r w:rsidR="00384939">
              <w:rPr>
                <w:noProof/>
                <w:webHidden/>
              </w:rPr>
            </w:r>
            <w:r w:rsidR="00384939">
              <w:rPr>
                <w:noProof/>
                <w:webHidden/>
              </w:rPr>
              <w:fldChar w:fldCharType="separate"/>
            </w:r>
            <w:r>
              <w:rPr>
                <w:noProof/>
                <w:webHidden/>
              </w:rPr>
              <w:t>13</w:t>
            </w:r>
            <w:r w:rsidR="00384939">
              <w:rPr>
                <w:noProof/>
                <w:webHidden/>
              </w:rPr>
              <w:fldChar w:fldCharType="end"/>
            </w:r>
          </w:hyperlink>
        </w:p>
        <w:p w14:paraId="6DC7667C" w14:textId="000DD42E" w:rsidR="00384939" w:rsidRDefault="004C10EE">
          <w:pPr>
            <w:pStyle w:val="TOC2"/>
            <w:rPr>
              <w:rFonts w:asciiTheme="minorHAnsi" w:eastAsiaTheme="minorEastAsia" w:hAnsiTheme="minorHAnsi" w:cstheme="minorBidi"/>
              <w:b w:val="0"/>
              <w:noProof/>
              <w:sz w:val="22"/>
              <w:lang w:eastAsia="en-AU"/>
            </w:rPr>
          </w:pPr>
          <w:hyperlink w:anchor="_Toc56604928" w:history="1">
            <w:r w:rsidR="00384939" w:rsidRPr="000B017E">
              <w:rPr>
                <w:rStyle w:val="Hyperlink"/>
                <w:noProof/>
              </w:rPr>
              <w:t>Quality</w:t>
            </w:r>
            <w:r w:rsidR="00384939">
              <w:rPr>
                <w:noProof/>
                <w:webHidden/>
              </w:rPr>
              <w:tab/>
            </w:r>
            <w:r w:rsidR="00384939">
              <w:rPr>
                <w:noProof/>
                <w:webHidden/>
              </w:rPr>
              <w:fldChar w:fldCharType="begin"/>
            </w:r>
            <w:r w:rsidR="00384939">
              <w:rPr>
                <w:noProof/>
                <w:webHidden/>
              </w:rPr>
              <w:instrText xml:space="preserve"> PAGEREF _Toc56604928 \h </w:instrText>
            </w:r>
            <w:r w:rsidR="00384939">
              <w:rPr>
                <w:noProof/>
                <w:webHidden/>
              </w:rPr>
            </w:r>
            <w:r w:rsidR="00384939">
              <w:rPr>
                <w:noProof/>
                <w:webHidden/>
              </w:rPr>
              <w:fldChar w:fldCharType="separate"/>
            </w:r>
            <w:r>
              <w:rPr>
                <w:noProof/>
                <w:webHidden/>
              </w:rPr>
              <w:t>14</w:t>
            </w:r>
            <w:r w:rsidR="00384939">
              <w:rPr>
                <w:noProof/>
                <w:webHidden/>
              </w:rPr>
              <w:fldChar w:fldCharType="end"/>
            </w:r>
          </w:hyperlink>
        </w:p>
        <w:p w14:paraId="15B38E92" w14:textId="1179E413" w:rsidR="00384939" w:rsidRDefault="004C10EE">
          <w:pPr>
            <w:pStyle w:val="TOC2"/>
            <w:rPr>
              <w:rFonts w:asciiTheme="minorHAnsi" w:eastAsiaTheme="minorEastAsia" w:hAnsiTheme="minorHAnsi" w:cstheme="minorBidi"/>
              <w:b w:val="0"/>
              <w:noProof/>
              <w:sz w:val="22"/>
              <w:lang w:eastAsia="en-AU"/>
            </w:rPr>
          </w:pPr>
          <w:hyperlink w:anchor="_Toc56604929" w:history="1">
            <w:r w:rsidR="00384939" w:rsidRPr="000B017E">
              <w:rPr>
                <w:rStyle w:val="Hyperlink"/>
                <w:noProof/>
              </w:rPr>
              <w:t>Nonclinical</w:t>
            </w:r>
            <w:r w:rsidR="00384939">
              <w:rPr>
                <w:noProof/>
                <w:webHidden/>
              </w:rPr>
              <w:tab/>
            </w:r>
            <w:r w:rsidR="00384939">
              <w:rPr>
                <w:noProof/>
                <w:webHidden/>
              </w:rPr>
              <w:fldChar w:fldCharType="begin"/>
            </w:r>
            <w:r w:rsidR="00384939">
              <w:rPr>
                <w:noProof/>
                <w:webHidden/>
              </w:rPr>
              <w:instrText xml:space="preserve"> PAGEREF _Toc56604929 \h </w:instrText>
            </w:r>
            <w:r w:rsidR="00384939">
              <w:rPr>
                <w:noProof/>
                <w:webHidden/>
              </w:rPr>
            </w:r>
            <w:r w:rsidR="00384939">
              <w:rPr>
                <w:noProof/>
                <w:webHidden/>
              </w:rPr>
              <w:fldChar w:fldCharType="separate"/>
            </w:r>
            <w:r>
              <w:rPr>
                <w:noProof/>
                <w:webHidden/>
              </w:rPr>
              <w:t>15</w:t>
            </w:r>
            <w:r w:rsidR="00384939">
              <w:rPr>
                <w:noProof/>
                <w:webHidden/>
              </w:rPr>
              <w:fldChar w:fldCharType="end"/>
            </w:r>
          </w:hyperlink>
        </w:p>
        <w:p w14:paraId="247143B1" w14:textId="4FFB0115" w:rsidR="00384939" w:rsidRDefault="004C10EE">
          <w:pPr>
            <w:pStyle w:val="TOC2"/>
            <w:rPr>
              <w:rFonts w:asciiTheme="minorHAnsi" w:eastAsiaTheme="minorEastAsia" w:hAnsiTheme="minorHAnsi" w:cstheme="minorBidi"/>
              <w:b w:val="0"/>
              <w:noProof/>
              <w:sz w:val="22"/>
              <w:lang w:eastAsia="en-AU"/>
            </w:rPr>
          </w:pPr>
          <w:hyperlink w:anchor="_Toc56604930" w:history="1">
            <w:r w:rsidR="00384939" w:rsidRPr="000B017E">
              <w:rPr>
                <w:rStyle w:val="Hyperlink"/>
                <w:noProof/>
              </w:rPr>
              <w:t>Clinical</w:t>
            </w:r>
            <w:r w:rsidR="00384939">
              <w:rPr>
                <w:noProof/>
                <w:webHidden/>
              </w:rPr>
              <w:tab/>
            </w:r>
            <w:r w:rsidR="00384939">
              <w:rPr>
                <w:noProof/>
                <w:webHidden/>
              </w:rPr>
              <w:fldChar w:fldCharType="begin"/>
            </w:r>
            <w:r w:rsidR="00384939">
              <w:rPr>
                <w:noProof/>
                <w:webHidden/>
              </w:rPr>
              <w:instrText xml:space="preserve"> PAGEREF _Toc56604930 \h </w:instrText>
            </w:r>
            <w:r w:rsidR="00384939">
              <w:rPr>
                <w:noProof/>
                <w:webHidden/>
              </w:rPr>
            </w:r>
            <w:r w:rsidR="00384939">
              <w:rPr>
                <w:noProof/>
                <w:webHidden/>
              </w:rPr>
              <w:fldChar w:fldCharType="separate"/>
            </w:r>
            <w:r>
              <w:rPr>
                <w:noProof/>
                <w:webHidden/>
              </w:rPr>
              <w:t>17</w:t>
            </w:r>
            <w:r w:rsidR="00384939">
              <w:rPr>
                <w:noProof/>
                <w:webHidden/>
              </w:rPr>
              <w:fldChar w:fldCharType="end"/>
            </w:r>
          </w:hyperlink>
        </w:p>
        <w:p w14:paraId="283EB02C" w14:textId="35B6796E" w:rsidR="00384939" w:rsidRDefault="004C10EE">
          <w:pPr>
            <w:pStyle w:val="TOC2"/>
            <w:rPr>
              <w:rFonts w:asciiTheme="minorHAnsi" w:eastAsiaTheme="minorEastAsia" w:hAnsiTheme="minorHAnsi" w:cstheme="minorBidi"/>
              <w:b w:val="0"/>
              <w:noProof/>
              <w:sz w:val="22"/>
              <w:lang w:eastAsia="en-AU"/>
            </w:rPr>
          </w:pPr>
          <w:hyperlink w:anchor="_Toc56604931" w:history="1">
            <w:r w:rsidR="00384939" w:rsidRPr="000B017E">
              <w:rPr>
                <w:rStyle w:val="Hyperlink"/>
                <w:noProof/>
                <w:lang w:eastAsia="en-AU"/>
              </w:rPr>
              <w:t>Risk management plan</w:t>
            </w:r>
            <w:r w:rsidR="00384939">
              <w:rPr>
                <w:noProof/>
                <w:webHidden/>
              </w:rPr>
              <w:tab/>
            </w:r>
            <w:r w:rsidR="00384939">
              <w:rPr>
                <w:noProof/>
                <w:webHidden/>
              </w:rPr>
              <w:fldChar w:fldCharType="begin"/>
            </w:r>
            <w:r w:rsidR="00384939">
              <w:rPr>
                <w:noProof/>
                <w:webHidden/>
              </w:rPr>
              <w:instrText xml:space="preserve"> PAGEREF _Toc56604931 \h </w:instrText>
            </w:r>
            <w:r w:rsidR="00384939">
              <w:rPr>
                <w:noProof/>
                <w:webHidden/>
              </w:rPr>
            </w:r>
            <w:r w:rsidR="00384939">
              <w:rPr>
                <w:noProof/>
                <w:webHidden/>
              </w:rPr>
              <w:fldChar w:fldCharType="separate"/>
            </w:r>
            <w:r>
              <w:rPr>
                <w:noProof/>
                <w:webHidden/>
              </w:rPr>
              <w:t>33</w:t>
            </w:r>
            <w:r w:rsidR="00384939">
              <w:rPr>
                <w:noProof/>
                <w:webHidden/>
              </w:rPr>
              <w:fldChar w:fldCharType="end"/>
            </w:r>
          </w:hyperlink>
        </w:p>
        <w:p w14:paraId="07F95DC8" w14:textId="6A46165F" w:rsidR="00384939" w:rsidRDefault="004C10EE">
          <w:pPr>
            <w:pStyle w:val="TOC2"/>
            <w:rPr>
              <w:rFonts w:asciiTheme="minorHAnsi" w:eastAsiaTheme="minorEastAsia" w:hAnsiTheme="minorHAnsi" w:cstheme="minorBidi"/>
              <w:b w:val="0"/>
              <w:noProof/>
              <w:sz w:val="22"/>
              <w:lang w:eastAsia="en-AU"/>
            </w:rPr>
          </w:pPr>
          <w:hyperlink w:anchor="_Toc56604932" w:history="1">
            <w:r w:rsidR="00384939" w:rsidRPr="000B017E">
              <w:rPr>
                <w:rStyle w:val="Hyperlink"/>
                <w:noProof/>
              </w:rPr>
              <w:t>Risk-benefit analysis</w:t>
            </w:r>
            <w:r w:rsidR="00384939">
              <w:rPr>
                <w:noProof/>
                <w:webHidden/>
              </w:rPr>
              <w:tab/>
            </w:r>
            <w:r w:rsidR="00384939">
              <w:rPr>
                <w:noProof/>
                <w:webHidden/>
              </w:rPr>
              <w:fldChar w:fldCharType="begin"/>
            </w:r>
            <w:r w:rsidR="00384939">
              <w:rPr>
                <w:noProof/>
                <w:webHidden/>
              </w:rPr>
              <w:instrText xml:space="preserve"> PAGEREF _Toc56604932 \h </w:instrText>
            </w:r>
            <w:r w:rsidR="00384939">
              <w:rPr>
                <w:noProof/>
                <w:webHidden/>
              </w:rPr>
            </w:r>
            <w:r w:rsidR="00384939">
              <w:rPr>
                <w:noProof/>
                <w:webHidden/>
              </w:rPr>
              <w:fldChar w:fldCharType="separate"/>
            </w:r>
            <w:r>
              <w:rPr>
                <w:noProof/>
                <w:webHidden/>
              </w:rPr>
              <w:t>35</w:t>
            </w:r>
            <w:r w:rsidR="00384939">
              <w:rPr>
                <w:noProof/>
                <w:webHidden/>
              </w:rPr>
              <w:fldChar w:fldCharType="end"/>
            </w:r>
          </w:hyperlink>
        </w:p>
        <w:p w14:paraId="048F7450" w14:textId="3B6EB83F" w:rsidR="00384939" w:rsidRDefault="004C10EE">
          <w:pPr>
            <w:pStyle w:val="TOC2"/>
            <w:rPr>
              <w:rFonts w:asciiTheme="minorHAnsi" w:eastAsiaTheme="minorEastAsia" w:hAnsiTheme="minorHAnsi" w:cstheme="minorBidi"/>
              <w:b w:val="0"/>
              <w:noProof/>
              <w:sz w:val="22"/>
              <w:lang w:eastAsia="en-AU"/>
            </w:rPr>
          </w:pPr>
          <w:hyperlink w:anchor="_Toc56604933" w:history="1">
            <w:r w:rsidR="00384939" w:rsidRPr="000B017E">
              <w:rPr>
                <w:rStyle w:val="Hyperlink"/>
                <w:noProof/>
              </w:rPr>
              <w:t>Outcome</w:t>
            </w:r>
            <w:r w:rsidR="00384939">
              <w:rPr>
                <w:noProof/>
                <w:webHidden/>
              </w:rPr>
              <w:tab/>
            </w:r>
            <w:r w:rsidR="00384939">
              <w:rPr>
                <w:noProof/>
                <w:webHidden/>
              </w:rPr>
              <w:fldChar w:fldCharType="begin"/>
            </w:r>
            <w:r w:rsidR="00384939">
              <w:rPr>
                <w:noProof/>
                <w:webHidden/>
              </w:rPr>
              <w:instrText xml:space="preserve"> PAGEREF _Toc56604933 \h </w:instrText>
            </w:r>
            <w:r w:rsidR="00384939">
              <w:rPr>
                <w:noProof/>
                <w:webHidden/>
              </w:rPr>
            </w:r>
            <w:r w:rsidR="00384939">
              <w:rPr>
                <w:noProof/>
                <w:webHidden/>
              </w:rPr>
              <w:fldChar w:fldCharType="separate"/>
            </w:r>
            <w:r>
              <w:rPr>
                <w:noProof/>
                <w:webHidden/>
              </w:rPr>
              <w:t>39</w:t>
            </w:r>
            <w:r w:rsidR="00384939">
              <w:rPr>
                <w:noProof/>
                <w:webHidden/>
              </w:rPr>
              <w:fldChar w:fldCharType="end"/>
            </w:r>
          </w:hyperlink>
        </w:p>
        <w:p w14:paraId="0E6DCC73" w14:textId="570ED74C" w:rsidR="00384939" w:rsidRDefault="004C10EE">
          <w:pPr>
            <w:pStyle w:val="TOC1"/>
            <w:rPr>
              <w:rFonts w:asciiTheme="minorHAnsi" w:eastAsiaTheme="minorEastAsia" w:hAnsiTheme="minorHAnsi" w:cstheme="minorBidi"/>
              <w:b w:val="0"/>
              <w:noProof/>
              <w:sz w:val="22"/>
              <w:lang w:eastAsia="en-AU"/>
            </w:rPr>
          </w:pPr>
          <w:hyperlink w:anchor="_Toc56604934" w:history="1">
            <w:r w:rsidR="00384939" w:rsidRPr="000B017E">
              <w:rPr>
                <w:rStyle w:val="Hyperlink"/>
                <w:noProof/>
              </w:rPr>
              <w:t>Attachment 1. Product Information</w:t>
            </w:r>
            <w:r w:rsidR="00384939">
              <w:rPr>
                <w:noProof/>
                <w:webHidden/>
              </w:rPr>
              <w:tab/>
            </w:r>
            <w:r w:rsidR="00384939">
              <w:rPr>
                <w:noProof/>
                <w:webHidden/>
              </w:rPr>
              <w:fldChar w:fldCharType="begin"/>
            </w:r>
            <w:r w:rsidR="00384939">
              <w:rPr>
                <w:noProof/>
                <w:webHidden/>
              </w:rPr>
              <w:instrText xml:space="preserve"> PAGEREF _Toc56604934 \h </w:instrText>
            </w:r>
            <w:r w:rsidR="00384939">
              <w:rPr>
                <w:noProof/>
                <w:webHidden/>
              </w:rPr>
            </w:r>
            <w:r w:rsidR="00384939">
              <w:rPr>
                <w:noProof/>
                <w:webHidden/>
              </w:rPr>
              <w:fldChar w:fldCharType="separate"/>
            </w:r>
            <w:r>
              <w:rPr>
                <w:noProof/>
                <w:webHidden/>
              </w:rPr>
              <w:t>40</w:t>
            </w:r>
            <w:r w:rsidR="00384939">
              <w:rPr>
                <w:noProof/>
                <w:webHidden/>
              </w:rPr>
              <w:fldChar w:fldCharType="end"/>
            </w:r>
          </w:hyperlink>
        </w:p>
        <w:p w14:paraId="254911C6" w14:textId="77777777" w:rsidR="003A7F6C" w:rsidRPr="00B811C6" w:rsidRDefault="00C525A2" w:rsidP="00B811C6">
          <w:pPr>
            <w:pStyle w:val="TOC2"/>
          </w:pPr>
          <w:r>
            <w:fldChar w:fldCharType="end"/>
          </w:r>
        </w:p>
      </w:sdtContent>
    </w:sdt>
    <w:bookmarkStart w:id="3" w:name="_Toc314842482" w:displacedByCustomXml="prev"/>
    <w:p w14:paraId="2DEA5C66" w14:textId="77777777" w:rsidR="00C52E24" w:rsidRPr="00C52E24" w:rsidRDefault="00441C3F" w:rsidP="006D5E69">
      <w:pPr>
        <w:pStyle w:val="Heading2"/>
        <w:pageBreakBefore/>
      </w:pPr>
      <w:bookmarkStart w:id="4" w:name="_Toc351716269"/>
      <w:bookmarkStart w:id="5" w:name="_Toc351718881"/>
      <w:bookmarkStart w:id="6" w:name="_Toc355338616"/>
      <w:bookmarkStart w:id="7" w:name="_Toc356306144"/>
      <w:bookmarkStart w:id="8" w:name="_Toc56604920"/>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796"/>
        <w:gridCol w:w="6698"/>
      </w:tblGrid>
      <w:tr w:rsidR="009D19F4" w:rsidRPr="00FD119B" w14:paraId="482DD90A" w14:textId="77777777" w:rsidTr="00F333AB">
        <w:trPr>
          <w:cnfStyle w:val="100000000000" w:firstRow="1" w:lastRow="0" w:firstColumn="0" w:lastColumn="0" w:oddVBand="0" w:evenVBand="0" w:oddHBand="0" w:evenHBand="0" w:firstRowFirstColumn="0" w:firstRowLastColumn="0" w:lastRowFirstColumn="0" w:lastRowLastColumn="0"/>
        </w:trPr>
        <w:tc>
          <w:tcPr>
            <w:tcW w:w="1796" w:type="dxa"/>
            <w:tcBorders>
              <w:top w:val="single" w:sz="4" w:space="0" w:color="auto"/>
              <w:left w:val="single" w:sz="4" w:space="0" w:color="auto"/>
              <w:bottom w:val="single" w:sz="4" w:space="0" w:color="auto"/>
              <w:right w:val="single" w:sz="4" w:space="0" w:color="auto"/>
            </w:tcBorders>
          </w:tcPr>
          <w:p w14:paraId="12E77D83" w14:textId="77777777" w:rsidR="009D19F4" w:rsidRPr="00FD119B" w:rsidRDefault="009D19F4" w:rsidP="00CF5DAD">
            <w:pPr>
              <w:keepNext w:val="0"/>
              <w:ind w:left="0" w:right="0"/>
              <w:rPr>
                <w:szCs w:val="22"/>
                <w:lang w:eastAsia="en-US"/>
              </w:rPr>
            </w:pPr>
            <w:r w:rsidRPr="00FD119B">
              <w:rPr>
                <w:szCs w:val="22"/>
                <w:lang w:eastAsia="en-US"/>
              </w:rPr>
              <w:t>Abbreviation</w:t>
            </w:r>
          </w:p>
        </w:tc>
        <w:tc>
          <w:tcPr>
            <w:tcW w:w="6698" w:type="dxa"/>
            <w:tcBorders>
              <w:top w:val="single" w:sz="4" w:space="0" w:color="auto"/>
              <w:left w:val="single" w:sz="4" w:space="0" w:color="auto"/>
              <w:bottom w:val="single" w:sz="4" w:space="0" w:color="auto"/>
              <w:right w:val="single" w:sz="4" w:space="0" w:color="auto"/>
            </w:tcBorders>
          </w:tcPr>
          <w:p w14:paraId="55C6D6DE" w14:textId="77777777" w:rsidR="009D19F4" w:rsidRPr="00FD119B" w:rsidRDefault="009D19F4" w:rsidP="00CF5DAD">
            <w:pPr>
              <w:keepNext w:val="0"/>
              <w:ind w:left="0" w:right="0"/>
              <w:rPr>
                <w:szCs w:val="22"/>
                <w:lang w:eastAsia="en-US"/>
              </w:rPr>
            </w:pPr>
            <w:r w:rsidRPr="00FD119B">
              <w:rPr>
                <w:szCs w:val="22"/>
                <w:lang w:eastAsia="en-US"/>
              </w:rPr>
              <w:t>Meaning</w:t>
            </w:r>
          </w:p>
        </w:tc>
      </w:tr>
      <w:tr w:rsidR="009D19F4" w:rsidRPr="00FD119B" w14:paraId="12A4C8B8" w14:textId="77777777" w:rsidTr="00F333AB">
        <w:tc>
          <w:tcPr>
            <w:tcW w:w="1796" w:type="dxa"/>
            <w:tcBorders>
              <w:top w:val="single" w:sz="4" w:space="0" w:color="auto"/>
            </w:tcBorders>
          </w:tcPr>
          <w:p w14:paraId="21EC3F08" w14:textId="77777777" w:rsidR="009D19F4" w:rsidRPr="00FD119B" w:rsidRDefault="009D19F4" w:rsidP="00CF5DAD">
            <w:pPr>
              <w:ind w:left="0" w:right="0"/>
            </w:pPr>
            <w:r>
              <w:t>ACM</w:t>
            </w:r>
          </w:p>
        </w:tc>
        <w:tc>
          <w:tcPr>
            <w:tcW w:w="6698" w:type="dxa"/>
            <w:tcBorders>
              <w:top w:val="single" w:sz="4" w:space="0" w:color="auto"/>
            </w:tcBorders>
          </w:tcPr>
          <w:p w14:paraId="7F3AED0B" w14:textId="77777777" w:rsidR="009D19F4" w:rsidRPr="00FD119B" w:rsidRDefault="009D19F4" w:rsidP="00CF5DAD">
            <w:pPr>
              <w:ind w:left="0" w:right="0"/>
            </w:pPr>
            <w:r w:rsidRPr="00460036">
              <w:t>Advisory Committee on Medicines</w:t>
            </w:r>
          </w:p>
        </w:tc>
      </w:tr>
      <w:tr w:rsidR="009D19F4" w:rsidRPr="001F3FD1" w14:paraId="63366D21" w14:textId="77777777" w:rsidTr="00F333AB">
        <w:tc>
          <w:tcPr>
            <w:tcW w:w="1796" w:type="dxa"/>
          </w:tcPr>
          <w:p w14:paraId="56B4E8EC" w14:textId="77777777" w:rsidR="009D19F4" w:rsidRPr="001F3FD1" w:rsidRDefault="009D19F4" w:rsidP="003327EA">
            <w:pPr>
              <w:ind w:left="0"/>
            </w:pPr>
            <w:r>
              <w:t>AE</w:t>
            </w:r>
          </w:p>
        </w:tc>
        <w:tc>
          <w:tcPr>
            <w:tcW w:w="6698" w:type="dxa"/>
          </w:tcPr>
          <w:p w14:paraId="75589AC5" w14:textId="77777777" w:rsidR="009D19F4" w:rsidRPr="001F3FD1" w:rsidRDefault="009D19F4" w:rsidP="009D19F4">
            <w:pPr>
              <w:ind w:left="0"/>
            </w:pPr>
            <w:r>
              <w:t>Adverse event</w:t>
            </w:r>
          </w:p>
        </w:tc>
      </w:tr>
      <w:tr w:rsidR="009D19F4" w:rsidRPr="001F3FD1" w14:paraId="6120678B" w14:textId="77777777" w:rsidTr="00F333AB">
        <w:tc>
          <w:tcPr>
            <w:tcW w:w="1796" w:type="dxa"/>
          </w:tcPr>
          <w:p w14:paraId="3A0564AE" w14:textId="77777777" w:rsidR="009D19F4" w:rsidRPr="001F3FD1" w:rsidRDefault="009D19F4" w:rsidP="003327EA">
            <w:pPr>
              <w:ind w:left="0"/>
            </w:pPr>
            <w:r w:rsidRPr="003A5583">
              <w:t>ALT</w:t>
            </w:r>
          </w:p>
        </w:tc>
        <w:tc>
          <w:tcPr>
            <w:tcW w:w="6698" w:type="dxa"/>
          </w:tcPr>
          <w:p w14:paraId="7BF42AF1" w14:textId="77777777" w:rsidR="009D19F4" w:rsidRPr="001F3FD1" w:rsidRDefault="009D19F4" w:rsidP="009D19F4">
            <w:pPr>
              <w:ind w:left="0"/>
            </w:pPr>
            <w:r>
              <w:t>A</w:t>
            </w:r>
            <w:r w:rsidRPr="003A5583">
              <w:t>lanine aminotransferase</w:t>
            </w:r>
          </w:p>
        </w:tc>
      </w:tr>
      <w:tr w:rsidR="009D19F4" w:rsidRPr="001F3FD1" w14:paraId="43F7E159" w14:textId="77777777" w:rsidTr="00F333AB">
        <w:tc>
          <w:tcPr>
            <w:tcW w:w="1796" w:type="dxa"/>
          </w:tcPr>
          <w:p w14:paraId="33313369" w14:textId="77777777" w:rsidR="009D19F4" w:rsidRPr="001F3FD1" w:rsidRDefault="009D19F4" w:rsidP="003327EA">
            <w:pPr>
              <w:ind w:left="0"/>
            </w:pPr>
            <w:r>
              <w:t>ARGPM</w:t>
            </w:r>
          </w:p>
        </w:tc>
        <w:tc>
          <w:tcPr>
            <w:tcW w:w="6698" w:type="dxa"/>
          </w:tcPr>
          <w:p w14:paraId="018E1CEA" w14:textId="77777777" w:rsidR="009D19F4" w:rsidRPr="001F3FD1" w:rsidRDefault="009D19F4" w:rsidP="009D19F4">
            <w:pPr>
              <w:ind w:left="0"/>
            </w:pPr>
            <w:r w:rsidRPr="001F3FD1">
              <w:t>Australian Regulatory Guidelines for Prescription Medicines</w:t>
            </w:r>
          </w:p>
        </w:tc>
      </w:tr>
      <w:tr w:rsidR="009D19F4" w:rsidRPr="00FD119B" w14:paraId="4B9A5147" w14:textId="77777777" w:rsidTr="00F333AB">
        <w:tc>
          <w:tcPr>
            <w:tcW w:w="1796" w:type="dxa"/>
          </w:tcPr>
          <w:p w14:paraId="178CF0D9" w14:textId="77777777" w:rsidR="009D19F4" w:rsidRPr="00FD119B" w:rsidRDefault="009D19F4" w:rsidP="00CF5DAD">
            <w:pPr>
              <w:ind w:left="0" w:right="0"/>
            </w:pPr>
            <w:r>
              <w:t>ARTG</w:t>
            </w:r>
          </w:p>
        </w:tc>
        <w:tc>
          <w:tcPr>
            <w:tcW w:w="6698" w:type="dxa"/>
          </w:tcPr>
          <w:p w14:paraId="150067C9" w14:textId="77777777" w:rsidR="009D19F4" w:rsidRPr="00FD119B" w:rsidRDefault="009D19F4" w:rsidP="00CF5DAD">
            <w:pPr>
              <w:ind w:left="0" w:right="0"/>
            </w:pPr>
            <w:r w:rsidRPr="00460036">
              <w:t>Australian Register of Therapeutic Goods</w:t>
            </w:r>
          </w:p>
        </w:tc>
      </w:tr>
      <w:tr w:rsidR="009D19F4" w:rsidRPr="001F3FD1" w14:paraId="5A9B5CAF" w14:textId="77777777" w:rsidTr="00F333AB">
        <w:tc>
          <w:tcPr>
            <w:tcW w:w="1796" w:type="dxa"/>
          </w:tcPr>
          <w:p w14:paraId="7A2CE0AA" w14:textId="77777777" w:rsidR="009D19F4" w:rsidRPr="001F3FD1" w:rsidRDefault="009D19F4" w:rsidP="003327EA">
            <w:pPr>
              <w:ind w:left="0"/>
            </w:pPr>
            <w:r>
              <w:t>ASA</w:t>
            </w:r>
          </w:p>
        </w:tc>
        <w:tc>
          <w:tcPr>
            <w:tcW w:w="6698" w:type="dxa"/>
          </w:tcPr>
          <w:p w14:paraId="26B3CBBA" w14:textId="77777777" w:rsidR="009D19F4" w:rsidRPr="001F3FD1" w:rsidRDefault="009D19F4" w:rsidP="009D19F4">
            <w:pPr>
              <w:ind w:left="0"/>
            </w:pPr>
            <w:r w:rsidRPr="00242F0C">
              <w:t>Australian Specific Annex</w:t>
            </w:r>
          </w:p>
        </w:tc>
      </w:tr>
      <w:tr w:rsidR="009D19F4" w:rsidRPr="001F3FD1" w14:paraId="7787B2A0" w14:textId="77777777" w:rsidTr="00F333AB">
        <w:tc>
          <w:tcPr>
            <w:tcW w:w="1796" w:type="dxa"/>
          </w:tcPr>
          <w:p w14:paraId="153F95AB" w14:textId="77777777" w:rsidR="009D19F4" w:rsidRPr="001F3FD1" w:rsidRDefault="009D19F4" w:rsidP="003327EA">
            <w:pPr>
              <w:ind w:left="0"/>
            </w:pPr>
            <w:proofErr w:type="spellStart"/>
            <w:r>
              <w:t>AusPAR</w:t>
            </w:r>
            <w:proofErr w:type="spellEnd"/>
          </w:p>
        </w:tc>
        <w:tc>
          <w:tcPr>
            <w:tcW w:w="6698" w:type="dxa"/>
          </w:tcPr>
          <w:p w14:paraId="435D90C5" w14:textId="77777777" w:rsidR="009D19F4" w:rsidRPr="001F3FD1" w:rsidRDefault="009D19F4" w:rsidP="009D19F4">
            <w:pPr>
              <w:ind w:left="0"/>
            </w:pPr>
            <w:r w:rsidRPr="001F3FD1">
              <w:t>Australian Public Assessment Report</w:t>
            </w:r>
          </w:p>
        </w:tc>
      </w:tr>
      <w:tr w:rsidR="009D19F4" w:rsidRPr="001F3FD1" w14:paraId="2D694139" w14:textId="77777777" w:rsidTr="00F333AB">
        <w:tc>
          <w:tcPr>
            <w:tcW w:w="1796" w:type="dxa"/>
          </w:tcPr>
          <w:p w14:paraId="2BDC94E5" w14:textId="77777777" w:rsidR="009D19F4" w:rsidRPr="001F3FD1" w:rsidRDefault="009D19F4" w:rsidP="003327EA">
            <w:pPr>
              <w:ind w:left="0"/>
            </w:pPr>
            <w:r>
              <w:t>BMI</w:t>
            </w:r>
          </w:p>
        </w:tc>
        <w:tc>
          <w:tcPr>
            <w:tcW w:w="6698" w:type="dxa"/>
          </w:tcPr>
          <w:p w14:paraId="4848D6E7" w14:textId="77777777" w:rsidR="009D19F4" w:rsidRPr="001F3FD1" w:rsidRDefault="009D19F4" w:rsidP="009D19F4">
            <w:pPr>
              <w:ind w:left="0"/>
            </w:pPr>
            <w:r>
              <w:t>Body mass index</w:t>
            </w:r>
          </w:p>
        </w:tc>
      </w:tr>
      <w:tr w:rsidR="009D19F4" w:rsidRPr="001F3FD1" w14:paraId="4ABCC76A" w14:textId="77777777" w:rsidTr="00F333AB">
        <w:tc>
          <w:tcPr>
            <w:tcW w:w="1796" w:type="dxa"/>
          </w:tcPr>
          <w:p w14:paraId="39F7F15D" w14:textId="77777777" w:rsidR="009D19F4" w:rsidRPr="001F3FD1" w:rsidRDefault="009D19F4" w:rsidP="003327EA">
            <w:pPr>
              <w:ind w:left="0"/>
            </w:pPr>
            <w:r>
              <w:t>BSA</w:t>
            </w:r>
          </w:p>
        </w:tc>
        <w:tc>
          <w:tcPr>
            <w:tcW w:w="6698" w:type="dxa"/>
          </w:tcPr>
          <w:p w14:paraId="77F34576" w14:textId="77777777" w:rsidR="009D19F4" w:rsidRPr="001F3FD1" w:rsidRDefault="009D19F4" w:rsidP="009D19F4">
            <w:pPr>
              <w:ind w:left="0"/>
            </w:pPr>
            <w:r>
              <w:t>Body surface area</w:t>
            </w:r>
          </w:p>
        </w:tc>
      </w:tr>
      <w:tr w:rsidR="009D19F4" w:rsidRPr="001F3FD1" w14:paraId="1A3E29B7" w14:textId="77777777" w:rsidTr="00F333AB">
        <w:tc>
          <w:tcPr>
            <w:tcW w:w="1796" w:type="dxa"/>
          </w:tcPr>
          <w:p w14:paraId="473AF79D" w14:textId="77777777" w:rsidR="009D19F4" w:rsidRPr="001F3FD1" w:rsidRDefault="009D19F4" w:rsidP="003327EA">
            <w:pPr>
              <w:ind w:left="0"/>
            </w:pPr>
            <w:r>
              <w:t>CHMP</w:t>
            </w:r>
          </w:p>
        </w:tc>
        <w:tc>
          <w:tcPr>
            <w:tcW w:w="6698" w:type="dxa"/>
          </w:tcPr>
          <w:p w14:paraId="3C3A0E2A" w14:textId="2A4FDBF3" w:rsidR="009D19F4" w:rsidRPr="001F3FD1" w:rsidRDefault="009D19F4" w:rsidP="009D19F4">
            <w:pPr>
              <w:ind w:left="0"/>
            </w:pPr>
            <w:r w:rsidRPr="003327EA">
              <w:t>Committee for Medicinal Products for Human Use</w:t>
            </w:r>
            <w:r>
              <w:t xml:space="preserve"> </w:t>
            </w:r>
            <w:r w:rsidR="00EB5271">
              <w:t>(European Union)</w:t>
            </w:r>
          </w:p>
        </w:tc>
      </w:tr>
      <w:tr w:rsidR="009D19F4" w:rsidRPr="001F3FD1" w14:paraId="5C023C0C" w14:textId="77777777" w:rsidTr="00F333AB">
        <w:tc>
          <w:tcPr>
            <w:tcW w:w="1796" w:type="dxa"/>
          </w:tcPr>
          <w:p w14:paraId="5DD31DC2" w14:textId="77777777" w:rsidR="009D19F4" w:rsidRPr="001F3FD1" w:rsidRDefault="009D19F4" w:rsidP="003327EA">
            <w:pPr>
              <w:ind w:left="0"/>
            </w:pPr>
            <w:r>
              <w:t>CI</w:t>
            </w:r>
          </w:p>
        </w:tc>
        <w:tc>
          <w:tcPr>
            <w:tcW w:w="6698" w:type="dxa"/>
          </w:tcPr>
          <w:p w14:paraId="072971DF" w14:textId="77777777" w:rsidR="009D19F4" w:rsidRPr="001F3FD1" w:rsidRDefault="009D19F4" w:rsidP="009D19F4">
            <w:pPr>
              <w:ind w:left="0"/>
            </w:pPr>
            <w:r>
              <w:t>Confidence interval</w:t>
            </w:r>
          </w:p>
        </w:tc>
      </w:tr>
      <w:tr w:rsidR="009D19F4" w:rsidRPr="001F3FD1" w14:paraId="6119F9DA" w14:textId="77777777" w:rsidTr="00F333AB">
        <w:tc>
          <w:tcPr>
            <w:tcW w:w="1796" w:type="dxa"/>
          </w:tcPr>
          <w:p w14:paraId="5CC66F80" w14:textId="77777777" w:rsidR="009D19F4" w:rsidRPr="001F3FD1" w:rsidRDefault="009D19F4" w:rsidP="003327EA">
            <w:pPr>
              <w:ind w:left="0"/>
            </w:pPr>
            <w:r w:rsidRPr="00EB086B">
              <w:t>CIBMTR</w:t>
            </w:r>
          </w:p>
        </w:tc>
        <w:tc>
          <w:tcPr>
            <w:tcW w:w="6698" w:type="dxa"/>
          </w:tcPr>
          <w:p w14:paraId="43B064DB" w14:textId="77777777" w:rsidR="009D19F4" w:rsidRPr="001F3FD1" w:rsidRDefault="009D19F4" w:rsidP="009D19F4">
            <w:pPr>
              <w:ind w:left="0"/>
            </w:pPr>
            <w:r w:rsidRPr="00EB086B">
              <w:t>Centre for International Blood and Marrow Transplant Research</w:t>
            </w:r>
          </w:p>
        </w:tc>
      </w:tr>
      <w:tr w:rsidR="009D19F4" w:rsidRPr="001F3FD1" w14:paraId="6039B996" w14:textId="77777777" w:rsidTr="00F333AB">
        <w:tc>
          <w:tcPr>
            <w:tcW w:w="1796" w:type="dxa"/>
          </w:tcPr>
          <w:p w14:paraId="3C93074C" w14:textId="77777777" w:rsidR="009D19F4" w:rsidRPr="001F3FD1" w:rsidRDefault="009D19F4" w:rsidP="003327EA">
            <w:pPr>
              <w:ind w:left="0"/>
            </w:pPr>
            <w:r>
              <w:t>CMI</w:t>
            </w:r>
          </w:p>
        </w:tc>
        <w:tc>
          <w:tcPr>
            <w:tcW w:w="6698" w:type="dxa"/>
          </w:tcPr>
          <w:p w14:paraId="6F8BC60C" w14:textId="77777777" w:rsidR="009D19F4" w:rsidRPr="001F3FD1" w:rsidRDefault="009D19F4" w:rsidP="009D19F4">
            <w:pPr>
              <w:ind w:left="0"/>
            </w:pPr>
            <w:r>
              <w:t>Consumer Medicine Information</w:t>
            </w:r>
          </w:p>
        </w:tc>
      </w:tr>
      <w:tr w:rsidR="009D19F4" w:rsidRPr="001F3FD1" w14:paraId="076B2190" w14:textId="77777777" w:rsidTr="00F333AB">
        <w:tc>
          <w:tcPr>
            <w:tcW w:w="1796" w:type="dxa"/>
          </w:tcPr>
          <w:p w14:paraId="219199D1" w14:textId="77777777" w:rsidR="009D19F4" w:rsidRPr="001F3FD1" w:rsidRDefault="009D19F4" w:rsidP="003327EA">
            <w:pPr>
              <w:ind w:left="0"/>
            </w:pPr>
            <w:r>
              <w:t>CPD</w:t>
            </w:r>
          </w:p>
        </w:tc>
        <w:tc>
          <w:tcPr>
            <w:tcW w:w="6698" w:type="dxa"/>
          </w:tcPr>
          <w:p w14:paraId="69C6B719" w14:textId="77777777" w:rsidR="009D19F4" w:rsidRPr="001F3FD1" w:rsidRDefault="009D19F4" w:rsidP="009D19F4">
            <w:pPr>
              <w:ind w:left="0"/>
            </w:pPr>
            <w:r w:rsidRPr="001F3FD1">
              <w:t>Certified Product Details</w:t>
            </w:r>
          </w:p>
        </w:tc>
      </w:tr>
      <w:tr w:rsidR="009D19F4" w:rsidRPr="001F3FD1" w14:paraId="769A041C" w14:textId="77777777" w:rsidTr="00F333AB">
        <w:tc>
          <w:tcPr>
            <w:tcW w:w="1796" w:type="dxa"/>
          </w:tcPr>
          <w:p w14:paraId="33F33EDF" w14:textId="77777777" w:rsidR="009D19F4" w:rsidRPr="001F3FD1" w:rsidRDefault="009D19F4" w:rsidP="003327EA">
            <w:pPr>
              <w:ind w:left="0"/>
            </w:pPr>
            <w:r>
              <w:t>CR</w:t>
            </w:r>
          </w:p>
        </w:tc>
        <w:tc>
          <w:tcPr>
            <w:tcW w:w="6698" w:type="dxa"/>
          </w:tcPr>
          <w:p w14:paraId="15BFB546" w14:textId="77777777" w:rsidR="009D19F4" w:rsidRPr="001F3FD1" w:rsidRDefault="009D19F4" w:rsidP="009D19F4">
            <w:pPr>
              <w:ind w:left="0"/>
            </w:pPr>
            <w:r>
              <w:t>Complete response</w:t>
            </w:r>
          </w:p>
        </w:tc>
      </w:tr>
      <w:tr w:rsidR="009D19F4" w:rsidRPr="001F3FD1" w14:paraId="4FD73646" w14:textId="77777777" w:rsidTr="00F333AB">
        <w:tc>
          <w:tcPr>
            <w:tcW w:w="1796" w:type="dxa"/>
          </w:tcPr>
          <w:p w14:paraId="0D9CA388" w14:textId="77777777" w:rsidR="009D19F4" w:rsidRPr="001F3FD1" w:rsidRDefault="009D19F4" w:rsidP="003327EA">
            <w:pPr>
              <w:ind w:left="0"/>
            </w:pPr>
            <w:r w:rsidRPr="00EB086B">
              <w:t>DF-CUP</w:t>
            </w:r>
          </w:p>
        </w:tc>
        <w:tc>
          <w:tcPr>
            <w:tcW w:w="6698" w:type="dxa"/>
          </w:tcPr>
          <w:p w14:paraId="4D3A4789" w14:textId="77777777" w:rsidR="009D19F4" w:rsidRPr="001F3FD1" w:rsidRDefault="009D19F4" w:rsidP="009D19F4">
            <w:pPr>
              <w:ind w:left="0"/>
            </w:pPr>
            <w:proofErr w:type="spellStart"/>
            <w:r w:rsidRPr="003801DB">
              <w:t>Defitelio</w:t>
            </w:r>
            <w:proofErr w:type="spellEnd"/>
            <w:r>
              <w:t xml:space="preserve"> - </w:t>
            </w:r>
            <w:r w:rsidRPr="003801DB">
              <w:t>compassionate use</w:t>
            </w:r>
            <w:r>
              <w:t xml:space="preserve"> program</w:t>
            </w:r>
          </w:p>
        </w:tc>
      </w:tr>
      <w:tr w:rsidR="009D19F4" w:rsidRPr="001F3FD1" w14:paraId="3E4364CE" w14:textId="77777777" w:rsidTr="00F333AB">
        <w:tc>
          <w:tcPr>
            <w:tcW w:w="1796" w:type="dxa"/>
          </w:tcPr>
          <w:p w14:paraId="0E49FDAA" w14:textId="77777777" w:rsidR="009D19F4" w:rsidRPr="001F3FD1" w:rsidRDefault="009D19F4" w:rsidP="003327EA">
            <w:pPr>
              <w:ind w:left="0"/>
            </w:pPr>
            <w:r>
              <w:t>DLP</w:t>
            </w:r>
          </w:p>
        </w:tc>
        <w:tc>
          <w:tcPr>
            <w:tcW w:w="6698" w:type="dxa"/>
          </w:tcPr>
          <w:p w14:paraId="47951B41" w14:textId="77777777" w:rsidR="009D19F4" w:rsidRPr="001F3FD1" w:rsidRDefault="009D19F4" w:rsidP="009D19F4">
            <w:pPr>
              <w:ind w:left="0"/>
            </w:pPr>
            <w:r>
              <w:t>Data lock point</w:t>
            </w:r>
          </w:p>
        </w:tc>
      </w:tr>
      <w:tr w:rsidR="009D19F4" w:rsidRPr="001F3FD1" w14:paraId="4E95F768" w14:textId="77777777" w:rsidTr="00F333AB">
        <w:tc>
          <w:tcPr>
            <w:tcW w:w="1796" w:type="dxa"/>
          </w:tcPr>
          <w:p w14:paraId="3A7F04A9" w14:textId="77777777" w:rsidR="009D19F4" w:rsidRPr="001F3FD1" w:rsidRDefault="009D19F4" w:rsidP="003327EA">
            <w:pPr>
              <w:ind w:left="0"/>
            </w:pPr>
            <w:r>
              <w:t>EMA</w:t>
            </w:r>
          </w:p>
        </w:tc>
        <w:tc>
          <w:tcPr>
            <w:tcW w:w="6698" w:type="dxa"/>
          </w:tcPr>
          <w:p w14:paraId="35E2885C" w14:textId="7821F1B4" w:rsidR="009D19F4" w:rsidRPr="001F3FD1" w:rsidRDefault="009D19F4" w:rsidP="009D19F4">
            <w:pPr>
              <w:ind w:left="0"/>
            </w:pPr>
            <w:r>
              <w:t>European Medicines Agency</w:t>
            </w:r>
            <w:r w:rsidR="00EB5271">
              <w:t xml:space="preserve"> (European Union)</w:t>
            </w:r>
          </w:p>
        </w:tc>
      </w:tr>
      <w:tr w:rsidR="009D19F4" w:rsidRPr="001F3FD1" w14:paraId="1A21C62E" w14:textId="77777777" w:rsidTr="00F333AB">
        <w:tc>
          <w:tcPr>
            <w:tcW w:w="1796" w:type="dxa"/>
          </w:tcPr>
          <w:p w14:paraId="6A411D48" w14:textId="77777777" w:rsidR="009D19F4" w:rsidRPr="001F3FD1" w:rsidRDefault="009D19F4" w:rsidP="003327EA">
            <w:pPr>
              <w:ind w:left="0"/>
            </w:pPr>
            <w:r>
              <w:t>ESDR</w:t>
            </w:r>
          </w:p>
        </w:tc>
        <w:tc>
          <w:tcPr>
            <w:tcW w:w="6698" w:type="dxa"/>
          </w:tcPr>
          <w:p w14:paraId="5F0D3E74" w14:textId="77777777" w:rsidR="009D19F4" w:rsidRPr="001F3FD1" w:rsidRDefault="009D19F4" w:rsidP="009D19F4">
            <w:pPr>
              <w:ind w:left="0"/>
            </w:pPr>
            <w:r>
              <w:t>E</w:t>
            </w:r>
            <w:r w:rsidRPr="003A5583">
              <w:t>nd stage renal disease</w:t>
            </w:r>
          </w:p>
        </w:tc>
      </w:tr>
      <w:tr w:rsidR="009D19F4" w:rsidRPr="001F3FD1" w14:paraId="16F4A8DC" w14:textId="77777777" w:rsidTr="00F333AB">
        <w:tc>
          <w:tcPr>
            <w:tcW w:w="1796" w:type="dxa"/>
          </w:tcPr>
          <w:p w14:paraId="1CBC849E" w14:textId="77777777" w:rsidR="009D19F4" w:rsidRPr="001F3FD1" w:rsidRDefault="009D19F4" w:rsidP="003327EA">
            <w:pPr>
              <w:ind w:left="0"/>
            </w:pPr>
            <w:r>
              <w:t>EU</w:t>
            </w:r>
          </w:p>
        </w:tc>
        <w:tc>
          <w:tcPr>
            <w:tcW w:w="6698" w:type="dxa"/>
          </w:tcPr>
          <w:p w14:paraId="073853D4" w14:textId="77777777" w:rsidR="009D19F4" w:rsidRPr="001F3FD1" w:rsidRDefault="009D19F4" w:rsidP="009D19F4">
            <w:pPr>
              <w:ind w:left="0"/>
            </w:pPr>
            <w:r>
              <w:t>European Union</w:t>
            </w:r>
          </w:p>
        </w:tc>
      </w:tr>
      <w:tr w:rsidR="009D19F4" w:rsidRPr="001F3FD1" w14:paraId="5EABF268" w14:textId="77777777" w:rsidTr="00F333AB">
        <w:tc>
          <w:tcPr>
            <w:tcW w:w="1796" w:type="dxa"/>
          </w:tcPr>
          <w:p w14:paraId="42FEC648" w14:textId="77777777" w:rsidR="009D19F4" w:rsidRPr="001F3FD1" w:rsidRDefault="009D19F4" w:rsidP="003327EA">
            <w:pPr>
              <w:ind w:left="0"/>
            </w:pPr>
            <w:r>
              <w:t>FDA</w:t>
            </w:r>
          </w:p>
        </w:tc>
        <w:tc>
          <w:tcPr>
            <w:tcW w:w="6698" w:type="dxa"/>
          </w:tcPr>
          <w:p w14:paraId="43098123" w14:textId="387AEA78" w:rsidR="009D19F4" w:rsidRPr="001F3FD1" w:rsidRDefault="009D19F4" w:rsidP="009D19F4">
            <w:pPr>
              <w:ind w:left="0"/>
            </w:pPr>
            <w:r>
              <w:t>F</w:t>
            </w:r>
            <w:r w:rsidRPr="003327EA">
              <w:t>ood and Drug Administration</w:t>
            </w:r>
            <w:r>
              <w:t xml:space="preserve"> </w:t>
            </w:r>
            <w:r w:rsidR="00EB5271">
              <w:t>(</w:t>
            </w:r>
            <w:r w:rsidR="00FD4536" w:rsidRPr="001F3FD1">
              <w:t>United States of America</w:t>
            </w:r>
            <w:r w:rsidR="00FD4536">
              <w:t>)</w:t>
            </w:r>
          </w:p>
        </w:tc>
      </w:tr>
      <w:tr w:rsidR="009D19F4" w:rsidRPr="001F3FD1" w14:paraId="08E4CEDC" w14:textId="77777777" w:rsidTr="00F333AB">
        <w:tc>
          <w:tcPr>
            <w:tcW w:w="1796" w:type="dxa"/>
          </w:tcPr>
          <w:p w14:paraId="057F5FB2" w14:textId="77777777" w:rsidR="009D19F4" w:rsidRPr="001F3FD1" w:rsidRDefault="009D19F4" w:rsidP="003327EA">
            <w:pPr>
              <w:ind w:left="0"/>
            </w:pPr>
            <w:proofErr w:type="spellStart"/>
            <w:r>
              <w:t>GvHD</w:t>
            </w:r>
            <w:proofErr w:type="spellEnd"/>
          </w:p>
        </w:tc>
        <w:tc>
          <w:tcPr>
            <w:tcW w:w="6698" w:type="dxa"/>
          </w:tcPr>
          <w:p w14:paraId="0286CFF6" w14:textId="77777777" w:rsidR="009D19F4" w:rsidRPr="001F3FD1" w:rsidRDefault="009D19F4" w:rsidP="009D19F4">
            <w:pPr>
              <w:ind w:left="0"/>
            </w:pPr>
            <w:r>
              <w:t>G</w:t>
            </w:r>
            <w:r w:rsidRPr="003A5583">
              <w:t>raft versus host disease</w:t>
            </w:r>
          </w:p>
        </w:tc>
      </w:tr>
      <w:tr w:rsidR="009D19F4" w:rsidRPr="001F3FD1" w14:paraId="2EF1F8E9" w14:textId="77777777" w:rsidTr="00F333AB">
        <w:tc>
          <w:tcPr>
            <w:tcW w:w="1796" w:type="dxa"/>
          </w:tcPr>
          <w:p w14:paraId="4CE09422" w14:textId="77777777" w:rsidR="009D19F4" w:rsidRPr="001F3FD1" w:rsidRDefault="009D19F4" w:rsidP="003327EA">
            <w:pPr>
              <w:ind w:left="0"/>
            </w:pPr>
            <w:r>
              <w:t>HC</w:t>
            </w:r>
          </w:p>
        </w:tc>
        <w:tc>
          <w:tcPr>
            <w:tcW w:w="6698" w:type="dxa"/>
          </w:tcPr>
          <w:p w14:paraId="5E9FAE63" w14:textId="77777777" w:rsidR="009D19F4" w:rsidRPr="001F3FD1" w:rsidRDefault="009D19F4" w:rsidP="009D19F4">
            <w:pPr>
              <w:ind w:left="0"/>
            </w:pPr>
            <w:r>
              <w:t>Historical control</w:t>
            </w:r>
          </w:p>
        </w:tc>
      </w:tr>
      <w:tr w:rsidR="009D19F4" w:rsidRPr="001F3FD1" w14:paraId="163D8C55" w14:textId="77777777" w:rsidTr="00F333AB">
        <w:tc>
          <w:tcPr>
            <w:tcW w:w="1796" w:type="dxa"/>
          </w:tcPr>
          <w:p w14:paraId="13E6E088" w14:textId="77777777" w:rsidR="009D19F4" w:rsidRPr="001F3FD1" w:rsidRDefault="009D19F4" w:rsidP="003327EA">
            <w:pPr>
              <w:ind w:left="0"/>
            </w:pPr>
            <w:r>
              <w:t>HSCT</w:t>
            </w:r>
          </w:p>
        </w:tc>
        <w:tc>
          <w:tcPr>
            <w:tcW w:w="6698" w:type="dxa"/>
          </w:tcPr>
          <w:p w14:paraId="1B408BBD" w14:textId="77777777" w:rsidR="009D19F4" w:rsidRPr="001F3FD1" w:rsidRDefault="009D19F4" w:rsidP="009D19F4">
            <w:pPr>
              <w:ind w:left="0"/>
            </w:pPr>
            <w:r>
              <w:t>H</w:t>
            </w:r>
            <w:r w:rsidRPr="001F3FD1">
              <w:t>aematopoietic stem-cell transplantation</w:t>
            </w:r>
          </w:p>
        </w:tc>
      </w:tr>
      <w:tr w:rsidR="009D19F4" w:rsidRPr="001F3FD1" w14:paraId="71DB40BF" w14:textId="77777777" w:rsidTr="00F333AB">
        <w:tc>
          <w:tcPr>
            <w:tcW w:w="1796" w:type="dxa"/>
          </w:tcPr>
          <w:p w14:paraId="523D54F8" w14:textId="77777777" w:rsidR="009D19F4" w:rsidRPr="001F3FD1" w:rsidRDefault="009D19F4" w:rsidP="003327EA">
            <w:pPr>
              <w:ind w:left="0"/>
            </w:pPr>
            <w:r>
              <w:lastRenderedPageBreak/>
              <w:t>IM</w:t>
            </w:r>
          </w:p>
        </w:tc>
        <w:tc>
          <w:tcPr>
            <w:tcW w:w="6698" w:type="dxa"/>
          </w:tcPr>
          <w:p w14:paraId="15F1A1DC" w14:textId="77777777" w:rsidR="009D19F4" w:rsidRPr="001F3FD1" w:rsidRDefault="009D19F4" w:rsidP="009D19F4">
            <w:pPr>
              <w:ind w:left="0"/>
            </w:pPr>
            <w:r>
              <w:t>Intramuscularly</w:t>
            </w:r>
          </w:p>
        </w:tc>
      </w:tr>
      <w:tr w:rsidR="009D19F4" w:rsidRPr="001F3FD1" w14:paraId="0AFB675E" w14:textId="77777777" w:rsidTr="00F333AB">
        <w:tc>
          <w:tcPr>
            <w:tcW w:w="1796" w:type="dxa"/>
          </w:tcPr>
          <w:p w14:paraId="034FD8B3" w14:textId="77777777" w:rsidR="009D19F4" w:rsidRPr="001F3FD1" w:rsidRDefault="009D19F4" w:rsidP="003327EA">
            <w:pPr>
              <w:ind w:left="0"/>
            </w:pPr>
            <w:r>
              <w:t>IPC</w:t>
            </w:r>
          </w:p>
        </w:tc>
        <w:tc>
          <w:tcPr>
            <w:tcW w:w="6698" w:type="dxa"/>
          </w:tcPr>
          <w:p w14:paraId="29390180" w14:textId="77777777" w:rsidR="009D19F4" w:rsidRPr="001F3FD1" w:rsidRDefault="009D19F4" w:rsidP="009D19F4">
            <w:pPr>
              <w:ind w:left="0"/>
            </w:pPr>
            <w:r>
              <w:t>In process control</w:t>
            </w:r>
          </w:p>
        </w:tc>
      </w:tr>
      <w:tr w:rsidR="009D19F4" w:rsidRPr="001F3FD1" w14:paraId="2674A036" w14:textId="77777777" w:rsidTr="00F333AB">
        <w:tc>
          <w:tcPr>
            <w:tcW w:w="1796" w:type="dxa"/>
          </w:tcPr>
          <w:p w14:paraId="69B93FC9" w14:textId="77777777" w:rsidR="009D19F4" w:rsidRPr="001F3FD1" w:rsidRDefault="009D19F4" w:rsidP="003327EA">
            <w:pPr>
              <w:ind w:left="0"/>
            </w:pPr>
            <w:r>
              <w:t>ITT</w:t>
            </w:r>
          </w:p>
        </w:tc>
        <w:tc>
          <w:tcPr>
            <w:tcW w:w="6698" w:type="dxa"/>
          </w:tcPr>
          <w:p w14:paraId="02D0FC88" w14:textId="1D0D39B8" w:rsidR="009D19F4" w:rsidRPr="001F3FD1" w:rsidRDefault="009D19F4" w:rsidP="00EB5271">
            <w:pPr>
              <w:ind w:left="0"/>
            </w:pPr>
            <w:r>
              <w:t>Intent</w:t>
            </w:r>
            <w:r w:rsidR="00EB5271">
              <w:t>/intention</w:t>
            </w:r>
            <w:r>
              <w:t xml:space="preserve"> to treat</w:t>
            </w:r>
          </w:p>
        </w:tc>
      </w:tr>
      <w:tr w:rsidR="009D19F4" w:rsidRPr="001F3FD1" w14:paraId="4C2E967C" w14:textId="77777777" w:rsidTr="00F333AB">
        <w:tc>
          <w:tcPr>
            <w:tcW w:w="1796" w:type="dxa"/>
          </w:tcPr>
          <w:p w14:paraId="6332F0F0" w14:textId="77777777" w:rsidR="009D19F4" w:rsidRPr="001F3FD1" w:rsidRDefault="009D19F4" w:rsidP="003327EA">
            <w:pPr>
              <w:ind w:left="0"/>
            </w:pPr>
            <w:r>
              <w:t>IV</w:t>
            </w:r>
          </w:p>
        </w:tc>
        <w:tc>
          <w:tcPr>
            <w:tcW w:w="6698" w:type="dxa"/>
          </w:tcPr>
          <w:p w14:paraId="3452164F" w14:textId="77777777" w:rsidR="009D19F4" w:rsidRPr="001F3FD1" w:rsidRDefault="009D19F4" w:rsidP="009D19F4">
            <w:pPr>
              <w:ind w:left="0"/>
            </w:pPr>
            <w:r>
              <w:t>Intravenous</w:t>
            </w:r>
          </w:p>
        </w:tc>
      </w:tr>
      <w:tr w:rsidR="009D19F4" w:rsidRPr="001F3FD1" w14:paraId="7C7FE334" w14:textId="77777777" w:rsidTr="00F333AB">
        <w:tc>
          <w:tcPr>
            <w:tcW w:w="1796" w:type="dxa"/>
          </w:tcPr>
          <w:p w14:paraId="324FFF52" w14:textId="77777777" w:rsidR="009D19F4" w:rsidRPr="001F3FD1" w:rsidRDefault="009D19F4" w:rsidP="003327EA">
            <w:pPr>
              <w:ind w:left="0"/>
            </w:pPr>
            <w:r>
              <w:t>LMWH</w:t>
            </w:r>
          </w:p>
        </w:tc>
        <w:tc>
          <w:tcPr>
            <w:tcW w:w="6698" w:type="dxa"/>
          </w:tcPr>
          <w:p w14:paraId="4202B253" w14:textId="77777777" w:rsidR="009D19F4" w:rsidRPr="001F3FD1" w:rsidRDefault="009D19F4" w:rsidP="009D19F4">
            <w:pPr>
              <w:ind w:left="0"/>
            </w:pPr>
            <w:r>
              <w:t>L</w:t>
            </w:r>
            <w:r w:rsidRPr="001F3FD1">
              <w:t>ow molecular weight heparin</w:t>
            </w:r>
          </w:p>
        </w:tc>
      </w:tr>
      <w:tr w:rsidR="009D19F4" w:rsidRPr="001F3FD1" w14:paraId="5AE501E2" w14:textId="77777777" w:rsidTr="00F333AB">
        <w:tc>
          <w:tcPr>
            <w:tcW w:w="1796" w:type="dxa"/>
          </w:tcPr>
          <w:p w14:paraId="513C45EA" w14:textId="77777777" w:rsidR="009D19F4" w:rsidRPr="001F3FD1" w:rsidRDefault="009D19F4" w:rsidP="003327EA">
            <w:pPr>
              <w:ind w:left="0"/>
            </w:pPr>
            <w:r>
              <w:t>MOD</w:t>
            </w:r>
          </w:p>
        </w:tc>
        <w:tc>
          <w:tcPr>
            <w:tcW w:w="6698" w:type="dxa"/>
          </w:tcPr>
          <w:p w14:paraId="1052FDF3" w14:textId="77777777" w:rsidR="009D19F4" w:rsidRPr="001F3FD1" w:rsidRDefault="009D19F4" w:rsidP="009D19F4">
            <w:pPr>
              <w:ind w:left="0"/>
            </w:pPr>
            <w:r>
              <w:t>Multiple organ dysfunction</w:t>
            </w:r>
          </w:p>
        </w:tc>
      </w:tr>
      <w:tr w:rsidR="009D19F4" w:rsidRPr="001F3FD1" w14:paraId="509FC830" w14:textId="77777777" w:rsidTr="00F333AB">
        <w:tc>
          <w:tcPr>
            <w:tcW w:w="1796" w:type="dxa"/>
          </w:tcPr>
          <w:p w14:paraId="1E861432" w14:textId="77777777" w:rsidR="009D19F4" w:rsidRPr="001F3FD1" w:rsidRDefault="009D19F4" w:rsidP="003327EA">
            <w:pPr>
              <w:ind w:left="0"/>
            </w:pPr>
            <w:r>
              <w:t>MOF</w:t>
            </w:r>
          </w:p>
        </w:tc>
        <w:tc>
          <w:tcPr>
            <w:tcW w:w="6698" w:type="dxa"/>
          </w:tcPr>
          <w:p w14:paraId="18C17485" w14:textId="77777777" w:rsidR="009D19F4" w:rsidRPr="001F3FD1" w:rsidRDefault="009D19F4" w:rsidP="009D19F4">
            <w:pPr>
              <w:ind w:left="0"/>
            </w:pPr>
            <w:r>
              <w:t>M</w:t>
            </w:r>
            <w:r w:rsidRPr="001F3FD1">
              <w:t>ultiple organ failure</w:t>
            </w:r>
          </w:p>
        </w:tc>
      </w:tr>
      <w:tr w:rsidR="009D19F4" w:rsidRPr="001F3FD1" w14:paraId="2FADB70E" w14:textId="77777777" w:rsidTr="00F333AB">
        <w:tc>
          <w:tcPr>
            <w:tcW w:w="1796" w:type="dxa"/>
          </w:tcPr>
          <w:p w14:paraId="1CCFCA48" w14:textId="77777777" w:rsidR="009D19F4" w:rsidRPr="001F3FD1" w:rsidRDefault="009D19F4" w:rsidP="003327EA">
            <w:pPr>
              <w:ind w:left="0"/>
            </w:pPr>
            <w:r>
              <w:t>MRC</w:t>
            </w:r>
          </w:p>
        </w:tc>
        <w:tc>
          <w:tcPr>
            <w:tcW w:w="6698" w:type="dxa"/>
          </w:tcPr>
          <w:p w14:paraId="6A8FF4C2" w14:textId="77777777" w:rsidR="009D19F4" w:rsidRPr="001F3FD1" w:rsidRDefault="009D19F4" w:rsidP="009D19F4">
            <w:pPr>
              <w:ind w:left="0"/>
            </w:pPr>
            <w:r>
              <w:t>M</w:t>
            </w:r>
            <w:r w:rsidRPr="003A5583">
              <w:t>edical review committee</w:t>
            </w:r>
          </w:p>
        </w:tc>
      </w:tr>
      <w:tr w:rsidR="009D19F4" w:rsidRPr="001F3FD1" w14:paraId="45314E03" w14:textId="77777777" w:rsidTr="00F333AB">
        <w:tc>
          <w:tcPr>
            <w:tcW w:w="1796" w:type="dxa"/>
          </w:tcPr>
          <w:p w14:paraId="3654623D" w14:textId="77777777" w:rsidR="009D19F4" w:rsidRPr="001F3FD1" w:rsidRDefault="009D19F4" w:rsidP="003327EA">
            <w:pPr>
              <w:ind w:left="0"/>
            </w:pPr>
            <w:r>
              <w:t>MW</w:t>
            </w:r>
          </w:p>
        </w:tc>
        <w:tc>
          <w:tcPr>
            <w:tcW w:w="6698" w:type="dxa"/>
          </w:tcPr>
          <w:p w14:paraId="5E4982F1" w14:textId="77777777" w:rsidR="009D19F4" w:rsidRPr="001F3FD1" w:rsidRDefault="009D19F4" w:rsidP="009D19F4">
            <w:pPr>
              <w:ind w:left="0"/>
            </w:pPr>
            <w:r>
              <w:t>Molecular weight</w:t>
            </w:r>
          </w:p>
        </w:tc>
      </w:tr>
      <w:tr w:rsidR="009D19F4" w:rsidRPr="001F3FD1" w14:paraId="70050002" w14:textId="77777777" w:rsidTr="00F333AB">
        <w:tc>
          <w:tcPr>
            <w:tcW w:w="1796" w:type="dxa"/>
          </w:tcPr>
          <w:p w14:paraId="0F8AA99A" w14:textId="77777777" w:rsidR="009D19F4" w:rsidRPr="001F3FD1" w:rsidRDefault="009D19F4" w:rsidP="003327EA">
            <w:pPr>
              <w:ind w:left="0"/>
            </w:pPr>
            <w:r>
              <w:t>PAI-1</w:t>
            </w:r>
          </w:p>
        </w:tc>
        <w:tc>
          <w:tcPr>
            <w:tcW w:w="6698" w:type="dxa"/>
          </w:tcPr>
          <w:p w14:paraId="55992A9F" w14:textId="77777777" w:rsidR="009D19F4" w:rsidRPr="001F3FD1" w:rsidRDefault="009D19F4" w:rsidP="009D19F4">
            <w:pPr>
              <w:ind w:left="0"/>
            </w:pPr>
            <w:r>
              <w:t>P</w:t>
            </w:r>
            <w:r w:rsidRPr="003A5583">
              <w:t>lasmino</w:t>
            </w:r>
            <w:r>
              <w:t>gen activator inhibitor 1</w:t>
            </w:r>
          </w:p>
        </w:tc>
      </w:tr>
      <w:tr w:rsidR="009D19F4" w:rsidRPr="001F3FD1" w14:paraId="67AFB5E2" w14:textId="77777777" w:rsidTr="00F333AB">
        <w:tc>
          <w:tcPr>
            <w:tcW w:w="1796" w:type="dxa"/>
          </w:tcPr>
          <w:p w14:paraId="0ADE3C4C" w14:textId="77777777" w:rsidR="009D19F4" w:rsidRPr="001F3FD1" w:rsidRDefault="009D19F4" w:rsidP="003327EA">
            <w:pPr>
              <w:ind w:left="0"/>
            </w:pPr>
            <w:r>
              <w:t>PD</w:t>
            </w:r>
          </w:p>
        </w:tc>
        <w:tc>
          <w:tcPr>
            <w:tcW w:w="6698" w:type="dxa"/>
          </w:tcPr>
          <w:p w14:paraId="0ABBF4EC" w14:textId="20EF67EB" w:rsidR="009D19F4" w:rsidRPr="001F3FD1" w:rsidRDefault="009D19F4" w:rsidP="009D19F4">
            <w:pPr>
              <w:ind w:left="0"/>
            </w:pPr>
            <w:r>
              <w:t>P</w:t>
            </w:r>
            <w:r w:rsidRPr="001F3FD1">
              <w:t>harmacodynamics</w:t>
            </w:r>
            <w:r>
              <w:t>(s)</w:t>
            </w:r>
          </w:p>
        </w:tc>
      </w:tr>
      <w:tr w:rsidR="009D19F4" w:rsidRPr="001F3FD1" w14:paraId="235EC77B" w14:textId="77777777" w:rsidTr="00F333AB">
        <w:tc>
          <w:tcPr>
            <w:tcW w:w="1796" w:type="dxa"/>
          </w:tcPr>
          <w:p w14:paraId="5AE18920" w14:textId="77777777" w:rsidR="009D19F4" w:rsidRPr="001F3FD1" w:rsidRDefault="009D19F4" w:rsidP="003327EA">
            <w:pPr>
              <w:ind w:left="0"/>
            </w:pPr>
            <w:r>
              <w:t>PI</w:t>
            </w:r>
          </w:p>
        </w:tc>
        <w:tc>
          <w:tcPr>
            <w:tcW w:w="6698" w:type="dxa"/>
          </w:tcPr>
          <w:p w14:paraId="19566B4A" w14:textId="77777777" w:rsidR="009D19F4" w:rsidRPr="001F3FD1" w:rsidRDefault="009D19F4" w:rsidP="009D19F4">
            <w:pPr>
              <w:ind w:left="0"/>
            </w:pPr>
            <w:r>
              <w:t>Product Information</w:t>
            </w:r>
          </w:p>
        </w:tc>
      </w:tr>
      <w:tr w:rsidR="009D19F4" w:rsidRPr="001F3FD1" w14:paraId="10005BEA" w14:textId="77777777" w:rsidTr="00F333AB">
        <w:tc>
          <w:tcPr>
            <w:tcW w:w="1796" w:type="dxa"/>
          </w:tcPr>
          <w:p w14:paraId="06178C1C" w14:textId="77777777" w:rsidR="009D19F4" w:rsidRPr="001F3FD1" w:rsidRDefault="009D19F4" w:rsidP="003327EA">
            <w:pPr>
              <w:ind w:left="0"/>
            </w:pPr>
            <w:r>
              <w:t>PK</w:t>
            </w:r>
          </w:p>
        </w:tc>
        <w:tc>
          <w:tcPr>
            <w:tcW w:w="6698" w:type="dxa"/>
          </w:tcPr>
          <w:p w14:paraId="5066BA27" w14:textId="4DCF6BD1" w:rsidR="009D19F4" w:rsidRPr="001F3FD1" w:rsidRDefault="009D19F4" w:rsidP="009D19F4">
            <w:pPr>
              <w:ind w:left="0"/>
            </w:pPr>
            <w:r>
              <w:t>P</w:t>
            </w:r>
            <w:r w:rsidRPr="001F3FD1">
              <w:t>harmacokinetic</w:t>
            </w:r>
            <w:r>
              <w:t>(s)</w:t>
            </w:r>
          </w:p>
        </w:tc>
      </w:tr>
      <w:tr w:rsidR="009D19F4" w:rsidRPr="001F3FD1" w14:paraId="1D0E1053" w14:textId="77777777" w:rsidTr="00F333AB">
        <w:tc>
          <w:tcPr>
            <w:tcW w:w="1796" w:type="dxa"/>
          </w:tcPr>
          <w:p w14:paraId="78D2C924" w14:textId="77777777" w:rsidR="009D19F4" w:rsidRPr="001F3FD1" w:rsidRDefault="009D19F4" w:rsidP="003327EA">
            <w:pPr>
              <w:ind w:left="0"/>
            </w:pPr>
            <w:proofErr w:type="spellStart"/>
            <w:r>
              <w:t>popPK</w:t>
            </w:r>
            <w:proofErr w:type="spellEnd"/>
          </w:p>
        </w:tc>
        <w:tc>
          <w:tcPr>
            <w:tcW w:w="6698" w:type="dxa"/>
          </w:tcPr>
          <w:p w14:paraId="497B5F91" w14:textId="56A2735C" w:rsidR="009D19F4" w:rsidRPr="001F3FD1" w:rsidRDefault="009D19F4" w:rsidP="009D19F4">
            <w:pPr>
              <w:ind w:left="0"/>
            </w:pPr>
            <w:r>
              <w:t>P</w:t>
            </w:r>
            <w:r w:rsidRPr="003A5583">
              <w:t>opulation pharmacokinetic</w:t>
            </w:r>
            <w:r w:rsidR="00EB5271">
              <w:t>(s)</w:t>
            </w:r>
          </w:p>
        </w:tc>
      </w:tr>
      <w:tr w:rsidR="009D19F4" w:rsidRPr="001F3FD1" w14:paraId="3F00BDB7" w14:textId="77777777" w:rsidTr="00F333AB">
        <w:tc>
          <w:tcPr>
            <w:tcW w:w="1796" w:type="dxa"/>
          </w:tcPr>
          <w:p w14:paraId="3F95010A" w14:textId="77777777" w:rsidR="009D19F4" w:rsidRPr="001F3FD1" w:rsidRDefault="009D19F4" w:rsidP="003327EA">
            <w:pPr>
              <w:ind w:left="0"/>
            </w:pPr>
            <w:r>
              <w:t>PSUR</w:t>
            </w:r>
          </w:p>
        </w:tc>
        <w:tc>
          <w:tcPr>
            <w:tcW w:w="6698" w:type="dxa"/>
          </w:tcPr>
          <w:p w14:paraId="5255C203" w14:textId="2C1A95AD" w:rsidR="009D19F4" w:rsidRPr="001F3FD1" w:rsidRDefault="009D19F4" w:rsidP="009D19F4">
            <w:pPr>
              <w:ind w:left="0"/>
            </w:pPr>
            <w:r>
              <w:t xml:space="preserve">Periodic </w:t>
            </w:r>
            <w:r w:rsidR="00EB5271">
              <w:t>safety update r</w:t>
            </w:r>
            <w:r w:rsidR="00EB5271" w:rsidRPr="001F3FD1">
              <w:t>eport</w:t>
            </w:r>
          </w:p>
        </w:tc>
      </w:tr>
      <w:tr w:rsidR="009D19F4" w:rsidRPr="001F3FD1" w14:paraId="351A854F" w14:textId="77777777" w:rsidTr="00F333AB">
        <w:tc>
          <w:tcPr>
            <w:tcW w:w="1796" w:type="dxa"/>
          </w:tcPr>
          <w:p w14:paraId="1A7ADA0B" w14:textId="74374B7D" w:rsidR="009D19F4" w:rsidRPr="001F3FD1" w:rsidRDefault="00CB2A21" w:rsidP="003327EA">
            <w:pPr>
              <w:ind w:left="0"/>
            </w:pPr>
            <w:r>
              <w:t>q</w:t>
            </w:r>
            <w:r w:rsidR="009D19F4">
              <w:t>6</w:t>
            </w:r>
            <w:r>
              <w:t>h</w:t>
            </w:r>
          </w:p>
        </w:tc>
        <w:tc>
          <w:tcPr>
            <w:tcW w:w="6698" w:type="dxa"/>
          </w:tcPr>
          <w:p w14:paraId="760B9330" w14:textId="77777777" w:rsidR="009D19F4" w:rsidRPr="001F3FD1" w:rsidRDefault="009D19F4" w:rsidP="009D19F4">
            <w:pPr>
              <w:ind w:left="0"/>
            </w:pPr>
            <w:r>
              <w:t>Every 6 hours</w:t>
            </w:r>
          </w:p>
        </w:tc>
      </w:tr>
      <w:tr w:rsidR="009D19F4" w:rsidRPr="001F3FD1" w14:paraId="417BEC61" w14:textId="77777777" w:rsidTr="00F333AB">
        <w:tc>
          <w:tcPr>
            <w:tcW w:w="1796" w:type="dxa"/>
          </w:tcPr>
          <w:p w14:paraId="5578FEB1" w14:textId="77777777" w:rsidR="009D19F4" w:rsidRPr="001F3FD1" w:rsidRDefault="009D19F4" w:rsidP="003327EA">
            <w:pPr>
              <w:ind w:left="0"/>
            </w:pPr>
            <w:r>
              <w:t>RCT</w:t>
            </w:r>
          </w:p>
        </w:tc>
        <w:tc>
          <w:tcPr>
            <w:tcW w:w="6698" w:type="dxa"/>
          </w:tcPr>
          <w:p w14:paraId="1DCFA1B9" w14:textId="77777777" w:rsidR="009D19F4" w:rsidRPr="001F3FD1" w:rsidRDefault="009D19F4" w:rsidP="009D19F4">
            <w:pPr>
              <w:ind w:left="0"/>
            </w:pPr>
            <w:r>
              <w:t>R</w:t>
            </w:r>
            <w:r w:rsidRPr="00115829">
              <w:t>andomised controlled trial</w:t>
            </w:r>
          </w:p>
        </w:tc>
      </w:tr>
      <w:tr w:rsidR="009D19F4" w:rsidRPr="001F3FD1" w14:paraId="3221CB52" w14:textId="77777777" w:rsidTr="00F333AB">
        <w:tc>
          <w:tcPr>
            <w:tcW w:w="1796" w:type="dxa"/>
          </w:tcPr>
          <w:p w14:paraId="4A282B97" w14:textId="77777777" w:rsidR="009D19F4" w:rsidRPr="001F3FD1" w:rsidRDefault="009D19F4" w:rsidP="003327EA">
            <w:pPr>
              <w:ind w:left="0"/>
            </w:pPr>
            <w:r>
              <w:t>RMP</w:t>
            </w:r>
          </w:p>
        </w:tc>
        <w:tc>
          <w:tcPr>
            <w:tcW w:w="6698" w:type="dxa"/>
          </w:tcPr>
          <w:p w14:paraId="021D1E58" w14:textId="77777777" w:rsidR="009D19F4" w:rsidRPr="001F3FD1" w:rsidRDefault="009D19F4" w:rsidP="009D19F4">
            <w:pPr>
              <w:ind w:left="0"/>
            </w:pPr>
            <w:r>
              <w:t>Risk management plan</w:t>
            </w:r>
          </w:p>
        </w:tc>
      </w:tr>
      <w:tr w:rsidR="009D19F4" w:rsidRPr="001F3FD1" w14:paraId="6D138831" w14:textId="77777777" w:rsidTr="00F333AB">
        <w:tc>
          <w:tcPr>
            <w:tcW w:w="1796" w:type="dxa"/>
          </w:tcPr>
          <w:p w14:paraId="5581C8DB" w14:textId="77777777" w:rsidR="009D19F4" w:rsidRPr="001F3FD1" w:rsidRDefault="009D19F4" w:rsidP="003327EA">
            <w:pPr>
              <w:ind w:left="0"/>
            </w:pPr>
            <w:r>
              <w:t>RUQ</w:t>
            </w:r>
          </w:p>
        </w:tc>
        <w:tc>
          <w:tcPr>
            <w:tcW w:w="6698" w:type="dxa"/>
          </w:tcPr>
          <w:p w14:paraId="6F034FA6" w14:textId="77777777" w:rsidR="009D19F4" w:rsidRPr="001F3FD1" w:rsidRDefault="009D19F4" w:rsidP="009D19F4">
            <w:pPr>
              <w:ind w:left="0"/>
            </w:pPr>
            <w:r>
              <w:t>Right upper quadrant</w:t>
            </w:r>
          </w:p>
        </w:tc>
      </w:tr>
      <w:tr w:rsidR="009D19F4" w:rsidRPr="001F3FD1" w14:paraId="7CF23E64" w14:textId="77777777" w:rsidTr="00F333AB">
        <w:tc>
          <w:tcPr>
            <w:tcW w:w="1796" w:type="dxa"/>
          </w:tcPr>
          <w:p w14:paraId="215CA76E" w14:textId="77777777" w:rsidR="009D19F4" w:rsidRDefault="009D19F4" w:rsidP="00A24B4D">
            <w:pPr>
              <w:ind w:left="0"/>
            </w:pPr>
            <w:r>
              <w:t>SAS</w:t>
            </w:r>
          </w:p>
        </w:tc>
        <w:tc>
          <w:tcPr>
            <w:tcW w:w="6698" w:type="dxa"/>
          </w:tcPr>
          <w:p w14:paraId="7A8FE287" w14:textId="77777777" w:rsidR="009D19F4" w:rsidRDefault="009D19F4" w:rsidP="009D19F4">
            <w:pPr>
              <w:ind w:left="0"/>
            </w:pPr>
            <w:r>
              <w:t>Special Access Scheme</w:t>
            </w:r>
          </w:p>
        </w:tc>
      </w:tr>
      <w:tr w:rsidR="009D19F4" w:rsidRPr="001F3FD1" w14:paraId="3F1343B7" w14:textId="77777777" w:rsidTr="00F333AB">
        <w:tc>
          <w:tcPr>
            <w:tcW w:w="1796" w:type="dxa"/>
          </w:tcPr>
          <w:p w14:paraId="74506B26" w14:textId="77777777" w:rsidR="009D19F4" w:rsidRPr="001F3FD1" w:rsidRDefault="009D19F4" w:rsidP="003327EA">
            <w:pPr>
              <w:ind w:left="0"/>
            </w:pPr>
            <w:r>
              <w:t>SOC</w:t>
            </w:r>
          </w:p>
        </w:tc>
        <w:tc>
          <w:tcPr>
            <w:tcW w:w="6698" w:type="dxa"/>
          </w:tcPr>
          <w:p w14:paraId="4C2B9581" w14:textId="77777777" w:rsidR="009D19F4" w:rsidRPr="001F3FD1" w:rsidRDefault="009D19F4" w:rsidP="009D19F4">
            <w:pPr>
              <w:ind w:left="0"/>
            </w:pPr>
            <w:r>
              <w:t>System Organ Class</w:t>
            </w:r>
          </w:p>
        </w:tc>
      </w:tr>
      <w:tr w:rsidR="009D19F4" w:rsidRPr="001F3FD1" w14:paraId="397C49AD" w14:textId="77777777" w:rsidTr="00F333AB">
        <w:tc>
          <w:tcPr>
            <w:tcW w:w="1796" w:type="dxa"/>
          </w:tcPr>
          <w:p w14:paraId="611992C1" w14:textId="77777777" w:rsidR="009D19F4" w:rsidRPr="001F3FD1" w:rsidRDefault="009D19F4" w:rsidP="003327EA">
            <w:pPr>
              <w:ind w:left="0"/>
            </w:pPr>
            <w:r>
              <w:t>SOS</w:t>
            </w:r>
          </w:p>
        </w:tc>
        <w:tc>
          <w:tcPr>
            <w:tcW w:w="6698" w:type="dxa"/>
          </w:tcPr>
          <w:p w14:paraId="2D1FD6B3" w14:textId="77777777" w:rsidR="009D19F4" w:rsidRPr="001F3FD1" w:rsidRDefault="009D19F4" w:rsidP="009D19F4">
            <w:pPr>
              <w:ind w:left="0"/>
            </w:pPr>
            <w:r>
              <w:t>S</w:t>
            </w:r>
            <w:r w:rsidRPr="001F3FD1">
              <w:t>inusoidal obstruction syndrome</w:t>
            </w:r>
          </w:p>
        </w:tc>
      </w:tr>
      <w:tr w:rsidR="009D19F4" w:rsidRPr="001F3FD1" w14:paraId="7103F842" w14:textId="77777777" w:rsidTr="00F333AB">
        <w:tc>
          <w:tcPr>
            <w:tcW w:w="1796" w:type="dxa"/>
          </w:tcPr>
          <w:p w14:paraId="7023319C" w14:textId="77777777" w:rsidR="009D19F4" w:rsidRPr="001F3FD1" w:rsidRDefault="009D19F4" w:rsidP="003327EA">
            <w:pPr>
              <w:ind w:left="0"/>
            </w:pPr>
            <w:r>
              <w:t>TEAE</w:t>
            </w:r>
          </w:p>
        </w:tc>
        <w:tc>
          <w:tcPr>
            <w:tcW w:w="6698" w:type="dxa"/>
          </w:tcPr>
          <w:p w14:paraId="11331D9E" w14:textId="77777777" w:rsidR="009D19F4" w:rsidRPr="001F3FD1" w:rsidRDefault="009D19F4" w:rsidP="009D19F4">
            <w:pPr>
              <w:ind w:left="0"/>
            </w:pPr>
            <w:r w:rsidRPr="007D78B4">
              <w:t>Treatment emerg</w:t>
            </w:r>
            <w:r>
              <w:t>ent adverse event</w:t>
            </w:r>
          </w:p>
        </w:tc>
      </w:tr>
      <w:tr w:rsidR="009D19F4" w:rsidRPr="001F3FD1" w14:paraId="56D9B3A6" w14:textId="77777777" w:rsidTr="00F333AB">
        <w:tc>
          <w:tcPr>
            <w:tcW w:w="1796" w:type="dxa"/>
          </w:tcPr>
          <w:p w14:paraId="4057EF37" w14:textId="77777777" w:rsidR="009D19F4" w:rsidRPr="001F3FD1" w:rsidRDefault="009D19F4" w:rsidP="003327EA">
            <w:pPr>
              <w:ind w:left="0"/>
            </w:pPr>
            <w:r>
              <w:t>TGA</w:t>
            </w:r>
          </w:p>
        </w:tc>
        <w:tc>
          <w:tcPr>
            <w:tcW w:w="6698" w:type="dxa"/>
          </w:tcPr>
          <w:p w14:paraId="0880F8E9" w14:textId="77777777" w:rsidR="009D19F4" w:rsidRPr="001F3FD1" w:rsidRDefault="009D19F4" w:rsidP="009D19F4">
            <w:pPr>
              <w:ind w:left="0"/>
            </w:pPr>
            <w:r w:rsidRPr="001F3FD1">
              <w:t>Therapeutic Goods Administration</w:t>
            </w:r>
          </w:p>
        </w:tc>
      </w:tr>
      <w:tr w:rsidR="009D19F4" w:rsidRPr="001F3FD1" w14:paraId="416CAB84" w14:textId="77777777" w:rsidTr="00F333AB">
        <w:tc>
          <w:tcPr>
            <w:tcW w:w="1796" w:type="dxa"/>
          </w:tcPr>
          <w:p w14:paraId="78CDB933" w14:textId="77777777" w:rsidR="009D19F4" w:rsidRPr="001F3FD1" w:rsidRDefault="009D19F4" w:rsidP="003327EA">
            <w:pPr>
              <w:ind w:left="0"/>
            </w:pPr>
            <w:proofErr w:type="spellStart"/>
            <w:r>
              <w:t>tPA</w:t>
            </w:r>
            <w:proofErr w:type="spellEnd"/>
          </w:p>
        </w:tc>
        <w:tc>
          <w:tcPr>
            <w:tcW w:w="6698" w:type="dxa"/>
          </w:tcPr>
          <w:p w14:paraId="0746C7D3" w14:textId="77777777" w:rsidR="009D19F4" w:rsidRPr="001F3FD1" w:rsidRDefault="009D19F4" w:rsidP="009D19F4">
            <w:pPr>
              <w:ind w:left="0"/>
            </w:pPr>
            <w:r>
              <w:t>T</w:t>
            </w:r>
            <w:r w:rsidRPr="001F3FD1">
              <w:t>issue plasminogen activator</w:t>
            </w:r>
          </w:p>
        </w:tc>
      </w:tr>
      <w:tr w:rsidR="009D19F4" w:rsidRPr="001F3FD1" w14:paraId="7F7D3C2C" w14:textId="77777777" w:rsidTr="00F333AB">
        <w:tc>
          <w:tcPr>
            <w:tcW w:w="1796" w:type="dxa"/>
          </w:tcPr>
          <w:p w14:paraId="00FCB3D5" w14:textId="66E9B742" w:rsidR="009D19F4" w:rsidRPr="001F3FD1" w:rsidRDefault="009D19F4" w:rsidP="003327EA">
            <w:pPr>
              <w:ind w:left="0"/>
            </w:pPr>
            <w:r>
              <w:t>US(A)</w:t>
            </w:r>
          </w:p>
        </w:tc>
        <w:tc>
          <w:tcPr>
            <w:tcW w:w="6698" w:type="dxa"/>
          </w:tcPr>
          <w:p w14:paraId="798BB3CA" w14:textId="77777777" w:rsidR="009D19F4" w:rsidRPr="001F3FD1" w:rsidRDefault="009D19F4" w:rsidP="009D19F4">
            <w:pPr>
              <w:ind w:left="0"/>
            </w:pPr>
            <w:r w:rsidRPr="001F3FD1">
              <w:t xml:space="preserve">United States </w:t>
            </w:r>
            <w:r>
              <w:t>(</w:t>
            </w:r>
            <w:r w:rsidRPr="001F3FD1">
              <w:t>of America</w:t>
            </w:r>
            <w:r>
              <w:t>)</w:t>
            </w:r>
          </w:p>
        </w:tc>
      </w:tr>
      <w:tr w:rsidR="009D19F4" w:rsidRPr="001F3FD1" w14:paraId="632CE128" w14:textId="77777777" w:rsidTr="00F333AB">
        <w:tc>
          <w:tcPr>
            <w:tcW w:w="1796" w:type="dxa"/>
          </w:tcPr>
          <w:p w14:paraId="027A7008" w14:textId="77777777" w:rsidR="009D19F4" w:rsidRPr="001F3FD1" w:rsidRDefault="009D19F4" w:rsidP="003327EA">
            <w:pPr>
              <w:ind w:left="0"/>
            </w:pPr>
            <w:r>
              <w:lastRenderedPageBreak/>
              <w:t>VOD</w:t>
            </w:r>
          </w:p>
        </w:tc>
        <w:tc>
          <w:tcPr>
            <w:tcW w:w="6698" w:type="dxa"/>
          </w:tcPr>
          <w:p w14:paraId="2E2882C1" w14:textId="77777777" w:rsidR="009D19F4" w:rsidRPr="001F3FD1" w:rsidRDefault="009D19F4" w:rsidP="009D19F4">
            <w:pPr>
              <w:ind w:left="0"/>
            </w:pPr>
            <w:proofErr w:type="spellStart"/>
            <w:r>
              <w:t>V</w:t>
            </w:r>
            <w:r w:rsidRPr="001F3FD1">
              <w:t>eno</w:t>
            </w:r>
            <w:proofErr w:type="spellEnd"/>
            <w:r w:rsidRPr="001F3FD1">
              <w:t>-occlusive disease</w:t>
            </w:r>
          </w:p>
        </w:tc>
      </w:tr>
    </w:tbl>
    <w:p w14:paraId="4BC6B178" w14:textId="6F460979" w:rsidR="008E7846" w:rsidRDefault="00F53C07" w:rsidP="006D5E69">
      <w:pPr>
        <w:pStyle w:val="Heading2"/>
        <w:pageBreakBefore/>
      </w:pPr>
      <w:bookmarkStart w:id="9" w:name="_Toc56604921"/>
      <w:r>
        <w:lastRenderedPageBreak/>
        <w:t>I.</w:t>
      </w:r>
      <w:r w:rsidR="008E7846">
        <w:t xml:space="preserve"> Introduction to product submission</w:t>
      </w:r>
      <w:bookmarkEnd w:id="9"/>
      <w:bookmarkEnd w:id="0"/>
      <w:bookmarkEnd w:id="3"/>
    </w:p>
    <w:p w14:paraId="20931EB0" w14:textId="77777777" w:rsidR="008E7846" w:rsidRDefault="008E7846" w:rsidP="008E7846">
      <w:pPr>
        <w:pStyle w:val="Heading3"/>
        <w:rPr>
          <w:lang w:eastAsia="en-AU"/>
        </w:rPr>
      </w:pPr>
      <w:bookmarkStart w:id="10" w:name="_Toc247691502"/>
      <w:bookmarkStart w:id="11" w:name="_Toc314842483"/>
      <w:bookmarkStart w:id="12" w:name="_Toc56604922"/>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5C88F5A1" w14:textId="77777777" w:rsidTr="003735BC">
        <w:tc>
          <w:tcPr>
            <w:tcW w:w="2907" w:type="dxa"/>
          </w:tcPr>
          <w:p w14:paraId="470D1476"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5BD6DA7E" w14:textId="77777777" w:rsidR="008E7846" w:rsidRPr="003D1E62" w:rsidRDefault="008E7846" w:rsidP="000F49FD">
            <w:r w:rsidRPr="003D1E62">
              <w:t xml:space="preserve">New </w:t>
            </w:r>
            <w:r w:rsidR="000F49FD">
              <w:t>biological</w:t>
            </w:r>
            <w:r w:rsidRPr="003D1E62">
              <w:t xml:space="preserve"> </w:t>
            </w:r>
            <w:r w:rsidR="001B5C90">
              <w:t>e</w:t>
            </w:r>
            <w:r w:rsidR="000F49FD">
              <w:t>ntity</w:t>
            </w:r>
          </w:p>
        </w:tc>
      </w:tr>
      <w:tr w:rsidR="00460036" w:rsidRPr="003D1E62" w14:paraId="33C90D5D" w14:textId="77777777" w:rsidTr="003735BC">
        <w:tc>
          <w:tcPr>
            <w:tcW w:w="2907" w:type="dxa"/>
          </w:tcPr>
          <w:p w14:paraId="0D4403DF" w14:textId="77777777" w:rsidR="00460036" w:rsidRPr="003D1E62" w:rsidRDefault="000F49FD" w:rsidP="003D1E62">
            <w:pPr>
              <w:rPr>
                <w:i/>
              </w:rPr>
            </w:pPr>
            <w:r>
              <w:rPr>
                <w:i/>
              </w:rPr>
              <w:t>Product name</w:t>
            </w:r>
            <w:r w:rsidR="00460036" w:rsidRPr="00460036">
              <w:rPr>
                <w:i/>
              </w:rPr>
              <w:t>:</w:t>
            </w:r>
          </w:p>
        </w:tc>
        <w:tc>
          <w:tcPr>
            <w:tcW w:w="6307" w:type="dxa"/>
          </w:tcPr>
          <w:p w14:paraId="05554873" w14:textId="77777777" w:rsidR="00460036" w:rsidRPr="003D1E62" w:rsidRDefault="000F49FD" w:rsidP="001B5C90">
            <w:proofErr w:type="spellStart"/>
            <w:r>
              <w:t>Defitelio</w:t>
            </w:r>
            <w:proofErr w:type="spellEnd"/>
          </w:p>
        </w:tc>
      </w:tr>
      <w:tr w:rsidR="00460036" w:rsidRPr="003D1E62" w14:paraId="767F1D1A" w14:textId="77777777" w:rsidTr="003735BC">
        <w:tc>
          <w:tcPr>
            <w:tcW w:w="2907" w:type="dxa"/>
          </w:tcPr>
          <w:p w14:paraId="43127B5B" w14:textId="77777777" w:rsidR="00460036" w:rsidRPr="003D1E62" w:rsidRDefault="000F49FD" w:rsidP="003D1E62">
            <w:pPr>
              <w:rPr>
                <w:i/>
              </w:rPr>
            </w:pPr>
            <w:r>
              <w:rPr>
                <w:i/>
              </w:rPr>
              <w:t>Active ingredient</w:t>
            </w:r>
            <w:r w:rsidR="00460036" w:rsidRPr="00460036">
              <w:rPr>
                <w:i/>
              </w:rPr>
              <w:t>:</w:t>
            </w:r>
          </w:p>
        </w:tc>
        <w:tc>
          <w:tcPr>
            <w:tcW w:w="6307" w:type="dxa"/>
          </w:tcPr>
          <w:p w14:paraId="37133258" w14:textId="77777777" w:rsidR="00460036" w:rsidRPr="003D1E62" w:rsidRDefault="000F49FD" w:rsidP="001B5C90">
            <w:r>
              <w:t>Defibrotide</w:t>
            </w:r>
          </w:p>
        </w:tc>
      </w:tr>
      <w:tr w:rsidR="008E7846" w:rsidRPr="003D1E62" w14:paraId="076FE914" w14:textId="77777777" w:rsidTr="003735BC">
        <w:tc>
          <w:tcPr>
            <w:tcW w:w="2907" w:type="dxa"/>
          </w:tcPr>
          <w:p w14:paraId="058C6510" w14:textId="77777777" w:rsidR="008E7846" w:rsidRPr="003D1E62" w:rsidRDefault="008E7846" w:rsidP="003D1E62">
            <w:r w:rsidRPr="003D1E62">
              <w:rPr>
                <w:i/>
              </w:rPr>
              <w:t>Decision</w:t>
            </w:r>
            <w:r w:rsidRPr="003D1E62">
              <w:t>:</w:t>
            </w:r>
          </w:p>
        </w:tc>
        <w:tc>
          <w:tcPr>
            <w:tcW w:w="6307" w:type="dxa"/>
          </w:tcPr>
          <w:p w14:paraId="760DB89A" w14:textId="77777777" w:rsidR="008E7846" w:rsidRPr="003D1E62" w:rsidRDefault="000F49FD" w:rsidP="000F49FD">
            <w:r>
              <w:t>Approved</w:t>
            </w:r>
          </w:p>
        </w:tc>
      </w:tr>
      <w:tr w:rsidR="008E7846" w:rsidRPr="003D1E62" w14:paraId="2C8083F6" w14:textId="77777777" w:rsidTr="003735BC">
        <w:tc>
          <w:tcPr>
            <w:tcW w:w="2907" w:type="dxa"/>
          </w:tcPr>
          <w:p w14:paraId="6B4D64ED"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1325CEF0" w14:textId="77777777" w:rsidR="008E7846" w:rsidRPr="003D1E62" w:rsidRDefault="000F49FD" w:rsidP="001B5C90">
            <w:r>
              <w:t>15 July 2020</w:t>
            </w:r>
          </w:p>
        </w:tc>
      </w:tr>
      <w:tr w:rsidR="00ED2922" w:rsidRPr="003D1E62" w14:paraId="2E7057D8" w14:textId="77777777" w:rsidTr="003735BC">
        <w:tc>
          <w:tcPr>
            <w:tcW w:w="2907" w:type="dxa"/>
          </w:tcPr>
          <w:p w14:paraId="595345BD" w14:textId="77777777" w:rsidR="00ED2922" w:rsidRPr="00441C3F" w:rsidRDefault="00ED2922" w:rsidP="001B5C90">
            <w:pPr>
              <w:rPr>
                <w:i/>
              </w:rPr>
            </w:pPr>
            <w:r w:rsidRPr="00441C3F">
              <w:rPr>
                <w:i/>
              </w:rPr>
              <w:t>Date of entry onto ARTG</w:t>
            </w:r>
            <w:r w:rsidR="00500337">
              <w:rPr>
                <w:i/>
              </w:rPr>
              <w:t>:</w:t>
            </w:r>
          </w:p>
        </w:tc>
        <w:tc>
          <w:tcPr>
            <w:tcW w:w="6307" w:type="dxa"/>
          </w:tcPr>
          <w:p w14:paraId="6AA7478A" w14:textId="77777777" w:rsidR="00ED2922" w:rsidRPr="00441C3F" w:rsidRDefault="000F49FD" w:rsidP="00D153D8">
            <w:pPr>
              <w:rPr>
                <w:i/>
              </w:rPr>
            </w:pPr>
            <w:r>
              <w:t>23 July 2020</w:t>
            </w:r>
          </w:p>
        </w:tc>
      </w:tr>
      <w:tr w:rsidR="00500337" w:rsidRPr="003D1E62" w14:paraId="64CCBFA4" w14:textId="77777777" w:rsidTr="003735BC">
        <w:tc>
          <w:tcPr>
            <w:tcW w:w="2907" w:type="dxa"/>
          </w:tcPr>
          <w:p w14:paraId="26E6C3B9" w14:textId="77777777" w:rsidR="00500337" w:rsidRPr="00441C3F" w:rsidRDefault="000F49FD" w:rsidP="001B5C90">
            <w:pPr>
              <w:rPr>
                <w:i/>
              </w:rPr>
            </w:pPr>
            <w:r>
              <w:rPr>
                <w:i/>
              </w:rPr>
              <w:t>ARTG number</w:t>
            </w:r>
            <w:r w:rsidR="00500337">
              <w:rPr>
                <w:i/>
              </w:rPr>
              <w:t>:</w:t>
            </w:r>
          </w:p>
        </w:tc>
        <w:tc>
          <w:tcPr>
            <w:tcW w:w="6307" w:type="dxa"/>
          </w:tcPr>
          <w:p w14:paraId="7DEF6A44" w14:textId="77777777" w:rsidR="00500337" w:rsidRPr="00441C3F" w:rsidRDefault="000F49FD" w:rsidP="00EC463D">
            <w:r>
              <w:t>319221</w:t>
            </w:r>
          </w:p>
        </w:tc>
      </w:tr>
      <w:tr w:rsidR="003735BC" w:rsidRPr="003D1E62" w14:paraId="42890B09" w14:textId="77777777" w:rsidTr="003735BC">
        <w:tc>
          <w:tcPr>
            <w:tcW w:w="2907" w:type="dxa"/>
          </w:tcPr>
          <w:p w14:paraId="1DE0EA0C"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bookmarkStart w:id="13" w:name="_Ref57860122"/>
            <w:r w:rsidR="00460036">
              <w:rPr>
                <w:rStyle w:val="FootnoteReference"/>
                <w:i/>
              </w:rPr>
              <w:footnoteReference w:id="1"/>
            </w:r>
            <w:bookmarkEnd w:id="13"/>
          </w:p>
        </w:tc>
        <w:tc>
          <w:tcPr>
            <w:tcW w:w="6307" w:type="dxa"/>
          </w:tcPr>
          <w:p w14:paraId="587F7E50" w14:textId="77777777" w:rsidR="003735BC" w:rsidRDefault="000F49FD" w:rsidP="003735BC">
            <w:r>
              <w:t>Yes</w:t>
            </w:r>
          </w:p>
          <w:p w14:paraId="2E1DA67E" w14:textId="77777777" w:rsidR="003735BC" w:rsidRPr="00487162" w:rsidRDefault="003735BC" w:rsidP="003735BC">
            <w:r>
              <w:t xml:space="preserve">This product will remain in the scheme for 5 years, starting on the date the product is first supplied in </w:t>
            </w:r>
            <w:r w:rsidR="000F49FD">
              <w:t>Australia</w:t>
            </w:r>
          </w:p>
        </w:tc>
      </w:tr>
    </w:tbl>
    <w:p w14:paraId="1E793B41" w14:textId="77777777" w:rsidR="008E7846" w:rsidRDefault="008E7846" w:rsidP="008E7846"/>
    <w:tbl>
      <w:tblPr>
        <w:tblW w:w="9214" w:type="dxa"/>
        <w:tblInd w:w="108" w:type="dxa"/>
        <w:tblLook w:val="01E0" w:firstRow="1" w:lastRow="1" w:firstColumn="1" w:lastColumn="1" w:noHBand="0" w:noVBand="0"/>
      </w:tblPr>
      <w:tblGrid>
        <w:gridCol w:w="2907"/>
        <w:gridCol w:w="6307"/>
      </w:tblGrid>
      <w:tr w:rsidR="008E7846" w:rsidRPr="00487162" w14:paraId="5E961E93" w14:textId="77777777" w:rsidTr="00BF1190">
        <w:tc>
          <w:tcPr>
            <w:tcW w:w="2907" w:type="dxa"/>
          </w:tcPr>
          <w:p w14:paraId="2BE2DE11"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396E0785" w14:textId="77777777" w:rsidR="005E50DB" w:rsidRDefault="005E50DB" w:rsidP="005E50DB">
            <w:r>
              <w:t>Link Medical Products Pty Ltd</w:t>
            </w:r>
          </w:p>
          <w:p w14:paraId="0E3CE32B" w14:textId="77777777" w:rsidR="00EB5271" w:rsidRDefault="005E50DB" w:rsidP="005E50DB">
            <w:r>
              <w:t>PO Box 718</w:t>
            </w:r>
          </w:p>
          <w:p w14:paraId="4D234EE2" w14:textId="1D4BF838" w:rsidR="008E7846" w:rsidRPr="00487162" w:rsidRDefault="005E50DB" w:rsidP="005E50DB">
            <w:r>
              <w:t>Mona Vale</w:t>
            </w:r>
            <w:r w:rsidR="00EB5271">
              <w:t xml:space="preserve">, </w:t>
            </w:r>
            <w:r>
              <w:t>NSW 1660</w:t>
            </w:r>
          </w:p>
        </w:tc>
      </w:tr>
      <w:tr w:rsidR="008E7846" w:rsidRPr="00487162" w14:paraId="0FD05653" w14:textId="77777777" w:rsidTr="00BF1190">
        <w:tc>
          <w:tcPr>
            <w:tcW w:w="2907" w:type="dxa"/>
          </w:tcPr>
          <w:p w14:paraId="401FCB83" w14:textId="77777777" w:rsidR="008E7846" w:rsidRPr="00487162" w:rsidRDefault="000F49FD" w:rsidP="00E45619">
            <w:pPr>
              <w:rPr>
                <w:i/>
              </w:rPr>
            </w:pPr>
            <w:r>
              <w:rPr>
                <w:i/>
              </w:rPr>
              <w:t>Dose form</w:t>
            </w:r>
            <w:r w:rsidR="001B5C90">
              <w:rPr>
                <w:i/>
              </w:rPr>
              <w:t>:</w:t>
            </w:r>
          </w:p>
        </w:tc>
        <w:tc>
          <w:tcPr>
            <w:tcW w:w="6307" w:type="dxa"/>
          </w:tcPr>
          <w:p w14:paraId="1ECF3FD3" w14:textId="0608DB4E" w:rsidR="008E7846" w:rsidRPr="00487162" w:rsidRDefault="002438F0" w:rsidP="002438F0">
            <w:r>
              <w:t>Concentrated solution</w:t>
            </w:r>
            <w:r w:rsidR="00E76D5C">
              <w:t xml:space="preserve"> for infusion (sterile concentrate)</w:t>
            </w:r>
          </w:p>
        </w:tc>
      </w:tr>
      <w:tr w:rsidR="008E7846" w:rsidRPr="00487162" w14:paraId="5A01D712" w14:textId="77777777" w:rsidTr="00BF1190">
        <w:tc>
          <w:tcPr>
            <w:tcW w:w="2907" w:type="dxa"/>
          </w:tcPr>
          <w:p w14:paraId="468C6B5E" w14:textId="77777777" w:rsidR="008E7846" w:rsidRPr="00487162" w:rsidRDefault="000F49FD" w:rsidP="00E45619">
            <w:pPr>
              <w:rPr>
                <w:i/>
              </w:rPr>
            </w:pPr>
            <w:r>
              <w:rPr>
                <w:i/>
              </w:rPr>
              <w:t>Strength</w:t>
            </w:r>
            <w:r w:rsidR="008E7846" w:rsidRPr="00487162">
              <w:rPr>
                <w:i/>
              </w:rPr>
              <w:t xml:space="preserve">: </w:t>
            </w:r>
          </w:p>
        </w:tc>
        <w:tc>
          <w:tcPr>
            <w:tcW w:w="6307" w:type="dxa"/>
          </w:tcPr>
          <w:p w14:paraId="13FFDE5A" w14:textId="77777777" w:rsidR="008E7846" w:rsidRPr="00487162" w:rsidRDefault="000F49FD" w:rsidP="00E45619">
            <w:r>
              <w:t>200 mg/2.5</w:t>
            </w:r>
            <w:r w:rsidR="00DC1BB2">
              <w:t xml:space="preserve"> </w:t>
            </w:r>
            <w:r>
              <w:t>mL</w:t>
            </w:r>
          </w:p>
        </w:tc>
      </w:tr>
      <w:tr w:rsidR="008E7846" w:rsidRPr="00487162" w14:paraId="45608CE5" w14:textId="77777777" w:rsidTr="00BF1190">
        <w:tc>
          <w:tcPr>
            <w:tcW w:w="2907" w:type="dxa"/>
          </w:tcPr>
          <w:p w14:paraId="13A4A61B" w14:textId="77777777" w:rsidR="008E7846" w:rsidRPr="00487162" w:rsidRDefault="000F49FD" w:rsidP="00E45619">
            <w:pPr>
              <w:rPr>
                <w:i/>
              </w:rPr>
            </w:pPr>
            <w:r>
              <w:rPr>
                <w:i/>
              </w:rPr>
              <w:t>Container</w:t>
            </w:r>
            <w:r w:rsidR="008E7846" w:rsidRPr="00487162">
              <w:rPr>
                <w:i/>
              </w:rPr>
              <w:t>:</w:t>
            </w:r>
          </w:p>
        </w:tc>
        <w:tc>
          <w:tcPr>
            <w:tcW w:w="6307" w:type="dxa"/>
          </w:tcPr>
          <w:p w14:paraId="2E85281C" w14:textId="77777777" w:rsidR="008E7846" w:rsidRPr="00487162" w:rsidRDefault="000F49FD" w:rsidP="00E45619">
            <w:r>
              <w:t>Vial</w:t>
            </w:r>
          </w:p>
        </w:tc>
      </w:tr>
      <w:tr w:rsidR="008E7846" w:rsidRPr="00487162" w14:paraId="0DD9B466" w14:textId="77777777" w:rsidTr="00BF1190">
        <w:tc>
          <w:tcPr>
            <w:tcW w:w="2907" w:type="dxa"/>
          </w:tcPr>
          <w:p w14:paraId="2409F50D" w14:textId="77777777" w:rsidR="008E7846" w:rsidRPr="00487162" w:rsidRDefault="000E3086" w:rsidP="00E45619">
            <w:pPr>
              <w:rPr>
                <w:i/>
              </w:rPr>
            </w:pPr>
            <w:r>
              <w:rPr>
                <w:i/>
              </w:rPr>
              <w:t>Pack size</w:t>
            </w:r>
            <w:r w:rsidR="008E7846" w:rsidRPr="00487162">
              <w:rPr>
                <w:i/>
              </w:rPr>
              <w:t>:</w:t>
            </w:r>
          </w:p>
        </w:tc>
        <w:tc>
          <w:tcPr>
            <w:tcW w:w="6307" w:type="dxa"/>
          </w:tcPr>
          <w:p w14:paraId="2D0AAE9E" w14:textId="77777777" w:rsidR="008E7846" w:rsidRPr="00487162" w:rsidRDefault="002438F0" w:rsidP="00E45619">
            <w:r>
              <w:t>10</w:t>
            </w:r>
          </w:p>
        </w:tc>
      </w:tr>
      <w:tr w:rsidR="008E7846" w:rsidRPr="00487162" w14:paraId="7A3AF2D3" w14:textId="77777777" w:rsidTr="00BF1190">
        <w:tc>
          <w:tcPr>
            <w:tcW w:w="2907" w:type="dxa"/>
          </w:tcPr>
          <w:p w14:paraId="73EA6E17"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038E5BAD" w14:textId="77777777" w:rsidR="002438F0" w:rsidRDefault="002438F0" w:rsidP="002438F0">
            <w:pPr>
              <w:rPr>
                <w:i/>
              </w:rPr>
            </w:pPr>
            <w:proofErr w:type="spellStart"/>
            <w:r w:rsidRPr="002438F0">
              <w:rPr>
                <w:i/>
              </w:rPr>
              <w:t>Defitelio</w:t>
            </w:r>
            <w:proofErr w:type="spellEnd"/>
            <w:r w:rsidRPr="002438F0">
              <w:rPr>
                <w:i/>
              </w:rPr>
              <w:t xml:space="preserve"> is indicated for the treatment of severe hepatic </w:t>
            </w:r>
            <w:proofErr w:type="spellStart"/>
            <w:r w:rsidRPr="002438F0">
              <w:rPr>
                <w:i/>
              </w:rPr>
              <w:t>veno</w:t>
            </w:r>
            <w:proofErr w:type="spellEnd"/>
            <w:r w:rsidRPr="002438F0">
              <w:rPr>
                <w:i/>
              </w:rPr>
              <w:t xml:space="preserve">-occlusive disease (VOD) also known as sinusoidal obstruction syndrome (SOS) in haematopoietic stem-cell </w:t>
            </w:r>
            <w:r>
              <w:rPr>
                <w:i/>
              </w:rPr>
              <w:t>transplantation (HSCT) therapy.</w:t>
            </w:r>
          </w:p>
          <w:p w14:paraId="075F9DF2" w14:textId="77777777" w:rsidR="008E7846" w:rsidRPr="002438F0" w:rsidRDefault="002438F0" w:rsidP="002438F0">
            <w:pPr>
              <w:rPr>
                <w:i/>
              </w:rPr>
            </w:pPr>
            <w:r w:rsidRPr="002438F0">
              <w:rPr>
                <w:i/>
              </w:rPr>
              <w:t>It is indicated in adults and in adolescents, children an</w:t>
            </w:r>
            <w:r>
              <w:rPr>
                <w:i/>
              </w:rPr>
              <w:t xml:space="preserve">d infants of 1 month of age and </w:t>
            </w:r>
            <w:r>
              <w:t>above</w:t>
            </w:r>
          </w:p>
        </w:tc>
      </w:tr>
      <w:tr w:rsidR="008E7846" w:rsidRPr="00487162" w14:paraId="7F1C88B8" w14:textId="77777777" w:rsidTr="00BF1190">
        <w:tc>
          <w:tcPr>
            <w:tcW w:w="2907" w:type="dxa"/>
          </w:tcPr>
          <w:p w14:paraId="42828568" w14:textId="77777777" w:rsidR="008E7846" w:rsidRPr="00487162" w:rsidRDefault="000F49FD" w:rsidP="00E45619">
            <w:pPr>
              <w:rPr>
                <w:i/>
              </w:rPr>
            </w:pPr>
            <w:r>
              <w:rPr>
                <w:i/>
              </w:rPr>
              <w:t>Route</w:t>
            </w:r>
            <w:r w:rsidR="008E7846" w:rsidRPr="00487162">
              <w:rPr>
                <w:i/>
              </w:rPr>
              <w:t xml:space="preserve"> of administration:</w:t>
            </w:r>
          </w:p>
        </w:tc>
        <w:tc>
          <w:tcPr>
            <w:tcW w:w="6307" w:type="dxa"/>
          </w:tcPr>
          <w:p w14:paraId="2444D142" w14:textId="77777777" w:rsidR="008E7846" w:rsidRPr="00487162" w:rsidRDefault="002438F0" w:rsidP="00E45619">
            <w:r>
              <w:t>Intravenous (IV)</w:t>
            </w:r>
          </w:p>
        </w:tc>
      </w:tr>
      <w:tr w:rsidR="008E7846" w:rsidRPr="00487162" w14:paraId="6FC0B7B1" w14:textId="77777777" w:rsidTr="00BF1190">
        <w:tc>
          <w:tcPr>
            <w:tcW w:w="2907" w:type="dxa"/>
          </w:tcPr>
          <w:p w14:paraId="04B60072" w14:textId="77777777" w:rsidR="008E7846" w:rsidRPr="00487162" w:rsidRDefault="008E7846" w:rsidP="00E45619">
            <w:pPr>
              <w:rPr>
                <w:i/>
              </w:rPr>
            </w:pPr>
            <w:r w:rsidRPr="00487162">
              <w:rPr>
                <w:i/>
              </w:rPr>
              <w:t>Dosage:</w:t>
            </w:r>
          </w:p>
        </w:tc>
        <w:tc>
          <w:tcPr>
            <w:tcW w:w="6307" w:type="dxa"/>
          </w:tcPr>
          <w:p w14:paraId="553BC3CB" w14:textId="472D6A89" w:rsidR="002438F0" w:rsidRDefault="002438F0" w:rsidP="002438F0">
            <w:proofErr w:type="spellStart"/>
            <w:r>
              <w:t>Defitelio</w:t>
            </w:r>
            <w:proofErr w:type="spellEnd"/>
            <w:r>
              <w:t xml:space="preserve"> must be prescribed and administered to patients by specialised physicians experienced in the diagnosis and </w:t>
            </w:r>
            <w:r>
              <w:lastRenderedPageBreak/>
              <w:t xml:space="preserve">treatment of complications of </w:t>
            </w:r>
            <w:r w:rsidR="00EB5271">
              <w:t>haematopoietic stem cell transplantation (</w:t>
            </w:r>
            <w:r>
              <w:t>HSCT</w:t>
            </w:r>
            <w:r w:rsidR="00EB5271">
              <w:t>)</w:t>
            </w:r>
            <w:r>
              <w:t>.</w:t>
            </w:r>
          </w:p>
          <w:p w14:paraId="70D32D4B" w14:textId="1B71B39D" w:rsidR="002438F0" w:rsidRDefault="002438F0" w:rsidP="002438F0">
            <w:r>
              <w:t>The recommended dose is 6.25 mg/kg body weight every 6</w:t>
            </w:r>
            <w:r w:rsidR="00EB5271">
              <w:t> </w:t>
            </w:r>
            <w:r>
              <w:t>hours (25 mg/kg/day). There is limited efficacy and safety data on doses above this level and consequently it is not recommended to increase the dose above 25 mg/kg/day.</w:t>
            </w:r>
          </w:p>
          <w:p w14:paraId="707D7B52" w14:textId="18AF0F52" w:rsidR="002438F0" w:rsidRDefault="002438F0" w:rsidP="002438F0">
            <w:r>
              <w:t xml:space="preserve">The treatment should be administered for a minimum of 21 days and continued until the symptoms and signs of severe </w:t>
            </w:r>
            <w:proofErr w:type="spellStart"/>
            <w:r w:rsidR="00EB5271">
              <w:t>veno</w:t>
            </w:r>
            <w:proofErr w:type="spellEnd"/>
            <w:r w:rsidR="00EB5271">
              <w:noBreakHyphen/>
              <w:t>occlusive disease (VOD)</w:t>
            </w:r>
            <w:r>
              <w:t xml:space="preserve"> resolve.</w:t>
            </w:r>
          </w:p>
          <w:p w14:paraId="18F0FA58" w14:textId="77777777" w:rsidR="00460036" w:rsidRPr="00487162" w:rsidRDefault="00460036" w:rsidP="002438F0">
            <w:r w:rsidRPr="00460036">
              <w:t>For further information regarding dosage, refer to the Product Information</w:t>
            </w:r>
            <w:r w:rsidR="005E50DB">
              <w:t xml:space="preserve"> (PI)</w:t>
            </w:r>
            <w:r w:rsidRPr="00460036">
              <w:t>.</w:t>
            </w:r>
          </w:p>
        </w:tc>
      </w:tr>
      <w:tr w:rsidR="00460036" w:rsidRPr="00487162" w14:paraId="197B7EBD" w14:textId="77777777" w:rsidTr="00BF1190">
        <w:tc>
          <w:tcPr>
            <w:tcW w:w="2907" w:type="dxa"/>
          </w:tcPr>
          <w:p w14:paraId="4F53E435" w14:textId="77777777" w:rsidR="00460036" w:rsidRPr="00487162" w:rsidRDefault="00460036" w:rsidP="00E45619">
            <w:pPr>
              <w:rPr>
                <w:i/>
              </w:rPr>
            </w:pPr>
            <w:r w:rsidRPr="00460036">
              <w:rPr>
                <w:i/>
              </w:rPr>
              <w:lastRenderedPageBreak/>
              <w:t>Pregnancy category</w:t>
            </w:r>
            <w:r>
              <w:rPr>
                <w:i/>
              </w:rPr>
              <w:t>:</w:t>
            </w:r>
          </w:p>
        </w:tc>
        <w:tc>
          <w:tcPr>
            <w:tcW w:w="6307" w:type="dxa"/>
          </w:tcPr>
          <w:p w14:paraId="6066961A" w14:textId="77777777" w:rsidR="00460036" w:rsidRPr="002438F0" w:rsidRDefault="002438F0" w:rsidP="002438F0">
            <w:r w:rsidRPr="002438F0">
              <w:t>D</w:t>
            </w:r>
          </w:p>
          <w:p w14:paraId="5A993CE9" w14:textId="77777777" w:rsidR="002438F0" w:rsidRPr="002438F0" w:rsidRDefault="002438F0" w:rsidP="002438F0">
            <w:r w:rsidRPr="002438F0">
              <w:t xml:space="preserve">Drugs which have caused, are suspected to have caused or may be expected to cause, an increased incidence of human </w:t>
            </w:r>
            <w:proofErr w:type="spellStart"/>
            <w:r w:rsidRPr="002438F0">
              <w:t>fetal</w:t>
            </w:r>
            <w:proofErr w:type="spellEnd"/>
            <w:r w:rsidRPr="002438F0">
              <w:t xml:space="preserve"> malformations or irreversible damage. These drugs may also have adverse pharmacological effects. Accompanying texts should be consulted for further details.</w:t>
            </w:r>
          </w:p>
          <w:p w14:paraId="43C28BD7" w14:textId="77777777" w:rsidR="00460036" w:rsidRPr="00487162" w:rsidRDefault="00460036" w:rsidP="00460036">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w:t>
            </w:r>
            <w:r w:rsidR="002438F0">
              <w:t>ces in your State or Territory.</w:t>
            </w:r>
          </w:p>
        </w:tc>
      </w:tr>
    </w:tbl>
    <w:p w14:paraId="31B9E503" w14:textId="77777777" w:rsidR="008E7846" w:rsidRDefault="008E7846" w:rsidP="008E7846">
      <w:pPr>
        <w:pStyle w:val="Heading3"/>
      </w:pPr>
      <w:bookmarkStart w:id="14" w:name="_Toc247691503"/>
      <w:bookmarkStart w:id="15" w:name="_Toc314842484"/>
      <w:bookmarkStart w:id="16" w:name="_Toc56604923"/>
      <w:r>
        <w:t>Product background</w:t>
      </w:r>
      <w:bookmarkEnd w:id="14"/>
      <w:bookmarkEnd w:id="15"/>
      <w:bookmarkEnd w:id="16"/>
    </w:p>
    <w:p w14:paraId="43938173" w14:textId="77777777" w:rsidR="008E7846" w:rsidRDefault="00250271" w:rsidP="00940A89">
      <w:r w:rsidRPr="00250271">
        <w:t xml:space="preserve">This </w:t>
      </w:r>
      <w:proofErr w:type="spellStart"/>
      <w:r w:rsidRPr="00250271">
        <w:t>AusPAR</w:t>
      </w:r>
      <w:proofErr w:type="spellEnd"/>
      <w:r w:rsidRPr="00250271">
        <w:t xml:space="preserve"> describes the application by</w:t>
      </w:r>
      <w:r w:rsidR="002438F0">
        <w:t xml:space="preserve"> </w:t>
      </w:r>
      <w:r w:rsidR="002438F0" w:rsidRPr="002438F0">
        <w:t>Link Medical Products Pty Ltd</w:t>
      </w:r>
      <w:r w:rsidR="002438F0">
        <w:t xml:space="preserve"> (the sponsor) to register </w:t>
      </w:r>
      <w:proofErr w:type="spellStart"/>
      <w:r w:rsidR="002438F0">
        <w:t>Defitelio</w:t>
      </w:r>
      <w:proofErr w:type="spellEnd"/>
      <w:r w:rsidR="002438F0">
        <w:t xml:space="preserve"> (defibrotide</w:t>
      </w:r>
      <w:r w:rsidRPr="00250271">
        <w:t xml:space="preserve">) </w:t>
      </w:r>
      <w:r w:rsidR="002438F0">
        <w:t>200</w:t>
      </w:r>
      <w:r w:rsidR="00011D79">
        <w:t xml:space="preserve"> </w:t>
      </w:r>
      <w:r w:rsidR="002438F0">
        <w:t>mg/2.5</w:t>
      </w:r>
      <w:r w:rsidR="00011D79">
        <w:t xml:space="preserve"> </w:t>
      </w:r>
      <w:r w:rsidR="002438F0">
        <w:t>mL</w:t>
      </w:r>
      <w:r w:rsidRPr="00250271">
        <w:t xml:space="preserve">, </w:t>
      </w:r>
      <w:r w:rsidR="002438F0">
        <w:t xml:space="preserve">concentrated solution </w:t>
      </w:r>
      <w:r w:rsidRPr="00250271">
        <w:t>for th</w:t>
      </w:r>
      <w:r w:rsidR="002438F0">
        <w:t>e following proposed indication</w:t>
      </w:r>
      <w:r w:rsidR="00CF5DAD">
        <w:t>:</w:t>
      </w:r>
    </w:p>
    <w:p w14:paraId="0CD9FF0F" w14:textId="77777777" w:rsidR="002438F0" w:rsidRPr="002438F0" w:rsidRDefault="002438F0" w:rsidP="002438F0">
      <w:pPr>
        <w:ind w:left="720"/>
        <w:rPr>
          <w:i/>
        </w:rPr>
      </w:pPr>
      <w:proofErr w:type="spellStart"/>
      <w:r w:rsidRPr="002438F0">
        <w:rPr>
          <w:i/>
        </w:rPr>
        <w:t>Defitelio</w:t>
      </w:r>
      <w:proofErr w:type="spellEnd"/>
      <w:r w:rsidRPr="002438F0">
        <w:rPr>
          <w:i/>
        </w:rPr>
        <w:t xml:space="preserve"> is indicated for the treatment of severe hepatic </w:t>
      </w:r>
      <w:proofErr w:type="spellStart"/>
      <w:r w:rsidRPr="002438F0">
        <w:rPr>
          <w:i/>
        </w:rPr>
        <w:t>veno</w:t>
      </w:r>
      <w:proofErr w:type="spellEnd"/>
      <w:r w:rsidRPr="002438F0">
        <w:rPr>
          <w:i/>
        </w:rPr>
        <w:t>-occlusive disease (VOD) also known as sinusoidal obstruction syndrome (SOS) in haematopoietic stem-cell transplantation (HSCT) therapy.</w:t>
      </w:r>
    </w:p>
    <w:p w14:paraId="221A939B" w14:textId="77777777" w:rsidR="003C3173" w:rsidRDefault="002438F0" w:rsidP="003C3173">
      <w:pPr>
        <w:ind w:left="720"/>
        <w:rPr>
          <w:i/>
        </w:rPr>
      </w:pPr>
      <w:r w:rsidRPr="003C3173">
        <w:rPr>
          <w:i/>
        </w:rPr>
        <w:t xml:space="preserve">It is indicated in adults and in adolescents, children and infants of 1 month of age and above. </w:t>
      </w:r>
    </w:p>
    <w:p w14:paraId="709D5AC7" w14:textId="626808CD" w:rsidR="00A24B4D" w:rsidRDefault="003C3173" w:rsidP="003C3173">
      <w:pPr>
        <w:rPr>
          <w:rFonts w:asciiTheme="minorHAnsi" w:hAnsiTheme="minorHAnsi"/>
        </w:rPr>
      </w:pPr>
      <w:r w:rsidRPr="005E50DB">
        <w:t xml:space="preserve">Hepatic </w:t>
      </w:r>
      <w:proofErr w:type="spellStart"/>
      <w:r w:rsidR="00EB5271">
        <w:t>veno</w:t>
      </w:r>
      <w:proofErr w:type="spellEnd"/>
      <w:r w:rsidR="00EB5271">
        <w:t>-occlusive disease (</w:t>
      </w:r>
      <w:r w:rsidR="005E50DB" w:rsidRPr="005E50DB">
        <w:t>VOD</w:t>
      </w:r>
      <w:r w:rsidR="00EB5271">
        <w:t>)</w:t>
      </w:r>
      <w:r w:rsidRPr="005E50DB">
        <w:t>, now more commonly referred to as</w:t>
      </w:r>
      <w:r w:rsidR="00EB5271">
        <w:t xml:space="preserve"> hepatic sinusoidal obstruction syndrome</w:t>
      </w:r>
      <w:r w:rsidRPr="005E50DB">
        <w:t xml:space="preserve"> </w:t>
      </w:r>
      <w:r w:rsidR="00EB5271">
        <w:t>(</w:t>
      </w:r>
      <w:r w:rsidR="0016365D" w:rsidRPr="005E50DB">
        <w:t>SOS</w:t>
      </w:r>
      <w:r w:rsidR="00EB5271">
        <w:t>)</w:t>
      </w:r>
      <w:r w:rsidRPr="005E50DB">
        <w:t xml:space="preserve">, is a rare and life threatening complication </w:t>
      </w:r>
      <w:r w:rsidR="0016365D" w:rsidRPr="005E50DB">
        <w:t xml:space="preserve">of </w:t>
      </w:r>
      <w:r w:rsidR="00EB5271">
        <w:t>haematopoietic stem cell transplant (</w:t>
      </w:r>
      <w:r w:rsidR="0016365D" w:rsidRPr="005E50DB">
        <w:t>HSCT</w:t>
      </w:r>
      <w:r w:rsidR="00EB5271">
        <w:t xml:space="preserve">), commonly referred to as a </w:t>
      </w:r>
      <w:r w:rsidRPr="005E50DB">
        <w:t>‘bone marrow’ transplant</w:t>
      </w:r>
      <w:r w:rsidR="00EB5271">
        <w:t>,</w:t>
      </w:r>
      <w:r w:rsidRPr="005E50DB">
        <w:t xml:space="preserve"> which usually develops in the early post-transplant period, and occurs in about 3% of patients after autologous HSCT and up to 60% of patients after allogeneic HSCT.</w:t>
      </w:r>
      <w:r w:rsidR="00451555">
        <w:rPr>
          <w:rStyle w:val="FootnoteReference"/>
        </w:rPr>
        <w:footnoteReference w:id="2"/>
      </w:r>
      <w:r w:rsidRPr="005E50DB">
        <w:t xml:space="preserve"> The clinical syndrome comprises rapid weight gain, fluid retention with ascites, painful hepatomegaly and jaundice. Severe hepatic VOD is accompanied by multiple organ dysfunction or failure (MOD/MOF) affecting the respiratory, renal and central nervous (hepatic encephalopathy) systems as well as the liver. If left untreated, severe VOD is associated with a mortality rate greater than 80%. The condition is thought to occur owing </w:t>
      </w:r>
      <w:r w:rsidRPr="005E50DB">
        <w:lastRenderedPageBreak/>
        <w:t xml:space="preserve">to damage, activation, death and detachment of endothelial cells within the liver sinusoids, ultimately resulting in the deposition of fibrin clots within the sinusoids. This endothelial cell activation and damage is thought to be initially triggered by the </w:t>
      </w:r>
      <w:r w:rsidR="00451555" w:rsidRPr="005E50DB">
        <w:t>chemo</w:t>
      </w:r>
      <w:r w:rsidR="00451555">
        <w:t>therapy</w:t>
      </w:r>
      <w:r w:rsidRPr="005E50DB">
        <w:t xml:space="preserve"> and radiotherapy included in the HSCT conditioning regimens. Later insults to the endothelial cells include exposure to the cytokines produced by the injured tissues, endogenous microbial products translocated through damaged mucosal barriers, drugs used during the HSCT procedure, and the process of engraftment</w:t>
      </w:r>
      <w:r w:rsidRPr="00EF6865">
        <w:rPr>
          <w:rFonts w:asciiTheme="minorHAnsi" w:hAnsiTheme="minorHAnsi"/>
        </w:rPr>
        <w:t xml:space="preserve"> itself.</w:t>
      </w:r>
      <w:r>
        <w:rPr>
          <w:rFonts w:asciiTheme="minorHAnsi" w:hAnsiTheme="minorHAnsi"/>
        </w:rPr>
        <w:t xml:space="preserve"> </w:t>
      </w:r>
      <w:r w:rsidR="007E1C5A">
        <w:rPr>
          <w:rFonts w:asciiTheme="minorHAnsi" w:hAnsiTheme="minorHAnsi"/>
        </w:rPr>
        <w:t>Factors that are thought to predispose to VOD include pre-existing</w:t>
      </w:r>
      <w:r>
        <w:rPr>
          <w:rFonts w:asciiTheme="minorHAnsi" w:hAnsiTheme="minorHAnsi"/>
        </w:rPr>
        <w:t xml:space="preserve"> liver disease, </w:t>
      </w:r>
      <w:r w:rsidR="00A24B4D">
        <w:rPr>
          <w:rFonts w:asciiTheme="minorHAnsi" w:hAnsiTheme="minorHAnsi"/>
        </w:rPr>
        <w:t>and younger patient age.</w:t>
      </w:r>
    </w:p>
    <w:p w14:paraId="5FB06A58" w14:textId="0E0E0C96" w:rsidR="0016365D" w:rsidRDefault="003C3173" w:rsidP="003C3173">
      <w:pPr>
        <w:rPr>
          <w:rFonts w:asciiTheme="minorHAnsi" w:hAnsiTheme="minorHAnsi"/>
        </w:rPr>
      </w:pPr>
      <w:r>
        <w:rPr>
          <w:rFonts w:asciiTheme="minorHAnsi" w:hAnsiTheme="minorHAnsi"/>
        </w:rPr>
        <w:t>T</w:t>
      </w:r>
      <w:r w:rsidRPr="00EF6865">
        <w:rPr>
          <w:rFonts w:asciiTheme="minorHAnsi" w:hAnsiTheme="minorHAnsi"/>
        </w:rPr>
        <w:t xml:space="preserve">here are no approved therapies </w:t>
      </w:r>
      <w:r>
        <w:rPr>
          <w:rFonts w:asciiTheme="minorHAnsi" w:hAnsiTheme="minorHAnsi"/>
        </w:rPr>
        <w:t>specific to</w:t>
      </w:r>
      <w:r w:rsidRPr="00EF6865">
        <w:rPr>
          <w:rFonts w:asciiTheme="minorHAnsi" w:hAnsiTheme="minorHAnsi"/>
        </w:rPr>
        <w:t xml:space="preserve"> </w:t>
      </w:r>
      <w:r>
        <w:rPr>
          <w:rFonts w:asciiTheme="minorHAnsi" w:hAnsiTheme="minorHAnsi"/>
        </w:rPr>
        <w:t xml:space="preserve">hepatic </w:t>
      </w:r>
      <w:r w:rsidRPr="00EF6865">
        <w:rPr>
          <w:rFonts w:asciiTheme="minorHAnsi" w:hAnsiTheme="minorHAnsi"/>
        </w:rPr>
        <w:t>VOD</w:t>
      </w:r>
      <w:r>
        <w:rPr>
          <w:rFonts w:asciiTheme="minorHAnsi" w:hAnsiTheme="minorHAnsi"/>
        </w:rPr>
        <w:t xml:space="preserve"> available in Australia</w:t>
      </w:r>
      <w:r w:rsidRPr="00EF6865">
        <w:rPr>
          <w:rFonts w:asciiTheme="minorHAnsi" w:hAnsiTheme="minorHAnsi"/>
        </w:rPr>
        <w:t>. Patients are treated with sodium and fluid restrictions</w:t>
      </w:r>
      <w:r>
        <w:rPr>
          <w:rFonts w:asciiTheme="minorHAnsi" w:hAnsiTheme="minorHAnsi"/>
        </w:rPr>
        <w:t xml:space="preserve"> and </w:t>
      </w:r>
      <w:r w:rsidRPr="00EF6865">
        <w:rPr>
          <w:rFonts w:asciiTheme="minorHAnsi" w:hAnsiTheme="minorHAnsi"/>
        </w:rPr>
        <w:t>diuretic</w:t>
      </w:r>
      <w:r>
        <w:rPr>
          <w:rFonts w:asciiTheme="minorHAnsi" w:hAnsiTheme="minorHAnsi"/>
        </w:rPr>
        <w:t>s</w:t>
      </w:r>
      <w:r w:rsidRPr="00EF6865">
        <w:rPr>
          <w:rFonts w:asciiTheme="minorHAnsi" w:hAnsiTheme="minorHAnsi"/>
        </w:rPr>
        <w:t xml:space="preserve"> and if </w:t>
      </w:r>
      <w:r>
        <w:rPr>
          <w:rFonts w:asciiTheme="minorHAnsi" w:hAnsiTheme="minorHAnsi"/>
        </w:rPr>
        <w:t>the condition progresses, with</w:t>
      </w:r>
      <w:r w:rsidRPr="00EF6865">
        <w:rPr>
          <w:rFonts w:asciiTheme="minorHAnsi" w:hAnsiTheme="minorHAnsi"/>
        </w:rPr>
        <w:t xml:space="preserve"> dopamine, sodium heparin, low molecular weight heparin (LMWH), or recombinant tissue plasminogen activator </w:t>
      </w:r>
      <w:r>
        <w:rPr>
          <w:rFonts w:asciiTheme="minorHAnsi" w:hAnsiTheme="minorHAnsi"/>
        </w:rPr>
        <w:t>(</w:t>
      </w:r>
      <w:proofErr w:type="spellStart"/>
      <w:proofErr w:type="gramStart"/>
      <w:r>
        <w:rPr>
          <w:rFonts w:asciiTheme="minorHAnsi" w:hAnsiTheme="minorHAnsi"/>
        </w:rPr>
        <w:t>tPA</w:t>
      </w:r>
      <w:proofErr w:type="spellEnd"/>
      <w:proofErr w:type="gramEnd"/>
      <w:r>
        <w:rPr>
          <w:rFonts w:asciiTheme="minorHAnsi" w:hAnsiTheme="minorHAnsi"/>
        </w:rPr>
        <w:t xml:space="preserve">) </w:t>
      </w:r>
      <w:r w:rsidRPr="00EF6865">
        <w:rPr>
          <w:rFonts w:asciiTheme="minorHAnsi" w:hAnsiTheme="minorHAnsi"/>
        </w:rPr>
        <w:t xml:space="preserve">depending on the severity. </w:t>
      </w:r>
      <w:r>
        <w:rPr>
          <w:rFonts w:asciiTheme="minorHAnsi" w:hAnsiTheme="minorHAnsi"/>
        </w:rPr>
        <w:t xml:space="preserve">While heparin has been approved for prophylaxis and treatment of </w:t>
      </w:r>
      <w:r w:rsidR="004F0C18">
        <w:rPr>
          <w:rFonts w:asciiTheme="minorHAnsi" w:hAnsiTheme="minorHAnsi"/>
        </w:rPr>
        <w:t>thromboembolic disorders</w:t>
      </w:r>
      <w:r w:rsidR="001E1A44">
        <w:rPr>
          <w:rFonts w:asciiTheme="minorHAnsi" w:hAnsiTheme="minorHAnsi"/>
        </w:rPr>
        <w:t xml:space="preserve"> </w:t>
      </w:r>
      <w:r w:rsidR="001E1A44" w:rsidRPr="001243C9">
        <w:rPr>
          <w:rFonts w:asciiTheme="minorHAnsi" w:hAnsiTheme="minorHAnsi"/>
        </w:rPr>
        <w:t xml:space="preserve">such as thrombophlebitis, pulmonary embolism, coronary or venous thrombosis and occlusive vascular disease, it is not approved for hepatic </w:t>
      </w:r>
      <w:proofErr w:type="spellStart"/>
      <w:r w:rsidR="001E1A44" w:rsidRPr="001243C9">
        <w:rPr>
          <w:rFonts w:asciiTheme="minorHAnsi" w:hAnsiTheme="minorHAnsi"/>
        </w:rPr>
        <w:t>veno</w:t>
      </w:r>
      <w:proofErr w:type="spellEnd"/>
      <w:r w:rsidR="001E1A44" w:rsidRPr="001243C9">
        <w:rPr>
          <w:rFonts w:asciiTheme="minorHAnsi" w:hAnsiTheme="minorHAnsi"/>
        </w:rPr>
        <w:t>-occlusive disease.</w:t>
      </w:r>
      <w:r w:rsidR="003C3DE8">
        <w:rPr>
          <w:rFonts w:asciiTheme="minorHAnsi" w:hAnsiTheme="minorHAnsi"/>
        </w:rPr>
        <w:t xml:space="preserve"> T</w:t>
      </w:r>
      <w:r>
        <w:rPr>
          <w:rFonts w:asciiTheme="minorHAnsi" w:hAnsiTheme="minorHAnsi"/>
        </w:rPr>
        <w:t xml:space="preserve">he use of </w:t>
      </w:r>
      <w:proofErr w:type="spellStart"/>
      <w:proofErr w:type="gramStart"/>
      <w:r>
        <w:rPr>
          <w:rFonts w:asciiTheme="minorHAnsi" w:hAnsiTheme="minorHAnsi"/>
        </w:rPr>
        <w:t>tPA</w:t>
      </w:r>
      <w:proofErr w:type="spellEnd"/>
      <w:proofErr w:type="gramEnd"/>
      <w:r>
        <w:rPr>
          <w:rFonts w:asciiTheme="minorHAnsi" w:hAnsiTheme="minorHAnsi"/>
        </w:rPr>
        <w:t xml:space="preserve"> is generally not recommended because of an associated risk of haemorrhage.</w:t>
      </w:r>
    </w:p>
    <w:p w14:paraId="0DEC9B19" w14:textId="52F279A6" w:rsidR="0016365D" w:rsidRPr="0016365D" w:rsidRDefault="00BA30D4" w:rsidP="003C3173">
      <w:pPr>
        <w:rPr>
          <w:lang w:val="en-US"/>
        </w:rPr>
      </w:pPr>
      <w:proofErr w:type="spellStart"/>
      <w:r>
        <w:rPr>
          <w:rFonts w:asciiTheme="minorHAnsi" w:hAnsiTheme="minorHAnsi"/>
        </w:rPr>
        <w:t>Defitelio</w:t>
      </w:r>
      <w:proofErr w:type="spellEnd"/>
      <w:r>
        <w:rPr>
          <w:rFonts w:asciiTheme="minorHAnsi" w:hAnsiTheme="minorHAnsi"/>
        </w:rPr>
        <w:t xml:space="preserve"> (d</w:t>
      </w:r>
      <w:r w:rsidR="003C3DE8">
        <w:rPr>
          <w:rFonts w:asciiTheme="minorHAnsi" w:hAnsiTheme="minorHAnsi"/>
        </w:rPr>
        <w:t>efibrotide</w:t>
      </w:r>
      <w:r>
        <w:rPr>
          <w:rFonts w:asciiTheme="minorHAnsi" w:hAnsiTheme="minorHAnsi"/>
        </w:rPr>
        <w:t>)</w:t>
      </w:r>
      <w:r w:rsidR="003C3DE8">
        <w:rPr>
          <w:rFonts w:asciiTheme="minorHAnsi" w:hAnsiTheme="minorHAnsi"/>
        </w:rPr>
        <w:t xml:space="preserve"> </w:t>
      </w:r>
      <w:r w:rsidR="0016365D" w:rsidRPr="000B3F14">
        <w:rPr>
          <w:rFonts w:asciiTheme="minorHAnsi" w:hAnsiTheme="minorHAnsi"/>
        </w:rPr>
        <w:t xml:space="preserve">is considered a </w:t>
      </w:r>
      <w:r w:rsidR="00451555">
        <w:rPr>
          <w:rFonts w:asciiTheme="minorHAnsi" w:hAnsiTheme="minorHAnsi"/>
        </w:rPr>
        <w:t>‘</w:t>
      </w:r>
      <w:r w:rsidR="0016365D" w:rsidRPr="000B3F14">
        <w:rPr>
          <w:rFonts w:asciiTheme="minorHAnsi" w:hAnsiTheme="minorHAnsi"/>
        </w:rPr>
        <w:t>first in class</w:t>
      </w:r>
      <w:r w:rsidR="00451555">
        <w:rPr>
          <w:rFonts w:asciiTheme="minorHAnsi" w:hAnsiTheme="minorHAnsi"/>
        </w:rPr>
        <w:t>’</w:t>
      </w:r>
      <w:r w:rsidR="0016365D" w:rsidRPr="000B3F14">
        <w:rPr>
          <w:rFonts w:asciiTheme="minorHAnsi" w:hAnsiTheme="minorHAnsi"/>
        </w:rPr>
        <w:t xml:space="preserve"> medicine for VOD, and has been supplied in Australia for VOD and VOD prophylaxis under the Special Acc</w:t>
      </w:r>
      <w:r w:rsidR="00C5171E" w:rsidRPr="000B3F14">
        <w:rPr>
          <w:rFonts w:asciiTheme="minorHAnsi" w:hAnsiTheme="minorHAnsi"/>
        </w:rPr>
        <w:t>ess Scheme</w:t>
      </w:r>
      <w:r w:rsidR="00011D79">
        <w:rPr>
          <w:rFonts w:asciiTheme="minorHAnsi" w:hAnsiTheme="minorHAnsi"/>
        </w:rPr>
        <w:t xml:space="preserve"> (SAS)</w:t>
      </w:r>
      <w:r w:rsidR="00C5171E" w:rsidRPr="000B3F14">
        <w:rPr>
          <w:rFonts w:asciiTheme="minorHAnsi" w:hAnsiTheme="minorHAnsi"/>
        </w:rPr>
        <w:t xml:space="preserve"> since November 2010.</w:t>
      </w:r>
      <w:bookmarkStart w:id="17" w:name="_Ref57859715"/>
      <w:r w:rsidR="0014623F">
        <w:rPr>
          <w:rStyle w:val="FootnoteReference"/>
          <w:rFonts w:asciiTheme="minorHAnsi" w:hAnsiTheme="minorHAnsi"/>
        </w:rPr>
        <w:footnoteReference w:id="3"/>
      </w:r>
      <w:bookmarkEnd w:id="17"/>
    </w:p>
    <w:p w14:paraId="4906BB7D" w14:textId="77777777" w:rsidR="008E7846" w:rsidRPr="003F31A2" w:rsidRDefault="00386150" w:rsidP="008E7846">
      <w:pPr>
        <w:pStyle w:val="Heading3"/>
      </w:pPr>
      <w:bookmarkStart w:id="18" w:name="_Toc314842485"/>
      <w:bookmarkStart w:id="19" w:name="_Toc247691504"/>
      <w:bookmarkStart w:id="20" w:name="_Toc56604924"/>
      <w:r>
        <w:t>Regulatory s</w:t>
      </w:r>
      <w:r w:rsidR="008E7846">
        <w:t>tatus</w:t>
      </w:r>
      <w:bookmarkEnd w:id="18"/>
      <w:bookmarkEnd w:id="19"/>
      <w:bookmarkEnd w:id="20"/>
    </w:p>
    <w:p w14:paraId="22538719" w14:textId="77777777" w:rsidR="00940A89" w:rsidRDefault="00006FAB" w:rsidP="00940A89">
      <w:bookmarkStart w:id="21" w:name="_Toc247691505"/>
      <w:bookmarkStart w:id="22" w:name="_Toc314842486"/>
      <w:r w:rsidRPr="00006FAB">
        <w:t>This produ</w:t>
      </w:r>
      <w:r w:rsidR="00C5171E">
        <w:t xml:space="preserve">ct is considered a new </w:t>
      </w:r>
      <w:r w:rsidRPr="00006FAB">
        <w:t>biological entity for Australian regulatory purposes.</w:t>
      </w:r>
    </w:p>
    <w:p w14:paraId="79729801" w14:textId="7E2797DE" w:rsidR="00006FAB" w:rsidRDefault="00006FAB" w:rsidP="00006FAB">
      <w:r>
        <w:t>At the time the TGA considered this application, simila</w:t>
      </w:r>
      <w:r w:rsidR="00003917">
        <w:t>r application</w:t>
      </w:r>
      <w:r w:rsidR="0014623F">
        <w:t>s</w:t>
      </w:r>
      <w:r w:rsidR="00003917">
        <w:t xml:space="preserve"> had been approved in European Union (EU) (18 October 2013), Israel (12 May 2015), South Korea (19 February 2016), United States of America (USA) (30 March 2016), Canada (10 July 20</w:t>
      </w:r>
      <w:r w:rsidR="0012340D">
        <w:t xml:space="preserve">17), Brazil (11 March 2019) </w:t>
      </w:r>
      <w:proofErr w:type="gramStart"/>
      <w:r w:rsidR="0012340D">
        <w:t>and</w:t>
      </w:r>
      <w:r w:rsidR="00003917">
        <w:t xml:space="preserve"> </w:t>
      </w:r>
      <w:r>
        <w:t xml:space="preserve"> </w:t>
      </w:r>
      <w:r w:rsidR="00003917">
        <w:t>Japan</w:t>
      </w:r>
      <w:proofErr w:type="gramEnd"/>
      <w:r w:rsidR="000B3F14">
        <w:t xml:space="preserve"> </w:t>
      </w:r>
      <w:r>
        <w:t>(</w:t>
      </w:r>
      <w:r w:rsidR="00CE5A2D">
        <w:t>18 June 2019</w:t>
      </w:r>
      <w:r w:rsidR="00003917">
        <w:t>)</w:t>
      </w:r>
      <w:r>
        <w:t>.</w:t>
      </w:r>
    </w:p>
    <w:p w14:paraId="3C3E5AF8" w14:textId="0EEF25E1" w:rsidR="00940A89" w:rsidRPr="0016365D" w:rsidRDefault="0016365D" w:rsidP="0014623F">
      <w:pPr>
        <w:pStyle w:val="TableTitle"/>
      </w:pPr>
      <w:r w:rsidRPr="0016365D">
        <w:lastRenderedPageBreak/>
        <w:t xml:space="preserve">Table </w:t>
      </w:r>
      <w:r w:rsidR="004C10EE">
        <w:fldChar w:fldCharType="begin"/>
      </w:r>
      <w:r w:rsidR="004C10EE">
        <w:instrText xml:space="preserve"> SEQ Table \* ARABIC </w:instrText>
      </w:r>
      <w:r w:rsidR="004C10EE">
        <w:fldChar w:fldCharType="separate"/>
      </w:r>
      <w:r w:rsidR="0014623F">
        <w:rPr>
          <w:noProof/>
        </w:rPr>
        <w:t>1</w:t>
      </w:r>
      <w:r w:rsidR="004C10EE">
        <w:rPr>
          <w:noProof/>
        </w:rPr>
        <w:fldChar w:fldCharType="end"/>
      </w:r>
      <w:r w:rsidRPr="0016365D">
        <w:t xml:space="preserve">: International regulatory status for </w:t>
      </w:r>
      <w:proofErr w:type="spellStart"/>
      <w:r w:rsidRPr="0016365D">
        <w:t>Defitelio</w:t>
      </w:r>
      <w:proofErr w:type="spellEnd"/>
    </w:p>
    <w:tbl>
      <w:tblPr>
        <w:tblStyle w:val="TableTGAblue"/>
        <w:tblW w:w="0" w:type="auto"/>
        <w:tblLook w:val="04A0" w:firstRow="1" w:lastRow="0" w:firstColumn="1" w:lastColumn="0" w:noHBand="0" w:noVBand="1"/>
      </w:tblPr>
      <w:tblGrid>
        <w:gridCol w:w="2115"/>
        <w:gridCol w:w="2102"/>
        <w:gridCol w:w="2131"/>
        <w:gridCol w:w="2146"/>
      </w:tblGrid>
      <w:tr w:rsidR="00006FAB" w14:paraId="7B8E4919" w14:textId="77777777" w:rsidTr="00CF5DAD">
        <w:trPr>
          <w:cnfStyle w:val="100000000000" w:firstRow="1" w:lastRow="0" w:firstColumn="0" w:lastColumn="0" w:oddVBand="0" w:evenVBand="0" w:oddHBand="0" w:evenHBand="0" w:firstRowFirstColumn="0" w:firstRowLastColumn="0" w:lastRowFirstColumn="0" w:lastRowLastColumn="0"/>
        </w:trPr>
        <w:tc>
          <w:tcPr>
            <w:tcW w:w="2180" w:type="dxa"/>
            <w:tcBorders>
              <w:top w:val="single" w:sz="4" w:space="0" w:color="auto"/>
              <w:left w:val="single" w:sz="4" w:space="0" w:color="auto"/>
              <w:bottom w:val="single" w:sz="4" w:space="0" w:color="auto"/>
              <w:right w:val="single" w:sz="4" w:space="0" w:color="auto"/>
            </w:tcBorders>
          </w:tcPr>
          <w:p w14:paraId="3F34B8A1" w14:textId="77777777" w:rsidR="00006FAB" w:rsidRDefault="00006FAB" w:rsidP="00E859DA">
            <w:pPr>
              <w:ind w:left="0" w:right="0"/>
            </w:pPr>
            <w:r>
              <w:t>Region</w:t>
            </w:r>
          </w:p>
        </w:tc>
        <w:tc>
          <w:tcPr>
            <w:tcW w:w="2180" w:type="dxa"/>
            <w:tcBorders>
              <w:top w:val="single" w:sz="4" w:space="0" w:color="auto"/>
              <w:left w:val="single" w:sz="4" w:space="0" w:color="auto"/>
              <w:bottom w:val="single" w:sz="4" w:space="0" w:color="auto"/>
              <w:right w:val="single" w:sz="4" w:space="0" w:color="auto"/>
            </w:tcBorders>
          </w:tcPr>
          <w:p w14:paraId="649BDED7" w14:textId="77777777" w:rsidR="00006FAB" w:rsidRDefault="00006FAB" w:rsidP="00E859DA">
            <w:pPr>
              <w:ind w:left="0" w:right="0"/>
            </w:pPr>
            <w:r>
              <w:t>Submission date</w:t>
            </w:r>
          </w:p>
        </w:tc>
        <w:tc>
          <w:tcPr>
            <w:tcW w:w="2180" w:type="dxa"/>
            <w:tcBorders>
              <w:top w:val="single" w:sz="4" w:space="0" w:color="auto"/>
              <w:left w:val="single" w:sz="4" w:space="0" w:color="auto"/>
              <w:bottom w:val="single" w:sz="4" w:space="0" w:color="auto"/>
              <w:right w:val="single" w:sz="4" w:space="0" w:color="auto"/>
            </w:tcBorders>
          </w:tcPr>
          <w:p w14:paraId="4AC0BC97" w14:textId="77777777" w:rsidR="00006FAB" w:rsidRDefault="00006FAB">
            <w:pPr>
              <w:ind w:left="0" w:right="0"/>
            </w:pPr>
            <w:r>
              <w:t>Status</w:t>
            </w:r>
          </w:p>
        </w:tc>
        <w:tc>
          <w:tcPr>
            <w:tcW w:w="2180" w:type="dxa"/>
            <w:tcBorders>
              <w:top w:val="single" w:sz="4" w:space="0" w:color="auto"/>
              <w:left w:val="single" w:sz="4" w:space="0" w:color="auto"/>
              <w:bottom w:val="single" w:sz="4" w:space="0" w:color="auto"/>
              <w:right w:val="single" w:sz="4" w:space="0" w:color="auto"/>
            </w:tcBorders>
          </w:tcPr>
          <w:p w14:paraId="5F0FC891" w14:textId="77777777" w:rsidR="00006FAB" w:rsidRDefault="00006FAB">
            <w:pPr>
              <w:ind w:left="0" w:right="0"/>
            </w:pPr>
            <w:r>
              <w:t>Approved indications</w:t>
            </w:r>
          </w:p>
        </w:tc>
      </w:tr>
      <w:tr w:rsidR="00006FAB" w14:paraId="1DE2CD9B" w14:textId="77777777" w:rsidTr="00CF5DAD">
        <w:tc>
          <w:tcPr>
            <w:tcW w:w="2180" w:type="dxa"/>
            <w:tcBorders>
              <w:top w:val="single" w:sz="4" w:space="0" w:color="auto"/>
            </w:tcBorders>
          </w:tcPr>
          <w:p w14:paraId="1C974FE7" w14:textId="0AE0E691" w:rsidR="00006FAB" w:rsidRDefault="00003917" w:rsidP="00C51FA4">
            <w:pPr>
              <w:keepNext/>
              <w:ind w:left="0" w:right="0"/>
            </w:pPr>
            <w:r>
              <w:t>E</w:t>
            </w:r>
            <w:r w:rsidR="0014623F">
              <w:t>uropean Union</w:t>
            </w:r>
          </w:p>
        </w:tc>
        <w:tc>
          <w:tcPr>
            <w:tcW w:w="2180" w:type="dxa"/>
            <w:tcBorders>
              <w:top w:val="single" w:sz="4" w:space="0" w:color="auto"/>
            </w:tcBorders>
          </w:tcPr>
          <w:p w14:paraId="73E1024B" w14:textId="65044A0A" w:rsidR="00006FAB" w:rsidRDefault="0016365D" w:rsidP="00C51FA4">
            <w:pPr>
              <w:keepNext/>
              <w:ind w:left="0" w:right="0"/>
            </w:pPr>
            <w:r>
              <w:t>3 May 2011</w:t>
            </w:r>
          </w:p>
        </w:tc>
        <w:tc>
          <w:tcPr>
            <w:tcW w:w="2180" w:type="dxa"/>
            <w:tcBorders>
              <w:top w:val="single" w:sz="4" w:space="0" w:color="auto"/>
            </w:tcBorders>
          </w:tcPr>
          <w:p w14:paraId="1A21EBFD" w14:textId="53A5F08F" w:rsidR="00006FAB" w:rsidRDefault="0016365D" w:rsidP="00C51FA4">
            <w:pPr>
              <w:keepNext/>
              <w:ind w:left="0" w:right="0"/>
            </w:pPr>
            <w:r>
              <w:t>Approved on 18</w:t>
            </w:r>
            <w:r w:rsidR="0014623F">
              <w:t> </w:t>
            </w:r>
            <w:r>
              <w:t>October 2013</w:t>
            </w:r>
          </w:p>
        </w:tc>
        <w:tc>
          <w:tcPr>
            <w:tcW w:w="2180" w:type="dxa"/>
            <w:tcBorders>
              <w:top w:val="single" w:sz="4" w:space="0" w:color="auto"/>
            </w:tcBorders>
          </w:tcPr>
          <w:p w14:paraId="2266FC63" w14:textId="77777777" w:rsidR="0016365D" w:rsidRPr="0016365D" w:rsidRDefault="0016365D" w:rsidP="00C51FA4">
            <w:pPr>
              <w:keepNext/>
              <w:ind w:left="0"/>
              <w:rPr>
                <w:i/>
              </w:rPr>
            </w:pPr>
            <w:proofErr w:type="spellStart"/>
            <w:r w:rsidRPr="0016365D">
              <w:rPr>
                <w:i/>
              </w:rPr>
              <w:t>Defitelio</w:t>
            </w:r>
            <w:proofErr w:type="spellEnd"/>
            <w:r w:rsidRPr="0016365D">
              <w:rPr>
                <w:i/>
              </w:rPr>
              <w:t xml:space="preserve"> is indicated for the treatment of severe hepatic </w:t>
            </w:r>
            <w:proofErr w:type="spellStart"/>
            <w:r w:rsidRPr="0016365D">
              <w:rPr>
                <w:i/>
              </w:rPr>
              <w:t>venoocclusive</w:t>
            </w:r>
            <w:proofErr w:type="spellEnd"/>
            <w:r w:rsidRPr="0016365D">
              <w:rPr>
                <w:i/>
              </w:rPr>
              <w:t xml:space="preserve"> disease (VOD) also known as sinusoidal obstruction syndrome (SOS) in haematopoietic stem-cell transplantation (HSCT) therapy.</w:t>
            </w:r>
          </w:p>
          <w:p w14:paraId="63ED33A3" w14:textId="77777777" w:rsidR="00006FAB" w:rsidRDefault="0016365D" w:rsidP="00C51FA4">
            <w:pPr>
              <w:keepNext/>
              <w:ind w:left="0"/>
            </w:pPr>
            <w:r w:rsidRPr="0016365D">
              <w:rPr>
                <w:i/>
              </w:rPr>
              <w:t>It is indicated in adults and in adolescents, children and infants over 1 month of age.</w:t>
            </w:r>
          </w:p>
        </w:tc>
      </w:tr>
      <w:tr w:rsidR="00006FAB" w14:paraId="312E06B0" w14:textId="77777777" w:rsidTr="00006FAB">
        <w:tc>
          <w:tcPr>
            <w:tcW w:w="2180" w:type="dxa"/>
          </w:tcPr>
          <w:p w14:paraId="20F68189" w14:textId="77777777" w:rsidR="00006FAB" w:rsidRDefault="000B1379" w:rsidP="00006FAB">
            <w:pPr>
              <w:ind w:left="0" w:right="0"/>
            </w:pPr>
            <w:r>
              <w:t>Israel</w:t>
            </w:r>
          </w:p>
        </w:tc>
        <w:tc>
          <w:tcPr>
            <w:tcW w:w="2180" w:type="dxa"/>
          </w:tcPr>
          <w:p w14:paraId="2BD43086" w14:textId="723A2E97" w:rsidR="00006FAB" w:rsidRDefault="000B1379" w:rsidP="00006FAB">
            <w:pPr>
              <w:ind w:left="0" w:right="0"/>
            </w:pPr>
            <w:r>
              <w:t>28 July 2014</w:t>
            </w:r>
          </w:p>
        </w:tc>
        <w:tc>
          <w:tcPr>
            <w:tcW w:w="2180" w:type="dxa"/>
          </w:tcPr>
          <w:p w14:paraId="065650A9" w14:textId="37688396" w:rsidR="00006FAB" w:rsidRDefault="000B1379" w:rsidP="00006FAB">
            <w:pPr>
              <w:ind w:left="0" w:right="0"/>
            </w:pPr>
            <w:r>
              <w:t>Approved on 12</w:t>
            </w:r>
            <w:r w:rsidR="0014623F">
              <w:t> </w:t>
            </w:r>
            <w:r>
              <w:t>May 2015</w:t>
            </w:r>
          </w:p>
        </w:tc>
        <w:tc>
          <w:tcPr>
            <w:tcW w:w="2180" w:type="dxa"/>
          </w:tcPr>
          <w:p w14:paraId="38611DEA" w14:textId="77777777" w:rsidR="000B1379" w:rsidRPr="0016365D" w:rsidRDefault="000B1379" w:rsidP="000B1379">
            <w:pPr>
              <w:ind w:left="0"/>
              <w:rPr>
                <w:i/>
              </w:rPr>
            </w:pPr>
            <w:proofErr w:type="spellStart"/>
            <w:r w:rsidRPr="0016365D">
              <w:rPr>
                <w:i/>
              </w:rPr>
              <w:t>Defitelio</w:t>
            </w:r>
            <w:proofErr w:type="spellEnd"/>
            <w:r w:rsidRPr="0016365D">
              <w:rPr>
                <w:i/>
              </w:rPr>
              <w:t xml:space="preserve"> is indicated for the treatment of severe hepatic </w:t>
            </w:r>
            <w:proofErr w:type="spellStart"/>
            <w:r w:rsidRPr="0016365D">
              <w:rPr>
                <w:i/>
              </w:rPr>
              <w:t>venoocclusive</w:t>
            </w:r>
            <w:proofErr w:type="spellEnd"/>
            <w:r w:rsidRPr="0016365D">
              <w:rPr>
                <w:i/>
              </w:rPr>
              <w:t xml:space="preserve"> disease (VOD) also known as sinusoidal obstruction syndrome (SOS) in haematopoietic stem-cell transplantation (HSCT) therapy.</w:t>
            </w:r>
          </w:p>
          <w:p w14:paraId="00C56E88" w14:textId="617349FD" w:rsidR="00006FAB" w:rsidRDefault="000B1379" w:rsidP="000B1379">
            <w:pPr>
              <w:ind w:left="0" w:right="0"/>
            </w:pPr>
            <w:r w:rsidRPr="0016365D">
              <w:rPr>
                <w:i/>
              </w:rPr>
              <w:t>It is indicated in adults and in adolescents, children and infants over 1</w:t>
            </w:r>
            <w:r w:rsidR="0014623F">
              <w:rPr>
                <w:i/>
              </w:rPr>
              <w:t> </w:t>
            </w:r>
            <w:r w:rsidRPr="0016365D">
              <w:rPr>
                <w:i/>
              </w:rPr>
              <w:t>month of age.</w:t>
            </w:r>
          </w:p>
        </w:tc>
      </w:tr>
      <w:tr w:rsidR="000B1379" w14:paraId="179CA98B" w14:textId="77777777" w:rsidTr="00006FAB">
        <w:tc>
          <w:tcPr>
            <w:tcW w:w="2180" w:type="dxa"/>
          </w:tcPr>
          <w:p w14:paraId="4DC35904" w14:textId="77777777" w:rsidR="000B1379" w:rsidRDefault="000B1379" w:rsidP="000B1379">
            <w:pPr>
              <w:ind w:left="0"/>
            </w:pPr>
            <w:r>
              <w:t>South Korea</w:t>
            </w:r>
          </w:p>
        </w:tc>
        <w:tc>
          <w:tcPr>
            <w:tcW w:w="2180" w:type="dxa"/>
          </w:tcPr>
          <w:p w14:paraId="5A3AD3F1" w14:textId="77777777" w:rsidR="000B1379" w:rsidRDefault="000B1379" w:rsidP="000B1379">
            <w:pPr>
              <w:ind w:left="0"/>
            </w:pPr>
            <w:r>
              <w:t>29 June 2015</w:t>
            </w:r>
          </w:p>
        </w:tc>
        <w:tc>
          <w:tcPr>
            <w:tcW w:w="2180" w:type="dxa"/>
          </w:tcPr>
          <w:p w14:paraId="1DE1B2D9" w14:textId="24176617" w:rsidR="000B1379" w:rsidRDefault="000B1379" w:rsidP="000B1379">
            <w:pPr>
              <w:ind w:left="0"/>
            </w:pPr>
            <w:r>
              <w:t>Approved on 19</w:t>
            </w:r>
            <w:r w:rsidR="0014623F">
              <w:t> </w:t>
            </w:r>
            <w:r>
              <w:t>February 2016</w:t>
            </w:r>
          </w:p>
        </w:tc>
        <w:tc>
          <w:tcPr>
            <w:tcW w:w="2180" w:type="dxa"/>
          </w:tcPr>
          <w:p w14:paraId="7696F0B1" w14:textId="77777777" w:rsidR="000B1379" w:rsidRPr="0016365D" w:rsidRDefault="000B1379" w:rsidP="000B1379">
            <w:pPr>
              <w:ind w:left="0"/>
              <w:rPr>
                <w:i/>
              </w:rPr>
            </w:pPr>
            <w:r w:rsidRPr="000B1379">
              <w:rPr>
                <w:i/>
              </w:rPr>
              <w:t>T</w:t>
            </w:r>
            <w:r>
              <w:rPr>
                <w:i/>
              </w:rPr>
              <w:t xml:space="preserve">reatment of severe hepatic </w:t>
            </w:r>
            <w:proofErr w:type="spellStart"/>
            <w:r>
              <w:rPr>
                <w:i/>
              </w:rPr>
              <w:t>veno</w:t>
            </w:r>
            <w:proofErr w:type="spellEnd"/>
            <w:r>
              <w:rPr>
                <w:i/>
              </w:rPr>
              <w:t xml:space="preserve"> </w:t>
            </w:r>
            <w:r w:rsidRPr="000B1379">
              <w:rPr>
                <w:i/>
              </w:rPr>
              <w:t>occlusive disease (VOD) in</w:t>
            </w:r>
            <w:r>
              <w:rPr>
                <w:i/>
              </w:rPr>
              <w:t xml:space="preserve"> haematopoietic stem-cell </w:t>
            </w:r>
            <w:r w:rsidRPr="000B1379">
              <w:rPr>
                <w:i/>
              </w:rPr>
              <w:lastRenderedPageBreak/>
              <w:t>transplantation (HSCT) therapy.</w:t>
            </w:r>
          </w:p>
        </w:tc>
      </w:tr>
      <w:tr w:rsidR="000B1379" w14:paraId="18D8F223" w14:textId="77777777" w:rsidTr="00006FAB">
        <w:tc>
          <w:tcPr>
            <w:tcW w:w="2180" w:type="dxa"/>
          </w:tcPr>
          <w:p w14:paraId="7020FB0E" w14:textId="0556113E" w:rsidR="000B1379" w:rsidRDefault="0014623F" w:rsidP="0014623F">
            <w:pPr>
              <w:ind w:left="0"/>
            </w:pPr>
            <w:r>
              <w:lastRenderedPageBreak/>
              <w:t>United States of America</w:t>
            </w:r>
          </w:p>
        </w:tc>
        <w:tc>
          <w:tcPr>
            <w:tcW w:w="2180" w:type="dxa"/>
          </w:tcPr>
          <w:p w14:paraId="3C4C45D1" w14:textId="77777777" w:rsidR="000B1379" w:rsidRDefault="000B1379" w:rsidP="000B1379">
            <w:pPr>
              <w:ind w:left="0"/>
            </w:pPr>
            <w:r>
              <w:t>31 July 2015</w:t>
            </w:r>
          </w:p>
        </w:tc>
        <w:tc>
          <w:tcPr>
            <w:tcW w:w="2180" w:type="dxa"/>
          </w:tcPr>
          <w:p w14:paraId="551F34F9" w14:textId="40B795E8" w:rsidR="000B1379" w:rsidRDefault="000B1379" w:rsidP="000B1379">
            <w:pPr>
              <w:ind w:left="0"/>
            </w:pPr>
            <w:r>
              <w:t>Approved on 30</w:t>
            </w:r>
            <w:r w:rsidR="0014623F">
              <w:t> </w:t>
            </w:r>
            <w:r>
              <w:t>March 2016</w:t>
            </w:r>
          </w:p>
        </w:tc>
        <w:tc>
          <w:tcPr>
            <w:tcW w:w="2180" w:type="dxa"/>
          </w:tcPr>
          <w:p w14:paraId="29400A54" w14:textId="77777777" w:rsidR="000B1379" w:rsidRPr="0016365D" w:rsidRDefault="000B1379" w:rsidP="000B1379">
            <w:pPr>
              <w:ind w:left="0"/>
              <w:rPr>
                <w:i/>
              </w:rPr>
            </w:pPr>
            <w:proofErr w:type="spellStart"/>
            <w:r w:rsidRPr="0016365D">
              <w:rPr>
                <w:i/>
              </w:rPr>
              <w:t>Defitelio</w:t>
            </w:r>
            <w:proofErr w:type="spellEnd"/>
            <w:r>
              <w:rPr>
                <w:i/>
              </w:rPr>
              <w:t xml:space="preserve"> is indicated for the </w:t>
            </w:r>
            <w:r w:rsidRPr="000B1379">
              <w:rPr>
                <w:i/>
              </w:rPr>
              <w:t>t</w:t>
            </w:r>
            <w:r>
              <w:rPr>
                <w:i/>
              </w:rPr>
              <w:t xml:space="preserve">reatment of adult and </w:t>
            </w:r>
            <w:proofErr w:type="spellStart"/>
            <w:r>
              <w:rPr>
                <w:i/>
              </w:rPr>
              <w:t>pediatric</w:t>
            </w:r>
            <w:proofErr w:type="spellEnd"/>
            <w:r>
              <w:rPr>
                <w:i/>
              </w:rPr>
              <w:t xml:space="preserve"> </w:t>
            </w:r>
            <w:r w:rsidRPr="000B1379">
              <w:rPr>
                <w:i/>
              </w:rPr>
              <w:t>patie</w:t>
            </w:r>
            <w:r>
              <w:rPr>
                <w:i/>
              </w:rPr>
              <w:t xml:space="preserve">nts with hepatic </w:t>
            </w:r>
            <w:proofErr w:type="spellStart"/>
            <w:r>
              <w:rPr>
                <w:i/>
              </w:rPr>
              <w:t>veno</w:t>
            </w:r>
            <w:proofErr w:type="spellEnd"/>
            <w:r>
              <w:rPr>
                <w:i/>
              </w:rPr>
              <w:t xml:space="preserve">-occlusive disease (VOD), also known as sinusoidal obstruction syndrome </w:t>
            </w:r>
            <w:r w:rsidRPr="000B1379">
              <w:rPr>
                <w:i/>
              </w:rPr>
              <w:t>(SOS), with renal or pulm</w:t>
            </w:r>
            <w:r>
              <w:rPr>
                <w:i/>
              </w:rPr>
              <w:t xml:space="preserve">onary </w:t>
            </w:r>
            <w:r w:rsidRPr="000B1379">
              <w:rPr>
                <w:i/>
              </w:rPr>
              <w:t>dysf</w:t>
            </w:r>
            <w:r>
              <w:rPr>
                <w:i/>
              </w:rPr>
              <w:t xml:space="preserve">unction following hematopoietic </w:t>
            </w:r>
            <w:r w:rsidRPr="000B1379">
              <w:rPr>
                <w:i/>
              </w:rPr>
              <w:t>stem-cell transplantation (HSCT).</w:t>
            </w:r>
          </w:p>
        </w:tc>
      </w:tr>
      <w:tr w:rsidR="000B1379" w14:paraId="40E2657B" w14:textId="77777777" w:rsidTr="00006FAB">
        <w:tc>
          <w:tcPr>
            <w:tcW w:w="2180" w:type="dxa"/>
          </w:tcPr>
          <w:p w14:paraId="55CDF657" w14:textId="77777777" w:rsidR="000B1379" w:rsidRDefault="000B1379" w:rsidP="000B1379">
            <w:pPr>
              <w:ind w:left="0"/>
            </w:pPr>
            <w:r>
              <w:t>Canada</w:t>
            </w:r>
          </w:p>
        </w:tc>
        <w:tc>
          <w:tcPr>
            <w:tcW w:w="2180" w:type="dxa"/>
          </w:tcPr>
          <w:p w14:paraId="59704856" w14:textId="77777777" w:rsidR="000B1379" w:rsidRDefault="000B1379" w:rsidP="000B1379">
            <w:pPr>
              <w:ind w:left="0"/>
            </w:pPr>
            <w:r>
              <w:t>29 November 2016</w:t>
            </w:r>
          </w:p>
        </w:tc>
        <w:tc>
          <w:tcPr>
            <w:tcW w:w="2180" w:type="dxa"/>
          </w:tcPr>
          <w:p w14:paraId="4393F830" w14:textId="457A45AA" w:rsidR="000B1379" w:rsidRDefault="000B1379" w:rsidP="000B1379">
            <w:pPr>
              <w:ind w:left="0"/>
            </w:pPr>
            <w:r>
              <w:t>Approved on 10</w:t>
            </w:r>
            <w:r w:rsidR="0014623F">
              <w:t> </w:t>
            </w:r>
            <w:r>
              <w:t>July 2017</w:t>
            </w:r>
          </w:p>
        </w:tc>
        <w:tc>
          <w:tcPr>
            <w:tcW w:w="2180" w:type="dxa"/>
          </w:tcPr>
          <w:p w14:paraId="1EA52753" w14:textId="77777777" w:rsidR="000B1379" w:rsidRPr="0016365D" w:rsidRDefault="000B1379" w:rsidP="000B1379">
            <w:pPr>
              <w:ind w:left="0"/>
              <w:rPr>
                <w:i/>
              </w:rPr>
            </w:pPr>
            <w:proofErr w:type="spellStart"/>
            <w:r w:rsidRPr="0016365D">
              <w:rPr>
                <w:i/>
              </w:rPr>
              <w:t>Defitelio</w:t>
            </w:r>
            <w:proofErr w:type="spellEnd"/>
            <w:r>
              <w:rPr>
                <w:i/>
              </w:rPr>
              <w:t xml:space="preserve"> (defibrotide sodium) </w:t>
            </w:r>
            <w:r w:rsidRPr="000B1379">
              <w:rPr>
                <w:i/>
              </w:rPr>
              <w:t>solut</w:t>
            </w:r>
            <w:r>
              <w:rPr>
                <w:i/>
              </w:rPr>
              <w:t xml:space="preserve">ion for intravenous infusion is </w:t>
            </w:r>
            <w:r w:rsidRPr="000B1379">
              <w:rPr>
                <w:i/>
              </w:rPr>
              <w:t>indic</w:t>
            </w:r>
            <w:r>
              <w:rPr>
                <w:i/>
              </w:rPr>
              <w:t xml:space="preserve">ated for the treatment of adult </w:t>
            </w:r>
            <w:r w:rsidRPr="000B1379">
              <w:rPr>
                <w:i/>
              </w:rPr>
              <w:t xml:space="preserve">and </w:t>
            </w:r>
            <w:proofErr w:type="spellStart"/>
            <w:r w:rsidRPr="000B1379">
              <w:rPr>
                <w:i/>
              </w:rPr>
              <w:t>p</w:t>
            </w:r>
            <w:r>
              <w:rPr>
                <w:i/>
              </w:rPr>
              <w:t>ediatric</w:t>
            </w:r>
            <w:proofErr w:type="spellEnd"/>
            <w:r>
              <w:rPr>
                <w:i/>
              </w:rPr>
              <w:t xml:space="preserve"> patients with hepatic </w:t>
            </w:r>
            <w:proofErr w:type="spellStart"/>
            <w:r w:rsidRPr="000B1379">
              <w:rPr>
                <w:i/>
              </w:rPr>
              <w:t>veno</w:t>
            </w:r>
            <w:proofErr w:type="spellEnd"/>
            <w:r w:rsidRPr="000B1379">
              <w:rPr>
                <w:i/>
              </w:rPr>
              <w:t xml:space="preserve">-occlusive disease </w:t>
            </w:r>
            <w:r>
              <w:rPr>
                <w:i/>
              </w:rPr>
              <w:t xml:space="preserve">(VOD) also </w:t>
            </w:r>
            <w:r w:rsidRPr="000B1379">
              <w:rPr>
                <w:i/>
              </w:rPr>
              <w:t xml:space="preserve">known </w:t>
            </w:r>
            <w:r>
              <w:rPr>
                <w:i/>
              </w:rPr>
              <w:t xml:space="preserve">as sinusoidal obstruction syndrome (SOS), with renal or pulmonary dysfunction following haematopoietic stem-cell </w:t>
            </w:r>
            <w:r w:rsidRPr="000B1379">
              <w:rPr>
                <w:i/>
              </w:rPr>
              <w:t>transplantation (HSCT) therapy.</w:t>
            </w:r>
          </w:p>
        </w:tc>
      </w:tr>
      <w:tr w:rsidR="000B1379" w14:paraId="34E0B285" w14:textId="77777777" w:rsidTr="00006FAB">
        <w:tc>
          <w:tcPr>
            <w:tcW w:w="2180" w:type="dxa"/>
          </w:tcPr>
          <w:p w14:paraId="485C00B7" w14:textId="77777777" w:rsidR="000B1379" w:rsidRDefault="000B1379" w:rsidP="000B1379">
            <w:pPr>
              <w:ind w:left="0"/>
            </w:pPr>
            <w:r>
              <w:t>Brazil</w:t>
            </w:r>
          </w:p>
        </w:tc>
        <w:tc>
          <w:tcPr>
            <w:tcW w:w="2180" w:type="dxa"/>
          </w:tcPr>
          <w:p w14:paraId="0C944EF1" w14:textId="203F2A0C" w:rsidR="000B1379" w:rsidRDefault="000B1379" w:rsidP="00405B5B">
            <w:pPr>
              <w:ind w:left="0"/>
            </w:pPr>
            <w:r>
              <w:t>17 November 201</w:t>
            </w:r>
            <w:r w:rsidR="00405B5B">
              <w:t>7</w:t>
            </w:r>
          </w:p>
        </w:tc>
        <w:tc>
          <w:tcPr>
            <w:tcW w:w="2180" w:type="dxa"/>
          </w:tcPr>
          <w:p w14:paraId="30A51A97" w14:textId="265206E5" w:rsidR="000B1379" w:rsidRDefault="000B1379" w:rsidP="000B1379">
            <w:pPr>
              <w:ind w:left="0"/>
            </w:pPr>
            <w:r>
              <w:t>Approved on 11</w:t>
            </w:r>
            <w:r w:rsidR="0014623F">
              <w:t> </w:t>
            </w:r>
            <w:r>
              <w:t>March 2019</w:t>
            </w:r>
          </w:p>
        </w:tc>
        <w:tc>
          <w:tcPr>
            <w:tcW w:w="2180" w:type="dxa"/>
          </w:tcPr>
          <w:p w14:paraId="48F9DEAF" w14:textId="77777777" w:rsidR="000B1379" w:rsidRPr="0016365D" w:rsidRDefault="000B1379" w:rsidP="000B1379">
            <w:pPr>
              <w:ind w:left="0"/>
              <w:rPr>
                <w:i/>
              </w:rPr>
            </w:pPr>
            <w:proofErr w:type="spellStart"/>
            <w:r w:rsidRPr="0016365D">
              <w:rPr>
                <w:i/>
              </w:rPr>
              <w:t>Defitelio</w:t>
            </w:r>
            <w:proofErr w:type="spellEnd"/>
            <w:r>
              <w:t xml:space="preserve"> </w:t>
            </w:r>
            <w:r>
              <w:rPr>
                <w:i/>
              </w:rPr>
              <w:t xml:space="preserve">(defibrotide) solution for </w:t>
            </w:r>
            <w:r w:rsidRPr="000B1379">
              <w:rPr>
                <w:i/>
              </w:rPr>
              <w:t>dilutio</w:t>
            </w:r>
            <w:r>
              <w:rPr>
                <w:i/>
              </w:rPr>
              <w:t xml:space="preserve">n for </w:t>
            </w:r>
            <w:r>
              <w:rPr>
                <w:i/>
              </w:rPr>
              <w:lastRenderedPageBreak/>
              <w:t xml:space="preserve">infusion is indicated for </w:t>
            </w:r>
            <w:r w:rsidRPr="000B1379">
              <w:rPr>
                <w:i/>
              </w:rPr>
              <w:t>the t</w:t>
            </w:r>
            <w:r>
              <w:rPr>
                <w:i/>
              </w:rPr>
              <w:t xml:space="preserve">reatment of adult and </w:t>
            </w:r>
            <w:proofErr w:type="spellStart"/>
            <w:r>
              <w:rPr>
                <w:i/>
              </w:rPr>
              <w:t>pediatric</w:t>
            </w:r>
            <w:proofErr w:type="spellEnd"/>
            <w:r>
              <w:rPr>
                <w:i/>
              </w:rPr>
              <w:t xml:space="preserve"> </w:t>
            </w:r>
            <w:r w:rsidRPr="000B1379">
              <w:rPr>
                <w:i/>
              </w:rPr>
              <w:t xml:space="preserve">patients with hepatic </w:t>
            </w:r>
            <w:proofErr w:type="spellStart"/>
            <w:r w:rsidRPr="000B1379">
              <w:rPr>
                <w:i/>
              </w:rPr>
              <w:t>veno</w:t>
            </w:r>
            <w:proofErr w:type="spellEnd"/>
            <w:r w:rsidRPr="000B1379">
              <w:rPr>
                <w:i/>
              </w:rPr>
              <w:t>-occlusive</w:t>
            </w:r>
            <w:r>
              <w:rPr>
                <w:i/>
              </w:rPr>
              <w:t xml:space="preserve"> disease (VOD) also known as sinusoidal obstruction syndrome (SOS), with renal or pulmonary </w:t>
            </w:r>
            <w:r w:rsidRPr="000B1379">
              <w:rPr>
                <w:i/>
              </w:rPr>
              <w:t>dysfu</w:t>
            </w:r>
            <w:r>
              <w:rPr>
                <w:i/>
              </w:rPr>
              <w:t xml:space="preserve">nction following haematopoietic </w:t>
            </w:r>
            <w:r w:rsidRPr="000B1379">
              <w:rPr>
                <w:i/>
              </w:rPr>
              <w:t>s</w:t>
            </w:r>
            <w:r>
              <w:rPr>
                <w:i/>
              </w:rPr>
              <w:t xml:space="preserve">tem-cell transplantation (HSCT) </w:t>
            </w:r>
            <w:r w:rsidRPr="000B1379">
              <w:rPr>
                <w:i/>
              </w:rPr>
              <w:t>therapy</w:t>
            </w:r>
          </w:p>
        </w:tc>
      </w:tr>
      <w:tr w:rsidR="000B1379" w14:paraId="44DD68BF" w14:textId="77777777" w:rsidTr="00006FAB">
        <w:tc>
          <w:tcPr>
            <w:tcW w:w="2180" w:type="dxa"/>
          </w:tcPr>
          <w:p w14:paraId="2B2D7514" w14:textId="77777777" w:rsidR="000B1379" w:rsidRDefault="00003917" w:rsidP="00003917">
            <w:pPr>
              <w:ind w:left="0"/>
            </w:pPr>
            <w:r>
              <w:lastRenderedPageBreak/>
              <w:t>Japan</w:t>
            </w:r>
          </w:p>
        </w:tc>
        <w:tc>
          <w:tcPr>
            <w:tcW w:w="2180" w:type="dxa"/>
          </w:tcPr>
          <w:p w14:paraId="09F1552A" w14:textId="77777777" w:rsidR="000B1379" w:rsidRDefault="00003917" w:rsidP="00003917">
            <w:pPr>
              <w:ind w:left="0"/>
            </w:pPr>
            <w:r>
              <w:t>11 October 2018</w:t>
            </w:r>
          </w:p>
        </w:tc>
        <w:tc>
          <w:tcPr>
            <w:tcW w:w="2180" w:type="dxa"/>
          </w:tcPr>
          <w:p w14:paraId="0A5CD805" w14:textId="15B80C55" w:rsidR="000B1379" w:rsidRDefault="00EA5432" w:rsidP="00003917">
            <w:pPr>
              <w:ind w:left="0"/>
            </w:pPr>
            <w:r>
              <w:t xml:space="preserve">Approved </w:t>
            </w:r>
            <w:r w:rsidR="00BA30D4">
              <w:t>18</w:t>
            </w:r>
            <w:r w:rsidR="0014623F">
              <w:t> </w:t>
            </w:r>
            <w:r w:rsidR="00BA30D4">
              <w:t>June 2019</w:t>
            </w:r>
          </w:p>
        </w:tc>
        <w:tc>
          <w:tcPr>
            <w:tcW w:w="2180" w:type="dxa"/>
          </w:tcPr>
          <w:p w14:paraId="26D7EE4B" w14:textId="459C6AEF" w:rsidR="000B1379" w:rsidRPr="00003917" w:rsidRDefault="00BA30D4" w:rsidP="00BA30D4">
            <w:pPr>
              <w:ind w:left="0"/>
            </w:pPr>
            <w:r w:rsidRPr="00BA30D4">
              <w:rPr>
                <w:i/>
                <w:iCs/>
              </w:rPr>
              <w:t xml:space="preserve">Hepatic sinusoidal obstruction syndrome (hepatic </w:t>
            </w:r>
            <w:proofErr w:type="spellStart"/>
            <w:r w:rsidRPr="00BA30D4">
              <w:rPr>
                <w:i/>
                <w:iCs/>
              </w:rPr>
              <w:t>veno-occulsive</w:t>
            </w:r>
            <w:proofErr w:type="spellEnd"/>
            <w:r w:rsidRPr="00BA30D4">
              <w:rPr>
                <w:i/>
                <w:iCs/>
              </w:rPr>
              <w:t xml:space="preserve"> disease).</w:t>
            </w:r>
          </w:p>
        </w:tc>
      </w:tr>
      <w:tr w:rsidR="00656FFB" w14:paraId="59C108FB" w14:textId="77777777" w:rsidTr="00006FAB">
        <w:tc>
          <w:tcPr>
            <w:tcW w:w="2180" w:type="dxa"/>
          </w:tcPr>
          <w:p w14:paraId="171A3C00" w14:textId="216471D0" w:rsidR="00656FFB" w:rsidRDefault="00656FFB" w:rsidP="00EA5432">
            <w:pPr>
              <w:ind w:left="0"/>
            </w:pPr>
            <w:r>
              <w:t xml:space="preserve">Switzerland </w:t>
            </w:r>
          </w:p>
        </w:tc>
        <w:tc>
          <w:tcPr>
            <w:tcW w:w="2180" w:type="dxa"/>
          </w:tcPr>
          <w:p w14:paraId="647C7F79" w14:textId="6AA8FE8B" w:rsidR="00656FFB" w:rsidRDefault="00656FFB" w:rsidP="00EA5432">
            <w:pPr>
              <w:ind w:left="0"/>
            </w:pPr>
            <w:r>
              <w:t>31 July 2019</w:t>
            </w:r>
          </w:p>
        </w:tc>
        <w:tc>
          <w:tcPr>
            <w:tcW w:w="2180" w:type="dxa"/>
          </w:tcPr>
          <w:p w14:paraId="17333CFF" w14:textId="4DDF2EE9" w:rsidR="00082F19" w:rsidDel="00BA30D4" w:rsidRDefault="00082F19" w:rsidP="00EA5432">
            <w:pPr>
              <w:ind w:left="0"/>
            </w:pPr>
            <w:r>
              <w:t>Under consideration</w:t>
            </w:r>
          </w:p>
        </w:tc>
        <w:tc>
          <w:tcPr>
            <w:tcW w:w="2180" w:type="dxa"/>
          </w:tcPr>
          <w:p w14:paraId="23B7B5AA" w14:textId="4AB48E10" w:rsidR="00656FFB" w:rsidRPr="00EA5432" w:rsidRDefault="006D5E69" w:rsidP="00EA5432">
            <w:pPr>
              <w:ind w:left="0"/>
            </w:pPr>
            <w:r>
              <w:rPr>
                <w:i/>
                <w:iCs/>
              </w:rPr>
              <w:t>Under consideration</w:t>
            </w:r>
          </w:p>
        </w:tc>
      </w:tr>
    </w:tbl>
    <w:p w14:paraId="7D083562" w14:textId="77777777" w:rsidR="008E7846" w:rsidRDefault="008E7846" w:rsidP="00940A89">
      <w:pPr>
        <w:pStyle w:val="Heading3"/>
      </w:pPr>
      <w:bookmarkStart w:id="23" w:name="_Toc56604925"/>
      <w:r>
        <w:t>Product Information</w:t>
      </w:r>
      <w:bookmarkEnd w:id="21"/>
      <w:bookmarkEnd w:id="22"/>
      <w:bookmarkEnd w:id="23"/>
    </w:p>
    <w:p w14:paraId="3EF4F42D" w14:textId="77777777" w:rsidR="00940A89" w:rsidRDefault="006136D7" w:rsidP="00940A89">
      <w:bookmarkStart w:id="24" w:name="_Toc247691506"/>
      <w:bookmarkStart w:id="25" w:name="_Toc314842487"/>
      <w:r w:rsidRPr="00940A89">
        <w:t xml:space="preserve">The </w:t>
      </w:r>
      <w:r w:rsidR="003C3DE8">
        <w:t>PI</w:t>
      </w:r>
      <w:r w:rsidRPr="00940A89">
        <w:t xml:space="preserve"> </w:t>
      </w:r>
      <w:r>
        <w:t xml:space="preserve">approved with the submission which is described in </w:t>
      </w:r>
      <w:r w:rsidRPr="00940A89">
        <w:t xml:space="preserve">this </w:t>
      </w:r>
      <w:proofErr w:type="spellStart"/>
      <w:r w:rsidRPr="00940A89">
        <w:t>AusPAR</w:t>
      </w:r>
      <w:proofErr w:type="spellEnd"/>
      <w:r w:rsidRPr="00940A89">
        <w:t xml:space="preserve"> can be found as Attachment 1. For the most recent </w:t>
      </w:r>
      <w:r>
        <w:t>PI,</w:t>
      </w:r>
      <w:r w:rsidRPr="00940A89">
        <w:t xml:space="preserve"> ple</w:t>
      </w:r>
      <w:r>
        <w:t>ase refer to the TGA website</w:t>
      </w:r>
      <w:r w:rsidRPr="00441C3F">
        <w:t xml:space="preserve"> at </w:t>
      </w:r>
      <w:r w:rsidR="00441C3F" w:rsidRPr="00441C3F">
        <w:t>&lt;</w:t>
      </w:r>
      <w:hyperlink r:id="rId13" w:history="1">
        <w:r w:rsidR="00441C3F" w:rsidRPr="00441C3F">
          <w:rPr>
            <w:rStyle w:val="Hyperlink"/>
          </w:rPr>
          <w:t>https://www.tga.gov.au/product-information-pi</w:t>
        </w:r>
      </w:hyperlink>
      <w:r w:rsidR="00441C3F">
        <w:t>&gt;</w:t>
      </w:r>
      <w:r w:rsidR="00003917">
        <w:t>.</w:t>
      </w:r>
    </w:p>
    <w:p w14:paraId="56483AB0" w14:textId="77777777" w:rsidR="00500337" w:rsidRDefault="00500337" w:rsidP="004C10EE">
      <w:pPr>
        <w:pStyle w:val="Heading2"/>
      </w:pPr>
      <w:bookmarkStart w:id="26" w:name="_Toc504480011"/>
      <w:bookmarkStart w:id="27" w:name="_Toc56604926"/>
      <w:r>
        <w:lastRenderedPageBreak/>
        <w:t>II. Registration timeline</w:t>
      </w:r>
      <w:bookmarkEnd w:id="26"/>
      <w:bookmarkEnd w:id="27"/>
    </w:p>
    <w:p w14:paraId="2C0051B3" w14:textId="77777777" w:rsidR="00500337" w:rsidRDefault="00500337" w:rsidP="004C10EE">
      <w:pPr>
        <w:keepNext/>
        <w:keepLines/>
      </w:pPr>
      <w:r>
        <w:t xml:space="preserve">The following table captures the key steps and dates for this application and which are detailed and discussed in this </w:t>
      </w:r>
      <w:proofErr w:type="spellStart"/>
      <w:r>
        <w:t>AusPAR</w:t>
      </w:r>
      <w:proofErr w:type="spellEnd"/>
      <w:r>
        <w:t>.</w:t>
      </w:r>
    </w:p>
    <w:p w14:paraId="234AF8C0" w14:textId="77777777" w:rsidR="00500337" w:rsidRDefault="00003917" w:rsidP="004C10EE">
      <w:pPr>
        <w:pStyle w:val="TableTitle"/>
        <w:keepLines/>
      </w:pPr>
      <w:r w:rsidRPr="00003917">
        <w:t xml:space="preserve">Table </w:t>
      </w:r>
      <w:r w:rsidR="004C10EE">
        <w:fldChar w:fldCharType="begin"/>
      </w:r>
      <w:r w:rsidR="004C10EE">
        <w:instrText xml:space="preserve"> SEQ Table \* ARABIC </w:instrText>
      </w:r>
      <w:r w:rsidR="004C10EE">
        <w:fldChar w:fldCharType="separate"/>
      </w:r>
      <w:r w:rsidR="00384939">
        <w:rPr>
          <w:noProof/>
        </w:rPr>
        <w:t>2</w:t>
      </w:r>
      <w:r w:rsidR="004C10EE">
        <w:rPr>
          <w:noProof/>
        </w:rPr>
        <w:fldChar w:fldCharType="end"/>
      </w:r>
      <w:r w:rsidR="00006FAB">
        <w:t>:</w:t>
      </w:r>
      <w:r w:rsidR="00C02839">
        <w:t xml:space="preserve"> Timeline for Submission PM-2019-01763-1-3</w:t>
      </w:r>
    </w:p>
    <w:tbl>
      <w:tblPr>
        <w:tblStyle w:val="TableTGAblue"/>
        <w:tblW w:w="0" w:type="auto"/>
        <w:tblLook w:val="04A0" w:firstRow="1" w:lastRow="0" w:firstColumn="1" w:lastColumn="0" w:noHBand="0" w:noVBand="1"/>
      </w:tblPr>
      <w:tblGrid>
        <w:gridCol w:w="4257"/>
        <w:gridCol w:w="4237"/>
      </w:tblGrid>
      <w:tr w:rsidR="00500337" w14:paraId="3B11B350" w14:textId="77777777" w:rsidTr="00CF5DAD">
        <w:trPr>
          <w:cnfStyle w:val="100000000000" w:firstRow="1" w:lastRow="0" w:firstColumn="0" w:lastColumn="0" w:oddVBand="0" w:evenVBand="0" w:oddHBand="0" w:evenHBand="0" w:firstRowFirstColumn="0" w:firstRowLastColumn="0" w:lastRowFirstColumn="0" w:lastRowLastColumn="0"/>
          <w:cantSplit/>
        </w:trPr>
        <w:tc>
          <w:tcPr>
            <w:tcW w:w="4360" w:type="dxa"/>
            <w:tcBorders>
              <w:top w:val="single" w:sz="4" w:space="0" w:color="auto"/>
              <w:left w:val="single" w:sz="4" w:space="0" w:color="auto"/>
              <w:bottom w:val="single" w:sz="4" w:space="0" w:color="auto"/>
              <w:right w:val="single" w:sz="4" w:space="0" w:color="auto"/>
            </w:tcBorders>
          </w:tcPr>
          <w:p w14:paraId="0E35A47C" w14:textId="77777777" w:rsidR="00500337" w:rsidRDefault="00500337" w:rsidP="004C10EE">
            <w:pPr>
              <w:keepLines/>
              <w:ind w:left="0" w:right="0"/>
            </w:pPr>
            <w:r>
              <w:t>Description</w:t>
            </w:r>
          </w:p>
        </w:tc>
        <w:tc>
          <w:tcPr>
            <w:tcW w:w="4360" w:type="dxa"/>
            <w:tcBorders>
              <w:top w:val="single" w:sz="4" w:space="0" w:color="auto"/>
              <w:left w:val="single" w:sz="4" w:space="0" w:color="auto"/>
              <w:bottom w:val="single" w:sz="4" w:space="0" w:color="auto"/>
              <w:right w:val="single" w:sz="4" w:space="0" w:color="auto"/>
            </w:tcBorders>
          </w:tcPr>
          <w:p w14:paraId="3AF3EE82" w14:textId="77777777" w:rsidR="00500337" w:rsidRDefault="00500337" w:rsidP="004C10EE">
            <w:pPr>
              <w:keepLines/>
              <w:ind w:left="0" w:right="0"/>
            </w:pPr>
            <w:r>
              <w:t>Date</w:t>
            </w:r>
          </w:p>
        </w:tc>
      </w:tr>
      <w:tr w:rsidR="00500337" w14:paraId="4DE2968D" w14:textId="77777777" w:rsidTr="00CF5DAD">
        <w:tc>
          <w:tcPr>
            <w:tcW w:w="4360" w:type="dxa"/>
            <w:tcBorders>
              <w:top w:val="single" w:sz="4" w:space="0" w:color="auto"/>
            </w:tcBorders>
          </w:tcPr>
          <w:p w14:paraId="23366AE2" w14:textId="6159B5FF" w:rsidR="00500337" w:rsidRDefault="00C51FA4" w:rsidP="004C10EE">
            <w:pPr>
              <w:keepNext/>
              <w:keepLines/>
              <w:ind w:left="0" w:right="0"/>
            </w:pPr>
            <w:r>
              <w:t>D</w:t>
            </w:r>
            <w:r w:rsidR="003C3DE8">
              <w:t>esignation</w:t>
            </w:r>
            <w:r w:rsidR="0014623F">
              <w:t xml:space="preserve"> </w:t>
            </w:r>
            <w:r>
              <w:t>Orphan</w:t>
            </w:r>
            <w:r w:rsidR="00E859DA">
              <w:t>;</w:t>
            </w:r>
            <w:r w:rsidR="00E859DA">
              <w:rPr>
                <w:rStyle w:val="FootnoteReference"/>
              </w:rPr>
              <w:footnoteReference w:id="4"/>
            </w:r>
          </w:p>
        </w:tc>
        <w:tc>
          <w:tcPr>
            <w:tcW w:w="4360" w:type="dxa"/>
            <w:tcBorders>
              <w:top w:val="single" w:sz="4" w:space="0" w:color="auto"/>
            </w:tcBorders>
          </w:tcPr>
          <w:p w14:paraId="50043E9B" w14:textId="77777777" w:rsidR="00C02839" w:rsidRDefault="00C02839" w:rsidP="004C10EE">
            <w:pPr>
              <w:keepNext/>
              <w:keepLines/>
              <w:ind w:left="0" w:right="0"/>
            </w:pPr>
            <w:r>
              <w:t>21 February 2019</w:t>
            </w:r>
          </w:p>
        </w:tc>
      </w:tr>
      <w:tr w:rsidR="00500337" w14:paraId="1B0AE49D" w14:textId="77777777" w:rsidTr="00500337">
        <w:tc>
          <w:tcPr>
            <w:tcW w:w="4360" w:type="dxa"/>
          </w:tcPr>
          <w:p w14:paraId="08B67BB0" w14:textId="77777777" w:rsidR="00500337" w:rsidRDefault="00500337" w:rsidP="00500337">
            <w:pPr>
              <w:ind w:left="0" w:right="0"/>
            </w:pPr>
            <w:r>
              <w:t>Submission dossier accepted and first round evaluation commenced</w:t>
            </w:r>
          </w:p>
        </w:tc>
        <w:tc>
          <w:tcPr>
            <w:tcW w:w="4360" w:type="dxa"/>
          </w:tcPr>
          <w:p w14:paraId="5BB3C7F5" w14:textId="77777777" w:rsidR="00500337" w:rsidRDefault="00C02839" w:rsidP="00500337">
            <w:pPr>
              <w:ind w:left="0" w:right="0"/>
            </w:pPr>
            <w:r>
              <w:t>31 July 2019</w:t>
            </w:r>
          </w:p>
        </w:tc>
      </w:tr>
      <w:tr w:rsidR="00500337" w14:paraId="2E0CEE8B" w14:textId="77777777" w:rsidTr="00500337">
        <w:tc>
          <w:tcPr>
            <w:tcW w:w="4360" w:type="dxa"/>
          </w:tcPr>
          <w:p w14:paraId="0BF11003" w14:textId="77777777" w:rsidR="00500337" w:rsidRDefault="00500337" w:rsidP="00500337">
            <w:pPr>
              <w:ind w:left="0" w:right="0"/>
            </w:pPr>
            <w:r>
              <w:t>First round evaluation completed</w:t>
            </w:r>
          </w:p>
        </w:tc>
        <w:tc>
          <w:tcPr>
            <w:tcW w:w="4360" w:type="dxa"/>
          </w:tcPr>
          <w:p w14:paraId="3A0006AD" w14:textId="77777777" w:rsidR="00C02839" w:rsidRDefault="00C02839" w:rsidP="00500337">
            <w:pPr>
              <w:ind w:left="0" w:right="0"/>
            </w:pPr>
            <w:r>
              <w:t>4 February 2020</w:t>
            </w:r>
          </w:p>
        </w:tc>
      </w:tr>
      <w:tr w:rsidR="00500337" w14:paraId="3A35D269" w14:textId="77777777" w:rsidTr="00500337">
        <w:tc>
          <w:tcPr>
            <w:tcW w:w="4360" w:type="dxa"/>
          </w:tcPr>
          <w:p w14:paraId="41282037" w14:textId="77777777" w:rsidR="00500337" w:rsidRDefault="00500337" w:rsidP="00500337">
            <w:pPr>
              <w:ind w:left="0" w:right="0"/>
            </w:pPr>
            <w:r>
              <w:t>Sponsor provides responses on questions raised in first round evaluation</w:t>
            </w:r>
          </w:p>
        </w:tc>
        <w:tc>
          <w:tcPr>
            <w:tcW w:w="4360" w:type="dxa"/>
          </w:tcPr>
          <w:p w14:paraId="3B68B007" w14:textId="77777777" w:rsidR="00500337" w:rsidRDefault="00A84A74" w:rsidP="00500337">
            <w:pPr>
              <w:ind w:left="0" w:right="0"/>
            </w:pPr>
            <w:r>
              <w:t>21 February 2020</w:t>
            </w:r>
          </w:p>
        </w:tc>
      </w:tr>
      <w:tr w:rsidR="00500337" w14:paraId="24B060C5" w14:textId="77777777" w:rsidTr="00500337">
        <w:tc>
          <w:tcPr>
            <w:tcW w:w="4360" w:type="dxa"/>
          </w:tcPr>
          <w:p w14:paraId="3DD5E621" w14:textId="77777777" w:rsidR="00500337" w:rsidRDefault="00500337" w:rsidP="00500337">
            <w:pPr>
              <w:ind w:left="0" w:right="0"/>
            </w:pPr>
            <w:r>
              <w:t>Second round evaluation completed</w:t>
            </w:r>
          </w:p>
        </w:tc>
        <w:tc>
          <w:tcPr>
            <w:tcW w:w="4360" w:type="dxa"/>
          </w:tcPr>
          <w:p w14:paraId="51EA4D9D" w14:textId="77777777" w:rsidR="00500337" w:rsidRDefault="00A84A74" w:rsidP="00500337">
            <w:pPr>
              <w:ind w:left="0" w:right="0"/>
            </w:pPr>
            <w:r>
              <w:t>22 May 2020</w:t>
            </w:r>
          </w:p>
        </w:tc>
      </w:tr>
      <w:tr w:rsidR="00500337" w14:paraId="16E2CFA2" w14:textId="77777777" w:rsidTr="00500337">
        <w:tc>
          <w:tcPr>
            <w:tcW w:w="4360" w:type="dxa"/>
          </w:tcPr>
          <w:p w14:paraId="1D7D2C27" w14:textId="77777777" w:rsidR="00500337" w:rsidRDefault="00500337" w:rsidP="00500337">
            <w:pPr>
              <w:ind w:left="0" w:right="0"/>
            </w:pPr>
            <w:r>
              <w:t>Delegate’s Overall benefit-risk assessment and request for Advisory Committee advice</w:t>
            </w:r>
          </w:p>
        </w:tc>
        <w:tc>
          <w:tcPr>
            <w:tcW w:w="4360" w:type="dxa"/>
          </w:tcPr>
          <w:p w14:paraId="66138BB0" w14:textId="77777777" w:rsidR="00500337" w:rsidRDefault="00A84A74" w:rsidP="00500337">
            <w:pPr>
              <w:ind w:left="0" w:right="0"/>
            </w:pPr>
            <w:r>
              <w:t>12 May 2020</w:t>
            </w:r>
          </w:p>
        </w:tc>
      </w:tr>
      <w:tr w:rsidR="00500337" w14:paraId="76E6DD54" w14:textId="77777777" w:rsidTr="00500337">
        <w:tc>
          <w:tcPr>
            <w:tcW w:w="4360" w:type="dxa"/>
          </w:tcPr>
          <w:p w14:paraId="16443486" w14:textId="77777777" w:rsidR="00500337" w:rsidRDefault="00500337" w:rsidP="00500337">
            <w:pPr>
              <w:ind w:left="0" w:right="0"/>
            </w:pPr>
            <w:r>
              <w:t>Sponsor’s pre-Advisory Committee response</w:t>
            </w:r>
          </w:p>
        </w:tc>
        <w:tc>
          <w:tcPr>
            <w:tcW w:w="4360" w:type="dxa"/>
          </w:tcPr>
          <w:p w14:paraId="519FB4C5" w14:textId="77777777" w:rsidR="00500337" w:rsidRDefault="00A84A74" w:rsidP="00500337">
            <w:pPr>
              <w:ind w:left="0" w:right="0"/>
            </w:pPr>
            <w:r>
              <w:t>26 May 2020</w:t>
            </w:r>
          </w:p>
        </w:tc>
      </w:tr>
      <w:tr w:rsidR="00500337" w14:paraId="5534B2CA" w14:textId="77777777" w:rsidTr="00500337">
        <w:tc>
          <w:tcPr>
            <w:tcW w:w="4360" w:type="dxa"/>
          </w:tcPr>
          <w:p w14:paraId="11C5D1B6" w14:textId="77777777" w:rsidR="00500337" w:rsidRDefault="00500337" w:rsidP="00500337">
            <w:pPr>
              <w:ind w:left="0" w:right="0"/>
            </w:pPr>
            <w:r>
              <w:t>Advisory Committee meeting</w:t>
            </w:r>
          </w:p>
        </w:tc>
        <w:tc>
          <w:tcPr>
            <w:tcW w:w="4360" w:type="dxa"/>
          </w:tcPr>
          <w:p w14:paraId="6D0ADFB2" w14:textId="77777777" w:rsidR="00500337" w:rsidRDefault="00A84A74" w:rsidP="00500337">
            <w:pPr>
              <w:ind w:left="0" w:right="0"/>
            </w:pPr>
            <w:r>
              <w:t>June 2020</w:t>
            </w:r>
          </w:p>
        </w:tc>
      </w:tr>
      <w:tr w:rsidR="00500337" w14:paraId="62C126A0" w14:textId="77777777" w:rsidTr="00500337">
        <w:tc>
          <w:tcPr>
            <w:tcW w:w="4360" w:type="dxa"/>
          </w:tcPr>
          <w:p w14:paraId="61BBC46D" w14:textId="77777777" w:rsidR="00500337" w:rsidRDefault="00500337" w:rsidP="00500337">
            <w:pPr>
              <w:ind w:left="0" w:right="0"/>
            </w:pPr>
            <w:r>
              <w:t>Registration decision (Outcome)</w:t>
            </w:r>
          </w:p>
        </w:tc>
        <w:tc>
          <w:tcPr>
            <w:tcW w:w="4360" w:type="dxa"/>
          </w:tcPr>
          <w:p w14:paraId="7B6B69A7" w14:textId="77777777" w:rsidR="00500337" w:rsidRDefault="00A84A74" w:rsidP="00500337">
            <w:pPr>
              <w:ind w:left="0" w:right="0"/>
            </w:pPr>
            <w:r>
              <w:t>15 July 2020</w:t>
            </w:r>
          </w:p>
        </w:tc>
      </w:tr>
      <w:tr w:rsidR="00500337" w14:paraId="526ECAA7" w14:textId="77777777" w:rsidTr="00500337">
        <w:tc>
          <w:tcPr>
            <w:tcW w:w="4360" w:type="dxa"/>
          </w:tcPr>
          <w:p w14:paraId="26F3A4D0" w14:textId="77777777" w:rsidR="00500337" w:rsidRDefault="00500337" w:rsidP="00500337">
            <w:pPr>
              <w:ind w:left="0" w:right="0"/>
            </w:pPr>
            <w:r>
              <w:t xml:space="preserve">Completion of administrative activities and registration on </w:t>
            </w:r>
            <w:r w:rsidR="00006FAB">
              <w:t xml:space="preserve">the </w:t>
            </w:r>
            <w:r>
              <w:t>ARTG</w:t>
            </w:r>
          </w:p>
        </w:tc>
        <w:tc>
          <w:tcPr>
            <w:tcW w:w="4360" w:type="dxa"/>
          </w:tcPr>
          <w:p w14:paraId="6C068D7C" w14:textId="77777777" w:rsidR="00500337" w:rsidRDefault="00A84A74" w:rsidP="00500337">
            <w:pPr>
              <w:ind w:left="0" w:right="0"/>
            </w:pPr>
            <w:r>
              <w:t>23 July 2020</w:t>
            </w:r>
          </w:p>
        </w:tc>
      </w:tr>
      <w:tr w:rsidR="00500337" w14:paraId="5230A328" w14:textId="77777777" w:rsidTr="00500337">
        <w:tc>
          <w:tcPr>
            <w:tcW w:w="4360" w:type="dxa"/>
          </w:tcPr>
          <w:p w14:paraId="7F614533" w14:textId="77777777" w:rsidR="00500337" w:rsidRDefault="00500337" w:rsidP="00500337">
            <w:pPr>
              <w:ind w:left="0" w:right="0"/>
            </w:pPr>
            <w:r>
              <w:t>Number of working days from submission dossier acceptance to registration decision*</w:t>
            </w:r>
          </w:p>
        </w:tc>
        <w:tc>
          <w:tcPr>
            <w:tcW w:w="4360" w:type="dxa"/>
          </w:tcPr>
          <w:p w14:paraId="51A8C23E" w14:textId="77777777" w:rsidR="00500337" w:rsidRDefault="00A84A74" w:rsidP="00500337">
            <w:pPr>
              <w:ind w:left="0" w:right="0"/>
            </w:pPr>
            <w:r>
              <w:t>223</w:t>
            </w:r>
          </w:p>
        </w:tc>
      </w:tr>
    </w:tbl>
    <w:p w14:paraId="2EF01F2E" w14:textId="77777777" w:rsidR="00500337" w:rsidRDefault="00500337" w:rsidP="00500337">
      <w:pPr>
        <w:pStyle w:val="TableDescription"/>
      </w:pPr>
      <w:r>
        <w:t>*</w:t>
      </w:r>
      <w:r w:rsidR="006603BC" w:rsidRPr="006603BC">
        <w:t>Statutory timeframe for standard applications is 255 working days</w:t>
      </w:r>
    </w:p>
    <w:p w14:paraId="4CE905E5" w14:textId="77777777" w:rsidR="008E7846" w:rsidRPr="00792A32" w:rsidRDefault="00456765" w:rsidP="008E7846">
      <w:pPr>
        <w:pStyle w:val="Heading2"/>
      </w:pPr>
      <w:bookmarkStart w:id="28" w:name="_Toc196046504"/>
      <w:bookmarkStart w:id="29" w:name="_Toc247691527"/>
      <w:bookmarkStart w:id="30" w:name="_Toc314842510"/>
      <w:bookmarkStart w:id="31" w:name="_Toc56604927"/>
      <w:bookmarkStart w:id="32" w:name="_Toc163441390"/>
      <w:bookmarkEnd w:id="24"/>
      <w:bookmarkEnd w:id="25"/>
      <w:bookmarkEnd w:id="1"/>
      <w:r>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8"/>
      <w:bookmarkEnd w:id="29"/>
      <w:bookmarkEnd w:id="30"/>
      <w:bookmarkEnd w:id="31"/>
    </w:p>
    <w:p w14:paraId="22940865" w14:textId="77777777" w:rsidR="00006FAB" w:rsidRDefault="00006FAB" w:rsidP="00006FAB">
      <w:bookmarkStart w:id="33" w:name="_Toc247691528"/>
      <w:r>
        <w:t>The submission was summarised in the following Delegate’s overview and recommendations.</w:t>
      </w:r>
    </w:p>
    <w:p w14:paraId="2412DB3E" w14:textId="77777777" w:rsidR="00A84A74" w:rsidRDefault="00A84A74" w:rsidP="004C10EE">
      <w:pPr>
        <w:keepNext/>
        <w:jc w:val="both"/>
        <w:rPr>
          <w:lang w:eastAsia="ja-JP"/>
        </w:rPr>
      </w:pPr>
      <w:r>
        <w:rPr>
          <w:lang w:eastAsia="ja-JP"/>
        </w:rPr>
        <w:lastRenderedPageBreak/>
        <w:t>The TGA has adopted the following guidance documents relevant to this submission:</w:t>
      </w:r>
    </w:p>
    <w:p w14:paraId="0271971E" w14:textId="4959F94D" w:rsidR="00A84A74" w:rsidRDefault="00A84A74" w:rsidP="00A4536D">
      <w:pPr>
        <w:pStyle w:val="ListBullet"/>
      </w:pPr>
      <w:r>
        <w:t xml:space="preserve">Note for Guidance on Clinical Investigation of Medicinal Products in the Paediatric Population. </w:t>
      </w:r>
      <w:r w:rsidRPr="00A4536D">
        <w:t>CPMP/ICH/2711/99</w:t>
      </w:r>
      <w:r w:rsidR="00E859DA">
        <w:t>;</w:t>
      </w:r>
      <w:r>
        <w:t xml:space="preserve"> EU/ICH effective date: 19 Apr</w:t>
      </w:r>
      <w:r w:rsidR="00E859DA">
        <w:t>il</w:t>
      </w:r>
      <w:r>
        <w:t xml:space="preserve"> 2001</w:t>
      </w:r>
      <w:r w:rsidR="00E859DA">
        <w:t>.</w:t>
      </w:r>
    </w:p>
    <w:p w14:paraId="5ABF1936" w14:textId="200455B1" w:rsidR="00A84A74" w:rsidRDefault="00A84A74" w:rsidP="00A4536D">
      <w:pPr>
        <w:pStyle w:val="ListBullet"/>
      </w:pPr>
      <w:r>
        <w:t xml:space="preserve">Guideline on pharmaceutical development of medicines for paediatric use </w:t>
      </w:r>
      <w:r w:rsidRPr="00A4536D">
        <w:t>A/CHMP/QWP/805880/2012 Rev. 2</w:t>
      </w:r>
      <w:r>
        <w:t>.</w:t>
      </w:r>
      <w:r w:rsidR="00E859DA">
        <w:t>;</w:t>
      </w:r>
      <w:r>
        <w:t xml:space="preserve"> EU/ICH effective date: 15 Sep</w:t>
      </w:r>
      <w:r w:rsidR="00E859DA">
        <w:t>tember</w:t>
      </w:r>
      <w:r>
        <w:t xml:space="preserve"> 2014</w:t>
      </w:r>
      <w:r w:rsidR="00E859DA">
        <w:t>.</w:t>
      </w:r>
    </w:p>
    <w:p w14:paraId="7037191D" w14:textId="08CDF2F5" w:rsidR="00A84A74" w:rsidRDefault="00A84A74" w:rsidP="00A4536D">
      <w:pPr>
        <w:pStyle w:val="ListBullet"/>
      </w:pPr>
      <w:r>
        <w:t>Guideline on the role of Pharmacokinetics in the Development of Medicinal Products in the Paediatric Population EMEA/CHMP/EWP/147013/2004 Corr.</w:t>
      </w:r>
      <w:r w:rsidR="00E859DA">
        <w:t>;</w:t>
      </w:r>
      <w:r>
        <w:t xml:space="preserve"> EU/ICH effective date: 24 Aug</w:t>
      </w:r>
      <w:r w:rsidR="00E859DA">
        <w:t>ust</w:t>
      </w:r>
      <w:r>
        <w:t xml:space="preserve"> 2009</w:t>
      </w:r>
      <w:r w:rsidR="00E859DA">
        <w:t>.</w:t>
      </w:r>
    </w:p>
    <w:p w14:paraId="0CCB5EFB" w14:textId="7E2B6222" w:rsidR="00A84A74" w:rsidRPr="00A84A74" w:rsidRDefault="00A84A74" w:rsidP="00A4536D">
      <w:pPr>
        <w:pStyle w:val="ListBullet"/>
      </w:pPr>
      <w:r>
        <w:t>Points to consider on Applications with 1. Meta-analyses; 2. One Pivotal Study. CPMP/EWP/2330/99</w:t>
      </w:r>
      <w:r w:rsidR="00E859DA">
        <w:t>;</w:t>
      </w:r>
      <w:r>
        <w:t xml:space="preserve"> effective date: 31 May 2001.</w:t>
      </w:r>
    </w:p>
    <w:p w14:paraId="710776F5" w14:textId="77777777" w:rsidR="008E7846" w:rsidRDefault="008E7846" w:rsidP="008E7846">
      <w:pPr>
        <w:pStyle w:val="Heading3"/>
      </w:pPr>
      <w:bookmarkStart w:id="34" w:name="_Toc314842511"/>
      <w:bookmarkStart w:id="35" w:name="_Toc56604928"/>
      <w:r>
        <w:t>Quality</w:t>
      </w:r>
      <w:bookmarkEnd w:id="33"/>
      <w:bookmarkEnd w:id="34"/>
      <w:bookmarkEnd w:id="35"/>
    </w:p>
    <w:p w14:paraId="466B828D" w14:textId="1BD94491" w:rsidR="004E4525" w:rsidRDefault="004E4525" w:rsidP="00A4536D">
      <w:r>
        <w:t>The quality evaluator has no objections to the registration of defibrotide for the proposed indication.</w:t>
      </w:r>
    </w:p>
    <w:p w14:paraId="257C2448" w14:textId="67818D9F" w:rsidR="004E4525" w:rsidRDefault="004E4525" w:rsidP="00A4536D">
      <w:r>
        <w:t>Defibrotide is an oligonucleotide mixture derived from porcine intestinal mucosa co</w:t>
      </w:r>
      <w:r w:rsidR="007E1C5A">
        <w:t xml:space="preserve">mprised predominantly of single </w:t>
      </w:r>
      <w:r>
        <w:t xml:space="preserve">stranded </w:t>
      </w:r>
      <w:proofErr w:type="spellStart"/>
      <w:r>
        <w:t>polydeoxyribonucleotides</w:t>
      </w:r>
      <w:proofErr w:type="spellEnd"/>
      <w:r>
        <w:t xml:space="preserve"> of varying lengths (described as </w:t>
      </w:r>
      <w:r w:rsidR="00E859DA">
        <w:t>‘</w:t>
      </w:r>
      <w:proofErr w:type="spellStart"/>
      <w:r>
        <w:t>polydisperse</w:t>
      </w:r>
      <w:proofErr w:type="spellEnd"/>
      <w:r w:rsidR="00E859DA">
        <w:t>’</w:t>
      </w:r>
      <w:r>
        <w:t xml:space="preserve">). The chemical name of defibrotide is </w:t>
      </w:r>
      <w:proofErr w:type="spellStart"/>
      <w:r>
        <w:t>polydeoxyribonucleotide</w:t>
      </w:r>
      <w:proofErr w:type="spellEnd"/>
      <w:r>
        <w:t>, sodium salt.</w:t>
      </w:r>
    </w:p>
    <w:p w14:paraId="26889575" w14:textId="7F9ABA44" w:rsidR="004E4525" w:rsidRDefault="004E4525" w:rsidP="00A4536D">
      <w:r>
        <w:t xml:space="preserve">Defibrotide is prepared by controlled depolymerisation of DNA isolated from the mucosa, applying a specific and validated combination of </w:t>
      </w:r>
      <w:proofErr w:type="spellStart"/>
      <w:r>
        <w:t>physico</w:t>
      </w:r>
      <w:proofErr w:type="spellEnd"/>
      <w:r>
        <w:t>-chemical conditions. The individual oligonucleotides that comprise defibrotide differ with respect to length, sequence, and inter- or intra strand hybridisation. Due to the large number of individual components of different lengths and sequences, defibrotide cannot be said to have a single discrete structure. However, information can be obtained with respect to the average molecular weight (MW) of the oligonucleo</w:t>
      </w:r>
      <w:r w:rsidR="007019D6">
        <w:t>tide components of defibrotide.</w:t>
      </w:r>
    </w:p>
    <w:p w14:paraId="60DA5EED" w14:textId="77777777" w:rsidR="004E4525" w:rsidRDefault="004E4525" w:rsidP="00A4536D">
      <w:r>
        <w:t>The</w:t>
      </w:r>
      <w:r w:rsidR="0069376B">
        <w:t xml:space="preserve"> chemical structure of defibrotide is shown in </w:t>
      </w:r>
      <w:r w:rsidR="0069376B">
        <w:fldChar w:fldCharType="begin"/>
      </w:r>
      <w:r w:rsidR="0069376B">
        <w:instrText xml:space="preserve"> REF _Ref54792437 \h </w:instrText>
      </w:r>
      <w:r w:rsidR="00A4536D">
        <w:instrText xml:space="preserve"> \* MERGEFORMAT </w:instrText>
      </w:r>
      <w:r w:rsidR="0069376B">
        <w:fldChar w:fldCharType="separate"/>
      </w:r>
      <w:r w:rsidR="00384939" w:rsidRPr="0069376B">
        <w:t xml:space="preserve">Figure </w:t>
      </w:r>
      <w:r w:rsidR="00384939">
        <w:t>1</w:t>
      </w:r>
      <w:r w:rsidR="0069376B">
        <w:fldChar w:fldCharType="end"/>
      </w:r>
      <w:r w:rsidR="0069376B">
        <w:t>.</w:t>
      </w:r>
    </w:p>
    <w:p w14:paraId="3478977E" w14:textId="77777777" w:rsidR="0069376B" w:rsidRDefault="0069376B" w:rsidP="00DC1BB2">
      <w:pPr>
        <w:pStyle w:val="FigureTitle"/>
      </w:pPr>
      <w:bookmarkStart w:id="36" w:name="_Ref54792437"/>
      <w:r w:rsidRPr="0069376B">
        <w:t xml:space="preserve">Figure </w:t>
      </w:r>
      <w:r w:rsidR="004C10EE">
        <w:fldChar w:fldCharType="begin"/>
      </w:r>
      <w:r w:rsidR="004C10EE">
        <w:instrText xml:space="preserve"> SEQ Figure \* ARABIC </w:instrText>
      </w:r>
      <w:r w:rsidR="004C10EE">
        <w:fldChar w:fldCharType="separate"/>
      </w:r>
      <w:r w:rsidR="00384939">
        <w:rPr>
          <w:noProof/>
        </w:rPr>
        <w:t>1</w:t>
      </w:r>
      <w:r w:rsidR="004C10EE">
        <w:rPr>
          <w:noProof/>
        </w:rPr>
        <w:fldChar w:fldCharType="end"/>
      </w:r>
      <w:bookmarkEnd w:id="36"/>
      <w:r>
        <w:t>: Chemical structure of defibrotide</w:t>
      </w:r>
    </w:p>
    <w:p w14:paraId="11589E1C" w14:textId="77777777" w:rsidR="00694E87" w:rsidRDefault="0069376B" w:rsidP="00694E87">
      <w:r w:rsidRPr="0069376B">
        <w:rPr>
          <w:noProof/>
          <w:lang w:eastAsia="en-AU"/>
        </w:rPr>
        <w:drawing>
          <wp:inline distT="0" distB="0" distL="0" distR="0" wp14:anchorId="34CFC7FF" wp14:editId="22385748">
            <wp:extent cx="4158283" cy="3172571"/>
            <wp:effectExtent l="0" t="0" r="0" b="8890"/>
            <wp:docPr id="1" name="Picture 1" descr="Chemical structure of defibrot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0308" t="10090" r="12684" b="2392"/>
                    <a:stretch/>
                  </pic:blipFill>
                  <pic:spPr bwMode="auto">
                    <a:xfrm>
                      <a:off x="0" y="0"/>
                      <a:ext cx="4158503" cy="3172739"/>
                    </a:xfrm>
                    <a:prstGeom prst="rect">
                      <a:avLst/>
                    </a:prstGeom>
                    <a:ln>
                      <a:noFill/>
                    </a:ln>
                    <a:extLst>
                      <a:ext uri="{53640926-AAD7-44D8-BBD7-CCE9431645EC}">
                        <a14:shadowObscured xmlns:a14="http://schemas.microsoft.com/office/drawing/2010/main"/>
                      </a:ext>
                    </a:extLst>
                  </pic:spPr>
                </pic:pic>
              </a:graphicData>
            </a:graphic>
          </wp:inline>
        </w:drawing>
      </w:r>
    </w:p>
    <w:p w14:paraId="0FB649C7" w14:textId="746AAB20" w:rsidR="00694E87" w:rsidRDefault="00694E87" w:rsidP="00A4536D">
      <w:r>
        <w:t xml:space="preserve">The specific important manufacturing aspects for this product are accurate characterisation of the </w:t>
      </w:r>
      <w:proofErr w:type="spellStart"/>
      <w:r>
        <w:t>polydisperse</w:t>
      </w:r>
      <w:proofErr w:type="spellEnd"/>
      <w:r w:rsidR="00E1257C">
        <w:t xml:space="preserve"> mixture</w:t>
      </w:r>
      <w:r>
        <w:t xml:space="preserve">, and application of in-process controls (IPC) </w:t>
      </w:r>
      <w:r>
        <w:lastRenderedPageBreak/>
        <w:t>that ensure purity (including the absence of adventitious agents and contaminants), and confirm biological activity.</w:t>
      </w:r>
    </w:p>
    <w:p w14:paraId="5F391435" w14:textId="77777777" w:rsidR="00694E87" w:rsidRDefault="00694E87" w:rsidP="00A4536D">
      <w:r>
        <w:t>All manufacturing steps and analytical procedures have been validated.</w:t>
      </w:r>
    </w:p>
    <w:p w14:paraId="2BC928F2" w14:textId="14E4E4C2" w:rsidR="00694E87" w:rsidRDefault="00694E87" w:rsidP="00694E87">
      <w:pPr>
        <w:pStyle w:val="Heading4"/>
      </w:pPr>
      <w:r>
        <w:t>P</w:t>
      </w:r>
      <w:r w:rsidRPr="00AA53F4">
        <w:t>roposed conditions of registration</w:t>
      </w:r>
    </w:p>
    <w:p w14:paraId="5F3490C6" w14:textId="427406F1" w:rsidR="00694E87" w:rsidRDefault="00694E87" w:rsidP="00694E87">
      <w:pPr>
        <w:spacing w:after="0" w:line="240" w:lineRule="auto"/>
        <w:rPr>
          <w:rFonts w:asciiTheme="minorHAnsi" w:hAnsiTheme="minorHAnsi"/>
          <w:lang w:val="en-GB"/>
        </w:rPr>
      </w:pPr>
      <w:r>
        <w:rPr>
          <w:rFonts w:asciiTheme="minorHAnsi" w:hAnsiTheme="minorHAnsi"/>
          <w:lang w:val="en-GB"/>
        </w:rPr>
        <w:t>The quality evaluator recommends the following conditions of registration:</w:t>
      </w:r>
    </w:p>
    <w:p w14:paraId="7882FEF5" w14:textId="77777777" w:rsidR="00FD2C78" w:rsidRPr="00715FE9" w:rsidRDefault="00FD2C78" w:rsidP="00FD2C78">
      <w:pPr>
        <w:pStyle w:val="Heading5"/>
      </w:pPr>
      <w:r w:rsidRPr="00715FE9">
        <w:t>Batch Release Testing &amp; Compliance with</w:t>
      </w:r>
      <w:r>
        <w:t xml:space="preserve"> Certified Product Details</w:t>
      </w:r>
    </w:p>
    <w:p w14:paraId="547C0765" w14:textId="77777777" w:rsidR="00FD2C78" w:rsidRPr="00A4536D" w:rsidRDefault="00FD2C78" w:rsidP="00FD2C78">
      <w:pPr>
        <w:pStyle w:val="ListBullet"/>
        <w:numPr>
          <w:ilvl w:val="0"/>
          <w:numId w:val="0"/>
        </w:numPr>
      </w:pPr>
      <w:r w:rsidRPr="00A4536D">
        <w:t xml:space="preserve">It is a condition of registration that all batches of </w:t>
      </w:r>
      <w:proofErr w:type="spellStart"/>
      <w:r w:rsidRPr="00A4536D">
        <w:t>Defitelio</w:t>
      </w:r>
      <w:proofErr w:type="spellEnd"/>
      <w:r w:rsidRPr="00A4536D">
        <w:t xml:space="preserve"> (defibrotide) imported into Australia must comply with the product details and specifications approved during evaluation and detailed in the Certified Product Details (CPD).</w:t>
      </w:r>
    </w:p>
    <w:p w14:paraId="35349A6A" w14:textId="77777777" w:rsidR="00FD2C78" w:rsidRPr="00A4536D" w:rsidRDefault="00FD2C78" w:rsidP="00FD2C78">
      <w:pPr>
        <w:pStyle w:val="ListBullet"/>
        <w:numPr>
          <w:ilvl w:val="0"/>
          <w:numId w:val="0"/>
        </w:numPr>
      </w:pPr>
      <w:r w:rsidRPr="00A4536D">
        <w:t xml:space="preserve">It is a condition of registration that up to five initial batches of </w:t>
      </w:r>
      <w:proofErr w:type="spellStart"/>
      <w:r w:rsidRPr="00A4536D">
        <w:t>Defitelio</w:t>
      </w:r>
      <w:proofErr w:type="spellEnd"/>
      <w:r w:rsidRPr="00A4536D">
        <w:t xml:space="preserve"> (defibrotide) imported into Australia is not released for sale until samples and/or the manufacturer’s release data have been assessed and endorsed for release by the TGA Laboratories Branch. Outcomes of laboratory testing are published biannually in the TGA Database of Laboratory Testing Results </w:t>
      </w:r>
      <w:hyperlink r:id="rId15" w:history="1">
        <w:r w:rsidRPr="00A4536D">
          <w:rPr>
            <w:rStyle w:val="Hyperlink"/>
            <w:color w:val="auto"/>
            <w:u w:val="none"/>
          </w:rPr>
          <w:t>http://www.tga.gov.au/ws-labs-index</w:t>
        </w:r>
      </w:hyperlink>
      <w:r w:rsidRPr="00A4536D">
        <w:t>.</w:t>
      </w:r>
    </w:p>
    <w:p w14:paraId="3E149D7D" w14:textId="77777777" w:rsidR="00FD2C78" w:rsidRPr="00A4536D" w:rsidRDefault="00FD2C78" w:rsidP="00FD2C78">
      <w:pPr>
        <w:pStyle w:val="ListBullet"/>
        <w:numPr>
          <w:ilvl w:val="0"/>
          <w:numId w:val="0"/>
        </w:numPr>
      </w:pPr>
      <w:r w:rsidRPr="00A4536D">
        <w:t xml:space="preserve">The sponsor should be prepared to provide product samples, reference materials and documentary evidence as defined by the TGA Laboratories branch. The sponsor must contact </w:t>
      </w:r>
      <w:hyperlink r:id="rId16" w:history="1">
        <w:r w:rsidRPr="00A4536D">
          <w:t>Biochemistry.Testing@health.gov.au</w:t>
        </w:r>
      </w:hyperlink>
      <w:r w:rsidRPr="00A4536D">
        <w:t xml:space="preserve"> for specific material requirements related to the batch release testing/assessment of the product. More information on TGA testing of biological medicines is available at </w:t>
      </w:r>
      <w:hyperlink r:id="rId17" w:history="1">
        <w:r w:rsidRPr="00A4536D">
          <w:rPr>
            <w:rStyle w:val="Hyperlink"/>
            <w:color w:val="auto"/>
            <w:u w:val="none"/>
          </w:rPr>
          <w:t>https://www.tga.gov.au/publication/testing-biological-medicines</w:t>
        </w:r>
      </w:hyperlink>
      <w:r w:rsidRPr="00A4536D">
        <w:t>.</w:t>
      </w:r>
    </w:p>
    <w:p w14:paraId="09852FC8" w14:textId="152DD1BB" w:rsidR="009F544E" w:rsidRDefault="00FD2C78" w:rsidP="00A4536D">
      <w:r w:rsidRPr="00694E87">
        <w:t>This batch release condition will be reviewed and may be modified on the basis of actual batch quality and consistency. This condition remains in place until sponsors are notified in writing of any variation.</w:t>
      </w:r>
      <w:bookmarkStart w:id="37" w:name="_Ref57356265"/>
      <w:r>
        <w:rPr>
          <w:rStyle w:val="FootnoteReference"/>
        </w:rPr>
        <w:footnoteReference w:id="5"/>
      </w:r>
      <w:bookmarkEnd w:id="37"/>
    </w:p>
    <w:p w14:paraId="0C832D20" w14:textId="77777777" w:rsidR="00694E87" w:rsidRPr="00715FE9" w:rsidRDefault="00694E87" w:rsidP="00694E87">
      <w:pPr>
        <w:pStyle w:val="Heading5"/>
      </w:pPr>
      <w:r w:rsidRPr="00715FE9">
        <w:t>Certified Product Details</w:t>
      </w:r>
    </w:p>
    <w:p w14:paraId="1F66EA03" w14:textId="77777777" w:rsidR="00694E87" w:rsidRPr="00694E87" w:rsidRDefault="00694E87" w:rsidP="00A4536D">
      <w:r w:rsidRPr="00715FE9">
        <w:t xml:space="preserve">The </w:t>
      </w:r>
      <w:r w:rsidR="00580612">
        <w:t>CPD</w:t>
      </w:r>
      <w:r w:rsidRPr="00715FE9">
        <w:t xml:space="preserve">, as described in </w:t>
      </w:r>
      <w:r w:rsidRPr="000050A2">
        <w:rPr>
          <w:i/>
        </w:rPr>
        <w:t>Guidance 7: Certified Product Details of the Australian Regulatory Guidelines for Prescription Medicines (ARGPM)</w:t>
      </w:r>
      <w:r w:rsidR="00580612">
        <w:t xml:space="preserve"> (</w:t>
      </w:r>
      <w:r w:rsidRPr="00A4536D">
        <w:rPr>
          <w:rFonts w:asciiTheme="minorHAnsi" w:hAnsiTheme="minorHAnsi"/>
        </w:rPr>
        <w:t>http://www.tga.gov.au/industry/pm-argpm-guidance-7.htm</w:t>
      </w:r>
      <w:r w:rsidR="00580612">
        <w:t>)</w:t>
      </w:r>
      <w:r w:rsidRPr="00715FE9">
        <w:t>, in PDF format, for the above products should be provided upon registration of these therapeutic goods. In addition, an updated CPD should be provided when changes to finished product specifications and test methods are approved in a Category 3 application or notified th</w:t>
      </w:r>
      <w:r>
        <w:t xml:space="preserve">rough a self-assessable change. </w:t>
      </w:r>
      <w:r w:rsidRPr="004D18A7">
        <w:rPr>
          <w:snapToGrid w:val="0"/>
          <w:lang w:val="en-GB"/>
        </w:rPr>
        <w:t xml:space="preserve">CPDs should be emailed to </w:t>
      </w:r>
      <w:r w:rsidRPr="00A4536D">
        <w:rPr>
          <w:rFonts w:asciiTheme="minorHAnsi" w:hAnsiTheme="minorHAnsi"/>
          <w:snapToGrid w:val="0"/>
          <w:lang w:val="en-GB"/>
        </w:rPr>
        <w:t>Biochemistry.Testing@health.gov.au</w:t>
      </w:r>
      <w:r w:rsidRPr="00694E87">
        <w:rPr>
          <w:snapToGrid w:val="0"/>
          <w:lang w:val="en-GB"/>
        </w:rPr>
        <w:t xml:space="preserve"> </w:t>
      </w:r>
      <w:r w:rsidRPr="004D18A7">
        <w:rPr>
          <w:snapToGrid w:val="0"/>
          <w:lang w:val="en-GB"/>
        </w:rPr>
        <w:t>as a single PDF document.</w:t>
      </w:r>
    </w:p>
    <w:p w14:paraId="4A2C3035" w14:textId="77777777" w:rsidR="008E7846" w:rsidRDefault="008E7846" w:rsidP="008E7846">
      <w:pPr>
        <w:pStyle w:val="Heading3"/>
      </w:pPr>
      <w:bookmarkStart w:id="38" w:name="_Toc314842512"/>
      <w:bookmarkStart w:id="39" w:name="_Toc56604929"/>
      <w:r>
        <w:t>Nonclinical</w:t>
      </w:r>
      <w:bookmarkEnd w:id="38"/>
      <w:bookmarkEnd w:id="39"/>
    </w:p>
    <w:p w14:paraId="1C424729" w14:textId="77777777" w:rsidR="00694E87" w:rsidRDefault="00694E87" w:rsidP="00580612">
      <w:bookmarkStart w:id="40" w:name="_Toc247691530"/>
      <w:bookmarkStart w:id="41" w:name="_Toc314842513"/>
      <w:r>
        <w:t>The nonclinical evaluator has no objections to the registration of defibrotide for the proposed indication.</w:t>
      </w:r>
    </w:p>
    <w:p w14:paraId="35B0A492" w14:textId="50A1EC63" w:rsidR="00694E87" w:rsidRPr="003D6AEA" w:rsidRDefault="00694E87" w:rsidP="00580612">
      <w:r>
        <w:t xml:space="preserve">Although the mechanism of action of defibrotide has </w:t>
      </w:r>
      <w:r w:rsidR="0000022B">
        <w:t>not been fully elucidated, the s</w:t>
      </w:r>
      <w:r>
        <w:t xml:space="preserve">ponsor proposes that the mechanism of action is through stabilisation and protection of the intrahepatic endothelial cells. </w:t>
      </w:r>
      <w:r w:rsidRPr="00FE6DCC">
        <w:t>Primary pharmacolog</w:t>
      </w:r>
      <w:r>
        <w:t>ical</w:t>
      </w:r>
      <w:r w:rsidR="007E1C5A">
        <w:t xml:space="preserve"> evidence from sponsor </w:t>
      </w:r>
      <w:r w:rsidRPr="00FE6DCC">
        <w:t xml:space="preserve">conducted </w:t>
      </w:r>
      <w:r w:rsidRPr="00FE6DCC">
        <w:lastRenderedPageBreak/>
        <w:t xml:space="preserve">studies plus published </w:t>
      </w:r>
      <w:r w:rsidRPr="00954C29">
        <w:rPr>
          <w:i/>
        </w:rPr>
        <w:t>in vivo</w:t>
      </w:r>
      <w:r w:rsidRPr="00FE6DCC">
        <w:t xml:space="preserve">, </w:t>
      </w:r>
      <w:r w:rsidRPr="00954C29">
        <w:rPr>
          <w:i/>
        </w:rPr>
        <w:t>ex vivo</w:t>
      </w:r>
      <w:r w:rsidRPr="00FE6DCC">
        <w:t xml:space="preserve"> and </w:t>
      </w:r>
      <w:r w:rsidRPr="00954C29">
        <w:rPr>
          <w:i/>
        </w:rPr>
        <w:t>in vitro</w:t>
      </w:r>
      <w:r w:rsidRPr="00FE6DCC">
        <w:t xml:space="preserve"> studies showed that defibrotide </w:t>
      </w:r>
      <w:r>
        <w:t>has complex effects</w:t>
      </w:r>
      <w:r w:rsidRPr="00FE6DCC">
        <w:t>, promot</w:t>
      </w:r>
      <w:r>
        <w:t>ing</w:t>
      </w:r>
      <w:r w:rsidRPr="00FE6DCC">
        <w:t xml:space="preserve"> the </w:t>
      </w:r>
      <w:proofErr w:type="spellStart"/>
      <w:r w:rsidRPr="00FE6DCC">
        <w:t>thrombo</w:t>
      </w:r>
      <w:proofErr w:type="spellEnd"/>
      <w:r>
        <w:t>-</w:t>
      </w:r>
      <w:r w:rsidRPr="00FE6DCC">
        <w:t>fibrinolytic balance and provid</w:t>
      </w:r>
      <w:r>
        <w:t>ing</w:t>
      </w:r>
      <w:r w:rsidRPr="00FE6DCC">
        <w:t xml:space="preserve"> anti-inflammatory protection.</w:t>
      </w:r>
      <w:r>
        <w:t xml:space="preserve"> </w:t>
      </w:r>
      <w:r w:rsidRPr="00FE6DCC">
        <w:t xml:space="preserve">No </w:t>
      </w:r>
      <w:r w:rsidR="007E1C5A" w:rsidRPr="00FE6DCC">
        <w:t>stand</w:t>
      </w:r>
      <w:r w:rsidR="007E1C5A">
        <w:t>a</w:t>
      </w:r>
      <w:r w:rsidR="007E1C5A" w:rsidRPr="00FE6DCC">
        <w:t>lone</w:t>
      </w:r>
      <w:r w:rsidRPr="00FE6DCC">
        <w:t xml:space="preserve"> secondary </w:t>
      </w:r>
      <w:r w:rsidR="0000022B">
        <w:t>pharmacodynamics (PD)</w:t>
      </w:r>
      <w:r w:rsidRPr="00FE6DCC">
        <w:t xml:space="preserve"> studies were conducted. Safety pharmacology measurements of </w:t>
      </w:r>
      <w:r>
        <w:t>central nervous</w:t>
      </w:r>
      <w:r w:rsidRPr="00FE6DCC">
        <w:t xml:space="preserve">, </w:t>
      </w:r>
      <w:r>
        <w:t>cardiovascular</w:t>
      </w:r>
      <w:r w:rsidRPr="00FE6DCC">
        <w:t xml:space="preserve"> and respiratory syst</w:t>
      </w:r>
      <w:r w:rsidR="007E1C5A">
        <w:t xml:space="preserve">ems were integrated into repeat </w:t>
      </w:r>
      <w:r w:rsidRPr="00FE6DCC">
        <w:t xml:space="preserve">dose toxicity studies and did not indicate any significant risk </w:t>
      </w:r>
      <w:r>
        <w:t xml:space="preserve">of defibrotide </w:t>
      </w:r>
      <w:r w:rsidRPr="00FE6DCC">
        <w:t>to the major vital organ systems.</w:t>
      </w:r>
    </w:p>
    <w:p w14:paraId="54A6431D" w14:textId="5C352AFF" w:rsidR="00694E87" w:rsidRPr="00FE6DCC" w:rsidRDefault="00694E87" w:rsidP="00A4536D">
      <w:r w:rsidRPr="00580612">
        <w:t xml:space="preserve">Based on the </w:t>
      </w:r>
      <w:r w:rsidRPr="000E02D0">
        <w:rPr>
          <w:i/>
        </w:rPr>
        <w:t>in vitro</w:t>
      </w:r>
      <w:r w:rsidRPr="00580612">
        <w:t xml:space="preserve"> studies, defibrotide does not inhibit or induce common drug metaboli</w:t>
      </w:r>
      <w:r w:rsidR="00E1257C">
        <w:t>s</w:t>
      </w:r>
      <w:r w:rsidRPr="00580612">
        <w:t>ing enzymes and is not a substrate or inhibitor of a number of common human uptake transporters or efflux transporters. Clinically relevant pharmacokinetic</w:t>
      </w:r>
      <w:r w:rsidR="0000022B" w:rsidRPr="00580612">
        <w:t xml:space="preserve"> (PK)</w:t>
      </w:r>
      <w:r w:rsidRPr="00580612">
        <w:t xml:space="preserve"> drug</w:t>
      </w:r>
      <w:r w:rsidR="00E1257C">
        <w:noBreakHyphen/>
      </w:r>
      <w:r w:rsidRPr="00580612">
        <w:t>drug interactions are cons</w:t>
      </w:r>
      <w:r w:rsidR="007E1C5A">
        <w:t xml:space="preserve">idered unlikely. Pivotal repeat </w:t>
      </w:r>
      <w:r w:rsidRPr="00580612">
        <w:t>dose toxicity studies were conducted in rats exposed to 24</w:t>
      </w:r>
      <w:r w:rsidR="00580612" w:rsidRPr="00580612">
        <w:t xml:space="preserve"> </w:t>
      </w:r>
      <w:r w:rsidRPr="00580612">
        <w:t>h</w:t>
      </w:r>
      <w:r w:rsidR="00580612" w:rsidRPr="00580612">
        <w:t>ours</w:t>
      </w:r>
      <w:r w:rsidRPr="00580612">
        <w:t xml:space="preserve"> continuous IV infusions and in dogs receiving 2</w:t>
      </w:r>
      <w:r w:rsidR="00E1257C">
        <w:t> </w:t>
      </w:r>
      <w:r w:rsidRPr="00580612">
        <w:t>hour</w:t>
      </w:r>
      <w:r w:rsidR="00011D79">
        <w:t>s</w:t>
      </w:r>
      <w:r w:rsidRPr="00580612">
        <w:t xml:space="preserve"> infusion of defibrotide four times per day at relative exposure levels up to 35 to 40</w:t>
      </w:r>
      <w:r w:rsidR="007E1C5A">
        <w:t xml:space="preserve"> </w:t>
      </w:r>
      <w:r w:rsidRPr="00580612">
        <w:t>fold the clinical dose of defibrotide (based on body surface area</w:t>
      </w:r>
      <w:r w:rsidR="00E1257C">
        <w:t>, (</w:t>
      </w:r>
      <w:r w:rsidRPr="00580612">
        <w:t>BSA)</w:t>
      </w:r>
      <w:r w:rsidR="00E1257C">
        <w:t>)</w:t>
      </w:r>
      <w:r w:rsidRPr="00580612">
        <w:t>. Results from the rat study were inconclusive due to high mortality related to catheter complications, whic</w:t>
      </w:r>
      <w:r w:rsidR="007E1C5A">
        <w:t xml:space="preserve">h were not directly defibrotide </w:t>
      </w:r>
      <w:r w:rsidRPr="00580612">
        <w:t xml:space="preserve">related. In dogs, there was an increase in liver weight and some microscopic findings of uncertain toxicological significance (minimal to mild </w:t>
      </w:r>
      <w:proofErr w:type="spellStart"/>
      <w:r w:rsidRPr="00580612">
        <w:t>Kupffer</w:t>
      </w:r>
      <w:proofErr w:type="spellEnd"/>
      <w:r w:rsidRPr="00FE6DCC">
        <w:t xml:space="preserve"> cell hypertrophy, minimal subacute inflammation, mild individual hepatocellular necrosis)</w:t>
      </w:r>
      <w:r>
        <w:t>. It was suggested that the changes are</w:t>
      </w:r>
      <w:r w:rsidRPr="00FE6DCC">
        <w:t xml:space="preserve"> probably caused by cellular uptake of defibrotide.</w:t>
      </w:r>
    </w:p>
    <w:p w14:paraId="096993B8" w14:textId="76998F82" w:rsidR="00694E87" w:rsidRPr="00FE6DCC" w:rsidRDefault="00694E87" w:rsidP="00A4536D">
      <w:pPr>
        <w:rPr>
          <w:rFonts w:asciiTheme="minorHAnsi" w:hAnsiTheme="minorHAnsi"/>
        </w:rPr>
      </w:pPr>
      <w:r w:rsidRPr="00FE6DCC">
        <w:rPr>
          <w:rFonts w:asciiTheme="minorHAnsi" w:hAnsiTheme="minorHAnsi"/>
        </w:rPr>
        <w:t xml:space="preserve">Defibrotide was not mutagenic in </w:t>
      </w:r>
      <w:r>
        <w:rPr>
          <w:rFonts w:asciiTheme="minorHAnsi" w:hAnsiTheme="minorHAnsi"/>
        </w:rPr>
        <w:t>a</w:t>
      </w:r>
      <w:r w:rsidRPr="00FE6DCC">
        <w:rPr>
          <w:rFonts w:asciiTheme="minorHAnsi" w:hAnsiTheme="minorHAnsi"/>
        </w:rPr>
        <w:t xml:space="preserve"> bacterial mutation assay or </w:t>
      </w:r>
      <w:proofErr w:type="spellStart"/>
      <w:r w:rsidRPr="00FE6DCC">
        <w:rPr>
          <w:rFonts w:asciiTheme="minorHAnsi" w:hAnsiTheme="minorHAnsi"/>
        </w:rPr>
        <w:t>clastogenic</w:t>
      </w:r>
      <w:proofErr w:type="spellEnd"/>
      <w:r w:rsidRPr="00FE6DCC">
        <w:rPr>
          <w:rFonts w:asciiTheme="minorHAnsi" w:hAnsiTheme="minorHAnsi"/>
        </w:rPr>
        <w:t xml:space="preserve"> </w:t>
      </w:r>
      <w:r w:rsidRPr="00FE6DCC">
        <w:rPr>
          <w:rFonts w:asciiTheme="minorHAnsi" w:hAnsiTheme="minorHAnsi"/>
          <w:i/>
        </w:rPr>
        <w:t>in vitro</w:t>
      </w:r>
      <w:r w:rsidRPr="00FE6DCC">
        <w:rPr>
          <w:rFonts w:asciiTheme="minorHAnsi" w:hAnsiTheme="minorHAnsi"/>
        </w:rPr>
        <w:t xml:space="preserve"> </w:t>
      </w:r>
      <w:r>
        <w:rPr>
          <w:rFonts w:asciiTheme="minorHAnsi" w:hAnsiTheme="minorHAnsi"/>
        </w:rPr>
        <w:t xml:space="preserve">or </w:t>
      </w:r>
      <w:r w:rsidRPr="00FE6DCC">
        <w:rPr>
          <w:rFonts w:asciiTheme="minorHAnsi" w:hAnsiTheme="minorHAnsi"/>
          <w:i/>
        </w:rPr>
        <w:t>in</w:t>
      </w:r>
      <w:r w:rsidR="00E1257C">
        <w:rPr>
          <w:rFonts w:asciiTheme="minorHAnsi" w:hAnsiTheme="minorHAnsi"/>
          <w:i/>
        </w:rPr>
        <w:t> </w:t>
      </w:r>
      <w:r w:rsidRPr="00FE6DCC">
        <w:rPr>
          <w:rFonts w:asciiTheme="minorHAnsi" w:hAnsiTheme="minorHAnsi"/>
          <w:i/>
        </w:rPr>
        <w:t>vivo</w:t>
      </w:r>
      <w:r w:rsidRPr="00FE6DCC">
        <w:rPr>
          <w:rFonts w:asciiTheme="minorHAnsi" w:hAnsiTheme="minorHAnsi"/>
        </w:rPr>
        <w:t xml:space="preserve">. Two year carcinogenicity studies in rats and mice </w:t>
      </w:r>
      <w:r>
        <w:rPr>
          <w:rFonts w:asciiTheme="minorHAnsi" w:hAnsiTheme="minorHAnsi"/>
        </w:rPr>
        <w:t>fed with</w:t>
      </w:r>
      <w:r w:rsidRPr="00FE6DCC">
        <w:rPr>
          <w:rFonts w:asciiTheme="minorHAnsi" w:hAnsiTheme="minorHAnsi"/>
        </w:rPr>
        <w:t xml:space="preserve"> </w:t>
      </w:r>
      <w:r>
        <w:rPr>
          <w:rFonts w:asciiTheme="minorHAnsi" w:hAnsiTheme="minorHAnsi"/>
        </w:rPr>
        <w:t>defibrotide</w:t>
      </w:r>
      <w:r w:rsidR="007E1C5A">
        <w:rPr>
          <w:rFonts w:asciiTheme="minorHAnsi" w:hAnsiTheme="minorHAnsi"/>
        </w:rPr>
        <w:t xml:space="preserve"> showed no treatment </w:t>
      </w:r>
      <w:r w:rsidRPr="00FE6DCC">
        <w:rPr>
          <w:rFonts w:asciiTheme="minorHAnsi" w:hAnsiTheme="minorHAnsi"/>
        </w:rPr>
        <w:t>related increases in tumour incidence but the actual relative plasma exposure achieved</w:t>
      </w:r>
      <w:r>
        <w:rPr>
          <w:rFonts w:asciiTheme="minorHAnsi" w:hAnsiTheme="minorHAnsi"/>
        </w:rPr>
        <w:t xml:space="preserve"> with oral administration</w:t>
      </w:r>
      <w:r w:rsidRPr="00FE6DCC">
        <w:rPr>
          <w:rFonts w:asciiTheme="minorHAnsi" w:hAnsiTheme="minorHAnsi"/>
        </w:rPr>
        <w:t xml:space="preserve"> is likely to be well under that attained using the IV route in a clinical setting.</w:t>
      </w:r>
    </w:p>
    <w:p w14:paraId="3254A7B3" w14:textId="3FE99BB1" w:rsidR="00694E87" w:rsidRPr="00F57BE8" w:rsidRDefault="00694E87" w:rsidP="00580612">
      <w:r w:rsidRPr="00FE6DCC">
        <w:t>D</w:t>
      </w:r>
      <w:r>
        <w:t>efibrotide</w:t>
      </w:r>
      <w:r w:rsidRPr="00FE6DCC">
        <w:t xml:space="preserve"> </w:t>
      </w:r>
      <w:r>
        <w:t xml:space="preserve">injected intramuscularly (IM) </w:t>
      </w:r>
      <w:r w:rsidRPr="00FE6DCC">
        <w:t xml:space="preserve">at </w:t>
      </w:r>
      <w:r w:rsidR="00E1257C">
        <w:t xml:space="preserve">doses of </w:t>
      </w:r>
      <w:r w:rsidRPr="00FE6DCC">
        <w:t xml:space="preserve">up to 12 mg/kg/day showed no significant treatment related effects in rat studies of fertility </w:t>
      </w:r>
      <w:r>
        <w:t>or</w:t>
      </w:r>
      <w:r w:rsidRPr="00FE6DCC">
        <w:t xml:space="preserve"> early embryonic development and peri-postnatal development. However, the relative exposure levels </w:t>
      </w:r>
      <w:r>
        <w:t xml:space="preserve">from IM injections are </w:t>
      </w:r>
      <w:r w:rsidRPr="00FE6DCC">
        <w:t>likely to be well under those anticipated clinically</w:t>
      </w:r>
      <w:r>
        <w:t xml:space="preserve"> with IV infusion</w:t>
      </w:r>
      <w:r w:rsidRPr="00FE6DCC">
        <w:t>.</w:t>
      </w:r>
      <w:r>
        <w:t xml:space="preserve"> </w:t>
      </w:r>
      <w:proofErr w:type="spellStart"/>
      <w:r w:rsidRPr="00FE6DCC">
        <w:t>Embryofetal</w:t>
      </w:r>
      <w:proofErr w:type="spellEnd"/>
      <w:r w:rsidRPr="00FE6DCC">
        <w:t xml:space="preserve"> development studies in which pregnant rats and rabbits received continuous IV infusion of </w:t>
      </w:r>
      <w:r>
        <w:t>defibrotide</w:t>
      </w:r>
      <w:r w:rsidRPr="00FE6DCC">
        <w:t xml:space="preserve"> revealed severe </w:t>
      </w:r>
      <w:proofErr w:type="spellStart"/>
      <w:r w:rsidRPr="00FE6DCC">
        <w:t>maternotoxicity</w:t>
      </w:r>
      <w:proofErr w:type="spellEnd"/>
      <w:r w:rsidRPr="00FE6DCC">
        <w:t xml:space="preserve"> (</w:t>
      </w:r>
      <w:r>
        <w:t xml:space="preserve">a </w:t>
      </w:r>
      <w:r w:rsidRPr="00FE6DCC">
        <w:t xml:space="preserve">high rate of haemorrhagic abortion), which interfered with adequate assessment of effects on </w:t>
      </w:r>
      <w:proofErr w:type="spellStart"/>
      <w:r w:rsidRPr="00FE6DCC">
        <w:t>embryofetal</w:t>
      </w:r>
      <w:proofErr w:type="spellEnd"/>
      <w:r w:rsidRPr="00FE6DCC">
        <w:t xml:space="preserve"> development. </w:t>
      </w:r>
      <w:r>
        <w:t>A</w:t>
      </w:r>
      <w:r w:rsidR="007E1C5A">
        <w:t xml:space="preserve"> follow</w:t>
      </w:r>
      <w:r w:rsidR="007E1C5A" w:rsidRPr="00FE6DCC">
        <w:t xml:space="preserve"> up</w:t>
      </w:r>
      <w:r w:rsidRPr="00FE6DCC">
        <w:t xml:space="preserve"> study in rabbits at 80 mg/kg defibrotide (corresponding to a BSA</w:t>
      </w:r>
      <w:r w:rsidR="00E1257C">
        <w:noBreakHyphen/>
      </w:r>
      <w:r w:rsidRPr="00FE6DCC">
        <w:t>adjusted daily dose similar to th</w:t>
      </w:r>
      <w:r w:rsidR="00580612">
        <w:t xml:space="preserve">at in humans) using staggered 5 </w:t>
      </w:r>
      <w:r w:rsidRPr="00FE6DCC">
        <w:t>day</w:t>
      </w:r>
      <w:r w:rsidR="00580612">
        <w:t>s</w:t>
      </w:r>
      <w:r w:rsidRPr="00FE6DCC">
        <w:t xml:space="preserve"> treatment windows </w:t>
      </w:r>
      <w:r>
        <w:t>reported</w:t>
      </w:r>
      <w:r w:rsidRPr="00FE6DCC">
        <w:t xml:space="preserve"> no </w:t>
      </w:r>
      <w:proofErr w:type="spellStart"/>
      <w:r w:rsidRPr="00FE6DCC">
        <w:t>maternotoxicity</w:t>
      </w:r>
      <w:proofErr w:type="spellEnd"/>
      <w:r w:rsidRPr="00FE6DCC">
        <w:t xml:space="preserve"> or adverse effects on </w:t>
      </w:r>
      <w:proofErr w:type="spellStart"/>
      <w:r w:rsidRPr="00FE6DCC">
        <w:t>embryofetal</w:t>
      </w:r>
      <w:proofErr w:type="spellEnd"/>
      <w:r w:rsidRPr="00FE6DCC">
        <w:t xml:space="preserve"> development.</w:t>
      </w:r>
      <w:r w:rsidRPr="00F57BE8">
        <w:rPr>
          <w:rFonts w:eastAsiaTheme="minorHAnsi" w:cs="Cambria"/>
          <w:color w:val="000000"/>
          <w:sz w:val="24"/>
          <w:szCs w:val="24"/>
        </w:rPr>
        <w:t xml:space="preserve"> </w:t>
      </w:r>
      <w:r w:rsidRPr="00F57BE8">
        <w:t xml:space="preserve">The sponsor has proposed </w:t>
      </w:r>
      <w:r w:rsidRPr="00694E87">
        <w:rPr>
          <w:bCs/>
        </w:rPr>
        <w:t>Pregnancy Category D</w:t>
      </w:r>
      <w:r w:rsidRPr="00694E87">
        <w:t>.</w:t>
      </w:r>
      <w:r w:rsidR="00580612">
        <w:rPr>
          <w:rStyle w:val="FootnoteReference"/>
          <w:rFonts w:asciiTheme="minorHAnsi" w:hAnsiTheme="minorHAnsi"/>
        </w:rPr>
        <w:footnoteReference w:id="6"/>
      </w:r>
      <w:r w:rsidRPr="00F57BE8">
        <w:t xml:space="preserve"> This category is appropriate </w:t>
      </w:r>
      <w:r>
        <w:t>in view of the findings of the</w:t>
      </w:r>
      <w:r w:rsidRPr="00F57BE8">
        <w:t xml:space="preserve"> </w:t>
      </w:r>
      <w:proofErr w:type="spellStart"/>
      <w:r w:rsidRPr="00F57BE8">
        <w:t>embryofetal</w:t>
      </w:r>
      <w:proofErr w:type="spellEnd"/>
      <w:r w:rsidRPr="00F57BE8">
        <w:t xml:space="preserve"> developmental toxicology studi</w:t>
      </w:r>
      <w:r>
        <w:t>es.</w:t>
      </w:r>
    </w:p>
    <w:p w14:paraId="74B25E28" w14:textId="3051D1F7" w:rsidR="00694E87" w:rsidRDefault="00694E87" w:rsidP="00580612">
      <w:r w:rsidRPr="00FE6DCC">
        <w:t>The main finding in a juvenile rat study (IV</w:t>
      </w:r>
      <w:r>
        <w:t xml:space="preserve"> defibrotide</w:t>
      </w:r>
      <w:r w:rsidRPr="00FE6DCC">
        <w:t xml:space="preserve"> bolu</w:t>
      </w:r>
      <w:r>
        <w:t>s at</w:t>
      </w:r>
      <w:r w:rsidR="00E1257C">
        <w:t xml:space="preserve"> doses of</w:t>
      </w:r>
      <w:r>
        <w:t xml:space="preserve"> up to 320</w:t>
      </w:r>
      <w:r w:rsidR="00E1257C">
        <w:t> </w:t>
      </w:r>
      <w:r>
        <w:t xml:space="preserve">mg/kg/day for 28 </w:t>
      </w:r>
      <w:r w:rsidRPr="00FE6DCC">
        <w:t>days) was a delay in the mean age of the occurrence of preputial separation, suggesting a delay in the onset of male puberty. This finding was not reproduced in a follow up study but is still noted in</w:t>
      </w:r>
      <w:r>
        <w:t xml:space="preserve"> the draft </w:t>
      </w:r>
      <w:r w:rsidR="00580612">
        <w:t>PI</w:t>
      </w:r>
      <w:r>
        <w:t>.</w:t>
      </w:r>
    </w:p>
    <w:p w14:paraId="79D32674" w14:textId="77777777" w:rsidR="00694E87" w:rsidRPr="005A5F3F" w:rsidRDefault="00694E87" w:rsidP="00580612">
      <w:r w:rsidRPr="00FE6DCC">
        <w:t xml:space="preserve">Defibrotide </w:t>
      </w:r>
      <w:r>
        <w:t>did not cause</w:t>
      </w:r>
      <w:r w:rsidRPr="00FE6DCC">
        <w:t xml:space="preserve"> any </w:t>
      </w:r>
      <w:r>
        <w:t xml:space="preserve">apparent </w:t>
      </w:r>
      <w:r w:rsidRPr="00FE6DCC">
        <w:t xml:space="preserve">allergic, immunogenic or </w:t>
      </w:r>
      <w:proofErr w:type="spellStart"/>
      <w:r w:rsidRPr="00FE6DCC">
        <w:t>immunotoxic</w:t>
      </w:r>
      <w:proofErr w:type="spellEnd"/>
      <w:r w:rsidRPr="00FE6DCC">
        <w:t xml:space="preserve"> responses</w:t>
      </w:r>
      <w:r>
        <w:t xml:space="preserve"> in animal studies</w:t>
      </w:r>
      <w:r w:rsidRPr="00FE6DCC">
        <w:t>.</w:t>
      </w:r>
    </w:p>
    <w:p w14:paraId="34772F25" w14:textId="77777777" w:rsidR="008E7846" w:rsidRDefault="008E7846" w:rsidP="006D5E69">
      <w:pPr>
        <w:pStyle w:val="Heading3"/>
      </w:pPr>
      <w:bookmarkStart w:id="42" w:name="_Toc56604930"/>
      <w:r>
        <w:lastRenderedPageBreak/>
        <w:t>Clinical</w:t>
      </w:r>
      <w:bookmarkEnd w:id="40"/>
      <w:bookmarkEnd w:id="41"/>
      <w:bookmarkEnd w:id="42"/>
    </w:p>
    <w:p w14:paraId="009A8B60" w14:textId="0A3E32C9" w:rsidR="00BB780A" w:rsidRDefault="00BB780A" w:rsidP="006D5E69">
      <w:pPr>
        <w:pStyle w:val="Heading4"/>
      </w:pPr>
      <w:r>
        <w:t>Content of the clinical dossier</w:t>
      </w:r>
    </w:p>
    <w:p w14:paraId="6B5EBB96" w14:textId="277CC112" w:rsidR="001C0F59" w:rsidRDefault="001C0F59" w:rsidP="00A4536D">
      <w:r>
        <w:t>The clinical dossier consists of</w:t>
      </w:r>
      <w:r w:rsidR="00E1257C">
        <w:t>:</w:t>
      </w:r>
    </w:p>
    <w:p w14:paraId="2C4F53F8" w14:textId="0A40C38B" w:rsidR="001C0F59" w:rsidRPr="00A4536D" w:rsidRDefault="001C0F59" w:rsidP="00A4536D">
      <w:pPr>
        <w:pStyle w:val="ListBullet"/>
      </w:pPr>
      <w:r w:rsidRPr="00A4536D">
        <w:t>eight pharmacology studies</w:t>
      </w:r>
      <w:r w:rsidR="00E1257C">
        <w:t>;</w:t>
      </w:r>
    </w:p>
    <w:p w14:paraId="7A5508E9" w14:textId="094D475F" w:rsidR="001C0F59" w:rsidRPr="00A4536D" w:rsidRDefault="00F877A1" w:rsidP="00A4536D">
      <w:pPr>
        <w:pStyle w:val="ListBullet"/>
      </w:pPr>
      <w:r w:rsidRPr="00A4536D">
        <w:t>one popu</w:t>
      </w:r>
      <w:r w:rsidR="001C0F59" w:rsidRPr="00A4536D">
        <w:t>lation pharmacokinetic</w:t>
      </w:r>
      <w:r w:rsidR="00BB780A">
        <w:t xml:space="preserve"> (</w:t>
      </w:r>
      <w:proofErr w:type="spellStart"/>
      <w:r w:rsidR="00BB780A">
        <w:t>popPK</w:t>
      </w:r>
      <w:proofErr w:type="spellEnd"/>
      <w:r w:rsidR="00BB780A">
        <w:t>)</w:t>
      </w:r>
      <w:r w:rsidR="001C0F59" w:rsidRPr="00A4536D">
        <w:t xml:space="preserve"> analysis</w:t>
      </w:r>
      <w:r w:rsidR="00E1257C">
        <w:t>;</w:t>
      </w:r>
    </w:p>
    <w:p w14:paraId="2B43DF36" w14:textId="60381C60" w:rsidR="001C0F59" w:rsidRPr="00A4536D" w:rsidRDefault="00F877A1" w:rsidP="00A4536D">
      <w:pPr>
        <w:pStyle w:val="ListBullet"/>
      </w:pPr>
      <w:r w:rsidRPr="00A4536D">
        <w:t>one</w:t>
      </w:r>
      <w:r w:rsidR="001C0F59" w:rsidRPr="00A4536D">
        <w:t xml:space="preserve"> main efficacy and safety study</w:t>
      </w:r>
      <w:r w:rsidR="00BB780A">
        <w:t xml:space="preserve"> (Study 2005-01)</w:t>
      </w:r>
      <w:r w:rsidR="00E1257C">
        <w:t>;</w:t>
      </w:r>
    </w:p>
    <w:p w14:paraId="65D6EB2A" w14:textId="266E8B2E" w:rsidR="001C0F59" w:rsidRPr="00A4536D" w:rsidRDefault="00F877A1" w:rsidP="00A4536D">
      <w:pPr>
        <w:pStyle w:val="ListBullet"/>
      </w:pPr>
      <w:r w:rsidRPr="00A4536D">
        <w:t>six supp</w:t>
      </w:r>
      <w:r w:rsidR="001C0F59" w:rsidRPr="00A4536D">
        <w:t>orting efficacy/safety studies</w:t>
      </w:r>
      <w:r w:rsidR="00E1257C">
        <w:t>; and</w:t>
      </w:r>
    </w:p>
    <w:p w14:paraId="01088E37" w14:textId="7E6C7DEC" w:rsidR="001C0F59" w:rsidRPr="00A4536D" w:rsidRDefault="001C0F59" w:rsidP="00A4536D">
      <w:pPr>
        <w:pStyle w:val="ListBullet"/>
      </w:pPr>
      <w:proofErr w:type="gramStart"/>
      <w:r w:rsidRPr="00A4536D">
        <w:t>ten</w:t>
      </w:r>
      <w:proofErr w:type="gramEnd"/>
      <w:r w:rsidRPr="00A4536D">
        <w:t xml:space="preserve"> </w:t>
      </w:r>
      <w:r w:rsidR="00F877A1" w:rsidRPr="00A4536D">
        <w:t>periodic safety update reports (PSUR</w:t>
      </w:r>
      <w:r w:rsidRPr="00A4536D">
        <w:t>s)</w:t>
      </w:r>
      <w:r w:rsidR="00E1257C">
        <w:t>.</w:t>
      </w:r>
    </w:p>
    <w:p w14:paraId="4044934C" w14:textId="77777777" w:rsidR="00F877A1" w:rsidRPr="005A5F3F" w:rsidRDefault="00F877A1" w:rsidP="00F877A1">
      <w:pPr>
        <w:pStyle w:val="Heading4"/>
      </w:pPr>
      <w:r w:rsidRPr="00AA53F4">
        <w:t>Pharmacology</w:t>
      </w:r>
    </w:p>
    <w:p w14:paraId="21D390BF" w14:textId="77777777" w:rsidR="00F877A1" w:rsidRDefault="0000022B" w:rsidP="00F877A1">
      <w:pPr>
        <w:pStyle w:val="Heading5"/>
      </w:pPr>
      <w:r>
        <w:t>Pharmacokinetics</w:t>
      </w:r>
    </w:p>
    <w:p w14:paraId="4C64AEED" w14:textId="0A237B0A" w:rsidR="00F877A1" w:rsidRPr="00914380" w:rsidRDefault="00F877A1" w:rsidP="00A4536D">
      <w:r w:rsidRPr="006B2AEC">
        <w:t>Defibrotide is administered</w:t>
      </w:r>
      <w:r>
        <w:t xml:space="preserve"> over two hours</w:t>
      </w:r>
      <w:r w:rsidRPr="006B2AEC">
        <w:t xml:space="preserve"> by IV infusion and the peak plasma concentration occurs at the end of each infusion. Defibrotide is highly protein bound</w:t>
      </w:r>
      <w:r>
        <w:t>,</w:t>
      </w:r>
      <w:r w:rsidRPr="006B2AEC">
        <w:t xml:space="preserve"> has a small volume of distribution</w:t>
      </w:r>
      <w:r>
        <w:t xml:space="preserve"> and</w:t>
      </w:r>
      <w:r w:rsidRPr="006B2AEC">
        <w:t xml:space="preserve"> a short </w:t>
      </w:r>
      <w:r>
        <w:t xml:space="preserve">plasma </w:t>
      </w:r>
      <w:r w:rsidRPr="006B2AEC">
        <w:t>half-life</w:t>
      </w:r>
      <w:r>
        <w:t>,</w:t>
      </w:r>
      <w:r w:rsidR="001C0F59">
        <w:t xml:space="preserve"> with 10 to </w:t>
      </w:r>
      <w:r w:rsidRPr="006B2AEC">
        <w:t xml:space="preserve">14% of the dose excreted in urine as </w:t>
      </w:r>
      <w:proofErr w:type="spellStart"/>
      <w:r>
        <w:t>polydeoxyribonucleotides</w:t>
      </w:r>
      <w:proofErr w:type="spellEnd"/>
      <w:r w:rsidRPr="006B2AEC">
        <w:t xml:space="preserve">. </w:t>
      </w:r>
      <w:r>
        <w:t>Defibrotide</w:t>
      </w:r>
      <w:r w:rsidRPr="006B2AEC">
        <w:t xml:space="preserve"> </w:t>
      </w:r>
      <w:r>
        <w:t xml:space="preserve">administered </w:t>
      </w:r>
      <w:r w:rsidR="00BB780A">
        <w:t xml:space="preserve">every </w:t>
      </w:r>
      <w:r>
        <w:t>six hour</w:t>
      </w:r>
      <w:r w:rsidR="00BB780A">
        <w:t>s</w:t>
      </w:r>
      <w:r>
        <w:t xml:space="preserve"> </w:t>
      </w:r>
      <w:r w:rsidR="00BB780A">
        <w:t xml:space="preserve">(q6h) </w:t>
      </w:r>
      <w:r w:rsidRPr="006B2AEC">
        <w:t xml:space="preserve">does not appear to </w:t>
      </w:r>
      <w:r>
        <w:t>accumulate</w:t>
      </w:r>
      <w:r w:rsidRPr="006B2AEC">
        <w:t xml:space="preserve"> </w:t>
      </w:r>
      <w:r>
        <w:t>in the short term</w:t>
      </w:r>
      <w:r w:rsidRPr="006B2AEC">
        <w:t>.</w:t>
      </w:r>
      <w:r>
        <w:t xml:space="preserve"> </w:t>
      </w:r>
      <w:r w:rsidRPr="006B2AEC">
        <w:t>Haemodialysis d</w:t>
      </w:r>
      <w:r>
        <w:t>id</w:t>
      </w:r>
      <w:r w:rsidRPr="006B2AEC">
        <w:t xml:space="preserve"> not remove defibrotide and did not appear to have a noticeable effect on </w:t>
      </w:r>
      <w:r>
        <w:t xml:space="preserve">the </w:t>
      </w:r>
      <w:r w:rsidRPr="006B2AEC">
        <w:t>plasma clearance</w:t>
      </w:r>
      <w:r>
        <w:t xml:space="preserve"> of defibrotide</w:t>
      </w:r>
      <w:r w:rsidR="001C0F59">
        <w:t>.</w:t>
      </w:r>
    </w:p>
    <w:p w14:paraId="4D979523" w14:textId="77777777" w:rsidR="00F877A1" w:rsidRDefault="001C0F59" w:rsidP="00F877A1">
      <w:pPr>
        <w:pStyle w:val="Heading5"/>
      </w:pPr>
      <w:r>
        <w:t xml:space="preserve">Population </w:t>
      </w:r>
      <w:r w:rsidR="0000022B">
        <w:t>pharmacokinetic</w:t>
      </w:r>
      <w:r>
        <w:t xml:space="preserve"> data</w:t>
      </w:r>
    </w:p>
    <w:p w14:paraId="4B412DCA" w14:textId="153BFDB6" w:rsidR="00F877A1" w:rsidRDefault="00F877A1" w:rsidP="00A4536D">
      <w:r>
        <w:t>A population pharmacokinetic (</w:t>
      </w:r>
      <w:proofErr w:type="spellStart"/>
      <w:r>
        <w:t>popPK</w:t>
      </w:r>
      <w:proofErr w:type="spellEnd"/>
      <w:r>
        <w:t>) model (</w:t>
      </w:r>
      <w:r w:rsidRPr="001C0F59">
        <w:t>GENT-PCS-103</w:t>
      </w:r>
      <w:r>
        <w:t>) was developed to assess sources of variabili</w:t>
      </w:r>
      <w:r w:rsidR="00BD045C">
        <w:t xml:space="preserve">ty in </w:t>
      </w:r>
      <w:r>
        <w:t xml:space="preserve">PK parameters and to predict defibrotide exposure in paediatric patients with VOD. The model </w:t>
      </w:r>
      <w:r w:rsidR="001C0F59">
        <w:t>included data for 83 subjects (</w:t>
      </w:r>
      <w:r w:rsidR="00BB780A">
        <w:t>58</w:t>
      </w:r>
      <w:r>
        <w:t xml:space="preserve"> healthy volunteers, </w:t>
      </w:r>
      <w:r w:rsidR="00BB780A">
        <w:t xml:space="preserve">6 </w:t>
      </w:r>
      <w:r>
        <w:t>volunteers with end stage renal disease (ESRD) on dialysis and</w:t>
      </w:r>
      <w:r w:rsidR="00BB780A">
        <w:t xml:space="preserve"> 6 </w:t>
      </w:r>
      <w:r>
        <w:t xml:space="preserve">volunteers with severe or ESRD not on dialysis, and </w:t>
      </w:r>
      <w:r w:rsidR="001C0F59">
        <w:t>thirteen</w:t>
      </w:r>
      <w:r>
        <w:t xml:space="preserve"> study participants with VOD, of which two were under the age of 16). </w:t>
      </w:r>
      <w:r w:rsidRPr="00A1271D">
        <w:t xml:space="preserve">Overall, the final model for defibrotide </w:t>
      </w:r>
      <w:r>
        <w:t xml:space="preserve">PK </w:t>
      </w:r>
      <w:r w:rsidRPr="00A1271D">
        <w:t xml:space="preserve">was a </w:t>
      </w:r>
      <w:r>
        <w:t>one</w:t>
      </w:r>
      <w:r w:rsidR="007E1C5A">
        <w:t xml:space="preserve"> </w:t>
      </w:r>
      <w:r w:rsidRPr="00A1271D">
        <w:t>compartment model with linear elimination.</w:t>
      </w:r>
    </w:p>
    <w:p w14:paraId="1E868290" w14:textId="77777777" w:rsidR="00F877A1" w:rsidRPr="00EE7D19" w:rsidRDefault="00F877A1" w:rsidP="00A4536D">
      <w:r>
        <w:t xml:space="preserve">The </w:t>
      </w:r>
      <w:r w:rsidR="00BD045C">
        <w:t>PK</w:t>
      </w:r>
      <w:r>
        <w:t xml:space="preserve"> evaluator identified two major weaknesses with the </w:t>
      </w:r>
      <w:proofErr w:type="spellStart"/>
      <w:r w:rsidR="001C0F59">
        <w:t>popPK</w:t>
      </w:r>
      <w:proofErr w:type="spellEnd"/>
      <w:r w:rsidR="001C0F59">
        <w:t xml:space="preserve"> </w:t>
      </w:r>
      <w:r>
        <w:t xml:space="preserve">model. First, in the opinion of the evaluator the </w:t>
      </w:r>
      <w:r w:rsidRPr="00EE7D19">
        <w:t>complexity of the</w:t>
      </w:r>
      <w:r>
        <w:t xml:space="preserve"> clinical picture of</w:t>
      </w:r>
      <w:r w:rsidRPr="00EE7D19">
        <w:t xml:space="preserve"> VOD, inherent hepatic impairment and renal impairment was not captured well in the modelling process. This was </w:t>
      </w:r>
      <w:r>
        <w:t>indicated</w:t>
      </w:r>
      <w:r w:rsidRPr="00EE7D19">
        <w:t xml:space="preserve"> by </w:t>
      </w:r>
      <w:r>
        <w:t xml:space="preserve">a </w:t>
      </w:r>
      <w:r w:rsidRPr="00EE7D19">
        <w:t>dis</w:t>
      </w:r>
      <w:r w:rsidR="001C0F59">
        <w:t xml:space="preserve">proportionate decrease (up to 4 </w:t>
      </w:r>
      <w:r w:rsidRPr="00EE7D19">
        <w:t>fold</w:t>
      </w:r>
      <w:r w:rsidR="001C0F59">
        <w:t>s</w:t>
      </w:r>
      <w:r w:rsidRPr="00EE7D19">
        <w:t xml:space="preserve">) in defibrotide renal clearance with renal impairment when urinary excretion only accounted for up to 15% of total excretion. </w:t>
      </w:r>
      <w:r>
        <w:t xml:space="preserve">In paediatric simulations, PK parameters were not significantly changed by removing creatinine clearance as a covariate from the model. The use of </w:t>
      </w:r>
      <w:r w:rsidR="002425F6" w:rsidRPr="002425F6">
        <w:t xml:space="preserve">alanine aminotransferase </w:t>
      </w:r>
      <w:r w:rsidR="002425F6">
        <w:t>(</w:t>
      </w:r>
      <w:r>
        <w:t>ALT</w:t>
      </w:r>
      <w:r w:rsidR="002425F6">
        <w:t>)</w:t>
      </w:r>
      <w:r>
        <w:t xml:space="preserve"> to represent hepatic impairment was queried. The second concern was that the analysis only included data from two paediatric patients. The evaluator suggested that the model would be more relevant if more paediatric data had been included, given the frequency of VOD in the paediatric population. In view of the identified weaknesses, the evaluator concluded that the model described the data well,</w:t>
      </w:r>
      <w:r w:rsidR="001C0F59">
        <w:t xml:space="preserve"> but its utility was uncertain.</w:t>
      </w:r>
    </w:p>
    <w:p w14:paraId="294BA289" w14:textId="77777777" w:rsidR="00F877A1" w:rsidRDefault="0000022B" w:rsidP="00F877A1">
      <w:pPr>
        <w:pStyle w:val="Heading5"/>
      </w:pPr>
      <w:r>
        <w:t>Pharmacodynamics</w:t>
      </w:r>
    </w:p>
    <w:p w14:paraId="55A71B8A" w14:textId="3509CD6E" w:rsidR="00F877A1" w:rsidRDefault="00F877A1" w:rsidP="00A4536D">
      <w:r w:rsidRPr="007028BE">
        <w:t>The clinical studies demonstrated that defibrotide had no effect on cardiac parameters</w:t>
      </w:r>
      <w:r>
        <w:t>,</w:t>
      </w:r>
      <w:r w:rsidRPr="007028BE">
        <w:t xml:space="preserve"> did not affect coagulation parameters in healthy volunteers </w:t>
      </w:r>
      <w:r>
        <w:t>nor did it</w:t>
      </w:r>
      <w:r w:rsidRPr="007028BE">
        <w:t xml:space="preserve"> affect haemostasis parameters or stimulate the immune system in patients with chronic peripheral arterial disea</w:t>
      </w:r>
      <w:r>
        <w:t>se. In patients with VOD</w:t>
      </w:r>
      <w:r w:rsidRPr="007028BE">
        <w:t xml:space="preserve">, treatment with defibrotide decreased </w:t>
      </w:r>
      <w:r>
        <w:t>plasminogen activator inhibitor 1 (</w:t>
      </w:r>
      <w:r w:rsidRPr="007028BE">
        <w:t>PAI-1</w:t>
      </w:r>
      <w:r>
        <w:t>)</w:t>
      </w:r>
      <w:r w:rsidRPr="007028BE">
        <w:t xml:space="preserve"> but the change was not statistically significant when compared to </w:t>
      </w:r>
      <w:r w:rsidR="00BB780A">
        <w:lastRenderedPageBreak/>
        <w:t>B</w:t>
      </w:r>
      <w:r w:rsidR="00BB780A" w:rsidRPr="007028BE">
        <w:t xml:space="preserve">aseline </w:t>
      </w:r>
      <w:r w:rsidRPr="007028BE">
        <w:t xml:space="preserve">and was only observed in patients who had a complete response. No dose response </w:t>
      </w:r>
      <w:r>
        <w:t xml:space="preserve">effect </w:t>
      </w:r>
      <w:r w:rsidRPr="007028BE">
        <w:t>on PAI-1 was observed.</w:t>
      </w:r>
    </w:p>
    <w:p w14:paraId="06D858B3" w14:textId="77777777" w:rsidR="00F877A1" w:rsidRPr="00AA53F4" w:rsidRDefault="00F877A1" w:rsidP="00F877A1">
      <w:pPr>
        <w:pStyle w:val="Heading4"/>
      </w:pPr>
      <w:r w:rsidRPr="000B43D9">
        <w:t>Efficacy</w:t>
      </w:r>
    </w:p>
    <w:p w14:paraId="34CF7D28" w14:textId="77777777" w:rsidR="00F877A1" w:rsidRDefault="00F877A1" w:rsidP="00F877A1">
      <w:pPr>
        <w:pStyle w:val="Heading5"/>
      </w:pPr>
      <w:r w:rsidRPr="00AA53F4">
        <w:t xml:space="preserve">Study </w:t>
      </w:r>
      <w:r>
        <w:t>2005-01</w:t>
      </w:r>
    </w:p>
    <w:p w14:paraId="17012EDE" w14:textId="2157B699" w:rsidR="00F877A1" w:rsidRDefault="00F877A1" w:rsidP="00A4536D">
      <w:pPr>
        <w:rPr>
          <w:rFonts w:eastAsia="TimesNewRoman" w:cs="TimesNewRoman"/>
          <w:color w:val="000000"/>
        </w:rPr>
      </w:pPr>
      <w:r>
        <w:t>The pivotal efficacy and sa</w:t>
      </w:r>
      <w:r w:rsidR="001C0F59">
        <w:t xml:space="preserve">fety study </w:t>
      </w:r>
      <w:r>
        <w:t xml:space="preserve">was a multicentre, non-randomised, </w:t>
      </w:r>
      <w:r w:rsidR="001C0F59">
        <w:t>open label, Phase</w:t>
      </w:r>
      <w:r w:rsidR="00BB780A">
        <w:t> </w:t>
      </w:r>
      <w:r w:rsidR="001C0F59">
        <w:t>III</w:t>
      </w:r>
      <w:r>
        <w:t xml:space="preserve"> study conducted in 35 sites in the USA, Canada and Israel between 2005 and 2009, to compare clinical outcomes in 102 patients who developed severe hepatic VOD after HSCT and were treated with defibrotide, with clinical outcomes in a historical control (HC) group of patients treated with standard care, as applied at the time in the study centres. Retrospective chart reviews of 6867 patients from the enrolling study centres, who received HSCT between 1995 and 2007, applied stringent inclusion and exclusion criteria to identify a final cohort of 32 HC patients with hepatic VOD that matched the treatment group. An independent medical review committee (MRC) reviewed the identified files to confirm that the groups were appropriately matched. </w:t>
      </w:r>
      <w:r>
        <w:rPr>
          <w:rFonts w:eastAsia="TimesNewRoman" w:cs="TimesNewRoman"/>
          <w:color w:val="000000"/>
        </w:rPr>
        <w:t>The majority of the HC patients were included based on transplantations that occurred between years 2000 and 2006. The ability to recruit additional HC patients was limited as defibrotide was becoming established as a treatment option under emergency use provisions, and treating physicians were not prepared to deny a clinically acceptable treatment option to seriously ill patients. The defibrotide group was dosed at 6.25 mg/k</w:t>
      </w:r>
      <w:r w:rsidR="002425F6">
        <w:rPr>
          <w:rFonts w:eastAsia="TimesNewRoman" w:cs="TimesNewRoman"/>
          <w:color w:val="000000"/>
        </w:rPr>
        <w:t>g IV infusion every six hours (</w:t>
      </w:r>
      <w:r w:rsidR="00BB780A">
        <w:rPr>
          <w:rFonts w:eastAsia="TimesNewRoman" w:cs="TimesNewRoman"/>
          <w:color w:val="000000"/>
        </w:rPr>
        <w:t>q6h</w:t>
      </w:r>
      <w:r>
        <w:rPr>
          <w:rFonts w:eastAsia="TimesNewRoman" w:cs="TimesNewRoman"/>
          <w:color w:val="000000"/>
        </w:rPr>
        <w:t>), with a total daily dose of 25</w:t>
      </w:r>
      <w:r w:rsidR="002425F6">
        <w:rPr>
          <w:rFonts w:eastAsia="TimesNewRoman" w:cs="TimesNewRoman"/>
          <w:color w:val="000000"/>
        </w:rPr>
        <w:t xml:space="preserve"> </w:t>
      </w:r>
      <w:r>
        <w:rPr>
          <w:rFonts w:eastAsia="TimesNewRoman" w:cs="TimesNewRoman"/>
          <w:color w:val="000000"/>
        </w:rPr>
        <w:t>mg/kg, for a minimum of 21 days. Treatment was suspended for toxicity or delayed for necessary med</w:t>
      </w:r>
      <w:r w:rsidR="001C0F59">
        <w:rPr>
          <w:rFonts w:eastAsia="TimesNewRoman" w:cs="TimesNewRoman"/>
          <w:color w:val="000000"/>
        </w:rPr>
        <w:t>ical or surgical interventions.</w:t>
      </w:r>
    </w:p>
    <w:p w14:paraId="236FAB21" w14:textId="0F56C173" w:rsidR="00F877A1" w:rsidRDefault="00F877A1" w:rsidP="00A4536D">
      <w:r w:rsidRPr="008C45B4">
        <w:t xml:space="preserve">Overall, the defibrotide and </w:t>
      </w:r>
      <w:r>
        <w:t>HC</w:t>
      </w:r>
      <w:r w:rsidR="001C0F59">
        <w:t xml:space="preserve"> groups were well </w:t>
      </w:r>
      <w:r w:rsidRPr="008C45B4">
        <w:t>balanced with respect to the</w:t>
      </w:r>
      <w:r>
        <w:t xml:space="preserve"> </w:t>
      </w:r>
      <w:r w:rsidR="009061DA">
        <w:t>b</w:t>
      </w:r>
      <w:r w:rsidRPr="008C45B4">
        <w:t xml:space="preserve">aseline demographic variables of gender, race, age, weight, </w:t>
      </w:r>
      <w:r w:rsidR="001C0F59">
        <w:t>body mass index (</w:t>
      </w:r>
      <w:r w:rsidRPr="008C45B4">
        <w:t>BMI</w:t>
      </w:r>
      <w:r w:rsidR="001C0F59">
        <w:t>)</w:t>
      </w:r>
      <w:r w:rsidRPr="008C45B4">
        <w:t>, and length of</w:t>
      </w:r>
      <w:r>
        <w:t xml:space="preserve"> </w:t>
      </w:r>
      <w:r w:rsidRPr="008C45B4">
        <w:t>hospitali</w:t>
      </w:r>
      <w:r>
        <w:t>sation. The b</w:t>
      </w:r>
      <w:r w:rsidRPr="008C45B4">
        <w:t>aseline prognostic factors of survival at study entry</w:t>
      </w:r>
      <w:r>
        <w:t xml:space="preserve"> included age</w:t>
      </w:r>
      <w:r w:rsidRPr="008C45B4">
        <w:t xml:space="preserve"> </w:t>
      </w:r>
      <w:r>
        <w:t>(</w:t>
      </w:r>
      <w:r w:rsidRPr="00E5663E">
        <w:t>≤</w:t>
      </w:r>
      <w:r w:rsidR="00BB780A">
        <w:t> </w:t>
      </w:r>
      <w:r w:rsidRPr="008C45B4">
        <w:t xml:space="preserve">16 </w:t>
      </w:r>
      <w:r>
        <w:t>versus &gt; 16 years)</w:t>
      </w:r>
      <w:r w:rsidRPr="008C45B4">
        <w:t xml:space="preserve">, </w:t>
      </w:r>
      <w:r>
        <w:t>transplant type (</w:t>
      </w:r>
      <w:r w:rsidRPr="008C45B4">
        <w:t>all</w:t>
      </w:r>
      <w:r>
        <w:t>ogeneic or autologous</w:t>
      </w:r>
      <w:r w:rsidR="00BB780A">
        <w:t xml:space="preserve"> HSCT</w:t>
      </w:r>
      <w:r>
        <w:t>)</w:t>
      </w:r>
      <w:r w:rsidRPr="008C45B4">
        <w:t xml:space="preserve">, and </w:t>
      </w:r>
      <w:r>
        <w:t>number of previous HSCTs</w:t>
      </w:r>
      <w:r w:rsidRPr="008C45B4">
        <w:t xml:space="preserve"> (0 versus </w:t>
      </w:r>
      <w:r w:rsidRPr="00E5663E">
        <w:t>≥</w:t>
      </w:r>
      <w:r>
        <w:t xml:space="preserve"> 1). These </w:t>
      </w:r>
      <w:r w:rsidRPr="008C45B4">
        <w:t>were</w:t>
      </w:r>
      <w:r>
        <w:t xml:space="preserve"> also </w:t>
      </w:r>
      <w:r w:rsidRPr="008C45B4">
        <w:t>comparable between</w:t>
      </w:r>
      <w:r w:rsidR="00E03BF4">
        <w:t xml:space="preserve"> the defibrotide and final HC g</w:t>
      </w:r>
      <w:r>
        <w:t>roup</w:t>
      </w:r>
      <w:r w:rsidRPr="008C45B4">
        <w:t>.</w:t>
      </w:r>
      <w:r w:rsidR="009061DA">
        <w:t xml:space="preserve"> The following differences at B</w:t>
      </w:r>
      <w:r>
        <w:t>aseline were identified:</w:t>
      </w:r>
    </w:p>
    <w:p w14:paraId="0E04D879" w14:textId="3B501370" w:rsidR="00F877A1" w:rsidRDefault="00F877A1" w:rsidP="00A4536D">
      <w:pPr>
        <w:pStyle w:val="ListBullet"/>
      </w:pPr>
      <w:proofErr w:type="gramStart"/>
      <w:r>
        <w:t>a</w:t>
      </w:r>
      <w:proofErr w:type="gramEnd"/>
      <w:r w:rsidRPr="00E5663E">
        <w:t xml:space="preserve"> larger proportion of subjects in the </w:t>
      </w:r>
      <w:r>
        <w:t>defibrotide</w:t>
      </w:r>
      <w:r w:rsidRPr="00E5663E">
        <w:t xml:space="preserve"> group </w:t>
      </w:r>
      <w:r>
        <w:t xml:space="preserve">received </w:t>
      </w:r>
      <w:proofErr w:type="spellStart"/>
      <w:r>
        <w:t>sirolimus</w:t>
      </w:r>
      <w:proofErr w:type="spellEnd"/>
      <w:r>
        <w:t xml:space="preserve"> or tacrolimus as </w:t>
      </w:r>
      <w:r w:rsidR="00E03BF4">
        <w:t>prophylactic treatment for graft versus host d</w:t>
      </w:r>
      <w:r>
        <w:t>isease (</w:t>
      </w:r>
      <w:proofErr w:type="spellStart"/>
      <w:r>
        <w:t>GvHD</w:t>
      </w:r>
      <w:proofErr w:type="spellEnd"/>
      <w:r w:rsidR="00BB780A">
        <w:t>)</w:t>
      </w:r>
      <w:r>
        <w:t>,</w:t>
      </w:r>
      <w:r w:rsidR="00BB780A">
        <w:t xml:space="preserve"> at</w:t>
      </w:r>
      <w:r>
        <w:t xml:space="preserve"> </w:t>
      </w:r>
      <w:r w:rsidR="00E03BF4">
        <w:t>49.0% (defibrotide) versus 15.6% (</w:t>
      </w:r>
      <w:r>
        <w:t>HC</w:t>
      </w:r>
      <w:r w:rsidR="00E03BF4">
        <w:t>)</w:t>
      </w:r>
      <w:r w:rsidR="00BB780A">
        <w:t>;</w:t>
      </w:r>
      <w:r w:rsidRPr="00E5663E">
        <w:t xml:space="preserve"> and a larger proportion of </w:t>
      </w:r>
      <w:r>
        <w:t>HC</w:t>
      </w:r>
      <w:r w:rsidRPr="00E5663E">
        <w:t xml:space="preserve"> </w:t>
      </w:r>
      <w:r w:rsidR="00E03BF4">
        <w:t>g</w:t>
      </w:r>
      <w:r w:rsidRPr="00E5663E">
        <w:t xml:space="preserve">roup patients </w:t>
      </w:r>
      <w:r>
        <w:t>were treated with</w:t>
      </w:r>
      <w:r w:rsidRPr="00E5663E">
        <w:t xml:space="preserve"> </w:t>
      </w:r>
      <w:r>
        <w:t xml:space="preserve">any other </w:t>
      </w:r>
      <w:proofErr w:type="spellStart"/>
      <w:r>
        <w:t>GvHD</w:t>
      </w:r>
      <w:proofErr w:type="spellEnd"/>
      <w:r>
        <w:t xml:space="preserve"> prophylaxis</w:t>
      </w:r>
      <w:r w:rsidR="00BB780A">
        <w:t>,</w:t>
      </w:r>
      <w:r>
        <w:t xml:space="preserve"> </w:t>
      </w:r>
      <w:r w:rsidR="00E03BF4">
        <w:t>68.8% (</w:t>
      </w:r>
      <w:r w:rsidRPr="00E5663E">
        <w:t>H</w:t>
      </w:r>
      <w:r>
        <w:t>C</w:t>
      </w:r>
      <w:r w:rsidR="00E03BF4">
        <w:t>)</w:t>
      </w:r>
      <w:r>
        <w:t xml:space="preserve"> v</w:t>
      </w:r>
      <w:r w:rsidR="00E03BF4">
        <w:t>er</w:t>
      </w:r>
      <w:r>
        <w:t>s</w:t>
      </w:r>
      <w:r w:rsidR="00E03BF4">
        <w:t>us</w:t>
      </w:r>
      <w:r>
        <w:t xml:space="preserve"> </w:t>
      </w:r>
      <w:r w:rsidR="00E03BF4">
        <w:t>39.2% (</w:t>
      </w:r>
      <w:r w:rsidRPr="00E5663E">
        <w:t>defibr</w:t>
      </w:r>
      <w:r w:rsidR="00E03BF4">
        <w:t>otide)</w:t>
      </w:r>
      <w:r w:rsidRPr="00E5663E">
        <w:t>.</w:t>
      </w:r>
    </w:p>
    <w:p w14:paraId="6AF1585F" w14:textId="6D245CA9" w:rsidR="00F877A1" w:rsidRPr="00E03BF4" w:rsidRDefault="00F877A1" w:rsidP="00A4536D">
      <w:pPr>
        <w:pStyle w:val="ListBullet"/>
      </w:pPr>
      <w:proofErr w:type="gramStart"/>
      <w:r w:rsidRPr="00EF0B4B">
        <w:t>a</w:t>
      </w:r>
      <w:proofErr w:type="gramEnd"/>
      <w:r w:rsidRPr="00EF0B4B">
        <w:t xml:space="preserve"> higher percentage of patients in the defibrotide group (33.3%) </w:t>
      </w:r>
      <w:r>
        <w:t xml:space="preserve">were ventilator and/or dialysis dependent at study entry </w:t>
      </w:r>
      <w:r w:rsidRPr="00EF0B4B">
        <w:t xml:space="preserve">compared with the </w:t>
      </w:r>
      <w:r>
        <w:t>HC group</w:t>
      </w:r>
      <w:r w:rsidRPr="00EF0B4B">
        <w:t xml:space="preserve"> (21.9%). The </w:t>
      </w:r>
      <w:r>
        <w:t>difference was</w:t>
      </w:r>
      <w:r w:rsidRPr="00EF0B4B">
        <w:t xml:space="preserve"> more marked </w:t>
      </w:r>
      <w:r>
        <w:t>in the paediatric population</w:t>
      </w:r>
      <w:r w:rsidRPr="00EF0B4B">
        <w:t xml:space="preserve"> </w:t>
      </w:r>
      <w:r w:rsidR="00E35C72">
        <w:t xml:space="preserve">at </w:t>
      </w:r>
      <w:r w:rsidRPr="00EF0B4B">
        <w:t xml:space="preserve">31.8% </w:t>
      </w:r>
      <w:r w:rsidR="00E03BF4">
        <w:t>(defibrotide)</w:t>
      </w:r>
      <w:r>
        <w:t xml:space="preserve"> </w:t>
      </w:r>
      <w:r w:rsidRPr="00EF0B4B">
        <w:t>v</w:t>
      </w:r>
      <w:r w:rsidR="00E03BF4">
        <w:t>er</w:t>
      </w:r>
      <w:r w:rsidRPr="00EF0B4B">
        <w:t>s</w:t>
      </w:r>
      <w:r w:rsidR="00E03BF4">
        <w:t>us</w:t>
      </w:r>
      <w:r w:rsidRPr="00EF0B4B">
        <w:t xml:space="preserve"> </w:t>
      </w:r>
      <w:r w:rsidR="00E35C72">
        <w:t xml:space="preserve">0.0% </w:t>
      </w:r>
      <w:r w:rsidR="00E03BF4">
        <w:t>(HC)</w:t>
      </w:r>
      <w:r w:rsidRPr="00EF0B4B">
        <w:t>)</w:t>
      </w:r>
    </w:p>
    <w:p w14:paraId="47D81A1D" w14:textId="32732B13" w:rsidR="00F877A1" w:rsidRPr="00A85CA3" w:rsidRDefault="00F877A1" w:rsidP="00A4536D">
      <w:r>
        <w:t xml:space="preserve">Analysis of the primary and secondary efficacy endpoints was based on the intention to treat (ITT) population. The primary efficacy outcome was survival at </w:t>
      </w:r>
      <w:r w:rsidR="00E35C72">
        <w:t>D</w:t>
      </w:r>
      <w:r>
        <w:t>ay 100 following HSCT. The survival rate was presented using binomial estimates of Wald asymptotic confidence intervals (CIs), and propensity scores were calculated and applied according to Koch. The secondary efficacy outcomes included:</w:t>
      </w:r>
    </w:p>
    <w:p w14:paraId="486EB010" w14:textId="14B66979" w:rsidR="00F877A1" w:rsidRPr="007B4A83" w:rsidRDefault="00E03BF4" w:rsidP="00A4536D">
      <w:pPr>
        <w:pStyle w:val="ListBullet"/>
      </w:pPr>
      <w:r>
        <w:t>c</w:t>
      </w:r>
      <w:r w:rsidR="00F877A1" w:rsidRPr="007B4A83">
        <w:t xml:space="preserve">omplete response (CR) rate at </w:t>
      </w:r>
      <w:r w:rsidR="00E35C72">
        <w:t>D</w:t>
      </w:r>
      <w:r w:rsidR="00F877A1" w:rsidRPr="007B4A83">
        <w:t>ay 100 following HSCT</w:t>
      </w:r>
      <w:r w:rsidR="00E35C72">
        <w:t>;</w:t>
      </w:r>
    </w:p>
    <w:p w14:paraId="5965345F" w14:textId="2647C795" w:rsidR="00F877A1" w:rsidRPr="007B4A83" w:rsidRDefault="00E03BF4" w:rsidP="00A4536D">
      <w:pPr>
        <w:pStyle w:val="ListBullet"/>
      </w:pPr>
      <w:r>
        <w:t>s</w:t>
      </w:r>
      <w:r w:rsidR="00F877A1" w:rsidRPr="007B4A83">
        <w:t xml:space="preserve">urvival at </w:t>
      </w:r>
      <w:r w:rsidR="00E35C72">
        <w:t>D</w:t>
      </w:r>
      <w:r w:rsidR="00F877A1" w:rsidRPr="007B4A83">
        <w:t>ay 180 following HSCT</w:t>
      </w:r>
      <w:r w:rsidR="00E35C72">
        <w:t>; and</w:t>
      </w:r>
    </w:p>
    <w:p w14:paraId="1A970332" w14:textId="0B8145F4" w:rsidR="00F877A1" w:rsidRPr="007B4A83" w:rsidRDefault="00E03BF4" w:rsidP="00A4536D">
      <w:pPr>
        <w:pStyle w:val="ListBullet"/>
      </w:pPr>
      <w:proofErr w:type="gramStart"/>
      <w:r>
        <w:t>o</w:t>
      </w:r>
      <w:r w:rsidR="00F877A1" w:rsidRPr="007B4A83">
        <w:t>verall</w:t>
      </w:r>
      <w:proofErr w:type="gramEnd"/>
      <w:r w:rsidR="00F877A1" w:rsidRPr="007B4A83">
        <w:t xml:space="preserve"> survival</w:t>
      </w:r>
      <w:r w:rsidR="00F877A1">
        <w:t xml:space="preserve"> (mortality status at date of last contact)</w:t>
      </w:r>
      <w:r w:rsidR="00E35C72">
        <w:t>.</w:t>
      </w:r>
    </w:p>
    <w:p w14:paraId="2E62511C" w14:textId="088BEFD2" w:rsidR="00F877A1" w:rsidRDefault="00F877A1" w:rsidP="00A4536D">
      <w:r>
        <w:t>Complete response</w:t>
      </w:r>
      <w:r w:rsidR="00E35C72">
        <w:t xml:space="preserve"> (CR)</w:t>
      </w:r>
      <w:r>
        <w:t xml:space="preserve"> was </w:t>
      </w:r>
      <w:r w:rsidRPr="007B4A83">
        <w:t xml:space="preserve">defined as </w:t>
      </w:r>
      <w:r w:rsidR="00B864C7">
        <w:t xml:space="preserve">a </w:t>
      </w:r>
      <w:r w:rsidRPr="007B4A83">
        <w:t>bilirubin decrease to &lt;</w:t>
      </w:r>
      <w:r w:rsidR="00E03BF4">
        <w:t xml:space="preserve"> </w:t>
      </w:r>
      <w:r w:rsidRPr="007B4A83">
        <w:t>2</w:t>
      </w:r>
      <w:r w:rsidR="00E03BF4">
        <w:t xml:space="preserve"> </w:t>
      </w:r>
      <w:r w:rsidRPr="007B4A83">
        <w:t>mg/</w:t>
      </w:r>
      <w:proofErr w:type="spellStart"/>
      <w:r w:rsidRPr="007B4A83">
        <w:t>dL</w:t>
      </w:r>
      <w:proofErr w:type="spellEnd"/>
      <w:r w:rsidR="00E35C72">
        <w:t>;</w:t>
      </w:r>
      <w:r w:rsidRPr="007B4A83">
        <w:t xml:space="preserve"> hepatomegaly, if it </w:t>
      </w:r>
      <w:r>
        <w:t xml:space="preserve">developed, had returned to </w:t>
      </w:r>
      <w:r w:rsidR="00B864C7">
        <w:t>B</w:t>
      </w:r>
      <w:r>
        <w:t>aseline</w:t>
      </w:r>
      <w:r w:rsidR="00B864C7">
        <w:t>;</w:t>
      </w:r>
      <w:r w:rsidRPr="007B4A83">
        <w:t xml:space="preserve"> </w:t>
      </w:r>
      <w:r>
        <w:t>right upper quadrant (</w:t>
      </w:r>
      <w:r w:rsidRPr="007B4A83">
        <w:t>RUQ</w:t>
      </w:r>
      <w:r>
        <w:t>)</w:t>
      </w:r>
      <w:r w:rsidRPr="007B4A83">
        <w:t xml:space="preserve"> pain, if it was present, </w:t>
      </w:r>
      <w:r>
        <w:t xml:space="preserve">had </w:t>
      </w:r>
      <w:r w:rsidRPr="007B4A83">
        <w:t>resolved</w:t>
      </w:r>
      <w:r w:rsidR="00B864C7">
        <w:t>;</w:t>
      </w:r>
      <w:r w:rsidRPr="007B4A83">
        <w:t xml:space="preserve"> and multi-organ failure </w:t>
      </w:r>
      <w:r>
        <w:t xml:space="preserve">(signs and symptoms of renal and/or pulmonary dysfunction) </w:t>
      </w:r>
      <w:r w:rsidR="00B864C7">
        <w:t xml:space="preserve">having </w:t>
      </w:r>
      <w:r w:rsidRPr="007B4A83">
        <w:t>resolved. A propensi</w:t>
      </w:r>
      <w:r w:rsidR="00E03BF4">
        <w:t xml:space="preserve">ty-stratified Koch weighted two </w:t>
      </w:r>
      <w:r w:rsidRPr="007B4A83">
        <w:t xml:space="preserve">sided CI was applied to assess the difference in </w:t>
      </w:r>
      <w:r>
        <w:t xml:space="preserve">CR </w:t>
      </w:r>
      <w:r w:rsidRPr="007B4A83">
        <w:t xml:space="preserve">rates between defibrotide and </w:t>
      </w:r>
      <w:r>
        <w:t>HC</w:t>
      </w:r>
      <w:r w:rsidR="00B864C7">
        <w:t> </w:t>
      </w:r>
      <w:r w:rsidRPr="007B4A83">
        <w:t>groups.</w:t>
      </w:r>
    </w:p>
    <w:p w14:paraId="0CCE5EA4" w14:textId="2DBDD381" w:rsidR="00F877A1" w:rsidRDefault="00F877A1" w:rsidP="00A4536D">
      <w:r w:rsidRPr="005833A8">
        <w:lastRenderedPageBreak/>
        <w:t xml:space="preserve">The observed survival at </w:t>
      </w:r>
      <w:r w:rsidR="00E03BF4">
        <w:t>D</w:t>
      </w:r>
      <w:r w:rsidRPr="005833A8">
        <w:t>ay</w:t>
      </w:r>
      <w:r>
        <w:t xml:space="preserve"> </w:t>
      </w:r>
      <w:r w:rsidRPr="005833A8">
        <w:t xml:space="preserve">100 in the defibrotide group was 38.2% and </w:t>
      </w:r>
      <w:r>
        <w:t xml:space="preserve">in the HC group was </w:t>
      </w:r>
      <w:r w:rsidRPr="005833A8">
        <w:t xml:space="preserve">25.0%. </w:t>
      </w:r>
      <w:r>
        <w:t>Using the propensity-stratified and weighted estimate, the</w:t>
      </w:r>
      <w:r w:rsidRPr="005833A8">
        <w:t xml:space="preserve"> difference in survival between the groups was </w:t>
      </w:r>
      <w:r>
        <w:t xml:space="preserve">estimated to be </w:t>
      </w:r>
      <w:r w:rsidRPr="005833A8">
        <w:t>23%</w:t>
      </w:r>
      <w:r>
        <w:t xml:space="preserve"> (95.1</w:t>
      </w:r>
      <w:r w:rsidR="0008182E">
        <w:t>% CI,</w:t>
      </w:r>
      <w:r w:rsidR="00E03BF4">
        <w:t xml:space="preserve"> 5.2% to </w:t>
      </w:r>
      <w:r w:rsidRPr="005833A8">
        <w:t>40.8%</w:t>
      </w:r>
      <w:r>
        <w:t>, p</w:t>
      </w:r>
      <w:r w:rsidR="00B864C7">
        <w:t> </w:t>
      </w:r>
      <w:r>
        <w:t>=</w:t>
      </w:r>
      <w:r w:rsidR="00B864C7">
        <w:t> </w:t>
      </w:r>
      <w:r>
        <w:t>0.011</w:t>
      </w:r>
      <w:r w:rsidR="00B864C7">
        <w:t xml:space="preserve">) as shown in </w:t>
      </w:r>
      <w:r w:rsidR="00E03BF4">
        <w:fldChar w:fldCharType="begin"/>
      </w:r>
      <w:r w:rsidR="00E03BF4">
        <w:instrText xml:space="preserve"> REF _Ref54794490 \h </w:instrText>
      </w:r>
      <w:r w:rsidR="00A4536D">
        <w:instrText xml:space="preserve"> \* MERGEFORMAT </w:instrText>
      </w:r>
      <w:r w:rsidR="00E03BF4">
        <w:fldChar w:fldCharType="separate"/>
      </w:r>
      <w:r w:rsidR="00384939" w:rsidRPr="00E03BF4">
        <w:t xml:space="preserve">Table </w:t>
      </w:r>
      <w:r w:rsidR="00384939">
        <w:t>3</w:t>
      </w:r>
      <w:r w:rsidR="00E03BF4">
        <w:fldChar w:fldCharType="end"/>
      </w:r>
      <w:r w:rsidRPr="005833A8">
        <w:t>.</w:t>
      </w:r>
    </w:p>
    <w:p w14:paraId="64116748" w14:textId="4914DC59" w:rsidR="00F877A1" w:rsidRDefault="00E03BF4" w:rsidP="006D5E69">
      <w:pPr>
        <w:pStyle w:val="TableTitle"/>
        <w:keepLines/>
      </w:pPr>
      <w:bookmarkStart w:id="43" w:name="_Ref54794490"/>
      <w:bookmarkStart w:id="44" w:name="_Toc25489674"/>
      <w:r w:rsidRPr="00E03BF4">
        <w:t xml:space="preserve">Table </w:t>
      </w:r>
      <w:r w:rsidR="004C10EE">
        <w:fldChar w:fldCharType="begin"/>
      </w:r>
      <w:r w:rsidR="004C10EE">
        <w:instrText xml:space="preserve"> SEQ Table \* ARABIC </w:instrText>
      </w:r>
      <w:r w:rsidR="004C10EE">
        <w:fldChar w:fldCharType="separate"/>
      </w:r>
      <w:r w:rsidR="00384939">
        <w:rPr>
          <w:noProof/>
        </w:rPr>
        <w:t>3</w:t>
      </w:r>
      <w:r w:rsidR="004C10EE">
        <w:rPr>
          <w:noProof/>
        </w:rPr>
        <w:fldChar w:fldCharType="end"/>
      </w:r>
      <w:bookmarkEnd w:id="43"/>
      <w:r w:rsidR="0008182E">
        <w:t xml:space="preserve">: Study 2005-01 </w:t>
      </w:r>
      <w:r w:rsidR="00B864C7">
        <w:t>S</w:t>
      </w:r>
      <w:r>
        <w:t>ummary of survival r</w:t>
      </w:r>
      <w:r w:rsidR="008475CA">
        <w:t>ate at Day</w:t>
      </w:r>
      <w:r w:rsidR="0008182E">
        <w:t xml:space="preserve"> </w:t>
      </w:r>
      <w:r w:rsidR="008475CA">
        <w:t>100 post</w:t>
      </w:r>
      <w:r w:rsidR="00B864C7">
        <w:noBreakHyphen/>
      </w:r>
      <w:r w:rsidR="008475CA" w:rsidRPr="008475CA">
        <w:t>haematopoietic stem-cell transplantation</w:t>
      </w:r>
      <w:r>
        <w:t xml:space="preserve"> (intent to treat analysis s</w:t>
      </w:r>
      <w:r w:rsidR="00F877A1" w:rsidRPr="005833A8">
        <w:t>et)</w:t>
      </w:r>
      <w:bookmarkEnd w:id="44"/>
    </w:p>
    <w:tbl>
      <w:tblPr>
        <w:tblStyle w:val="TableTGAblue"/>
        <w:tblW w:w="5086" w:type="pct"/>
        <w:tblLook w:val="04A0" w:firstRow="1" w:lastRow="0" w:firstColumn="1" w:lastColumn="0" w:noHBand="0" w:noVBand="1"/>
      </w:tblPr>
      <w:tblGrid>
        <w:gridCol w:w="2805"/>
        <w:gridCol w:w="2996"/>
        <w:gridCol w:w="2829"/>
      </w:tblGrid>
      <w:tr w:rsidR="00E03BF4" w:rsidRPr="00A4536D" w14:paraId="4FCE31B7" w14:textId="77777777" w:rsidTr="00C51FA4">
        <w:trPr>
          <w:cnfStyle w:val="100000000000" w:firstRow="1" w:lastRow="0" w:firstColumn="0" w:lastColumn="0" w:oddVBand="0" w:evenVBand="0" w:oddHBand="0" w:evenHBand="0" w:firstRowFirstColumn="0" w:firstRowLastColumn="0" w:lastRowFirstColumn="0" w:lastRowLastColumn="0"/>
        </w:trPr>
        <w:tc>
          <w:tcPr>
            <w:tcW w:w="1625" w:type="pct"/>
          </w:tcPr>
          <w:p w14:paraId="0AB42DB8" w14:textId="52D0B7FC" w:rsidR="00E03BF4" w:rsidRPr="00A4536D" w:rsidRDefault="0008182E" w:rsidP="006D5E69">
            <w:pPr>
              <w:pStyle w:val="Tabletext"/>
              <w:keepLines/>
              <w:rPr>
                <w:sz w:val="20"/>
                <w:szCs w:val="20"/>
              </w:rPr>
            </w:pPr>
            <w:r>
              <w:rPr>
                <w:sz w:val="20"/>
                <w:szCs w:val="20"/>
              </w:rPr>
              <w:t>Survival rate at Day</w:t>
            </w:r>
            <w:r w:rsidR="00B864C7">
              <w:rPr>
                <w:sz w:val="20"/>
                <w:szCs w:val="20"/>
              </w:rPr>
              <w:t> </w:t>
            </w:r>
            <w:r w:rsidR="00E03BF4" w:rsidRPr="00A4536D">
              <w:rPr>
                <w:sz w:val="20"/>
                <w:szCs w:val="20"/>
              </w:rPr>
              <w:t>100 post HSCT</w:t>
            </w:r>
          </w:p>
        </w:tc>
        <w:tc>
          <w:tcPr>
            <w:tcW w:w="1736" w:type="pct"/>
          </w:tcPr>
          <w:p w14:paraId="3D4AA949" w14:textId="134B03F3" w:rsidR="00E03BF4" w:rsidRPr="00A4536D" w:rsidRDefault="00E03BF4" w:rsidP="006D5E69">
            <w:pPr>
              <w:pStyle w:val="Tabletext"/>
              <w:keepLines/>
              <w:rPr>
                <w:sz w:val="20"/>
                <w:szCs w:val="20"/>
              </w:rPr>
            </w:pPr>
            <w:r w:rsidRPr="00A4536D">
              <w:rPr>
                <w:sz w:val="20"/>
                <w:szCs w:val="20"/>
              </w:rPr>
              <w:t>Defibrotide</w:t>
            </w:r>
            <w:r w:rsidR="00B864C7">
              <w:rPr>
                <w:sz w:val="20"/>
                <w:szCs w:val="20"/>
              </w:rPr>
              <w:t xml:space="preserve"> group</w:t>
            </w:r>
            <w:r w:rsidRPr="00A4536D">
              <w:rPr>
                <w:sz w:val="20"/>
                <w:szCs w:val="20"/>
              </w:rPr>
              <w:t xml:space="preserve"> (n</w:t>
            </w:r>
            <w:r w:rsidR="00B864C7">
              <w:rPr>
                <w:sz w:val="20"/>
                <w:szCs w:val="20"/>
              </w:rPr>
              <w:t> </w:t>
            </w:r>
            <w:r w:rsidRPr="00A4536D">
              <w:rPr>
                <w:sz w:val="20"/>
                <w:szCs w:val="20"/>
              </w:rPr>
              <w:t>=</w:t>
            </w:r>
            <w:r w:rsidR="00B864C7">
              <w:rPr>
                <w:sz w:val="20"/>
                <w:szCs w:val="20"/>
              </w:rPr>
              <w:t> </w:t>
            </w:r>
            <w:r w:rsidRPr="00A4536D">
              <w:rPr>
                <w:sz w:val="20"/>
                <w:szCs w:val="20"/>
              </w:rPr>
              <w:t>102)</w:t>
            </w:r>
          </w:p>
        </w:tc>
        <w:tc>
          <w:tcPr>
            <w:tcW w:w="1639" w:type="pct"/>
          </w:tcPr>
          <w:p w14:paraId="744D2D42" w14:textId="74AFC98A" w:rsidR="00E03BF4" w:rsidRPr="00A4536D" w:rsidRDefault="00E03BF4" w:rsidP="006D5E69">
            <w:pPr>
              <w:pStyle w:val="Tabletext"/>
              <w:keepLines/>
              <w:rPr>
                <w:sz w:val="20"/>
                <w:szCs w:val="20"/>
              </w:rPr>
            </w:pPr>
            <w:r w:rsidRPr="00A4536D">
              <w:rPr>
                <w:sz w:val="20"/>
                <w:szCs w:val="20"/>
              </w:rPr>
              <w:t xml:space="preserve">Historical control </w:t>
            </w:r>
            <w:r w:rsidR="00B864C7">
              <w:rPr>
                <w:sz w:val="20"/>
                <w:szCs w:val="20"/>
              </w:rPr>
              <w:t xml:space="preserve">group </w:t>
            </w:r>
            <w:r w:rsidRPr="00A4536D">
              <w:rPr>
                <w:sz w:val="20"/>
                <w:szCs w:val="20"/>
              </w:rPr>
              <w:t>(n</w:t>
            </w:r>
            <w:r w:rsidR="00B864C7">
              <w:rPr>
                <w:sz w:val="20"/>
                <w:szCs w:val="20"/>
              </w:rPr>
              <w:t> </w:t>
            </w:r>
            <w:r w:rsidRPr="00A4536D">
              <w:rPr>
                <w:sz w:val="20"/>
                <w:szCs w:val="20"/>
              </w:rPr>
              <w:t>=</w:t>
            </w:r>
            <w:r w:rsidR="00B864C7">
              <w:rPr>
                <w:sz w:val="20"/>
                <w:szCs w:val="20"/>
              </w:rPr>
              <w:t> </w:t>
            </w:r>
            <w:r w:rsidRPr="00A4536D">
              <w:rPr>
                <w:sz w:val="20"/>
                <w:szCs w:val="20"/>
              </w:rPr>
              <w:t>32)</w:t>
            </w:r>
          </w:p>
        </w:tc>
      </w:tr>
      <w:tr w:rsidR="00E03BF4" w:rsidRPr="00A4536D" w14:paraId="5F89AC33" w14:textId="77777777" w:rsidTr="00C51FA4">
        <w:tc>
          <w:tcPr>
            <w:tcW w:w="1625" w:type="pct"/>
          </w:tcPr>
          <w:p w14:paraId="34561352" w14:textId="1137E858" w:rsidR="00E03BF4" w:rsidRPr="00A4536D" w:rsidRDefault="00E03BF4" w:rsidP="006D5E69">
            <w:pPr>
              <w:pStyle w:val="Tabletext"/>
              <w:keepNext/>
              <w:keepLines/>
              <w:rPr>
                <w:sz w:val="20"/>
                <w:szCs w:val="20"/>
              </w:rPr>
            </w:pPr>
            <w:r w:rsidRPr="00A4536D">
              <w:rPr>
                <w:sz w:val="20"/>
                <w:szCs w:val="20"/>
              </w:rPr>
              <w:t>Alive at Day 100 post HSCT; n (%)</w:t>
            </w:r>
          </w:p>
        </w:tc>
        <w:tc>
          <w:tcPr>
            <w:tcW w:w="1736" w:type="pct"/>
          </w:tcPr>
          <w:p w14:paraId="65300275" w14:textId="77777777" w:rsidR="00E03BF4" w:rsidRPr="00A4536D" w:rsidRDefault="00E03BF4" w:rsidP="006D5E69">
            <w:pPr>
              <w:pStyle w:val="Tabletext"/>
              <w:keepNext/>
              <w:keepLines/>
              <w:rPr>
                <w:sz w:val="20"/>
                <w:szCs w:val="20"/>
              </w:rPr>
            </w:pPr>
            <w:r w:rsidRPr="00A4536D">
              <w:rPr>
                <w:sz w:val="20"/>
                <w:szCs w:val="20"/>
              </w:rPr>
              <w:t>39 (38.2)</w:t>
            </w:r>
          </w:p>
        </w:tc>
        <w:tc>
          <w:tcPr>
            <w:tcW w:w="1639" w:type="pct"/>
          </w:tcPr>
          <w:p w14:paraId="7DDB4241" w14:textId="77777777" w:rsidR="00E03BF4" w:rsidRPr="00A4536D" w:rsidRDefault="00E03BF4" w:rsidP="006D5E69">
            <w:pPr>
              <w:pStyle w:val="Tabletext"/>
              <w:keepNext/>
              <w:keepLines/>
              <w:rPr>
                <w:sz w:val="20"/>
                <w:szCs w:val="20"/>
              </w:rPr>
            </w:pPr>
            <w:r w:rsidRPr="00A4536D">
              <w:rPr>
                <w:sz w:val="20"/>
                <w:szCs w:val="20"/>
              </w:rPr>
              <w:t>8 (25)</w:t>
            </w:r>
          </w:p>
        </w:tc>
      </w:tr>
      <w:tr w:rsidR="00E03BF4" w:rsidRPr="00A4536D" w14:paraId="7FF61134" w14:textId="77777777" w:rsidTr="00C51FA4">
        <w:tc>
          <w:tcPr>
            <w:tcW w:w="1625" w:type="pct"/>
          </w:tcPr>
          <w:p w14:paraId="3FA012A5" w14:textId="77777777" w:rsidR="00E03BF4" w:rsidRPr="00A4536D" w:rsidRDefault="00E03BF4" w:rsidP="006D5E69">
            <w:pPr>
              <w:pStyle w:val="Tabletext"/>
              <w:keepNext/>
              <w:keepLines/>
              <w:rPr>
                <w:sz w:val="20"/>
                <w:szCs w:val="20"/>
              </w:rPr>
            </w:pPr>
            <w:r w:rsidRPr="00A4536D">
              <w:rPr>
                <w:sz w:val="20"/>
                <w:szCs w:val="20"/>
              </w:rPr>
              <w:t xml:space="preserve">95.1% </w:t>
            </w:r>
            <w:r w:rsidR="0008182E">
              <w:rPr>
                <w:sz w:val="20"/>
                <w:szCs w:val="20"/>
              </w:rPr>
              <w:t>CI</w:t>
            </w:r>
            <w:r w:rsidRPr="00A4536D">
              <w:rPr>
                <w:sz w:val="20"/>
                <w:szCs w:val="20"/>
              </w:rPr>
              <w:t>; (%)</w:t>
            </w:r>
          </w:p>
        </w:tc>
        <w:tc>
          <w:tcPr>
            <w:tcW w:w="1736" w:type="pct"/>
          </w:tcPr>
          <w:p w14:paraId="7AF80FEA" w14:textId="77777777" w:rsidR="00E03BF4" w:rsidRPr="00A4536D" w:rsidRDefault="00E03BF4" w:rsidP="006D5E69">
            <w:pPr>
              <w:pStyle w:val="Tabletext"/>
              <w:keepNext/>
              <w:keepLines/>
              <w:rPr>
                <w:sz w:val="20"/>
                <w:szCs w:val="20"/>
              </w:rPr>
            </w:pPr>
            <w:r w:rsidRPr="00A4536D">
              <w:rPr>
                <w:sz w:val="20"/>
                <w:szCs w:val="20"/>
              </w:rPr>
              <w:t>28.8 to 47.7</w:t>
            </w:r>
          </w:p>
        </w:tc>
        <w:tc>
          <w:tcPr>
            <w:tcW w:w="1639" w:type="pct"/>
          </w:tcPr>
          <w:p w14:paraId="19878B42" w14:textId="77777777" w:rsidR="00E03BF4" w:rsidRPr="00A4536D" w:rsidRDefault="00E03BF4" w:rsidP="006D5E69">
            <w:pPr>
              <w:pStyle w:val="Tabletext"/>
              <w:keepNext/>
              <w:keepLines/>
              <w:rPr>
                <w:sz w:val="20"/>
                <w:szCs w:val="20"/>
              </w:rPr>
            </w:pPr>
            <w:r w:rsidRPr="00A4536D">
              <w:rPr>
                <w:sz w:val="20"/>
                <w:szCs w:val="20"/>
              </w:rPr>
              <w:t>9.9 to 40.1</w:t>
            </w:r>
          </w:p>
        </w:tc>
      </w:tr>
      <w:tr w:rsidR="00C32A47" w:rsidRPr="00A4536D" w14:paraId="22445DAD" w14:textId="77777777" w:rsidTr="00C51FA4">
        <w:tc>
          <w:tcPr>
            <w:tcW w:w="1625" w:type="pct"/>
          </w:tcPr>
          <w:p w14:paraId="1DFEFADE" w14:textId="3EFB5DD7" w:rsidR="00C32A47" w:rsidRPr="00A4536D" w:rsidRDefault="00C32A47" w:rsidP="00BD045C">
            <w:pPr>
              <w:pStyle w:val="Tabletext"/>
              <w:rPr>
                <w:sz w:val="20"/>
                <w:szCs w:val="20"/>
              </w:rPr>
            </w:pPr>
            <w:r w:rsidRPr="00A4536D">
              <w:rPr>
                <w:sz w:val="20"/>
                <w:szCs w:val="20"/>
              </w:rPr>
              <w:t xml:space="preserve">Difference in Rate </w:t>
            </w:r>
            <w:r w:rsidR="00B864C7">
              <w:rPr>
                <w:sz w:val="20"/>
                <w:szCs w:val="20"/>
              </w:rPr>
              <w:t>(</w:t>
            </w:r>
            <w:r w:rsidRPr="00A4536D">
              <w:rPr>
                <w:sz w:val="20"/>
                <w:szCs w:val="20"/>
              </w:rPr>
              <w:t>a</w:t>
            </w:r>
            <w:r w:rsidR="00B864C7">
              <w:rPr>
                <w:sz w:val="20"/>
                <w:szCs w:val="20"/>
              </w:rPr>
              <w:t>)</w:t>
            </w:r>
          </w:p>
        </w:tc>
        <w:tc>
          <w:tcPr>
            <w:tcW w:w="3375" w:type="pct"/>
            <w:gridSpan w:val="2"/>
          </w:tcPr>
          <w:p w14:paraId="59EADD9B" w14:textId="77777777" w:rsidR="00C32A47" w:rsidRPr="00A4536D" w:rsidRDefault="00C32A47" w:rsidP="00BD045C">
            <w:pPr>
              <w:pStyle w:val="Tabletext"/>
              <w:rPr>
                <w:sz w:val="20"/>
                <w:szCs w:val="20"/>
              </w:rPr>
            </w:pPr>
            <w:r w:rsidRPr="00A4536D">
              <w:rPr>
                <w:sz w:val="20"/>
                <w:szCs w:val="20"/>
              </w:rPr>
              <w:t>23%</w:t>
            </w:r>
          </w:p>
        </w:tc>
      </w:tr>
      <w:tr w:rsidR="00C32A47" w:rsidRPr="00A4536D" w14:paraId="0FB0EEC4" w14:textId="77777777" w:rsidTr="00C51FA4">
        <w:tc>
          <w:tcPr>
            <w:tcW w:w="1625" w:type="pct"/>
          </w:tcPr>
          <w:p w14:paraId="33CA6B93" w14:textId="77777777" w:rsidR="00C32A47" w:rsidRPr="00A4536D" w:rsidRDefault="00C32A47" w:rsidP="0008182E">
            <w:pPr>
              <w:pStyle w:val="Tabletext"/>
              <w:rPr>
                <w:sz w:val="20"/>
                <w:szCs w:val="20"/>
              </w:rPr>
            </w:pPr>
            <w:r w:rsidRPr="00A4536D">
              <w:rPr>
                <w:sz w:val="20"/>
                <w:szCs w:val="20"/>
              </w:rPr>
              <w:t xml:space="preserve">95.1% </w:t>
            </w:r>
            <w:r w:rsidR="0008182E">
              <w:rPr>
                <w:sz w:val="20"/>
                <w:szCs w:val="20"/>
              </w:rPr>
              <w:t>CI</w:t>
            </w:r>
            <w:r w:rsidRPr="00A4536D">
              <w:rPr>
                <w:sz w:val="20"/>
                <w:szCs w:val="20"/>
              </w:rPr>
              <w:t>; (%)</w:t>
            </w:r>
          </w:p>
        </w:tc>
        <w:tc>
          <w:tcPr>
            <w:tcW w:w="3375" w:type="pct"/>
            <w:gridSpan w:val="2"/>
          </w:tcPr>
          <w:p w14:paraId="778DA2F1" w14:textId="77777777" w:rsidR="00C32A47" w:rsidRPr="00A4536D" w:rsidRDefault="00C32A47" w:rsidP="00BD045C">
            <w:pPr>
              <w:pStyle w:val="Tabletext"/>
              <w:rPr>
                <w:sz w:val="20"/>
                <w:szCs w:val="20"/>
              </w:rPr>
            </w:pPr>
            <w:r w:rsidRPr="00A4536D">
              <w:rPr>
                <w:sz w:val="20"/>
                <w:szCs w:val="20"/>
              </w:rPr>
              <w:t>5</w:t>
            </w:r>
            <w:r w:rsidR="0008182E">
              <w:rPr>
                <w:sz w:val="20"/>
                <w:szCs w:val="20"/>
              </w:rPr>
              <w:t xml:space="preserve">.2 to </w:t>
            </w:r>
            <w:r w:rsidRPr="00A4536D">
              <w:rPr>
                <w:sz w:val="20"/>
                <w:szCs w:val="20"/>
              </w:rPr>
              <w:t>40.8</w:t>
            </w:r>
          </w:p>
        </w:tc>
      </w:tr>
      <w:tr w:rsidR="00C32A47" w:rsidRPr="00A4536D" w14:paraId="08C4ABEF" w14:textId="77777777" w:rsidTr="00C51FA4">
        <w:tc>
          <w:tcPr>
            <w:tcW w:w="1625" w:type="pct"/>
          </w:tcPr>
          <w:p w14:paraId="11C48862" w14:textId="77777777" w:rsidR="00C32A47" w:rsidRPr="00A4536D" w:rsidRDefault="00C32A47" w:rsidP="00BD045C">
            <w:pPr>
              <w:pStyle w:val="Tabletext"/>
              <w:rPr>
                <w:sz w:val="20"/>
                <w:szCs w:val="20"/>
              </w:rPr>
            </w:pPr>
            <w:r w:rsidRPr="00A4536D">
              <w:rPr>
                <w:sz w:val="20"/>
                <w:szCs w:val="20"/>
              </w:rPr>
              <w:t>P-value</w:t>
            </w:r>
          </w:p>
        </w:tc>
        <w:tc>
          <w:tcPr>
            <w:tcW w:w="3375" w:type="pct"/>
            <w:gridSpan w:val="2"/>
          </w:tcPr>
          <w:p w14:paraId="3BB0CD67" w14:textId="77777777" w:rsidR="00C32A47" w:rsidRPr="00A4536D" w:rsidRDefault="00C32A47" w:rsidP="00BD045C">
            <w:pPr>
              <w:pStyle w:val="Tabletext"/>
              <w:rPr>
                <w:sz w:val="20"/>
                <w:szCs w:val="20"/>
              </w:rPr>
            </w:pPr>
            <w:r w:rsidRPr="00A4536D">
              <w:rPr>
                <w:sz w:val="20"/>
                <w:szCs w:val="20"/>
              </w:rPr>
              <w:t>0.0109</w:t>
            </w:r>
          </w:p>
        </w:tc>
      </w:tr>
    </w:tbl>
    <w:p w14:paraId="7C04962F" w14:textId="7DC962A2" w:rsidR="00C32A47" w:rsidRPr="00262DEC" w:rsidRDefault="00BD1199" w:rsidP="00262DEC">
      <w:pPr>
        <w:pStyle w:val="TableDescription"/>
      </w:pPr>
      <w:r>
        <w:t>(</w:t>
      </w:r>
      <w:r w:rsidR="00C32A47" w:rsidRPr="00C51FA4">
        <w:t>a</w:t>
      </w:r>
      <w:r>
        <w:t>):</w:t>
      </w:r>
      <w:r w:rsidR="00C32A47" w:rsidRPr="00262DEC">
        <w:t xml:space="preserve"> CI weighted by propensity score quintile for membership in the defibrotide or Historical Control group.</w:t>
      </w:r>
    </w:p>
    <w:p w14:paraId="57028947" w14:textId="183072E6" w:rsidR="00C32A47" w:rsidRPr="00262DEC" w:rsidRDefault="00C32A47" w:rsidP="00262DEC">
      <w:pPr>
        <w:pStyle w:val="TableDescription"/>
      </w:pPr>
      <w:r w:rsidRPr="00262DEC">
        <w:t>Note: The pro</w:t>
      </w:r>
      <w:r w:rsidR="0008182E">
        <w:t xml:space="preserve">portion surviving 100 days and CI </w:t>
      </w:r>
      <w:r w:rsidRPr="00262DEC">
        <w:t>are calculated using binomial estimates with Wald asymptotic CIs. For the propensity stratified and weighted estimate of difference of Day</w:t>
      </w:r>
      <w:r w:rsidR="0008182E">
        <w:t xml:space="preserve"> </w:t>
      </w:r>
      <w:r w:rsidRPr="00262DEC">
        <w:t>100 survival proportions, CI and p-value are calculated using the Koch method.</w:t>
      </w:r>
    </w:p>
    <w:p w14:paraId="17593A8B" w14:textId="07F8D719" w:rsidR="00C32A47" w:rsidRDefault="00C32A47" w:rsidP="00A4536D">
      <w:r>
        <w:t>Supportive efficacy analyses for Day 100 survival included both a propensity score stratified (not weighted) estimate and an unadjusted estimate of differences in survival rates using both Kaplan-Meier esti</w:t>
      </w:r>
      <w:r w:rsidR="00262DEC">
        <w:t>mates and straight percentages (</w:t>
      </w:r>
      <w:r w:rsidR="00B864C7">
        <w:t xml:space="preserve">see </w:t>
      </w:r>
      <w:r w:rsidR="00262DEC">
        <w:fldChar w:fldCharType="begin"/>
      </w:r>
      <w:r w:rsidR="00262DEC">
        <w:instrText xml:space="preserve"> REF _Ref54795518 \h </w:instrText>
      </w:r>
      <w:r w:rsidR="00A4536D">
        <w:instrText xml:space="preserve"> \* MERGEFORMAT </w:instrText>
      </w:r>
      <w:r w:rsidR="00262DEC">
        <w:fldChar w:fldCharType="separate"/>
      </w:r>
      <w:r w:rsidR="00384939" w:rsidRPr="00262DEC">
        <w:t xml:space="preserve">Figure </w:t>
      </w:r>
      <w:r w:rsidR="00384939">
        <w:t>2</w:t>
      </w:r>
      <w:r w:rsidR="00262DEC">
        <w:fldChar w:fldCharType="end"/>
      </w:r>
      <w:r>
        <w:t>). The</w:t>
      </w:r>
      <w:r w:rsidR="00B864C7">
        <w:t> </w:t>
      </w:r>
      <w:r>
        <w:t xml:space="preserve">investigators concluded that defibrotide significantly improves survival at </w:t>
      </w:r>
      <w:r w:rsidR="00B864C7">
        <w:t>D</w:t>
      </w:r>
      <w:r>
        <w:t>ay 100.</w:t>
      </w:r>
    </w:p>
    <w:p w14:paraId="5527A07D" w14:textId="2831E2F6" w:rsidR="00C32A47" w:rsidRDefault="00C32A47" w:rsidP="00262DEC">
      <w:pPr>
        <w:pStyle w:val="FigureTitle"/>
      </w:pPr>
      <w:bookmarkStart w:id="45" w:name="_Ref54795518"/>
      <w:r w:rsidRPr="00262DEC">
        <w:t xml:space="preserve">Figure </w:t>
      </w:r>
      <w:r w:rsidR="004C10EE">
        <w:fldChar w:fldCharType="begin"/>
      </w:r>
      <w:r w:rsidR="004C10EE">
        <w:instrText xml:space="preserve"> SEQ Figure \* ARABIC </w:instrText>
      </w:r>
      <w:r w:rsidR="004C10EE">
        <w:fldChar w:fldCharType="separate"/>
      </w:r>
      <w:r w:rsidR="00384939">
        <w:rPr>
          <w:noProof/>
        </w:rPr>
        <w:t>2</w:t>
      </w:r>
      <w:r w:rsidR="004C10EE">
        <w:rPr>
          <w:noProof/>
        </w:rPr>
        <w:fldChar w:fldCharType="end"/>
      </w:r>
      <w:bookmarkEnd w:id="45"/>
      <w:r w:rsidRPr="00262DEC">
        <w:t>:</w:t>
      </w:r>
      <w:r>
        <w:t xml:space="preserve"> </w:t>
      </w:r>
      <w:r w:rsidR="00262DEC">
        <w:t xml:space="preserve">Study 2005-01 </w:t>
      </w:r>
      <w:r w:rsidR="00B864C7">
        <w:t>S</w:t>
      </w:r>
      <w:r w:rsidR="00262DEC">
        <w:t>urvival at Day</w:t>
      </w:r>
      <w:r w:rsidR="0008182E">
        <w:t xml:space="preserve"> </w:t>
      </w:r>
      <w:r w:rsidR="00262DEC">
        <w:t xml:space="preserve">100 </w:t>
      </w:r>
      <w:r w:rsidR="008475CA">
        <w:t>post</w:t>
      </w:r>
      <w:r w:rsidR="00B864C7">
        <w:t>-</w:t>
      </w:r>
      <w:r w:rsidR="008475CA" w:rsidRPr="008475CA">
        <w:t>haematopoietic stem-cell transplantation</w:t>
      </w:r>
      <w:r w:rsidR="008475CA">
        <w:t xml:space="preserve"> </w:t>
      </w:r>
      <w:r w:rsidR="00262DEC">
        <w:t>(intent to treat analysis s</w:t>
      </w:r>
      <w:r w:rsidR="00262DEC" w:rsidRPr="00EA078C">
        <w:t>et)</w:t>
      </w:r>
    </w:p>
    <w:p w14:paraId="6C44CBE0" w14:textId="77777777" w:rsidR="00F877A1" w:rsidRDefault="00C32A47" w:rsidP="00F877A1">
      <w:r w:rsidRPr="00EA078C">
        <w:rPr>
          <w:noProof/>
          <w:lang w:eastAsia="en-AU"/>
        </w:rPr>
        <w:drawing>
          <wp:inline distT="0" distB="0" distL="0" distR="0" wp14:anchorId="6679303B" wp14:editId="523C47C9">
            <wp:extent cx="5274259" cy="2776718"/>
            <wp:effectExtent l="19050" t="19050" r="22225" b="24130"/>
            <wp:docPr id="26" name="Picture 26" descr="Study 2005-01, survival at Day+100 post-HSCT (intent to treat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83897" cy="2781792"/>
                    </a:xfrm>
                    <a:prstGeom prst="rect">
                      <a:avLst/>
                    </a:prstGeom>
                    <a:noFill/>
                    <a:ln>
                      <a:solidFill>
                        <a:schemeClr val="accent1"/>
                      </a:solidFill>
                    </a:ln>
                  </pic:spPr>
                </pic:pic>
              </a:graphicData>
            </a:graphic>
          </wp:inline>
        </w:drawing>
      </w:r>
    </w:p>
    <w:p w14:paraId="264E42DE" w14:textId="77777777" w:rsidR="00262DEC" w:rsidRPr="001821DC" w:rsidRDefault="00262DEC" w:rsidP="00262DEC">
      <w:pPr>
        <w:pStyle w:val="TableDescription"/>
      </w:pPr>
      <w:r w:rsidRPr="001821DC">
        <w:t>Defibrotide: Failed</w:t>
      </w:r>
      <w:r w:rsidR="00621612">
        <w:t xml:space="preserve"> </w:t>
      </w:r>
      <w:r w:rsidRPr="001821DC">
        <w:t>=</w:t>
      </w:r>
      <w:r w:rsidR="00621612">
        <w:t xml:space="preserve"> </w:t>
      </w:r>
      <w:r w:rsidRPr="001821DC">
        <w:t>63 (61.8%), Censored</w:t>
      </w:r>
      <w:r w:rsidR="00621612">
        <w:t xml:space="preserve"> </w:t>
      </w:r>
      <w:r w:rsidRPr="001821DC">
        <w:t>=</w:t>
      </w:r>
      <w:r w:rsidR="00621612">
        <w:t xml:space="preserve"> </w:t>
      </w:r>
      <w:r w:rsidRPr="001821DC">
        <w:t>39 (38.2%) and Historical Control: Failed</w:t>
      </w:r>
      <w:r w:rsidR="00621612">
        <w:t xml:space="preserve"> </w:t>
      </w:r>
      <w:r w:rsidRPr="001821DC">
        <w:t>=</w:t>
      </w:r>
      <w:r w:rsidR="00621612">
        <w:t xml:space="preserve"> </w:t>
      </w:r>
      <w:r w:rsidRPr="001821DC">
        <w:t>24 (75.0%), Censored</w:t>
      </w:r>
      <w:r w:rsidR="00621612">
        <w:t xml:space="preserve"> </w:t>
      </w:r>
      <w:r w:rsidRPr="001821DC">
        <w:t>=</w:t>
      </w:r>
      <w:r w:rsidR="00621612">
        <w:t xml:space="preserve"> </w:t>
      </w:r>
      <w:r w:rsidRPr="001821DC">
        <w:t>8 (25.0%)</w:t>
      </w:r>
    </w:p>
    <w:p w14:paraId="2368071B" w14:textId="77777777" w:rsidR="00262DEC" w:rsidRDefault="00262DEC" w:rsidP="00262DEC">
      <w:pPr>
        <w:pStyle w:val="TableDescription"/>
        <w:tabs>
          <w:tab w:val="right" w:pos="8504"/>
        </w:tabs>
      </w:pPr>
      <w:r w:rsidRPr="001821DC">
        <w:t>Note: Number at risk shown in first line for defibrotide and in seco</w:t>
      </w:r>
      <w:r>
        <w:t>nd line for Historical Control.</w:t>
      </w:r>
    </w:p>
    <w:p w14:paraId="68E56315" w14:textId="4E38F275" w:rsidR="00262DEC" w:rsidRDefault="00262DEC" w:rsidP="00262DEC">
      <w:r>
        <w:lastRenderedPageBreak/>
        <w:t xml:space="preserve">In the defibrotide group, CR rate at Day 100 </w:t>
      </w:r>
      <w:r w:rsidRPr="0003119B">
        <w:t xml:space="preserve">was 25.5% </w:t>
      </w:r>
      <w:r>
        <w:t>and in the HC group was 12.5%</w:t>
      </w:r>
      <w:r w:rsidRPr="0003119B">
        <w:t xml:space="preserve">. The Koch adjusted estimate of the differences in CR rates was 19% </w:t>
      </w:r>
      <w:r w:rsidR="0008182E">
        <w:t>(95.1%</w:t>
      </w:r>
      <w:r>
        <w:t xml:space="preserve"> CI</w:t>
      </w:r>
      <w:r w:rsidR="0008182E">
        <w:t>,</w:t>
      </w:r>
      <w:r>
        <w:t xml:space="preserve"> 3.5 to </w:t>
      </w:r>
      <w:r w:rsidRPr="0003119B">
        <w:t>34.6</w:t>
      </w:r>
      <w:r>
        <w:t>, p = 0.016</w:t>
      </w:r>
      <w:r w:rsidR="00B864C7">
        <w:t>) as shown in</w:t>
      </w:r>
      <w:r w:rsidR="008475CA">
        <w:t xml:space="preserve"> </w:t>
      </w:r>
      <w:r w:rsidR="008475CA">
        <w:fldChar w:fldCharType="begin"/>
      </w:r>
      <w:r w:rsidR="008475CA">
        <w:instrText xml:space="preserve"> REF _Ref54796262 \h </w:instrText>
      </w:r>
      <w:r w:rsidR="008475CA">
        <w:fldChar w:fldCharType="separate"/>
      </w:r>
      <w:r w:rsidR="00384939" w:rsidRPr="008475CA">
        <w:t xml:space="preserve">Table </w:t>
      </w:r>
      <w:r w:rsidR="00384939">
        <w:rPr>
          <w:noProof/>
        </w:rPr>
        <w:t>4</w:t>
      </w:r>
      <w:r w:rsidR="008475CA">
        <w:fldChar w:fldCharType="end"/>
      </w:r>
      <w:r w:rsidR="008475CA">
        <w:t>.</w:t>
      </w:r>
    </w:p>
    <w:p w14:paraId="43171962" w14:textId="3028A87F" w:rsidR="008475CA" w:rsidRDefault="008475CA" w:rsidP="008475CA">
      <w:pPr>
        <w:pStyle w:val="TableTitle"/>
      </w:pPr>
      <w:bookmarkStart w:id="46" w:name="_Ref54796262"/>
      <w:r w:rsidRPr="008475CA">
        <w:t xml:space="preserve">Table </w:t>
      </w:r>
      <w:r w:rsidR="004C10EE">
        <w:fldChar w:fldCharType="begin"/>
      </w:r>
      <w:r w:rsidR="004C10EE">
        <w:instrText xml:space="preserve"> SEQ Table \* ARABIC </w:instrText>
      </w:r>
      <w:r w:rsidR="004C10EE">
        <w:fldChar w:fldCharType="separate"/>
      </w:r>
      <w:r w:rsidR="00384939">
        <w:rPr>
          <w:noProof/>
        </w:rPr>
        <w:t>4</w:t>
      </w:r>
      <w:r w:rsidR="004C10EE">
        <w:rPr>
          <w:noProof/>
        </w:rPr>
        <w:fldChar w:fldCharType="end"/>
      </w:r>
      <w:bookmarkEnd w:id="46"/>
      <w:r w:rsidR="0008182E">
        <w:t>: Study 2005-01</w:t>
      </w:r>
      <w:r w:rsidR="00B864C7">
        <w:t xml:space="preserve"> S</w:t>
      </w:r>
      <w:r>
        <w:t>ummary of complete r</w:t>
      </w:r>
      <w:r w:rsidRPr="008475CA">
        <w:t>espo</w:t>
      </w:r>
      <w:r>
        <w:t>nse rate by Day</w:t>
      </w:r>
      <w:r w:rsidR="0008182E">
        <w:t xml:space="preserve"> </w:t>
      </w:r>
      <w:r>
        <w:t>100 post</w:t>
      </w:r>
      <w:r w:rsidR="00B864C7">
        <w:noBreakHyphen/>
      </w:r>
      <w:r w:rsidRPr="008475CA">
        <w:t>haematopoietic stem-cell transplantation</w:t>
      </w:r>
      <w:r>
        <w:t xml:space="preserve"> (intent to treat analysis s</w:t>
      </w:r>
      <w:r w:rsidRPr="008475CA">
        <w:t>et)</w:t>
      </w:r>
    </w:p>
    <w:tbl>
      <w:tblPr>
        <w:tblStyle w:val="TableTGAblue"/>
        <w:tblW w:w="5139" w:type="pct"/>
        <w:tblLook w:val="04A0" w:firstRow="1" w:lastRow="0" w:firstColumn="1" w:lastColumn="0" w:noHBand="0" w:noVBand="1"/>
      </w:tblPr>
      <w:tblGrid>
        <w:gridCol w:w="3002"/>
        <w:gridCol w:w="2654"/>
        <w:gridCol w:w="3064"/>
      </w:tblGrid>
      <w:tr w:rsidR="00262DEC" w:rsidRPr="00A4536D" w14:paraId="7F05D8C4" w14:textId="77777777" w:rsidTr="00C51FA4">
        <w:trPr>
          <w:cnfStyle w:val="100000000000" w:firstRow="1" w:lastRow="0" w:firstColumn="0" w:lastColumn="0" w:oddVBand="0" w:evenVBand="0" w:oddHBand="0" w:evenHBand="0" w:firstRowFirstColumn="0" w:firstRowLastColumn="0" w:lastRowFirstColumn="0" w:lastRowLastColumn="0"/>
        </w:trPr>
        <w:tc>
          <w:tcPr>
            <w:tcW w:w="1721" w:type="pct"/>
          </w:tcPr>
          <w:p w14:paraId="6835AEFF" w14:textId="3961E2A4" w:rsidR="00262DEC" w:rsidRPr="00A4536D" w:rsidRDefault="00262DEC" w:rsidP="00BD045C">
            <w:pPr>
              <w:pStyle w:val="Tabletext"/>
              <w:rPr>
                <w:sz w:val="20"/>
                <w:szCs w:val="20"/>
              </w:rPr>
            </w:pPr>
            <w:r w:rsidRPr="00A4536D">
              <w:rPr>
                <w:sz w:val="20"/>
                <w:szCs w:val="20"/>
              </w:rPr>
              <w:t>Complete Response Rate by Day</w:t>
            </w:r>
            <w:r w:rsidR="0008182E">
              <w:rPr>
                <w:sz w:val="20"/>
                <w:szCs w:val="20"/>
              </w:rPr>
              <w:t xml:space="preserve"> </w:t>
            </w:r>
            <w:r w:rsidRPr="00A4536D">
              <w:rPr>
                <w:sz w:val="20"/>
                <w:szCs w:val="20"/>
              </w:rPr>
              <w:t>100 Post-HSCT</w:t>
            </w:r>
          </w:p>
        </w:tc>
        <w:tc>
          <w:tcPr>
            <w:tcW w:w="1522" w:type="pct"/>
          </w:tcPr>
          <w:p w14:paraId="6E876A24" w14:textId="71950A8A" w:rsidR="00262DEC" w:rsidRPr="00A4536D" w:rsidRDefault="00262DEC" w:rsidP="00BD045C">
            <w:pPr>
              <w:pStyle w:val="Tabletext"/>
              <w:rPr>
                <w:sz w:val="20"/>
                <w:szCs w:val="20"/>
              </w:rPr>
            </w:pPr>
            <w:r w:rsidRPr="00A4536D">
              <w:rPr>
                <w:sz w:val="20"/>
                <w:szCs w:val="20"/>
              </w:rPr>
              <w:t xml:space="preserve">Defibrotide </w:t>
            </w:r>
            <w:r w:rsidR="00B864C7">
              <w:rPr>
                <w:sz w:val="20"/>
                <w:szCs w:val="20"/>
              </w:rPr>
              <w:t xml:space="preserve">group </w:t>
            </w:r>
            <w:r w:rsidRPr="00A4536D">
              <w:rPr>
                <w:sz w:val="20"/>
                <w:szCs w:val="20"/>
              </w:rPr>
              <w:t>(n</w:t>
            </w:r>
            <w:r w:rsidR="00B864C7">
              <w:rPr>
                <w:sz w:val="20"/>
                <w:szCs w:val="20"/>
              </w:rPr>
              <w:t> </w:t>
            </w:r>
            <w:r w:rsidRPr="00A4536D">
              <w:rPr>
                <w:sz w:val="20"/>
                <w:szCs w:val="20"/>
              </w:rPr>
              <w:t>= 102)</w:t>
            </w:r>
          </w:p>
        </w:tc>
        <w:tc>
          <w:tcPr>
            <w:tcW w:w="1757" w:type="pct"/>
          </w:tcPr>
          <w:p w14:paraId="5BFFCA6F" w14:textId="7ECB3430" w:rsidR="00262DEC" w:rsidRPr="00A4536D" w:rsidRDefault="00262DEC" w:rsidP="00BD045C">
            <w:pPr>
              <w:pStyle w:val="Tabletext"/>
              <w:rPr>
                <w:sz w:val="20"/>
                <w:szCs w:val="20"/>
              </w:rPr>
            </w:pPr>
            <w:r w:rsidRPr="00A4536D">
              <w:rPr>
                <w:sz w:val="20"/>
                <w:szCs w:val="20"/>
              </w:rPr>
              <w:t xml:space="preserve">Historical control </w:t>
            </w:r>
            <w:r w:rsidR="00B864C7">
              <w:rPr>
                <w:sz w:val="20"/>
                <w:szCs w:val="20"/>
              </w:rPr>
              <w:t xml:space="preserve">group </w:t>
            </w:r>
            <w:r w:rsidRPr="00A4536D">
              <w:rPr>
                <w:sz w:val="20"/>
                <w:szCs w:val="20"/>
              </w:rPr>
              <w:t>(n</w:t>
            </w:r>
            <w:r w:rsidR="00B864C7">
              <w:rPr>
                <w:sz w:val="20"/>
                <w:szCs w:val="20"/>
              </w:rPr>
              <w:t> </w:t>
            </w:r>
            <w:r w:rsidRPr="00A4536D">
              <w:rPr>
                <w:sz w:val="20"/>
                <w:szCs w:val="20"/>
              </w:rPr>
              <w:t>=</w:t>
            </w:r>
            <w:r w:rsidR="00B864C7">
              <w:rPr>
                <w:sz w:val="20"/>
                <w:szCs w:val="20"/>
              </w:rPr>
              <w:t> </w:t>
            </w:r>
            <w:r w:rsidRPr="00A4536D">
              <w:rPr>
                <w:sz w:val="20"/>
                <w:szCs w:val="20"/>
              </w:rPr>
              <w:t>32)</w:t>
            </w:r>
          </w:p>
        </w:tc>
      </w:tr>
      <w:tr w:rsidR="00262DEC" w:rsidRPr="00A4536D" w14:paraId="7A11D659" w14:textId="77777777" w:rsidTr="00C51FA4">
        <w:tc>
          <w:tcPr>
            <w:tcW w:w="1721" w:type="pct"/>
          </w:tcPr>
          <w:p w14:paraId="1E59CC3E" w14:textId="690A182B" w:rsidR="00262DEC" w:rsidRPr="00A4536D" w:rsidRDefault="00262DEC" w:rsidP="00BD045C">
            <w:pPr>
              <w:pStyle w:val="Tabletext"/>
              <w:rPr>
                <w:sz w:val="20"/>
                <w:szCs w:val="20"/>
              </w:rPr>
            </w:pPr>
            <w:r w:rsidRPr="00A4536D">
              <w:rPr>
                <w:sz w:val="20"/>
                <w:szCs w:val="20"/>
              </w:rPr>
              <w:t>Complete response by Day</w:t>
            </w:r>
            <w:r w:rsidR="00B864C7">
              <w:rPr>
                <w:sz w:val="20"/>
                <w:szCs w:val="20"/>
              </w:rPr>
              <w:t> </w:t>
            </w:r>
            <w:r w:rsidRPr="00A4536D">
              <w:rPr>
                <w:sz w:val="20"/>
                <w:szCs w:val="20"/>
              </w:rPr>
              <w:t>100 post-HSCT; n (%)</w:t>
            </w:r>
          </w:p>
        </w:tc>
        <w:tc>
          <w:tcPr>
            <w:tcW w:w="1522" w:type="pct"/>
          </w:tcPr>
          <w:p w14:paraId="75FD35DF" w14:textId="77777777" w:rsidR="00262DEC" w:rsidRPr="00A4536D" w:rsidRDefault="00262DEC" w:rsidP="00BD045C">
            <w:pPr>
              <w:pStyle w:val="Tabletext"/>
              <w:rPr>
                <w:sz w:val="20"/>
                <w:szCs w:val="20"/>
              </w:rPr>
            </w:pPr>
            <w:r w:rsidRPr="00A4536D">
              <w:rPr>
                <w:sz w:val="20"/>
                <w:szCs w:val="20"/>
              </w:rPr>
              <w:t>26 (25.5)</w:t>
            </w:r>
          </w:p>
        </w:tc>
        <w:tc>
          <w:tcPr>
            <w:tcW w:w="1757" w:type="pct"/>
          </w:tcPr>
          <w:p w14:paraId="0E089391" w14:textId="77777777" w:rsidR="00262DEC" w:rsidRPr="00A4536D" w:rsidRDefault="00262DEC" w:rsidP="00BD045C">
            <w:pPr>
              <w:pStyle w:val="Tabletext"/>
              <w:rPr>
                <w:sz w:val="20"/>
                <w:szCs w:val="20"/>
              </w:rPr>
            </w:pPr>
            <w:r w:rsidRPr="00A4536D">
              <w:rPr>
                <w:sz w:val="20"/>
                <w:szCs w:val="20"/>
              </w:rPr>
              <w:t>4 (12.5)</w:t>
            </w:r>
          </w:p>
        </w:tc>
      </w:tr>
      <w:tr w:rsidR="00262DEC" w:rsidRPr="00A4536D" w14:paraId="1CA04E3A" w14:textId="77777777" w:rsidTr="00C51FA4">
        <w:tc>
          <w:tcPr>
            <w:tcW w:w="1721" w:type="pct"/>
          </w:tcPr>
          <w:p w14:paraId="195908C6" w14:textId="77777777" w:rsidR="00262DEC" w:rsidRPr="00A4536D" w:rsidRDefault="00262DEC" w:rsidP="0008182E">
            <w:pPr>
              <w:pStyle w:val="Tabletext"/>
              <w:rPr>
                <w:sz w:val="20"/>
                <w:szCs w:val="20"/>
              </w:rPr>
            </w:pPr>
            <w:r w:rsidRPr="00A4536D">
              <w:rPr>
                <w:sz w:val="20"/>
                <w:szCs w:val="20"/>
              </w:rPr>
              <w:t xml:space="preserve">95.1% </w:t>
            </w:r>
            <w:r w:rsidR="0008182E">
              <w:rPr>
                <w:sz w:val="20"/>
                <w:szCs w:val="20"/>
              </w:rPr>
              <w:t>CI</w:t>
            </w:r>
            <w:r w:rsidRPr="00A4536D">
              <w:rPr>
                <w:sz w:val="20"/>
                <w:szCs w:val="20"/>
              </w:rPr>
              <w:t>; (%)</w:t>
            </w:r>
          </w:p>
        </w:tc>
        <w:tc>
          <w:tcPr>
            <w:tcW w:w="1522" w:type="pct"/>
          </w:tcPr>
          <w:p w14:paraId="07B251E6" w14:textId="77777777" w:rsidR="00262DEC" w:rsidRPr="00A4536D" w:rsidRDefault="00262DEC" w:rsidP="00BD045C">
            <w:pPr>
              <w:pStyle w:val="Tabletext"/>
              <w:rPr>
                <w:sz w:val="20"/>
                <w:szCs w:val="20"/>
              </w:rPr>
            </w:pPr>
            <w:r w:rsidRPr="00A4536D">
              <w:rPr>
                <w:sz w:val="20"/>
                <w:szCs w:val="20"/>
              </w:rPr>
              <w:t>1</w:t>
            </w:r>
            <w:r w:rsidR="0008182E">
              <w:rPr>
                <w:sz w:val="20"/>
                <w:szCs w:val="20"/>
              </w:rPr>
              <w:t>7.0 to</w:t>
            </w:r>
            <w:r w:rsidRPr="00A4536D">
              <w:rPr>
                <w:sz w:val="20"/>
                <w:szCs w:val="20"/>
              </w:rPr>
              <w:t xml:space="preserve"> 34.0</w:t>
            </w:r>
          </w:p>
        </w:tc>
        <w:tc>
          <w:tcPr>
            <w:tcW w:w="1757" w:type="pct"/>
          </w:tcPr>
          <w:p w14:paraId="5EFCA059" w14:textId="77777777" w:rsidR="00262DEC" w:rsidRPr="00A4536D" w:rsidRDefault="0008182E" w:rsidP="00BD045C">
            <w:pPr>
              <w:pStyle w:val="Tabletext"/>
              <w:rPr>
                <w:sz w:val="20"/>
                <w:szCs w:val="20"/>
              </w:rPr>
            </w:pPr>
            <w:r>
              <w:rPr>
                <w:sz w:val="20"/>
                <w:szCs w:val="20"/>
              </w:rPr>
              <w:t>1.0 to</w:t>
            </w:r>
            <w:r w:rsidR="00262DEC" w:rsidRPr="00A4536D">
              <w:rPr>
                <w:sz w:val="20"/>
                <w:szCs w:val="20"/>
              </w:rPr>
              <w:t xml:space="preserve"> 24.0</w:t>
            </w:r>
          </w:p>
        </w:tc>
      </w:tr>
      <w:tr w:rsidR="00262DEC" w:rsidRPr="00A4536D" w14:paraId="7275072F" w14:textId="77777777" w:rsidTr="00C51FA4">
        <w:tc>
          <w:tcPr>
            <w:tcW w:w="1721" w:type="pct"/>
          </w:tcPr>
          <w:p w14:paraId="4CE5BD05" w14:textId="6C8E330E" w:rsidR="00262DEC" w:rsidRPr="00A4536D" w:rsidRDefault="00262DEC" w:rsidP="00BD045C">
            <w:pPr>
              <w:pStyle w:val="Tabletext"/>
              <w:rPr>
                <w:sz w:val="20"/>
                <w:szCs w:val="20"/>
              </w:rPr>
            </w:pPr>
            <w:r w:rsidRPr="00A4536D">
              <w:rPr>
                <w:sz w:val="20"/>
                <w:szCs w:val="20"/>
              </w:rPr>
              <w:t xml:space="preserve">Difference in Rate </w:t>
            </w:r>
            <w:r w:rsidR="00B864C7">
              <w:rPr>
                <w:sz w:val="20"/>
                <w:szCs w:val="20"/>
              </w:rPr>
              <w:t>(</w:t>
            </w:r>
            <w:r w:rsidRPr="00A4536D">
              <w:rPr>
                <w:sz w:val="20"/>
                <w:szCs w:val="20"/>
              </w:rPr>
              <w:t>a</w:t>
            </w:r>
            <w:r w:rsidR="00B864C7">
              <w:rPr>
                <w:sz w:val="20"/>
                <w:szCs w:val="20"/>
              </w:rPr>
              <w:t>)</w:t>
            </w:r>
          </w:p>
        </w:tc>
        <w:tc>
          <w:tcPr>
            <w:tcW w:w="3279" w:type="pct"/>
            <w:gridSpan w:val="2"/>
          </w:tcPr>
          <w:p w14:paraId="24913A44" w14:textId="77777777" w:rsidR="00262DEC" w:rsidRPr="00A4536D" w:rsidRDefault="00262DEC" w:rsidP="00BD045C">
            <w:pPr>
              <w:pStyle w:val="Tabletext"/>
              <w:rPr>
                <w:sz w:val="20"/>
                <w:szCs w:val="20"/>
              </w:rPr>
            </w:pPr>
            <w:r w:rsidRPr="00A4536D">
              <w:rPr>
                <w:sz w:val="20"/>
                <w:szCs w:val="20"/>
              </w:rPr>
              <w:t>19%</w:t>
            </w:r>
          </w:p>
        </w:tc>
      </w:tr>
      <w:tr w:rsidR="00262DEC" w:rsidRPr="00A4536D" w14:paraId="6F61F865" w14:textId="77777777" w:rsidTr="00C51FA4">
        <w:tc>
          <w:tcPr>
            <w:tcW w:w="1721" w:type="pct"/>
          </w:tcPr>
          <w:p w14:paraId="0EA19707" w14:textId="77777777" w:rsidR="00262DEC" w:rsidRPr="00A4536D" w:rsidRDefault="00262DEC" w:rsidP="0008182E">
            <w:pPr>
              <w:pStyle w:val="Tabletext"/>
              <w:rPr>
                <w:sz w:val="20"/>
                <w:szCs w:val="20"/>
              </w:rPr>
            </w:pPr>
            <w:r w:rsidRPr="00A4536D">
              <w:rPr>
                <w:sz w:val="20"/>
                <w:szCs w:val="20"/>
              </w:rPr>
              <w:t xml:space="preserve">95.1% </w:t>
            </w:r>
            <w:r w:rsidR="0008182E">
              <w:rPr>
                <w:sz w:val="20"/>
                <w:szCs w:val="20"/>
              </w:rPr>
              <w:t>CI</w:t>
            </w:r>
            <w:r w:rsidRPr="00A4536D">
              <w:rPr>
                <w:sz w:val="20"/>
                <w:szCs w:val="20"/>
              </w:rPr>
              <w:t>; (%)</w:t>
            </w:r>
          </w:p>
        </w:tc>
        <w:tc>
          <w:tcPr>
            <w:tcW w:w="3279" w:type="pct"/>
            <w:gridSpan w:val="2"/>
          </w:tcPr>
          <w:p w14:paraId="682BB23F" w14:textId="77777777" w:rsidR="00262DEC" w:rsidRPr="00A4536D" w:rsidRDefault="0008182E" w:rsidP="00BD045C">
            <w:pPr>
              <w:pStyle w:val="Tabletext"/>
              <w:rPr>
                <w:sz w:val="20"/>
                <w:szCs w:val="20"/>
              </w:rPr>
            </w:pPr>
            <w:r>
              <w:rPr>
                <w:sz w:val="20"/>
                <w:szCs w:val="20"/>
              </w:rPr>
              <w:t>3.5 to</w:t>
            </w:r>
            <w:r w:rsidR="00262DEC" w:rsidRPr="00A4536D">
              <w:rPr>
                <w:sz w:val="20"/>
                <w:szCs w:val="20"/>
              </w:rPr>
              <w:t xml:space="preserve"> 34.6</w:t>
            </w:r>
          </w:p>
        </w:tc>
      </w:tr>
      <w:tr w:rsidR="00262DEC" w:rsidRPr="00A4536D" w14:paraId="19348D0B" w14:textId="77777777" w:rsidTr="00C51FA4">
        <w:tc>
          <w:tcPr>
            <w:tcW w:w="1721" w:type="pct"/>
          </w:tcPr>
          <w:p w14:paraId="1C832EE8" w14:textId="77777777" w:rsidR="00262DEC" w:rsidRPr="00A4536D" w:rsidRDefault="00262DEC" w:rsidP="00BD045C">
            <w:pPr>
              <w:pStyle w:val="Tabletext"/>
              <w:rPr>
                <w:sz w:val="20"/>
                <w:szCs w:val="20"/>
              </w:rPr>
            </w:pPr>
            <w:r w:rsidRPr="00A4536D">
              <w:rPr>
                <w:sz w:val="20"/>
                <w:szCs w:val="20"/>
              </w:rPr>
              <w:t>p-value</w:t>
            </w:r>
          </w:p>
        </w:tc>
        <w:tc>
          <w:tcPr>
            <w:tcW w:w="3279" w:type="pct"/>
            <w:gridSpan w:val="2"/>
          </w:tcPr>
          <w:p w14:paraId="6FAB49A1" w14:textId="77777777" w:rsidR="00262DEC" w:rsidRPr="00A4536D" w:rsidRDefault="00262DEC" w:rsidP="00BD045C">
            <w:pPr>
              <w:pStyle w:val="Tabletext"/>
              <w:rPr>
                <w:sz w:val="20"/>
                <w:szCs w:val="20"/>
              </w:rPr>
            </w:pPr>
            <w:r w:rsidRPr="00A4536D">
              <w:rPr>
                <w:sz w:val="20"/>
                <w:szCs w:val="20"/>
              </w:rPr>
              <w:t>0.0160</w:t>
            </w:r>
          </w:p>
        </w:tc>
      </w:tr>
    </w:tbl>
    <w:p w14:paraId="101393AD" w14:textId="58DE9007" w:rsidR="00262DEC" w:rsidRPr="0092121C" w:rsidRDefault="00B864C7" w:rsidP="00262DEC">
      <w:pPr>
        <w:pStyle w:val="TableDescription"/>
      </w:pPr>
      <w:r>
        <w:t>(</w:t>
      </w:r>
      <w:r w:rsidR="00262DEC" w:rsidRPr="0092121C">
        <w:t>a</w:t>
      </w:r>
      <w:r>
        <w:t>)</w:t>
      </w:r>
      <w:r w:rsidR="00BD1199">
        <w:t>:</w:t>
      </w:r>
      <w:r w:rsidR="00262DEC" w:rsidRPr="0092121C">
        <w:t xml:space="preserve"> CI weighted by propensity score quintile for membership</w:t>
      </w:r>
      <w:r w:rsidR="00A24B4D">
        <w:t xml:space="preserve"> in the defibrotide or historical control a</w:t>
      </w:r>
      <w:r w:rsidR="00262DEC" w:rsidRPr="0092121C">
        <w:t>rm.</w:t>
      </w:r>
    </w:p>
    <w:p w14:paraId="5A14FB8F" w14:textId="77777777" w:rsidR="00262DEC" w:rsidRPr="0092121C" w:rsidRDefault="00262DEC" w:rsidP="00262DEC">
      <w:pPr>
        <w:pStyle w:val="TableDescription"/>
      </w:pPr>
      <w:r w:rsidRPr="0092121C">
        <w:t>Note: The proportion of complete response by 100 days and CIs are calculated using binomial estimates with</w:t>
      </w:r>
      <w:r>
        <w:t xml:space="preserve"> </w:t>
      </w:r>
      <w:r w:rsidRPr="0092121C">
        <w:t xml:space="preserve">Wald </w:t>
      </w:r>
      <w:proofErr w:type="spellStart"/>
      <w:r w:rsidRPr="0092121C">
        <w:t>asymtptotic</w:t>
      </w:r>
      <w:proofErr w:type="spellEnd"/>
      <w:r w:rsidRPr="0092121C">
        <w:t xml:space="preserve"> CIs. For the propensity stratified and weighted estimate of difference of Day</w:t>
      </w:r>
      <w:r w:rsidR="0008182E">
        <w:t xml:space="preserve"> </w:t>
      </w:r>
      <w:r w:rsidRPr="0092121C">
        <w:t>+</w:t>
      </w:r>
      <w:r w:rsidR="0008182E">
        <w:t xml:space="preserve"> </w:t>
      </w:r>
      <w:r w:rsidRPr="0092121C">
        <w:t>100 complete</w:t>
      </w:r>
      <w:r>
        <w:t xml:space="preserve"> </w:t>
      </w:r>
      <w:r w:rsidRPr="0092121C">
        <w:t>response proportions, CI and p-value are calculated using the Koch method.</w:t>
      </w:r>
    </w:p>
    <w:p w14:paraId="72038120" w14:textId="09AED191" w:rsidR="008475CA" w:rsidRDefault="008475CA" w:rsidP="008475CA">
      <w:r>
        <w:t>While there was a trend toward increased survival</w:t>
      </w:r>
      <w:r w:rsidRPr="0092121C">
        <w:t xml:space="preserve"> at </w:t>
      </w:r>
      <w:r w:rsidR="0008182E">
        <w:t>D</w:t>
      </w:r>
      <w:r>
        <w:t xml:space="preserve">ay </w:t>
      </w:r>
      <w:r w:rsidRPr="0092121C">
        <w:t xml:space="preserve">180 in the defibrotide group </w:t>
      </w:r>
      <w:r>
        <w:t>over the HC group, this was not statistically significant (</w:t>
      </w:r>
      <w:r w:rsidR="00BD1199">
        <w:t xml:space="preserve">see </w:t>
      </w:r>
      <w:r w:rsidR="00F562FB">
        <w:fldChar w:fldCharType="begin"/>
      </w:r>
      <w:r w:rsidR="00F562FB">
        <w:instrText xml:space="preserve"> REF _Ref54796565 \h </w:instrText>
      </w:r>
      <w:r w:rsidR="00F562FB">
        <w:fldChar w:fldCharType="separate"/>
      </w:r>
      <w:r w:rsidR="00384939">
        <w:t xml:space="preserve">Table </w:t>
      </w:r>
      <w:r w:rsidR="00384939">
        <w:rPr>
          <w:noProof/>
        </w:rPr>
        <w:t>5</w:t>
      </w:r>
      <w:r w:rsidR="00F562FB">
        <w:fldChar w:fldCharType="end"/>
      </w:r>
      <w:r>
        <w:t>).</w:t>
      </w:r>
    </w:p>
    <w:p w14:paraId="0B7DA336" w14:textId="3957210E" w:rsidR="00262DEC" w:rsidRDefault="008475CA" w:rsidP="008475CA">
      <w:pPr>
        <w:pStyle w:val="TableTitle"/>
      </w:pPr>
      <w:bookmarkStart w:id="47" w:name="_Ref54796565"/>
      <w:r>
        <w:t xml:space="preserve">Table </w:t>
      </w:r>
      <w:r w:rsidR="004C10EE">
        <w:fldChar w:fldCharType="begin"/>
      </w:r>
      <w:r w:rsidR="004C10EE">
        <w:instrText xml:space="preserve"> SEQ Table \* ARABIC </w:instrText>
      </w:r>
      <w:r w:rsidR="004C10EE">
        <w:fldChar w:fldCharType="separate"/>
      </w:r>
      <w:r w:rsidR="00384939">
        <w:rPr>
          <w:noProof/>
        </w:rPr>
        <w:t>5</w:t>
      </w:r>
      <w:r w:rsidR="004C10EE">
        <w:rPr>
          <w:noProof/>
        </w:rPr>
        <w:fldChar w:fldCharType="end"/>
      </w:r>
      <w:bookmarkEnd w:id="47"/>
      <w:r w:rsidR="0008182E">
        <w:t xml:space="preserve">: Study 2005-01 </w:t>
      </w:r>
      <w:r w:rsidR="00BD1199">
        <w:t>S</w:t>
      </w:r>
      <w:r>
        <w:t>ummary of survival at Day</w:t>
      </w:r>
      <w:r w:rsidR="0008182E">
        <w:t xml:space="preserve"> </w:t>
      </w:r>
      <w:r>
        <w:t xml:space="preserve">180 post </w:t>
      </w:r>
      <w:r w:rsidRPr="008475CA">
        <w:t>haematopoietic stem-cell transplantation</w:t>
      </w:r>
      <w:r>
        <w:t xml:space="preserve"> (intent to treat analysis s</w:t>
      </w:r>
      <w:r w:rsidRPr="008475CA">
        <w:t>et)</w:t>
      </w:r>
    </w:p>
    <w:tbl>
      <w:tblPr>
        <w:tblStyle w:val="TableTGAblue"/>
        <w:tblW w:w="5139" w:type="pct"/>
        <w:tblLook w:val="04A0" w:firstRow="1" w:lastRow="0" w:firstColumn="1" w:lastColumn="0" w:noHBand="0" w:noVBand="1"/>
      </w:tblPr>
      <w:tblGrid>
        <w:gridCol w:w="3002"/>
        <w:gridCol w:w="2654"/>
        <w:gridCol w:w="3064"/>
      </w:tblGrid>
      <w:tr w:rsidR="008475CA" w:rsidRPr="00A4536D" w14:paraId="043F16EC" w14:textId="77777777" w:rsidTr="00C51FA4">
        <w:trPr>
          <w:cnfStyle w:val="100000000000" w:firstRow="1" w:lastRow="0" w:firstColumn="0" w:lastColumn="0" w:oddVBand="0" w:evenVBand="0" w:oddHBand="0" w:evenHBand="0" w:firstRowFirstColumn="0" w:firstRowLastColumn="0" w:lastRowFirstColumn="0" w:lastRowLastColumn="0"/>
        </w:trPr>
        <w:tc>
          <w:tcPr>
            <w:tcW w:w="1721" w:type="pct"/>
          </w:tcPr>
          <w:p w14:paraId="6DEB0862" w14:textId="31DC0A7E" w:rsidR="008475CA" w:rsidRPr="00A4536D" w:rsidRDefault="008475CA" w:rsidP="00BD1199">
            <w:pPr>
              <w:pStyle w:val="Tabletext"/>
              <w:rPr>
                <w:sz w:val="20"/>
                <w:szCs w:val="20"/>
              </w:rPr>
            </w:pPr>
            <w:r w:rsidRPr="00A4536D">
              <w:rPr>
                <w:sz w:val="20"/>
                <w:szCs w:val="20"/>
              </w:rPr>
              <w:t>Survival at Day</w:t>
            </w:r>
            <w:r w:rsidR="0008182E">
              <w:rPr>
                <w:sz w:val="20"/>
                <w:szCs w:val="20"/>
              </w:rPr>
              <w:t xml:space="preserve"> </w:t>
            </w:r>
            <w:r w:rsidRPr="00A4536D">
              <w:rPr>
                <w:sz w:val="20"/>
                <w:szCs w:val="20"/>
              </w:rPr>
              <w:t xml:space="preserve">180 </w:t>
            </w:r>
            <w:r w:rsidR="00BD1199">
              <w:rPr>
                <w:sz w:val="20"/>
                <w:szCs w:val="20"/>
              </w:rPr>
              <w:t>p</w:t>
            </w:r>
            <w:r w:rsidR="00BD1199" w:rsidRPr="00A4536D">
              <w:rPr>
                <w:sz w:val="20"/>
                <w:szCs w:val="20"/>
              </w:rPr>
              <w:t>ost</w:t>
            </w:r>
            <w:r w:rsidRPr="00A4536D">
              <w:rPr>
                <w:sz w:val="20"/>
                <w:szCs w:val="20"/>
              </w:rPr>
              <w:t>-HSCT</w:t>
            </w:r>
          </w:p>
        </w:tc>
        <w:tc>
          <w:tcPr>
            <w:tcW w:w="1522" w:type="pct"/>
          </w:tcPr>
          <w:p w14:paraId="6CAD9986" w14:textId="61A4508C" w:rsidR="008475CA" w:rsidRPr="00A4536D" w:rsidRDefault="008475CA" w:rsidP="00BD045C">
            <w:pPr>
              <w:pStyle w:val="Tabletext"/>
              <w:rPr>
                <w:sz w:val="20"/>
                <w:szCs w:val="20"/>
              </w:rPr>
            </w:pPr>
            <w:r w:rsidRPr="00A4536D">
              <w:rPr>
                <w:sz w:val="20"/>
                <w:szCs w:val="20"/>
              </w:rPr>
              <w:t xml:space="preserve">Defibrotide </w:t>
            </w:r>
            <w:r w:rsidR="00BD1199">
              <w:rPr>
                <w:sz w:val="20"/>
                <w:szCs w:val="20"/>
              </w:rPr>
              <w:t xml:space="preserve">group </w:t>
            </w:r>
            <w:r w:rsidRPr="00A4536D">
              <w:rPr>
                <w:sz w:val="20"/>
                <w:szCs w:val="20"/>
              </w:rPr>
              <w:t>(n</w:t>
            </w:r>
            <w:r w:rsidR="00BD1199">
              <w:rPr>
                <w:sz w:val="20"/>
                <w:szCs w:val="20"/>
              </w:rPr>
              <w:t> </w:t>
            </w:r>
            <w:r w:rsidRPr="00A4536D">
              <w:rPr>
                <w:sz w:val="20"/>
                <w:szCs w:val="20"/>
              </w:rPr>
              <w:t>=</w:t>
            </w:r>
            <w:r w:rsidR="00BD1199">
              <w:rPr>
                <w:sz w:val="20"/>
                <w:szCs w:val="20"/>
              </w:rPr>
              <w:t> </w:t>
            </w:r>
            <w:r w:rsidRPr="00A4536D">
              <w:rPr>
                <w:sz w:val="20"/>
                <w:szCs w:val="20"/>
              </w:rPr>
              <w:t>102)</w:t>
            </w:r>
          </w:p>
        </w:tc>
        <w:tc>
          <w:tcPr>
            <w:tcW w:w="1757" w:type="pct"/>
          </w:tcPr>
          <w:p w14:paraId="5AE7A8AF" w14:textId="2543FD08" w:rsidR="008475CA" w:rsidRPr="00A4536D" w:rsidRDefault="008475CA" w:rsidP="00BD045C">
            <w:pPr>
              <w:pStyle w:val="Tabletext"/>
              <w:rPr>
                <w:sz w:val="20"/>
                <w:szCs w:val="20"/>
              </w:rPr>
            </w:pPr>
            <w:r w:rsidRPr="00A4536D">
              <w:rPr>
                <w:sz w:val="20"/>
                <w:szCs w:val="20"/>
              </w:rPr>
              <w:t>Historical control</w:t>
            </w:r>
            <w:r w:rsidR="00BD1199">
              <w:rPr>
                <w:sz w:val="20"/>
                <w:szCs w:val="20"/>
              </w:rPr>
              <w:t xml:space="preserve"> group</w:t>
            </w:r>
            <w:r w:rsidRPr="00A4536D">
              <w:rPr>
                <w:sz w:val="20"/>
                <w:szCs w:val="20"/>
              </w:rPr>
              <w:t xml:space="preserve"> (n</w:t>
            </w:r>
            <w:r w:rsidR="00BD1199">
              <w:rPr>
                <w:sz w:val="20"/>
                <w:szCs w:val="20"/>
              </w:rPr>
              <w:t> </w:t>
            </w:r>
            <w:r w:rsidRPr="00A4536D">
              <w:rPr>
                <w:sz w:val="20"/>
                <w:szCs w:val="20"/>
              </w:rPr>
              <w:t>=</w:t>
            </w:r>
            <w:r w:rsidR="00BD1199">
              <w:rPr>
                <w:sz w:val="20"/>
                <w:szCs w:val="20"/>
              </w:rPr>
              <w:t> </w:t>
            </w:r>
            <w:r w:rsidRPr="00A4536D">
              <w:rPr>
                <w:sz w:val="20"/>
                <w:szCs w:val="20"/>
              </w:rPr>
              <w:t>32)</w:t>
            </w:r>
          </w:p>
        </w:tc>
      </w:tr>
      <w:tr w:rsidR="008475CA" w:rsidRPr="00A4536D" w14:paraId="006EDC1A" w14:textId="77777777" w:rsidTr="00C51FA4">
        <w:tc>
          <w:tcPr>
            <w:tcW w:w="1721" w:type="pct"/>
          </w:tcPr>
          <w:p w14:paraId="035F0AF1" w14:textId="23757026" w:rsidR="008475CA" w:rsidRPr="00A4536D" w:rsidRDefault="008475CA" w:rsidP="00BD045C">
            <w:pPr>
              <w:pStyle w:val="Tabletext"/>
              <w:rPr>
                <w:sz w:val="20"/>
                <w:szCs w:val="20"/>
              </w:rPr>
            </w:pPr>
            <w:r w:rsidRPr="00A4536D">
              <w:rPr>
                <w:sz w:val="20"/>
                <w:szCs w:val="20"/>
              </w:rPr>
              <w:t>Complete response by Day</w:t>
            </w:r>
            <w:r w:rsidR="00BD1199">
              <w:rPr>
                <w:sz w:val="20"/>
                <w:szCs w:val="20"/>
              </w:rPr>
              <w:t> </w:t>
            </w:r>
            <w:r w:rsidRPr="00A4536D">
              <w:rPr>
                <w:sz w:val="20"/>
                <w:szCs w:val="20"/>
              </w:rPr>
              <w:t>180 post-HSCT; n (%)</w:t>
            </w:r>
          </w:p>
        </w:tc>
        <w:tc>
          <w:tcPr>
            <w:tcW w:w="1522" w:type="pct"/>
          </w:tcPr>
          <w:p w14:paraId="703383A8" w14:textId="77777777" w:rsidR="008475CA" w:rsidRPr="00A4536D" w:rsidRDefault="008475CA" w:rsidP="00BD045C">
            <w:pPr>
              <w:pStyle w:val="Tabletext"/>
              <w:rPr>
                <w:sz w:val="20"/>
                <w:szCs w:val="20"/>
              </w:rPr>
            </w:pPr>
            <w:r w:rsidRPr="00A4536D">
              <w:rPr>
                <w:sz w:val="20"/>
                <w:szCs w:val="20"/>
              </w:rPr>
              <w:t>33 (32.4</w:t>
            </w:r>
            <w:r w:rsidR="0008182E">
              <w:rPr>
                <w:sz w:val="20"/>
                <w:szCs w:val="20"/>
              </w:rPr>
              <w:t>)</w:t>
            </w:r>
          </w:p>
        </w:tc>
        <w:tc>
          <w:tcPr>
            <w:tcW w:w="1757" w:type="pct"/>
          </w:tcPr>
          <w:p w14:paraId="034EC882" w14:textId="77777777" w:rsidR="008475CA" w:rsidRPr="00A4536D" w:rsidRDefault="008475CA" w:rsidP="00BD045C">
            <w:pPr>
              <w:pStyle w:val="Tabletext"/>
              <w:rPr>
                <w:sz w:val="20"/>
                <w:szCs w:val="20"/>
              </w:rPr>
            </w:pPr>
            <w:r w:rsidRPr="00A4536D">
              <w:rPr>
                <w:sz w:val="20"/>
                <w:szCs w:val="20"/>
              </w:rPr>
              <w:t>8 (25.0)</w:t>
            </w:r>
          </w:p>
        </w:tc>
      </w:tr>
      <w:tr w:rsidR="008475CA" w:rsidRPr="00A4536D" w14:paraId="36C4D5D9" w14:textId="77777777" w:rsidTr="00C51FA4">
        <w:tc>
          <w:tcPr>
            <w:tcW w:w="1721" w:type="pct"/>
          </w:tcPr>
          <w:p w14:paraId="37FE7FC1" w14:textId="77777777" w:rsidR="008475CA" w:rsidRPr="00A4536D" w:rsidRDefault="008475CA" w:rsidP="0008182E">
            <w:pPr>
              <w:pStyle w:val="Tabletext"/>
              <w:rPr>
                <w:sz w:val="20"/>
                <w:szCs w:val="20"/>
              </w:rPr>
            </w:pPr>
            <w:r w:rsidRPr="00A4536D">
              <w:rPr>
                <w:sz w:val="20"/>
                <w:szCs w:val="20"/>
              </w:rPr>
              <w:t xml:space="preserve">95.1% </w:t>
            </w:r>
            <w:r w:rsidR="0008182E">
              <w:rPr>
                <w:sz w:val="20"/>
                <w:szCs w:val="20"/>
              </w:rPr>
              <w:t>CI</w:t>
            </w:r>
            <w:r w:rsidRPr="00A4536D">
              <w:rPr>
                <w:sz w:val="20"/>
                <w:szCs w:val="20"/>
              </w:rPr>
              <w:t>; (%)</w:t>
            </w:r>
          </w:p>
        </w:tc>
        <w:tc>
          <w:tcPr>
            <w:tcW w:w="1522" w:type="pct"/>
          </w:tcPr>
          <w:p w14:paraId="3977E354" w14:textId="77777777" w:rsidR="008475CA" w:rsidRPr="00A4536D" w:rsidRDefault="008475CA" w:rsidP="00BD045C">
            <w:pPr>
              <w:pStyle w:val="Tabletext"/>
              <w:rPr>
                <w:sz w:val="20"/>
                <w:szCs w:val="20"/>
              </w:rPr>
            </w:pPr>
            <w:r w:rsidRPr="00A4536D">
              <w:rPr>
                <w:sz w:val="20"/>
                <w:szCs w:val="20"/>
              </w:rPr>
              <w:t>2</w:t>
            </w:r>
            <w:r w:rsidR="0008182E">
              <w:rPr>
                <w:sz w:val="20"/>
                <w:szCs w:val="20"/>
              </w:rPr>
              <w:t xml:space="preserve">3.2 to </w:t>
            </w:r>
            <w:r w:rsidRPr="00A4536D">
              <w:rPr>
                <w:sz w:val="20"/>
                <w:szCs w:val="20"/>
              </w:rPr>
              <w:t>41.5</w:t>
            </w:r>
          </w:p>
        </w:tc>
        <w:tc>
          <w:tcPr>
            <w:tcW w:w="1757" w:type="pct"/>
          </w:tcPr>
          <w:p w14:paraId="4758DA8B" w14:textId="77777777" w:rsidR="008475CA" w:rsidRPr="00A4536D" w:rsidRDefault="0008182E" w:rsidP="00BD045C">
            <w:pPr>
              <w:pStyle w:val="Tabletext"/>
              <w:rPr>
                <w:sz w:val="20"/>
                <w:szCs w:val="20"/>
              </w:rPr>
            </w:pPr>
            <w:r>
              <w:rPr>
                <w:sz w:val="20"/>
                <w:szCs w:val="20"/>
              </w:rPr>
              <w:t>9.9 to</w:t>
            </w:r>
            <w:r w:rsidR="008475CA" w:rsidRPr="00A4536D">
              <w:rPr>
                <w:sz w:val="20"/>
                <w:szCs w:val="20"/>
              </w:rPr>
              <w:t xml:space="preserve"> 40.1</w:t>
            </w:r>
          </w:p>
        </w:tc>
      </w:tr>
      <w:tr w:rsidR="008475CA" w:rsidRPr="00A4536D" w14:paraId="586EF0E4" w14:textId="77777777" w:rsidTr="00C51FA4">
        <w:tc>
          <w:tcPr>
            <w:tcW w:w="1721" w:type="pct"/>
          </w:tcPr>
          <w:p w14:paraId="384CA705" w14:textId="25B489F0" w:rsidR="008475CA" w:rsidRPr="00A4536D" w:rsidRDefault="008475CA" w:rsidP="00BD045C">
            <w:pPr>
              <w:pStyle w:val="Tabletext"/>
              <w:rPr>
                <w:sz w:val="20"/>
                <w:szCs w:val="20"/>
              </w:rPr>
            </w:pPr>
            <w:r w:rsidRPr="00A4536D">
              <w:rPr>
                <w:sz w:val="20"/>
                <w:szCs w:val="20"/>
              </w:rPr>
              <w:t xml:space="preserve">Difference in Rate </w:t>
            </w:r>
            <w:r w:rsidR="00BD1199">
              <w:rPr>
                <w:sz w:val="20"/>
                <w:szCs w:val="20"/>
              </w:rPr>
              <w:t>(</w:t>
            </w:r>
            <w:r w:rsidRPr="00A4536D">
              <w:rPr>
                <w:sz w:val="20"/>
                <w:szCs w:val="20"/>
              </w:rPr>
              <w:t>a</w:t>
            </w:r>
            <w:r w:rsidR="00BD1199">
              <w:rPr>
                <w:sz w:val="20"/>
                <w:szCs w:val="20"/>
              </w:rPr>
              <w:t>)</w:t>
            </w:r>
          </w:p>
        </w:tc>
        <w:tc>
          <w:tcPr>
            <w:tcW w:w="3279" w:type="pct"/>
            <w:gridSpan w:val="2"/>
          </w:tcPr>
          <w:p w14:paraId="6FB045B4" w14:textId="77777777" w:rsidR="008475CA" w:rsidRPr="00A4536D" w:rsidRDefault="008475CA" w:rsidP="00BD045C">
            <w:pPr>
              <w:pStyle w:val="Tabletext"/>
              <w:rPr>
                <w:sz w:val="20"/>
                <w:szCs w:val="20"/>
              </w:rPr>
            </w:pPr>
            <w:r w:rsidRPr="00A4536D">
              <w:rPr>
                <w:sz w:val="20"/>
                <w:szCs w:val="20"/>
              </w:rPr>
              <w:t>16.4%</w:t>
            </w:r>
          </w:p>
        </w:tc>
      </w:tr>
      <w:tr w:rsidR="008475CA" w:rsidRPr="00A4536D" w14:paraId="40A7BB05" w14:textId="77777777" w:rsidTr="00C51FA4">
        <w:tc>
          <w:tcPr>
            <w:tcW w:w="1721" w:type="pct"/>
          </w:tcPr>
          <w:p w14:paraId="331C4740" w14:textId="77777777" w:rsidR="008475CA" w:rsidRPr="00A4536D" w:rsidRDefault="008475CA" w:rsidP="0008182E">
            <w:pPr>
              <w:pStyle w:val="Tabletext"/>
              <w:rPr>
                <w:sz w:val="20"/>
                <w:szCs w:val="20"/>
              </w:rPr>
            </w:pPr>
            <w:r w:rsidRPr="00A4536D">
              <w:rPr>
                <w:sz w:val="20"/>
                <w:szCs w:val="20"/>
              </w:rPr>
              <w:t xml:space="preserve">95.1% </w:t>
            </w:r>
            <w:r w:rsidR="0008182E">
              <w:rPr>
                <w:sz w:val="20"/>
                <w:szCs w:val="20"/>
              </w:rPr>
              <w:t>CI</w:t>
            </w:r>
            <w:r w:rsidRPr="00A4536D">
              <w:rPr>
                <w:sz w:val="20"/>
                <w:szCs w:val="20"/>
              </w:rPr>
              <w:t>; (%)</w:t>
            </w:r>
          </w:p>
        </w:tc>
        <w:tc>
          <w:tcPr>
            <w:tcW w:w="3279" w:type="pct"/>
            <w:gridSpan w:val="2"/>
          </w:tcPr>
          <w:p w14:paraId="5EE635B8" w14:textId="77777777" w:rsidR="008475CA" w:rsidRPr="00A4536D" w:rsidRDefault="008475CA" w:rsidP="00BD045C">
            <w:pPr>
              <w:pStyle w:val="Tabletext"/>
              <w:rPr>
                <w:sz w:val="20"/>
                <w:szCs w:val="20"/>
              </w:rPr>
            </w:pPr>
            <w:r w:rsidRPr="00A4536D">
              <w:rPr>
                <w:sz w:val="20"/>
                <w:szCs w:val="20"/>
              </w:rPr>
              <w:t xml:space="preserve">-1.2 </w:t>
            </w:r>
            <w:r w:rsidR="0008182E">
              <w:rPr>
                <w:sz w:val="20"/>
                <w:szCs w:val="20"/>
              </w:rPr>
              <w:t>to</w:t>
            </w:r>
            <w:r w:rsidRPr="00A4536D">
              <w:rPr>
                <w:sz w:val="20"/>
                <w:szCs w:val="20"/>
              </w:rPr>
              <w:t xml:space="preserve"> 34.1</w:t>
            </w:r>
          </w:p>
        </w:tc>
      </w:tr>
      <w:tr w:rsidR="008475CA" w:rsidRPr="00A4536D" w14:paraId="3F711C30" w14:textId="77777777" w:rsidTr="00C51FA4">
        <w:tc>
          <w:tcPr>
            <w:tcW w:w="1721" w:type="pct"/>
          </w:tcPr>
          <w:p w14:paraId="7DBE8D39" w14:textId="77777777" w:rsidR="008475CA" w:rsidRPr="00A4536D" w:rsidRDefault="008475CA" w:rsidP="00BD045C">
            <w:pPr>
              <w:pStyle w:val="Tabletext"/>
              <w:rPr>
                <w:sz w:val="20"/>
                <w:szCs w:val="20"/>
              </w:rPr>
            </w:pPr>
            <w:r w:rsidRPr="00A4536D">
              <w:rPr>
                <w:sz w:val="20"/>
                <w:szCs w:val="20"/>
              </w:rPr>
              <w:t>p-value</w:t>
            </w:r>
          </w:p>
        </w:tc>
        <w:tc>
          <w:tcPr>
            <w:tcW w:w="3279" w:type="pct"/>
            <w:gridSpan w:val="2"/>
          </w:tcPr>
          <w:p w14:paraId="123CBED1" w14:textId="77777777" w:rsidR="008475CA" w:rsidRPr="00A4536D" w:rsidRDefault="008475CA" w:rsidP="00BD045C">
            <w:pPr>
              <w:pStyle w:val="Tabletext"/>
              <w:rPr>
                <w:sz w:val="20"/>
                <w:szCs w:val="20"/>
              </w:rPr>
            </w:pPr>
            <w:r w:rsidRPr="00A4536D">
              <w:rPr>
                <w:sz w:val="20"/>
                <w:szCs w:val="20"/>
              </w:rPr>
              <w:t>0.0669</w:t>
            </w:r>
          </w:p>
        </w:tc>
      </w:tr>
    </w:tbl>
    <w:p w14:paraId="7153231E" w14:textId="05DCBDAC" w:rsidR="008475CA" w:rsidRPr="007B1331" w:rsidRDefault="00BD1199" w:rsidP="008475CA">
      <w:pPr>
        <w:pStyle w:val="TableDescription"/>
      </w:pPr>
      <w:r>
        <w:t>(</w:t>
      </w:r>
      <w:r w:rsidR="008475CA" w:rsidRPr="007B1331">
        <w:t>a</w:t>
      </w:r>
      <w:r>
        <w:t>):</w:t>
      </w:r>
      <w:r w:rsidR="008475CA" w:rsidRPr="007B1331">
        <w:t xml:space="preserve"> CI weighted by propensity score </w:t>
      </w:r>
      <w:r w:rsidR="00A24B4D">
        <w:t>quintile for membership in the Defibrotide or h</w:t>
      </w:r>
      <w:r w:rsidR="008475CA" w:rsidRPr="007B1331">
        <w:t>ist</w:t>
      </w:r>
      <w:r w:rsidR="00A24B4D">
        <w:t>orical control a</w:t>
      </w:r>
      <w:r w:rsidR="008475CA" w:rsidRPr="007B1331">
        <w:t>rm.</w:t>
      </w:r>
    </w:p>
    <w:p w14:paraId="1D773342" w14:textId="4A581269" w:rsidR="008475CA" w:rsidRPr="007B1331" w:rsidRDefault="008475CA" w:rsidP="008475CA">
      <w:pPr>
        <w:pStyle w:val="TableDescription"/>
      </w:pPr>
      <w:r w:rsidRPr="007B1331">
        <w:t>Note: The proportion surviving 180 days and CIs are calculated using binomial estimates with Wald</w:t>
      </w:r>
      <w:r>
        <w:t xml:space="preserve"> </w:t>
      </w:r>
      <w:r w:rsidRPr="007B1331">
        <w:t>asymptotic CIs. For the propensity stratified and weighted estimate of difference of Day</w:t>
      </w:r>
      <w:r w:rsidR="0008182E">
        <w:t xml:space="preserve"> </w:t>
      </w:r>
      <w:r w:rsidRPr="007B1331">
        <w:t>180 survival</w:t>
      </w:r>
      <w:r>
        <w:t xml:space="preserve"> </w:t>
      </w:r>
      <w:r w:rsidRPr="007B1331">
        <w:t>proportions, CI and p-value are calculated using the Koch method.</w:t>
      </w:r>
    </w:p>
    <w:p w14:paraId="00F61A1C" w14:textId="77777777" w:rsidR="0052264A" w:rsidRDefault="0052264A" w:rsidP="0052264A">
      <w:r>
        <w:t>The overall survival rate in the defibrotide group was 21.6% and in the HC group was 21.9%. As a statistically significant difference was n</w:t>
      </w:r>
      <w:r w:rsidR="0008182E">
        <w:t>ot demonstrated in survival at D</w:t>
      </w:r>
      <w:r>
        <w:t>ay 180 between the treatment and HC group, no further statistical analysis was appropriate.</w:t>
      </w:r>
    </w:p>
    <w:p w14:paraId="7C54614F" w14:textId="77777777" w:rsidR="0052264A" w:rsidRDefault="0052264A" w:rsidP="0052264A">
      <w:pPr>
        <w:pStyle w:val="Heading5"/>
      </w:pPr>
      <w:r>
        <w:t>Supporting studies</w:t>
      </w:r>
    </w:p>
    <w:p w14:paraId="4C261C4B" w14:textId="465012E0" w:rsidR="0052264A" w:rsidRDefault="0052264A" w:rsidP="00A4536D">
      <w:r>
        <w:t>The other efficacy studies included in the submission were of variable quality, and provided mixed outcomes. They comprised a dose finding study (</w:t>
      </w:r>
      <w:r w:rsidR="0008182E">
        <w:t xml:space="preserve">Study </w:t>
      </w:r>
      <w:r>
        <w:t xml:space="preserve">99-118), an </w:t>
      </w:r>
      <w:r>
        <w:lastRenderedPageBreak/>
        <w:t xml:space="preserve">analysis of </w:t>
      </w:r>
      <w:r w:rsidR="0008182E">
        <w:t>Centre for International Blood and Marrow Transplant Research (CIBMTR) registry data</w:t>
      </w:r>
      <w:r>
        <w:t>, and reports from an expanded access program (</w:t>
      </w:r>
      <w:r w:rsidR="0008182E">
        <w:t xml:space="preserve">Study </w:t>
      </w:r>
      <w:r>
        <w:t xml:space="preserve">2006-05) and from a </w:t>
      </w:r>
      <w:proofErr w:type="spellStart"/>
      <w:r w:rsidR="00446107">
        <w:t>D</w:t>
      </w:r>
      <w:r w:rsidR="00446107" w:rsidRPr="00446107">
        <w:t>efitelio</w:t>
      </w:r>
      <w:proofErr w:type="spellEnd"/>
      <w:r w:rsidR="007E1C5A">
        <w:t xml:space="preserve"> - compassionate use program (DR-CUP)</w:t>
      </w:r>
      <w:r w:rsidR="00BD1199">
        <w:t xml:space="preserve"> </w:t>
      </w:r>
      <w:r w:rsidR="007E1C5A">
        <w:t>report</w:t>
      </w:r>
      <w:r>
        <w:t>. Most studies included patients with VOD as well as severe VOD and applied a variety of doses and dose regimens for defibrotide (up to 80</w:t>
      </w:r>
      <w:r w:rsidR="0008182E">
        <w:t xml:space="preserve"> </w:t>
      </w:r>
      <w:r>
        <w:t>mg/kg/day). Not all collected complete data on all of the participants. The evaluator was able to identify a small subset of patients, who had severe VOD and received the recommended dose of 25 mg/kg/day, in two of the study reports. Two additional studies wer</w:t>
      </w:r>
      <w:r w:rsidR="007E1C5A">
        <w:t>e relevant only to safety data;</w:t>
      </w:r>
      <w:r>
        <w:t xml:space="preserve"> one study that was stopped owing to poor enrolment (</w:t>
      </w:r>
      <w:r w:rsidR="00BD1199">
        <w:t xml:space="preserve">Study </w:t>
      </w:r>
      <w:r>
        <w:t>DF-VOD) and one study of VOD prophylaxis in children (</w:t>
      </w:r>
      <w:r w:rsidR="00BD1199">
        <w:t xml:space="preserve">Study </w:t>
      </w:r>
      <w:r>
        <w:t>2004-00592-33).</w:t>
      </w:r>
    </w:p>
    <w:p w14:paraId="6D1853B7" w14:textId="03BE6842" w:rsidR="0052264A" w:rsidRDefault="0052264A" w:rsidP="00A4536D">
      <w:r>
        <w:t>Study 99-118 was a randomised, open label, dose finding study, that evaluated the efficacy and safety of two doses of defibrotide, 25 mg/kg/day and 40 mg/</w:t>
      </w:r>
      <w:r w:rsidR="0008182E">
        <w:t xml:space="preserve">kg/day, given as divided doses </w:t>
      </w:r>
      <w:r w:rsidR="00BD1199">
        <w:t xml:space="preserve">q6h </w:t>
      </w:r>
      <w:r>
        <w:t>for at least 14 days, to 149 patients with severe VOD or with VOD at high risk of developing MOD. The authors reported that 35 (</w:t>
      </w:r>
      <w:r w:rsidR="001841FF">
        <w:t>46.7%) of 75 subjects in the 25 </w:t>
      </w:r>
      <w:r>
        <w:t>mg/kg/day treatment arm and 30 (40.5%) of 74 subjects in the 40 mg/kg/day treatment arm were considered to have achieved a CR.</w:t>
      </w:r>
    </w:p>
    <w:p w14:paraId="595097F4" w14:textId="69CAE260" w:rsidR="0052264A" w:rsidRDefault="0052264A" w:rsidP="00A4536D">
      <w:r>
        <w:t>The expanded access program (</w:t>
      </w:r>
      <w:r w:rsidR="0008182E">
        <w:t xml:space="preserve">Study </w:t>
      </w:r>
      <w:r>
        <w:t xml:space="preserve">2006-05) was an open-label study in the </w:t>
      </w:r>
      <w:r w:rsidR="0008182E">
        <w:t>USA</w:t>
      </w:r>
      <w:r>
        <w:t xml:space="preserve"> that mandated additional data reporting by physicians requesting access to defibrotide for their patients for any indication. The investigators reported that in a subset of 512</w:t>
      </w:r>
      <w:r w:rsidR="00BD1199">
        <w:t> </w:t>
      </w:r>
      <w:r>
        <w:t xml:space="preserve">patients who developed VOD with MOF following </w:t>
      </w:r>
      <w:r w:rsidR="0008182E">
        <w:t xml:space="preserve">HSCT, 247 (48.2%, 95% CI, </w:t>
      </w:r>
      <w:r>
        <w:t xml:space="preserve">43.9% to 52.6%) treated with defibrotide were alive at Day 100. Day 100 status was not available for 10 (2.0%) participants. The Kaplan- Meier estimated survival rate at Day </w:t>
      </w:r>
      <w:r w:rsidR="0008182E">
        <w:t>100 post</w:t>
      </w:r>
      <w:r w:rsidR="00BD1199">
        <w:noBreakHyphen/>
      </w:r>
      <w:r w:rsidR="0008182E">
        <w:t>HSCT was 49.5% (95% CI,</w:t>
      </w:r>
      <w:r>
        <w:t xml:space="preserve"> 45.0% to 53.8%).</w:t>
      </w:r>
    </w:p>
    <w:p w14:paraId="03E24AE1" w14:textId="368CCEB0" w:rsidR="0052264A" w:rsidRDefault="0052264A" w:rsidP="00A4536D">
      <w:r>
        <w:t xml:space="preserve">A report from the </w:t>
      </w:r>
      <w:r w:rsidR="00BD1199">
        <w:t>CIBMTR</w:t>
      </w:r>
      <w:r>
        <w:t xml:space="preserve"> database identified that of 8341 recipients of HSCT between 1</w:t>
      </w:r>
      <w:r w:rsidR="00BD1199">
        <w:t> </w:t>
      </w:r>
      <w:r>
        <w:t xml:space="preserve">November 2008 and 31 December 2011, 96 patients developed severe VOD with MOF. Among those, 41 had been treated with defibrotide (dose and duration not available) and 16 </w:t>
      </w:r>
      <w:r w:rsidR="0008182E">
        <w:t>(39%) of those had survived to D</w:t>
      </w:r>
      <w:r>
        <w:t>ay 100 following HSCT, whereas 31% of patients with severe VOD with MOF not treate</w:t>
      </w:r>
      <w:r w:rsidR="0008182E">
        <w:t>d with defibrotide survived to D</w:t>
      </w:r>
      <w:r>
        <w:t xml:space="preserve">ay 100. </w:t>
      </w:r>
    </w:p>
    <w:p w14:paraId="1B5F480C" w14:textId="77777777" w:rsidR="0052264A" w:rsidRDefault="0052264A" w:rsidP="00A4536D">
      <w:r>
        <w:t xml:space="preserve">In the </w:t>
      </w:r>
      <w:r w:rsidR="00446107">
        <w:t>DF-CUP</w:t>
      </w:r>
      <w:r>
        <w:t xml:space="preserve">, while treating physicians were requested to complete and return clinical report forms to the sponsor, this was not mandatory. Nevertheless, clinical report forms were returned to the sponsor for 710 of 1129 patients, who had been treated with various defibrotide doses at the discretion of the physician. A Kaplan-Meier estimate of survival at Day 100 for 292 patients with severe VOD treated with 25 mg/kg/day defibrotide was 57.6%. In patients treated with the higher dose of 40 mg/kg/day, for whom data had been provided to the sponsor, the estimated survival </w:t>
      </w:r>
      <w:r w:rsidR="00DC1BB2">
        <w:t>at D</w:t>
      </w:r>
      <w:r>
        <w:t>ay 100 was 53.9%.</w:t>
      </w:r>
    </w:p>
    <w:p w14:paraId="315BB194" w14:textId="77777777" w:rsidR="0052264A" w:rsidRDefault="0052264A" w:rsidP="00A4536D">
      <w:r>
        <w:t>In general, the additional studies appear to support claims for efficacy of defi</w:t>
      </w:r>
      <w:r w:rsidR="00A4536D">
        <w:t>brotide in treating severe VOD.</w:t>
      </w:r>
    </w:p>
    <w:p w14:paraId="25B83D9B" w14:textId="77777777" w:rsidR="0052264A" w:rsidRDefault="0052264A" w:rsidP="0052264A">
      <w:pPr>
        <w:pStyle w:val="Heading5"/>
      </w:pPr>
      <w:r>
        <w:t>Paediatric data</w:t>
      </w:r>
    </w:p>
    <w:p w14:paraId="282017AF" w14:textId="77777777" w:rsidR="0052264A" w:rsidRDefault="0052264A" w:rsidP="00A4536D">
      <w:r>
        <w:t>According to the literature, paediatric patients are at greater risk of severe VOD post HSCT than adults, and this is particularly so for children under the age of 7 years.</w:t>
      </w:r>
      <w:r w:rsidR="001868F6">
        <w:rPr>
          <w:rStyle w:val="FootnoteReference"/>
        </w:rPr>
        <w:footnoteReference w:id="7"/>
      </w:r>
    </w:p>
    <w:p w14:paraId="72396D23" w14:textId="555439C9" w:rsidR="008475CA" w:rsidRDefault="0052264A" w:rsidP="00A4536D">
      <w:r>
        <w:t>The recommended dose of defibrotide for children aged one month and up to 18 years is the same as for adults. The submission included clinical trial data for over 250 children aged between 28 days and 17 years. Paediatric patients (≤ 16 years) repres</w:t>
      </w:r>
      <w:r w:rsidR="00446107">
        <w:t>ented 43.1% of participants in S</w:t>
      </w:r>
      <w:r>
        <w:t>tudy 200</w:t>
      </w:r>
      <w:r w:rsidR="00446107">
        <w:t>5-01, 29.3% of participants in S</w:t>
      </w:r>
      <w:r>
        <w:t>tudy 99-11</w:t>
      </w:r>
      <w:r w:rsidR="00446107">
        <w:t>8 and 53.8% of participants in Study 2006-05. Survival at D</w:t>
      </w:r>
      <w:r>
        <w:t xml:space="preserve">ay 100 post-HSCT for paediatric patients ranged between 49.7% and 68.2% in the three studies, but estimates by sub-groups based on age: infants/toddlers (less than two years), children (2 to 11 years age) or adolescents </w:t>
      </w:r>
      <w:r>
        <w:lastRenderedPageBreak/>
        <w:t>(12 to 16 years) varied widely between the studies owing to the relatively small numbers in the studies (</w:t>
      </w:r>
      <w:r w:rsidR="00BD1199">
        <w:t xml:space="preserve">see </w:t>
      </w:r>
      <w:r w:rsidR="00BD045C">
        <w:fldChar w:fldCharType="begin"/>
      </w:r>
      <w:r w:rsidR="00BD045C">
        <w:instrText xml:space="preserve"> REF _Ref55821497 \h </w:instrText>
      </w:r>
      <w:r w:rsidR="00A4536D">
        <w:instrText xml:space="preserve"> \* MERGEFORMAT </w:instrText>
      </w:r>
      <w:r w:rsidR="00BD045C">
        <w:fldChar w:fldCharType="separate"/>
      </w:r>
      <w:r w:rsidR="00384939" w:rsidRPr="0052264A">
        <w:t xml:space="preserve">Table </w:t>
      </w:r>
      <w:r w:rsidR="00384939">
        <w:t>6</w:t>
      </w:r>
      <w:r w:rsidR="00BD045C">
        <w:fldChar w:fldCharType="end"/>
      </w:r>
      <w:r>
        <w:t>).</w:t>
      </w:r>
    </w:p>
    <w:p w14:paraId="201CCC61" w14:textId="0EFF3A88" w:rsidR="0052264A" w:rsidRDefault="0052264A" w:rsidP="0052264A">
      <w:pPr>
        <w:pStyle w:val="TableTitle"/>
      </w:pPr>
      <w:bookmarkStart w:id="48" w:name="_Ref55821497"/>
      <w:r w:rsidRPr="0052264A">
        <w:t xml:space="preserve">Table </w:t>
      </w:r>
      <w:r w:rsidR="004C10EE">
        <w:fldChar w:fldCharType="begin"/>
      </w:r>
      <w:r w:rsidR="004C10EE">
        <w:instrText xml:space="preserve"> SEQ Table \* ARABIC </w:instrText>
      </w:r>
      <w:r w:rsidR="004C10EE">
        <w:fldChar w:fldCharType="separate"/>
      </w:r>
      <w:r w:rsidR="00384939">
        <w:rPr>
          <w:noProof/>
        </w:rPr>
        <w:t>6</w:t>
      </w:r>
      <w:r w:rsidR="004C10EE">
        <w:rPr>
          <w:noProof/>
        </w:rPr>
        <w:fldChar w:fldCharType="end"/>
      </w:r>
      <w:bookmarkEnd w:id="48"/>
      <w:r>
        <w:t xml:space="preserve">: </w:t>
      </w:r>
      <w:r w:rsidRPr="0052264A">
        <w:t>Survival at Day</w:t>
      </w:r>
      <w:r w:rsidR="00446107">
        <w:t xml:space="preserve"> 100 by paediatric subgroups, </w:t>
      </w:r>
      <w:r w:rsidR="00DD5E56" w:rsidRPr="00DD5E56">
        <w:t xml:space="preserve">evidence of multi-organ dysfunction </w:t>
      </w:r>
      <w:r w:rsidR="00DD5E56">
        <w:t>(</w:t>
      </w:r>
      <w:r w:rsidR="00DD5E56" w:rsidRPr="00DD5E56">
        <w:t>25 mg/kg/day</w:t>
      </w:r>
      <w:r w:rsidR="00DD5E56">
        <w:t>)</w:t>
      </w:r>
      <w:r w:rsidR="00DD5E56" w:rsidRPr="00DD5E56">
        <w:t xml:space="preserve"> in patients with </w:t>
      </w:r>
      <w:proofErr w:type="spellStart"/>
      <w:r w:rsidR="00DD5E56" w:rsidRPr="00DD5E56">
        <w:t>veno</w:t>
      </w:r>
      <w:proofErr w:type="spellEnd"/>
      <w:r w:rsidR="00DD5E56" w:rsidRPr="00DD5E56">
        <w:t xml:space="preserve">-occlusive disease </w:t>
      </w:r>
      <w:r w:rsidR="00DD5E56">
        <w:t>post</w:t>
      </w:r>
      <w:r w:rsidR="00BD1199">
        <w:noBreakHyphen/>
      </w:r>
      <w:r w:rsidR="00DD5E56" w:rsidRPr="00DD5E56">
        <w:t>haematopoietic stem-cell transplantation</w:t>
      </w:r>
    </w:p>
    <w:tbl>
      <w:tblPr>
        <w:tblStyle w:val="TableTGAblue"/>
        <w:tblW w:w="5000" w:type="pct"/>
        <w:tblLook w:val="04A0" w:firstRow="1" w:lastRow="0" w:firstColumn="1" w:lastColumn="0" w:noHBand="0" w:noVBand="1"/>
      </w:tblPr>
      <w:tblGrid>
        <w:gridCol w:w="3223"/>
        <w:gridCol w:w="1252"/>
        <w:gridCol w:w="1254"/>
        <w:gridCol w:w="1250"/>
        <w:gridCol w:w="1515"/>
      </w:tblGrid>
      <w:tr w:rsidR="0052264A" w:rsidRPr="00A4536D" w14:paraId="6C7C35DA" w14:textId="77777777" w:rsidTr="009030A6">
        <w:trPr>
          <w:cnfStyle w:val="100000000000" w:firstRow="1" w:lastRow="0" w:firstColumn="0" w:lastColumn="0" w:oddVBand="0" w:evenVBand="0" w:oddHBand="0" w:evenHBand="0" w:firstRowFirstColumn="0" w:firstRowLastColumn="0" w:lastRowFirstColumn="0" w:lastRowLastColumn="0"/>
          <w:trHeight w:hRule="exact" w:val="667"/>
        </w:trPr>
        <w:tc>
          <w:tcPr>
            <w:tcW w:w="1897" w:type="pct"/>
            <w:vMerge w:val="restart"/>
            <w:tcBorders>
              <w:top w:val="single" w:sz="4" w:space="0" w:color="auto"/>
              <w:left w:val="single" w:sz="4" w:space="0" w:color="auto"/>
              <w:bottom w:val="single" w:sz="4" w:space="0" w:color="auto"/>
              <w:right w:val="single" w:sz="4" w:space="0" w:color="auto"/>
            </w:tcBorders>
            <w:hideMark/>
          </w:tcPr>
          <w:p w14:paraId="0BD9780A" w14:textId="77777777" w:rsidR="0052264A" w:rsidRPr="00A4536D" w:rsidRDefault="0052264A" w:rsidP="0052264A">
            <w:pPr>
              <w:pStyle w:val="TableTitle"/>
              <w:ind w:left="0" w:right="0"/>
              <w:rPr>
                <w:rFonts w:asciiTheme="minorHAnsi" w:hAnsiTheme="minorHAnsi"/>
                <w:b/>
                <w:sz w:val="20"/>
                <w:szCs w:val="20"/>
              </w:rPr>
            </w:pPr>
            <w:r w:rsidRPr="00A4536D">
              <w:rPr>
                <w:rFonts w:asciiTheme="minorHAnsi" w:hAnsiTheme="minorHAnsi"/>
                <w:b/>
                <w:bCs/>
                <w:sz w:val="20"/>
                <w:szCs w:val="20"/>
              </w:rPr>
              <w:t>Status, n (%)</w:t>
            </w:r>
          </w:p>
        </w:tc>
        <w:tc>
          <w:tcPr>
            <w:tcW w:w="3103" w:type="pct"/>
            <w:gridSpan w:val="4"/>
            <w:tcBorders>
              <w:top w:val="single" w:sz="4" w:space="0" w:color="auto"/>
              <w:left w:val="single" w:sz="4" w:space="0" w:color="auto"/>
              <w:bottom w:val="single" w:sz="4" w:space="0" w:color="auto"/>
              <w:right w:val="single" w:sz="4" w:space="0" w:color="auto"/>
            </w:tcBorders>
            <w:hideMark/>
          </w:tcPr>
          <w:p w14:paraId="30DEC018" w14:textId="77777777" w:rsidR="0052264A" w:rsidRPr="00A4536D" w:rsidRDefault="0052264A" w:rsidP="0052264A">
            <w:pPr>
              <w:pStyle w:val="TableTitle"/>
              <w:ind w:left="0" w:right="0"/>
              <w:rPr>
                <w:rFonts w:asciiTheme="minorHAnsi" w:hAnsiTheme="minorHAnsi"/>
                <w:b/>
                <w:sz w:val="20"/>
                <w:szCs w:val="20"/>
              </w:rPr>
            </w:pPr>
            <w:r w:rsidRPr="00A4536D">
              <w:rPr>
                <w:rFonts w:asciiTheme="minorHAnsi" w:hAnsiTheme="minorHAnsi"/>
                <w:b/>
                <w:bCs/>
                <w:sz w:val="20"/>
                <w:szCs w:val="20"/>
              </w:rPr>
              <w:t>Defibrotide 25 mg/kg/day</w:t>
            </w:r>
          </w:p>
        </w:tc>
      </w:tr>
      <w:tr w:rsidR="0052264A" w:rsidRPr="00A4536D" w14:paraId="1CE65DB8" w14:textId="77777777" w:rsidTr="009030A6">
        <w:trPr>
          <w:trHeight w:hRule="exact" w:val="989"/>
        </w:trPr>
        <w:tc>
          <w:tcPr>
            <w:tcW w:w="1897" w:type="pct"/>
            <w:vMerge/>
            <w:tcBorders>
              <w:top w:val="single" w:sz="4" w:space="0" w:color="auto"/>
              <w:left w:val="single" w:sz="4" w:space="0" w:color="auto"/>
              <w:bottom w:val="single" w:sz="4" w:space="0" w:color="auto"/>
              <w:right w:val="single" w:sz="4" w:space="0" w:color="auto"/>
            </w:tcBorders>
            <w:hideMark/>
          </w:tcPr>
          <w:p w14:paraId="742AE3EE" w14:textId="77777777" w:rsidR="0052264A" w:rsidRPr="00A4536D" w:rsidRDefault="0052264A" w:rsidP="0052264A">
            <w:pPr>
              <w:pStyle w:val="TableTitle"/>
              <w:rPr>
                <w:rFonts w:asciiTheme="minorHAnsi" w:hAnsiTheme="minorHAnsi"/>
                <w:sz w:val="20"/>
                <w:szCs w:val="20"/>
              </w:rPr>
            </w:pPr>
          </w:p>
        </w:tc>
        <w:tc>
          <w:tcPr>
            <w:tcW w:w="737" w:type="pct"/>
            <w:tcBorders>
              <w:top w:val="single" w:sz="4" w:space="0" w:color="auto"/>
              <w:left w:val="single" w:sz="4" w:space="0" w:color="auto"/>
              <w:bottom w:val="single" w:sz="4" w:space="0" w:color="auto"/>
              <w:right w:val="single" w:sz="4" w:space="0" w:color="auto"/>
            </w:tcBorders>
            <w:shd w:val="clear" w:color="auto" w:fill="006DA7"/>
            <w:hideMark/>
          </w:tcPr>
          <w:p w14:paraId="2C77057E" w14:textId="77777777" w:rsidR="0052264A" w:rsidRPr="00A4536D" w:rsidRDefault="0052264A" w:rsidP="0052264A">
            <w:pPr>
              <w:pStyle w:val="TableTitle"/>
              <w:ind w:left="0"/>
              <w:rPr>
                <w:rFonts w:asciiTheme="minorHAnsi" w:hAnsiTheme="minorHAnsi"/>
                <w:color w:val="FFFFFF" w:themeColor="background1"/>
                <w:sz w:val="20"/>
                <w:szCs w:val="20"/>
              </w:rPr>
            </w:pPr>
            <w:r w:rsidRPr="00A4536D">
              <w:rPr>
                <w:rFonts w:asciiTheme="minorHAnsi" w:hAnsiTheme="minorHAnsi"/>
                <w:bCs/>
                <w:color w:val="FFFFFF" w:themeColor="background1"/>
                <w:sz w:val="20"/>
                <w:szCs w:val="20"/>
              </w:rPr>
              <w:t>2005-01 (n</w:t>
            </w:r>
            <w:r w:rsidR="0073259E">
              <w:rPr>
                <w:rFonts w:asciiTheme="minorHAnsi" w:hAnsiTheme="minorHAnsi"/>
                <w:bCs/>
                <w:color w:val="FFFFFF" w:themeColor="background1"/>
                <w:sz w:val="20"/>
                <w:szCs w:val="20"/>
              </w:rPr>
              <w:t xml:space="preserve"> </w:t>
            </w:r>
            <w:r w:rsidRPr="00A4536D">
              <w:rPr>
                <w:rFonts w:asciiTheme="minorHAnsi" w:hAnsiTheme="minorHAnsi"/>
                <w:bCs/>
                <w:color w:val="FFFFFF" w:themeColor="background1"/>
                <w:sz w:val="20"/>
                <w:szCs w:val="20"/>
              </w:rPr>
              <w:t>=</w:t>
            </w:r>
            <w:r w:rsidR="0073259E">
              <w:rPr>
                <w:rFonts w:asciiTheme="minorHAnsi" w:hAnsiTheme="minorHAnsi"/>
                <w:bCs/>
                <w:color w:val="FFFFFF" w:themeColor="background1"/>
                <w:sz w:val="20"/>
                <w:szCs w:val="20"/>
              </w:rPr>
              <w:t xml:space="preserve"> </w:t>
            </w:r>
            <w:r w:rsidRPr="00A4536D">
              <w:rPr>
                <w:rFonts w:asciiTheme="minorHAnsi" w:hAnsiTheme="minorHAnsi"/>
                <w:bCs/>
                <w:color w:val="FFFFFF" w:themeColor="background1"/>
                <w:sz w:val="20"/>
                <w:szCs w:val="20"/>
              </w:rPr>
              <w:t>102)</w:t>
            </w:r>
          </w:p>
        </w:tc>
        <w:tc>
          <w:tcPr>
            <w:tcW w:w="738" w:type="pct"/>
            <w:tcBorders>
              <w:top w:val="single" w:sz="4" w:space="0" w:color="auto"/>
              <w:left w:val="single" w:sz="4" w:space="0" w:color="auto"/>
              <w:bottom w:val="single" w:sz="4" w:space="0" w:color="auto"/>
              <w:right w:val="single" w:sz="4" w:space="0" w:color="auto"/>
            </w:tcBorders>
            <w:shd w:val="clear" w:color="auto" w:fill="006DA7"/>
            <w:hideMark/>
          </w:tcPr>
          <w:p w14:paraId="6D1A7921" w14:textId="77777777" w:rsidR="0052264A" w:rsidRPr="00A4536D" w:rsidRDefault="0052264A" w:rsidP="0052264A">
            <w:pPr>
              <w:pStyle w:val="TableTitle"/>
              <w:ind w:left="0"/>
              <w:rPr>
                <w:rFonts w:asciiTheme="minorHAnsi" w:hAnsiTheme="minorHAnsi"/>
                <w:bCs/>
                <w:color w:val="FFFFFF" w:themeColor="background1"/>
                <w:sz w:val="20"/>
                <w:szCs w:val="20"/>
              </w:rPr>
            </w:pPr>
            <w:r w:rsidRPr="00A4536D">
              <w:rPr>
                <w:rFonts w:asciiTheme="minorHAnsi" w:hAnsiTheme="minorHAnsi"/>
                <w:bCs/>
                <w:color w:val="FFFFFF" w:themeColor="background1"/>
                <w:sz w:val="20"/>
                <w:szCs w:val="20"/>
              </w:rPr>
              <w:t>99-118</w:t>
            </w:r>
          </w:p>
          <w:p w14:paraId="2BA5D655" w14:textId="77777777" w:rsidR="0052264A" w:rsidRPr="00A4536D" w:rsidRDefault="0052264A" w:rsidP="0052264A">
            <w:pPr>
              <w:pStyle w:val="TableTitle"/>
              <w:ind w:left="0"/>
              <w:rPr>
                <w:rFonts w:asciiTheme="minorHAnsi" w:hAnsiTheme="minorHAnsi"/>
                <w:color w:val="FFFFFF" w:themeColor="background1"/>
                <w:sz w:val="20"/>
                <w:szCs w:val="20"/>
              </w:rPr>
            </w:pPr>
            <w:r w:rsidRPr="00A4536D">
              <w:rPr>
                <w:rFonts w:asciiTheme="minorHAnsi" w:hAnsiTheme="minorHAnsi"/>
                <w:bCs/>
                <w:color w:val="FFFFFF" w:themeColor="background1"/>
                <w:sz w:val="20"/>
                <w:szCs w:val="20"/>
              </w:rPr>
              <w:t>(n</w:t>
            </w:r>
            <w:r w:rsidR="0073259E">
              <w:rPr>
                <w:rFonts w:asciiTheme="minorHAnsi" w:hAnsiTheme="minorHAnsi"/>
                <w:bCs/>
                <w:color w:val="FFFFFF" w:themeColor="background1"/>
                <w:sz w:val="20"/>
                <w:szCs w:val="20"/>
              </w:rPr>
              <w:t xml:space="preserve"> </w:t>
            </w:r>
            <w:r w:rsidRPr="00A4536D">
              <w:rPr>
                <w:rFonts w:asciiTheme="minorHAnsi" w:hAnsiTheme="minorHAnsi"/>
                <w:bCs/>
                <w:color w:val="FFFFFF" w:themeColor="background1"/>
                <w:sz w:val="20"/>
                <w:szCs w:val="20"/>
              </w:rPr>
              <w:t>=</w:t>
            </w:r>
            <w:r w:rsidR="0073259E">
              <w:rPr>
                <w:rFonts w:asciiTheme="minorHAnsi" w:hAnsiTheme="minorHAnsi"/>
                <w:bCs/>
                <w:color w:val="FFFFFF" w:themeColor="background1"/>
                <w:sz w:val="20"/>
                <w:szCs w:val="20"/>
              </w:rPr>
              <w:t xml:space="preserve"> </w:t>
            </w:r>
            <w:r w:rsidRPr="00A4536D">
              <w:rPr>
                <w:rFonts w:asciiTheme="minorHAnsi" w:hAnsiTheme="minorHAnsi"/>
                <w:bCs/>
                <w:color w:val="FFFFFF" w:themeColor="background1"/>
                <w:sz w:val="20"/>
                <w:szCs w:val="20"/>
              </w:rPr>
              <w:t>75)</w:t>
            </w:r>
          </w:p>
        </w:tc>
        <w:tc>
          <w:tcPr>
            <w:tcW w:w="736" w:type="pct"/>
            <w:tcBorders>
              <w:top w:val="single" w:sz="4" w:space="0" w:color="auto"/>
              <w:left w:val="single" w:sz="4" w:space="0" w:color="auto"/>
              <w:bottom w:val="single" w:sz="4" w:space="0" w:color="auto"/>
              <w:right w:val="single" w:sz="4" w:space="0" w:color="auto"/>
            </w:tcBorders>
            <w:shd w:val="clear" w:color="auto" w:fill="006DA7"/>
            <w:hideMark/>
          </w:tcPr>
          <w:p w14:paraId="141C51B9" w14:textId="77777777" w:rsidR="0052264A" w:rsidRPr="00A4536D" w:rsidRDefault="0052264A" w:rsidP="0052264A">
            <w:pPr>
              <w:pStyle w:val="TableTitle"/>
              <w:ind w:left="0"/>
              <w:rPr>
                <w:rFonts w:asciiTheme="minorHAnsi" w:hAnsiTheme="minorHAnsi"/>
                <w:color w:val="FFFFFF" w:themeColor="background1"/>
                <w:sz w:val="20"/>
                <w:szCs w:val="20"/>
              </w:rPr>
            </w:pPr>
            <w:r w:rsidRPr="00A4536D">
              <w:rPr>
                <w:rFonts w:asciiTheme="minorHAnsi" w:hAnsiTheme="minorHAnsi"/>
                <w:bCs/>
                <w:color w:val="FFFFFF" w:themeColor="background1"/>
                <w:sz w:val="20"/>
                <w:szCs w:val="20"/>
              </w:rPr>
              <w:t>2006-05 (n</w:t>
            </w:r>
            <w:r w:rsidR="0073259E">
              <w:rPr>
                <w:rFonts w:asciiTheme="minorHAnsi" w:hAnsiTheme="minorHAnsi"/>
                <w:bCs/>
                <w:color w:val="FFFFFF" w:themeColor="background1"/>
                <w:sz w:val="20"/>
                <w:szCs w:val="20"/>
              </w:rPr>
              <w:t xml:space="preserve"> </w:t>
            </w:r>
            <w:r w:rsidRPr="00A4536D">
              <w:rPr>
                <w:rFonts w:asciiTheme="minorHAnsi" w:hAnsiTheme="minorHAnsi"/>
                <w:bCs/>
                <w:color w:val="FFFFFF" w:themeColor="background1"/>
                <w:sz w:val="20"/>
                <w:szCs w:val="20"/>
              </w:rPr>
              <w:t>=</w:t>
            </w:r>
            <w:r w:rsidR="0073259E">
              <w:rPr>
                <w:rFonts w:asciiTheme="minorHAnsi" w:hAnsiTheme="minorHAnsi"/>
                <w:bCs/>
                <w:color w:val="FFFFFF" w:themeColor="background1"/>
                <w:sz w:val="20"/>
                <w:szCs w:val="20"/>
              </w:rPr>
              <w:t xml:space="preserve"> </w:t>
            </w:r>
            <w:r w:rsidRPr="00A4536D">
              <w:rPr>
                <w:rFonts w:asciiTheme="minorHAnsi" w:hAnsiTheme="minorHAnsi"/>
                <w:bCs/>
                <w:color w:val="FFFFFF" w:themeColor="background1"/>
                <w:sz w:val="20"/>
                <w:szCs w:val="20"/>
              </w:rPr>
              <w:t>351)</w:t>
            </w:r>
          </w:p>
        </w:tc>
        <w:tc>
          <w:tcPr>
            <w:tcW w:w="892" w:type="pct"/>
            <w:tcBorders>
              <w:top w:val="single" w:sz="4" w:space="0" w:color="auto"/>
              <w:left w:val="single" w:sz="4" w:space="0" w:color="auto"/>
              <w:bottom w:val="single" w:sz="4" w:space="0" w:color="auto"/>
              <w:right w:val="single" w:sz="4" w:space="0" w:color="auto"/>
            </w:tcBorders>
            <w:shd w:val="clear" w:color="auto" w:fill="006DA7"/>
            <w:hideMark/>
          </w:tcPr>
          <w:p w14:paraId="1D77EDB1" w14:textId="77777777" w:rsidR="0052264A" w:rsidRPr="00A4536D" w:rsidRDefault="0052264A" w:rsidP="0052264A">
            <w:pPr>
              <w:pStyle w:val="TableTitle"/>
              <w:ind w:left="0"/>
              <w:rPr>
                <w:rFonts w:asciiTheme="minorHAnsi" w:hAnsiTheme="minorHAnsi"/>
                <w:color w:val="FFFFFF" w:themeColor="background1"/>
                <w:sz w:val="20"/>
                <w:szCs w:val="20"/>
              </w:rPr>
            </w:pPr>
            <w:r w:rsidRPr="00A4536D">
              <w:rPr>
                <w:rFonts w:asciiTheme="minorHAnsi" w:hAnsiTheme="minorHAnsi"/>
                <w:bCs/>
                <w:color w:val="FFFFFF" w:themeColor="background1"/>
                <w:sz w:val="20"/>
                <w:szCs w:val="20"/>
              </w:rPr>
              <w:t>Total Defibrotide (n</w:t>
            </w:r>
            <w:r w:rsidR="0073259E">
              <w:rPr>
                <w:rFonts w:asciiTheme="minorHAnsi" w:hAnsiTheme="minorHAnsi"/>
                <w:bCs/>
                <w:color w:val="FFFFFF" w:themeColor="background1"/>
                <w:sz w:val="20"/>
                <w:szCs w:val="20"/>
              </w:rPr>
              <w:t xml:space="preserve"> </w:t>
            </w:r>
            <w:r w:rsidRPr="00A4536D">
              <w:rPr>
                <w:rFonts w:asciiTheme="minorHAnsi" w:hAnsiTheme="minorHAnsi"/>
                <w:bCs/>
                <w:color w:val="FFFFFF" w:themeColor="background1"/>
                <w:sz w:val="20"/>
                <w:szCs w:val="20"/>
              </w:rPr>
              <w:t>=</w:t>
            </w:r>
            <w:r w:rsidR="0073259E">
              <w:rPr>
                <w:rFonts w:asciiTheme="minorHAnsi" w:hAnsiTheme="minorHAnsi"/>
                <w:bCs/>
                <w:color w:val="FFFFFF" w:themeColor="background1"/>
                <w:sz w:val="20"/>
                <w:szCs w:val="20"/>
              </w:rPr>
              <w:t xml:space="preserve"> </w:t>
            </w:r>
            <w:r w:rsidRPr="00A4536D">
              <w:rPr>
                <w:rFonts w:asciiTheme="minorHAnsi" w:hAnsiTheme="minorHAnsi"/>
                <w:bCs/>
                <w:color w:val="FFFFFF" w:themeColor="background1"/>
                <w:sz w:val="20"/>
                <w:szCs w:val="20"/>
              </w:rPr>
              <w:t>528)</w:t>
            </w:r>
          </w:p>
        </w:tc>
      </w:tr>
      <w:tr w:rsidR="0052264A" w:rsidRPr="00A4536D" w14:paraId="1B69DA29" w14:textId="77777777" w:rsidTr="006D5E69">
        <w:trPr>
          <w:trHeight w:val="283"/>
        </w:trPr>
        <w:tc>
          <w:tcPr>
            <w:tcW w:w="5000" w:type="pct"/>
            <w:gridSpan w:val="5"/>
            <w:tcBorders>
              <w:top w:val="single" w:sz="4" w:space="0" w:color="auto"/>
            </w:tcBorders>
            <w:shd w:val="clear" w:color="auto" w:fill="C6D4E9"/>
            <w:hideMark/>
          </w:tcPr>
          <w:p w14:paraId="4CA61B15" w14:textId="77777777" w:rsidR="0052264A" w:rsidRPr="00A4536D" w:rsidRDefault="0052264A" w:rsidP="0052264A">
            <w:pPr>
              <w:pStyle w:val="TableTitle"/>
              <w:ind w:left="0" w:right="0"/>
              <w:rPr>
                <w:rFonts w:asciiTheme="minorHAnsi" w:hAnsiTheme="minorHAnsi"/>
                <w:sz w:val="20"/>
                <w:szCs w:val="20"/>
              </w:rPr>
            </w:pPr>
            <w:r w:rsidRPr="00A4536D">
              <w:rPr>
                <w:rFonts w:asciiTheme="minorHAnsi" w:hAnsiTheme="minorHAnsi"/>
                <w:bCs/>
                <w:sz w:val="20"/>
                <w:szCs w:val="20"/>
              </w:rPr>
              <w:t>Adu</w:t>
            </w:r>
            <w:r w:rsidRPr="006D5E69">
              <w:rPr>
                <w:rFonts w:asciiTheme="minorHAnsi" w:hAnsiTheme="minorHAnsi"/>
                <w:bCs/>
                <w:sz w:val="20"/>
                <w:szCs w:val="20"/>
                <w:shd w:val="clear" w:color="auto" w:fill="C6D4E9"/>
              </w:rPr>
              <w:t>lt (&gt;</w:t>
            </w:r>
            <w:r w:rsidR="0073259E" w:rsidRPr="006D5E69">
              <w:rPr>
                <w:rFonts w:asciiTheme="minorHAnsi" w:hAnsiTheme="minorHAnsi"/>
                <w:bCs/>
                <w:sz w:val="20"/>
                <w:szCs w:val="20"/>
                <w:shd w:val="clear" w:color="auto" w:fill="C6D4E9"/>
              </w:rPr>
              <w:t xml:space="preserve"> </w:t>
            </w:r>
            <w:r w:rsidRPr="006D5E69">
              <w:rPr>
                <w:rFonts w:asciiTheme="minorHAnsi" w:hAnsiTheme="minorHAnsi"/>
                <w:bCs/>
                <w:sz w:val="20"/>
                <w:szCs w:val="20"/>
                <w:shd w:val="clear" w:color="auto" w:fill="C6D4E9"/>
              </w:rPr>
              <w:t>16 years)</w:t>
            </w:r>
          </w:p>
        </w:tc>
      </w:tr>
      <w:tr w:rsidR="0052264A" w:rsidRPr="00A4536D" w14:paraId="35E6CA10" w14:textId="77777777" w:rsidTr="009030A6">
        <w:trPr>
          <w:trHeight w:val="283"/>
        </w:trPr>
        <w:tc>
          <w:tcPr>
            <w:tcW w:w="1897" w:type="pct"/>
            <w:hideMark/>
          </w:tcPr>
          <w:p w14:paraId="46E30F17" w14:textId="77777777" w:rsidR="0052264A" w:rsidRPr="0073259E" w:rsidRDefault="0052264A" w:rsidP="0052264A">
            <w:pPr>
              <w:pStyle w:val="TableTitle"/>
              <w:ind w:left="0" w:right="0"/>
              <w:rPr>
                <w:b w:val="0"/>
                <w:sz w:val="20"/>
                <w:szCs w:val="20"/>
              </w:rPr>
            </w:pPr>
            <w:r w:rsidRPr="0073259E">
              <w:rPr>
                <w:b w:val="0"/>
                <w:sz w:val="20"/>
                <w:szCs w:val="20"/>
              </w:rPr>
              <w:t>N (%) in respective study</w:t>
            </w:r>
          </w:p>
        </w:tc>
        <w:tc>
          <w:tcPr>
            <w:tcW w:w="737" w:type="pct"/>
            <w:hideMark/>
          </w:tcPr>
          <w:p w14:paraId="0FC6C80A" w14:textId="77777777" w:rsidR="0052264A" w:rsidRPr="0073259E" w:rsidRDefault="0052264A" w:rsidP="0052264A">
            <w:pPr>
              <w:pStyle w:val="TableTitle"/>
              <w:ind w:left="0" w:right="0"/>
              <w:rPr>
                <w:b w:val="0"/>
                <w:sz w:val="20"/>
                <w:szCs w:val="20"/>
              </w:rPr>
            </w:pPr>
            <w:r w:rsidRPr="0073259E">
              <w:rPr>
                <w:b w:val="0"/>
                <w:sz w:val="20"/>
                <w:szCs w:val="20"/>
              </w:rPr>
              <w:t>58 (56.9)</w:t>
            </w:r>
          </w:p>
        </w:tc>
        <w:tc>
          <w:tcPr>
            <w:tcW w:w="738" w:type="pct"/>
            <w:hideMark/>
          </w:tcPr>
          <w:p w14:paraId="57F4E393" w14:textId="77777777" w:rsidR="0052264A" w:rsidRPr="0073259E" w:rsidRDefault="0052264A" w:rsidP="0052264A">
            <w:pPr>
              <w:pStyle w:val="TableTitle"/>
              <w:ind w:left="0" w:right="0"/>
              <w:rPr>
                <w:b w:val="0"/>
                <w:sz w:val="20"/>
                <w:szCs w:val="20"/>
              </w:rPr>
            </w:pPr>
            <w:r w:rsidRPr="0073259E">
              <w:rPr>
                <w:b w:val="0"/>
                <w:sz w:val="20"/>
                <w:szCs w:val="20"/>
              </w:rPr>
              <w:t>53 (70.7)</w:t>
            </w:r>
          </w:p>
        </w:tc>
        <w:tc>
          <w:tcPr>
            <w:tcW w:w="736" w:type="pct"/>
            <w:hideMark/>
          </w:tcPr>
          <w:p w14:paraId="68CB643A" w14:textId="77777777" w:rsidR="0052264A" w:rsidRPr="0073259E" w:rsidRDefault="0052264A" w:rsidP="0052264A">
            <w:pPr>
              <w:pStyle w:val="TableTitle"/>
              <w:ind w:left="0" w:right="0"/>
              <w:rPr>
                <w:b w:val="0"/>
                <w:sz w:val="20"/>
                <w:szCs w:val="20"/>
              </w:rPr>
            </w:pPr>
            <w:r w:rsidRPr="0073259E">
              <w:rPr>
                <w:b w:val="0"/>
                <w:sz w:val="20"/>
                <w:szCs w:val="20"/>
              </w:rPr>
              <w:t>162 (46.2)</w:t>
            </w:r>
          </w:p>
        </w:tc>
        <w:tc>
          <w:tcPr>
            <w:tcW w:w="892" w:type="pct"/>
            <w:hideMark/>
          </w:tcPr>
          <w:p w14:paraId="5DD0FF80" w14:textId="77777777" w:rsidR="0052264A" w:rsidRPr="0073259E" w:rsidRDefault="0052264A" w:rsidP="0052264A">
            <w:pPr>
              <w:pStyle w:val="TableTitle"/>
              <w:ind w:left="0" w:right="0"/>
              <w:rPr>
                <w:b w:val="0"/>
                <w:sz w:val="20"/>
                <w:szCs w:val="20"/>
              </w:rPr>
            </w:pPr>
            <w:r w:rsidRPr="0073259E">
              <w:rPr>
                <w:b w:val="0"/>
                <w:sz w:val="20"/>
                <w:szCs w:val="20"/>
              </w:rPr>
              <w:t>273 (51.7)</w:t>
            </w:r>
          </w:p>
        </w:tc>
      </w:tr>
      <w:tr w:rsidR="0052264A" w:rsidRPr="00A4536D" w14:paraId="554B8345" w14:textId="77777777" w:rsidTr="009030A6">
        <w:trPr>
          <w:trHeight w:val="283"/>
        </w:trPr>
        <w:tc>
          <w:tcPr>
            <w:tcW w:w="1897" w:type="pct"/>
            <w:hideMark/>
          </w:tcPr>
          <w:p w14:paraId="71E28540" w14:textId="77777777" w:rsidR="0052264A" w:rsidRPr="0073259E" w:rsidRDefault="0052264A" w:rsidP="0052264A">
            <w:pPr>
              <w:pStyle w:val="TableTitle"/>
              <w:ind w:left="0" w:right="0"/>
              <w:rPr>
                <w:b w:val="0"/>
                <w:sz w:val="20"/>
                <w:szCs w:val="20"/>
              </w:rPr>
            </w:pPr>
            <w:r w:rsidRPr="0073259E">
              <w:rPr>
                <w:b w:val="0"/>
                <w:sz w:val="20"/>
                <w:szCs w:val="20"/>
              </w:rPr>
              <w:t>Survival at Day</w:t>
            </w:r>
            <w:r w:rsidR="0073259E" w:rsidRPr="0073259E">
              <w:rPr>
                <w:b w:val="0"/>
                <w:sz w:val="20"/>
                <w:szCs w:val="20"/>
              </w:rPr>
              <w:t xml:space="preserve"> </w:t>
            </w:r>
            <w:r w:rsidRPr="0073259E">
              <w:rPr>
                <w:b w:val="0"/>
                <w:sz w:val="20"/>
                <w:szCs w:val="20"/>
              </w:rPr>
              <w:t>+</w:t>
            </w:r>
            <w:r w:rsidR="0073259E" w:rsidRPr="0073259E">
              <w:rPr>
                <w:b w:val="0"/>
                <w:sz w:val="20"/>
                <w:szCs w:val="20"/>
              </w:rPr>
              <w:t xml:space="preserve"> </w:t>
            </w:r>
            <w:r w:rsidRPr="0073259E">
              <w:rPr>
                <w:b w:val="0"/>
                <w:sz w:val="20"/>
                <w:szCs w:val="20"/>
              </w:rPr>
              <w:t>100 (%)</w:t>
            </w:r>
          </w:p>
        </w:tc>
        <w:tc>
          <w:tcPr>
            <w:tcW w:w="737" w:type="pct"/>
            <w:hideMark/>
          </w:tcPr>
          <w:p w14:paraId="1A1EE65B" w14:textId="77777777" w:rsidR="0052264A" w:rsidRPr="0073259E" w:rsidRDefault="0052264A" w:rsidP="0052264A">
            <w:pPr>
              <w:pStyle w:val="TableTitle"/>
              <w:ind w:left="0" w:right="0"/>
              <w:rPr>
                <w:b w:val="0"/>
                <w:sz w:val="20"/>
                <w:szCs w:val="20"/>
              </w:rPr>
            </w:pPr>
            <w:r w:rsidRPr="0073259E">
              <w:rPr>
                <w:b w:val="0"/>
                <w:sz w:val="20"/>
                <w:szCs w:val="20"/>
              </w:rPr>
              <w:t>17 (29.3)</w:t>
            </w:r>
          </w:p>
        </w:tc>
        <w:tc>
          <w:tcPr>
            <w:tcW w:w="738" w:type="pct"/>
            <w:hideMark/>
          </w:tcPr>
          <w:p w14:paraId="2E77FF83" w14:textId="77777777" w:rsidR="0052264A" w:rsidRPr="0073259E" w:rsidRDefault="0052264A" w:rsidP="0052264A">
            <w:pPr>
              <w:pStyle w:val="TableTitle"/>
              <w:ind w:left="0" w:right="0"/>
              <w:rPr>
                <w:b w:val="0"/>
                <w:sz w:val="20"/>
                <w:szCs w:val="20"/>
              </w:rPr>
            </w:pPr>
            <w:r w:rsidRPr="0073259E">
              <w:rPr>
                <w:b w:val="0"/>
                <w:sz w:val="20"/>
                <w:szCs w:val="20"/>
              </w:rPr>
              <w:t>18 (34.0)</w:t>
            </w:r>
          </w:p>
        </w:tc>
        <w:tc>
          <w:tcPr>
            <w:tcW w:w="736" w:type="pct"/>
            <w:hideMark/>
          </w:tcPr>
          <w:p w14:paraId="4C91FEE2" w14:textId="77777777" w:rsidR="0052264A" w:rsidRPr="0073259E" w:rsidRDefault="0052264A" w:rsidP="0052264A">
            <w:pPr>
              <w:pStyle w:val="TableTitle"/>
              <w:ind w:left="0" w:right="0"/>
              <w:rPr>
                <w:b w:val="0"/>
                <w:sz w:val="20"/>
                <w:szCs w:val="20"/>
              </w:rPr>
            </w:pPr>
            <w:r w:rsidRPr="0073259E">
              <w:rPr>
                <w:b w:val="0"/>
                <w:sz w:val="20"/>
                <w:szCs w:val="20"/>
              </w:rPr>
              <w:t>65 (40.1)</w:t>
            </w:r>
          </w:p>
        </w:tc>
        <w:tc>
          <w:tcPr>
            <w:tcW w:w="892" w:type="pct"/>
            <w:hideMark/>
          </w:tcPr>
          <w:p w14:paraId="17EC0A15" w14:textId="77777777" w:rsidR="0052264A" w:rsidRPr="0073259E" w:rsidRDefault="0052264A" w:rsidP="0052264A">
            <w:pPr>
              <w:pStyle w:val="TableTitle"/>
              <w:ind w:left="0" w:right="0"/>
              <w:rPr>
                <w:b w:val="0"/>
                <w:sz w:val="20"/>
                <w:szCs w:val="20"/>
              </w:rPr>
            </w:pPr>
            <w:r w:rsidRPr="0073259E">
              <w:rPr>
                <w:b w:val="0"/>
                <w:sz w:val="20"/>
                <w:szCs w:val="20"/>
              </w:rPr>
              <w:t>100 (36.6)</w:t>
            </w:r>
          </w:p>
        </w:tc>
      </w:tr>
      <w:tr w:rsidR="0052264A" w:rsidRPr="00A4536D" w14:paraId="5C1B3A27" w14:textId="77777777" w:rsidTr="006D5E69">
        <w:trPr>
          <w:trHeight w:val="283"/>
        </w:trPr>
        <w:tc>
          <w:tcPr>
            <w:tcW w:w="5000" w:type="pct"/>
            <w:gridSpan w:val="5"/>
            <w:shd w:val="clear" w:color="auto" w:fill="C6D4E9"/>
            <w:hideMark/>
          </w:tcPr>
          <w:p w14:paraId="4CF7DE62" w14:textId="77777777" w:rsidR="0052264A" w:rsidRPr="00A4536D" w:rsidRDefault="0052264A" w:rsidP="0052264A">
            <w:pPr>
              <w:pStyle w:val="TableTitle"/>
              <w:ind w:left="0" w:right="0"/>
              <w:rPr>
                <w:rFonts w:asciiTheme="minorHAnsi" w:hAnsiTheme="minorHAnsi"/>
                <w:sz w:val="20"/>
                <w:szCs w:val="20"/>
              </w:rPr>
            </w:pPr>
            <w:r w:rsidRPr="00A4536D">
              <w:rPr>
                <w:rFonts w:asciiTheme="minorHAnsi" w:hAnsiTheme="minorHAnsi"/>
                <w:bCs/>
                <w:sz w:val="20"/>
                <w:szCs w:val="20"/>
              </w:rPr>
              <w:t>Paediat</w:t>
            </w:r>
            <w:r w:rsidRPr="006D5E69">
              <w:rPr>
                <w:rFonts w:asciiTheme="minorHAnsi" w:hAnsiTheme="minorHAnsi"/>
                <w:bCs/>
                <w:sz w:val="20"/>
                <w:szCs w:val="20"/>
                <w:shd w:val="clear" w:color="auto" w:fill="C6D4E9"/>
              </w:rPr>
              <w:t>ric (≤ 16 years)</w:t>
            </w:r>
          </w:p>
        </w:tc>
      </w:tr>
      <w:tr w:rsidR="0052264A" w:rsidRPr="00A4536D" w14:paraId="21993A43" w14:textId="77777777" w:rsidTr="009030A6">
        <w:trPr>
          <w:trHeight w:val="283"/>
        </w:trPr>
        <w:tc>
          <w:tcPr>
            <w:tcW w:w="1897" w:type="pct"/>
            <w:hideMark/>
          </w:tcPr>
          <w:p w14:paraId="1B92E13B" w14:textId="77777777" w:rsidR="0052264A" w:rsidRPr="0073259E" w:rsidRDefault="0052264A" w:rsidP="0052264A">
            <w:pPr>
              <w:pStyle w:val="TableTitle"/>
              <w:ind w:left="0" w:right="0"/>
              <w:rPr>
                <w:b w:val="0"/>
                <w:sz w:val="20"/>
                <w:szCs w:val="20"/>
              </w:rPr>
            </w:pPr>
            <w:r w:rsidRPr="0073259E">
              <w:rPr>
                <w:b w:val="0"/>
                <w:sz w:val="20"/>
                <w:szCs w:val="20"/>
              </w:rPr>
              <w:t>N (%) in respective study</w:t>
            </w:r>
          </w:p>
        </w:tc>
        <w:tc>
          <w:tcPr>
            <w:tcW w:w="737" w:type="pct"/>
            <w:hideMark/>
          </w:tcPr>
          <w:p w14:paraId="6CD75FF5" w14:textId="77777777" w:rsidR="0052264A" w:rsidRPr="0073259E" w:rsidRDefault="0052264A" w:rsidP="0052264A">
            <w:pPr>
              <w:pStyle w:val="TableTitle"/>
              <w:ind w:left="0" w:right="0"/>
              <w:rPr>
                <w:b w:val="0"/>
                <w:sz w:val="20"/>
                <w:szCs w:val="20"/>
              </w:rPr>
            </w:pPr>
            <w:r w:rsidRPr="0073259E">
              <w:rPr>
                <w:b w:val="0"/>
                <w:sz w:val="20"/>
                <w:szCs w:val="20"/>
              </w:rPr>
              <w:t>44 (43.1)</w:t>
            </w:r>
          </w:p>
        </w:tc>
        <w:tc>
          <w:tcPr>
            <w:tcW w:w="738" w:type="pct"/>
            <w:hideMark/>
          </w:tcPr>
          <w:p w14:paraId="1D893DCE" w14:textId="77777777" w:rsidR="0052264A" w:rsidRPr="0073259E" w:rsidRDefault="0052264A" w:rsidP="0052264A">
            <w:pPr>
              <w:pStyle w:val="TableTitle"/>
              <w:ind w:left="0" w:right="0"/>
              <w:rPr>
                <w:b w:val="0"/>
                <w:sz w:val="20"/>
                <w:szCs w:val="20"/>
              </w:rPr>
            </w:pPr>
            <w:r w:rsidRPr="0073259E">
              <w:rPr>
                <w:b w:val="0"/>
                <w:sz w:val="20"/>
                <w:szCs w:val="20"/>
              </w:rPr>
              <w:t>22 (29.3)</w:t>
            </w:r>
          </w:p>
        </w:tc>
        <w:tc>
          <w:tcPr>
            <w:tcW w:w="736" w:type="pct"/>
            <w:hideMark/>
          </w:tcPr>
          <w:p w14:paraId="3514CECB" w14:textId="77777777" w:rsidR="0052264A" w:rsidRPr="0073259E" w:rsidRDefault="0052264A" w:rsidP="0052264A">
            <w:pPr>
              <w:pStyle w:val="TableTitle"/>
              <w:ind w:left="0" w:right="0"/>
              <w:rPr>
                <w:b w:val="0"/>
                <w:sz w:val="20"/>
                <w:szCs w:val="20"/>
              </w:rPr>
            </w:pPr>
            <w:r w:rsidRPr="0073259E">
              <w:rPr>
                <w:b w:val="0"/>
                <w:sz w:val="20"/>
                <w:szCs w:val="20"/>
              </w:rPr>
              <w:t>189 (53.8)</w:t>
            </w:r>
          </w:p>
        </w:tc>
        <w:tc>
          <w:tcPr>
            <w:tcW w:w="892" w:type="pct"/>
            <w:hideMark/>
          </w:tcPr>
          <w:p w14:paraId="7A4E1C1B" w14:textId="77777777" w:rsidR="0052264A" w:rsidRPr="0073259E" w:rsidRDefault="0052264A" w:rsidP="0052264A">
            <w:pPr>
              <w:pStyle w:val="TableTitle"/>
              <w:ind w:left="0" w:right="0"/>
              <w:rPr>
                <w:b w:val="0"/>
                <w:sz w:val="20"/>
                <w:szCs w:val="20"/>
              </w:rPr>
            </w:pPr>
            <w:r w:rsidRPr="0073259E">
              <w:rPr>
                <w:b w:val="0"/>
                <w:sz w:val="20"/>
                <w:szCs w:val="20"/>
              </w:rPr>
              <w:t>255 (48.3)</w:t>
            </w:r>
          </w:p>
        </w:tc>
      </w:tr>
      <w:tr w:rsidR="0052264A" w:rsidRPr="00A4536D" w14:paraId="23AFB815" w14:textId="77777777" w:rsidTr="009030A6">
        <w:trPr>
          <w:trHeight w:val="283"/>
        </w:trPr>
        <w:tc>
          <w:tcPr>
            <w:tcW w:w="1897" w:type="pct"/>
            <w:hideMark/>
          </w:tcPr>
          <w:p w14:paraId="0E5CD8F6" w14:textId="77777777" w:rsidR="0052264A" w:rsidRPr="0073259E" w:rsidRDefault="0052264A" w:rsidP="0052264A">
            <w:pPr>
              <w:pStyle w:val="TableTitle"/>
              <w:ind w:left="0" w:right="0"/>
              <w:rPr>
                <w:b w:val="0"/>
                <w:sz w:val="20"/>
                <w:szCs w:val="20"/>
              </w:rPr>
            </w:pPr>
            <w:r w:rsidRPr="0073259E">
              <w:rPr>
                <w:b w:val="0"/>
                <w:sz w:val="20"/>
                <w:szCs w:val="20"/>
              </w:rPr>
              <w:t>Survival at Day</w:t>
            </w:r>
            <w:r w:rsidR="0073259E" w:rsidRPr="0073259E">
              <w:rPr>
                <w:b w:val="0"/>
                <w:sz w:val="20"/>
                <w:szCs w:val="20"/>
              </w:rPr>
              <w:t xml:space="preserve"> </w:t>
            </w:r>
            <w:r w:rsidRPr="0073259E">
              <w:rPr>
                <w:b w:val="0"/>
                <w:sz w:val="20"/>
                <w:szCs w:val="20"/>
              </w:rPr>
              <w:t>+</w:t>
            </w:r>
            <w:r w:rsidR="0073259E" w:rsidRPr="0073259E">
              <w:rPr>
                <w:b w:val="0"/>
                <w:sz w:val="20"/>
                <w:szCs w:val="20"/>
              </w:rPr>
              <w:t xml:space="preserve"> </w:t>
            </w:r>
            <w:r w:rsidRPr="0073259E">
              <w:rPr>
                <w:b w:val="0"/>
                <w:sz w:val="20"/>
                <w:szCs w:val="20"/>
              </w:rPr>
              <w:t>100 (%)</w:t>
            </w:r>
          </w:p>
        </w:tc>
        <w:tc>
          <w:tcPr>
            <w:tcW w:w="737" w:type="pct"/>
            <w:hideMark/>
          </w:tcPr>
          <w:p w14:paraId="1AFC06D3" w14:textId="77777777" w:rsidR="0052264A" w:rsidRPr="0073259E" w:rsidRDefault="0052264A" w:rsidP="0052264A">
            <w:pPr>
              <w:pStyle w:val="TableTitle"/>
              <w:ind w:left="0" w:right="0"/>
              <w:rPr>
                <w:b w:val="0"/>
                <w:sz w:val="20"/>
                <w:szCs w:val="20"/>
              </w:rPr>
            </w:pPr>
            <w:r w:rsidRPr="0073259E">
              <w:rPr>
                <w:b w:val="0"/>
                <w:sz w:val="20"/>
                <w:szCs w:val="20"/>
              </w:rPr>
              <w:t>22 (50.0)</w:t>
            </w:r>
          </w:p>
        </w:tc>
        <w:tc>
          <w:tcPr>
            <w:tcW w:w="738" w:type="pct"/>
            <w:hideMark/>
          </w:tcPr>
          <w:p w14:paraId="519E7BA2" w14:textId="77777777" w:rsidR="0052264A" w:rsidRPr="0073259E" w:rsidRDefault="0052264A" w:rsidP="0052264A">
            <w:pPr>
              <w:pStyle w:val="TableTitle"/>
              <w:ind w:left="0" w:right="0"/>
              <w:rPr>
                <w:b w:val="0"/>
                <w:sz w:val="20"/>
                <w:szCs w:val="20"/>
              </w:rPr>
            </w:pPr>
            <w:r w:rsidRPr="0073259E">
              <w:rPr>
                <w:b w:val="0"/>
                <w:sz w:val="20"/>
                <w:szCs w:val="20"/>
              </w:rPr>
              <w:t>15 (68.2)</w:t>
            </w:r>
          </w:p>
        </w:tc>
        <w:tc>
          <w:tcPr>
            <w:tcW w:w="736" w:type="pct"/>
            <w:hideMark/>
          </w:tcPr>
          <w:p w14:paraId="47F9CB6B" w14:textId="77777777" w:rsidR="0052264A" w:rsidRPr="0073259E" w:rsidRDefault="0052264A" w:rsidP="0052264A">
            <w:pPr>
              <w:pStyle w:val="TableTitle"/>
              <w:ind w:left="0" w:right="0"/>
              <w:rPr>
                <w:b w:val="0"/>
                <w:sz w:val="20"/>
                <w:szCs w:val="20"/>
              </w:rPr>
            </w:pPr>
            <w:r w:rsidRPr="0073259E">
              <w:rPr>
                <w:b w:val="0"/>
                <w:sz w:val="20"/>
                <w:szCs w:val="20"/>
              </w:rPr>
              <w:t>94 (49.7)</w:t>
            </w:r>
          </w:p>
        </w:tc>
        <w:tc>
          <w:tcPr>
            <w:tcW w:w="892" w:type="pct"/>
            <w:hideMark/>
          </w:tcPr>
          <w:p w14:paraId="54FDB258" w14:textId="77777777" w:rsidR="0052264A" w:rsidRPr="0073259E" w:rsidRDefault="0052264A" w:rsidP="0052264A">
            <w:pPr>
              <w:pStyle w:val="TableTitle"/>
              <w:ind w:left="0" w:right="0"/>
              <w:rPr>
                <w:b w:val="0"/>
                <w:sz w:val="20"/>
                <w:szCs w:val="20"/>
              </w:rPr>
            </w:pPr>
            <w:r w:rsidRPr="0073259E">
              <w:rPr>
                <w:b w:val="0"/>
                <w:sz w:val="20"/>
                <w:szCs w:val="20"/>
              </w:rPr>
              <w:t>131 (51.4)</w:t>
            </w:r>
          </w:p>
        </w:tc>
      </w:tr>
      <w:tr w:rsidR="0052264A" w:rsidRPr="00A4536D" w14:paraId="52A7212B" w14:textId="77777777" w:rsidTr="006D5E69">
        <w:trPr>
          <w:trHeight w:val="283"/>
        </w:trPr>
        <w:tc>
          <w:tcPr>
            <w:tcW w:w="5000" w:type="pct"/>
            <w:gridSpan w:val="5"/>
            <w:shd w:val="clear" w:color="auto" w:fill="C6D4E9"/>
            <w:hideMark/>
          </w:tcPr>
          <w:p w14:paraId="2735B680" w14:textId="77777777" w:rsidR="0052264A" w:rsidRPr="00A4536D" w:rsidRDefault="0073259E" w:rsidP="0052264A">
            <w:pPr>
              <w:pStyle w:val="TableTitle"/>
              <w:ind w:left="0" w:right="0"/>
              <w:rPr>
                <w:rFonts w:asciiTheme="minorHAnsi" w:hAnsiTheme="minorHAnsi"/>
                <w:sz w:val="20"/>
                <w:szCs w:val="20"/>
              </w:rPr>
            </w:pPr>
            <w:r>
              <w:rPr>
                <w:rFonts w:asciiTheme="minorHAnsi" w:hAnsiTheme="minorHAnsi"/>
                <w:bCs/>
                <w:sz w:val="20"/>
                <w:szCs w:val="20"/>
              </w:rPr>
              <w:t xml:space="preserve">Infants/toddlers (0 to </w:t>
            </w:r>
            <w:r w:rsidR="0052264A" w:rsidRPr="00A4536D">
              <w:rPr>
                <w:rFonts w:asciiTheme="minorHAnsi" w:hAnsiTheme="minorHAnsi"/>
                <w:bCs/>
                <w:sz w:val="20"/>
                <w:szCs w:val="20"/>
              </w:rPr>
              <w:t>23 months)</w:t>
            </w:r>
          </w:p>
        </w:tc>
      </w:tr>
      <w:tr w:rsidR="0052264A" w:rsidRPr="00A4536D" w14:paraId="1FE7AC16" w14:textId="77777777" w:rsidTr="009030A6">
        <w:trPr>
          <w:trHeight w:val="283"/>
        </w:trPr>
        <w:tc>
          <w:tcPr>
            <w:tcW w:w="1897" w:type="pct"/>
            <w:hideMark/>
          </w:tcPr>
          <w:p w14:paraId="70B05233" w14:textId="77777777" w:rsidR="0052264A" w:rsidRPr="0073259E" w:rsidRDefault="0052264A" w:rsidP="0052264A">
            <w:pPr>
              <w:pStyle w:val="TableTitle"/>
              <w:ind w:left="0" w:right="0"/>
              <w:rPr>
                <w:b w:val="0"/>
                <w:sz w:val="20"/>
                <w:szCs w:val="20"/>
              </w:rPr>
            </w:pPr>
            <w:r w:rsidRPr="0073259E">
              <w:rPr>
                <w:b w:val="0"/>
                <w:sz w:val="20"/>
                <w:szCs w:val="20"/>
              </w:rPr>
              <w:t>N (%) in respective study</w:t>
            </w:r>
          </w:p>
        </w:tc>
        <w:tc>
          <w:tcPr>
            <w:tcW w:w="737" w:type="pct"/>
            <w:hideMark/>
          </w:tcPr>
          <w:p w14:paraId="374E57BA" w14:textId="77777777" w:rsidR="0052264A" w:rsidRPr="0073259E" w:rsidRDefault="0052264A" w:rsidP="0052264A">
            <w:pPr>
              <w:pStyle w:val="TableTitle"/>
              <w:ind w:left="0" w:right="0"/>
              <w:rPr>
                <w:b w:val="0"/>
                <w:sz w:val="20"/>
                <w:szCs w:val="20"/>
              </w:rPr>
            </w:pPr>
            <w:r w:rsidRPr="0073259E">
              <w:rPr>
                <w:b w:val="0"/>
                <w:sz w:val="20"/>
                <w:szCs w:val="20"/>
              </w:rPr>
              <w:t>17 (38.6)</w:t>
            </w:r>
          </w:p>
        </w:tc>
        <w:tc>
          <w:tcPr>
            <w:tcW w:w="738" w:type="pct"/>
            <w:hideMark/>
          </w:tcPr>
          <w:p w14:paraId="5388554F" w14:textId="77777777" w:rsidR="0052264A" w:rsidRPr="0073259E" w:rsidRDefault="0052264A" w:rsidP="0052264A">
            <w:pPr>
              <w:pStyle w:val="TableTitle"/>
              <w:ind w:left="0" w:right="0"/>
              <w:rPr>
                <w:b w:val="0"/>
                <w:sz w:val="20"/>
                <w:szCs w:val="20"/>
              </w:rPr>
            </w:pPr>
            <w:r w:rsidRPr="0073259E">
              <w:rPr>
                <w:b w:val="0"/>
                <w:sz w:val="20"/>
                <w:szCs w:val="20"/>
              </w:rPr>
              <w:t>5 (22.7)</w:t>
            </w:r>
          </w:p>
        </w:tc>
        <w:tc>
          <w:tcPr>
            <w:tcW w:w="736" w:type="pct"/>
            <w:hideMark/>
          </w:tcPr>
          <w:p w14:paraId="303D9044" w14:textId="77777777" w:rsidR="0052264A" w:rsidRPr="0073259E" w:rsidRDefault="0052264A" w:rsidP="0052264A">
            <w:pPr>
              <w:pStyle w:val="TableTitle"/>
              <w:ind w:left="0" w:right="0"/>
              <w:rPr>
                <w:b w:val="0"/>
                <w:sz w:val="20"/>
                <w:szCs w:val="20"/>
              </w:rPr>
            </w:pPr>
            <w:r w:rsidRPr="0073259E">
              <w:rPr>
                <w:b w:val="0"/>
                <w:sz w:val="20"/>
                <w:szCs w:val="20"/>
              </w:rPr>
              <w:t>54 (28.6)</w:t>
            </w:r>
          </w:p>
        </w:tc>
        <w:tc>
          <w:tcPr>
            <w:tcW w:w="892" w:type="pct"/>
            <w:hideMark/>
          </w:tcPr>
          <w:p w14:paraId="44D44F01" w14:textId="77777777" w:rsidR="0052264A" w:rsidRPr="0073259E" w:rsidRDefault="0052264A" w:rsidP="0052264A">
            <w:pPr>
              <w:pStyle w:val="TableTitle"/>
              <w:ind w:left="0" w:right="0"/>
              <w:rPr>
                <w:b w:val="0"/>
                <w:sz w:val="20"/>
                <w:szCs w:val="20"/>
              </w:rPr>
            </w:pPr>
            <w:r w:rsidRPr="0073259E">
              <w:rPr>
                <w:b w:val="0"/>
                <w:sz w:val="20"/>
                <w:szCs w:val="20"/>
              </w:rPr>
              <w:t>76 (29.8)</w:t>
            </w:r>
          </w:p>
        </w:tc>
      </w:tr>
      <w:tr w:rsidR="0052264A" w:rsidRPr="00A4536D" w14:paraId="685E79A6" w14:textId="77777777" w:rsidTr="009030A6">
        <w:trPr>
          <w:trHeight w:val="283"/>
        </w:trPr>
        <w:tc>
          <w:tcPr>
            <w:tcW w:w="1897" w:type="pct"/>
            <w:hideMark/>
          </w:tcPr>
          <w:p w14:paraId="15C18FDA" w14:textId="77777777" w:rsidR="0052264A" w:rsidRPr="0073259E" w:rsidRDefault="0052264A" w:rsidP="0052264A">
            <w:pPr>
              <w:pStyle w:val="TableTitle"/>
              <w:ind w:left="0" w:right="0"/>
              <w:rPr>
                <w:b w:val="0"/>
                <w:sz w:val="20"/>
                <w:szCs w:val="20"/>
              </w:rPr>
            </w:pPr>
            <w:r w:rsidRPr="0073259E">
              <w:rPr>
                <w:b w:val="0"/>
                <w:sz w:val="20"/>
                <w:szCs w:val="20"/>
              </w:rPr>
              <w:t>Survival at Day</w:t>
            </w:r>
            <w:r w:rsidR="0073259E" w:rsidRPr="0073259E">
              <w:rPr>
                <w:b w:val="0"/>
                <w:sz w:val="20"/>
                <w:szCs w:val="20"/>
              </w:rPr>
              <w:t xml:space="preserve"> </w:t>
            </w:r>
            <w:r w:rsidRPr="0073259E">
              <w:rPr>
                <w:b w:val="0"/>
                <w:sz w:val="20"/>
                <w:szCs w:val="20"/>
              </w:rPr>
              <w:t>+</w:t>
            </w:r>
            <w:r w:rsidR="0073259E" w:rsidRPr="0073259E">
              <w:rPr>
                <w:b w:val="0"/>
                <w:sz w:val="20"/>
                <w:szCs w:val="20"/>
              </w:rPr>
              <w:t xml:space="preserve"> </w:t>
            </w:r>
            <w:r w:rsidRPr="0073259E">
              <w:rPr>
                <w:b w:val="0"/>
                <w:sz w:val="20"/>
                <w:szCs w:val="20"/>
              </w:rPr>
              <w:t>100 (%)</w:t>
            </w:r>
          </w:p>
        </w:tc>
        <w:tc>
          <w:tcPr>
            <w:tcW w:w="737" w:type="pct"/>
            <w:hideMark/>
          </w:tcPr>
          <w:p w14:paraId="3DB85917" w14:textId="77777777" w:rsidR="0052264A" w:rsidRPr="0073259E" w:rsidRDefault="0052264A" w:rsidP="0052264A">
            <w:pPr>
              <w:pStyle w:val="TableTitle"/>
              <w:ind w:left="0" w:right="0"/>
              <w:rPr>
                <w:b w:val="0"/>
                <w:sz w:val="20"/>
                <w:szCs w:val="20"/>
              </w:rPr>
            </w:pPr>
            <w:r w:rsidRPr="0073259E">
              <w:rPr>
                <w:b w:val="0"/>
                <w:sz w:val="20"/>
                <w:szCs w:val="20"/>
              </w:rPr>
              <w:t>4 (23.5)</w:t>
            </w:r>
          </w:p>
        </w:tc>
        <w:tc>
          <w:tcPr>
            <w:tcW w:w="738" w:type="pct"/>
            <w:hideMark/>
          </w:tcPr>
          <w:p w14:paraId="643E985A" w14:textId="77777777" w:rsidR="0052264A" w:rsidRPr="0073259E" w:rsidRDefault="0052264A" w:rsidP="0052264A">
            <w:pPr>
              <w:pStyle w:val="TableTitle"/>
              <w:ind w:left="0" w:right="0"/>
              <w:rPr>
                <w:b w:val="0"/>
                <w:sz w:val="20"/>
                <w:szCs w:val="20"/>
              </w:rPr>
            </w:pPr>
            <w:r w:rsidRPr="0073259E">
              <w:rPr>
                <w:b w:val="0"/>
                <w:sz w:val="20"/>
                <w:szCs w:val="20"/>
              </w:rPr>
              <w:t>3 (60.0)</w:t>
            </w:r>
          </w:p>
        </w:tc>
        <w:tc>
          <w:tcPr>
            <w:tcW w:w="736" w:type="pct"/>
            <w:hideMark/>
          </w:tcPr>
          <w:p w14:paraId="50679C18" w14:textId="77777777" w:rsidR="0052264A" w:rsidRPr="0073259E" w:rsidRDefault="0052264A" w:rsidP="0052264A">
            <w:pPr>
              <w:pStyle w:val="TableTitle"/>
              <w:ind w:left="0" w:right="0"/>
              <w:rPr>
                <w:b w:val="0"/>
                <w:sz w:val="20"/>
                <w:szCs w:val="20"/>
              </w:rPr>
            </w:pPr>
            <w:r w:rsidRPr="0073259E">
              <w:rPr>
                <w:b w:val="0"/>
                <w:sz w:val="20"/>
                <w:szCs w:val="20"/>
              </w:rPr>
              <w:t>33 (61.1)</w:t>
            </w:r>
          </w:p>
        </w:tc>
        <w:tc>
          <w:tcPr>
            <w:tcW w:w="892" w:type="pct"/>
            <w:hideMark/>
          </w:tcPr>
          <w:p w14:paraId="31DC3809" w14:textId="77777777" w:rsidR="0052264A" w:rsidRPr="0073259E" w:rsidRDefault="0052264A" w:rsidP="0052264A">
            <w:pPr>
              <w:pStyle w:val="TableTitle"/>
              <w:ind w:left="0" w:right="0"/>
              <w:rPr>
                <w:b w:val="0"/>
                <w:sz w:val="20"/>
                <w:szCs w:val="20"/>
              </w:rPr>
            </w:pPr>
            <w:r w:rsidRPr="0073259E">
              <w:rPr>
                <w:b w:val="0"/>
                <w:sz w:val="20"/>
                <w:szCs w:val="20"/>
              </w:rPr>
              <w:t>40 (52.6)</w:t>
            </w:r>
          </w:p>
        </w:tc>
      </w:tr>
      <w:tr w:rsidR="0052264A" w:rsidRPr="00A4536D" w14:paraId="0C911156" w14:textId="77777777" w:rsidTr="006D5E69">
        <w:trPr>
          <w:trHeight w:val="283"/>
        </w:trPr>
        <w:tc>
          <w:tcPr>
            <w:tcW w:w="5000" w:type="pct"/>
            <w:gridSpan w:val="5"/>
            <w:shd w:val="clear" w:color="auto" w:fill="C6D4E9"/>
            <w:hideMark/>
          </w:tcPr>
          <w:p w14:paraId="0B6DC0FB" w14:textId="77777777" w:rsidR="0052264A" w:rsidRPr="00A4536D" w:rsidRDefault="0073259E" w:rsidP="0052264A">
            <w:pPr>
              <w:pStyle w:val="TableTitle"/>
              <w:ind w:left="0" w:right="0"/>
              <w:rPr>
                <w:rFonts w:asciiTheme="minorHAnsi" w:hAnsiTheme="minorHAnsi"/>
                <w:sz w:val="20"/>
                <w:szCs w:val="20"/>
              </w:rPr>
            </w:pPr>
            <w:r>
              <w:rPr>
                <w:rFonts w:asciiTheme="minorHAnsi" w:hAnsiTheme="minorHAnsi"/>
                <w:bCs/>
                <w:sz w:val="20"/>
                <w:szCs w:val="20"/>
              </w:rPr>
              <w:t xml:space="preserve">Children (2 to </w:t>
            </w:r>
            <w:r w:rsidR="0052264A" w:rsidRPr="00A4536D">
              <w:rPr>
                <w:rFonts w:asciiTheme="minorHAnsi" w:hAnsiTheme="minorHAnsi"/>
                <w:bCs/>
                <w:sz w:val="20"/>
                <w:szCs w:val="20"/>
              </w:rPr>
              <w:t>11 years)</w:t>
            </w:r>
          </w:p>
        </w:tc>
      </w:tr>
      <w:tr w:rsidR="0052264A" w:rsidRPr="00A4536D" w14:paraId="6B0EBA23" w14:textId="77777777" w:rsidTr="009030A6">
        <w:trPr>
          <w:trHeight w:val="283"/>
        </w:trPr>
        <w:tc>
          <w:tcPr>
            <w:tcW w:w="1897" w:type="pct"/>
            <w:hideMark/>
          </w:tcPr>
          <w:p w14:paraId="3452D3E7" w14:textId="77777777" w:rsidR="0052264A" w:rsidRPr="0073259E" w:rsidRDefault="0052264A" w:rsidP="0052264A">
            <w:pPr>
              <w:pStyle w:val="TableTitle"/>
              <w:ind w:left="0" w:right="0"/>
              <w:rPr>
                <w:b w:val="0"/>
                <w:sz w:val="20"/>
                <w:szCs w:val="20"/>
              </w:rPr>
            </w:pPr>
            <w:r w:rsidRPr="0073259E">
              <w:rPr>
                <w:b w:val="0"/>
                <w:sz w:val="20"/>
                <w:szCs w:val="20"/>
              </w:rPr>
              <w:t>N (%) in respective study</w:t>
            </w:r>
          </w:p>
        </w:tc>
        <w:tc>
          <w:tcPr>
            <w:tcW w:w="737" w:type="pct"/>
            <w:hideMark/>
          </w:tcPr>
          <w:p w14:paraId="68981F94" w14:textId="77777777" w:rsidR="0052264A" w:rsidRPr="0073259E" w:rsidRDefault="0052264A" w:rsidP="0052264A">
            <w:pPr>
              <w:pStyle w:val="TableTitle"/>
              <w:ind w:left="0" w:right="0"/>
              <w:rPr>
                <w:b w:val="0"/>
                <w:sz w:val="20"/>
                <w:szCs w:val="20"/>
              </w:rPr>
            </w:pPr>
            <w:r w:rsidRPr="0073259E">
              <w:rPr>
                <w:b w:val="0"/>
                <w:sz w:val="20"/>
                <w:szCs w:val="20"/>
              </w:rPr>
              <w:t>17 (38.6)</w:t>
            </w:r>
          </w:p>
        </w:tc>
        <w:tc>
          <w:tcPr>
            <w:tcW w:w="738" w:type="pct"/>
            <w:hideMark/>
          </w:tcPr>
          <w:p w14:paraId="2F0068BA" w14:textId="77777777" w:rsidR="0052264A" w:rsidRPr="0073259E" w:rsidRDefault="0052264A" w:rsidP="0052264A">
            <w:pPr>
              <w:pStyle w:val="TableTitle"/>
              <w:ind w:left="0" w:right="0"/>
              <w:rPr>
                <w:b w:val="0"/>
                <w:sz w:val="20"/>
                <w:szCs w:val="20"/>
              </w:rPr>
            </w:pPr>
            <w:r w:rsidRPr="0073259E">
              <w:rPr>
                <w:b w:val="0"/>
                <w:sz w:val="20"/>
                <w:szCs w:val="20"/>
              </w:rPr>
              <w:t>13 (59.1)</w:t>
            </w:r>
          </w:p>
        </w:tc>
        <w:tc>
          <w:tcPr>
            <w:tcW w:w="736" w:type="pct"/>
            <w:hideMark/>
          </w:tcPr>
          <w:p w14:paraId="3DBE79FE" w14:textId="77777777" w:rsidR="0052264A" w:rsidRPr="0073259E" w:rsidRDefault="0052264A" w:rsidP="0052264A">
            <w:pPr>
              <w:pStyle w:val="TableTitle"/>
              <w:ind w:left="0" w:right="0"/>
              <w:rPr>
                <w:b w:val="0"/>
                <w:sz w:val="20"/>
                <w:szCs w:val="20"/>
              </w:rPr>
            </w:pPr>
            <w:r w:rsidRPr="0073259E">
              <w:rPr>
                <w:b w:val="0"/>
                <w:sz w:val="20"/>
                <w:szCs w:val="20"/>
              </w:rPr>
              <w:t>94 (49.7)</w:t>
            </w:r>
          </w:p>
        </w:tc>
        <w:tc>
          <w:tcPr>
            <w:tcW w:w="892" w:type="pct"/>
            <w:hideMark/>
          </w:tcPr>
          <w:p w14:paraId="4F5AD79E" w14:textId="77777777" w:rsidR="0052264A" w:rsidRPr="0073259E" w:rsidRDefault="0052264A" w:rsidP="0052264A">
            <w:pPr>
              <w:pStyle w:val="TableTitle"/>
              <w:ind w:left="0" w:right="0"/>
              <w:rPr>
                <w:b w:val="0"/>
                <w:sz w:val="20"/>
                <w:szCs w:val="20"/>
              </w:rPr>
            </w:pPr>
            <w:r w:rsidRPr="0073259E">
              <w:rPr>
                <w:b w:val="0"/>
                <w:sz w:val="20"/>
                <w:szCs w:val="20"/>
              </w:rPr>
              <w:t>124 (48.6)</w:t>
            </w:r>
          </w:p>
        </w:tc>
      </w:tr>
      <w:tr w:rsidR="0052264A" w:rsidRPr="00A4536D" w14:paraId="4F3FB8D8" w14:textId="77777777" w:rsidTr="009030A6">
        <w:trPr>
          <w:trHeight w:val="283"/>
        </w:trPr>
        <w:tc>
          <w:tcPr>
            <w:tcW w:w="1897" w:type="pct"/>
            <w:hideMark/>
          </w:tcPr>
          <w:p w14:paraId="2F07C694" w14:textId="77777777" w:rsidR="0052264A" w:rsidRPr="0073259E" w:rsidRDefault="0052264A" w:rsidP="0052264A">
            <w:pPr>
              <w:pStyle w:val="TableTitle"/>
              <w:ind w:left="0" w:right="0"/>
              <w:rPr>
                <w:b w:val="0"/>
                <w:sz w:val="20"/>
                <w:szCs w:val="20"/>
              </w:rPr>
            </w:pPr>
            <w:r w:rsidRPr="0073259E">
              <w:rPr>
                <w:b w:val="0"/>
                <w:sz w:val="20"/>
                <w:szCs w:val="20"/>
              </w:rPr>
              <w:t>Survival at Day</w:t>
            </w:r>
            <w:r w:rsidR="0073259E" w:rsidRPr="0073259E">
              <w:rPr>
                <w:b w:val="0"/>
                <w:sz w:val="20"/>
                <w:szCs w:val="20"/>
              </w:rPr>
              <w:t xml:space="preserve"> </w:t>
            </w:r>
            <w:r w:rsidRPr="0073259E">
              <w:rPr>
                <w:b w:val="0"/>
                <w:sz w:val="20"/>
                <w:szCs w:val="20"/>
              </w:rPr>
              <w:t>+</w:t>
            </w:r>
            <w:r w:rsidR="0073259E" w:rsidRPr="0073259E">
              <w:rPr>
                <w:b w:val="0"/>
                <w:sz w:val="20"/>
                <w:szCs w:val="20"/>
              </w:rPr>
              <w:t xml:space="preserve"> </w:t>
            </w:r>
            <w:r w:rsidRPr="0073259E">
              <w:rPr>
                <w:b w:val="0"/>
                <w:sz w:val="20"/>
                <w:szCs w:val="20"/>
              </w:rPr>
              <w:t>100 (%)</w:t>
            </w:r>
          </w:p>
        </w:tc>
        <w:tc>
          <w:tcPr>
            <w:tcW w:w="737" w:type="pct"/>
            <w:hideMark/>
          </w:tcPr>
          <w:p w14:paraId="5859EAF7" w14:textId="77777777" w:rsidR="0052264A" w:rsidRPr="0073259E" w:rsidRDefault="0052264A" w:rsidP="0052264A">
            <w:pPr>
              <w:pStyle w:val="TableTitle"/>
              <w:ind w:left="0" w:right="0"/>
              <w:rPr>
                <w:b w:val="0"/>
                <w:sz w:val="20"/>
                <w:szCs w:val="20"/>
              </w:rPr>
            </w:pPr>
            <w:r w:rsidRPr="0073259E">
              <w:rPr>
                <w:b w:val="0"/>
                <w:sz w:val="20"/>
                <w:szCs w:val="20"/>
              </w:rPr>
              <w:t>12 (70.6)</w:t>
            </w:r>
          </w:p>
        </w:tc>
        <w:tc>
          <w:tcPr>
            <w:tcW w:w="738" w:type="pct"/>
            <w:hideMark/>
          </w:tcPr>
          <w:p w14:paraId="0C97DF59" w14:textId="77777777" w:rsidR="0052264A" w:rsidRPr="0073259E" w:rsidRDefault="0052264A" w:rsidP="0052264A">
            <w:pPr>
              <w:pStyle w:val="TableTitle"/>
              <w:ind w:left="0" w:right="0"/>
              <w:rPr>
                <w:b w:val="0"/>
                <w:sz w:val="20"/>
                <w:szCs w:val="20"/>
              </w:rPr>
            </w:pPr>
            <w:r w:rsidRPr="0073259E">
              <w:rPr>
                <w:b w:val="0"/>
                <w:sz w:val="20"/>
                <w:szCs w:val="20"/>
              </w:rPr>
              <w:t>9 (69.2)</w:t>
            </w:r>
          </w:p>
        </w:tc>
        <w:tc>
          <w:tcPr>
            <w:tcW w:w="736" w:type="pct"/>
            <w:hideMark/>
          </w:tcPr>
          <w:p w14:paraId="39601619" w14:textId="77777777" w:rsidR="0052264A" w:rsidRPr="0073259E" w:rsidRDefault="0052264A" w:rsidP="0052264A">
            <w:pPr>
              <w:pStyle w:val="TableTitle"/>
              <w:ind w:left="0" w:right="0"/>
              <w:rPr>
                <w:b w:val="0"/>
                <w:sz w:val="20"/>
                <w:szCs w:val="20"/>
              </w:rPr>
            </w:pPr>
            <w:r w:rsidRPr="0073259E">
              <w:rPr>
                <w:b w:val="0"/>
                <w:sz w:val="20"/>
                <w:szCs w:val="20"/>
              </w:rPr>
              <w:t>45 (47.9)</w:t>
            </w:r>
          </w:p>
        </w:tc>
        <w:tc>
          <w:tcPr>
            <w:tcW w:w="892" w:type="pct"/>
            <w:hideMark/>
          </w:tcPr>
          <w:p w14:paraId="363CA2D6" w14:textId="77777777" w:rsidR="0052264A" w:rsidRPr="0073259E" w:rsidRDefault="0052264A" w:rsidP="0052264A">
            <w:pPr>
              <w:pStyle w:val="TableTitle"/>
              <w:ind w:left="0" w:right="0"/>
              <w:rPr>
                <w:b w:val="0"/>
                <w:sz w:val="20"/>
                <w:szCs w:val="20"/>
              </w:rPr>
            </w:pPr>
            <w:r w:rsidRPr="0073259E">
              <w:rPr>
                <w:b w:val="0"/>
                <w:sz w:val="20"/>
                <w:szCs w:val="20"/>
              </w:rPr>
              <w:t>66 (53.2)</w:t>
            </w:r>
          </w:p>
        </w:tc>
      </w:tr>
      <w:tr w:rsidR="0052264A" w:rsidRPr="00A4536D" w14:paraId="3C2E5E73" w14:textId="77777777" w:rsidTr="006D5E69">
        <w:trPr>
          <w:trHeight w:val="283"/>
        </w:trPr>
        <w:tc>
          <w:tcPr>
            <w:tcW w:w="5000" w:type="pct"/>
            <w:gridSpan w:val="5"/>
            <w:shd w:val="clear" w:color="auto" w:fill="C6D4E9"/>
            <w:hideMark/>
          </w:tcPr>
          <w:p w14:paraId="5AA30CC9" w14:textId="77777777" w:rsidR="0052264A" w:rsidRPr="00A4536D" w:rsidRDefault="0073259E" w:rsidP="0052264A">
            <w:pPr>
              <w:pStyle w:val="TableTitle"/>
              <w:ind w:left="0" w:right="0"/>
              <w:rPr>
                <w:rFonts w:asciiTheme="minorHAnsi" w:hAnsiTheme="minorHAnsi"/>
                <w:sz w:val="20"/>
                <w:szCs w:val="20"/>
              </w:rPr>
            </w:pPr>
            <w:r>
              <w:rPr>
                <w:rFonts w:asciiTheme="minorHAnsi" w:hAnsiTheme="minorHAnsi"/>
                <w:bCs/>
                <w:sz w:val="20"/>
                <w:szCs w:val="20"/>
              </w:rPr>
              <w:t xml:space="preserve">Adolescents (12 to </w:t>
            </w:r>
            <w:r w:rsidR="0052264A" w:rsidRPr="00A4536D">
              <w:rPr>
                <w:rFonts w:asciiTheme="minorHAnsi" w:hAnsiTheme="minorHAnsi"/>
                <w:bCs/>
                <w:sz w:val="20"/>
                <w:szCs w:val="20"/>
              </w:rPr>
              <w:t>16 years)</w:t>
            </w:r>
          </w:p>
        </w:tc>
      </w:tr>
      <w:tr w:rsidR="0052264A" w:rsidRPr="00A4536D" w14:paraId="21F82581" w14:textId="77777777" w:rsidTr="009030A6">
        <w:trPr>
          <w:trHeight w:val="283"/>
        </w:trPr>
        <w:tc>
          <w:tcPr>
            <w:tcW w:w="1897" w:type="pct"/>
            <w:hideMark/>
          </w:tcPr>
          <w:p w14:paraId="59EA3D0A" w14:textId="77777777" w:rsidR="0052264A" w:rsidRPr="0073259E" w:rsidRDefault="0052264A" w:rsidP="0052264A">
            <w:pPr>
              <w:pStyle w:val="TableTitle"/>
              <w:ind w:left="0" w:right="0"/>
              <w:rPr>
                <w:b w:val="0"/>
                <w:sz w:val="20"/>
                <w:szCs w:val="20"/>
              </w:rPr>
            </w:pPr>
            <w:r w:rsidRPr="0073259E">
              <w:rPr>
                <w:b w:val="0"/>
                <w:sz w:val="20"/>
                <w:szCs w:val="20"/>
              </w:rPr>
              <w:t>N (%) in respective study</w:t>
            </w:r>
          </w:p>
        </w:tc>
        <w:tc>
          <w:tcPr>
            <w:tcW w:w="737" w:type="pct"/>
            <w:hideMark/>
          </w:tcPr>
          <w:p w14:paraId="0A348B9E" w14:textId="77777777" w:rsidR="0052264A" w:rsidRPr="0073259E" w:rsidRDefault="0052264A" w:rsidP="0052264A">
            <w:pPr>
              <w:pStyle w:val="TableTitle"/>
              <w:ind w:left="0" w:right="0"/>
              <w:rPr>
                <w:b w:val="0"/>
                <w:sz w:val="20"/>
                <w:szCs w:val="20"/>
              </w:rPr>
            </w:pPr>
            <w:r w:rsidRPr="0073259E">
              <w:rPr>
                <w:b w:val="0"/>
                <w:sz w:val="20"/>
                <w:szCs w:val="20"/>
              </w:rPr>
              <w:t>10 (22.7)</w:t>
            </w:r>
          </w:p>
        </w:tc>
        <w:tc>
          <w:tcPr>
            <w:tcW w:w="738" w:type="pct"/>
            <w:hideMark/>
          </w:tcPr>
          <w:p w14:paraId="1CDCDDDB" w14:textId="77777777" w:rsidR="0052264A" w:rsidRPr="0073259E" w:rsidRDefault="0052264A" w:rsidP="0052264A">
            <w:pPr>
              <w:pStyle w:val="TableTitle"/>
              <w:ind w:left="0" w:right="0"/>
              <w:rPr>
                <w:b w:val="0"/>
                <w:sz w:val="20"/>
                <w:szCs w:val="20"/>
              </w:rPr>
            </w:pPr>
            <w:r w:rsidRPr="0073259E">
              <w:rPr>
                <w:b w:val="0"/>
                <w:sz w:val="20"/>
                <w:szCs w:val="20"/>
              </w:rPr>
              <w:t>4 (18.2)</w:t>
            </w:r>
          </w:p>
        </w:tc>
        <w:tc>
          <w:tcPr>
            <w:tcW w:w="736" w:type="pct"/>
            <w:hideMark/>
          </w:tcPr>
          <w:p w14:paraId="6037C989" w14:textId="77777777" w:rsidR="0052264A" w:rsidRPr="0073259E" w:rsidRDefault="0052264A" w:rsidP="0052264A">
            <w:pPr>
              <w:pStyle w:val="TableTitle"/>
              <w:ind w:left="0" w:right="0"/>
              <w:rPr>
                <w:b w:val="0"/>
                <w:sz w:val="20"/>
                <w:szCs w:val="20"/>
              </w:rPr>
            </w:pPr>
            <w:r w:rsidRPr="0073259E">
              <w:rPr>
                <w:b w:val="0"/>
                <w:sz w:val="20"/>
                <w:szCs w:val="20"/>
              </w:rPr>
              <w:t>41 (21.7)</w:t>
            </w:r>
          </w:p>
        </w:tc>
        <w:tc>
          <w:tcPr>
            <w:tcW w:w="892" w:type="pct"/>
            <w:hideMark/>
          </w:tcPr>
          <w:p w14:paraId="573B88B3" w14:textId="77777777" w:rsidR="0052264A" w:rsidRPr="0073259E" w:rsidRDefault="0052264A" w:rsidP="0052264A">
            <w:pPr>
              <w:pStyle w:val="TableTitle"/>
              <w:ind w:left="0" w:right="0"/>
              <w:rPr>
                <w:b w:val="0"/>
                <w:sz w:val="20"/>
                <w:szCs w:val="20"/>
              </w:rPr>
            </w:pPr>
            <w:r w:rsidRPr="0073259E">
              <w:rPr>
                <w:b w:val="0"/>
                <w:sz w:val="20"/>
                <w:szCs w:val="20"/>
              </w:rPr>
              <w:t>55 (21.6)</w:t>
            </w:r>
          </w:p>
        </w:tc>
      </w:tr>
      <w:tr w:rsidR="0052264A" w:rsidRPr="00A4536D" w14:paraId="09561438" w14:textId="77777777" w:rsidTr="009030A6">
        <w:trPr>
          <w:trHeight w:val="283"/>
        </w:trPr>
        <w:tc>
          <w:tcPr>
            <w:tcW w:w="1897" w:type="pct"/>
            <w:hideMark/>
          </w:tcPr>
          <w:p w14:paraId="47C37D9C" w14:textId="77777777" w:rsidR="0052264A" w:rsidRPr="0073259E" w:rsidRDefault="0052264A" w:rsidP="0052264A">
            <w:pPr>
              <w:pStyle w:val="TableTitle"/>
              <w:ind w:left="0" w:right="0"/>
              <w:rPr>
                <w:b w:val="0"/>
                <w:sz w:val="20"/>
                <w:szCs w:val="20"/>
              </w:rPr>
            </w:pPr>
            <w:r w:rsidRPr="0073259E">
              <w:rPr>
                <w:b w:val="0"/>
                <w:sz w:val="20"/>
                <w:szCs w:val="20"/>
              </w:rPr>
              <w:t>Survival at Day</w:t>
            </w:r>
            <w:r w:rsidR="0073259E" w:rsidRPr="0073259E">
              <w:rPr>
                <w:b w:val="0"/>
                <w:sz w:val="20"/>
                <w:szCs w:val="20"/>
              </w:rPr>
              <w:t xml:space="preserve"> </w:t>
            </w:r>
            <w:r w:rsidRPr="0073259E">
              <w:rPr>
                <w:b w:val="0"/>
                <w:sz w:val="20"/>
                <w:szCs w:val="20"/>
              </w:rPr>
              <w:t>+</w:t>
            </w:r>
            <w:r w:rsidR="0073259E" w:rsidRPr="0073259E">
              <w:rPr>
                <w:b w:val="0"/>
                <w:sz w:val="20"/>
                <w:szCs w:val="20"/>
              </w:rPr>
              <w:t xml:space="preserve"> </w:t>
            </w:r>
            <w:r w:rsidRPr="0073259E">
              <w:rPr>
                <w:b w:val="0"/>
                <w:sz w:val="20"/>
                <w:szCs w:val="20"/>
              </w:rPr>
              <w:t>100 (%)</w:t>
            </w:r>
          </w:p>
        </w:tc>
        <w:tc>
          <w:tcPr>
            <w:tcW w:w="737" w:type="pct"/>
            <w:hideMark/>
          </w:tcPr>
          <w:p w14:paraId="31B6A8E8" w14:textId="77777777" w:rsidR="0052264A" w:rsidRPr="0073259E" w:rsidRDefault="0052264A" w:rsidP="0052264A">
            <w:pPr>
              <w:pStyle w:val="TableTitle"/>
              <w:ind w:left="0" w:right="0"/>
              <w:rPr>
                <w:b w:val="0"/>
                <w:sz w:val="20"/>
                <w:szCs w:val="20"/>
              </w:rPr>
            </w:pPr>
            <w:r w:rsidRPr="0073259E">
              <w:rPr>
                <w:b w:val="0"/>
                <w:sz w:val="20"/>
                <w:szCs w:val="20"/>
              </w:rPr>
              <w:t>6 (60.0)</w:t>
            </w:r>
          </w:p>
        </w:tc>
        <w:tc>
          <w:tcPr>
            <w:tcW w:w="738" w:type="pct"/>
            <w:hideMark/>
          </w:tcPr>
          <w:p w14:paraId="477AA0F3" w14:textId="77777777" w:rsidR="0052264A" w:rsidRPr="0073259E" w:rsidRDefault="0052264A" w:rsidP="0052264A">
            <w:pPr>
              <w:pStyle w:val="TableTitle"/>
              <w:ind w:left="0" w:right="0"/>
              <w:rPr>
                <w:b w:val="0"/>
                <w:sz w:val="20"/>
                <w:szCs w:val="20"/>
              </w:rPr>
            </w:pPr>
            <w:r w:rsidRPr="0073259E">
              <w:rPr>
                <w:b w:val="0"/>
                <w:sz w:val="20"/>
                <w:szCs w:val="20"/>
              </w:rPr>
              <w:t>3 (75.0)</w:t>
            </w:r>
          </w:p>
        </w:tc>
        <w:tc>
          <w:tcPr>
            <w:tcW w:w="736" w:type="pct"/>
            <w:hideMark/>
          </w:tcPr>
          <w:p w14:paraId="467D6DDB" w14:textId="77777777" w:rsidR="0052264A" w:rsidRPr="0073259E" w:rsidRDefault="0052264A" w:rsidP="0052264A">
            <w:pPr>
              <w:pStyle w:val="TableTitle"/>
              <w:ind w:left="0" w:right="0"/>
              <w:rPr>
                <w:b w:val="0"/>
                <w:sz w:val="20"/>
                <w:szCs w:val="20"/>
              </w:rPr>
            </w:pPr>
            <w:r w:rsidRPr="0073259E">
              <w:rPr>
                <w:b w:val="0"/>
                <w:sz w:val="20"/>
                <w:szCs w:val="20"/>
              </w:rPr>
              <w:t>16 (39.0)</w:t>
            </w:r>
          </w:p>
        </w:tc>
        <w:tc>
          <w:tcPr>
            <w:tcW w:w="892" w:type="pct"/>
            <w:hideMark/>
          </w:tcPr>
          <w:p w14:paraId="54EC53C2" w14:textId="77777777" w:rsidR="0052264A" w:rsidRPr="0073259E" w:rsidRDefault="0052264A" w:rsidP="0052264A">
            <w:pPr>
              <w:pStyle w:val="TableTitle"/>
              <w:ind w:left="0" w:right="0"/>
              <w:rPr>
                <w:b w:val="0"/>
                <w:sz w:val="20"/>
                <w:szCs w:val="20"/>
              </w:rPr>
            </w:pPr>
            <w:r w:rsidRPr="0073259E">
              <w:rPr>
                <w:b w:val="0"/>
                <w:sz w:val="20"/>
                <w:szCs w:val="20"/>
              </w:rPr>
              <w:t>25 (45.5)</w:t>
            </w:r>
          </w:p>
        </w:tc>
      </w:tr>
    </w:tbl>
    <w:p w14:paraId="46525A8C" w14:textId="59FF96A9" w:rsidR="0052264A" w:rsidRDefault="001868F6" w:rsidP="001868F6">
      <w:pPr>
        <w:pStyle w:val="TableDescription"/>
      </w:pPr>
      <w:r>
        <w:t>Source: adapted from</w:t>
      </w:r>
      <w:r w:rsidR="00BD1199">
        <w:t xml:space="preserve"> the integrated summary of efficacy, </w:t>
      </w:r>
      <w:r>
        <w:t>Table</w:t>
      </w:r>
      <w:r w:rsidR="00BD1199">
        <w:t>s</w:t>
      </w:r>
      <w:r>
        <w:t xml:space="preserve"> 42 and 43 </w:t>
      </w:r>
      <w:r w:rsidR="00BD1199">
        <w:t>(</w:t>
      </w:r>
      <w:r>
        <w:t>sponsor submitted dossier)</w:t>
      </w:r>
      <w:r w:rsidR="00BD1199">
        <w:t>.</w:t>
      </w:r>
    </w:p>
    <w:p w14:paraId="60687B28" w14:textId="633F9C49" w:rsidR="001868F6" w:rsidRDefault="0073259E" w:rsidP="001868F6">
      <w:r>
        <w:t>The dose-finding S</w:t>
      </w:r>
      <w:r w:rsidR="001868F6" w:rsidRPr="001868F6">
        <w:t>tudy 99-118 subgroup analysis showed that, although not statistically significant, paediatric patients in the 25</w:t>
      </w:r>
      <w:r>
        <w:t xml:space="preserve"> </w:t>
      </w:r>
      <w:r w:rsidR="001868F6" w:rsidRPr="001868F6">
        <w:t>mg/kg/day treatment arm demonstrated a higher CR rate than those in the 40</w:t>
      </w:r>
      <w:r>
        <w:t xml:space="preserve"> </w:t>
      </w:r>
      <w:r w:rsidR="001868F6" w:rsidRPr="001868F6">
        <w:t>mg/kg/day arm (68.2% versus 43.5%; p</w:t>
      </w:r>
      <w:r w:rsidR="00621612">
        <w:t xml:space="preserve"> </w:t>
      </w:r>
      <w:r w:rsidR="001868F6" w:rsidRPr="001868F6">
        <w:t>=</w:t>
      </w:r>
      <w:r w:rsidR="00621612">
        <w:t xml:space="preserve"> </w:t>
      </w:r>
      <w:r w:rsidR="001868F6" w:rsidRPr="001868F6">
        <w:t>0.1024). Similarly, estimated survival at Day 100 was 68.2% for paediatric patients in the lower dose arm compared with 34.8% in the higher dose arm; p</w:t>
      </w:r>
      <w:r w:rsidR="00621612">
        <w:t xml:space="preserve"> </w:t>
      </w:r>
      <w:r w:rsidR="001868F6" w:rsidRPr="001868F6">
        <w:t>=</w:t>
      </w:r>
      <w:r w:rsidR="00621612">
        <w:t xml:space="preserve"> </w:t>
      </w:r>
      <w:r w:rsidR="001868F6" w:rsidRPr="001868F6">
        <w:t>0.511. The clinical evaluator noted that the number of patients in the paediatric subgroups were small, as would be expected for an orphan drug, and commented that wide confidence intervals for the clinical outcomes make interpretation difficult</w:t>
      </w:r>
      <w:r w:rsidR="00BD1199">
        <w:t>;</w:t>
      </w:r>
      <w:r w:rsidR="001868F6" w:rsidRPr="001868F6">
        <w:t xml:space="preserve"> </w:t>
      </w:r>
      <w:r w:rsidR="00BD1199">
        <w:t>n</w:t>
      </w:r>
      <w:r w:rsidR="001868F6" w:rsidRPr="001868F6">
        <w:t>evertheless</w:t>
      </w:r>
      <w:r w:rsidR="00BD1199">
        <w:t>,</w:t>
      </w:r>
      <w:r w:rsidR="001868F6" w:rsidRPr="001868F6">
        <w:t xml:space="preserve"> the results appeared consistently favourable</w:t>
      </w:r>
      <w:r w:rsidR="001868F6">
        <w:t>.</w:t>
      </w:r>
    </w:p>
    <w:p w14:paraId="2349A69E" w14:textId="77777777" w:rsidR="001868F6" w:rsidRDefault="001868F6" w:rsidP="006D5E69">
      <w:pPr>
        <w:pStyle w:val="Heading4"/>
      </w:pPr>
      <w:r w:rsidRPr="00AA53F4">
        <w:lastRenderedPageBreak/>
        <w:t>Safety</w:t>
      </w:r>
    </w:p>
    <w:p w14:paraId="5B89C341" w14:textId="77777777" w:rsidR="001868F6" w:rsidRPr="001272D8" w:rsidRDefault="001868F6" w:rsidP="006D5E69">
      <w:pPr>
        <w:keepNext/>
      </w:pPr>
      <w:r w:rsidRPr="001272D8">
        <w:t>The early academic PK studies did not report safety. The t</w:t>
      </w:r>
      <w:r>
        <w:t>otal patient population in the s</w:t>
      </w:r>
      <w:r w:rsidRPr="001272D8">
        <w:t xml:space="preserve">ponsor’s </w:t>
      </w:r>
      <w:r w:rsidRPr="001868F6">
        <w:t>summary of clinical safety</w:t>
      </w:r>
      <w:r w:rsidRPr="001272D8">
        <w:t xml:space="preserve"> consist</w:t>
      </w:r>
      <w:r>
        <w:t>ed</w:t>
      </w:r>
      <w:r w:rsidRPr="001272D8">
        <w:t xml:space="preserve"> of:</w:t>
      </w:r>
    </w:p>
    <w:p w14:paraId="4F1475DF" w14:textId="1A230798" w:rsidR="001868F6" w:rsidRPr="001272D8" w:rsidRDefault="0073259E" w:rsidP="006D5E69">
      <w:pPr>
        <w:pStyle w:val="ListBullet"/>
      </w:pPr>
      <w:r>
        <w:t>Severe VOD following HSCT</w:t>
      </w:r>
      <w:r w:rsidR="00BD1199">
        <w:t xml:space="preserve"> population</w:t>
      </w:r>
      <w:r>
        <w:t xml:space="preserve">; </w:t>
      </w:r>
      <w:r w:rsidR="001868F6">
        <w:t xml:space="preserve">769 participants in </w:t>
      </w:r>
      <w:r>
        <w:t>S</w:t>
      </w:r>
      <w:r w:rsidR="001868F6" w:rsidRPr="001868F6">
        <w:t>tudies 2005-01</w:t>
      </w:r>
      <w:r w:rsidR="00BD1199">
        <w:t>;</w:t>
      </w:r>
      <w:r w:rsidR="001868F6" w:rsidRPr="001868F6">
        <w:t xml:space="preserve"> 99-118</w:t>
      </w:r>
      <w:r w:rsidR="00BD1199">
        <w:t>;</w:t>
      </w:r>
      <w:r w:rsidR="001868F6" w:rsidRPr="001868F6">
        <w:t xml:space="preserve"> and 2006-05</w:t>
      </w:r>
      <w:r w:rsidR="00BD1199">
        <w:t>,</w:t>
      </w:r>
      <w:r w:rsidR="001868F6" w:rsidRPr="001272D8">
        <w:t xml:space="preserve"> with VOD post-HSCT with evidence of </w:t>
      </w:r>
      <w:r w:rsidR="001868F6">
        <w:t>MOD,</w:t>
      </w:r>
      <w:r w:rsidR="001868F6" w:rsidRPr="001272D8">
        <w:t xml:space="preserve"> who received any dose of defibrotide (n</w:t>
      </w:r>
      <w:r>
        <w:t xml:space="preserve"> </w:t>
      </w:r>
      <w:r w:rsidR="001868F6" w:rsidRPr="001272D8">
        <w:t>=</w:t>
      </w:r>
      <w:r>
        <w:t xml:space="preserve"> </w:t>
      </w:r>
      <w:r w:rsidR="001868F6" w:rsidRPr="001272D8">
        <w:t>769)</w:t>
      </w:r>
      <w:r w:rsidR="001868F6">
        <w:t xml:space="preserve">. In this population, 694 </w:t>
      </w:r>
      <w:r w:rsidR="00BD1199">
        <w:t xml:space="preserve">participants </w:t>
      </w:r>
      <w:r w:rsidR="001868F6">
        <w:t>were treated with 25</w:t>
      </w:r>
      <w:r w:rsidR="00BD1199">
        <w:t> </w:t>
      </w:r>
      <w:r w:rsidR="001868F6">
        <w:t>mg/kg/day defibrotide</w:t>
      </w:r>
    </w:p>
    <w:p w14:paraId="5EFABD02" w14:textId="4C781CF1" w:rsidR="001868F6" w:rsidRPr="001272D8" w:rsidRDefault="0073259E" w:rsidP="006D5E69">
      <w:pPr>
        <w:pStyle w:val="ListBullet"/>
      </w:pPr>
      <w:r>
        <w:t xml:space="preserve">All VOD </w:t>
      </w:r>
      <w:r w:rsidR="00BD1199">
        <w:t>p</w:t>
      </w:r>
      <w:r>
        <w:t xml:space="preserve">opulation; </w:t>
      </w:r>
      <w:r w:rsidR="001868F6">
        <w:t xml:space="preserve">1,405 participants in </w:t>
      </w:r>
      <w:r>
        <w:t>S</w:t>
      </w:r>
      <w:r w:rsidR="001868F6" w:rsidRPr="001868F6">
        <w:t>tudies 2005-01</w:t>
      </w:r>
      <w:r w:rsidR="00BD1199">
        <w:t>;</w:t>
      </w:r>
      <w:r w:rsidR="001868F6" w:rsidRPr="001868F6">
        <w:t xml:space="preserve"> 99-118</w:t>
      </w:r>
      <w:r w:rsidR="00BD1199">
        <w:t>;</w:t>
      </w:r>
      <w:r w:rsidR="001868F6" w:rsidRPr="001868F6">
        <w:t xml:space="preserve"> and 2006-05</w:t>
      </w:r>
      <w:r w:rsidR="00BD1199">
        <w:t>,</w:t>
      </w:r>
      <w:r w:rsidR="001868F6" w:rsidRPr="001272D8">
        <w:t xml:space="preserve"> with VOD </w:t>
      </w:r>
      <w:r w:rsidR="001868F6">
        <w:t>following any treatment,</w:t>
      </w:r>
      <w:r w:rsidR="001868F6" w:rsidRPr="001272D8">
        <w:t xml:space="preserve"> with or without evidence of </w:t>
      </w:r>
      <w:r w:rsidR="001868F6">
        <w:t xml:space="preserve">MOD, </w:t>
      </w:r>
      <w:r w:rsidR="001868F6" w:rsidRPr="001272D8">
        <w:t>who received a</w:t>
      </w:r>
      <w:r w:rsidR="001868F6">
        <w:t xml:space="preserve">ny dose of defibrotide. In this population, 1,330 </w:t>
      </w:r>
      <w:r w:rsidR="00BD1199">
        <w:t xml:space="preserve">participants </w:t>
      </w:r>
      <w:r w:rsidR="001868F6">
        <w:t>were treated with 25 mg/kg/day defibrotide</w:t>
      </w:r>
      <w:r w:rsidR="00BD1199">
        <w:t>.</w:t>
      </w:r>
    </w:p>
    <w:p w14:paraId="5431DD20" w14:textId="77777777" w:rsidR="001868F6" w:rsidRPr="001272D8" w:rsidRDefault="001868F6" w:rsidP="001868F6">
      <w:r w:rsidRPr="001272D8">
        <w:t xml:space="preserve">The data </w:t>
      </w:r>
      <w:r>
        <w:t>was presented in the s</w:t>
      </w:r>
      <w:r w:rsidRPr="001272D8">
        <w:t>ummary in two pools:</w:t>
      </w:r>
    </w:p>
    <w:p w14:paraId="17FD07F1" w14:textId="77777777" w:rsidR="001868F6" w:rsidRPr="001272D8" w:rsidRDefault="001868F6" w:rsidP="006D5E69">
      <w:pPr>
        <w:pStyle w:val="ListBullet"/>
      </w:pPr>
      <w:r w:rsidRPr="001868F6">
        <w:t xml:space="preserve">Pool </w:t>
      </w:r>
      <w:proofErr w:type="gramStart"/>
      <w:r w:rsidRPr="001868F6">
        <w:t>A</w:t>
      </w:r>
      <w:proofErr w:type="gramEnd"/>
      <w:r w:rsidRPr="001868F6">
        <w:t xml:space="preserve"> i</w:t>
      </w:r>
      <w:r>
        <w:t xml:space="preserve">ncluded data from two studies (Study </w:t>
      </w:r>
      <w:r w:rsidRPr="001868F6">
        <w:t>2005-01</w:t>
      </w:r>
      <w:r>
        <w:t xml:space="preserve"> and Study</w:t>
      </w:r>
      <w:r w:rsidRPr="001868F6">
        <w:t xml:space="preserve"> 99-118</w:t>
      </w:r>
      <w:r>
        <w:t xml:space="preserve">) </w:t>
      </w:r>
      <w:r w:rsidRPr="00395C5B">
        <w:t>that</w:t>
      </w:r>
      <w:r w:rsidRPr="001272D8">
        <w:t xml:space="preserve"> exclusively enrolled subjects with severe VOD following HSCT and recommended 21 days duration of treatment. T</w:t>
      </w:r>
      <w:r>
        <w:t xml:space="preserve">he pool </w:t>
      </w:r>
      <w:proofErr w:type="gramStart"/>
      <w:r>
        <w:t>A</w:t>
      </w:r>
      <w:proofErr w:type="gramEnd"/>
      <w:r w:rsidRPr="001272D8">
        <w:t xml:space="preserve"> population </w:t>
      </w:r>
      <w:r>
        <w:t>included</w:t>
      </w:r>
      <w:r w:rsidRPr="001272D8">
        <w:t xml:space="preserve"> 176 patients who had severe VOD following HSCT and received 25 mg/kg/day.</w:t>
      </w:r>
      <w:r>
        <w:t xml:space="preserve"> Safety data for the HC group in Study </w:t>
      </w:r>
      <w:r w:rsidRPr="001868F6">
        <w:t>2005-01 are</w:t>
      </w:r>
      <w:r>
        <w:t xml:space="preserve"> also included in some of the tables below.</w:t>
      </w:r>
    </w:p>
    <w:p w14:paraId="612670EE" w14:textId="77777777" w:rsidR="001868F6" w:rsidRPr="001272D8" w:rsidRDefault="001868F6" w:rsidP="006D5E69">
      <w:pPr>
        <w:pStyle w:val="ListBullet"/>
      </w:pPr>
      <w:r w:rsidRPr="001868F6">
        <w:t>Pool B</w:t>
      </w:r>
      <w:r w:rsidRPr="001272D8">
        <w:t xml:space="preserve"> </w:t>
      </w:r>
      <w:r>
        <w:t>included data from studies that treated patients with VOD secondary to any treatment, with or without MOF.</w:t>
      </w:r>
    </w:p>
    <w:p w14:paraId="40354AFD" w14:textId="4FCC7BA1" w:rsidR="004E042C" w:rsidRDefault="001868F6" w:rsidP="001868F6">
      <w:r>
        <w:t xml:space="preserve">Additional safety data was provided in the </w:t>
      </w:r>
      <w:r w:rsidR="0073259E">
        <w:t xml:space="preserve">CIBMTR report, </w:t>
      </w:r>
      <w:r w:rsidRPr="001868F6">
        <w:t>DF-CUP</w:t>
      </w:r>
      <w:r w:rsidR="004E042C">
        <w:t xml:space="preserve"> report</w:t>
      </w:r>
      <w:r w:rsidRPr="001868F6">
        <w:t xml:space="preserve">, </w:t>
      </w:r>
      <w:r>
        <w:t xml:space="preserve">Study </w:t>
      </w:r>
      <w:r w:rsidRPr="001868F6">
        <w:t xml:space="preserve">2004-00592-33, </w:t>
      </w:r>
      <w:r w:rsidR="0073259E">
        <w:t xml:space="preserve">Study </w:t>
      </w:r>
      <w:r w:rsidRPr="001868F6">
        <w:t>DF-VOD</w:t>
      </w:r>
      <w:r>
        <w:rPr>
          <w:b/>
        </w:rPr>
        <w:t xml:space="preserve"> </w:t>
      </w:r>
      <w:r>
        <w:t xml:space="preserve">and one clinical pharmacology study. Exposure to defibrotide in all clinical studies is summarised in </w:t>
      </w:r>
      <w:r>
        <w:fldChar w:fldCharType="begin"/>
      </w:r>
      <w:r>
        <w:instrText xml:space="preserve"> REF _Ref55822351 \h </w:instrText>
      </w:r>
      <w:r>
        <w:fldChar w:fldCharType="separate"/>
      </w:r>
      <w:r w:rsidR="00384939" w:rsidRPr="001868F6">
        <w:t xml:space="preserve">Table </w:t>
      </w:r>
      <w:r w:rsidR="00384939">
        <w:rPr>
          <w:noProof/>
        </w:rPr>
        <w:t>7</w:t>
      </w:r>
      <w:r>
        <w:fldChar w:fldCharType="end"/>
      </w:r>
      <w:r>
        <w:t>.</w:t>
      </w:r>
    </w:p>
    <w:p w14:paraId="3A8ED9D7" w14:textId="77777777" w:rsidR="00F14AD0" w:rsidRDefault="00F14AD0" w:rsidP="004C10EE">
      <w:pPr>
        <w:pStyle w:val="TableTitle"/>
        <w:keepNext w:val="0"/>
      </w:pPr>
      <w:bookmarkStart w:id="49" w:name="_Ref55822351"/>
      <w:r w:rsidRPr="001868F6">
        <w:t xml:space="preserve">Table </w:t>
      </w:r>
      <w:fldSimple w:instr=" SEQ Table \* ARABIC ">
        <w:r>
          <w:rPr>
            <w:noProof/>
          </w:rPr>
          <w:t>7</w:t>
        </w:r>
      </w:fldSimple>
      <w:bookmarkEnd w:id="49"/>
      <w:r>
        <w:t>: Exposure to defibrotide in all clinical studies</w:t>
      </w:r>
    </w:p>
    <w:tbl>
      <w:tblPr>
        <w:tblStyle w:val="TableTGAblue"/>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843"/>
        <w:gridCol w:w="1276"/>
        <w:gridCol w:w="992"/>
        <w:gridCol w:w="992"/>
        <w:gridCol w:w="993"/>
      </w:tblGrid>
      <w:tr w:rsidR="00F14AD0" w14:paraId="37C518DF" w14:textId="77777777" w:rsidTr="00276F86">
        <w:trPr>
          <w:cnfStyle w:val="100000000000" w:firstRow="1" w:lastRow="0" w:firstColumn="0" w:lastColumn="0" w:oddVBand="0" w:evenVBand="0" w:oddHBand="0" w:evenHBand="0" w:firstRowFirstColumn="0" w:firstRowLastColumn="0" w:lastRowFirstColumn="0" w:lastRowLastColumn="0"/>
          <w:cantSplit/>
          <w:trHeight w:val="313"/>
        </w:trPr>
        <w:tc>
          <w:tcPr>
            <w:tcW w:w="2830" w:type="dxa"/>
            <w:gridSpan w:val="2"/>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547D32B" w14:textId="77777777" w:rsidR="00F14AD0" w:rsidRDefault="00F14AD0" w:rsidP="004C10EE">
            <w:pPr>
              <w:keepNext w:val="0"/>
              <w:ind w:left="29"/>
            </w:pPr>
            <w:r>
              <w:t>Study</w:t>
            </w:r>
          </w:p>
        </w:tc>
        <w:tc>
          <w:tcPr>
            <w:tcW w:w="1843" w:type="dxa"/>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F7CC5B9" w14:textId="77777777" w:rsidR="00F14AD0" w:rsidRDefault="00F14AD0" w:rsidP="004C10EE">
            <w:pPr>
              <w:keepNext w:val="0"/>
              <w:ind w:left="34"/>
            </w:pPr>
            <w:r>
              <w:t>Total daily dose</w:t>
            </w:r>
          </w:p>
        </w:tc>
        <w:tc>
          <w:tcPr>
            <w:tcW w:w="4253"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0BA57BE" w14:textId="77777777" w:rsidR="00F14AD0" w:rsidRDefault="00F14AD0" w:rsidP="004C10EE">
            <w:pPr>
              <w:keepNext w:val="0"/>
              <w:ind w:left="28"/>
            </w:pPr>
            <w:r w:rsidRPr="00320161">
              <w:t>Number of subjects exposed to defibrotide</w:t>
            </w:r>
          </w:p>
        </w:tc>
      </w:tr>
      <w:tr w:rsidR="00276F86" w14:paraId="4E395D8D" w14:textId="77777777" w:rsidTr="00D728D9">
        <w:trPr>
          <w:cantSplit/>
          <w:trHeight w:val="313"/>
        </w:trPr>
        <w:tc>
          <w:tcPr>
            <w:tcW w:w="2830" w:type="dxa"/>
            <w:gridSpan w:val="2"/>
            <w:vMerge/>
          </w:tcPr>
          <w:p w14:paraId="1F57FECD" w14:textId="77777777" w:rsidR="00F14AD0" w:rsidRDefault="00F14AD0" w:rsidP="004C10EE">
            <w:pPr>
              <w:ind w:left="29"/>
            </w:pPr>
          </w:p>
        </w:tc>
        <w:tc>
          <w:tcPr>
            <w:tcW w:w="1843" w:type="dxa"/>
            <w:vMerge/>
          </w:tcPr>
          <w:p w14:paraId="0DD6C582" w14:textId="77777777" w:rsidR="00F14AD0" w:rsidRDefault="00F14AD0" w:rsidP="004C10EE">
            <w:pPr>
              <w:ind w:left="34"/>
            </w:pPr>
          </w:p>
        </w:tc>
        <w:tc>
          <w:tcPr>
            <w:tcW w:w="1276" w:type="dxa"/>
            <w:shd w:val="clear" w:color="auto" w:fill="006DA7"/>
          </w:tcPr>
          <w:p w14:paraId="0363C733" w14:textId="77777777" w:rsidR="00F14AD0" w:rsidRPr="00D728D9" w:rsidRDefault="00F14AD0" w:rsidP="004C10EE">
            <w:pPr>
              <w:ind w:left="28" w:right="3"/>
              <w:rPr>
                <w:b/>
                <w:color w:val="FFFFFF" w:themeColor="background1"/>
                <w:sz w:val="20"/>
                <w:szCs w:val="19"/>
              </w:rPr>
            </w:pPr>
            <w:r w:rsidRPr="00D728D9">
              <w:rPr>
                <w:b/>
                <w:color w:val="FFFFFF" w:themeColor="background1"/>
                <w:sz w:val="20"/>
                <w:szCs w:val="19"/>
              </w:rPr>
              <w:t>Severe VOD following HSCT</w:t>
            </w:r>
          </w:p>
        </w:tc>
        <w:tc>
          <w:tcPr>
            <w:tcW w:w="992" w:type="dxa"/>
            <w:shd w:val="clear" w:color="auto" w:fill="006DA7"/>
          </w:tcPr>
          <w:p w14:paraId="25DDA122" w14:textId="77777777" w:rsidR="00F14AD0" w:rsidRPr="00D728D9" w:rsidRDefault="00F14AD0" w:rsidP="004C10EE">
            <w:pPr>
              <w:ind w:left="31"/>
              <w:rPr>
                <w:b/>
                <w:color w:val="FFFFFF" w:themeColor="background1"/>
                <w:sz w:val="20"/>
                <w:szCs w:val="19"/>
              </w:rPr>
            </w:pPr>
            <w:r w:rsidRPr="00D728D9">
              <w:rPr>
                <w:b/>
                <w:color w:val="FFFFFF" w:themeColor="background1"/>
                <w:sz w:val="20"/>
                <w:szCs w:val="19"/>
              </w:rPr>
              <w:t xml:space="preserve">All </w:t>
            </w:r>
            <w:proofErr w:type="spellStart"/>
            <w:r w:rsidRPr="00D728D9">
              <w:rPr>
                <w:b/>
                <w:color w:val="FFFFFF" w:themeColor="background1"/>
                <w:sz w:val="20"/>
                <w:szCs w:val="19"/>
              </w:rPr>
              <w:t>VOD</w:t>
            </w:r>
            <w:r w:rsidRPr="00D728D9">
              <w:rPr>
                <w:b/>
                <w:color w:val="FFFFFF" w:themeColor="background1"/>
                <w:sz w:val="20"/>
                <w:szCs w:val="19"/>
                <w:vertAlign w:val="superscript"/>
              </w:rPr>
              <w:t>a</w:t>
            </w:r>
            <w:proofErr w:type="spellEnd"/>
          </w:p>
        </w:tc>
        <w:tc>
          <w:tcPr>
            <w:tcW w:w="992" w:type="dxa"/>
            <w:shd w:val="clear" w:color="auto" w:fill="006DA7"/>
          </w:tcPr>
          <w:p w14:paraId="427B5245" w14:textId="77777777" w:rsidR="00F14AD0" w:rsidRPr="00D728D9" w:rsidRDefault="00F14AD0" w:rsidP="004C10EE">
            <w:pPr>
              <w:ind w:left="34" w:right="29"/>
              <w:rPr>
                <w:b/>
                <w:color w:val="FFFFFF" w:themeColor="background1"/>
                <w:sz w:val="20"/>
                <w:szCs w:val="19"/>
                <w:vertAlign w:val="superscript"/>
              </w:rPr>
            </w:pPr>
            <w:proofErr w:type="spellStart"/>
            <w:r w:rsidRPr="00D728D9">
              <w:rPr>
                <w:b/>
                <w:color w:val="FFFFFF" w:themeColor="background1"/>
                <w:sz w:val="20"/>
                <w:szCs w:val="19"/>
              </w:rPr>
              <w:t>Other</w:t>
            </w:r>
            <w:r w:rsidRPr="00D728D9">
              <w:rPr>
                <w:b/>
                <w:color w:val="FFFFFF" w:themeColor="background1"/>
                <w:sz w:val="20"/>
                <w:szCs w:val="19"/>
                <w:vertAlign w:val="superscript"/>
              </w:rPr>
              <w:t>b</w:t>
            </w:r>
            <w:proofErr w:type="spellEnd"/>
          </w:p>
        </w:tc>
        <w:tc>
          <w:tcPr>
            <w:tcW w:w="993" w:type="dxa"/>
            <w:shd w:val="clear" w:color="auto" w:fill="006DA7"/>
          </w:tcPr>
          <w:p w14:paraId="100FEE65" w14:textId="77777777" w:rsidR="00F14AD0" w:rsidRPr="00D728D9" w:rsidRDefault="00F14AD0" w:rsidP="004C10EE">
            <w:pPr>
              <w:ind w:left="37"/>
              <w:rPr>
                <w:b/>
                <w:color w:val="FFFFFF" w:themeColor="background1"/>
                <w:sz w:val="20"/>
                <w:szCs w:val="19"/>
              </w:rPr>
            </w:pPr>
            <w:r w:rsidRPr="00D728D9">
              <w:rPr>
                <w:b/>
                <w:color w:val="FFFFFF" w:themeColor="background1"/>
                <w:sz w:val="20"/>
                <w:szCs w:val="19"/>
              </w:rPr>
              <w:t>Total</w:t>
            </w:r>
          </w:p>
        </w:tc>
      </w:tr>
      <w:tr w:rsidR="00F14AD0" w14:paraId="71D96817" w14:textId="77777777" w:rsidTr="00AC5A71">
        <w:trPr>
          <w:cantSplit/>
        </w:trPr>
        <w:tc>
          <w:tcPr>
            <w:tcW w:w="2830" w:type="dxa"/>
            <w:gridSpan w:val="2"/>
          </w:tcPr>
          <w:p w14:paraId="09C6C14B" w14:textId="77777777" w:rsidR="00F14AD0" w:rsidRPr="00320161" w:rsidRDefault="00F14AD0" w:rsidP="004C10EE">
            <w:pPr>
              <w:ind w:left="29"/>
              <w:rPr>
                <w:sz w:val="19"/>
                <w:szCs w:val="19"/>
              </w:rPr>
            </w:pPr>
            <w:r>
              <w:rPr>
                <w:sz w:val="19"/>
                <w:szCs w:val="19"/>
              </w:rPr>
              <w:t>2005-01</w:t>
            </w:r>
          </w:p>
        </w:tc>
        <w:tc>
          <w:tcPr>
            <w:tcW w:w="1843" w:type="dxa"/>
          </w:tcPr>
          <w:p w14:paraId="28F21045" w14:textId="77777777" w:rsidR="00F14AD0" w:rsidRPr="00320161" w:rsidRDefault="00F14AD0" w:rsidP="004C10EE">
            <w:pPr>
              <w:ind w:left="34"/>
              <w:rPr>
                <w:sz w:val="19"/>
                <w:szCs w:val="19"/>
              </w:rPr>
            </w:pPr>
            <w:r>
              <w:rPr>
                <w:sz w:val="19"/>
                <w:szCs w:val="19"/>
              </w:rPr>
              <w:t>25 mg/kg</w:t>
            </w:r>
          </w:p>
        </w:tc>
        <w:tc>
          <w:tcPr>
            <w:tcW w:w="1276" w:type="dxa"/>
          </w:tcPr>
          <w:p w14:paraId="6966FF7B" w14:textId="77777777" w:rsidR="00F14AD0" w:rsidRPr="00320161" w:rsidRDefault="00F14AD0" w:rsidP="004C10EE">
            <w:pPr>
              <w:ind w:left="28" w:right="3"/>
              <w:rPr>
                <w:sz w:val="19"/>
                <w:szCs w:val="19"/>
              </w:rPr>
            </w:pPr>
            <w:r>
              <w:rPr>
                <w:sz w:val="19"/>
                <w:szCs w:val="19"/>
              </w:rPr>
              <w:t>102</w:t>
            </w:r>
          </w:p>
        </w:tc>
        <w:tc>
          <w:tcPr>
            <w:tcW w:w="992" w:type="dxa"/>
          </w:tcPr>
          <w:p w14:paraId="2F63F869" w14:textId="77777777" w:rsidR="00F14AD0" w:rsidRPr="00320161" w:rsidRDefault="00F14AD0" w:rsidP="004C10EE">
            <w:pPr>
              <w:ind w:left="31"/>
              <w:rPr>
                <w:sz w:val="19"/>
                <w:szCs w:val="19"/>
              </w:rPr>
            </w:pPr>
            <w:r>
              <w:rPr>
                <w:sz w:val="19"/>
                <w:szCs w:val="19"/>
              </w:rPr>
              <w:t>102</w:t>
            </w:r>
          </w:p>
        </w:tc>
        <w:tc>
          <w:tcPr>
            <w:tcW w:w="992" w:type="dxa"/>
          </w:tcPr>
          <w:p w14:paraId="293DAF1C" w14:textId="77777777" w:rsidR="00F14AD0" w:rsidRPr="00320161" w:rsidRDefault="00F14AD0" w:rsidP="004C10EE">
            <w:pPr>
              <w:ind w:left="34"/>
              <w:rPr>
                <w:sz w:val="19"/>
                <w:szCs w:val="19"/>
              </w:rPr>
            </w:pPr>
            <w:r w:rsidRPr="00320161">
              <w:rPr>
                <w:sz w:val="19"/>
                <w:szCs w:val="19"/>
              </w:rPr>
              <w:t>–</w:t>
            </w:r>
          </w:p>
        </w:tc>
        <w:tc>
          <w:tcPr>
            <w:tcW w:w="993" w:type="dxa"/>
          </w:tcPr>
          <w:p w14:paraId="3E738C47" w14:textId="77777777" w:rsidR="00F14AD0" w:rsidRPr="00320161" w:rsidRDefault="00F14AD0" w:rsidP="004C10EE">
            <w:pPr>
              <w:ind w:left="37"/>
              <w:rPr>
                <w:sz w:val="19"/>
                <w:szCs w:val="19"/>
              </w:rPr>
            </w:pPr>
            <w:r>
              <w:rPr>
                <w:sz w:val="19"/>
                <w:szCs w:val="19"/>
              </w:rPr>
              <w:t>102</w:t>
            </w:r>
          </w:p>
        </w:tc>
      </w:tr>
      <w:tr w:rsidR="00F14AD0" w14:paraId="65A526C2" w14:textId="77777777" w:rsidTr="00AC5A71">
        <w:trPr>
          <w:cantSplit/>
        </w:trPr>
        <w:tc>
          <w:tcPr>
            <w:tcW w:w="2830" w:type="dxa"/>
            <w:gridSpan w:val="2"/>
            <w:vMerge w:val="restart"/>
          </w:tcPr>
          <w:p w14:paraId="3C7B3490" w14:textId="77777777" w:rsidR="00F14AD0" w:rsidRPr="00320161" w:rsidRDefault="00F14AD0" w:rsidP="004C10EE">
            <w:pPr>
              <w:ind w:left="29"/>
              <w:rPr>
                <w:sz w:val="19"/>
                <w:szCs w:val="19"/>
              </w:rPr>
            </w:pPr>
            <w:r>
              <w:rPr>
                <w:sz w:val="19"/>
                <w:szCs w:val="19"/>
              </w:rPr>
              <w:t>99-118</w:t>
            </w:r>
          </w:p>
        </w:tc>
        <w:tc>
          <w:tcPr>
            <w:tcW w:w="1843" w:type="dxa"/>
          </w:tcPr>
          <w:p w14:paraId="5D9C5C0A" w14:textId="77777777" w:rsidR="00F14AD0" w:rsidRPr="00320161" w:rsidRDefault="00F14AD0" w:rsidP="004C10EE">
            <w:pPr>
              <w:ind w:left="34"/>
              <w:rPr>
                <w:sz w:val="19"/>
                <w:szCs w:val="19"/>
              </w:rPr>
            </w:pPr>
            <w:r>
              <w:rPr>
                <w:sz w:val="19"/>
                <w:szCs w:val="19"/>
              </w:rPr>
              <w:t>25 mg/</w:t>
            </w:r>
            <w:proofErr w:type="spellStart"/>
            <w:r>
              <w:rPr>
                <w:sz w:val="19"/>
                <w:szCs w:val="19"/>
              </w:rPr>
              <w:t>kg</w:t>
            </w:r>
            <w:r w:rsidRPr="00320161">
              <w:rPr>
                <w:sz w:val="19"/>
                <w:szCs w:val="19"/>
                <w:vertAlign w:val="superscript"/>
              </w:rPr>
              <w:t>c</w:t>
            </w:r>
            <w:proofErr w:type="spellEnd"/>
          </w:p>
        </w:tc>
        <w:tc>
          <w:tcPr>
            <w:tcW w:w="1276" w:type="dxa"/>
          </w:tcPr>
          <w:p w14:paraId="5283E2C5" w14:textId="77777777" w:rsidR="00F14AD0" w:rsidRPr="00320161" w:rsidRDefault="00F14AD0" w:rsidP="004C10EE">
            <w:pPr>
              <w:ind w:left="28" w:right="3"/>
              <w:rPr>
                <w:sz w:val="19"/>
                <w:szCs w:val="19"/>
              </w:rPr>
            </w:pPr>
            <w:r>
              <w:rPr>
                <w:sz w:val="19"/>
                <w:szCs w:val="19"/>
              </w:rPr>
              <w:t>74</w:t>
            </w:r>
          </w:p>
        </w:tc>
        <w:tc>
          <w:tcPr>
            <w:tcW w:w="992" w:type="dxa"/>
          </w:tcPr>
          <w:p w14:paraId="289F7210" w14:textId="77777777" w:rsidR="00F14AD0" w:rsidRPr="00320161" w:rsidRDefault="00F14AD0" w:rsidP="004C10EE">
            <w:pPr>
              <w:ind w:left="31"/>
              <w:rPr>
                <w:sz w:val="19"/>
                <w:szCs w:val="19"/>
              </w:rPr>
            </w:pPr>
            <w:r>
              <w:rPr>
                <w:sz w:val="19"/>
                <w:szCs w:val="19"/>
              </w:rPr>
              <w:t>74</w:t>
            </w:r>
          </w:p>
        </w:tc>
        <w:tc>
          <w:tcPr>
            <w:tcW w:w="992" w:type="dxa"/>
          </w:tcPr>
          <w:p w14:paraId="07E7A921" w14:textId="77777777" w:rsidR="00F14AD0" w:rsidRPr="00320161" w:rsidRDefault="00F14AD0" w:rsidP="004C10EE">
            <w:pPr>
              <w:ind w:left="34"/>
              <w:rPr>
                <w:sz w:val="19"/>
                <w:szCs w:val="19"/>
              </w:rPr>
            </w:pPr>
            <w:r w:rsidRPr="00320161">
              <w:rPr>
                <w:sz w:val="19"/>
                <w:szCs w:val="19"/>
              </w:rPr>
              <w:t>–</w:t>
            </w:r>
          </w:p>
        </w:tc>
        <w:tc>
          <w:tcPr>
            <w:tcW w:w="993" w:type="dxa"/>
          </w:tcPr>
          <w:p w14:paraId="5D501E3E" w14:textId="77777777" w:rsidR="00F14AD0" w:rsidRPr="00320161" w:rsidRDefault="00F14AD0" w:rsidP="004C10EE">
            <w:pPr>
              <w:ind w:left="37"/>
              <w:rPr>
                <w:sz w:val="19"/>
                <w:szCs w:val="19"/>
              </w:rPr>
            </w:pPr>
            <w:r>
              <w:rPr>
                <w:sz w:val="19"/>
                <w:szCs w:val="19"/>
              </w:rPr>
              <w:t>74</w:t>
            </w:r>
          </w:p>
        </w:tc>
      </w:tr>
      <w:tr w:rsidR="00F14AD0" w14:paraId="5261BBE4" w14:textId="77777777" w:rsidTr="00AC5A71">
        <w:trPr>
          <w:cantSplit/>
        </w:trPr>
        <w:tc>
          <w:tcPr>
            <w:tcW w:w="2830" w:type="dxa"/>
            <w:gridSpan w:val="2"/>
            <w:vMerge/>
          </w:tcPr>
          <w:p w14:paraId="0BCCD272" w14:textId="77777777" w:rsidR="00F14AD0" w:rsidRPr="00320161" w:rsidRDefault="00F14AD0" w:rsidP="004C10EE">
            <w:pPr>
              <w:ind w:left="29"/>
              <w:rPr>
                <w:sz w:val="19"/>
                <w:szCs w:val="19"/>
              </w:rPr>
            </w:pPr>
          </w:p>
        </w:tc>
        <w:tc>
          <w:tcPr>
            <w:tcW w:w="1843" w:type="dxa"/>
          </w:tcPr>
          <w:p w14:paraId="4BB21D74" w14:textId="77777777" w:rsidR="00F14AD0" w:rsidRPr="00320161" w:rsidRDefault="00F14AD0" w:rsidP="004C10EE">
            <w:pPr>
              <w:ind w:left="34"/>
              <w:rPr>
                <w:sz w:val="19"/>
                <w:szCs w:val="19"/>
              </w:rPr>
            </w:pPr>
            <w:r w:rsidRPr="00320161">
              <w:rPr>
                <w:sz w:val="19"/>
                <w:szCs w:val="19"/>
              </w:rPr>
              <w:t>40 mg/</w:t>
            </w:r>
            <w:proofErr w:type="spellStart"/>
            <w:r w:rsidRPr="00320161">
              <w:rPr>
                <w:sz w:val="19"/>
                <w:szCs w:val="19"/>
              </w:rPr>
              <w:t>kg</w:t>
            </w:r>
            <w:r w:rsidRPr="00320161">
              <w:rPr>
                <w:sz w:val="19"/>
                <w:szCs w:val="19"/>
                <w:vertAlign w:val="superscript"/>
              </w:rPr>
              <w:t>c</w:t>
            </w:r>
            <w:proofErr w:type="spellEnd"/>
          </w:p>
        </w:tc>
        <w:tc>
          <w:tcPr>
            <w:tcW w:w="1276" w:type="dxa"/>
          </w:tcPr>
          <w:p w14:paraId="0B20D445" w14:textId="77777777" w:rsidR="00F14AD0" w:rsidRPr="00320161" w:rsidRDefault="00F14AD0" w:rsidP="004C10EE">
            <w:pPr>
              <w:ind w:left="28" w:right="3"/>
              <w:rPr>
                <w:sz w:val="19"/>
                <w:szCs w:val="19"/>
              </w:rPr>
            </w:pPr>
            <w:r>
              <w:rPr>
                <w:sz w:val="19"/>
                <w:szCs w:val="19"/>
              </w:rPr>
              <w:t>75</w:t>
            </w:r>
            <w:r w:rsidRPr="00320161">
              <w:rPr>
                <w:sz w:val="19"/>
                <w:szCs w:val="19"/>
                <w:vertAlign w:val="superscript"/>
              </w:rPr>
              <w:t>d</w:t>
            </w:r>
          </w:p>
        </w:tc>
        <w:tc>
          <w:tcPr>
            <w:tcW w:w="992" w:type="dxa"/>
          </w:tcPr>
          <w:p w14:paraId="057C087A" w14:textId="77777777" w:rsidR="00F14AD0" w:rsidRPr="00320161" w:rsidRDefault="00F14AD0" w:rsidP="004C10EE">
            <w:pPr>
              <w:ind w:left="31"/>
              <w:rPr>
                <w:sz w:val="19"/>
                <w:szCs w:val="19"/>
              </w:rPr>
            </w:pPr>
            <w:r>
              <w:rPr>
                <w:sz w:val="19"/>
                <w:szCs w:val="19"/>
              </w:rPr>
              <w:t>75</w:t>
            </w:r>
            <w:r w:rsidRPr="00320161">
              <w:rPr>
                <w:sz w:val="19"/>
                <w:szCs w:val="19"/>
                <w:vertAlign w:val="superscript"/>
              </w:rPr>
              <w:t>d</w:t>
            </w:r>
          </w:p>
        </w:tc>
        <w:tc>
          <w:tcPr>
            <w:tcW w:w="992" w:type="dxa"/>
          </w:tcPr>
          <w:p w14:paraId="025DE6A6" w14:textId="77777777" w:rsidR="00F14AD0" w:rsidRPr="00320161" w:rsidRDefault="00F14AD0" w:rsidP="004C10EE">
            <w:pPr>
              <w:ind w:left="34"/>
              <w:rPr>
                <w:sz w:val="19"/>
                <w:szCs w:val="19"/>
              </w:rPr>
            </w:pPr>
            <w:r w:rsidRPr="00320161">
              <w:rPr>
                <w:sz w:val="19"/>
                <w:szCs w:val="19"/>
              </w:rPr>
              <w:t>–</w:t>
            </w:r>
          </w:p>
        </w:tc>
        <w:tc>
          <w:tcPr>
            <w:tcW w:w="993" w:type="dxa"/>
          </w:tcPr>
          <w:p w14:paraId="676615DD" w14:textId="77777777" w:rsidR="00F14AD0" w:rsidRPr="00320161" w:rsidRDefault="00F14AD0" w:rsidP="004C10EE">
            <w:pPr>
              <w:ind w:left="37"/>
              <w:rPr>
                <w:sz w:val="19"/>
                <w:szCs w:val="19"/>
              </w:rPr>
            </w:pPr>
            <w:r>
              <w:rPr>
                <w:sz w:val="19"/>
                <w:szCs w:val="19"/>
              </w:rPr>
              <w:t>75</w:t>
            </w:r>
            <w:r w:rsidRPr="00320161">
              <w:rPr>
                <w:sz w:val="19"/>
                <w:szCs w:val="19"/>
                <w:vertAlign w:val="superscript"/>
              </w:rPr>
              <w:t>d</w:t>
            </w:r>
          </w:p>
        </w:tc>
      </w:tr>
      <w:tr w:rsidR="00F14AD0" w14:paraId="107E78C6" w14:textId="77777777" w:rsidTr="00AC5A71">
        <w:trPr>
          <w:cantSplit/>
        </w:trPr>
        <w:tc>
          <w:tcPr>
            <w:tcW w:w="2830" w:type="dxa"/>
            <w:gridSpan w:val="2"/>
          </w:tcPr>
          <w:p w14:paraId="0A720D4C" w14:textId="77777777" w:rsidR="00F14AD0" w:rsidRPr="00320161" w:rsidRDefault="00F14AD0" w:rsidP="004C10EE">
            <w:pPr>
              <w:ind w:left="29"/>
              <w:rPr>
                <w:sz w:val="19"/>
                <w:szCs w:val="19"/>
              </w:rPr>
            </w:pPr>
            <w:r>
              <w:rPr>
                <w:sz w:val="19"/>
                <w:szCs w:val="19"/>
              </w:rPr>
              <w:t>2006-05</w:t>
            </w:r>
          </w:p>
        </w:tc>
        <w:tc>
          <w:tcPr>
            <w:tcW w:w="1843" w:type="dxa"/>
          </w:tcPr>
          <w:p w14:paraId="5474CC90" w14:textId="77777777" w:rsidR="00F14AD0" w:rsidRPr="00320161" w:rsidRDefault="00F14AD0" w:rsidP="004C10EE">
            <w:pPr>
              <w:ind w:left="34"/>
              <w:rPr>
                <w:sz w:val="19"/>
                <w:szCs w:val="19"/>
              </w:rPr>
            </w:pPr>
            <w:r>
              <w:rPr>
                <w:sz w:val="19"/>
                <w:szCs w:val="19"/>
              </w:rPr>
              <w:t>25 mg/kg</w:t>
            </w:r>
          </w:p>
        </w:tc>
        <w:tc>
          <w:tcPr>
            <w:tcW w:w="1276" w:type="dxa"/>
          </w:tcPr>
          <w:p w14:paraId="1FD893BF" w14:textId="77777777" w:rsidR="00F14AD0" w:rsidRPr="00320161" w:rsidRDefault="00F14AD0" w:rsidP="004C10EE">
            <w:pPr>
              <w:ind w:left="28" w:right="3"/>
              <w:rPr>
                <w:sz w:val="19"/>
                <w:szCs w:val="19"/>
              </w:rPr>
            </w:pPr>
            <w:r w:rsidRPr="00CC2436">
              <w:rPr>
                <w:sz w:val="19"/>
                <w:szCs w:val="19"/>
              </w:rPr>
              <w:t>518</w:t>
            </w:r>
            <w:r w:rsidRPr="00CC2436">
              <w:rPr>
                <w:sz w:val="19"/>
                <w:szCs w:val="19"/>
                <w:vertAlign w:val="superscript"/>
              </w:rPr>
              <w:t>e</w:t>
            </w:r>
          </w:p>
        </w:tc>
        <w:tc>
          <w:tcPr>
            <w:tcW w:w="992" w:type="dxa"/>
          </w:tcPr>
          <w:p w14:paraId="52A8BB49" w14:textId="77777777" w:rsidR="00F14AD0" w:rsidRPr="00320161" w:rsidRDefault="00F14AD0" w:rsidP="004C10EE">
            <w:pPr>
              <w:ind w:left="31"/>
              <w:rPr>
                <w:sz w:val="19"/>
                <w:szCs w:val="19"/>
              </w:rPr>
            </w:pPr>
            <w:r>
              <w:rPr>
                <w:sz w:val="19"/>
                <w:szCs w:val="19"/>
              </w:rPr>
              <w:t>1137</w:t>
            </w:r>
          </w:p>
        </w:tc>
        <w:tc>
          <w:tcPr>
            <w:tcW w:w="992" w:type="dxa"/>
          </w:tcPr>
          <w:p w14:paraId="2E25C280" w14:textId="77777777" w:rsidR="00F14AD0" w:rsidRPr="00320161" w:rsidRDefault="00F14AD0" w:rsidP="004C10EE">
            <w:pPr>
              <w:ind w:left="34"/>
              <w:rPr>
                <w:sz w:val="19"/>
                <w:szCs w:val="19"/>
              </w:rPr>
            </w:pPr>
            <w:r>
              <w:rPr>
                <w:sz w:val="19"/>
                <w:szCs w:val="19"/>
              </w:rPr>
              <w:t>17</w:t>
            </w:r>
          </w:p>
        </w:tc>
        <w:tc>
          <w:tcPr>
            <w:tcW w:w="993" w:type="dxa"/>
          </w:tcPr>
          <w:p w14:paraId="79A38050" w14:textId="77777777" w:rsidR="00F14AD0" w:rsidRPr="00320161" w:rsidRDefault="00F14AD0" w:rsidP="004C10EE">
            <w:pPr>
              <w:ind w:left="37"/>
              <w:rPr>
                <w:sz w:val="19"/>
                <w:szCs w:val="19"/>
              </w:rPr>
            </w:pPr>
            <w:r>
              <w:rPr>
                <w:sz w:val="19"/>
                <w:szCs w:val="19"/>
              </w:rPr>
              <w:t>1154</w:t>
            </w:r>
          </w:p>
        </w:tc>
      </w:tr>
      <w:tr w:rsidR="00F14AD0" w14:paraId="2660A8E7" w14:textId="77777777" w:rsidTr="00AC5A71">
        <w:trPr>
          <w:cantSplit/>
        </w:trPr>
        <w:tc>
          <w:tcPr>
            <w:tcW w:w="2830" w:type="dxa"/>
            <w:gridSpan w:val="2"/>
            <w:vMerge w:val="restart"/>
          </w:tcPr>
          <w:p w14:paraId="5EEBF335" w14:textId="77777777" w:rsidR="00F14AD0" w:rsidRPr="00320161" w:rsidRDefault="00F14AD0" w:rsidP="004C10EE">
            <w:pPr>
              <w:ind w:left="29"/>
              <w:rPr>
                <w:sz w:val="19"/>
                <w:szCs w:val="19"/>
              </w:rPr>
            </w:pPr>
            <w:r>
              <w:rPr>
                <w:sz w:val="19"/>
                <w:szCs w:val="19"/>
              </w:rPr>
              <w:t>DF-CUP</w:t>
            </w:r>
          </w:p>
        </w:tc>
        <w:tc>
          <w:tcPr>
            <w:tcW w:w="1843" w:type="dxa"/>
          </w:tcPr>
          <w:p w14:paraId="1CDE29B3" w14:textId="77777777" w:rsidR="00F14AD0" w:rsidRPr="00320161" w:rsidRDefault="00F14AD0" w:rsidP="004C10EE">
            <w:pPr>
              <w:ind w:left="34"/>
              <w:rPr>
                <w:sz w:val="19"/>
                <w:szCs w:val="19"/>
              </w:rPr>
            </w:pPr>
            <w:r w:rsidRPr="00CC2436">
              <w:rPr>
                <w:sz w:val="19"/>
                <w:szCs w:val="19"/>
              </w:rPr>
              <w:t>10 mg/kg</w:t>
            </w:r>
          </w:p>
        </w:tc>
        <w:tc>
          <w:tcPr>
            <w:tcW w:w="1276" w:type="dxa"/>
          </w:tcPr>
          <w:p w14:paraId="11F26BA8" w14:textId="77777777" w:rsidR="00F14AD0" w:rsidRPr="00320161" w:rsidRDefault="00F14AD0" w:rsidP="004C10EE">
            <w:pPr>
              <w:ind w:left="28" w:right="3"/>
              <w:rPr>
                <w:sz w:val="19"/>
                <w:szCs w:val="19"/>
              </w:rPr>
            </w:pPr>
            <w:r w:rsidRPr="00320161">
              <w:rPr>
                <w:sz w:val="19"/>
                <w:szCs w:val="19"/>
              </w:rPr>
              <w:t>–</w:t>
            </w:r>
          </w:p>
        </w:tc>
        <w:tc>
          <w:tcPr>
            <w:tcW w:w="992" w:type="dxa"/>
          </w:tcPr>
          <w:p w14:paraId="1C18C547" w14:textId="77777777" w:rsidR="00F14AD0" w:rsidRPr="00320161" w:rsidRDefault="00F14AD0" w:rsidP="004C10EE">
            <w:pPr>
              <w:ind w:left="31"/>
              <w:rPr>
                <w:sz w:val="19"/>
                <w:szCs w:val="19"/>
              </w:rPr>
            </w:pPr>
            <w:r>
              <w:rPr>
                <w:sz w:val="19"/>
                <w:szCs w:val="19"/>
              </w:rPr>
              <w:t>85</w:t>
            </w:r>
          </w:p>
        </w:tc>
        <w:tc>
          <w:tcPr>
            <w:tcW w:w="992" w:type="dxa"/>
          </w:tcPr>
          <w:p w14:paraId="7D5505F0" w14:textId="77777777" w:rsidR="00F14AD0" w:rsidRPr="00320161" w:rsidRDefault="00F14AD0" w:rsidP="004C10EE">
            <w:pPr>
              <w:ind w:left="34"/>
              <w:rPr>
                <w:sz w:val="19"/>
                <w:szCs w:val="19"/>
              </w:rPr>
            </w:pPr>
            <w:r w:rsidRPr="00320161">
              <w:rPr>
                <w:sz w:val="19"/>
                <w:szCs w:val="19"/>
              </w:rPr>
              <w:t>–</w:t>
            </w:r>
          </w:p>
        </w:tc>
        <w:tc>
          <w:tcPr>
            <w:tcW w:w="993" w:type="dxa"/>
          </w:tcPr>
          <w:p w14:paraId="41D1BD87" w14:textId="77777777" w:rsidR="00F14AD0" w:rsidRPr="00320161" w:rsidRDefault="00F14AD0" w:rsidP="004C10EE">
            <w:pPr>
              <w:ind w:left="37"/>
              <w:rPr>
                <w:sz w:val="19"/>
                <w:szCs w:val="19"/>
              </w:rPr>
            </w:pPr>
            <w:r>
              <w:rPr>
                <w:sz w:val="19"/>
                <w:szCs w:val="19"/>
              </w:rPr>
              <w:t>85</w:t>
            </w:r>
          </w:p>
        </w:tc>
      </w:tr>
      <w:tr w:rsidR="00F14AD0" w14:paraId="64591C37" w14:textId="77777777" w:rsidTr="00AC5A71">
        <w:trPr>
          <w:cantSplit/>
        </w:trPr>
        <w:tc>
          <w:tcPr>
            <w:tcW w:w="2830" w:type="dxa"/>
            <w:gridSpan w:val="2"/>
            <w:vMerge/>
          </w:tcPr>
          <w:p w14:paraId="653C7CFC" w14:textId="77777777" w:rsidR="00F14AD0" w:rsidRPr="00320161" w:rsidRDefault="00F14AD0" w:rsidP="004C10EE">
            <w:pPr>
              <w:ind w:left="29"/>
              <w:rPr>
                <w:sz w:val="19"/>
                <w:szCs w:val="19"/>
              </w:rPr>
            </w:pPr>
          </w:p>
        </w:tc>
        <w:tc>
          <w:tcPr>
            <w:tcW w:w="1843" w:type="dxa"/>
          </w:tcPr>
          <w:p w14:paraId="5C93ABEF" w14:textId="77777777" w:rsidR="00F14AD0" w:rsidRPr="00320161" w:rsidRDefault="00F14AD0" w:rsidP="004C10EE">
            <w:pPr>
              <w:ind w:left="34"/>
              <w:rPr>
                <w:sz w:val="19"/>
                <w:szCs w:val="19"/>
              </w:rPr>
            </w:pPr>
            <w:r>
              <w:rPr>
                <w:sz w:val="19"/>
                <w:szCs w:val="19"/>
              </w:rPr>
              <w:t>25 mg/kg</w:t>
            </w:r>
          </w:p>
        </w:tc>
        <w:tc>
          <w:tcPr>
            <w:tcW w:w="1276" w:type="dxa"/>
          </w:tcPr>
          <w:p w14:paraId="2837C83E" w14:textId="77777777" w:rsidR="00F14AD0" w:rsidRPr="00320161" w:rsidRDefault="00F14AD0" w:rsidP="004C10EE">
            <w:pPr>
              <w:ind w:left="28" w:right="3"/>
              <w:rPr>
                <w:sz w:val="19"/>
                <w:szCs w:val="19"/>
              </w:rPr>
            </w:pPr>
            <w:r w:rsidRPr="00320161">
              <w:rPr>
                <w:sz w:val="19"/>
                <w:szCs w:val="19"/>
              </w:rPr>
              <w:t>–</w:t>
            </w:r>
          </w:p>
        </w:tc>
        <w:tc>
          <w:tcPr>
            <w:tcW w:w="992" w:type="dxa"/>
          </w:tcPr>
          <w:p w14:paraId="7F09B2E2" w14:textId="77777777" w:rsidR="00F14AD0" w:rsidRPr="00320161" w:rsidRDefault="00F14AD0" w:rsidP="004C10EE">
            <w:pPr>
              <w:ind w:left="31"/>
              <w:rPr>
                <w:sz w:val="19"/>
                <w:szCs w:val="19"/>
              </w:rPr>
            </w:pPr>
            <w:r>
              <w:rPr>
                <w:sz w:val="19"/>
                <w:szCs w:val="19"/>
              </w:rPr>
              <w:t>272</w:t>
            </w:r>
          </w:p>
        </w:tc>
        <w:tc>
          <w:tcPr>
            <w:tcW w:w="992" w:type="dxa"/>
          </w:tcPr>
          <w:p w14:paraId="3220896E" w14:textId="77777777" w:rsidR="00F14AD0" w:rsidRPr="00320161" w:rsidRDefault="00F14AD0" w:rsidP="004C10EE">
            <w:pPr>
              <w:ind w:left="34"/>
              <w:rPr>
                <w:sz w:val="19"/>
                <w:szCs w:val="19"/>
              </w:rPr>
            </w:pPr>
            <w:r w:rsidRPr="00320161">
              <w:rPr>
                <w:sz w:val="19"/>
                <w:szCs w:val="19"/>
              </w:rPr>
              <w:t>–</w:t>
            </w:r>
          </w:p>
        </w:tc>
        <w:tc>
          <w:tcPr>
            <w:tcW w:w="993" w:type="dxa"/>
          </w:tcPr>
          <w:p w14:paraId="25450838" w14:textId="77777777" w:rsidR="00F14AD0" w:rsidRPr="00320161" w:rsidRDefault="00F14AD0" w:rsidP="004C10EE">
            <w:pPr>
              <w:ind w:left="37"/>
              <w:rPr>
                <w:sz w:val="19"/>
                <w:szCs w:val="19"/>
              </w:rPr>
            </w:pPr>
            <w:r>
              <w:rPr>
                <w:sz w:val="19"/>
                <w:szCs w:val="19"/>
              </w:rPr>
              <w:t>272</w:t>
            </w:r>
          </w:p>
        </w:tc>
      </w:tr>
      <w:tr w:rsidR="00F14AD0" w14:paraId="3763F97E" w14:textId="77777777" w:rsidTr="00AC5A71">
        <w:trPr>
          <w:cantSplit/>
        </w:trPr>
        <w:tc>
          <w:tcPr>
            <w:tcW w:w="2830" w:type="dxa"/>
            <w:gridSpan w:val="2"/>
            <w:vMerge/>
          </w:tcPr>
          <w:p w14:paraId="499C5BF2" w14:textId="77777777" w:rsidR="00F14AD0" w:rsidRPr="00320161" w:rsidRDefault="00F14AD0" w:rsidP="004C10EE">
            <w:pPr>
              <w:ind w:left="29"/>
              <w:rPr>
                <w:sz w:val="19"/>
                <w:szCs w:val="19"/>
              </w:rPr>
            </w:pPr>
          </w:p>
        </w:tc>
        <w:tc>
          <w:tcPr>
            <w:tcW w:w="1843" w:type="dxa"/>
          </w:tcPr>
          <w:p w14:paraId="0E803752" w14:textId="77777777" w:rsidR="00F14AD0" w:rsidRPr="00320161" w:rsidRDefault="00F14AD0" w:rsidP="004C10EE">
            <w:pPr>
              <w:ind w:left="34"/>
              <w:rPr>
                <w:sz w:val="19"/>
                <w:szCs w:val="19"/>
              </w:rPr>
            </w:pPr>
            <w:r>
              <w:rPr>
                <w:sz w:val="19"/>
                <w:szCs w:val="19"/>
              </w:rPr>
              <w:t>40 mg/kg</w:t>
            </w:r>
          </w:p>
        </w:tc>
        <w:tc>
          <w:tcPr>
            <w:tcW w:w="1276" w:type="dxa"/>
          </w:tcPr>
          <w:p w14:paraId="67D7078C" w14:textId="77777777" w:rsidR="00F14AD0" w:rsidRPr="00320161" w:rsidRDefault="00F14AD0" w:rsidP="004C10EE">
            <w:pPr>
              <w:ind w:left="28" w:right="3"/>
              <w:rPr>
                <w:sz w:val="19"/>
                <w:szCs w:val="19"/>
              </w:rPr>
            </w:pPr>
            <w:r w:rsidRPr="00320161">
              <w:rPr>
                <w:sz w:val="19"/>
                <w:szCs w:val="19"/>
              </w:rPr>
              <w:t>–</w:t>
            </w:r>
          </w:p>
        </w:tc>
        <w:tc>
          <w:tcPr>
            <w:tcW w:w="992" w:type="dxa"/>
          </w:tcPr>
          <w:p w14:paraId="3F497FFE" w14:textId="77777777" w:rsidR="00F14AD0" w:rsidRPr="00320161" w:rsidRDefault="00F14AD0" w:rsidP="004C10EE">
            <w:pPr>
              <w:ind w:left="31"/>
              <w:rPr>
                <w:sz w:val="19"/>
                <w:szCs w:val="19"/>
              </w:rPr>
            </w:pPr>
            <w:r>
              <w:rPr>
                <w:sz w:val="19"/>
                <w:szCs w:val="19"/>
              </w:rPr>
              <w:t>226</w:t>
            </w:r>
          </w:p>
        </w:tc>
        <w:tc>
          <w:tcPr>
            <w:tcW w:w="992" w:type="dxa"/>
          </w:tcPr>
          <w:p w14:paraId="01C00FF7" w14:textId="77777777" w:rsidR="00F14AD0" w:rsidRPr="00320161" w:rsidRDefault="00F14AD0" w:rsidP="004C10EE">
            <w:pPr>
              <w:ind w:left="34"/>
              <w:rPr>
                <w:sz w:val="19"/>
                <w:szCs w:val="19"/>
              </w:rPr>
            </w:pPr>
            <w:r w:rsidRPr="00320161">
              <w:rPr>
                <w:sz w:val="19"/>
                <w:szCs w:val="19"/>
              </w:rPr>
              <w:t>–</w:t>
            </w:r>
          </w:p>
        </w:tc>
        <w:tc>
          <w:tcPr>
            <w:tcW w:w="993" w:type="dxa"/>
          </w:tcPr>
          <w:p w14:paraId="40311E4B" w14:textId="77777777" w:rsidR="00F14AD0" w:rsidRPr="00320161" w:rsidRDefault="00F14AD0" w:rsidP="004C10EE">
            <w:pPr>
              <w:ind w:left="37"/>
              <w:rPr>
                <w:sz w:val="19"/>
                <w:szCs w:val="19"/>
              </w:rPr>
            </w:pPr>
            <w:r>
              <w:rPr>
                <w:sz w:val="19"/>
                <w:szCs w:val="19"/>
              </w:rPr>
              <w:t>226</w:t>
            </w:r>
          </w:p>
        </w:tc>
      </w:tr>
      <w:tr w:rsidR="00F14AD0" w14:paraId="582FBD52" w14:textId="77777777" w:rsidTr="00AC5A71">
        <w:trPr>
          <w:cantSplit/>
        </w:trPr>
        <w:tc>
          <w:tcPr>
            <w:tcW w:w="2830" w:type="dxa"/>
            <w:gridSpan w:val="2"/>
            <w:vMerge/>
          </w:tcPr>
          <w:p w14:paraId="116723E1" w14:textId="77777777" w:rsidR="00F14AD0" w:rsidRPr="00320161" w:rsidRDefault="00F14AD0" w:rsidP="004C10EE">
            <w:pPr>
              <w:ind w:left="29"/>
              <w:rPr>
                <w:sz w:val="19"/>
                <w:szCs w:val="19"/>
              </w:rPr>
            </w:pPr>
          </w:p>
        </w:tc>
        <w:tc>
          <w:tcPr>
            <w:tcW w:w="1843" w:type="dxa"/>
          </w:tcPr>
          <w:p w14:paraId="3CD81EB1" w14:textId="77777777" w:rsidR="00F14AD0" w:rsidRPr="00320161" w:rsidRDefault="00F14AD0" w:rsidP="004C10EE">
            <w:pPr>
              <w:ind w:left="34"/>
              <w:rPr>
                <w:sz w:val="19"/>
                <w:szCs w:val="19"/>
              </w:rPr>
            </w:pPr>
            <w:r>
              <w:rPr>
                <w:sz w:val="19"/>
                <w:szCs w:val="19"/>
              </w:rPr>
              <w:t>60/80 mg/kg</w:t>
            </w:r>
          </w:p>
        </w:tc>
        <w:tc>
          <w:tcPr>
            <w:tcW w:w="1276" w:type="dxa"/>
          </w:tcPr>
          <w:p w14:paraId="4A1E4FBB" w14:textId="77777777" w:rsidR="00F14AD0" w:rsidRPr="00320161" w:rsidRDefault="00F14AD0" w:rsidP="004C10EE">
            <w:pPr>
              <w:ind w:left="28" w:right="3"/>
              <w:rPr>
                <w:sz w:val="19"/>
                <w:szCs w:val="19"/>
              </w:rPr>
            </w:pPr>
            <w:r w:rsidRPr="00320161">
              <w:rPr>
                <w:sz w:val="19"/>
                <w:szCs w:val="19"/>
              </w:rPr>
              <w:t>–</w:t>
            </w:r>
          </w:p>
        </w:tc>
        <w:tc>
          <w:tcPr>
            <w:tcW w:w="992" w:type="dxa"/>
          </w:tcPr>
          <w:p w14:paraId="07E59433" w14:textId="77777777" w:rsidR="00F14AD0" w:rsidRPr="00320161" w:rsidRDefault="00F14AD0" w:rsidP="004C10EE">
            <w:pPr>
              <w:ind w:left="31"/>
              <w:rPr>
                <w:sz w:val="19"/>
                <w:szCs w:val="19"/>
              </w:rPr>
            </w:pPr>
            <w:r>
              <w:rPr>
                <w:sz w:val="19"/>
                <w:szCs w:val="19"/>
              </w:rPr>
              <w:t>55</w:t>
            </w:r>
          </w:p>
        </w:tc>
        <w:tc>
          <w:tcPr>
            <w:tcW w:w="992" w:type="dxa"/>
          </w:tcPr>
          <w:p w14:paraId="0D732526" w14:textId="77777777" w:rsidR="00F14AD0" w:rsidRPr="00320161" w:rsidRDefault="00F14AD0" w:rsidP="004C10EE">
            <w:pPr>
              <w:ind w:left="34"/>
              <w:rPr>
                <w:sz w:val="19"/>
                <w:szCs w:val="19"/>
              </w:rPr>
            </w:pPr>
            <w:r w:rsidRPr="00320161">
              <w:rPr>
                <w:sz w:val="19"/>
                <w:szCs w:val="19"/>
              </w:rPr>
              <w:t>–</w:t>
            </w:r>
          </w:p>
        </w:tc>
        <w:tc>
          <w:tcPr>
            <w:tcW w:w="993" w:type="dxa"/>
          </w:tcPr>
          <w:p w14:paraId="1564D443" w14:textId="77777777" w:rsidR="00F14AD0" w:rsidRPr="00320161" w:rsidRDefault="00F14AD0" w:rsidP="004C10EE">
            <w:pPr>
              <w:ind w:left="37"/>
              <w:rPr>
                <w:sz w:val="19"/>
                <w:szCs w:val="19"/>
              </w:rPr>
            </w:pPr>
            <w:r>
              <w:rPr>
                <w:sz w:val="19"/>
                <w:szCs w:val="19"/>
              </w:rPr>
              <w:t>55</w:t>
            </w:r>
          </w:p>
        </w:tc>
      </w:tr>
      <w:tr w:rsidR="00F14AD0" w14:paraId="1C7E222B" w14:textId="77777777" w:rsidTr="004C10EE">
        <w:trPr>
          <w:cantSplit/>
          <w:trHeight w:val="699"/>
        </w:trPr>
        <w:tc>
          <w:tcPr>
            <w:tcW w:w="2830" w:type="dxa"/>
            <w:gridSpan w:val="2"/>
            <w:vMerge/>
          </w:tcPr>
          <w:p w14:paraId="3A7EC85C" w14:textId="77777777" w:rsidR="00F14AD0" w:rsidRPr="00320161" w:rsidRDefault="00F14AD0" w:rsidP="004C10EE">
            <w:pPr>
              <w:ind w:left="29"/>
              <w:rPr>
                <w:sz w:val="19"/>
                <w:szCs w:val="19"/>
              </w:rPr>
            </w:pPr>
          </w:p>
        </w:tc>
        <w:tc>
          <w:tcPr>
            <w:tcW w:w="1843" w:type="dxa"/>
          </w:tcPr>
          <w:p w14:paraId="2CD93588" w14:textId="77777777" w:rsidR="00F14AD0" w:rsidRPr="00320161" w:rsidRDefault="00F14AD0" w:rsidP="004C10EE">
            <w:pPr>
              <w:ind w:left="34"/>
              <w:rPr>
                <w:sz w:val="19"/>
                <w:szCs w:val="19"/>
              </w:rPr>
            </w:pPr>
            <w:r>
              <w:rPr>
                <w:sz w:val="19"/>
                <w:szCs w:val="19"/>
              </w:rPr>
              <w:t>Unknown</w:t>
            </w:r>
          </w:p>
        </w:tc>
        <w:tc>
          <w:tcPr>
            <w:tcW w:w="1276" w:type="dxa"/>
          </w:tcPr>
          <w:p w14:paraId="23E78085" w14:textId="77777777" w:rsidR="00F14AD0" w:rsidRPr="00320161" w:rsidRDefault="00F14AD0" w:rsidP="004C10EE">
            <w:pPr>
              <w:ind w:left="28" w:right="3"/>
              <w:rPr>
                <w:sz w:val="19"/>
                <w:szCs w:val="19"/>
              </w:rPr>
            </w:pPr>
            <w:r w:rsidRPr="00320161">
              <w:rPr>
                <w:sz w:val="19"/>
                <w:szCs w:val="19"/>
              </w:rPr>
              <w:t>–</w:t>
            </w:r>
          </w:p>
        </w:tc>
        <w:tc>
          <w:tcPr>
            <w:tcW w:w="992" w:type="dxa"/>
          </w:tcPr>
          <w:p w14:paraId="033A2731" w14:textId="77777777" w:rsidR="00F14AD0" w:rsidRPr="00320161" w:rsidRDefault="00F14AD0" w:rsidP="004C10EE">
            <w:pPr>
              <w:ind w:left="31"/>
              <w:rPr>
                <w:sz w:val="19"/>
                <w:szCs w:val="19"/>
              </w:rPr>
            </w:pPr>
            <w:r>
              <w:rPr>
                <w:sz w:val="19"/>
                <w:szCs w:val="19"/>
              </w:rPr>
              <w:t>72</w:t>
            </w:r>
          </w:p>
        </w:tc>
        <w:tc>
          <w:tcPr>
            <w:tcW w:w="992" w:type="dxa"/>
          </w:tcPr>
          <w:p w14:paraId="68FE311B" w14:textId="77777777" w:rsidR="00F14AD0" w:rsidRPr="00320161" w:rsidRDefault="00F14AD0" w:rsidP="004C10EE">
            <w:pPr>
              <w:ind w:left="34"/>
              <w:rPr>
                <w:sz w:val="19"/>
                <w:szCs w:val="19"/>
              </w:rPr>
            </w:pPr>
            <w:r w:rsidRPr="00320161">
              <w:rPr>
                <w:sz w:val="19"/>
                <w:szCs w:val="19"/>
              </w:rPr>
              <w:t>–</w:t>
            </w:r>
          </w:p>
        </w:tc>
        <w:tc>
          <w:tcPr>
            <w:tcW w:w="993" w:type="dxa"/>
          </w:tcPr>
          <w:p w14:paraId="7AAEBC63" w14:textId="77777777" w:rsidR="00F14AD0" w:rsidRPr="00320161" w:rsidRDefault="00F14AD0" w:rsidP="004C10EE">
            <w:pPr>
              <w:ind w:left="37"/>
              <w:rPr>
                <w:sz w:val="19"/>
                <w:szCs w:val="19"/>
              </w:rPr>
            </w:pPr>
            <w:r>
              <w:rPr>
                <w:sz w:val="19"/>
                <w:szCs w:val="19"/>
              </w:rPr>
              <w:t>72</w:t>
            </w:r>
          </w:p>
        </w:tc>
      </w:tr>
      <w:tr w:rsidR="00F14AD0" w14:paraId="27353664" w14:textId="77777777" w:rsidTr="00AC5A71">
        <w:trPr>
          <w:cantSplit/>
        </w:trPr>
        <w:tc>
          <w:tcPr>
            <w:tcW w:w="1413" w:type="dxa"/>
            <w:vMerge w:val="restart"/>
          </w:tcPr>
          <w:p w14:paraId="2DF19D5F" w14:textId="77777777" w:rsidR="00F14AD0" w:rsidRPr="00320161" w:rsidRDefault="00F14AD0" w:rsidP="004C10EE">
            <w:pPr>
              <w:ind w:left="29"/>
              <w:rPr>
                <w:sz w:val="19"/>
                <w:szCs w:val="19"/>
              </w:rPr>
            </w:pPr>
            <w:r w:rsidRPr="00CC2436">
              <w:rPr>
                <w:sz w:val="19"/>
                <w:szCs w:val="19"/>
              </w:rPr>
              <w:lastRenderedPageBreak/>
              <w:t>2004-000592-3300592-33</w:t>
            </w:r>
          </w:p>
        </w:tc>
        <w:tc>
          <w:tcPr>
            <w:tcW w:w="1417" w:type="dxa"/>
          </w:tcPr>
          <w:p w14:paraId="292EFF82" w14:textId="77777777" w:rsidR="00F14AD0" w:rsidRPr="00320161" w:rsidRDefault="00F14AD0" w:rsidP="004C10EE">
            <w:pPr>
              <w:ind w:left="29"/>
              <w:rPr>
                <w:sz w:val="19"/>
                <w:szCs w:val="19"/>
              </w:rPr>
            </w:pPr>
            <w:r>
              <w:rPr>
                <w:sz w:val="19"/>
                <w:szCs w:val="19"/>
              </w:rPr>
              <w:t>Treatment</w:t>
            </w:r>
          </w:p>
        </w:tc>
        <w:tc>
          <w:tcPr>
            <w:tcW w:w="1843" w:type="dxa"/>
          </w:tcPr>
          <w:p w14:paraId="0B0CE856" w14:textId="77777777" w:rsidR="00F14AD0" w:rsidRPr="00320161" w:rsidRDefault="00F14AD0" w:rsidP="004C10EE">
            <w:pPr>
              <w:ind w:left="34"/>
              <w:rPr>
                <w:sz w:val="19"/>
                <w:szCs w:val="19"/>
              </w:rPr>
            </w:pPr>
            <w:r>
              <w:rPr>
                <w:sz w:val="19"/>
                <w:szCs w:val="19"/>
              </w:rPr>
              <w:t>25 mg/kg</w:t>
            </w:r>
          </w:p>
        </w:tc>
        <w:tc>
          <w:tcPr>
            <w:tcW w:w="1276" w:type="dxa"/>
          </w:tcPr>
          <w:p w14:paraId="0939D102" w14:textId="77777777" w:rsidR="00F14AD0" w:rsidRPr="00320161" w:rsidRDefault="00F14AD0" w:rsidP="004C10EE">
            <w:pPr>
              <w:ind w:left="28" w:right="3"/>
              <w:rPr>
                <w:sz w:val="19"/>
                <w:szCs w:val="19"/>
              </w:rPr>
            </w:pPr>
            <w:r w:rsidRPr="00320161">
              <w:rPr>
                <w:sz w:val="19"/>
                <w:szCs w:val="19"/>
              </w:rPr>
              <w:t>–</w:t>
            </w:r>
          </w:p>
        </w:tc>
        <w:tc>
          <w:tcPr>
            <w:tcW w:w="992" w:type="dxa"/>
          </w:tcPr>
          <w:p w14:paraId="0A140230" w14:textId="77777777" w:rsidR="00F14AD0" w:rsidRPr="00320161" w:rsidRDefault="00F14AD0" w:rsidP="004C10EE">
            <w:pPr>
              <w:ind w:left="31"/>
              <w:rPr>
                <w:sz w:val="19"/>
                <w:szCs w:val="19"/>
              </w:rPr>
            </w:pPr>
            <w:r w:rsidRPr="00320161">
              <w:rPr>
                <w:sz w:val="19"/>
                <w:szCs w:val="19"/>
              </w:rPr>
              <w:t>–</w:t>
            </w:r>
          </w:p>
        </w:tc>
        <w:tc>
          <w:tcPr>
            <w:tcW w:w="992" w:type="dxa"/>
          </w:tcPr>
          <w:p w14:paraId="3CA4915A" w14:textId="77777777" w:rsidR="00F14AD0" w:rsidRPr="00320161" w:rsidRDefault="00F14AD0" w:rsidP="004C10EE">
            <w:pPr>
              <w:ind w:left="34"/>
              <w:rPr>
                <w:sz w:val="19"/>
                <w:szCs w:val="19"/>
              </w:rPr>
            </w:pPr>
            <w:r>
              <w:rPr>
                <w:sz w:val="19"/>
                <w:szCs w:val="19"/>
              </w:rPr>
              <w:t>177</w:t>
            </w:r>
          </w:p>
        </w:tc>
        <w:tc>
          <w:tcPr>
            <w:tcW w:w="993" w:type="dxa"/>
            <w:vMerge w:val="restart"/>
          </w:tcPr>
          <w:p w14:paraId="10690017" w14:textId="77777777" w:rsidR="00F14AD0" w:rsidRPr="00320161" w:rsidRDefault="00F14AD0" w:rsidP="004C10EE">
            <w:pPr>
              <w:ind w:left="37"/>
              <w:rPr>
                <w:sz w:val="19"/>
                <w:szCs w:val="19"/>
              </w:rPr>
            </w:pPr>
            <w:r>
              <w:rPr>
                <w:sz w:val="19"/>
                <w:szCs w:val="19"/>
              </w:rPr>
              <w:t>213</w:t>
            </w:r>
          </w:p>
        </w:tc>
      </w:tr>
      <w:tr w:rsidR="00F14AD0" w14:paraId="6F465FF0" w14:textId="77777777" w:rsidTr="00AC5A71">
        <w:trPr>
          <w:cantSplit/>
        </w:trPr>
        <w:tc>
          <w:tcPr>
            <w:tcW w:w="1413" w:type="dxa"/>
            <w:vMerge/>
          </w:tcPr>
          <w:p w14:paraId="3F747178" w14:textId="77777777" w:rsidR="00F14AD0" w:rsidRPr="00320161" w:rsidRDefault="00F14AD0" w:rsidP="004C10EE">
            <w:pPr>
              <w:ind w:left="29"/>
              <w:rPr>
                <w:sz w:val="19"/>
                <w:szCs w:val="19"/>
              </w:rPr>
            </w:pPr>
          </w:p>
        </w:tc>
        <w:tc>
          <w:tcPr>
            <w:tcW w:w="1417" w:type="dxa"/>
          </w:tcPr>
          <w:p w14:paraId="7131EBF2" w14:textId="77777777" w:rsidR="00F14AD0" w:rsidRPr="00320161" w:rsidRDefault="00F14AD0" w:rsidP="004C10EE">
            <w:pPr>
              <w:ind w:left="29"/>
              <w:rPr>
                <w:sz w:val="19"/>
                <w:szCs w:val="19"/>
              </w:rPr>
            </w:pPr>
            <w:r>
              <w:rPr>
                <w:sz w:val="19"/>
                <w:szCs w:val="19"/>
              </w:rPr>
              <w:t>Prophylaxis</w:t>
            </w:r>
          </w:p>
        </w:tc>
        <w:tc>
          <w:tcPr>
            <w:tcW w:w="1843" w:type="dxa"/>
          </w:tcPr>
          <w:p w14:paraId="23359D93" w14:textId="77777777" w:rsidR="00F14AD0" w:rsidRPr="00320161" w:rsidRDefault="00F14AD0" w:rsidP="004C10EE">
            <w:pPr>
              <w:ind w:left="34"/>
              <w:rPr>
                <w:sz w:val="19"/>
                <w:szCs w:val="19"/>
              </w:rPr>
            </w:pPr>
            <w:r>
              <w:rPr>
                <w:sz w:val="19"/>
                <w:szCs w:val="19"/>
              </w:rPr>
              <w:t>25 mg/kg</w:t>
            </w:r>
          </w:p>
        </w:tc>
        <w:tc>
          <w:tcPr>
            <w:tcW w:w="1276" w:type="dxa"/>
          </w:tcPr>
          <w:p w14:paraId="5AEAD137" w14:textId="77777777" w:rsidR="00F14AD0" w:rsidRPr="00320161" w:rsidRDefault="00F14AD0" w:rsidP="004C10EE">
            <w:pPr>
              <w:ind w:left="28" w:right="3"/>
              <w:rPr>
                <w:sz w:val="19"/>
                <w:szCs w:val="19"/>
              </w:rPr>
            </w:pPr>
            <w:r w:rsidRPr="00320161">
              <w:rPr>
                <w:sz w:val="19"/>
                <w:szCs w:val="19"/>
              </w:rPr>
              <w:t>–</w:t>
            </w:r>
          </w:p>
        </w:tc>
        <w:tc>
          <w:tcPr>
            <w:tcW w:w="992" w:type="dxa"/>
          </w:tcPr>
          <w:p w14:paraId="7D690963" w14:textId="77777777" w:rsidR="00F14AD0" w:rsidRPr="00320161" w:rsidRDefault="00F14AD0" w:rsidP="004C10EE">
            <w:pPr>
              <w:ind w:left="31"/>
              <w:rPr>
                <w:sz w:val="19"/>
                <w:szCs w:val="19"/>
              </w:rPr>
            </w:pPr>
            <w:r w:rsidRPr="00320161">
              <w:rPr>
                <w:sz w:val="19"/>
                <w:szCs w:val="19"/>
              </w:rPr>
              <w:t>–</w:t>
            </w:r>
          </w:p>
        </w:tc>
        <w:tc>
          <w:tcPr>
            <w:tcW w:w="992" w:type="dxa"/>
          </w:tcPr>
          <w:p w14:paraId="419A1612" w14:textId="77777777" w:rsidR="00F14AD0" w:rsidRPr="00320161" w:rsidRDefault="00F14AD0" w:rsidP="004C10EE">
            <w:pPr>
              <w:ind w:left="34"/>
              <w:rPr>
                <w:sz w:val="19"/>
                <w:szCs w:val="19"/>
              </w:rPr>
            </w:pPr>
            <w:r>
              <w:rPr>
                <w:sz w:val="19"/>
                <w:szCs w:val="19"/>
              </w:rPr>
              <w:t>60</w:t>
            </w:r>
          </w:p>
        </w:tc>
        <w:tc>
          <w:tcPr>
            <w:tcW w:w="993" w:type="dxa"/>
            <w:vMerge/>
          </w:tcPr>
          <w:p w14:paraId="4F4D9B29" w14:textId="77777777" w:rsidR="00F14AD0" w:rsidRPr="00320161" w:rsidRDefault="00F14AD0" w:rsidP="004C10EE">
            <w:pPr>
              <w:ind w:left="37"/>
              <w:rPr>
                <w:sz w:val="19"/>
                <w:szCs w:val="19"/>
              </w:rPr>
            </w:pPr>
          </w:p>
        </w:tc>
      </w:tr>
      <w:tr w:rsidR="00F14AD0" w14:paraId="272C8A83" w14:textId="77777777" w:rsidTr="00AC5A71">
        <w:trPr>
          <w:cantSplit/>
        </w:trPr>
        <w:tc>
          <w:tcPr>
            <w:tcW w:w="2830" w:type="dxa"/>
            <w:gridSpan w:val="2"/>
          </w:tcPr>
          <w:p w14:paraId="79DB778A" w14:textId="77777777" w:rsidR="00F14AD0" w:rsidRPr="00320161" w:rsidRDefault="00F14AD0" w:rsidP="004C10EE">
            <w:pPr>
              <w:ind w:left="29"/>
              <w:rPr>
                <w:sz w:val="19"/>
                <w:szCs w:val="19"/>
              </w:rPr>
            </w:pPr>
            <w:r>
              <w:rPr>
                <w:sz w:val="19"/>
                <w:szCs w:val="19"/>
              </w:rPr>
              <w:t>R09-1425</w:t>
            </w:r>
          </w:p>
        </w:tc>
        <w:tc>
          <w:tcPr>
            <w:tcW w:w="1843" w:type="dxa"/>
          </w:tcPr>
          <w:p w14:paraId="7385E4FD" w14:textId="77777777" w:rsidR="00F14AD0" w:rsidRPr="00320161" w:rsidRDefault="00F14AD0" w:rsidP="004C10EE">
            <w:pPr>
              <w:ind w:left="34"/>
              <w:rPr>
                <w:sz w:val="19"/>
                <w:szCs w:val="19"/>
              </w:rPr>
            </w:pPr>
            <w:r w:rsidRPr="00CC2436">
              <w:rPr>
                <w:sz w:val="19"/>
                <w:szCs w:val="19"/>
              </w:rPr>
              <w:t>6.25/15 mg/kg</w:t>
            </w:r>
          </w:p>
        </w:tc>
        <w:tc>
          <w:tcPr>
            <w:tcW w:w="1276" w:type="dxa"/>
          </w:tcPr>
          <w:p w14:paraId="72AEA17D" w14:textId="77777777" w:rsidR="00F14AD0" w:rsidRPr="00320161" w:rsidRDefault="00F14AD0" w:rsidP="004C10EE">
            <w:pPr>
              <w:ind w:left="28" w:right="3"/>
              <w:rPr>
                <w:sz w:val="19"/>
                <w:szCs w:val="19"/>
              </w:rPr>
            </w:pPr>
            <w:r w:rsidRPr="00320161">
              <w:rPr>
                <w:sz w:val="19"/>
                <w:szCs w:val="19"/>
              </w:rPr>
              <w:t>–</w:t>
            </w:r>
          </w:p>
        </w:tc>
        <w:tc>
          <w:tcPr>
            <w:tcW w:w="992" w:type="dxa"/>
          </w:tcPr>
          <w:p w14:paraId="307621B0" w14:textId="77777777" w:rsidR="00F14AD0" w:rsidRPr="00320161" w:rsidRDefault="00F14AD0" w:rsidP="004C10EE">
            <w:pPr>
              <w:ind w:left="31"/>
              <w:rPr>
                <w:sz w:val="19"/>
                <w:szCs w:val="19"/>
              </w:rPr>
            </w:pPr>
            <w:r w:rsidRPr="00320161">
              <w:rPr>
                <w:sz w:val="19"/>
                <w:szCs w:val="19"/>
              </w:rPr>
              <w:t>–</w:t>
            </w:r>
          </w:p>
        </w:tc>
        <w:tc>
          <w:tcPr>
            <w:tcW w:w="992" w:type="dxa"/>
          </w:tcPr>
          <w:p w14:paraId="3EF7185B" w14:textId="77777777" w:rsidR="00F14AD0" w:rsidRPr="00320161" w:rsidRDefault="00F14AD0" w:rsidP="004C10EE">
            <w:pPr>
              <w:ind w:left="34"/>
              <w:rPr>
                <w:sz w:val="19"/>
                <w:szCs w:val="19"/>
              </w:rPr>
            </w:pPr>
            <w:r>
              <w:rPr>
                <w:sz w:val="19"/>
                <w:szCs w:val="19"/>
              </w:rPr>
              <w:t>52</w:t>
            </w:r>
          </w:p>
        </w:tc>
        <w:tc>
          <w:tcPr>
            <w:tcW w:w="993" w:type="dxa"/>
          </w:tcPr>
          <w:p w14:paraId="286E3679" w14:textId="77777777" w:rsidR="00F14AD0" w:rsidRPr="00320161" w:rsidRDefault="00F14AD0" w:rsidP="004C10EE">
            <w:pPr>
              <w:ind w:left="37"/>
              <w:rPr>
                <w:sz w:val="19"/>
                <w:szCs w:val="19"/>
              </w:rPr>
            </w:pPr>
            <w:r>
              <w:rPr>
                <w:sz w:val="19"/>
                <w:szCs w:val="19"/>
              </w:rPr>
              <w:t>52</w:t>
            </w:r>
          </w:p>
        </w:tc>
      </w:tr>
      <w:tr w:rsidR="00F14AD0" w14:paraId="1C31CA59" w14:textId="77777777" w:rsidTr="00AC5A71">
        <w:trPr>
          <w:cantSplit/>
        </w:trPr>
        <w:tc>
          <w:tcPr>
            <w:tcW w:w="2830" w:type="dxa"/>
            <w:gridSpan w:val="2"/>
            <w:vMerge w:val="restart"/>
          </w:tcPr>
          <w:p w14:paraId="72CA9329" w14:textId="77777777" w:rsidR="00F14AD0" w:rsidRPr="00320161" w:rsidRDefault="00F14AD0" w:rsidP="004C10EE">
            <w:pPr>
              <w:ind w:left="29"/>
              <w:rPr>
                <w:sz w:val="19"/>
                <w:szCs w:val="19"/>
              </w:rPr>
            </w:pPr>
            <w:r w:rsidRPr="00CC2436">
              <w:rPr>
                <w:sz w:val="19"/>
                <w:szCs w:val="19"/>
              </w:rPr>
              <w:t>DF VOD-2012-03-PKRen</w:t>
            </w:r>
          </w:p>
        </w:tc>
        <w:tc>
          <w:tcPr>
            <w:tcW w:w="1843" w:type="dxa"/>
          </w:tcPr>
          <w:p w14:paraId="607C8859" w14:textId="77777777" w:rsidR="00F14AD0" w:rsidRPr="00320161" w:rsidRDefault="00F14AD0" w:rsidP="004C10EE">
            <w:pPr>
              <w:ind w:left="34"/>
              <w:rPr>
                <w:sz w:val="19"/>
                <w:szCs w:val="19"/>
              </w:rPr>
            </w:pPr>
            <w:r>
              <w:rPr>
                <w:sz w:val="19"/>
                <w:szCs w:val="19"/>
              </w:rPr>
              <w:t>25 mg/kg</w:t>
            </w:r>
          </w:p>
        </w:tc>
        <w:tc>
          <w:tcPr>
            <w:tcW w:w="1276" w:type="dxa"/>
          </w:tcPr>
          <w:p w14:paraId="2487B34C" w14:textId="77777777" w:rsidR="00F14AD0" w:rsidRPr="00320161" w:rsidRDefault="00F14AD0" w:rsidP="004C10EE">
            <w:pPr>
              <w:ind w:left="28" w:right="3"/>
              <w:rPr>
                <w:sz w:val="19"/>
                <w:szCs w:val="19"/>
              </w:rPr>
            </w:pPr>
            <w:r w:rsidRPr="00320161">
              <w:rPr>
                <w:sz w:val="19"/>
                <w:szCs w:val="19"/>
              </w:rPr>
              <w:t>–</w:t>
            </w:r>
          </w:p>
        </w:tc>
        <w:tc>
          <w:tcPr>
            <w:tcW w:w="992" w:type="dxa"/>
          </w:tcPr>
          <w:p w14:paraId="04F632D8" w14:textId="77777777" w:rsidR="00F14AD0" w:rsidRPr="00320161" w:rsidRDefault="00F14AD0" w:rsidP="004C10EE">
            <w:pPr>
              <w:ind w:left="31"/>
              <w:rPr>
                <w:sz w:val="19"/>
                <w:szCs w:val="19"/>
              </w:rPr>
            </w:pPr>
            <w:r w:rsidRPr="00320161">
              <w:rPr>
                <w:sz w:val="19"/>
                <w:szCs w:val="19"/>
              </w:rPr>
              <w:t>–</w:t>
            </w:r>
          </w:p>
        </w:tc>
        <w:tc>
          <w:tcPr>
            <w:tcW w:w="992" w:type="dxa"/>
          </w:tcPr>
          <w:p w14:paraId="74093FD7" w14:textId="77777777" w:rsidR="00F14AD0" w:rsidRPr="00320161" w:rsidRDefault="00F14AD0" w:rsidP="004C10EE">
            <w:pPr>
              <w:ind w:left="34"/>
              <w:rPr>
                <w:sz w:val="19"/>
                <w:szCs w:val="19"/>
              </w:rPr>
            </w:pPr>
            <w:r>
              <w:rPr>
                <w:sz w:val="19"/>
                <w:szCs w:val="19"/>
              </w:rPr>
              <w:t>12</w:t>
            </w:r>
          </w:p>
        </w:tc>
        <w:tc>
          <w:tcPr>
            <w:tcW w:w="993" w:type="dxa"/>
          </w:tcPr>
          <w:p w14:paraId="21E2FDDD" w14:textId="77777777" w:rsidR="00F14AD0" w:rsidRPr="00320161" w:rsidRDefault="00F14AD0" w:rsidP="004C10EE">
            <w:pPr>
              <w:ind w:left="37"/>
              <w:rPr>
                <w:sz w:val="19"/>
                <w:szCs w:val="19"/>
              </w:rPr>
            </w:pPr>
            <w:r>
              <w:rPr>
                <w:sz w:val="19"/>
                <w:szCs w:val="19"/>
              </w:rPr>
              <w:t>12</w:t>
            </w:r>
          </w:p>
        </w:tc>
      </w:tr>
      <w:tr w:rsidR="00F14AD0" w14:paraId="0A29964D" w14:textId="77777777" w:rsidTr="00AC5A71">
        <w:trPr>
          <w:cantSplit/>
        </w:trPr>
        <w:tc>
          <w:tcPr>
            <w:tcW w:w="2830" w:type="dxa"/>
            <w:gridSpan w:val="2"/>
            <w:vMerge/>
          </w:tcPr>
          <w:p w14:paraId="3D2C819D" w14:textId="77777777" w:rsidR="00F14AD0" w:rsidRPr="00320161" w:rsidRDefault="00F14AD0" w:rsidP="004C10EE">
            <w:pPr>
              <w:ind w:left="29"/>
              <w:rPr>
                <w:sz w:val="19"/>
                <w:szCs w:val="19"/>
              </w:rPr>
            </w:pPr>
          </w:p>
        </w:tc>
        <w:tc>
          <w:tcPr>
            <w:tcW w:w="1843" w:type="dxa"/>
          </w:tcPr>
          <w:p w14:paraId="6F75303C" w14:textId="77777777" w:rsidR="00F14AD0" w:rsidRPr="00320161" w:rsidRDefault="00F14AD0" w:rsidP="004C10EE">
            <w:pPr>
              <w:ind w:left="34"/>
              <w:rPr>
                <w:sz w:val="19"/>
                <w:szCs w:val="19"/>
              </w:rPr>
            </w:pPr>
            <w:r w:rsidRPr="00CC2436">
              <w:rPr>
                <w:sz w:val="19"/>
                <w:szCs w:val="19"/>
              </w:rPr>
              <w:t>2 × 6.25 mg/</w:t>
            </w:r>
            <w:proofErr w:type="spellStart"/>
            <w:r w:rsidRPr="00CC2436">
              <w:rPr>
                <w:sz w:val="19"/>
                <w:szCs w:val="19"/>
              </w:rPr>
              <w:t>kg</w:t>
            </w:r>
            <w:r w:rsidRPr="00CC2436">
              <w:rPr>
                <w:sz w:val="19"/>
                <w:szCs w:val="19"/>
                <w:vertAlign w:val="superscript"/>
              </w:rPr>
              <w:t>g</w:t>
            </w:r>
            <w:proofErr w:type="spellEnd"/>
          </w:p>
        </w:tc>
        <w:tc>
          <w:tcPr>
            <w:tcW w:w="1276" w:type="dxa"/>
          </w:tcPr>
          <w:p w14:paraId="7DC86395" w14:textId="77777777" w:rsidR="00F14AD0" w:rsidRPr="00320161" w:rsidRDefault="00F14AD0" w:rsidP="004C10EE">
            <w:pPr>
              <w:ind w:left="28" w:right="3"/>
              <w:rPr>
                <w:sz w:val="19"/>
                <w:szCs w:val="19"/>
              </w:rPr>
            </w:pPr>
            <w:r w:rsidRPr="00320161">
              <w:rPr>
                <w:sz w:val="19"/>
                <w:szCs w:val="19"/>
              </w:rPr>
              <w:t>–</w:t>
            </w:r>
          </w:p>
        </w:tc>
        <w:tc>
          <w:tcPr>
            <w:tcW w:w="992" w:type="dxa"/>
          </w:tcPr>
          <w:p w14:paraId="0BA139A7" w14:textId="77777777" w:rsidR="00F14AD0" w:rsidRPr="00320161" w:rsidRDefault="00F14AD0" w:rsidP="004C10EE">
            <w:pPr>
              <w:ind w:left="31"/>
              <w:rPr>
                <w:sz w:val="19"/>
                <w:szCs w:val="19"/>
              </w:rPr>
            </w:pPr>
            <w:r w:rsidRPr="00320161">
              <w:rPr>
                <w:sz w:val="19"/>
                <w:szCs w:val="19"/>
              </w:rPr>
              <w:t>–</w:t>
            </w:r>
          </w:p>
        </w:tc>
        <w:tc>
          <w:tcPr>
            <w:tcW w:w="992" w:type="dxa"/>
          </w:tcPr>
          <w:p w14:paraId="432D6C26" w14:textId="77777777" w:rsidR="00F14AD0" w:rsidRPr="00320161" w:rsidRDefault="00F14AD0" w:rsidP="004C10EE">
            <w:pPr>
              <w:ind w:left="34"/>
              <w:rPr>
                <w:sz w:val="19"/>
                <w:szCs w:val="19"/>
              </w:rPr>
            </w:pPr>
            <w:r>
              <w:rPr>
                <w:sz w:val="19"/>
                <w:szCs w:val="19"/>
              </w:rPr>
              <w:t>6</w:t>
            </w:r>
          </w:p>
        </w:tc>
        <w:tc>
          <w:tcPr>
            <w:tcW w:w="993" w:type="dxa"/>
          </w:tcPr>
          <w:p w14:paraId="409AB549" w14:textId="77777777" w:rsidR="00F14AD0" w:rsidRPr="00320161" w:rsidRDefault="00F14AD0" w:rsidP="004C10EE">
            <w:pPr>
              <w:ind w:left="37"/>
              <w:rPr>
                <w:sz w:val="19"/>
                <w:szCs w:val="19"/>
              </w:rPr>
            </w:pPr>
            <w:r>
              <w:rPr>
                <w:sz w:val="19"/>
                <w:szCs w:val="19"/>
              </w:rPr>
              <w:t>6</w:t>
            </w:r>
          </w:p>
        </w:tc>
      </w:tr>
      <w:tr w:rsidR="00F14AD0" w14:paraId="570A4AFB" w14:textId="77777777" w:rsidTr="00AC5A71">
        <w:trPr>
          <w:cantSplit/>
        </w:trPr>
        <w:tc>
          <w:tcPr>
            <w:tcW w:w="4673" w:type="dxa"/>
            <w:gridSpan w:val="3"/>
          </w:tcPr>
          <w:p w14:paraId="7877C736" w14:textId="77777777" w:rsidR="00F14AD0" w:rsidRPr="00320161" w:rsidRDefault="00F14AD0" w:rsidP="004C10EE">
            <w:pPr>
              <w:ind w:left="34"/>
              <w:rPr>
                <w:sz w:val="19"/>
                <w:szCs w:val="19"/>
              </w:rPr>
            </w:pPr>
            <w:r>
              <w:rPr>
                <w:sz w:val="19"/>
                <w:szCs w:val="19"/>
              </w:rPr>
              <w:t>Total subjects</w:t>
            </w:r>
          </w:p>
        </w:tc>
        <w:tc>
          <w:tcPr>
            <w:tcW w:w="1276" w:type="dxa"/>
          </w:tcPr>
          <w:p w14:paraId="26224826" w14:textId="77777777" w:rsidR="00F14AD0" w:rsidRPr="00320161" w:rsidRDefault="00F14AD0" w:rsidP="004C10EE">
            <w:pPr>
              <w:ind w:left="28" w:right="3"/>
              <w:rPr>
                <w:sz w:val="19"/>
                <w:szCs w:val="19"/>
              </w:rPr>
            </w:pPr>
            <w:r>
              <w:rPr>
                <w:sz w:val="19"/>
                <w:szCs w:val="19"/>
              </w:rPr>
              <w:t>769</w:t>
            </w:r>
          </w:p>
        </w:tc>
        <w:tc>
          <w:tcPr>
            <w:tcW w:w="992" w:type="dxa"/>
          </w:tcPr>
          <w:p w14:paraId="0C369214" w14:textId="77777777" w:rsidR="00F14AD0" w:rsidRPr="00320161" w:rsidRDefault="00F14AD0" w:rsidP="004C10EE">
            <w:pPr>
              <w:ind w:left="31"/>
              <w:rPr>
                <w:sz w:val="19"/>
                <w:szCs w:val="19"/>
              </w:rPr>
            </w:pPr>
            <w:r>
              <w:rPr>
                <w:sz w:val="19"/>
                <w:szCs w:val="19"/>
              </w:rPr>
              <w:t>2098</w:t>
            </w:r>
          </w:p>
        </w:tc>
        <w:tc>
          <w:tcPr>
            <w:tcW w:w="992" w:type="dxa"/>
          </w:tcPr>
          <w:p w14:paraId="248ECC8E" w14:textId="77777777" w:rsidR="00F14AD0" w:rsidRPr="00320161" w:rsidRDefault="00F14AD0" w:rsidP="004C10EE">
            <w:pPr>
              <w:ind w:left="34"/>
              <w:rPr>
                <w:sz w:val="19"/>
                <w:szCs w:val="19"/>
              </w:rPr>
            </w:pPr>
            <w:r>
              <w:rPr>
                <w:sz w:val="19"/>
                <w:szCs w:val="19"/>
              </w:rPr>
              <w:t>300</w:t>
            </w:r>
            <w:r w:rsidRPr="00CC2436">
              <w:rPr>
                <w:sz w:val="19"/>
                <w:szCs w:val="19"/>
                <w:vertAlign w:val="superscript"/>
              </w:rPr>
              <w:t>f</w:t>
            </w:r>
          </w:p>
        </w:tc>
        <w:tc>
          <w:tcPr>
            <w:tcW w:w="993" w:type="dxa"/>
          </w:tcPr>
          <w:p w14:paraId="154A1B69" w14:textId="77777777" w:rsidR="00F14AD0" w:rsidRPr="00320161" w:rsidRDefault="00F14AD0" w:rsidP="004C10EE">
            <w:pPr>
              <w:ind w:left="37"/>
              <w:rPr>
                <w:sz w:val="19"/>
                <w:szCs w:val="19"/>
              </w:rPr>
            </w:pPr>
            <w:r>
              <w:rPr>
                <w:sz w:val="19"/>
                <w:szCs w:val="19"/>
              </w:rPr>
              <w:t>2398</w:t>
            </w:r>
            <w:r w:rsidRPr="00CC2436">
              <w:rPr>
                <w:sz w:val="19"/>
                <w:szCs w:val="19"/>
                <w:vertAlign w:val="superscript"/>
              </w:rPr>
              <w:t>f</w:t>
            </w:r>
          </w:p>
        </w:tc>
      </w:tr>
      <w:tr w:rsidR="00F14AD0" w14:paraId="0FAF2F43" w14:textId="77777777" w:rsidTr="00AC5A71">
        <w:trPr>
          <w:cantSplit/>
        </w:trPr>
        <w:tc>
          <w:tcPr>
            <w:tcW w:w="4673" w:type="dxa"/>
            <w:gridSpan w:val="3"/>
          </w:tcPr>
          <w:p w14:paraId="40EB7618" w14:textId="77777777" w:rsidR="00F14AD0" w:rsidRPr="00320161" w:rsidRDefault="00F14AD0" w:rsidP="004C10EE">
            <w:pPr>
              <w:ind w:left="34" w:right="35"/>
              <w:rPr>
                <w:sz w:val="19"/>
                <w:szCs w:val="19"/>
              </w:rPr>
            </w:pPr>
            <w:r w:rsidRPr="00CC2436">
              <w:rPr>
                <w:sz w:val="19"/>
                <w:szCs w:val="19"/>
              </w:rPr>
              <w:t>Total subjects who received defibrotide 25 mg/kg/day</w:t>
            </w:r>
          </w:p>
        </w:tc>
        <w:tc>
          <w:tcPr>
            <w:tcW w:w="1276" w:type="dxa"/>
          </w:tcPr>
          <w:p w14:paraId="241E5AAD" w14:textId="77777777" w:rsidR="00F14AD0" w:rsidRPr="00320161" w:rsidRDefault="00F14AD0" w:rsidP="004C10EE">
            <w:pPr>
              <w:ind w:left="28" w:right="3"/>
              <w:rPr>
                <w:sz w:val="19"/>
                <w:szCs w:val="19"/>
              </w:rPr>
            </w:pPr>
            <w:r>
              <w:rPr>
                <w:sz w:val="19"/>
                <w:szCs w:val="19"/>
              </w:rPr>
              <w:t>694</w:t>
            </w:r>
          </w:p>
        </w:tc>
        <w:tc>
          <w:tcPr>
            <w:tcW w:w="992" w:type="dxa"/>
          </w:tcPr>
          <w:p w14:paraId="3B895E2A" w14:textId="77777777" w:rsidR="00F14AD0" w:rsidRPr="00320161" w:rsidRDefault="00F14AD0" w:rsidP="004C10EE">
            <w:pPr>
              <w:ind w:left="31"/>
              <w:rPr>
                <w:sz w:val="19"/>
                <w:szCs w:val="19"/>
              </w:rPr>
            </w:pPr>
            <w:r>
              <w:rPr>
                <w:sz w:val="19"/>
                <w:szCs w:val="19"/>
              </w:rPr>
              <w:t>1585</w:t>
            </w:r>
          </w:p>
        </w:tc>
        <w:tc>
          <w:tcPr>
            <w:tcW w:w="992" w:type="dxa"/>
          </w:tcPr>
          <w:p w14:paraId="1FEE3765" w14:textId="77777777" w:rsidR="00F14AD0" w:rsidRPr="00320161" w:rsidRDefault="00F14AD0" w:rsidP="004C10EE">
            <w:pPr>
              <w:ind w:left="34"/>
              <w:rPr>
                <w:sz w:val="19"/>
                <w:szCs w:val="19"/>
              </w:rPr>
            </w:pPr>
            <w:r>
              <w:rPr>
                <w:sz w:val="19"/>
                <w:szCs w:val="19"/>
              </w:rPr>
              <w:t>242</w:t>
            </w:r>
            <w:r w:rsidRPr="00CC2436">
              <w:rPr>
                <w:sz w:val="19"/>
                <w:szCs w:val="19"/>
                <w:vertAlign w:val="superscript"/>
              </w:rPr>
              <w:t>f</w:t>
            </w:r>
          </w:p>
        </w:tc>
        <w:tc>
          <w:tcPr>
            <w:tcW w:w="993" w:type="dxa"/>
          </w:tcPr>
          <w:p w14:paraId="10CFD1C5" w14:textId="77777777" w:rsidR="00F14AD0" w:rsidRPr="00320161" w:rsidRDefault="00F14AD0" w:rsidP="004C10EE">
            <w:pPr>
              <w:ind w:left="37"/>
              <w:rPr>
                <w:sz w:val="19"/>
                <w:szCs w:val="19"/>
              </w:rPr>
            </w:pPr>
            <w:r>
              <w:rPr>
                <w:sz w:val="19"/>
                <w:szCs w:val="19"/>
              </w:rPr>
              <w:t>1827</w:t>
            </w:r>
            <w:r w:rsidRPr="00CC2436">
              <w:rPr>
                <w:sz w:val="19"/>
                <w:szCs w:val="19"/>
                <w:vertAlign w:val="superscript"/>
              </w:rPr>
              <w:t>f</w:t>
            </w:r>
          </w:p>
        </w:tc>
      </w:tr>
    </w:tbl>
    <w:p w14:paraId="57EE87AB" w14:textId="77777777" w:rsidR="00FF3662" w:rsidRDefault="00FF3662" w:rsidP="004C10EE">
      <w:pPr>
        <w:pStyle w:val="FootnoteText"/>
      </w:pPr>
      <w:proofErr w:type="gramStart"/>
      <w:r w:rsidRPr="009030A6">
        <w:t>a</w:t>
      </w:r>
      <w:proofErr w:type="gramEnd"/>
      <w:r w:rsidRPr="009030A6">
        <w:t xml:space="preserve"> May</w:t>
      </w:r>
      <w:r>
        <w:t xml:space="preserve"> include subjects with VOD with evidence of multi-organ dysfunction following HSCT; however, criteria were not specified or confirmatory data not available. Category includes subjects with VOD without evidence of multi-organ dysfunction and VOD not following HSCT.</w:t>
      </w:r>
    </w:p>
    <w:p w14:paraId="74D7A0E8" w14:textId="51CE2BED" w:rsidR="00FF3662" w:rsidRDefault="00FF3662" w:rsidP="006D5E69">
      <w:pPr>
        <w:pStyle w:val="FootnoteText"/>
      </w:pPr>
      <w:proofErr w:type="gramStart"/>
      <w:r>
        <w:t>b</w:t>
      </w:r>
      <w:proofErr w:type="gramEnd"/>
      <w:r>
        <w:t xml:space="preserve"> Includes studies for which defibrotide was administered as prophylaxis (Study 2004),to healthy volunteers (</w:t>
      </w:r>
      <w:r w:rsidR="0073259E">
        <w:t xml:space="preserve">Studies </w:t>
      </w:r>
      <w:r>
        <w:t>R09-1425 and DF VOD-2012-03-PKRen), and to subjects with severe to ESRD (</w:t>
      </w:r>
      <w:r w:rsidR="0073259E">
        <w:t>Study</w:t>
      </w:r>
      <w:r w:rsidR="008C4739">
        <w:t xml:space="preserve"> </w:t>
      </w:r>
      <w:r>
        <w:t>DF VOD-2012-03-PKRen).</w:t>
      </w:r>
    </w:p>
    <w:p w14:paraId="0F44D2CE" w14:textId="77777777" w:rsidR="00FF3662" w:rsidRDefault="00FF3662" w:rsidP="006D5E69">
      <w:pPr>
        <w:pStyle w:val="FootnoteText"/>
      </w:pPr>
      <w:proofErr w:type="gramStart"/>
      <w:r>
        <w:t>c</w:t>
      </w:r>
      <w:proofErr w:type="gramEnd"/>
      <w:r>
        <w:t xml:space="preserve"> All subjects received a total defibrotide dose of 10 mg/kg/day IV in 4 divided doses on Day 1.</w:t>
      </w:r>
    </w:p>
    <w:p w14:paraId="5E57D950" w14:textId="77777777" w:rsidR="00FF3662" w:rsidRDefault="00FF3662" w:rsidP="006D5E69">
      <w:pPr>
        <w:pStyle w:val="FootnoteText"/>
      </w:pPr>
      <w:proofErr w:type="gramStart"/>
      <w:r>
        <w:t>d</w:t>
      </w:r>
      <w:proofErr w:type="gramEnd"/>
      <w:r>
        <w:t xml:space="preserve"> One subject who was randomised to receive 25 mg/kg/day defibrotide was receiving approximately 40 mg/kg/day based on defibrotide serum/plasma levels. This subject is included in the 25 mg/kg/day group for the disposition, demographic, and efficacy analyses, but is included in the 40 mg/kg/day group for the safety analyses.</w:t>
      </w:r>
    </w:p>
    <w:p w14:paraId="6B38BFE8" w14:textId="77777777" w:rsidR="00FF3662" w:rsidRDefault="00FF3662" w:rsidP="006D5E69">
      <w:pPr>
        <w:pStyle w:val="FootnoteText"/>
      </w:pPr>
      <w:r>
        <w:t>e Six additional subjects from Study 2006-05 are included in the inte</w:t>
      </w:r>
      <w:r w:rsidR="0073259E">
        <w:t>grated safety analyses for the indication p</w:t>
      </w:r>
      <w:r>
        <w:t>opulation a</w:t>
      </w:r>
      <w:r w:rsidR="0073259E">
        <w:t>nd severe VOD following HSCT p</w:t>
      </w:r>
      <w:r>
        <w:t>opulation (n</w:t>
      </w:r>
      <w:r w:rsidR="0073259E">
        <w:t xml:space="preserve"> </w:t>
      </w:r>
      <w:r>
        <w:t>=</w:t>
      </w:r>
      <w:r w:rsidR="0073259E">
        <w:t xml:space="preserve"> </w:t>
      </w:r>
      <w:r>
        <w:t xml:space="preserve">518 from Study 2006-05 for </w:t>
      </w:r>
      <w:r w:rsidR="0073259E">
        <w:t>each) than are included in ITT efficacy population (all subjects in the safety p</w:t>
      </w:r>
      <w:r>
        <w:t>opulation who developed severe VOD) for the individual study results (n</w:t>
      </w:r>
      <w:r w:rsidR="0073259E">
        <w:t xml:space="preserve"> </w:t>
      </w:r>
      <w:r>
        <w:t>=</w:t>
      </w:r>
      <w:r w:rsidR="0073259E">
        <w:t xml:space="preserve"> </w:t>
      </w:r>
      <w:r>
        <w:t>512) due to differences in the algorithms to identify subjects with severe VOD following HSCT between the final Study 2006-05 analys</w:t>
      </w:r>
      <w:r w:rsidR="00651C90">
        <w:t>is and the integrated analysis</w:t>
      </w:r>
      <w:r>
        <w:t>.</w:t>
      </w:r>
    </w:p>
    <w:p w14:paraId="7B270C0E" w14:textId="77777777" w:rsidR="00FF3662" w:rsidRDefault="00FF3662" w:rsidP="006D5E69">
      <w:pPr>
        <w:pStyle w:val="FootnoteText"/>
      </w:pPr>
      <w:proofErr w:type="gramStart"/>
      <w:r>
        <w:t>f</w:t>
      </w:r>
      <w:proofErr w:type="gramEnd"/>
      <w:r>
        <w:t xml:space="preserve"> Subjects who received defibrotide as both prophylaxis and treatment (n</w:t>
      </w:r>
      <w:r w:rsidR="0073259E">
        <w:t xml:space="preserve"> </w:t>
      </w:r>
      <w:r>
        <w:t>=</w:t>
      </w:r>
      <w:r w:rsidR="0073259E">
        <w:t xml:space="preserve"> </w:t>
      </w:r>
      <w:r>
        <w:t>24) are counted only once in the total column.</w:t>
      </w:r>
    </w:p>
    <w:p w14:paraId="24068121" w14:textId="77777777" w:rsidR="00FF3662" w:rsidRDefault="00FF3662" w:rsidP="006D5E69">
      <w:pPr>
        <w:pStyle w:val="FootnoteText"/>
      </w:pPr>
      <w:proofErr w:type="gramStart"/>
      <w:r>
        <w:t>g</w:t>
      </w:r>
      <w:proofErr w:type="gramEnd"/>
      <w:r>
        <w:t xml:space="preserve"> Two doses of defibrotide 6.25 mg/kg administered by IV infusion over 2 hours: 1 dose on a non-dialysis day (Day 1) and 1 dose on a dialysis day (Day 4).</w:t>
      </w:r>
    </w:p>
    <w:p w14:paraId="28949533" w14:textId="77777777" w:rsidR="00182D7C" w:rsidRDefault="00182D7C" w:rsidP="00182D7C">
      <w:r>
        <w:t xml:space="preserve">The clinical evaluator noted that in Study 2005-01, events that were expected following transplant in the defibrotide treated group were generally not recorded as adverse events (AEs). These included stomatitis, </w:t>
      </w:r>
      <w:proofErr w:type="spellStart"/>
      <w:r>
        <w:t>mucositis</w:t>
      </w:r>
      <w:proofErr w:type="spellEnd"/>
      <w:r>
        <w:t xml:space="preserve">, infection, febrile neutropenia, </w:t>
      </w:r>
      <w:proofErr w:type="gramStart"/>
      <w:r>
        <w:t xml:space="preserve">fatigue, loss of appetite, </w:t>
      </w:r>
      <w:proofErr w:type="spellStart"/>
      <w:r>
        <w:t>cytopaenias</w:t>
      </w:r>
      <w:proofErr w:type="spellEnd"/>
      <w:r>
        <w:t>, electrolyte disturbances, hypertension, abnor</w:t>
      </w:r>
      <w:r w:rsidR="00651C90">
        <w:t>mal lipid profiles, pneumonitis/</w:t>
      </w:r>
      <w:r>
        <w:t>pulmonary</w:t>
      </w:r>
      <w:proofErr w:type="gramEnd"/>
      <w:r>
        <w:t xml:space="preserve"> infiltrates, pericardial effusion, and dyspnoea. In addition, the following symptoms of severe VOD were not recorded as AEs: hyperbilirubinemia, elevated creatinine/renal failure, weight</w:t>
      </w:r>
      <w:r w:rsidR="00651C90">
        <w:t xml:space="preserve"> gain, encephalopathy, hypoxia/</w:t>
      </w:r>
      <w:r>
        <w:t>respiratory failure, ascites, hepatomegaly, and right upper quadrant pain. However, any AE that was considered serious was recorded for the defibrotide group, and haemorrhage (any origin) and hypotension were nominated as AEs of special interest.</w:t>
      </w:r>
    </w:p>
    <w:p w14:paraId="672C8092" w14:textId="77777777" w:rsidR="00182D7C" w:rsidRDefault="00182D7C" w:rsidP="00A4536D">
      <w:pPr>
        <w:pStyle w:val="Heading5"/>
      </w:pPr>
      <w:r>
        <w:t>Pool A</w:t>
      </w:r>
    </w:p>
    <w:p w14:paraId="314D3FF9" w14:textId="68510C74" w:rsidR="00182D7C" w:rsidRDefault="00182D7C" w:rsidP="00182D7C">
      <w:r>
        <w:t>Treatment emergent adverse events (T</w:t>
      </w:r>
      <w:r w:rsidR="00651C90">
        <w:t xml:space="preserve">EAEs) were reported in 96% (169 out of </w:t>
      </w:r>
      <w:r>
        <w:t xml:space="preserve">176) of subjects treated with 25 mg/kg/day defibrotide and in 100% of the HC group. The most frequently reported TEAEs (≥ 10% of subjects) in the defibrotide 25 mg/kg/day group </w:t>
      </w:r>
      <w:r>
        <w:lastRenderedPageBreak/>
        <w:t xml:space="preserve">were hypotension, diarrhoea, MOF, vomiting, </w:t>
      </w:r>
      <w:proofErr w:type="spellStart"/>
      <w:r>
        <w:t>veno</w:t>
      </w:r>
      <w:proofErr w:type="spellEnd"/>
      <w:r>
        <w:t>-occlusive liver disease, renal failure, nausea, epistaxis and respiratory failure. MOF, renal failure and VOD were the most frequently reported AEs in the defibrotide treated patients. Hypotension, diarrhoea, nausea and pleural effusion were the most frequently repor</w:t>
      </w:r>
      <w:r w:rsidR="00A6230F">
        <w:t>ted AEs in the HC group (</w:t>
      </w:r>
      <w:r w:rsidR="00977DB4">
        <w:t xml:space="preserve">see </w:t>
      </w:r>
      <w:r w:rsidR="00A6230F">
        <w:fldChar w:fldCharType="begin"/>
      </w:r>
      <w:r w:rsidR="00A6230F">
        <w:instrText xml:space="preserve"> REF _Ref55824668 \h </w:instrText>
      </w:r>
      <w:r w:rsidR="00A6230F">
        <w:fldChar w:fldCharType="separate"/>
      </w:r>
      <w:r w:rsidR="00384939" w:rsidRPr="00DC1BB2">
        <w:t xml:space="preserve">Table </w:t>
      </w:r>
      <w:r w:rsidR="00384939">
        <w:rPr>
          <w:noProof/>
        </w:rPr>
        <w:t>8</w:t>
      </w:r>
      <w:r w:rsidR="00A6230F">
        <w:fldChar w:fldCharType="end"/>
      </w:r>
      <w:r w:rsidR="007E1C5A">
        <w:t xml:space="preserve">). Defibrotide </w:t>
      </w:r>
      <w:r>
        <w:t>related TEAEs were reported for 33% of subjects in the defibrotide 25</w:t>
      </w:r>
      <w:r w:rsidR="001841FF">
        <w:t> </w:t>
      </w:r>
      <w:r>
        <w:t xml:space="preserve">mg/kg/day group and 27% of subjects in the defibrotide 40 mg/kg/day group. When all haemorrhagic events were combined, the most commonly reported related AEs were haemorrhage and hypotension. </w:t>
      </w:r>
    </w:p>
    <w:p w14:paraId="7B9C129D" w14:textId="77777777" w:rsidR="00182D7C" w:rsidRDefault="00182D7C" w:rsidP="00182D7C">
      <w:r>
        <w:t>For noting, the sponsor provided the following justification to explain why VOD and MOF were included among the reported AEs even though they were nominally excluded from reporting by the protocol in Study 2005-01:</w:t>
      </w:r>
    </w:p>
    <w:p w14:paraId="2D83051A" w14:textId="77777777" w:rsidR="00182D7C" w:rsidRDefault="00182D7C" w:rsidP="00182D7C">
      <w:pPr>
        <w:ind w:left="720"/>
      </w:pPr>
      <w:r>
        <w:t>‘</w:t>
      </w:r>
      <w:r w:rsidRPr="00182D7C">
        <w:t>In evaluating individual TEAEs throughout this summary, it should be noted that events o</w:t>
      </w:r>
      <w:r w:rsidR="00651C90">
        <w:t>f VOD (preferred term ‘</w:t>
      </w:r>
      <w:proofErr w:type="spellStart"/>
      <w:r w:rsidR="00651C90">
        <w:t>veno</w:t>
      </w:r>
      <w:proofErr w:type="spellEnd"/>
      <w:r w:rsidR="00651C90">
        <w:t>-occlusive liver disease’</w:t>
      </w:r>
      <w:r w:rsidRPr="00182D7C">
        <w:t>), org</w:t>
      </w:r>
      <w:r w:rsidR="00651C90">
        <w:t>an failure (preferred terms of ‘multi-organ failure’, ‘renal failure’ and ‘respiratory failure’</w:t>
      </w:r>
      <w:r w:rsidRPr="00182D7C">
        <w:t>), and certain manifestations o</w:t>
      </w:r>
      <w:r w:rsidR="00651C90">
        <w:t>f VOD (such as preferred terms ‘hypoxia’ and ‘pleural effusion’</w:t>
      </w:r>
      <w:r w:rsidRPr="00182D7C">
        <w:t>) are unique in that they represent components of the underlying condition being treated. While in some cases these conditions may have worsened during the study (and, thus, qualified as TEAEs), the nature of data collection also may have influenced such reports. Specifically, if a subject receiving defibrotide died on or within 30 days after the last dose of study drug, a serious TEAE was required to be reported; frequently that event was listed as (or at least included) VOD and/or MOF. Because serious TEAEs were not captured for the historical control subjects, this may have led to an imbalance in reporting of th</w:t>
      </w:r>
      <w:r>
        <w:t>ese individual preferred terms.’</w:t>
      </w:r>
    </w:p>
    <w:p w14:paraId="166777DC" w14:textId="71B9A4CF" w:rsidR="00182D7C" w:rsidRPr="00DC1BB2" w:rsidRDefault="00182D7C" w:rsidP="006D5E69">
      <w:pPr>
        <w:pStyle w:val="TableTitle"/>
      </w:pPr>
      <w:bookmarkStart w:id="50" w:name="_Ref55824668"/>
      <w:r w:rsidRPr="00DC1BB2">
        <w:t xml:space="preserve">Table </w:t>
      </w:r>
      <w:r w:rsidR="004C10EE">
        <w:fldChar w:fldCharType="begin"/>
      </w:r>
      <w:r w:rsidR="004C10EE">
        <w:instrText xml:space="preserve"> SEQ Table \* ARABIC </w:instrText>
      </w:r>
      <w:r w:rsidR="004C10EE">
        <w:fldChar w:fldCharType="separate"/>
      </w:r>
      <w:r w:rsidR="00384939">
        <w:rPr>
          <w:noProof/>
        </w:rPr>
        <w:t>8</w:t>
      </w:r>
      <w:r w:rsidR="004C10EE">
        <w:rPr>
          <w:noProof/>
        </w:rPr>
        <w:fldChar w:fldCharType="end"/>
      </w:r>
      <w:bookmarkEnd w:id="50"/>
      <w:r w:rsidRPr="00DC1BB2">
        <w:t xml:space="preserve">: </w:t>
      </w:r>
      <w:r w:rsidR="00977DB4">
        <w:t xml:space="preserve">Study 2005-01 and Study 99-118 </w:t>
      </w:r>
      <w:r w:rsidR="00651C90" w:rsidRPr="00DC1BB2">
        <w:t>Treatment emergent adverse event</w:t>
      </w:r>
      <w:r w:rsidRPr="00DC1BB2">
        <w:t xml:space="preserve"> reported in &gt; 10% of subjects in any treatment group by </w:t>
      </w:r>
      <w:r w:rsidR="00977DB4">
        <w:t>P</w:t>
      </w:r>
      <w:r w:rsidR="002A7413" w:rsidRPr="00DC1BB2">
        <w:t xml:space="preserve">referred </w:t>
      </w:r>
      <w:r w:rsidR="00977DB4">
        <w:t>T</w:t>
      </w:r>
      <w:r w:rsidR="00DC1BB2" w:rsidRPr="00DC1BB2">
        <w:t>erm</w:t>
      </w:r>
      <w:r w:rsidR="00651C90" w:rsidRPr="00DC1BB2">
        <w:t xml:space="preserve"> in </w:t>
      </w:r>
      <w:r w:rsidRPr="00DC1BB2">
        <w:t>Pool A</w:t>
      </w:r>
    </w:p>
    <w:tbl>
      <w:tblPr>
        <w:tblStyle w:val="TableTGAblue"/>
        <w:tblW w:w="5000" w:type="pct"/>
        <w:tblLook w:val="04A0" w:firstRow="1" w:lastRow="0" w:firstColumn="1" w:lastColumn="0" w:noHBand="0" w:noVBand="1"/>
      </w:tblPr>
      <w:tblGrid>
        <w:gridCol w:w="3101"/>
        <w:gridCol w:w="1364"/>
        <w:gridCol w:w="1364"/>
        <w:gridCol w:w="1340"/>
        <w:gridCol w:w="1315"/>
      </w:tblGrid>
      <w:tr w:rsidR="008C0054" w:rsidRPr="008C0054" w14:paraId="4A076BC7" w14:textId="77777777" w:rsidTr="00D06CA8">
        <w:trPr>
          <w:cnfStyle w:val="100000000000" w:firstRow="1" w:lastRow="0" w:firstColumn="0" w:lastColumn="0" w:oddVBand="0" w:evenVBand="0" w:oddHBand="0" w:evenHBand="0" w:firstRowFirstColumn="0" w:firstRowLastColumn="0" w:lastRowFirstColumn="0" w:lastRowLastColumn="0"/>
          <w:trHeight w:hRule="exact" w:val="1194"/>
        </w:trPr>
        <w:tc>
          <w:tcPr>
            <w:tcW w:w="1827" w:type="pct"/>
            <w:hideMark/>
          </w:tcPr>
          <w:p w14:paraId="1A6DFC5B" w14:textId="77777777" w:rsidR="008C0054" w:rsidRPr="008C0054" w:rsidRDefault="008C0054" w:rsidP="006D5E69">
            <w:pPr>
              <w:ind w:left="0" w:right="0"/>
              <w:rPr>
                <w:rFonts w:asciiTheme="minorHAnsi" w:hAnsiTheme="minorHAnsi"/>
                <w:sz w:val="20"/>
                <w:szCs w:val="20"/>
              </w:rPr>
            </w:pPr>
            <w:r w:rsidRPr="008C0054">
              <w:rPr>
                <w:rFonts w:asciiTheme="minorHAnsi" w:hAnsiTheme="minorHAnsi"/>
                <w:bCs/>
                <w:sz w:val="20"/>
                <w:szCs w:val="20"/>
              </w:rPr>
              <w:t>Preferred Term, n (%)</w:t>
            </w:r>
          </w:p>
        </w:tc>
        <w:tc>
          <w:tcPr>
            <w:tcW w:w="804" w:type="pct"/>
            <w:hideMark/>
          </w:tcPr>
          <w:p w14:paraId="0876E2D6" w14:textId="77777777" w:rsidR="008C0054" w:rsidRPr="008C0054" w:rsidRDefault="008C0054" w:rsidP="006D5E69">
            <w:pPr>
              <w:ind w:left="0" w:right="0"/>
              <w:rPr>
                <w:rFonts w:asciiTheme="minorHAnsi" w:hAnsiTheme="minorHAnsi"/>
                <w:sz w:val="20"/>
                <w:szCs w:val="20"/>
              </w:rPr>
            </w:pPr>
            <w:r w:rsidRPr="008C0054">
              <w:rPr>
                <w:rFonts w:asciiTheme="minorHAnsi" w:hAnsiTheme="minorHAnsi"/>
                <w:bCs/>
                <w:sz w:val="20"/>
                <w:szCs w:val="20"/>
              </w:rPr>
              <w:t>Defibrotide</w:t>
            </w:r>
          </w:p>
          <w:p w14:paraId="53E8F2EC" w14:textId="77777777" w:rsidR="008C0054" w:rsidRPr="008C0054" w:rsidRDefault="008C0054" w:rsidP="006D5E69">
            <w:pPr>
              <w:ind w:left="0" w:right="0"/>
              <w:rPr>
                <w:rFonts w:asciiTheme="minorHAnsi" w:hAnsiTheme="minorHAnsi"/>
                <w:sz w:val="20"/>
                <w:szCs w:val="20"/>
              </w:rPr>
            </w:pPr>
            <w:r w:rsidRPr="008C0054">
              <w:rPr>
                <w:rFonts w:asciiTheme="minorHAnsi" w:hAnsiTheme="minorHAnsi"/>
                <w:bCs/>
                <w:sz w:val="20"/>
                <w:szCs w:val="20"/>
              </w:rPr>
              <w:t>25 mg/kg/day</w:t>
            </w:r>
          </w:p>
        </w:tc>
        <w:tc>
          <w:tcPr>
            <w:tcW w:w="804" w:type="pct"/>
            <w:hideMark/>
          </w:tcPr>
          <w:p w14:paraId="2ABC3701" w14:textId="77777777" w:rsidR="008C0054" w:rsidRPr="008C0054" w:rsidRDefault="008C0054" w:rsidP="006D5E69">
            <w:pPr>
              <w:ind w:left="0" w:right="0"/>
              <w:rPr>
                <w:rFonts w:asciiTheme="minorHAnsi" w:hAnsiTheme="minorHAnsi"/>
                <w:sz w:val="20"/>
                <w:szCs w:val="20"/>
              </w:rPr>
            </w:pPr>
            <w:r w:rsidRPr="008C0054">
              <w:rPr>
                <w:rFonts w:asciiTheme="minorHAnsi" w:hAnsiTheme="minorHAnsi"/>
                <w:bCs/>
                <w:sz w:val="20"/>
                <w:szCs w:val="20"/>
              </w:rPr>
              <w:t>Defibrotide</w:t>
            </w:r>
          </w:p>
          <w:p w14:paraId="1196F117" w14:textId="77777777" w:rsidR="008C0054" w:rsidRPr="008C0054" w:rsidRDefault="008C0054" w:rsidP="006D5E69">
            <w:pPr>
              <w:ind w:left="0" w:right="0"/>
              <w:rPr>
                <w:rFonts w:asciiTheme="minorHAnsi" w:hAnsiTheme="minorHAnsi"/>
                <w:sz w:val="20"/>
                <w:szCs w:val="20"/>
              </w:rPr>
            </w:pPr>
            <w:r w:rsidRPr="008C0054">
              <w:rPr>
                <w:rFonts w:asciiTheme="minorHAnsi" w:hAnsiTheme="minorHAnsi"/>
                <w:bCs/>
                <w:sz w:val="20"/>
                <w:szCs w:val="20"/>
              </w:rPr>
              <w:t>40 mg/kg/day</w:t>
            </w:r>
          </w:p>
        </w:tc>
        <w:tc>
          <w:tcPr>
            <w:tcW w:w="790" w:type="pct"/>
            <w:hideMark/>
          </w:tcPr>
          <w:p w14:paraId="66ABBD05" w14:textId="77777777" w:rsidR="008C0054" w:rsidRPr="008C0054" w:rsidRDefault="008C0054" w:rsidP="006D5E69">
            <w:pPr>
              <w:ind w:left="0" w:right="0"/>
              <w:rPr>
                <w:rFonts w:asciiTheme="minorHAnsi" w:hAnsiTheme="minorHAnsi"/>
                <w:sz w:val="20"/>
                <w:szCs w:val="20"/>
              </w:rPr>
            </w:pPr>
            <w:r w:rsidRPr="008C0054">
              <w:rPr>
                <w:rFonts w:asciiTheme="minorHAnsi" w:hAnsiTheme="minorHAnsi"/>
                <w:bCs/>
                <w:sz w:val="20"/>
                <w:szCs w:val="20"/>
              </w:rPr>
              <w:t>Historical</w:t>
            </w:r>
          </w:p>
          <w:p w14:paraId="657F5576" w14:textId="77777777" w:rsidR="008C0054" w:rsidRPr="008C0054" w:rsidRDefault="008C0054" w:rsidP="006D5E69">
            <w:pPr>
              <w:ind w:left="0" w:right="0"/>
              <w:rPr>
                <w:rFonts w:asciiTheme="minorHAnsi" w:hAnsiTheme="minorHAnsi"/>
                <w:sz w:val="20"/>
                <w:szCs w:val="20"/>
              </w:rPr>
            </w:pPr>
            <w:r w:rsidRPr="008C0054">
              <w:rPr>
                <w:rFonts w:asciiTheme="minorHAnsi" w:hAnsiTheme="minorHAnsi"/>
                <w:bCs/>
                <w:sz w:val="20"/>
                <w:szCs w:val="20"/>
              </w:rPr>
              <w:t>Control</w:t>
            </w:r>
          </w:p>
        </w:tc>
        <w:tc>
          <w:tcPr>
            <w:tcW w:w="775" w:type="pct"/>
            <w:hideMark/>
          </w:tcPr>
          <w:p w14:paraId="60FE783E" w14:textId="77777777" w:rsidR="008C0054" w:rsidRPr="00DC1BB2" w:rsidRDefault="008C0054" w:rsidP="006D5E69">
            <w:r w:rsidRPr="008C0054">
              <w:t>Total</w:t>
            </w:r>
          </w:p>
          <w:p w14:paraId="1D57BD57" w14:textId="77777777" w:rsidR="008C0054" w:rsidRPr="008C0054" w:rsidRDefault="008C0054" w:rsidP="006D5E69">
            <w:pPr>
              <w:ind w:left="0" w:right="0"/>
              <w:rPr>
                <w:rFonts w:asciiTheme="minorHAnsi" w:hAnsiTheme="minorHAnsi"/>
                <w:sz w:val="20"/>
                <w:szCs w:val="20"/>
              </w:rPr>
            </w:pPr>
            <w:r w:rsidRPr="008C0054">
              <w:rPr>
                <w:rFonts w:asciiTheme="minorHAnsi" w:hAnsiTheme="minorHAnsi"/>
                <w:bCs/>
                <w:sz w:val="20"/>
                <w:szCs w:val="20"/>
              </w:rPr>
              <w:t>Defibrotide</w:t>
            </w:r>
          </w:p>
        </w:tc>
      </w:tr>
      <w:tr w:rsidR="008C0054" w:rsidRPr="008C0054" w14:paraId="388F1C09" w14:textId="77777777" w:rsidTr="00D06CA8">
        <w:trPr>
          <w:trHeight w:val="227"/>
        </w:trPr>
        <w:tc>
          <w:tcPr>
            <w:tcW w:w="1827" w:type="pct"/>
            <w:hideMark/>
          </w:tcPr>
          <w:p w14:paraId="19BE7B7A" w14:textId="77777777" w:rsidR="008C0054" w:rsidRPr="008C0054" w:rsidRDefault="008C0054" w:rsidP="006D5E69">
            <w:pPr>
              <w:keepNext/>
              <w:ind w:left="0" w:right="0"/>
              <w:rPr>
                <w:rFonts w:asciiTheme="minorHAnsi" w:hAnsiTheme="minorHAnsi"/>
                <w:sz w:val="20"/>
                <w:szCs w:val="20"/>
              </w:rPr>
            </w:pPr>
            <w:r w:rsidRPr="008C0054">
              <w:rPr>
                <w:rFonts w:asciiTheme="minorHAnsi" w:hAnsiTheme="minorHAnsi"/>
                <w:bCs/>
                <w:sz w:val="20"/>
                <w:szCs w:val="20"/>
              </w:rPr>
              <w:t>Number of subjects</w:t>
            </w:r>
          </w:p>
        </w:tc>
        <w:tc>
          <w:tcPr>
            <w:tcW w:w="804" w:type="pct"/>
            <w:hideMark/>
          </w:tcPr>
          <w:p w14:paraId="3B93A40E" w14:textId="77777777" w:rsidR="008C0054" w:rsidRPr="008C0054" w:rsidRDefault="008C0054" w:rsidP="006D5E69">
            <w:pPr>
              <w:keepNext/>
              <w:rPr>
                <w:rFonts w:asciiTheme="minorHAnsi" w:hAnsiTheme="minorHAnsi"/>
                <w:bCs/>
                <w:sz w:val="20"/>
                <w:szCs w:val="20"/>
              </w:rPr>
            </w:pPr>
            <w:r w:rsidRPr="008C0054">
              <w:rPr>
                <w:rFonts w:asciiTheme="minorHAnsi" w:hAnsiTheme="minorHAnsi"/>
                <w:bCs/>
                <w:sz w:val="20"/>
                <w:szCs w:val="20"/>
              </w:rPr>
              <w:t>176</w:t>
            </w:r>
            <w:r w:rsidRPr="008C0054">
              <w:rPr>
                <w:rFonts w:asciiTheme="minorHAnsi" w:hAnsiTheme="minorHAnsi"/>
                <w:bCs/>
                <w:sz w:val="20"/>
                <w:szCs w:val="20"/>
                <w:vertAlign w:val="superscript"/>
              </w:rPr>
              <w:t>a</w:t>
            </w:r>
          </w:p>
        </w:tc>
        <w:tc>
          <w:tcPr>
            <w:tcW w:w="804" w:type="pct"/>
            <w:hideMark/>
          </w:tcPr>
          <w:p w14:paraId="2A09716C" w14:textId="77777777" w:rsidR="008C0054" w:rsidRPr="008C0054" w:rsidRDefault="008C0054" w:rsidP="006D5E69">
            <w:pPr>
              <w:keepNext/>
              <w:rPr>
                <w:rFonts w:asciiTheme="minorHAnsi" w:hAnsiTheme="minorHAnsi"/>
                <w:bCs/>
                <w:sz w:val="20"/>
                <w:szCs w:val="20"/>
              </w:rPr>
            </w:pPr>
            <w:r w:rsidRPr="008C0054">
              <w:rPr>
                <w:rFonts w:asciiTheme="minorHAnsi" w:hAnsiTheme="minorHAnsi"/>
                <w:bCs/>
                <w:sz w:val="20"/>
                <w:szCs w:val="20"/>
              </w:rPr>
              <w:t>75</w:t>
            </w:r>
            <w:r w:rsidRPr="008C0054">
              <w:rPr>
                <w:rFonts w:asciiTheme="minorHAnsi" w:hAnsiTheme="minorHAnsi"/>
                <w:bCs/>
                <w:sz w:val="20"/>
                <w:szCs w:val="20"/>
                <w:vertAlign w:val="superscript"/>
              </w:rPr>
              <w:t>a</w:t>
            </w:r>
          </w:p>
        </w:tc>
        <w:tc>
          <w:tcPr>
            <w:tcW w:w="790" w:type="pct"/>
            <w:hideMark/>
          </w:tcPr>
          <w:p w14:paraId="475108E3" w14:textId="77777777" w:rsidR="008C0054" w:rsidRPr="008C0054" w:rsidRDefault="008C0054" w:rsidP="006D5E69">
            <w:pPr>
              <w:keepNext/>
              <w:rPr>
                <w:rFonts w:asciiTheme="minorHAnsi" w:hAnsiTheme="minorHAnsi"/>
                <w:sz w:val="20"/>
                <w:szCs w:val="20"/>
              </w:rPr>
            </w:pPr>
            <w:r w:rsidRPr="008C0054">
              <w:rPr>
                <w:rFonts w:asciiTheme="minorHAnsi" w:hAnsiTheme="minorHAnsi"/>
                <w:bCs/>
                <w:sz w:val="20"/>
                <w:szCs w:val="20"/>
              </w:rPr>
              <w:t>32</w:t>
            </w:r>
          </w:p>
        </w:tc>
        <w:tc>
          <w:tcPr>
            <w:tcW w:w="775" w:type="pct"/>
            <w:hideMark/>
          </w:tcPr>
          <w:p w14:paraId="0ACEBF57" w14:textId="77777777" w:rsidR="008C0054" w:rsidRPr="008C0054" w:rsidRDefault="008C0054" w:rsidP="006D5E69">
            <w:pPr>
              <w:keepNext/>
              <w:rPr>
                <w:rFonts w:asciiTheme="minorHAnsi" w:hAnsiTheme="minorHAnsi"/>
                <w:sz w:val="20"/>
                <w:szCs w:val="20"/>
              </w:rPr>
            </w:pPr>
            <w:r w:rsidRPr="008C0054">
              <w:rPr>
                <w:rFonts w:asciiTheme="minorHAnsi" w:hAnsiTheme="minorHAnsi"/>
                <w:bCs/>
                <w:sz w:val="20"/>
                <w:szCs w:val="20"/>
              </w:rPr>
              <w:t>251</w:t>
            </w:r>
          </w:p>
        </w:tc>
      </w:tr>
      <w:tr w:rsidR="008C0054" w:rsidRPr="008C0054" w14:paraId="48F6659C" w14:textId="77777777" w:rsidTr="00D06CA8">
        <w:trPr>
          <w:trHeight w:val="227"/>
        </w:trPr>
        <w:tc>
          <w:tcPr>
            <w:tcW w:w="1827" w:type="pct"/>
            <w:hideMark/>
          </w:tcPr>
          <w:p w14:paraId="65335E48"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bCs/>
                <w:sz w:val="20"/>
                <w:szCs w:val="20"/>
              </w:rPr>
              <w:t>At least 1 TEAE</w:t>
            </w:r>
          </w:p>
        </w:tc>
        <w:tc>
          <w:tcPr>
            <w:tcW w:w="804" w:type="pct"/>
            <w:hideMark/>
          </w:tcPr>
          <w:p w14:paraId="7EB4E843" w14:textId="77777777" w:rsidR="008C0054" w:rsidRPr="008C0054" w:rsidRDefault="008C0054" w:rsidP="008C0054">
            <w:pPr>
              <w:rPr>
                <w:rFonts w:asciiTheme="minorHAnsi" w:hAnsiTheme="minorHAnsi"/>
                <w:sz w:val="20"/>
                <w:szCs w:val="20"/>
              </w:rPr>
            </w:pPr>
            <w:r w:rsidRPr="008C0054">
              <w:rPr>
                <w:rFonts w:asciiTheme="minorHAnsi" w:hAnsiTheme="minorHAnsi"/>
                <w:bCs/>
                <w:sz w:val="20"/>
                <w:szCs w:val="20"/>
              </w:rPr>
              <w:t>169 (96.0)</w:t>
            </w:r>
          </w:p>
        </w:tc>
        <w:tc>
          <w:tcPr>
            <w:tcW w:w="804" w:type="pct"/>
            <w:hideMark/>
          </w:tcPr>
          <w:p w14:paraId="7D3F590F" w14:textId="77777777" w:rsidR="008C0054" w:rsidRPr="008C0054" w:rsidRDefault="008C0054" w:rsidP="008C0054">
            <w:pPr>
              <w:rPr>
                <w:rFonts w:asciiTheme="minorHAnsi" w:hAnsiTheme="minorHAnsi"/>
                <w:sz w:val="20"/>
                <w:szCs w:val="20"/>
              </w:rPr>
            </w:pPr>
            <w:r w:rsidRPr="008C0054">
              <w:rPr>
                <w:rFonts w:asciiTheme="minorHAnsi" w:hAnsiTheme="minorHAnsi"/>
                <w:bCs/>
                <w:sz w:val="20"/>
                <w:szCs w:val="20"/>
              </w:rPr>
              <w:t>73 (97.3)</w:t>
            </w:r>
          </w:p>
        </w:tc>
        <w:tc>
          <w:tcPr>
            <w:tcW w:w="790" w:type="pct"/>
            <w:hideMark/>
          </w:tcPr>
          <w:p w14:paraId="02488512" w14:textId="77777777" w:rsidR="008C0054" w:rsidRPr="008C0054" w:rsidRDefault="008C0054" w:rsidP="008C0054">
            <w:pPr>
              <w:rPr>
                <w:rFonts w:asciiTheme="minorHAnsi" w:hAnsiTheme="minorHAnsi"/>
                <w:sz w:val="20"/>
                <w:szCs w:val="20"/>
              </w:rPr>
            </w:pPr>
            <w:r w:rsidRPr="008C0054">
              <w:rPr>
                <w:rFonts w:asciiTheme="minorHAnsi" w:hAnsiTheme="minorHAnsi"/>
                <w:bCs/>
                <w:sz w:val="20"/>
                <w:szCs w:val="20"/>
              </w:rPr>
              <w:t>32 (100.0)</w:t>
            </w:r>
          </w:p>
        </w:tc>
        <w:tc>
          <w:tcPr>
            <w:tcW w:w="775" w:type="pct"/>
            <w:hideMark/>
          </w:tcPr>
          <w:p w14:paraId="3325B751" w14:textId="77777777" w:rsidR="008C0054" w:rsidRPr="008C0054" w:rsidRDefault="008C0054" w:rsidP="008C0054">
            <w:pPr>
              <w:rPr>
                <w:rFonts w:asciiTheme="minorHAnsi" w:hAnsiTheme="minorHAnsi"/>
                <w:sz w:val="20"/>
                <w:szCs w:val="20"/>
              </w:rPr>
            </w:pPr>
            <w:r w:rsidRPr="008C0054">
              <w:rPr>
                <w:rFonts w:asciiTheme="minorHAnsi" w:hAnsiTheme="minorHAnsi"/>
                <w:bCs/>
                <w:sz w:val="20"/>
                <w:szCs w:val="20"/>
              </w:rPr>
              <w:t>242 (96.4)</w:t>
            </w:r>
          </w:p>
        </w:tc>
      </w:tr>
      <w:tr w:rsidR="008C0054" w:rsidRPr="008C0054" w14:paraId="54635CB4" w14:textId="77777777" w:rsidTr="00D06CA8">
        <w:trPr>
          <w:trHeight w:val="227"/>
        </w:trPr>
        <w:tc>
          <w:tcPr>
            <w:tcW w:w="1827" w:type="pct"/>
            <w:hideMark/>
          </w:tcPr>
          <w:p w14:paraId="2FA4F195"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Hypotension</w:t>
            </w:r>
          </w:p>
        </w:tc>
        <w:tc>
          <w:tcPr>
            <w:tcW w:w="804" w:type="pct"/>
            <w:hideMark/>
          </w:tcPr>
          <w:p w14:paraId="65D4A7C9" w14:textId="77777777" w:rsidR="008C0054" w:rsidRPr="008C0054" w:rsidRDefault="008C0054" w:rsidP="008C0054">
            <w:pPr>
              <w:rPr>
                <w:rFonts w:asciiTheme="minorHAnsi" w:hAnsiTheme="minorHAnsi"/>
                <w:sz w:val="20"/>
                <w:szCs w:val="20"/>
              </w:rPr>
            </w:pPr>
            <w:r w:rsidRPr="008C0054">
              <w:rPr>
                <w:rFonts w:asciiTheme="minorHAnsi" w:hAnsiTheme="minorHAnsi"/>
                <w:sz w:val="20"/>
                <w:szCs w:val="20"/>
              </w:rPr>
              <w:t>65 (36.9)</w:t>
            </w:r>
          </w:p>
        </w:tc>
        <w:tc>
          <w:tcPr>
            <w:tcW w:w="804" w:type="pct"/>
            <w:hideMark/>
          </w:tcPr>
          <w:p w14:paraId="2A35AEE0" w14:textId="77777777" w:rsidR="008C0054" w:rsidRPr="008C0054" w:rsidRDefault="008C0054" w:rsidP="008C0054">
            <w:pPr>
              <w:rPr>
                <w:rFonts w:asciiTheme="minorHAnsi" w:hAnsiTheme="minorHAnsi"/>
                <w:sz w:val="20"/>
                <w:szCs w:val="20"/>
              </w:rPr>
            </w:pPr>
            <w:r w:rsidRPr="008C0054">
              <w:rPr>
                <w:rFonts w:asciiTheme="minorHAnsi" w:hAnsiTheme="minorHAnsi"/>
                <w:sz w:val="20"/>
                <w:szCs w:val="20"/>
              </w:rPr>
              <w:t>30 (40.0)</w:t>
            </w:r>
          </w:p>
        </w:tc>
        <w:tc>
          <w:tcPr>
            <w:tcW w:w="790" w:type="pct"/>
            <w:hideMark/>
          </w:tcPr>
          <w:p w14:paraId="68828D95" w14:textId="77777777" w:rsidR="008C0054" w:rsidRPr="008C0054" w:rsidRDefault="008C0054" w:rsidP="008C0054">
            <w:pPr>
              <w:rPr>
                <w:rFonts w:asciiTheme="minorHAnsi" w:hAnsiTheme="minorHAnsi"/>
                <w:sz w:val="20"/>
                <w:szCs w:val="20"/>
              </w:rPr>
            </w:pPr>
            <w:r w:rsidRPr="008C0054">
              <w:rPr>
                <w:rFonts w:asciiTheme="minorHAnsi" w:hAnsiTheme="minorHAnsi"/>
                <w:sz w:val="20"/>
                <w:szCs w:val="20"/>
              </w:rPr>
              <w:t>16 (50.0)</w:t>
            </w:r>
          </w:p>
        </w:tc>
        <w:tc>
          <w:tcPr>
            <w:tcW w:w="775" w:type="pct"/>
            <w:hideMark/>
          </w:tcPr>
          <w:p w14:paraId="737E6E88" w14:textId="77777777" w:rsidR="008C0054" w:rsidRPr="008C0054" w:rsidRDefault="008C0054" w:rsidP="008C0054">
            <w:pPr>
              <w:rPr>
                <w:rFonts w:asciiTheme="minorHAnsi" w:hAnsiTheme="minorHAnsi"/>
                <w:sz w:val="20"/>
                <w:szCs w:val="20"/>
              </w:rPr>
            </w:pPr>
            <w:r w:rsidRPr="008C0054">
              <w:rPr>
                <w:rFonts w:asciiTheme="minorHAnsi" w:hAnsiTheme="minorHAnsi"/>
                <w:sz w:val="20"/>
                <w:szCs w:val="20"/>
              </w:rPr>
              <w:t>95 (37.8)</w:t>
            </w:r>
          </w:p>
        </w:tc>
      </w:tr>
      <w:tr w:rsidR="008C0054" w:rsidRPr="008C0054" w14:paraId="2D1E8032" w14:textId="77777777" w:rsidTr="00D06CA8">
        <w:trPr>
          <w:trHeight w:val="227"/>
        </w:trPr>
        <w:tc>
          <w:tcPr>
            <w:tcW w:w="1827" w:type="pct"/>
            <w:hideMark/>
          </w:tcPr>
          <w:p w14:paraId="02E844A1"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Multi-organ failure</w:t>
            </w:r>
          </w:p>
        </w:tc>
        <w:tc>
          <w:tcPr>
            <w:tcW w:w="804" w:type="pct"/>
            <w:hideMark/>
          </w:tcPr>
          <w:p w14:paraId="239D82CC" w14:textId="77777777" w:rsidR="008C0054" w:rsidRPr="008C0054" w:rsidRDefault="008C0054" w:rsidP="008C0054">
            <w:pPr>
              <w:rPr>
                <w:rFonts w:asciiTheme="minorHAnsi" w:hAnsiTheme="minorHAnsi"/>
                <w:sz w:val="20"/>
                <w:szCs w:val="20"/>
              </w:rPr>
            </w:pPr>
            <w:r w:rsidRPr="008C0054">
              <w:rPr>
                <w:rFonts w:asciiTheme="minorHAnsi" w:hAnsiTheme="minorHAnsi"/>
                <w:sz w:val="20"/>
                <w:szCs w:val="20"/>
              </w:rPr>
              <w:t>38 (21.6)</w:t>
            </w:r>
          </w:p>
        </w:tc>
        <w:tc>
          <w:tcPr>
            <w:tcW w:w="804" w:type="pct"/>
            <w:hideMark/>
          </w:tcPr>
          <w:p w14:paraId="6CAF8953" w14:textId="77777777" w:rsidR="008C0054" w:rsidRPr="008C0054" w:rsidRDefault="008C0054" w:rsidP="008C0054">
            <w:pPr>
              <w:rPr>
                <w:rFonts w:asciiTheme="minorHAnsi" w:hAnsiTheme="minorHAnsi"/>
                <w:sz w:val="20"/>
                <w:szCs w:val="20"/>
              </w:rPr>
            </w:pPr>
            <w:r w:rsidRPr="008C0054">
              <w:rPr>
                <w:rFonts w:asciiTheme="minorHAnsi" w:hAnsiTheme="minorHAnsi"/>
                <w:sz w:val="20"/>
                <w:szCs w:val="20"/>
              </w:rPr>
              <w:t>21 (28.0)</w:t>
            </w:r>
          </w:p>
        </w:tc>
        <w:tc>
          <w:tcPr>
            <w:tcW w:w="790" w:type="pct"/>
            <w:hideMark/>
          </w:tcPr>
          <w:p w14:paraId="2534355B" w14:textId="77777777" w:rsidR="008C0054" w:rsidRPr="008C0054" w:rsidRDefault="008C0054" w:rsidP="008C0054">
            <w:pPr>
              <w:rPr>
                <w:rFonts w:asciiTheme="minorHAnsi" w:hAnsiTheme="minorHAnsi"/>
                <w:sz w:val="20"/>
                <w:szCs w:val="20"/>
              </w:rPr>
            </w:pPr>
            <w:r w:rsidRPr="008C0054">
              <w:rPr>
                <w:rFonts w:asciiTheme="minorHAnsi" w:hAnsiTheme="minorHAnsi"/>
                <w:sz w:val="20"/>
                <w:szCs w:val="20"/>
              </w:rPr>
              <w:t>3 (9.4)</w:t>
            </w:r>
          </w:p>
        </w:tc>
        <w:tc>
          <w:tcPr>
            <w:tcW w:w="775" w:type="pct"/>
            <w:hideMark/>
          </w:tcPr>
          <w:p w14:paraId="5EEFB5CE" w14:textId="77777777" w:rsidR="008C0054" w:rsidRPr="008C0054" w:rsidRDefault="008C0054" w:rsidP="008C0054">
            <w:pPr>
              <w:rPr>
                <w:rFonts w:asciiTheme="minorHAnsi" w:hAnsiTheme="minorHAnsi"/>
                <w:sz w:val="20"/>
                <w:szCs w:val="20"/>
              </w:rPr>
            </w:pPr>
            <w:r w:rsidRPr="008C0054">
              <w:rPr>
                <w:rFonts w:asciiTheme="minorHAnsi" w:hAnsiTheme="minorHAnsi"/>
                <w:sz w:val="20"/>
                <w:szCs w:val="20"/>
              </w:rPr>
              <w:t>59 (23.5)</w:t>
            </w:r>
          </w:p>
        </w:tc>
      </w:tr>
      <w:tr w:rsidR="008C0054" w:rsidRPr="008C0054" w14:paraId="3D97C794" w14:textId="77777777" w:rsidTr="00D06CA8">
        <w:trPr>
          <w:trHeight w:val="227"/>
        </w:trPr>
        <w:tc>
          <w:tcPr>
            <w:tcW w:w="1827" w:type="pct"/>
            <w:hideMark/>
          </w:tcPr>
          <w:p w14:paraId="0628C846"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Renal failure</w:t>
            </w:r>
          </w:p>
        </w:tc>
        <w:tc>
          <w:tcPr>
            <w:tcW w:w="804" w:type="pct"/>
            <w:hideMark/>
          </w:tcPr>
          <w:p w14:paraId="6597CB31" w14:textId="77777777" w:rsidR="008C0054" w:rsidRPr="008C0054" w:rsidRDefault="008C0054" w:rsidP="008C0054">
            <w:pPr>
              <w:rPr>
                <w:rFonts w:asciiTheme="minorHAnsi" w:hAnsiTheme="minorHAnsi"/>
                <w:sz w:val="20"/>
                <w:szCs w:val="20"/>
              </w:rPr>
            </w:pPr>
            <w:r w:rsidRPr="008C0054">
              <w:rPr>
                <w:rFonts w:asciiTheme="minorHAnsi" w:hAnsiTheme="minorHAnsi"/>
                <w:sz w:val="20"/>
                <w:szCs w:val="20"/>
              </w:rPr>
              <w:t>29 (16.5)</w:t>
            </w:r>
          </w:p>
        </w:tc>
        <w:tc>
          <w:tcPr>
            <w:tcW w:w="804" w:type="pct"/>
            <w:hideMark/>
          </w:tcPr>
          <w:p w14:paraId="0B5B05A0" w14:textId="77777777" w:rsidR="008C0054" w:rsidRPr="008C0054" w:rsidRDefault="008C0054" w:rsidP="008C0054">
            <w:pPr>
              <w:rPr>
                <w:rFonts w:asciiTheme="minorHAnsi" w:hAnsiTheme="minorHAnsi"/>
                <w:sz w:val="20"/>
                <w:szCs w:val="20"/>
              </w:rPr>
            </w:pPr>
            <w:r w:rsidRPr="008C0054">
              <w:rPr>
                <w:rFonts w:asciiTheme="minorHAnsi" w:hAnsiTheme="minorHAnsi"/>
                <w:sz w:val="20"/>
                <w:szCs w:val="20"/>
              </w:rPr>
              <w:t>30 (40.0)</w:t>
            </w:r>
          </w:p>
        </w:tc>
        <w:tc>
          <w:tcPr>
            <w:tcW w:w="790" w:type="pct"/>
            <w:hideMark/>
          </w:tcPr>
          <w:p w14:paraId="3DF3710A" w14:textId="77777777" w:rsidR="008C0054" w:rsidRPr="008C0054" w:rsidRDefault="008C0054" w:rsidP="008C0054">
            <w:pPr>
              <w:rPr>
                <w:rFonts w:asciiTheme="minorHAnsi" w:hAnsiTheme="minorHAnsi"/>
                <w:sz w:val="20"/>
                <w:szCs w:val="20"/>
              </w:rPr>
            </w:pPr>
            <w:r w:rsidRPr="008C0054">
              <w:rPr>
                <w:rFonts w:asciiTheme="minorHAnsi" w:hAnsiTheme="minorHAnsi"/>
                <w:sz w:val="20"/>
                <w:szCs w:val="20"/>
              </w:rPr>
              <w:t>1 (3.1)</w:t>
            </w:r>
          </w:p>
        </w:tc>
        <w:tc>
          <w:tcPr>
            <w:tcW w:w="775" w:type="pct"/>
            <w:hideMark/>
          </w:tcPr>
          <w:p w14:paraId="3F446307" w14:textId="77777777" w:rsidR="008C0054" w:rsidRPr="008C0054" w:rsidRDefault="008C0054" w:rsidP="008C0054">
            <w:pPr>
              <w:rPr>
                <w:rFonts w:asciiTheme="minorHAnsi" w:hAnsiTheme="minorHAnsi"/>
                <w:sz w:val="20"/>
                <w:szCs w:val="20"/>
              </w:rPr>
            </w:pPr>
            <w:r w:rsidRPr="008C0054">
              <w:rPr>
                <w:rFonts w:asciiTheme="minorHAnsi" w:hAnsiTheme="minorHAnsi"/>
                <w:sz w:val="20"/>
                <w:szCs w:val="20"/>
              </w:rPr>
              <w:t>59 (23.5)</w:t>
            </w:r>
          </w:p>
        </w:tc>
      </w:tr>
      <w:tr w:rsidR="008C0054" w:rsidRPr="008C0054" w14:paraId="7784D4FB" w14:textId="77777777" w:rsidTr="00D06CA8">
        <w:trPr>
          <w:trHeight w:val="227"/>
        </w:trPr>
        <w:tc>
          <w:tcPr>
            <w:tcW w:w="1827" w:type="pct"/>
            <w:hideMark/>
          </w:tcPr>
          <w:p w14:paraId="02D04FE9" w14:textId="77777777" w:rsidR="008C0054" w:rsidRPr="008C0054" w:rsidRDefault="008C0054" w:rsidP="008C0054">
            <w:pPr>
              <w:ind w:left="0" w:right="0"/>
              <w:rPr>
                <w:rFonts w:asciiTheme="minorHAnsi" w:hAnsiTheme="minorHAnsi"/>
                <w:sz w:val="20"/>
                <w:szCs w:val="20"/>
              </w:rPr>
            </w:pPr>
            <w:proofErr w:type="spellStart"/>
            <w:r w:rsidRPr="008C0054">
              <w:rPr>
                <w:rFonts w:asciiTheme="minorHAnsi" w:hAnsiTheme="minorHAnsi"/>
                <w:sz w:val="20"/>
                <w:szCs w:val="20"/>
              </w:rPr>
              <w:t>Veno</w:t>
            </w:r>
            <w:proofErr w:type="spellEnd"/>
            <w:r w:rsidRPr="008C0054">
              <w:rPr>
                <w:rFonts w:asciiTheme="minorHAnsi" w:hAnsiTheme="minorHAnsi"/>
                <w:sz w:val="20"/>
                <w:szCs w:val="20"/>
              </w:rPr>
              <w:t>-occlusive liver disease</w:t>
            </w:r>
          </w:p>
        </w:tc>
        <w:tc>
          <w:tcPr>
            <w:tcW w:w="804" w:type="pct"/>
            <w:hideMark/>
          </w:tcPr>
          <w:p w14:paraId="0C965AA4" w14:textId="77777777" w:rsidR="008C0054" w:rsidRPr="008C0054" w:rsidRDefault="008C0054" w:rsidP="008C0054">
            <w:pPr>
              <w:rPr>
                <w:rFonts w:asciiTheme="minorHAnsi" w:hAnsiTheme="minorHAnsi"/>
                <w:sz w:val="20"/>
                <w:szCs w:val="20"/>
              </w:rPr>
            </w:pPr>
            <w:r w:rsidRPr="008C0054">
              <w:rPr>
                <w:rFonts w:asciiTheme="minorHAnsi" w:hAnsiTheme="minorHAnsi"/>
                <w:sz w:val="20"/>
                <w:szCs w:val="20"/>
              </w:rPr>
              <w:t>32 (18.2)</w:t>
            </w:r>
          </w:p>
        </w:tc>
        <w:tc>
          <w:tcPr>
            <w:tcW w:w="804" w:type="pct"/>
            <w:hideMark/>
          </w:tcPr>
          <w:p w14:paraId="7F1FF382" w14:textId="77777777" w:rsidR="008C0054" w:rsidRPr="008C0054" w:rsidRDefault="008C0054" w:rsidP="008C0054">
            <w:pPr>
              <w:rPr>
                <w:rFonts w:asciiTheme="minorHAnsi" w:hAnsiTheme="minorHAnsi"/>
                <w:sz w:val="20"/>
                <w:szCs w:val="20"/>
              </w:rPr>
            </w:pPr>
            <w:r w:rsidRPr="008C0054">
              <w:rPr>
                <w:rFonts w:asciiTheme="minorHAnsi" w:hAnsiTheme="minorHAnsi"/>
                <w:sz w:val="20"/>
                <w:szCs w:val="20"/>
              </w:rPr>
              <w:t>27 (36.0)</w:t>
            </w:r>
          </w:p>
        </w:tc>
        <w:tc>
          <w:tcPr>
            <w:tcW w:w="790" w:type="pct"/>
            <w:hideMark/>
          </w:tcPr>
          <w:p w14:paraId="07CDC053" w14:textId="77777777" w:rsidR="008C0054" w:rsidRPr="008C0054" w:rsidRDefault="008C0054" w:rsidP="008C0054">
            <w:pPr>
              <w:rPr>
                <w:rFonts w:asciiTheme="minorHAnsi" w:hAnsiTheme="minorHAnsi"/>
                <w:sz w:val="20"/>
                <w:szCs w:val="20"/>
              </w:rPr>
            </w:pPr>
            <w:r w:rsidRPr="008C0054">
              <w:rPr>
                <w:rFonts w:asciiTheme="minorHAnsi" w:hAnsiTheme="minorHAnsi"/>
                <w:sz w:val="20"/>
                <w:szCs w:val="20"/>
              </w:rPr>
              <w:t>2 (6.3)</w:t>
            </w:r>
          </w:p>
        </w:tc>
        <w:tc>
          <w:tcPr>
            <w:tcW w:w="775" w:type="pct"/>
            <w:hideMark/>
          </w:tcPr>
          <w:p w14:paraId="7B57EF50" w14:textId="77777777" w:rsidR="008C0054" w:rsidRPr="008C0054" w:rsidRDefault="008C0054" w:rsidP="008C0054">
            <w:pPr>
              <w:rPr>
                <w:rFonts w:asciiTheme="minorHAnsi" w:hAnsiTheme="minorHAnsi"/>
                <w:sz w:val="20"/>
                <w:szCs w:val="20"/>
              </w:rPr>
            </w:pPr>
            <w:r w:rsidRPr="008C0054">
              <w:rPr>
                <w:rFonts w:asciiTheme="minorHAnsi" w:hAnsiTheme="minorHAnsi"/>
                <w:sz w:val="20"/>
                <w:szCs w:val="20"/>
              </w:rPr>
              <w:t>59 (23.5)</w:t>
            </w:r>
          </w:p>
        </w:tc>
      </w:tr>
      <w:tr w:rsidR="008C0054" w:rsidRPr="008C0054" w14:paraId="05E225AC" w14:textId="77777777" w:rsidTr="00D06CA8">
        <w:trPr>
          <w:trHeight w:val="227"/>
        </w:trPr>
        <w:tc>
          <w:tcPr>
            <w:tcW w:w="1827" w:type="pct"/>
            <w:hideMark/>
          </w:tcPr>
          <w:p w14:paraId="3DEBAA61"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Diarrhoea</w:t>
            </w:r>
          </w:p>
        </w:tc>
        <w:tc>
          <w:tcPr>
            <w:tcW w:w="804" w:type="pct"/>
            <w:hideMark/>
          </w:tcPr>
          <w:p w14:paraId="14F41532" w14:textId="77777777" w:rsidR="008C0054" w:rsidRPr="008C0054" w:rsidRDefault="008C0054" w:rsidP="008C0054">
            <w:pPr>
              <w:rPr>
                <w:rFonts w:asciiTheme="minorHAnsi" w:hAnsiTheme="minorHAnsi"/>
                <w:sz w:val="20"/>
                <w:szCs w:val="20"/>
              </w:rPr>
            </w:pPr>
            <w:r w:rsidRPr="008C0054">
              <w:rPr>
                <w:rFonts w:asciiTheme="minorHAnsi" w:hAnsiTheme="minorHAnsi"/>
                <w:sz w:val="20"/>
                <w:szCs w:val="20"/>
              </w:rPr>
              <w:t>43 (24.4)</w:t>
            </w:r>
          </w:p>
        </w:tc>
        <w:tc>
          <w:tcPr>
            <w:tcW w:w="804" w:type="pct"/>
            <w:hideMark/>
          </w:tcPr>
          <w:p w14:paraId="72DDDD5A" w14:textId="77777777" w:rsidR="008C0054" w:rsidRPr="008C0054" w:rsidRDefault="008C0054" w:rsidP="008C0054">
            <w:pPr>
              <w:rPr>
                <w:rFonts w:asciiTheme="minorHAnsi" w:hAnsiTheme="minorHAnsi"/>
                <w:sz w:val="20"/>
                <w:szCs w:val="20"/>
              </w:rPr>
            </w:pPr>
            <w:r w:rsidRPr="008C0054">
              <w:rPr>
                <w:rFonts w:asciiTheme="minorHAnsi" w:hAnsiTheme="minorHAnsi"/>
                <w:sz w:val="20"/>
                <w:szCs w:val="20"/>
              </w:rPr>
              <w:t>15 (20.0)</w:t>
            </w:r>
          </w:p>
        </w:tc>
        <w:tc>
          <w:tcPr>
            <w:tcW w:w="790" w:type="pct"/>
            <w:hideMark/>
          </w:tcPr>
          <w:p w14:paraId="4481BCC2" w14:textId="77777777" w:rsidR="008C0054" w:rsidRPr="008C0054" w:rsidRDefault="008C0054" w:rsidP="008C0054">
            <w:pPr>
              <w:rPr>
                <w:rFonts w:asciiTheme="minorHAnsi" w:hAnsiTheme="minorHAnsi"/>
                <w:sz w:val="20"/>
                <w:szCs w:val="20"/>
              </w:rPr>
            </w:pPr>
            <w:r w:rsidRPr="008C0054">
              <w:rPr>
                <w:rFonts w:asciiTheme="minorHAnsi" w:hAnsiTheme="minorHAnsi"/>
                <w:sz w:val="20"/>
                <w:szCs w:val="20"/>
              </w:rPr>
              <w:t>12 (37.5)</w:t>
            </w:r>
          </w:p>
        </w:tc>
        <w:tc>
          <w:tcPr>
            <w:tcW w:w="775" w:type="pct"/>
            <w:hideMark/>
          </w:tcPr>
          <w:p w14:paraId="40332A14" w14:textId="77777777" w:rsidR="008C0054" w:rsidRPr="008C0054" w:rsidRDefault="008C0054" w:rsidP="008C0054">
            <w:pPr>
              <w:rPr>
                <w:rFonts w:asciiTheme="minorHAnsi" w:hAnsiTheme="minorHAnsi"/>
                <w:sz w:val="20"/>
                <w:szCs w:val="20"/>
              </w:rPr>
            </w:pPr>
            <w:r w:rsidRPr="008C0054">
              <w:rPr>
                <w:rFonts w:asciiTheme="minorHAnsi" w:hAnsiTheme="minorHAnsi"/>
                <w:sz w:val="20"/>
                <w:szCs w:val="20"/>
              </w:rPr>
              <w:t>58 (23.1)</w:t>
            </w:r>
          </w:p>
        </w:tc>
      </w:tr>
      <w:tr w:rsidR="008C0054" w:rsidRPr="008C0054" w14:paraId="586273A9" w14:textId="77777777" w:rsidTr="00D06CA8">
        <w:trPr>
          <w:trHeight w:val="227"/>
        </w:trPr>
        <w:tc>
          <w:tcPr>
            <w:tcW w:w="1827" w:type="pct"/>
            <w:hideMark/>
          </w:tcPr>
          <w:p w14:paraId="4FCBFA3F"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Hypoxia</w:t>
            </w:r>
          </w:p>
        </w:tc>
        <w:tc>
          <w:tcPr>
            <w:tcW w:w="804" w:type="pct"/>
            <w:hideMark/>
          </w:tcPr>
          <w:p w14:paraId="5F4C16A8" w14:textId="77777777" w:rsidR="008C0054" w:rsidRPr="008C0054" w:rsidRDefault="008C0054" w:rsidP="008C0054">
            <w:pPr>
              <w:rPr>
                <w:rFonts w:asciiTheme="minorHAnsi" w:hAnsiTheme="minorHAnsi"/>
                <w:sz w:val="20"/>
                <w:szCs w:val="20"/>
              </w:rPr>
            </w:pPr>
            <w:r w:rsidRPr="008C0054">
              <w:rPr>
                <w:rFonts w:asciiTheme="minorHAnsi" w:hAnsiTheme="minorHAnsi"/>
                <w:sz w:val="20"/>
                <w:szCs w:val="20"/>
              </w:rPr>
              <w:t>17 (9.7)</w:t>
            </w:r>
          </w:p>
        </w:tc>
        <w:tc>
          <w:tcPr>
            <w:tcW w:w="804" w:type="pct"/>
            <w:hideMark/>
          </w:tcPr>
          <w:p w14:paraId="050E07B9" w14:textId="77777777" w:rsidR="008C0054" w:rsidRPr="008C0054" w:rsidRDefault="008C0054" w:rsidP="008C0054">
            <w:pPr>
              <w:rPr>
                <w:rFonts w:asciiTheme="minorHAnsi" w:hAnsiTheme="minorHAnsi"/>
                <w:sz w:val="20"/>
                <w:szCs w:val="20"/>
              </w:rPr>
            </w:pPr>
            <w:r w:rsidRPr="008C0054">
              <w:rPr>
                <w:rFonts w:asciiTheme="minorHAnsi" w:hAnsiTheme="minorHAnsi"/>
                <w:sz w:val="20"/>
                <w:szCs w:val="20"/>
              </w:rPr>
              <w:t>25 (33.3)</w:t>
            </w:r>
          </w:p>
        </w:tc>
        <w:tc>
          <w:tcPr>
            <w:tcW w:w="790" w:type="pct"/>
            <w:hideMark/>
          </w:tcPr>
          <w:p w14:paraId="064AEBC6" w14:textId="77777777" w:rsidR="008C0054" w:rsidRPr="008C0054" w:rsidRDefault="008C0054" w:rsidP="008C0054">
            <w:pPr>
              <w:rPr>
                <w:rFonts w:asciiTheme="minorHAnsi" w:hAnsiTheme="minorHAnsi"/>
                <w:sz w:val="20"/>
                <w:szCs w:val="20"/>
              </w:rPr>
            </w:pPr>
            <w:r w:rsidRPr="008C0054">
              <w:rPr>
                <w:rFonts w:asciiTheme="minorHAnsi" w:hAnsiTheme="minorHAnsi"/>
                <w:sz w:val="20"/>
                <w:szCs w:val="20"/>
              </w:rPr>
              <w:t>0</w:t>
            </w:r>
          </w:p>
        </w:tc>
        <w:tc>
          <w:tcPr>
            <w:tcW w:w="775" w:type="pct"/>
            <w:hideMark/>
          </w:tcPr>
          <w:p w14:paraId="0343BAD0" w14:textId="77777777" w:rsidR="008C0054" w:rsidRPr="008C0054" w:rsidRDefault="008C0054" w:rsidP="008C0054">
            <w:pPr>
              <w:rPr>
                <w:rFonts w:asciiTheme="minorHAnsi" w:hAnsiTheme="minorHAnsi"/>
                <w:sz w:val="20"/>
                <w:szCs w:val="20"/>
              </w:rPr>
            </w:pPr>
            <w:r w:rsidRPr="008C0054">
              <w:rPr>
                <w:rFonts w:asciiTheme="minorHAnsi" w:hAnsiTheme="minorHAnsi"/>
                <w:sz w:val="20"/>
                <w:szCs w:val="20"/>
              </w:rPr>
              <w:t>42 (16.7)</w:t>
            </w:r>
          </w:p>
        </w:tc>
      </w:tr>
      <w:tr w:rsidR="008C0054" w:rsidRPr="008C0054" w14:paraId="4232BDE9" w14:textId="77777777" w:rsidTr="00D06CA8">
        <w:trPr>
          <w:trHeight w:val="227"/>
        </w:trPr>
        <w:tc>
          <w:tcPr>
            <w:tcW w:w="1827" w:type="pct"/>
            <w:hideMark/>
          </w:tcPr>
          <w:p w14:paraId="53FBF9C8"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lastRenderedPageBreak/>
              <w:t>Vomiting</w:t>
            </w:r>
          </w:p>
        </w:tc>
        <w:tc>
          <w:tcPr>
            <w:tcW w:w="804" w:type="pct"/>
            <w:hideMark/>
          </w:tcPr>
          <w:p w14:paraId="04AA40E8"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31 (17.6)</w:t>
            </w:r>
          </w:p>
        </w:tc>
        <w:tc>
          <w:tcPr>
            <w:tcW w:w="804" w:type="pct"/>
            <w:hideMark/>
          </w:tcPr>
          <w:p w14:paraId="1288B031"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8 (10.7)</w:t>
            </w:r>
          </w:p>
        </w:tc>
        <w:tc>
          <w:tcPr>
            <w:tcW w:w="790" w:type="pct"/>
            <w:hideMark/>
          </w:tcPr>
          <w:p w14:paraId="20DC0C36"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8 (25.0)</w:t>
            </w:r>
          </w:p>
        </w:tc>
        <w:tc>
          <w:tcPr>
            <w:tcW w:w="775" w:type="pct"/>
            <w:hideMark/>
          </w:tcPr>
          <w:p w14:paraId="34CD473D"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39 (15.5)</w:t>
            </w:r>
          </w:p>
        </w:tc>
      </w:tr>
      <w:tr w:rsidR="008C0054" w:rsidRPr="008C0054" w14:paraId="2B199263" w14:textId="77777777" w:rsidTr="00D06CA8">
        <w:trPr>
          <w:trHeight w:val="227"/>
        </w:trPr>
        <w:tc>
          <w:tcPr>
            <w:tcW w:w="1827" w:type="pct"/>
            <w:hideMark/>
          </w:tcPr>
          <w:p w14:paraId="2FAC69D0"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Nausea</w:t>
            </w:r>
          </w:p>
        </w:tc>
        <w:tc>
          <w:tcPr>
            <w:tcW w:w="804" w:type="pct"/>
            <w:hideMark/>
          </w:tcPr>
          <w:p w14:paraId="0464260F"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28 (15.9)</w:t>
            </w:r>
          </w:p>
        </w:tc>
        <w:tc>
          <w:tcPr>
            <w:tcW w:w="804" w:type="pct"/>
            <w:hideMark/>
          </w:tcPr>
          <w:p w14:paraId="1114CA98"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8 (10.7)</w:t>
            </w:r>
          </w:p>
        </w:tc>
        <w:tc>
          <w:tcPr>
            <w:tcW w:w="790" w:type="pct"/>
            <w:hideMark/>
          </w:tcPr>
          <w:p w14:paraId="65ACE516"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10 (31.3)</w:t>
            </w:r>
          </w:p>
        </w:tc>
        <w:tc>
          <w:tcPr>
            <w:tcW w:w="775" w:type="pct"/>
            <w:hideMark/>
          </w:tcPr>
          <w:p w14:paraId="34DD5BDA"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36 (14.3)</w:t>
            </w:r>
          </w:p>
        </w:tc>
      </w:tr>
      <w:tr w:rsidR="008C0054" w:rsidRPr="008C0054" w14:paraId="2A7E49BA" w14:textId="77777777" w:rsidTr="00D06CA8">
        <w:trPr>
          <w:trHeight w:val="227"/>
        </w:trPr>
        <w:tc>
          <w:tcPr>
            <w:tcW w:w="1827" w:type="pct"/>
            <w:hideMark/>
          </w:tcPr>
          <w:p w14:paraId="0F11B1CA"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Epistaxis</w:t>
            </w:r>
          </w:p>
        </w:tc>
        <w:tc>
          <w:tcPr>
            <w:tcW w:w="804" w:type="pct"/>
            <w:hideMark/>
          </w:tcPr>
          <w:p w14:paraId="34DE5359"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24 (13.6)</w:t>
            </w:r>
          </w:p>
        </w:tc>
        <w:tc>
          <w:tcPr>
            <w:tcW w:w="804" w:type="pct"/>
            <w:hideMark/>
          </w:tcPr>
          <w:p w14:paraId="50304350"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9 (12.0)</w:t>
            </w:r>
          </w:p>
        </w:tc>
        <w:tc>
          <w:tcPr>
            <w:tcW w:w="790" w:type="pct"/>
            <w:hideMark/>
          </w:tcPr>
          <w:p w14:paraId="669346ED"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5 (15.6)</w:t>
            </w:r>
          </w:p>
        </w:tc>
        <w:tc>
          <w:tcPr>
            <w:tcW w:w="775" w:type="pct"/>
            <w:hideMark/>
          </w:tcPr>
          <w:p w14:paraId="3B14DD65"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33 (13.1)</w:t>
            </w:r>
          </w:p>
        </w:tc>
      </w:tr>
      <w:tr w:rsidR="008C0054" w:rsidRPr="008C0054" w14:paraId="56D85B2D" w14:textId="77777777" w:rsidTr="00D06CA8">
        <w:trPr>
          <w:trHeight w:val="227"/>
        </w:trPr>
        <w:tc>
          <w:tcPr>
            <w:tcW w:w="1827" w:type="pct"/>
            <w:hideMark/>
          </w:tcPr>
          <w:p w14:paraId="49DF3CD6" w14:textId="77777777" w:rsidR="008C0054" w:rsidRPr="008C0054" w:rsidRDefault="008C0054" w:rsidP="008C0054">
            <w:pPr>
              <w:ind w:left="0" w:right="0"/>
              <w:rPr>
                <w:rFonts w:asciiTheme="minorHAnsi" w:hAnsiTheme="minorHAnsi"/>
                <w:sz w:val="20"/>
                <w:szCs w:val="20"/>
              </w:rPr>
            </w:pPr>
            <w:proofErr w:type="spellStart"/>
            <w:r w:rsidRPr="008C0054">
              <w:rPr>
                <w:rFonts w:asciiTheme="minorHAnsi" w:hAnsiTheme="minorHAnsi"/>
                <w:sz w:val="20"/>
                <w:szCs w:val="20"/>
              </w:rPr>
              <w:t>Exfoliative</w:t>
            </w:r>
            <w:proofErr w:type="spellEnd"/>
            <w:r w:rsidRPr="008C0054">
              <w:rPr>
                <w:rFonts w:asciiTheme="minorHAnsi" w:hAnsiTheme="minorHAnsi"/>
                <w:sz w:val="20"/>
                <w:szCs w:val="20"/>
              </w:rPr>
              <w:t xml:space="preserve"> rash</w:t>
            </w:r>
          </w:p>
        </w:tc>
        <w:tc>
          <w:tcPr>
            <w:tcW w:w="804" w:type="pct"/>
            <w:hideMark/>
          </w:tcPr>
          <w:p w14:paraId="142DB689"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13 (7.4)</w:t>
            </w:r>
          </w:p>
        </w:tc>
        <w:tc>
          <w:tcPr>
            <w:tcW w:w="804" w:type="pct"/>
            <w:hideMark/>
          </w:tcPr>
          <w:p w14:paraId="38C0629D"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20 (26.7)</w:t>
            </w:r>
          </w:p>
        </w:tc>
        <w:tc>
          <w:tcPr>
            <w:tcW w:w="790" w:type="pct"/>
            <w:hideMark/>
          </w:tcPr>
          <w:p w14:paraId="4793E765"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0</w:t>
            </w:r>
          </w:p>
        </w:tc>
        <w:tc>
          <w:tcPr>
            <w:tcW w:w="775" w:type="pct"/>
            <w:hideMark/>
          </w:tcPr>
          <w:p w14:paraId="1020D6AD"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33 (13.1)</w:t>
            </w:r>
          </w:p>
        </w:tc>
      </w:tr>
      <w:tr w:rsidR="008C0054" w:rsidRPr="008C0054" w14:paraId="674F27DD" w14:textId="77777777" w:rsidTr="00D06CA8">
        <w:trPr>
          <w:trHeight w:val="227"/>
        </w:trPr>
        <w:tc>
          <w:tcPr>
            <w:tcW w:w="1827" w:type="pct"/>
            <w:hideMark/>
          </w:tcPr>
          <w:p w14:paraId="452EAD42"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Gastrointestinal haemorrhage</w:t>
            </w:r>
          </w:p>
        </w:tc>
        <w:tc>
          <w:tcPr>
            <w:tcW w:w="804" w:type="pct"/>
            <w:hideMark/>
          </w:tcPr>
          <w:p w14:paraId="2AB983A3"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15 (8.5)</w:t>
            </w:r>
          </w:p>
        </w:tc>
        <w:tc>
          <w:tcPr>
            <w:tcW w:w="804" w:type="pct"/>
            <w:hideMark/>
          </w:tcPr>
          <w:p w14:paraId="29FBC2B5"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18 (24.0)</w:t>
            </w:r>
          </w:p>
        </w:tc>
        <w:tc>
          <w:tcPr>
            <w:tcW w:w="790" w:type="pct"/>
            <w:hideMark/>
          </w:tcPr>
          <w:p w14:paraId="3A695FF6"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3 (9.4)</w:t>
            </w:r>
          </w:p>
        </w:tc>
        <w:tc>
          <w:tcPr>
            <w:tcW w:w="775" w:type="pct"/>
            <w:hideMark/>
          </w:tcPr>
          <w:p w14:paraId="779341C5"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33 (13.1)</w:t>
            </w:r>
          </w:p>
        </w:tc>
      </w:tr>
      <w:tr w:rsidR="008C0054" w:rsidRPr="008C0054" w14:paraId="035634CA" w14:textId="77777777" w:rsidTr="00D06CA8">
        <w:trPr>
          <w:trHeight w:val="227"/>
        </w:trPr>
        <w:tc>
          <w:tcPr>
            <w:tcW w:w="1827" w:type="pct"/>
            <w:hideMark/>
          </w:tcPr>
          <w:p w14:paraId="62B92884"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Respiratory failure</w:t>
            </w:r>
          </w:p>
        </w:tc>
        <w:tc>
          <w:tcPr>
            <w:tcW w:w="804" w:type="pct"/>
            <w:hideMark/>
          </w:tcPr>
          <w:p w14:paraId="74544AFC"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20 (11.4)</w:t>
            </w:r>
          </w:p>
        </w:tc>
        <w:tc>
          <w:tcPr>
            <w:tcW w:w="804" w:type="pct"/>
            <w:hideMark/>
          </w:tcPr>
          <w:p w14:paraId="60CD8920"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8 (10.7)</w:t>
            </w:r>
          </w:p>
        </w:tc>
        <w:tc>
          <w:tcPr>
            <w:tcW w:w="790" w:type="pct"/>
            <w:hideMark/>
          </w:tcPr>
          <w:p w14:paraId="481279E6"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4 (12.5)</w:t>
            </w:r>
          </w:p>
        </w:tc>
        <w:tc>
          <w:tcPr>
            <w:tcW w:w="775" w:type="pct"/>
            <w:hideMark/>
          </w:tcPr>
          <w:p w14:paraId="07DB4E44"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28 (11.2)</w:t>
            </w:r>
          </w:p>
        </w:tc>
      </w:tr>
      <w:tr w:rsidR="008C0054" w:rsidRPr="008C0054" w14:paraId="5296EB7D" w14:textId="77777777" w:rsidTr="00D06CA8">
        <w:trPr>
          <w:trHeight w:val="227"/>
        </w:trPr>
        <w:tc>
          <w:tcPr>
            <w:tcW w:w="1827" w:type="pct"/>
            <w:hideMark/>
          </w:tcPr>
          <w:p w14:paraId="1D33D1B2"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Hypertension</w:t>
            </w:r>
          </w:p>
        </w:tc>
        <w:tc>
          <w:tcPr>
            <w:tcW w:w="804" w:type="pct"/>
            <w:hideMark/>
          </w:tcPr>
          <w:p w14:paraId="680068DC"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17 (9.7)</w:t>
            </w:r>
          </w:p>
        </w:tc>
        <w:tc>
          <w:tcPr>
            <w:tcW w:w="804" w:type="pct"/>
            <w:hideMark/>
          </w:tcPr>
          <w:p w14:paraId="72C3BFE6"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9 (12.0)</w:t>
            </w:r>
          </w:p>
        </w:tc>
        <w:tc>
          <w:tcPr>
            <w:tcW w:w="790" w:type="pct"/>
            <w:hideMark/>
          </w:tcPr>
          <w:p w14:paraId="5AA5BDAF"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 (3.1)</w:t>
            </w:r>
          </w:p>
        </w:tc>
        <w:tc>
          <w:tcPr>
            <w:tcW w:w="775" w:type="pct"/>
            <w:hideMark/>
          </w:tcPr>
          <w:p w14:paraId="236AC867"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26 (10.4)</w:t>
            </w:r>
          </w:p>
        </w:tc>
      </w:tr>
      <w:tr w:rsidR="008C0054" w:rsidRPr="008C0054" w14:paraId="0913683C" w14:textId="77777777" w:rsidTr="00D06CA8">
        <w:trPr>
          <w:trHeight w:val="227"/>
        </w:trPr>
        <w:tc>
          <w:tcPr>
            <w:tcW w:w="1827" w:type="pct"/>
            <w:hideMark/>
          </w:tcPr>
          <w:p w14:paraId="02D4EC9C"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Pleural effusion</w:t>
            </w:r>
          </w:p>
        </w:tc>
        <w:tc>
          <w:tcPr>
            <w:tcW w:w="804" w:type="pct"/>
            <w:hideMark/>
          </w:tcPr>
          <w:p w14:paraId="3D85DA1D"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12 (6.8)</w:t>
            </w:r>
          </w:p>
        </w:tc>
        <w:tc>
          <w:tcPr>
            <w:tcW w:w="804" w:type="pct"/>
            <w:hideMark/>
          </w:tcPr>
          <w:p w14:paraId="530D6247"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11 (14.7)</w:t>
            </w:r>
          </w:p>
        </w:tc>
        <w:tc>
          <w:tcPr>
            <w:tcW w:w="790" w:type="pct"/>
            <w:hideMark/>
          </w:tcPr>
          <w:p w14:paraId="4380232C"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6 (18.8)</w:t>
            </w:r>
          </w:p>
        </w:tc>
        <w:tc>
          <w:tcPr>
            <w:tcW w:w="775" w:type="pct"/>
            <w:hideMark/>
          </w:tcPr>
          <w:p w14:paraId="25D21F9C"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23 (9.2)</w:t>
            </w:r>
          </w:p>
        </w:tc>
      </w:tr>
      <w:tr w:rsidR="008C0054" w:rsidRPr="008C0054" w14:paraId="72BE8E2C" w14:textId="77777777" w:rsidTr="00D06CA8">
        <w:trPr>
          <w:trHeight w:val="227"/>
        </w:trPr>
        <w:tc>
          <w:tcPr>
            <w:tcW w:w="1827" w:type="pct"/>
            <w:hideMark/>
          </w:tcPr>
          <w:p w14:paraId="489280FD"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Abdominal pain</w:t>
            </w:r>
          </w:p>
        </w:tc>
        <w:tc>
          <w:tcPr>
            <w:tcW w:w="804" w:type="pct"/>
            <w:hideMark/>
          </w:tcPr>
          <w:p w14:paraId="376B56C8"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11 (6.3)</w:t>
            </w:r>
          </w:p>
        </w:tc>
        <w:tc>
          <w:tcPr>
            <w:tcW w:w="804" w:type="pct"/>
            <w:hideMark/>
          </w:tcPr>
          <w:p w14:paraId="2BED0D93"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11 (14.7)</w:t>
            </w:r>
          </w:p>
        </w:tc>
        <w:tc>
          <w:tcPr>
            <w:tcW w:w="790" w:type="pct"/>
            <w:hideMark/>
          </w:tcPr>
          <w:p w14:paraId="402E8EDA"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7 (21.9)</w:t>
            </w:r>
          </w:p>
        </w:tc>
        <w:tc>
          <w:tcPr>
            <w:tcW w:w="775" w:type="pct"/>
            <w:hideMark/>
          </w:tcPr>
          <w:p w14:paraId="552B21DA"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22 (8.8)</w:t>
            </w:r>
          </w:p>
        </w:tc>
      </w:tr>
      <w:tr w:rsidR="008C0054" w:rsidRPr="008C0054" w14:paraId="47E3A425" w14:textId="77777777" w:rsidTr="00D06CA8">
        <w:trPr>
          <w:trHeight w:val="227"/>
        </w:trPr>
        <w:tc>
          <w:tcPr>
            <w:tcW w:w="1827" w:type="pct"/>
            <w:hideMark/>
          </w:tcPr>
          <w:p w14:paraId="13610FFE"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Graft versus host disease</w:t>
            </w:r>
          </w:p>
        </w:tc>
        <w:tc>
          <w:tcPr>
            <w:tcW w:w="804" w:type="pct"/>
            <w:hideMark/>
          </w:tcPr>
          <w:p w14:paraId="0DAF4D3B"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11 (6.3)</w:t>
            </w:r>
          </w:p>
        </w:tc>
        <w:tc>
          <w:tcPr>
            <w:tcW w:w="804" w:type="pct"/>
            <w:hideMark/>
          </w:tcPr>
          <w:p w14:paraId="19328EA0"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10 (13.3)</w:t>
            </w:r>
          </w:p>
        </w:tc>
        <w:tc>
          <w:tcPr>
            <w:tcW w:w="790" w:type="pct"/>
            <w:hideMark/>
          </w:tcPr>
          <w:p w14:paraId="439660D3"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2 (6.3)</w:t>
            </w:r>
          </w:p>
        </w:tc>
        <w:tc>
          <w:tcPr>
            <w:tcW w:w="775" w:type="pct"/>
            <w:hideMark/>
          </w:tcPr>
          <w:p w14:paraId="7B0D4A2D"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21 (8.4)</w:t>
            </w:r>
          </w:p>
        </w:tc>
      </w:tr>
      <w:tr w:rsidR="008C0054" w:rsidRPr="008C0054" w14:paraId="75B41B8D" w14:textId="77777777" w:rsidTr="00D06CA8">
        <w:trPr>
          <w:trHeight w:val="227"/>
        </w:trPr>
        <w:tc>
          <w:tcPr>
            <w:tcW w:w="1827" w:type="pct"/>
            <w:hideMark/>
          </w:tcPr>
          <w:p w14:paraId="031D0CC4"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Pyrexia</w:t>
            </w:r>
          </w:p>
        </w:tc>
        <w:tc>
          <w:tcPr>
            <w:tcW w:w="804" w:type="pct"/>
            <w:hideMark/>
          </w:tcPr>
          <w:p w14:paraId="0C7F6F35"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17 (9.7)</w:t>
            </w:r>
          </w:p>
        </w:tc>
        <w:tc>
          <w:tcPr>
            <w:tcW w:w="804" w:type="pct"/>
            <w:hideMark/>
          </w:tcPr>
          <w:p w14:paraId="0FD9F9FC"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4 (5.3)</w:t>
            </w:r>
          </w:p>
        </w:tc>
        <w:tc>
          <w:tcPr>
            <w:tcW w:w="790" w:type="pct"/>
            <w:hideMark/>
          </w:tcPr>
          <w:p w14:paraId="3857E5B8"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9 (28.1)</w:t>
            </w:r>
          </w:p>
        </w:tc>
        <w:tc>
          <w:tcPr>
            <w:tcW w:w="775" w:type="pct"/>
            <w:hideMark/>
          </w:tcPr>
          <w:p w14:paraId="1F14A2BE"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21 (8.4)</w:t>
            </w:r>
          </w:p>
        </w:tc>
      </w:tr>
      <w:tr w:rsidR="008C0054" w:rsidRPr="008C0054" w14:paraId="70976D84" w14:textId="77777777" w:rsidTr="00D06CA8">
        <w:trPr>
          <w:trHeight w:val="227"/>
        </w:trPr>
        <w:tc>
          <w:tcPr>
            <w:tcW w:w="1827" w:type="pct"/>
            <w:hideMark/>
          </w:tcPr>
          <w:p w14:paraId="1991E9D5"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Agitation</w:t>
            </w:r>
          </w:p>
        </w:tc>
        <w:tc>
          <w:tcPr>
            <w:tcW w:w="804" w:type="pct"/>
            <w:hideMark/>
          </w:tcPr>
          <w:p w14:paraId="0DC462BA"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15 (8.5)</w:t>
            </w:r>
          </w:p>
        </w:tc>
        <w:tc>
          <w:tcPr>
            <w:tcW w:w="804" w:type="pct"/>
            <w:hideMark/>
          </w:tcPr>
          <w:p w14:paraId="420C44F3"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5 (6.7)</w:t>
            </w:r>
          </w:p>
        </w:tc>
        <w:tc>
          <w:tcPr>
            <w:tcW w:w="790" w:type="pct"/>
            <w:hideMark/>
          </w:tcPr>
          <w:p w14:paraId="6BBDEDC6"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9 (28.1)</w:t>
            </w:r>
          </w:p>
        </w:tc>
        <w:tc>
          <w:tcPr>
            <w:tcW w:w="775" w:type="pct"/>
            <w:hideMark/>
          </w:tcPr>
          <w:p w14:paraId="7057BA6A"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20 (8.0)</w:t>
            </w:r>
          </w:p>
        </w:tc>
      </w:tr>
      <w:tr w:rsidR="008C0054" w:rsidRPr="008C0054" w14:paraId="0E8AA9BF" w14:textId="77777777" w:rsidTr="00D06CA8">
        <w:trPr>
          <w:trHeight w:val="227"/>
        </w:trPr>
        <w:tc>
          <w:tcPr>
            <w:tcW w:w="1827" w:type="pct"/>
            <w:hideMark/>
          </w:tcPr>
          <w:p w14:paraId="7C514847"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Thrombocytopenia</w:t>
            </w:r>
          </w:p>
        </w:tc>
        <w:tc>
          <w:tcPr>
            <w:tcW w:w="804" w:type="pct"/>
            <w:hideMark/>
          </w:tcPr>
          <w:p w14:paraId="554EB837"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8 (4.5)</w:t>
            </w:r>
          </w:p>
        </w:tc>
        <w:tc>
          <w:tcPr>
            <w:tcW w:w="804" w:type="pct"/>
            <w:hideMark/>
          </w:tcPr>
          <w:p w14:paraId="47FDE986"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12 (16.0)</w:t>
            </w:r>
          </w:p>
        </w:tc>
        <w:tc>
          <w:tcPr>
            <w:tcW w:w="790" w:type="pct"/>
            <w:hideMark/>
          </w:tcPr>
          <w:p w14:paraId="72F4A7D2"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 (3.1)</w:t>
            </w:r>
          </w:p>
        </w:tc>
        <w:tc>
          <w:tcPr>
            <w:tcW w:w="775" w:type="pct"/>
            <w:hideMark/>
          </w:tcPr>
          <w:p w14:paraId="2ED723F1"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20 (8.0)</w:t>
            </w:r>
          </w:p>
        </w:tc>
      </w:tr>
      <w:tr w:rsidR="008C0054" w:rsidRPr="008C0054" w14:paraId="318F8088" w14:textId="77777777" w:rsidTr="00D06CA8">
        <w:trPr>
          <w:trHeight w:val="227"/>
        </w:trPr>
        <w:tc>
          <w:tcPr>
            <w:tcW w:w="1827" w:type="pct"/>
            <w:hideMark/>
          </w:tcPr>
          <w:p w14:paraId="789ECC04"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Lung infiltration</w:t>
            </w:r>
          </w:p>
        </w:tc>
        <w:tc>
          <w:tcPr>
            <w:tcW w:w="804" w:type="pct"/>
            <w:hideMark/>
          </w:tcPr>
          <w:p w14:paraId="7F05A82A"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10 (5.7)</w:t>
            </w:r>
          </w:p>
        </w:tc>
        <w:tc>
          <w:tcPr>
            <w:tcW w:w="804" w:type="pct"/>
            <w:hideMark/>
          </w:tcPr>
          <w:p w14:paraId="1711570F"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9 (12.0)</w:t>
            </w:r>
          </w:p>
        </w:tc>
        <w:tc>
          <w:tcPr>
            <w:tcW w:w="790" w:type="pct"/>
            <w:hideMark/>
          </w:tcPr>
          <w:p w14:paraId="0F45A169"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0</w:t>
            </w:r>
          </w:p>
        </w:tc>
        <w:tc>
          <w:tcPr>
            <w:tcW w:w="775" w:type="pct"/>
            <w:hideMark/>
          </w:tcPr>
          <w:p w14:paraId="7D4DED24"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19 (7.6)</w:t>
            </w:r>
          </w:p>
        </w:tc>
      </w:tr>
      <w:tr w:rsidR="008C0054" w:rsidRPr="008C0054" w14:paraId="49ADA4D1" w14:textId="77777777" w:rsidTr="00D06CA8">
        <w:trPr>
          <w:trHeight w:val="227"/>
        </w:trPr>
        <w:tc>
          <w:tcPr>
            <w:tcW w:w="1827" w:type="pct"/>
            <w:hideMark/>
          </w:tcPr>
          <w:p w14:paraId="69429E05"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Haematuria</w:t>
            </w:r>
          </w:p>
        </w:tc>
        <w:tc>
          <w:tcPr>
            <w:tcW w:w="804" w:type="pct"/>
            <w:hideMark/>
          </w:tcPr>
          <w:p w14:paraId="3BB523FF"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15 (8.5)</w:t>
            </w:r>
          </w:p>
        </w:tc>
        <w:tc>
          <w:tcPr>
            <w:tcW w:w="804" w:type="pct"/>
            <w:hideMark/>
          </w:tcPr>
          <w:p w14:paraId="2F32C2FB"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3 (4.0)</w:t>
            </w:r>
          </w:p>
        </w:tc>
        <w:tc>
          <w:tcPr>
            <w:tcW w:w="790" w:type="pct"/>
            <w:hideMark/>
          </w:tcPr>
          <w:p w14:paraId="496EECC0"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5 (15.6)</w:t>
            </w:r>
          </w:p>
        </w:tc>
        <w:tc>
          <w:tcPr>
            <w:tcW w:w="775" w:type="pct"/>
            <w:hideMark/>
          </w:tcPr>
          <w:p w14:paraId="3F7D6C39"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18 (7.2)</w:t>
            </w:r>
          </w:p>
        </w:tc>
      </w:tr>
      <w:tr w:rsidR="008C0054" w:rsidRPr="008C0054" w14:paraId="3EDAA89D" w14:textId="77777777" w:rsidTr="00D06CA8">
        <w:trPr>
          <w:trHeight w:val="227"/>
        </w:trPr>
        <w:tc>
          <w:tcPr>
            <w:tcW w:w="1827" w:type="pct"/>
            <w:hideMark/>
          </w:tcPr>
          <w:p w14:paraId="2598C529" w14:textId="77777777" w:rsidR="008C0054" w:rsidRPr="008C0054" w:rsidRDefault="008C0054" w:rsidP="008C0054">
            <w:pPr>
              <w:ind w:left="0" w:right="0"/>
              <w:rPr>
                <w:rFonts w:asciiTheme="minorHAnsi" w:hAnsiTheme="minorHAnsi"/>
                <w:sz w:val="20"/>
                <w:szCs w:val="20"/>
              </w:rPr>
            </w:pPr>
            <w:proofErr w:type="spellStart"/>
            <w:r w:rsidRPr="008C0054">
              <w:rPr>
                <w:rFonts w:asciiTheme="minorHAnsi" w:hAnsiTheme="minorHAnsi"/>
                <w:sz w:val="20"/>
                <w:szCs w:val="20"/>
              </w:rPr>
              <w:t>Confusional</w:t>
            </w:r>
            <w:proofErr w:type="spellEnd"/>
            <w:r w:rsidRPr="008C0054">
              <w:rPr>
                <w:rFonts w:asciiTheme="minorHAnsi" w:hAnsiTheme="minorHAnsi"/>
                <w:sz w:val="20"/>
                <w:szCs w:val="20"/>
              </w:rPr>
              <w:t xml:space="preserve"> state</w:t>
            </w:r>
          </w:p>
        </w:tc>
        <w:tc>
          <w:tcPr>
            <w:tcW w:w="804" w:type="pct"/>
            <w:hideMark/>
          </w:tcPr>
          <w:p w14:paraId="70D08A90"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13 (7.4)</w:t>
            </w:r>
          </w:p>
        </w:tc>
        <w:tc>
          <w:tcPr>
            <w:tcW w:w="804" w:type="pct"/>
            <w:hideMark/>
          </w:tcPr>
          <w:p w14:paraId="0B6099E5"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4 (5.3)</w:t>
            </w:r>
          </w:p>
        </w:tc>
        <w:tc>
          <w:tcPr>
            <w:tcW w:w="790" w:type="pct"/>
            <w:hideMark/>
          </w:tcPr>
          <w:p w14:paraId="13FCA91B"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5 (15.6)</w:t>
            </w:r>
          </w:p>
        </w:tc>
        <w:tc>
          <w:tcPr>
            <w:tcW w:w="775" w:type="pct"/>
            <w:hideMark/>
          </w:tcPr>
          <w:p w14:paraId="5EF02C26"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17 (6.8)</w:t>
            </w:r>
          </w:p>
        </w:tc>
      </w:tr>
      <w:tr w:rsidR="008C0054" w:rsidRPr="008C0054" w14:paraId="5DC67B31" w14:textId="77777777" w:rsidTr="00D06CA8">
        <w:trPr>
          <w:trHeight w:val="227"/>
        </w:trPr>
        <w:tc>
          <w:tcPr>
            <w:tcW w:w="1827" w:type="pct"/>
            <w:hideMark/>
          </w:tcPr>
          <w:p w14:paraId="65835DB5"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Oedema</w:t>
            </w:r>
          </w:p>
        </w:tc>
        <w:tc>
          <w:tcPr>
            <w:tcW w:w="804" w:type="pct"/>
            <w:hideMark/>
          </w:tcPr>
          <w:p w14:paraId="7BAEDE50"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10 (5.7)</w:t>
            </w:r>
          </w:p>
        </w:tc>
        <w:tc>
          <w:tcPr>
            <w:tcW w:w="804" w:type="pct"/>
            <w:hideMark/>
          </w:tcPr>
          <w:p w14:paraId="7E93A309"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7 (9.3)</w:t>
            </w:r>
          </w:p>
        </w:tc>
        <w:tc>
          <w:tcPr>
            <w:tcW w:w="790" w:type="pct"/>
            <w:hideMark/>
          </w:tcPr>
          <w:p w14:paraId="00E299C4"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7 (21.9)</w:t>
            </w:r>
          </w:p>
        </w:tc>
        <w:tc>
          <w:tcPr>
            <w:tcW w:w="775" w:type="pct"/>
            <w:hideMark/>
          </w:tcPr>
          <w:p w14:paraId="1031B3AC"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17 (6.8)</w:t>
            </w:r>
          </w:p>
        </w:tc>
      </w:tr>
      <w:tr w:rsidR="008C0054" w:rsidRPr="008C0054" w14:paraId="0C2F3E34" w14:textId="77777777" w:rsidTr="00D06CA8">
        <w:trPr>
          <w:trHeight w:val="227"/>
        </w:trPr>
        <w:tc>
          <w:tcPr>
            <w:tcW w:w="1827" w:type="pct"/>
            <w:hideMark/>
          </w:tcPr>
          <w:p w14:paraId="2270E480"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Haemorrhage</w:t>
            </w:r>
          </w:p>
        </w:tc>
        <w:tc>
          <w:tcPr>
            <w:tcW w:w="804" w:type="pct"/>
            <w:hideMark/>
          </w:tcPr>
          <w:p w14:paraId="5FFACEA0"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6 (3.4)</w:t>
            </w:r>
          </w:p>
        </w:tc>
        <w:tc>
          <w:tcPr>
            <w:tcW w:w="804" w:type="pct"/>
            <w:hideMark/>
          </w:tcPr>
          <w:p w14:paraId="33D5BEF2"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11 (14.7)</w:t>
            </w:r>
          </w:p>
        </w:tc>
        <w:tc>
          <w:tcPr>
            <w:tcW w:w="790" w:type="pct"/>
            <w:hideMark/>
          </w:tcPr>
          <w:p w14:paraId="2A0B1631"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0</w:t>
            </w:r>
          </w:p>
        </w:tc>
        <w:tc>
          <w:tcPr>
            <w:tcW w:w="775" w:type="pct"/>
            <w:hideMark/>
          </w:tcPr>
          <w:p w14:paraId="065F2C32"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17 (6.8)</w:t>
            </w:r>
          </w:p>
        </w:tc>
      </w:tr>
      <w:tr w:rsidR="008C0054" w:rsidRPr="008C0054" w14:paraId="58A19F65" w14:textId="77777777" w:rsidTr="00D06CA8">
        <w:trPr>
          <w:trHeight w:val="227"/>
        </w:trPr>
        <w:tc>
          <w:tcPr>
            <w:tcW w:w="1827" w:type="pct"/>
            <w:hideMark/>
          </w:tcPr>
          <w:p w14:paraId="0B7201AC"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Pulmonary alveolar haemorrhage</w:t>
            </w:r>
          </w:p>
        </w:tc>
        <w:tc>
          <w:tcPr>
            <w:tcW w:w="804" w:type="pct"/>
            <w:hideMark/>
          </w:tcPr>
          <w:p w14:paraId="2FB6E07A"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15 (8.5)</w:t>
            </w:r>
          </w:p>
        </w:tc>
        <w:tc>
          <w:tcPr>
            <w:tcW w:w="804" w:type="pct"/>
            <w:hideMark/>
          </w:tcPr>
          <w:p w14:paraId="15CE7C9E"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2 (2.7)</w:t>
            </w:r>
          </w:p>
        </w:tc>
        <w:tc>
          <w:tcPr>
            <w:tcW w:w="790" w:type="pct"/>
            <w:hideMark/>
          </w:tcPr>
          <w:p w14:paraId="2D8F7A23"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5 (15.6)</w:t>
            </w:r>
          </w:p>
        </w:tc>
        <w:tc>
          <w:tcPr>
            <w:tcW w:w="775" w:type="pct"/>
            <w:hideMark/>
          </w:tcPr>
          <w:p w14:paraId="744D6827"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17 (6.8)</w:t>
            </w:r>
          </w:p>
        </w:tc>
      </w:tr>
      <w:tr w:rsidR="008C0054" w:rsidRPr="008C0054" w14:paraId="7C02A553" w14:textId="77777777" w:rsidTr="00D06CA8">
        <w:trPr>
          <w:trHeight w:val="227"/>
        </w:trPr>
        <w:tc>
          <w:tcPr>
            <w:tcW w:w="1827" w:type="pct"/>
            <w:hideMark/>
          </w:tcPr>
          <w:p w14:paraId="4B6CD004"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Febrile neutropenia</w:t>
            </w:r>
          </w:p>
        </w:tc>
        <w:tc>
          <w:tcPr>
            <w:tcW w:w="804" w:type="pct"/>
            <w:hideMark/>
          </w:tcPr>
          <w:p w14:paraId="2874F9A1"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7 (4.0)</w:t>
            </w:r>
          </w:p>
        </w:tc>
        <w:tc>
          <w:tcPr>
            <w:tcW w:w="804" w:type="pct"/>
            <w:hideMark/>
          </w:tcPr>
          <w:p w14:paraId="2A99569A"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8 (10.7)</w:t>
            </w:r>
          </w:p>
        </w:tc>
        <w:tc>
          <w:tcPr>
            <w:tcW w:w="790" w:type="pct"/>
            <w:hideMark/>
          </w:tcPr>
          <w:p w14:paraId="579C25DD"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0</w:t>
            </w:r>
          </w:p>
        </w:tc>
        <w:tc>
          <w:tcPr>
            <w:tcW w:w="775" w:type="pct"/>
            <w:hideMark/>
          </w:tcPr>
          <w:p w14:paraId="1C6579E9"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15 (6.0)</w:t>
            </w:r>
          </w:p>
        </w:tc>
      </w:tr>
      <w:tr w:rsidR="008C0054" w:rsidRPr="008C0054" w14:paraId="5E0AD353" w14:textId="77777777" w:rsidTr="00D06CA8">
        <w:trPr>
          <w:trHeight w:val="227"/>
        </w:trPr>
        <w:tc>
          <w:tcPr>
            <w:tcW w:w="1827" w:type="pct"/>
            <w:hideMark/>
          </w:tcPr>
          <w:p w14:paraId="0C8D5E83"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Dyspnoea</w:t>
            </w:r>
          </w:p>
        </w:tc>
        <w:tc>
          <w:tcPr>
            <w:tcW w:w="804" w:type="pct"/>
            <w:hideMark/>
          </w:tcPr>
          <w:p w14:paraId="266F76B9"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4 (2.3)</w:t>
            </w:r>
          </w:p>
        </w:tc>
        <w:tc>
          <w:tcPr>
            <w:tcW w:w="804" w:type="pct"/>
            <w:hideMark/>
          </w:tcPr>
          <w:p w14:paraId="1D2A545A"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10 (13.3)</w:t>
            </w:r>
          </w:p>
        </w:tc>
        <w:tc>
          <w:tcPr>
            <w:tcW w:w="790" w:type="pct"/>
            <w:hideMark/>
          </w:tcPr>
          <w:p w14:paraId="7BF2BC8F"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5 (15.6)</w:t>
            </w:r>
          </w:p>
        </w:tc>
        <w:tc>
          <w:tcPr>
            <w:tcW w:w="775" w:type="pct"/>
            <w:hideMark/>
          </w:tcPr>
          <w:p w14:paraId="2A38BF2C"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14 (5.6)</w:t>
            </w:r>
          </w:p>
        </w:tc>
      </w:tr>
      <w:tr w:rsidR="008C0054" w:rsidRPr="008C0054" w14:paraId="3FCD3DC3" w14:textId="77777777" w:rsidTr="00D06CA8">
        <w:trPr>
          <w:trHeight w:val="227"/>
        </w:trPr>
        <w:tc>
          <w:tcPr>
            <w:tcW w:w="1827" w:type="pct"/>
            <w:hideMark/>
          </w:tcPr>
          <w:p w14:paraId="6059F6E9"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Anxiety</w:t>
            </w:r>
          </w:p>
        </w:tc>
        <w:tc>
          <w:tcPr>
            <w:tcW w:w="804" w:type="pct"/>
            <w:hideMark/>
          </w:tcPr>
          <w:p w14:paraId="766227BA"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8 (4.5)</w:t>
            </w:r>
          </w:p>
        </w:tc>
        <w:tc>
          <w:tcPr>
            <w:tcW w:w="804" w:type="pct"/>
            <w:hideMark/>
          </w:tcPr>
          <w:p w14:paraId="2E9AF7AB"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5 (6.7)</w:t>
            </w:r>
          </w:p>
        </w:tc>
        <w:tc>
          <w:tcPr>
            <w:tcW w:w="790" w:type="pct"/>
            <w:hideMark/>
          </w:tcPr>
          <w:p w14:paraId="0A1C2095"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4 (12.5)</w:t>
            </w:r>
          </w:p>
        </w:tc>
        <w:tc>
          <w:tcPr>
            <w:tcW w:w="775" w:type="pct"/>
            <w:hideMark/>
          </w:tcPr>
          <w:p w14:paraId="741AB636"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13 (5.2)</w:t>
            </w:r>
          </w:p>
        </w:tc>
      </w:tr>
      <w:tr w:rsidR="008C0054" w:rsidRPr="008C0054" w14:paraId="2FAFBD09" w14:textId="77777777" w:rsidTr="00D06CA8">
        <w:trPr>
          <w:trHeight w:val="227"/>
        </w:trPr>
        <w:tc>
          <w:tcPr>
            <w:tcW w:w="1827" w:type="pct"/>
            <w:hideMark/>
          </w:tcPr>
          <w:p w14:paraId="3FC73D54"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Peripheral oedema</w:t>
            </w:r>
          </w:p>
        </w:tc>
        <w:tc>
          <w:tcPr>
            <w:tcW w:w="804" w:type="pct"/>
            <w:hideMark/>
          </w:tcPr>
          <w:p w14:paraId="59889109"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13 (7.4)</w:t>
            </w:r>
          </w:p>
        </w:tc>
        <w:tc>
          <w:tcPr>
            <w:tcW w:w="804" w:type="pct"/>
            <w:hideMark/>
          </w:tcPr>
          <w:p w14:paraId="6730F815"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0</w:t>
            </w:r>
          </w:p>
        </w:tc>
        <w:tc>
          <w:tcPr>
            <w:tcW w:w="790" w:type="pct"/>
            <w:hideMark/>
          </w:tcPr>
          <w:p w14:paraId="5CAA3A75"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4 (12.5)</w:t>
            </w:r>
          </w:p>
        </w:tc>
        <w:tc>
          <w:tcPr>
            <w:tcW w:w="775" w:type="pct"/>
            <w:hideMark/>
          </w:tcPr>
          <w:p w14:paraId="09918BE0"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13 (5.2)</w:t>
            </w:r>
          </w:p>
        </w:tc>
      </w:tr>
      <w:tr w:rsidR="008C0054" w:rsidRPr="008C0054" w14:paraId="5AFFFA7A" w14:textId="77777777" w:rsidTr="00D06CA8">
        <w:trPr>
          <w:trHeight w:val="227"/>
        </w:trPr>
        <w:tc>
          <w:tcPr>
            <w:tcW w:w="1827" w:type="pct"/>
            <w:hideMark/>
          </w:tcPr>
          <w:p w14:paraId="03F3BFA4" w14:textId="77777777" w:rsidR="008C0054" w:rsidRPr="008C0054" w:rsidRDefault="008C0054" w:rsidP="008C0054">
            <w:pPr>
              <w:ind w:left="0" w:right="0"/>
              <w:rPr>
                <w:rFonts w:asciiTheme="minorHAnsi" w:hAnsiTheme="minorHAnsi"/>
                <w:sz w:val="20"/>
                <w:szCs w:val="20"/>
              </w:rPr>
            </w:pPr>
            <w:proofErr w:type="spellStart"/>
            <w:r w:rsidRPr="008C0054">
              <w:rPr>
                <w:rFonts w:asciiTheme="minorHAnsi" w:hAnsiTheme="minorHAnsi"/>
                <w:sz w:val="20"/>
                <w:szCs w:val="20"/>
              </w:rPr>
              <w:t>Petechiae</w:t>
            </w:r>
            <w:proofErr w:type="spellEnd"/>
          </w:p>
        </w:tc>
        <w:tc>
          <w:tcPr>
            <w:tcW w:w="804" w:type="pct"/>
            <w:hideMark/>
          </w:tcPr>
          <w:p w14:paraId="390BA0FD"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9 (5.1)</w:t>
            </w:r>
          </w:p>
        </w:tc>
        <w:tc>
          <w:tcPr>
            <w:tcW w:w="804" w:type="pct"/>
            <w:hideMark/>
          </w:tcPr>
          <w:p w14:paraId="0E2BDC69"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2 (2.7)</w:t>
            </w:r>
          </w:p>
        </w:tc>
        <w:tc>
          <w:tcPr>
            <w:tcW w:w="790" w:type="pct"/>
            <w:hideMark/>
          </w:tcPr>
          <w:p w14:paraId="43B35B19"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9 (28.1)</w:t>
            </w:r>
          </w:p>
        </w:tc>
        <w:tc>
          <w:tcPr>
            <w:tcW w:w="775" w:type="pct"/>
            <w:hideMark/>
          </w:tcPr>
          <w:p w14:paraId="52BA9557"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11 (4.4)</w:t>
            </w:r>
          </w:p>
        </w:tc>
      </w:tr>
      <w:tr w:rsidR="008C0054" w:rsidRPr="008C0054" w14:paraId="47E802A7" w14:textId="77777777" w:rsidTr="00D06CA8">
        <w:trPr>
          <w:trHeight w:val="227"/>
        </w:trPr>
        <w:tc>
          <w:tcPr>
            <w:tcW w:w="1827" w:type="pct"/>
            <w:hideMark/>
          </w:tcPr>
          <w:p w14:paraId="29390C4A"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Bradycardia</w:t>
            </w:r>
          </w:p>
        </w:tc>
        <w:tc>
          <w:tcPr>
            <w:tcW w:w="804" w:type="pct"/>
            <w:hideMark/>
          </w:tcPr>
          <w:p w14:paraId="0C9930ED"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10 (5.7)</w:t>
            </w:r>
          </w:p>
        </w:tc>
        <w:tc>
          <w:tcPr>
            <w:tcW w:w="804" w:type="pct"/>
            <w:hideMark/>
          </w:tcPr>
          <w:p w14:paraId="6BF6B6DB"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0</w:t>
            </w:r>
          </w:p>
        </w:tc>
        <w:tc>
          <w:tcPr>
            <w:tcW w:w="790" w:type="pct"/>
            <w:hideMark/>
          </w:tcPr>
          <w:p w14:paraId="72D1E9B0"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6 (18.8)</w:t>
            </w:r>
          </w:p>
        </w:tc>
        <w:tc>
          <w:tcPr>
            <w:tcW w:w="775" w:type="pct"/>
            <w:hideMark/>
          </w:tcPr>
          <w:p w14:paraId="79FF0822"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10 (4.0)</w:t>
            </w:r>
          </w:p>
        </w:tc>
      </w:tr>
      <w:tr w:rsidR="008C0054" w:rsidRPr="008C0054" w14:paraId="625FBD58" w14:textId="77777777" w:rsidTr="00D06CA8">
        <w:trPr>
          <w:trHeight w:val="227"/>
        </w:trPr>
        <w:tc>
          <w:tcPr>
            <w:tcW w:w="1827" w:type="pct"/>
            <w:hideMark/>
          </w:tcPr>
          <w:p w14:paraId="2ABA95B7"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lastRenderedPageBreak/>
              <w:t>Hyperglycaemia</w:t>
            </w:r>
          </w:p>
        </w:tc>
        <w:tc>
          <w:tcPr>
            <w:tcW w:w="804" w:type="pct"/>
            <w:hideMark/>
          </w:tcPr>
          <w:p w14:paraId="530E472D"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7 (4.0)</w:t>
            </w:r>
          </w:p>
        </w:tc>
        <w:tc>
          <w:tcPr>
            <w:tcW w:w="804" w:type="pct"/>
            <w:hideMark/>
          </w:tcPr>
          <w:p w14:paraId="65CD5DF1"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3 (4.0)</w:t>
            </w:r>
          </w:p>
        </w:tc>
        <w:tc>
          <w:tcPr>
            <w:tcW w:w="790" w:type="pct"/>
            <w:hideMark/>
          </w:tcPr>
          <w:p w14:paraId="1299C32A"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4 (12.5)</w:t>
            </w:r>
          </w:p>
        </w:tc>
        <w:tc>
          <w:tcPr>
            <w:tcW w:w="775" w:type="pct"/>
            <w:hideMark/>
          </w:tcPr>
          <w:p w14:paraId="2FE0E937"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10 (4.0)</w:t>
            </w:r>
          </w:p>
        </w:tc>
      </w:tr>
      <w:tr w:rsidR="008C0054" w:rsidRPr="008C0054" w14:paraId="5F4259D5" w14:textId="77777777" w:rsidTr="00D06CA8">
        <w:trPr>
          <w:trHeight w:val="227"/>
        </w:trPr>
        <w:tc>
          <w:tcPr>
            <w:tcW w:w="1827" w:type="pct"/>
            <w:hideMark/>
          </w:tcPr>
          <w:p w14:paraId="0DEFB50F"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Tachycardia</w:t>
            </w:r>
          </w:p>
        </w:tc>
        <w:tc>
          <w:tcPr>
            <w:tcW w:w="804" w:type="pct"/>
            <w:hideMark/>
          </w:tcPr>
          <w:p w14:paraId="4001BCFE"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10 (5.7)</w:t>
            </w:r>
          </w:p>
        </w:tc>
        <w:tc>
          <w:tcPr>
            <w:tcW w:w="804" w:type="pct"/>
            <w:hideMark/>
          </w:tcPr>
          <w:p w14:paraId="1DBC2D20"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0</w:t>
            </w:r>
          </w:p>
        </w:tc>
        <w:tc>
          <w:tcPr>
            <w:tcW w:w="790" w:type="pct"/>
            <w:hideMark/>
          </w:tcPr>
          <w:p w14:paraId="571BD7BA"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14 (43.8)</w:t>
            </w:r>
          </w:p>
        </w:tc>
        <w:tc>
          <w:tcPr>
            <w:tcW w:w="775" w:type="pct"/>
            <w:hideMark/>
          </w:tcPr>
          <w:p w14:paraId="622FCFC3"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10 (4.0)</w:t>
            </w:r>
          </w:p>
        </w:tc>
      </w:tr>
      <w:tr w:rsidR="008C0054" w:rsidRPr="008C0054" w14:paraId="021D1FCA" w14:textId="77777777" w:rsidTr="00D06CA8">
        <w:trPr>
          <w:trHeight w:val="227"/>
        </w:trPr>
        <w:tc>
          <w:tcPr>
            <w:tcW w:w="1827" w:type="pct"/>
            <w:hideMark/>
          </w:tcPr>
          <w:p w14:paraId="0F7D3319"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Blister</w:t>
            </w:r>
          </w:p>
        </w:tc>
        <w:tc>
          <w:tcPr>
            <w:tcW w:w="804" w:type="pct"/>
            <w:hideMark/>
          </w:tcPr>
          <w:p w14:paraId="511DFD14"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7 (4.0)</w:t>
            </w:r>
          </w:p>
        </w:tc>
        <w:tc>
          <w:tcPr>
            <w:tcW w:w="804" w:type="pct"/>
            <w:hideMark/>
          </w:tcPr>
          <w:p w14:paraId="0682CE8C"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 (1.3)</w:t>
            </w:r>
          </w:p>
        </w:tc>
        <w:tc>
          <w:tcPr>
            <w:tcW w:w="790" w:type="pct"/>
            <w:hideMark/>
          </w:tcPr>
          <w:p w14:paraId="633A8203"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8 (25.0)</w:t>
            </w:r>
          </w:p>
        </w:tc>
        <w:tc>
          <w:tcPr>
            <w:tcW w:w="775" w:type="pct"/>
            <w:hideMark/>
          </w:tcPr>
          <w:p w14:paraId="569A8CEC"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8 (3.2)</w:t>
            </w:r>
          </w:p>
        </w:tc>
      </w:tr>
      <w:tr w:rsidR="008C0054" w:rsidRPr="008C0054" w14:paraId="22AAE907" w14:textId="77777777" w:rsidTr="00D06CA8">
        <w:trPr>
          <w:trHeight w:val="227"/>
        </w:trPr>
        <w:tc>
          <w:tcPr>
            <w:tcW w:w="1827" w:type="pct"/>
            <w:hideMark/>
          </w:tcPr>
          <w:p w14:paraId="32594AFF"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Constipation</w:t>
            </w:r>
          </w:p>
        </w:tc>
        <w:tc>
          <w:tcPr>
            <w:tcW w:w="804" w:type="pct"/>
            <w:hideMark/>
          </w:tcPr>
          <w:p w14:paraId="269EDE79"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8 (4.5)</w:t>
            </w:r>
          </w:p>
        </w:tc>
        <w:tc>
          <w:tcPr>
            <w:tcW w:w="804" w:type="pct"/>
            <w:hideMark/>
          </w:tcPr>
          <w:p w14:paraId="37C99D87"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0</w:t>
            </w:r>
          </w:p>
        </w:tc>
        <w:tc>
          <w:tcPr>
            <w:tcW w:w="790" w:type="pct"/>
            <w:hideMark/>
          </w:tcPr>
          <w:p w14:paraId="4CAD0827"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5 (15.6)</w:t>
            </w:r>
          </w:p>
        </w:tc>
        <w:tc>
          <w:tcPr>
            <w:tcW w:w="775" w:type="pct"/>
            <w:hideMark/>
          </w:tcPr>
          <w:p w14:paraId="251E9E48"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8 (3.2)</w:t>
            </w:r>
          </w:p>
        </w:tc>
      </w:tr>
      <w:tr w:rsidR="008C0054" w:rsidRPr="008C0054" w14:paraId="6076EE30" w14:textId="77777777" w:rsidTr="00D06CA8">
        <w:trPr>
          <w:trHeight w:val="227"/>
        </w:trPr>
        <w:tc>
          <w:tcPr>
            <w:tcW w:w="1827" w:type="pct"/>
            <w:hideMark/>
          </w:tcPr>
          <w:p w14:paraId="11BA8637"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Generalised oedema</w:t>
            </w:r>
          </w:p>
        </w:tc>
        <w:tc>
          <w:tcPr>
            <w:tcW w:w="804" w:type="pct"/>
            <w:hideMark/>
          </w:tcPr>
          <w:p w14:paraId="3BBBA933"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8 (4.5)</w:t>
            </w:r>
          </w:p>
        </w:tc>
        <w:tc>
          <w:tcPr>
            <w:tcW w:w="804" w:type="pct"/>
            <w:hideMark/>
          </w:tcPr>
          <w:p w14:paraId="2956CC5D"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0</w:t>
            </w:r>
          </w:p>
        </w:tc>
        <w:tc>
          <w:tcPr>
            <w:tcW w:w="790" w:type="pct"/>
            <w:hideMark/>
          </w:tcPr>
          <w:p w14:paraId="01EAE687"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8 (25.0)</w:t>
            </w:r>
          </w:p>
        </w:tc>
        <w:tc>
          <w:tcPr>
            <w:tcW w:w="775" w:type="pct"/>
            <w:hideMark/>
          </w:tcPr>
          <w:p w14:paraId="2B9A7B3F"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8 (3.2)</w:t>
            </w:r>
          </w:p>
        </w:tc>
      </w:tr>
      <w:tr w:rsidR="008C0054" w:rsidRPr="008C0054" w14:paraId="00212FE8" w14:textId="77777777" w:rsidTr="00D06CA8">
        <w:trPr>
          <w:trHeight w:val="227"/>
        </w:trPr>
        <w:tc>
          <w:tcPr>
            <w:tcW w:w="1827" w:type="pct"/>
            <w:hideMark/>
          </w:tcPr>
          <w:p w14:paraId="4D9C9129"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Rash</w:t>
            </w:r>
          </w:p>
        </w:tc>
        <w:tc>
          <w:tcPr>
            <w:tcW w:w="804" w:type="pct"/>
            <w:hideMark/>
          </w:tcPr>
          <w:p w14:paraId="0A79B70D"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8 (4.5)</w:t>
            </w:r>
          </w:p>
        </w:tc>
        <w:tc>
          <w:tcPr>
            <w:tcW w:w="804" w:type="pct"/>
            <w:hideMark/>
          </w:tcPr>
          <w:p w14:paraId="7A702970"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0</w:t>
            </w:r>
          </w:p>
        </w:tc>
        <w:tc>
          <w:tcPr>
            <w:tcW w:w="790" w:type="pct"/>
            <w:hideMark/>
          </w:tcPr>
          <w:p w14:paraId="3BF2A4F9"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7 (21.9)</w:t>
            </w:r>
          </w:p>
        </w:tc>
        <w:tc>
          <w:tcPr>
            <w:tcW w:w="775" w:type="pct"/>
            <w:hideMark/>
          </w:tcPr>
          <w:p w14:paraId="66AFC4E3"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8 (3.2)</w:t>
            </w:r>
          </w:p>
        </w:tc>
      </w:tr>
      <w:tr w:rsidR="008C0054" w:rsidRPr="008C0054" w14:paraId="15727339" w14:textId="77777777" w:rsidTr="00D06CA8">
        <w:trPr>
          <w:trHeight w:val="227"/>
        </w:trPr>
        <w:tc>
          <w:tcPr>
            <w:tcW w:w="1827" w:type="pct"/>
            <w:hideMark/>
          </w:tcPr>
          <w:p w14:paraId="143778ED"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Graft versus host disease in skin</w:t>
            </w:r>
          </w:p>
        </w:tc>
        <w:tc>
          <w:tcPr>
            <w:tcW w:w="804" w:type="pct"/>
            <w:hideMark/>
          </w:tcPr>
          <w:p w14:paraId="2F26E4EE"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7 (4.0)</w:t>
            </w:r>
          </w:p>
        </w:tc>
        <w:tc>
          <w:tcPr>
            <w:tcW w:w="804" w:type="pct"/>
            <w:hideMark/>
          </w:tcPr>
          <w:p w14:paraId="02295597"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0</w:t>
            </w:r>
          </w:p>
        </w:tc>
        <w:tc>
          <w:tcPr>
            <w:tcW w:w="790" w:type="pct"/>
            <w:hideMark/>
          </w:tcPr>
          <w:p w14:paraId="06C5205B"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5 (15.6)</w:t>
            </w:r>
          </w:p>
        </w:tc>
        <w:tc>
          <w:tcPr>
            <w:tcW w:w="775" w:type="pct"/>
            <w:hideMark/>
          </w:tcPr>
          <w:p w14:paraId="5376F3C3"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7 (2.8)</w:t>
            </w:r>
          </w:p>
        </w:tc>
      </w:tr>
      <w:tr w:rsidR="008C0054" w:rsidRPr="008C0054" w14:paraId="145C2DCD" w14:textId="77777777" w:rsidTr="00D06CA8">
        <w:trPr>
          <w:trHeight w:val="227"/>
        </w:trPr>
        <w:tc>
          <w:tcPr>
            <w:tcW w:w="1827" w:type="pct"/>
            <w:hideMark/>
          </w:tcPr>
          <w:p w14:paraId="62BB11C5"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Hypothermia</w:t>
            </w:r>
          </w:p>
        </w:tc>
        <w:tc>
          <w:tcPr>
            <w:tcW w:w="804" w:type="pct"/>
            <w:hideMark/>
          </w:tcPr>
          <w:p w14:paraId="3DA59805"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5 (2.8)</w:t>
            </w:r>
          </w:p>
        </w:tc>
        <w:tc>
          <w:tcPr>
            <w:tcW w:w="804" w:type="pct"/>
            <w:hideMark/>
          </w:tcPr>
          <w:p w14:paraId="14C5CF69"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 (1.3)</w:t>
            </w:r>
          </w:p>
        </w:tc>
        <w:tc>
          <w:tcPr>
            <w:tcW w:w="790" w:type="pct"/>
            <w:hideMark/>
          </w:tcPr>
          <w:p w14:paraId="03B2AF96"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5 (15.6)</w:t>
            </w:r>
          </w:p>
        </w:tc>
        <w:tc>
          <w:tcPr>
            <w:tcW w:w="775" w:type="pct"/>
            <w:hideMark/>
          </w:tcPr>
          <w:p w14:paraId="7906C90F"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6 (2.4)</w:t>
            </w:r>
          </w:p>
        </w:tc>
      </w:tr>
      <w:tr w:rsidR="008C0054" w:rsidRPr="008C0054" w14:paraId="4C740342" w14:textId="77777777" w:rsidTr="00D06CA8">
        <w:trPr>
          <w:trHeight w:val="227"/>
        </w:trPr>
        <w:tc>
          <w:tcPr>
            <w:tcW w:w="1827" w:type="pct"/>
            <w:hideMark/>
          </w:tcPr>
          <w:p w14:paraId="2F55D3EF"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Insomnia</w:t>
            </w:r>
          </w:p>
        </w:tc>
        <w:tc>
          <w:tcPr>
            <w:tcW w:w="804" w:type="pct"/>
            <w:hideMark/>
          </w:tcPr>
          <w:p w14:paraId="0AB05616"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3 (1.7)</w:t>
            </w:r>
          </w:p>
        </w:tc>
        <w:tc>
          <w:tcPr>
            <w:tcW w:w="804" w:type="pct"/>
            <w:hideMark/>
          </w:tcPr>
          <w:p w14:paraId="29E350CD"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2 (2.7)</w:t>
            </w:r>
          </w:p>
        </w:tc>
        <w:tc>
          <w:tcPr>
            <w:tcW w:w="790" w:type="pct"/>
            <w:hideMark/>
          </w:tcPr>
          <w:p w14:paraId="109F94E7"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4 (12.5)</w:t>
            </w:r>
          </w:p>
        </w:tc>
        <w:tc>
          <w:tcPr>
            <w:tcW w:w="775" w:type="pct"/>
            <w:hideMark/>
          </w:tcPr>
          <w:p w14:paraId="55201FE2"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5 (2.0)</w:t>
            </w:r>
          </w:p>
        </w:tc>
      </w:tr>
      <w:tr w:rsidR="008C0054" w:rsidRPr="008C0054" w14:paraId="28446AAB" w14:textId="77777777" w:rsidTr="00D06CA8">
        <w:trPr>
          <w:trHeight w:val="227"/>
        </w:trPr>
        <w:tc>
          <w:tcPr>
            <w:tcW w:w="1827" w:type="pct"/>
            <w:hideMark/>
          </w:tcPr>
          <w:p w14:paraId="19ADD2DF"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Tremor</w:t>
            </w:r>
          </w:p>
        </w:tc>
        <w:tc>
          <w:tcPr>
            <w:tcW w:w="804" w:type="pct"/>
            <w:hideMark/>
          </w:tcPr>
          <w:p w14:paraId="3C7F6AF6"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4 (2.3)</w:t>
            </w:r>
          </w:p>
        </w:tc>
        <w:tc>
          <w:tcPr>
            <w:tcW w:w="804" w:type="pct"/>
            <w:hideMark/>
          </w:tcPr>
          <w:p w14:paraId="7F3730D0"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0</w:t>
            </w:r>
          </w:p>
        </w:tc>
        <w:tc>
          <w:tcPr>
            <w:tcW w:w="790" w:type="pct"/>
            <w:hideMark/>
          </w:tcPr>
          <w:p w14:paraId="0358866A"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4 (12.5)</w:t>
            </w:r>
          </w:p>
        </w:tc>
        <w:tc>
          <w:tcPr>
            <w:tcW w:w="775" w:type="pct"/>
            <w:hideMark/>
          </w:tcPr>
          <w:p w14:paraId="762944E1"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4 (1.6)</w:t>
            </w:r>
          </w:p>
        </w:tc>
      </w:tr>
      <w:tr w:rsidR="008C0054" w:rsidRPr="008C0054" w14:paraId="36D625F8" w14:textId="77777777" w:rsidTr="00D06CA8">
        <w:trPr>
          <w:trHeight w:val="227"/>
        </w:trPr>
        <w:tc>
          <w:tcPr>
            <w:tcW w:w="1827" w:type="pct"/>
            <w:hideMark/>
          </w:tcPr>
          <w:p w14:paraId="63BCF092"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Skin disorder</w:t>
            </w:r>
          </w:p>
        </w:tc>
        <w:tc>
          <w:tcPr>
            <w:tcW w:w="804" w:type="pct"/>
            <w:hideMark/>
          </w:tcPr>
          <w:p w14:paraId="6265F1B2"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3 (1.7)</w:t>
            </w:r>
          </w:p>
        </w:tc>
        <w:tc>
          <w:tcPr>
            <w:tcW w:w="804" w:type="pct"/>
            <w:hideMark/>
          </w:tcPr>
          <w:p w14:paraId="7BF61FA3"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0</w:t>
            </w:r>
          </w:p>
        </w:tc>
        <w:tc>
          <w:tcPr>
            <w:tcW w:w="790" w:type="pct"/>
            <w:hideMark/>
          </w:tcPr>
          <w:p w14:paraId="2C28B896"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5 (15.6)</w:t>
            </w:r>
          </w:p>
        </w:tc>
        <w:tc>
          <w:tcPr>
            <w:tcW w:w="775" w:type="pct"/>
            <w:hideMark/>
          </w:tcPr>
          <w:p w14:paraId="313E1C73"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3 (1.2)</w:t>
            </w:r>
          </w:p>
        </w:tc>
      </w:tr>
      <w:tr w:rsidR="008C0054" w:rsidRPr="008C0054" w14:paraId="323CD7AF" w14:textId="77777777" w:rsidTr="00D06CA8">
        <w:trPr>
          <w:trHeight w:val="227"/>
        </w:trPr>
        <w:tc>
          <w:tcPr>
            <w:tcW w:w="1827" w:type="pct"/>
            <w:hideMark/>
          </w:tcPr>
          <w:p w14:paraId="507B6BCA"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Alopecia</w:t>
            </w:r>
          </w:p>
        </w:tc>
        <w:tc>
          <w:tcPr>
            <w:tcW w:w="804" w:type="pct"/>
            <w:hideMark/>
          </w:tcPr>
          <w:p w14:paraId="29E31647"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2 (1.1)</w:t>
            </w:r>
          </w:p>
        </w:tc>
        <w:tc>
          <w:tcPr>
            <w:tcW w:w="804" w:type="pct"/>
            <w:hideMark/>
          </w:tcPr>
          <w:p w14:paraId="07DA58DE"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0</w:t>
            </w:r>
          </w:p>
        </w:tc>
        <w:tc>
          <w:tcPr>
            <w:tcW w:w="790" w:type="pct"/>
            <w:hideMark/>
          </w:tcPr>
          <w:p w14:paraId="5E900387"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5 (15.6)</w:t>
            </w:r>
          </w:p>
        </w:tc>
        <w:tc>
          <w:tcPr>
            <w:tcW w:w="775" w:type="pct"/>
            <w:hideMark/>
          </w:tcPr>
          <w:p w14:paraId="55E44BCD"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2 (0.8)</w:t>
            </w:r>
          </w:p>
        </w:tc>
      </w:tr>
      <w:tr w:rsidR="008C0054" w:rsidRPr="008C0054" w14:paraId="5A484630" w14:textId="77777777" w:rsidTr="00D06CA8">
        <w:trPr>
          <w:trHeight w:val="227"/>
        </w:trPr>
        <w:tc>
          <w:tcPr>
            <w:tcW w:w="1827" w:type="pct"/>
            <w:hideMark/>
          </w:tcPr>
          <w:p w14:paraId="632B10BD"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Coagulopathy</w:t>
            </w:r>
          </w:p>
        </w:tc>
        <w:tc>
          <w:tcPr>
            <w:tcW w:w="804" w:type="pct"/>
            <w:hideMark/>
          </w:tcPr>
          <w:p w14:paraId="062E1D66"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2 (1.1)</w:t>
            </w:r>
          </w:p>
        </w:tc>
        <w:tc>
          <w:tcPr>
            <w:tcW w:w="804" w:type="pct"/>
            <w:hideMark/>
          </w:tcPr>
          <w:p w14:paraId="322A7366"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0</w:t>
            </w:r>
          </w:p>
        </w:tc>
        <w:tc>
          <w:tcPr>
            <w:tcW w:w="790" w:type="pct"/>
            <w:hideMark/>
          </w:tcPr>
          <w:p w14:paraId="2199E361"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5 (15.6)</w:t>
            </w:r>
          </w:p>
        </w:tc>
        <w:tc>
          <w:tcPr>
            <w:tcW w:w="775" w:type="pct"/>
            <w:hideMark/>
          </w:tcPr>
          <w:p w14:paraId="27B4B31E"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2 (0.8)</w:t>
            </w:r>
          </w:p>
        </w:tc>
      </w:tr>
      <w:tr w:rsidR="008C0054" w:rsidRPr="008C0054" w14:paraId="313AFD09" w14:textId="77777777" w:rsidTr="00D06CA8">
        <w:trPr>
          <w:trHeight w:val="227"/>
        </w:trPr>
        <w:tc>
          <w:tcPr>
            <w:tcW w:w="1827" w:type="pct"/>
            <w:hideMark/>
          </w:tcPr>
          <w:p w14:paraId="21B9736F"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Lip haemorrhage</w:t>
            </w:r>
          </w:p>
        </w:tc>
        <w:tc>
          <w:tcPr>
            <w:tcW w:w="804" w:type="pct"/>
            <w:hideMark/>
          </w:tcPr>
          <w:p w14:paraId="628E348D"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2 (1.1)</w:t>
            </w:r>
          </w:p>
        </w:tc>
        <w:tc>
          <w:tcPr>
            <w:tcW w:w="804" w:type="pct"/>
            <w:hideMark/>
          </w:tcPr>
          <w:p w14:paraId="0482ED27"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0</w:t>
            </w:r>
          </w:p>
        </w:tc>
        <w:tc>
          <w:tcPr>
            <w:tcW w:w="790" w:type="pct"/>
            <w:hideMark/>
          </w:tcPr>
          <w:p w14:paraId="2DD0A22C"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4 (12.5)</w:t>
            </w:r>
          </w:p>
        </w:tc>
        <w:tc>
          <w:tcPr>
            <w:tcW w:w="775" w:type="pct"/>
            <w:hideMark/>
          </w:tcPr>
          <w:p w14:paraId="37EA43E2"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2 (0.8)</w:t>
            </w:r>
          </w:p>
        </w:tc>
      </w:tr>
      <w:tr w:rsidR="008C0054" w:rsidRPr="008C0054" w14:paraId="4BDA32A0" w14:textId="77777777" w:rsidTr="00D06CA8">
        <w:trPr>
          <w:trHeight w:val="227"/>
        </w:trPr>
        <w:tc>
          <w:tcPr>
            <w:tcW w:w="1827" w:type="pct"/>
            <w:hideMark/>
          </w:tcPr>
          <w:p w14:paraId="3F0A0422"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Metabolic acidosis</w:t>
            </w:r>
          </w:p>
        </w:tc>
        <w:tc>
          <w:tcPr>
            <w:tcW w:w="804" w:type="pct"/>
            <w:hideMark/>
          </w:tcPr>
          <w:p w14:paraId="7E4D5939"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 (0.6)</w:t>
            </w:r>
          </w:p>
        </w:tc>
        <w:tc>
          <w:tcPr>
            <w:tcW w:w="804" w:type="pct"/>
            <w:hideMark/>
          </w:tcPr>
          <w:p w14:paraId="7864EDD8"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0</w:t>
            </w:r>
          </w:p>
        </w:tc>
        <w:tc>
          <w:tcPr>
            <w:tcW w:w="790" w:type="pct"/>
            <w:hideMark/>
          </w:tcPr>
          <w:p w14:paraId="53056756"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4 (12.5)</w:t>
            </w:r>
          </w:p>
        </w:tc>
        <w:tc>
          <w:tcPr>
            <w:tcW w:w="775" w:type="pct"/>
            <w:hideMark/>
          </w:tcPr>
          <w:p w14:paraId="115A2F6D"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 (0.4)</w:t>
            </w:r>
          </w:p>
        </w:tc>
      </w:tr>
      <w:tr w:rsidR="008C0054" w:rsidRPr="008C0054" w14:paraId="3C3424AB" w14:textId="77777777" w:rsidTr="00D06CA8">
        <w:trPr>
          <w:trHeight w:val="227"/>
        </w:trPr>
        <w:tc>
          <w:tcPr>
            <w:tcW w:w="1827" w:type="pct"/>
            <w:hideMark/>
          </w:tcPr>
          <w:p w14:paraId="0CD50FA7"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Rales</w:t>
            </w:r>
          </w:p>
        </w:tc>
        <w:tc>
          <w:tcPr>
            <w:tcW w:w="804" w:type="pct"/>
            <w:hideMark/>
          </w:tcPr>
          <w:p w14:paraId="64C61FE1"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 (0.6)</w:t>
            </w:r>
          </w:p>
        </w:tc>
        <w:tc>
          <w:tcPr>
            <w:tcW w:w="804" w:type="pct"/>
            <w:hideMark/>
          </w:tcPr>
          <w:p w14:paraId="1FC1ED02"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0</w:t>
            </w:r>
          </w:p>
        </w:tc>
        <w:tc>
          <w:tcPr>
            <w:tcW w:w="790" w:type="pct"/>
            <w:hideMark/>
          </w:tcPr>
          <w:p w14:paraId="6DAE1946"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6 (18.8)</w:t>
            </w:r>
          </w:p>
        </w:tc>
        <w:tc>
          <w:tcPr>
            <w:tcW w:w="775" w:type="pct"/>
            <w:hideMark/>
          </w:tcPr>
          <w:p w14:paraId="4B0C916F"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1 (0.4)</w:t>
            </w:r>
          </w:p>
        </w:tc>
      </w:tr>
      <w:tr w:rsidR="008C0054" w:rsidRPr="008C0054" w14:paraId="70522414" w14:textId="77777777" w:rsidTr="00D06CA8">
        <w:trPr>
          <w:trHeight w:val="227"/>
        </w:trPr>
        <w:tc>
          <w:tcPr>
            <w:tcW w:w="1827" w:type="pct"/>
            <w:hideMark/>
          </w:tcPr>
          <w:p w14:paraId="376F89B1"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Fluid overload</w:t>
            </w:r>
          </w:p>
        </w:tc>
        <w:tc>
          <w:tcPr>
            <w:tcW w:w="804" w:type="pct"/>
            <w:hideMark/>
          </w:tcPr>
          <w:p w14:paraId="4D020F69"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0</w:t>
            </w:r>
          </w:p>
        </w:tc>
        <w:tc>
          <w:tcPr>
            <w:tcW w:w="804" w:type="pct"/>
            <w:hideMark/>
          </w:tcPr>
          <w:p w14:paraId="63160D41"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0</w:t>
            </w:r>
          </w:p>
        </w:tc>
        <w:tc>
          <w:tcPr>
            <w:tcW w:w="790" w:type="pct"/>
            <w:hideMark/>
          </w:tcPr>
          <w:p w14:paraId="600755D8"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5 (15.6)</w:t>
            </w:r>
          </w:p>
        </w:tc>
        <w:tc>
          <w:tcPr>
            <w:tcW w:w="775" w:type="pct"/>
            <w:hideMark/>
          </w:tcPr>
          <w:p w14:paraId="14753A81"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0</w:t>
            </w:r>
          </w:p>
        </w:tc>
      </w:tr>
      <w:tr w:rsidR="008C0054" w:rsidRPr="008C0054" w14:paraId="3987B29A" w14:textId="77777777" w:rsidTr="00D06CA8">
        <w:trPr>
          <w:trHeight w:val="227"/>
        </w:trPr>
        <w:tc>
          <w:tcPr>
            <w:tcW w:w="1827" w:type="pct"/>
            <w:hideMark/>
          </w:tcPr>
          <w:p w14:paraId="1A3EFC78" w14:textId="77777777" w:rsidR="008C0054" w:rsidRPr="008C0054" w:rsidRDefault="008C0054" w:rsidP="008C0054">
            <w:pPr>
              <w:ind w:left="0" w:right="0"/>
              <w:rPr>
                <w:rFonts w:asciiTheme="minorHAnsi" w:hAnsiTheme="minorHAnsi"/>
                <w:sz w:val="20"/>
                <w:szCs w:val="20"/>
              </w:rPr>
            </w:pPr>
            <w:r w:rsidRPr="008C0054">
              <w:rPr>
                <w:rFonts w:asciiTheme="minorHAnsi" w:hAnsiTheme="minorHAnsi"/>
                <w:sz w:val="20"/>
                <w:szCs w:val="20"/>
              </w:rPr>
              <w:t>Disorientation</w:t>
            </w:r>
          </w:p>
        </w:tc>
        <w:tc>
          <w:tcPr>
            <w:tcW w:w="804" w:type="pct"/>
            <w:hideMark/>
          </w:tcPr>
          <w:p w14:paraId="7D683BF7"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0</w:t>
            </w:r>
          </w:p>
        </w:tc>
        <w:tc>
          <w:tcPr>
            <w:tcW w:w="804" w:type="pct"/>
            <w:hideMark/>
          </w:tcPr>
          <w:p w14:paraId="22D171A9"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0</w:t>
            </w:r>
          </w:p>
        </w:tc>
        <w:tc>
          <w:tcPr>
            <w:tcW w:w="790" w:type="pct"/>
            <w:hideMark/>
          </w:tcPr>
          <w:p w14:paraId="58022ED8"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4 (12.5)</w:t>
            </w:r>
          </w:p>
        </w:tc>
        <w:tc>
          <w:tcPr>
            <w:tcW w:w="775" w:type="pct"/>
            <w:hideMark/>
          </w:tcPr>
          <w:p w14:paraId="66CBF520" w14:textId="77777777" w:rsidR="008C0054" w:rsidRPr="008C0054" w:rsidRDefault="008C0054" w:rsidP="008C0054">
            <w:pPr>
              <w:ind w:right="0"/>
              <w:rPr>
                <w:rFonts w:asciiTheme="minorHAnsi" w:hAnsiTheme="minorHAnsi"/>
                <w:sz w:val="20"/>
                <w:szCs w:val="20"/>
              </w:rPr>
            </w:pPr>
            <w:r w:rsidRPr="008C0054">
              <w:rPr>
                <w:rFonts w:asciiTheme="minorHAnsi" w:hAnsiTheme="minorHAnsi"/>
                <w:sz w:val="20"/>
                <w:szCs w:val="20"/>
              </w:rPr>
              <w:t>0</w:t>
            </w:r>
          </w:p>
        </w:tc>
      </w:tr>
    </w:tbl>
    <w:p w14:paraId="25DB9FF4" w14:textId="77777777" w:rsidR="00A4536D" w:rsidRPr="00A6230F" w:rsidRDefault="002A7413" w:rsidP="00A6230F">
      <w:pPr>
        <w:pStyle w:val="TableDescription"/>
      </w:pPr>
      <w:r>
        <w:t>Notes</w:t>
      </w:r>
      <w:r w:rsidR="00A4536D" w:rsidRPr="00A6230F">
        <w:t>: TEAEs are defined as any AE starting after initiation of defibrotide treatment (defibrotide arm).</w:t>
      </w:r>
    </w:p>
    <w:p w14:paraId="75941D98" w14:textId="77777777" w:rsidR="00A4536D" w:rsidRPr="00A6230F" w:rsidRDefault="00A4536D" w:rsidP="00A6230F">
      <w:pPr>
        <w:pStyle w:val="TableDescription"/>
      </w:pPr>
      <w:r w:rsidRPr="00A6230F">
        <w:t>Preferred terms are listed in order of dec</w:t>
      </w:r>
      <w:r w:rsidR="009061DA">
        <w:t>reasing frequency in the total d</w:t>
      </w:r>
      <w:r w:rsidRPr="00A6230F">
        <w:t>efibrotide column.</w:t>
      </w:r>
    </w:p>
    <w:p w14:paraId="4E4034C6" w14:textId="77777777" w:rsidR="00A4536D" w:rsidRPr="00A6230F" w:rsidRDefault="00A4536D" w:rsidP="00A6230F">
      <w:pPr>
        <w:pStyle w:val="TableDescription"/>
      </w:pPr>
      <w:proofErr w:type="gramStart"/>
      <w:r w:rsidRPr="00A6230F">
        <w:t>a</w:t>
      </w:r>
      <w:proofErr w:type="gramEnd"/>
      <w:r w:rsidRPr="00A6230F">
        <w:t xml:space="preserve"> One subject in Study 99-118 who was randomised to receive 25 mg/kg/day defibrotide was receiving approximately 40 mg/kg/day based on defibrotide serum/plasma levels. This subject is included in the 25</w:t>
      </w:r>
      <w:r w:rsidR="001841FF">
        <w:t> </w:t>
      </w:r>
      <w:r w:rsidRPr="00A6230F">
        <w:t>mg/kg/day group for the disposition, demographic, and efficacy anal</w:t>
      </w:r>
      <w:r w:rsidR="001841FF">
        <w:t>yses, but is included in the 40 </w:t>
      </w:r>
      <w:r w:rsidRPr="00A6230F">
        <w:t>mg/kg/day group for the safety analyses.</w:t>
      </w:r>
    </w:p>
    <w:p w14:paraId="103560C8" w14:textId="77777777" w:rsidR="00A6230F" w:rsidRDefault="00651C90" w:rsidP="00A6230F">
      <w:r>
        <w:t xml:space="preserve">There were 328 out of </w:t>
      </w:r>
      <w:r w:rsidR="00A6230F" w:rsidRPr="00D22452">
        <w:t xml:space="preserve">694 (47.3%) </w:t>
      </w:r>
      <w:r w:rsidR="00A6230F">
        <w:t>patients</w:t>
      </w:r>
      <w:r w:rsidR="00A6230F" w:rsidRPr="00D22452">
        <w:t xml:space="preserve"> in </w:t>
      </w:r>
      <w:r w:rsidR="001841FF">
        <w:t>p</w:t>
      </w:r>
      <w:r w:rsidR="00A6230F">
        <w:t xml:space="preserve">ool </w:t>
      </w:r>
      <w:proofErr w:type="gramStart"/>
      <w:r w:rsidR="00A6230F">
        <w:t>A</w:t>
      </w:r>
      <w:proofErr w:type="gramEnd"/>
      <w:r w:rsidR="00A6230F" w:rsidRPr="00D22452">
        <w:t xml:space="preserve"> (25 mg/kg/day) who had a TEAE leading to death. The most commonly (&gt; 2% of subjects) reported causes of death were MOF, VOD, respiratory failure, sepsis, renal failure, and pulmonary haemorrhage. The majority (63.8%) of subjects in </w:t>
      </w:r>
      <w:r w:rsidR="00A6230F">
        <w:t>this</w:t>
      </w:r>
      <w:r w:rsidR="00A6230F" w:rsidRPr="00D22452">
        <w:t xml:space="preserve"> </w:t>
      </w:r>
      <w:r w:rsidR="00A6230F">
        <w:t>p</w:t>
      </w:r>
      <w:r w:rsidR="00A6230F" w:rsidRPr="00D22452">
        <w:t xml:space="preserve">opulation had at least </w:t>
      </w:r>
      <w:r w:rsidR="00A6230F">
        <w:t>one</w:t>
      </w:r>
      <w:r w:rsidR="00A6230F" w:rsidRPr="00D22452">
        <w:t xml:space="preserve"> serious TEAE. The most commonly (&gt; 5% of subjects) reported SAEs were MOF, VOD, hypotension, respiratory failure, renal failure, and pulmonary haemorrhage.</w:t>
      </w:r>
      <w:r w:rsidR="00A6230F">
        <w:t xml:space="preserve"> The incidence of MOF and VOD le</w:t>
      </w:r>
      <w:r>
        <w:t xml:space="preserve">ading to death was at least two </w:t>
      </w:r>
      <w:r w:rsidR="00A6230F">
        <w:t xml:space="preserve">fold higher among defibrotide treated subjects compared with </w:t>
      </w:r>
      <w:r w:rsidR="00A6230F">
        <w:lastRenderedPageBreak/>
        <w:t xml:space="preserve">historical controls, but respiratory failure, hepatic failure and </w:t>
      </w:r>
      <w:proofErr w:type="spellStart"/>
      <w:r w:rsidR="00A6230F">
        <w:t>hepatorenal</w:t>
      </w:r>
      <w:proofErr w:type="spellEnd"/>
      <w:r w:rsidR="00A6230F">
        <w:t xml:space="preserve"> syndrome leading to death were more common in the control population.</w:t>
      </w:r>
    </w:p>
    <w:p w14:paraId="6ACE8BC1" w14:textId="77777777" w:rsidR="00A6230F" w:rsidRDefault="00A6230F" w:rsidP="00A6230F">
      <w:pPr>
        <w:autoSpaceDE w:val="0"/>
        <w:autoSpaceDN w:val="0"/>
        <w:spacing w:before="0" w:after="0" w:line="240" w:lineRule="auto"/>
      </w:pPr>
      <w:r>
        <w:t>The most common (&gt; 2%) TEAEs that led to permanent discontinuation of defibrotide were pulmonary alveolar haemorrhage, catheter site haemorrhage, MOF, pulmonary haemorrhage, and hypotension. Haemorrhage of any type was an AE of special interest, and in Pool A 57% of trial participants had at least one TEAE of haemor</w:t>
      </w:r>
      <w:r w:rsidR="007E1C5A">
        <w:t xml:space="preserve">rhage, 29% had a severe or life </w:t>
      </w:r>
      <w:r>
        <w:t>threatening haemorrhage, and 9% had a haemorrhage leading to death. Haemorrha</w:t>
      </w:r>
      <w:r w:rsidR="00651C90">
        <w:t>ge predominantly involved the g</w:t>
      </w:r>
      <w:r w:rsidR="00651C90" w:rsidRPr="00651C90">
        <w:t>astrointestinal</w:t>
      </w:r>
      <w:r>
        <w:t xml:space="preserve"> tract, pulmonary system, renal system or </w:t>
      </w:r>
      <w:r w:rsidR="00651C90">
        <w:t>central nervous system</w:t>
      </w:r>
      <w:r>
        <w:t xml:space="preserve"> (</w:t>
      </w:r>
      <w:r>
        <w:fldChar w:fldCharType="begin"/>
      </w:r>
      <w:r>
        <w:instrText xml:space="preserve"> REF _Ref55824743 \h </w:instrText>
      </w:r>
      <w:r>
        <w:fldChar w:fldCharType="separate"/>
      </w:r>
      <w:r w:rsidR="00384939" w:rsidRPr="00A6230F">
        <w:t xml:space="preserve">Table </w:t>
      </w:r>
      <w:r w:rsidR="00384939">
        <w:rPr>
          <w:noProof/>
        </w:rPr>
        <w:t>9</w:t>
      </w:r>
      <w:r>
        <w:fldChar w:fldCharType="end"/>
      </w:r>
      <w:r>
        <w:t>).</w:t>
      </w:r>
    </w:p>
    <w:p w14:paraId="10D466AC" w14:textId="77777777" w:rsidR="00182D7C" w:rsidRDefault="00A6230F" w:rsidP="006D5E69">
      <w:pPr>
        <w:pStyle w:val="TableTitle"/>
      </w:pPr>
      <w:bookmarkStart w:id="51" w:name="_Ref55824743"/>
      <w:r w:rsidRPr="00A6230F">
        <w:t xml:space="preserve">Table </w:t>
      </w:r>
      <w:r w:rsidR="004C10EE">
        <w:fldChar w:fldCharType="begin"/>
      </w:r>
      <w:r w:rsidR="004C10EE">
        <w:instrText xml:space="preserve"> SEQ Table \* ARABIC </w:instrText>
      </w:r>
      <w:r w:rsidR="004C10EE">
        <w:fldChar w:fldCharType="separate"/>
      </w:r>
      <w:r w:rsidR="00384939">
        <w:rPr>
          <w:noProof/>
        </w:rPr>
        <w:t>9</w:t>
      </w:r>
      <w:r w:rsidR="004C10EE">
        <w:rPr>
          <w:noProof/>
        </w:rPr>
        <w:fldChar w:fldCharType="end"/>
      </w:r>
      <w:bookmarkEnd w:id="51"/>
      <w:r>
        <w:t>:</w:t>
      </w:r>
      <w:r w:rsidR="002A7413">
        <w:t xml:space="preserve"> </w:t>
      </w:r>
      <w:r w:rsidR="002A7413" w:rsidRPr="002A7413">
        <w:t>Treatment emergent adverse event</w:t>
      </w:r>
      <w:r w:rsidR="002A7413">
        <w:t>s of special i</w:t>
      </w:r>
      <w:r w:rsidR="00651C90">
        <w:t>nterest (h</w:t>
      </w:r>
      <w:r w:rsidRPr="00A6230F">
        <w:t>aemorrhage</w:t>
      </w:r>
      <w:r w:rsidR="00651C90">
        <w:t xml:space="preserve">) </w:t>
      </w:r>
      <w:r w:rsidRPr="00A6230F">
        <w:t xml:space="preserve">reported in ≥ 1% of subjects in any treatment group by </w:t>
      </w:r>
      <w:r w:rsidR="002A7413">
        <w:t>system organ c</w:t>
      </w:r>
      <w:r w:rsidR="002A7413" w:rsidRPr="002A7413">
        <w:t>lass</w:t>
      </w:r>
      <w:r w:rsidR="002A7413">
        <w:t xml:space="preserve"> and p</w:t>
      </w:r>
      <w:r w:rsidRPr="00A6230F">
        <w:t xml:space="preserve">referred </w:t>
      </w:r>
      <w:r w:rsidR="002A7413">
        <w:t>t</w:t>
      </w:r>
      <w:r w:rsidRPr="00A6230F">
        <w:t>erm</w:t>
      </w:r>
      <w:r w:rsidR="002A7413">
        <w:t xml:space="preserve"> in Pool A, </w:t>
      </w:r>
      <w:r w:rsidR="002A7413" w:rsidRPr="00A6230F">
        <w:t>Studies 2005-01 and 99-118</w:t>
      </w:r>
    </w:p>
    <w:tbl>
      <w:tblPr>
        <w:tblStyle w:val="TableTGAblue"/>
        <w:tblW w:w="5000" w:type="pct"/>
        <w:tblLook w:val="04A0" w:firstRow="1" w:lastRow="0" w:firstColumn="1" w:lastColumn="0" w:noHBand="0" w:noVBand="1"/>
      </w:tblPr>
      <w:tblGrid>
        <w:gridCol w:w="2098"/>
        <w:gridCol w:w="1618"/>
        <w:gridCol w:w="1618"/>
        <w:gridCol w:w="1542"/>
        <w:gridCol w:w="1618"/>
      </w:tblGrid>
      <w:tr w:rsidR="00A6230F" w:rsidRPr="00A6230F" w14:paraId="7CB79F70" w14:textId="77777777" w:rsidTr="00D06CA8">
        <w:trPr>
          <w:cnfStyle w:val="100000000000" w:firstRow="1" w:lastRow="0" w:firstColumn="0" w:lastColumn="0" w:oddVBand="0" w:evenVBand="0" w:oddHBand="0" w:evenHBand="0" w:firstRowFirstColumn="0" w:firstRowLastColumn="0" w:lastRowFirstColumn="0" w:lastRowLastColumn="0"/>
          <w:trHeight w:val="510"/>
        </w:trPr>
        <w:tc>
          <w:tcPr>
            <w:tcW w:w="1269" w:type="pct"/>
            <w:tcBorders>
              <w:top w:val="single" w:sz="4" w:space="0" w:color="auto"/>
              <w:left w:val="single" w:sz="4" w:space="0" w:color="auto"/>
              <w:bottom w:val="single" w:sz="4" w:space="0" w:color="auto"/>
              <w:right w:val="single" w:sz="4" w:space="0" w:color="auto"/>
            </w:tcBorders>
            <w:hideMark/>
          </w:tcPr>
          <w:p w14:paraId="3F739C31" w14:textId="77777777" w:rsidR="00A6230F" w:rsidRPr="00A6230F" w:rsidRDefault="00A6230F" w:rsidP="006D5E69">
            <w:pPr>
              <w:ind w:left="0" w:right="0"/>
              <w:rPr>
                <w:bCs/>
                <w:sz w:val="20"/>
                <w:szCs w:val="20"/>
                <w:lang w:eastAsia="en-US"/>
              </w:rPr>
            </w:pPr>
            <w:r w:rsidRPr="00A6230F">
              <w:rPr>
                <w:bCs/>
                <w:sz w:val="20"/>
                <w:szCs w:val="20"/>
                <w:lang w:eastAsia="en-US"/>
              </w:rPr>
              <w:t>System Organ Class/</w:t>
            </w:r>
          </w:p>
          <w:p w14:paraId="513BD71F" w14:textId="77777777" w:rsidR="00A6230F" w:rsidRPr="00A6230F" w:rsidRDefault="00A6230F" w:rsidP="006D5E69">
            <w:pPr>
              <w:ind w:left="0" w:right="0"/>
              <w:rPr>
                <w:sz w:val="20"/>
                <w:szCs w:val="20"/>
                <w:lang w:eastAsia="en-US"/>
              </w:rPr>
            </w:pPr>
            <w:r w:rsidRPr="00A6230F">
              <w:rPr>
                <w:bCs/>
                <w:sz w:val="20"/>
                <w:szCs w:val="20"/>
                <w:lang w:eastAsia="en-US"/>
              </w:rPr>
              <w:t>Preferred Term, n (%)</w:t>
            </w:r>
          </w:p>
        </w:tc>
        <w:tc>
          <w:tcPr>
            <w:tcW w:w="945" w:type="pct"/>
            <w:tcBorders>
              <w:top w:val="single" w:sz="4" w:space="0" w:color="auto"/>
              <w:left w:val="single" w:sz="4" w:space="0" w:color="auto"/>
              <w:bottom w:val="single" w:sz="4" w:space="0" w:color="auto"/>
              <w:right w:val="single" w:sz="4" w:space="0" w:color="auto"/>
            </w:tcBorders>
            <w:hideMark/>
          </w:tcPr>
          <w:p w14:paraId="7FB8997F" w14:textId="77777777" w:rsidR="00A6230F" w:rsidRPr="00A6230F" w:rsidRDefault="00A6230F" w:rsidP="006D5E69">
            <w:pPr>
              <w:rPr>
                <w:bCs/>
                <w:sz w:val="20"/>
                <w:szCs w:val="20"/>
                <w:lang w:eastAsia="en-US"/>
              </w:rPr>
            </w:pPr>
            <w:r w:rsidRPr="00A6230F">
              <w:rPr>
                <w:bCs/>
                <w:sz w:val="20"/>
                <w:szCs w:val="20"/>
                <w:lang w:eastAsia="en-US"/>
              </w:rPr>
              <w:t>Defibrotide</w:t>
            </w:r>
          </w:p>
          <w:p w14:paraId="67E5AA26" w14:textId="77777777" w:rsidR="00A6230F" w:rsidRPr="00A6230F" w:rsidRDefault="00A6230F" w:rsidP="006D5E69">
            <w:pPr>
              <w:rPr>
                <w:sz w:val="20"/>
                <w:szCs w:val="20"/>
                <w:lang w:eastAsia="en-US"/>
              </w:rPr>
            </w:pPr>
            <w:r w:rsidRPr="00A6230F">
              <w:rPr>
                <w:bCs/>
                <w:sz w:val="20"/>
                <w:szCs w:val="20"/>
                <w:lang w:eastAsia="en-US"/>
              </w:rPr>
              <w:t>25 mg/kg/day</w:t>
            </w:r>
          </w:p>
        </w:tc>
        <w:tc>
          <w:tcPr>
            <w:tcW w:w="945" w:type="pct"/>
            <w:tcBorders>
              <w:top w:val="single" w:sz="4" w:space="0" w:color="auto"/>
              <w:left w:val="single" w:sz="4" w:space="0" w:color="auto"/>
              <w:bottom w:val="single" w:sz="4" w:space="0" w:color="auto"/>
              <w:right w:val="single" w:sz="4" w:space="0" w:color="auto"/>
            </w:tcBorders>
            <w:hideMark/>
          </w:tcPr>
          <w:p w14:paraId="70BD6E4F" w14:textId="77777777" w:rsidR="00A6230F" w:rsidRPr="00A6230F" w:rsidRDefault="00A6230F" w:rsidP="006D5E69">
            <w:pPr>
              <w:rPr>
                <w:bCs/>
                <w:sz w:val="20"/>
                <w:szCs w:val="20"/>
                <w:lang w:eastAsia="en-US"/>
              </w:rPr>
            </w:pPr>
            <w:r w:rsidRPr="00A6230F">
              <w:rPr>
                <w:bCs/>
                <w:sz w:val="20"/>
                <w:szCs w:val="20"/>
                <w:lang w:eastAsia="en-US"/>
              </w:rPr>
              <w:t>Defibrotide</w:t>
            </w:r>
          </w:p>
          <w:p w14:paraId="2E3DCC3B" w14:textId="77777777" w:rsidR="00A6230F" w:rsidRPr="00A6230F" w:rsidRDefault="00A6230F" w:rsidP="006D5E69">
            <w:pPr>
              <w:rPr>
                <w:sz w:val="20"/>
                <w:szCs w:val="20"/>
                <w:lang w:eastAsia="en-US"/>
              </w:rPr>
            </w:pPr>
            <w:r w:rsidRPr="00A6230F">
              <w:rPr>
                <w:bCs/>
                <w:sz w:val="20"/>
                <w:szCs w:val="20"/>
                <w:lang w:eastAsia="en-US"/>
              </w:rPr>
              <w:t>40 mg/kg/day</w:t>
            </w:r>
          </w:p>
        </w:tc>
        <w:tc>
          <w:tcPr>
            <w:tcW w:w="941" w:type="pct"/>
            <w:tcBorders>
              <w:top w:val="single" w:sz="4" w:space="0" w:color="auto"/>
              <w:left w:val="single" w:sz="4" w:space="0" w:color="auto"/>
              <w:bottom w:val="single" w:sz="4" w:space="0" w:color="auto"/>
              <w:right w:val="single" w:sz="4" w:space="0" w:color="auto"/>
            </w:tcBorders>
            <w:hideMark/>
          </w:tcPr>
          <w:p w14:paraId="13D0ACE8" w14:textId="77777777" w:rsidR="00A6230F" w:rsidRPr="00A6230F" w:rsidRDefault="00A6230F" w:rsidP="006D5E69">
            <w:pPr>
              <w:rPr>
                <w:bCs/>
                <w:sz w:val="20"/>
                <w:szCs w:val="20"/>
                <w:lang w:eastAsia="en-US"/>
              </w:rPr>
            </w:pPr>
            <w:r w:rsidRPr="00A6230F">
              <w:rPr>
                <w:bCs/>
                <w:sz w:val="20"/>
                <w:szCs w:val="20"/>
                <w:lang w:eastAsia="en-US"/>
              </w:rPr>
              <w:t>Historical</w:t>
            </w:r>
          </w:p>
          <w:p w14:paraId="4785FFF8" w14:textId="77777777" w:rsidR="00A6230F" w:rsidRPr="00A6230F" w:rsidRDefault="00A6230F" w:rsidP="006D5E69">
            <w:pPr>
              <w:rPr>
                <w:sz w:val="20"/>
                <w:szCs w:val="20"/>
                <w:lang w:eastAsia="en-US"/>
              </w:rPr>
            </w:pPr>
            <w:r w:rsidRPr="00A6230F">
              <w:rPr>
                <w:bCs/>
                <w:sz w:val="20"/>
                <w:szCs w:val="20"/>
                <w:lang w:eastAsia="en-US"/>
              </w:rPr>
              <w:t>Control</w:t>
            </w:r>
          </w:p>
        </w:tc>
        <w:tc>
          <w:tcPr>
            <w:tcW w:w="900" w:type="pct"/>
            <w:tcBorders>
              <w:top w:val="single" w:sz="4" w:space="0" w:color="auto"/>
              <w:left w:val="single" w:sz="4" w:space="0" w:color="auto"/>
              <w:bottom w:val="single" w:sz="4" w:space="0" w:color="auto"/>
              <w:right w:val="single" w:sz="4" w:space="0" w:color="auto"/>
            </w:tcBorders>
            <w:hideMark/>
          </w:tcPr>
          <w:p w14:paraId="7AB9B611" w14:textId="77777777" w:rsidR="00A6230F" w:rsidRPr="00A6230F" w:rsidRDefault="00A6230F" w:rsidP="006D5E69">
            <w:pPr>
              <w:rPr>
                <w:bCs/>
                <w:sz w:val="20"/>
                <w:szCs w:val="20"/>
                <w:lang w:eastAsia="en-US"/>
              </w:rPr>
            </w:pPr>
            <w:r w:rsidRPr="00A6230F">
              <w:rPr>
                <w:bCs/>
                <w:sz w:val="20"/>
                <w:szCs w:val="20"/>
                <w:lang w:eastAsia="en-US"/>
              </w:rPr>
              <w:t>Total</w:t>
            </w:r>
          </w:p>
          <w:p w14:paraId="418A965F" w14:textId="77777777" w:rsidR="00A6230F" w:rsidRPr="00A6230F" w:rsidRDefault="00A6230F" w:rsidP="006D5E69">
            <w:pPr>
              <w:rPr>
                <w:sz w:val="20"/>
                <w:szCs w:val="20"/>
                <w:lang w:eastAsia="en-US"/>
              </w:rPr>
            </w:pPr>
            <w:r w:rsidRPr="00A6230F">
              <w:rPr>
                <w:bCs/>
                <w:sz w:val="20"/>
                <w:szCs w:val="20"/>
                <w:lang w:eastAsia="en-US"/>
              </w:rPr>
              <w:t>Defibrotide</w:t>
            </w:r>
          </w:p>
        </w:tc>
      </w:tr>
      <w:tr w:rsidR="00A6230F" w:rsidRPr="00A6230F" w14:paraId="5ED93E69" w14:textId="77777777" w:rsidTr="00D06CA8">
        <w:tc>
          <w:tcPr>
            <w:tcW w:w="1269" w:type="pct"/>
            <w:tcBorders>
              <w:top w:val="single" w:sz="4" w:space="0" w:color="auto"/>
            </w:tcBorders>
            <w:hideMark/>
          </w:tcPr>
          <w:p w14:paraId="2B6C7F3B" w14:textId="77777777" w:rsidR="00A6230F" w:rsidRPr="00A6230F" w:rsidRDefault="00A6230F" w:rsidP="006D5E69">
            <w:pPr>
              <w:keepNext/>
              <w:ind w:left="0" w:right="0"/>
              <w:rPr>
                <w:b/>
                <w:sz w:val="20"/>
                <w:szCs w:val="20"/>
                <w:lang w:eastAsia="en-US"/>
              </w:rPr>
            </w:pPr>
            <w:r w:rsidRPr="00A6230F">
              <w:rPr>
                <w:b/>
                <w:bCs/>
                <w:sz w:val="20"/>
                <w:szCs w:val="20"/>
                <w:lang w:eastAsia="en-US"/>
              </w:rPr>
              <w:t>Number of subjects</w:t>
            </w:r>
          </w:p>
        </w:tc>
        <w:tc>
          <w:tcPr>
            <w:tcW w:w="945" w:type="pct"/>
            <w:tcBorders>
              <w:top w:val="single" w:sz="4" w:space="0" w:color="auto"/>
            </w:tcBorders>
            <w:hideMark/>
          </w:tcPr>
          <w:p w14:paraId="7C59B181" w14:textId="77777777" w:rsidR="00A6230F" w:rsidRPr="00A6230F" w:rsidRDefault="00A6230F" w:rsidP="006D5E69">
            <w:pPr>
              <w:keepNext/>
              <w:rPr>
                <w:b/>
                <w:bCs/>
                <w:sz w:val="20"/>
                <w:szCs w:val="20"/>
                <w:lang w:eastAsia="en-US"/>
              </w:rPr>
            </w:pPr>
            <w:r w:rsidRPr="00A6230F">
              <w:rPr>
                <w:b/>
                <w:bCs/>
                <w:sz w:val="20"/>
                <w:szCs w:val="20"/>
                <w:lang w:eastAsia="en-US"/>
              </w:rPr>
              <w:t>176</w:t>
            </w:r>
            <w:r w:rsidRPr="00A6230F">
              <w:rPr>
                <w:b/>
                <w:bCs/>
                <w:sz w:val="20"/>
                <w:szCs w:val="20"/>
                <w:vertAlign w:val="superscript"/>
                <w:lang w:eastAsia="en-US"/>
              </w:rPr>
              <w:t>a</w:t>
            </w:r>
          </w:p>
        </w:tc>
        <w:tc>
          <w:tcPr>
            <w:tcW w:w="945" w:type="pct"/>
            <w:tcBorders>
              <w:top w:val="single" w:sz="4" w:space="0" w:color="auto"/>
            </w:tcBorders>
            <w:hideMark/>
          </w:tcPr>
          <w:p w14:paraId="17FB8F1D" w14:textId="77777777" w:rsidR="00A6230F" w:rsidRPr="00A6230F" w:rsidRDefault="00A6230F" w:rsidP="006D5E69">
            <w:pPr>
              <w:keepNext/>
              <w:rPr>
                <w:b/>
                <w:bCs/>
                <w:sz w:val="20"/>
                <w:szCs w:val="20"/>
                <w:lang w:eastAsia="en-US"/>
              </w:rPr>
            </w:pPr>
            <w:r w:rsidRPr="00A6230F">
              <w:rPr>
                <w:b/>
                <w:bCs/>
                <w:sz w:val="20"/>
                <w:szCs w:val="20"/>
                <w:lang w:eastAsia="en-US"/>
              </w:rPr>
              <w:t>75</w:t>
            </w:r>
            <w:r w:rsidRPr="00A6230F">
              <w:rPr>
                <w:b/>
                <w:bCs/>
                <w:sz w:val="20"/>
                <w:szCs w:val="20"/>
                <w:vertAlign w:val="superscript"/>
                <w:lang w:eastAsia="en-US"/>
              </w:rPr>
              <w:t>a</w:t>
            </w:r>
          </w:p>
        </w:tc>
        <w:tc>
          <w:tcPr>
            <w:tcW w:w="941" w:type="pct"/>
            <w:tcBorders>
              <w:top w:val="single" w:sz="4" w:space="0" w:color="auto"/>
            </w:tcBorders>
            <w:hideMark/>
          </w:tcPr>
          <w:p w14:paraId="28ADF8B8" w14:textId="77777777" w:rsidR="00A6230F" w:rsidRPr="00A6230F" w:rsidRDefault="00A6230F" w:rsidP="006D5E69">
            <w:pPr>
              <w:keepNext/>
              <w:rPr>
                <w:b/>
                <w:sz w:val="20"/>
                <w:szCs w:val="20"/>
                <w:lang w:eastAsia="en-US"/>
              </w:rPr>
            </w:pPr>
            <w:r w:rsidRPr="00A6230F">
              <w:rPr>
                <w:b/>
                <w:bCs/>
                <w:sz w:val="20"/>
                <w:szCs w:val="20"/>
                <w:lang w:eastAsia="en-US"/>
              </w:rPr>
              <w:t>32</w:t>
            </w:r>
          </w:p>
        </w:tc>
        <w:tc>
          <w:tcPr>
            <w:tcW w:w="900" w:type="pct"/>
            <w:tcBorders>
              <w:top w:val="single" w:sz="4" w:space="0" w:color="auto"/>
            </w:tcBorders>
            <w:hideMark/>
          </w:tcPr>
          <w:p w14:paraId="352B72A0" w14:textId="77777777" w:rsidR="00A6230F" w:rsidRPr="00A6230F" w:rsidRDefault="00A6230F" w:rsidP="006D5E69">
            <w:pPr>
              <w:keepNext/>
              <w:rPr>
                <w:b/>
                <w:sz w:val="20"/>
                <w:szCs w:val="20"/>
                <w:lang w:eastAsia="en-US"/>
              </w:rPr>
            </w:pPr>
            <w:r w:rsidRPr="00A6230F">
              <w:rPr>
                <w:b/>
                <w:bCs/>
                <w:sz w:val="20"/>
                <w:szCs w:val="20"/>
                <w:lang w:eastAsia="en-US"/>
              </w:rPr>
              <w:t>251</w:t>
            </w:r>
          </w:p>
        </w:tc>
      </w:tr>
      <w:tr w:rsidR="00A6230F" w:rsidRPr="00A6230F" w14:paraId="5932464B" w14:textId="77777777" w:rsidTr="00D06CA8">
        <w:tc>
          <w:tcPr>
            <w:tcW w:w="1269" w:type="pct"/>
            <w:hideMark/>
          </w:tcPr>
          <w:p w14:paraId="4F3C3DA0" w14:textId="77777777" w:rsidR="00A6230F" w:rsidRPr="00A6230F" w:rsidRDefault="00A6230F" w:rsidP="006D5E69">
            <w:pPr>
              <w:keepNext/>
              <w:ind w:right="0"/>
              <w:rPr>
                <w:sz w:val="20"/>
                <w:szCs w:val="20"/>
                <w:lang w:eastAsia="en-US"/>
              </w:rPr>
            </w:pPr>
            <w:r w:rsidRPr="00A6230F">
              <w:rPr>
                <w:bCs/>
                <w:sz w:val="20"/>
                <w:szCs w:val="20"/>
                <w:lang w:eastAsia="en-US"/>
              </w:rPr>
              <w:t>With at least 1 TEAE of haemorrhage</w:t>
            </w:r>
          </w:p>
        </w:tc>
        <w:tc>
          <w:tcPr>
            <w:tcW w:w="945" w:type="pct"/>
            <w:hideMark/>
          </w:tcPr>
          <w:p w14:paraId="55150A27" w14:textId="77777777" w:rsidR="00A6230F" w:rsidRPr="00A6230F" w:rsidRDefault="00A6230F" w:rsidP="006D5E69">
            <w:pPr>
              <w:keepNext/>
              <w:rPr>
                <w:sz w:val="20"/>
                <w:szCs w:val="20"/>
                <w:lang w:eastAsia="en-US"/>
              </w:rPr>
            </w:pPr>
            <w:r w:rsidRPr="00A6230F">
              <w:rPr>
                <w:bCs/>
                <w:sz w:val="20"/>
                <w:szCs w:val="20"/>
                <w:lang w:eastAsia="en-US"/>
              </w:rPr>
              <w:t>101 (57.4)</w:t>
            </w:r>
          </w:p>
        </w:tc>
        <w:tc>
          <w:tcPr>
            <w:tcW w:w="945" w:type="pct"/>
            <w:hideMark/>
          </w:tcPr>
          <w:p w14:paraId="23334AA5" w14:textId="77777777" w:rsidR="00A6230F" w:rsidRPr="00A6230F" w:rsidRDefault="00A6230F" w:rsidP="006D5E69">
            <w:pPr>
              <w:keepNext/>
              <w:rPr>
                <w:sz w:val="20"/>
                <w:szCs w:val="20"/>
                <w:lang w:eastAsia="en-US"/>
              </w:rPr>
            </w:pPr>
            <w:r w:rsidRPr="00A6230F">
              <w:rPr>
                <w:bCs/>
                <w:sz w:val="20"/>
                <w:szCs w:val="20"/>
                <w:lang w:eastAsia="en-US"/>
              </w:rPr>
              <w:t>43 (57.3)</w:t>
            </w:r>
          </w:p>
        </w:tc>
        <w:tc>
          <w:tcPr>
            <w:tcW w:w="941" w:type="pct"/>
            <w:hideMark/>
          </w:tcPr>
          <w:p w14:paraId="01C35291" w14:textId="77777777" w:rsidR="00A6230F" w:rsidRPr="00A6230F" w:rsidRDefault="00A6230F" w:rsidP="006D5E69">
            <w:pPr>
              <w:keepNext/>
              <w:rPr>
                <w:sz w:val="20"/>
                <w:szCs w:val="20"/>
                <w:lang w:eastAsia="en-US"/>
              </w:rPr>
            </w:pPr>
            <w:r w:rsidRPr="00A6230F">
              <w:rPr>
                <w:bCs/>
                <w:sz w:val="20"/>
                <w:szCs w:val="20"/>
                <w:lang w:eastAsia="en-US"/>
              </w:rPr>
              <w:t>24 (75.0)</w:t>
            </w:r>
          </w:p>
        </w:tc>
        <w:tc>
          <w:tcPr>
            <w:tcW w:w="900" w:type="pct"/>
            <w:hideMark/>
          </w:tcPr>
          <w:p w14:paraId="3D43481D" w14:textId="77777777" w:rsidR="00A6230F" w:rsidRPr="00A6230F" w:rsidRDefault="00A6230F" w:rsidP="006D5E69">
            <w:pPr>
              <w:keepNext/>
              <w:rPr>
                <w:sz w:val="20"/>
                <w:szCs w:val="20"/>
                <w:lang w:eastAsia="en-US"/>
              </w:rPr>
            </w:pPr>
            <w:r w:rsidRPr="00A6230F">
              <w:rPr>
                <w:bCs/>
                <w:sz w:val="20"/>
                <w:szCs w:val="20"/>
                <w:lang w:eastAsia="en-US"/>
              </w:rPr>
              <w:t>144 (57.4)</w:t>
            </w:r>
          </w:p>
        </w:tc>
      </w:tr>
      <w:tr w:rsidR="00A6230F" w:rsidRPr="00A6230F" w14:paraId="37F4EE81" w14:textId="77777777" w:rsidTr="00D06CA8">
        <w:tc>
          <w:tcPr>
            <w:tcW w:w="1269" w:type="pct"/>
            <w:hideMark/>
          </w:tcPr>
          <w:p w14:paraId="78BFA035" w14:textId="77777777" w:rsidR="00A6230F" w:rsidRPr="00A6230F" w:rsidRDefault="00A6230F" w:rsidP="00A6230F">
            <w:pPr>
              <w:rPr>
                <w:sz w:val="20"/>
                <w:szCs w:val="20"/>
                <w:lang w:eastAsia="en-US"/>
              </w:rPr>
            </w:pPr>
            <w:r w:rsidRPr="00A6230F">
              <w:rPr>
                <w:bCs/>
                <w:sz w:val="20"/>
                <w:szCs w:val="20"/>
                <w:lang w:eastAsia="en-US"/>
              </w:rPr>
              <w:t>Blood and lymphatic system disorders</w:t>
            </w:r>
          </w:p>
        </w:tc>
        <w:tc>
          <w:tcPr>
            <w:tcW w:w="945" w:type="pct"/>
            <w:hideMark/>
          </w:tcPr>
          <w:p w14:paraId="6A71FFD9" w14:textId="77777777" w:rsidR="00A6230F" w:rsidRPr="00A6230F" w:rsidRDefault="00A6230F" w:rsidP="00A6230F">
            <w:pPr>
              <w:rPr>
                <w:sz w:val="20"/>
                <w:szCs w:val="20"/>
                <w:lang w:eastAsia="en-US"/>
              </w:rPr>
            </w:pPr>
            <w:r w:rsidRPr="00A6230F">
              <w:rPr>
                <w:bCs/>
                <w:sz w:val="20"/>
                <w:szCs w:val="20"/>
                <w:lang w:eastAsia="en-US"/>
              </w:rPr>
              <w:t>0</w:t>
            </w:r>
          </w:p>
        </w:tc>
        <w:tc>
          <w:tcPr>
            <w:tcW w:w="945" w:type="pct"/>
            <w:hideMark/>
          </w:tcPr>
          <w:p w14:paraId="32710592" w14:textId="77777777" w:rsidR="00A6230F" w:rsidRPr="00A6230F" w:rsidRDefault="00A6230F" w:rsidP="00A6230F">
            <w:pPr>
              <w:rPr>
                <w:sz w:val="20"/>
                <w:szCs w:val="20"/>
                <w:lang w:eastAsia="en-US"/>
              </w:rPr>
            </w:pPr>
            <w:r w:rsidRPr="00A6230F">
              <w:rPr>
                <w:bCs/>
                <w:sz w:val="20"/>
                <w:szCs w:val="20"/>
                <w:lang w:eastAsia="en-US"/>
              </w:rPr>
              <w:t>1 (1.3)</w:t>
            </w:r>
          </w:p>
        </w:tc>
        <w:tc>
          <w:tcPr>
            <w:tcW w:w="941" w:type="pct"/>
            <w:hideMark/>
          </w:tcPr>
          <w:p w14:paraId="34EF6E6F" w14:textId="77777777" w:rsidR="00A6230F" w:rsidRPr="00A6230F" w:rsidRDefault="00A6230F" w:rsidP="00A6230F">
            <w:pPr>
              <w:rPr>
                <w:sz w:val="20"/>
                <w:szCs w:val="20"/>
                <w:lang w:eastAsia="en-US"/>
              </w:rPr>
            </w:pPr>
            <w:r w:rsidRPr="00A6230F">
              <w:rPr>
                <w:bCs/>
                <w:sz w:val="20"/>
                <w:szCs w:val="20"/>
                <w:lang w:eastAsia="en-US"/>
              </w:rPr>
              <w:t>1 (3.1)</w:t>
            </w:r>
          </w:p>
        </w:tc>
        <w:tc>
          <w:tcPr>
            <w:tcW w:w="900" w:type="pct"/>
            <w:hideMark/>
          </w:tcPr>
          <w:p w14:paraId="606C5B3C" w14:textId="77777777" w:rsidR="00A6230F" w:rsidRPr="00A6230F" w:rsidRDefault="00A6230F" w:rsidP="00A6230F">
            <w:pPr>
              <w:rPr>
                <w:sz w:val="20"/>
                <w:szCs w:val="20"/>
                <w:lang w:eastAsia="en-US"/>
              </w:rPr>
            </w:pPr>
            <w:r w:rsidRPr="00A6230F">
              <w:rPr>
                <w:bCs/>
                <w:sz w:val="20"/>
                <w:szCs w:val="20"/>
                <w:lang w:eastAsia="en-US"/>
              </w:rPr>
              <w:t>1 (0.4)</w:t>
            </w:r>
          </w:p>
        </w:tc>
      </w:tr>
      <w:tr w:rsidR="00A6230F" w:rsidRPr="00A6230F" w14:paraId="5053CE75" w14:textId="77777777" w:rsidTr="00D06CA8">
        <w:trPr>
          <w:trHeight w:val="227"/>
        </w:trPr>
        <w:tc>
          <w:tcPr>
            <w:tcW w:w="1269" w:type="pct"/>
            <w:hideMark/>
          </w:tcPr>
          <w:p w14:paraId="4A6E9F4F" w14:textId="77777777" w:rsidR="00A6230F" w:rsidRPr="00A6230F" w:rsidRDefault="00A6230F" w:rsidP="00A6230F">
            <w:pPr>
              <w:ind w:left="0" w:right="0"/>
              <w:rPr>
                <w:sz w:val="20"/>
                <w:szCs w:val="20"/>
                <w:lang w:eastAsia="en-US"/>
              </w:rPr>
            </w:pPr>
            <w:r w:rsidRPr="00A6230F">
              <w:rPr>
                <w:sz w:val="20"/>
                <w:szCs w:val="20"/>
                <w:lang w:eastAsia="en-US"/>
              </w:rPr>
              <w:t>Splenic haemorrhage</w:t>
            </w:r>
          </w:p>
        </w:tc>
        <w:tc>
          <w:tcPr>
            <w:tcW w:w="945" w:type="pct"/>
            <w:hideMark/>
          </w:tcPr>
          <w:p w14:paraId="10E26861" w14:textId="77777777" w:rsidR="00A6230F" w:rsidRPr="00A6230F" w:rsidRDefault="00A6230F" w:rsidP="00A6230F">
            <w:pPr>
              <w:rPr>
                <w:sz w:val="20"/>
                <w:szCs w:val="20"/>
                <w:lang w:eastAsia="en-US"/>
              </w:rPr>
            </w:pPr>
            <w:r w:rsidRPr="00A6230F">
              <w:rPr>
                <w:sz w:val="20"/>
                <w:szCs w:val="20"/>
                <w:lang w:eastAsia="en-US"/>
              </w:rPr>
              <w:t>0</w:t>
            </w:r>
          </w:p>
        </w:tc>
        <w:tc>
          <w:tcPr>
            <w:tcW w:w="945" w:type="pct"/>
            <w:hideMark/>
          </w:tcPr>
          <w:p w14:paraId="58CAFA13" w14:textId="77777777" w:rsidR="00A6230F" w:rsidRPr="00A6230F" w:rsidRDefault="00A6230F" w:rsidP="00A6230F">
            <w:pPr>
              <w:rPr>
                <w:sz w:val="20"/>
                <w:szCs w:val="20"/>
                <w:lang w:eastAsia="en-US"/>
              </w:rPr>
            </w:pPr>
            <w:r w:rsidRPr="00A6230F">
              <w:rPr>
                <w:sz w:val="20"/>
                <w:szCs w:val="20"/>
                <w:lang w:eastAsia="en-US"/>
              </w:rPr>
              <w:t>1 (1.3)</w:t>
            </w:r>
          </w:p>
        </w:tc>
        <w:tc>
          <w:tcPr>
            <w:tcW w:w="941" w:type="pct"/>
            <w:hideMark/>
          </w:tcPr>
          <w:p w14:paraId="7DE88483" w14:textId="77777777" w:rsidR="00A6230F" w:rsidRPr="00A6230F" w:rsidRDefault="00A6230F" w:rsidP="00A6230F">
            <w:pPr>
              <w:rPr>
                <w:sz w:val="20"/>
                <w:szCs w:val="20"/>
                <w:lang w:eastAsia="en-US"/>
              </w:rPr>
            </w:pPr>
            <w:r w:rsidRPr="00A6230F">
              <w:rPr>
                <w:sz w:val="20"/>
                <w:szCs w:val="20"/>
                <w:lang w:eastAsia="en-US"/>
              </w:rPr>
              <w:t>0</w:t>
            </w:r>
          </w:p>
        </w:tc>
        <w:tc>
          <w:tcPr>
            <w:tcW w:w="900" w:type="pct"/>
            <w:hideMark/>
          </w:tcPr>
          <w:p w14:paraId="5C309F15" w14:textId="77777777" w:rsidR="00A6230F" w:rsidRPr="00A6230F" w:rsidRDefault="00A6230F" w:rsidP="00A6230F">
            <w:pPr>
              <w:rPr>
                <w:sz w:val="20"/>
                <w:szCs w:val="20"/>
                <w:lang w:eastAsia="en-US"/>
              </w:rPr>
            </w:pPr>
            <w:r w:rsidRPr="00A6230F">
              <w:rPr>
                <w:sz w:val="20"/>
                <w:szCs w:val="20"/>
                <w:lang w:eastAsia="en-US"/>
              </w:rPr>
              <w:t>1 (0.4)</w:t>
            </w:r>
          </w:p>
        </w:tc>
      </w:tr>
      <w:tr w:rsidR="00A6230F" w:rsidRPr="00A6230F" w14:paraId="27529EAE" w14:textId="77777777" w:rsidTr="00D06CA8">
        <w:trPr>
          <w:trHeight w:val="227"/>
        </w:trPr>
        <w:tc>
          <w:tcPr>
            <w:tcW w:w="1269" w:type="pct"/>
            <w:hideMark/>
          </w:tcPr>
          <w:p w14:paraId="3A243293" w14:textId="77777777" w:rsidR="00A6230F" w:rsidRPr="00A6230F" w:rsidRDefault="00A6230F" w:rsidP="00A6230F">
            <w:pPr>
              <w:ind w:left="0" w:right="0"/>
              <w:rPr>
                <w:sz w:val="20"/>
                <w:szCs w:val="20"/>
                <w:lang w:eastAsia="en-US"/>
              </w:rPr>
            </w:pPr>
            <w:r w:rsidRPr="00A6230F">
              <w:rPr>
                <w:sz w:val="20"/>
                <w:szCs w:val="20"/>
                <w:lang w:eastAsia="en-US"/>
              </w:rPr>
              <w:t>Haemorrhagic anaemia</w:t>
            </w:r>
          </w:p>
        </w:tc>
        <w:tc>
          <w:tcPr>
            <w:tcW w:w="945" w:type="pct"/>
            <w:hideMark/>
          </w:tcPr>
          <w:p w14:paraId="19B5039A" w14:textId="77777777" w:rsidR="00A6230F" w:rsidRPr="00A6230F" w:rsidRDefault="00A6230F" w:rsidP="00A6230F">
            <w:pPr>
              <w:rPr>
                <w:sz w:val="20"/>
                <w:szCs w:val="20"/>
                <w:lang w:eastAsia="en-US"/>
              </w:rPr>
            </w:pPr>
            <w:r w:rsidRPr="00A6230F">
              <w:rPr>
                <w:sz w:val="20"/>
                <w:szCs w:val="20"/>
                <w:lang w:eastAsia="en-US"/>
              </w:rPr>
              <w:t>0</w:t>
            </w:r>
          </w:p>
        </w:tc>
        <w:tc>
          <w:tcPr>
            <w:tcW w:w="945" w:type="pct"/>
            <w:hideMark/>
          </w:tcPr>
          <w:p w14:paraId="5057E863" w14:textId="77777777" w:rsidR="00A6230F" w:rsidRPr="00A6230F" w:rsidRDefault="00A6230F" w:rsidP="00A6230F">
            <w:pPr>
              <w:rPr>
                <w:sz w:val="20"/>
                <w:szCs w:val="20"/>
                <w:lang w:eastAsia="en-US"/>
              </w:rPr>
            </w:pPr>
            <w:r w:rsidRPr="00A6230F">
              <w:rPr>
                <w:sz w:val="20"/>
                <w:szCs w:val="20"/>
                <w:lang w:eastAsia="en-US"/>
              </w:rPr>
              <w:t>0</w:t>
            </w:r>
          </w:p>
        </w:tc>
        <w:tc>
          <w:tcPr>
            <w:tcW w:w="941" w:type="pct"/>
            <w:hideMark/>
          </w:tcPr>
          <w:p w14:paraId="577AF5B4" w14:textId="77777777" w:rsidR="00A6230F" w:rsidRPr="00A6230F" w:rsidRDefault="00A6230F" w:rsidP="00A6230F">
            <w:pPr>
              <w:rPr>
                <w:sz w:val="20"/>
                <w:szCs w:val="20"/>
                <w:lang w:eastAsia="en-US"/>
              </w:rPr>
            </w:pPr>
            <w:r w:rsidRPr="00A6230F">
              <w:rPr>
                <w:sz w:val="20"/>
                <w:szCs w:val="20"/>
                <w:lang w:eastAsia="en-US"/>
              </w:rPr>
              <w:t>1 (3.1)</w:t>
            </w:r>
          </w:p>
        </w:tc>
        <w:tc>
          <w:tcPr>
            <w:tcW w:w="900" w:type="pct"/>
            <w:hideMark/>
          </w:tcPr>
          <w:p w14:paraId="2330EF22" w14:textId="77777777" w:rsidR="00A6230F" w:rsidRPr="00A6230F" w:rsidRDefault="00A6230F" w:rsidP="00A6230F">
            <w:pPr>
              <w:rPr>
                <w:sz w:val="20"/>
                <w:szCs w:val="20"/>
                <w:lang w:eastAsia="en-US"/>
              </w:rPr>
            </w:pPr>
            <w:r w:rsidRPr="00A6230F">
              <w:rPr>
                <w:sz w:val="20"/>
                <w:szCs w:val="20"/>
                <w:lang w:eastAsia="en-US"/>
              </w:rPr>
              <w:t>0</w:t>
            </w:r>
          </w:p>
        </w:tc>
      </w:tr>
      <w:tr w:rsidR="00A6230F" w:rsidRPr="00A6230F" w14:paraId="7E7AFE4A" w14:textId="77777777" w:rsidTr="00D06CA8">
        <w:tc>
          <w:tcPr>
            <w:tcW w:w="1269" w:type="pct"/>
            <w:hideMark/>
          </w:tcPr>
          <w:p w14:paraId="279E3CF3" w14:textId="77777777" w:rsidR="00A6230F" w:rsidRPr="00A6230F" w:rsidRDefault="00A6230F" w:rsidP="00A6230F">
            <w:pPr>
              <w:ind w:left="0"/>
              <w:rPr>
                <w:sz w:val="20"/>
                <w:szCs w:val="20"/>
                <w:lang w:eastAsia="en-US"/>
              </w:rPr>
            </w:pPr>
            <w:r w:rsidRPr="00A6230F">
              <w:rPr>
                <w:b/>
                <w:bCs/>
                <w:sz w:val="20"/>
                <w:szCs w:val="20"/>
                <w:lang w:eastAsia="en-US"/>
              </w:rPr>
              <w:t>Endocrine disorders</w:t>
            </w:r>
          </w:p>
        </w:tc>
        <w:tc>
          <w:tcPr>
            <w:tcW w:w="945" w:type="pct"/>
            <w:hideMark/>
          </w:tcPr>
          <w:p w14:paraId="7C94F18B" w14:textId="77777777" w:rsidR="00A6230F" w:rsidRPr="00A6230F" w:rsidRDefault="00A6230F" w:rsidP="00A6230F">
            <w:pPr>
              <w:rPr>
                <w:sz w:val="20"/>
                <w:szCs w:val="20"/>
                <w:lang w:eastAsia="en-US"/>
              </w:rPr>
            </w:pPr>
            <w:r w:rsidRPr="00A6230F">
              <w:rPr>
                <w:b/>
                <w:bCs/>
                <w:sz w:val="20"/>
                <w:szCs w:val="20"/>
                <w:lang w:eastAsia="en-US"/>
              </w:rPr>
              <w:t>0</w:t>
            </w:r>
          </w:p>
        </w:tc>
        <w:tc>
          <w:tcPr>
            <w:tcW w:w="945" w:type="pct"/>
            <w:hideMark/>
          </w:tcPr>
          <w:p w14:paraId="79035555" w14:textId="77777777" w:rsidR="00A6230F" w:rsidRPr="00A6230F" w:rsidRDefault="00A6230F" w:rsidP="00A6230F">
            <w:pPr>
              <w:rPr>
                <w:sz w:val="20"/>
                <w:szCs w:val="20"/>
                <w:lang w:eastAsia="en-US"/>
              </w:rPr>
            </w:pPr>
            <w:r w:rsidRPr="00A6230F">
              <w:rPr>
                <w:b/>
                <w:bCs/>
                <w:sz w:val="20"/>
                <w:szCs w:val="20"/>
                <w:lang w:eastAsia="en-US"/>
              </w:rPr>
              <w:t>0</w:t>
            </w:r>
          </w:p>
        </w:tc>
        <w:tc>
          <w:tcPr>
            <w:tcW w:w="941" w:type="pct"/>
            <w:hideMark/>
          </w:tcPr>
          <w:p w14:paraId="0FED9731" w14:textId="77777777" w:rsidR="00A6230F" w:rsidRPr="00A6230F" w:rsidRDefault="00A6230F" w:rsidP="00A6230F">
            <w:pPr>
              <w:rPr>
                <w:sz w:val="20"/>
                <w:szCs w:val="20"/>
                <w:lang w:eastAsia="en-US"/>
              </w:rPr>
            </w:pPr>
            <w:r w:rsidRPr="00A6230F">
              <w:rPr>
                <w:b/>
                <w:bCs/>
                <w:sz w:val="20"/>
                <w:szCs w:val="20"/>
                <w:lang w:eastAsia="en-US"/>
              </w:rPr>
              <w:t>1 (3.1)</w:t>
            </w:r>
          </w:p>
        </w:tc>
        <w:tc>
          <w:tcPr>
            <w:tcW w:w="900" w:type="pct"/>
            <w:hideMark/>
          </w:tcPr>
          <w:p w14:paraId="28CDE947" w14:textId="77777777" w:rsidR="00A6230F" w:rsidRPr="00A6230F" w:rsidRDefault="00A6230F" w:rsidP="00A6230F">
            <w:pPr>
              <w:rPr>
                <w:sz w:val="20"/>
                <w:szCs w:val="20"/>
                <w:lang w:eastAsia="en-US"/>
              </w:rPr>
            </w:pPr>
            <w:r w:rsidRPr="00A6230F">
              <w:rPr>
                <w:b/>
                <w:bCs/>
                <w:sz w:val="20"/>
                <w:szCs w:val="20"/>
                <w:lang w:eastAsia="en-US"/>
              </w:rPr>
              <w:t>0</w:t>
            </w:r>
          </w:p>
        </w:tc>
      </w:tr>
      <w:tr w:rsidR="00A6230F" w:rsidRPr="00A6230F" w14:paraId="0077D687" w14:textId="77777777" w:rsidTr="00D06CA8">
        <w:tc>
          <w:tcPr>
            <w:tcW w:w="1269" w:type="pct"/>
            <w:hideMark/>
          </w:tcPr>
          <w:p w14:paraId="4F7A513F" w14:textId="77777777" w:rsidR="00A6230F" w:rsidRPr="00A6230F" w:rsidRDefault="00A6230F" w:rsidP="00A6230F">
            <w:pPr>
              <w:ind w:left="0" w:right="0"/>
              <w:rPr>
                <w:sz w:val="20"/>
                <w:szCs w:val="20"/>
                <w:lang w:eastAsia="en-US"/>
              </w:rPr>
            </w:pPr>
            <w:r w:rsidRPr="00A6230F">
              <w:rPr>
                <w:sz w:val="20"/>
                <w:szCs w:val="20"/>
                <w:lang w:eastAsia="en-US"/>
              </w:rPr>
              <w:t>Adrenal haemorrhage</w:t>
            </w:r>
          </w:p>
        </w:tc>
        <w:tc>
          <w:tcPr>
            <w:tcW w:w="945" w:type="pct"/>
            <w:hideMark/>
          </w:tcPr>
          <w:p w14:paraId="228BBB2D" w14:textId="77777777" w:rsidR="00A6230F" w:rsidRPr="00A6230F" w:rsidRDefault="00A6230F" w:rsidP="00A6230F">
            <w:pPr>
              <w:rPr>
                <w:sz w:val="20"/>
                <w:szCs w:val="20"/>
                <w:lang w:eastAsia="en-US"/>
              </w:rPr>
            </w:pPr>
            <w:r w:rsidRPr="00A6230F">
              <w:rPr>
                <w:sz w:val="20"/>
                <w:szCs w:val="20"/>
                <w:lang w:eastAsia="en-US"/>
              </w:rPr>
              <w:t>0</w:t>
            </w:r>
          </w:p>
        </w:tc>
        <w:tc>
          <w:tcPr>
            <w:tcW w:w="945" w:type="pct"/>
            <w:hideMark/>
          </w:tcPr>
          <w:p w14:paraId="6598664B" w14:textId="77777777" w:rsidR="00A6230F" w:rsidRPr="00A6230F" w:rsidRDefault="00A6230F" w:rsidP="00A6230F">
            <w:pPr>
              <w:rPr>
                <w:sz w:val="20"/>
                <w:szCs w:val="20"/>
                <w:lang w:eastAsia="en-US"/>
              </w:rPr>
            </w:pPr>
            <w:r w:rsidRPr="00A6230F">
              <w:rPr>
                <w:sz w:val="20"/>
                <w:szCs w:val="20"/>
                <w:lang w:eastAsia="en-US"/>
              </w:rPr>
              <w:t>0</w:t>
            </w:r>
          </w:p>
        </w:tc>
        <w:tc>
          <w:tcPr>
            <w:tcW w:w="941" w:type="pct"/>
            <w:hideMark/>
          </w:tcPr>
          <w:p w14:paraId="229926E3" w14:textId="77777777" w:rsidR="00A6230F" w:rsidRPr="00A6230F" w:rsidRDefault="00A6230F" w:rsidP="00A6230F">
            <w:pPr>
              <w:rPr>
                <w:sz w:val="20"/>
                <w:szCs w:val="20"/>
                <w:lang w:eastAsia="en-US"/>
              </w:rPr>
            </w:pPr>
            <w:r w:rsidRPr="00A6230F">
              <w:rPr>
                <w:sz w:val="20"/>
                <w:szCs w:val="20"/>
                <w:lang w:eastAsia="en-US"/>
              </w:rPr>
              <w:t>1 (3.1)</w:t>
            </w:r>
          </w:p>
        </w:tc>
        <w:tc>
          <w:tcPr>
            <w:tcW w:w="900" w:type="pct"/>
            <w:hideMark/>
          </w:tcPr>
          <w:p w14:paraId="68758B8F" w14:textId="77777777" w:rsidR="00A6230F" w:rsidRPr="00A6230F" w:rsidRDefault="00A6230F" w:rsidP="00A6230F">
            <w:pPr>
              <w:rPr>
                <w:sz w:val="20"/>
                <w:szCs w:val="20"/>
                <w:lang w:eastAsia="en-US"/>
              </w:rPr>
            </w:pPr>
            <w:r w:rsidRPr="00A6230F">
              <w:rPr>
                <w:sz w:val="20"/>
                <w:szCs w:val="20"/>
                <w:lang w:eastAsia="en-US"/>
              </w:rPr>
              <w:t>0</w:t>
            </w:r>
          </w:p>
        </w:tc>
      </w:tr>
      <w:tr w:rsidR="00A6230F" w:rsidRPr="00A6230F" w14:paraId="42201496" w14:textId="77777777" w:rsidTr="00D06CA8">
        <w:tc>
          <w:tcPr>
            <w:tcW w:w="1269" w:type="pct"/>
            <w:hideMark/>
          </w:tcPr>
          <w:p w14:paraId="106DA9E6" w14:textId="77777777" w:rsidR="00A6230F" w:rsidRPr="00A6230F" w:rsidRDefault="00A6230F" w:rsidP="00A6230F">
            <w:pPr>
              <w:ind w:left="0"/>
              <w:rPr>
                <w:sz w:val="20"/>
                <w:szCs w:val="20"/>
                <w:lang w:eastAsia="en-US"/>
              </w:rPr>
            </w:pPr>
            <w:r w:rsidRPr="00A6230F">
              <w:rPr>
                <w:b/>
                <w:bCs/>
                <w:sz w:val="20"/>
                <w:szCs w:val="20"/>
                <w:lang w:eastAsia="en-US"/>
              </w:rPr>
              <w:t>Eye disorders</w:t>
            </w:r>
          </w:p>
        </w:tc>
        <w:tc>
          <w:tcPr>
            <w:tcW w:w="945" w:type="pct"/>
            <w:hideMark/>
          </w:tcPr>
          <w:p w14:paraId="5A1BA084" w14:textId="77777777" w:rsidR="00A6230F" w:rsidRPr="00A6230F" w:rsidRDefault="00A6230F" w:rsidP="00A6230F">
            <w:pPr>
              <w:rPr>
                <w:sz w:val="20"/>
                <w:szCs w:val="20"/>
                <w:lang w:eastAsia="en-US"/>
              </w:rPr>
            </w:pPr>
            <w:r w:rsidRPr="00A6230F">
              <w:rPr>
                <w:b/>
                <w:bCs/>
                <w:sz w:val="20"/>
                <w:szCs w:val="20"/>
                <w:lang w:eastAsia="en-US"/>
              </w:rPr>
              <w:t>14 (8.0)</w:t>
            </w:r>
          </w:p>
        </w:tc>
        <w:tc>
          <w:tcPr>
            <w:tcW w:w="945" w:type="pct"/>
            <w:hideMark/>
          </w:tcPr>
          <w:p w14:paraId="70E9C3A0" w14:textId="77777777" w:rsidR="00A6230F" w:rsidRPr="00A6230F" w:rsidRDefault="00A6230F" w:rsidP="00A6230F">
            <w:pPr>
              <w:rPr>
                <w:sz w:val="20"/>
                <w:szCs w:val="20"/>
                <w:lang w:eastAsia="en-US"/>
              </w:rPr>
            </w:pPr>
            <w:r w:rsidRPr="00A6230F">
              <w:rPr>
                <w:b/>
                <w:bCs/>
                <w:sz w:val="20"/>
                <w:szCs w:val="20"/>
                <w:lang w:eastAsia="en-US"/>
              </w:rPr>
              <w:t>3 (4.0)</w:t>
            </w:r>
          </w:p>
        </w:tc>
        <w:tc>
          <w:tcPr>
            <w:tcW w:w="941" w:type="pct"/>
            <w:hideMark/>
          </w:tcPr>
          <w:p w14:paraId="5302C736" w14:textId="77777777" w:rsidR="00A6230F" w:rsidRPr="00A6230F" w:rsidRDefault="00A6230F" w:rsidP="00A6230F">
            <w:pPr>
              <w:rPr>
                <w:sz w:val="20"/>
                <w:szCs w:val="20"/>
                <w:lang w:eastAsia="en-US"/>
              </w:rPr>
            </w:pPr>
            <w:r w:rsidRPr="00A6230F">
              <w:rPr>
                <w:b/>
                <w:bCs/>
                <w:sz w:val="20"/>
                <w:szCs w:val="20"/>
                <w:lang w:eastAsia="en-US"/>
              </w:rPr>
              <w:t>5 (15.6)</w:t>
            </w:r>
          </w:p>
        </w:tc>
        <w:tc>
          <w:tcPr>
            <w:tcW w:w="900" w:type="pct"/>
            <w:hideMark/>
          </w:tcPr>
          <w:p w14:paraId="2CA146A6" w14:textId="77777777" w:rsidR="00A6230F" w:rsidRPr="00A6230F" w:rsidRDefault="00A6230F" w:rsidP="00A6230F">
            <w:pPr>
              <w:rPr>
                <w:sz w:val="20"/>
                <w:szCs w:val="20"/>
                <w:lang w:eastAsia="en-US"/>
              </w:rPr>
            </w:pPr>
            <w:r w:rsidRPr="00A6230F">
              <w:rPr>
                <w:b/>
                <w:bCs/>
                <w:sz w:val="20"/>
                <w:szCs w:val="20"/>
                <w:lang w:eastAsia="en-US"/>
              </w:rPr>
              <w:t>17 (6.8)</w:t>
            </w:r>
          </w:p>
        </w:tc>
      </w:tr>
      <w:tr w:rsidR="00A6230F" w:rsidRPr="00A6230F" w14:paraId="1CA61B8C" w14:textId="77777777" w:rsidTr="00D06CA8">
        <w:tc>
          <w:tcPr>
            <w:tcW w:w="1269" w:type="pct"/>
            <w:hideMark/>
          </w:tcPr>
          <w:p w14:paraId="63C2A6DE" w14:textId="77777777" w:rsidR="00A6230F" w:rsidRPr="00A6230F" w:rsidRDefault="00A6230F" w:rsidP="00A6230F">
            <w:pPr>
              <w:ind w:left="0" w:right="0"/>
              <w:rPr>
                <w:sz w:val="20"/>
                <w:szCs w:val="20"/>
                <w:lang w:eastAsia="en-US"/>
              </w:rPr>
            </w:pPr>
            <w:r w:rsidRPr="00A6230F">
              <w:rPr>
                <w:sz w:val="20"/>
                <w:szCs w:val="20"/>
                <w:lang w:eastAsia="en-US"/>
              </w:rPr>
              <w:t>Conjunctival haemorrhage</w:t>
            </w:r>
          </w:p>
        </w:tc>
        <w:tc>
          <w:tcPr>
            <w:tcW w:w="945" w:type="pct"/>
            <w:hideMark/>
          </w:tcPr>
          <w:p w14:paraId="3D886D76" w14:textId="77777777" w:rsidR="00A6230F" w:rsidRPr="00A6230F" w:rsidRDefault="00A6230F" w:rsidP="00A6230F">
            <w:pPr>
              <w:rPr>
                <w:sz w:val="20"/>
                <w:szCs w:val="20"/>
                <w:lang w:eastAsia="en-US"/>
              </w:rPr>
            </w:pPr>
            <w:r w:rsidRPr="00A6230F">
              <w:rPr>
                <w:sz w:val="20"/>
                <w:szCs w:val="20"/>
                <w:lang w:eastAsia="en-US"/>
              </w:rPr>
              <w:t>11 (6.3)</w:t>
            </w:r>
          </w:p>
        </w:tc>
        <w:tc>
          <w:tcPr>
            <w:tcW w:w="945" w:type="pct"/>
            <w:hideMark/>
          </w:tcPr>
          <w:p w14:paraId="35DC2767" w14:textId="77777777" w:rsidR="00A6230F" w:rsidRPr="00A6230F" w:rsidRDefault="00A6230F" w:rsidP="00A6230F">
            <w:pPr>
              <w:rPr>
                <w:sz w:val="20"/>
                <w:szCs w:val="20"/>
                <w:lang w:eastAsia="en-US"/>
              </w:rPr>
            </w:pPr>
            <w:r w:rsidRPr="00A6230F">
              <w:rPr>
                <w:sz w:val="20"/>
                <w:szCs w:val="20"/>
                <w:lang w:eastAsia="en-US"/>
              </w:rPr>
              <w:t>2 (2.7)</w:t>
            </w:r>
          </w:p>
        </w:tc>
        <w:tc>
          <w:tcPr>
            <w:tcW w:w="941" w:type="pct"/>
            <w:hideMark/>
          </w:tcPr>
          <w:p w14:paraId="59E06499" w14:textId="77777777" w:rsidR="00A6230F" w:rsidRPr="00A6230F" w:rsidRDefault="00A6230F" w:rsidP="00A6230F">
            <w:pPr>
              <w:rPr>
                <w:sz w:val="20"/>
                <w:szCs w:val="20"/>
                <w:lang w:eastAsia="en-US"/>
              </w:rPr>
            </w:pPr>
            <w:r w:rsidRPr="00A6230F">
              <w:rPr>
                <w:sz w:val="20"/>
                <w:szCs w:val="20"/>
                <w:lang w:eastAsia="en-US"/>
              </w:rPr>
              <w:t>3 (9.4)</w:t>
            </w:r>
          </w:p>
        </w:tc>
        <w:tc>
          <w:tcPr>
            <w:tcW w:w="900" w:type="pct"/>
            <w:hideMark/>
          </w:tcPr>
          <w:p w14:paraId="108014AE" w14:textId="77777777" w:rsidR="00A6230F" w:rsidRPr="00A6230F" w:rsidRDefault="00A6230F" w:rsidP="00A6230F">
            <w:pPr>
              <w:rPr>
                <w:sz w:val="20"/>
                <w:szCs w:val="20"/>
                <w:lang w:eastAsia="en-US"/>
              </w:rPr>
            </w:pPr>
            <w:r w:rsidRPr="00A6230F">
              <w:rPr>
                <w:sz w:val="20"/>
                <w:szCs w:val="20"/>
                <w:lang w:eastAsia="en-US"/>
              </w:rPr>
              <w:t>13 (5.2)</w:t>
            </w:r>
          </w:p>
        </w:tc>
      </w:tr>
      <w:tr w:rsidR="00A6230F" w:rsidRPr="00A6230F" w14:paraId="5B65F62F" w14:textId="77777777" w:rsidTr="00D06CA8">
        <w:tc>
          <w:tcPr>
            <w:tcW w:w="1269" w:type="pct"/>
            <w:hideMark/>
          </w:tcPr>
          <w:p w14:paraId="2B7B9683" w14:textId="77777777" w:rsidR="00A6230F" w:rsidRPr="00A6230F" w:rsidRDefault="00A6230F" w:rsidP="00A6230F">
            <w:pPr>
              <w:ind w:left="0" w:right="0"/>
              <w:rPr>
                <w:sz w:val="20"/>
                <w:szCs w:val="20"/>
                <w:lang w:eastAsia="en-US"/>
              </w:rPr>
            </w:pPr>
            <w:r w:rsidRPr="00A6230F">
              <w:rPr>
                <w:sz w:val="20"/>
                <w:szCs w:val="20"/>
                <w:lang w:eastAsia="en-US"/>
              </w:rPr>
              <w:t>Eye haemorrhage</w:t>
            </w:r>
          </w:p>
        </w:tc>
        <w:tc>
          <w:tcPr>
            <w:tcW w:w="945" w:type="pct"/>
            <w:hideMark/>
          </w:tcPr>
          <w:p w14:paraId="3F49F276" w14:textId="77777777" w:rsidR="00A6230F" w:rsidRPr="00A6230F" w:rsidRDefault="00A6230F" w:rsidP="00A6230F">
            <w:pPr>
              <w:rPr>
                <w:sz w:val="20"/>
                <w:szCs w:val="20"/>
                <w:lang w:eastAsia="en-US"/>
              </w:rPr>
            </w:pPr>
            <w:r w:rsidRPr="00A6230F">
              <w:rPr>
                <w:sz w:val="20"/>
                <w:szCs w:val="20"/>
                <w:lang w:eastAsia="en-US"/>
              </w:rPr>
              <w:t>1 (0.6)</w:t>
            </w:r>
          </w:p>
        </w:tc>
        <w:tc>
          <w:tcPr>
            <w:tcW w:w="945" w:type="pct"/>
            <w:hideMark/>
          </w:tcPr>
          <w:p w14:paraId="12E76EAA" w14:textId="77777777" w:rsidR="00A6230F" w:rsidRPr="00A6230F" w:rsidRDefault="00A6230F" w:rsidP="00A6230F">
            <w:pPr>
              <w:rPr>
                <w:sz w:val="20"/>
                <w:szCs w:val="20"/>
                <w:lang w:eastAsia="en-US"/>
              </w:rPr>
            </w:pPr>
            <w:r w:rsidRPr="00A6230F">
              <w:rPr>
                <w:sz w:val="20"/>
                <w:szCs w:val="20"/>
                <w:lang w:eastAsia="en-US"/>
              </w:rPr>
              <w:t>1 (1.3)</w:t>
            </w:r>
          </w:p>
        </w:tc>
        <w:tc>
          <w:tcPr>
            <w:tcW w:w="941" w:type="pct"/>
            <w:hideMark/>
          </w:tcPr>
          <w:p w14:paraId="538D2269" w14:textId="77777777" w:rsidR="00A6230F" w:rsidRPr="00A6230F" w:rsidRDefault="00A6230F" w:rsidP="00A6230F">
            <w:pPr>
              <w:rPr>
                <w:sz w:val="20"/>
                <w:szCs w:val="20"/>
                <w:lang w:eastAsia="en-US"/>
              </w:rPr>
            </w:pPr>
            <w:r w:rsidRPr="00A6230F">
              <w:rPr>
                <w:sz w:val="20"/>
                <w:szCs w:val="20"/>
                <w:lang w:eastAsia="en-US"/>
              </w:rPr>
              <w:t>1 (3.1)</w:t>
            </w:r>
          </w:p>
        </w:tc>
        <w:tc>
          <w:tcPr>
            <w:tcW w:w="900" w:type="pct"/>
            <w:hideMark/>
          </w:tcPr>
          <w:p w14:paraId="686DE7E4" w14:textId="77777777" w:rsidR="00A6230F" w:rsidRPr="00A6230F" w:rsidRDefault="00A6230F" w:rsidP="00A6230F">
            <w:pPr>
              <w:rPr>
                <w:sz w:val="20"/>
                <w:szCs w:val="20"/>
                <w:lang w:eastAsia="en-US"/>
              </w:rPr>
            </w:pPr>
            <w:r w:rsidRPr="00A6230F">
              <w:rPr>
                <w:sz w:val="20"/>
                <w:szCs w:val="20"/>
                <w:lang w:eastAsia="en-US"/>
              </w:rPr>
              <w:t>2 (0.8)</w:t>
            </w:r>
          </w:p>
        </w:tc>
      </w:tr>
      <w:tr w:rsidR="00A6230F" w:rsidRPr="00A6230F" w14:paraId="75AFF724" w14:textId="77777777" w:rsidTr="00D06CA8">
        <w:tc>
          <w:tcPr>
            <w:tcW w:w="1269" w:type="pct"/>
            <w:hideMark/>
          </w:tcPr>
          <w:p w14:paraId="71A2598A" w14:textId="77777777" w:rsidR="00A6230F" w:rsidRPr="00A6230F" w:rsidRDefault="00A6230F" w:rsidP="00A6230F">
            <w:pPr>
              <w:ind w:left="0" w:right="0"/>
              <w:rPr>
                <w:sz w:val="20"/>
                <w:szCs w:val="20"/>
                <w:lang w:eastAsia="en-US"/>
              </w:rPr>
            </w:pPr>
            <w:r w:rsidRPr="00A6230F">
              <w:rPr>
                <w:sz w:val="20"/>
                <w:szCs w:val="20"/>
                <w:lang w:eastAsia="en-US"/>
              </w:rPr>
              <w:t>Scleral haemorrhage</w:t>
            </w:r>
          </w:p>
        </w:tc>
        <w:tc>
          <w:tcPr>
            <w:tcW w:w="945" w:type="pct"/>
            <w:hideMark/>
          </w:tcPr>
          <w:p w14:paraId="7C51F59F" w14:textId="77777777" w:rsidR="00A6230F" w:rsidRPr="00A6230F" w:rsidRDefault="00A6230F" w:rsidP="00A6230F">
            <w:pPr>
              <w:rPr>
                <w:sz w:val="20"/>
                <w:szCs w:val="20"/>
                <w:lang w:eastAsia="en-US"/>
              </w:rPr>
            </w:pPr>
            <w:r w:rsidRPr="00A6230F">
              <w:rPr>
                <w:sz w:val="20"/>
                <w:szCs w:val="20"/>
                <w:lang w:eastAsia="en-US"/>
              </w:rPr>
              <w:t>2 (1.1)</w:t>
            </w:r>
          </w:p>
        </w:tc>
        <w:tc>
          <w:tcPr>
            <w:tcW w:w="945" w:type="pct"/>
            <w:hideMark/>
          </w:tcPr>
          <w:p w14:paraId="6F48C394" w14:textId="77777777" w:rsidR="00A6230F" w:rsidRPr="00A6230F" w:rsidRDefault="00A6230F" w:rsidP="00A6230F">
            <w:pPr>
              <w:rPr>
                <w:sz w:val="20"/>
                <w:szCs w:val="20"/>
                <w:lang w:eastAsia="en-US"/>
              </w:rPr>
            </w:pPr>
            <w:r w:rsidRPr="00A6230F">
              <w:rPr>
                <w:sz w:val="20"/>
                <w:szCs w:val="20"/>
                <w:lang w:eastAsia="en-US"/>
              </w:rPr>
              <w:t>0</w:t>
            </w:r>
          </w:p>
        </w:tc>
        <w:tc>
          <w:tcPr>
            <w:tcW w:w="941" w:type="pct"/>
            <w:hideMark/>
          </w:tcPr>
          <w:p w14:paraId="5583F77B" w14:textId="77777777" w:rsidR="00A6230F" w:rsidRPr="00A6230F" w:rsidRDefault="00A6230F" w:rsidP="00A6230F">
            <w:pPr>
              <w:rPr>
                <w:sz w:val="20"/>
                <w:szCs w:val="20"/>
                <w:lang w:eastAsia="en-US"/>
              </w:rPr>
            </w:pPr>
            <w:r w:rsidRPr="00A6230F">
              <w:rPr>
                <w:sz w:val="20"/>
                <w:szCs w:val="20"/>
                <w:lang w:eastAsia="en-US"/>
              </w:rPr>
              <w:t>1 (3.1)</w:t>
            </w:r>
          </w:p>
        </w:tc>
        <w:tc>
          <w:tcPr>
            <w:tcW w:w="900" w:type="pct"/>
            <w:hideMark/>
          </w:tcPr>
          <w:p w14:paraId="42BA071F" w14:textId="77777777" w:rsidR="00A6230F" w:rsidRPr="00A6230F" w:rsidRDefault="00A6230F" w:rsidP="00A6230F">
            <w:pPr>
              <w:rPr>
                <w:sz w:val="20"/>
                <w:szCs w:val="20"/>
                <w:lang w:eastAsia="en-US"/>
              </w:rPr>
            </w:pPr>
            <w:r w:rsidRPr="00A6230F">
              <w:rPr>
                <w:sz w:val="20"/>
                <w:szCs w:val="20"/>
                <w:lang w:eastAsia="en-US"/>
              </w:rPr>
              <w:t>2 (0.8)</w:t>
            </w:r>
          </w:p>
        </w:tc>
      </w:tr>
      <w:tr w:rsidR="00A6230F" w:rsidRPr="00A6230F" w14:paraId="10266548" w14:textId="77777777" w:rsidTr="00D06CA8">
        <w:tc>
          <w:tcPr>
            <w:tcW w:w="1269" w:type="pct"/>
            <w:hideMark/>
          </w:tcPr>
          <w:p w14:paraId="7AA919D5" w14:textId="77777777" w:rsidR="00A6230F" w:rsidRPr="00A6230F" w:rsidRDefault="00A6230F" w:rsidP="00A6230F">
            <w:pPr>
              <w:ind w:left="0"/>
              <w:rPr>
                <w:sz w:val="20"/>
                <w:szCs w:val="20"/>
                <w:lang w:eastAsia="en-US"/>
              </w:rPr>
            </w:pPr>
            <w:r w:rsidRPr="00A6230F">
              <w:rPr>
                <w:b/>
                <w:bCs/>
                <w:sz w:val="20"/>
                <w:szCs w:val="20"/>
                <w:lang w:eastAsia="en-US"/>
              </w:rPr>
              <w:t>Gastrointestinal disorders</w:t>
            </w:r>
          </w:p>
        </w:tc>
        <w:tc>
          <w:tcPr>
            <w:tcW w:w="945" w:type="pct"/>
            <w:hideMark/>
          </w:tcPr>
          <w:p w14:paraId="44510706" w14:textId="77777777" w:rsidR="00A6230F" w:rsidRPr="00A6230F" w:rsidRDefault="00A6230F" w:rsidP="00A6230F">
            <w:pPr>
              <w:rPr>
                <w:sz w:val="20"/>
                <w:szCs w:val="20"/>
                <w:lang w:eastAsia="en-US"/>
              </w:rPr>
            </w:pPr>
            <w:r w:rsidRPr="00A6230F">
              <w:rPr>
                <w:b/>
                <w:bCs/>
                <w:sz w:val="20"/>
                <w:szCs w:val="20"/>
                <w:lang w:eastAsia="en-US"/>
              </w:rPr>
              <w:t>32 (18.2)</w:t>
            </w:r>
          </w:p>
        </w:tc>
        <w:tc>
          <w:tcPr>
            <w:tcW w:w="945" w:type="pct"/>
            <w:hideMark/>
          </w:tcPr>
          <w:p w14:paraId="73875AC0" w14:textId="77777777" w:rsidR="00A6230F" w:rsidRPr="00A6230F" w:rsidRDefault="00A6230F" w:rsidP="00A6230F">
            <w:pPr>
              <w:rPr>
                <w:sz w:val="20"/>
                <w:szCs w:val="20"/>
                <w:lang w:eastAsia="en-US"/>
              </w:rPr>
            </w:pPr>
            <w:r w:rsidRPr="00A6230F">
              <w:rPr>
                <w:b/>
                <w:bCs/>
                <w:sz w:val="20"/>
                <w:szCs w:val="20"/>
                <w:lang w:eastAsia="en-US"/>
              </w:rPr>
              <w:t>21 (28.0)</w:t>
            </w:r>
          </w:p>
        </w:tc>
        <w:tc>
          <w:tcPr>
            <w:tcW w:w="941" w:type="pct"/>
            <w:hideMark/>
          </w:tcPr>
          <w:p w14:paraId="2AB17555" w14:textId="77777777" w:rsidR="00A6230F" w:rsidRPr="00A6230F" w:rsidRDefault="00A6230F" w:rsidP="00A6230F">
            <w:pPr>
              <w:rPr>
                <w:sz w:val="20"/>
                <w:szCs w:val="20"/>
                <w:lang w:eastAsia="en-US"/>
              </w:rPr>
            </w:pPr>
            <w:r w:rsidRPr="00A6230F">
              <w:rPr>
                <w:b/>
                <w:bCs/>
                <w:sz w:val="20"/>
                <w:szCs w:val="20"/>
                <w:lang w:eastAsia="en-US"/>
              </w:rPr>
              <w:t>16 (50.0)</w:t>
            </w:r>
          </w:p>
        </w:tc>
        <w:tc>
          <w:tcPr>
            <w:tcW w:w="900" w:type="pct"/>
            <w:hideMark/>
          </w:tcPr>
          <w:p w14:paraId="74EF01D6" w14:textId="77777777" w:rsidR="00A6230F" w:rsidRPr="00A6230F" w:rsidRDefault="00A6230F" w:rsidP="00A6230F">
            <w:pPr>
              <w:rPr>
                <w:sz w:val="20"/>
                <w:szCs w:val="20"/>
                <w:lang w:eastAsia="en-US"/>
              </w:rPr>
            </w:pPr>
            <w:r w:rsidRPr="00A6230F">
              <w:rPr>
                <w:b/>
                <w:bCs/>
                <w:sz w:val="20"/>
                <w:szCs w:val="20"/>
                <w:lang w:eastAsia="en-US"/>
              </w:rPr>
              <w:t>53 (21.1)</w:t>
            </w:r>
          </w:p>
        </w:tc>
      </w:tr>
      <w:tr w:rsidR="00A6230F" w:rsidRPr="00A6230F" w14:paraId="00CA2FD8" w14:textId="77777777" w:rsidTr="00D06CA8">
        <w:tc>
          <w:tcPr>
            <w:tcW w:w="1269" w:type="pct"/>
            <w:hideMark/>
          </w:tcPr>
          <w:p w14:paraId="2C083C6C" w14:textId="77777777" w:rsidR="00A6230F" w:rsidRPr="00A6230F" w:rsidRDefault="00A6230F" w:rsidP="00A6230F">
            <w:pPr>
              <w:ind w:left="0" w:right="0"/>
              <w:rPr>
                <w:sz w:val="20"/>
                <w:szCs w:val="20"/>
                <w:lang w:eastAsia="en-US"/>
              </w:rPr>
            </w:pPr>
            <w:r w:rsidRPr="00A6230F">
              <w:rPr>
                <w:sz w:val="20"/>
                <w:szCs w:val="20"/>
                <w:lang w:eastAsia="en-US"/>
              </w:rPr>
              <w:t>Gastrointestinal haemorrhage</w:t>
            </w:r>
          </w:p>
        </w:tc>
        <w:tc>
          <w:tcPr>
            <w:tcW w:w="945" w:type="pct"/>
            <w:hideMark/>
          </w:tcPr>
          <w:p w14:paraId="5302B6BA" w14:textId="77777777" w:rsidR="00A6230F" w:rsidRPr="00A6230F" w:rsidRDefault="00A6230F" w:rsidP="00A6230F">
            <w:pPr>
              <w:rPr>
                <w:sz w:val="20"/>
                <w:szCs w:val="20"/>
                <w:lang w:eastAsia="en-US"/>
              </w:rPr>
            </w:pPr>
            <w:r w:rsidRPr="00A6230F">
              <w:rPr>
                <w:sz w:val="20"/>
                <w:szCs w:val="20"/>
                <w:lang w:eastAsia="en-US"/>
              </w:rPr>
              <w:t>15 (8.5)</w:t>
            </w:r>
          </w:p>
        </w:tc>
        <w:tc>
          <w:tcPr>
            <w:tcW w:w="945" w:type="pct"/>
            <w:hideMark/>
          </w:tcPr>
          <w:p w14:paraId="2A28DFF4" w14:textId="77777777" w:rsidR="00A6230F" w:rsidRPr="00A6230F" w:rsidRDefault="00A6230F" w:rsidP="00A6230F">
            <w:pPr>
              <w:rPr>
                <w:sz w:val="20"/>
                <w:szCs w:val="20"/>
                <w:lang w:eastAsia="en-US"/>
              </w:rPr>
            </w:pPr>
            <w:r w:rsidRPr="00A6230F">
              <w:rPr>
                <w:sz w:val="20"/>
                <w:szCs w:val="20"/>
                <w:lang w:eastAsia="en-US"/>
              </w:rPr>
              <w:t>18 (24.0)</w:t>
            </w:r>
          </w:p>
        </w:tc>
        <w:tc>
          <w:tcPr>
            <w:tcW w:w="941" w:type="pct"/>
            <w:hideMark/>
          </w:tcPr>
          <w:p w14:paraId="7D245A12" w14:textId="77777777" w:rsidR="00A6230F" w:rsidRPr="00A6230F" w:rsidRDefault="00A6230F" w:rsidP="00A6230F">
            <w:pPr>
              <w:rPr>
                <w:sz w:val="20"/>
                <w:szCs w:val="20"/>
                <w:lang w:eastAsia="en-US"/>
              </w:rPr>
            </w:pPr>
            <w:r w:rsidRPr="00A6230F">
              <w:rPr>
                <w:sz w:val="20"/>
                <w:szCs w:val="20"/>
                <w:lang w:eastAsia="en-US"/>
              </w:rPr>
              <w:t>3 (9.4)</w:t>
            </w:r>
          </w:p>
        </w:tc>
        <w:tc>
          <w:tcPr>
            <w:tcW w:w="900" w:type="pct"/>
            <w:hideMark/>
          </w:tcPr>
          <w:p w14:paraId="76A05AD9" w14:textId="77777777" w:rsidR="00A6230F" w:rsidRPr="00A6230F" w:rsidRDefault="00A6230F" w:rsidP="00A6230F">
            <w:pPr>
              <w:rPr>
                <w:sz w:val="20"/>
                <w:szCs w:val="20"/>
                <w:lang w:eastAsia="en-US"/>
              </w:rPr>
            </w:pPr>
            <w:r w:rsidRPr="00A6230F">
              <w:rPr>
                <w:sz w:val="20"/>
                <w:szCs w:val="20"/>
                <w:lang w:eastAsia="en-US"/>
              </w:rPr>
              <w:t>33 (13.1)</w:t>
            </w:r>
          </w:p>
        </w:tc>
      </w:tr>
      <w:tr w:rsidR="00A6230F" w:rsidRPr="00A6230F" w14:paraId="6930DB39" w14:textId="77777777" w:rsidTr="00D06CA8">
        <w:tc>
          <w:tcPr>
            <w:tcW w:w="1269" w:type="pct"/>
            <w:hideMark/>
          </w:tcPr>
          <w:p w14:paraId="679A326E" w14:textId="77777777" w:rsidR="00A6230F" w:rsidRPr="00A6230F" w:rsidRDefault="00A6230F" w:rsidP="00A6230F">
            <w:pPr>
              <w:ind w:left="0" w:right="0"/>
              <w:rPr>
                <w:sz w:val="20"/>
                <w:szCs w:val="20"/>
                <w:lang w:eastAsia="en-US"/>
              </w:rPr>
            </w:pPr>
            <w:r w:rsidRPr="00A6230F">
              <w:rPr>
                <w:sz w:val="20"/>
                <w:szCs w:val="20"/>
                <w:lang w:eastAsia="en-US"/>
              </w:rPr>
              <w:t>Hematemesis</w:t>
            </w:r>
          </w:p>
        </w:tc>
        <w:tc>
          <w:tcPr>
            <w:tcW w:w="945" w:type="pct"/>
            <w:hideMark/>
          </w:tcPr>
          <w:p w14:paraId="218D9250" w14:textId="77777777" w:rsidR="00A6230F" w:rsidRPr="00A6230F" w:rsidRDefault="00A6230F" w:rsidP="00A6230F">
            <w:pPr>
              <w:rPr>
                <w:sz w:val="20"/>
                <w:szCs w:val="20"/>
                <w:lang w:eastAsia="en-US"/>
              </w:rPr>
            </w:pPr>
            <w:r w:rsidRPr="00A6230F">
              <w:rPr>
                <w:sz w:val="20"/>
                <w:szCs w:val="20"/>
                <w:lang w:eastAsia="en-US"/>
              </w:rPr>
              <w:t>9 (5.1)</w:t>
            </w:r>
          </w:p>
        </w:tc>
        <w:tc>
          <w:tcPr>
            <w:tcW w:w="945" w:type="pct"/>
            <w:hideMark/>
          </w:tcPr>
          <w:p w14:paraId="4F32B8AA" w14:textId="77777777" w:rsidR="00A6230F" w:rsidRPr="00A6230F" w:rsidRDefault="00A6230F" w:rsidP="00A6230F">
            <w:pPr>
              <w:rPr>
                <w:sz w:val="20"/>
                <w:szCs w:val="20"/>
                <w:lang w:eastAsia="en-US"/>
              </w:rPr>
            </w:pPr>
            <w:r w:rsidRPr="00A6230F">
              <w:rPr>
                <w:sz w:val="20"/>
                <w:szCs w:val="20"/>
                <w:lang w:eastAsia="en-US"/>
              </w:rPr>
              <w:t>4 (5.3)</w:t>
            </w:r>
          </w:p>
        </w:tc>
        <w:tc>
          <w:tcPr>
            <w:tcW w:w="941" w:type="pct"/>
            <w:hideMark/>
          </w:tcPr>
          <w:p w14:paraId="67E33509" w14:textId="77777777" w:rsidR="00A6230F" w:rsidRPr="00A6230F" w:rsidRDefault="00A6230F" w:rsidP="00A6230F">
            <w:pPr>
              <w:rPr>
                <w:sz w:val="20"/>
                <w:szCs w:val="20"/>
                <w:lang w:eastAsia="en-US"/>
              </w:rPr>
            </w:pPr>
            <w:r w:rsidRPr="00A6230F">
              <w:rPr>
                <w:sz w:val="20"/>
                <w:szCs w:val="20"/>
                <w:lang w:eastAsia="en-US"/>
              </w:rPr>
              <w:t>3 (9.4)</w:t>
            </w:r>
          </w:p>
        </w:tc>
        <w:tc>
          <w:tcPr>
            <w:tcW w:w="900" w:type="pct"/>
            <w:hideMark/>
          </w:tcPr>
          <w:p w14:paraId="12768DF6" w14:textId="77777777" w:rsidR="00A6230F" w:rsidRPr="00A6230F" w:rsidRDefault="00A6230F" w:rsidP="00A6230F">
            <w:pPr>
              <w:rPr>
                <w:sz w:val="20"/>
                <w:szCs w:val="20"/>
                <w:lang w:eastAsia="en-US"/>
              </w:rPr>
            </w:pPr>
            <w:r w:rsidRPr="00A6230F">
              <w:rPr>
                <w:sz w:val="20"/>
                <w:szCs w:val="20"/>
                <w:lang w:eastAsia="en-US"/>
              </w:rPr>
              <w:t>13 (5.2)</w:t>
            </w:r>
          </w:p>
        </w:tc>
      </w:tr>
      <w:tr w:rsidR="00A6230F" w:rsidRPr="00A6230F" w14:paraId="1D9F420C" w14:textId="77777777" w:rsidTr="00D06CA8">
        <w:tc>
          <w:tcPr>
            <w:tcW w:w="1269" w:type="pct"/>
            <w:hideMark/>
          </w:tcPr>
          <w:p w14:paraId="12571724" w14:textId="77777777" w:rsidR="00A6230F" w:rsidRPr="00A6230F" w:rsidRDefault="00A6230F" w:rsidP="00A6230F">
            <w:pPr>
              <w:ind w:left="0" w:right="0"/>
              <w:rPr>
                <w:sz w:val="20"/>
                <w:szCs w:val="20"/>
                <w:lang w:eastAsia="en-US"/>
              </w:rPr>
            </w:pPr>
            <w:r w:rsidRPr="00A6230F">
              <w:rPr>
                <w:sz w:val="20"/>
                <w:szCs w:val="20"/>
                <w:lang w:eastAsia="en-US"/>
              </w:rPr>
              <w:lastRenderedPageBreak/>
              <w:t>Mouth haemorrhage</w:t>
            </w:r>
          </w:p>
        </w:tc>
        <w:tc>
          <w:tcPr>
            <w:tcW w:w="945" w:type="pct"/>
            <w:hideMark/>
          </w:tcPr>
          <w:p w14:paraId="321F761A" w14:textId="77777777" w:rsidR="00A6230F" w:rsidRPr="00A6230F" w:rsidRDefault="00A6230F" w:rsidP="00A6230F">
            <w:pPr>
              <w:rPr>
                <w:sz w:val="20"/>
                <w:szCs w:val="20"/>
                <w:lang w:eastAsia="en-US"/>
              </w:rPr>
            </w:pPr>
            <w:r w:rsidRPr="00A6230F">
              <w:rPr>
                <w:sz w:val="20"/>
                <w:szCs w:val="20"/>
                <w:lang w:eastAsia="en-US"/>
              </w:rPr>
              <w:t>4 (2.3)</w:t>
            </w:r>
          </w:p>
        </w:tc>
        <w:tc>
          <w:tcPr>
            <w:tcW w:w="945" w:type="pct"/>
            <w:hideMark/>
          </w:tcPr>
          <w:p w14:paraId="7C029BDB" w14:textId="77777777" w:rsidR="00A6230F" w:rsidRPr="00A6230F" w:rsidRDefault="00A6230F" w:rsidP="00A6230F">
            <w:pPr>
              <w:rPr>
                <w:sz w:val="20"/>
                <w:szCs w:val="20"/>
                <w:lang w:eastAsia="en-US"/>
              </w:rPr>
            </w:pPr>
            <w:r w:rsidRPr="00A6230F">
              <w:rPr>
                <w:sz w:val="20"/>
                <w:szCs w:val="20"/>
                <w:lang w:eastAsia="en-US"/>
              </w:rPr>
              <w:t>0</w:t>
            </w:r>
          </w:p>
        </w:tc>
        <w:tc>
          <w:tcPr>
            <w:tcW w:w="941" w:type="pct"/>
            <w:hideMark/>
          </w:tcPr>
          <w:p w14:paraId="0B222DA7" w14:textId="77777777" w:rsidR="00A6230F" w:rsidRPr="00A6230F" w:rsidRDefault="00A6230F" w:rsidP="00A6230F">
            <w:pPr>
              <w:rPr>
                <w:sz w:val="20"/>
                <w:szCs w:val="20"/>
                <w:lang w:eastAsia="en-US"/>
              </w:rPr>
            </w:pPr>
            <w:r w:rsidRPr="00A6230F">
              <w:rPr>
                <w:sz w:val="20"/>
                <w:szCs w:val="20"/>
                <w:lang w:eastAsia="en-US"/>
              </w:rPr>
              <w:t>3 (9.4)</w:t>
            </w:r>
          </w:p>
        </w:tc>
        <w:tc>
          <w:tcPr>
            <w:tcW w:w="900" w:type="pct"/>
            <w:hideMark/>
          </w:tcPr>
          <w:p w14:paraId="393E1458" w14:textId="77777777" w:rsidR="00A6230F" w:rsidRPr="00A6230F" w:rsidRDefault="00A6230F" w:rsidP="00A6230F">
            <w:pPr>
              <w:rPr>
                <w:sz w:val="20"/>
                <w:szCs w:val="20"/>
                <w:lang w:eastAsia="en-US"/>
              </w:rPr>
            </w:pPr>
            <w:r w:rsidRPr="00A6230F">
              <w:rPr>
                <w:sz w:val="20"/>
                <w:szCs w:val="20"/>
                <w:lang w:eastAsia="en-US"/>
              </w:rPr>
              <w:t>4 (1.6)</w:t>
            </w:r>
          </w:p>
        </w:tc>
      </w:tr>
      <w:tr w:rsidR="00A6230F" w:rsidRPr="00A6230F" w14:paraId="22DBF5A5" w14:textId="77777777" w:rsidTr="00D06CA8">
        <w:tc>
          <w:tcPr>
            <w:tcW w:w="1269" w:type="pct"/>
            <w:hideMark/>
          </w:tcPr>
          <w:p w14:paraId="01B5842E" w14:textId="77777777" w:rsidR="00A6230F" w:rsidRPr="00A6230F" w:rsidRDefault="00A6230F" w:rsidP="00A6230F">
            <w:pPr>
              <w:ind w:left="0" w:right="0"/>
              <w:rPr>
                <w:sz w:val="20"/>
                <w:szCs w:val="20"/>
                <w:lang w:eastAsia="en-US"/>
              </w:rPr>
            </w:pPr>
            <w:r w:rsidRPr="00A6230F">
              <w:rPr>
                <w:sz w:val="20"/>
                <w:szCs w:val="20"/>
                <w:lang w:eastAsia="en-US"/>
              </w:rPr>
              <w:t>Upper gastrointestinal haemorrhage</w:t>
            </w:r>
          </w:p>
        </w:tc>
        <w:tc>
          <w:tcPr>
            <w:tcW w:w="945" w:type="pct"/>
            <w:hideMark/>
          </w:tcPr>
          <w:p w14:paraId="2B9C8692" w14:textId="77777777" w:rsidR="00A6230F" w:rsidRPr="00A6230F" w:rsidRDefault="00A6230F" w:rsidP="00A6230F">
            <w:pPr>
              <w:rPr>
                <w:sz w:val="20"/>
                <w:szCs w:val="20"/>
                <w:lang w:eastAsia="en-US"/>
              </w:rPr>
            </w:pPr>
            <w:r w:rsidRPr="00A6230F">
              <w:rPr>
                <w:sz w:val="20"/>
                <w:szCs w:val="20"/>
                <w:lang w:eastAsia="en-US"/>
              </w:rPr>
              <w:t>1 (0.6)</w:t>
            </w:r>
          </w:p>
        </w:tc>
        <w:tc>
          <w:tcPr>
            <w:tcW w:w="945" w:type="pct"/>
            <w:hideMark/>
          </w:tcPr>
          <w:p w14:paraId="2EE348D0" w14:textId="77777777" w:rsidR="00A6230F" w:rsidRPr="00A6230F" w:rsidRDefault="00A6230F" w:rsidP="00A6230F">
            <w:pPr>
              <w:rPr>
                <w:sz w:val="20"/>
                <w:szCs w:val="20"/>
                <w:lang w:eastAsia="en-US"/>
              </w:rPr>
            </w:pPr>
            <w:r w:rsidRPr="00A6230F">
              <w:rPr>
                <w:sz w:val="20"/>
                <w:szCs w:val="20"/>
                <w:lang w:eastAsia="en-US"/>
              </w:rPr>
              <w:t>2 (2.7)</w:t>
            </w:r>
          </w:p>
        </w:tc>
        <w:tc>
          <w:tcPr>
            <w:tcW w:w="941" w:type="pct"/>
            <w:hideMark/>
          </w:tcPr>
          <w:p w14:paraId="606D1FC3" w14:textId="77777777" w:rsidR="00A6230F" w:rsidRPr="00A6230F" w:rsidRDefault="00A6230F" w:rsidP="00A6230F">
            <w:pPr>
              <w:rPr>
                <w:sz w:val="20"/>
                <w:szCs w:val="20"/>
                <w:lang w:eastAsia="en-US"/>
              </w:rPr>
            </w:pPr>
            <w:r w:rsidRPr="00A6230F">
              <w:rPr>
                <w:sz w:val="20"/>
                <w:szCs w:val="20"/>
                <w:lang w:eastAsia="en-US"/>
              </w:rPr>
              <w:t>1 (1.3)</w:t>
            </w:r>
          </w:p>
        </w:tc>
        <w:tc>
          <w:tcPr>
            <w:tcW w:w="900" w:type="pct"/>
            <w:hideMark/>
          </w:tcPr>
          <w:p w14:paraId="556871A0" w14:textId="77777777" w:rsidR="00A6230F" w:rsidRPr="00A6230F" w:rsidRDefault="00A6230F" w:rsidP="00A6230F">
            <w:pPr>
              <w:rPr>
                <w:sz w:val="20"/>
                <w:szCs w:val="20"/>
                <w:lang w:eastAsia="en-US"/>
              </w:rPr>
            </w:pPr>
            <w:r w:rsidRPr="00A6230F">
              <w:rPr>
                <w:sz w:val="20"/>
                <w:szCs w:val="20"/>
                <w:lang w:eastAsia="en-US"/>
              </w:rPr>
              <w:t>3 (1.2)</w:t>
            </w:r>
          </w:p>
        </w:tc>
      </w:tr>
      <w:tr w:rsidR="00A6230F" w:rsidRPr="00A6230F" w14:paraId="24132B47" w14:textId="77777777" w:rsidTr="00D06CA8">
        <w:tc>
          <w:tcPr>
            <w:tcW w:w="1269" w:type="pct"/>
            <w:hideMark/>
          </w:tcPr>
          <w:p w14:paraId="6B6B91B5" w14:textId="77777777" w:rsidR="00A6230F" w:rsidRPr="00A6230F" w:rsidRDefault="00A6230F" w:rsidP="00A6230F">
            <w:pPr>
              <w:ind w:left="0" w:right="0"/>
              <w:rPr>
                <w:sz w:val="20"/>
                <w:szCs w:val="20"/>
                <w:lang w:eastAsia="en-US"/>
              </w:rPr>
            </w:pPr>
            <w:r w:rsidRPr="00A6230F">
              <w:rPr>
                <w:sz w:val="20"/>
                <w:szCs w:val="20"/>
                <w:lang w:eastAsia="en-US"/>
              </w:rPr>
              <w:t>Lip haemorrhage</w:t>
            </w:r>
          </w:p>
        </w:tc>
        <w:tc>
          <w:tcPr>
            <w:tcW w:w="945" w:type="pct"/>
            <w:hideMark/>
          </w:tcPr>
          <w:p w14:paraId="18C1B3A2" w14:textId="77777777" w:rsidR="00A6230F" w:rsidRPr="00A6230F" w:rsidRDefault="00A6230F" w:rsidP="00A6230F">
            <w:pPr>
              <w:rPr>
                <w:sz w:val="20"/>
                <w:szCs w:val="20"/>
                <w:lang w:eastAsia="en-US"/>
              </w:rPr>
            </w:pPr>
            <w:r w:rsidRPr="00A6230F">
              <w:rPr>
                <w:sz w:val="20"/>
                <w:szCs w:val="20"/>
                <w:lang w:eastAsia="en-US"/>
              </w:rPr>
              <w:t>2 (1.1)</w:t>
            </w:r>
          </w:p>
        </w:tc>
        <w:tc>
          <w:tcPr>
            <w:tcW w:w="945" w:type="pct"/>
            <w:hideMark/>
          </w:tcPr>
          <w:p w14:paraId="5A151076" w14:textId="77777777" w:rsidR="00A6230F" w:rsidRPr="00A6230F" w:rsidRDefault="00A6230F" w:rsidP="00A6230F">
            <w:pPr>
              <w:rPr>
                <w:sz w:val="20"/>
                <w:szCs w:val="20"/>
                <w:lang w:eastAsia="en-US"/>
              </w:rPr>
            </w:pPr>
            <w:r w:rsidRPr="00A6230F">
              <w:rPr>
                <w:sz w:val="20"/>
                <w:szCs w:val="20"/>
                <w:lang w:eastAsia="en-US"/>
              </w:rPr>
              <w:t>0</w:t>
            </w:r>
          </w:p>
        </w:tc>
        <w:tc>
          <w:tcPr>
            <w:tcW w:w="941" w:type="pct"/>
            <w:hideMark/>
          </w:tcPr>
          <w:p w14:paraId="75256B10" w14:textId="77777777" w:rsidR="00A6230F" w:rsidRPr="00A6230F" w:rsidRDefault="00A6230F" w:rsidP="00A6230F">
            <w:pPr>
              <w:rPr>
                <w:sz w:val="20"/>
                <w:szCs w:val="20"/>
                <w:lang w:eastAsia="en-US"/>
              </w:rPr>
            </w:pPr>
            <w:r w:rsidRPr="00A6230F">
              <w:rPr>
                <w:sz w:val="20"/>
                <w:szCs w:val="20"/>
                <w:lang w:eastAsia="en-US"/>
              </w:rPr>
              <w:t>4 (12.5)</w:t>
            </w:r>
          </w:p>
        </w:tc>
        <w:tc>
          <w:tcPr>
            <w:tcW w:w="900" w:type="pct"/>
            <w:hideMark/>
          </w:tcPr>
          <w:p w14:paraId="378929BE" w14:textId="77777777" w:rsidR="00A6230F" w:rsidRPr="00A6230F" w:rsidRDefault="00A6230F" w:rsidP="00A6230F">
            <w:pPr>
              <w:rPr>
                <w:sz w:val="20"/>
                <w:szCs w:val="20"/>
                <w:lang w:eastAsia="en-US"/>
              </w:rPr>
            </w:pPr>
            <w:r w:rsidRPr="00A6230F">
              <w:rPr>
                <w:sz w:val="20"/>
                <w:szCs w:val="20"/>
                <w:lang w:eastAsia="en-US"/>
              </w:rPr>
              <w:t>2 (0.8)</w:t>
            </w:r>
          </w:p>
        </w:tc>
      </w:tr>
      <w:tr w:rsidR="00A6230F" w:rsidRPr="00A6230F" w14:paraId="2B49F2E1" w14:textId="77777777" w:rsidTr="00D06CA8">
        <w:tc>
          <w:tcPr>
            <w:tcW w:w="1269" w:type="pct"/>
            <w:hideMark/>
          </w:tcPr>
          <w:p w14:paraId="0E7000B0" w14:textId="77777777" w:rsidR="00A6230F" w:rsidRPr="00A6230F" w:rsidRDefault="00A6230F" w:rsidP="00A6230F">
            <w:pPr>
              <w:ind w:left="0" w:right="0"/>
              <w:rPr>
                <w:sz w:val="20"/>
                <w:szCs w:val="20"/>
                <w:lang w:eastAsia="en-US"/>
              </w:rPr>
            </w:pPr>
            <w:r w:rsidRPr="00A6230F">
              <w:rPr>
                <w:sz w:val="20"/>
                <w:szCs w:val="20"/>
                <w:lang w:eastAsia="en-US"/>
              </w:rPr>
              <w:t>Rectal haemorrhage</w:t>
            </w:r>
          </w:p>
        </w:tc>
        <w:tc>
          <w:tcPr>
            <w:tcW w:w="945" w:type="pct"/>
            <w:hideMark/>
          </w:tcPr>
          <w:p w14:paraId="79D714C2" w14:textId="77777777" w:rsidR="00A6230F" w:rsidRPr="00A6230F" w:rsidRDefault="00A6230F" w:rsidP="00A6230F">
            <w:pPr>
              <w:rPr>
                <w:sz w:val="20"/>
                <w:szCs w:val="20"/>
                <w:lang w:eastAsia="en-US"/>
              </w:rPr>
            </w:pPr>
            <w:r w:rsidRPr="00A6230F">
              <w:rPr>
                <w:sz w:val="20"/>
                <w:szCs w:val="20"/>
                <w:lang w:eastAsia="en-US"/>
              </w:rPr>
              <w:t>2 (1.1)</w:t>
            </w:r>
          </w:p>
        </w:tc>
        <w:tc>
          <w:tcPr>
            <w:tcW w:w="945" w:type="pct"/>
            <w:hideMark/>
          </w:tcPr>
          <w:p w14:paraId="4B4458DA" w14:textId="77777777" w:rsidR="00A6230F" w:rsidRPr="00A6230F" w:rsidRDefault="00A6230F" w:rsidP="00A6230F">
            <w:pPr>
              <w:rPr>
                <w:sz w:val="20"/>
                <w:szCs w:val="20"/>
                <w:lang w:eastAsia="en-US"/>
              </w:rPr>
            </w:pPr>
            <w:r w:rsidRPr="00A6230F">
              <w:rPr>
                <w:sz w:val="20"/>
                <w:szCs w:val="20"/>
                <w:lang w:eastAsia="en-US"/>
              </w:rPr>
              <w:t>0</w:t>
            </w:r>
          </w:p>
        </w:tc>
        <w:tc>
          <w:tcPr>
            <w:tcW w:w="941" w:type="pct"/>
            <w:hideMark/>
          </w:tcPr>
          <w:p w14:paraId="18117F23" w14:textId="77777777" w:rsidR="00A6230F" w:rsidRPr="00A6230F" w:rsidRDefault="00A6230F" w:rsidP="00A6230F">
            <w:pPr>
              <w:rPr>
                <w:sz w:val="20"/>
                <w:szCs w:val="20"/>
                <w:lang w:eastAsia="en-US"/>
              </w:rPr>
            </w:pPr>
            <w:r w:rsidRPr="00A6230F">
              <w:rPr>
                <w:sz w:val="20"/>
                <w:szCs w:val="20"/>
                <w:lang w:eastAsia="en-US"/>
              </w:rPr>
              <w:t>0</w:t>
            </w:r>
          </w:p>
        </w:tc>
        <w:tc>
          <w:tcPr>
            <w:tcW w:w="900" w:type="pct"/>
            <w:hideMark/>
          </w:tcPr>
          <w:p w14:paraId="72471051" w14:textId="77777777" w:rsidR="00A6230F" w:rsidRPr="00A6230F" w:rsidRDefault="00A6230F" w:rsidP="00A6230F">
            <w:pPr>
              <w:rPr>
                <w:sz w:val="20"/>
                <w:szCs w:val="20"/>
                <w:lang w:eastAsia="en-US"/>
              </w:rPr>
            </w:pPr>
            <w:r w:rsidRPr="00A6230F">
              <w:rPr>
                <w:sz w:val="20"/>
                <w:szCs w:val="20"/>
                <w:lang w:eastAsia="en-US"/>
              </w:rPr>
              <w:t>2 (0.8)</w:t>
            </w:r>
          </w:p>
        </w:tc>
      </w:tr>
      <w:tr w:rsidR="00A6230F" w:rsidRPr="00A6230F" w14:paraId="543A6454" w14:textId="77777777" w:rsidTr="00D06CA8">
        <w:tc>
          <w:tcPr>
            <w:tcW w:w="1269" w:type="pct"/>
            <w:hideMark/>
          </w:tcPr>
          <w:p w14:paraId="4EF77A87" w14:textId="77777777" w:rsidR="00A6230F" w:rsidRPr="00A6230F" w:rsidRDefault="00A6230F" w:rsidP="00A6230F">
            <w:pPr>
              <w:ind w:left="0" w:right="0"/>
              <w:rPr>
                <w:sz w:val="20"/>
                <w:szCs w:val="20"/>
                <w:lang w:eastAsia="en-US"/>
              </w:rPr>
            </w:pPr>
            <w:r w:rsidRPr="00A6230F">
              <w:rPr>
                <w:sz w:val="20"/>
                <w:szCs w:val="20"/>
                <w:lang w:eastAsia="en-US"/>
              </w:rPr>
              <w:t>Hematochezia</w:t>
            </w:r>
          </w:p>
        </w:tc>
        <w:tc>
          <w:tcPr>
            <w:tcW w:w="945" w:type="pct"/>
            <w:hideMark/>
          </w:tcPr>
          <w:p w14:paraId="07247040" w14:textId="77777777" w:rsidR="00A6230F" w:rsidRPr="00A6230F" w:rsidRDefault="00A6230F" w:rsidP="00A6230F">
            <w:pPr>
              <w:rPr>
                <w:sz w:val="20"/>
                <w:szCs w:val="20"/>
                <w:lang w:eastAsia="en-US"/>
              </w:rPr>
            </w:pPr>
            <w:r w:rsidRPr="00A6230F">
              <w:rPr>
                <w:sz w:val="20"/>
                <w:szCs w:val="20"/>
                <w:lang w:eastAsia="en-US"/>
              </w:rPr>
              <w:t>1 (0.6)</w:t>
            </w:r>
          </w:p>
        </w:tc>
        <w:tc>
          <w:tcPr>
            <w:tcW w:w="945" w:type="pct"/>
            <w:hideMark/>
          </w:tcPr>
          <w:p w14:paraId="1BF30D9C" w14:textId="77777777" w:rsidR="00A6230F" w:rsidRPr="00A6230F" w:rsidRDefault="00A6230F" w:rsidP="00A6230F">
            <w:pPr>
              <w:rPr>
                <w:sz w:val="20"/>
                <w:szCs w:val="20"/>
                <w:lang w:eastAsia="en-US"/>
              </w:rPr>
            </w:pPr>
            <w:r w:rsidRPr="00A6230F">
              <w:rPr>
                <w:sz w:val="20"/>
                <w:szCs w:val="20"/>
                <w:lang w:eastAsia="en-US"/>
              </w:rPr>
              <w:t>0</w:t>
            </w:r>
          </w:p>
        </w:tc>
        <w:tc>
          <w:tcPr>
            <w:tcW w:w="941" w:type="pct"/>
            <w:hideMark/>
          </w:tcPr>
          <w:p w14:paraId="565DE2A7" w14:textId="77777777" w:rsidR="00A6230F" w:rsidRPr="00A6230F" w:rsidRDefault="00A6230F" w:rsidP="00A6230F">
            <w:pPr>
              <w:rPr>
                <w:sz w:val="20"/>
                <w:szCs w:val="20"/>
                <w:lang w:eastAsia="en-US"/>
              </w:rPr>
            </w:pPr>
            <w:r w:rsidRPr="00A6230F">
              <w:rPr>
                <w:sz w:val="20"/>
                <w:szCs w:val="20"/>
                <w:lang w:eastAsia="en-US"/>
              </w:rPr>
              <w:t>3 (9.4)</w:t>
            </w:r>
          </w:p>
        </w:tc>
        <w:tc>
          <w:tcPr>
            <w:tcW w:w="900" w:type="pct"/>
            <w:hideMark/>
          </w:tcPr>
          <w:p w14:paraId="6ACCF75C" w14:textId="77777777" w:rsidR="00A6230F" w:rsidRPr="00A6230F" w:rsidRDefault="00A6230F" w:rsidP="00A6230F">
            <w:pPr>
              <w:rPr>
                <w:sz w:val="20"/>
                <w:szCs w:val="20"/>
                <w:lang w:eastAsia="en-US"/>
              </w:rPr>
            </w:pPr>
            <w:r w:rsidRPr="00A6230F">
              <w:rPr>
                <w:sz w:val="20"/>
                <w:szCs w:val="20"/>
                <w:lang w:eastAsia="en-US"/>
              </w:rPr>
              <w:t>1 (0.4)</w:t>
            </w:r>
          </w:p>
        </w:tc>
      </w:tr>
      <w:tr w:rsidR="00A6230F" w:rsidRPr="00A6230F" w14:paraId="207C794D" w14:textId="77777777" w:rsidTr="00D06CA8">
        <w:tc>
          <w:tcPr>
            <w:tcW w:w="1269" w:type="pct"/>
            <w:hideMark/>
          </w:tcPr>
          <w:p w14:paraId="5F27D789" w14:textId="77777777" w:rsidR="00A6230F" w:rsidRPr="00A6230F" w:rsidRDefault="00A6230F" w:rsidP="00A6230F">
            <w:pPr>
              <w:ind w:left="0" w:right="0"/>
              <w:rPr>
                <w:sz w:val="20"/>
                <w:szCs w:val="20"/>
                <w:lang w:eastAsia="en-US"/>
              </w:rPr>
            </w:pPr>
            <w:r w:rsidRPr="00A6230F">
              <w:rPr>
                <w:sz w:val="20"/>
                <w:szCs w:val="20"/>
                <w:lang w:eastAsia="en-US"/>
              </w:rPr>
              <w:t>Haemorrhoidal haemorrhage</w:t>
            </w:r>
          </w:p>
        </w:tc>
        <w:tc>
          <w:tcPr>
            <w:tcW w:w="945" w:type="pct"/>
            <w:hideMark/>
          </w:tcPr>
          <w:p w14:paraId="168487A0" w14:textId="77777777" w:rsidR="00A6230F" w:rsidRPr="00A6230F" w:rsidRDefault="00A6230F" w:rsidP="00A6230F">
            <w:pPr>
              <w:rPr>
                <w:sz w:val="20"/>
                <w:szCs w:val="20"/>
                <w:lang w:eastAsia="en-US"/>
              </w:rPr>
            </w:pPr>
            <w:r w:rsidRPr="00A6230F">
              <w:rPr>
                <w:sz w:val="20"/>
                <w:szCs w:val="20"/>
                <w:lang w:eastAsia="en-US"/>
              </w:rPr>
              <w:t>0</w:t>
            </w:r>
          </w:p>
        </w:tc>
        <w:tc>
          <w:tcPr>
            <w:tcW w:w="945" w:type="pct"/>
            <w:hideMark/>
          </w:tcPr>
          <w:p w14:paraId="7553CB54" w14:textId="77777777" w:rsidR="00A6230F" w:rsidRPr="00A6230F" w:rsidRDefault="00A6230F" w:rsidP="00A6230F">
            <w:pPr>
              <w:rPr>
                <w:sz w:val="20"/>
                <w:szCs w:val="20"/>
                <w:lang w:eastAsia="en-US"/>
              </w:rPr>
            </w:pPr>
            <w:r w:rsidRPr="00A6230F">
              <w:rPr>
                <w:sz w:val="20"/>
                <w:szCs w:val="20"/>
                <w:lang w:eastAsia="en-US"/>
              </w:rPr>
              <w:t>1 (1.3)</w:t>
            </w:r>
          </w:p>
        </w:tc>
        <w:tc>
          <w:tcPr>
            <w:tcW w:w="941" w:type="pct"/>
            <w:hideMark/>
          </w:tcPr>
          <w:p w14:paraId="2AAC5D4A" w14:textId="77777777" w:rsidR="00A6230F" w:rsidRPr="00A6230F" w:rsidRDefault="00A6230F" w:rsidP="00A6230F">
            <w:pPr>
              <w:rPr>
                <w:sz w:val="20"/>
                <w:szCs w:val="20"/>
                <w:lang w:eastAsia="en-US"/>
              </w:rPr>
            </w:pPr>
            <w:r w:rsidRPr="00A6230F">
              <w:rPr>
                <w:sz w:val="20"/>
                <w:szCs w:val="20"/>
                <w:lang w:eastAsia="en-US"/>
              </w:rPr>
              <w:t>0</w:t>
            </w:r>
          </w:p>
        </w:tc>
        <w:tc>
          <w:tcPr>
            <w:tcW w:w="900" w:type="pct"/>
            <w:hideMark/>
          </w:tcPr>
          <w:p w14:paraId="31839874" w14:textId="77777777" w:rsidR="00A6230F" w:rsidRPr="00A6230F" w:rsidRDefault="00A6230F" w:rsidP="00A6230F">
            <w:pPr>
              <w:rPr>
                <w:sz w:val="20"/>
                <w:szCs w:val="20"/>
                <w:lang w:eastAsia="en-US"/>
              </w:rPr>
            </w:pPr>
            <w:r w:rsidRPr="00A6230F">
              <w:rPr>
                <w:sz w:val="20"/>
                <w:szCs w:val="20"/>
                <w:lang w:eastAsia="en-US"/>
              </w:rPr>
              <w:t>1 (0.4)</w:t>
            </w:r>
          </w:p>
        </w:tc>
      </w:tr>
      <w:tr w:rsidR="00A6230F" w:rsidRPr="00A6230F" w14:paraId="5E645677" w14:textId="77777777" w:rsidTr="00D06CA8">
        <w:tc>
          <w:tcPr>
            <w:tcW w:w="1269" w:type="pct"/>
            <w:hideMark/>
          </w:tcPr>
          <w:p w14:paraId="62464CAC" w14:textId="77777777" w:rsidR="00A6230F" w:rsidRPr="00A6230F" w:rsidRDefault="00A6230F" w:rsidP="00A6230F">
            <w:pPr>
              <w:ind w:left="0" w:right="0"/>
              <w:rPr>
                <w:sz w:val="20"/>
                <w:szCs w:val="20"/>
                <w:lang w:eastAsia="en-US"/>
              </w:rPr>
            </w:pPr>
            <w:r w:rsidRPr="00A6230F">
              <w:rPr>
                <w:sz w:val="20"/>
                <w:szCs w:val="20"/>
                <w:lang w:eastAsia="en-US"/>
              </w:rPr>
              <w:t>Melena</w:t>
            </w:r>
          </w:p>
        </w:tc>
        <w:tc>
          <w:tcPr>
            <w:tcW w:w="945" w:type="pct"/>
            <w:hideMark/>
          </w:tcPr>
          <w:p w14:paraId="3DF84A30" w14:textId="77777777" w:rsidR="00A6230F" w:rsidRPr="00A6230F" w:rsidRDefault="00A6230F" w:rsidP="00A6230F">
            <w:pPr>
              <w:ind w:right="0"/>
              <w:rPr>
                <w:sz w:val="20"/>
                <w:szCs w:val="20"/>
                <w:lang w:eastAsia="en-US"/>
              </w:rPr>
            </w:pPr>
            <w:r w:rsidRPr="00A6230F">
              <w:rPr>
                <w:sz w:val="20"/>
                <w:szCs w:val="20"/>
                <w:lang w:eastAsia="en-US"/>
              </w:rPr>
              <w:t>1 (0.6)</w:t>
            </w:r>
          </w:p>
        </w:tc>
        <w:tc>
          <w:tcPr>
            <w:tcW w:w="945" w:type="pct"/>
            <w:hideMark/>
          </w:tcPr>
          <w:p w14:paraId="7942D5E5" w14:textId="77777777" w:rsidR="00A6230F" w:rsidRPr="00A6230F" w:rsidRDefault="00A6230F" w:rsidP="00A6230F">
            <w:pPr>
              <w:ind w:right="0"/>
              <w:rPr>
                <w:sz w:val="20"/>
                <w:szCs w:val="20"/>
                <w:lang w:eastAsia="en-US"/>
              </w:rPr>
            </w:pPr>
            <w:r w:rsidRPr="00A6230F">
              <w:rPr>
                <w:sz w:val="20"/>
                <w:szCs w:val="20"/>
                <w:lang w:eastAsia="en-US"/>
              </w:rPr>
              <w:t>0</w:t>
            </w:r>
          </w:p>
        </w:tc>
        <w:tc>
          <w:tcPr>
            <w:tcW w:w="941" w:type="pct"/>
            <w:hideMark/>
          </w:tcPr>
          <w:p w14:paraId="1414B6D1" w14:textId="77777777" w:rsidR="00A6230F" w:rsidRPr="00A6230F" w:rsidRDefault="00A6230F" w:rsidP="00A6230F">
            <w:pPr>
              <w:ind w:right="0"/>
              <w:rPr>
                <w:sz w:val="20"/>
                <w:szCs w:val="20"/>
                <w:lang w:eastAsia="en-US"/>
              </w:rPr>
            </w:pPr>
            <w:r w:rsidRPr="00A6230F">
              <w:rPr>
                <w:sz w:val="20"/>
                <w:szCs w:val="20"/>
                <w:lang w:eastAsia="en-US"/>
              </w:rPr>
              <w:t>2 (6.3)</w:t>
            </w:r>
          </w:p>
        </w:tc>
        <w:tc>
          <w:tcPr>
            <w:tcW w:w="900" w:type="pct"/>
            <w:hideMark/>
          </w:tcPr>
          <w:p w14:paraId="79B636E1" w14:textId="77777777" w:rsidR="00A6230F" w:rsidRPr="00A6230F" w:rsidRDefault="00A6230F" w:rsidP="00A6230F">
            <w:pPr>
              <w:ind w:right="0"/>
              <w:rPr>
                <w:sz w:val="20"/>
                <w:szCs w:val="20"/>
                <w:lang w:eastAsia="en-US"/>
              </w:rPr>
            </w:pPr>
            <w:r w:rsidRPr="00A6230F">
              <w:rPr>
                <w:sz w:val="20"/>
                <w:szCs w:val="20"/>
                <w:lang w:eastAsia="en-US"/>
              </w:rPr>
              <w:t>1 (0.4)</w:t>
            </w:r>
          </w:p>
        </w:tc>
      </w:tr>
      <w:tr w:rsidR="00A6230F" w:rsidRPr="00A6230F" w14:paraId="0A0603AE" w14:textId="77777777" w:rsidTr="00D06CA8">
        <w:tc>
          <w:tcPr>
            <w:tcW w:w="1269" w:type="pct"/>
            <w:hideMark/>
          </w:tcPr>
          <w:p w14:paraId="4A55EF78" w14:textId="77777777" w:rsidR="00A6230F" w:rsidRPr="00A6230F" w:rsidRDefault="00A6230F" w:rsidP="00A6230F">
            <w:pPr>
              <w:ind w:left="0" w:right="0"/>
              <w:rPr>
                <w:sz w:val="20"/>
                <w:szCs w:val="20"/>
                <w:lang w:eastAsia="en-US"/>
              </w:rPr>
            </w:pPr>
            <w:r w:rsidRPr="00A6230F">
              <w:rPr>
                <w:sz w:val="20"/>
                <w:szCs w:val="20"/>
                <w:lang w:eastAsia="en-US"/>
              </w:rPr>
              <w:t>Lower gastrointestinal haemorrhage</w:t>
            </w:r>
          </w:p>
        </w:tc>
        <w:tc>
          <w:tcPr>
            <w:tcW w:w="945" w:type="pct"/>
            <w:hideMark/>
          </w:tcPr>
          <w:p w14:paraId="5DD09912" w14:textId="77777777" w:rsidR="00A6230F" w:rsidRPr="00A6230F" w:rsidRDefault="00A6230F" w:rsidP="00A6230F">
            <w:pPr>
              <w:ind w:right="0"/>
              <w:rPr>
                <w:sz w:val="20"/>
                <w:szCs w:val="20"/>
                <w:lang w:eastAsia="en-US"/>
              </w:rPr>
            </w:pPr>
            <w:r w:rsidRPr="00A6230F">
              <w:rPr>
                <w:sz w:val="20"/>
                <w:szCs w:val="20"/>
                <w:lang w:eastAsia="en-US"/>
              </w:rPr>
              <w:t>0</w:t>
            </w:r>
          </w:p>
        </w:tc>
        <w:tc>
          <w:tcPr>
            <w:tcW w:w="945" w:type="pct"/>
            <w:hideMark/>
          </w:tcPr>
          <w:p w14:paraId="268D3682" w14:textId="77777777" w:rsidR="00A6230F" w:rsidRPr="00A6230F" w:rsidRDefault="00A6230F" w:rsidP="00A6230F">
            <w:pPr>
              <w:ind w:right="0"/>
              <w:rPr>
                <w:sz w:val="20"/>
                <w:szCs w:val="20"/>
                <w:lang w:eastAsia="en-US"/>
              </w:rPr>
            </w:pPr>
            <w:r w:rsidRPr="00A6230F">
              <w:rPr>
                <w:sz w:val="20"/>
                <w:szCs w:val="20"/>
                <w:lang w:eastAsia="en-US"/>
              </w:rPr>
              <w:t>0</w:t>
            </w:r>
          </w:p>
        </w:tc>
        <w:tc>
          <w:tcPr>
            <w:tcW w:w="941" w:type="pct"/>
            <w:hideMark/>
          </w:tcPr>
          <w:p w14:paraId="1270F371" w14:textId="77777777" w:rsidR="00A6230F" w:rsidRPr="00A6230F" w:rsidRDefault="00A6230F" w:rsidP="00A6230F">
            <w:pPr>
              <w:ind w:right="0"/>
              <w:rPr>
                <w:sz w:val="20"/>
                <w:szCs w:val="20"/>
                <w:lang w:eastAsia="en-US"/>
              </w:rPr>
            </w:pPr>
            <w:r w:rsidRPr="00A6230F">
              <w:rPr>
                <w:sz w:val="20"/>
                <w:szCs w:val="20"/>
                <w:lang w:eastAsia="en-US"/>
              </w:rPr>
              <w:t>1 (3.1)</w:t>
            </w:r>
          </w:p>
        </w:tc>
        <w:tc>
          <w:tcPr>
            <w:tcW w:w="900" w:type="pct"/>
            <w:hideMark/>
          </w:tcPr>
          <w:p w14:paraId="12380434" w14:textId="77777777" w:rsidR="00A6230F" w:rsidRPr="00A6230F" w:rsidRDefault="00A6230F" w:rsidP="00A6230F">
            <w:pPr>
              <w:ind w:right="0"/>
              <w:rPr>
                <w:sz w:val="20"/>
                <w:szCs w:val="20"/>
                <w:lang w:eastAsia="en-US"/>
              </w:rPr>
            </w:pPr>
            <w:r w:rsidRPr="00A6230F">
              <w:rPr>
                <w:sz w:val="20"/>
                <w:szCs w:val="20"/>
                <w:lang w:eastAsia="en-US"/>
              </w:rPr>
              <w:t>0</w:t>
            </w:r>
          </w:p>
        </w:tc>
      </w:tr>
      <w:tr w:rsidR="00A6230F" w:rsidRPr="00A6230F" w14:paraId="5DE3772E" w14:textId="77777777" w:rsidTr="00D06CA8">
        <w:tc>
          <w:tcPr>
            <w:tcW w:w="1269" w:type="pct"/>
            <w:hideMark/>
          </w:tcPr>
          <w:p w14:paraId="23C7D3F3" w14:textId="77777777" w:rsidR="00A6230F" w:rsidRPr="00A6230F" w:rsidRDefault="00A6230F" w:rsidP="00A6230F">
            <w:pPr>
              <w:ind w:left="0"/>
              <w:rPr>
                <w:sz w:val="20"/>
                <w:szCs w:val="20"/>
                <w:lang w:eastAsia="en-US"/>
              </w:rPr>
            </w:pPr>
            <w:r w:rsidRPr="00A6230F">
              <w:rPr>
                <w:b/>
                <w:bCs/>
                <w:sz w:val="20"/>
                <w:szCs w:val="20"/>
                <w:lang w:eastAsia="en-US"/>
              </w:rPr>
              <w:t>General disorders and administration site conditions</w:t>
            </w:r>
          </w:p>
        </w:tc>
        <w:tc>
          <w:tcPr>
            <w:tcW w:w="945" w:type="pct"/>
            <w:hideMark/>
          </w:tcPr>
          <w:p w14:paraId="441ACB6C" w14:textId="77777777" w:rsidR="00A6230F" w:rsidRPr="00A6230F" w:rsidRDefault="00A6230F" w:rsidP="00A6230F">
            <w:pPr>
              <w:ind w:right="0"/>
              <w:rPr>
                <w:sz w:val="20"/>
                <w:szCs w:val="20"/>
                <w:lang w:eastAsia="en-US"/>
              </w:rPr>
            </w:pPr>
            <w:r w:rsidRPr="00A6230F">
              <w:rPr>
                <w:b/>
                <w:bCs/>
                <w:sz w:val="20"/>
                <w:szCs w:val="20"/>
                <w:lang w:eastAsia="en-US"/>
              </w:rPr>
              <w:t>10 (5.7)</w:t>
            </w:r>
          </w:p>
        </w:tc>
        <w:tc>
          <w:tcPr>
            <w:tcW w:w="945" w:type="pct"/>
            <w:hideMark/>
          </w:tcPr>
          <w:p w14:paraId="52FAC646" w14:textId="77777777" w:rsidR="00A6230F" w:rsidRPr="00A6230F" w:rsidRDefault="00A6230F" w:rsidP="00A6230F">
            <w:pPr>
              <w:ind w:right="0"/>
              <w:rPr>
                <w:sz w:val="20"/>
                <w:szCs w:val="20"/>
                <w:lang w:eastAsia="en-US"/>
              </w:rPr>
            </w:pPr>
            <w:r w:rsidRPr="00A6230F">
              <w:rPr>
                <w:b/>
                <w:bCs/>
                <w:sz w:val="20"/>
                <w:szCs w:val="20"/>
                <w:lang w:eastAsia="en-US"/>
              </w:rPr>
              <w:t>3 (4.0)</w:t>
            </w:r>
          </w:p>
        </w:tc>
        <w:tc>
          <w:tcPr>
            <w:tcW w:w="941" w:type="pct"/>
            <w:hideMark/>
          </w:tcPr>
          <w:p w14:paraId="799555AD" w14:textId="77777777" w:rsidR="00A6230F" w:rsidRPr="00A6230F" w:rsidRDefault="00A6230F" w:rsidP="00A6230F">
            <w:pPr>
              <w:ind w:right="0"/>
              <w:rPr>
                <w:sz w:val="20"/>
                <w:szCs w:val="20"/>
                <w:lang w:eastAsia="en-US"/>
              </w:rPr>
            </w:pPr>
            <w:r w:rsidRPr="00A6230F">
              <w:rPr>
                <w:b/>
                <w:bCs/>
                <w:sz w:val="20"/>
                <w:szCs w:val="20"/>
                <w:lang w:eastAsia="en-US"/>
              </w:rPr>
              <w:t>0</w:t>
            </w:r>
          </w:p>
        </w:tc>
        <w:tc>
          <w:tcPr>
            <w:tcW w:w="900" w:type="pct"/>
            <w:hideMark/>
          </w:tcPr>
          <w:p w14:paraId="7104BD6A" w14:textId="77777777" w:rsidR="00A6230F" w:rsidRPr="00A6230F" w:rsidRDefault="00A6230F" w:rsidP="00A6230F">
            <w:pPr>
              <w:ind w:right="0"/>
              <w:rPr>
                <w:sz w:val="20"/>
                <w:szCs w:val="20"/>
                <w:lang w:eastAsia="en-US"/>
              </w:rPr>
            </w:pPr>
            <w:r w:rsidRPr="00A6230F">
              <w:rPr>
                <w:b/>
                <w:bCs/>
                <w:sz w:val="20"/>
                <w:szCs w:val="20"/>
                <w:lang w:eastAsia="en-US"/>
              </w:rPr>
              <w:t>13 (5.2)</w:t>
            </w:r>
          </w:p>
        </w:tc>
      </w:tr>
      <w:tr w:rsidR="00A6230F" w:rsidRPr="00A6230F" w14:paraId="624E259A" w14:textId="77777777" w:rsidTr="00D06CA8">
        <w:tc>
          <w:tcPr>
            <w:tcW w:w="1269" w:type="pct"/>
            <w:hideMark/>
          </w:tcPr>
          <w:p w14:paraId="7A5FFA4C" w14:textId="77777777" w:rsidR="00A6230F" w:rsidRPr="00A6230F" w:rsidRDefault="00A6230F" w:rsidP="00A6230F">
            <w:pPr>
              <w:ind w:left="0" w:right="0"/>
              <w:rPr>
                <w:sz w:val="20"/>
                <w:szCs w:val="20"/>
                <w:lang w:eastAsia="en-US"/>
              </w:rPr>
            </w:pPr>
            <w:r w:rsidRPr="00A6230F">
              <w:rPr>
                <w:sz w:val="20"/>
                <w:szCs w:val="20"/>
                <w:lang w:eastAsia="en-US"/>
              </w:rPr>
              <w:t>Catheter site haemorrhage</w:t>
            </w:r>
          </w:p>
        </w:tc>
        <w:tc>
          <w:tcPr>
            <w:tcW w:w="945" w:type="pct"/>
            <w:hideMark/>
          </w:tcPr>
          <w:p w14:paraId="4F12269A" w14:textId="77777777" w:rsidR="00A6230F" w:rsidRPr="00A6230F" w:rsidRDefault="00A6230F" w:rsidP="00A6230F">
            <w:pPr>
              <w:ind w:right="0"/>
              <w:rPr>
                <w:sz w:val="20"/>
                <w:szCs w:val="20"/>
                <w:lang w:eastAsia="en-US"/>
              </w:rPr>
            </w:pPr>
            <w:r w:rsidRPr="00A6230F">
              <w:rPr>
                <w:sz w:val="20"/>
                <w:szCs w:val="20"/>
                <w:lang w:eastAsia="en-US"/>
              </w:rPr>
              <w:t>10 (5.7)</w:t>
            </w:r>
          </w:p>
        </w:tc>
        <w:tc>
          <w:tcPr>
            <w:tcW w:w="945" w:type="pct"/>
            <w:hideMark/>
          </w:tcPr>
          <w:p w14:paraId="065FB87E" w14:textId="77777777" w:rsidR="00A6230F" w:rsidRPr="00A6230F" w:rsidRDefault="00A6230F" w:rsidP="00A6230F">
            <w:pPr>
              <w:ind w:right="0"/>
              <w:rPr>
                <w:sz w:val="20"/>
                <w:szCs w:val="20"/>
                <w:lang w:eastAsia="en-US"/>
              </w:rPr>
            </w:pPr>
            <w:r w:rsidRPr="00A6230F">
              <w:rPr>
                <w:sz w:val="20"/>
                <w:szCs w:val="20"/>
                <w:lang w:eastAsia="en-US"/>
              </w:rPr>
              <w:t>3 (4.0)</w:t>
            </w:r>
          </w:p>
        </w:tc>
        <w:tc>
          <w:tcPr>
            <w:tcW w:w="941" w:type="pct"/>
            <w:hideMark/>
          </w:tcPr>
          <w:p w14:paraId="21356562" w14:textId="77777777" w:rsidR="00A6230F" w:rsidRPr="00A6230F" w:rsidRDefault="00A6230F" w:rsidP="00A6230F">
            <w:pPr>
              <w:ind w:right="0"/>
              <w:rPr>
                <w:sz w:val="20"/>
                <w:szCs w:val="20"/>
                <w:lang w:eastAsia="en-US"/>
              </w:rPr>
            </w:pPr>
            <w:r w:rsidRPr="00A6230F">
              <w:rPr>
                <w:sz w:val="20"/>
                <w:szCs w:val="20"/>
                <w:lang w:eastAsia="en-US"/>
              </w:rPr>
              <w:t>0</w:t>
            </w:r>
          </w:p>
        </w:tc>
        <w:tc>
          <w:tcPr>
            <w:tcW w:w="900" w:type="pct"/>
            <w:hideMark/>
          </w:tcPr>
          <w:p w14:paraId="187F2F81" w14:textId="77777777" w:rsidR="00A6230F" w:rsidRPr="00A6230F" w:rsidRDefault="00A6230F" w:rsidP="00A6230F">
            <w:pPr>
              <w:ind w:right="0"/>
              <w:rPr>
                <w:sz w:val="20"/>
                <w:szCs w:val="20"/>
                <w:lang w:eastAsia="en-US"/>
              </w:rPr>
            </w:pPr>
            <w:r w:rsidRPr="00A6230F">
              <w:rPr>
                <w:sz w:val="20"/>
                <w:szCs w:val="20"/>
                <w:lang w:eastAsia="en-US"/>
              </w:rPr>
              <w:t>13 (5.2)</w:t>
            </w:r>
          </w:p>
        </w:tc>
      </w:tr>
      <w:tr w:rsidR="00A6230F" w:rsidRPr="00A6230F" w14:paraId="2890D94F" w14:textId="77777777" w:rsidTr="00D06CA8">
        <w:tc>
          <w:tcPr>
            <w:tcW w:w="1269" w:type="pct"/>
            <w:hideMark/>
          </w:tcPr>
          <w:p w14:paraId="6B05788F" w14:textId="77777777" w:rsidR="00A6230F" w:rsidRPr="00A6230F" w:rsidRDefault="00A6230F" w:rsidP="00A6230F">
            <w:pPr>
              <w:ind w:left="0"/>
              <w:rPr>
                <w:b/>
                <w:bCs/>
                <w:sz w:val="20"/>
                <w:szCs w:val="20"/>
                <w:lang w:eastAsia="en-US"/>
              </w:rPr>
            </w:pPr>
            <w:r w:rsidRPr="00A6230F">
              <w:rPr>
                <w:b/>
                <w:bCs/>
                <w:sz w:val="20"/>
                <w:szCs w:val="20"/>
                <w:lang w:eastAsia="en-US"/>
              </w:rPr>
              <w:t>Injury, poisoning and procedural complications</w:t>
            </w:r>
          </w:p>
        </w:tc>
        <w:tc>
          <w:tcPr>
            <w:tcW w:w="945" w:type="pct"/>
            <w:hideMark/>
          </w:tcPr>
          <w:p w14:paraId="4BEEEA34" w14:textId="77777777" w:rsidR="00A6230F" w:rsidRPr="00A6230F" w:rsidRDefault="00A6230F" w:rsidP="00A6230F">
            <w:pPr>
              <w:ind w:right="0"/>
              <w:rPr>
                <w:sz w:val="20"/>
                <w:szCs w:val="20"/>
                <w:lang w:eastAsia="en-US"/>
              </w:rPr>
            </w:pPr>
            <w:r w:rsidRPr="00A6230F">
              <w:rPr>
                <w:b/>
                <w:bCs/>
                <w:sz w:val="20"/>
                <w:szCs w:val="20"/>
                <w:lang w:eastAsia="en-US"/>
              </w:rPr>
              <w:t>14 (8.0)</w:t>
            </w:r>
          </w:p>
        </w:tc>
        <w:tc>
          <w:tcPr>
            <w:tcW w:w="945" w:type="pct"/>
            <w:hideMark/>
          </w:tcPr>
          <w:p w14:paraId="279BA83B" w14:textId="77777777" w:rsidR="00A6230F" w:rsidRPr="00A6230F" w:rsidRDefault="00A6230F" w:rsidP="00A6230F">
            <w:pPr>
              <w:ind w:right="0"/>
              <w:rPr>
                <w:sz w:val="20"/>
                <w:szCs w:val="20"/>
                <w:lang w:eastAsia="en-US"/>
              </w:rPr>
            </w:pPr>
            <w:r w:rsidRPr="00A6230F">
              <w:rPr>
                <w:b/>
                <w:bCs/>
                <w:sz w:val="20"/>
                <w:szCs w:val="20"/>
                <w:lang w:eastAsia="en-US"/>
              </w:rPr>
              <w:t>3 (4.0)</w:t>
            </w:r>
          </w:p>
        </w:tc>
        <w:tc>
          <w:tcPr>
            <w:tcW w:w="941" w:type="pct"/>
            <w:hideMark/>
          </w:tcPr>
          <w:p w14:paraId="1991A306" w14:textId="77777777" w:rsidR="00A6230F" w:rsidRPr="00A6230F" w:rsidRDefault="00A6230F" w:rsidP="00A6230F">
            <w:pPr>
              <w:ind w:right="0"/>
              <w:rPr>
                <w:sz w:val="20"/>
                <w:szCs w:val="20"/>
                <w:lang w:eastAsia="en-US"/>
              </w:rPr>
            </w:pPr>
            <w:r w:rsidRPr="00A6230F">
              <w:rPr>
                <w:b/>
                <w:bCs/>
                <w:sz w:val="20"/>
                <w:szCs w:val="20"/>
                <w:lang w:eastAsia="en-US"/>
              </w:rPr>
              <w:t>4 (12.5)</w:t>
            </w:r>
          </w:p>
        </w:tc>
        <w:tc>
          <w:tcPr>
            <w:tcW w:w="900" w:type="pct"/>
            <w:hideMark/>
          </w:tcPr>
          <w:p w14:paraId="0327CA84" w14:textId="77777777" w:rsidR="00A6230F" w:rsidRPr="00A6230F" w:rsidRDefault="00A6230F" w:rsidP="00A6230F">
            <w:pPr>
              <w:ind w:right="0"/>
              <w:rPr>
                <w:sz w:val="20"/>
                <w:szCs w:val="20"/>
                <w:lang w:eastAsia="en-US"/>
              </w:rPr>
            </w:pPr>
            <w:r w:rsidRPr="00A6230F">
              <w:rPr>
                <w:b/>
                <w:bCs/>
                <w:sz w:val="20"/>
                <w:szCs w:val="20"/>
                <w:lang w:eastAsia="en-US"/>
              </w:rPr>
              <w:t>17 (6.8)</w:t>
            </w:r>
          </w:p>
        </w:tc>
      </w:tr>
      <w:tr w:rsidR="00A6230F" w:rsidRPr="00A6230F" w14:paraId="097505C7" w14:textId="77777777" w:rsidTr="00D06CA8">
        <w:tc>
          <w:tcPr>
            <w:tcW w:w="1269" w:type="pct"/>
            <w:hideMark/>
          </w:tcPr>
          <w:p w14:paraId="57ED7DBF" w14:textId="77777777" w:rsidR="00A6230F" w:rsidRPr="00A6230F" w:rsidRDefault="00A6230F" w:rsidP="00A6230F">
            <w:pPr>
              <w:ind w:left="0" w:right="0"/>
              <w:rPr>
                <w:sz w:val="20"/>
                <w:szCs w:val="20"/>
                <w:lang w:eastAsia="en-US"/>
              </w:rPr>
            </w:pPr>
            <w:r w:rsidRPr="00A6230F">
              <w:rPr>
                <w:sz w:val="20"/>
                <w:szCs w:val="20"/>
                <w:lang w:eastAsia="en-US"/>
              </w:rPr>
              <w:t>Post-procedural haemorrhage</w:t>
            </w:r>
          </w:p>
        </w:tc>
        <w:tc>
          <w:tcPr>
            <w:tcW w:w="945" w:type="pct"/>
            <w:hideMark/>
          </w:tcPr>
          <w:p w14:paraId="4CFDF542" w14:textId="77777777" w:rsidR="00A6230F" w:rsidRPr="00A6230F" w:rsidRDefault="00A6230F" w:rsidP="00A6230F">
            <w:pPr>
              <w:ind w:right="0"/>
              <w:rPr>
                <w:sz w:val="20"/>
                <w:szCs w:val="20"/>
                <w:lang w:eastAsia="en-US"/>
              </w:rPr>
            </w:pPr>
            <w:r w:rsidRPr="00A6230F">
              <w:rPr>
                <w:sz w:val="20"/>
                <w:szCs w:val="20"/>
                <w:lang w:eastAsia="en-US"/>
              </w:rPr>
              <w:t>10 (5.7)</w:t>
            </w:r>
          </w:p>
        </w:tc>
        <w:tc>
          <w:tcPr>
            <w:tcW w:w="945" w:type="pct"/>
            <w:hideMark/>
          </w:tcPr>
          <w:p w14:paraId="45B6BBE5" w14:textId="77777777" w:rsidR="00A6230F" w:rsidRPr="00A6230F" w:rsidRDefault="00A6230F" w:rsidP="00A6230F">
            <w:pPr>
              <w:ind w:right="0"/>
              <w:rPr>
                <w:sz w:val="20"/>
                <w:szCs w:val="20"/>
                <w:lang w:eastAsia="en-US"/>
              </w:rPr>
            </w:pPr>
            <w:r w:rsidRPr="00A6230F">
              <w:rPr>
                <w:sz w:val="20"/>
                <w:szCs w:val="20"/>
                <w:lang w:eastAsia="en-US"/>
              </w:rPr>
              <w:t>3 (4.0)</w:t>
            </w:r>
          </w:p>
        </w:tc>
        <w:tc>
          <w:tcPr>
            <w:tcW w:w="941" w:type="pct"/>
            <w:hideMark/>
          </w:tcPr>
          <w:p w14:paraId="0E530EA5" w14:textId="77777777" w:rsidR="00A6230F" w:rsidRPr="00A6230F" w:rsidRDefault="00A6230F" w:rsidP="00A6230F">
            <w:pPr>
              <w:ind w:right="0"/>
              <w:rPr>
                <w:sz w:val="20"/>
                <w:szCs w:val="20"/>
                <w:lang w:eastAsia="en-US"/>
              </w:rPr>
            </w:pPr>
            <w:r w:rsidRPr="00A6230F">
              <w:rPr>
                <w:sz w:val="20"/>
                <w:szCs w:val="20"/>
                <w:lang w:eastAsia="en-US"/>
              </w:rPr>
              <w:t>1 (3.1)</w:t>
            </w:r>
          </w:p>
        </w:tc>
        <w:tc>
          <w:tcPr>
            <w:tcW w:w="900" w:type="pct"/>
            <w:hideMark/>
          </w:tcPr>
          <w:p w14:paraId="23658A3D" w14:textId="77777777" w:rsidR="00A6230F" w:rsidRPr="00A6230F" w:rsidRDefault="00A6230F" w:rsidP="00A6230F">
            <w:pPr>
              <w:ind w:right="0"/>
              <w:rPr>
                <w:sz w:val="20"/>
                <w:szCs w:val="20"/>
                <w:lang w:eastAsia="en-US"/>
              </w:rPr>
            </w:pPr>
            <w:r w:rsidRPr="00A6230F">
              <w:rPr>
                <w:sz w:val="20"/>
                <w:szCs w:val="20"/>
                <w:lang w:eastAsia="en-US"/>
              </w:rPr>
              <w:t>13 (5.2)</w:t>
            </w:r>
          </w:p>
        </w:tc>
      </w:tr>
      <w:tr w:rsidR="00A6230F" w:rsidRPr="00A6230F" w14:paraId="1BE47230" w14:textId="77777777" w:rsidTr="00D06CA8">
        <w:tc>
          <w:tcPr>
            <w:tcW w:w="1269" w:type="pct"/>
            <w:hideMark/>
          </w:tcPr>
          <w:p w14:paraId="696B5EEF" w14:textId="77777777" w:rsidR="00A6230F" w:rsidRPr="00A6230F" w:rsidRDefault="00A6230F" w:rsidP="00A6230F">
            <w:pPr>
              <w:ind w:left="0" w:right="0"/>
              <w:rPr>
                <w:sz w:val="20"/>
                <w:szCs w:val="20"/>
                <w:lang w:eastAsia="en-US"/>
              </w:rPr>
            </w:pPr>
            <w:r w:rsidRPr="00A6230F">
              <w:rPr>
                <w:sz w:val="20"/>
                <w:szCs w:val="20"/>
                <w:lang w:eastAsia="en-US"/>
              </w:rPr>
              <w:t>Subdural haemorrhage</w:t>
            </w:r>
          </w:p>
        </w:tc>
        <w:tc>
          <w:tcPr>
            <w:tcW w:w="945" w:type="pct"/>
            <w:hideMark/>
          </w:tcPr>
          <w:p w14:paraId="5725E724" w14:textId="77777777" w:rsidR="00A6230F" w:rsidRPr="00A6230F" w:rsidRDefault="00A6230F" w:rsidP="00A6230F">
            <w:pPr>
              <w:ind w:right="0"/>
              <w:rPr>
                <w:sz w:val="20"/>
                <w:szCs w:val="20"/>
                <w:lang w:eastAsia="en-US"/>
              </w:rPr>
            </w:pPr>
            <w:r w:rsidRPr="00A6230F">
              <w:rPr>
                <w:sz w:val="20"/>
                <w:szCs w:val="20"/>
                <w:lang w:eastAsia="en-US"/>
              </w:rPr>
              <w:t>2 (1.1)</w:t>
            </w:r>
          </w:p>
        </w:tc>
        <w:tc>
          <w:tcPr>
            <w:tcW w:w="945" w:type="pct"/>
            <w:hideMark/>
          </w:tcPr>
          <w:p w14:paraId="642134A1" w14:textId="77777777" w:rsidR="00A6230F" w:rsidRPr="00A6230F" w:rsidRDefault="00A6230F" w:rsidP="00A6230F">
            <w:pPr>
              <w:ind w:right="0"/>
              <w:rPr>
                <w:sz w:val="20"/>
                <w:szCs w:val="20"/>
                <w:lang w:eastAsia="en-US"/>
              </w:rPr>
            </w:pPr>
            <w:r w:rsidRPr="00A6230F">
              <w:rPr>
                <w:sz w:val="20"/>
                <w:szCs w:val="20"/>
                <w:lang w:eastAsia="en-US"/>
              </w:rPr>
              <w:t>0</w:t>
            </w:r>
          </w:p>
        </w:tc>
        <w:tc>
          <w:tcPr>
            <w:tcW w:w="941" w:type="pct"/>
            <w:hideMark/>
          </w:tcPr>
          <w:p w14:paraId="68ECFB8C" w14:textId="77777777" w:rsidR="00A6230F" w:rsidRPr="00A6230F" w:rsidRDefault="00A6230F" w:rsidP="00A6230F">
            <w:pPr>
              <w:ind w:right="0"/>
              <w:rPr>
                <w:sz w:val="20"/>
                <w:szCs w:val="20"/>
                <w:lang w:eastAsia="en-US"/>
              </w:rPr>
            </w:pPr>
            <w:r w:rsidRPr="00A6230F">
              <w:rPr>
                <w:sz w:val="20"/>
                <w:szCs w:val="20"/>
                <w:lang w:eastAsia="en-US"/>
              </w:rPr>
              <w:t>0</w:t>
            </w:r>
          </w:p>
        </w:tc>
        <w:tc>
          <w:tcPr>
            <w:tcW w:w="900" w:type="pct"/>
            <w:hideMark/>
          </w:tcPr>
          <w:p w14:paraId="667B1BC0" w14:textId="77777777" w:rsidR="00A6230F" w:rsidRPr="00A6230F" w:rsidRDefault="00A6230F" w:rsidP="00A6230F">
            <w:pPr>
              <w:ind w:right="0"/>
              <w:rPr>
                <w:sz w:val="20"/>
                <w:szCs w:val="20"/>
                <w:lang w:eastAsia="en-US"/>
              </w:rPr>
            </w:pPr>
            <w:r w:rsidRPr="00A6230F">
              <w:rPr>
                <w:sz w:val="20"/>
                <w:szCs w:val="20"/>
                <w:lang w:eastAsia="en-US"/>
              </w:rPr>
              <w:t>2 (0.8)</w:t>
            </w:r>
          </w:p>
        </w:tc>
      </w:tr>
      <w:tr w:rsidR="00A6230F" w:rsidRPr="00A6230F" w14:paraId="5B538C67" w14:textId="77777777" w:rsidTr="00D06CA8">
        <w:tc>
          <w:tcPr>
            <w:tcW w:w="1269" w:type="pct"/>
            <w:hideMark/>
          </w:tcPr>
          <w:p w14:paraId="25FD6252" w14:textId="77777777" w:rsidR="00A6230F" w:rsidRPr="00A6230F" w:rsidRDefault="00A6230F" w:rsidP="00A6230F">
            <w:pPr>
              <w:ind w:left="0" w:right="0"/>
              <w:rPr>
                <w:sz w:val="20"/>
                <w:szCs w:val="20"/>
                <w:lang w:eastAsia="en-US"/>
              </w:rPr>
            </w:pPr>
            <w:r w:rsidRPr="00A6230F">
              <w:rPr>
                <w:sz w:val="20"/>
                <w:szCs w:val="20"/>
                <w:lang w:eastAsia="en-US"/>
              </w:rPr>
              <w:t>Periorbital haemorrhage</w:t>
            </w:r>
          </w:p>
        </w:tc>
        <w:tc>
          <w:tcPr>
            <w:tcW w:w="945" w:type="pct"/>
            <w:hideMark/>
          </w:tcPr>
          <w:p w14:paraId="04B1B730" w14:textId="77777777" w:rsidR="00A6230F" w:rsidRPr="00A6230F" w:rsidRDefault="00A6230F" w:rsidP="00A6230F">
            <w:pPr>
              <w:ind w:right="0"/>
              <w:rPr>
                <w:sz w:val="20"/>
                <w:szCs w:val="20"/>
                <w:lang w:eastAsia="en-US"/>
              </w:rPr>
            </w:pPr>
            <w:r w:rsidRPr="00A6230F">
              <w:rPr>
                <w:sz w:val="20"/>
                <w:szCs w:val="20"/>
                <w:lang w:eastAsia="en-US"/>
              </w:rPr>
              <w:t>1 (0.6)</w:t>
            </w:r>
          </w:p>
        </w:tc>
        <w:tc>
          <w:tcPr>
            <w:tcW w:w="945" w:type="pct"/>
            <w:hideMark/>
          </w:tcPr>
          <w:p w14:paraId="30CD6649" w14:textId="77777777" w:rsidR="00A6230F" w:rsidRPr="00A6230F" w:rsidRDefault="00A6230F" w:rsidP="00A6230F">
            <w:pPr>
              <w:ind w:right="0"/>
              <w:rPr>
                <w:sz w:val="20"/>
                <w:szCs w:val="20"/>
                <w:lang w:eastAsia="en-US"/>
              </w:rPr>
            </w:pPr>
            <w:r w:rsidRPr="00A6230F">
              <w:rPr>
                <w:sz w:val="20"/>
                <w:szCs w:val="20"/>
                <w:lang w:eastAsia="en-US"/>
              </w:rPr>
              <w:t>0</w:t>
            </w:r>
          </w:p>
        </w:tc>
        <w:tc>
          <w:tcPr>
            <w:tcW w:w="941" w:type="pct"/>
            <w:hideMark/>
          </w:tcPr>
          <w:p w14:paraId="52D9BAB0" w14:textId="77777777" w:rsidR="00A6230F" w:rsidRPr="00A6230F" w:rsidRDefault="00A6230F" w:rsidP="00A6230F">
            <w:pPr>
              <w:ind w:right="0"/>
              <w:rPr>
                <w:sz w:val="20"/>
                <w:szCs w:val="20"/>
                <w:lang w:eastAsia="en-US"/>
              </w:rPr>
            </w:pPr>
            <w:r w:rsidRPr="00A6230F">
              <w:rPr>
                <w:sz w:val="20"/>
                <w:szCs w:val="20"/>
                <w:lang w:eastAsia="en-US"/>
              </w:rPr>
              <w:t>2 (6.3)</w:t>
            </w:r>
          </w:p>
        </w:tc>
        <w:tc>
          <w:tcPr>
            <w:tcW w:w="900" w:type="pct"/>
            <w:hideMark/>
          </w:tcPr>
          <w:p w14:paraId="05DBC650" w14:textId="77777777" w:rsidR="00A6230F" w:rsidRPr="00A6230F" w:rsidRDefault="00A6230F" w:rsidP="00A6230F">
            <w:pPr>
              <w:ind w:right="0"/>
              <w:rPr>
                <w:sz w:val="20"/>
                <w:szCs w:val="20"/>
                <w:lang w:eastAsia="en-US"/>
              </w:rPr>
            </w:pPr>
            <w:r w:rsidRPr="00A6230F">
              <w:rPr>
                <w:sz w:val="20"/>
                <w:szCs w:val="20"/>
                <w:lang w:eastAsia="en-US"/>
              </w:rPr>
              <w:t>1 (0.4)</w:t>
            </w:r>
          </w:p>
        </w:tc>
      </w:tr>
      <w:tr w:rsidR="00A6230F" w:rsidRPr="00A6230F" w14:paraId="075476A5" w14:textId="77777777" w:rsidTr="00D06CA8">
        <w:tc>
          <w:tcPr>
            <w:tcW w:w="1269" w:type="pct"/>
            <w:hideMark/>
          </w:tcPr>
          <w:p w14:paraId="2F3E451A" w14:textId="77777777" w:rsidR="00A6230F" w:rsidRPr="00A6230F" w:rsidRDefault="00A6230F" w:rsidP="00A6230F">
            <w:pPr>
              <w:ind w:left="0" w:right="0"/>
              <w:rPr>
                <w:sz w:val="20"/>
                <w:szCs w:val="20"/>
                <w:lang w:eastAsia="en-US"/>
              </w:rPr>
            </w:pPr>
            <w:r w:rsidRPr="00A6230F">
              <w:rPr>
                <w:sz w:val="20"/>
                <w:szCs w:val="20"/>
                <w:lang w:eastAsia="en-US"/>
              </w:rPr>
              <w:t>Procedural haemorrhage</w:t>
            </w:r>
          </w:p>
        </w:tc>
        <w:tc>
          <w:tcPr>
            <w:tcW w:w="945" w:type="pct"/>
            <w:hideMark/>
          </w:tcPr>
          <w:p w14:paraId="02EDCFB0" w14:textId="77777777" w:rsidR="00A6230F" w:rsidRPr="00A6230F" w:rsidRDefault="00A6230F" w:rsidP="00A6230F">
            <w:pPr>
              <w:ind w:right="0"/>
              <w:rPr>
                <w:sz w:val="20"/>
                <w:szCs w:val="20"/>
                <w:lang w:eastAsia="en-US"/>
              </w:rPr>
            </w:pPr>
            <w:r w:rsidRPr="00A6230F">
              <w:rPr>
                <w:sz w:val="20"/>
                <w:szCs w:val="20"/>
                <w:lang w:eastAsia="en-US"/>
              </w:rPr>
              <w:t>0</w:t>
            </w:r>
          </w:p>
        </w:tc>
        <w:tc>
          <w:tcPr>
            <w:tcW w:w="945" w:type="pct"/>
            <w:hideMark/>
          </w:tcPr>
          <w:p w14:paraId="78455339" w14:textId="77777777" w:rsidR="00A6230F" w:rsidRPr="00A6230F" w:rsidRDefault="00A6230F" w:rsidP="00A6230F">
            <w:pPr>
              <w:ind w:right="0"/>
              <w:rPr>
                <w:sz w:val="20"/>
                <w:szCs w:val="20"/>
                <w:lang w:eastAsia="en-US"/>
              </w:rPr>
            </w:pPr>
            <w:r w:rsidRPr="00A6230F">
              <w:rPr>
                <w:sz w:val="20"/>
                <w:szCs w:val="20"/>
                <w:lang w:eastAsia="en-US"/>
              </w:rPr>
              <w:t>1 (1.3)</w:t>
            </w:r>
          </w:p>
        </w:tc>
        <w:tc>
          <w:tcPr>
            <w:tcW w:w="941" w:type="pct"/>
            <w:hideMark/>
          </w:tcPr>
          <w:p w14:paraId="1696AC12" w14:textId="77777777" w:rsidR="00A6230F" w:rsidRPr="00A6230F" w:rsidRDefault="00A6230F" w:rsidP="00A6230F">
            <w:pPr>
              <w:ind w:right="0"/>
              <w:rPr>
                <w:sz w:val="20"/>
                <w:szCs w:val="20"/>
                <w:lang w:eastAsia="en-US"/>
              </w:rPr>
            </w:pPr>
            <w:r w:rsidRPr="00A6230F">
              <w:rPr>
                <w:sz w:val="20"/>
                <w:szCs w:val="20"/>
                <w:lang w:eastAsia="en-US"/>
              </w:rPr>
              <w:t>0</w:t>
            </w:r>
          </w:p>
        </w:tc>
        <w:tc>
          <w:tcPr>
            <w:tcW w:w="900" w:type="pct"/>
            <w:hideMark/>
          </w:tcPr>
          <w:p w14:paraId="2D53EA69" w14:textId="77777777" w:rsidR="00A6230F" w:rsidRPr="00A6230F" w:rsidRDefault="00A6230F" w:rsidP="00A6230F">
            <w:pPr>
              <w:ind w:right="0"/>
              <w:rPr>
                <w:sz w:val="20"/>
                <w:szCs w:val="20"/>
                <w:lang w:eastAsia="en-US"/>
              </w:rPr>
            </w:pPr>
            <w:r w:rsidRPr="00A6230F">
              <w:rPr>
                <w:sz w:val="20"/>
                <w:szCs w:val="20"/>
                <w:lang w:eastAsia="en-US"/>
              </w:rPr>
              <w:t>1 (0.4)</w:t>
            </w:r>
          </w:p>
        </w:tc>
      </w:tr>
      <w:tr w:rsidR="00A6230F" w:rsidRPr="00A6230F" w14:paraId="716C9B1E" w14:textId="77777777" w:rsidTr="00D06CA8">
        <w:tc>
          <w:tcPr>
            <w:tcW w:w="1269" w:type="pct"/>
            <w:hideMark/>
          </w:tcPr>
          <w:p w14:paraId="4E5849C5" w14:textId="77777777" w:rsidR="00A6230F" w:rsidRPr="00A6230F" w:rsidRDefault="00A6230F" w:rsidP="00A6230F">
            <w:pPr>
              <w:ind w:left="0" w:right="0"/>
              <w:rPr>
                <w:sz w:val="20"/>
                <w:szCs w:val="20"/>
                <w:lang w:eastAsia="en-US"/>
              </w:rPr>
            </w:pPr>
            <w:r w:rsidRPr="00A6230F">
              <w:rPr>
                <w:sz w:val="20"/>
                <w:szCs w:val="20"/>
                <w:lang w:eastAsia="en-US"/>
              </w:rPr>
              <w:t>Wound haemorrhage</w:t>
            </w:r>
          </w:p>
        </w:tc>
        <w:tc>
          <w:tcPr>
            <w:tcW w:w="945" w:type="pct"/>
            <w:hideMark/>
          </w:tcPr>
          <w:p w14:paraId="2C12DC64" w14:textId="77777777" w:rsidR="00A6230F" w:rsidRPr="00A6230F" w:rsidRDefault="00A6230F" w:rsidP="00A6230F">
            <w:pPr>
              <w:ind w:right="0"/>
              <w:rPr>
                <w:sz w:val="20"/>
                <w:szCs w:val="20"/>
                <w:lang w:eastAsia="en-US"/>
              </w:rPr>
            </w:pPr>
            <w:r w:rsidRPr="00A6230F">
              <w:rPr>
                <w:sz w:val="20"/>
                <w:szCs w:val="20"/>
                <w:lang w:eastAsia="en-US"/>
              </w:rPr>
              <w:t>0</w:t>
            </w:r>
          </w:p>
        </w:tc>
        <w:tc>
          <w:tcPr>
            <w:tcW w:w="945" w:type="pct"/>
            <w:hideMark/>
          </w:tcPr>
          <w:p w14:paraId="6A9DA94A" w14:textId="77777777" w:rsidR="00A6230F" w:rsidRPr="00A6230F" w:rsidRDefault="00A6230F" w:rsidP="00A6230F">
            <w:pPr>
              <w:ind w:right="0"/>
              <w:rPr>
                <w:sz w:val="20"/>
                <w:szCs w:val="20"/>
                <w:lang w:eastAsia="en-US"/>
              </w:rPr>
            </w:pPr>
            <w:r w:rsidRPr="00A6230F">
              <w:rPr>
                <w:sz w:val="20"/>
                <w:szCs w:val="20"/>
                <w:lang w:eastAsia="en-US"/>
              </w:rPr>
              <w:t>0</w:t>
            </w:r>
          </w:p>
        </w:tc>
        <w:tc>
          <w:tcPr>
            <w:tcW w:w="941" w:type="pct"/>
            <w:hideMark/>
          </w:tcPr>
          <w:p w14:paraId="3D74683B" w14:textId="77777777" w:rsidR="00A6230F" w:rsidRPr="00A6230F" w:rsidRDefault="00A6230F" w:rsidP="00A6230F">
            <w:pPr>
              <w:ind w:right="0"/>
              <w:rPr>
                <w:sz w:val="20"/>
                <w:szCs w:val="20"/>
                <w:lang w:eastAsia="en-US"/>
              </w:rPr>
            </w:pPr>
            <w:r w:rsidRPr="00A6230F">
              <w:rPr>
                <w:sz w:val="20"/>
                <w:szCs w:val="20"/>
                <w:lang w:eastAsia="en-US"/>
              </w:rPr>
              <w:t>1 (3.1)</w:t>
            </w:r>
          </w:p>
        </w:tc>
        <w:tc>
          <w:tcPr>
            <w:tcW w:w="900" w:type="pct"/>
            <w:hideMark/>
          </w:tcPr>
          <w:p w14:paraId="35CF6BF0" w14:textId="77777777" w:rsidR="00A6230F" w:rsidRPr="00A6230F" w:rsidRDefault="00A6230F" w:rsidP="00A6230F">
            <w:pPr>
              <w:ind w:right="0"/>
              <w:rPr>
                <w:sz w:val="20"/>
                <w:szCs w:val="20"/>
                <w:lang w:eastAsia="en-US"/>
              </w:rPr>
            </w:pPr>
            <w:r w:rsidRPr="00A6230F">
              <w:rPr>
                <w:sz w:val="20"/>
                <w:szCs w:val="20"/>
                <w:lang w:eastAsia="en-US"/>
              </w:rPr>
              <w:t>0</w:t>
            </w:r>
          </w:p>
        </w:tc>
      </w:tr>
      <w:tr w:rsidR="00A6230F" w:rsidRPr="00A6230F" w14:paraId="6AAF0F4C" w14:textId="77777777" w:rsidTr="00D06CA8">
        <w:tc>
          <w:tcPr>
            <w:tcW w:w="1269" w:type="pct"/>
            <w:hideMark/>
          </w:tcPr>
          <w:p w14:paraId="6E87D24B" w14:textId="77777777" w:rsidR="00A6230F" w:rsidRPr="00A6230F" w:rsidRDefault="00A6230F" w:rsidP="00A6230F">
            <w:pPr>
              <w:ind w:left="0"/>
              <w:rPr>
                <w:sz w:val="20"/>
                <w:szCs w:val="20"/>
                <w:lang w:eastAsia="en-US"/>
              </w:rPr>
            </w:pPr>
            <w:r w:rsidRPr="00A6230F">
              <w:rPr>
                <w:b/>
                <w:bCs/>
                <w:sz w:val="20"/>
                <w:szCs w:val="20"/>
                <w:lang w:eastAsia="en-US"/>
              </w:rPr>
              <w:t>Investigations</w:t>
            </w:r>
          </w:p>
        </w:tc>
        <w:tc>
          <w:tcPr>
            <w:tcW w:w="945" w:type="pct"/>
            <w:hideMark/>
          </w:tcPr>
          <w:p w14:paraId="6B9B85F3" w14:textId="77777777" w:rsidR="00A6230F" w:rsidRPr="00A6230F" w:rsidRDefault="00A6230F" w:rsidP="00A6230F">
            <w:pPr>
              <w:ind w:right="0"/>
              <w:rPr>
                <w:sz w:val="20"/>
                <w:szCs w:val="20"/>
                <w:lang w:eastAsia="en-US"/>
              </w:rPr>
            </w:pPr>
            <w:r w:rsidRPr="00A6230F">
              <w:rPr>
                <w:b/>
                <w:bCs/>
                <w:sz w:val="20"/>
                <w:szCs w:val="20"/>
                <w:lang w:eastAsia="en-US"/>
              </w:rPr>
              <w:t>2 (1.1)</w:t>
            </w:r>
          </w:p>
        </w:tc>
        <w:tc>
          <w:tcPr>
            <w:tcW w:w="945" w:type="pct"/>
            <w:hideMark/>
          </w:tcPr>
          <w:p w14:paraId="486E9B1C" w14:textId="77777777" w:rsidR="00A6230F" w:rsidRPr="00A6230F" w:rsidRDefault="00A6230F" w:rsidP="00A6230F">
            <w:pPr>
              <w:ind w:right="0"/>
              <w:rPr>
                <w:sz w:val="20"/>
                <w:szCs w:val="20"/>
                <w:lang w:eastAsia="en-US"/>
              </w:rPr>
            </w:pPr>
            <w:r w:rsidRPr="00A6230F">
              <w:rPr>
                <w:b/>
                <w:bCs/>
                <w:sz w:val="20"/>
                <w:szCs w:val="20"/>
                <w:lang w:eastAsia="en-US"/>
              </w:rPr>
              <w:t>0</w:t>
            </w:r>
          </w:p>
        </w:tc>
        <w:tc>
          <w:tcPr>
            <w:tcW w:w="941" w:type="pct"/>
            <w:hideMark/>
          </w:tcPr>
          <w:p w14:paraId="5641674C" w14:textId="77777777" w:rsidR="00A6230F" w:rsidRPr="00A6230F" w:rsidRDefault="00A6230F" w:rsidP="00A6230F">
            <w:pPr>
              <w:ind w:right="0"/>
              <w:rPr>
                <w:sz w:val="20"/>
                <w:szCs w:val="20"/>
                <w:lang w:eastAsia="en-US"/>
              </w:rPr>
            </w:pPr>
            <w:r w:rsidRPr="00A6230F">
              <w:rPr>
                <w:b/>
                <w:bCs/>
                <w:sz w:val="20"/>
                <w:szCs w:val="20"/>
                <w:lang w:eastAsia="en-US"/>
              </w:rPr>
              <w:t>4 (12.5)</w:t>
            </w:r>
          </w:p>
        </w:tc>
        <w:tc>
          <w:tcPr>
            <w:tcW w:w="900" w:type="pct"/>
            <w:hideMark/>
          </w:tcPr>
          <w:p w14:paraId="2624BE8E" w14:textId="77777777" w:rsidR="00A6230F" w:rsidRPr="00A6230F" w:rsidRDefault="00A6230F" w:rsidP="00A6230F">
            <w:pPr>
              <w:ind w:right="0"/>
              <w:rPr>
                <w:sz w:val="20"/>
                <w:szCs w:val="20"/>
                <w:lang w:eastAsia="en-US"/>
              </w:rPr>
            </w:pPr>
            <w:r w:rsidRPr="00A6230F">
              <w:rPr>
                <w:b/>
                <w:bCs/>
                <w:sz w:val="20"/>
                <w:szCs w:val="20"/>
                <w:lang w:eastAsia="en-US"/>
              </w:rPr>
              <w:t>2 (0.8)</w:t>
            </w:r>
          </w:p>
        </w:tc>
      </w:tr>
      <w:tr w:rsidR="00A6230F" w:rsidRPr="00A6230F" w14:paraId="6E7DC027" w14:textId="77777777" w:rsidTr="00D06CA8">
        <w:tc>
          <w:tcPr>
            <w:tcW w:w="1269" w:type="pct"/>
            <w:hideMark/>
          </w:tcPr>
          <w:p w14:paraId="58EABBE9" w14:textId="77777777" w:rsidR="00A6230F" w:rsidRPr="00A6230F" w:rsidRDefault="00A6230F" w:rsidP="00A6230F">
            <w:pPr>
              <w:ind w:left="0" w:right="0"/>
              <w:rPr>
                <w:sz w:val="20"/>
                <w:szCs w:val="20"/>
                <w:lang w:eastAsia="en-US"/>
              </w:rPr>
            </w:pPr>
            <w:r w:rsidRPr="00A6230F">
              <w:rPr>
                <w:sz w:val="20"/>
                <w:szCs w:val="20"/>
                <w:lang w:eastAsia="en-US"/>
              </w:rPr>
              <w:t>Blood urine present</w:t>
            </w:r>
          </w:p>
        </w:tc>
        <w:tc>
          <w:tcPr>
            <w:tcW w:w="945" w:type="pct"/>
            <w:hideMark/>
          </w:tcPr>
          <w:p w14:paraId="4037C9AA" w14:textId="77777777" w:rsidR="00A6230F" w:rsidRPr="00A6230F" w:rsidRDefault="00A6230F" w:rsidP="00A6230F">
            <w:pPr>
              <w:ind w:right="0"/>
              <w:rPr>
                <w:sz w:val="20"/>
                <w:szCs w:val="20"/>
                <w:lang w:eastAsia="en-US"/>
              </w:rPr>
            </w:pPr>
            <w:r w:rsidRPr="00A6230F">
              <w:rPr>
                <w:sz w:val="20"/>
                <w:szCs w:val="20"/>
                <w:lang w:eastAsia="en-US"/>
              </w:rPr>
              <w:t>1 (0.6)</w:t>
            </w:r>
          </w:p>
        </w:tc>
        <w:tc>
          <w:tcPr>
            <w:tcW w:w="945" w:type="pct"/>
            <w:hideMark/>
          </w:tcPr>
          <w:p w14:paraId="37404770" w14:textId="77777777" w:rsidR="00A6230F" w:rsidRPr="00A6230F" w:rsidRDefault="00A6230F" w:rsidP="00A6230F">
            <w:pPr>
              <w:ind w:right="0"/>
              <w:rPr>
                <w:sz w:val="20"/>
                <w:szCs w:val="20"/>
                <w:lang w:eastAsia="en-US"/>
              </w:rPr>
            </w:pPr>
            <w:r w:rsidRPr="00A6230F">
              <w:rPr>
                <w:sz w:val="20"/>
                <w:szCs w:val="20"/>
                <w:lang w:eastAsia="en-US"/>
              </w:rPr>
              <w:t>0</w:t>
            </w:r>
          </w:p>
        </w:tc>
        <w:tc>
          <w:tcPr>
            <w:tcW w:w="941" w:type="pct"/>
            <w:hideMark/>
          </w:tcPr>
          <w:p w14:paraId="380174DF" w14:textId="77777777" w:rsidR="00A6230F" w:rsidRPr="00A6230F" w:rsidRDefault="00A6230F" w:rsidP="00A6230F">
            <w:pPr>
              <w:ind w:right="0"/>
              <w:rPr>
                <w:sz w:val="20"/>
                <w:szCs w:val="20"/>
                <w:lang w:eastAsia="en-US"/>
              </w:rPr>
            </w:pPr>
            <w:r w:rsidRPr="00A6230F">
              <w:rPr>
                <w:sz w:val="20"/>
                <w:szCs w:val="20"/>
                <w:lang w:eastAsia="en-US"/>
              </w:rPr>
              <w:t>2 (6.3)</w:t>
            </w:r>
          </w:p>
        </w:tc>
        <w:tc>
          <w:tcPr>
            <w:tcW w:w="900" w:type="pct"/>
            <w:hideMark/>
          </w:tcPr>
          <w:p w14:paraId="2AED590B" w14:textId="77777777" w:rsidR="00A6230F" w:rsidRPr="00A6230F" w:rsidRDefault="00A6230F" w:rsidP="00A6230F">
            <w:pPr>
              <w:ind w:right="0"/>
              <w:rPr>
                <w:sz w:val="20"/>
                <w:szCs w:val="20"/>
                <w:lang w:eastAsia="en-US"/>
              </w:rPr>
            </w:pPr>
            <w:r w:rsidRPr="00A6230F">
              <w:rPr>
                <w:sz w:val="20"/>
                <w:szCs w:val="20"/>
                <w:lang w:eastAsia="en-US"/>
              </w:rPr>
              <w:t>1 (0.4)</w:t>
            </w:r>
          </w:p>
        </w:tc>
      </w:tr>
      <w:tr w:rsidR="00A6230F" w:rsidRPr="00A6230F" w14:paraId="291B3541" w14:textId="77777777" w:rsidTr="00D06CA8">
        <w:tc>
          <w:tcPr>
            <w:tcW w:w="1269" w:type="pct"/>
            <w:hideMark/>
          </w:tcPr>
          <w:p w14:paraId="69418B1B" w14:textId="77777777" w:rsidR="00A6230F" w:rsidRPr="00A6230F" w:rsidRDefault="00A6230F" w:rsidP="00A6230F">
            <w:pPr>
              <w:ind w:left="0" w:right="0"/>
              <w:rPr>
                <w:sz w:val="20"/>
                <w:szCs w:val="20"/>
                <w:lang w:eastAsia="en-US"/>
              </w:rPr>
            </w:pPr>
            <w:r w:rsidRPr="00A6230F">
              <w:rPr>
                <w:sz w:val="20"/>
                <w:szCs w:val="20"/>
                <w:lang w:eastAsia="en-US"/>
              </w:rPr>
              <w:lastRenderedPageBreak/>
              <w:t>Skin haemorrhage</w:t>
            </w:r>
          </w:p>
        </w:tc>
        <w:tc>
          <w:tcPr>
            <w:tcW w:w="945" w:type="pct"/>
            <w:hideMark/>
          </w:tcPr>
          <w:p w14:paraId="12827D3A" w14:textId="77777777" w:rsidR="00A6230F" w:rsidRPr="00A6230F" w:rsidRDefault="00A6230F" w:rsidP="00A6230F">
            <w:pPr>
              <w:ind w:right="0"/>
              <w:rPr>
                <w:sz w:val="20"/>
                <w:szCs w:val="20"/>
                <w:lang w:eastAsia="en-US"/>
              </w:rPr>
            </w:pPr>
            <w:r w:rsidRPr="00A6230F">
              <w:rPr>
                <w:sz w:val="20"/>
                <w:szCs w:val="20"/>
                <w:lang w:eastAsia="en-US"/>
              </w:rPr>
              <w:t>2 (1.1)</w:t>
            </w:r>
          </w:p>
        </w:tc>
        <w:tc>
          <w:tcPr>
            <w:tcW w:w="945" w:type="pct"/>
            <w:hideMark/>
          </w:tcPr>
          <w:p w14:paraId="330ADB8F" w14:textId="77777777" w:rsidR="00A6230F" w:rsidRPr="00A6230F" w:rsidRDefault="00A6230F" w:rsidP="00A6230F">
            <w:pPr>
              <w:ind w:right="0"/>
              <w:rPr>
                <w:sz w:val="20"/>
                <w:szCs w:val="20"/>
                <w:lang w:eastAsia="en-US"/>
              </w:rPr>
            </w:pPr>
            <w:r w:rsidRPr="00A6230F">
              <w:rPr>
                <w:sz w:val="20"/>
                <w:szCs w:val="20"/>
                <w:lang w:eastAsia="en-US"/>
              </w:rPr>
              <w:t>0</w:t>
            </w:r>
          </w:p>
        </w:tc>
        <w:tc>
          <w:tcPr>
            <w:tcW w:w="941" w:type="pct"/>
            <w:hideMark/>
          </w:tcPr>
          <w:p w14:paraId="4295CD59" w14:textId="77777777" w:rsidR="00A6230F" w:rsidRPr="00A6230F" w:rsidRDefault="00A6230F" w:rsidP="00A6230F">
            <w:pPr>
              <w:ind w:right="0"/>
              <w:rPr>
                <w:sz w:val="20"/>
                <w:szCs w:val="20"/>
                <w:lang w:eastAsia="en-US"/>
              </w:rPr>
            </w:pPr>
            <w:r w:rsidRPr="00A6230F">
              <w:rPr>
                <w:sz w:val="20"/>
                <w:szCs w:val="20"/>
                <w:lang w:eastAsia="en-US"/>
              </w:rPr>
              <w:t>0</w:t>
            </w:r>
          </w:p>
        </w:tc>
        <w:tc>
          <w:tcPr>
            <w:tcW w:w="900" w:type="pct"/>
            <w:hideMark/>
          </w:tcPr>
          <w:p w14:paraId="07F3A55A" w14:textId="77777777" w:rsidR="00A6230F" w:rsidRPr="00A6230F" w:rsidRDefault="00A6230F" w:rsidP="00A6230F">
            <w:pPr>
              <w:ind w:right="0"/>
              <w:rPr>
                <w:sz w:val="20"/>
                <w:szCs w:val="20"/>
                <w:lang w:eastAsia="en-US"/>
              </w:rPr>
            </w:pPr>
            <w:r w:rsidRPr="00A6230F">
              <w:rPr>
                <w:sz w:val="20"/>
                <w:szCs w:val="20"/>
                <w:lang w:eastAsia="en-US"/>
              </w:rPr>
              <w:t>2 (0.8)</w:t>
            </w:r>
          </w:p>
        </w:tc>
      </w:tr>
      <w:tr w:rsidR="00A6230F" w:rsidRPr="00A6230F" w14:paraId="60022EEF" w14:textId="77777777" w:rsidTr="00D06CA8">
        <w:tc>
          <w:tcPr>
            <w:tcW w:w="1269" w:type="pct"/>
            <w:hideMark/>
          </w:tcPr>
          <w:p w14:paraId="13D6C400" w14:textId="77777777" w:rsidR="00A6230F" w:rsidRPr="00A6230F" w:rsidRDefault="00A6230F" w:rsidP="00A6230F">
            <w:pPr>
              <w:ind w:left="0" w:right="0"/>
              <w:rPr>
                <w:sz w:val="20"/>
                <w:szCs w:val="20"/>
                <w:lang w:eastAsia="en-US"/>
              </w:rPr>
            </w:pPr>
            <w:r w:rsidRPr="00A6230F">
              <w:rPr>
                <w:sz w:val="20"/>
                <w:szCs w:val="20"/>
                <w:lang w:eastAsia="en-US"/>
              </w:rPr>
              <w:t>Nail bed bleeding</w:t>
            </w:r>
          </w:p>
        </w:tc>
        <w:tc>
          <w:tcPr>
            <w:tcW w:w="945" w:type="pct"/>
            <w:hideMark/>
          </w:tcPr>
          <w:p w14:paraId="3129EF1F" w14:textId="77777777" w:rsidR="00A6230F" w:rsidRPr="00A6230F" w:rsidRDefault="00A6230F" w:rsidP="00A6230F">
            <w:pPr>
              <w:ind w:right="0"/>
              <w:rPr>
                <w:sz w:val="20"/>
                <w:szCs w:val="20"/>
                <w:lang w:eastAsia="en-US"/>
              </w:rPr>
            </w:pPr>
            <w:r w:rsidRPr="00A6230F">
              <w:rPr>
                <w:sz w:val="20"/>
                <w:szCs w:val="20"/>
                <w:lang w:eastAsia="en-US"/>
              </w:rPr>
              <w:t>0</w:t>
            </w:r>
          </w:p>
        </w:tc>
        <w:tc>
          <w:tcPr>
            <w:tcW w:w="945" w:type="pct"/>
            <w:hideMark/>
          </w:tcPr>
          <w:p w14:paraId="30C737CD" w14:textId="77777777" w:rsidR="00A6230F" w:rsidRPr="00A6230F" w:rsidRDefault="00A6230F" w:rsidP="00A6230F">
            <w:pPr>
              <w:ind w:right="0"/>
              <w:rPr>
                <w:sz w:val="20"/>
                <w:szCs w:val="20"/>
                <w:lang w:eastAsia="en-US"/>
              </w:rPr>
            </w:pPr>
            <w:r w:rsidRPr="00A6230F">
              <w:rPr>
                <w:sz w:val="20"/>
                <w:szCs w:val="20"/>
                <w:lang w:eastAsia="en-US"/>
              </w:rPr>
              <w:t>1 (1.3)</w:t>
            </w:r>
          </w:p>
        </w:tc>
        <w:tc>
          <w:tcPr>
            <w:tcW w:w="941" w:type="pct"/>
            <w:hideMark/>
          </w:tcPr>
          <w:p w14:paraId="65B48E82" w14:textId="77777777" w:rsidR="00A6230F" w:rsidRPr="00A6230F" w:rsidRDefault="00A6230F" w:rsidP="00A6230F">
            <w:pPr>
              <w:ind w:right="0"/>
              <w:rPr>
                <w:sz w:val="20"/>
                <w:szCs w:val="20"/>
                <w:lang w:eastAsia="en-US"/>
              </w:rPr>
            </w:pPr>
            <w:r w:rsidRPr="00A6230F">
              <w:rPr>
                <w:sz w:val="20"/>
                <w:szCs w:val="20"/>
                <w:lang w:eastAsia="en-US"/>
              </w:rPr>
              <w:t>0</w:t>
            </w:r>
          </w:p>
        </w:tc>
        <w:tc>
          <w:tcPr>
            <w:tcW w:w="900" w:type="pct"/>
            <w:hideMark/>
          </w:tcPr>
          <w:p w14:paraId="5ACC05AA" w14:textId="77777777" w:rsidR="00A6230F" w:rsidRPr="00A6230F" w:rsidRDefault="00A6230F" w:rsidP="00A6230F">
            <w:pPr>
              <w:ind w:right="0"/>
              <w:rPr>
                <w:sz w:val="20"/>
                <w:szCs w:val="20"/>
                <w:lang w:eastAsia="en-US"/>
              </w:rPr>
            </w:pPr>
            <w:r w:rsidRPr="00A6230F">
              <w:rPr>
                <w:sz w:val="20"/>
                <w:szCs w:val="20"/>
                <w:lang w:eastAsia="en-US"/>
              </w:rPr>
              <w:t>1 (0.4)</w:t>
            </w:r>
          </w:p>
        </w:tc>
      </w:tr>
      <w:tr w:rsidR="00A6230F" w:rsidRPr="00A6230F" w14:paraId="12718E24" w14:textId="77777777" w:rsidTr="00D06CA8">
        <w:tc>
          <w:tcPr>
            <w:tcW w:w="1269" w:type="pct"/>
            <w:hideMark/>
          </w:tcPr>
          <w:p w14:paraId="4ECF8168" w14:textId="77777777" w:rsidR="00A6230F" w:rsidRPr="00A6230F" w:rsidRDefault="00A6230F" w:rsidP="00A6230F">
            <w:pPr>
              <w:ind w:left="0"/>
              <w:rPr>
                <w:sz w:val="20"/>
                <w:szCs w:val="20"/>
                <w:lang w:eastAsia="en-US"/>
              </w:rPr>
            </w:pPr>
            <w:r w:rsidRPr="00A6230F">
              <w:rPr>
                <w:b/>
                <w:bCs/>
                <w:sz w:val="20"/>
                <w:szCs w:val="20"/>
                <w:lang w:eastAsia="en-US"/>
              </w:rPr>
              <w:t>Nervous system disorders</w:t>
            </w:r>
          </w:p>
        </w:tc>
        <w:tc>
          <w:tcPr>
            <w:tcW w:w="945" w:type="pct"/>
            <w:hideMark/>
          </w:tcPr>
          <w:p w14:paraId="09A452EB" w14:textId="77777777" w:rsidR="00A6230F" w:rsidRPr="00A6230F" w:rsidRDefault="00A6230F" w:rsidP="00A6230F">
            <w:pPr>
              <w:ind w:right="0"/>
              <w:rPr>
                <w:sz w:val="20"/>
                <w:szCs w:val="20"/>
                <w:lang w:eastAsia="en-US"/>
              </w:rPr>
            </w:pPr>
            <w:r w:rsidRPr="00A6230F">
              <w:rPr>
                <w:b/>
                <w:bCs/>
                <w:sz w:val="20"/>
                <w:szCs w:val="20"/>
                <w:lang w:eastAsia="en-US"/>
              </w:rPr>
              <w:t>13 (7.4)</w:t>
            </w:r>
          </w:p>
        </w:tc>
        <w:tc>
          <w:tcPr>
            <w:tcW w:w="945" w:type="pct"/>
            <w:hideMark/>
          </w:tcPr>
          <w:p w14:paraId="000DB693" w14:textId="77777777" w:rsidR="00A6230F" w:rsidRPr="00A6230F" w:rsidRDefault="00A6230F" w:rsidP="00A6230F">
            <w:pPr>
              <w:ind w:right="0"/>
              <w:rPr>
                <w:sz w:val="20"/>
                <w:szCs w:val="20"/>
                <w:lang w:eastAsia="en-US"/>
              </w:rPr>
            </w:pPr>
            <w:r w:rsidRPr="00A6230F">
              <w:rPr>
                <w:b/>
                <w:bCs/>
                <w:sz w:val="20"/>
                <w:szCs w:val="20"/>
                <w:lang w:eastAsia="en-US"/>
              </w:rPr>
              <w:t>0</w:t>
            </w:r>
          </w:p>
        </w:tc>
        <w:tc>
          <w:tcPr>
            <w:tcW w:w="941" w:type="pct"/>
            <w:hideMark/>
          </w:tcPr>
          <w:p w14:paraId="2921D788" w14:textId="77777777" w:rsidR="00A6230F" w:rsidRPr="00A6230F" w:rsidRDefault="00A6230F" w:rsidP="00A6230F">
            <w:pPr>
              <w:ind w:right="0"/>
              <w:rPr>
                <w:sz w:val="20"/>
                <w:szCs w:val="20"/>
                <w:lang w:eastAsia="en-US"/>
              </w:rPr>
            </w:pPr>
            <w:r w:rsidRPr="00A6230F">
              <w:rPr>
                <w:b/>
                <w:bCs/>
                <w:sz w:val="20"/>
                <w:szCs w:val="20"/>
                <w:lang w:eastAsia="en-US"/>
              </w:rPr>
              <w:t>1 (3.1)</w:t>
            </w:r>
          </w:p>
        </w:tc>
        <w:tc>
          <w:tcPr>
            <w:tcW w:w="900" w:type="pct"/>
            <w:hideMark/>
          </w:tcPr>
          <w:p w14:paraId="125643BE" w14:textId="77777777" w:rsidR="00A6230F" w:rsidRPr="00A6230F" w:rsidRDefault="00A6230F" w:rsidP="00A6230F">
            <w:pPr>
              <w:ind w:right="0"/>
              <w:rPr>
                <w:sz w:val="20"/>
                <w:szCs w:val="20"/>
                <w:lang w:eastAsia="en-US"/>
              </w:rPr>
            </w:pPr>
            <w:r w:rsidRPr="00A6230F">
              <w:rPr>
                <w:b/>
                <w:bCs/>
                <w:sz w:val="20"/>
                <w:szCs w:val="20"/>
                <w:lang w:eastAsia="en-US"/>
              </w:rPr>
              <w:t>13 (5.2)</w:t>
            </w:r>
          </w:p>
        </w:tc>
      </w:tr>
      <w:tr w:rsidR="00A6230F" w:rsidRPr="00A6230F" w14:paraId="4AC375AE" w14:textId="77777777" w:rsidTr="00D06CA8">
        <w:tc>
          <w:tcPr>
            <w:tcW w:w="1269" w:type="pct"/>
            <w:hideMark/>
          </w:tcPr>
          <w:p w14:paraId="2966C4CF" w14:textId="77777777" w:rsidR="00A6230F" w:rsidRPr="00A6230F" w:rsidRDefault="00A6230F" w:rsidP="00A6230F">
            <w:pPr>
              <w:ind w:left="0" w:right="0"/>
              <w:rPr>
                <w:sz w:val="20"/>
                <w:szCs w:val="20"/>
                <w:lang w:eastAsia="en-US"/>
              </w:rPr>
            </w:pPr>
            <w:r w:rsidRPr="00A6230F">
              <w:rPr>
                <w:sz w:val="20"/>
                <w:szCs w:val="20"/>
                <w:lang w:eastAsia="en-US"/>
              </w:rPr>
              <w:t>Haemorrhage intracranial</w:t>
            </w:r>
          </w:p>
        </w:tc>
        <w:tc>
          <w:tcPr>
            <w:tcW w:w="945" w:type="pct"/>
            <w:hideMark/>
          </w:tcPr>
          <w:p w14:paraId="669908D9" w14:textId="77777777" w:rsidR="00A6230F" w:rsidRPr="00A6230F" w:rsidRDefault="00A6230F" w:rsidP="00A6230F">
            <w:pPr>
              <w:ind w:right="0"/>
              <w:rPr>
                <w:sz w:val="20"/>
                <w:szCs w:val="20"/>
                <w:lang w:eastAsia="en-US"/>
              </w:rPr>
            </w:pPr>
            <w:r w:rsidRPr="00A6230F">
              <w:rPr>
                <w:sz w:val="20"/>
                <w:szCs w:val="20"/>
                <w:lang w:eastAsia="en-US"/>
              </w:rPr>
              <w:t>5 (2.8)</w:t>
            </w:r>
          </w:p>
        </w:tc>
        <w:tc>
          <w:tcPr>
            <w:tcW w:w="945" w:type="pct"/>
            <w:hideMark/>
          </w:tcPr>
          <w:p w14:paraId="17F549E5" w14:textId="77777777" w:rsidR="00A6230F" w:rsidRPr="00A6230F" w:rsidRDefault="00A6230F" w:rsidP="00A6230F">
            <w:pPr>
              <w:ind w:right="0"/>
              <w:rPr>
                <w:sz w:val="20"/>
                <w:szCs w:val="20"/>
                <w:lang w:eastAsia="en-US"/>
              </w:rPr>
            </w:pPr>
            <w:r w:rsidRPr="00A6230F">
              <w:rPr>
                <w:sz w:val="20"/>
                <w:szCs w:val="20"/>
                <w:lang w:eastAsia="en-US"/>
              </w:rPr>
              <w:t>0</w:t>
            </w:r>
          </w:p>
        </w:tc>
        <w:tc>
          <w:tcPr>
            <w:tcW w:w="941" w:type="pct"/>
            <w:hideMark/>
          </w:tcPr>
          <w:p w14:paraId="3820A099" w14:textId="77777777" w:rsidR="00A6230F" w:rsidRPr="00A6230F" w:rsidRDefault="00A6230F" w:rsidP="00A6230F">
            <w:pPr>
              <w:ind w:right="0"/>
              <w:rPr>
                <w:sz w:val="20"/>
                <w:szCs w:val="20"/>
                <w:lang w:eastAsia="en-US"/>
              </w:rPr>
            </w:pPr>
            <w:r w:rsidRPr="00A6230F">
              <w:rPr>
                <w:sz w:val="20"/>
                <w:szCs w:val="20"/>
                <w:lang w:eastAsia="en-US"/>
              </w:rPr>
              <w:t>0</w:t>
            </w:r>
          </w:p>
        </w:tc>
        <w:tc>
          <w:tcPr>
            <w:tcW w:w="900" w:type="pct"/>
            <w:hideMark/>
          </w:tcPr>
          <w:p w14:paraId="56BDCF38" w14:textId="77777777" w:rsidR="00A6230F" w:rsidRPr="00A6230F" w:rsidRDefault="00A6230F" w:rsidP="00A6230F">
            <w:pPr>
              <w:ind w:right="0"/>
              <w:rPr>
                <w:sz w:val="20"/>
                <w:szCs w:val="20"/>
                <w:lang w:eastAsia="en-US"/>
              </w:rPr>
            </w:pPr>
            <w:r w:rsidRPr="00A6230F">
              <w:rPr>
                <w:sz w:val="20"/>
                <w:szCs w:val="20"/>
                <w:lang w:eastAsia="en-US"/>
              </w:rPr>
              <w:t>5 (2.0)</w:t>
            </w:r>
          </w:p>
        </w:tc>
      </w:tr>
      <w:tr w:rsidR="00A6230F" w:rsidRPr="00A6230F" w14:paraId="5F274F40" w14:textId="77777777" w:rsidTr="00D06CA8">
        <w:tc>
          <w:tcPr>
            <w:tcW w:w="1269" w:type="pct"/>
            <w:hideMark/>
          </w:tcPr>
          <w:p w14:paraId="478661FD" w14:textId="77777777" w:rsidR="00A6230F" w:rsidRPr="00A6230F" w:rsidRDefault="00A6230F" w:rsidP="00A6230F">
            <w:pPr>
              <w:ind w:left="0" w:right="0"/>
              <w:rPr>
                <w:sz w:val="20"/>
                <w:szCs w:val="20"/>
                <w:lang w:eastAsia="en-US"/>
              </w:rPr>
            </w:pPr>
            <w:r w:rsidRPr="00A6230F">
              <w:rPr>
                <w:sz w:val="20"/>
                <w:szCs w:val="20"/>
                <w:lang w:eastAsia="en-US"/>
              </w:rPr>
              <w:t>Central nervous system haemorrhage</w:t>
            </w:r>
          </w:p>
        </w:tc>
        <w:tc>
          <w:tcPr>
            <w:tcW w:w="945" w:type="pct"/>
            <w:hideMark/>
          </w:tcPr>
          <w:p w14:paraId="0969EF38" w14:textId="77777777" w:rsidR="00A6230F" w:rsidRPr="00A6230F" w:rsidRDefault="00A6230F" w:rsidP="00A6230F">
            <w:pPr>
              <w:ind w:right="0"/>
              <w:rPr>
                <w:sz w:val="20"/>
                <w:szCs w:val="20"/>
                <w:lang w:eastAsia="en-US"/>
              </w:rPr>
            </w:pPr>
            <w:r w:rsidRPr="00A6230F">
              <w:rPr>
                <w:sz w:val="20"/>
                <w:szCs w:val="20"/>
                <w:lang w:eastAsia="en-US"/>
              </w:rPr>
              <w:t>3 (1.7)</w:t>
            </w:r>
          </w:p>
        </w:tc>
        <w:tc>
          <w:tcPr>
            <w:tcW w:w="945" w:type="pct"/>
            <w:hideMark/>
          </w:tcPr>
          <w:p w14:paraId="400AF5AF" w14:textId="77777777" w:rsidR="00A6230F" w:rsidRPr="00A6230F" w:rsidRDefault="00A6230F" w:rsidP="00A6230F">
            <w:pPr>
              <w:ind w:right="0"/>
              <w:rPr>
                <w:sz w:val="20"/>
                <w:szCs w:val="20"/>
                <w:lang w:eastAsia="en-US"/>
              </w:rPr>
            </w:pPr>
            <w:r w:rsidRPr="00A6230F">
              <w:rPr>
                <w:sz w:val="20"/>
                <w:szCs w:val="20"/>
                <w:lang w:eastAsia="en-US"/>
              </w:rPr>
              <w:t>0</w:t>
            </w:r>
          </w:p>
        </w:tc>
        <w:tc>
          <w:tcPr>
            <w:tcW w:w="941" w:type="pct"/>
            <w:hideMark/>
          </w:tcPr>
          <w:p w14:paraId="7F801935" w14:textId="77777777" w:rsidR="00A6230F" w:rsidRPr="00A6230F" w:rsidRDefault="00A6230F" w:rsidP="00A6230F">
            <w:pPr>
              <w:ind w:right="0"/>
              <w:rPr>
                <w:sz w:val="20"/>
                <w:szCs w:val="20"/>
                <w:lang w:eastAsia="en-US"/>
              </w:rPr>
            </w:pPr>
            <w:r w:rsidRPr="00A6230F">
              <w:rPr>
                <w:sz w:val="20"/>
                <w:szCs w:val="20"/>
                <w:lang w:eastAsia="en-US"/>
              </w:rPr>
              <w:t>0</w:t>
            </w:r>
          </w:p>
        </w:tc>
        <w:tc>
          <w:tcPr>
            <w:tcW w:w="900" w:type="pct"/>
            <w:hideMark/>
          </w:tcPr>
          <w:p w14:paraId="7053EFE6" w14:textId="77777777" w:rsidR="00A6230F" w:rsidRPr="00A6230F" w:rsidRDefault="00A6230F" w:rsidP="00A6230F">
            <w:pPr>
              <w:ind w:right="0"/>
              <w:rPr>
                <w:sz w:val="20"/>
                <w:szCs w:val="20"/>
                <w:lang w:eastAsia="en-US"/>
              </w:rPr>
            </w:pPr>
            <w:r w:rsidRPr="00A6230F">
              <w:rPr>
                <w:sz w:val="20"/>
                <w:szCs w:val="20"/>
                <w:lang w:eastAsia="en-US"/>
              </w:rPr>
              <w:t>3 (1.2)</w:t>
            </w:r>
          </w:p>
        </w:tc>
      </w:tr>
      <w:tr w:rsidR="00A6230F" w:rsidRPr="00A6230F" w14:paraId="31E53DCD" w14:textId="77777777" w:rsidTr="00D06CA8">
        <w:tc>
          <w:tcPr>
            <w:tcW w:w="1269" w:type="pct"/>
            <w:hideMark/>
          </w:tcPr>
          <w:p w14:paraId="02183E78" w14:textId="77777777" w:rsidR="00A6230F" w:rsidRPr="00A6230F" w:rsidRDefault="00A6230F" w:rsidP="00A6230F">
            <w:pPr>
              <w:ind w:left="0" w:right="0"/>
              <w:rPr>
                <w:sz w:val="20"/>
                <w:szCs w:val="20"/>
                <w:lang w:eastAsia="en-US"/>
              </w:rPr>
            </w:pPr>
            <w:r w:rsidRPr="00A6230F">
              <w:rPr>
                <w:sz w:val="20"/>
                <w:szCs w:val="20"/>
                <w:lang w:eastAsia="en-US"/>
              </w:rPr>
              <w:t>Cerebral haemorrhage</w:t>
            </w:r>
          </w:p>
        </w:tc>
        <w:tc>
          <w:tcPr>
            <w:tcW w:w="945" w:type="pct"/>
            <w:hideMark/>
          </w:tcPr>
          <w:p w14:paraId="77212A80" w14:textId="77777777" w:rsidR="00A6230F" w:rsidRPr="00A6230F" w:rsidRDefault="00A6230F" w:rsidP="00A6230F">
            <w:pPr>
              <w:ind w:right="0"/>
              <w:rPr>
                <w:sz w:val="20"/>
                <w:szCs w:val="20"/>
                <w:lang w:eastAsia="en-US"/>
              </w:rPr>
            </w:pPr>
            <w:r w:rsidRPr="00A6230F">
              <w:rPr>
                <w:sz w:val="20"/>
                <w:szCs w:val="20"/>
                <w:lang w:eastAsia="en-US"/>
              </w:rPr>
              <w:t>3 (1.7)</w:t>
            </w:r>
          </w:p>
        </w:tc>
        <w:tc>
          <w:tcPr>
            <w:tcW w:w="945" w:type="pct"/>
            <w:hideMark/>
          </w:tcPr>
          <w:p w14:paraId="4E687773" w14:textId="77777777" w:rsidR="00A6230F" w:rsidRPr="00A6230F" w:rsidRDefault="00A6230F" w:rsidP="00A6230F">
            <w:pPr>
              <w:ind w:right="0"/>
              <w:rPr>
                <w:sz w:val="20"/>
                <w:szCs w:val="20"/>
                <w:lang w:eastAsia="en-US"/>
              </w:rPr>
            </w:pPr>
            <w:r w:rsidRPr="00A6230F">
              <w:rPr>
                <w:sz w:val="20"/>
                <w:szCs w:val="20"/>
                <w:lang w:eastAsia="en-US"/>
              </w:rPr>
              <w:t>0</w:t>
            </w:r>
          </w:p>
        </w:tc>
        <w:tc>
          <w:tcPr>
            <w:tcW w:w="941" w:type="pct"/>
            <w:hideMark/>
          </w:tcPr>
          <w:p w14:paraId="18BB466E" w14:textId="77777777" w:rsidR="00A6230F" w:rsidRPr="00A6230F" w:rsidRDefault="00A6230F" w:rsidP="00A6230F">
            <w:pPr>
              <w:ind w:right="0"/>
              <w:rPr>
                <w:sz w:val="20"/>
                <w:szCs w:val="20"/>
                <w:lang w:eastAsia="en-US"/>
              </w:rPr>
            </w:pPr>
            <w:r w:rsidRPr="00A6230F">
              <w:rPr>
                <w:sz w:val="20"/>
                <w:szCs w:val="20"/>
                <w:lang w:eastAsia="en-US"/>
              </w:rPr>
              <w:t>1 (1.3)</w:t>
            </w:r>
          </w:p>
        </w:tc>
        <w:tc>
          <w:tcPr>
            <w:tcW w:w="900" w:type="pct"/>
            <w:hideMark/>
          </w:tcPr>
          <w:p w14:paraId="6389A0A8" w14:textId="77777777" w:rsidR="00A6230F" w:rsidRPr="00A6230F" w:rsidRDefault="00A6230F" w:rsidP="00A6230F">
            <w:pPr>
              <w:ind w:right="0"/>
              <w:rPr>
                <w:sz w:val="20"/>
                <w:szCs w:val="20"/>
                <w:lang w:eastAsia="en-US"/>
              </w:rPr>
            </w:pPr>
            <w:r w:rsidRPr="00A6230F">
              <w:rPr>
                <w:sz w:val="20"/>
                <w:szCs w:val="20"/>
                <w:lang w:eastAsia="en-US"/>
              </w:rPr>
              <w:t>3 (1.2)</w:t>
            </w:r>
          </w:p>
        </w:tc>
      </w:tr>
      <w:tr w:rsidR="00A6230F" w:rsidRPr="00A6230F" w14:paraId="3F71B34A" w14:textId="77777777" w:rsidTr="00D06CA8">
        <w:tc>
          <w:tcPr>
            <w:tcW w:w="1269" w:type="pct"/>
            <w:hideMark/>
          </w:tcPr>
          <w:p w14:paraId="4280A31C" w14:textId="77777777" w:rsidR="00A6230F" w:rsidRPr="00A6230F" w:rsidRDefault="00A6230F" w:rsidP="00A6230F">
            <w:pPr>
              <w:ind w:left="0"/>
              <w:rPr>
                <w:sz w:val="20"/>
                <w:szCs w:val="20"/>
                <w:lang w:eastAsia="en-US"/>
              </w:rPr>
            </w:pPr>
            <w:r w:rsidRPr="00A6230F">
              <w:rPr>
                <w:b/>
                <w:bCs/>
                <w:sz w:val="20"/>
                <w:szCs w:val="20"/>
                <w:lang w:eastAsia="en-US"/>
              </w:rPr>
              <w:t>Renal and urinary disorders</w:t>
            </w:r>
          </w:p>
        </w:tc>
        <w:tc>
          <w:tcPr>
            <w:tcW w:w="945" w:type="pct"/>
            <w:hideMark/>
          </w:tcPr>
          <w:p w14:paraId="5BFE4781" w14:textId="77777777" w:rsidR="00A6230F" w:rsidRPr="00A6230F" w:rsidRDefault="00A6230F" w:rsidP="00A6230F">
            <w:pPr>
              <w:ind w:right="0"/>
              <w:rPr>
                <w:sz w:val="20"/>
                <w:szCs w:val="20"/>
                <w:lang w:eastAsia="en-US"/>
              </w:rPr>
            </w:pPr>
            <w:r w:rsidRPr="00A6230F">
              <w:rPr>
                <w:b/>
                <w:bCs/>
                <w:sz w:val="20"/>
                <w:szCs w:val="20"/>
                <w:lang w:eastAsia="en-US"/>
              </w:rPr>
              <w:t>19 (10.8)</w:t>
            </w:r>
          </w:p>
        </w:tc>
        <w:tc>
          <w:tcPr>
            <w:tcW w:w="945" w:type="pct"/>
            <w:hideMark/>
          </w:tcPr>
          <w:p w14:paraId="450A1401" w14:textId="77777777" w:rsidR="00A6230F" w:rsidRPr="00A6230F" w:rsidRDefault="00A6230F" w:rsidP="00A6230F">
            <w:pPr>
              <w:ind w:right="0"/>
              <w:rPr>
                <w:sz w:val="20"/>
                <w:szCs w:val="20"/>
                <w:lang w:eastAsia="en-US"/>
              </w:rPr>
            </w:pPr>
            <w:r w:rsidRPr="00A6230F">
              <w:rPr>
                <w:b/>
                <w:bCs/>
                <w:sz w:val="20"/>
                <w:szCs w:val="20"/>
                <w:lang w:eastAsia="en-US"/>
              </w:rPr>
              <w:t>3 (4.0)</w:t>
            </w:r>
          </w:p>
        </w:tc>
        <w:tc>
          <w:tcPr>
            <w:tcW w:w="941" w:type="pct"/>
            <w:hideMark/>
          </w:tcPr>
          <w:p w14:paraId="2EAE32AC" w14:textId="77777777" w:rsidR="00A6230F" w:rsidRPr="00A6230F" w:rsidRDefault="00A6230F" w:rsidP="00A6230F">
            <w:pPr>
              <w:ind w:right="0"/>
              <w:rPr>
                <w:sz w:val="20"/>
                <w:szCs w:val="20"/>
                <w:lang w:eastAsia="en-US"/>
              </w:rPr>
            </w:pPr>
            <w:r w:rsidRPr="00A6230F">
              <w:rPr>
                <w:b/>
                <w:bCs/>
                <w:sz w:val="20"/>
                <w:szCs w:val="20"/>
                <w:lang w:eastAsia="en-US"/>
              </w:rPr>
              <w:t>5 (15.6)</w:t>
            </w:r>
          </w:p>
        </w:tc>
        <w:tc>
          <w:tcPr>
            <w:tcW w:w="900" w:type="pct"/>
            <w:hideMark/>
          </w:tcPr>
          <w:p w14:paraId="6BDAAED3" w14:textId="77777777" w:rsidR="00A6230F" w:rsidRPr="00A6230F" w:rsidRDefault="00A6230F" w:rsidP="00A6230F">
            <w:pPr>
              <w:ind w:right="0"/>
              <w:rPr>
                <w:sz w:val="20"/>
                <w:szCs w:val="20"/>
                <w:lang w:eastAsia="en-US"/>
              </w:rPr>
            </w:pPr>
            <w:r w:rsidRPr="00A6230F">
              <w:rPr>
                <w:b/>
                <w:bCs/>
                <w:sz w:val="20"/>
                <w:szCs w:val="20"/>
                <w:lang w:eastAsia="en-US"/>
              </w:rPr>
              <w:t>22 (8.8)</w:t>
            </w:r>
          </w:p>
        </w:tc>
      </w:tr>
      <w:tr w:rsidR="00A6230F" w:rsidRPr="00A6230F" w14:paraId="58BFBF57" w14:textId="77777777" w:rsidTr="00D06CA8">
        <w:tc>
          <w:tcPr>
            <w:tcW w:w="1269" w:type="pct"/>
            <w:hideMark/>
          </w:tcPr>
          <w:p w14:paraId="07F7E13F" w14:textId="77777777" w:rsidR="00A6230F" w:rsidRPr="00A6230F" w:rsidRDefault="00A6230F" w:rsidP="00A6230F">
            <w:pPr>
              <w:ind w:left="0" w:right="0"/>
              <w:rPr>
                <w:sz w:val="20"/>
                <w:szCs w:val="20"/>
                <w:lang w:eastAsia="en-US"/>
              </w:rPr>
            </w:pPr>
            <w:r w:rsidRPr="00A6230F">
              <w:rPr>
                <w:sz w:val="20"/>
                <w:szCs w:val="20"/>
                <w:lang w:eastAsia="en-US"/>
              </w:rPr>
              <w:t>Haematuria</w:t>
            </w:r>
          </w:p>
        </w:tc>
        <w:tc>
          <w:tcPr>
            <w:tcW w:w="945" w:type="pct"/>
            <w:hideMark/>
          </w:tcPr>
          <w:p w14:paraId="4B88ECAD" w14:textId="77777777" w:rsidR="00A6230F" w:rsidRPr="00A6230F" w:rsidRDefault="00A6230F" w:rsidP="00A6230F">
            <w:pPr>
              <w:ind w:right="0"/>
              <w:rPr>
                <w:sz w:val="20"/>
                <w:szCs w:val="20"/>
                <w:lang w:eastAsia="en-US"/>
              </w:rPr>
            </w:pPr>
            <w:r w:rsidRPr="00A6230F">
              <w:rPr>
                <w:sz w:val="20"/>
                <w:szCs w:val="20"/>
                <w:lang w:eastAsia="en-US"/>
              </w:rPr>
              <w:t>15 (8.5)</w:t>
            </w:r>
          </w:p>
        </w:tc>
        <w:tc>
          <w:tcPr>
            <w:tcW w:w="945" w:type="pct"/>
            <w:hideMark/>
          </w:tcPr>
          <w:p w14:paraId="5EEC8AED" w14:textId="77777777" w:rsidR="00A6230F" w:rsidRPr="00A6230F" w:rsidRDefault="00A6230F" w:rsidP="00A6230F">
            <w:pPr>
              <w:ind w:right="0"/>
              <w:rPr>
                <w:sz w:val="20"/>
                <w:szCs w:val="20"/>
                <w:lang w:eastAsia="en-US"/>
              </w:rPr>
            </w:pPr>
            <w:r w:rsidRPr="00A6230F">
              <w:rPr>
                <w:sz w:val="20"/>
                <w:szCs w:val="20"/>
                <w:lang w:eastAsia="en-US"/>
              </w:rPr>
              <w:t>3 (4.0)</w:t>
            </w:r>
          </w:p>
        </w:tc>
        <w:tc>
          <w:tcPr>
            <w:tcW w:w="941" w:type="pct"/>
            <w:hideMark/>
          </w:tcPr>
          <w:p w14:paraId="339A9D62" w14:textId="77777777" w:rsidR="00A6230F" w:rsidRPr="00A6230F" w:rsidRDefault="00A6230F" w:rsidP="00A6230F">
            <w:pPr>
              <w:ind w:right="0"/>
              <w:rPr>
                <w:sz w:val="20"/>
                <w:szCs w:val="20"/>
                <w:lang w:eastAsia="en-US"/>
              </w:rPr>
            </w:pPr>
            <w:r w:rsidRPr="00A6230F">
              <w:rPr>
                <w:sz w:val="20"/>
                <w:szCs w:val="20"/>
                <w:lang w:eastAsia="en-US"/>
              </w:rPr>
              <w:t>5 (15.6)</w:t>
            </w:r>
          </w:p>
        </w:tc>
        <w:tc>
          <w:tcPr>
            <w:tcW w:w="900" w:type="pct"/>
            <w:hideMark/>
          </w:tcPr>
          <w:p w14:paraId="4D949909" w14:textId="77777777" w:rsidR="00A6230F" w:rsidRPr="00A6230F" w:rsidRDefault="00A6230F" w:rsidP="00A6230F">
            <w:pPr>
              <w:ind w:right="0"/>
              <w:rPr>
                <w:sz w:val="20"/>
                <w:szCs w:val="20"/>
                <w:lang w:eastAsia="en-US"/>
              </w:rPr>
            </w:pPr>
            <w:r w:rsidRPr="00A6230F">
              <w:rPr>
                <w:sz w:val="20"/>
                <w:szCs w:val="20"/>
                <w:lang w:eastAsia="en-US"/>
              </w:rPr>
              <w:t>18 (7.2)</w:t>
            </w:r>
          </w:p>
        </w:tc>
      </w:tr>
      <w:tr w:rsidR="00A6230F" w:rsidRPr="00A6230F" w14:paraId="2F3480E9" w14:textId="77777777" w:rsidTr="00D06CA8">
        <w:tc>
          <w:tcPr>
            <w:tcW w:w="1269" w:type="pct"/>
            <w:hideMark/>
          </w:tcPr>
          <w:p w14:paraId="4F1C5AF9" w14:textId="77777777" w:rsidR="00A6230F" w:rsidRPr="00A6230F" w:rsidRDefault="00A6230F" w:rsidP="00A6230F">
            <w:pPr>
              <w:ind w:left="0" w:right="0"/>
              <w:rPr>
                <w:sz w:val="20"/>
                <w:szCs w:val="20"/>
                <w:lang w:eastAsia="en-US"/>
              </w:rPr>
            </w:pPr>
            <w:r w:rsidRPr="00A6230F">
              <w:rPr>
                <w:sz w:val="20"/>
                <w:szCs w:val="20"/>
                <w:lang w:eastAsia="en-US"/>
              </w:rPr>
              <w:t>Cystitis haemorrhagic</w:t>
            </w:r>
          </w:p>
        </w:tc>
        <w:tc>
          <w:tcPr>
            <w:tcW w:w="945" w:type="pct"/>
            <w:hideMark/>
          </w:tcPr>
          <w:p w14:paraId="0DDAF1A7" w14:textId="77777777" w:rsidR="00A6230F" w:rsidRPr="00A6230F" w:rsidRDefault="00A6230F" w:rsidP="00A6230F">
            <w:pPr>
              <w:ind w:right="0"/>
              <w:rPr>
                <w:sz w:val="20"/>
                <w:szCs w:val="20"/>
                <w:lang w:eastAsia="en-US"/>
              </w:rPr>
            </w:pPr>
            <w:r w:rsidRPr="00A6230F">
              <w:rPr>
                <w:sz w:val="20"/>
                <w:szCs w:val="20"/>
                <w:lang w:eastAsia="en-US"/>
              </w:rPr>
              <w:t>5 (2.8)</w:t>
            </w:r>
          </w:p>
        </w:tc>
        <w:tc>
          <w:tcPr>
            <w:tcW w:w="945" w:type="pct"/>
            <w:hideMark/>
          </w:tcPr>
          <w:p w14:paraId="23755C6D" w14:textId="77777777" w:rsidR="00A6230F" w:rsidRPr="00A6230F" w:rsidRDefault="00A6230F" w:rsidP="00A6230F">
            <w:pPr>
              <w:ind w:right="0"/>
              <w:rPr>
                <w:sz w:val="20"/>
                <w:szCs w:val="20"/>
                <w:lang w:eastAsia="en-US"/>
              </w:rPr>
            </w:pPr>
            <w:r w:rsidRPr="00A6230F">
              <w:rPr>
                <w:sz w:val="20"/>
                <w:szCs w:val="20"/>
                <w:lang w:eastAsia="en-US"/>
              </w:rPr>
              <w:t>0</w:t>
            </w:r>
          </w:p>
        </w:tc>
        <w:tc>
          <w:tcPr>
            <w:tcW w:w="941" w:type="pct"/>
            <w:hideMark/>
          </w:tcPr>
          <w:p w14:paraId="68678362" w14:textId="77777777" w:rsidR="00A6230F" w:rsidRPr="00A6230F" w:rsidRDefault="00A6230F" w:rsidP="00A6230F">
            <w:pPr>
              <w:ind w:right="0"/>
              <w:rPr>
                <w:sz w:val="20"/>
                <w:szCs w:val="20"/>
                <w:lang w:eastAsia="en-US"/>
              </w:rPr>
            </w:pPr>
            <w:r w:rsidRPr="00A6230F">
              <w:rPr>
                <w:sz w:val="20"/>
                <w:szCs w:val="20"/>
                <w:lang w:eastAsia="en-US"/>
              </w:rPr>
              <w:t>1 (3.1)</w:t>
            </w:r>
          </w:p>
        </w:tc>
        <w:tc>
          <w:tcPr>
            <w:tcW w:w="900" w:type="pct"/>
            <w:hideMark/>
          </w:tcPr>
          <w:p w14:paraId="662832DF" w14:textId="77777777" w:rsidR="00A6230F" w:rsidRPr="00A6230F" w:rsidRDefault="00A6230F" w:rsidP="00A6230F">
            <w:pPr>
              <w:ind w:right="0"/>
              <w:rPr>
                <w:sz w:val="20"/>
                <w:szCs w:val="20"/>
                <w:lang w:eastAsia="en-US"/>
              </w:rPr>
            </w:pPr>
            <w:r w:rsidRPr="00A6230F">
              <w:rPr>
                <w:sz w:val="20"/>
                <w:szCs w:val="20"/>
                <w:lang w:eastAsia="en-US"/>
              </w:rPr>
              <w:t>5 (2.0)</w:t>
            </w:r>
          </w:p>
        </w:tc>
      </w:tr>
      <w:tr w:rsidR="00A6230F" w:rsidRPr="00A6230F" w14:paraId="0FCDE0C3" w14:textId="77777777" w:rsidTr="00D06CA8">
        <w:tc>
          <w:tcPr>
            <w:tcW w:w="1269" w:type="pct"/>
            <w:hideMark/>
          </w:tcPr>
          <w:p w14:paraId="0C4233B4" w14:textId="77777777" w:rsidR="00A6230F" w:rsidRPr="00A6230F" w:rsidRDefault="00A6230F" w:rsidP="00A6230F">
            <w:pPr>
              <w:ind w:left="0"/>
              <w:rPr>
                <w:sz w:val="20"/>
                <w:szCs w:val="20"/>
                <w:lang w:eastAsia="en-US"/>
              </w:rPr>
            </w:pPr>
            <w:r w:rsidRPr="00A6230F">
              <w:rPr>
                <w:b/>
                <w:bCs/>
                <w:sz w:val="20"/>
                <w:szCs w:val="20"/>
                <w:lang w:eastAsia="en-US"/>
              </w:rPr>
              <w:t>Reproductive system and breast disorders</w:t>
            </w:r>
          </w:p>
        </w:tc>
        <w:tc>
          <w:tcPr>
            <w:tcW w:w="945" w:type="pct"/>
            <w:hideMark/>
          </w:tcPr>
          <w:p w14:paraId="62C637B0" w14:textId="77777777" w:rsidR="00A6230F" w:rsidRPr="00A6230F" w:rsidRDefault="00A6230F" w:rsidP="00A6230F">
            <w:pPr>
              <w:ind w:right="0"/>
              <w:rPr>
                <w:sz w:val="20"/>
                <w:szCs w:val="20"/>
                <w:lang w:eastAsia="en-US"/>
              </w:rPr>
            </w:pPr>
            <w:r w:rsidRPr="00A6230F">
              <w:rPr>
                <w:b/>
                <w:bCs/>
                <w:sz w:val="20"/>
                <w:szCs w:val="20"/>
                <w:lang w:eastAsia="en-US"/>
              </w:rPr>
              <w:t>4 (2.3)</w:t>
            </w:r>
          </w:p>
        </w:tc>
        <w:tc>
          <w:tcPr>
            <w:tcW w:w="945" w:type="pct"/>
            <w:hideMark/>
          </w:tcPr>
          <w:p w14:paraId="695336B9" w14:textId="77777777" w:rsidR="00A6230F" w:rsidRPr="00A6230F" w:rsidRDefault="00A6230F" w:rsidP="00A6230F">
            <w:pPr>
              <w:ind w:right="0"/>
              <w:rPr>
                <w:sz w:val="20"/>
                <w:szCs w:val="20"/>
                <w:lang w:eastAsia="en-US"/>
              </w:rPr>
            </w:pPr>
            <w:r w:rsidRPr="00A6230F">
              <w:rPr>
                <w:b/>
                <w:bCs/>
                <w:sz w:val="20"/>
                <w:szCs w:val="20"/>
                <w:lang w:eastAsia="en-US"/>
              </w:rPr>
              <w:t>3 (4.0)</w:t>
            </w:r>
          </w:p>
        </w:tc>
        <w:tc>
          <w:tcPr>
            <w:tcW w:w="941" w:type="pct"/>
            <w:hideMark/>
          </w:tcPr>
          <w:p w14:paraId="3867449A" w14:textId="77777777" w:rsidR="00A6230F" w:rsidRPr="00A6230F" w:rsidRDefault="00A6230F" w:rsidP="00A6230F">
            <w:pPr>
              <w:ind w:right="0"/>
              <w:rPr>
                <w:sz w:val="20"/>
                <w:szCs w:val="20"/>
                <w:lang w:eastAsia="en-US"/>
              </w:rPr>
            </w:pPr>
            <w:r w:rsidRPr="00A6230F">
              <w:rPr>
                <w:b/>
                <w:bCs/>
                <w:sz w:val="20"/>
                <w:szCs w:val="20"/>
                <w:lang w:eastAsia="en-US"/>
              </w:rPr>
              <w:t>1 (3.1)</w:t>
            </w:r>
          </w:p>
        </w:tc>
        <w:tc>
          <w:tcPr>
            <w:tcW w:w="900" w:type="pct"/>
            <w:hideMark/>
          </w:tcPr>
          <w:p w14:paraId="6CBFA946" w14:textId="77777777" w:rsidR="00A6230F" w:rsidRPr="00A6230F" w:rsidRDefault="00A6230F" w:rsidP="00A6230F">
            <w:pPr>
              <w:ind w:right="0"/>
              <w:rPr>
                <w:sz w:val="20"/>
                <w:szCs w:val="20"/>
                <w:lang w:eastAsia="en-US"/>
              </w:rPr>
            </w:pPr>
            <w:r w:rsidRPr="00A6230F">
              <w:rPr>
                <w:b/>
                <w:bCs/>
                <w:sz w:val="20"/>
                <w:szCs w:val="20"/>
                <w:lang w:eastAsia="en-US"/>
              </w:rPr>
              <w:t>7 (2.8)</w:t>
            </w:r>
          </w:p>
        </w:tc>
      </w:tr>
      <w:tr w:rsidR="00A6230F" w:rsidRPr="00A6230F" w14:paraId="61018C04" w14:textId="77777777" w:rsidTr="00D06CA8">
        <w:tc>
          <w:tcPr>
            <w:tcW w:w="1269" w:type="pct"/>
            <w:hideMark/>
          </w:tcPr>
          <w:p w14:paraId="683455E7" w14:textId="77777777" w:rsidR="00A6230F" w:rsidRPr="00A6230F" w:rsidRDefault="00A6230F" w:rsidP="00A6230F">
            <w:pPr>
              <w:ind w:left="0" w:right="0"/>
              <w:rPr>
                <w:sz w:val="20"/>
                <w:szCs w:val="20"/>
                <w:lang w:eastAsia="en-US"/>
              </w:rPr>
            </w:pPr>
            <w:r w:rsidRPr="00A6230F">
              <w:rPr>
                <w:sz w:val="20"/>
                <w:szCs w:val="20"/>
                <w:lang w:eastAsia="en-US"/>
              </w:rPr>
              <w:t>Vaginal haemorrhage</w:t>
            </w:r>
          </w:p>
        </w:tc>
        <w:tc>
          <w:tcPr>
            <w:tcW w:w="945" w:type="pct"/>
            <w:hideMark/>
          </w:tcPr>
          <w:p w14:paraId="3AD0808B" w14:textId="77777777" w:rsidR="00A6230F" w:rsidRPr="00A6230F" w:rsidRDefault="00A6230F" w:rsidP="00A6230F">
            <w:pPr>
              <w:ind w:right="0"/>
              <w:rPr>
                <w:sz w:val="20"/>
                <w:szCs w:val="20"/>
                <w:lang w:eastAsia="en-US"/>
              </w:rPr>
            </w:pPr>
            <w:r w:rsidRPr="00A6230F">
              <w:rPr>
                <w:sz w:val="20"/>
                <w:szCs w:val="20"/>
                <w:lang w:eastAsia="en-US"/>
              </w:rPr>
              <w:t>2 (1.1)</w:t>
            </w:r>
          </w:p>
        </w:tc>
        <w:tc>
          <w:tcPr>
            <w:tcW w:w="945" w:type="pct"/>
            <w:hideMark/>
          </w:tcPr>
          <w:p w14:paraId="6BE03779" w14:textId="77777777" w:rsidR="00A6230F" w:rsidRPr="00A6230F" w:rsidRDefault="00A6230F" w:rsidP="00A6230F">
            <w:pPr>
              <w:ind w:right="0"/>
              <w:rPr>
                <w:sz w:val="20"/>
                <w:szCs w:val="20"/>
                <w:lang w:eastAsia="en-US"/>
              </w:rPr>
            </w:pPr>
            <w:r w:rsidRPr="00A6230F">
              <w:rPr>
                <w:sz w:val="20"/>
                <w:szCs w:val="20"/>
                <w:lang w:eastAsia="en-US"/>
              </w:rPr>
              <w:t>3 (4.0)</w:t>
            </w:r>
          </w:p>
        </w:tc>
        <w:tc>
          <w:tcPr>
            <w:tcW w:w="941" w:type="pct"/>
            <w:hideMark/>
          </w:tcPr>
          <w:p w14:paraId="13BD1B24" w14:textId="77777777" w:rsidR="00A6230F" w:rsidRPr="00A6230F" w:rsidRDefault="00A6230F" w:rsidP="00A6230F">
            <w:pPr>
              <w:ind w:right="0"/>
              <w:rPr>
                <w:sz w:val="20"/>
                <w:szCs w:val="20"/>
                <w:lang w:eastAsia="en-US"/>
              </w:rPr>
            </w:pPr>
            <w:r w:rsidRPr="00A6230F">
              <w:rPr>
                <w:sz w:val="20"/>
                <w:szCs w:val="20"/>
                <w:lang w:eastAsia="en-US"/>
              </w:rPr>
              <w:t>1 (3.1)</w:t>
            </w:r>
          </w:p>
        </w:tc>
        <w:tc>
          <w:tcPr>
            <w:tcW w:w="900" w:type="pct"/>
            <w:hideMark/>
          </w:tcPr>
          <w:p w14:paraId="58C6E30F" w14:textId="77777777" w:rsidR="00A6230F" w:rsidRPr="00A6230F" w:rsidRDefault="00A6230F" w:rsidP="00A6230F">
            <w:pPr>
              <w:ind w:right="0"/>
              <w:rPr>
                <w:sz w:val="20"/>
                <w:szCs w:val="20"/>
                <w:lang w:eastAsia="en-US"/>
              </w:rPr>
            </w:pPr>
            <w:r w:rsidRPr="00A6230F">
              <w:rPr>
                <w:sz w:val="20"/>
                <w:szCs w:val="20"/>
                <w:lang w:eastAsia="en-US"/>
              </w:rPr>
              <w:t>5 (2.0)</w:t>
            </w:r>
          </w:p>
        </w:tc>
      </w:tr>
      <w:tr w:rsidR="00A6230F" w:rsidRPr="00A6230F" w14:paraId="710976AA" w14:textId="77777777" w:rsidTr="00D06CA8">
        <w:tc>
          <w:tcPr>
            <w:tcW w:w="1269" w:type="pct"/>
            <w:hideMark/>
          </w:tcPr>
          <w:p w14:paraId="13655FEE" w14:textId="77777777" w:rsidR="00A6230F" w:rsidRPr="00A6230F" w:rsidRDefault="00A6230F" w:rsidP="00A6230F">
            <w:pPr>
              <w:ind w:left="0"/>
              <w:rPr>
                <w:sz w:val="20"/>
                <w:szCs w:val="20"/>
                <w:lang w:eastAsia="en-US"/>
              </w:rPr>
            </w:pPr>
            <w:r w:rsidRPr="00A6230F">
              <w:rPr>
                <w:b/>
                <w:bCs/>
                <w:sz w:val="20"/>
                <w:szCs w:val="20"/>
                <w:lang w:eastAsia="en-US"/>
              </w:rPr>
              <w:t>Respiratory, thoracic and mediastinal disorders</w:t>
            </w:r>
          </w:p>
        </w:tc>
        <w:tc>
          <w:tcPr>
            <w:tcW w:w="945" w:type="pct"/>
            <w:hideMark/>
          </w:tcPr>
          <w:p w14:paraId="331DE535" w14:textId="77777777" w:rsidR="00A6230F" w:rsidRPr="00A6230F" w:rsidRDefault="00A6230F" w:rsidP="00A6230F">
            <w:pPr>
              <w:ind w:right="0"/>
              <w:rPr>
                <w:sz w:val="20"/>
                <w:szCs w:val="20"/>
                <w:lang w:eastAsia="en-US"/>
              </w:rPr>
            </w:pPr>
            <w:r w:rsidRPr="00A6230F">
              <w:rPr>
                <w:b/>
                <w:bCs/>
                <w:sz w:val="20"/>
                <w:szCs w:val="20"/>
                <w:lang w:eastAsia="en-US"/>
              </w:rPr>
              <w:t>45 (25.6)</w:t>
            </w:r>
          </w:p>
        </w:tc>
        <w:tc>
          <w:tcPr>
            <w:tcW w:w="945" w:type="pct"/>
            <w:hideMark/>
          </w:tcPr>
          <w:p w14:paraId="1CEF017D" w14:textId="77777777" w:rsidR="00A6230F" w:rsidRPr="00A6230F" w:rsidRDefault="00A6230F" w:rsidP="00A6230F">
            <w:pPr>
              <w:ind w:right="0"/>
              <w:rPr>
                <w:sz w:val="20"/>
                <w:szCs w:val="20"/>
                <w:lang w:eastAsia="en-US"/>
              </w:rPr>
            </w:pPr>
            <w:r w:rsidRPr="00A6230F">
              <w:rPr>
                <w:b/>
                <w:bCs/>
                <w:sz w:val="20"/>
                <w:szCs w:val="20"/>
                <w:lang w:eastAsia="en-US"/>
              </w:rPr>
              <w:t>13 (17.3)</w:t>
            </w:r>
          </w:p>
        </w:tc>
        <w:tc>
          <w:tcPr>
            <w:tcW w:w="941" w:type="pct"/>
            <w:hideMark/>
          </w:tcPr>
          <w:p w14:paraId="1818ED15" w14:textId="77777777" w:rsidR="00A6230F" w:rsidRPr="00A6230F" w:rsidRDefault="00A6230F" w:rsidP="00A6230F">
            <w:pPr>
              <w:ind w:right="0"/>
              <w:rPr>
                <w:sz w:val="20"/>
                <w:szCs w:val="20"/>
                <w:lang w:eastAsia="en-US"/>
              </w:rPr>
            </w:pPr>
            <w:r w:rsidRPr="00A6230F">
              <w:rPr>
                <w:b/>
                <w:bCs/>
                <w:sz w:val="20"/>
                <w:szCs w:val="20"/>
                <w:lang w:eastAsia="en-US"/>
              </w:rPr>
              <w:t>11 (34.4)</w:t>
            </w:r>
          </w:p>
        </w:tc>
        <w:tc>
          <w:tcPr>
            <w:tcW w:w="900" w:type="pct"/>
            <w:hideMark/>
          </w:tcPr>
          <w:p w14:paraId="0F4BFBD9" w14:textId="77777777" w:rsidR="00A6230F" w:rsidRPr="00A6230F" w:rsidRDefault="00A6230F" w:rsidP="00A6230F">
            <w:pPr>
              <w:ind w:right="0"/>
              <w:rPr>
                <w:sz w:val="20"/>
                <w:szCs w:val="20"/>
                <w:lang w:eastAsia="en-US"/>
              </w:rPr>
            </w:pPr>
            <w:r w:rsidRPr="00A6230F">
              <w:rPr>
                <w:b/>
                <w:bCs/>
                <w:sz w:val="20"/>
                <w:szCs w:val="20"/>
                <w:lang w:eastAsia="en-US"/>
              </w:rPr>
              <w:t>58 (23.1)</w:t>
            </w:r>
          </w:p>
        </w:tc>
      </w:tr>
      <w:tr w:rsidR="00A6230F" w:rsidRPr="00A6230F" w14:paraId="6C84D9C6" w14:textId="77777777" w:rsidTr="00D06CA8">
        <w:tc>
          <w:tcPr>
            <w:tcW w:w="1269" w:type="pct"/>
            <w:hideMark/>
          </w:tcPr>
          <w:p w14:paraId="131A58DD" w14:textId="77777777" w:rsidR="00A6230F" w:rsidRPr="00A6230F" w:rsidRDefault="00A6230F" w:rsidP="00A6230F">
            <w:pPr>
              <w:ind w:left="0" w:right="0"/>
              <w:rPr>
                <w:sz w:val="20"/>
                <w:szCs w:val="20"/>
                <w:lang w:eastAsia="en-US"/>
              </w:rPr>
            </w:pPr>
            <w:r w:rsidRPr="00A6230F">
              <w:rPr>
                <w:sz w:val="20"/>
                <w:szCs w:val="20"/>
                <w:lang w:eastAsia="en-US"/>
              </w:rPr>
              <w:t>Epistaxis</w:t>
            </w:r>
          </w:p>
        </w:tc>
        <w:tc>
          <w:tcPr>
            <w:tcW w:w="945" w:type="pct"/>
            <w:hideMark/>
          </w:tcPr>
          <w:p w14:paraId="74CFC88F" w14:textId="77777777" w:rsidR="00A6230F" w:rsidRPr="00A6230F" w:rsidRDefault="00A6230F" w:rsidP="00A6230F">
            <w:pPr>
              <w:ind w:right="0"/>
              <w:rPr>
                <w:sz w:val="20"/>
                <w:szCs w:val="20"/>
                <w:lang w:eastAsia="en-US"/>
              </w:rPr>
            </w:pPr>
            <w:r w:rsidRPr="00A6230F">
              <w:rPr>
                <w:sz w:val="20"/>
                <w:szCs w:val="20"/>
                <w:lang w:eastAsia="en-US"/>
              </w:rPr>
              <w:t>24 (13.6)</w:t>
            </w:r>
          </w:p>
        </w:tc>
        <w:tc>
          <w:tcPr>
            <w:tcW w:w="945" w:type="pct"/>
            <w:hideMark/>
          </w:tcPr>
          <w:p w14:paraId="624E1194" w14:textId="77777777" w:rsidR="00A6230F" w:rsidRPr="00A6230F" w:rsidRDefault="00A6230F" w:rsidP="00A6230F">
            <w:pPr>
              <w:ind w:right="0"/>
              <w:rPr>
                <w:sz w:val="20"/>
                <w:szCs w:val="20"/>
                <w:lang w:eastAsia="en-US"/>
              </w:rPr>
            </w:pPr>
            <w:r w:rsidRPr="00A6230F">
              <w:rPr>
                <w:sz w:val="20"/>
                <w:szCs w:val="20"/>
                <w:lang w:eastAsia="en-US"/>
              </w:rPr>
              <w:t>9 (12.0)</w:t>
            </w:r>
          </w:p>
        </w:tc>
        <w:tc>
          <w:tcPr>
            <w:tcW w:w="941" w:type="pct"/>
            <w:hideMark/>
          </w:tcPr>
          <w:p w14:paraId="68054FE0" w14:textId="77777777" w:rsidR="00A6230F" w:rsidRPr="00A6230F" w:rsidRDefault="00A6230F" w:rsidP="00A6230F">
            <w:pPr>
              <w:ind w:right="0"/>
              <w:rPr>
                <w:sz w:val="20"/>
                <w:szCs w:val="20"/>
                <w:lang w:eastAsia="en-US"/>
              </w:rPr>
            </w:pPr>
            <w:r w:rsidRPr="00A6230F">
              <w:rPr>
                <w:sz w:val="20"/>
                <w:szCs w:val="20"/>
                <w:lang w:eastAsia="en-US"/>
              </w:rPr>
              <w:t>5 (15.6)</w:t>
            </w:r>
          </w:p>
        </w:tc>
        <w:tc>
          <w:tcPr>
            <w:tcW w:w="900" w:type="pct"/>
            <w:hideMark/>
          </w:tcPr>
          <w:p w14:paraId="2ED640E8" w14:textId="77777777" w:rsidR="00A6230F" w:rsidRPr="00A6230F" w:rsidRDefault="00A6230F" w:rsidP="00A6230F">
            <w:pPr>
              <w:ind w:right="0"/>
              <w:rPr>
                <w:sz w:val="20"/>
                <w:szCs w:val="20"/>
                <w:lang w:eastAsia="en-US"/>
              </w:rPr>
            </w:pPr>
            <w:r w:rsidRPr="00A6230F">
              <w:rPr>
                <w:sz w:val="20"/>
                <w:szCs w:val="20"/>
                <w:lang w:eastAsia="en-US"/>
              </w:rPr>
              <w:t>33 (13.1)</w:t>
            </w:r>
          </w:p>
        </w:tc>
      </w:tr>
      <w:tr w:rsidR="00A6230F" w:rsidRPr="00A6230F" w14:paraId="4D3A3418" w14:textId="77777777" w:rsidTr="00D06CA8">
        <w:tc>
          <w:tcPr>
            <w:tcW w:w="1269" w:type="pct"/>
            <w:hideMark/>
          </w:tcPr>
          <w:p w14:paraId="3FA3646F" w14:textId="77777777" w:rsidR="00A6230F" w:rsidRPr="00A6230F" w:rsidRDefault="00A6230F" w:rsidP="00A6230F">
            <w:pPr>
              <w:ind w:left="0" w:right="0"/>
              <w:rPr>
                <w:sz w:val="20"/>
                <w:szCs w:val="20"/>
                <w:lang w:eastAsia="en-US"/>
              </w:rPr>
            </w:pPr>
            <w:r w:rsidRPr="00A6230F">
              <w:rPr>
                <w:sz w:val="20"/>
                <w:szCs w:val="20"/>
                <w:lang w:eastAsia="en-US"/>
              </w:rPr>
              <w:t>Pulmonary alveolar haemorrhage</w:t>
            </w:r>
          </w:p>
        </w:tc>
        <w:tc>
          <w:tcPr>
            <w:tcW w:w="945" w:type="pct"/>
            <w:hideMark/>
          </w:tcPr>
          <w:p w14:paraId="7A50D88D" w14:textId="77777777" w:rsidR="00A6230F" w:rsidRPr="00A6230F" w:rsidRDefault="00A6230F" w:rsidP="00A6230F">
            <w:pPr>
              <w:ind w:right="0"/>
              <w:rPr>
                <w:sz w:val="20"/>
                <w:szCs w:val="20"/>
                <w:lang w:eastAsia="en-US"/>
              </w:rPr>
            </w:pPr>
            <w:r w:rsidRPr="00A6230F">
              <w:rPr>
                <w:sz w:val="20"/>
                <w:szCs w:val="20"/>
                <w:lang w:eastAsia="en-US"/>
              </w:rPr>
              <w:t>15 (8.5)</w:t>
            </w:r>
          </w:p>
        </w:tc>
        <w:tc>
          <w:tcPr>
            <w:tcW w:w="945" w:type="pct"/>
            <w:hideMark/>
          </w:tcPr>
          <w:p w14:paraId="0A909E73" w14:textId="77777777" w:rsidR="00A6230F" w:rsidRPr="00A6230F" w:rsidRDefault="00A6230F" w:rsidP="00A6230F">
            <w:pPr>
              <w:ind w:right="0"/>
              <w:rPr>
                <w:sz w:val="20"/>
                <w:szCs w:val="20"/>
                <w:lang w:eastAsia="en-US"/>
              </w:rPr>
            </w:pPr>
            <w:r w:rsidRPr="00A6230F">
              <w:rPr>
                <w:sz w:val="20"/>
                <w:szCs w:val="20"/>
                <w:lang w:eastAsia="en-US"/>
              </w:rPr>
              <w:t>2 (2.7)</w:t>
            </w:r>
          </w:p>
        </w:tc>
        <w:tc>
          <w:tcPr>
            <w:tcW w:w="941" w:type="pct"/>
            <w:hideMark/>
          </w:tcPr>
          <w:p w14:paraId="691B53C1" w14:textId="77777777" w:rsidR="00A6230F" w:rsidRPr="00A6230F" w:rsidRDefault="00A6230F" w:rsidP="00A6230F">
            <w:pPr>
              <w:ind w:right="0"/>
              <w:rPr>
                <w:sz w:val="20"/>
                <w:szCs w:val="20"/>
                <w:lang w:eastAsia="en-US"/>
              </w:rPr>
            </w:pPr>
            <w:r w:rsidRPr="00A6230F">
              <w:rPr>
                <w:sz w:val="20"/>
                <w:szCs w:val="20"/>
                <w:lang w:eastAsia="en-US"/>
              </w:rPr>
              <w:t>5 (15.6)</w:t>
            </w:r>
          </w:p>
        </w:tc>
        <w:tc>
          <w:tcPr>
            <w:tcW w:w="900" w:type="pct"/>
            <w:hideMark/>
          </w:tcPr>
          <w:p w14:paraId="5868F2DF" w14:textId="77777777" w:rsidR="00A6230F" w:rsidRPr="00A6230F" w:rsidRDefault="00A6230F" w:rsidP="00A6230F">
            <w:pPr>
              <w:ind w:right="0"/>
              <w:rPr>
                <w:sz w:val="20"/>
                <w:szCs w:val="20"/>
                <w:lang w:eastAsia="en-US"/>
              </w:rPr>
            </w:pPr>
            <w:r w:rsidRPr="00A6230F">
              <w:rPr>
                <w:sz w:val="20"/>
                <w:szCs w:val="20"/>
                <w:lang w:eastAsia="en-US"/>
              </w:rPr>
              <w:t>17 (6.8)</w:t>
            </w:r>
          </w:p>
        </w:tc>
      </w:tr>
      <w:tr w:rsidR="00A6230F" w:rsidRPr="00A6230F" w14:paraId="33814659" w14:textId="77777777" w:rsidTr="00D06CA8">
        <w:tc>
          <w:tcPr>
            <w:tcW w:w="1269" w:type="pct"/>
            <w:hideMark/>
          </w:tcPr>
          <w:p w14:paraId="4CED69D0" w14:textId="77777777" w:rsidR="00A6230F" w:rsidRPr="00A6230F" w:rsidRDefault="00A6230F" w:rsidP="00A6230F">
            <w:pPr>
              <w:ind w:left="0" w:right="0"/>
              <w:rPr>
                <w:sz w:val="20"/>
                <w:szCs w:val="20"/>
                <w:lang w:eastAsia="en-US"/>
              </w:rPr>
            </w:pPr>
            <w:r w:rsidRPr="00A6230F">
              <w:rPr>
                <w:sz w:val="20"/>
                <w:szCs w:val="20"/>
                <w:lang w:eastAsia="en-US"/>
              </w:rPr>
              <w:t>Pulmonary haemorrhage</w:t>
            </w:r>
          </w:p>
        </w:tc>
        <w:tc>
          <w:tcPr>
            <w:tcW w:w="945" w:type="pct"/>
            <w:hideMark/>
          </w:tcPr>
          <w:p w14:paraId="4B013C62" w14:textId="77777777" w:rsidR="00A6230F" w:rsidRPr="00A6230F" w:rsidRDefault="00A6230F" w:rsidP="00A6230F">
            <w:pPr>
              <w:ind w:right="0"/>
              <w:rPr>
                <w:sz w:val="20"/>
                <w:szCs w:val="20"/>
                <w:lang w:eastAsia="en-US"/>
              </w:rPr>
            </w:pPr>
            <w:r w:rsidRPr="00A6230F">
              <w:rPr>
                <w:sz w:val="20"/>
                <w:szCs w:val="20"/>
                <w:lang w:eastAsia="en-US"/>
              </w:rPr>
              <w:t>7 (4.0)</w:t>
            </w:r>
          </w:p>
        </w:tc>
        <w:tc>
          <w:tcPr>
            <w:tcW w:w="945" w:type="pct"/>
            <w:hideMark/>
          </w:tcPr>
          <w:p w14:paraId="0976640E" w14:textId="77777777" w:rsidR="00A6230F" w:rsidRPr="00A6230F" w:rsidRDefault="00A6230F" w:rsidP="00A6230F">
            <w:pPr>
              <w:ind w:right="0"/>
              <w:rPr>
                <w:sz w:val="20"/>
                <w:szCs w:val="20"/>
                <w:lang w:eastAsia="en-US"/>
              </w:rPr>
            </w:pPr>
            <w:r w:rsidRPr="00A6230F">
              <w:rPr>
                <w:sz w:val="20"/>
                <w:szCs w:val="20"/>
                <w:lang w:eastAsia="en-US"/>
              </w:rPr>
              <w:t>3 (4.0)</w:t>
            </w:r>
          </w:p>
        </w:tc>
        <w:tc>
          <w:tcPr>
            <w:tcW w:w="941" w:type="pct"/>
            <w:hideMark/>
          </w:tcPr>
          <w:p w14:paraId="1DE92882" w14:textId="77777777" w:rsidR="00A6230F" w:rsidRPr="00A6230F" w:rsidRDefault="00A6230F" w:rsidP="00A6230F">
            <w:pPr>
              <w:ind w:right="0"/>
              <w:rPr>
                <w:sz w:val="20"/>
                <w:szCs w:val="20"/>
                <w:lang w:eastAsia="en-US"/>
              </w:rPr>
            </w:pPr>
            <w:r w:rsidRPr="00A6230F">
              <w:rPr>
                <w:sz w:val="20"/>
                <w:szCs w:val="20"/>
                <w:lang w:eastAsia="en-US"/>
              </w:rPr>
              <w:t>0</w:t>
            </w:r>
          </w:p>
        </w:tc>
        <w:tc>
          <w:tcPr>
            <w:tcW w:w="900" w:type="pct"/>
            <w:hideMark/>
          </w:tcPr>
          <w:p w14:paraId="14C3B847" w14:textId="77777777" w:rsidR="00A6230F" w:rsidRPr="00A6230F" w:rsidRDefault="00A6230F" w:rsidP="00A6230F">
            <w:pPr>
              <w:ind w:right="0"/>
              <w:rPr>
                <w:sz w:val="20"/>
                <w:szCs w:val="20"/>
                <w:lang w:eastAsia="en-US"/>
              </w:rPr>
            </w:pPr>
            <w:r w:rsidRPr="00A6230F">
              <w:rPr>
                <w:sz w:val="20"/>
                <w:szCs w:val="20"/>
                <w:lang w:eastAsia="en-US"/>
              </w:rPr>
              <w:t>10 (4.0)</w:t>
            </w:r>
          </w:p>
        </w:tc>
      </w:tr>
      <w:tr w:rsidR="00A6230F" w:rsidRPr="00A6230F" w14:paraId="20077897" w14:textId="77777777" w:rsidTr="00D06CA8">
        <w:tc>
          <w:tcPr>
            <w:tcW w:w="1269" w:type="pct"/>
            <w:hideMark/>
          </w:tcPr>
          <w:p w14:paraId="017493E9" w14:textId="77777777" w:rsidR="00A6230F" w:rsidRPr="00A6230F" w:rsidRDefault="00A6230F" w:rsidP="00A6230F">
            <w:pPr>
              <w:ind w:left="0" w:right="0"/>
              <w:rPr>
                <w:sz w:val="20"/>
                <w:szCs w:val="20"/>
                <w:lang w:eastAsia="en-US"/>
              </w:rPr>
            </w:pPr>
            <w:r w:rsidRPr="00A6230F">
              <w:rPr>
                <w:sz w:val="20"/>
                <w:szCs w:val="20"/>
                <w:lang w:eastAsia="en-US"/>
              </w:rPr>
              <w:t>Haemoptysis</w:t>
            </w:r>
          </w:p>
        </w:tc>
        <w:tc>
          <w:tcPr>
            <w:tcW w:w="945" w:type="pct"/>
            <w:hideMark/>
          </w:tcPr>
          <w:p w14:paraId="705B015F" w14:textId="77777777" w:rsidR="00A6230F" w:rsidRPr="00A6230F" w:rsidRDefault="00A6230F" w:rsidP="00A6230F">
            <w:pPr>
              <w:ind w:right="0"/>
              <w:rPr>
                <w:sz w:val="20"/>
                <w:szCs w:val="20"/>
                <w:lang w:eastAsia="en-US"/>
              </w:rPr>
            </w:pPr>
            <w:r w:rsidRPr="00A6230F">
              <w:rPr>
                <w:sz w:val="20"/>
                <w:szCs w:val="20"/>
                <w:lang w:eastAsia="en-US"/>
              </w:rPr>
              <w:t>1 (0.6)</w:t>
            </w:r>
          </w:p>
        </w:tc>
        <w:tc>
          <w:tcPr>
            <w:tcW w:w="945" w:type="pct"/>
            <w:hideMark/>
          </w:tcPr>
          <w:p w14:paraId="6E508E66" w14:textId="77777777" w:rsidR="00A6230F" w:rsidRPr="00A6230F" w:rsidRDefault="00A6230F" w:rsidP="00A6230F">
            <w:pPr>
              <w:ind w:right="0"/>
              <w:rPr>
                <w:sz w:val="20"/>
                <w:szCs w:val="20"/>
                <w:lang w:eastAsia="en-US"/>
              </w:rPr>
            </w:pPr>
            <w:r w:rsidRPr="00A6230F">
              <w:rPr>
                <w:sz w:val="20"/>
                <w:szCs w:val="20"/>
                <w:lang w:eastAsia="en-US"/>
              </w:rPr>
              <w:t>1 (1.3)</w:t>
            </w:r>
          </w:p>
        </w:tc>
        <w:tc>
          <w:tcPr>
            <w:tcW w:w="941" w:type="pct"/>
            <w:hideMark/>
          </w:tcPr>
          <w:p w14:paraId="2373D239" w14:textId="77777777" w:rsidR="00A6230F" w:rsidRPr="00A6230F" w:rsidRDefault="00A6230F" w:rsidP="00A6230F">
            <w:pPr>
              <w:ind w:right="0"/>
              <w:rPr>
                <w:sz w:val="20"/>
                <w:szCs w:val="20"/>
                <w:lang w:eastAsia="en-US"/>
              </w:rPr>
            </w:pPr>
            <w:r w:rsidRPr="00A6230F">
              <w:rPr>
                <w:sz w:val="20"/>
                <w:szCs w:val="20"/>
                <w:lang w:eastAsia="en-US"/>
              </w:rPr>
              <w:t>1 (3.1)</w:t>
            </w:r>
          </w:p>
        </w:tc>
        <w:tc>
          <w:tcPr>
            <w:tcW w:w="900" w:type="pct"/>
            <w:hideMark/>
          </w:tcPr>
          <w:p w14:paraId="2D548F3A" w14:textId="77777777" w:rsidR="00A6230F" w:rsidRPr="00A6230F" w:rsidRDefault="00A6230F" w:rsidP="00A6230F">
            <w:pPr>
              <w:ind w:right="0"/>
              <w:rPr>
                <w:sz w:val="20"/>
                <w:szCs w:val="20"/>
                <w:lang w:eastAsia="en-US"/>
              </w:rPr>
            </w:pPr>
            <w:r w:rsidRPr="00A6230F">
              <w:rPr>
                <w:sz w:val="20"/>
                <w:szCs w:val="20"/>
                <w:lang w:eastAsia="en-US"/>
              </w:rPr>
              <w:t>2 (0.8)</w:t>
            </w:r>
          </w:p>
        </w:tc>
      </w:tr>
      <w:tr w:rsidR="00A6230F" w:rsidRPr="00A6230F" w14:paraId="446DC2EC" w14:textId="77777777" w:rsidTr="00D06CA8">
        <w:tc>
          <w:tcPr>
            <w:tcW w:w="1269" w:type="pct"/>
            <w:hideMark/>
          </w:tcPr>
          <w:p w14:paraId="59AA0E7F" w14:textId="77777777" w:rsidR="00A6230F" w:rsidRPr="00A6230F" w:rsidRDefault="00A6230F" w:rsidP="00A6230F">
            <w:pPr>
              <w:ind w:left="0" w:right="0"/>
              <w:rPr>
                <w:sz w:val="20"/>
                <w:szCs w:val="20"/>
                <w:lang w:eastAsia="en-US"/>
              </w:rPr>
            </w:pPr>
            <w:proofErr w:type="spellStart"/>
            <w:r w:rsidRPr="00A6230F">
              <w:rPr>
                <w:sz w:val="20"/>
                <w:szCs w:val="20"/>
                <w:lang w:eastAsia="en-US"/>
              </w:rPr>
              <w:t>Haemothorax</w:t>
            </w:r>
            <w:proofErr w:type="spellEnd"/>
          </w:p>
        </w:tc>
        <w:tc>
          <w:tcPr>
            <w:tcW w:w="945" w:type="pct"/>
            <w:hideMark/>
          </w:tcPr>
          <w:p w14:paraId="6BFB0F93" w14:textId="77777777" w:rsidR="00A6230F" w:rsidRPr="00A6230F" w:rsidRDefault="00A6230F" w:rsidP="00A6230F">
            <w:pPr>
              <w:ind w:right="0"/>
              <w:rPr>
                <w:sz w:val="20"/>
                <w:szCs w:val="20"/>
                <w:lang w:eastAsia="en-US"/>
              </w:rPr>
            </w:pPr>
            <w:r w:rsidRPr="00A6230F">
              <w:rPr>
                <w:sz w:val="20"/>
                <w:szCs w:val="20"/>
                <w:lang w:eastAsia="en-US"/>
              </w:rPr>
              <w:t>1 (0.6)</w:t>
            </w:r>
          </w:p>
        </w:tc>
        <w:tc>
          <w:tcPr>
            <w:tcW w:w="945" w:type="pct"/>
            <w:hideMark/>
          </w:tcPr>
          <w:p w14:paraId="19917AC2" w14:textId="77777777" w:rsidR="00A6230F" w:rsidRPr="00A6230F" w:rsidRDefault="00A6230F" w:rsidP="00A6230F">
            <w:pPr>
              <w:ind w:right="0"/>
              <w:rPr>
                <w:sz w:val="20"/>
                <w:szCs w:val="20"/>
                <w:lang w:eastAsia="en-US"/>
              </w:rPr>
            </w:pPr>
            <w:r w:rsidRPr="00A6230F">
              <w:rPr>
                <w:sz w:val="20"/>
                <w:szCs w:val="20"/>
                <w:lang w:eastAsia="en-US"/>
              </w:rPr>
              <w:t>0</w:t>
            </w:r>
          </w:p>
        </w:tc>
        <w:tc>
          <w:tcPr>
            <w:tcW w:w="941" w:type="pct"/>
            <w:hideMark/>
          </w:tcPr>
          <w:p w14:paraId="7D1F1DCB" w14:textId="77777777" w:rsidR="00A6230F" w:rsidRPr="00A6230F" w:rsidRDefault="00A6230F" w:rsidP="00A6230F">
            <w:pPr>
              <w:ind w:right="0"/>
              <w:rPr>
                <w:sz w:val="20"/>
                <w:szCs w:val="20"/>
                <w:lang w:eastAsia="en-US"/>
              </w:rPr>
            </w:pPr>
            <w:r w:rsidRPr="00A6230F">
              <w:rPr>
                <w:sz w:val="20"/>
                <w:szCs w:val="20"/>
                <w:lang w:eastAsia="en-US"/>
              </w:rPr>
              <w:t>1 (3.1)</w:t>
            </w:r>
          </w:p>
        </w:tc>
        <w:tc>
          <w:tcPr>
            <w:tcW w:w="900" w:type="pct"/>
            <w:hideMark/>
          </w:tcPr>
          <w:p w14:paraId="2DC6F33A" w14:textId="77777777" w:rsidR="00A6230F" w:rsidRPr="00A6230F" w:rsidRDefault="00A6230F" w:rsidP="00A6230F">
            <w:pPr>
              <w:ind w:right="0"/>
              <w:rPr>
                <w:sz w:val="20"/>
                <w:szCs w:val="20"/>
                <w:lang w:eastAsia="en-US"/>
              </w:rPr>
            </w:pPr>
            <w:r w:rsidRPr="00A6230F">
              <w:rPr>
                <w:sz w:val="20"/>
                <w:szCs w:val="20"/>
                <w:lang w:eastAsia="en-US"/>
              </w:rPr>
              <w:t>1 (0.4)</w:t>
            </w:r>
          </w:p>
        </w:tc>
      </w:tr>
      <w:tr w:rsidR="00A6230F" w:rsidRPr="00A6230F" w14:paraId="26F0B91C" w14:textId="77777777" w:rsidTr="00D06CA8">
        <w:tc>
          <w:tcPr>
            <w:tcW w:w="1269" w:type="pct"/>
            <w:hideMark/>
          </w:tcPr>
          <w:p w14:paraId="41DBC32F" w14:textId="77777777" w:rsidR="00A6230F" w:rsidRPr="00A6230F" w:rsidRDefault="00A6230F" w:rsidP="00A6230F">
            <w:pPr>
              <w:ind w:left="0" w:right="0"/>
              <w:rPr>
                <w:sz w:val="20"/>
                <w:szCs w:val="20"/>
                <w:lang w:eastAsia="en-US"/>
              </w:rPr>
            </w:pPr>
            <w:r w:rsidRPr="00A6230F">
              <w:rPr>
                <w:sz w:val="20"/>
                <w:szCs w:val="20"/>
                <w:lang w:eastAsia="en-US"/>
              </w:rPr>
              <w:t>Bronchial haemorrhage</w:t>
            </w:r>
          </w:p>
        </w:tc>
        <w:tc>
          <w:tcPr>
            <w:tcW w:w="945" w:type="pct"/>
            <w:hideMark/>
          </w:tcPr>
          <w:p w14:paraId="26DBA7AF" w14:textId="77777777" w:rsidR="00A6230F" w:rsidRPr="00A6230F" w:rsidRDefault="00A6230F" w:rsidP="00A6230F">
            <w:pPr>
              <w:ind w:right="0"/>
              <w:rPr>
                <w:sz w:val="20"/>
                <w:szCs w:val="20"/>
                <w:lang w:eastAsia="en-US"/>
              </w:rPr>
            </w:pPr>
            <w:r w:rsidRPr="00A6230F">
              <w:rPr>
                <w:sz w:val="20"/>
                <w:szCs w:val="20"/>
                <w:lang w:eastAsia="en-US"/>
              </w:rPr>
              <w:t>0</w:t>
            </w:r>
          </w:p>
        </w:tc>
        <w:tc>
          <w:tcPr>
            <w:tcW w:w="945" w:type="pct"/>
            <w:hideMark/>
          </w:tcPr>
          <w:p w14:paraId="53BCB499" w14:textId="77777777" w:rsidR="00A6230F" w:rsidRPr="00A6230F" w:rsidRDefault="00A6230F" w:rsidP="00A6230F">
            <w:pPr>
              <w:ind w:right="0"/>
              <w:rPr>
                <w:sz w:val="20"/>
                <w:szCs w:val="20"/>
                <w:lang w:eastAsia="en-US"/>
              </w:rPr>
            </w:pPr>
            <w:r w:rsidRPr="00A6230F">
              <w:rPr>
                <w:sz w:val="20"/>
                <w:szCs w:val="20"/>
                <w:lang w:eastAsia="en-US"/>
              </w:rPr>
              <w:t>0</w:t>
            </w:r>
          </w:p>
        </w:tc>
        <w:tc>
          <w:tcPr>
            <w:tcW w:w="941" w:type="pct"/>
            <w:hideMark/>
          </w:tcPr>
          <w:p w14:paraId="09692B20" w14:textId="77777777" w:rsidR="00A6230F" w:rsidRPr="00A6230F" w:rsidRDefault="00A6230F" w:rsidP="00A6230F">
            <w:pPr>
              <w:ind w:right="0"/>
              <w:rPr>
                <w:sz w:val="20"/>
                <w:szCs w:val="20"/>
                <w:lang w:eastAsia="en-US"/>
              </w:rPr>
            </w:pPr>
            <w:r w:rsidRPr="00A6230F">
              <w:rPr>
                <w:sz w:val="20"/>
                <w:szCs w:val="20"/>
                <w:lang w:eastAsia="en-US"/>
              </w:rPr>
              <w:t>1 (3.1)</w:t>
            </w:r>
          </w:p>
        </w:tc>
        <w:tc>
          <w:tcPr>
            <w:tcW w:w="900" w:type="pct"/>
            <w:hideMark/>
          </w:tcPr>
          <w:p w14:paraId="22A8206D" w14:textId="77777777" w:rsidR="00A6230F" w:rsidRPr="00A6230F" w:rsidRDefault="00A6230F" w:rsidP="00A6230F">
            <w:pPr>
              <w:ind w:right="0"/>
              <w:rPr>
                <w:sz w:val="20"/>
                <w:szCs w:val="20"/>
                <w:lang w:eastAsia="en-US"/>
              </w:rPr>
            </w:pPr>
            <w:r w:rsidRPr="00A6230F">
              <w:rPr>
                <w:sz w:val="20"/>
                <w:szCs w:val="20"/>
                <w:lang w:eastAsia="en-US"/>
              </w:rPr>
              <w:t>0</w:t>
            </w:r>
          </w:p>
        </w:tc>
      </w:tr>
      <w:tr w:rsidR="00A6230F" w:rsidRPr="00A6230F" w14:paraId="6436EC5B" w14:textId="77777777" w:rsidTr="00D06CA8">
        <w:tc>
          <w:tcPr>
            <w:tcW w:w="1269" w:type="pct"/>
            <w:hideMark/>
          </w:tcPr>
          <w:p w14:paraId="7BFA33E5" w14:textId="77777777" w:rsidR="00A6230F" w:rsidRPr="00A6230F" w:rsidRDefault="00A6230F" w:rsidP="00A6230F">
            <w:pPr>
              <w:ind w:left="0"/>
              <w:rPr>
                <w:sz w:val="20"/>
                <w:szCs w:val="20"/>
                <w:lang w:eastAsia="en-US"/>
              </w:rPr>
            </w:pPr>
            <w:r w:rsidRPr="00A6230F">
              <w:rPr>
                <w:b/>
                <w:bCs/>
                <w:sz w:val="20"/>
                <w:szCs w:val="20"/>
                <w:lang w:eastAsia="en-US"/>
              </w:rPr>
              <w:lastRenderedPageBreak/>
              <w:t>Skin and</w:t>
            </w:r>
            <w:r>
              <w:rPr>
                <w:b/>
                <w:bCs/>
                <w:sz w:val="20"/>
                <w:szCs w:val="20"/>
                <w:lang w:eastAsia="en-US"/>
              </w:rPr>
              <w:t xml:space="preserve"> </w:t>
            </w:r>
            <w:r w:rsidRPr="00A6230F">
              <w:rPr>
                <w:b/>
                <w:bCs/>
                <w:sz w:val="20"/>
                <w:szCs w:val="20"/>
                <w:lang w:eastAsia="en-US"/>
              </w:rPr>
              <w:t>subcutaneous</w:t>
            </w:r>
            <w:r>
              <w:rPr>
                <w:b/>
                <w:bCs/>
                <w:sz w:val="20"/>
                <w:szCs w:val="20"/>
                <w:lang w:eastAsia="en-US"/>
              </w:rPr>
              <w:t xml:space="preserve"> </w:t>
            </w:r>
            <w:r w:rsidRPr="00A6230F">
              <w:rPr>
                <w:b/>
                <w:bCs/>
                <w:sz w:val="20"/>
                <w:szCs w:val="20"/>
                <w:lang w:eastAsia="en-US"/>
              </w:rPr>
              <w:t>tissue disorders</w:t>
            </w:r>
          </w:p>
        </w:tc>
        <w:tc>
          <w:tcPr>
            <w:tcW w:w="945" w:type="pct"/>
            <w:hideMark/>
          </w:tcPr>
          <w:p w14:paraId="48A5D865" w14:textId="77777777" w:rsidR="00A6230F" w:rsidRPr="00A6230F" w:rsidRDefault="00A6230F" w:rsidP="00A6230F">
            <w:pPr>
              <w:ind w:right="0"/>
              <w:rPr>
                <w:sz w:val="20"/>
                <w:szCs w:val="20"/>
                <w:lang w:eastAsia="en-US"/>
              </w:rPr>
            </w:pPr>
            <w:r w:rsidRPr="00A6230F">
              <w:rPr>
                <w:b/>
                <w:bCs/>
                <w:sz w:val="20"/>
                <w:szCs w:val="20"/>
                <w:lang w:eastAsia="en-US"/>
              </w:rPr>
              <w:t>13 (7.4)</w:t>
            </w:r>
          </w:p>
        </w:tc>
        <w:tc>
          <w:tcPr>
            <w:tcW w:w="945" w:type="pct"/>
            <w:hideMark/>
          </w:tcPr>
          <w:p w14:paraId="1D6B6C71" w14:textId="77777777" w:rsidR="00A6230F" w:rsidRPr="00A6230F" w:rsidRDefault="00A6230F" w:rsidP="00A6230F">
            <w:pPr>
              <w:ind w:right="0"/>
              <w:rPr>
                <w:sz w:val="20"/>
                <w:szCs w:val="20"/>
                <w:lang w:eastAsia="en-US"/>
              </w:rPr>
            </w:pPr>
            <w:r w:rsidRPr="00A6230F">
              <w:rPr>
                <w:b/>
                <w:bCs/>
                <w:sz w:val="20"/>
                <w:szCs w:val="20"/>
                <w:lang w:eastAsia="en-US"/>
              </w:rPr>
              <w:t>3 (4.0)</w:t>
            </w:r>
          </w:p>
        </w:tc>
        <w:tc>
          <w:tcPr>
            <w:tcW w:w="941" w:type="pct"/>
            <w:hideMark/>
          </w:tcPr>
          <w:p w14:paraId="3D2BE50C" w14:textId="77777777" w:rsidR="00A6230F" w:rsidRPr="00A6230F" w:rsidRDefault="00A6230F" w:rsidP="00A6230F">
            <w:pPr>
              <w:ind w:right="0"/>
              <w:rPr>
                <w:sz w:val="20"/>
                <w:szCs w:val="20"/>
                <w:lang w:eastAsia="en-US"/>
              </w:rPr>
            </w:pPr>
            <w:r w:rsidRPr="00A6230F">
              <w:rPr>
                <w:b/>
                <w:bCs/>
                <w:sz w:val="20"/>
                <w:szCs w:val="20"/>
                <w:lang w:eastAsia="en-US"/>
              </w:rPr>
              <w:t>11 (34.4)</w:t>
            </w:r>
          </w:p>
        </w:tc>
        <w:tc>
          <w:tcPr>
            <w:tcW w:w="900" w:type="pct"/>
            <w:hideMark/>
          </w:tcPr>
          <w:p w14:paraId="57FEC776" w14:textId="77777777" w:rsidR="00A6230F" w:rsidRPr="00A6230F" w:rsidRDefault="00A6230F" w:rsidP="00A6230F">
            <w:pPr>
              <w:ind w:right="0"/>
              <w:rPr>
                <w:sz w:val="20"/>
                <w:szCs w:val="20"/>
                <w:lang w:eastAsia="en-US"/>
              </w:rPr>
            </w:pPr>
            <w:r w:rsidRPr="00A6230F">
              <w:rPr>
                <w:b/>
                <w:bCs/>
                <w:sz w:val="20"/>
                <w:szCs w:val="20"/>
                <w:lang w:eastAsia="en-US"/>
              </w:rPr>
              <w:t>16 (6.4)</w:t>
            </w:r>
          </w:p>
        </w:tc>
      </w:tr>
      <w:tr w:rsidR="00A6230F" w:rsidRPr="00A6230F" w14:paraId="67E4B7BC" w14:textId="77777777" w:rsidTr="00D06CA8">
        <w:tc>
          <w:tcPr>
            <w:tcW w:w="1269" w:type="pct"/>
            <w:hideMark/>
          </w:tcPr>
          <w:p w14:paraId="2A164DE1" w14:textId="77777777" w:rsidR="00A6230F" w:rsidRPr="00A6230F" w:rsidRDefault="00A6230F" w:rsidP="00A6230F">
            <w:pPr>
              <w:ind w:left="0" w:right="0"/>
              <w:rPr>
                <w:sz w:val="20"/>
                <w:szCs w:val="20"/>
                <w:lang w:eastAsia="en-US"/>
              </w:rPr>
            </w:pPr>
            <w:proofErr w:type="spellStart"/>
            <w:r w:rsidRPr="00A6230F">
              <w:rPr>
                <w:sz w:val="20"/>
                <w:szCs w:val="20"/>
                <w:lang w:eastAsia="en-US"/>
              </w:rPr>
              <w:t>Petechiae</w:t>
            </w:r>
            <w:proofErr w:type="spellEnd"/>
          </w:p>
        </w:tc>
        <w:tc>
          <w:tcPr>
            <w:tcW w:w="945" w:type="pct"/>
            <w:hideMark/>
          </w:tcPr>
          <w:p w14:paraId="34B67D04" w14:textId="77777777" w:rsidR="00A6230F" w:rsidRPr="00A6230F" w:rsidRDefault="00A6230F" w:rsidP="00A6230F">
            <w:pPr>
              <w:ind w:right="0"/>
              <w:rPr>
                <w:sz w:val="20"/>
                <w:szCs w:val="20"/>
                <w:lang w:eastAsia="en-US"/>
              </w:rPr>
            </w:pPr>
            <w:r w:rsidRPr="00A6230F">
              <w:rPr>
                <w:sz w:val="20"/>
                <w:szCs w:val="20"/>
                <w:lang w:eastAsia="en-US"/>
              </w:rPr>
              <w:t>9 (5.1)</w:t>
            </w:r>
          </w:p>
        </w:tc>
        <w:tc>
          <w:tcPr>
            <w:tcW w:w="945" w:type="pct"/>
            <w:hideMark/>
          </w:tcPr>
          <w:p w14:paraId="57E6D8D8" w14:textId="77777777" w:rsidR="00A6230F" w:rsidRPr="00A6230F" w:rsidRDefault="00A6230F" w:rsidP="00A6230F">
            <w:pPr>
              <w:ind w:right="0"/>
              <w:rPr>
                <w:sz w:val="20"/>
                <w:szCs w:val="20"/>
                <w:lang w:eastAsia="en-US"/>
              </w:rPr>
            </w:pPr>
            <w:r w:rsidRPr="00A6230F">
              <w:rPr>
                <w:sz w:val="20"/>
                <w:szCs w:val="20"/>
                <w:lang w:eastAsia="en-US"/>
              </w:rPr>
              <w:t>2 (2.7)</w:t>
            </w:r>
          </w:p>
        </w:tc>
        <w:tc>
          <w:tcPr>
            <w:tcW w:w="941" w:type="pct"/>
            <w:hideMark/>
          </w:tcPr>
          <w:p w14:paraId="4E19C0DE" w14:textId="77777777" w:rsidR="00A6230F" w:rsidRPr="00A6230F" w:rsidRDefault="00A6230F" w:rsidP="00A6230F">
            <w:pPr>
              <w:ind w:right="0"/>
              <w:rPr>
                <w:sz w:val="20"/>
                <w:szCs w:val="20"/>
                <w:lang w:eastAsia="en-US"/>
              </w:rPr>
            </w:pPr>
            <w:r w:rsidRPr="00A6230F">
              <w:rPr>
                <w:sz w:val="20"/>
                <w:szCs w:val="20"/>
                <w:lang w:eastAsia="en-US"/>
              </w:rPr>
              <w:t>9 (28.1)</w:t>
            </w:r>
          </w:p>
        </w:tc>
        <w:tc>
          <w:tcPr>
            <w:tcW w:w="900" w:type="pct"/>
            <w:hideMark/>
          </w:tcPr>
          <w:p w14:paraId="4D08DBCA" w14:textId="77777777" w:rsidR="00A6230F" w:rsidRPr="00A6230F" w:rsidRDefault="00A6230F" w:rsidP="00A6230F">
            <w:pPr>
              <w:ind w:right="0"/>
              <w:rPr>
                <w:sz w:val="20"/>
                <w:szCs w:val="20"/>
                <w:lang w:eastAsia="en-US"/>
              </w:rPr>
            </w:pPr>
            <w:r w:rsidRPr="00A6230F">
              <w:rPr>
                <w:sz w:val="20"/>
                <w:szCs w:val="20"/>
                <w:lang w:eastAsia="en-US"/>
              </w:rPr>
              <w:t>11 (4.4)</w:t>
            </w:r>
          </w:p>
        </w:tc>
      </w:tr>
      <w:tr w:rsidR="00A6230F" w:rsidRPr="00A6230F" w14:paraId="1DA46F3F" w14:textId="77777777" w:rsidTr="00D06CA8">
        <w:tc>
          <w:tcPr>
            <w:tcW w:w="1269" w:type="pct"/>
            <w:hideMark/>
          </w:tcPr>
          <w:p w14:paraId="4C69A1F4" w14:textId="77777777" w:rsidR="00A6230F" w:rsidRPr="00A6230F" w:rsidRDefault="00A6230F" w:rsidP="00A6230F">
            <w:pPr>
              <w:ind w:left="0" w:right="0"/>
              <w:rPr>
                <w:sz w:val="20"/>
                <w:szCs w:val="20"/>
                <w:lang w:eastAsia="en-US"/>
              </w:rPr>
            </w:pPr>
            <w:r w:rsidRPr="00A6230F">
              <w:rPr>
                <w:sz w:val="20"/>
                <w:szCs w:val="20"/>
                <w:lang w:eastAsia="en-US"/>
              </w:rPr>
              <w:t>Ecchymosis</w:t>
            </w:r>
          </w:p>
        </w:tc>
        <w:tc>
          <w:tcPr>
            <w:tcW w:w="945" w:type="pct"/>
            <w:hideMark/>
          </w:tcPr>
          <w:p w14:paraId="0B76F4BF" w14:textId="77777777" w:rsidR="00A6230F" w:rsidRPr="00A6230F" w:rsidRDefault="00A6230F" w:rsidP="00A6230F">
            <w:pPr>
              <w:ind w:right="0"/>
              <w:rPr>
                <w:sz w:val="20"/>
                <w:szCs w:val="20"/>
                <w:lang w:eastAsia="en-US"/>
              </w:rPr>
            </w:pPr>
            <w:r w:rsidRPr="00A6230F">
              <w:rPr>
                <w:sz w:val="20"/>
                <w:szCs w:val="20"/>
                <w:lang w:eastAsia="en-US"/>
              </w:rPr>
              <w:t>3 (1.7)</w:t>
            </w:r>
          </w:p>
        </w:tc>
        <w:tc>
          <w:tcPr>
            <w:tcW w:w="945" w:type="pct"/>
            <w:hideMark/>
          </w:tcPr>
          <w:p w14:paraId="6D97F476" w14:textId="77777777" w:rsidR="00A6230F" w:rsidRPr="00A6230F" w:rsidRDefault="00A6230F" w:rsidP="00A6230F">
            <w:pPr>
              <w:ind w:right="0"/>
              <w:rPr>
                <w:sz w:val="20"/>
                <w:szCs w:val="20"/>
                <w:lang w:eastAsia="en-US"/>
              </w:rPr>
            </w:pPr>
            <w:r w:rsidRPr="00A6230F">
              <w:rPr>
                <w:sz w:val="20"/>
                <w:szCs w:val="20"/>
                <w:lang w:eastAsia="en-US"/>
              </w:rPr>
              <w:t>0</w:t>
            </w:r>
          </w:p>
        </w:tc>
        <w:tc>
          <w:tcPr>
            <w:tcW w:w="941" w:type="pct"/>
            <w:hideMark/>
          </w:tcPr>
          <w:p w14:paraId="798A5218" w14:textId="77777777" w:rsidR="00A6230F" w:rsidRPr="00A6230F" w:rsidRDefault="00A6230F" w:rsidP="00A6230F">
            <w:pPr>
              <w:ind w:right="0"/>
              <w:rPr>
                <w:sz w:val="20"/>
                <w:szCs w:val="20"/>
                <w:lang w:eastAsia="en-US"/>
              </w:rPr>
            </w:pPr>
            <w:r w:rsidRPr="00A6230F">
              <w:rPr>
                <w:sz w:val="20"/>
                <w:szCs w:val="20"/>
                <w:lang w:eastAsia="en-US"/>
              </w:rPr>
              <w:t>1 (3.1)</w:t>
            </w:r>
          </w:p>
        </w:tc>
        <w:tc>
          <w:tcPr>
            <w:tcW w:w="900" w:type="pct"/>
            <w:hideMark/>
          </w:tcPr>
          <w:p w14:paraId="4A7C4D0B" w14:textId="77777777" w:rsidR="00A6230F" w:rsidRPr="00A6230F" w:rsidRDefault="00A6230F" w:rsidP="00A6230F">
            <w:pPr>
              <w:ind w:right="0"/>
              <w:rPr>
                <w:sz w:val="20"/>
                <w:szCs w:val="20"/>
                <w:lang w:eastAsia="en-US"/>
              </w:rPr>
            </w:pPr>
            <w:r w:rsidRPr="00A6230F">
              <w:rPr>
                <w:sz w:val="20"/>
                <w:szCs w:val="20"/>
                <w:lang w:eastAsia="en-US"/>
              </w:rPr>
              <w:t>3 (1.2)</w:t>
            </w:r>
          </w:p>
        </w:tc>
      </w:tr>
      <w:tr w:rsidR="00A6230F" w:rsidRPr="00A6230F" w14:paraId="77DEA15F" w14:textId="77777777" w:rsidTr="00D06CA8">
        <w:tc>
          <w:tcPr>
            <w:tcW w:w="1269" w:type="pct"/>
            <w:hideMark/>
          </w:tcPr>
          <w:p w14:paraId="484C8BF8" w14:textId="77777777" w:rsidR="00A6230F" w:rsidRPr="00A6230F" w:rsidRDefault="00A6230F" w:rsidP="00A6230F">
            <w:pPr>
              <w:ind w:left="0" w:right="0"/>
              <w:rPr>
                <w:sz w:val="20"/>
                <w:szCs w:val="20"/>
                <w:lang w:eastAsia="en-US"/>
              </w:rPr>
            </w:pPr>
            <w:r w:rsidRPr="00A6230F">
              <w:rPr>
                <w:sz w:val="20"/>
                <w:szCs w:val="20"/>
                <w:lang w:eastAsia="en-US"/>
              </w:rPr>
              <w:t>Purpura</w:t>
            </w:r>
          </w:p>
        </w:tc>
        <w:tc>
          <w:tcPr>
            <w:tcW w:w="945" w:type="pct"/>
            <w:hideMark/>
          </w:tcPr>
          <w:p w14:paraId="3BA278E5" w14:textId="77777777" w:rsidR="00A6230F" w:rsidRPr="00A6230F" w:rsidRDefault="00A6230F" w:rsidP="00A6230F">
            <w:pPr>
              <w:ind w:right="0"/>
              <w:rPr>
                <w:sz w:val="20"/>
                <w:szCs w:val="20"/>
                <w:lang w:eastAsia="en-US"/>
              </w:rPr>
            </w:pPr>
            <w:r w:rsidRPr="00A6230F">
              <w:rPr>
                <w:sz w:val="20"/>
                <w:szCs w:val="20"/>
                <w:lang w:eastAsia="en-US"/>
              </w:rPr>
              <w:t>2 (1.1)</w:t>
            </w:r>
          </w:p>
        </w:tc>
        <w:tc>
          <w:tcPr>
            <w:tcW w:w="945" w:type="pct"/>
            <w:hideMark/>
          </w:tcPr>
          <w:p w14:paraId="6304ADD3" w14:textId="77777777" w:rsidR="00A6230F" w:rsidRPr="00A6230F" w:rsidRDefault="00A6230F" w:rsidP="00A6230F">
            <w:pPr>
              <w:ind w:right="0"/>
              <w:rPr>
                <w:sz w:val="20"/>
                <w:szCs w:val="20"/>
                <w:lang w:eastAsia="en-US"/>
              </w:rPr>
            </w:pPr>
            <w:r w:rsidRPr="00A6230F">
              <w:rPr>
                <w:sz w:val="20"/>
                <w:szCs w:val="20"/>
                <w:lang w:eastAsia="en-US"/>
              </w:rPr>
              <w:t>0</w:t>
            </w:r>
          </w:p>
        </w:tc>
        <w:tc>
          <w:tcPr>
            <w:tcW w:w="941" w:type="pct"/>
            <w:hideMark/>
          </w:tcPr>
          <w:p w14:paraId="458D602D" w14:textId="77777777" w:rsidR="00A6230F" w:rsidRPr="00A6230F" w:rsidRDefault="00A6230F" w:rsidP="00A6230F">
            <w:pPr>
              <w:ind w:right="0"/>
              <w:rPr>
                <w:sz w:val="20"/>
                <w:szCs w:val="20"/>
                <w:lang w:eastAsia="en-US"/>
              </w:rPr>
            </w:pPr>
            <w:r w:rsidRPr="00A6230F">
              <w:rPr>
                <w:sz w:val="20"/>
                <w:szCs w:val="20"/>
                <w:lang w:eastAsia="en-US"/>
              </w:rPr>
              <w:t>1 (3.1)</w:t>
            </w:r>
          </w:p>
        </w:tc>
        <w:tc>
          <w:tcPr>
            <w:tcW w:w="900" w:type="pct"/>
            <w:hideMark/>
          </w:tcPr>
          <w:p w14:paraId="5BAF8719" w14:textId="77777777" w:rsidR="00A6230F" w:rsidRPr="00A6230F" w:rsidRDefault="00A6230F" w:rsidP="00A6230F">
            <w:pPr>
              <w:ind w:right="0"/>
              <w:rPr>
                <w:sz w:val="20"/>
                <w:szCs w:val="20"/>
                <w:lang w:eastAsia="en-US"/>
              </w:rPr>
            </w:pPr>
            <w:r w:rsidRPr="00A6230F">
              <w:rPr>
                <w:sz w:val="20"/>
                <w:szCs w:val="20"/>
                <w:lang w:eastAsia="en-US"/>
              </w:rPr>
              <w:t>2 (0.8)</w:t>
            </w:r>
          </w:p>
        </w:tc>
      </w:tr>
      <w:tr w:rsidR="00A6230F" w:rsidRPr="00A6230F" w14:paraId="269B450B" w14:textId="77777777" w:rsidTr="00D06CA8">
        <w:tc>
          <w:tcPr>
            <w:tcW w:w="1269" w:type="pct"/>
            <w:hideMark/>
          </w:tcPr>
          <w:p w14:paraId="32E1AACE" w14:textId="77777777" w:rsidR="00A6230F" w:rsidRPr="00A6230F" w:rsidRDefault="00A6230F" w:rsidP="00A6230F">
            <w:pPr>
              <w:ind w:left="0" w:right="0"/>
              <w:rPr>
                <w:sz w:val="20"/>
                <w:szCs w:val="20"/>
                <w:lang w:eastAsia="en-US"/>
              </w:rPr>
            </w:pPr>
            <w:r w:rsidRPr="00A6230F">
              <w:rPr>
                <w:sz w:val="20"/>
                <w:szCs w:val="20"/>
                <w:lang w:eastAsia="en-US"/>
              </w:rPr>
              <w:t>Skin haemorrhage</w:t>
            </w:r>
          </w:p>
        </w:tc>
        <w:tc>
          <w:tcPr>
            <w:tcW w:w="945" w:type="pct"/>
            <w:hideMark/>
          </w:tcPr>
          <w:p w14:paraId="16626CE4" w14:textId="77777777" w:rsidR="00A6230F" w:rsidRPr="00A6230F" w:rsidRDefault="00A6230F" w:rsidP="00A6230F">
            <w:pPr>
              <w:ind w:right="0"/>
              <w:rPr>
                <w:sz w:val="20"/>
                <w:szCs w:val="20"/>
                <w:lang w:eastAsia="en-US"/>
              </w:rPr>
            </w:pPr>
            <w:r w:rsidRPr="00A6230F">
              <w:rPr>
                <w:sz w:val="20"/>
                <w:szCs w:val="20"/>
                <w:lang w:eastAsia="en-US"/>
              </w:rPr>
              <w:t>2 (1.1)</w:t>
            </w:r>
          </w:p>
        </w:tc>
        <w:tc>
          <w:tcPr>
            <w:tcW w:w="945" w:type="pct"/>
            <w:hideMark/>
          </w:tcPr>
          <w:p w14:paraId="58F82850" w14:textId="77777777" w:rsidR="00A6230F" w:rsidRPr="00A6230F" w:rsidRDefault="00A6230F" w:rsidP="00A6230F">
            <w:pPr>
              <w:ind w:right="0"/>
              <w:rPr>
                <w:sz w:val="20"/>
                <w:szCs w:val="20"/>
                <w:lang w:eastAsia="en-US"/>
              </w:rPr>
            </w:pPr>
            <w:r w:rsidRPr="00A6230F">
              <w:rPr>
                <w:sz w:val="20"/>
                <w:szCs w:val="20"/>
                <w:lang w:eastAsia="en-US"/>
              </w:rPr>
              <w:t>0</w:t>
            </w:r>
          </w:p>
        </w:tc>
        <w:tc>
          <w:tcPr>
            <w:tcW w:w="941" w:type="pct"/>
            <w:hideMark/>
          </w:tcPr>
          <w:p w14:paraId="432F7BD3" w14:textId="77777777" w:rsidR="00A6230F" w:rsidRPr="00A6230F" w:rsidRDefault="00A6230F" w:rsidP="00A6230F">
            <w:pPr>
              <w:ind w:right="0"/>
              <w:rPr>
                <w:sz w:val="20"/>
                <w:szCs w:val="20"/>
                <w:lang w:eastAsia="en-US"/>
              </w:rPr>
            </w:pPr>
            <w:r w:rsidRPr="00A6230F">
              <w:rPr>
                <w:sz w:val="20"/>
                <w:szCs w:val="20"/>
                <w:lang w:eastAsia="en-US"/>
              </w:rPr>
              <w:t>0</w:t>
            </w:r>
          </w:p>
        </w:tc>
        <w:tc>
          <w:tcPr>
            <w:tcW w:w="900" w:type="pct"/>
            <w:hideMark/>
          </w:tcPr>
          <w:p w14:paraId="0FAE23AC" w14:textId="77777777" w:rsidR="00A6230F" w:rsidRPr="00A6230F" w:rsidRDefault="00A6230F" w:rsidP="00A6230F">
            <w:pPr>
              <w:ind w:right="0"/>
              <w:rPr>
                <w:sz w:val="20"/>
                <w:szCs w:val="20"/>
                <w:lang w:eastAsia="en-US"/>
              </w:rPr>
            </w:pPr>
            <w:r w:rsidRPr="00A6230F">
              <w:rPr>
                <w:sz w:val="20"/>
                <w:szCs w:val="20"/>
                <w:lang w:eastAsia="en-US"/>
              </w:rPr>
              <w:t>2 (0.8)</w:t>
            </w:r>
          </w:p>
        </w:tc>
      </w:tr>
      <w:tr w:rsidR="00A6230F" w:rsidRPr="00A6230F" w14:paraId="5C550220" w14:textId="77777777" w:rsidTr="00D06CA8">
        <w:tc>
          <w:tcPr>
            <w:tcW w:w="1269" w:type="pct"/>
            <w:hideMark/>
          </w:tcPr>
          <w:p w14:paraId="2DB47C62" w14:textId="77777777" w:rsidR="00A6230F" w:rsidRPr="00A6230F" w:rsidRDefault="00A6230F" w:rsidP="00A6230F">
            <w:pPr>
              <w:ind w:left="0" w:right="0"/>
              <w:rPr>
                <w:sz w:val="20"/>
                <w:szCs w:val="20"/>
                <w:lang w:eastAsia="en-US"/>
              </w:rPr>
            </w:pPr>
            <w:r w:rsidRPr="00A6230F">
              <w:rPr>
                <w:sz w:val="20"/>
                <w:szCs w:val="20"/>
                <w:lang w:eastAsia="en-US"/>
              </w:rPr>
              <w:t>Nail bed bleeding</w:t>
            </w:r>
          </w:p>
        </w:tc>
        <w:tc>
          <w:tcPr>
            <w:tcW w:w="945" w:type="pct"/>
            <w:hideMark/>
          </w:tcPr>
          <w:p w14:paraId="001476B9" w14:textId="77777777" w:rsidR="00A6230F" w:rsidRPr="00A6230F" w:rsidRDefault="00A6230F" w:rsidP="00A6230F">
            <w:pPr>
              <w:ind w:right="0"/>
              <w:rPr>
                <w:sz w:val="20"/>
                <w:szCs w:val="20"/>
                <w:lang w:eastAsia="en-US"/>
              </w:rPr>
            </w:pPr>
            <w:r w:rsidRPr="00A6230F">
              <w:rPr>
                <w:sz w:val="20"/>
                <w:szCs w:val="20"/>
                <w:lang w:eastAsia="en-US"/>
              </w:rPr>
              <w:t>0</w:t>
            </w:r>
          </w:p>
        </w:tc>
        <w:tc>
          <w:tcPr>
            <w:tcW w:w="945" w:type="pct"/>
            <w:hideMark/>
          </w:tcPr>
          <w:p w14:paraId="2C1B56BF" w14:textId="77777777" w:rsidR="00A6230F" w:rsidRPr="00A6230F" w:rsidRDefault="00A6230F" w:rsidP="00A6230F">
            <w:pPr>
              <w:ind w:right="0"/>
              <w:rPr>
                <w:sz w:val="20"/>
                <w:szCs w:val="20"/>
                <w:lang w:eastAsia="en-US"/>
              </w:rPr>
            </w:pPr>
            <w:r w:rsidRPr="00A6230F">
              <w:rPr>
                <w:sz w:val="20"/>
                <w:szCs w:val="20"/>
                <w:lang w:eastAsia="en-US"/>
              </w:rPr>
              <w:t>1 (1.3)</w:t>
            </w:r>
          </w:p>
        </w:tc>
        <w:tc>
          <w:tcPr>
            <w:tcW w:w="941" w:type="pct"/>
            <w:hideMark/>
          </w:tcPr>
          <w:p w14:paraId="2FDBB86D" w14:textId="77777777" w:rsidR="00A6230F" w:rsidRPr="00A6230F" w:rsidRDefault="00A6230F" w:rsidP="00A6230F">
            <w:pPr>
              <w:ind w:right="0"/>
              <w:rPr>
                <w:sz w:val="20"/>
                <w:szCs w:val="20"/>
                <w:lang w:eastAsia="en-US"/>
              </w:rPr>
            </w:pPr>
            <w:r w:rsidRPr="00A6230F">
              <w:rPr>
                <w:sz w:val="20"/>
                <w:szCs w:val="20"/>
                <w:lang w:eastAsia="en-US"/>
              </w:rPr>
              <w:t>0</w:t>
            </w:r>
          </w:p>
        </w:tc>
        <w:tc>
          <w:tcPr>
            <w:tcW w:w="900" w:type="pct"/>
            <w:hideMark/>
          </w:tcPr>
          <w:p w14:paraId="1B3F0950" w14:textId="77777777" w:rsidR="00A6230F" w:rsidRPr="00A6230F" w:rsidRDefault="00A6230F" w:rsidP="00A6230F">
            <w:pPr>
              <w:ind w:right="0"/>
              <w:rPr>
                <w:sz w:val="20"/>
                <w:szCs w:val="20"/>
                <w:lang w:eastAsia="en-US"/>
              </w:rPr>
            </w:pPr>
            <w:r w:rsidRPr="00A6230F">
              <w:rPr>
                <w:sz w:val="20"/>
                <w:szCs w:val="20"/>
                <w:lang w:eastAsia="en-US"/>
              </w:rPr>
              <w:t>1 (0.4)</w:t>
            </w:r>
          </w:p>
        </w:tc>
      </w:tr>
      <w:tr w:rsidR="00A6230F" w:rsidRPr="00A6230F" w14:paraId="05EF3CD3" w14:textId="77777777" w:rsidTr="00D06CA8">
        <w:tc>
          <w:tcPr>
            <w:tcW w:w="1269" w:type="pct"/>
            <w:hideMark/>
          </w:tcPr>
          <w:p w14:paraId="443F6B14" w14:textId="77777777" w:rsidR="00A6230F" w:rsidRPr="00A6230F" w:rsidRDefault="00A6230F" w:rsidP="00A6230F">
            <w:pPr>
              <w:ind w:left="0"/>
              <w:rPr>
                <w:sz w:val="20"/>
                <w:szCs w:val="20"/>
                <w:lang w:eastAsia="en-US"/>
              </w:rPr>
            </w:pPr>
            <w:r w:rsidRPr="00A6230F">
              <w:rPr>
                <w:b/>
                <w:bCs/>
                <w:sz w:val="20"/>
                <w:szCs w:val="20"/>
                <w:lang w:eastAsia="en-US"/>
              </w:rPr>
              <w:t>Vascular disorders</w:t>
            </w:r>
          </w:p>
        </w:tc>
        <w:tc>
          <w:tcPr>
            <w:tcW w:w="945" w:type="pct"/>
            <w:hideMark/>
          </w:tcPr>
          <w:p w14:paraId="4FFBB5DB" w14:textId="77777777" w:rsidR="00A6230F" w:rsidRPr="00A6230F" w:rsidRDefault="00A6230F" w:rsidP="00A6230F">
            <w:pPr>
              <w:ind w:right="0"/>
              <w:rPr>
                <w:sz w:val="20"/>
                <w:szCs w:val="20"/>
                <w:lang w:eastAsia="en-US"/>
              </w:rPr>
            </w:pPr>
            <w:r w:rsidRPr="00A6230F">
              <w:rPr>
                <w:b/>
                <w:bCs/>
                <w:sz w:val="20"/>
                <w:szCs w:val="20"/>
                <w:lang w:eastAsia="en-US"/>
              </w:rPr>
              <w:t>12 (6.8)</w:t>
            </w:r>
          </w:p>
        </w:tc>
        <w:tc>
          <w:tcPr>
            <w:tcW w:w="945" w:type="pct"/>
            <w:hideMark/>
          </w:tcPr>
          <w:p w14:paraId="067C795D" w14:textId="77777777" w:rsidR="00A6230F" w:rsidRPr="00A6230F" w:rsidRDefault="00A6230F" w:rsidP="00A6230F">
            <w:pPr>
              <w:ind w:right="0"/>
              <w:rPr>
                <w:sz w:val="20"/>
                <w:szCs w:val="20"/>
                <w:lang w:eastAsia="en-US"/>
              </w:rPr>
            </w:pPr>
            <w:r w:rsidRPr="00A6230F">
              <w:rPr>
                <w:b/>
                <w:bCs/>
                <w:sz w:val="20"/>
                <w:szCs w:val="20"/>
                <w:lang w:eastAsia="en-US"/>
              </w:rPr>
              <w:t>11 (14.7)</w:t>
            </w:r>
          </w:p>
        </w:tc>
        <w:tc>
          <w:tcPr>
            <w:tcW w:w="941" w:type="pct"/>
            <w:hideMark/>
          </w:tcPr>
          <w:p w14:paraId="7048A05A" w14:textId="77777777" w:rsidR="00A6230F" w:rsidRPr="00A6230F" w:rsidRDefault="00A6230F" w:rsidP="00A6230F">
            <w:pPr>
              <w:ind w:right="0"/>
              <w:rPr>
                <w:sz w:val="20"/>
                <w:szCs w:val="20"/>
                <w:lang w:eastAsia="en-US"/>
              </w:rPr>
            </w:pPr>
            <w:r w:rsidRPr="00A6230F">
              <w:rPr>
                <w:b/>
                <w:bCs/>
                <w:sz w:val="20"/>
                <w:szCs w:val="20"/>
                <w:lang w:eastAsia="en-US"/>
              </w:rPr>
              <w:t>0</w:t>
            </w:r>
          </w:p>
        </w:tc>
        <w:tc>
          <w:tcPr>
            <w:tcW w:w="900" w:type="pct"/>
            <w:hideMark/>
          </w:tcPr>
          <w:p w14:paraId="2D3C860C" w14:textId="77777777" w:rsidR="00A6230F" w:rsidRPr="00A6230F" w:rsidRDefault="00A6230F" w:rsidP="00A6230F">
            <w:pPr>
              <w:ind w:right="0"/>
              <w:rPr>
                <w:sz w:val="20"/>
                <w:szCs w:val="20"/>
                <w:lang w:eastAsia="en-US"/>
              </w:rPr>
            </w:pPr>
            <w:r w:rsidRPr="00A6230F">
              <w:rPr>
                <w:b/>
                <w:bCs/>
                <w:sz w:val="20"/>
                <w:szCs w:val="20"/>
                <w:lang w:eastAsia="en-US"/>
              </w:rPr>
              <w:t>23 (9.2)</w:t>
            </w:r>
          </w:p>
        </w:tc>
      </w:tr>
      <w:tr w:rsidR="00A6230F" w:rsidRPr="00A6230F" w14:paraId="15D0810A" w14:textId="77777777" w:rsidTr="00D06CA8">
        <w:tc>
          <w:tcPr>
            <w:tcW w:w="1269" w:type="pct"/>
            <w:hideMark/>
          </w:tcPr>
          <w:p w14:paraId="45FD228C" w14:textId="77777777" w:rsidR="00A6230F" w:rsidRPr="00A6230F" w:rsidRDefault="00A6230F" w:rsidP="00A6230F">
            <w:pPr>
              <w:ind w:left="0" w:right="0"/>
              <w:rPr>
                <w:sz w:val="20"/>
                <w:szCs w:val="20"/>
                <w:lang w:eastAsia="en-US"/>
              </w:rPr>
            </w:pPr>
            <w:r w:rsidRPr="00A6230F">
              <w:rPr>
                <w:sz w:val="20"/>
                <w:szCs w:val="20"/>
                <w:lang w:eastAsia="en-US"/>
              </w:rPr>
              <w:t>Haemorrhage</w:t>
            </w:r>
          </w:p>
        </w:tc>
        <w:tc>
          <w:tcPr>
            <w:tcW w:w="945" w:type="pct"/>
            <w:hideMark/>
          </w:tcPr>
          <w:p w14:paraId="1B234208" w14:textId="77777777" w:rsidR="00A6230F" w:rsidRPr="00A6230F" w:rsidRDefault="00A6230F" w:rsidP="00A6230F">
            <w:pPr>
              <w:ind w:right="0"/>
              <w:rPr>
                <w:sz w:val="20"/>
                <w:szCs w:val="20"/>
                <w:lang w:eastAsia="en-US"/>
              </w:rPr>
            </w:pPr>
            <w:r w:rsidRPr="00A6230F">
              <w:rPr>
                <w:sz w:val="20"/>
                <w:szCs w:val="20"/>
                <w:lang w:eastAsia="en-US"/>
              </w:rPr>
              <w:t>6 (3.4)</w:t>
            </w:r>
          </w:p>
        </w:tc>
        <w:tc>
          <w:tcPr>
            <w:tcW w:w="945" w:type="pct"/>
            <w:hideMark/>
          </w:tcPr>
          <w:p w14:paraId="32A8F956" w14:textId="77777777" w:rsidR="00A6230F" w:rsidRPr="00A6230F" w:rsidRDefault="00A6230F" w:rsidP="00A6230F">
            <w:pPr>
              <w:ind w:right="0"/>
              <w:rPr>
                <w:sz w:val="20"/>
                <w:szCs w:val="20"/>
                <w:lang w:eastAsia="en-US"/>
              </w:rPr>
            </w:pPr>
            <w:r w:rsidRPr="00A6230F">
              <w:rPr>
                <w:sz w:val="20"/>
                <w:szCs w:val="20"/>
                <w:lang w:eastAsia="en-US"/>
              </w:rPr>
              <w:t>11 (14.7)</w:t>
            </w:r>
          </w:p>
        </w:tc>
        <w:tc>
          <w:tcPr>
            <w:tcW w:w="941" w:type="pct"/>
            <w:hideMark/>
          </w:tcPr>
          <w:p w14:paraId="17721636" w14:textId="77777777" w:rsidR="00A6230F" w:rsidRPr="00A6230F" w:rsidRDefault="00A6230F" w:rsidP="00A6230F">
            <w:pPr>
              <w:ind w:right="0"/>
              <w:rPr>
                <w:sz w:val="20"/>
                <w:szCs w:val="20"/>
                <w:lang w:eastAsia="en-US"/>
              </w:rPr>
            </w:pPr>
            <w:r w:rsidRPr="00A6230F">
              <w:rPr>
                <w:sz w:val="20"/>
                <w:szCs w:val="20"/>
                <w:lang w:eastAsia="en-US"/>
              </w:rPr>
              <w:t>0</w:t>
            </w:r>
          </w:p>
        </w:tc>
        <w:tc>
          <w:tcPr>
            <w:tcW w:w="900" w:type="pct"/>
            <w:hideMark/>
          </w:tcPr>
          <w:p w14:paraId="0ECAD16A" w14:textId="77777777" w:rsidR="00A6230F" w:rsidRPr="00A6230F" w:rsidRDefault="00A6230F" w:rsidP="00A6230F">
            <w:pPr>
              <w:ind w:right="0"/>
              <w:rPr>
                <w:sz w:val="20"/>
                <w:szCs w:val="20"/>
                <w:lang w:eastAsia="en-US"/>
              </w:rPr>
            </w:pPr>
            <w:r w:rsidRPr="00A6230F">
              <w:rPr>
                <w:sz w:val="20"/>
                <w:szCs w:val="20"/>
                <w:lang w:eastAsia="en-US"/>
              </w:rPr>
              <w:t>17 (6.8)</w:t>
            </w:r>
          </w:p>
        </w:tc>
      </w:tr>
      <w:tr w:rsidR="00A6230F" w:rsidRPr="00A6230F" w14:paraId="17B95F0B" w14:textId="77777777" w:rsidTr="00D06CA8">
        <w:tc>
          <w:tcPr>
            <w:tcW w:w="1269" w:type="pct"/>
            <w:hideMark/>
          </w:tcPr>
          <w:p w14:paraId="7AF31294" w14:textId="77777777" w:rsidR="00A6230F" w:rsidRPr="00A6230F" w:rsidRDefault="00A6230F" w:rsidP="00A6230F">
            <w:pPr>
              <w:ind w:left="0" w:right="0"/>
              <w:rPr>
                <w:sz w:val="20"/>
                <w:szCs w:val="20"/>
                <w:lang w:eastAsia="en-US"/>
              </w:rPr>
            </w:pPr>
            <w:r w:rsidRPr="00A6230F">
              <w:rPr>
                <w:sz w:val="20"/>
                <w:szCs w:val="20"/>
                <w:lang w:eastAsia="en-US"/>
              </w:rPr>
              <w:t>Bloody discharge</w:t>
            </w:r>
          </w:p>
        </w:tc>
        <w:tc>
          <w:tcPr>
            <w:tcW w:w="945" w:type="pct"/>
            <w:hideMark/>
          </w:tcPr>
          <w:p w14:paraId="5A1CAF93" w14:textId="77777777" w:rsidR="00A6230F" w:rsidRPr="00A6230F" w:rsidRDefault="00A6230F" w:rsidP="00A6230F">
            <w:pPr>
              <w:ind w:right="0"/>
              <w:rPr>
                <w:sz w:val="20"/>
                <w:szCs w:val="20"/>
                <w:lang w:eastAsia="en-US"/>
              </w:rPr>
            </w:pPr>
            <w:r w:rsidRPr="00A6230F">
              <w:rPr>
                <w:sz w:val="20"/>
                <w:szCs w:val="20"/>
                <w:lang w:eastAsia="en-US"/>
              </w:rPr>
              <w:t>3 (1.7)</w:t>
            </w:r>
          </w:p>
        </w:tc>
        <w:tc>
          <w:tcPr>
            <w:tcW w:w="945" w:type="pct"/>
            <w:hideMark/>
          </w:tcPr>
          <w:p w14:paraId="19888554" w14:textId="77777777" w:rsidR="00A6230F" w:rsidRPr="00A6230F" w:rsidRDefault="00A6230F" w:rsidP="00A6230F">
            <w:pPr>
              <w:ind w:right="0"/>
              <w:rPr>
                <w:sz w:val="20"/>
                <w:szCs w:val="20"/>
                <w:lang w:eastAsia="en-US"/>
              </w:rPr>
            </w:pPr>
            <w:r w:rsidRPr="00A6230F">
              <w:rPr>
                <w:sz w:val="20"/>
                <w:szCs w:val="20"/>
                <w:lang w:eastAsia="en-US"/>
              </w:rPr>
              <w:t>0</w:t>
            </w:r>
          </w:p>
        </w:tc>
        <w:tc>
          <w:tcPr>
            <w:tcW w:w="941" w:type="pct"/>
            <w:hideMark/>
          </w:tcPr>
          <w:p w14:paraId="256FA2B6" w14:textId="77777777" w:rsidR="00A6230F" w:rsidRPr="00A6230F" w:rsidRDefault="00A6230F" w:rsidP="00A6230F">
            <w:pPr>
              <w:ind w:right="0"/>
              <w:rPr>
                <w:sz w:val="20"/>
                <w:szCs w:val="20"/>
                <w:lang w:eastAsia="en-US"/>
              </w:rPr>
            </w:pPr>
            <w:r w:rsidRPr="00A6230F">
              <w:rPr>
                <w:sz w:val="20"/>
                <w:szCs w:val="20"/>
                <w:lang w:eastAsia="en-US"/>
              </w:rPr>
              <w:t>0</w:t>
            </w:r>
          </w:p>
        </w:tc>
        <w:tc>
          <w:tcPr>
            <w:tcW w:w="900" w:type="pct"/>
            <w:hideMark/>
          </w:tcPr>
          <w:p w14:paraId="46C1E6A0" w14:textId="77777777" w:rsidR="00A6230F" w:rsidRPr="00A6230F" w:rsidRDefault="00A6230F" w:rsidP="00A6230F">
            <w:pPr>
              <w:ind w:right="0"/>
              <w:rPr>
                <w:sz w:val="20"/>
                <w:szCs w:val="20"/>
                <w:lang w:eastAsia="en-US"/>
              </w:rPr>
            </w:pPr>
            <w:r w:rsidRPr="00A6230F">
              <w:rPr>
                <w:sz w:val="20"/>
                <w:szCs w:val="20"/>
                <w:lang w:eastAsia="en-US"/>
              </w:rPr>
              <w:t>3 (1.2)</w:t>
            </w:r>
          </w:p>
        </w:tc>
      </w:tr>
      <w:tr w:rsidR="00A6230F" w:rsidRPr="00A6230F" w14:paraId="03F94D2F" w14:textId="77777777" w:rsidTr="00D06CA8">
        <w:tc>
          <w:tcPr>
            <w:tcW w:w="1269" w:type="pct"/>
            <w:hideMark/>
          </w:tcPr>
          <w:p w14:paraId="3D7FF772" w14:textId="77777777" w:rsidR="00A6230F" w:rsidRPr="00A6230F" w:rsidRDefault="00A6230F" w:rsidP="00A6230F">
            <w:pPr>
              <w:ind w:left="0" w:right="0"/>
              <w:rPr>
                <w:sz w:val="20"/>
                <w:szCs w:val="20"/>
                <w:lang w:eastAsia="en-US"/>
              </w:rPr>
            </w:pPr>
            <w:r w:rsidRPr="00A6230F">
              <w:rPr>
                <w:sz w:val="20"/>
                <w:szCs w:val="20"/>
                <w:lang w:eastAsia="en-US"/>
              </w:rPr>
              <w:t>Hematoma</w:t>
            </w:r>
          </w:p>
        </w:tc>
        <w:tc>
          <w:tcPr>
            <w:tcW w:w="945" w:type="pct"/>
            <w:hideMark/>
          </w:tcPr>
          <w:p w14:paraId="7144B112" w14:textId="77777777" w:rsidR="00A6230F" w:rsidRPr="00A6230F" w:rsidRDefault="00A6230F" w:rsidP="00A6230F">
            <w:pPr>
              <w:ind w:right="0"/>
              <w:rPr>
                <w:sz w:val="20"/>
                <w:szCs w:val="20"/>
                <w:lang w:eastAsia="en-US"/>
              </w:rPr>
            </w:pPr>
            <w:r w:rsidRPr="00A6230F">
              <w:rPr>
                <w:sz w:val="20"/>
                <w:szCs w:val="20"/>
                <w:lang w:eastAsia="en-US"/>
              </w:rPr>
              <w:t>3 (1.7)</w:t>
            </w:r>
          </w:p>
        </w:tc>
        <w:tc>
          <w:tcPr>
            <w:tcW w:w="945" w:type="pct"/>
            <w:hideMark/>
          </w:tcPr>
          <w:p w14:paraId="7349E583" w14:textId="77777777" w:rsidR="00A6230F" w:rsidRPr="00A6230F" w:rsidRDefault="00A6230F" w:rsidP="00A6230F">
            <w:pPr>
              <w:ind w:right="0"/>
              <w:rPr>
                <w:sz w:val="20"/>
                <w:szCs w:val="20"/>
                <w:lang w:eastAsia="en-US"/>
              </w:rPr>
            </w:pPr>
            <w:r w:rsidRPr="00A6230F">
              <w:rPr>
                <w:sz w:val="20"/>
                <w:szCs w:val="20"/>
                <w:lang w:eastAsia="en-US"/>
              </w:rPr>
              <w:t>0</w:t>
            </w:r>
          </w:p>
        </w:tc>
        <w:tc>
          <w:tcPr>
            <w:tcW w:w="941" w:type="pct"/>
            <w:hideMark/>
          </w:tcPr>
          <w:p w14:paraId="74F6DB08" w14:textId="77777777" w:rsidR="00A6230F" w:rsidRPr="00A6230F" w:rsidRDefault="00A6230F" w:rsidP="00A6230F">
            <w:pPr>
              <w:ind w:right="0"/>
              <w:rPr>
                <w:sz w:val="20"/>
                <w:szCs w:val="20"/>
                <w:lang w:eastAsia="en-US"/>
              </w:rPr>
            </w:pPr>
            <w:r w:rsidRPr="00A6230F">
              <w:rPr>
                <w:sz w:val="20"/>
                <w:szCs w:val="20"/>
                <w:lang w:eastAsia="en-US"/>
              </w:rPr>
              <w:t>0</w:t>
            </w:r>
          </w:p>
        </w:tc>
        <w:tc>
          <w:tcPr>
            <w:tcW w:w="900" w:type="pct"/>
            <w:hideMark/>
          </w:tcPr>
          <w:p w14:paraId="3D3DB944" w14:textId="77777777" w:rsidR="00A6230F" w:rsidRPr="00A6230F" w:rsidRDefault="00A6230F" w:rsidP="00A6230F">
            <w:pPr>
              <w:ind w:right="0"/>
              <w:rPr>
                <w:sz w:val="20"/>
                <w:szCs w:val="20"/>
                <w:lang w:eastAsia="en-US"/>
              </w:rPr>
            </w:pPr>
            <w:r w:rsidRPr="00A6230F">
              <w:rPr>
                <w:sz w:val="20"/>
                <w:szCs w:val="20"/>
                <w:lang w:eastAsia="en-US"/>
              </w:rPr>
              <w:t>3 (1.2)</w:t>
            </w:r>
          </w:p>
        </w:tc>
      </w:tr>
    </w:tbl>
    <w:p w14:paraId="0E12B1A2" w14:textId="77777777" w:rsidR="00A6230F" w:rsidRPr="006456D4" w:rsidRDefault="002A7413" w:rsidP="006D5E69">
      <w:pPr>
        <w:pStyle w:val="FootnoteText"/>
        <w:rPr>
          <w:lang w:eastAsia="ja-JP"/>
        </w:rPr>
      </w:pPr>
      <w:r>
        <w:rPr>
          <w:lang w:eastAsia="ja-JP"/>
        </w:rPr>
        <w:t>Notes</w:t>
      </w:r>
      <w:r w:rsidR="00A6230F" w:rsidRPr="006456D4">
        <w:rPr>
          <w:lang w:eastAsia="ja-JP"/>
        </w:rPr>
        <w:t xml:space="preserve">: TEAEs are defined as any AE starting after initiation of defibrotide treatment (defibrotide arm). </w:t>
      </w:r>
      <w:r>
        <w:rPr>
          <w:lang w:eastAsia="ja-JP"/>
        </w:rPr>
        <w:t>SOC</w:t>
      </w:r>
      <w:r w:rsidR="00A6230F" w:rsidRPr="006456D4">
        <w:rPr>
          <w:lang w:eastAsia="ja-JP"/>
        </w:rPr>
        <w:t xml:space="preserve"> are listed alphabetically, with preferred terms listed within each SOC in order </w:t>
      </w:r>
      <w:r>
        <w:rPr>
          <w:lang w:eastAsia="ja-JP"/>
        </w:rPr>
        <w:t>of decreasing frequency in the total d</w:t>
      </w:r>
      <w:r w:rsidR="00A6230F" w:rsidRPr="006456D4">
        <w:rPr>
          <w:lang w:eastAsia="ja-JP"/>
        </w:rPr>
        <w:t>efibrotide column.</w:t>
      </w:r>
    </w:p>
    <w:p w14:paraId="7E35581C" w14:textId="77777777" w:rsidR="00A6230F" w:rsidRPr="006456D4" w:rsidRDefault="00A6230F" w:rsidP="006D5E69">
      <w:pPr>
        <w:pStyle w:val="FootnoteText"/>
        <w:rPr>
          <w:lang w:eastAsia="ja-JP"/>
        </w:rPr>
      </w:pPr>
      <w:proofErr w:type="gramStart"/>
      <w:r w:rsidRPr="006456D4">
        <w:rPr>
          <w:lang w:eastAsia="ja-JP"/>
        </w:rPr>
        <w:t>a</w:t>
      </w:r>
      <w:proofErr w:type="gramEnd"/>
      <w:r w:rsidRPr="006456D4">
        <w:rPr>
          <w:lang w:eastAsia="ja-JP"/>
        </w:rPr>
        <w:t xml:space="preserve"> One subject in Study 99-118 who was randomised to receive 25 mg/kg/day defibrotide was receiving approximately 40 mg/kg/day based on defibrotide serum/plasma levels. This subject is included in the 25 mg/kg/day group for the disposition, demographic, and efficacy analyses, but is included in the 40 mg/kg/day group for the safety analyses.</w:t>
      </w:r>
    </w:p>
    <w:p w14:paraId="5F821638" w14:textId="77777777" w:rsidR="00A6230F" w:rsidRPr="003052FF" w:rsidRDefault="00A6230F" w:rsidP="00D06CA8">
      <w:r w:rsidRPr="003052FF">
        <w:t>Hypotension w</w:t>
      </w:r>
      <w:r>
        <w:t xml:space="preserve">as the second AE of special interest. In pool A </w:t>
      </w:r>
      <w:r w:rsidRPr="003052FF">
        <w:t>the incidence of hypotension was similar in the two defibrotide dose groups (3</w:t>
      </w:r>
      <w:r w:rsidR="001841FF">
        <w:t>7% for 25 mg/kg/day; 40% for 40 </w:t>
      </w:r>
      <w:r w:rsidRPr="003052FF">
        <w:t>mg/kg/day), and was slightly higher in the historical control group (50%). Review of narrative details for subjects with hypotension revealed that, in almost all cases, hypotension was a manifestation of comorbidities, such as dehydration, haemorrhage, infection/sepsis, complications of renal failure/dialysis, or cortisol imbalance (due to adrenal insufficiency or prolonged corticosteroid use).</w:t>
      </w:r>
    </w:p>
    <w:p w14:paraId="1C9B397D" w14:textId="77777777" w:rsidR="00A6230F" w:rsidRDefault="00A6230F" w:rsidP="00A6230F">
      <w:pPr>
        <w:pStyle w:val="Heading5"/>
      </w:pPr>
      <w:r>
        <w:t>Pool B and other studies</w:t>
      </w:r>
    </w:p>
    <w:p w14:paraId="09F92D68" w14:textId="77777777" w:rsidR="00A6230F" w:rsidRDefault="001841FF" w:rsidP="00D06CA8">
      <w:r>
        <w:t>Safety data in p</w:t>
      </w:r>
      <w:r w:rsidR="00A6230F">
        <w:t>ool B essentia</w:t>
      </w:r>
      <w:r>
        <w:t>lly reflected the reports from p</w:t>
      </w:r>
      <w:r w:rsidR="00A6230F">
        <w:t>ool A. The most common reported serious related TEAEs in pool B were pulmonary haemorrhage, gastrointestinal haemorrhage and pulmonary alveolar haemorrhage.</w:t>
      </w:r>
    </w:p>
    <w:p w14:paraId="374F9CB7" w14:textId="77777777" w:rsidR="00A6230F" w:rsidRDefault="00A6230F" w:rsidP="00D06CA8">
      <w:r>
        <w:t>In the other studies, MOF, progression of VOD and sepsis were most frequently reported, and also were the SAEs most frequently leading to death.</w:t>
      </w:r>
    </w:p>
    <w:p w14:paraId="043BD939" w14:textId="3585EEFF" w:rsidR="00A6230F" w:rsidRDefault="00A6230F" w:rsidP="00D06CA8">
      <w:r>
        <w:t>Anaphylaxis has been reported in the literature for a previously marketed formulation of defibrotide being used to treat chronic venous insufficiency. In the all VOD population, six</w:t>
      </w:r>
      <w:r w:rsidR="009032E2">
        <w:t> </w:t>
      </w:r>
      <w:r>
        <w:t xml:space="preserve">subjects reported hypersensitivity but of these, four were considered unrelated to defibrotide. As </w:t>
      </w:r>
      <w:proofErr w:type="gramStart"/>
      <w:r>
        <w:t>patients</w:t>
      </w:r>
      <w:proofErr w:type="gramEnd"/>
      <w:r>
        <w:t xml:space="preserve"> post</w:t>
      </w:r>
      <w:r w:rsidR="009032E2">
        <w:noBreakHyphen/>
      </w:r>
      <w:r>
        <w:t>HSCT are given multiple medications it is difficult to ascribe a reaction to a single drug. The possibility of hypersensitivity is included in the PI.</w:t>
      </w:r>
    </w:p>
    <w:p w14:paraId="070910CA" w14:textId="77777777" w:rsidR="00D06CA8" w:rsidRDefault="00D06CA8" w:rsidP="00D06CA8">
      <w:pPr>
        <w:pStyle w:val="Heading5"/>
      </w:pPr>
      <w:r>
        <w:lastRenderedPageBreak/>
        <w:t>Paediatric data</w:t>
      </w:r>
    </w:p>
    <w:p w14:paraId="16BA0C43" w14:textId="4859905D" w:rsidR="006A4C8B" w:rsidRDefault="00D06CA8" w:rsidP="00ED2A79">
      <w:r>
        <w:t>Adverse events among paediatric patients were generally similar to those seen in adult patients (</w:t>
      </w:r>
      <w:r w:rsidR="00E63D02">
        <w:fldChar w:fldCharType="begin"/>
      </w:r>
      <w:r w:rsidR="00E63D02">
        <w:instrText xml:space="preserve"> REF _Ref57356033 \h </w:instrText>
      </w:r>
      <w:r w:rsidR="00E63D02">
        <w:fldChar w:fldCharType="separate"/>
      </w:r>
      <w:r w:rsidR="00E63D02" w:rsidRPr="00DC1BB2">
        <w:t xml:space="preserve">Table </w:t>
      </w:r>
      <w:r w:rsidR="00E63D02">
        <w:rPr>
          <w:noProof/>
        </w:rPr>
        <w:t>10</w:t>
      </w:r>
      <w:r w:rsidR="00E63D02">
        <w:fldChar w:fldCharType="end"/>
      </w:r>
      <w:r>
        <w:t>). However, there was an apparent trend to more AE of pulmonary haemorrhage in y</w:t>
      </w:r>
      <w:bookmarkStart w:id="52" w:name="_Ref55825337"/>
      <w:r w:rsidR="00E63D02">
        <w:t>ounger patients than in adults.</w:t>
      </w:r>
    </w:p>
    <w:p w14:paraId="7A751D4C" w14:textId="07297E17" w:rsidR="006A4C8B" w:rsidRPr="006A4C8B" w:rsidRDefault="00D06CA8" w:rsidP="00DC1BB2">
      <w:pPr>
        <w:pStyle w:val="TableTitle"/>
      </w:pPr>
      <w:bookmarkStart w:id="53" w:name="_Ref57356033"/>
      <w:r w:rsidRPr="00DC1BB2">
        <w:t xml:space="preserve">Table </w:t>
      </w:r>
      <w:r w:rsidR="004C10EE">
        <w:fldChar w:fldCharType="begin"/>
      </w:r>
      <w:r w:rsidR="004C10EE">
        <w:instrText xml:space="preserve"> SEQ Table \* ARABIC </w:instrText>
      </w:r>
      <w:r w:rsidR="004C10EE">
        <w:fldChar w:fldCharType="separate"/>
      </w:r>
      <w:r w:rsidR="00384939">
        <w:rPr>
          <w:noProof/>
        </w:rPr>
        <w:t>10</w:t>
      </w:r>
      <w:r w:rsidR="004C10EE">
        <w:rPr>
          <w:noProof/>
        </w:rPr>
        <w:fldChar w:fldCharType="end"/>
      </w:r>
      <w:bookmarkEnd w:id="52"/>
      <w:bookmarkEnd w:id="53"/>
      <w:r w:rsidR="006A4C8B" w:rsidRPr="00DC1BB2">
        <w:t>:</w:t>
      </w:r>
      <w:r w:rsidR="006A4C8B" w:rsidRPr="006A4C8B">
        <w:t xml:space="preserve"> </w:t>
      </w:r>
      <w:r w:rsidR="009032E2">
        <w:t xml:space="preserve">Studies 2005-01, 99-118, and 2006-05 </w:t>
      </w:r>
      <w:proofErr w:type="gramStart"/>
      <w:r w:rsidR="006A4C8B" w:rsidRPr="006A4C8B">
        <w:t>Serious</w:t>
      </w:r>
      <w:proofErr w:type="gramEnd"/>
      <w:r w:rsidR="006A4C8B" w:rsidRPr="006A4C8B">
        <w:t xml:space="preserve"> treatment emergent adverse event</w:t>
      </w:r>
      <w:r w:rsidRPr="006A4C8B">
        <w:t xml:space="preserve"> reported in ≥ 5% of patients in any paediatric subgroup</w:t>
      </w:r>
      <w:r w:rsidR="006A4C8B" w:rsidRPr="006A4C8B">
        <w:t xml:space="preserve"> in the 25</w:t>
      </w:r>
      <w:r w:rsidR="009032E2">
        <w:t> </w:t>
      </w:r>
      <w:r w:rsidR="006A4C8B" w:rsidRPr="006A4C8B">
        <w:t xml:space="preserve">mg/kg dose group by </w:t>
      </w:r>
      <w:r w:rsidR="009032E2">
        <w:t>S</w:t>
      </w:r>
      <w:r w:rsidR="006A4C8B" w:rsidRPr="006A4C8B">
        <w:t xml:space="preserve">ystem </w:t>
      </w:r>
      <w:r w:rsidR="009032E2">
        <w:t>O</w:t>
      </w:r>
      <w:r w:rsidR="006A4C8B" w:rsidRPr="006A4C8B">
        <w:t xml:space="preserve">rgan </w:t>
      </w:r>
      <w:r w:rsidR="009032E2">
        <w:t>C</w:t>
      </w:r>
      <w:r w:rsidR="006A4C8B" w:rsidRPr="006A4C8B">
        <w:t>lass</w:t>
      </w:r>
      <w:r w:rsidRPr="006A4C8B">
        <w:t xml:space="preserve"> </w:t>
      </w:r>
      <w:r w:rsidR="006A4C8B" w:rsidRPr="006A4C8B">
        <w:t>in Pool B</w:t>
      </w:r>
    </w:p>
    <w:tbl>
      <w:tblPr>
        <w:tblStyle w:val="TableTGAblue"/>
        <w:tblW w:w="5000" w:type="pct"/>
        <w:tblLook w:val="04A0" w:firstRow="1" w:lastRow="0" w:firstColumn="1" w:lastColumn="0" w:noHBand="0" w:noVBand="1"/>
      </w:tblPr>
      <w:tblGrid>
        <w:gridCol w:w="4030"/>
        <w:gridCol w:w="1571"/>
        <w:gridCol w:w="1571"/>
        <w:gridCol w:w="1322"/>
      </w:tblGrid>
      <w:tr w:rsidR="00D06CA8" w:rsidRPr="00D06CA8" w14:paraId="319460D7" w14:textId="77777777" w:rsidTr="00D06CA8">
        <w:trPr>
          <w:cnfStyle w:val="100000000000" w:firstRow="1" w:lastRow="0" w:firstColumn="0" w:lastColumn="0" w:oddVBand="0" w:evenVBand="0" w:oddHBand="0" w:evenHBand="0" w:firstRowFirstColumn="0" w:firstRowLastColumn="0" w:lastRowFirstColumn="0" w:lastRowLastColumn="0"/>
          <w:trHeight w:hRule="exact" w:val="510"/>
        </w:trPr>
        <w:tc>
          <w:tcPr>
            <w:tcW w:w="2372" w:type="pct"/>
            <w:vMerge w:val="restart"/>
            <w:tcBorders>
              <w:top w:val="single" w:sz="4" w:space="0" w:color="auto"/>
              <w:left w:val="single" w:sz="4" w:space="0" w:color="auto"/>
              <w:bottom w:val="single" w:sz="4" w:space="0" w:color="auto"/>
              <w:right w:val="single" w:sz="4" w:space="0" w:color="auto"/>
            </w:tcBorders>
            <w:hideMark/>
          </w:tcPr>
          <w:p w14:paraId="79F1E295" w14:textId="77777777" w:rsidR="00D06CA8" w:rsidRPr="00D06CA8" w:rsidRDefault="00D06CA8" w:rsidP="00D06CA8">
            <w:pPr>
              <w:ind w:left="0" w:right="0"/>
              <w:rPr>
                <w:bCs/>
                <w:sz w:val="20"/>
                <w:szCs w:val="20"/>
              </w:rPr>
            </w:pPr>
            <w:r w:rsidRPr="00D06CA8">
              <w:rPr>
                <w:bCs/>
                <w:sz w:val="20"/>
                <w:szCs w:val="20"/>
              </w:rPr>
              <w:t>System Organ Class/</w:t>
            </w:r>
          </w:p>
          <w:p w14:paraId="4F8E5B00" w14:textId="77777777" w:rsidR="00D06CA8" w:rsidRPr="00D06CA8" w:rsidRDefault="00D06CA8" w:rsidP="00D06CA8">
            <w:pPr>
              <w:ind w:left="0" w:right="0"/>
              <w:rPr>
                <w:sz w:val="20"/>
                <w:szCs w:val="20"/>
              </w:rPr>
            </w:pPr>
            <w:r w:rsidRPr="00D06CA8">
              <w:rPr>
                <w:bCs/>
                <w:sz w:val="20"/>
                <w:szCs w:val="20"/>
              </w:rPr>
              <w:t>Preferred Term, n (%)</w:t>
            </w:r>
          </w:p>
        </w:tc>
        <w:tc>
          <w:tcPr>
            <w:tcW w:w="2628" w:type="pct"/>
            <w:gridSpan w:val="3"/>
            <w:tcBorders>
              <w:top w:val="single" w:sz="4" w:space="0" w:color="auto"/>
              <w:left w:val="single" w:sz="4" w:space="0" w:color="auto"/>
              <w:bottom w:val="single" w:sz="4" w:space="0" w:color="auto"/>
              <w:right w:val="single" w:sz="4" w:space="0" w:color="auto"/>
            </w:tcBorders>
            <w:hideMark/>
          </w:tcPr>
          <w:p w14:paraId="2345E5FE" w14:textId="77777777" w:rsidR="00D06CA8" w:rsidRPr="00D06CA8" w:rsidRDefault="00D06CA8" w:rsidP="00D06CA8">
            <w:pPr>
              <w:ind w:left="0"/>
              <w:rPr>
                <w:sz w:val="20"/>
                <w:szCs w:val="20"/>
              </w:rPr>
            </w:pPr>
            <w:r w:rsidRPr="00D06CA8">
              <w:rPr>
                <w:bCs/>
                <w:sz w:val="20"/>
                <w:szCs w:val="20"/>
              </w:rPr>
              <w:t>Defibrotide</w:t>
            </w:r>
          </w:p>
          <w:p w14:paraId="4B9516B1" w14:textId="77777777" w:rsidR="00D06CA8" w:rsidRPr="00D06CA8" w:rsidRDefault="00D06CA8" w:rsidP="00D06CA8">
            <w:pPr>
              <w:ind w:left="0" w:right="0"/>
              <w:rPr>
                <w:sz w:val="20"/>
                <w:szCs w:val="20"/>
              </w:rPr>
            </w:pPr>
            <w:r w:rsidRPr="00D06CA8">
              <w:rPr>
                <w:bCs/>
                <w:sz w:val="20"/>
                <w:szCs w:val="20"/>
              </w:rPr>
              <w:t>25 mg/kg</w:t>
            </w:r>
          </w:p>
        </w:tc>
      </w:tr>
      <w:tr w:rsidR="00D06CA8" w:rsidRPr="00D06CA8" w14:paraId="07B2F50B" w14:textId="77777777" w:rsidTr="00D06CA8">
        <w:trPr>
          <w:trHeight w:val="283"/>
        </w:trPr>
        <w:tc>
          <w:tcPr>
            <w:tcW w:w="2372" w:type="pct"/>
            <w:vMerge/>
            <w:tcBorders>
              <w:top w:val="single" w:sz="4" w:space="0" w:color="auto"/>
              <w:left w:val="single" w:sz="4" w:space="0" w:color="auto"/>
              <w:bottom w:val="single" w:sz="4" w:space="0" w:color="auto"/>
              <w:right w:val="single" w:sz="4" w:space="0" w:color="auto"/>
            </w:tcBorders>
            <w:hideMark/>
          </w:tcPr>
          <w:p w14:paraId="2453D819" w14:textId="77777777" w:rsidR="00D06CA8" w:rsidRPr="00D06CA8" w:rsidRDefault="00D06CA8" w:rsidP="00D06CA8">
            <w:pPr>
              <w:rPr>
                <w:sz w:val="20"/>
                <w:szCs w:val="20"/>
              </w:rPr>
            </w:pPr>
          </w:p>
        </w:tc>
        <w:tc>
          <w:tcPr>
            <w:tcW w:w="925" w:type="pct"/>
            <w:tcBorders>
              <w:top w:val="single" w:sz="4" w:space="0" w:color="auto"/>
              <w:left w:val="single" w:sz="4" w:space="0" w:color="auto"/>
              <w:bottom w:val="single" w:sz="4" w:space="0" w:color="auto"/>
              <w:right w:val="single" w:sz="4" w:space="0" w:color="auto"/>
            </w:tcBorders>
            <w:shd w:val="clear" w:color="auto" w:fill="006DA7"/>
            <w:hideMark/>
          </w:tcPr>
          <w:p w14:paraId="3F95EF34" w14:textId="77777777" w:rsidR="00D06CA8" w:rsidRPr="00D06CA8" w:rsidRDefault="00D06CA8" w:rsidP="00D06CA8">
            <w:pPr>
              <w:ind w:left="0"/>
              <w:rPr>
                <w:color w:val="FFFFFF" w:themeColor="background1"/>
                <w:sz w:val="20"/>
                <w:szCs w:val="20"/>
              </w:rPr>
            </w:pPr>
            <w:r w:rsidRPr="00D06CA8">
              <w:rPr>
                <w:b/>
                <w:bCs/>
                <w:color w:val="FFFFFF" w:themeColor="background1"/>
                <w:sz w:val="20"/>
                <w:szCs w:val="20"/>
              </w:rPr>
              <w:t>0-23m</w:t>
            </w:r>
          </w:p>
        </w:tc>
        <w:tc>
          <w:tcPr>
            <w:tcW w:w="925" w:type="pct"/>
            <w:tcBorders>
              <w:top w:val="single" w:sz="4" w:space="0" w:color="auto"/>
              <w:left w:val="single" w:sz="4" w:space="0" w:color="auto"/>
              <w:bottom w:val="single" w:sz="4" w:space="0" w:color="auto"/>
              <w:right w:val="single" w:sz="4" w:space="0" w:color="auto"/>
            </w:tcBorders>
            <w:shd w:val="clear" w:color="auto" w:fill="006DA7"/>
            <w:hideMark/>
          </w:tcPr>
          <w:p w14:paraId="7606799A" w14:textId="77777777" w:rsidR="00D06CA8" w:rsidRPr="00D06CA8" w:rsidRDefault="00D06CA8" w:rsidP="00D06CA8">
            <w:pPr>
              <w:ind w:left="0"/>
              <w:rPr>
                <w:color w:val="FFFFFF" w:themeColor="background1"/>
                <w:sz w:val="20"/>
                <w:szCs w:val="20"/>
              </w:rPr>
            </w:pPr>
            <w:r w:rsidRPr="00D06CA8">
              <w:rPr>
                <w:b/>
                <w:bCs/>
                <w:color w:val="FFFFFF" w:themeColor="background1"/>
                <w:sz w:val="20"/>
                <w:szCs w:val="20"/>
              </w:rPr>
              <w:t>2-11y</w:t>
            </w:r>
          </w:p>
        </w:tc>
        <w:tc>
          <w:tcPr>
            <w:tcW w:w="778" w:type="pct"/>
            <w:tcBorders>
              <w:top w:val="single" w:sz="4" w:space="0" w:color="auto"/>
              <w:left w:val="single" w:sz="4" w:space="0" w:color="auto"/>
              <w:bottom w:val="single" w:sz="4" w:space="0" w:color="auto"/>
              <w:right w:val="single" w:sz="4" w:space="0" w:color="auto"/>
            </w:tcBorders>
            <w:shd w:val="clear" w:color="auto" w:fill="006DA7"/>
            <w:hideMark/>
          </w:tcPr>
          <w:p w14:paraId="7173EF5F" w14:textId="77777777" w:rsidR="00D06CA8" w:rsidRPr="00D06CA8" w:rsidRDefault="00D06CA8" w:rsidP="00D06CA8">
            <w:pPr>
              <w:ind w:left="0"/>
              <w:rPr>
                <w:color w:val="FFFFFF" w:themeColor="background1"/>
                <w:sz w:val="20"/>
                <w:szCs w:val="20"/>
              </w:rPr>
            </w:pPr>
            <w:r w:rsidRPr="00D06CA8">
              <w:rPr>
                <w:b/>
                <w:bCs/>
                <w:color w:val="FFFFFF" w:themeColor="background1"/>
                <w:sz w:val="20"/>
                <w:szCs w:val="20"/>
              </w:rPr>
              <w:t>12-16y</w:t>
            </w:r>
          </w:p>
        </w:tc>
      </w:tr>
      <w:tr w:rsidR="00D06CA8" w:rsidRPr="00D06CA8" w14:paraId="580685E1" w14:textId="77777777" w:rsidTr="00D06CA8">
        <w:trPr>
          <w:trHeight w:val="283"/>
        </w:trPr>
        <w:tc>
          <w:tcPr>
            <w:tcW w:w="2372" w:type="pct"/>
            <w:tcBorders>
              <w:top w:val="single" w:sz="4" w:space="0" w:color="auto"/>
            </w:tcBorders>
            <w:hideMark/>
          </w:tcPr>
          <w:p w14:paraId="776F5F44" w14:textId="77777777" w:rsidR="00D06CA8" w:rsidRPr="00D06CA8" w:rsidRDefault="00D06CA8" w:rsidP="00D06CA8">
            <w:pPr>
              <w:ind w:left="0" w:right="0"/>
              <w:rPr>
                <w:sz w:val="20"/>
                <w:szCs w:val="20"/>
              </w:rPr>
            </w:pPr>
            <w:r w:rsidRPr="00D06CA8">
              <w:rPr>
                <w:b/>
                <w:bCs/>
                <w:sz w:val="20"/>
                <w:szCs w:val="20"/>
              </w:rPr>
              <w:t>Number of patients</w:t>
            </w:r>
          </w:p>
        </w:tc>
        <w:tc>
          <w:tcPr>
            <w:tcW w:w="925" w:type="pct"/>
            <w:tcBorders>
              <w:top w:val="single" w:sz="4" w:space="0" w:color="auto"/>
            </w:tcBorders>
            <w:hideMark/>
          </w:tcPr>
          <w:p w14:paraId="06A69D5B" w14:textId="77777777" w:rsidR="00D06CA8" w:rsidRPr="00D06CA8" w:rsidRDefault="00D06CA8" w:rsidP="00D06CA8">
            <w:pPr>
              <w:ind w:left="0"/>
              <w:rPr>
                <w:sz w:val="20"/>
                <w:szCs w:val="20"/>
              </w:rPr>
            </w:pPr>
            <w:r w:rsidRPr="00D06CA8">
              <w:rPr>
                <w:b/>
                <w:bCs/>
                <w:sz w:val="20"/>
                <w:szCs w:val="20"/>
              </w:rPr>
              <w:t>77</w:t>
            </w:r>
          </w:p>
        </w:tc>
        <w:tc>
          <w:tcPr>
            <w:tcW w:w="925" w:type="pct"/>
            <w:tcBorders>
              <w:top w:val="single" w:sz="4" w:space="0" w:color="auto"/>
            </w:tcBorders>
            <w:hideMark/>
          </w:tcPr>
          <w:p w14:paraId="40EF6408" w14:textId="77777777" w:rsidR="00D06CA8" w:rsidRPr="00D06CA8" w:rsidRDefault="00D06CA8" w:rsidP="00D06CA8">
            <w:pPr>
              <w:ind w:left="0"/>
              <w:rPr>
                <w:sz w:val="20"/>
                <w:szCs w:val="20"/>
              </w:rPr>
            </w:pPr>
            <w:r w:rsidRPr="00D06CA8">
              <w:rPr>
                <w:b/>
                <w:bCs/>
                <w:sz w:val="20"/>
                <w:szCs w:val="20"/>
              </w:rPr>
              <w:t>123</w:t>
            </w:r>
          </w:p>
        </w:tc>
        <w:tc>
          <w:tcPr>
            <w:tcW w:w="778" w:type="pct"/>
            <w:tcBorders>
              <w:top w:val="single" w:sz="4" w:space="0" w:color="auto"/>
            </w:tcBorders>
            <w:hideMark/>
          </w:tcPr>
          <w:p w14:paraId="3ADD54AF" w14:textId="77777777" w:rsidR="00D06CA8" w:rsidRPr="00D06CA8" w:rsidRDefault="00D06CA8" w:rsidP="00D06CA8">
            <w:pPr>
              <w:ind w:left="0"/>
              <w:rPr>
                <w:sz w:val="20"/>
                <w:szCs w:val="20"/>
              </w:rPr>
            </w:pPr>
            <w:r w:rsidRPr="00D06CA8">
              <w:rPr>
                <w:b/>
                <w:bCs/>
                <w:sz w:val="20"/>
                <w:szCs w:val="20"/>
              </w:rPr>
              <w:t>56</w:t>
            </w:r>
          </w:p>
        </w:tc>
      </w:tr>
      <w:tr w:rsidR="00D06CA8" w:rsidRPr="00D06CA8" w14:paraId="593AD21B" w14:textId="77777777" w:rsidTr="00D06CA8">
        <w:trPr>
          <w:trHeight w:val="283"/>
        </w:trPr>
        <w:tc>
          <w:tcPr>
            <w:tcW w:w="2372" w:type="pct"/>
            <w:hideMark/>
          </w:tcPr>
          <w:p w14:paraId="0D4AED72" w14:textId="77777777" w:rsidR="00D06CA8" w:rsidRPr="00D06CA8" w:rsidRDefault="00D06CA8" w:rsidP="00D06CA8">
            <w:pPr>
              <w:ind w:left="0" w:right="0"/>
              <w:rPr>
                <w:sz w:val="20"/>
                <w:szCs w:val="20"/>
              </w:rPr>
            </w:pPr>
            <w:r w:rsidRPr="00D06CA8">
              <w:rPr>
                <w:b/>
                <w:bCs/>
                <w:sz w:val="20"/>
                <w:szCs w:val="20"/>
              </w:rPr>
              <w:t>At least 1 serious TEAE</w:t>
            </w:r>
          </w:p>
        </w:tc>
        <w:tc>
          <w:tcPr>
            <w:tcW w:w="925" w:type="pct"/>
            <w:hideMark/>
          </w:tcPr>
          <w:p w14:paraId="0E83E6B0" w14:textId="77777777" w:rsidR="00D06CA8" w:rsidRPr="00D06CA8" w:rsidRDefault="00D06CA8" w:rsidP="00D06CA8">
            <w:pPr>
              <w:ind w:left="0"/>
              <w:rPr>
                <w:sz w:val="20"/>
                <w:szCs w:val="20"/>
              </w:rPr>
            </w:pPr>
            <w:r w:rsidRPr="00D06CA8">
              <w:rPr>
                <w:b/>
                <w:bCs/>
                <w:sz w:val="20"/>
                <w:szCs w:val="20"/>
              </w:rPr>
              <w:t>45 (58.4)</w:t>
            </w:r>
          </w:p>
        </w:tc>
        <w:tc>
          <w:tcPr>
            <w:tcW w:w="925" w:type="pct"/>
            <w:hideMark/>
          </w:tcPr>
          <w:p w14:paraId="7535B138" w14:textId="77777777" w:rsidR="00D06CA8" w:rsidRPr="00D06CA8" w:rsidRDefault="00D06CA8" w:rsidP="00D06CA8">
            <w:pPr>
              <w:ind w:left="0"/>
              <w:rPr>
                <w:sz w:val="20"/>
                <w:szCs w:val="20"/>
              </w:rPr>
            </w:pPr>
            <w:r w:rsidRPr="00D06CA8">
              <w:rPr>
                <w:b/>
                <w:bCs/>
                <w:sz w:val="20"/>
                <w:szCs w:val="20"/>
              </w:rPr>
              <w:t>64 (52.0)</w:t>
            </w:r>
          </w:p>
        </w:tc>
        <w:tc>
          <w:tcPr>
            <w:tcW w:w="778" w:type="pct"/>
            <w:hideMark/>
          </w:tcPr>
          <w:p w14:paraId="27DCB5E5" w14:textId="77777777" w:rsidR="00D06CA8" w:rsidRPr="00D06CA8" w:rsidRDefault="00D06CA8" w:rsidP="00D06CA8">
            <w:pPr>
              <w:ind w:left="0"/>
              <w:rPr>
                <w:sz w:val="20"/>
                <w:szCs w:val="20"/>
              </w:rPr>
            </w:pPr>
            <w:r w:rsidRPr="00D06CA8">
              <w:rPr>
                <w:b/>
                <w:bCs/>
                <w:sz w:val="20"/>
                <w:szCs w:val="20"/>
              </w:rPr>
              <w:t>33 (58.9)</w:t>
            </w:r>
          </w:p>
        </w:tc>
      </w:tr>
      <w:tr w:rsidR="00D06CA8" w:rsidRPr="00D06CA8" w14:paraId="5977EAC8" w14:textId="77777777" w:rsidTr="00D06CA8">
        <w:trPr>
          <w:trHeight w:val="283"/>
        </w:trPr>
        <w:tc>
          <w:tcPr>
            <w:tcW w:w="2372" w:type="pct"/>
            <w:hideMark/>
          </w:tcPr>
          <w:p w14:paraId="409B2D53" w14:textId="77777777" w:rsidR="00D06CA8" w:rsidRPr="00D06CA8" w:rsidRDefault="00D06CA8" w:rsidP="00D06CA8">
            <w:pPr>
              <w:ind w:left="0" w:right="0"/>
              <w:rPr>
                <w:sz w:val="20"/>
                <w:szCs w:val="20"/>
              </w:rPr>
            </w:pPr>
            <w:r w:rsidRPr="00D06CA8">
              <w:rPr>
                <w:b/>
                <w:bCs/>
                <w:sz w:val="20"/>
                <w:szCs w:val="20"/>
              </w:rPr>
              <w:t>Gastrointestinal disorders</w:t>
            </w:r>
          </w:p>
        </w:tc>
        <w:tc>
          <w:tcPr>
            <w:tcW w:w="925" w:type="pct"/>
            <w:hideMark/>
          </w:tcPr>
          <w:p w14:paraId="1C26A8FD" w14:textId="77777777" w:rsidR="00D06CA8" w:rsidRPr="00D06CA8" w:rsidRDefault="00D06CA8" w:rsidP="00D06CA8">
            <w:pPr>
              <w:ind w:left="0"/>
              <w:rPr>
                <w:sz w:val="20"/>
                <w:szCs w:val="20"/>
              </w:rPr>
            </w:pPr>
            <w:r w:rsidRPr="00D06CA8">
              <w:rPr>
                <w:b/>
                <w:bCs/>
                <w:sz w:val="20"/>
                <w:szCs w:val="20"/>
              </w:rPr>
              <w:t>6 (7.8)</w:t>
            </w:r>
          </w:p>
        </w:tc>
        <w:tc>
          <w:tcPr>
            <w:tcW w:w="925" w:type="pct"/>
            <w:hideMark/>
          </w:tcPr>
          <w:p w14:paraId="122DB19A" w14:textId="77777777" w:rsidR="00D06CA8" w:rsidRPr="00D06CA8" w:rsidRDefault="00D06CA8" w:rsidP="00D06CA8">
            <w:pPr>
              <w:ind w:left="0"/>
              <w:rPr>
                <w:sz w:val="20"/>
                <w:szCs w:val="20"/>
              </w:rPr>
            </w:pPr>
            <w:r w:rsidRPr="00D06CA8">
              <w:rPr>
                <w:b/>
                <w:bCs/>
                <w:sz w:val="20"/>
                <w:szCs w:val="20"/>
              </w:rPr>
              <w:t>8 (6.5)</w:t>
            </w:r>
          </w:p>
        </w:tc>
        <w:tc>
          <w:tcPr>
            <w:tcW w:w="778" w:type="pct"/>
            <w:hideMark/>
          </w:tcPr>
          <w:p w14:paraId="7E03238E" w14:textId="77777777" w:rsidR="00D06CA8" w:rsidRPr="00D06CA8" w:rsidRDefault="00D06CA8" w:rsidP="00D06CA8">
            <w:pPr>
              <w:ind w:left="0"/>
              <w:rPr>
                <w:sz w:val="20"/>
                <w:szCs w:val="20"/>
              </w:rPr>
            </w:pPr>
            <w:r w:rsidRPr="00D06CA8">
              <w:rPr>
                <w:b/>
                <w:bCs/>
                <w:sz w:val="20"/>
                <w:szCs w:val="20"/>
              </w:rPr>
              <w:t>5 (8.9)</w:t>
            </w:r>
          </w:p>
        </w:tc>
      </w:tr>
      <w:tr w:rsidR="00D06CA8" w:rsidRPr="00D06CA8" w14:paraId="453365FE" w14:textId="77777777" w:rsidTr="00D06CA8">
        <w:trPr>
          <w:trHeight w:val="283"/>
        </w:trPr>
        <w:tc>
          <w:tcPr>
            <w:tcW w:w="2372" w:type="pct"/>
            <w:hideMark/>
          </w:tcPr>
          <w:p w14:paraId="6876DF95" w14:textId="77777777" w:rsidR="00D06CA8" w:rsidRPr="00D06CA8" w:rsidRDefault="00D06CA8" w:rsidP="00D06CA8">
            <w:pPr>
              <w:ind w:left="0" w:right="0"/>
              <w:rPr>
                <w:sz w:val="20"/>
                <w:szCs w:val="20"/>
              </w:rPr>
            </w:pPr>
            <w:r w:rsidRPr="00D06CA8">
              <w:rPr>
                <w:sz w:val="20"/>
                <w:szCs w:val="20"/>
              </w:rPr>
              <w:t>Gastrointestinal haemorrhage</w:t>
            </w:r>
          </w:p>
        </w:tc>
        <w:tc>
          <w:tcPr>
            <w:tcW w:w="925" w:type="pct"/>
            <w:hideMark/>
          </w:tcPr>
          <w:p w14:paraId="336C4AAB" w14:textId="77777777" w:rsidR="00D06CA8" w:rsidRPr="00D06CA8" w:rsidRDefault="00D06CA8" w:rsidP="00D06CA8">
            <w:pPr>
              <w:ind w:left="0"/>
              <w:rPr>
                <w:sz w:val="20"/>
                <w:szCs w:val="20"/>
              </w:rPr>
            </w:pPr>
            <w:r w:rsidRPr="00D06CA8">
              <w:rPr>
                <w:sz w:val="20"/>
                <w:szCs w:val="20"/>
              </w:rPr>
              <w:t>4 (5.2)</w:t>
            </w:r>
          </w:p>
        </w:tc>
        <w:tc>
          <w:tcPr>
            <w:tcW w:w="925" w:type="pct"/>
            <w:hideMark/>
          </w:tcPr>
          <w:p w14:paraId="5C795F68" w14:textId="77777777" w:rsidR="00D06CA8" w:rsidRPr="00D06CA8" w:rsidRDefault="00D06CA8" w:rsidP="00D06CA8">
            <w:pPr>
              <w:ind w:left="0"/>
              <w:rPr>
                <w:sz w:val="20"/>
                <w:szCs w:val="20"/>
              </w:rPr>
            </w:pPr>
            <w:r w:rsidRPr="00D06CA8">
              <w:rPr>
                <w:sz w:val="20"/>
                <w:szCs w:val="20"/>
              </w:rPr>
              <w:t>6 (4.9)</w:t>
            </w:r>
          </w:p>
        </w:tc>
        <w:tc>
          <w:tcPr>
            <w:tcW w:w="778" w:type="pct"/>
            <w:hideMark/>
          </w:tcPr>
          <w:p w14:paraId="374DF817" w14:textId="77777777" w:rsidR="00D06CA8" w:rsidRPr="00D06CA8" w:rsidRDefault="00D06CA8" w:rsidP="00D06CA8">
            <w:pPr>
              <w:ind w:left="0"/>
              <w:rPr>
                <w:sz w:val="20"/>
                <w:szCs w:val="20"/>
              </w:rPr>
            </w:pPr>
            <w:r w:rsidRPr="00D06CA8">
              <w:rPr>
                <w:sz w:val="20"/>
                <w:szCs w:val="20"/>
              </w:rPr>
              <w:t>2 (3.6)</w:t>
            </w:r>
          </w:p>
        </w:tc>
      </w:tr>
      <w:tr w:rsidR="00D06CA8" w:rsidRPr="00D06CA8" w14:paraId="4116B50C" w14:textId="77777777" w:rsidTr="00D06CA8">
        <w:trPr>
          <w:trHeight w:val="283"/>
        </w:trPr>
        <w:tc>
          <w:tcPr>
            <w:tcW w:w="2372" w:type="pct"/>
            <w:hideMark/>
          </w:tcPr>
          <w:p w14:paraId="5FDCA0BB" w14:textId="77777777" w:rsidR="00D06CA8" w:rsidRPr="00D06CA8" w:rsidRDefault="00D06CA8" w:rsidP="00D06CA8">
            <w:pPr>
              <w:ind w:left="0" w:right="0"/>
              <w:rPr>
                <w:sz w:val="20"/>
                <w:szCs w:val="20"/>
              </w:rPr>
            </w:pPr>
            <w:r w:rsidRPr="00D06CA8">
              <w:rPr>
                <w:b/>
                <w:bCs/>
                <w:sz w:val="20"/>
                <w:szCs w:val="20"/>
              </w:rPr>
              <w:t>Hepatobiliary disorders</w:t>
            </w:r>
          </w:p>
        </w:tc>
        <w:tc>
          <w:tcPr>
            <w:tcW w:w="925" w:type="pct"/>
            <w:hideMark/>
          </w:tcPr>
          <w:p w14:paraId="2E0F0F82" w14:textId="77777777" w:rsidR="00D06CA8" w:rsidRPr="00D06CA8" w:rsidRDefault="00D06CA8" w:rsidP="00D06CA8">
            <w:pPr>
              <w:ind w:left="0"/>
              <w:rPr>
                <w:sz w:val="20"/>
                <w:szCs w:val="20"/>
              </w:rPr>
            </w:pPr>
            <w:r w:rsidRPr="00D06CA8">
              <w:rPr>
                <w:b/>
                <w:bCs/>
                <w:sz w:val="20"/>
                <w:szCs w:val="20"/>
              </w:rPr>
              <w:t>9 (11.7)</w:t>
            </w:r>
          </w:p>
        </w:tc>
        <w:tc>
          <w:tcPr>
            <w:tcW w:w="925" w:type="pct"/>
            <w:hideMark/>
          </w:tcPr>
          <w:p w14:paraId="12D2C572" w14:textId="77777777" w:rsidR="00D06CA8" w:rsidRPr="00D06CA8" w:rsidRDefault="00D06CA8" w:rsidP="00D06CA8">
            <w:pPr>
              <w:ind w:left="0"/>
              <w:rPr>
                <w:sz w:val="20"/>
                <w:szCs w:val="20"/>
              </w:rPr>
            </w:pPr>
            <w:r w:rsidRPr="00D06CA8">
              <w:rPr>
                <w:b/>
                <w:bCs/>
                <w:sz w:val="20"/>
                <w:szCs w:val="20"/>
              </w:rPr>
              <w:t>10 (8.1)</w:t>
            </w:r>
          </w:p>
        </w:tc>
        <w:tc>
          <w:tcPr>
            <w:tcW w:w="778" w:type="pct"/>
            <w:hideMark/>
          </w:tcPr>
          <w:p w14:paraId="3AED6A60" w14:textId="77777777" w:rsidR="00D06CA8" w:rsidRPr="00D06CA8" w:rsidRDefault="00D06CA8" w:rsidP="00D06CA8">
            <w:pPr>
              <w:ind w:left="0"/>
              <w:rPr>
                <w:sz w:val="20"/>
                <w:szCs w:val="20"/>
              </w:rPr>
            </w:pPr>
            <w:r w:rsidRPr="00D06CA8">
              <w:rPr>
                <w:b/>
                <w:bCs/>
                <w:sz w:val="20"/>
                <w:szCs w:val="20"/>
              </w:rPr>
              <w:t>10 (17.9)</w:t>
            </w:r>
          </w:p>
        </w:tc>
      </w:tr>
      <w:tr w:rsidR="00D06CA8" w:rsidRPr="00D06CA8" w14:paraId="6F5331A4" w14:textId="77777777" w:rsidTr="00D06CA8">
        <w:trPr>
          <w:trHeight w:val="283"/>
        </w:trPr>
        <w:tc>
          <w:tcPr>
            <w:tcW w:w="2372" w:type="pct"/>
            <w:hideMark/>
          </w:tcPr>
          <w:p w14:paraId="1F2C74D6" w14:textId="77777777" w:rsidR="00D06CA8" w:rsidRPr="00D06CA8" w:rsidRDefault="00D06CA8" w:rsidP="00D06CA8">
            <w:pPr>
              <w:ind w:left="0" w:right="0"/>
              <w:rPr>
                <w:sz w:val="20"/>
                <w:szCs w:val="20"/>
              </w:rPr>
            </w:pPr>
            <w:proofErr w:type="spellStart"/>
            <w:r w:rsidRPr="00D06CA8">
              <w:rPr>
                <w:sz w:val="20"/>
                <w:szCs w:val="20"/>
              </w:rPr>
              <w:t>Veno</w:t>
            </w:r>
            <w:proofErr w:type="spellEnd"/>
            <w:r w:rsidRPr="00D06CA8">
              <w:rPr>
                <w:sz w:val="20"/>
                <w:szCs w:val="20"/>
              </w:rPr>
              <w:t>-occlusive liver disease</w:t>
            </w:r>
          </w:p>
        </w:tc>
        <w:tc>
          <w:tcPr>
            <w:tcW w:w="925" w:type="pct"/>
            <w:hideMark/>
          </w:tcPr>
          <w:p w14:paraId="078B09AA" w14:textId="77777777" w:rsidR="00D06CA8" w:rsidRPr="00D06CA8" w:rsidRDefault="00D06CA8" w:rsidP="00D06CA8">
            <w:pPr>
              <w:ind w:left="0"/>
              <w:rPr>
                <w:sz w:val="20"/>
                <w:szCs w:val="20"/>
              </w:rPr>
            </w:pPr>
            <w:r w:rsidRPr="00D06CA8">
              <w:rPr>
                <w:sz w:val="20"/>
                <w:szCs w:val="20"/>
              </w:rPr>
              <w:t>7 (9.1)</w:t>
            </w:r>
          </w:p>
        </w:tc>
        <w:tc>
          <w:tcPr>
            <w:tcW w:w="925" w:type="pct"/>
            <w:hideMark/>
          </w:tcPr>
          <w:p w14:paraId="7BFE8304" w14:textId="77777777" w:rsidR="00D06CA8" w:rsidRPr="00D06CA8" w:rsidRDefault="00D06CA8" w:rsidP="00D06CA8">
            <w:pPr>
              <w:ind w:left="0"/>
              <w:rPr>
                <w:sz w:val="20"/>
                <w:szCs w:val="20"/>
              </w:rPr>
            </w:pPr>
            <w:r w:rsidRPr="00D06CA8">
              <w:rPr>
                <w:sz w:val="20"/>
                <w:szCs w:val="20"/>
              </w:rPr>
              <w:t>7 (5.7)</w:t>
            </w:r>
          </w:p>
        </w:tc>
        <w:tc>
          <w:tcPr>
            <w:tcW w:w="778" w:type="pct"/>
            <w:hideMark/>
          </w:tcPr>
          <w:p w14:paraId="6DF51C7F" w14:textId="77777777" w:rsidR="00D06CA8" w:rsidRPr="00D06CA8" w:rsidRDefault="00D06CA8" w:rsidP="00D06CA8">
            <w:pPr>
              <w:ind w:left="0"/>
              <w:rPr>
                <w:sz w:val="20"/>
                <w:szCs w:val="20"/>
              </w:rPr>
            </w:pPr>
            <w:r w:rsidRPr="00D06CA8">
              <w:rPr>
                <w:sz w:val="20"/>
                <w:szCs w:val="20"/>
              </w:rPr>
              <w:t>6 (10.7)</w:t>
            </w:r>
          </w:p>
        </w:tc>
      </w:tr>
      <w:tr w:rsidR="00D06CA8" w:rsidRPr="00D06CA8" w14:paraId="0D810C7E" w14:textId="77777777" w:rsidTr="00D06CA8">
        <w:trPr>
          <w:trHeight w:val="283"/>
        </w:trPr>
        <w:tc>
          <w:tcPr>
            <w:tcW w:w="2372" w:type="pct"/>
            <w:hideMark/>
          </w:tcPr>
          <w:p w14:paraId="65A44402" w14:textId="77777777" w:rsidR="00D06CA8" w:rsidRPr="00D06CA8" w:rsidRDefault="00D06CA8" w:rsidP="00D06CA8">
            <w:pPr>
              <w:ind w:left="0" w:right="0"/>
              <w:rPr>
                <w:sz w:val="20"/>
                <w:szCs w:val="20"/>
              </w:rPr>
            </w:pPr>
            <w:r w:rsidRPr="00D06CA8">
              <w:rPr>
                <w:sz w:val="20"/>
                <w:szCs w:val="20"/>
              </w:rPr>
              <w:t>Hepatic failure</w:t>
            </w:r>
          </w:p>
        </w:tc>
        <w:tc>
          <w:tcPr>
            <w:tcW w:w="925" w:type="pct"/>
            <w:hideMark/>
          </w:tcPr>
          <w:p w14:paraId="69D1DC10" w14:textId="77777777" w:rsidR="00D06CA8" w:rsidRPr="00D06CA8" w:rsidRDefault="00D06CA8" w:rsidP="00D06CA8">
            <w:pPr>
              <w:ind w:left="0"/>
              <w:rPr>
                <w:sz w:val="20"/>
                <w:szCs w:val="20"/>
              </w:rPr>
            </w:pPr>
            <w:r w:rsidRPr="00D06CA8">
              <w:rPr>
                <w:sz w:val="20"/>
                <w:szCs w:val="20"/>
              </w:rPr>
              <w:t>1 (1.3)</w:t>
            </w:r>
          </w:p>
        </w:tc>
        <w:tc>
          <w:tcPr>
            <w:tcW w:w="925" w:type="pct"/>
            <w:hideMark/>
          </w:tcPr>
          <w:p w14:paraId="32F43BC3" w14:textId="77777777" w:rsidR="00D06CA8" w:rsidRPr="00D06CA8" w:rsidRDefault="00D06CA8" w:rsidP="00D06CA8">
            <w:pPr>
              <w:ind w:left="0"/>
              <w:rPr>
                <w:sz w:val="20"/>
                <w:szCs w:val="20"/>
              </w:rPr>
            </w:pPr>
            <w:r w:rsidRPr="00D06CA8">
              <w:rPr>
                <w:sz w:val="20"/>
                <w:szCs w:val="20"/>
              </w:rPr>
              <w:t>0</w:t>
            </w:r>
          </w:p>
        </w:tc>
        <w:tc>
          <w:tcPr>
            <w:tcW w:w="778" w:type="pct"/>
            <w:hideMark/>
          </w:tcPr>
          <w:p w14:paraId="5EA57B88" w14:textId="77777777" w:rsidR="00D06CA8" w:rsidRPr="00D06CA8" w:rsidRDefault="00D06CA8" w:rsidP="00D06CA8">
            <w:pPr>
              <w:ind w:left="0"/>
              <w:rPr>
                <w:sz w:val="20"/>
                <w:szCs w:val="20"/>
              </w:rPr>
            </w:pPr>
            <w:r w:rsidRPr="00D06CA8">
              <w:rPr>
                <w:sz w:val="20"/>
                <w:szCs w:val="20"/>
              </w:rPr>
              <w:t>3 (5.4)</w:t>
            </w:r>
          </w:p>
        </w:tc>
      </w:tr>
      <w:tr w:rsidR="00D06CA8" w:rsidRPr="00D06CA8" w14:paraId="7E1D6571" w14:textId="77777777" w:rsidTr="00D06CA8">
        <w:trPr>
          <w:trHeight w:val="283"/>
        </w:trPr>
        <w:tc>
          <w:tcPr>
            <w:tcW w:w="2372" w:type="pct"/>
            <w:hideMark/>
          </w:tcPr>
          <w:p w14:paraId="2AC8E975" w14:textId="77777777" w:rsidR="00D06CA8" w:rsidRPr="00D06CA8" w:rsidRDefault="00D06CA8" w:rsidP="00D06CA8">
            <w:pPr>
              <w:ind w:left="0" w:right="0"/>
              <w:rPr>
                <w:sz w:val="20"/>
                <w:szCs w:val="20"/>
              </w:rPr>
            </w:pPr>
            <w:r w:rsidRPr="00D06CA8">
              <w:rPr>
                <w:b/>
                <w:bCs/>
                <w:sz w:val="20"/>
                <w:szCs w:val="20"/>
              </w:rPr>
              <w:t>Renal and urinary disorders</w:t>
            </w:r>
          </w:p>
        </w:tc>
        <w:tc>
          <w:tcPr>
            <w:tcW w:w="925" w:type="pct"/>
            <w:hideMark/>
          </w:tcPr>
          <w:p w14:paraId="78B1035E" w14:textId="77777777" w:rsidR="00D06CA8" w:rsidRPr="00D06CA8" w:rsidRDefault="00D06CA8" w:rsidP="00D06CA8">
            <w:pPr>
              <w:ind w:left="0"/>
              <w:rPr>
                <w:sz w:val="20"/>
                <w:szCs w:val="20"/>
              </w:rPr>
            </w:pPr>
            <w:r w:rsidRPr="00D06CA8">
              <w:rPr>
                <w:b/>
                <w:bCs/>
                <w:sz w:val="20"/>
                <w:szCs w:val="20"/>
              </w:rPr>
              <w:t>4 (5.2)</w:t>
            </w:r>
          </w:p>
        </w:tc>
        <w:tc>
          <w:tcPr>
            <w:tcW w:w="925" w:type="pct"/>
            <w:hideMark/>
          </w:tcPr>
          <w:p w14:paraId="39DB337F" w14:textId="77777777" w:rsidR="00D06CA8" w:rsidRPr="00D06CA8" w:rsidRDefault="00D06CA8" w:rsidP="00D06CA8">
            <w:pPr>
              <w:ind w:left="0"/>
              <w:rPr>
                <w:sz w:val="20"/>
                <w:szCs w:val="20"/>
              </w:rPr>
            </w:pPr>
            <w:r w:rsidRPr="00D06CA8">
              <w:rPr>
                <w:b/>
                <w:bCs/>
                <w:sz w:val="20"/>
                <w:szCs w:val="20"/>
              </w:rPr>
              <w:t>8 (6.5)</w:t>
            </w:r>
          </w:p>
        </w:tc>
        <w:tc>
          <w:tcPr>
            <w:tcW w:w="778" w:type="pct"/>
            <w:hideMark/>
          </w:tcPr>
          <w:p w14:paraId="29535CD7" w14:textId="77777777" w:rsidR="00D06CA8" w:rsidRPr="00D06CA8" w:rsidRDefault="00D06CA8" w:rsidP="00D06CA8">
            <w:pPr>
              <w:ind w:left="0"/>
              <w:rPr>
                <w:sz w:val="20"/>
                <w:szCs w:val="20"/>
              </w:rPr>
            </w:pPr>
            <w:r w:rsidRPr="00D06CA8">
              <w:rPr>
                <w:b/>
                <w:bCs/>
                <w:sz w:val="20"/>
                <w:szCs w:val="20"/>
              </w:rPr>
              <w:t>5 (8.9)</w:t>
            </w:r>
          </w:p>
        </w:tc>
      </w:tr>
      <w:tr w:rsidR="00D06CA8" w:rsidRPr="00D06CA8" w14:paraId="5C55DF95" w14:textId="77777777" w:rsidTr="00D06CA8">
        <w:trPr>
          <w:trHeight w:val="283"/>
        </w:trPr>
        <w:tc>
          <w:tcPr>
            <w:tcW w:w="2372" w:type="pct"/>
            <w:hideMark/>
          </w:tcPr>
          <w:p w14:paraId="48C988E0" w14:textId="77777777" w:rsidR="00D06CA8" w:rsidRPr="00D06CA8" w:rsidRDefault="00D06CA8" w:rsidP="00D06CA8">
            <w:pPr>
              <w:ind w:left="0" w:right="0"/>
              <w:rPr>
                <w:sz w:val="20"/>
                <w:szCs w:val="20"/>
              </w:rPr>
            </w:pPr>
            <w:r w:rsidRPr="00D06CA8">
              <w:rPr>
                <w:sz w:val="20"/>
                <w:szCs w:val="20"/>
              </w:rPr>
              <w:t>Renal failure</w:t>
            </w:r>
          </w:p>
        </w:tc>
        <w:tc>
          <w:tcPr>
            <w:tcW w:w="925" w:type="pct"/>
            <w:hideMark/>
          </w:tcPr>
          <w:p w14:paraId="7694D7B5" w14:textId="77777777" w:rsidR="00D06CA8" w:rsidRPr="00D06CA8" w:rsidRDefault="00D06CA8" w:rsidP="00D06CA8">
            <w:pPr>
              <w:ind w:left="0"/>
              <w:rPr>
                <w:sz w:val="20"/>
                <w:szCs w:val="20"/>
              </w:rPr>
            </w:pPr>
            <w:r w:rsidRPr="00D06CA8">
              <w:rPr>
                <w:sz w:val="20"/>
                <w:szCs w:val="20"/>
              </w:rPr>
              <w:t>4 (2.6)</w:t>
            </w:r>
          </w:p>
        </w:tc>
        <w:tc>
          <w:tcPr>
            <w:tcW w:w="925" w:type="pct"/>
            <w:hideMark/>
          </w:tcPr>
          <w:p w14:paraId="47242EE5" w14:textId="77777777" w:rsidR="00D06CA8" w:rsidRPr="00D06CA8" w:rsidRDefault="00D06CA8" w:rsidP="00D06CA8">
            <w:pPr>
              <w:ind w:left="0"/>
              <w:rPr>
                <w:sz w:val="20"/>
                <w:szCs w:val="20"/>
              </w:rPr>
            </w:pPr>
            <w:r w:rsidRPr="00D06CA8">
              <w:rPr>
                <w:sz w:val="20"/>
                <w:szCs w:val="20"/>
              </w:rPr>
              <w:t>7 (5.7)</w:t>
            </w:r>
          </w:p>
        </w:tc>
        <w:tc>
          <w:tcPr>
            <w:tcW w:w="778" w:type="pct"/>
            <w:hideMark/>
          </w:tcPr>
          <w:p w14:paraId="5227CFA5" w14:textId="77777777" w:rsidR="00D06CA8" w:rsidRPr="00D06CA8" w:rsidRDefault="00D06CA8" w:rsidP="00D06CA8">
            <w:pPr>
              <w:ind w:left="0"/>
              <w:rPr>
                <w:sz w:val="20"/>
                <w:szCs w:val="20"/>
              </w:rPr>
            </w:pPr>
            <w:r w:rsidRPr="00D06CA8">
              <w:rPr>
                <w:sz w:val="20"/>
                <w:szCs w:val="20"/>
              </w:rPr>
              <w:t>3 (5.4)</w:t>
            </w:r>
          </w:p>
        </w:tc>
      </w:tr>
      <w:tr w:rsidR="00D06CA8" w:rsidRPr="00D06CA8" w14:paraId="56EB3E10" w14:textId="77777777" w:rsidTr="00D06CA8">
        <w:trPr>
          <w:trHeight w:val="510"/>
        </w:trPr>
        <w:tc>
          <w:tcPr>
            <w:tcW w:w="2372" w:type="pct"/>
            <w:hideMark/>
          </w:tcPr>
          <w:p w14:paraId="656F2D85" w14:textId="77777777" w:rsidR="00D06CA8" w:rsidRPr="00D06CA8" w:rsidRDefault="00D06CA8" w:rsidP="00D06CA8">
            <w:pPr>
              <w:ind w:left="0" w:right="0"/>
              <w:rPr>
                <w:sz w:val="20"/>
                <w:szCs w:val="20"/>
              </w:rPr>
            </w:pPr>
            <w:r w:rsidRPr="00D06CA8">
              <w:rPr>
                <w:b/>
                <w:bCs/>
                <w:sz w:val="20"/>
                <w:szCs w:val="20"/>
              </w:rPr>
              <w:t>Respiratory, thoracic, and mediastinal disorders</w:t>
            </w:r>
          </w:p>
        </w:tc>
        <w:tc>
          <w:tcPr>
            <w:tcW w:w="925" w:type="pct"/>
            <w:hideMark/>
          </w:tcPr>
          <w:p w14:paraId="753231B6" w14:textId="77777777" w:rsidR="00D06CA8" w:rsidRPr="00D06CA8" w:rsidRDefault="00D06CA8" w:rsidP="00D06CA8">
            <w:pPr>
              <w:ind w:left="0"/>
              <w:rPr>
                <w:sz w:val="20"/>
                <w:szCs w:val="20"/>
              </w:rPr>
            </w:pPr>
            <w:r w:rsidRPr="00D06CA8">
              <w:rPr>
                <w:b/>
                <w:bCs/>
                <w:sz w:val="20"/>
                <w:szCs w:val="20"/>
              </w:rPr>
              <w:t>25 (32.5)</w:t>
            </w:r>
          </w:p>
        </w:tc>
        <w:tc>
          <w:tcPr>
            <w:tcW w:w="925" w:type="pct"/>
            <w:hideMark/>
          </w:tcPr>
          <w:p w14:paraId="21AA10A0" w14:textId="77777777" w:rsidR="00D06CA8" w:rsidRPr="00D06CA8" w:rsidRDefault="00D06CA8" w:rsidP="00D06CA8">
            <w:pPr>
              <w:ind w:left="0"/>
              <w:rPr>
                <w:sz w:val="20"/>
                <w:szCs w:val="20"/>
              </w:rPr>
            </w:pPr>
            <w:r w:rsidRPr="00D06CA8">
              <w:rPr>
                <w:b/>
                <w:bCs/>
                <w:sz w:val="20"/>
                <w:szCs w:val="20"/>
              </w:rPr>
              <w:t>25 (20.3)</w:t>
            </w:r>
          </w:p>
        </w:tc>
        <w:tc>
          <w:tcPr>
            <w:tcW w:w="778" w:type="pct"/>
            <w:hideMark/>
          </w:tcPr>
          <w:p w14:paraId="144C8732" w14:textId="77777777" w:rsidR="00D06CA8" w:rsidRPr="00D06CA8" w:rsidRDefault="00D06CA8" w:rsidP="00D06CA8">
            <w:pPr>
              <w:ind w:left="0"/>
              <w:rPr>
                <w:sz w:val="20"/>
                <w:szCs w:val="20"/>
              </w:rPr>
            </w:pPr>
            <w:r w:rsidRPr="00D06CA8">
              <w:rPr>
                <w:b/>
                <w:bCs/>
                <w:sz w:val="20"/>
                <w:szCs w:val="20"/>
              </w:rPr>
              <w:t>17 (30.4)</w:t>
            </w:r>
          </w:p>
        </w:tc>
      </w:tr>
      <w:tr w:rsidR="00D06CA8" w:rsidRPr="00D06CA8" w14:paraId="50BA800E" w14:textId="77777777" w:rsidTr="00D06CA8">
        <w:trPr>
          <w:trHeight w:val="283"/>
        </w:trPr>
        <w:tc>
          <w:tcPr>
            <w:tcW w:w="2372" w:type="pct"/>
            <w:hideMark/>
          </w:tcPr>
          <w:p w14:paraId="19B8CECC" w14:textId="77777777" w:rsidR="00D06CA8" w:rsidRPr="00D06CA8" w:rsidRDefault="00D06CA8" w:rsidP="00D06CA8">
            <w:pPr>
              <w:ind w:left="0" w:right="0"/>
              <w:rPr>
                <w:sz w:val="20"/>
                <w:szCs w:val="20"/>
              </w:rPr>
            </w:pPr>
            <w:r w:rsidRPr="00D06CA8">
              <w:rPr>
                <w:sz w:val="20"/>
                <w:szCs w:val="20"/>
              </w:rPr>
              <w:t>Pulmonary haemorrhage</w:t>
            </w:r>
          </w:p>
        </w:tc>
        <w:tc>
          <w:tcPr>
            <w:tcW w:w="925" w:type="pct"/>
            <w:hideMark/>
          </w:tcPr>
          <w:p w14:paraId="61E2198F" w14:textId="77777777" w:rsidR="00D06CA8" w:rsidRPr="00D06CA8" w:rsidRDefault="00D06CA8" w:rsidP="00D06CA8">
            <w:pPr>
              <w:ind w:left="0"/>
              <w:rPr>
                <w:sz w:val="20"/>
                <w:szCs w:val="20"/>
              </w:rPr>
            </w:pPr>
            <w:r w:rsidRPr="00D06CA8">
              <w:rPr>
                <w:sz w:val="20"/>
                <w:szCs w:val="20"/>
              </w:rPr>
              <w:t>10 (13.0)</w:t>
            </w:r>
          </w:p>
        </w:tc>
        <w:tc>
          <w:tcPr>
            <w:tcW w:w="925" w:type="pct"/>
            <w:hideMark/>
          </w:tcPr>
          <w:p w14:paraId="39FB7EA8" w14:textId="77777777" w:rsidR="00D06CA8" w:rsidRPr="00D06CA8" w:rsidRDefault="00D06CA8" w:rsidP="00D06CA8">
            <w:pPr>
              <w:ind w:left="0"/>
              <w:rPr>
                <w:sz w:val="20"/>
                <w:szCs w:val="20"/>
              </w:rPr>
            </w:pPr>
            <w:r w:rsidRPr="00D06CA8">
              <w:rPr>
                <w:sz w:val="20"/>
                <w:szCs w:val="20"/>
              </w:rPr>
              <w:t>9 (7.3)</w:t>
            </w:r>
          </w:p>
        </w:tc>
        <w:tc>
          <w:tcPr>
            <w:tcW w:w="778" w:type="pct"/>
            <w:hideMark/>
          </w:tcPr>
          <w:p w14:paraId="0036C89B" w14:textId="77777777" w:rsidR="00D06CA8" w:rsidRPr="00D06CA8" w:rsidRDefault="00D06CA8" w:rsidP="00D06CA8">
            <w:pPr>
              <w:ind w:left="0"/>
              <w:rPr>
                <w:sz w:val="20"/>
                <w:szCs w:val="20"/>
              </w:rPr>
            </w:pPr>
            <w:r w:rsidRPr="00D06CA8">
              <w:rPr>
                <w:sz w:val="20"/>
                <w:szCs w:val="20"/>
              </w:rPr>
              <w:t>6 (10.7)</w:t>
            </w:r>
          </w:p>
        </w:tc>
      </w:tr>
      <w:tr w:rsidR="00D06CA8" w:rsidRPr="00D06CA8" w14:paraId="6D1A9826" w14:textId="77777777" w:rsidTr="00D06CA8">
        <w:trPr>
          <w:trHeight w:val="283"/>
        </w:trPr>
        <w:tc>
          <w:tcPr>
            <w:tcW w:w="2372" w:type="pct"/>
            <w:hideMark/>
          </w:tcPr>
          <w:p w14:paraId="1DCF7733" w14:textId="77777777" w:rsidR="00D06CA8" w:rsidRPr="00D06CA8" w:rsidRDefault="00D06CA8" w:rsidP="00D06CA8">
            <w:pPr>
              <w:ind w:left="0" w:right="0"/>
              <w:rPr>
                <w:sz w:val="20"/>
                <w:szCs w:val="20"/>
              </w:rPr>
            </w:pPr>
            <w:r w:rsidRPr="00D06CA8">
              <w:rPr>
                <w:sz w:val="20"/>
                <w:szCs w:val="20"/>
              </w:rPr>
              <w:t>Respiratory failure</w:t>
            </w:r>
          </w:p>
        </w:tc>
        <w:tc>
          <w:tcPr>
            <w:tcW w:w="925" w:type="pct"/>
            <w:hideMark/>
          </w:tcPr>
          <w:p w14:paraId="3B1CA6C9" w14:textId="77777777" w:rsidR="00D06CA8" w:rsidRPr="00D06CA8" w:rsidRDefault="00D06CA8" w:rsidP="00D06CA8">
            <w:pPr>
              <w:ind w:left="0"/>
              <w:rPr>
                <w:sz w:val="20"/>
                <w:szCs w:val="20"/>
              </w:rPr>
            </w:pPr>
            <w:r w:rsidRPr="00D06CA8">
              <w:rPr>
                <w:sz w:val="20"/>
                <w:szCs w:val="20"/>
              </w:rPr>
              <w:t>9 (11.7)</w:t>
            </w:r>
          </w:p>
        </w:tc>
        <w:tc>
          <w:tcPr>
            <w:tcW w:w="925" w:type="pct"/>
            <w:hideMark/>
          </w:tcPr>
          <w:p w14:paraId="55373CE4" w14:textId="77777777" w:rsidR="00D06CA8" w:rsidRPr="00D06CA8" w:rsidRDefault="00D06CA8" w:rsidP="00D06CA8">
            <w:pPr>
              <w:ind w:left="0"/>
              <w:rPr>
                <w:sz w:val="20"/>
                <w:szCs w:val="20"/>
              </w:rPr>
            </w:pPr>
            <w:r w:rsidRPr="00D06CA8">
              <w:rPr>
                <w:sz w:val="20"/>
                <w:szCs w:val="20"/>
              </w:rPr>
              <w:t>8 (6.5)</w:t>
            </w:r>
          </w:p>
        </w:tc>
        <w:tc>
          <w:tcPr>
            <w:tcW w:w="778" w:type="pct"/>
            <w:hideMark/>
          </w:tcPr>
          <w:p w14:paraId="4327E8CB" w14:textId="77777777" w:rsidR="00D06CA8" w:rsidRPr="00D06CA8" w:rsidRDefault="00D06CA8" w:rsidP="00D06CA8">
            <w:pPr>
              <w:ind w:left="0"/>
              <w:rPr>
                <w:sz w:val="20"/>
                <w:szCs w:val="20"/>
              </w:rPr>
            </w:pPr>
            <w:r w:rsidRPr="00D06CA8">
              <w:rPr>
                <w:sz w:val="20"/>
                <w:szCs w:val="20"/>
              </w:rPr>
              <w:t>4 (7.1)</w:t>
            </w:r>
          </w:p>
        </w:tc>
      </w:tr>
      <w:tr w:rsidR="00D06CA8" w:rsidRPr="00D06CA8" w14:paraId="147E5AE3" w14:textId="77777777" w:rsidTr="00D06CA8">
        <w:trPr>
          <w:trHeight w:val="283"/>
        </w:trPr>
        <w:tc>
          <w:tcPr>
            <w:tcW w:w="2372" w:type="pct"/>
            <w:hideMark/>
          </w:tcPr>
          <w:p w14:paraId="304BD2EE" w14:textId="77777777" w:rsidR="00D06CA8" w:rsidRPr="00D06CA8" w:rsidRDefault="00D06CA8" w:rsidP="00D06CA8">
            <w:pPr>
              <w:ind w:left="0" w:right="0"/>
              <w:rPr>
                <w:sz w:val="20"/>
                <w:szCs w:val="20"/>
              </w:rPr>
            </w:pPr>
            <w:r w:rsidRPr="00D06CA8">
              <w:rPr>
                <w:sz w:val="20"/>
                <w:szCs w:val="20"/>
              </w:rPr>
              <w:t>Pulmonary alveolar haemorrhage</w:t>
            </w:r>
          </w:p>
        </w:tc>
        <w:tc>
          <w:tcPr>
            <w:tcW w:w="925" w:type="pct"/>
            <w:hideMark/>
          </w:tcPr>
          <w:p w14:paraId="67E7C84E" w14:textId="77777777" w:rsidR="00D06CA8" w:rsidRPr="00D06CA8" w:rsidRDefault="00D06CA8" w:rsidP="00D06CA8">
            <w:pPr>
              <w:ind w:left="0"/>
              <w:rPr>
                <w:sz w:val="20"/>
                <w:szCs w:val="20"/>
              </w:rPr>
            </w:pPr>
            <w:r w:rsidRPr="00D06CA8">
              <w:rPr>
                <w:sz w:val="20"/>
                <w:szCs w:val="20"/>
              </w:rPr>
              <w:t>5 (6.5)</w:t>
            </w:r>
          </w:p>
        </w:tc>
        <w:tc>
          <w:tcPr>
            <w:tcW w:w="925" w:type="pct"/>
            <w:hideMark/>
          </w:tcPr>
          <w:p w14:paraId="41FC3BFE" w14:textId="77777777" w:rsidR="00D06CA8" w:rsidRPr="00D06CA8" w:rsidRDefault="00D06CA8" w:rsidP="00D06CA8">
            <w:pPr>
              <w:ind w:left="0"/>
              <w:rPr>
                <w:sz w:val="20"/>
                <w:szCs w:val="20"/>
              </w:rPr>
            </w:pPr>
            <w:r w:rsidRPr="00D06CA8">
              <w:rPr>
                <w:sz w:val="20"/>
                <w:szCs w:val="20"/>
              </w:rPr>
              <w:t>2 (1.6)</w:t>
            </w:r>
          </w:p>
        </w:tc>
        <w:tc>
          <w:tcPr>
            <w:tcW w:w="778" w:type="pct"/>
            <w:hideMark/>
          </w:tcPr>
          <w:p w14:paraId="04964915" w14:textId="77777777" w:rsidR="00D06CA8" w:rsidRPr="00D06CA8" w:rsidRDefault="00D06CA8" w:rsidP="00D06CA8">
            <w:pPr>
              <w:ind w:left="0"/>
              <w:rPr>
                <w:sz w:val="20"/>
                <w:szCs w:val="20"/>
              </w:rPr>
            </w:pPr>
            <w:r w:rsidRPr="00D06CA8">
              <w:rPr>
                <w:sz w:val="20"/>
                <w:szCs w:val="20"/>
              </w:rPr>
              <w:t>1 (1.8)</w:t>
            </w:r>
          </w:p>
        </w:tc>
      </w:tr>
      <w:tr w:rsidR="00D06CA8" w:rsidRPr="00D06CA8" w14:paraId="4BA48AE5" w14:textId="77777777" w:rsidTr="00D06CA8">
        <w:trPr>
          <w:trHeight w:val="283"/>
        </w:trPr>
        <w:tc>
          <w:tcPr>
            <w:tcW w:w="2372" w:type="pct"/>
            <w:hideMark/>
          </w:tcPr>
          <w:p w14:paraId="4E71690A" w14:textId="77777777" w:rsidR="00D06CA8" w:rsidRPr="00D06CA8" w:rsidRDefault="00D06CA8" w:rsidP="00D06CA8">
            <w:pPr>
              <w:ind w:left="0" w:right="0"/>
              <w:rPr>
                <w:sz w:val="20"/>
                <w:szCs w:val="20"/>
              </w:rPr>
            </w:pPr>
            <w:r w:rsidRPr="00D06CA8">
              <w:rPr>
                <w:b/>
                <w:bCs/>
                <w:sz w:val="20"/>
                <w:szCs w:val="20"/>
              </w:rPr>
              <w:t>Vascular disorders</w:t>
            </w:r>
          </w:p>
        </w:tc>
        <w:tc>
          <w:tcPr>
            <w:tcW w:w="925" w:type="pct"/>
            <w:hideMark/>
          </w:tcPr>
          <w:p w14:paraId="6FD795C6" w14:textId="77777777" w:rsidR="00D06CA8" w:rsidRPr="00D06CA8" w:rsidRDefault="00D06CA8" w:rsidP="00D06CA8">
            <w:pPr>
              <w:ind w:left="0"/>
              <w:rPr>
                <w:sz w:val="20"/>
                <w:szCs w:val="20"/>
              </w:rPr>
            </w:pPr>
            <w:r w:rsidRPr="00D06CA8">
              <w:rPr>
                <w:b/>
                <w:bCs/>
                <w:sz w:val="20"/>
                <w:szCs w:val="20"/>
              </w:rPr>
              <w:t>10 (13.0)</w:t>
            </w:r>
          </w:p>
        </w:tc>
        <w:tc>
          <w:tcPr>
            <w:tcW w:w="925" w:type="pct"/>
            <w:hideMark/>
          </w:tcPr>
          <w:p w14:paraId="3C99B169" w14:textId="77777777" w:rsidR="00D06CA8" w:rsidRPr="00D06CA8" w:rsidRDefault="00D06CA8" w:rsidP="00D06CA8">
            <w:pPr>
              <w:ind w:left="0"/>
              <w:rPr>
                <w:sz w:val="20"/>
                <w:szCs w:val="20"/>
              </w:rPr>
            </w:pPr>
            <w:r w:rsidRPr="00D06CA8">
              <w:rPr>
                <w:b/>
                <w:bCs/>
                <w:sz w:val="20"/>
                <w:szCs w:val="20"/>
              </w:rPr>
              <w:t>10 (8.1)</w:t>
            </w:r>
          </w:p>
        </w:tc>
        <w:tc>
          <w:tcPr>
            <w:tcW w:w="778" w:type="pct"/>
            <w:hideMark/>
          </w:tcPr>
          <w:p w14:paraId="6F37D2F2" w14:textId="77777777" w:rsidR="00D06CA8" w:rsidRPr="00D06CA8" w:rsidRDefault="00D06CA8" w:rsidP="00D06CA8">
            <w:pPr>
              <w:ind w:left="0"/>
              <w:rPr>
                <w:sz w:val="20"/>
                <w:szCs w:val="20"/>
              </w:rPr>
            </w:pPr>
            <w:r w:rsidRPr="00D06CA8">
              <w:rPr>
                <w:b/>
                <w:bCs/>
                <w:sz w:val="20"/>
                <w:szCs w:val="20"/>
              </w:rPr>
              <w:t>8 (14.3)</w:t>
            </w:r>
          </w:p>
        </w:tc>
      </w:tr>
      <w:tr w:rsidR="00D06CA8" w:rsidRPr="00D06CA8" w14:paraId="4DBACA19" w14:textId="77777777" w:rsidTr="00D06CA8">
        <w:trPr>
          <w:trHeight w:val="283"/>
        </w:trPr>
        <w:tc>
          <w:tcPr>
            <w:tcW w:w="2372" w:type="pct"/>
            <w:hideMark/>
          </w:tcPr>
          <w:p w14:paraId="02714C23" w14:textId="77777777" w:rsidR="00D06CA8" w:rsidRPr="00D06CA8" w:rsidRDefault="00D06CA8" w:rsidP="00D06CA8">
            <w:pPr>
              <w:ind w:left="0" w:right="0"/>
              <w:rPr>
                <w:sz w:val="20"/>
                <w:szCs w:val="20"/>
              </w:rPr>
            </w:pPr>
            <w:r w:rsidRPr="00D06CA8">
              <w:rPr>
                <w:sz w:val="20"/>
                <w:szCs w:val="20"/>
              </w:rPr>
              <w:t>Hypotension</w:t>
            </w:r>
          </w:p>
        </w:tc>
        <w:tc>
          <w:tcPr>
            <w:tcW w:w="925" w:type="pct"/>
            <w:hideMark/>
          </w:tcPr>
          <w:p w14:paraId="4F827F21" w14:textId="77777777" w:rsidR="00D06CA8" w:rsidRPr="00D06CA8" w:rsidRDefault="00D06CA8" w:rsidP="00D06CA8">
            <w:pPr>
              <w:ind w:left="0"/>
              <w:rPr>
                <w:sz w:val="20"/>
                <w:szCs w:val="20"/>
              </w:rPr>
            </w:pPr>
            <w:r w:rsidRPr="00D06CA8">
              <w:rPr>
                <w:sz w:val="20"/>
                <w:szCs w:val="20"/>
              </w:rPr>
              <w:t>7 (9.1)</w:t>
            </w:r>
          </w:p>
        </w:tc>
        <w:tc>
          <w:tcPr>
            <w:tcW w:w="925" w:type="pct"/>
            <w:hideMark/>
          </w:tcPr>
          <w:p w14:paraId="5C53F978" w14:textId="77777777" w:rsidR="00D06CA8" w:rsidRPr="00D06CA8" w:rsidRDefault="00D06CA8" w:rsidP="00D06CA8">
            <w:pPr>
              <w:ind w:left="0"/>
              <w:rPr>
                <w:sz w:val="20"/>
                <w:szCs w:val="20"/>
              </w:rPr>
            </w:pPr>
            <w:r w:rsidRPr="00D06CA8">
              <w:rPr>
                <w:sz w:val="20"/>
                <w:szCs w:val="20"/>
              </w:rPr>
              <w:t>4 (3.3)</w:t>
            </w:r>
          </w:p>
        </w:tc>
        <w:tc>
          <w:tcPr>
            <w:tcW w:w="778" w:type="pct"/>
            <w:hideMark/>
          </w:tcPr>
          <w:p w14:paraId="1C965154" w14:textId="77777777" w:rsidR="00D06CA8" w:rsidRPr="00D06CA8" w:rsidRDefault="00D06CA8" w:rsidP="00D06CA8">
            <w:pPr>
              <w:ind w:left="0"/>
              <w:rPr>
                <w:sz w:val="20"/>
                <w:szCs w:val="20"/>
              </w:rPr>
            </w:pPr>
            <w:r w:rsidRPr="00D06CA8">
              <w:rPr>
                <w:sz w:val="20"/>
                <w:szCs w:val="20"/>
              </w:rPr>
              <w:t>8 (14.3)</w:t>
            </w:r>
          </w:p>
        </w:tc>
      </w:tr>
    </w:tbl>
    <w:p w14:paraId="11E7FEF8" w14:textId="77777777" w:rsidR="00D06CA8" w:rsidRDefault="006A4C8B" w:rsidP="006D5E69">
      <w:pPr>
        <w:pStyle w:val="FootnoteText"/>
      </w:pPr>
      <w:r>
        <w:t>Note</w:t>
      </w:r>
      <w:r w:rsidR="00D06CA8">
        <w:t>: TEAE defined as any AE starting after initiation of defibrotide treatment (defibrotide arm).</w:t>
      </w:r>
    </w:p>
    <w:p w14:paraId="0C2D3A6D" w14:textId="6C40B6A6" w:rsidR="00D06CA8" w:rsidRDefault="00D06CA8" w:rsidP="00D06CA8">
      <w:r>
        <w:t>In response to the finding in Study 2006-05 of the overall incidence of haemorrhagic events being slightly higher in adults compared to paediatrics (32.4% v</w:t>
      </w:r>
      <w:r w:rsidR="006A4C8B">
        <w:t>er</w:t>
      </w:r>
      <w:r>
        <w:t>s</w:t>
      </w:r>
      <w:r w:rsidR="006A4C8B">
        <w:t xml:space="preserve">us 27.4%, </w:t>
      </w:r>
      <w:r>
        <w:t>respectively) and the incidence of pulmonary haemorrhage events being higher in paediatric patients compared to adults (10.0% v</w:t>
      </w:r>
      <w:r w:rsidR="006A4C8B">
        <w:t>er</w:t>
      </w:r>
      <w:r>
        <w:t>s</w:t>
      </w:r>
      <w:r w:rsidR="006A4C8B">
        <w:t>us</w:t>
      </w:r>
      <w:r>
        <w:t xml:space="preserve"> 4.3%, respectively), with the highest incidence observed in the youngest paediat</w:t>
      </w:r>
      <w:r w:rsidR="006A4C8B">
        <w:t>ric subgroup (infants/toddlers (</w:t>
      </w:r>
      <w:r>
        <w:t>&lt;</w:t>
      </w:r>
      <w:r w:rsidR="009032E2">
        <w:t> </w:t>
      </w:r>
      <w:r w:rsidR="006A4C8B">
        <w:t>2</w:t>
      </w:r>
      <w:r w:rsidR="009032E2">
        <w:t> </w:t>
      </w:r>
      <w:r w:rsidR="006A4C8B">
        <w:t xml:space="preserve">years): 14.8%); children (2 to </w:t>
      </w:r>
      <w:r>
        <w:t>11 years</w:t>
      </w:r>
      <w:r w:rsidR="006A4C8B">
        <w:t xml:space="preserve">): 7.3%; adolescents (12 to </w:t>
      </w:r>
      <w:r>
        <w:t>16 years</w:t>
      </w:r>
      <w:r w:rsidR="006A4C8B">
        <w:t>): 11.2%) the s</w:t>
      </w:r>
      <w:r>
        <w:t>ponsor conducted a multivariate analysis of the data from Study 2006-05.</w:t>
      </w:r>
    </w:p>
    <w:p w14:paraId="3E272244" w14:textId="77777777" w:rsidR="00D06CA8" w:rsidRDefault="00D06CA8" w:rsidP="00D06CA8">
      <w:r>
        <w:t xml:space="preserve">This analysis was performed to identify potential confounding factors or risk factors for pulmonary haemorrhage (age, primary disease, HSCT form, conditioning regimen for current HSCT, pulmonary dysfunction at study entry, including ventilator dependency, and </w:t>
      </w:r>
      <w:r>
        <w:lastRenderedPageBreak/>
        <w:t xml:space="preserve">the severity of VOD), and the investigators concluded that after adjusting for other confounding factors, young age itself was a significant risk factor for pulmonary haemorrhage in patients who develop VOD after HSCT or chemotherapy, with the highest </w:t>
      </w:r>
      <w:r w:rsidR="006A4C8B">
        <w:t xml:space="preserve">risk observed in the 0 to </w:t>
      </w:r>
      <w:r>
        <w:t>2 years. The underlying mechanism for this event is not clear. In response to negotiations with EMA, the sponsor has created a targeted questionnaire to obtain ongoing information regarding pulmonary haemorrhage among patients treated with defibrotide.</w:t>
      </w:r>
    </w:p>
    <w:p w14:paraId="7E5A6D28" w14:textId="77777777" w:rsidR="00D06CA8" w:rsidRDefault="00D06CA8" w:rsidP="00D06CA8">
      <w:r>
        <w:t xml:space="preserve">Study 2004-00592-33 was a study examining the efficacy of defibrotide as prophylaxis for VOD in paediatric patients following HSCT. While the study was not evaluated in detail from an efficacy perspective, it is worth noting that the most frequently reported TEAE in this study were VOD, </w:t>
      </w:r>
      <w:proofErr w:type="spellStart"/>
      <w:r>
        <w:t>GvHD</w:t>
      </w:r>
      <w:proofErr w:type="spellEnd"/>
      <w:r>
        <w:t>, respiratory failure and pyrexia, and AEs leading to death included progression of VOD, respiratory failure, MOF, and sepsis in both defibrotide and control groups.</w:t>
      </w:r>
    </w:p>
    <w:p w14:paraId="6E1A8B4B" w14:textId="77777777" w:rsidR="00D06CA8" w:rsidRDefault="00D06CA8" w:rsidP="00D06CA8">
      <w:r>
        <w:t>Overall the safety of defibrotide in children appears similar to adults but there may be differences in the paediatric subgroups with more AEs s</w:t>
      </w:r>
      <w:r w:rsidR="006A4C8B">
        <w:t xml:space="preserve">een in the youngest children (0 to </w:t>
      </w:r>
      <w:r>
        <w:t>23 months). The results and number of paediatric patients in the clinical studies should be highlighted in the PI along with the potential risk of pulmonary haemorrhage in this younger patient group.</w:t>
      </w:r>
    </w:p>
    <w:p w14:paraId="0B5EAE84" w14:textId="77777777" w:rsidR="00D06CA8" w:rsidRDefault="00D06CA8" w:rsidP="00D06CA8">
      <w:r>
        <w:t>Ten PSURs were included in the submission providing safety data from October 2013 to October 2018. The common spontaneous AEs reported are consistent with the safety data from the clinical trials.</w:t>
      </w:r>
    </w:p>
    <w:p w14:paraId="4A59B194" w14:textId="5EDD0464" w:rsidR="00D06CA8" w:rsidRDefault="00D06CA8" w:rsidP="00D06CA8">
      <w:r>
        <w:t>Defibrotide has been supplied in Australia since November 2010 under the Special</w:t>
      </w:r>
      <w:r w:rsidR="006A4C8B">
        <w:t xml:space="preserve"> Access Scheme</w:t>
      </w:r>
      <w:r w:rsidR="00A24B4D">
        <w:t xml:space="preserve"> (SAS)</w:t>
      </w:r>
      <w:r w:rsidR="006A4C8B">
        <w:t>.</w:t>
      </w:r>
      <w:r w:rsidR="009032E2" w:rsidRPr="00C51FA4">
        <w:rPr>
          <w:vertAlign w:val="superscript"/>
        </w:rPr>
        <w:fldChar w:fldCharType="begin"/>
      </w:r>
      <w:r w:rsidR="009032E2" w:rsidRPr="00C51FA4">
        <w:rPr>
          <w:vertAlign w:val="superscript"/>
        </w:rPr>
        <w:instrText xml:space="preserve"> NOTEREF _Ref57859715 \h </w:instrText>
      </w:r>
      <w:r w:rsidR="009032E2">
        <w:rPr>
          <w:vertAlign w:val="superscript"/>
        </w:rPr>
        <w:instrText xml:space="preserve"> \* MERGEFORMAT </w:instrText>
      </w:r>
      <w:r w:rsidR="009032E2" w:rsidRPr="00C51FA4">
        <w:rPr>
          <w:vertAlign w:val="superscript"/>
        </w:rPr>
      </w:r>
      <w:r w:rsidR="009032E2" w:rsidRPr="00C51FA4">
        <w:rPr>
          <w:vertAlign w:val="superscript"/>
        </w:rPr>
        <w:fldChar w:fldCharType="separate"/>
      </w:r>
      <w:r w:rsidR="009032E2" w:rsidRPr="00C51FA4">
        <w:rPr>
          <w:vertAlign w:val="superscript"/>
        </w:rPr>
        <w:t>3</w:t>
      </w:r>
      <w:r w:rsidR="009032E2" w:rsidRPr="00C51FA4">
        <w:rPr>
          <w:vertAlign w:val="superscript"/>
        </w:rPr>
        <w:fldChar w:fldCharType="end"/>
      </w:r>
      <w:r w:rsidR="006A4C8B">
        <w:t xml:space="preserve"> Since 2010 the s</w:t>
      </w:r>
      <w:r>
        <w:t>pon</w:t>
      </w:r>
      <w:r w:rsidR="006A4C8B">
        <w:t xml:space="preserve">sor has supplied 65,990 vials (about </w:t>
      </w:r>
      <w:r>
        <w:t>788 patients) of defibrotide to Australian hospitals. The majority of the use has been by paediatric hospitals (78%) with the remainder by adult hospitals. Analysis of the most re</w:t>
      </w:r>
      <w:r w:rsidR="006A4C8B">
        <w:t>cent SAS reports (January 2017 to</w:t>
      </w:r>
      <w:r>
        <w:t xml:space="preserve"> March 2019) indicate that the use of defibrotide in adults is almost exclusively for treatment of VOD. However, in children only 33.5% is for the treatment of VOD with 62.9% being used for prophylaxis (3.6% use is unknown).</w:t>
      </w:r>
    </w:p>
    <w:p w14:paraId="7DC3658A" w14:textId="50BA7170" w:rsidR="00964267" w:rsidRDefault="00BB780A" w:rsidP="00C51FA4">
      <w:pPr>
        <w:pStyle w:val="Heading4"/>
      </w:pPr>
      <w:r>
        <w:t>Clinical evaluator’s recommendation</w:t>
      </w:r>
    </w:p>
    <w:p w14:paraId="1B9EBFA3" w14:textId="1F95A564" w:rsidR="00BB780A" w:rsidRPr="00BB780A" w:rsidRDefault="00BB780A" w:rsidP="00BB780A">
      <w:r>
        <w:t>The clinical evaluator has recommended approval for the intended use.</w:t>
      </w:r>
    </w:p>
    <w:p w14:paraId="6DFE5A5F" w14:textId="77777777" w:rsidR="008E7846" w:rsidRDefault="00386150" w:rsidP="007B6132">
      <w:pPr>
        <w:pStyle w:val="Heading3"/>
        <w:rPr>
          <w:lang w:eastAsia="en-AU"/>
        </w:rPr>
      </w:pPr>
      <w:bookmarkStart w:id="54" w:name="_Toc314842514"/>
      <w:bookmarkStart w:id="55" w:name="_Toc56604931"/>
      <w:r>
        <w:rPr>
          <w:lang w:eastAsia="en-AU"/>
        </w:rPr>
        <w:t>Risk m</w:t>
      </w:r>
      <w:r w:rsidR="008E7846">
        <w:rPr>
          <w:lang w:eastAsia="en-AU"/>
        </w:rPr>
        <w:t xml:space="preserve">anagement </w:t>
      </w:r>
      <w:r>
        <w:rPr>
          <w:lang w:eastAsia="en-AU"/>
        </w:rPr>
        <w:t>p</w:t>
      </w:r>
      <w:r w:rsidR="008E7846">
        <w:rPr>
          <w:lang w:eastAsia="en-AU"/>
        </w:rPr>
        <w:t>lan</w:t>
      </w:r>
      <w:bookmarkEnd w:id="54"/>
      <w:bookmarkEnd w:id="55"/>
    </w:p>
    <w:p w14:paraId="51DDE606" w14:textId="6108D038" w:rsidR="00B637B5" w:rsidRDefault="00B637B5" w:rsidP="00B637B5">
      <w:r>
        <w:t>T</w:t>
      </w:r>
      <w:r w:rsidR="006A4C8B">
        <w:t>he sponsor has provided EU-risk management plan (RMP) 7.0 (dated 19 December 2019; data lock point (DLP)</w:t>
      </w:r>
      <w:r w:rsidRPr="00B637B5">
        <w:t xml:space="preserve"> 18 October 2019) and </w:t>
      </w:r>
      <w:r w:rsidR="0045634C">
        <w:t xml:space="preserve">Australian </w:t>
      </w:r>
      <w:r w:rsidR="009032E2">
        <w:t>s</w:t>
      </w:r>
      <w:r w:rsidR="0045634C">
        <w:t xml:space="preserve">pecific Annex (ASA) </w:t>
      </w:r>
      <w:r w:rsidRPr="00B637B5">
        <w:t>version 1.0 (dated June 2020)</w:t>
      </w:r>
      <w:r>
        <w:t>.</w:t>
      </w:r>
    </w:p>
    <w:p w14:paraId="48CE433B" w14:textId="77777777" w:rsidR="00B637B5" w:rsidRPr="00B637B5" w:rsidRDefault="00B637B5" w:rsidP="00B637B5">
      <w:r w:rsidRPr="00B637B5">
        <w:t xml:space="preserve">The RMP evaluator considers the summary of safety concerns acceptable. The sponsor has proposed routine and additional pharmacovigilance activities for all safety concerns. The pharmacovigilance </w:t>
      </w:r>
      <w:r w:rsidR="007E1C5A">
        <w:t xml:space="preserve">plan includes a targeted follow </w:t>
      </w:r>
      <w:r w:rsidRPr="00B637B5">
        <w:t>up questionnaire regarding the occurrence of pulmonary haemorrhage which will be used in</w:t>
      </w:r>
      <w:r>
        <w:t>ternationally and in Australia.</w:t>
      </w:r>
    </w:p>
    <w:p w14:paraId="2BF5FA1D" w14:textId="77777777" w:rsidR="00206F08" w:rsidRDefault="007D53B6" w:rsidP="00006DE9">
      <w:r>
        <w:t>The summary of safety concerns and their associated risk monitoring and mitigation strategies are summ</w:t>
      </w:r>
      <w:r w:rsidR="00206F08">
        <w:t>arised in</w:t>
      </w:r>
      <w:r w:rsidR="007E1C5A">
        <w:t xml:space="preserve"> </w:t>
      </w:r>
      <w:r w:rsidR="007E1C5A">
        <w:fldChar w:fldCharType="begin"/>
      </w:r>
      <w:r w:rsidR="007E1C5A">
        <w:instrText xml:space="preserve"> REF _Ref56005639 \h </w:instrText>
      </w:r>
      <w:r w:rsidR="007E1C5A">
        <w:fldChar w:fldCharType="separate"/>
      </w:r>
      <w:r w:rsidR="00384939" w:rsidRPr="00DC1BB2">
        <w:t xml:space="preserve">Table </w:t>
      </w:r>
      <w:r w:rsidR="00384939">
        <w:rPr>
          <w:noProof/>
        </w:rPr>
        <w:t>11</w:t>
      </w:r>
      <w:r w:rsidR="007E1C5A">
        <w:fldChar w:fldCharType="end"/>
      </w:r>
      <w:r>
        <w:t>.</w:t>
      </w:r>
      <w:r>
        <w:rPr>
          <w:rStyle w:val="FootnoteReference"/>
        </w:rPr>
        <w:footnoteReference w:id="8"/>
      </w:r>
    </w:p>
    <w:p w14:paraId="1688EF8C" w14:textId="77777777" w:rsidR="00006DE9" w:rsidRPr="00B637B5" w:rsidRDefault="00006DE9" w:rsidP="00DC1BB2">
      <w:pPr>
        <w:pStyle w:val="TableTitle"/>
      </w:pPr>
      <w:bookmarkStart w:id="56" w:name="_Ref56005639"/>
      <w:r w:rsidRPr="00DC1BB2">
        <w:lastRenderedPageBreak/>
        <w:t xml:space="preserve">Table </w:t>
      </w:r>
      <w:r w:rsidR="004C10EE">
        <w:fldChar w:fldCharType="begin"/>
      </w:r>
      <w:r w:rsidR="004C10EE">
        <w:instrText xml:space="preserve"> SEQ Table \* ARABIC </w:instrText>
      </w:r>
      <w:r w:rsidR="004C10EE">
        <w:fldChar w:fldCharType="separate"/>
      </w:r>
      <w:r w:rsidR="00384939">
        <w:rPr>
          <w:noProof/>
        </w:rPr>
        <w:t>11</w:t>
      </w:r>
      <w:r w:rsidR="004C10EE">
        <w:rPr>
          <w:noProof/>
        </w:rPr>
        <w:fldChar w:fldCharType="end"/>
      </w:r>
      <w:bookmarkEnd w:id="56"/>
      <w:r>
        <w:t xml:space="preserve">: </w:t>
      </w:r>
      <w:r w:rsidRPr="00006DE9">
        <w:t>Summary of safety concerns and their associated risk monitoring and mitigation strategies</w:t>
      </w:r>
    </w:p>
    <w:tbl>
      <w:tblPr>
        <w:tblStyle w:val="TableTGAblue"/>
        <w:tblW w:w="5189" w:type="pct"/>
        <w:tblLayout w:type="fixed"/>
        <w:tblLook w:val="04A0" w:firstRow="1" w:lastRow="0" w:firstColumn="1" w:lastColumn="0" w:noHBand="0" w:noVBand="1"/>
      </w:tblPr>
      <w:tblGrid>
        <w:gridCol w:w="1485"/>
        <w:gridCol w:w="2920"/>
        <w:gridCol w:w="989"/>
        <w:gridCol w:w="1171"/>
        <w:gridCol w:w="1079"/>
        <w:gridCol w:w="1171"/>
      </w:tblGrid>
      <w:tr w:rsidR="00D06CA8" w:rsidRPr="00206F08" w14:paraId="3049A07E" w14:textId="77777777" w:rsidTr="00C51FA4">
        <w:trPr>
          <w:cnfStyle w:val="100000000000" w:firstRow="1" w:lastRow="0" w:firstColumn="0" w:lastColumn="0" w:oddVBand="0" w:evenVBand="0" w:oddHBand="0" w:evenHBand="0" w:firstRowFirstColumn="0" w:firstRowLastColumn="0" w:lastRowFirstColumn="0" w:lastRowLastColumn="0"/>
          <w:trHeight w:val="131"/>
        </w:trPr>
        <w:tc>
          <w:tcPr>
            <w:tcW w:w="2499" w:type="pct"/>
            <w:gridSpan w:val="2"/>
            <w:vMerge w:val="restart"/>
            <w:tcBorders>
              <w:top w:val="single" w:sz="4" w:space="0" w:color="auto"/>
              <w:left w:val="single" w:sz="4" w:space="0" w:color="auto"/>
              <w:bottom w:val="single" w:sz="4" w:space="0" w:color="auto"/>
              <w:right w:val="single" w:sz="4" w:space="0" w:color="auto"/>
            </w:tcBorders>
          </w:tcPr>
          <w:p w14:paraId="1E5A8C80" w14:textId="77777777" w:rsidR="00D06CA8" w:rsidRPr="00206F08" w:rsidRDefault="00D06CA8" w:rsidP="00D06CA8">
            <w:pPr>
              <w:rPr>
                <w:sz w:val="19"/>
                <w:szCs w:val="19"/>
              </w:rPr>
            </w:pPr>
            <w:r w:rsidRPr="00206F08">
              <w:rPr>
                <w:sz w:val="19"/>
                <w:szCs w:val="19"/>
              </w:rPr>
              <w:t>Summary of safety concerns</w:t>
            </w:r>
          </w:p>
        </w:tc>
        <w:tc>
          <w:tcPr>
            <w:tcW w:w="1225" w:type="pct"/>
            <w:gridSpan w:val="2"/>
            <w:tcBorders>
              <w:top w:val="single" w:sz="4" w:space="0" w:color="auto"/>
              <w:left w:val="single" w:sz="4" w:space="0" w:color="auto"/>
              <w:bottom w:val="single" w:sz="4" w:space="0" w:color="auto"/>
              <w:right w:val="single" w:sz="4" w:space="0" w:color="auto"/>
            </w:tcBorders>
          </w:tcPr>
          <w:p w14:paraId="12CCDEA6" w14:textId="77777777" w:rsidR="00D06CA8" w:rsidRPr="00206F08" w:rsidRDefault="00D06CA8" w:rsidP="00C51FA4">
            <w:pPr>
              <w:ind w:left="0" w:right="0"/>
              <w:rPr>
                <w:sz w:val="19"/>
                <w:szCs w:val="19"/>
              </w:rPr>
            </w:pPr>
            <w:r w:rsidRPr="00206F08">
              <w:rPr>
                <w:sz w:val="19"/>
                <w:szCs w:val="19"/>
              </w:rPr>
              <w:t>Pharmacovigilance</w:t>
            </w:r>
          </w:p>
        </w:tc>
        <w:tc>
          <w:tcPr>
            <w:tcW w:w="1276" w:type="pct"/>
            <w:gridSpan w:val="2"/>
            <w:tcBorders>
              <w:top w:val="single" w:sz="4" w:space="0" w:color="auto"/>
              <w:left w:val="single" w:sz="4" w:space="0" w:color="auto"/>
              <w:bottom w:val="single" w:sz="4" w:space="0" w:color="auto"/>
              <w:right w:val="single" w:sz="4" w:space="0" w:color="auto"/>
            </w:tcBorders>
          </w:tcPr>
          <w:p w14:paraId="5886391B" w14:textId="77777777" w:rsidR="00D06CA8" w:rsidRPr="00206F08" w:rsidRDefault="00D06CA8" w:rsidP="00C51FA4">
            <w:pPr>
              <w:ind w:left="0" w:right="0"/>
              <w:rPr>
                <w:sz w:val="19"/>
                <w:szCs w:val="19"/>
              </w:rPr>
            </w:pPr>
            <w:r w:rsidRPr="00206F08">
              <w:rPr>
                <w:sz w:val="19"/>
                <w:szCs w:val="19"/>
              </w:rPr>
              <w:t>Risk Minimisation</w:t>
            </w:r>
          </w:p>
        </w:tc>
      </w:tr>
      <w:tr w:rsidR="00D06CA8" w:rsidRPr="00206F08" w14:paraId="513A8E81" w14:textId="77777777" w:rsidTr="00C51FA4">
        <w:trPr>
          <w:trHeight w:val="150"/>
        </w:trPr>
        <w:tc>
          <w:tcPr>
            <w:tcW w:w="2499" w:type="pct"/>
            <w:gridSpan w:val="2"/>
            <w:vMerge/>
            <w:tcBorders>
              <w:top w:val="single" w:sz="4" w:space="0" w:color="auto"/>
              <w:left w:val="single" w:sz="4" w:space="0" w:color="auto"/>
              <w:bottom w:val="single" w:sz="4" w:space="0" w:color="auto"/>
              <w:right w:val="single" w:sz="4" w:space="0" w:color="auto"/>
            </w:tcBorders>
            <w:shd w:val="clear" w:color="auto" w:fill="006DA7"/>
          </w:tcPr>
          <w:p w14:paraId="139ED9E4" w14:textId="77777777" w:rsidR="00D06CA8" w:rsidRPr="00206F08" w:rsidRDefault="00D06CA8" w:rsidP="00D06CA8">
            <w:pPr>
              <w:rPr>
                <w:b/>
                <w:sz w:val="19"/>
                <w:szCs w:val="19"/>
              </w:rPr>
            </w:pPr>
          </w:p>
        </w:tc>
        <w:tc>
          <w:tcPr>
            <w:tcW w:w="561" w:type="pct"/>
            <w:tcBorders>
              <w:top w:val="single" w:sz="4" w:space="0" w:color="auto"/>
              <w:left w:val="single" w:sz="4" w:space="0" w:color="auto"/>
              <w:bottom w:val="single" w:sz="4" w:space="0" w:color="auto"/>
              <w:right w:val="single" w:sz="4" w:space="0" w:color="auto"/>
            </w:tcBorders>
            <w:shd w:val="clear" w:color="auto" w:fill="006DA7"/>
          </w:tcPr>
          <w:p w14:paraId="5019CAAE" w14:textId="77777777" w:rsidR="00D06CA8" w:rsidRPr="006A4C8B" w:rsidRDefault="00D06CA8" w:rsidP="00C51FA4">
            <w:pPr>
              <w:ind w:left="0" w:right="0"/>
              <w:rPr>
                <w:b/>
                <w:color w:val="FFFFFF" w:themeColor="background1"/>
                <w:sz w:val="19"/>
                <w:szCs w:val="19"/>
              </w:rPr>
            </w:pPr>
            <w:r w:rsidRPr="006A4C8B">
              <w:rPr>
                <w:b/>
                <w:color w:val="FFFFFF" w:themeColor="background1"/>
                <w:sz w:val="19"/>
                <w:szCs w:val="19"/>
              </w:rPr>
              <w:t>Routine</w:t>
            </w:r>
          </w:p>
        </w:tc>
        <w:tc>
          <w:tcPr>
            <w:tcW w:w="664" w:type="pct"/>
            <w:tcBorders>
              <w:top w:val="single" w:sz="4" w:space="0" w:color="auto"/>
              <w:left w:val="single" w:sz="4" w:space="0" w:color="auto"/>
              <w:bottom w:val="single" w:sz="4" w:space="0" w:color="auto"/>
              <w:right w:val="single" w:sz="4" w:space="0" w:color="auto"/>
            </w:tcBorders>
            <w:shd w:val="clear" w:color="auto" w:fill="006DA7"/>
          </w:tcPr>
          <w:p w14:paraId="088160A9" w14:textId="77777777" w:rsidR="00D06CA8" w:rsidRPr="006A4C8B" w:rsidRDefault="00D06CA8" w:rsidP="00C51FA4">
            <w:pPr>
              <w:ind w:left="0" w:right="0"/>
              <w:rPr>
                <w:b/>
                <w:color w:val="FFFFFF" w:themeColor="background1"/>
                <w:sz w:val="19"/>
                <w:szCs w:val="19"/>
              </w:rPr>
            </w:pPr>
            <w:r w:rsidRPr="006A4C8B">
              <w:rPr>
                <w:b/>
                <w:color w:val="FFFFFF" w:themeColor="background1"/>
                <w:sz w:val="19"/>
                <w:szCs w:val="19"/>
              </w:rPr>
              <w:t>Additional</w:t>
            </w:r>
          </w:p>
        </w:tc>
        <w:tc>
          <w:tcPr>
            <w:tcW w:w="612" w:type="pct"/>
            <w:tcBorders>
              <w:top w:val="single" w:sz="4" w:space="0" w:color="auto"/>
              <w:left w:val="single" w:sz="4" w:space="0" w:color="auto"/>
              <w:bottom w:val="single" w:sz="4" w:space="0" w:color="auto"/>
              <w:right w:val="single" w:sz="4" w:space="0" w:color="auto"/>
            </w:tcBorders>
            <w:shd w:val="clear" w:color="auto" w:fill="006DA7"/>
          </w:tcPr>
          <w:p w14:paraId="6665F900" w14:textId="77777777" w:rsidR="00D06CA8" w:rsidRPr="006A4C8B" w:rsidRDefault="00D06CA8" w:rsidP="00C51FA4">
            <w:pPr>
              <w:ind w:left="0" w:right="0"/>
              <w:rPr>
                <w:b/>
                <w:color w:val="FFFFFF" w:themeColor="background1"/>
                <w:sz w:val="19"/>
                <w:szCs w:val="19"/>
              </w:rPr>
            </w:pPr>
            <w:r w:rsidRPr="006A4C8B">
              <w:rPr>
                <w:b/>
                <w:color w:val="FFFFFF" w:themeColor="background1"/>
                <w:sz w:val="19"/>
                <w:szCs w:val="19"/>
              </w:rPr>
              <w:t>Routine</w:t>
            </w:r>
          </w:p>
        </w:tc>
        <w:tc>
          <w:tcPr>
            <w:tcW w:w="664" w:type="pct"/>
            <w:tcBorders>
              <w:top w:val="single" w:sz="4" w:space="0" w:color="auto"/>
              <w:left w:val="single" w:sz="4" w:space="0" w:color="auto"/>
              <w:bottom w:val="single" w:sz="4" w:space="0" w:color="auto"/>
              <w:right w:val="single" w:sz="4" w:space="0" w:color="auto"/>
            </w:tcBorders>
            <w:shd w:val="clear" w:color="auto" w:fill="006DA7"/>
          </w:tcPr>
          <w:p w14:paraId="710E6B62" w14:textId="77777777" w:rsidR="00D06CA8" w:rsidRPr="006A4C8B" w:rsidRDefault="00D06CA8" w:rsidP="00C51FA4">
            <w:pPr>
              <w:ind w:left="0" w:right="0"/>
              <w:rPr>
                <w:b/>
                <w:color w:val="FFFFFF" w:themeColor="background1"/>
                <w:sz w:val="19"/>
                <w:szCs w:val="19"/>
              </w:rPr>
            </w:pPr>
            <w:r w:rsidRPr="006A4C8B">
              <w:rPr>
                <w:b/>
                <w:color w:val="FFFFFF" w:themeColor="background1"/>
                <w:sz w:val="19"/>
                <w:szCs w:val="19"/>
              </w:rPr>
              <w:t>Additional</w:t>
            </w:r>
          </w:p>
        </w:tc>
      </w:tr>
      <w:tr w:rsidR="00D06CA8" w:rsidRPr="00206F08" w14:paraId="49A862A3" w14:textId="77777777" w:rsidTr="00C51FA4">
        <w:trPr>
          <w:trHeight w:val="137"/>
        </w:trPr>
        <w:tc>
          <w:tcPr>
            <w:tcW w:w="843" w:type="pct"/>
            <w:vMerge w:val="restart"/>
            <w:tcBorders>
              <w:top w:val="single" w:sz="4" w:space="0" w:color="auto"/>
            </w:tcBorders>
          </w:tcPr>
          <w:p w14:paraId="4E79C719" w14:textId="77777777" w:rsidR="00D06CA8" w:rsidRPr="00206F08" w:rsidRDefault="00D06CA8" w:rsidP="00C51FA4">
            <w:pPr>
              <w:ind w:left="0"/>
              <w:rPr>
                <w:b/>
                <w:sz w:val="19"/>
                <w:szCs w:val="19"/>
              </w:rPr>
            </w:pPr>
            <w:r w:rsidRPr="00206F08">
              <w:rPr>
                <w:b/>
                <w:sz w:val="19"/>
                <w:szCs w:val="19"/>
              </w:rPr>
              <w:t>Important identified risks</w:t>
            </w:r>
          </w:p>
        </w:tc>
        <w:tc>
          <w:tcPr>
            <w:tcW w:w="1656" w:type="pct"/>
            <w:tcBorders>
              <w:top w:val="single" w:sz="4" w:space="0" w:color="auto"/>
            </w:tcBorders>
          </w:tcPr>
          <w:p w14:paraId="30D7FAED" w14:textId="77777777" w:rsidR="00D06CA8" w:rsidRPr="00C51FA4" w:rsidRDefault="00D06CA8" w:rsidP="00C51FA4">
            <w:pPr>
              <w:spacing w:before="60" w:after="60"/>
              <w:ind w:left="0" w:right="0"/>
              <w:rPr>
                <w:sz w:val="20"/>
                <w:szCs w:val="19"/>
              </w:rPr>
            </w:pPr>
            <w:r w:rsidRPr="00C51FA4">
              <w:rPr>
                <w:sz w:val="20"/>
                <w:szCs w:val="19"/>
              </w:rPr>
              <w:t>Haemorrhage (including, but not limited to, gastrointestinal haemorrhage, pulmonary haemorrhage and epistaxis)</w:t>
            </w:r>
          </w:p>
        </w:tc>
        <w:tc>
          <w:tcPr>
            <w:tcW w:w="561" w:type="pct"/>
            <w:tcBorders>
              <w:top w:val="single" w:sz="4" w:space="0" w:color="auto"/>
            </w:tcBorders>
          </w:tcPr>
          <w:p w14:paraId="68C21EB3" w14:textId="77777777" w:rsidR="00D06CA8" w:rsidRPr="00206F08" w:rsidRDefault="00D06CA8" w:rsidP="00D06CA8">
            <w:pPr>
              <w:rPr>
                <w:sz w:val="19"/>
                <w:szCs w:val="19"/>
              </w:rPr>
            </w:pPr>
            <w:r w:rsidRPr="00206F08">
              <w:rPr>
                <w:sz w:val="19"/>
                <w:szCs w:val="19"/>
              </w:rPr>
              <w:sym w:font="Wingdings" w:char="F0FC"/>
            </w:r>
            <w:r w:rsidRPr="00206F08">
              <w:rPr>
                <w:sz w:val="19"/>
                <w:szCs w:val="19"/>
                <w:vertAlign w:val="superscript"/>
              </w:rPr>
              <w:t>‡</w:t>
            </w:r>
          </w:p>
        </w:tc>
        <w:tc>
          <w:tcPr>
            <w:tcW w:w="664" w:type="pct"/>
            <w:tcBorders>
              <w:top w:val="single" w:sz="4" w:space="0" w:color="auto"/>
            </w:tcBorders>
          </w:tcPr>
          <w:p w14:paraId="7A20B99A" w14:textId="77777777" w:rsidR="00D06CA8" w:rsidRPr="00206F08" w:rsidRDefault="00D06CA8" w:rsidP="00D06CA8">
            <w:pPr>
              <w:rPr>
                <w:sz w:val="19"/>
                <w:szCs w:val="19"/>
              </w:rPr>
            </w:pPr>
            <w:r w:rsidRPr="00206F08">
              <w:rPr>
                <w:sz w:val="19"/>
                <w:szCs w:val="19"/>
              </w:rPr>
              <w:sym w:font="Wingdings" w:char="F0FC"/>
            </w:r>
            <w:r w:rsidRPr="00206F08">
              <w:rPr>
                <w:sz w:val="19"/>
                <w:szCs w:val="19"/>
                <w:vertAlign w:val="superscript"/>
              </w:rPr>
              <w:t>*†</w:t>
            </w:r>
          </w:p>
        </w:tc>
        <w:tc>
          <w:tcPr>
            <w:tcW w:w="612" w:type="pct"/>
            <w:tcBorders>
              <w:top w:val="single" w:sz="4" w:space="0" w:color="auto"/>
            </w:tcBorders>
          </w:tcPr>
          <w:p w14:paraId="547D3D75" w14:textId="77777777" w:rsidR="00D06CA8" w:rsidRPr="00206F08" w:rsidRDefault="00D06CA8" w:rsidP="00D06CA8">
            <w:pPr>
              <w:rPr>
                <w:sz w:val="19"/>
                <w:szCs w:val="19"/>
              </w:rPr>
            </w:pPr>
            <w:r w:rsidRPr="00206F08">
              <w:rPr>
                <w:sz w:val="19"/>
                <w:szCs w:val="19"/>
              </w:rPr>
              <w:sym w:font="Wingdings" w:char="F0FC"/>
            </w:r>
          </w:p>
        </w:tc>
        <w:tc>
          <w:tcPr>
            <w:tcW w:w="664" w:type="pct"/>
            <w:tcBorders>
              <w:top w:val="single" w:sz="4" w:space="0" w:color="auto"/>
            </w:tcBorders>
          </w:tcPr>
          <w:p w14:paraId="63AB9CB9" w14:textId="77777777" w:rsidR="00D06CA8" w:rsidRPr="00206F08" w:rsidRDefault="00D06CA8" w:rsidP="00D06CA8">
            <w:pPr>
              <w:rPr>
                <w:sz w:val="19"/>
                <w:szCs w:val="19"/>
              </w:rPr>
            </w:pPr>
            <w:r w:rsidRPr="00206F08">
              <w:rPr>
                <w:sz w:val="19"/>
                <w:szCs w:val="19"/>
              </w:rPr>
              <w:t>–</w:t>
            </w:r>
          </w:p>
        </w:tc>
      </w:tr>
      <w:tr w:rsidR="00D06CA8" w:rsidRPr="00206F08" w14:paraId="0847E7DE" w14:textId="77777777" w:rsidTr="00C51FA4">
        <w:trPr>
          <w:trHeight w:val="94"/>
        </w:trPr>
        <w:tc>
          <w:tcPr>
            <w:tcW w:w="843" w:type="pct"/>
            <w:vMerge/>
          </w:tcPr>
          <w:p w14:paraId="5BDCE39A" w14:textId="77777777" w:rsidR="00D06CA8" w:rsidRPr="00206F08" w:rsidRDefault="00D06CA8" w:rsidP="00D06CA8">
            <w:pPr>
              <w:rPr>
                <w:b/>
                <w:sz w:val="19"/>
                <w:szCs w:val="19"/>
              </w:rPr>
            </w:pPr>
          </w:p>
        </w:tc>
        <w:tc>
          <w:tcPr>
            <w:tcW w:w="1656" w:type="pct"/>
          </w:tcPr>
          <w:p w14:paraId="4414635C" w14:textId="77777777" w:rsidR="00D06CA8" w:rsidRPr="00C51FA4" w:rsidRDefault="00D06CA8" w:rsidP="00C51FA4">
            <w:pPr>
              <w:spacing w:before="60" w:after="60"/>
              <w:ind w:left="0" w:right="0"/>
              <w:rPr>
                <w:sz w:val="20"/>
                <w:szCs w:val="19"/>
              </w:rPr>
            </w:pPr>
            <w:r w:rsidRPr="00C51FA4">
              <w:rPr>
                <w:sz w:val="20"/>
                <w:szCs w:val="19"/>
              </w:rPr>
              <w:t>Hypotension</w:t>
            </w:r>
          </w:p>
        </w:tc>
        <w:tc>
          <w:tcPr>
            <w:tcW w:w="561" w:type="pct"/>
          </w:tcPr>
          <w:p w14:paraId="5D34A726" w14:textId="77777777" w:rsidR="00D06CA8" w:rsidRPr="00206F08" w:rsidRDefault="00D06CA8" w:rsidP="00D06CA8">
            <w:pPr>
              <w:rPr>
                <w:sz w:val="19"/>
                <w:szCs w:val="19"/>
              </w:rPr>
            </w:pPr>
            <w:r w:rsidRPr="00206F08">
              <w:rPr>
                <w:sz w:val="19"/>
                <w:szCs w:val="19"/>
              </w:rPr>
              <w:sym w:font="Wingdings" w:char="F0FC"/>
            </w:r>
          </w:p>
        </w:tc>
        <w:tc>
          <w:tcPr>
            <w:tcW w:w="664" w:type="pct"/>
          </w:tcPr>
          <w:p w14:paraId="47FD37C4" w14:textId="77777777" w:rsidR="00D06CA8" w:rsidRPr="00206F08" w:rsidRDefault="00D06CA8" w:rsidP="00D06CA8">
            <w:pPr>
              <w:rPr>
                <w:sz w:val="19"/>
                <w:szCs w:val="19"/>
              </w:rPr>
            </w:pPr>
            <w:r w:rsidRPr="00206F08">
              <w:rPr>
                <w:sz w:val="19"/>
                <w:szCs w:val="19"/>
              </w:rPr>
              <w:sym w:font="Wingdings" w:char="F0FC"/>
            </w:r>
            <w:r w:rsidRPr="00206F08">
              <w:rPr>
                <w:sz w:val="19"/>
                <w:szCs w:val="19"/>
                <w:vertAlign w:val="superscript"/>
              </w:rPr>
              <w:t>*†</w:t>
            </w:r>
          </w:p>
        </w:tc>
        <w:tc>
          <w:tcPr>
            <w:tcW w:w="612" w:type="pct"/>
          </w:tcPr>
          <w:p w14:paraId="585147AC" w14:textId="77777777" w:rsidR="00D06CA8" w:rsidRPr="00206F08" w:rsidRDefault="00D06CA8" w:rsidP="00D06CA8">
            <w:pPr>
              <w:rPr>
                <w:sz w:val="19"/>
                <w:szCs w:val="19"/>
              </w:rPr>
            </w:pPr>
            <w:r w:rsidRPr="00206F08">
              <w:rPr>
                <w:sz w:val="19"/>
                <w:szCs w:val="19"/>
              </w:rPr>
              <w:sym w:font="Wingdings" w:char="F0FC"/>
            </w:r>
          </w:p>
        </w:tc>
        <w:tc>
          <w:tcPr>
            <w:tcW w:w="664" w:type="pct"/>
          </w:tcPr>
          <w:p w14:paraId="413779C9" w14:textId="77777777" w:rsidR="00D06CA8" w:rsidRPr="00206F08" w:rsidRDefault="00D06CA8" w:rsidP="00D06CA8">
            <w:pPr>
              <w:rPr>
                <w:sz w:val="19"/>
                <w:szCs w:val="19"/>
              </w:rPr>
            </w:pPr>
            <w:r w:rsidRPr="00206F08">
              <w:rPr>
                <w:sz w:val="19"/>
                <w:szCs w:val="19"/>
              </w:rPr>
              <w:t>–</w:t>
            </w:r>
          </w:p>
        </w:tc>
      </w:tr>
      <w:tr w:rsidR="00D06CA8" w:rsidRPr="00206F08" w14:paraId="6F578A9A" w14:textId="77777777" w:rsidTr="00C51FA4">
        <w:trPr>
          <w:trHeight w:val="94"/>
        </w:trPr>
        <w:tc>
          <w:tcPr>
            <w:tcW w:w="843" w:type="pct"/>
            <w:vMerge/>
          </w:tcPr>
          <w:p w14:paraId="4996ECF1" w14:textId="77777777" w:rsidR="00D06CA8" w:rsidRPr="00206F08" w:rsidRDefault="00D06CA8" w:rsidP="00D06CA8">
            <w:pPr>
              <w:rPr>
                <w:b/>
                <w:sz w:val="19"/>
                <w:szCs w:val="19"/>
              </w:rPr>
            </w:pPr>
          </w:p>
        </w:tc>
        <w:tc>
          <w:tcPr>
            <w:tcW w:w="1656" w:type="pct"/>
          </w:tcPr>
          <w:p w14:paraId="3E0CA35B" w14:textId="77777777" w:rsidR="00D06CA8" w:rsidRPr="00C51FA4" w:rsidRDefault="00D06CA8" w:rsidP="00C51FA4">
            <w:pPr>
              <w:spacing w:before="60" w:after="60"/>
              <w:ind w:left="0" w:right="0"/>
              <w:rPr>
                <w:sz w:val="20"/>
                <w:szCs w:val="19"/>
              </w:rPr>
            </w:pPr>
            <w:r w:rsidRPr="00C51FA4">
              <w:rPr>
                <w:sz w:val="20"/>
                <w:szCs w:val="19"/>
              </w:rPr>
              <w:t>Coagulopathy</w:t>
            </w:r>
          </w:p>
        </w:tc>
        <w:tc>
          <w:tcPr>
            <w:tcW w:w="561" w:type="pct"/>
          </w:tcPr>
          <w:p w14:paraId="05E3B0AE" w14:textId="77777777" w:rsidR="00D06CA8" w:rsidRPr="00206F08" w:rsidRDefault="00D06CA8" w:rsidP="00D06CA8">
            <w:pPr>
              <w:rPr>
                <w:sz w:val="19"/>
                <w:szCs w:val="19"/>
              </w:rPr>
            </w:pPr>
            <w:r w:rsidRPr="00206F08">
              <w:rPr>
                <w:sz w:val="19"/>
                <w:szCs w:val="19"/>
              </w:rPr>
              <w:sym w:font="Wingdings" w:char="F0FC"/>
            </w:r>
          </w:p>
        </w:tc>
        <w:tc>
          <w:tcPr>
            <w:tcW w:w="664" w:type="pct"/>
          </w:tcPr>
          <w:p w14:paraId="0AFDB5CB" w14:textId="77777777" w:rsidR="00D06CA8" w:rsidRPr="00206F08" w:rsidRDefault="00D06CA8" w:rsidP="00D06CA8">
            <w:pPr>
              <w:rPr>
                <w:sz w:val="19"/>
                <w:szCs w:val="19"/>
              </w:rPr>
            </w:pPr>
            <w:r w:rsidRPr="00206F08">
              <w:rPr>
                <w:sz w:val="19"/>
                <w:szCs w:val="19"/>
              </w:rPr>
              <w:sym w:font="Wingdings" w:char="F0FC"/>
            </w:r>
            <w:r w:rsidRPr="00206F08">
              <w:rPr>
                <w:sz w:val="19"/>
                <w:szCs w:val="19"/>
                <w:vertAlign w:val="superscript"/>
              </w:rPr>
              <w:t>*†</w:t>
            </w:r>
          </w:p>
        </w:tc>
        <w:tc>
          <w:tcPr>
            <w:tcW w:w="612" w:type="pct"/>
          </w:tcPr>
          <w:p w14:paraId="4233D129" w14:textId="77777777" w:rsidR="00D06CA8" w:rsidRPr="00206F08" w:rsidRDefault="00D06CA8" w:rsidP="00D06CA8">
            <w:pPr>
              <w:rPr>
                <w:sz w:val="19"/>
                <w:szCs w:val="19"/>
              </w:rPr>
            </w:pPr>
            <w:r w:rsidRPr="00206F08">
              <w:rPr>
                <w:sz w:val="19"/>
                <w:szCs w:val="19"/>
              </w:rPr>
              <w:sym w:font="Wingdings" w:char="F0FC"/>
            </w:r>
          </w:p>
        </w:tc>
        <w:tc>
          <w:tcPr>
            <w:tcW w:w="664" w:type="pct"/>
          </w:tcPr>
          <w:p w14:paraId="58EBF65F" w14:textId="77777777" w:rsidR="00D06CA8" w:rsidRPr="00206F08" w:rsidRDefault="00D06CA8" w:rsidP="00D06CA8">
            <w:pPr>
              <w:rPr>
                <w:sz w:val="19"/>
                <w:szCs w:val="19"/>
              </w:rPr>
            </w:pPr>
          </w:p>
        </w:tc>
      </w:tr>
      <w:tr w:rsidR="00D06CA8" w:rsidRPr="00206F08" w14:paraId="6D9A5FDB" w14:textId="77777777" w:rsidTr="00C51FA4">
        <w:trPr>
          <w:trHeight w:val="187"/>
        </w:trPr>
        <w:tc>
          <w:tcPr>
            <w:tcW w:w="843" w:type="pct"/>
            <w:vMerge/>
          </w:tcPr>
          <w:p w14:paraId="0C6D2BF6" w14:textId="77777777" w:rsidR="00D06CA8" w:rsidRPr="00206F08" w:rsidRDefault="00D06CA8" w:rsidP="00D06CA8">
            <w:pPr>
              <w:rPr>
                <w:b/>
                <w:sz w:val="19"/>
                <w:szCs w:val="19"/>
              </w:rPr>
            </w:pPr>
          </w:p>
        </w:tc>
        <w:tc>
          <w:tcPr>
            <w:tcW w:w="1656" w:type="pct"/>
          </w:tcPr>
          <w:p w14:paraId="533C3324" w14:textId="77777777" w:rsidR="00D06CA8" w:rsidRPr="00C51FA4" w:rsidRDefault="00D06CA8" w:rsidP="00C51FA4">
            <w:pPr>
              <w:spacing w:before="60" w:after="60"/>
              <w:ind w:left="0" w:right="0"/>
              <w:rPr>
                <w:sz w:val="20"/>
                <w:szCs w:val="19"/>
              </w:rPr>
            </w:pPr>
            <w:r w:rsidRPr="00C51FA4">
              <w:rPr>
                <w:sz w:val="20"/>
                <w:szCs w:val="19"/>
              </w:rPr>
              <w:t>Immunogenicity (Allergic/Hypersensitivity reactions)</w:t>
            </w:r>
          </w:p>
        </w:tc>
        <w:tc>
          <w:tcPr>
            <w:tcW w:w="561" w:type="pct"/>
          </w:tcPr>
          <w:p w14:paraId="4782BD73" w14:textId="77777777" w:rsidR="00D06CA8" w:rsidRPr="00206F08" w:rsidRDefault="00D06CA8" w:rsidP="00D06CA8">
            <w:pPr>
              <w:rPr>
                <w:sz w:val="19"/>
                <w:szCs w:val="19"/>
              </w:rPr>
            </w:pPr>
            <w:r w:rsidRPr="00206F08">
              <w:rPr>
                <w:sz w:val="19"/>
                <w:szCs w:val="19"/>
              </w:rPr>
              <w:sym w:font="Wingdings" w:char="F0FC"/>
            </w:r>
          </w:p>
        </w:tc>
        <w:tc>
          <w:tcPr>
            <w:tcW w:w="664" w:type="pct"/>
          </w:tcPr>
          <w:p w14:paraId="7DAAC8A7" w14:textId="77777777" w:rsidR="00D06CA8" w:rsidRPr="00206F08" w:rsidRDefault="00D06CA8" w:rsidP="00D06CA8">
            <w:pPr>
              <w:rPr>
                <w:sz w:val="19"/>
                <w:szCs w:val="19"/>
              </w:rPr>
            </w:pPr>
            <w:r w:rsidRPr="00206F08">
              <w:rPr>
                <w:sz w:val="19"/>
                <w:szCs w:val="19"/>
              </w:rPr>
              <w:sym w:font="Wingdings" w:char="F0FC"/>
            </w:r>
            <w:r w:rsidRPr="00206F08">
              <w:rPr>
                <w:sz w:val="19"/>
                <w:szCs w:val="19"/>
                <w:vertAlign w:val="superscript"/>
              </w:rPr>
              <w:t>*†</w:t>
            </w:r>
          </w:p>
        </w:tc>
        <w:tc>
          <w:tcPr>
            <w:tcW w:w="612" w:type="pct"/>
          </w:tcPr>
          <w:p w14:paraId="1BE0B3BE" w14:textId="77777777" w:rsidR="00D06CA8" w:rsidRPr="00206F08" w:rsidRDefault="00D06CA8" w:rsidP="00D06CA8">
            <w:pPr>
              <w:rPr>
                <w:sz w:val="19"/>
                <w:szCs w:val="19"/>
              </w:rPr>
            </w:pPr>
            <w:r w:rsidRPr="00206F08">
              <w:rPr>
                <w:sz w:val="19"/>
                <w:szCs w:val="19"/>
              </w:rPr>
              <w:sym w:font="Wingdings" w:char="F0FC"/>
            </w:r>
          </w:p>
        </w:tc>
        <w:tc>
          <w:tcPr>
            <w:tcW w:w="664" w:type="pct"/>
          </w:tcPr>
          <w:p w14:paraId="165C4A48" w14:textId="77777777" w:rsidR="00D06CA8" w:rsidRPr="00206F08" w:rsidRDefault="00D06CA8" w:rsidP="00D06CA8">
            <w:pPr>
              <w:rPr>
                <w:sz w:val="19"/>
                <w:szCs w:val="19"/>
              </w:rPr>
            </w:pPr>
            <w:r w:rsidRPr="00206F08">
              <w:rPr>
                <w:sz w:val="19"/>
                <w:szCs w:val="19"/>
              </w:rPr>
              <w:t>–</w:t>
            </w:r>
          </w:p>
        </w:tc>
      </w:tr>
      <w:tr w:rsidR="00D06CA8" w:rsidRPr="00206F08" w14:paraId="67B24D5E" w14:textId="77777777" w:rsidTr="00C51FA4">
        <w:trPr>
          <w:trHeight w:val="159"/>
        </w:trPr>
        <w:tc>
          <w:tcPr>
            <w:tcW w:w="843" w:type="pct"/>
            <w:vMerge w:val="restart"/>
          </w:tcPr>
          <w:p w14:paraId="565C3B22" w14:textId="77777777" w:rsidR="00D06CA8" w:rsidRPr="00206F08" w:rsidRDefault="00D06CA8" w:rsidP="00C51FA4">
            <w:pPr>
              <w:ind w:left="0"/>
              <w:rPr>
                <w:b/>
                <w:sz w:val="19"/>
                <w:szCs w:val="19"/>
              </w:rPr>
            </w:pPr>
            <w:r w:rsidRPr="00206F08">
              <w:rPr>
                <w:b/>
                <w:sz w:val="19"/>
                <w:szCs w:val="19"/>
              </w:rPr>
              <w:t>Important potential risks</w:t>
            </w:r>
          </w:p>
        </w:tc>
        <w:tc>
          <w:tcPr>
            <w:tcW w:w="1656" w:type="pct"/>
          </w:tcPr>
          <w:p w14:paraId="2B557AD1" w14:textId="77777777" w:rsidR="00D06CA8" w:rsidRPr="00C51FA4" w:rsidRDefault="00D06CA8" w:rsidP="00C51FA4">
            <w:pPr>
              <w:spacing w:before="60" w:after="60"/>
              <w:ind w:left="0" w:right="0"/>
              <w:rPr>
                <w:sz w:val="20"/>
                <w:szCs w:val="19"/>
              </w:rPr>
            </w:pPr>
            <w:r w:rsidRPr="00C51FA4">
              <w:rPr>
                <w:sz w:val="20"/>
                <w:szCs w:val="19"/>
              </w:rPr>
              <w:t>Injection site reactions/infections, septicaemia</w:t>
            </w:r>
          </w:p>
        </w:tc>
        <w:tc>
          <w:tcPr>
            <w:tcW w:w="561" w:type="pct"/>
          </w:tcPr>
          <w:p w14:paraId="09557A3F" w14:textId="77777777" w:rsidR="00D06CA8" w:rsidRPr="00206F08" w:rsidRDefault="00D06CA8" w:rsidP="00D06CA8">
            <w:pPr>
              <w:rPr>
                <w:sz w:val="19"/>
                <w:szCs w:val="19"/>
              </w:rPr>
            </w:pPr>
            <w:r w:rsidRPr="00206F08">
              <w:rPr>
                <w:sz w:val="19"/>
                <w:szCs w:val="19"/>
              </w:rPr>
              <w:sym w:font="Wingdings" w:char="F0FC"/>
            </w:r>
          </w:p>
        </w:tc>
        <w:tc>
          <w:tcPr>
            <w:tcW w:w="664" w:type="pct"/>
          </w:tcPr>
          <w:p w14:paraId="2F3F7FF4" w14:textId="77777777" w:rsidR="00D06CA8" w:rsidRPr="00206F08" w:rsidRDefault="00D06CA8" w:rsidP="00D06CA8">
            <w:pPr>
              <w:rPr>
                <w:sz w:val="19"/>
                <w:szCs w:val="19"/>
              </w:rPr>
            </w:pPr>
            <w:r w:rsidRPr="00206F08">
              <w:rPr>
                <w:sz w:val="19"/>
                <w:szCs w:val="19"/>
              </w:rPr>
              <w:sym w:font="Wingdings" w:char="F0FC"/>
            </w:r>
            <w:r w:rsidRPr="00206F08">
              <w:rPr>
                <w:sz w:val="19"/>
                <w:szCs w:val="19"/>
                <w:vertAlign w:val="superscript"/>
              </w:rPr>
              <w:t>*†</w:t>
            </w:r>
          </w:p>
        </w:tc>
        <w:tc>
          <w:tcPr>
            <w:tcW w:w="612" w:type="pct"/>
          </w:tcPr>
          <w:p w14:paraId="321C8EE8" w14:textId="77777777" w:rsidR="00D06CA8" w:rsidRPr="00206F08" w:rsidRDefault="00D06CA8" w:rsidP="00D06CA8">
            <w:pPr>
              <w:rPr>
                <w:sz w:val="19"/>
                <w:szCs w:val="19"/>
              </w:rPr>
            </w:pPr>
            <w:r w:rsidRPr="00206F08">
              <w:rPr>
                <w:sz w:val="19"/>
                <w:szCs w:val="19"/>
              </w:rPr>
              <w:t>–</w:t>
            </w:r>
          </w:p>
        </w:tc>
        <w:tc>
          <w:tcPr>
            <w:tcW w:w="664" w:type="pct"/>
          </w:tcPr>
          <w:p w14:paraId="0CA316E7" w14:textId="77777777" w:rsidR="00D06CA8" w:rsidRPr="00206F08" w:rsidRDefault="00D06CA8" w:rsidP="00D06CA8">
            <w:pPr>
              <w:rPr>
                <w:sz w:val="19"/>
                <w:szCs w:val="19"/>
              </w:rPr>
            </w:pPr>
            <w:r w:rsidRPr="00206F08">
              <w:rPr>
                <w:sz w:val="19"/>
                <w:szCs w:val="19"/>
              </w:rPr>
              <w:t>–</w:t>
            </w:r>
          </w:p>
        </w:tc>
      </w:tr>
      <w:tr w:rsidR="00D06CA8" w:rsidRPr="00206F08" w14:paraId="487F38BB" w14:textId="77777777" w:rsidTr="00C51FA4">
        <w:trPr>
          <w:trHeight w:val="122"/>
        </w:trPr>
        <w:tc>
          <w:tcPr>
            <w:tcW w:w="843" w:type="pct"/>
            <w:vMerge/>
          </w:tcPr>
          <w:p w14:paraId="3E4F0ADB" w14:textId="77777777" w:rsidR="00D06CA8" w:rsidRPr="00206F08" w:rsidRDefault="00D06CA8" w:rsidP="00D06CA8">
            <w:pPr>
              <w:rPr>
                <w:b/>
                <w:sz w:val="19"/>
                <w:szCs w:val="19"/>
              </w:rPr>
            </w:pPr>
          </w:p>
        </w:tc>
        <w:tc>
          <w:tcPr>
            <w:tcW w:w="1656" w:type="pct"/>
          </w:tcPr>
          <w:p w14:paraId="79604920" w14:textId="77777777" w:rsidR="00D06CA8" w:rsidRPr="00C51FA4" w:rsidRDefault="00D06CA8" w:rsidP="00C51FA4">
            <w:pPr>
              <w:spacing w:before="60" w:after="60"/>
              <w:ind w:left="0" w:right="0"/>
              <w:rPr>
                <w:sz w:val="20"/>
                <w:szCs w:val="19"/>
              </w:rPr>
            </w:pPr>
            <w:r w:rsidRPr="00C51FA4">
              <w:rPr>
                <w:sz w:val="20"/>
                <w:szCs w:val="19"/>
              </w:rPr>
              <w:t>Thromboembolic events</w:t>
            </w:r>
          </w:p>
        </w:tc>
        <w:tc>
          <w:tcPr>
            <w:tcW w:w="561" w:type="pct"/>
          </w:tcPr>
          <w:p w14:paraId="7DE23B18" w14:textId="77777777" w:rsidR="00D06CA8" w:rsidRPr="00206F08" w:rsidRDefault="00D06CA8" w:rsidP="00D06CA8">
            <w:pPr>
              <w:rPr>
                <w:sz w:val="19"/>
                <w:szCs w:val="19"/>
              </w:rPr>
            </w:pPr>
            <w:r w:rsidRPr="00206F08">
              <w:rPr>
                <w:sz w:val="19"/>
                <w:szCs w:val="19"/>
              </w:rPr>
              <w:sym w:font="Wingdings" w:char="F0FC"/>
            </w:r>
          </w:p>
        </w:tc>
        <w:tc>
          <w:tcPr>
            <w:tcW w:w="664" w:type="pct"/>
          </w:tcPr>
          <w:p w14:paraId="6B020C44" w14:textId="77777777" w:rsidR="00D06CA8" w:rsidRPr="00206F08" w:rsidRDefault="00D06CA8" w:rsidP="00D06CA8">
            <w:pPr>
              <w:rPr>
                <w:sz w:val="19"/>
                <w:szCs w:val="19"/>
              </w:rPr>
            </w:pPr>
            <w:r w:rsidRPr="00206F08">
              <w:rPr>
                <w:sz w:val="19"/>
                <w:szCs w:val="19"/>
              </w:rPr>
              <w:sym w:font="Wingdings" w:char="F0FC"/>
            </w:r>
            <w:r w:rsidRPr="00206F08">
              <w:rPr>
                <w:sz w:val="19"/>
                <w:szCs w:val="19"/>
                <w:vertAlign w:val="superscript"/>
              </w:rPr>
              <w:t>*†</w:t>
            </w:r>
          </w:p>
        </w:tc>
        <w:tc>
          <w:tcPr>
            <w:tcW w:w="612" w:type="pct"/>
          </w:tcPr>
          <w:p w14:paraId="489D72FB" w14:textId="77777777" w:rsidR="00D06CA8" w:rsidRPr="00206F08" w:rsidRDefault="00D06CA8" w:rsidP="00D06CA8">
            <w:pPr>
              <w:rPr>
                <w:sz w:val="19"/>
                <w:szCs w:val="19"/>
              </w:rPr>
            </w:pPr>
            <w:r w:rsidRPr="00206F08">
              <w:rPr>
                <w:sz w:val="19"/>
                <w:szCs w:val="19"/>
              </w:rPr>
              <w:t>–</w:t>
            </w:r>
          </w:p>
        </w:tc>
        <w:tc>
          <w:tcPr>
            <w:tcW w:w="664" w:type="pct"/>
          </w:tcPr>
          <w:p w14:paraId="5B50DEC6" w14:textId="77777777" w:rsidR="00D06CA8" w:rsidRPr="00206F08" w:rsidRDefault="00D06CA8" w:rsidP="00D06CA8">
            <w:pPr>
              <w:rPr>
                <w:sz w:val="19"/>
                <w:szCs w:val="19"/>
              </w:rPr>
            </w:pPr>
            <w:r w:rsidRPr="00206F08">
              <w:rPr>
                <w:sz w:val="19"/>
                <w:szCs w:val="19"/>
              </w:rPr>
              <w:t>–</w:t>
            </w:r>
          </w:p>
        </w:tc>
      </w:tr>
      <w:tr w:rsidR="00D06CA8" w:rsidRPr="00206F08" w14:paraId="33F86B44" w14:textId="77777777" w:rsidTr="00C51FA4">
        <w:trPr>
          <w:trHeight w:val="122"/>
        </w:trPr>
        <w:tc>
          <w:tcPr>
            <w:tcW w:w="843" w:type="pct"/>
            <w:vMerge/>
          </w:tcPr>
          <w:p w14:paraId="53B03FDD" w14:textId="77777777" w:rsidR="00D06CA8" w:rsidRPr="00206F08" w:rsidRDefault="00D06CA8" w:rsidP="00D06CA8">
            <w:pPr>
              <w:rPr>
                <w:b/>
                <w:sz w:val="19"/>
                <w:szCs w:val="19"/>
              </w:rPr>
            </w:pPr>
          </w:p>
        </w:tc>
        <w:tc>
          <w:tcPr>
            <w:tcW w:w="1656" w:type="pct"/>
          </w:tcPr>
          <w:p w14:paraId="2B8EEAA3" w14:textId="77777777" w:rsidR="00D06CA8" w:rsidRPr="00C51FA4" w:rsidRDefault="00D06CA8" w:rsidP="00C51FA4">
            <w:pPr>
              <w:spacing w:before="60" w:after="60"/>
              <w:ind w:left="0" w:right="0"/>
              <w:rPr>
                <w:sz w:val="20"/>
                <w:szCs w:val="19"/>
              </w:rPr>
            </w:pPr>
            <w:r w:rsidRPr="00C51FA4">
              <w:rPr>
                <w:sz w:val="20"/>
                <w:szCs w:val="19"/>
              </w:rPr>
              <w:t>Immunogenicity (Generation of Anti-Nuclear Antibodies)</w:t>
            </w:r>
          </w:p>
        </w:tc>
        <w:tc>
          <w:tcPr>
            <w:tcW w:w="561" w:type="pct"/>
          </w:tcPr>
          <w:p w14:paraId="24CC3187" w14:textId="77777777" w:rsidR="00D06CA8" w:rsidRPr="00206F08" w:rsidRDefault="00D06CA8" w:rsidP="00D06CA8">
            <w:pPr>
              <w:rPr>
                <w:sz w:val="19"/>
                <w:szCs w:val="19"/>
              </w:rPr>
            </w:pPr>
            <w:r w:rsidRPr="00206F08">
              <w:rPr>
                <w:sz w:val="19"/>
                <w:szCs w:val="19"/>
              </w:rPr>
              <w:sym w:font="Wingdings" w:char="F0FC"/>
            </w:r>
          </w:p>
        </w:tc>
        <w:tc>
          <w:tcPr>
            <w:tcW w:w="664" w:type="pct"/>
          </w:tcPr>
          <w:p w14:paraId="4894D85E" w14:textId="77777777" w:rsidR="00D06CA8" w:rsidRPr="00206F08" w:rsidRDefault="00D06CA8" w:rsidP="00D06CA8">
            <w:pPr>
              <w:rPr>
                <w:sz w:val="19"/>
                <w:szCs w:val="19"/>
              </w:rPr>
            </w:pPr>
            <w:r w:rsidRPr="00206F08">
              <w:rPr>
                <w:sz w:val="19"/>
                <w:szCs w:val="19"/>
              </w:rPr>
              <w:sym w:font="Wingdings" w:char="F0FC"/>
            </w:r>
            <w:r w:rsidRPr="00206F08">
              <w:rPr>
                <w:sz w:val="19"/>
                <w:szCs w:val="19"/>
                <w:vertAlign w:val="superscript"/>
              </w:rPr>
              <w:t>*†</w:t>
            </w:r>
          </w:p>
        </w:tc>
        <w:tc>
          <w:tcPr>
            <w:tcW w:w="612" w:type="pct"/>
          </w:tcPr>
          <w:p w14:paraId="113D5D33" w14:textId="77777777" w:rsidR="00D06CA8" w:rsidRPr="00206F08" w:rsidRDefault="00D06CA8" w:rsidP="00D06CA8">
            <w:pPr>
              <w:rPr>
                <w:sz w:val="19"/>
                <w:szCs w:val="19"/>
              </w:rPr>
            </w:pPr>
            <w:r w:rsidRPr="00206F08">
              <w:rPr>
                <w:sz w:val="19"/>
                <w:szCs w:val="19"/>
              </w:rPr>
              <w:t>–</w:t>
            </w:r>
          </w:p>
        </w:tc>
        <w:tc>
          <w:tcPr>
            <w:tcW w:w="664" w:type="pct"/>
          </w:tcPr>
          <w:p w14:paraId="7A2D3934" w14:textId="77777777" w:rsidR="00D06CA8" w:rsidRPr="00206F08" w:rsidRDefault="00D06CA8" w:rsidP="00D06CA8">
            <w:pPr>
              <w:rPr>
                <w:sz w:val="19"/>
                <w:szCs w:val="19"/>
              </w:rPr>
            </w:pPr>
            <w:r w:rsidRPr="00206F08">
              <w:rPr>
                <w:sz w:val="19"/>
                <w:szCs w:val="19"/>
              </w:rPr>
              <w:t>–</w:t>
            </w:r>
          </w:p>
        </w:tc>
      </w:tr>
      <w:tr w:rsidR="00D06CA8" w:rsidRPr="00206F08" w14:paraId="28E90EE8" w14:textId="77777777" w:rsidTr="00C51FA4">
        <w:trPr>
          <w:trHeight w:val="112"/>
        </w:trPr>
        <w:tc>
          <w:tcPr>
            <w:tcW w:w="843" w:type="pct"/>
            <w:vMerge/>
          </w:tcPr>
          <w:p w14:paraId="5C37CE6B" w14:textId="77777777" w:rsidR="00D06CA8" w:rsidRPr="00206F08" w:rsidRDefault="00D06CA8" w:rsidP="00D06CA8">
            <w:pPr>
              <w:rPr>
                <w:b/>
                <w:sz w:val="19"/>
                <w:szCs w:val="19"/>
              </w:rPr>
            </w:pPr>
          </w:p>
        </w:tc>
        <w:tc>
          <w:tcPr>
            <w:tcW w:w="1656" w:type="pct"/>
          </w:tcPr>
          <w:p w14:paraId="63F6B9FB" w14:textId="77777777" w:rsidR="00D06CA8" w:rsidRPr="00C51FA4" w:rsidRDefault="00D06CA8" w:rsidP="00C51FA4">
            <w:pPr>
              <w:spacing w:before="60" w:after="60"/>
              <w:ind w:left="0" w:right="0"/>
              <w:rPr>
                <w:sz w:val="20"/>
                <w:szCs w:val="19"/>
              </w:rPr>
            </w:pPr>
            <w:r w:rsidRPr="00C51FA4">
              <w:rPr>
                <w:sz w:val="20"/>
                <w:szCs w:val="19"/>
              </w:rPr>
              <w:t>Reproductive toxicity</w:t>
            </w:r>
          </w:p>
        </w:tc>
        <w:tc>
          <w:tcPr>
            <w:tcW w:w="561" w:type="pct"/>
          </w:tcPr>
          <w:p w14:paraId="0B49CD98" w14:textId="77777777" w:rsidR="00D06CA8" w:rsidRPr="00206F08" w:rsidRDefault="00D06CA8" w:rsidP="00D06CA8">
            <w:pPr>
              <w:rPr>
                <w:sz w:val="19"/>
                <w:szCs w:val="19"/>
              </w:rPr>
            </w:pPr>
            <w:r w:rsidRPr="00206F08">
              <w:rPr>
                <w:sz w:val="19"/>
                <w:szCs w:val="19"/>
              </w:rPr>
              <w:sym w:font="Wingdings" w:char="F0FC"/>
            </w:r>
          </w:p>
        </w:tc>
        <w:tc>
          <w:tcPr>
            <w:tcW w:w="664" w:type="pct"/>
          </w:tcPr>
          <w:p w14:paraId="2960F9EA" w14:textId="77777777" w:rsidR="00D06CA8" w:rsidRPr="00206F08" w:rsidRDefault="00D06CA8" w:rsidP="00D06CA8">
            <w:pPr>
              <w:rPr>
                <w:sz w:val="19"/>
                <w:szCs w:val="19"/>
              </w:rPr>
            </w:pPr>
            <w:r w:rsidRPr="00206F08">
              <w:rPr>
                <w:sz w:val="19"/>
                <w:szCs w:val="19"/>
              </w:rPr>
              <w:sym w:font="Wingdings" w:char="F0FC"/>
            </w:r>
            <w:r w:rsidRPr="00206F08">
              <w:rPr>
                <w:sz w:val="19"/>
                <w:szCs w:val="19"/>
                <w:vertAlign w:val="superscript"/>
              </w:rPr>
              <w:t>*†</w:t>
            </w:r>
          </w:p>
        </w:tc>
        <w:tc>
          <w:tcPr>
            <w:tcW w:w="612" w:type="pct"/>
          </w:tcPr>
          <w:p w14:paraId="08605A9B" w14:textId="77777777" w:rsidR="00D06CA8" w:rsidRPr="00206F08" w:rsidRDefault="00D06CA8" w:rsidP="00D06CA8">
            <w:pPr>
              <w:rPr>
                <w:sz w:val="19"/>
                <w:szCs w:val="19"/>
              </w:rPr>
            </w:pPr>
            <w:r w:rsidRPr="00206F08">
              <w:rPr>
                <w:sz w:val="19"/>
                <w:szCs w:val="19"/>
              </w:rPr>
              <w:sym w:font="Wingdings" w:char="F0FC"/>
            </w:r>
          </w:p>
        </w:tc>
        <w:tc>
          <w:tcPr>
            <w:tcW w:w="664" w:type="pct"/>
          </w:tcPr>
          <w:p w14:paraId="7380A28E" w14:textId="77777777" w:rsidR="00D06CA8" w:rsidRPr="00206F08" w:rsidRDefault="00D06CA8" w:rsidP="00D06CA8">
            <w:pPr>
              <w:rPr>
                <w:sz w:val="19"/>
                <w:szCs w:val="19"/>
              </w:rPr>
            </w:pPr>
            <w:r w:rsidRPr="00206F08">
              <w:rPr>
                <w:sz w:val="19"/>
                <w:szCs w:val="19"/>
              </w:rPr>
              <w:t>–</w:t>
            </w:r>
          </w:p>
        </w:tc>
      </w:tr>
      <w:tr w:rsidR="00D06CA8" w:rsidRPr="00206F08" w14:paraId="7D23D0A8" w14:textId="77777777" w:rsidTr="00C51FA4">
        <w:trPr>
          <w:trHeight w:val="178"/>
        </w:trPr>
        <w:tc>
          <w:tcPr>
            <w:tcW w:w="843" w:type="pct"/>
            <w:vMerge w:val="restart"/>
          </w:tcPr>
          <w:p w14:paraId="0FEDB4B9" w14:textId="77777777" w:rsidR="00D06CA8" w:rsidRPr="00206F08" w:rsidRDefault="00D06CA8" w:rsidP="00C51FA4">
            <w:pPr>
              <w:ind w:left="0" w:right="57"/>
              <w:rPr>
                <w:b/>
                <w:sz w:val="19"/>
                <w:szCs w:val="19"/>
              </w:rPr>
            </w:pPr>
            <w:r w:rsidRPr="00206F08">
              <w:rPr>
                <w:b/>
                <w:sz w:val="19"/>
                <w:szCs w:val="19"/>
              </w:rPr>
              <w:t>Missing information</w:t>
            </w:r>
          </w:p>
        </w:tc>
        <w:tc>
          <w:tcPr>
            <w:tcW w:w="1656" w:type="pct"/>
          </w:tcPr>
          <w:p w14:paraId="2D3AD9E7" w14:textId="77777777" w:rsidR="00D06CA8" w:rsidRPr="00C51FA4" w:rsidRDefault="00D06CA8" w:rsidP="00C51FA4">
            <w:pPr>
              <w:spacing w:before="60" w:after="60"/>
              <w:ind w:left="0" w:right="0"/>
              <w:rPr>
                <w:sz w:val="20"/>
                <w:szCs w:val="19"/>
              </w:rPr>
            </w:pPr>
            <w:r w:rsidRPr="00C51FA4">
              <w:rPr>
                <w:sz w:val="20"/>
                <w:szCs w:val="19"/>
              </w:rPr>
              <w:t>Safety in pregnant or lactating women</w:t>
            </w:r>
          </w:p>
        </w:tc>
        <w:tc>
          <w:tcPr>
            <w:tcW w:w="561" w:type="pct"/>
          </w:tcPr>
          <w:p w14:paraId="45C62B57" w14:textId="77777777" w:rsidR="00D06CA8" w:rsidRPr="00206F08" w:rsidRDefault="00D06CA8" w:rsidP="00D06CA8">
            <w:pPr>
              <w:rPr>
                <w:sz w:val="19"/>
                <w:szCs w:val="19"/>
              </w:rPr>
            </w:pPr>
            <w:r w:rsidRPr="00206F08">
              <w:rPr>
                <w:sz w:val="19"/>
                <w:szCs w:val="19"/>
              </w:rPr>
              <w:sym w:font="Wingdings" w:char="F0FC"/>
            </w:r>
          </w:p>
        </w:tc>
        <w:tc>
          <w:tcPr>
            <w:tcW w:w="664" w:type="pct"/>
          </w:tcPr>
          <w:p w14:paraId="5E7979D4" w14:textId="77777777" w:rsidR="00D06CA8" w:rsidRPr="00206F08" w:rsidRDefault="00D06CA8" w:rsidP="00D06CA8">
            <w:pPr>
              <w:rPr>
                <w:sz w:val="19"/>
                <w:szCs w:val="19"/>
              </w:rPr>
            </w:pPr>
            <w:r w:rsidRPr="00206F08">
              <w:rPr>
                <w:sz w:val="19"/>
                <w:szCs w:val="19"/>
              </w:rPr>
              <w:sym w:font="Wingdings" w:char="F0FC"/>
            </w:r>
            <w:r w:rsidRPr="00206F08">
              <w:rPr>
                <w:sz w:val="19"/>
                <w:szCs w:val="19"/>
                <w:vertAlign w:val="superscript"/>
              </w:rPr>
              <w:t>*†</w:t>
            </w:r>
          </w:p>
        </w:tc>
        <w:tc>
          <w:tcPr>
            <w:tcW w:w="612" w:type="pct"/>
          </w:tcPr>
          <w:p w14:paraId="75438FF5" w14:textId="77777777" w:rsidR="00D06CA8" w:rsidRPr="00206F08" w:rsidRDefault="00D06CA8" w:rsidP="00D06CA8">
            <w:pPr>
              <w:rPr>
                <w:sz w:val="19"/>
                <w:szCs w:val="19"/>
              </w:rPr>
            </w:pPr>
            <w:r w:rsidRPr="00206F08">
              <w:rPr>
                <w:sz w:val="19"/>
                <w:szCs w:val="19"/>
              </w:rPr>
              <w:sym w:font="Wingdings" w:char="F0FC"/>
            </w:r>
          </w:p>
        </w:tc>
        <w:tc>
          <w:tcPr>
            <w:tcW w:w="664" w:type="pct"/>
          </w:tcPr>
          <w:p w14:paraId="3BF690F5" w14:textId="77777777" w:rsidR="00D06CA8" w:rsidRPr="00206F08" w:rsidRDefault="00D06CA8" w:rsidP="00D06CA8">
            <w:pPr>
              <w:rPr>
                <w:sz w:val="19"/>
                <w:szCs w:val="19"/>
              </w:rPr>
            </w:pPr>
            <w:r w:rsidRPr="00206F08">
              <w:rPr>
                <w:sz w:val="19"/>
                <w:szCs w:val="19"/>
              </w:rPr>
              <w:t>–</w:t>
            </w:r>
          </w:p>
        </w:tc>
      </w:tr>
      <w:tr w:rsidR="00D06CA8" w:rsidRPr="00206F08" w14:paraId="2E47E1FB" w14:textId="77777777" w:rsidTr="00C51FA4">
        <w:trPr>
          <w:trHeight w:val="103"/>
        </w:trPr>
        <w:tc>
          <w:tcPr>
            <w:tcW w:w="843" w:type="pct"/>
            <w:vMerge/>
          </w:tcPr>
          <w:p w14:paraId="6208AC13" w14:textId="77777777" w:rsidR="00D06CA8" w:rsidRPr="00206F08" w:rsidRDefault="00D06CA8" w:rsidP="00D06CA8">
            <w:pPr>
              <w:rPr>
                <w:sz w:val="19"/>
                <w:szCs w:val="19"/>
              </w:rPr>
            </w:pPr>
          </w:p>
        </w:tc>
        <w:tc>
          <w:tcPr>
            <w:tcW w:w="1656" w:type="pct"/>
          </w:tcPr>
          <w:p w14:paraId="01BE363D" w14:textId="77777777" w:rsidR="00D06CA8" w:rsidRPr="00C51FA4" w:rsidRDefault="00D06CA8" w:rsidP="00C51FA4">
            <w:pPr>
              <w:spacing w:before="60" w:after="60"/>
              <w:ind w:left="0" w:right="0"/>
              <w:rPr>
                <w:sz w:val="20"/>
                <w:szCs w:val="19"/>
              </w:rPr>
            </w:pPr>
            <w:r w:rsidRPr="00C51FA4">
              <w:rPr>
                <w:sz w:val="20"/>
                <w:szCs w:val="19"/>
              </w:rPr>
              <w:t xml:space="preserve">Patients treated concomitantly with defibrotide and medications that increase the risk of haemorrhage (including the newer oral anti-coagulants direct thrombin and factor </w:t>
            </w:r>
            <w:proofErr w:type="spellStart"/>
            <w:r w:rsidRPr="00C51FA4">
              <w:rPr>
                <w:sz w:val="20"/>
                <w:szCs w:val="19"/>
              </w:rPr>
              <w:t>Xa</w:t>
            </w:r>
            <w:proofErr w:type="spellEnd"/>
            <w:r w:rsidRPr="00C51FA4">
              <w:rPr>
                <w:sz w:val="20"/>
                <w:szCs w:val="19"/>
              </w:rPr>
              <w:t xml:space="preserve"> inhibitors)</w:t>
            </w:r>
          </w:p>
        </w:tc>
        <w:tc>
          <w:tcPr>
            <w:tcW w:w="561" w:type="pct"/>
          </w:tcPr>
          <w:p w14:paraId="793373C2" w14:textId="77777777" w:rsidR="00D06CA8" w:rsidRPr="00206F08" w:rsidRDefault="00D06CA8" w:rsidP="00D06CA8">
            <w:pPr>
              <w:rPr>
                <w:sz w:val="19"/>
                <w:szCs w:val="19"/>
              </w:rPr>
            </w:pPr>
            <w:r w:rsidRPr="00206F08">
              <w:rPr>
                <w:sz w:val="19"/>
                <w:szCs w:val="19"/>
              </w:rPr>
              <w:sym w:font="Wingdings" w:char="F0FC"/>
            </w:r>
          </w:p>
        </w:tc>
        <w:tc>
          <w:tcPr>
            <w:tcW w:w="664" w:type="pct"/>
          </w:tcPr>
          <w:p w14:paraId="45ECE31F" w14:textId="77777777" w:rsidR="00D06CA8" w:rsidRPr="00206F08" w:rsidRDefault="00D06CA8" w:rsidP="00D06CA8">
            <w:pPr>
              <w:rPr>
                <w:sz w:val="19"/>
                <w:szCs w:val="19"/>
              </w:rPr>
            </w:pPr>
            <w:r w:rsidRPr="00206F08">
              <w:rPr>
                <w:sz w:val="19"/>
                <w:szCs w:val="19"/>
              </w:rPr>
              <w:sym w:font="Wingdings" w:char="F0FC"/>
            </w:r>
            <w:r w:rsidRPr="00206F08">
              <w:rPr>
                <w:sz w:val="19"/>
                <w:szCs w:val="19"/>
                <w:vertAlign w:val="superscript"/>
              </w:rPr>
              <w:t>*†</w:t>
            </w:r>
          </w:p>
        </w:tc>
        <w:tc>
          <w:tcPr>
            <w:tcW w:w="612" w:type="pct"/>
          </w:tcPr>
          <w:p w14:paraId="2BD20098" w14:textId="77777777" w:rsidR="00D06CA8" w:rsidRPr="00206F08" w:rsidRDefault="00D06CA8" w:rsidP="00D06CA8">
            <w:pPr>
              <w:rPr>
                <w:sz w:val="19"/>
                <w:szCs w:val="19"/>
              </w:rPr>
            </w:pPr>
            <w:r w:rsidRPr="00206F08">
              <w:rPr>
                <w:sz w:val="19"/>
                <w:szCs w:val="19"/>
              </w:rPr>
              <w:sym w:font="Wingdings" w:char="F0FC"/>
            </w:r>
          </w:p>
        </w:tc>
        <w:tc>
          <w:tcPr>
            <w:tcW w:w="664" w:type="pct"/>
          </w:tcPr>
          <w:p w14:paraId="326D8303" w14:textId="77777777" w:rsidR="00D06CA8" w:rsidRPr="00206F08" w:rsidRDefault="00D06CA8" w:rsidP="00D06CA8">
            <w:pPr>
              <w:rPr>
                <w:sz w:val="19"/>
                <w:szCs w:val="19"/>
              </w:rPr>
            </w:pPr>
            <w:r w:rsidRPr="00206F08">
              <w:rPr>
                <w:sz w:val="19"/>
                <w:szCs w:val="19"/>
              </w:rPr>
              <w:t>–</w:t>
            </w:r>
          </w:p>
        </w:tc>
      </w:tr>
      <w:tr w:rsidR="00D06CA8" w:rsidRPr="00206F08" w14:paraId="4A94C1EE" w14:textId="77777777" w:rsidTr="00C51FA4">
        <w:trPr>
          <w:trHeight w:val="103"/>
        </w:trPr>
        <w:tc>
          <w:tcPr>
            <w:tcW w:w="843" w:type="pct"/>
            <w:vMerge/>
          </w:tcPr>
          <w:p w14:paraId="16B53680" w14:textId="77777777" w:rsidR="00D06CA8" w:rsidRPr="00206F08" w:rsidRDefault="00D06CA8" w:rsidP="00D06CA8">
            <w:pPr>
              <w:rPr>
                <w:sz w:val="19"/>
                <w:szCs w:val="19"/>
              </w:rPr>
            </w:pPr>
          </w:p>
        </w:tc>
        <w:tc>
          <w:tcPr>
            <w:tcW w:w="1656" w:type="pct"/>
          </w:tcPr>
          <w:p w14:paraId="40F87796" w14:textId="77777777" w:rsidR="00D06CA8" w:rsidRPr="00C51FA4" w:rsidRDefault="007E1C5A" w:rsidP="00C51FA4">
            <w:pPr>
              <w:spacing w:before="60" w:after="60"/>
              <w:ind w:left="0" w:right="0"/>
              <w:rPr>
                <w:sz w:val="20"/>
                <w:szCs w:val="19"/>
              </w:rPr>
            </w:pPr>
            <w:r w:rsidRPr="00C51FA4">
              <w:rPr>
                <w:sz w:val="20"/>
                <w:szCs w:val="19"/>
              </w:rPr>
              <w:t xml:space="preserve">Patients with Grade B to </w:t>
            </w:r>
            <w:r w:rsidR="00D06CA8" w:rsidRPr="00C51FA4">
              <w:rPr>
                <w:sz w:val="20"/>
                <w:szCs w:val="19"/>
              </w:rPr>
              <w:t>D GVHD</w:t>
            </w:r>
          </w:p>
        </w:tc>
        <w:tc>
          <w:tcPr>
            <w:tcW w:w="561" w:type="pct"/>
          </w:tcPr>
          <w:p w14:paraId="171079FB" w14:textId="77777777" w:rsidR="00D06CA8" w:rsidRPr="00206F08" w:rsidRDefault="00D06CA8" w:rsidP="00D06CA8">
            <w:pPr>
              <w:rPr>
                <w:sz w:val="19"/>
                <w:szCs w:val="19"/>
              </w:rPr>
            </w:pPr>
            <w:r w:rsidRPr="00206F08">
              <w:rPr>
                <w:sz w:val="19"/>
                <w:szCs w:val="19"/>
              </w:rPr>
              <w:sym w:font="Wingdings" w:char="F0FC"/>
            </w:r>
          </w:p>
        </w:tc>
        <w:tc>
          <w:tcPr>
            <w:tcW w:w="664" w:type="pct"/>
          </w:tcPr>
          <w:p w14:paraId="6E244668" w14:textId="77777777" w:rsidR="00D06CA8" w:rsidRPr="00206F08" w:rsidRDefault="00D06CA8" w:rsidP="00D06CA8">
            <w:pPr>
              <w:rPr>
                <w:sz w:val="19"/>
                <w:szCs w:val="19"/>
              </w:rPr>
            </w:pPr>
            <w:r w:rsidRPr="00206F08">
              <w:rPr>
                <w:sz w:val="19"/>
                <w:szCs w:val="19"/>
              </w:rPr>
              <w:sym w:font="Wingdings" w:char="F0FC"/>
            </w:r>
            <w:r w:rsidRPr="00206F08">
              <w:rPr>
                <w:sz w:val="19"/>
                <w:szCs w:val="19"/>
                <w:vertAlign w:val="superscript"/>
              </w:rPr>
              <w:t>*†</w:t>
            </w:r>
          </w:p>
        </w:tc>
        <w:tc>
          <w:tcPr>
            <w:tcW w:w="612" w:type="pct"/>
          </w:tcPr>
          <w:p w14:paraId="00ADF4C7" w14:textId="77777777" w:rsidR="00D06CA8" w:rsidRPr="00206F08" w:rsidRDefault="00D06CA8" w:rsidP="00D06CA8">
            <w:pPr>
              <w:rPr>
                <w:sz w:val="19"/>
                <w:szCs w:val="19"/>
              </w:rPr>
            </w:pPr>
            <w:r w:rsidRPr="00206F08">
              <w:rPr>
                <w:sz w:val="19"/>
                <w:szCs w:val="19"/>
              </w:rPr>
              <w:t>–</w:t>
            </w:r>
          </w:p>
        </w:tc>
        <w:tc>
          <w:tcPr>
            <w:tcW w:w="664" w:type="pct"/>
          </w:tcPr>
          <w:p w14:paraId="2C942679" w14:textId="77777777" w:rsidR="00D06CA8" w:rsidRPr="00206F08" w:rsidRDefault="00D06CA8" w:rsidP="00D06CA8">
            <w:pPr>
              <w:rPr>
                <w:sz w:val="19"/>
                <w:szCs w:val="19"/>
              </w:rPr>
            </w:pPr>
            <w:r w:rsidRPr="00206F08">
              <w:rPr>
                <w:sz w:val="19"/>
                <w:szCs w:val="19"/>
              </w:rPr>
              <w:t>–</w:t>
            </w:r>
          </w:p>
        </w:tc>
      </w:tr>
      <w:tr w:rsidR="00D06CA8" w:rsidRPr="00206F08" w14:paraId="1C211B61" w14:textId="77777777" w:rsidTr="00C51FA4">
        <w:trPr>
          <w:trHeight w:val="103"/>
        </w:trPr>
        <w:tc>
          <w:tcPr>
            <w:tcW w:w="843" w:type="pct"/>
            <w:vMerge/>
          </w:tcPr>
          <w:p w14:paraId="47E0A1DD" w14:textId="77777777" w:rsidR="00D06CA8" w:rsidRPr="00206F08" w:rsidRDefault="00D06CA8" w:rsidP="00D06CA8">
            <w:pPr>
              <w:rPr>
                <w:sz w:val="19"/>
                <w:szCs w:val="19"/>
              </w:rPr>
            </w:pPr>
          </w:p>
        </w:tc>
        <w:tc>
          <w:tcPr>
            <w:tcW w:w="1656" w:type="pct"/>
          </w:tcPr>
          <w:p w14:paraId="0FAE67B7" w14:textId="77777777" w:rsidR="00D06CA8" w:rsidRPr="00C51FA4" w:rsidRDefault="007E1C5A" w:rsidP="00C51FA4">
            <w:pPr>
              <w:spacing w:before="60" w:after="60"/>
              <w:ind w:left="0" w:right="0"/>
              <w:rPr>
                <w:sz w:val="20"/>
                <w:szCs w:val="19"/>
              </w:rPr>
            </w:pPr>
            <w:r w:rsidRPr="00C51FA4">
              <w:rPr>
                <w:sz w:val="20"/>
                <w:szCs w:val="19"/>
              </w:rPr>
              <w:t>Patients with pre-existing</w:t>
            </w:r>
            <w:r w:rsidR="00D06CA8" w:rsidRPr="00C51FA4">
              <w:rPr>
                <w:sz w:val="20"/>
                <w:szCs w:val="19"/>
              </w:rPr>
              <w:t xml:space="preserve"> liver or severe renal insufficiency (aetiologies other that VOD)</w:t>
            </w:r>
          </w:p>
        </w:tc>
        <w:tc>
          <w:tcPr>
            <w:tcW w:w="561" w:type="pct"/>
          </w:tcPr>
          <w:p w14:paraId="30CD9573" w14:textId="77777777" w:rsidR="00D06CA8" w:rsidRPr="00206F08" w:rsidRDefault="00D06CA8" w:rsidP="00D06CA8">
            <w:pPr>
              <w:rPr>
                <w:sz w:val="19"/>
                <w:szCs w:val="19"/>
              </w:rPr>
            </w:pPr>
            <w:r w:rsidRPr="00206F08">
              <w:rPr>
                <w:sz w:val="19"/>
                <w:szCs w:val="19"/>
              </w:rPr>
              <w:sym w:font="Wingdings" w:char="F0FC"/>
            </w:r>
          </w:p>
        </w:tc>
        <w:tc>
          <w:tcPr>
            <w:tcW w:w="664" w:type="pct"/>
          </w:tcPr>
          <w:p w14:paraId="59EB1892" w14:textId="77777777" w:rsidR="00D06CA8" w:rsidRPr="00206F08" w:rsidRDefault="00D06CA8" w:rsidP="00D06CA8">
            <w:pPr>
              <w:rPr>
                <w:sz w:val="19"/>
                <w:szCs w:val="19"/>
              </w:rPr>
            </w:pPr>
            <w:r w:rsidRPr="00206F08">
              <w:rPr>
                <w:sz w:val="19"/>
                <w:szCs w:val="19"/>
              </w:rPr>
              <w:sym w:font="Wingdings" w:char="F0FC"/>
            </w:r>
            <w:r w:rsidRPr="00206F08">
              <w:rPr>
                <w:sz w:val="19"/>
                <w:szCs w:val="19"/>
                <w:vertAlign w:val="superscript"/>
              </w:rPr>
              <w:t>*†</w:t>
            </w:r>
          </w:p>
        </w:tc>
        <w:tc>
          <w:tcPr>
            <w:tcW w:w="612" w:type="pct"/>
          </w:tcPr>
          <w:p w14:paraId="2B1A70EE" w14:textId="77777777" w:rsidR="00D06CA8" w:rsidRPr="00206F08" w:rsidRDefault="00D06CA8" w:rsidP="00D06CA8">
            <w:pPr>
              <w:rPr>
                <w:sz w:val="19"/>
                <w:szCs w:val="19"/>
              </w:rPr>
            </w:pPr>
            <w:r w:rsidRPr="00206F08">
              <w:rPr>
                <w:sz w:val="19"/>
                <w:szCs w:val="19"/>
              </w:rPr>
              <w:sym w:font="Wingdings" w:char="F0FC"/>
            </w:r>
          </w:p>
        </w:tc>
        <w:tc>
          <w:tcPr>
            <w:tcW w:w="664" w:type="pct"/>
          </w:tcPr>
          <w:p w14:paraId="306B36C6" w14:textId="77777777" w:rsidR="00D06CA8" w:rsidRPr="00206F08" w:rsidRDefault="00D06CA8" w:rsidP="00D06CA8">
            <w:pPr>
              <w:rPr>
                <w:sz w:val="19"/>
                <w:szCs w:val="19"/>
              </w:rPr>
            </w:pPr>
            <w:r w:rsidRPr="00206F08">
              <w:rPr>
                <w:sz w:val="19"/>
                <w:szCs w:val="19"/>
              </w:rPr>
              <w:t>–</w:t>
            </w:r>
          </w:p>
        </w:tc>
      </w:tr>
      <w:tr w:rsidR="00D06CA8" w:rsidRPr="00206F08" w14:paraId="7B56402D" w14:textId="77777777" w:rsidTr="00C51FA4">
        <w:trPr>
          <w:trHeight w:val="103"/>
        </w:trPr>
        <w:tc>
          <w:tcPr>
            <w:tcW w:w="843" w:type="pct"/>
            <w:vMerge/>
          </w:tcPr>
          <w:p w14:paraId="3D241CB9" w14:textId="77777777" w:rsidR="00D06CA8" w:rsidRPr="00206F08" w:rsidRDefault="00D06CA8" w:rsidP="00D06CA8">
            <w:pPr>
              <w:rPr>
                <w:sz w:val="19"/>
                <w:szCs w:val="19"/>
              </w:rPr>
            </w:pPr>
          </w:p>
        </w:tc>
        <w:tc>
          <w:tcPr>
            <w:tcW w:w="1656" w:type="pct"/>
          </w:tcPr>
          <w:p w14:paraId="2D6EBFCC" w14:textId="77777777" w:rsidR="00D06CA8" w:rsidRPr="00C51FA4" w:rsidRDefault="00D06CA8" w:rsidP="00C51FA4">
            <w:pPr>
              <w:spacing w:before="60" w:after="60"/>
              <w:ind w:left="0" w:right="0"/>
              <w:rPr>
                <w:sz w:val="20"/>
                <w:szCs w:val="19"/>
              </w:rPr>
            </w:pPr>
            <w:r w:rsidRPr="00C51FA4">
              <w:rPr>
                <w:sz w:val="20"/>
                <w:szCs w:val="19"/>
              </w:rPr>
              <w:t>Patients with intrinsic lung disease</w:t>
            </w:r>
          </w:p>
        </w:tc>
        <w:tc>
          <w:tcPr>
            <w:tcW w:w="561" w:type="pct"/>
          </w:tcPr>
          <w:p w14:paraId="0CC0BFBE" w14:textId="77777777" w:rsidR="00D06CA8" w:rsidRPr="00206F08" w:rsidRDefault="00D06CA8" w:rsidP="00D06CA8">
            <w:pPr>
              <w:rPr>
                <w:sz w:val="19"/>
                <w:szCs w:val="19"/>
              </w:rPr>
            </w:pPr>
            <w:r w:rsidRPr="00206F08">
              <w:rPr>
                <w:sz w:val="19"/>
                <w:szCs w:val="19"/>
              </w:rPr>
              <w:sym w:font="Wingdings" w:char="F0FC"/>
            </w:r>
          </w:p>
        </w:tc>
        <w:tc>
          <w:tcPr>
            <w:tcW w:w="664" w:type="pct"/>
          </w:tcPr>
          <w:p w14:paraId="59888C33" w14:textId="77777777" w:rsidR="00D06CA8" w:rsidRPr="00206F08" w:rsidRDefault="00D06CA8" w:rsidP="00D06CA8">
            <w:pPr>
              <w:rPr>
                <w:sz w:val="19"/>
                <w:szCs w:val="19"/>
              </w:rPr>
            </w:pPr>
            <w:r w:rsidRPr="00206F08">
              <w:rPr>
                <w:sz w:val="19"/>
                <w:szCs w:val="19"/>
              </w:rPr>
              <w:sym w:font="Wingdings" w:char="F0FC"/>
            </w:r>
            <w:r w:rsidRPr="00206F08">
              <w:rPr>
                <w:sz w:val="19"/>
                <w:szCs w:val="19"/>
                <w:vertAlign w:val="superscript"/>
              </w:rPr>
              <w:t>*†</w:t>
            </w:r>
          </w:p>
        </w:tc>
        <w:tc>
          <w:tcPr>
            <w:tcW w:w="612" w:type="pct"/>
          </w:tcPr>
          <w:p w14:paraId="667778DC" w14:textId="77777777" w:rsidR="00D06CA8" w:rsidRPr="00206F08" w:rsidRDefault="00D06CA8" w:rsidP="00D06CA8">
            <w:pPr>
              <w:rPr>
                <w:sz w:val="19"/>
                <w:szCs w:val="19"/>
              </w:rPr>
            </w:pPr>
            <w:r w:rsidRPr="00206F08">
              <w:rPr>
                <w:sz w:val="19"/>
                <w:szCs w:val="19"/>
              </w:rPr>
              <w:t>–</w:t>
            </w:r>
          </w:p>
        </w:tc>
        <w:tc>
          <w:tcPr>
            <w:tcW w:w="664" w:type="pct"/>
          </w:tcPr>
          <w:p w14:paraId="10648530" w14:textId="77777777" w:rsidR="00D06CA8" w:rsidRPr="00206F08" w:rsidRDefault="00D06CA8" w:rsidP="00D06CA8">
            <w:pPr>
              <w:rPr>
                <w:sz w:val="19"/>
                <w:szCs w:val="19"/>
              </w:rPr>
            </w:pPr>
            <w:r w:rsidRPr="00206F08">
              <w:rPr>
                <w:sz w:val="19"/>
                <w:szCs w:val="19"/>
              </w:rPr>
              <w:t>–</w:t>
            </w:r>
          </w:p>
        </w:tc>
      </w:tr>
      <w:tr w:rsidR="00D06CA8" w:rsidRPr="00206F08" w14:paraId="756F9CF8" w14:textId="77777777" w:rsidTr="00C51FA4">
        <w:trPr>
          <w:trHeight w:val="103"/>
        </w:trPr>
        <w:tc>
          <w:tcPr>
            <w:tcW w:w="843" w:type="pct"/>
            <w:vMerge/>
          </w:tcPr>
          <w:p w14:paraId="36E8F1F7" w14:textId="77777777" w:rsidR="00D06CA8" w:rsidRPr="00206F08" w:rsidRDefault="00D06CA8" w:rsidP="00D06CA8">
            <w:pPr>
              <w:rPr>
                <w:sz w:val="19"/>
                <w:szCs w:val="19"/>
              </w:rPr>
            </w:pPr>
          </w:p>
        </w:tc>
        <w:tc>
          <w:tcPr>
            <w:tcW w:w="1656" w:type="pct"/>
          </w:tcPr>
          <w:p w14:paraId="21974EB3" w14:textId="77777777" w:rsidR="00D06CA8" w:rsidRPr="00C51FA4" w:rsidRDefault="00D06CA8" w:rsidP="00C51FA4">
            <w:pPr>
              <w:spacing w:before="60" w:after="60"/>
              <w:ind w:left="0" w:right="0"/>
              <w:rPr>
                <w:sz w:val="20"/>
                <w:szCs w:val="19"/>
              </w:rPr>
            </w:pPr>
            <w:r w:rsidRPr="00C51FA4">
              <w:rPr>
                <w:sz w:val="20"/>
                <w:szCs w:val="19"/>
              </w:rPr>
              <w:t>Patients with ethnic background other than Caucasian</w:t>
            </w:r>
          </w:p>
        </w:tc>
        <w:tc>
          <w:tcPr>
            <w:tcW w:w="561" w:type="pct"/>
          </w:tcPr>
          <w:p w14:paraId="44B2E4D2" w14:textId="77777777" w:rsidR="00D06CA8" w:rsidRPr="00206F08" w:rsidRDefault="00D06CA8" w:rsidP="00D06CA8">
            <w:pPr>
              <w:rPr>
                <w:sz w:val="19"/>
                <w:szCs w:val="19"/>
              </w:rPr>
            </w:pPr>
            <w:r w:rsidRPr="00206F08">
              <w:rPr>
                <w:sz w:val="19"/>
                <w:szCs w:val="19"/>
              </w:rPr>
              <w:sym w:font="Wingdings" w:char="F0FC"/>
            </w:r>
          </w:p>
        </w:tc>
        <w:tc>
          <w:tcPr>
            <w:tcW w:w="664" w:type="pct"/>
          </w:tcPr>
          <w:p w14:paraId="1E01242F" w14:textId="77777777" w:rsidR="00D06CA8" w:rsidRPr="00206F08" w:rsidRDefault="00D06CA8" w:rsidP="00D06CA8">
            <w:pPr>
              <w:rPr>
                <w:sz w:val="19"/>
                <w:szCs w:val="19"/>
              </w:rPr>
            </w:pPr>
            <w:r w:rsidRPr="00206F08">
              <w:rPr>
                <w:sz w:val="19"/>
                <w:szCs w:val="19"/>
              </w:rPr>
              <w:sym w:font="Wingdings" w:char="F0FC"/>
            </w:r>
            <w:r w:rsidRPr="00206F08">
              <w:rPr>
                <w:sz w:val="19"/>
                <w:szCs w:val="19"/>
                <w:vertAlign w:val="superscript"/>
              </w:rPr>
              <w:t>*†</w:t>
            </w:r>
          </w:p>
        </w:tc>
        <w:tc>
          <w:tcPr>
            <w:tcW w:w="612" w:type="pct"/>
          </w:tcPr>
          <w:p w14:paraId="2CD5D506" w14:textId="77777777" w:rsidR="00D06CA8" w:rsidRPr="00206F08" w:rsidRDefault="00D06CA8" w:rsidP="00D06CA8">
            <w:pPr>
              <w:rPr>
                <w:sz w:val="19"/>
                <w:szCs w:val="19"/>
              </w:rPr>
            </w:pPr>
            <w:r w:rsidRPr="00206F08">
              <w:rPr>
                <w:sz w:val="19"/>
                <w:szCs w:val="19"/>
              </w:rPr>
              <w:t>–</w:t>
            </w:r>
          </w:p>
        </w:tc>
        <w:tc>
          <w:tcPr>
            <w:tcW w:w="664" w:type="pct"/>
          </w:tcPr>
          <w:p w14:paraId="225A18A1" w14:textId="77777777" w:rsidR="00D06CA8" w:rsidRPr="00206F08" w:rsidRDefault="00D06CA8" w:rsidP="00D06CA8">
            <w:pPr>
              <w:rPr>
                <w:sz w:val="19"/>
                <w:szCs w:val="19"/>
              </w:rPr>
            </w:pPr>
            <w:r w:rsidRPr="00206F08">
              <w:rPr>
                <w:sz w:val="19"/>
                <w:szCs w:val="19"/>
              </w:rPr>
              <w:t>–</w:t>
            </w:r>
          </w:p>
        </w:tc>
      </w:tr>
      <w:tr w:rsidR="00D06CA8" w:rsidRPr="00206F08" w14:paraId="4A147A1E" w14:textId="77777777" w:rsidTr="00C51FA4">
        <w:trPr>
          <w:trHeight w:val="103"/>
        </w:trPr>
        <w:tc>
          <w:tcPr>
            <w:tcW w:w="843" w:type="pct"/>
            <w:vMerge/>
          </w:tcPr>
          <w:p w14:paraId="55E5D70B" w14:textId="77777777" w:rsidR="00D06CA8" w:rsidRPr="00206F08" w:rsidRDefault="00D06CA8" w:rsidP="00D06CA8">
            <w:pPr>
              <w:rPr>
                <w:sz w:val="19"/>
                <w:szCs w:val="19"/>
              </w:rPr>
            </w:pPr>
          </w:p>
        </w:tc>
        <w:tc>
          <w:tcPr>
            <w:tcW w:w="1656" w:type="pct"/>
          </w:tcPr>
          <w:p w14:paraId="6D77B20F" w14:textId="77777777" w:rsidR="00D06CA8" w:rsidRPr="00C51FA4" w:rsidRDefault="00D06CA8" w:rsidP="00C51FA4">
            <w:pPr>
              <w:spacing w:before="60" w:after="60"/>
              <w:ind w:left="0" w:right="0"/>
              <w:rPr>
                <w:sz w:val="20"/>
                <w:szCs w:val="19"/>
              </w:rPr>
            </w:pPr>
            <w:r w:rsidRPr="00C51FA4">
              <w:rPr>
                <w:sz w:val="20"/>
                <w:szCs w:val="19"/>
              </w:rPr>
              <w:t>Patients over the age of 65 years</w:t>
            </w:r>
          </w:p>
        </w:tc>
        <w:tc>
          <w:tcPr>
            <w:tcW w:w="561" w:type="pct"/>
          </w:tcPr>
          <w:p w14:paraId="23F6ED53" w14:textId="77777777" w:rsidR="00D06CA8" w:rsidRPr="00206F08" w:rsidRDefault="00D06CA8" w:rsidP="00D06CA8">
            <w:pPr>
              <w:rPr>
                <w:sz w:val="19"/>
                <w:szCs w:val="19"/>
              </w:rPr>
            </w:pPr>
            <w:r w:rsidRPr="00206F08">
              <w:rPr>
                <w:sz w:val="19"/>
                <w:szCs w:val="19"/>
              </w:rPr>
              <w:sym w:font="Wingdings" w:char="F0FC"/>
            </w:r>
          </w:p>
        </w:tc>
        <w:tc>
          <w:tcPr>
            <w:tcW w:w="664" w:type="pct"/>
          </w:tcPr>
          <w:p w14:paraId="52FB5701" w14:textId="77777777" w:rsidR="00D06CA8" w:rsidRPr="00206F08" w:rsidRDefault="00D06CA8" w:rsidP="00D06CA8">
            <w:pPr>
              <w:rPr>
                <w:sz w:val="19"/>
                <w:szCs w:val="19"/>
              </w:rPr>
            </w:pPr>
            <w:r w:rsidRPr="00206F08">
              <w:rPr>
                <w:sz w:val="19"/>
                <w:szCs w:val="19"/>
              </w:rPr>
              <w:sym w:font="Wingdings" w:char="F0FC"/>
            </w:r>
            <w:r w:rsidRPr="00206F08">
              <w:rPr>
                <w:sz w:val="19"/>
                <w:szCs w:val="19"/>
                <w:vertAlign w:val="superscript"/>
              </w:rPr>
              <w:t>*†</w:t>
            </w:r>
          </w:p>
        </w:tc>
        <w:tc>
          <w:tcPr>
            <w:tcW w:w="612" w:type="pct"/>
          </w:tcPr>
          <w:p w14:paraId="0F4590A4" w14:textId="77777777" w:rsidR="00D06CA8" w:rsidRPr="00206F08" w:rsidRDefault="00D06CA8" w:rsidP="00D06CA8">
            <w:pPr>
              <w:rPr>
                <w:sz w:val="19"/>
                <w:szCs w:val="19"/>
              </w:rPr>
            </w:pPr>
            <w:r w:rsidRPr="00206F08">
              <w:rPr>
                <w:sz w:val="19"/>
                <w:szCs w:val="19"/>
              </w:rPr>
              <w:t>–</w:t>
            </w:r>
          </w:p>
        </w:tc>
        <w:tc>
          <w:tcPr>
            <w:tcW w:w="664" w:type="pct"/>
          </w:tcPr>
          <w:p w14:paraId="7ACA9DCB" w14:textId="77777777" w:rsidR="00D06CA8" w:rsidRPr="00206F08" w:rsidRDefault="00D06CA8" w:rsidP="00D06CA8">
            <w:pPr>
              <w:rPr>
                <w:sz w:val="19"/>
                <w:szCs w:val="19"/>
              </w:rPr>
            </w:pPr>
            <w:r w:rsidRPr="00206F08">
              <w:rPr>
                <w:sz w:val="19"/>
                <w:szCs w:val="19"/>
              </w:rPr>
              <w:t>–</w:t>
            </w:r>
          </w:p>
        </w:tc>
      </w:tr>
      <w:tr w:rsidR="00D06CA8" w:rsidRPr="00206F08" w14:paraId="5D713DE7" w14:textId="77777777" w:rsidTr="00C51FA4">
        <w:trPr>
          <w:trHeight w:val="140"/>
        </w:trPr>
        <w:tc>
          <w:tcPr>
            <w:tcW w:w="843" w:type="pct"/>
            <w:vMerge/>
          </w:tcPr>
          <w:p w14:paraId="0E9DB707" w14:textId="77777777" w:rsidR="00D06CA8" w:rsidRPr="00206F08" w:rsidRDefault="00D06CA8" w:rsidP="00D06CA8">
            <w:pPr>
              <w:rPr>
                <w:sz w:val="19"/>
                <w:szCs w:val="19"/>
              </w:rPr>
            </w:pPr>
          </w:p>
        </w:tc>
        <w:tc>
          <w:tcPr>
            <w:tcW w:w="1656" w:type="pct"/>
          </w:tcPr>
          <w:p w14:paraId="5383511F" w14:textId="77777777" w:rsidR="00D06CA8" w:rsidRPr="00C51FA4" w:rsidRDefault="007E1C5A" w:rsidP="00C51FA4">
            <w:pPr>
              <w:spacing w:before="60" w:after="60"/>
              <w:ind w:left="0" w:right="0"/>
              <w:rPr>
                <w:sz w:val="20"/>
                <w:szCs w:val="19"/>
              </w:rPr>
            </w:pPr>
            <w:r w:rsidRPr="00C51FA4">
              <w:rPr>
                <w:sz w:val="20"/>
                <w:szCs w:val="19"/>
              </w:rPr>
              <w:t xml:space="preserve">Off </w:t>
            </w:r>
            <w:r w:rsidR="00D06CA8" w:rsidRPr="00C51FA4">
              <w:rPr>
                <w:sz w:val="20"/>
                <w:szCs w:val="19"/>
              </w:rPr>
              <w:t>label use</w:t>
            </w:r>
          </w:p>
        </w:tc>
        <w:tc>
          <w:tcPr>
            <w:tcW w:w="561" w:type="pct"/>
          </w:tcPr>
          <w:p w14:paraId="6FCBFA56" w14:textId="77777777" w:rsidR="00D06CA8" w:rsidRPr="00206F08" w:rsidRDefault="00D06CA8" w:rsidP="00D06CA8">
            <w:pPr>
              <w:rPr>
                <w:sz w:val="19"/>
                <w:szCs w:val="19"/>
              </w:rPr>
            </w:pPr>
            <w:r w:rsidRPr="00206F08">
              <w:rPr>
                <w:sz w:val="19"/>
                <w:szCs w:val="19"/>
              </w:rPr>
              <w:sym w:font="Wingdings" w:char="F0FC"/>
            </w:r>
          </w:p>
        </w:tc>
        <w:tc>
          <w:tcPr>
            <w:tcW w:w="664" w:type="pct"/>
          </w:tcPr>
          <w:p w14:paraId="7F4F9A8B" w14:textId="77777777" w:rsidR="00D06CA8" w:rsidRPr="00206F08" w:rsidRDefault="00D06CA8" w:rsidP="00D06CA8">
            <w:pPr>
              <w:rPr>
                <w:sz w:val="19"/>
                <w:szCs w:val="19"/>
              </w:rPr>
            </w:pPr>
            <w:r w:rsidRPr="00206F08">
              <w:rPr>
                <w:sz w:val="19"/>
                <w:szCs w:val="19"/>
              </w:rPr>
              <w:sym w:font="Wingdings" w:char="F0FC"/>
            </w:r>
            <w:r w:rsidRPr="00206F08">
              <w:rPr>
                <w:sz w:val="19"/>
                <w:szCs w:val="19"/>
                <w:vertAlign w:val="superscript"/>
              </w:rPr>
              <w:t>*†</w:t>
            </w:r>
          </w:p>
        </w:tc>
        <w:tc>
          <w:tcPr>
            <w:tcW w:w="612" w:type="pct"/>
          </w:tcPr>
          <w:p w14:paraId="2BE8B684" w14:textId="77777777" w:rsidR="00D06CA8" w:rsidRPr="00206F08" w:rsidRDefault="00D06CA8" w:rsidP="00D06CA8">
            <w:pPr>
              <w:rPr>
                <w:sz w:val="19"/>
                <w:szCs w:val="19"/>
              </w:rPr>
            </w:pPr>
            <w:r w:rsidRPr="00206F08">
              <w:rPr>
                <w:sz w:val="19"/>
                <w:szCs w:val="19"/>
              </w:rPr>
              <w:sym w:font="Wingdings" w:char="F0FC"/>
            </w:r>
          </w:p>
        </w:tc>
        <w:tc>
          <w:tcPr>
            <w:tcW w:w="664" w:type="pct"/>
          </w:tcPr>
          <w:p w14:paraId="19AEAEB6" w14:textId="77777777" w:rsidR="00D06CA8" w:rsidRPr="00206F08" w:rsidRDefault="00D06CA8" w:rsidP="00D06CA8">
            <w:pPr>
              <w:rPr>
                <w:sz w:val="19"/>
                <w:szCs w:val="19"/>
              </w:rPr>
            </w:pPr>
            <w:r w:rsidRPr="00206F08">
              <w:rPr>
                <w:sz w:val="19"/>
                <w:szCs w:val="19"/>
              </w:rPr>
              <w:t>–</w:t>
            </w:r>
          </w:p>
        </w:tc>
      </w:tr>
    </w:tbl>
    <w:p w14:paraId="5C60B330" w14:textId="4EA39862" w:rsidR="00B637B5" w:rsidRDefault="00B637B5" w:rsidP="006D5E69">
      <w:pPr>
        <w:keepNext/>
      </w:pPr>
      <w:r>
        <w:t>The RMP evaluator recommends the following condition of registration</w:t>
      </w:r>
      <w:r w:rsidR="009032E2">
        <w:t>:</w:t>
      </w:r>
    </w:p>
    <w:p w14:paraId="04C72457" w14:textId="4F43475A" w:rsidR="00D06CA8" w:rsidRDefault="00B637B5" w:rsidP="00C51FA4">
      <w:pPr>
        <w:ind w:left="720"/>
      </w:pPr>
      <w:r>
        <w:rPr>
          <w:rFonts w:asciiTheme="minorHAnsi" w:hAnsiTheme="minorHAnsi"/>
        </w:rPr>
        <w:t xml:space="preserve">Defibrotide is to be included in </w:t>
      </w:r>
      <w:r w:rsidR="00C43934">
        <w:rPr>
          <w:rFonts w:asciiTheme="minorHAnsi" w:hAnsiTheme="minorHAnsi"/>
        </w:rPr>
        <w:t>the Black Triangle Scheme.</w:t>
      </w:r>
      <w:r w:rsidR="009032E2" w:rsidRPr="00C51FA4">
        <w:rPr>
          <w:rFonts w:asciiTheme="minorHAnsi" w:hAnsiTheme="minorHAnsi"/>
          <w:vertAlign w:val="superscript"/>
        </w:rPr>
        <w:fldChar w:fldCharType="begin"/>
      </w:r>
      <w:r w:rsidR="009032E2" w:rsidRPr="00C51FA4">
        <w:rPr>
          <w:rFonts w:asciiTheme="minorHAnsi" w:hAnsiTheme="minorHAnsi"/>
          <w:vertAlign w:val="superscript"/>
        </w:rPr>
        <w:instrText xml:space="preserve"> NOTEREF _Ref57860122 \h </w:instrText>
      </w:r>
      <w:r w:rsidR="009032E2">
        <w:rPr>
          <w:rFonts w:asciiTheme="minorHAnsi" w:hAnsiTheme="minorHAnsi"/>
          <w:vertAlign w:val="superscript"/>
        </w:rPr>
        <w:instrText xml:space="preserve"> \* MERGEFORMAT </w:instrText>
      </w:r>
      <w:r w:rsidR="009032E2" w:rsidRPr="00C51FA4">
        <w:rPr>
          <w:rFonts w:asciiTheme="minorHAnsi" w:hAnsiTheme="minorHAnsi"/>
          <w:vertAlign w:val="superscript"/>
        </w:rPr>
      </w:r>
      <w:r w:rsidR="009032E2" w:rsidRPr="00C51FA4">
        <w:rPr>
          <w:rFonts w:asciiTheme="minorHAnsi" w:hAnsiTheme="minorHAnsi"/>
          <w:vertAlign w:val="superscript"/>
        </w:rPr>
        <w:fldChar w:fldCharType="separate"/>
      </w:r>
      <w:r w:rsidR="009032E2" w:rsidRPr="00C51FA4">
        <w:rPr>
          <w:rFonts w:asciiTheme="minorHAnsi" w:hAnsiTheme="minorHAnsi"/>
          <w:vertAlign w:val="superscript"/>
        </w:rPr>
        <w:t>1</w:t>
      </w:r>
      <w:r w:rsidR="009032E2" w:rsidRPr="00C51FA4">
        <w:rPr>
          <w:rFonts w:asciiTheme="minorHAnsi" w:hAnsiTheme="minorHAnsi"/>
          <w:vertAlign w:val="superscript"/>
        </w:rPr>
        <w:fldChar w:fldCharType="end"/>
      </w:r>
      <w:r w:rsidR="00C43934">
        <w:rPr>
          <w:rFonts w:asciiTheme="minorHAnsi" w:hAnsiTheme="minorHAnsi"/>
        </w:rPr>
        <w:t xml:space="preserve"> The s</w:t>
      </w:r>
      <w:r>
        <w:rPr>
          <w:rFonts w:asciiTheme="minorHAnsi" w:hAnsiTheme="minorHAnsi"/>
        </w:rPr>
        <w:t xml:space="preserve">ponsor should submit </w:t>
      </w:r>
      <w:r w:rsidR="00C43934">
        <w:rPr>
          <w:rFonts w:asciiTheme="minorHAnsi" w:hAnsiTheme="minorHAnsi"/>
        </w:rPr>
        <w:t>PSURs</w:t>
      </w:r>
      <w:r>
        <w:rPr>
          <w:rFonts w:asciiTheme="minorHAnsi" w:hAnsiTheme="minorHAnsi"/>
        </w:rPr>
        <w:t xml:space="preserve"> for a minimum three years from the date of approval.</w:t>
      </w:r>
    </w:p>
    <w:p w14:paraId="66C9C04C" w14:textId="77777777" w:rsidR="008E7846" w:rsidRDefault="00AA0ED0" w:rsidP="008E7846">
      <w:pPr>
        <w:pStyle w:val="Heading3"/>
      </w:pPr>
      <w:bookmarkStart w:id="57" w:name="_Toc247691531"/>
      <w:bookmarkStart w:id="58" w:name="_Toc314842515"/>
      <w:bookmarkStart w:id="59" w:name="_Toc56604932"/>
      <w:bookmarkStart w:id="60" w:name="_Toc196046505"/>
      <w:bookmarkStart w:id="61" w:name="_Toc196046949"/>
      <w:r>
        <w:t>Risk-benefit a</w:t>
      </w:r>
      <w:r w:rsidR="008E7846">
        <w:t>nalysis</w:t>
      </w:r>
      <w:bookmarkEnd w:id="57"/>
      <w:bookmarkEnd w:id="58"/>
      <w:bookmarkEnd w:id="59"/>
    </w:p>
    <w:p w14:paraId="64E30145" w14:textId="77777777" w:rsidR="00D23139" w:rsidRDefault="007D53B6" w:rsidP="00D23139">
      <w:pPr>
        <w:pStyle w:val="Heading4"/>
      </w:pPr>
      <w:r>
        <w:t>Delegate’s considerations</w:t>
      </w:r>
    </w:p>
    <w:p w14:paraId="73B48FDA" w14:textId="282236F3" w:rsidR="00432674" w:rsidRPr="00432674" w:rsidRDefault="00432674" w:rsidP="00432674">
      <w:r w:rsidRPr="00432674">
        <w:t>The majority of patients who develop hepatic VOD following HSCT will experience only mild to moderate disease in which supportive care is like</w:t>
      </w:r>
      <w:r w:rsidR="00DC1BB2">
        <w:t xml:space="preserve">ly to be sufficient. Between 10 to </w:t>
      </w:r>
      <w:r w:rsidRPr="00432674">
        <w:t>30% of patients, particularly children, may develop severe disease characterised by rapidly rising serum bilirubin, rapid weight gain and the presence of multi-organ failure. In the application for orphan de</w:t>
      </w:r>
      <w:r w:rsidR="00C43934">
        <w:t>signation for defibrotide, the s</w:t>
      </w:r>
      <w:r w:rsidRPr="00432674">
        <w:t>ponsor detailed several studies that report a high mortality rate in patients with severe VOD, including an analysis of 135 studies (including 24,920 HSCT patients) performed between 1997 and 2007, that estimated the mortality rate from severe VOD to be 84.3% (95% CI, 79</w:t>
      </w:r>
      <w:r w:rsidR="00C43934">
        <w:t xml:space="preserve">.6% to </w:t>
      </w:r>
      <w:r w:rsidRPr="00432674">
        <w:t>88.9%). By comparison, a study based on the Seattle Transplant Regist</w:t>
      </w:r>
      <w:r w:rsidR="00C43934">
        <w:t>ry reported mortality rates at D</w:t>
      </w:r>
      <w:r w:rsidRPr="00432674">
        <w:t>ay 100 of 9% for mild hepatic VOD and 23% for moderate hepatic VOD. Hepatic VOD is theref</w:t>
      </w:r>
      <w:r w:rsidR="007E1C5A">
        <w:t xml:space="preserve">ore correctly considered a life </w:t>
      </w:r>
      <w:r w:rsidRPr="00432674">
        <w:t>threatening condition. While impr</w:t>
      </w:r>
      <w:r w:rsidR="007E1C5A">
        <w:t>ovements in recognising the pre-</w:t>
      </w:r>
      <w:r w:rsidRPr="00432674">
        <w:t xml:space="preserve">transplant risk factors and in supportive care have contributed to declining rates of hepatic VOD, in the application for orphan designation, the sponsor successfully argued that based on 2016 figures for HSCT, up to 262 patients could potentially develop VOD each year (with around 33%, or 87, progressing to severe VOD). Review of TGA </w:t>
      </w:r>
      <w:r w:rsidR="00011D79">
        <w:t>SAS</w:t>
      </w:r>
      <w:r w:rsidRPr="00432674">
        <w:t xml:space="preserve"> figures for 2013 to 2018 broadly align with this reported incidence, although in some cases these requests may be made for prophylactic use rather than treatment with def</w:t>
      </w:r>
      <w:r w:rsidR="00C43934">
        <w:t xml:space="preserve">ibrotide. It is noted that the </w:t>
      </w:r>
      <w:proofErr w:type="spellStart"/>
      <w:r w:rsidR="00C43934">
        <w:t>eviQ</w:t>
      </w:r>
      <w:proofErr w:type="spellEnd"/>
      <w:r w:rsidR="00C43934">
        <w:t>;</w:t>
      </w:r>
      <w:r w:rsidR="00C43934">
        <w:rPr>
          <w:rStyle w:val="FootnoteReference"/>
        </w:rPr>
        <w:footnoteReference w:id="9"/>
      </w:r>
      <w:r w:rsidRPr="00432674">
        <w:t xml:space="preserve"> </w:t>
      </w:r>
      <w:r w:rsidR="00C43934">
        <w:t xml:space="preserve">guidelines </w:t>
      </w:r>
      <w:r w:rsidRPr="00432674">
        <w:t>prepared by the Cancer Institute N</w:t>
      </w:r>
      <w:r w:rsidR="00C43934">
        <w:t xml:space="preserve">ew </w:t>
      </w:r>
      <w:r w:rsidRPr="00432674">
        <w:t>S</w:t>
      </w:r>
      <w:r w:rsidR="00C43934">
        <w:t xml:space="preserve">outh </w:t>
      </w:r>
      <w:r w:rsidRPr="00432674">
        <w:t>W</w:t>
      </w:r>
      <w:r w:rsidR="00C43934">
        <w:t>ales</w:t>
      </w:r>
      <w:r w:rsidRPr="00432674">
        <w:t xml:space="preserve"> recommend defibrotide prophylaxis in high risk paediatric and adult patients being treated with HSCT, although evidence to support this indication has not be</w:t>
      </w:r>
      <w:r w:rsidR="002973B5">
        <w:t>en included in this submission.</w:t>
      </w:r>
    </w:p>
    <w:p w14:paraId="70FF8B97" w14:textId="77777777" w:rsidR="00432674" w:rsidRPr="00432674" w:rsidRDefault="00432674" w:rsidP="00432674">
      <w:r w:rsidRPr="00432674">
        <w:t xml:space="preserve">While there is a history of use of defibrotide to treat severe VOD since 1995, the </w:t>
      </w:r>
      <w:r w:rsidR="00621612">
        <w:t>Delegate</w:t>
      </w:r>
      <w:r w:rsidRPr="00432674">
        <w:t xml:space="preserve"> notes that the pivotal study only commenced in 2005 and the product received its first market authorisation in 2013. The clinical module of this submission is therefore based on dated studies. It was notable that </w:t>
      </w:r>
      <w:r w:rsidR="00C43934">
        <w:t>at commencement of the pivotal S</w:t>
      </w:r>
      <w:r w:rsidRPr="00432674">
        <w:t>tudy 2005-01 a historical control group was required, rather than patients being randomised to defibrotide or placebo in a randomised controlled trial. This was ascribed to clinicians already considering defibrotide an acceptable treatment for VOD, and a placebo (standard care) arm no longer ethically acceptable to transplantation centres. A fo</w:t>
      </w:r>
      <w:r w:rsidR="007E1C5A">
        <w:t xml:space="preserve">llow </w:t>
      </w:r>
      <w:r w:rsidRPr="00432674">
        <w:t>up study requested by the EMA (</w:t>
      </w:r>
      <w:r w:rsidR="00C43934">
        <w:t xml:space="preserve">Study </w:t>
      </w:r>
      <w:r w:rsidRPr="00432674">
        <w:t xml:space="preserve">DF-VOD) was not completed for the same reason. Owing to these recruitment issues, the main study does have some weaknesses as identified above. The investigators applied very robust selection criteria to identify a population of </w:t>
      </w:r>
      <w:r w:rsidRPr="00432674">
        <w:lastRenderedPageBreak/>
        <w:t>some</w:t>
      </w:r>
      <w:r w:rsidR="00C43934">
        <w:t>what contemporaneous (1995 to</w:t>
      </w:r>
      <w:r w:rsidRPr="00432674">
        <w:t xml:space="preserve"> 2007) recipients of HSCT who, based on medical records, developed severe VOD and were not treated with defibrotide, in order to match the population prospectively enrolled to receive defibrotide according to defined criteria. While the populations were comparable on the basis of a range of demographic factors, it is notable that the defibrotide population was more likely to hav</w:t>
      </w:r>
      <w:r w:rsidR="00C43934">
        <w:t xml:space="preserve">e received </w:t>
      </w:r>
      <w:proofErr w:type="spellStart"/>
      <w:r w:rsidR="00C43934">
        <w:t>GvHD</w:t>
      </w:r>
      <w:proofErr w:type="spellEnd"/>
      <w:r w:rsidR="00C43934">
        <w:t xml:space="preserve"> treatment with </w:t>
      </w:r>
      <w:proofErr w:type="spellStart"/>
      <w:r w:rsidR="00C43934">
        <w:t>S</w:t>
      </w:r>
      <w:r w:rsidRPr="00432674">
        <w:t>irolimus</w:t>
      </w:r>
      <w:proofErr w:type="spellEnd"/>
      <w:r w:rsidRPr="00432674">
        <w:t>, which in combination with other medications may be associated with the development of VOD, and that this population may have been more severely ill at study inclusion, based on requirements for respiratory and renal support. The numerical improvement in survival at 100 days was supported by a numerical improvement in complete response rate (resolution of severe VOD) by 100 days in the defibrotide group, however further secondary objectives were not met, including overall survival which was numerically similar in defibrotide and historical control groups. While statistical associations were presented in the submission and in the clinical evaluation review, there are significant concerns with the statistical analyses presented for the pivotal efficacy study. These were also noted by both the FDA and EMA reviewers. The FDA evaluator included the following conclusions in the statistical evaluation report:</w:t>
      </w:r>
    </w:p>
    <w:p w14:paraId="169B0131" w14:textId="77777777" w:rsidR="00432674" w:rsidRPr="00432674" w:rsidRDefault="00432674" w:rsidP="00D2702C">
      <w:pPr>
        <w:ind w:left="720"/>
      </w:pPr>
      <w:r>
        <w:t>‘</w:t>
      </w:r>
      <w:r w:rsidRPr="00432674">
        <w:t>The significance level cannot be determined due to</w:t>
      </w:r>
      <w:r w:rsidR="00621612">
        <w:t xml:space="preserve"> many unplanned adaptations, for example</w:t>
      </w:r>
      <w:r w:rsidRPr="00432674">
        <w:t xml:space="preserve">. </w:t>
      </w:r>
      <w:proofErr w:type="gramStart"/>
      <w:r w:rsidRPr="00432674">
        <w:t>sample</w:t>
      </w:r>
      <w:proofErr w:type="gramEnd"/>
      <w:r w:rsidRPr="00432674">
        <w:t xml:space="preserve"> size reduction and plan</w:t>
      </w:r>
      <w:r w:rsidR="00D2702C">
        <w:t>ned/unplanned interim analyses.</w:t>
      </w:r>
    </w:p>
    <w:p w14:paraId="5389667A" w14:textId="77777777" w:rsidR="00432674" w:rsidRPr="00432674" w:rsidRDefault="00432674" w:rsidP="00D2702C">
      <w:pPr>
        <w:ind w:left="720"/>
      </w:pPr>
      <w:r w:rsidRPr="00432674">
        <w:t>Koch’s method does not allow for a sample size of 1 or smaller in any of the propensity score stratum and a size of 1 is observed in one of the stratum in the sponsor’s primary analysis…, therefore the reviewer does not consider the spons</w:t>
      </w:r>
      <w:r w:rsidR="00D2702C">
        <w:t>or’s primary analysis adequate.</w:t>
      </w:r>
    </w:p>
    <w:p w14:paraId="592D4091" w14:textId="77777777" w:rsidR="00432674" w:rsidRPr="00432674" w:rsidRDefault="00432674" w:rsidP="00D2702C">
      <w:pPr>
        <w:ind w:left="720"/>
      </w:pPr>
      <w:r w:rsidRPr="00432674">
        <w:t>Sensiti</w:t>
      </w:r>
      <w:r w:rsidR="00C43934">
        <w:t>vity analyses of D</w:t>
      </w:r>
      <w:r w:rsidRPr="00432674">
        <w:t>ay + 100 survival rate varied by which propensity score strata were used. The nominal p-values from the sensitivity analyses ranged from [redacted], so the sensitivity analyses could not confirm the sponsor’s primary analysis results.</w:t>
      </w:r>
      <w:r w:rsidR="00D2702C">
        <w:t>’</w:t>
      </w:r>
    </w:p>
    <w:p w14:paraId="3812EA3F" w14:textId="77777777" w:rsidR="00432674" w:rsidRPr="00432674" w:rsidRDefault="00432674" w:rsidP="00432674">
      <w:r w:rsidRPr="00432674">
        <w:t>The EMA evaluation also raised concerns with the historical control group in the pivotal study, both its small size and compara</w:t>
      </w:r>
      <w:r w:rsidR="00C43934">
        <w:t xml:space="preserve">bility to the treatment group. </w:t>
      </w:r>
      <w:r w:rsidRPr="00432674">
        <w:t>An initial CHMP conclusion in May 2013 that defibrotide was not approvable was ove</w:t>
      </w:r>
      <w:r w:rsidR="007E1C5A">
        <w:t>rturned following a re</w:t>
      </w:r>
      <w:r w:rsidR="007E1C5A" w:rsidRPr="00432674">
        <w:t>-examination</w:t>
      </w:r>
      <w:r w:rsidRPr="00432674">
        <w:t xml:space="preserve"> meeting requested by the applicant. Following the re-examination, w</w:t>
      </w:r>
      <w:r w:rsidR="00C43934">
        <w:t>hich also considered data from S</w:t>
      </w:r>
      <w:r w:rsidRPr="00432674">
        <w:t>tudy 2006-05 and CIBMTR, the CHMP opinion of July 2013 stated:</w:t>
      </w:r>
    </w:p>
    <w:p w14:paraId="48B1381F" w14:textId="77777777" w:rsidR="00432674" w:rsidRPr="00432674" w:rsidRDefault="00D2702C" w:rsidP="00D2702C">
      <w:pPr>
        <w:ind w:left="720"/>
      </w:pPr>
      <w:r>
        <w:t>‘</w:t>
      </w:r>
      <w:r w:rsidR="00432674" w:rsidRPr="00432674">
        <w:t>CHMP is of the view that the benefit risk balance of the above mentioned medicinal product can be considered positive in the treatment indication on the following grounds:</w:t>
      </w:r>
    </w:p>
    <w:p w14:paraId="51C2D0CE" w14:textId="77777777" w:rsidR="00432674" w:rsidRPr="00432674" w:rsidRDefault="00432674" w:rsidP="00D2702C">
      <w:pPr>
        <w:pStyle w:val="ListBullet3"/>
      </w:pPr>
      <w:r w:rsidRPr="00432674">
        <w:t>The HC group cannot stand alone but it is accepted that even recent registry data indicate that patients who do not receive defibrotide still have a very high mortality rate;</w:t>
      </w:r>
    </w:p>
    <w:p w14:paraId="39D15CFB" w14:textId="77777777" w:rsidR="00432674" w:rsidRPr="00432674" w:rsidRDefault="00432674" w:rsidP="00D2702C">
      <w:pPr>
        <w:pStyle w:val="ListBullet3"/>
      </w:pPr>
      <w:r w:rsidRPr="00432674">
        <w:t>The US treatment IND- study (2006-05) although uncontrolled indicate a beneficial effect on mortality of defibrotide;</w:t>
      </w:r>
    </w:p>
    <w:p w14:paraId="2FE8E379" w14:textId="77777777" w:rsidR="00432674" w:rsidRPr="00432674" w:rsidRDefault="00432674" w:rsidP="00D2702C">
      <w:pPr>
        <w:pStyle w:val="ListBullet3"/>
      </w:pPr>
      <w:r w:rsidRPr="00432674">
        <w:t>The CIBMTR data support that defibrotide increases the VOD resolution rate and reduces the mortality rate;</w:t>
      </w:r>
    </w:p>
    <w:p w14:paraId="146B6E14" w14:textId="77777777" w:rsidR="00432674" w:rsidRPr="00432674" w:rsidRDefault="00432674" w:rsidP="00D2702C">
      <w:pPr>
        <w:pStyle w:val="ListBullet3"/>
      </w:pPr>
      <w:r w:rsidRPr="00432674">
        <w:t>External control data is the only possible comparison.</w:t>
      </w:r>
      <w:r w:rsidR="00D2702C">
        <w:t>’</w:t>
      </w:r>
    </w:p>
    <w:p w14:paraId="786AB5ED" w14:textId="77777777" w:rsidR="00432674" w:rsidRPr="00432674" w:rsidRDefault="00432674" w:rsidP="00432674">
      <w:r w:rsidRPr="00432674">
        <w:t>Given the orphan status of the disease it is unlikely that further efficacy data will become available.</w:t>
      </w:r>
    </w:p>
    <w:p w14:paraId="30D23BEF" w14:textId="77777777" w:rsidR="00432674" w:rsidRPr="00432674" w:rsidRDefault="00432674" w:rsidP="00432674">
      <w:r w:rsidRPr="00432674">
        <w:t>The risks specific to defibrotide are difficult to elucidate in patients already receiving a wide range of medications and treatments, and the safety assessment is limited by t</w:t>
      </w:r>
      <w:r w:rsidR="00C43934">
        <w:t>he lack of safety data from a randomised controlled trial (R</w:t>
      </w:r>
      <w:r w:rsidRPr="00432674">
        <w:t>CT</w:t>
      </w:r>
      <w:r w:rsidR="00C43934">
        <w:t>)</w:t>
      </w:r>
      <w:r w:rsidR="007E1C5A">
        <w:t>. The pre</w:t>
      </w:r>
      <w:r w:rsidRPr="00432674">
        <w:t>clinical data and likely pro-fibrinolytic action of defibrotide indicate that haemorrhage is a potential A</w:t>
      </w:r>
      <w:r w:rsidR="00C43934">
        <w:t xml:space="preserve">E </w:t>
      </w:r>
      <w:r w:rsidR="00C43934">
        <w:lastRenderedPageBreak/>
        <w:t xml:space="preserve">associated with defibrotide. </w:t>
      </w:r>
      <w:r w:rsidRPr="00432674">
        <w:t>It should be noted however that the safety reports from the main and supportive studies included many adverse events, including haemorrhage, which may equally be a c</w:t>
      </w:r>
      <w:r w:rsidR="0045634C">
        <w:t xml:space="preserve">onsequence of HSCT, or of </w:t>
      </w:r>
      <w:proofErr w:type="spellStart"/>
      <w:r w:rsidR="0045634C">
        <w:t>GvHD</w:t>
      </w:r>
      <w:proofErr w:type="spellEnd"/>
      <w:r w:rsidR="0045634C">
        <w:t>.</w:t>
      </w:r>
    </w:p>
    <w:p w14:paraId="0C521CF7" w14:textId="77777777" w:rsidR="00432674" w:rsidRPr="00432674" w:rsidRDefault="00432674" w:rsidP="00432674">
      <w:r w:rsidRPr="00432674">
        <w:t>The methodology used to collect AE data from the medical records of patients receiving HSCT and treatment for hepatic VOD in a clinical setting rather t</w:t>
      </w:r>
      <w:r w:rsidR="007E1C5A">
        <w:t>han under the protocol of a pre</w:t>
      </w:r>
      <w:r w:rsidRPr="00432674">
        <w:t xml:space="preserve">defined clinical trial may not capture AE that are not as robustly recorded, as has been noted by the sponsor. Different AE could be recorded individually or included in a broader classification. Nevertheless, the studies included in this submission generally identified the same range of adverse events. Haemorrhage, particularly of the </w:t>
      </w:r>
      <w:r w:rsidR="00C43934">
        <w:t>gastrointestinal tract</w:t>
      </w:r>
      <w:r w:rsidRPr="00432674">
        <w:t xml:space="preserve"> and </w:t>
      </w:r>
      <w:r w:rsidR="0045634C">
        <w:t>central nervous system</w:t>
      </w:r>
      <w:r w:rsidRPr="00432674">
        <w:t xml:space="preserve"> is a documented complication of HSCT with clinically severe haemorrhage reported in 12% to 27% of all post-HSCT patients. The additional risk of bleeding proffered by defibrotide, and specifically in the paediatric population, would therefore be occurring in a clinical setting already actively monitoring for this complication. The analysis of haemorrhage </w:t>
      </w:r>
      <w:r w:rsidR="007E1C5A">
        <w:t>risk in younger patients by sub</w:t>
      </w:r>
      <w:r w:rsidRPr="00432674">
        <w:t>group is also complicated by small numbers in the subgroups.</w:t>
      </w:r>
    </w:p>
    <w:p w14:paraId="452DDABD" w14:textId="77777777" w:rsidR="00D2702C" w:rsidRPr="00D2702C" w:rsidRDefault="00432674" w:rsidP="0045634C">
      <w:r w:rsidRPr="00432674">
        <w:t xml:space="preserve">The pre-clinical, clinical and RMP evaluators have reviewed the summary of safety concerns and noted the important missing information and agreed that this accurately reflects the current state of knowledge regarding defibrotide. The weaknesses in the data </w:t>
      </w:r>
      <w:r w:rsidR="0045634C" w:rsidRPr="00432674">
        <w:t>are described in the PI.</w:t>
      </w:r>
    </w:p>
    <w:p w14:paraId="0B2D688B" w14:textId="77777777" w:rsidR="00D23139" w:rsidRDefault="00D23139" w:rsidP="00432674">
      <w:pPr>
        <w:pStyle w:val="Heading4"/>
      </w:pPr>
      <w:r w:rsidRPr="00D23139">
        <w:t>Proposed action</w:t>
      </w:r>
    </w:p>
    <w:p w14:paraId="609508BF" w14:textId="4BFC58E1" w:rsidR="00CB2A21" w:rsidRDefault="00CB2A21" w:rsidP="00D2702C">
      <w:r>
        <w:t>The Delegate had</w:t>
      </w:r>
      <w:r w:rsidRPr="00CB2A21">
        <w:t xml:space="preserve"> no reason to say, at this time, that the application for </w:t>
      </w:r>
      <w:proofErr w:type="spellStart"/>
      <w:r w:rsidRPr="00CB2A21">
        <w:t>Defitelio</w:t>
      </w:r>
      <w:proofErr w:type="spellEnd"/>
      <w:r w:rsidRPr="00CB2A21">
        <w:t xml:space="preserve"> should not be approved for registration.</w:t>
      </w:r>
    </w:p>
    <w:p w14:paraId="681054D7" w14:textId="27F0EBDB" w:rsidR="00D2702C" w:rsidRDefault="00D2702C" w:rsidP="00D2702C">
      <w:r>
        <w:t xml:space="preserve">The submission to register defibrotide includes a small number of predominantly open-label studies with methodological weaknesses, presented within the context of </w:t>
      </w:r>
      <w:r w:rsidRPr="00B324FE">
        <w:t>a database of clinical experience</w:t>
      </w:r>
      <w:r>
        <w:t xml:space="preserve"> in treating an orphan condition. In the absence of adequate control data,</w:t>
      </w:r>
      <w:r w:rsidR="0045634C">
        <w:t xml:space="preserve"> S</w:t>
      </w:r>
      <w:r>
        <w:t xml:space="preserve">tudies 2005-01, 2006-05, and 99-118 all show higher </w:t>
      </w:r>
      <w:r w:rsidR="0045634C">
        <w:t>survival and CR rates at D</w:t>
      </w:r>
      <w:r>
        <w:t>ay</w:t>
      </w:r>
      <w:r w:rsidR="00E75D31">
        <w:t> </w:t>
      </w:r>
      <w:r>
        <w:t>100 for patients who have developed severe VOD, when considered within the context of the literature. The data is supported by registry data and findings from compassionate use programs that indicate poorer survival in patients who have not been treated with defibrotide. Defibrotide will be used in clinical settings by physicians with experience in managing severely unwell patients on multiple medications. Within this orphan context in the absence of o</w:t>
      </w:r>
      <w:r w:rsidR="00621612">
        <w:t>ther appropriate treatment, the</w:t>
      </w:r>
      <w:r>
        <w:t xml:space="preserve"> </w:t>
      </w:r>
      <w:r w:rsidR="00621612">
        <w:t>Delegate</w:t>
      </w:r>
      <w:r>
        <w:t xml:space="preserve"> agrees that </w:t>
      </w:r>
      <w:r w:rsidRPr="00400A60">
        <w:t xml:space="preserve">the weight of the evidence </w:t>
      </w:r>
      <w:r>
        <w:t>is likely to suggest</w:t>
      </w:r>
      <w:r w:rsidRPr="00400A60">
        <w:t xml:space="preserve"> a</w:t>
      </w:r>
      <w:r>
        <w:t>t least a short-term</w:t>
      </w:r>
      <w:r w:rsidRPr="00400A60">
        <w:t xml:space="preserve"> survival benefit f</w:t>
      </w:r>
      <w:r>
        <w:t xml:space="preserve">or defibrotide in the treatment </w:t>
      </w:r>
      <w:r w:rsidRPr="00400A60">
        <w:t>of severe VOD.</w:t>
      </w:r>
    </w:p>
    <w:p w14:paraId="5593ACB9" w14:textId="77777777" w:rsidR="0045634C" w:rsidRPr="000E7384" w:rsidRDefault="0045634C" w:rsidP="0045634C">
      <w:pPr>
        <w:jc w:val="both"/>
        <w:rPr>
          <w:lang w:val="en-US"/>
        </w:rPr>
      </w:pPr>
      <w:r w:rsidRPr="000E7384">
        <w:t>Pending adv</w:t>
      </w:r>
      <w:r w:rsidR="007E1C5A">
        <w:t>ice from ACM and the sponsor’s pre-ACM r</w:t>
      </w:r>
      <w:r w:rsidRPr="000E7384">
        <w:t xml:space="preserve">esponse, the </w:t>
      </w:r>
      <w:r w:rsidR="00621612">
        <w:t>Delegate</w:t>
      </w:r>
      <w:r w:rsidRPr="000E7384">
        <w:t xml:space="preserve"> </w:t>
      </w:r>
      <w:r w:rsidRPr="000E7384">
        <w:rPr>
          <w:lang w:val="en-US"/>
        </w:rPr>
        <w:t>considers the benefit/risk profile to be positive and recommends approval for the indication:</w:t>
      </w:r>
    </w:p>
    <w:p w14:paraId="1D560F46" w14:textId="77777777" w:rsidR="0045634C" w:rsidRDefault="0045634C" w:rsidP="0045634C">
      <w:pPr>
        <w:ind w:left="720"/>
        <w:rPr>
          <w:i/>
        </w:rPr>
      </w:pPr>
      <w:r>
        <w:rPr>
          <w:i/>
        </w:rPr>
        <w:t xml:space="preserve">For the treatment of severe hepatic </w:t>
      </w:r>
      <w:proofErr w:type="spellStart"/>
      <w:r>
        <w:rPr>
          <w:i/>
        </w:rPr>
        <w:t>veno</w:t>
      </w:r>
      <w:proofErr w:type="spellEnd"/>
      <w:r>
        <w:rPr>
          <w:i/>
        </w:rPr>
        <w:t>-occlusive disease (VOD) also known as sinusoidal obstruction syndrome (SOS) in haematopoietic stem cell transplantation (HSCT) therapy</w:t>
      </w:r>
    </w:p>
    <w:p w14:paraId="0994B0A6" w14:textId="77777777" w:rsidR="0045634C" w:rsidRDefault="0045634C" w:rsidP="0045634C">
      <w:pPr>
        <w:ind w:left="720"/>
        <w:jc w:val="both"/>
      </w:pPr>
      <w:r>
        <w:rPr>
          <w:i/>
        </w:rPr>
        <w:t>It is indicated in adults and adolescents, children and infants of 1 month of age and above</w:t>
      </w:r>
      <w:r w:rsidRPr="00D2702C">
        <w:rPr>
          <w:i/>
        </w:rPr>
        <w:t>.</w:t>
      </w:r>
    </w:p>
    <w:p w14:paraId="284976F8" w14:textId="3F30FD4F" w:rsidR="007D53B6" w:rsidRDefault="007D53B6" w:rsidP="007D53B6">
      <w:pPr>
        <w:pStyle w:val="Heading4"/>
      </w:pPr>
      <w:r>
        <w:t>Request for Advisory Committee on Medicines advice</w:t>
      </w:r>
    </w:p>
    <w:p w14:paraId="2565D772" w14:textId="77777777" w:rsidR="00D2702C" w:rsidRPr="00317F90" w:rsidRDefault="00DC1BB2" w:rsidP="00D2702C">
      <w:pPr>
        <w:pStyle w:val="Numberbullet0"/>
      </w:pPr>
      <w:r>
        <w:t>Regarding the main clinical S</w:t>
      </w:r>
      <w:r w:rsidR="00D2702C" w:rsidRPr="00317F90">
        <w:t>tudy 2005-01, what are the views of the committee regarding a mixed comparator group from a number of centres that may not have shared similar protocols for</w:t>
      </w:r>
      <w:r w:rsidR="00D2702C">
        <w:t xml:space="preserve"> ‘standard treatment’</w:t>
      </w:r>
      <w:r w:rsidR="00D2702C" w:rsidRPr="00317F90">
        <w:t>?</w:t>
      </w:r>
    </w:p>
    <w:p w14:paraId="4F06F19A" w14:textId="77777777" w:rsidR="00D2702C" w:rsidRPr="00317F90" w:rsidRDefault="00D2702C" w:rsidP="00D2702C">
      <w:pPr>
        <w:pStyle w:val="Numberbullet0"/>
      </w:pPr>
      <w:r w:rsidRPr="00317F90">
        <w:t>What effect, if any, would the differences between the two groups at study entry have on the clinical outcomes?</w:t>
      </w:r>
    </w:p>
    <w:p w14:paraId="586F7BD5" w14:textId="77777777" w:rsidR="00D2702C" w:rsidRPr="00317F90" w:rsidRDefault="00D2702C" w:rsidP="00D2702C">
      <w:pPr>
        <w:pStyle w:val="Numberbullet0"/>
      </w:pPr>
      <w:r w:rsidRPr="00317F90">
        <w:lastRenderedPageBreak/>
        <w:t xml:space="preserve">What are the views of the committee regarding the results of </w:t>
      </w:r>
      <w:r w:rsidRPr="00317F90">
        <w:rPr>
          <w:i/>
        </w:rPr>
        <w:t xml:space="preserve">post hoc </w:t>
      </w:r>
      <w:r w:rsidRPr="00317F90">
        <w:t>changes to the statistical analysis plan?</w:t>
      </w:r>
    </w:p>
    <w:p w14:paraId="47EE80E1" w14:textId="77777777" w:rsidR="00D2702C" w:rsidRPr="00317F90" w:rsidRDefault="00D2702C" w:rsidP="00D2702C">
      <w:pPr>
        <w:pStyle w:val="Numberbullet0"/>
      </w:pPr>
      <w:r>
        <w:t>What are the views of the committee regarding the utility of the safety reports by paediatric subgroups?</w:t>
      </w:r>
    </w:p>
    <w:p w14:paraId="23D32429" w14:textId="77777777" w:rsidR="00D2702C" w:rsidRDefault="00D2702C" w:rsidP="00D2702C">
      <w:pPr>
        <w:pStyle w:val="Numberbullet0"/>
        <w:numPr>
          <w:ilvl w:val="0"/>
          <w:numId w:val="0"/>
        </w:numPr>
      </w:pPr>
      <w:r w:rsidRPr="00317F90">
        <w:t>The committee</w:t>
      </w:r>
      <w:r>
        <w:t xml:space="preserve"> is also</w:t>
      </w:r>
      <w:r w:rsidRPr="00317F90">
        <w:t xml:space="preserve"> requested to provide advice on any other issues that it thinks may be relevant to a decision on whether or not to approve this application.</w:t>
      </w:r>
    </w:p>
    <w:p w14:paraId="761F0C5D" w14:textId="77777777" w:rsidR="008E7846" w:rsidRDefault="008E7846" w:rsidP="007D53B6">
      <w:pPr>
        <w:pStyle w:val="Heading4"/>
      </w:pPr>
      <w:r>
        <w:t xml:space="preserve">Advisory Committee </w:t>
      </w:r>
      <w:r w:rsidR="007D53B6">
        <w:t>c</w:t>
      </w:r>
      <w:r>
        <w:t>onsiderations</w:t>
      </w:r>
      <w:r w:rsidR="00456765">
        <w:rPr>
          <w:rStyle w:val="FootnoteReference"/>
        </w:rPr>
        <w:footnoteReference w:id="10"/>
      </w:r>
    </w:p>
    <w:p w14:paraId="28822B20" w14:textId="77777777" w:rsidR="00E75D31" w:rsidRDefault="00456765" w:rsidP="008E7846">
      <w:pPr>
        <w:rPr>
          <w:bCs/>
        </w:rPr>
      </w:pPr>
      <w:r w:rsidRPr="00456765">
        <w:rPr>
          <w:bCs/>
        </w:rPr>
        <w:t>The Advisory Committee on Medicines (ACM), having considered the evaluations and the Delegate’s overview, as well as the sponsor’s response to these documents, advised the following</w:t>
      </w:r>
      <w:r w:rsidR="00E75D31">
        <w:rPr>
          <w:bCs/>
        </w:rPr>
        <w:t>.</w:t>
      </w:r>
    </w:p>
    <w:p w14:paraId="202A32F7" w14:textId="22504104" w:rsidR="008E7846" w:rsidRDefault="00E75D31" w:rsidP="00C51FA4">
      <w:pPr>
        <w:pStyle w:val="Heading5"/>
      </w:pPr>
      <w:r>
        <w:t>Specific advice</w:t>
      </w:r>
    </w:p>
    <w:p w14:paraId="0DF1E5DB" w14:textId="77777777" w:rsidR="00D2702C" w:rsidRPr="00D2702C" w:rsidRDefault="0045634C" w:rsidP="00D2702C">
      <w:pPr>
        <w:pStyle w:val="Numberbullet0"/>
        <w:numPr>
          <w:ilvl w:val="0"/>
          <w:numId w:val="13"/>
        </w:numPr>
        <w:rPr>
          <w:b/>
          <w:i/>
        </w:rPr>
      </w:pPr>
      <w:r>
        <w:rPr>
          <w:b/>
          <w:i/>
        </w:rPr>
        <w:t>Regarding the main clinical S</w:t>
      </w:r>
      <w:r w:rsidR="00D2702C" w:rsidRPr="00D2702C">
        <w:rPr>
          <w:b/>
          <w:i/>
        </w:rPr>
        <w:t xml:space="preserve">tudy 2005-01, what are the views of the committee regarding a mixed comparator group from a number of centres that may not have </w:t>
      </w:r>
      <w:r>
        <w:rPr>
          <w:b/>
          <w:i/>
        </w:rPr>
        <w:t>shared similar protocols for ‘standard treatment’</w:t>
      </w:r>
      <w:r w:rsidR="00D2702C" w:rsidRPr="00D2702C">
        <w:rPr>
          <w:b/>
          <w:i/>
        </w:rPr>
        <w:t>?</w:t>
      </w:r>
    </w:p>
    <w:p w14:paraId="140BB7E9" w14:textId="79115D5B" w:rsidR="00D2702C" w:rsidRPr="00D2702C" w:rsidRDefault="00D2702C" w:rsidP="00D2702C">
      <w:pPr>
        <w:rPr>
          <w:bCs/>
        </w:rPr>
      </w:pPr>
      <w:r w:rsidRPr="00D2702C">
        <w:rPr>
          <w:bCs/>
        </w:rPr>
        <w:t xml:space="preserve">The ACM advised that standard treatment for VOD were generally supportive measures. The number </w:t>
      </w:r>
      <w:r w:rsidR="0045634C">
        <w:rPr>
          <w:bCs/>
        </w:rPr>
        <w:t xml:space="preserve">of centres involved in </w:t>
      </w:r>
      <w:r w:rsidR="008C4739">
        <w:rPr>
          <w:bCs/>
        </w:rPr>
        <w:t>clinical</w:t>
      </w:r>
      <w:r w:rsidR="0045634C">
        <w:rPr>
          <w:bCs/>
        </w:rPr>
        <w:t xml:space="preserve"> S</w:t>
      </w:r>
      <w:r w:rsidRPr="00D2702C">
        <w:rPr>
          <w:bCs/>
        </w:rPr>
        <w:t xml:space="preserve">tudy 2005-01 were large experienced centres who were major players in the world transplant community. It is </w:t>
      </w:r>
      <w:r w:rsidR="0045634C">
        <w:rPr>
          <w:bCs/>
        </w:rPr>
        <w:t>unlikely slight differences in ‘standard treatment’</w:t>
      </w:r>
      <w:r w:rsidRPr="00D2702C">
        <w:rPr>
          <w:bCs/>
        </w:rPr>
        <w:t xml:space="preserve"> protocol will have a significant impact on the clinical outcome of the study. The ACM noted that early diagnosis and treatment, including </w:t>
      </w:r>
      <w:r w:rsidR="0045634C" w:rsidRPr="00D2702C">
        <w:rPr>
          <w:bCs/>
        </w:rPr>
        <w:t>defibrotide</w:t>
      </w:r>
      <w:r w:rsidRPr="00D2702C">
        <w:rPr>
          <w:bCs/>
        </w:rPr>
        <w:t>, is important in the treatment of VOD.</w:t>
      </w:r>
    </w:p>
    <w:p w14:paraId="209B25B6" w14:textId="77777777" w:rsidR="00D2702C" w:rsidRPr="00D2702C" w:rsidRDefault="00D2702C" w:rsidP="00D2702C">
      <w:pPr>
        <w:pStyle w:val="Numberbullet0"/>
        <w:rPr>
          <w:b/>
          <w:i/>
        </w:rPr>
      </w:pPr>
      <w:r w:rsidRPr="00D2702C">
        <w:rPr>
          <w:b/>
          <w:i/>
        </w:rPr>
        <w:t>What effect, if any, would the differences between the two groups at study entry have on the clinical outcomes?</w:t>
      </w:r>
    </w:p>
    <w:p w14:paraId="7B027634" w14:textId="77777777" w:rsidR="00D2702C" w:rsidRDefault="00D2702C" w:rsidP="00D2702C">
      <w:pPr>
        <w:rPr>
          <w:bCs/>
        </w:rPr>
      </w:pPr>
      <w:r w:rsidRPr="00D2702C">
        <w:rPr>
          <w:bCs/>
        </w:rPr>
        <w:t xml:space="preserve">The ACM noted that although a higher incidence of VOD may be </w:t>
      </w:r>
      <w:r w:rsidR="0045634C" w:rsidRPr="00D2702C">
        <w:rPr>
          <w:bCs/>
        </w:rPr>
        <w:t>associated</w:t>
      </w:r>
      <w:r w:rsidR="0045634C">
        <w:rPr>
          <w:bCs/>
        </w:rPr>
        <w:t xml:space="preserve"> with use of </w:t>
      </w:r>
      <w:proofErr w:type="spellStart"/>
      <w:r w:rsidR="0045634C">
        <w:rPr>
          <w:bCs/>
        </w:rPr>
        <w:t>S</w:t>
      </w:r>
      <w:r w:rsidRPr="00D2702C">
        <w:rPr>
          <w:bCs/>
        </w:rPr>
        <w:t>irolimus</w:t>
      </w:r>
      <w:proofErr w:type="spellEnd"/>
      <w:r w:rsidRPr="00D2702C">
        <w:rPr>
          <w:bCs/>
        </w:rPr>
        <w:t xml:space="preserve"> as </w:t>
      </w:r>
      <w:proofErr w:type="spellStart"/>
      <w:r w:rsidRPr="00D2702C">
        <w:rPr>
          <w:bCs/>
        </w:rPr>
        <w:t>GvHD</w:t>
      </w:r>
      <w:proofErr w:type="spellEnd"/>
      <w:r w:rsidRPr="00D2702C">
        <w:rPr>
          <w:bCs/>
        </w:rPr>
        <w:t xml:space="preserve"> prophylaxis, no increase in deaths has been observed. The higher portion of patients who were ventilator/dialysis dependent suggests patients in the defibrotide treatment group may have been more severely ill at study entry. There is no</w:t>
      </w:r>
      <w:r>
        <w:rPr>
          <w:bCs/>
        </w:rPr>
        <w:t xml:space="preserve"> </w:t>
      </w:r>
      <w:r w:rsidRPr="00D2702C">
        <w:rPr>
          <w:bCs/>
        </w:rPr>
        <w:t xml:space="preserve">clinical data or experience to suggest that the use of different </w:t>
      </w:r>
      <w:proofErr w:type="spellStart"/>
      <w:r w:rsidRPr="00D2702C">
        <w:rPr>
          <w:bCs/>
        </w:rPr>
        <w:t>GvHD</w:t>
      </w:r>
      <w:proofErr w:type="spellEnd"/>
      <w:r w:rsidRPr="00D2702C">
        <w:rPr>
          <w:bCs/>
        </w:rPr>
        <w:t xml:space="preserve"> prophylaxis will </w:t>
      </w:r>
      <w:r w:rsidR="0045634C" w:rsidRPr="00D2702C">
        <w:rPr>
          <w:bCs/>
        </w:rPr>
        <w:t>affect</w:t>
      </w:r>
      <w:r w:rsidRPr="00D2702C">
        <w:rPr>
          <w:bCs/>
        </w:rPr>
        <w:t xml:space="preserve"> the clinical course of VOD once it is established</w:t>
      </w:r>
      <w:r>
        <w:rPr>
          <w:bCs/>
        </w:rPr>
        <w:t>.</w:t>
      </w:r>
    </w:p>
    <w:p w14:paraId="287DA6D9" w14:textId="77777777" w:rsidR="00D2702C" w:rsidRPr="000E3086" w:rsidRDefault="00D2702C" w:rsidP="000E3086">
      <w:pPr>
        <w:pStyle w:val="Numberbullet0"/>
        <w:rPr>
          <w:b/>
          <w:i/>
        </w:rPr>
      </w:pPr>
      <w:r w:rsidRPr="000E3086">
        <w:rPr>
          <w:b/>
          <w:i/>
        </w:rPr>
        <w:t>What are the views of the committee regarding the results of post hoc changes to the</w:t>
      </w:r>
      <w:r w:rsidR="000E3086" w:rsidRPr="000E3086">
        <w:rPr>
          <w:b/>
          <w:i/>
        </w:rPr>
        <w:t xml:space="preserve"> </w:t>
      </w:r>
      <w:r w:rsidRPr="000E3086">
        <w:rPr>
          <w:b/>
          <w:i/>
        </w:rPr>
        <w:t>statistical analysis plan?</w:t>
      </w:r>
    </w:p>
    <w:p w14:paraId="77769358" w14:textId="77777777" w:rsidR="00D2702C" w:rsidRDefault="00D2702C" w:rsidP="00D2702C">
      <w:pPr>
        <w:rPr>
          <w:bCs/>
        </w:rPr>
      </w:pPr>
      <w:r w:rsidRPr="00D2702C">
        <w:rPr>
          <w:bCs/>
        </w:rPr>
        <w:t>The committee expressed concern with the small size and the possible selection bias in the HC group in the pivotal study. The numerical difference observed in the Day 100 survival between the defibrotide treatment group and the HCT group has not been confirmed with appropriate statistical approaches. The committee acknowledged that clinicians consider defibrotide as an acceptable t</w:t>
      </w:r>
      <w:r w:rsidR="007E1C5A">
        <w:rPr>
          <w:bCs/>
        </w:rPr>
        <w:t xml:space="preserve">reatment for VOD, and a placebo </w:t>
      </w:r>
      <w:r w:rsidRPr="00D2702C">
        <w:rPr>
          <w:bCs/>
        </w:rPr>
        <w:t xml:space="preserve">controlled trial with standard care is not feasible. As clinicians considered defibrotide as acceptable treatment for VOD, the control arm (standard treatment without defibrotide) of any placebo controlled trials will be considered unethical by transplant centres and further randomised controlled trials will be unlikely. The data from both the pivotal study and the </w:t>
      </w:r>
      <w:r w:rsidRPr="00D2702C">
        <w:rPr>
          <w:bCs/>
        </w:rPr>
        <w:lastRenderedPageBreak/>
        <w:t>additional supporting studies, although not statistically confirmed, appear to support the claims for efficacy of defibrotide in treatment of severe VOD. The committee is of the view that despite the flaws in the evidence provided, defibrotide appears to confer a survival advantage for the proposed indication.</w:t>
      </w:r>
    </w:p>
    <w:p w14:paraId="1AFF7FDF" w14:textId="77777777" w:rsidR="000E3086" w:rsidRPr="000E3086" w:rsidRDefault="000E3086" w:rsidP="006D5E69">
      <w:pPr>
        <w:pStyle w:val="Numberbullet0"/>
        <w:keepNext/>
        <w:rPr>
          <w:b/>
          <w:i/>
        </w:rPr>
      </w:pPr>
      <w:r w:rsidRPr="000E3086">
        <w:rPr>
          <w:b/>
          <w:i/>
        </w:rPr>
        <w:t>What are the views of the committee regarding the utility of the safety reports by paediatric subgroups?</w:t>
      </w:r>
    </w:p>
    <w:p w14:paraId="56D94CE0" w14:textId="2E39963F" w:rsidR="000E3086" w:rsidRDefault="000E3086" w:rsidP="000E3086">
      <w:pPr>
        <w:rPr>
          <w:bCs/>
        </w:rPr>
      </w:pPr>
      <w:r w:rsidRPr="000E3086">
        <w:rPr>
          <w:bCs/>
        </w:rPr>
        <w:t xml:space="preserve">The ACM expressed concern regarding the trend to higher incidence of pulmonary haemorrhage in younger patients, especially infants, but noted that pulmonary haemorrhage is a known complication of HSCT in </w:t>
      </w:r>
      <w:r w:rsidR="0045634C" w:rsidRPr="000E3086">
        <w:rPr>
          <w:bCs/>
        </w:rPr>
        <w:t>paediatric</w:t>
      </w:r>
      <w:r w:rsidRPr="000E3086">
        <w:rPr>
          <w:bCs/>
        </w:rPr>
        <w:t xml:space="preserve"> patients. The committee considered that the spectrum of diseases for which these patients are often treated with HSCT may also be associated with pulmonary haemorrhage. In the paediatric prophylaxis study (Study 2004-00592-33), the pattern of pulmonary haemorrhage was similar in both arms.</w:t>
      </w:r>
    </w:p>
    <w:p w14:paraId="7245B970" w14:textId="7B811A1C" w:rsidR="00E75D31" w:rsidRDefault="00E75D31" w:rsidP="00C51FA4">
      <w:pPr>
        <w:pStyle w:val="Heading5"/>
      </w:pPr>
      <w:r>
        <w:t>Advisory Committee recommendation</w:t>
      </w:r>
    </w:p>
    <w:p w14:paraId="6967166C" w14:textId="77777777" w:rsidR="000E3086" w:rsidRPr="000E3086" w:rsidRDefault="0045634C" w:rsidP="000E3086">
      <w:pPr>
        <w:rPr>
          <w:bCs/>
        </w:rPr>
      </w:pPr>
      <w:r>
        <w:rPr>
          <w:bCs/>
        </w:rPr>
        <w:t>Overall, t</w:t>
      </w:r>
      <w:r w:rsidR="000E3086" w:rsidRPr="000E3086">
        <w:rPr>
          <w:bCs/>
        </w:rPr>
        <w:t>he ACM considered that this product had an overall positive benefit-risk profile for the indication:</w:t>
      </w:r>
    </w:p>
    <w:p w14:paraId="32D42066" w14:textId="77777777" w:rsidR="000E3086" w:rsidRPr="000E3086" w:rsidRDefault="000E3086" w:rsidP="000E3086">
      <w:pPr>
        <w:ind w:left="720"/>
        <w:rPr>
          <w:bCs/>
          <w:i/>
        </w:rPr>
      </w:pPr>
      <w:proofErr w:type="spellStart"/>
      <w:r w:rsidRPr="000E3086">
        <w:rPr>
          <w:bCs/>
          <w:i/>
        </w:rPr>
        <w:t>Defitelio</w:t>
      </w:r>
      <w:proofErr w:type="spellEnd"/>
      <w:r w:rsidRPr="000E3086">
        <w:rPr>
          <w:bCs/>
          <w:i/>
        </w:rPr>
        <w:t xml:space="preserve"> is indicated for the treatment of severe hepatic </w:t>
      </w:r>
      <w:proofErr w:type="spellStart"/>
      <w:r w:rsidRPr="000E3086">
        <w:rPr>
          <w:bCs/>
          <w:i/>
        </w:rPr>
        <w:t>veno</w:t>
      </w:r>
      <w:proofErr w:type="spellEnd"/>
      <w:r w:rsidRPr="000E3086">
        <w:rPr>
          <w:bCs/>
          <w:i/>
        </w:rPr>
        <w:t xml:space="preserve"> occlusive disease (VOD) also</w:t>
      </w:r>
      <w:r>
        <w:rPr>
          <w:bCs/>
          <w:i/>
        </w:rPr>
        <w:t xml:space="preserve"> </w:t>
      </w:r>
      <w:r w:rsidRPr="000E3086">
        <w:rPr>
          <w:bCs/>
          <w:i/>
        </w:rPr>
        <w:t>known as sinusoidal obstruction syndrome (SOS) in haematopo</w:t>
      </w:r>
      <w:r>
        <w:rPr>
          <w:bCs/>
          <w:i/>
        </w:rPr>
        <w:t xml:space="preserve">ietic stem cell transplantation </w:t>
      </w:r>
      <w:r w:rsidRPr="000E3086">
        <w:rPr>
          <w:bCs/>
          <w:i/>
        </w:rPr>
        <w:t>(HSCT) therapy.</w:t>
      </w:r>
    </w:p>
    <w:p w14:paraId="0EEBC9DE" w14:textId="77777777" w:rsidR="000E3086" w:rsidRPr="000E3086" w:rsidRDefault="000E3086" w:rsidP="000E3086">
      <w:pPr>
        <w:ind w:left="720"/>
        <w:rPr>
          <w:bCs/>
          <w:i/>
        </w:rPr>
      </w:pPr>
      <w:r w:rsidRPr="000E3086">
        <w:rPr>
          <w:bCs/>
          <w:i/>
        </w:rPr>
        <w:t xml:space="preserve">It is indicated in adults and in adolescents, children </w:t>
      </w:r>
      <w:r>
        <w:rPr>
          <w:bCs/>
          <w:i/>
        </w:rPr>
        <w:t xml:space="preserve">and infants of 1 month of age </w:t>
      </w:r>
      <w:r w:rsidRPr="000E3086">
        <w:rPr>
          <w:bCs/>
          <w:i/>
        </w:rPr>
        <w:t>and above</w:t>
      </w:r>
      <w:r>
        <w:rPr>
          <w:bCs/>
        </w:rPr>
        <w:t>.</w:t>
      </w:r>
    </w:p>
    <w:p w14:paraId="06ABF0D7" w14:textId="77777777" w:rsidR="008E7846" w:rsidRPr="002E238E" w:rsidRDefault="008E7846" w:rsidP="008E7846">
      <w:pPr>
        <w:pStyle w:val="Heading3"/>
      </w:pPr>
      <w:bookmarkStart w:id="62" w:name="_Toc247691532"/>
      <w:bookmarkStart w:id="63" w:name="_Toc314842516"/>
      <w:bookmarkStart w:id="64" w:name="_Toc56604933"/>
      <w:bookmarkEnd w:id="32"/>
      <w:bookmarkEnd w:id="60"/>
      <w:bookmarkEnd w:id="61"/>
      <w:r>
        <w:t>Outcome</w:t>
      </w:r>
      <w:bookmarkEnd w:id="62"/>
      <w:bookmarkEnd w:id="63"/>
      <w:bookmarkEnd w:id="64"/>
    </w:p>
    <w:p w14:paraId="0D431B82" w14:textId="77777777" w:rsidR="007D53B6" w:rsidRDefault="007D53B6" w:rsidP="007D53B6">
      <w:bookmarkStart w:id="65" w:name="_Toc247691533"/>
      <w:bookmarkStart w:id="66" w:name="_Toc314842517"/>
      <w:r>
        <w:t xml:space="preserve">Based on a review of quality, safety and efficacy, TGA approved the registration of </w:t>
      </w:r>
      <w:proofErr w:type="spellStart"/>
      <w:r w:rsidR="000E3086">
        <w:t>Defitelio</w:t>
      </w:r>
      <w:proofErr w:type="spellEnd"/>
      <w:r w:rsidR="00C94D24">
        <w:t xml:space="preserve"> (defibrotide)</w:t>
      </w:r>
      <w:r w:rsidR="000E3086">
        <w:t xml:space="preserve"> for 200</w:t>
      </w:r>
      <w:r w:rsidR="00DC1BB2">
        <w:t xml:space="preserve"> </w:t>
      </w:r>
      <w:r w:rsidR="000E3086">
        <w:t>mg/2.5</w:t>
      </w:r>
      <w:r w:rsidR="00DC1BB2">
        <w:t xml:space="preserve"> </w:t>
      </w:r>
      <w:r w:rsidR="000E3086">
        <w:t>mL concentrated solution fo</w:t>
      </w:r>
      <w:r w:rsidR="00C94D24">
        <w:t>r infusion</w:t>
      </w:r>
      <w:r>
        <w:t>, indic</w:t>
      </w:r>
      <w:r w:rsidR="000E3086">
        <w:t>ated for</w:t>
      </w:r>
      <w:r>
        <w:t>:</w:t>
      </w:r>
    </w:p>
    <w:p w14:paraId="628314EE" w14:textId="77777777" w:rsidR="000E3086" w:rsidRPr="000E3086" w:rsidRDefault="000E3086" w:rsidP="000E3086">
      <w:pPr>
        <w:ind w:left="720"/>
        <w:rPr>
          <w:i/>
        </w:rPr>
      </w:pPr>
      <w:proofErr w:type="spellStart"/>
      <w:r w:rsidRPr="000E3086">
        <w:rPr>
          <w:i/>
        </w:rPr>
        <w:t>Defitelio</w:t>
      </w:r>
      <w:proofErr w:type="spellEnd"/>
      <w:r w:rsidRPr="000E3086">
        <w:rPr>
          <w:i/>
        </w:rPr>
        <w:t xml:space="preserve"> is indicated for the treatment of severe hepatic </w:t>
      </w:r>
      <w:proofErr w:type="spellStart"/>
      <w:r w:rsidRPr="000E3086">
        <w:rPr>
          <w:i/>
        </w:rPr>
        <w:t>veno</w:t>
      </w:r>
      <w:proofErr w:type="spellEnd"/>
      <w:r w:rsidRPr="000E3086">
        <w:rPr>
          <w:i/>
        </w:rPr>
        <w:t>-occlusive disease (VOD) also known as sinusoidal obstruction syndrome (SOS) in haematopoietic stem-cell transplantation (HSCT) therapy.</w:t>
      </w:r>
    </w:p>
    <w:p w14:paraId="59C6CBF8" w14:textId="77777777" w:rsidR="007D53B6" w:rsidRPr="000E3086" w:rsidRDefault="000E3086" w:rsidP="000E3086">
      <w:pPr>
        <w:ind w:left="720"/>
        <w:rPr>
          <w:i/>
        </w:rPr>
      </w:pPr>
      <w:r w:rsidRPr="000E3086">
        <w:rPr>
          <w:i/>
        </w:rPr>
        <w:t>It is indicated in adults and in adolescents, children and infants of 1 month of age and above.</w:t>
      </w:r>
    </w:p>
    <w:p w14:paraId="3A8BDD4F" w14:textId="77777777" w:rsidR="00D23139" w:rsidRPr="00D23139" w:rsidRDefault="00D23139" w:rsidP="00D23139">
      <w:pPr>
        <w:pStyle w:val="Heading4"/>
      </w:pPr>
      <w:r w:rsidRPr="00D23139">
        <w:t>Specific conditions of registration applying to these goods</w:t>
      </w:r>
    </w:p>
    <w:p w14:paraId="22B5EEFA" w14:textId="77777777" w:rsidR="000E3086" w:rsidRDefault="00A24B4D" w:rsidP="0045634C">
      <w:pPr>
        <w:pStyle w:val="ListBullet"/>
      </w:pPr>
      <w:proofErr w:type="spellStart"/>
      <w:r>
        <w:t>Defitelio</w:t>
      </w:r>
      <w:proofErr w:type="spellEnd"/>
      <w:r>
        <w:t xml:space="preserve"> (d</w:t>
      </w:r>
      <w:r w:rsidR="000E3086">
        <w:t xml:space="preserve">efibrotide) is to be included in the Black Triangle Scheme. The PI (including the PI as package insert) and </w:t>
      </w:r>
      <w:r w:rsidR="0045634C" w:rsidRPr="0045634C">
        <w:t xml:space="preserve">Consumer Medicine Information </w:t>
      </w:r>
      <w:r w:rsidR="0045634C">
        <w:t>(</w:t>
      </w:r>
      <w:r w:rsidR="000E3086">
        <w:t>CMI</w:t>
      </w:r>
      <w:r w:rsidR="0045634C">
        <w:t>)</w:t>
      </w:r>
      <w:r w:rsidR="000E3086">
        <w:t xml:space="preserve"> for </w:t>
      </w:r>
      <w:proofErr w:type="spellStart"/>
      <w:r w:rsidR="000E3086">
        <w:t>D</w:t>
      </w:r>
      <w:r w:rsidR="0045634C">
        <w:t>efitelio</w:t>
      </w:r>
      <w:proofErr w:type="spellEnd"/>
      <w:r w:rsidR="009061DA">
        <w:t xml:space="preserve"> must include the Black Triangle S</w:t>
      </w:r>
      <w:r w:rsidR="000E3086">
        <w:t>ymbol and mandatory accompanying text for five years, which starts from the date that the sponsor notifies the TGA of supply of the product</w:t>
      </w:r>
    </w:p>
    <w:p w14:paraId="389DA70A" w14:textId="77777777" w:rsidR="000E3086" w:rsidRDefault="000E3086" w:rsidP="000E3086">
      <w:pPr>
        <w:pStyle w:val="ListBullet"/>
      </w:pPr>
      <w:r>
        <w:t xml:space="preserve">The </w:t>
      </w:r>
      <w:proofErr w:type="spellStart"/>
      <w:r>
        <w:t>Defitelio</w:t>
      </w:r>
      <w:proofErr w:type="spellEnd"/>
      <w:r>
        <w:t xml:space="preserve"> EU-</w:t>
      </w:r>
      <w:r w:rsidR="0045634C">
        <w:t>RMP</w:t>
      </w:r>
      <w:r>
        <w:t xml:space="preserve"> (version 7.0, dated 19 December 2019, </w:t>
      </w:r>
      <w:r w:rsidR="0045634C">
        <w:t>DLP</w:t>
      </w:r>
      <w:r>
        <w:t xml:space="preserve"> 18 October 2019), with </w:t>
      </w:r>
      <w:r w:rsidR="0045634C">
        <w:t>ASA</w:t>
      </w:r>
      <w:r>
        <w:t xml:space="preserve"> (version 1.0, dated June 2020), included </w:t>
      </w:r>
      <w:r w:rsidR="006F1C9C">
        <w:t>with submission PM-2019-01763-1-</w:t>
      </w:r>
      <w:r>
        <w:t>3, and any subsequent revisions, as agreed with the TGA will be implemented in Australia.</w:t>
      </w:r>
    </w:p>
    <w:p w14:paraId="131E09A5" w14:textId="77777777" w:rsidR="000E3086" w:rsidRDefault="000E3086" w:rsidP="000E3086">
      <w:pPr>
        <w:pStyle w:val="ListBullet"/>
        <w:numPr>
          <w:ilvl w:val="0"/>
          <w:numId w:val="0"/>
        </w:numPr>
        <w:ind w:left="360"/>
      </w:pPr>
      <w:r>
        <w:t xml:space="preserve">An obligatory component of risk management plans is routine pharmacovigilance. Routine pharmacovigilance includes the submission of </w:t>
      </w:r>
      <w:r w:rsidR="0045634C">
        <w:t>PSURs</w:t>
      </w:r>
      <w:r>
        <w:t>.</w:t>
      </w:r>
    </w:p>
    <w:p w14:paraId="0264BEB6" w14:textId="77777777" w:rsidR="000E3086" w:rsidRDefault="000E3086" w:rsidP="000E3086">
      <w:pPr>
        <w:pStyle w:val="ListBullet"/>
        <w:numPr>
          <w:ilvl w:val="0"/>
          <w:numId w:val="0"/>
        </w:numPr>
        <w:ind w:left="360"/>
      </w:pPr>
      <w:r>
        <w:t>Reports are to be provided in line with the current published list of EU reference dates and frequency of submission of PSURs until the period covered by such reports is not less than three years from the date of the approval letter.</w:t>
      </w:r>
    </w:p>
    <w:p w14:paraId="6DF4EF55" w14:textId="0A069A08" w:rsidR="000E3086" w:rsidRDefault="000E3086" w:rsidP="000E3086">
      <w:pPr>
        <w:pStyle w:val="ListBullet"/>
      </w:pPr>
      <w:r>
        <w:lastRenderedPageBreak/>
        <w:t xml:space="preserve">All batches of </w:t>
      </w:r>
      <w:proofErr w:type="spellStart"/>
      <w:r>
        <w:t>Defitelio</w:t>
      </w:r>
      <w:proofErr w:type="spellEnd"/>
      <w:r>
        <w:t xml:space="preserve"> (defibrotide) imported into Australia must comply with the product details and specifications approved during evaluation and detailed in the </w:t>
      </w:r>
      <w:r w:rsidR="0045634C">
        <w:t>CPD</w:t>
      </w:r>
      <w:r>
        <w:t>.</w:t>
      </w:r>
    </w:p>
    <w:p w14:paraId="4D39A0F6" w14:textId="7E950A04" w:rsidR="00E63D02" w:rsidRPr="00E63D02" w:rsidRDefault="00E63D02" w:rsidP="00E63D02">
      <w:pPr>
        <w:pStyle w:val="ListBullet"/>
      </w:pPr>
      <w:r w:rsidRPr="00E63D02">
        <w:t xml:space="preserve">Up to five (5) initial batches of </w:t>
      </w:r>
      <w:proofErr w:type="spellStart"/>
      <w:r w:rsidRPr="00E63D02">
        <w:t>Defitelio</w:t>
      </w:r>
      <w:proofErr w:type="spellEnd"/>
      <w:r w:rsidRPr="00E63D02">
        <w:t xml:space="preserve"> (defibrotide) imported into Australia is not released for sale until samples and/or the manufacturer’s release data have been assessed and endorsed for release by the TGA Laboratories Branch. Outcomes of laboratory testing are published biannually in the TGA Database of Laboratory Testing Results http://www.tga.gov.au/ws-labs-index.</w:t>
      </w:r>
    </w:p>
    <w:p w14:paraId="36E0D735" w14:textId="77777777" w:rsidR="00E63D02" w:rsidRPr="00E63D02" w:rsidRDefault="00E63D02" w:rsidP="00C51FA4">
      <w:pPr>
        <w:pStyle w:val="ListBullet"/>
        <w:numPr>
          <w:ilvl w:val="0"/>
          <w:numId w:val="0"/>
        </w:numPr>
        <w:ind w:left="360"/>
      </w:pPr>
      <w:r w:rsidRPr="00E63D02">
        <w:t>Sponsor should be prepared to provide product samples, reference materials and documentary evidence as defined by the TGA Laboratories branch. Sponsor must contact Biochemistry.Testing@health.gov.au for specific material requirements related to the batch release testing/assessment of the product. More information on TGA testing of biological medicines is available at https://www.tga.gov.au/publication/testingbiological-medicines</w:t>
      </w:r>
    </w:p>
    <w:p w14:paraId="17498F28" w14:textId="4D281DDB" w:rsidR="000E3086" w:rsidRDefault="00E63D02" w:rsidP="000E3086">
      <w:pPr>
        <w:pStyle w:val="ListBullet"/>
      </w:pPr>
      <w:r w:rsidRPr="00E63D02">
        <w:t>This batch release condition will be reviewed and may be modified on the basis of actual batch quality and consistency.</w:t>
      </w:r>
      <w:r w:rsidR="00276EF8">
        <w:fldChar w:fldCharType="begin"/>
      </w:r>
      <w:r w:rsidR="00276EF8">
        <w:instrText xml:space="preserve"> NOTEREF _Ref57356265 \f \h </w:instrText>
      </w:r>
      <w:r w:rsidR="00276EF8">
        <w:fldChar w:fldCharType="separate"/>
      </w:r>
      <w:r w:rsidR="00276EF8" w:rsidRPr="00C51FA4">
        <w:rPr>
          <w:rStyle w:val="FootnoteReference"/>
        </w:rPr>
        <w:t>2</w:t>
      </w:r>
      <w:r w:rsidR="00276EF8">
        <w:fldChar w:fldCharType="end"/>
      </w:r>
      <w:r w:rsidR="000E3086">
        <w:t>Certified Product Details</w:t>
      </w:r>
    </w:p>
    <w:p w14:paraId="7C05AC46" w14:textId="77777777" w:rsidR="000E3086" w:rsidRDefault="000E3086" w:rsidP="000E3086">
      <w:pPr>
        <w:pStyle w:val="ListBullet"/>
        <w:numPr>
          <w:ilvl w:val="0"/>
          <w:numId w:val="0"/>
        </w:numPr>
        <w:ind w:left="360"/>
      </w:pPr>
      <w:r>
        <w:t>The CPD, as described in Guidance 7: Certified Product Details of the Australian Regulatory Guidelines for</w:t>
      </w:r>
      <w:r w:rsidR="00A24B4D">
        <w:t xml:space="preserve"> Prescription Medicine</w:t>
      </w:r>
      <w:r>
        <w:t xml:space="preserve"> (http://www.tga.gov.au/industry/pm-argpm-guidance-7.htm), in PDF format, for the products should be provided upon registration of these therapeutic goods. In addition, an updated CPD should be provided when changes to finished product specifications and test methods are approved in a Category 3 application or notified through a self-assessable change.</w:t>
      </w:r>
      <w:r w:rsidRPr="000E3086">
        <w:t xml:space="preserve"> </w:t>
      </w:r>
      <w:r>
        <w:t>CPDs should be emailed to Biochemistry.Testing@health.gov.au as a single PDF document.</w:t>
      </w:r>
    </w:p>
    <w:p w14:paraId="00AEE2DC" w14:textId="77777777" w:rsidR="008E7846" w:rsidRDefault="00A80B5B" w:rsidP="00D23139">
      <w:pPr>
        <w:pStyle w:val="Heading2"/>
      </w:pPr>
      <w:bookmarkStart w:id="67" w:name="_Toc56604934"/>
      <w:r>
        <w:t xml:space="preserve">Attachment 1. </w:t>
      </w:r>
      <w:r w:rsidR="008E7846">
        <w:t xml:space="preserve">Product </w:t>
      </w:r>
      <w:r w:rsidR="00AA0ED0">
        <w:t>I</w:t>
      </w:r>
      <w:r w:rsidR="008E7846">
        <w:t>nformation</w:t>
      </w:r>
      <w:bookmarkEnd w:id="65"/>
      <w:bookmarkEnd w:id="66"/>
      <w:bookmarkEnd w:id="67"/>
    </w:p>
    <w:p w14:paraId="5041B4EA" w14:textId="77777777" w:rsidR="00C80137" w:rsidRDefault="006136D7" w:rsidP="00C80137">
      <w:pPr>
        <w:rPr>
          <w:color w:val="000000"/>
          <w:lang w:eastAsia="en-AU"/>
        </w:rPr>
      </w:pPr>
      <w:r w:rsidRPr="002B3624">
        <w:t xml:space="preserve">The </w:t>
      </w:r>
      <w:r>
        <w:t>PI</w:t>
      </w:r>
      <w:r w:rsidRPr="002B3624">
        <w:t xml:space="preserve"> for </w:t>
      </w:r>
      <w:proofErr w:type="spellStart"/>
      <w:r w:rsidR="000E3086">
        <w:t>Defitelio</w:t>
      </w:r>
      <w:proofErr w:type="spellEnd"/>
      <w:r w:rsidRPr="002B3624">
        <w:t xml:space="preserve"> </w:t>
      </w:r>
      <w:r>
        <w:t xml:space="preserve">approved with the submission which is described in </w:t>
      </w:r>
      <w:r w:rsidRPr="002B3624">
        <w:t xml:space="preserve">this </w:t>
      </w:r>
      <w:proofErr w:type="spellStart"/>
      <w:r w:rsidRPr="002B3624">
        <w:t>AusPAR</w:t>
      </w:r>
      <w:proofErr w:type="spellEnd"/>
      <w:r w:rsidRPr="002B3624">
        <w:t xml:space="preserve"> is at Attachment 1. For the most recent </w:t>
      </w:r>
      <w:r>
        <w:t>PI,</w:t>
      </w:r>
      <w:r w:rsidRPr="002B3624">
        <w:t xml:space="preserve"> please refer to the </w:t>
      </w:r>
      <w:r w:rsidRPr="007C6B9B">
        <w:t xml:space="preserve">TGA website at </w:t>
      </w:r>
      <w:r w:rsidR="007C6B9B" w:rsidRPr="007C6B9B">
        <w:t>&lt;</w:t>
      </w:r>
      <w:hyperlink r:id="rId19" w:history="1">
        <w:r w:rsidR="007C6B9B" w:rsidRPr="007C6B9B">
          <w:rPr>
            <w:rStyle w:val="Hyperlink"/>
          </w:rPr>
          <w:t>https://www.tga.gov.au/product-information-pi</w:t>
        </w:r>
      </w:hyperlink>
      <w:r w:rsidR="000E3086">
        <w:t>&gt;.</w:t>
      </w:r>
    </w:p>
    <w:p w14:paraId="03C6482F" w14:textId="77777777" w:rsidR="00C80137" w:rsidRPr="001D043B" w:rsidRDefault="008E7846" w:rsidP="00432674">
      <w:pPr>
        <w:autoSpaceDE w:val="0"/>
        <w:autoSpaceDN w:val="0"/>
        <w:adjustRightInd w:val="0"/>
        <w:spacing w:after="0"/>
        <w:sectPr w:rsidR="00C80137" w:rsidRPr="001D043B" w:rsidSect="008C0054">
          <w:headerReference w:type="even" r:id="rId20"/>
          <w:headerReference w:type="default" r:id="rId21"/>
          <w:headerReference w:type="first" r:id="rId22"/>
          <w:footerReference w:type="first" r:id="rId23"/>
          <w:pgSz w:w="11906" w:h="16838" w:code="9"/>
          <w:pgMar w:top="834" w:right="1701" w:bottom="1191" w:left="1701" w:header="907" w:footer="216" w:gutter="0"/>
          <w:cols w:space="708"/>
          <w:docGrid w:linePitch="360"/>
        </w:sectPr>
      </w:pPr>
      <w:r w:rsidRPr="00C80137">
        <w:rPr>
          <w:b/>
        </w:rPr>
        <w:br w:type="page"/>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70E2A632" w14:textId="77777777" w:rsidTr="00A05FA4">
        <w:trPr>
          <w:trHeight w:hRule="exact" w:val="704"/>
        </w:trPr>
        <w:tc>
          <w:tcPr>
            <w:tcW w:w="9175" w:type="dxa"/>
          </w:tcPr>
          <w:p w14:paraId="68CBE37A" w14:textId="77777777" w:rsidR="001C32CD" w:rsidRPr="00487162" w:rsidRDefault="001C32CD" w:rsidP="00A05FA4">
            <w:pPr>
              <w:pStyle w:val="TGASignoff"/>
            </w:pPr>
            <w:r w:rsidRPr="00487162">
              <w:lastRenderedPageBreak/>
              <w:t>Therapeutic Goods Administration</w:t>
            </w:r>
          </w:p>
        </w:tc>
      </w:tr>
      <w:tr w:rsidR="001C32CD" w:rsidRPr="004C239D" w14:paraId="07E53A61" w14:textId="77777777" w:rsidTr="00A05FA4">
        <w:trPr>
          <w:trHeight w:val="1221"/>
        </w:trPr>
        <w:tc>
          <w:tcPr>
            <w:tcW w:w="9175" w:type="dxa"/>
            <w:tcMar>
              <w:top w:w="28" w:type="dxa"/>
            </w:tcMar>
          </w:tcPr>
          <w:p w14:paraId="420EB510" w14:textId="77777777" w:rsidR="001C32CD" w:rsidRPr="00487162" w:rsidRDefault="001C32CD" w:rsidP="00A05FA4">
            <w:pPr>
              <w:pStyle w:val="Address"/>
            </w:pPr>
            <w:r w:rsidRPr="00487162">
              <w:t>PO Box 100 Woden ACT 2606 Australia</w:t>
            </w:r>
          </w:p>
          <w:p w14:paraId="49450C0A" w14:textId="77777777" w:rsidR="001C32CD" w:rsidRPr="00487162" w:rsidRDefault="001C32CD" w:rsidP="00A05FA4">
            <w:pPr>
              <w:pStyle w:val="Address"/>
            </w:pPr>
            <w:r w:rsidRPr="00487162">
              <w:t xml:space="preserve">Email: </w:t>
            </w:r>
            <w:hyperlink r:id="rId24" w:history="1">
              <w:r w:rsidRPr="004C239D">
                <w:rPr>
                  <w:rStyle w:val="Hyperlink"/>
                </w:rPr>
                <w:t>info@tga.gov.au</w:t>
              </w:r>
            </w:hyperlink>
            <w:r w:rsidRPr="00487162">
              <w:t xml:space="preserve">  Phone: 1800 020 653  Fax: 02 6232 8605</w:t>
            </w:r>
          </w:p>
          <w:p w14:paraId="78EBC4AE" w14:textId="77777777" w:rsidR="001C32CD" w:rsidRPr="004C239D" w:rsidRDefault="004C10EE" w:rsidP="00A05FA4">
            <w:pPr>
              <w:pStyle w:val="Address"/>
              <w:spacing w:line="260" w:lineRule="atLeast"/>
              <w:rPr>
                <w:b/>
                <w:color w:val="0000FF"/>
                <w:u w:val="single"/>
              </w:rPr>
            </w:pPr>
            <w:hyperlink r:id="rId25" w:history="1">
              <w:r w:rsidR="007C6B9B" w:rsidRPr="007C6B9B">
                <w:rPr>
                  <w:rStyle w:val="Hyperlink"/>
                  <w:b/>
                </w:rPr>
                <w:t>https://www.tga.gov.au</w:t>
              </w:r>
            </w:hyperlink>
          </w:p>
        </w:tc>
      </w:tr>
    </w:tbl>
    <w:p w14:paraId="7FFD55C1" w14:textId="77777777" w:rsidR="00774E1D" w:rsidRPr="008A5E0B" w:rsidRDefault="00774E1D" w:rsidP="004C239D"/>
    <w:sectPr w:rsidR="00774E1D" w:rsidRPr="008A5E0B" w:rsidSect="008C0054">
      <w:headerReference w:type="even" r:id="rId26"/>
      <w:headerReference w:type="default" r:id="rId27"/>
      <w:footerReference w:type="default" r:id="rId28"/>
      <w:headerReference w:type="first" r:id="rId29"/>
      <w:footerReference w:type="first" r:id="rId30"/>
      <w:pgSz w:w="11906" w:h="16838" w:code="9"/>
      <w:pgMar w:top="13467" w:right="1701" w:bottom="426" w:left="1701" w:header="907"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FB48F" w16cex:dateUtc="2020-11-18T04:56:00Z"/>
  <w16cex:commentExtensible w16cex:durableId="236A2A05" w16cex:dateUtc="2020-11-26T03:20:00Z"/>
  <w16cex:commentExtensible w16cex:durableId="235FB5AD" w16cex:dateUtc="2020-11-18T05:01:00Z"/>
  <w16cex:commentExtensible w16cex:durableId="236763C3" w16cex:dateUtc="2020-11-24T00:49:00Z"/>
  <w16cex:commentExtensible w16cex:durableId="2368A825" w16cex:dateUtc="2020-11-24T23:53:00Z"/>
  <w16cex:commentExtensible w16cex:durableId="235FB703" w16cex:dateUtc="2020-11-18T05:06:00Z"/>
  <w16cex:commentExtensible w16cex:durableId="23675943" w16cex:dateUtc="2020-11-24T00:04:00Z"/>
  <w16cex:commentExtensible w16cex:durableId="23674D8E" w16cex:dateUtc="2020-11-23T23:14:00Z"/>
  <w16cex:commentExtensible w16cex:durableId="235FB192" w16cex:dateUtc="2020-11-18T04:43:00Z"/>
  <w16cex:commentExtensible w16cex:durableId="235FB1A3" w16cex:dateUtc="2020-11-18T04:43:00Z"/>
  <w16cex:commentExtensible w16cex:durableId="235FB0E8" w16cex:dateUtc="2020-11-18T04:40:00Z"/>
  <w16cex:commentExtensible w16cex:durableId="23674E6D" w16cex:dateUtc="2020-11-23T2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4688D7" w16cid:durableId="235FB48F"/>
  <w16cid:commentId w16cid:paraId="4356449F" w16cid:durableId="236A2A05"/>
  <w16cid:commentId w16cid:paraId="107BB678" w16cid:durableId="235FB5AD"/>
  <w16cid:commentId w16cid:paraId="4381CA21" w16cid:durableId="236763C3"/>
  <w16cid:commentId w16cid:paraId="693E10FD" w16cid:durableId="2368A825"/>
  <w16cid:commentId w16cid:paraId="4CBD3D7F" w16cid:durableId="235FB703"/>
  <w16cid:commentId w16cid:paraId="778AF224" w16cid:durableId="23675943"/>
  <w16cid:commentId w16cid:paraId="102622A7" w16cid:durableId="23674D8E"/>
  <w16cid:commentId w16cid:paraId="6D780148" w16cid:durableId="235FB192"/>
  <w16cid:commentId w16cid:paraId="7573A49B" w16cid:durableId="235FB1A3"/>
  <w16cid:commentId w16cid:paraId="76E67C5C" w16cid:durableId="235FB0E8"/>
  <w16cid:commentId w16cid:paraId="3ABFE0B0" w16cid:durableId="23674E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8E143" w14:textId="77777777" w:rsidR="00C51FA4" w:rsidRDefault="00C51FA4" w:rsidP="00C40A36">
      <w:pPr>
        <w:spacing w:after="0"/>
      </w:pPr>
      <w:r>
        <w:separator/>
      </w:r>
    </w:p>
  </w:endnote>
  <w:endnote w:type="continuationSeparator" w:id="0">
    <w:p w14:paraId="66E86F80" w14:textId="77777777" w:rsidR="00C51FA4" w:rsidRDefault="00C51FA4"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C51FA4" w:rsidRPr="00487162" w14:paraId="7A7F1690" w14:textId="77777777" w:rsidTr="00DB750B">
      <w:trPr>
        <w:trHeight w:val="269"/>
      </w:trPr>
      <w:tc>
        <w:tcPr>
          <w:tcW w:w="7371" w:type="dxa"/>
          <w:tcMar>
            <w:top w:w="142" w:type="dxa"/>
            <w:bottom w:w="0" w:type="dxa"/>
          </w:tcMar>
        </w:tcPr>
        <w:p w14:paraId="2A761F58" w14:textId="5B0562D6" w:rsidR="00C51FA4" w:rsidRPr="00487162" w:rsidRDefault="00C51FA4" w:rsidP="004E0975">
          <w:pPr>
            <w:pStyle w:val="Footer"/>
          </w:pPr>
          <w:proofErr w:type="spellStart"/>
          <w:r w:rsidRPr="00487162">
            <w:t>AusPA</w:t>
          </w:r>
          <w:r>
            <w:t>R</w:t>
          </w:r>
          <w:proofErr w:type="spellEnd"/>
          <w:r>
            <w:t xml:space="preserve"> - </w:t>
          </w:r>
          <w:proofErr w:type="spellStart"/>
          <w:r>
            <w:t>Defitelio</w:t>
          </w:r>
          <w:proofErr w:type="spellEnd"/>
          <w:r>
            <w:t xml:space="preserve"> – defibrotide</w:t>
          </w:r>
          <w:r w:rsidRPr="00460036">
            <w:t xml:space="preserve"> </w:t>
          </w:r>
          <w:r>
            <w:t xml:space="preserve">- </w:t>
          </w:r>
          <w:r w:rsidRPr="000B144B">
            <w:t>Link Medical Products Pty Ltd</w:t>
          </w:r>
          <w:r>
            <w:t xml:space="preserve"> - PM-2019-01763-1-3</w:t>
          </w:r>
          <w:r>
            <w:br/>
          </w:r>
          <w:r w:rsidR="004E0975">
            <w:t>FINAL</w:t>
          </w:r>
          <w:r w:rsidRPr="00487162">
            <w:t xml:space="preserve"> </w:t>
          </w:r>
          <w:r>
            <w:t>3</w:t>
          </w:r>
          <w:r w:rsidR="004E0975">
            <w:t xml:space="preserve"> December</w:t>
          </w:r>
          <w:r>
            <w:t xml:space="preserve"> 2020</w:t>
          </w:r>
        </w:p>
      </w:tc>
      <w:tc>
        <w:tcPr>
          <w:tcW w:w="1490" w:type="dxa"/>
          <w:tcMar>
            <w:top w:w="142" w:type="dxa"/>
            <w:bottom w:w="0" w:type="dxa"/>
          </w:tcMar>
        </w:tcPr>
        <w:p w14:paraId="109D3821" w14:textId="08CA9660" w:rsidR="00C51FA4" w:rsidRPr="00487162" w:rsidRDefault="00C51FA4" w:rsidP="00DB750B">
          <w:pPr>
            <w:pStyle w:val="Footer"/>
            <w:jc w:val="right"/>
          </w:pPr>
          <w:r w:rsidRPr="00487162">
            <w:t xml:space="preserve">Page </w:t>
          </w:r>
          <w:r>
            <w:fldChar w:fldCharType="begin"/>
          </w:r>
          <w:r>
            <w:instrText xml:space="preserve"> PAGE  \* Arabic </w:instrText>
          </w:r>
          <w:r>
            <w:fldChar w:fldCharType="separate"/>
          </w:r>
          <w:r w:rsidR="004C10EE">
            <w:rPr>
              <w:noProof/>
            </w:rPr>
            <w:t>3</w:t>
          </w:r>
          <w:r>
            <w:fldChar w:fldCharType="end"/>
          </w:r>
          <w:r w:rsidRPr="00487162">
            <w:t xml:space="preserve"> of </w:t>
          </w:r>
          <w:r w:rsidR="004C10EE">
            <w:fldChar w:fldCharType="begin"/>
          </w:r>
          <w:r w:rsidR="004C10EE">
            <w:instrText xml:space="preserve"> NUMPAGES  \* Arabic </w:instrText>
          </w:r>
          <w:r w:rsidR="004C10EE">
            <w:fldChar w:fldCharType="separate"/>
          </w:r>
          <w:r w:rsidR="004C10EE">
            <w:rPr>
              <w:noProof/>
            </w:rPr>
            <w:t>41</w:t>
          </w:r>
          <w:r w:rsidR="004C10EE">
            <w:rPr>
              <w:noProof/>
            </w:rPr>
            <w:fldChar w:fldCharType="end"/>
          </w:r>
        </w:p>
      </w:tc>
    </w:tr>
  </w:tbl>
  <w:p w14:paraId="78918493" w14:textId="77777777" w:rsidR="00C51FA4" w:rsidRDefault="00C51FA4"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C51FA4" w:rsidRPr="00487162" w14:paraId="55961DF6" w14:textId="77777777" w:rsidTr="00E45619">
      <w:trPr>
        <w:trHeight w:val="269"/>
      </w:trPr>
      <w:tc>
        <w:tcPr>
          <w:tcW w:w="4519" w:type="dxa"/>
          <w:tcBorders>
            <w:top w:val="single" w:sz="4" w:space="0" w:color="auto"/>
          </w:tcBorders>
          <w:tcMar>
            <w:top w:w="142" w:type="dxa"/>
            <w:bottom w:w="0" w:type="dxa"/>
          </w:tcMar>
        </w:tcPr>
        <w:p w14:paraId="54B824DF" w14:textId="77777777" w:rsidR="00C51FA4" w:rsidRPr="00487162" w:rsidRDefault="00C51FA4" w:rsidP="00FE1DEE">
          <w:pPr>
            <w:pStyle w:val="Footer"/>
          </w:pPr>
          <w:r w:rsidRPr="00487162">
            <w:t>Document title, Part #, Section # - Section title</w:t>
          </w:r>
        </w:p>
        <w:p w14:paraId="376B5A46" w14:textId="77777777" w:rsidR="00C51FA4" w:rsidRPr="00487162" w:rsidRDefault="00C51FA4" w:rsidP="00FE1DEE">
          <w:pPr>
            <w:pStyle w:val="Footer"/>
          </w:pPr>
          <w:r w:rsidRPr="00487162">
            <w:t>V1.0 October 2010</w:t>
          </w:r>
        </w:p>
      </w:tc>
      <w:tc>
        <w:tcPr>
          <w:tcW w:w="4342" w:type="dxa"/>
          <w:tcBorders>
            <w:top w:val="single" w:sz="4" w:space="0" w:color="auto"/>
          </w:tcBorders>
          <w:tcMar>
            <w:top w:w="142" w:type="dxa"/>
            <w:bottom w:w="0" w:type="dxa"/>
          </w:tcMar>
        </w:tcPr>
        <w:p w14:paraId="2C731269" w14:textId="77777777" w:rsidR="00C51FA4" w:rsidRPr="00487162" w:rsidRDefault="00C51FA4"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4C10EE">
            <w:fldChar w:fldCharType="begin"/>
          </w:r>
          <w:r w:rsidR="004C10EE">
            <w:instrText xml:space="preserve"> NUMPAGES  </w:instrText>
          </w:r>
          <w:r w:rsidR="004C10EE">
            <w:fldChar w:fldCharType="separate"/>
          </w:r>
          <w:r>
            <w:rPr>
              <w:noProof/>
            </w:rPr>
            <w:t>3</w:t>
          </w:r>
          <w:r w:rsidR="004C10EE">
            <w:rPr>
              <w:noProof/>
            </w:rPr>
            <w:fldChar w:fldCharType="end"/>
          </w:r>
        </w:p>
      </w:tc>
    </w:tr>
  </w:tbl>
  <w:p w14:paraId="7B083BB5" w14:textId="77777777" w:rsidR="00C51FA4" w:rsidRDefault="00C51F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02E5" w14:textId="77777777" w:rsidR="00C51FA4" w:rsidRPr="001C32CD" w:rsidRDefault="00C51FA4"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C51FA4" w14:paraId="128C18AC" w14:textId="77777777" w:rsidTr="0010601F">
      <w:trPr>
        <w:trHeight w:val="108"/>
      </w:trPr>
      <w:tc>
        <w:tcPr>
          <w:tcW w:w="8875" w:type="dxa"/>
          <w:gridSpan w:val="2"/>
          <w:tcBorders>
            <w:bottom w:val="single" w:sz="4" w:space="0" w:color="auto"/>
          </w:tcBorders>
          <w:tcMar>
            <w:right w:w="284" w:type="dxa"/>
          </w:tcMar>
        </w:tcPr>
        <w:p w14:paraId="2DB11B4C" w14:textId="77777777" w:rsidR="00C51FA4" w:rsidRDefault="00C51FA4" w:rsidP="006E08B3">
          <w:pPr>
            <w:pStyle w:val="Heading3"/>
          </w:pPr>
          <w:r>
            <w:t>Copyright</w:t>
          </w:r>
        </w:p>
        <w:p w14:paraId="7E70F597" w14:textId="77777777" w:rsidR="00C51FA4" w:rsidRDefault="00C51FA4" w:rsidP="006E08B3">
          <w:r>
            <w:rPr>
              <w:rFonts w:cs="Arial"/>
            </w:rPr>
            <w:t>©</w:t>
          </w:r>
          <w:r>
            <w:t xml:space="preserve"> Commonwealth of Australia [add year]</w:t>
          </w:r>
        </w:p>
        <w:p w14:paraId="4E8AB0E5" w14:textId="77777777" w:rsidR="00C51FA4" w:rsidRDefault="00C51FA4" w:rsidP="006E08B3"/>
        <w:p w14:paraId="39B11197" w14:textId="77777777" w:rsidR="00C51FA4" w:rsidRDefault="00C51FA4"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58FCA3DF" w14:textId="77777777" w:rsidR="00C51FA4" w:rsidRDefault="00C51FA4" w:rsidP="006E08B3"/>
        <w:p w14:paraId="6F278FEE" w14:textId="77777777" w:rsidR="00C51FA4" w:rsidRDefault="00C51FA4" w:rsidP="006E08B3">
          <w:pPr>
            <w:pStyle w:val="Heading3"/>
          </w:pPr>
          <w:r>
            <w:t>Confidentiality</w:t>
          </w:r>
        </w:p>
        <w:p w14:paraId="5BC98935" w14:textId="77777777" w:rsidR="00C51FA4" w:rsidRDefault="00C51FA4"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5DA197E2" w14:textId="77777777" w:rsidR="00C51FA4" w:rsidRDefault="00C51FA4" w:rsidP="006E08B3"/>
        <w:p w14:paraId="1B4CACF1" w14:textId="77777777" w:rsidR="00C51FA4" w:rsidRDefault="00C51FA4" w:rsidP="006E08B3">
          <w:r>
            <w:t>For submission made by individuals, all personal details, other than your name, will be removed from your submission before it is published on the TGA’s Internet site.</w:t>
          </w:r>
        </w:p>
        <w:p w14:paraId="67936C58" w14:textId="77777777" w:rsidR="00C51FA4" w:rsidRDefault="00C51FA4" w:rsidP="006E08B3"/>
        <w:p w14:paraId="1DB06129" w14:textId="77777777" w:rsidR="00C51FA4" w:rsidRDefault="00C51FA4"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C51FA4" w14:paraId="084FFE7F" w14:textId="77777777" w:rsidTr="0010601F">
      <w:trPr>
        <w:trHeight w:val="417"/>
      </w:trPr>
      <w:tc>
        <w:tcPr>
          <w:tcW w:w="4519" w:type="dxa"/>
          <w:tcBorders>
            <w:top w:val="single" w:sz="4" w:space="0" w:color="auto"/>
          </w:tcBorders>
          <w:tcMar>
            <w:top w:w="142" w:type="dxa"/>
            <w:bottom w:w="0" w:type="dxa"/>
          </w:tcMar>
        </w:tcPr>
        <w:p w14:paraId="239B297F" w14:textId="77777777" w:rsidR="00C51FA4" w:rsidRDefault="00C51FA4" w:rsidP="006E08B3">
          <w:r>
            <w:t>Document title, Part #, Section # - Section title</w:t>
          </w:r>
        </w:p>
        <w:p w14:paraId="1293AAA8" w14:textId="77777777" w:rsidR="00C51FA4" w:rsidRDefault="00C51FA4" w:rsidP="006E08B3">
          <w:r>
            <w:t>V1.0 October 2010</w:t>
          </w:r>
        </w:p>
      </w:tc>
      <w:tc>
        <w:tcPr>
          <w:tcW w:w="4356" w:type="dxa"/>
          <w:tcBorders>
            <w:top w:val="single" w:sz="4" w:space="0" w:color="auto"/>
          </w:tcBorders>
          <w:tcMar>
            <w:top w:w="142" w:type="dxa"/>
            <w:bottom w:w="0" w:type="dxa"/>
          </w:tcMar>
        </w:tcPr>
        <w:p w14:paraId="4606A761" w14:textId="77777777" w:rsidR="00C51FA4" w:rsidRDefault="00C51FA4" w:rsidP="006E08B3">
          <w:pPr>
            <w:jc w:val="right"/>
          </w:pPr>
          <w:r>
            <w:t xml:space="preserve">Page </w:t>
          </w:r>
          <w:r>
            <w:fldChar w:fldCharType="begin"/>
          </w:r>
          <w:r>
            <w:instrText xml:space="preserve"> PAGE   \* MERGEFORMAT </w:instrText>
          </w:r>
          <w:r>
            <w:fldChar w:fldCharType="separate"/>
          </w:r>
          <w:r>
            <w:rPr>
              <w:noProof/>
            </w:rPr>
            <w:t>i</w:t>
          </w:r>
          <w:r>
            <w:rPr>
              <w:noProof/>
            </w:rPr>
            <w:fldChar w:fldCharType="end"/>
          </w:r>
          <w:r>
            <w:t xml:space="preserve"> of </w:t>
          </w:r>
          <w:r w:rsidR="004C10EE">
            <w:fldChar w:fldCharType="begin"/>
          </w:r>
          <w:r w:rsidR="004C10EE">
            <w:instrText xml:space="preserve"> NUMPAGES  \* Arabic </w:instrText>
          </w:r>
          <w:r w:rsidR="004C10EE">
            <w:fldChar w:fldCharType="separate"/>
          </w:r>
          <w:r>
            <w:rPr>
              <w:noProof/>
            </w:rPr>
            <w:t>38</w:t>
          </w:r>
          <w:r w:rsidR="004C10EE">
            <w:rPr>
              <w:noProof/>
            </w:rPr>
            <w:fldChar w:fldCharType="end"/>
          </w:r>
          <w:r>
            <w:t xml:space="preserve">  </w:t>
          </w:r>
        </w:p>
      </w:tc>
    </w:tr>
  </w:tbl>
  <w:p w14:paraId="7FE301D5" w14:textId="77777777" w:rsidR="00C51FA4" w:rsidRDefault="00C51FA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5673B" w14:textId="77777777" w:rsidR="00C51FA4" w:rsidRDefault="00C51FA4" w:rsidP="00C40A36">
      <w:pPr>
        <w:spacing w:after="0"/>
      </w:pPr>
      <w:r>
        <w:separator/>
      </w:r>
    </w:p>
  </w:footnote>
  <w:footnote w:type="continuationSeparator" w:id="0">
    <w:p w14:paraId="1DC6613D" w14:textId="77777777" w:rsidR="00C51FA4" w:rsidRDefault="00C51FA4" w:rsidP="00C40A36">
      <w:pPr>
        <w:spacing w:after="0"/>
      </w:pPr>
      <w:r>
        <w:continuationSeparator/>
      </w:r>
    </w:p>
  </w:footnote>
  <w:footnote w:id="1">
    <w:p w14:paraId="02240BF7" w14:textId="77777777" w:rsidR="00C51FA4" w:rsidRDefault="00C51FA4">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6ED393B4" w14:textId="1F3C47A4" w:rsidR="00C51FA4" w:rsidRPr="00C51FA4" w:rsidRDefault="00C51FA4">
      <w:pPr>
        <w:pStyle w:val="FootnoteText"/>
        <w:rPr>
          <w:lang w:val="en-US"/>
        </w:rPr>
      </w:pPr>
      <w:r>
        <w:rPr>
          <w:rStyle w:val="FootnoteReference"/>
        </w:rPr>
        <w:footnoteRef/>
      </w:r>
      <w:r>
        <w:t xml:space="preserve"> In </w:t>
      </w:r>
      <w:r w:rsidRPr="00C51FA4">
        <w:rPr>
          <w:b/>
        </w:rPr>
        <w:t>autologous HSCT</w:t>
      </w:r>
      <w:r>
        <w:t xml:space="preserve">, the transplant involves taking stem cells </w:t>
      </w:r>
      <w:r w:rsidRPr="00451555">
        <w:t>the same per</w:t>
      </w:r>
      <w:r>
        <w:t>son who will get the transplant making the patient their own donor.</w:t>
      </w:r>
      <w:r w:rsidRPr="00451555">
        <w:t xml:space="preserve"> </w:t>
      </w:r>
      <w:proofErr w:type="gramStart"/>
      <w:r w:rsidRPr="00451555">
        <w:t>so</w:t>
      </w:r>
      <w:proofErr w:type="gramEnd"/>
      <w:r w:rsidRPr="00451555">
        <w:t xml:space="preserve"> the patient is their own donor. </w:t>
      </w:r>
      <w:r>
        <w:t xml:space="preserve">In </w:t>
      </w:r>
      <w:r w:rsidRPr="00C51FA4">
        <w:rPr>
          <w:b/>
        </w:rPr>
        <w:t>allogeneic HSCT</w:t>
      </w:r>
      <w:r>
        <w:t>,</w:t>
      </w:r>
      <w:r w:rsidRPr="00451555">
        <w:t xml:space="preserve"> </w:t>
      </w:r>
      <w:r>
        <w:t>stem cells are taken from another closely matched related or unrelated donor.</w:t>
      </w:r>
    </w:p>
  </w:footnote>
  <w:footnote w:id="3">
    <w:p w14:paraId="28BC3FB3" w14:textId="6CBA611A" w:rsidR="00C51FA4" w:rsidRPr="00C51FA4" w:rsidRDefault="00C51FA4">
      <w:pPr>
        <w:pStyle w:val="FootnoteText"/>
        <w:rPr>
          <w:lang w:val="en-US"/>
        </w:rPr>
      </w:pPr>
      <w:r>
        <w:rPr>
          <w:rStyle w:val="FootnoteReference"/>
        </w:rPr>
        <w:footnoteRef/>
      </w:r>
      <w:r>
        <w:t xml:space="preserve"> </w:t>
      </w:r>
      <w:r w:rsidRPr="0014623F">
        <w:t xml:space="preserve">The </w:t>
      </w:r>
      <w:r w:rsidRPr="00C51FA4">
        <w:rPr>
          <w:b/>
        </w:rPr>
        <w:t>Special Access Scheme</w:t>
      </w:r>
      <w:r w:rsidRPr="0014623F">
        <w:t xml:space="preserve"> (</w:t>
      </w:r>
      <w:r w:rsidRPr="00C51FA4">
        <w:rPr>
          <w:b/>
        </w:rPr>
        <w:t>SAS</w:t>
      </w:r>
      <w:r w:rsidRPr="0014623F">
        <w:t xml:space="preserve">) allows certain health practitioners to access therapeutic goods (such as medicines, medical devices or biologicals) that are not included in the Australian Register of Therapeutic Goods (ARTG) for a single patient. Therapeutic goods that are not included in the ARTG (and are not otherwise exempt from being in the ARTG) are described by </w:t>
      </w:r>
      <w:r>
        <w:t>the TGA</w:t>
      </w:r>
      <w:r w:rsidRPr="0014623F">
        <w:t xml:space="preserve"> as 'unapproved'.</w:t>
      </w:r>
    </w:p>
  </w:footnote>
  <w:footnote w:id="4">
    <w:p w14:paraId="7ACAFF7C" w14:textId="7E41B033" w:rsidR="00C51FA4" w:rsidRPr="00C51FA4" w:rsidRDefault="00C51FA4">
      <w:pPr>
        <w:pStyle w:val="FootnoteText"/>
        <w:rPr>
          <w:lang w:val="en-US"/>
        </w:rPr>
      </w:pPr>
      <w:r>
        <w:rPr>
          <w:rStyle w:val="FootnoteReference"/>
        </w:rPr>
        <w:footnoteRef/>
      </w:r>
      <w:r>
        <w:t xml:space="preserve"> </w:t>
      </w:r>
      <w:r w:rsidRPr="00C51FA4">
        <w:rPr>
          <w:b/>
        </w:rPr>
        <w:t>Orphan designation</w:t>
      </w:r>
      <w:r>
        <w:t xml:space="preserve">: </w:t>
      </w:r>
      <w:r w:rsidRPr="00E859DA">
        <w:t>'Orphan drugs' are often developed to treat small and very specific patient populations who suffer from rare diseases and conditions. In order to facilitate orphan drug access to the Australian marketplace and help offset orphan drug development costs the TGA waives application and evaluation fees for prescription medicine registration applications if a related orphan designation is in force. A medicine may be eligible for orphan drug designation if all orphan criteria set by the TGA are met. The orphan designation application precedes the registration application and the designation is specific to the sponsor, orphan indication for which designation was granted and dosage form of the medicine.</w:t>
      </w:r>
    </w:p>
  </w:footnote>
  <w:footnote w:id="5">
    <w:p w14:paraId="0475C9C3" w14:textId="6F4AD1E7" w:rsidR="00C51FA4" w:rsidRDefault="00C51FA4" w:rsidP="00FD2C78">
      <w:pPr>
        <w:pStyle w:val="FootnoteText"/>
      </w:pPr>
      <w:r>
        <w:rPr>
          <w:rStyle w:val="FootnoteReference"/>
        </w:rPr>
        <w:footnoteRef/>
      </w:r>
      <w:r>
        <w:t xml:space="preserve"> TGA updated batch release testing conditions of approval,</w:t>
      </w:r>
    </w:p>
    <w:p w14:paraId="75426FF7" w14:textId="4815B962" w:rsidR="00C51FA4" w:rsidRPr="009F544E" w:rsidRDefault="00C51FA4" w:rsidP="00FD2C78">
      <w:pPr>
        <w:pStyle w:val="FootnoteText"/>
        <w:rPr>
          <w:rFonts w:eastAsiaTheme="minorHAnsi" w:cs="Cambria"/>
          <w:color w:val="000000"/>
        </w:rPr>
      </w:pPr>
      <w:r w:rsidRPr="009F544E">
        <w:rPr>
          <w:rFonts w:eastAsiaTheme="minorHAnsi" w:cs="Cambria"/>
          <w:i/>
          <w:iCs/>
          <w:color w:val="000000"/>
        </w:rPr>
        <w:t xml:space="preserve">Laboratory testing &amp; compliance with Certified Product Details (CPD) </w:t>
      </w:r>
    </w:p>
    <w:p w14:paraId="10CE4AB9" w14:textId="568743E6" w:rsidR="00C51FA4" w:rsidRDefault="00C51FA4" w:rsidP="00FD2C78">
      <w:pPr>
        <w:pStyle w:val="FootnoteText"/>
        <w:rPr>
          <w:rFonts w:eastAsiaTheme="minorHAnsi" w:cs="Cambria"/>
          <w:i/>
          <w:iCs/>
          <w:color w:val="000000"/>
        </w:rPr>
      </w:pPr>
      <w:proofErr w:type="spellStart"/>
      <w:r w:rsidRPr="009F544E">
        <w:rPr>
          <w:rFonts w:eastAsiaTheme="minorHAnsi" w:cs="Cambria"/>
          <w:i/>
          <w:iCs/>
          <w:color w:val="000000"/>
        </w:rPr>
        <w:t>i</w:t>
      </w:r>
      <w:proofErr w:type="spellEnd"/>
      <w:r w:rsidRPr="009F544E">
        <w:rPr>
          <w:rFonts w:eastAsiaTheme="minorHAnsi" w:cs="Cambria"/>
          <w:i/>
          <w:iCs/>
          <w:color w:val="000000"/>
        </w:rPr>
        <w:t xml:space="preserve">. All batches of </w:t>
      </w:r>
      <w:proofErr w:type="spellStart"/>
      <w:proofErr w:type="gramStart"/>
      <w:r w:rsidRPr="009F544E">
        <w:rPr>
          <w:rFonts w:eastAsiaTheme="minorHAnsi" w:cs="Cambria"/>
          <w:b/>
          <w:bCs/>
          <w:i/>
          <w:iCs/>
          <w:color w:val="000000"/>
        </w:rPr>
        <w:t>D</w:t>
      </w:r>
      <w:r>
        <w:rPr>
          <w:rFonts w:eastAsiaTheme="minorHAnsi" w:cs="Cambria"/>
          <w:b/>
          <w:bCs/>
          <w:i/>
          <w:iCs/>
          <w:color w:val="000000"/>
        </w:rPr>
        <w:t>efitelio</w:t>
      </w:r>
      <w:proofErr w:type="spellEnd"/>
      <w:r>
        <w:rPr>
          <w:rFonts w:eastAsiaTheme="minorHAnsi" w:cs="Cambria"/>
          <w:b/>
          <w:bCs/>
          <w:i/>
          <w:iCs/>
          <w:color w:val="000000"/>
        </w:rPr>
        <w:t>(</w:t>
      </w:r>
      <w:proofErr w:type="gramEnd"/>
      <w:r w:rsidRPr="009F544E">
        <w:rPr>
          <w:rFonts w:eastAsiaTheme="minorHAnsi" w:cs="Cambria"/>
          <w:b/>
          <w:bCs/>
          <w:i/>
          <w:iCs/>
          <w:color w:val="000000"/>
        </w:rPr>
        <w:t>defibrotide</w:t>
      </w:r>
      <w:r>
        <w:rPr>
          <w:rFonts w:eastAsiaTheme="minorHAnsi" w:cs="Cambria"/>
          <w:b/>
          <w:bCs/>
          <w:i/>
          <w:iCs/>
          <w:color w:val="000000"/>
        </w:rPr>
        <w:t>)</w:t>
      </w:r>
      <w:r w:rsidRPr="009F544E">
        <w:rPr>
          <w:rFonts w:eastAsiaTheme="minorHAnsi" w:cs="Cambria"/>
          <w:b/>
          <w:bCs/>
          <w:i/>
          <w:iCs/>
          <w:color w:val="000000"/>
        </w:rPr>
        <w:t xml:space="preserve"> 200 mg/2.5 mL concentrated solution for infusion vial </w:t>
      </w:r>
      <w:r w:rsidRPr="009F544E">
        <w:rPr>
          <w:rFonts w:eastAsiaTheme="minorHAnsi" w:cs="Cambria"/>
          <w:i/>
          <w:iCs/>
          <w:color w:val="000000"/>
        </w:rPr>
        <w:t>supplied in Australia must comply with the product details and specifications approved during evaluation and detailed in the C</w:t>
      </w:r>
      <w:r>
        <w:rPr>
          <w:rFonts w:eastAsiaTheme="minorHAnsi" w:cs="Cambria"/>
          <w:i/>
          <w:iCs/>
          <w:color w:val="000000"/>
        </w:rPr>
        <w:t>ertified Product Details (CPD).</w:t>
      </w:r>
    </w:p>
    <w:p w14:paraId="0D35C243" w14:textId="10AB3DE7" w:rsidR="00C51FA4" w:rsidRDefault="00C51FA4">
      <w:pPr>
        <w:pStyle w:val="FootnoteText"/>
      </w:pPr>
      <w:r w:rsidRPr="009F544E">
        <w:rPr>
          <w:rFonts w:eastAsiaTheme="minorHAnsi" w:cs="Cambria"/>
          <w:i/>
          <w:iCs/>
          <w:color w:val="000000"/>
        </w:rPr>
        <w:t xml:space="preserve">ii. When requested by the TGA, the Sponsor should be prepared to provide product samples, specified reference materials and documentary evidence to enable the TGA to conduct laboratory testing on the Product. Outcomes of laboratory testing are published biannually in the TGA Database of Laboratory Testing Results </w:t>
      </w:r>
      <w:r w:rsidRPr="009F544E">
        <w:rPr>
          <w:rFonts w:eastAsiaTheme="minorHAnsi" w:cs="Cambria"/>
          <w:i/>
          <w:iCs/>
          <w:color w:val="0000FF"/>
        </w:rPr>
        <w:t xml:space="preserve">http://www.tga.gov.au/ws-labs </w:t>
      </w:r>
      <w:r w:rsidRPr="009F544E">
        <w:rPr>
          <w:rFonts w:eastAsiaTheme="minorHAnsi" w:cs="Cambria"/>
          <w:i/>
          <w:iCs/>
          <w:color w:val="000000"/>
        </w:rPr>
        <w:t xml:space="preserve">index and periodically in testing reports on the TGA website. </w:t>
      </w:r>
    </w:p>
  </w:footnote>
  <w:footnote w:id="6">
    <w:p w14:paraId="3BEBB1B6" w14:textId="5CBD2B5F" w:rsidR="00C51FA4" w:rsidRDefault="00C51FA4">
      <w:pPr>
        <w:pStyle w:val="FootnoteText"/>
      </w:pPr>
      <w:r>
        <w:rPr>
          <w:rStyle w:val="FootnoteReference"/>
        </w:rPr>
        <w:footnoteRef/>
      </w:r>
      <w:r>
        <w:t xml:space="preserve"> </w:t>
      </w:r>
      <w:r w:rsidRPr="00C51FA4">
        <w:rPr>
          <w:b/>
        </w:rPr>
        <w:t>Pregnancy Category D</w:t>
      </w:r>
      <w:r>
        <w:t xml:space="preserve">: </w:t>
      </w:r>
      <w:r w:rsidRPr="00580612">
        <w:t xml:space="preserve">Drugs which have caused, are suspected to have caused or may be expected to cause, an increased incidence of human </w:t>
      </w:r>
      <w:proofErr w:type="spellStart"/>
      <w:r w:rsidRPr="00580612">
        <w:t>fetal</w:t>
      </w:r>
      <w:proofErr w:type="spellEnd"/>
      <w:r w:rsidRPr="00580612">
        <w:t xml:space="preserve"> malformations or irreversible damage. These drugs may also have adverse pharmacological effects. Accompanying texts should be consulted for further details.</w:t>
      </w:r>
    </w:p>
  </w:footnote>
  <w:footnote w:id="7">
    <w:p w14:paraId="5C0D68B0" w14:textId="77777777" w:rsidR="00C51FA4" w:rsidRDefault="00C51FA4">
      <w:pPr>
        <w:pStyle w:val="FootnoteText"/>
      </w:pPr>
      <w:r>
        <w:rPr>
          <w:rStyle w:val="FootnoteReference"/>
        </w:rPr>
        <w:footnoteRef/>
      </w:r>
      <w:r>
        <w:t xml:space="preserve"> </w:t>
      </w:r>
      <w:proofErr w:type="spellStart"/>
      <w:r w:rsidRPr="001868F6">
        <w:t>Negrin</w:t>
      </w:r>
      <w:proofErr w:type="spellEnd"/>
      <w:r w:rsidRPr="001868F6">
        <w:t xml:space="preserve"> RS, </w:t>
      </w:r>
      <w:proofErr w:type="spellStart"/>
      <w:r w:rsidRPr="001868F6">
        <w:t>Bonis</w:t>
      </w:r>
      <w:proofErr w:type="spellEnd"/>
      <w:r w:rsidRPr="001868F6">
        <w:t xml:space="preserve"> PAL Diagnosis of hepatic sinusoidal obstruction syndrome (</w:t>
      </w:r>
      <w:proofErr w:type="spellStart"/>
      <w:r w:rsidRPr="001868F6">
        <w:t>veno</w:t>
      </w:r>
      <w:proofErr w:type="spellEnd"/>
      <w:r w:rsidRPr="001868F6">
        <w:t xml:space="preserve">-occlusive disease) following hematopoietic cell transplantation, </w:t>
      </w:r>
      <w:proofErr w:type="spellStart"/>
      <w:r w:rsidRPr="001868F6">
        <w:t>UpToDate</w:t>
      </w:r>
      <w:proofErr w:type="spellEnd"/>
      <w:r w:rsidRPr="001868F6">
        <w:t>, last updated Mar 04, 2019</w:t>
      </w:r>
      <w:r>
        <w:t>.</w:t>
      </w:r>
    </w:p>
  </w:footnote>
  <w:footnote w:id="8">
    <w:p w14:paraId="0976030E" w14:textId="77777777" w:rsidR="00C51FA4" w:rsidRDefault="00C51FA4" w:rsidP="007D53B6">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0F5FDEC5" w14:textId="77777777" w:rsidR="00C51FA4" w:rsidRDefault="00C51FA4" w:rsidP="007D53B6">
      <w:pPr>
        <w:pStyle w:val="FootnoteText"/>
      </w:pPr>
      <w:r w:rsidRPr="007D53B6">
        <w:rPr>
          <w:i/>
        </w:rPr>
        <w:t>Routine pharmacovigilance</w:t>
      </w:r>
      <w:r>
        <w:t xml:space="preserve"> practices involve the following activities:</w:t>
      </w:r>
    </w:p>
    <w:p w14:paraId="6BF1E542" w14:textId="77777777" w:rsidR="00C51FA4" w:rsidRDefault="00C51FA4" w:rsidP="00206F08">
      <w:pPr>
        <w:pStyle w:val="FootnoteText"/>
        <w:numPr>
          <w:ilvl w:val="0"/>
          <w:numId w:val="6"/>
        </w:numPr>
        <w:ind w:left="284" w:hanging="284"/>
      </w:pPr>
      <w:r>
        <w:t>All suspected adverse reactions that are reported to the personnel of the company are collected and collated in an accessible manner;</w:t>
      </w:r>
    </w:p>
    <w:p w14:paraId="39F50FEF" w14:textId="77777777" w:rsidR="00C51FA4" w:rsidRDefault="00C51FA4" w:rsidP="00206F08">
      <w:pPr>
        <w:pStyle w:val="FootnoteText"/>
        <w:numPr>
          <w:ilvl w:val="0"/>
          <w:numId w:val="6"/>
        </w:numPr>
        <w:ind w:left="284" w:hanging="284"/>
      </w:pPr>
      <w:r>
        <w:t>Reporting to regulatory authorities;</w:t>
      </w:r>
    </w:p>
    <w:p w14:paraId="09712084" w14:textId="77777777" w:rsidR="00C51FA4" w:rsidRDefault="00C51FA4" w:rsidP="00206F08">
      <w:pPr>
        <w:pStyle w:val="FootnoteText"/>
        <w:numPr>
          <w:ilvl w:val="0"/>
          <w:numId w:val="6"/>
        </w:numPr>
        <w:ind w:left="284" w:hanging="284"/>
      </w:pPr>
      <w:r>
        <w:t>Continuous monitoring of the safety profiles of approved products including signal detection and updating of labelling;</w:t>
      </w:r>
    </w:p>
    <w:p w14:paraId="53F90F84" w14:textId="77777777" w:rsidR="00C51FA4" w:rsidRDefault="00C51FA4" w:rsidP="00206F08">
      <w:pPr>
        <w:pStyle w:val="FootnoteText"/>
        <w:numPr>
          <w:ilvl w:val="0"/>
          <w:numId w:val="6"/>
        </w:numPr>
        <w:ind w:left="284" w:hanging="284"/>
      </w:pPr>
      <w:r>
        <w:t>Submission of PSURs;</w:t>
      </w:r>
    </w:p>
    <w:p w14:paraId="14D51133" w14:textId="77777777" w:rsidR="00C51FA4" w:rsidRDefault="00C51FA4" w:rsidP="00206F08">
      <w:pPr>
        <w:pStyle w:val="FootnoteText"/>
        <w:numPr>
          <w:ilvl w:val="0"/>
          <w:numId w:val="6"/>
        </w:numPr>
        <w:ind w:left="284" w:hanging="284"/>
      </w:pPr>
      <w:r>
        <w:t>Meeting other local regulatory agency requirements.</w:t>
      </w:r>
    </w:p>
  </w:footnote>
  <w:footnote w:id="9">
    <w:p w14:paraId="4D0187A0" w14:textId="77777777" w:rsidR="00C51FA4" w:rsidRDefault="00C51FA4">
      <w:pPr>
        <w:pStyle w:val="FootnoteText"/>
      </w:pPr>
      <w:r>
        <w:rPr>
          <w:rStyle w:val="FootnoteReference"/>
        </w:rPr>
        <w:footnoteRef/>
      </w:r>
      <w:r>
        <w:t xml:space="preserve"> </w:t>
      </w:r>
      <w:proofErr w:type="spellStart"/>
      <w:proofErr w:type="gramStart"/>
      <w:r>
        <w:t>eviQ</w:t>
      </w:r>
      <w:proofErr w:type="spellEnd"/>
      <w:proofErr w:type="gramEnd"/>
      <w:r>
        <w:t xml:space="preserve"> </w:t>
      </w:r>
      <w:r w:rsidRPr="00C43934">
        <w:t xml:space="preserve">A free resource of evidence-based, consensus driven cancer treatment protocols and information for use at the point of care. </w:t>
      </w:r>
      <w:proofErr w:type="spellStart"/>
      <w:r w:rsidRPr="00C43934">
        <w:t>eviQ</w:t>
      </w:r>
      <w:proofErr w:type="spellEnd"/>
      <w:r w:rsidRPr="00C43934">
        <w:t xml:space="preserve"> is developed for the Australian context and supports health professionals in the delivery of cancer treatments</w:t>
      </w:r>
    </w:p>
  </w:footnote>
  <w:footnote w:id="10">
    <w:p w14:paraId="4EBCE482" w14:textId="77777777" w:rsidR="00C51FA4" w:rsidRDefault="00C51FA4"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3F9731D5" w14:textId="77777777" w:rsidR="00C51FA4" w:rsidRPr="00456765" w:rsidRDefault="00C51FA4"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3705E" w14:textId="77777777" w:rsidR="00C51FA4" w:rsidRDefault="00C51FA4"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1FACC" w14:textId="77777777" w:rsidR="00C51FA4" w:rsidRDefault="00C51FA4">
    <w:pPr>
      <w:rPr>
        <w:noProof/>
        <w:lang w:eastAsia="en-AU"/>
      </w:rPr>
    </w:pPr>
    <w:r w:rsidRPr="00347824">
      <w:rPr>
        <w:noProof/>
        <w:lang w:eastAsia="en-AU"/>
      </w:rPr>
      <w:drawing>
        <wp:anchor distT="0" distB="0" distL="114300" distR="114300" simplePos="0" relativeHeight="251658240" behindDoc="1" locked="0" layoutInCell="1" allowOverlap="1" wp14:anchorId="692DBC25" wp14:editId="1A97BAE0">
          <wp:simplePos x="0" y="0"/>
          <wp:positionH relativeFrom="column">
            <wp:posOffset>-1089660</wp:posOffset>
          </wp:positionH>
          <wp:positionV relativeFrom="paragraph">
            <wp:posOffset>-585470</wp:posOffset>
          </wp:positionV>
          <wp:extent cx="7572375" cy="10706100"/>
          <wp:effectExtent l="19050" t="0" r="0" b="0"/>
          <wp:wrapNone/>
          <wp:docPr id="5"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671F3C39" w14:textId="5A983E7A" w:rsidR="00C51FA4" w:rsidRDefault="00C51FA4" w:rsidP="00593AD1">
    <w:pPr>
      <w:pStyle w:val="HeaderNoLi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9E064" w14:textId="77777777" w:rsidR="00C51FA4" w:rsidRDefault="00C51F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B3CC5" w14:textId="77777777" w:rsidR="00C51FA4" w:rsidRDefault="00C51FA4">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211E5" w14:textId="77777777" w:rsidR="00C51FA4" w:rsidRDefault="00C51FA4">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04633" w14:textId="77777777" w:rsidR="00C51FA4" w:rsidRDefault="00C51FA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0669C" w14:textId="77777777" w:rsidR="00C51FA4" w:rsidRDefault="00C51FA4"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B6211" w14:textId="77777777" w:rsidR="00C51FA4" w:rsidRDefault="00C51FA4" w:rsidP="006E08B3">
    <w:r>
      <w:t>Therapeutic Goods Administration</w:t>
    </w:r>
  </w:p>
  <w:p w14:paraId="7B2DFDC3" w14:textId="77777777" w:rsidR="00C51FA4" w:rsidRDefault="00C51FA4"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1B62078"/>
    <w:multiLevelType w:val="hybridMultilevel"/>
    <w:tmpl w:val="A12EE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68F13E9"/>
    <w:multiLevelType w:val="multilevel"/>
    <w:tmpl w:val="1458B6EE"/>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DB67DF"/>
    <w:multiLevelType w:val="hybridMultilevel"/>
    <w:tmpl w:val="31FCDE04"/>
    <w:lvl w:ilvl="0" w:tplc="C9044A2E">
      <w:start w:val="1"/>
      <w:numFmt w:val="bullet"/>
      <w:lvlText w:val="•"/>
      <w:lvlJc w:val="left"/>
      <w:pPr>
        <w:tabs>
          <w:tab w:val="num" w:pos="720"/>
        </w:tabs>
        <w:ind w:left="720" w:hanging="360"/>
      </w:pPr>
      <w:rPr>
        <w:rFonts w:ascii="Arial" w:hAnsi="Arial" w:hint="default"/>
      </w:rPr>
    </w:lvl>
    <w:lvl w:ilvl="1" w:tplc="4C1EB060" w:tentative="1">
      <w:start w:val="1"/>
      <w:numFmt w:val="bullet"/>
      <w:lvlText w:val="•"/>
      <w:lvlJc w:val="left"/>
      <w:pPr>
        <w:tabs>
          <w:tab w:val="num" w:pos="1440"/>
        </w:tabs>
        <w:ind w:left="1440" w:hanging="360"/>
      </w:pPr>
      <w:rPr>
        <w:rFonts w:ascii="Arial" w:hAnsi="Arial" w:hint="default"/>
      </w:rPr>
    </w:lvl>
    <w:lvl w:ilvl="2" w:tplc="FD1A8E9C" w:tentative="1">
      <w:start w:val="1"/>
      <w:numFmt w:val="bullet"/>
      <w:lvlText w:val="•"/>
      <w:lvlJc w:val="left"/>
      <w:pPr>
        <w:tabs>
          <w:tab w:val="num" w:pos="2160"/>
        </w:tabs>
        <w:ind w:left="2160" w:hanging="360"/>
      </w:pPr>
      <w:rPr>
        <w:rFonts w:ascii="Arial" w:hAnsi="Arial" w:hint="default"/>
      </w:rPr>
    </w:lvl>
    <w:lvl w:ilvl="3" w:tplc="6186DF04" w:tentative="1">
      <w:start w:val="1"/>
      <w:numFmt w:val="bullet"/>
      <w:lvlText w:val="•"/>
      <w:lvlJc w:val="left"/>
      <w:pPr>
        <w:tabs>
          <w:tab w:val="num" w:pos="2880"/>
        </w:tabs>
        <w:ind w:left="2880" w:hanging="360"/>
      </w:pPr>
      <w:rPr>
        <w:rFonts w:ascii="Arial" w:hAnsi="Arial" w:hint="default"/>
      </w:rPr>
    </w:lvl>
    <w:lvl w:ilvl="4" w:tplc="57468B06" w:tentative="1">
      <w:start w:val="1"/>
      <w:numFmt w:val="bullet"/>
      <w:lvlText w:val="•"/>
      <w:lvlJc w:val="left"/>
      <w:pPr>
        <w:tabs>
          <w:tab w:val="num" w:pos="3600"/>
        </w:tabs>
        <w:ind w:left="3600" w:hanging="360"/>
      </w:pPr>
      <w:rPr>
        <w:rFonts w:ascii="Arial" w:hAnsi="Arial" w:hint="default"/>
      </w:rPr>
    </w:lvl>
    <w:lvl w:ilvl="5" w:tplc="D82EE80C" w:tentative="1">
      <w:start w:val="1"/>
      <w:numFmt w:val="bullet"/>
      <w:lvlText w:val="•"/>
      <w:lvlJc w:val="left"/>
      <w:pPr>
        <w:tabs>
          <w:tab w:val="num" w:pos="4320"/>
        </w:tabs>
        <w:ind w:left="4320" w:hanging="360"/>
      </w:pPr>
      <w:rPr>
        <w:rFonts w:ascii="Arial" w:hAnsi="Arial" w:hint="default"/>
      </w:rPr>
    </w:lvl>
    <w:lvl w:ilvl="6" w:tplc="B8B0E2FE" w:tentative="1">
      <w:start w:val="1"/>
      <w:numFmt w:val="bullet"/>
      <w:lvlText w:val="•"/>
      <w:lvlJc w:val="left"/>
      <w:pPr>
        <w:tabs>
          <w:tab w:val="num" w:pos="5040"/>
        </w:tabs>
        <w:ind w:left="5040" w:hanging="360"/>
      </w:pPr>
      <w:rPr>
        <w:rFonts w:ascii="Arial" w:hAnsi="Arial" w:hint="default"/>
      </w:rPr>
    </w:lvl>
    <w:lvl w:ilvl="7" w:tplc="CCDEE52C" w:tentative="1">
      <w:start w:val="1"/>
      <w:numFmt w:val="bullet"/>
      <w:lvlText w:val="•"/>
      <w:lvlJc w:val="left"/>
      <w:pPr>
        <w:tabs>
          <w:tab w:val="num" w:pos="5760"/>
        </w:tabs>
        <w:ind w:left="5760" w:hanging="360"/>
      </w:pPr>
      <w:rPr>
        <w:rFonts w:ascii="Arial" w:hAnsi="Arial" w:hint="default"/>
      </w:rPr>
    </w:lvl>
    <w:lvl w:ilvl="8" w:tplc="78165B4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C46324C"/>
    <w:multiLevelType w:val="hybridMultilevel"/>
    <w:tmpl w:val="EA1858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D214E8B"/>
    <w:multiLevelType w:val="hybridMultilevel"/>
    <w:tmpl w:val="EE306C48"/>
    <w:lvl w:ilvl="0" w:tplc="0C090001">
      <w:start w:val="1"/>
      <w:numFmt w:val="bullet"/>
      <w:pStyle w:val="TableBullet"/>
      <w:lvlText w:val=""/>
      <w:lvlJc w:val="left"/>
      <w:pPr>
        <w:tabs>
          <w:tab w:val="num" w:pos="85"/>
        </w:tabs>
        <w:ind w:left="113" w:hanging="113"/>
      </w:pPr>
      <w:rPr>
        <w:rFonts w:ascii="Symbol" w:hAnsi="Symbol" w:hint="default"/>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2"/>
  </w:num>
  <w:num w:numId="4">
    <w:abstractNumId w:val="0"/>
  </w:num>
  <w:num w:numId="5">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6">
    <w:abstractNumId w:val="7"/>
  </w:num>
  <w:num w:numId="7">
    <w:abstractNumId w:val="1"/>
  </w:num>
  <w:num w:numId="8">
    <w:abstractNumId w:val="8"/>
  </w:num>
  <w:num w:numId="9">
    <w:abstractNumId w:val="5"/>
  </w:num>
  <w:num w:numId="10">
    <w:abstractNumId w:val="4"/>
  </w:num>
  <w:num w:numId="11">
    <w:abstractNumId w:val="9"/>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7F5"/>
    <w:rsid w:val="0000022B"/>
    <w:rsid w:val="00002031"/>
    <w:rsid w:val="00003917"/>
    <w:rsid w:val="00004734"/>
    <w:rsid w:val="00006B22"/>
    <w:rsid w:val="00006DE9"/>
    <w:rsid w:val="00006FAB"/>
    <w:rsid w:val="00011D79"/>
    <w:rsid w:val="0001276A"/>
    <w:rsid w:val="000246AE"/>
    <w:rsid w:val="00025C67"/>
    <w:rsid w:val="00044772"/>
    <w:rsid w:val="0004541C"/>
    <w:rsid w:val="0005559E"/>
    <w:rsid w:val="000604D6"/>
    <w:rsid w:val="00063ED0"/>
    <w:rsid w:val="000734D8"/>
    <w:rsid w:val="00077775"/>
    <w:rsid w:val="0008182E"/>
    <w:rsid w:val="00082F19"/>
    <w:rsid w:val="00090471"/>
    <w:rsid w:val="00096AA7"/>
    <w:rsid w:val="000A3AED"/>
    <w:rsid w:val="000B1379"/>
    <w:rsid w:val="000B144B"/>
    <w:rsid w:val="000B3532"/>
    <w:rsid w:val="000B3A75"/>
    <w:rsid w:val="000B3F14"/>
    <w:rsid w:val="000B43D9"/>
    <w:rsid w:val="000C00C2"/>
    <w:rsid w:val="000C690F"/>
    <w:rsid w:val="000D1295"/>
    <w:rsid w:val="000D391B"/>
    <w:rsid w:val="000D3D6D"/>
    <w:rsid w:val="000D4FC7"/>
    <w:rsid w:val="000D5408"/>
    <w:rsid w:val="000E02D0"/>
    <w:rsid w:val="000E3086"/>
    <w:rsid w:val="000E6196"/>
    <w:rsid w:val="000F4869"/>
    <w:rsid w:val="000F49FD"/>
    <w:rsid w:val="000F5B42"/>
    <w:rsid w:val="000F6E6F"/>
    <w:rsid w:val="0010601F"/>
    <w:rsid w:val="0010788A"/>
    <w:rsid w:val="00107A31"/>
    <w:rsid w:val="00110EA5"/>
    <w:rsid w:val="00112F56"/>
    <w:rsid w:val="0012340D"/>
    <w:rsid w:val="001243C9"/>
    <w:rsid w:val="00124ACD"/>
    <w:rsid w:val="00125318"/>
    <w:rsid w:val="001305A2"/>
    <w:rsid w:val="00133238"/>
    <w:rsid w:val="00133A1B"/>
    <w:rsid w:val="0014197B"/>
    <w:rsid w:val="001447CD"/>
    <w:rsid w:val="0014623F"/>
    <w:rsid w:val="001516B1"/>
    <w:rsid w:val="00151780"/>
    <w:rsid w:val="00154EBB"/>
    <w:rsid w:val="00156316"/>
    <w:rsid w:val="00161181"/>
    <w:rsid w:val="00162D14"/>
    <w:rsid w:val="0016365D"/>
    <w:rsid w:val="00163780"/>
    <w:rsid w:val="00165389"/>
    <w:rsid w:val="001741D2"/>
    <w:rsid w:val="0017693F"/>
    <w:rsid w:val="0018110E"/>
    <w:rsid w:val="00181684"/>
    <w:rsid w:val="00182D7C"/>
    <w:rsid w:val="001841FF"/>
    <w:rsid w:val="001843C6"/>
    <w:rsid w:val="001850E0"/>
    <w:rsid w:val="001868F6"/>
    <w:rsid w:val="001A03AF"/>
    <w:rsid w:val="001A2158"/>
    <w:rsid w:val="001A525F"/>
    <w:rsid w:val="001B09F9"/>
    <w:rsid w:val="001B5C90"/>
    <w:rsid w:val="001B6448"/>
    <w:rsid w:val="001C0F59"/>
    <w:rsid w:val="001C32CD"/>
    <w:rsid w:val="001D2984"/>
    <w:rsid w:val="001E07CF"/>
    <w:rsid w:val="001E129C"/>
    <w:rsid w:val="001E1A44"/>
    <w:rsid w:val="001E59F1"/>
    <w:rsid w:val="001E79D5"/>
    <w:rsid w:val="001F2CEE"/>
    <w:rsid w:val="001F49EB"/>
    <w:rsid w:val="001F6981"/>
    <w:rsid w:val="001F6CBA"/>
    <w:rsid w:val="00201D4E"/>
    <w:rsid w:val="00206F08"/>
    <w:rsid w:val="002076C9"/>
    <w:rsid w:val="00212F02"/>
    <w:rsid w:val="00220B8A"/>
    <w:rsid w:val="002257F3"/>
    <w:rsid w:val="00233456"/>
    <w:rsid w:val="002339A5"/>
    <w:rsid w:val="002425F6"/>
    <w:rsid w:val="002438F0"/>
    <w:rsid w:val="00250271"/>
    <w:rsid w:val="00257848"/>
    <w:rsid w:val="002578E8"/>
    <w:rsid w:val="00262DEC"/>
    <w:rsid w:val="0027084A"/>
    <w:rsid w:val="00276EF8"/>
    <w:rsid w:val="00276F86"/>
    <w:rsid w:val="00280265"/>
    <w:rsid w:val="00286434"/>
    <w:rsid w:val="00286C59"/>
    <w:rsid w:val="00291957"/>
    <w:rsid w:val="002942D1"/>
    <w:rsid w:val="0029501A"/>
    <w:rsid w:val="00295FFB"/>
    <w:rsid w:val="002973B5"/>
    <w:rsid w:val="002A3721"/>
    <w:rsid w:val="002A7413"/>
    <w:rsid w:val="002B1638"/>
    <w:rsid w:val="002B213A"/>
    <w:rsid w:val="002B3624"/>
    <w:rsid w:val="002D0952"/>
    <w:rsid w:val="002E3F0D"/>
    <w:rsid w:val="002E40B3"/>
    <w:rsid w:val="002E4C9A"/>
    <w:rsid w:val="002F11F8"/>
    <w:rsid w:val="002F3F56"/>
    <w:rsid w:val="002F44B5"/>
    <w:rsid w:val="002F5122"/>
    <w:rsid w:val="002F5EB7"/>
    <w:rsid w:val="00311AC0"/>
    <w:rsid w:val="003176FC"/>
    <w:rsid w:val="0032583B"/>
    <w:rsid w:val="00327883"/>
    <w:rsid w:val="003327EA"/>
    <w:rsid w:val="00335504"/>
    <w:rsid w:val="00340C18"/>
    <w:rsid w:val="003442FD"/>
    <w:rsid w:val="00347824"/>
    <w:rsid w:val="00350567"/>
    <w:rsid w:val="003521E8"/>
    <w:rsid w:val="00356114"/>
    <w:rsid w:val="00370CE3"/>
    <w:rsid w:val="003728F3"/>
    <w:rsid w:val="003735BC"/>
    <w:rsid w:val="0037496E"/>
    <w:rsid w:val="00383221"/>
    <w:rsid w:val="00384939"/>
    <w:rsid w:val="00386150"/>
    <w:rsid w:val="003874CE"/>
    <w:rsid w:val="00390900"/>
    <w:rsid w:val="003A7F6C"/>
    <w:rsid w:val="003B4D60"/>
    <w:rsid w:val="003B7E39"/>
    <w:rsid w:val="003C3173"/>
    <w:rsid w:val="003C3DE8"/>
    <w:rsid w:val="003C58DC"/>
    <w:rsid w:val="003D1E62"/>
    <w:rsid w:val="003E0B99"/>
    <w:rsid w:val="003E2486"/>
    <w:rsid w:val="003E3208"/>
    <w:rsid w:val="003F0B04"/>
    <w:rsid w:val="003F6C6D"/>
    <w:rsid w:val="0040134E"/>
    <w:rsid w:val="00405B5B"/>
    <w:rsid w:val="00432674"/>
    <w:rsid w:val="004334C7"/>
    <w:rsid w:val="00440A2D"/>
    <w:rsid w:val="00441C3F"/>
    <w:rsid w:val="00444D1A"/>
    <w:rsid w:val="00446107"/>
    <w:rsid w:val="00451555"/>
    <w:rsid w:val="0045186A"/>
    <w:rsid w:val="00455FE4"/>
    <w:rsid w:val="0045634C"/>
    <w:rsid w:val="004564A7"/>
    <w:rsid w:val="00456765"/>
    <w:rsid w:val="00460036"/>
    <w:rsid w:val="004617BF"/>
    <w:rsid w:val="00463658"/>
    <w:rsid w:val="004637A0"/>
    <w:rsid w:val="004722CC"/>
    <w:rsid w:val="00476799"/>
    <w:rsid w:val="00490483"/>
    <w:rsid w:val="004936E4"/>
    <w:rsid w:val="00494E60"/>
    <w:rsid w:val="00497487"/>
    <w:rsid w:val="004A2771"/>
    <w:rsid w:val="004A49D1"/>
    <w:rsid w:val="004A6189"/>
    <w:rsid w:val="004A7390"/>
    <w:rsid w:val="004B7B76"/>
    <w:rsid w:val="004C10EE"/>
    <w:rsid w:val="004C239D"/>
    <w:rsid w:val="004C2DCA"/>
    <w:rsid w:val="004C4FBE"/>
    <w:rsid w:val="004C61D2"/>
    <w:rsid w:val="004E042C"/>
    <w:rsid w:val="004E0975"/>
    <w:rsid w:val="004E4525"/>
    <w:rsid w:val="004F0C18"/>
    <w:rsid w:val="004F0C4A"/>
    <w:rsid w:val="004F0F38"/>
    <w:rsid w:val="004F460D"/>
    <w:rsid w:val="004F47D6"/>
    <w:rsid w:val="00500337"/>
    <w:rsid w:val="00501921"/>
    <w:rsid w:val="0052264A"/>
    <w:rsid w:val="00530354"/>
    <w:rsid w:val="0053625B"/>
    <w:rsid w:val="005434C6"/>
    <w:rsid w:val="00543B39"/>
    <w:rsid w:val="00546154"/>
    <w:rsid w:val="00550096"/>
    <w:rsid w:val="00555280"/>
    <w:rsid w:val="00557FF9"/>
    <w:rsid w:val="00562327"/>
    <w:rsid w:val="005711D5"/>
    <w:rsid w:val="00576378"/>
    <w:rsid w:val="00577130"/>
    <w:rsid w:val="00577945"/>
    <w:rsid w:val="00577E38"/>
    <w:rsid w:val="00580612"/>
    <w:rsid w:val="00585322"/>
    <w:rsid w:val="005857C6"/>
    <w:rsid w:val="00592F6E"/>
    <w:rsid w:val="00593AD1"/>
    <w:rsid w:val="005A68B6"/>
    <w:rsid w:val="005C5570"/>
    <w:rsid w:val="005C5B66"/>
    <w:rsid w:val="005C79A4"/>
    <w:rsid w:val="005D5442"/>
    <w:rsid w:val="005E50DB"/>
    <w:rsid w:val="005F2359"/>
    <w:rsid w:val="00603F32"/>
    <w:rsid w:val="00605AD4"/>
    <w:rsid w:val="006136D7"/>
    <w:rsid w:val="00621612"/>
    <w:rsid w:val="00625A6E"/>
    <w:rsid w:val="006320D7"/>
    <w:rsid w:val="00632398"/>
    <w:rsid w:val="00640FC3"/>
    <w:rsid w:val="00641AA8"/>
    <w:rsid w:val="00642020"/>
    <w:rsid w:val="006430EE"/>
    <w:rsid w:val="00651C90"/>
    <w:rsid w:val="0065337B"/>
    <w:rsid w:val="0065419D"/>
    <w:rsid w:val="0065486C"/>
    <w:rsid w:val="00656FFB"/>
    <w:rsid w:val="006603BC"/>
    <w:rsid w:val="006604D8"/>
    <w:rsid w:val="00664A5B"/>
    <w:rsid w:val="0066735C"/>
    <w:rsid w:val="006763D2"/>
    <w:rsid w:val="00680C08"/>
    <w:rsid w:val="006916A0"/>
    <w:rsid w:val="006931B1"/>
    <w:rsid w:val="0069376B"/>
    <w:rsid w:val="00694E87"/>
    <w:rsid w:val="006A15C0"/>
    <w:rsid w:val="006A4C8B"/>
    <w:rsid w:val="006A58A8"/>
    <w:rsid w:val="006C3E2A"/>
    <w:rsid w:val="006C642F"/>
    <w:rsid w:val="006D03E5"/>
    <w:rsid w:val="006D5D3E"/>
    <w:rsid w:val="006D5E69"/>
    <w:rsid w:val="006E08B3"/>
    <w:rsid w:val="006F17AC"/>
    <w:rsid w:val="006F1C9C"/>
    <w:rsid w:val="006F25B8"/>
    <w:rsid w:val="006F572E"/>
    <w:rsid w:val="007019D6"/>
    <w:rsid w:val="007046D6"/>
    <w:rsid w:val="00705DB0"/>
    <w:rsid w:val="00722B57"/>
    <w:rsid w:val="00730F8A"/>
    <w:rsid w:val="0073259E"/>
    <w:rsid w:val="00735A8C"/>
    <w:rsid w:val="0074253D"/>
    <w:rsid w:val="0074429B"/>
    <w:rsid w:val="007615BC"/>
    <w:rsid w:val="00762F05"/>
    <w:rsid w:val="00763261"/>
    <w:rsid w:val="007652FF"/>
    <w:rsid w:val="007673CE"/>
    <w:rsid w:val="00770CAC"/>
    <w:rsid w:val="00770EF1"/>
    <w:rsid w:val="00773EF7"/>
    <w:rsid w:val="00774D42"/>
    <w:rsid w:val="00774E1D"/>
    <w:rsid w:val="007765D8"/>
    <w:rsid w:val="0077675A"/>
    <w:rsid w:val="00780355"/>
    <w:rsid w:val="007819FD"/>
    <w:rsid w:val="00785717"/>
    <w:rsid w:val="00785721"/>
    <w:rsid w:val="00793A59"/>
    <w:rsid w:val="007A46F5"/>
    <w:rsid w:val="007A51F0"/>
    <w:rsid w:val="007A6505"/>
    <w:rsid w:val="007B3805"/>
    <w:rsid w:val="007B5883"/>
    <w:rsid w:val="007B6132"/>
    <w:rsid w:val="007B6E9F"/>
    <w:rsid w:val="007C1216"/>
    <w:rsid w:val="007C1AF7"/>
    <w:rsid w:val="007C5ABE"/>
    <w:rsid w:val="007C6B9B"/>
    <w:rsid w:val="007D53B6"/>
    <w:rsid w:val="007E1C5A"/>
    <w:rsid w:val="007F2EB1"/>
    <w:rsid w:val="007F4710"/>
    <w:rsid w:val="007F6485"/>
    <w:rsid w:val="00805D27"/>
    <w:rsid w:val="00806DCB"/>
    <w:rsid w:val="00813F3F"/>
    <w:rsid w:val="00821776"/>
    <w:rsid w:val="008321F5"/>
    <w:rsid w:val="00832369"/>
    <w:rsid w:val="00834660"/>
    <w:rsid w:val="00836BC2"/>
    <w:rsid w:val="00842C71"/>
    <w:rsid w:val="008475CA"/>
    <w:rsid w:val="0085156D"/>
    <w:rsid w:val="00852B28"/>
    <w:rsid w:val="0085641B"/>
    <w:rsid w:val="00857136"/>
    <w:rsid w:val="00857A3C"/>
    <w:rsid w:val="008644D6"/>
    <w:rsid w:val="00875A6B"/>
    <w:rsid w:val="00885B11"/>
    <w:rsid w:val="00886D15"/>
    <w:rsid w:val="00887DD8"/>
    <w:rsid w:val="00891BA9"/>
    <w:rsid w:val="00896018"/>
    <w:rsid w:val="008960DD"/>
    <w:rsid w:val="0089635C"/>
    <w:rsid w:val="008A0412"/>
    <w:rsid w:val="008A2B9D"/>
    <w:rsid w:val="008A3D9F"/>
    <w:rsid w:val="008A5E0B"/>
    <w:rsid w:val="008A6D59"/>
    <w:rsid w:val="008B4B03"/>
    <w:rsid w:val="008B596F"/>
    <w:rsid w:val="008C0054"/>
    <w:rsid w:val="008C159F"/>
    <w:rsid w:val="008C1623"/>
    <w:rsid w:val="008C1850"/>
    <w:rsid w:val="008C4739"/>
    <w:rsid w:val="008C51A9"/>
    <w:rsid w:val="008D2C09"/>
    <w:rsid w:val="008E7846"/>
    <w:rsid w:val="008F02E5"/>
    <w:rsid w:val="008F1CCC"/>
    <w:rsid w:val="008F2967"/>
    <w:rsid w:val="008F6943"/>
    <w:rsid w:val="00902A21"/>
    <w:rsid w:val="009030A6"/>
    <w:rsid w:val="009032E2"/>
    <w:rsid w:val="009061DA"/>
    <w:rsid w:val="0091523F"/>
    <w:rsid w:val="00920330"/>
    <w:rsid w:val="009219D7"/>
    <w:rsid w:val="00922D53"/>
    <w:rsid w:val="00923B70"/>
    <w:rsid w:val="00924482"/>
    <w:rsid w:val="00930237"/>
    <w:rsid w:val="00937C17"/>
    <w:rsid w:val="00940A89"/>
    <w:rsid w:val="00941F77"/>
    <w:rsid w:val="00943802"/>
    <w:rsid w:val="00946EA5"/>
    <w:rsid w:val="00960520"/>
    <w:rsid w:val="00963C08"/>
    <w:rsid w:val="00964267"/>
    <w:rsid w:val="009752A5"/>
    <w:rsid w:val="00977DB4"/>
    <w:rsid w:val="0098585A"/>
    <w:rsid w:val="009934B9"/>
    <w:rsid w:val="009A4CED"/>
    <w:rsid w:val="009A690D"/>
    <w:rsid w:val="009B1D12"/>
    <w:rsid w:val="009B416B"/>
    <w:rsid w:val="009C4BD5"/>
    <w:rsid w:val="009D19F4"/>
    <w:rsid w:val="009D7B77"/>
    <w:rsid w:val="009E0BB0"/>
    <w:rsid w:val="009E3FBB"/>
    <w:rsid w:val="009F544E"/>
    <w:rsid w:val="009F7353"/>
    <w:rsid w:val="00A04F85"/>
    <w:rsid w:val="00A05FA4"/>
    <w:rsid w:val="00A077F5"/>
    <w:rsid w:val="00A102E4"/>
    <w:rsid w:val="00A1219C"/>
    <w:rsid w:val="00A12C42"/>
    <w:rsid w:val="00A14DF7"/>
    <w:rsid w:val="00A22D57"/>
    <w:rsid w:val="00A24B4D"/>
    <w:rsid w:val="00A3246D"/>
    <w:rsid w:val="00A36FA7"/>
    <w:rsid w:val="00A44DDB"/>
    <w:rsid w:val="00A4536D"/>
    <w:rsid w:val="00A475B7"/>
    <w:rsid w:val="00A47AF7"/>
    <w:rsid w:val="00A47C3E"/>
    <w:rsid w:val="00A50226"/>
    <w:rsid w:val="00A60BAD"/>
    <w:rsid w:val="00A6230F"/>
    <w:rsid w:val="00A77F87"/>
    <w:rsid w:val="00A80B5B"/>
    <w:rsid w:val="00A84A74"/>
    <w:rsid w:val="00A84E36"/>
    <w:rsid w:val="00A964D1"/>
    <w:rsid w:val="00AA0ED0"/>
    <w:rsid w:val="00AC2B40"/>
    <w:rsid w:val="00AC2BB2"/>
    <w:rsid w:val="00AC2C3C"/>
    <w:rsid w:val="00AC512D"/>
    <w:rsid w:val="00AD0083"/>
    <w:rsid w:val="00AD3935"/>
    <w:rsid w:val="00AE4171"/>
    <w:rsid w:val="00AE65EB"/>
    <w:rsid w:val="00AE67A7"/>
    <w:rsid w:val="00AF1D94"/>
    <w:rsid w:val="00AF60C5"/>
    <w:rsid w:val="00B009C6"/>
    <w:rsid w:val="00B01548"/>
    <w:rsid w:val="00B02CE6"/>
    <w:rsid w:val="00B130C5"/>
    <w:rsid w:val="00B13EBD"/>
    <w:rsid w:val="00B21D29"/>
    <w:rsid w:val="00B25034"/>
    <w:rsid w:val="00B33588"/>
    <w:rsid w:val="00B33863"/>
    <w:rsid w:val="00B3686B"/>
    <w:rsid w:val="00B37D17"/>
    <w:rsid w:val="00B4175E"/>
    <w:rsid w:val="00B41C85"/>
    <w:rsid w:val="00B4503B"/>
    <w:rsid w:val="00B452CE"/>
    <w:rsid w:val="00B54C25"/>
    <w:rsid w:val="00B637B5"/>
    <w:rsid w:val="00B73C3F"/>
    <w:rsid w:val="00B76B91"/>
    <w:rsid w:val="00B77EB1"/>
    <w:rsid w:val="00B811C6"/>
    <w:rsid w:val="00B855B0"/>
    <w:rsid w:val="00B864C7"/>
    <w:rsid w:val="00B92E08"/>
    <w:rsid w:val="00B92F20"/>
    <w:rsid w:val="00BA30D4"/>
    <w:rsid w:val="00BB780A"/>
    <w:rsid w:val="00BC622A"/>
    <w:rsid w:val="00BC7DAD"/>
    <w:rsid w:val="00BD045C"/>
    <w:rsid w:val="00BD1199"/>
    <w:rsid w:val="00BE0A78"/>
    <w:rsid w:val="00BE79F0"/>
    <w:rsid w:val="00BF046D"/>
    <w:rsid w:val="00BF1190"/>
    <w:rsid w:val="00BF3774"/>
    <w:rsid w:val="00BF5D04"/>
    <w:rsid w:val="00C009AA"/>
    <w:rsid w:val="00C02839"/>
    <w:rsid w:val="00C1164D"/>
    <w:rsid w:val="00C16861"/>
    <w:rsid w:val="00C32A47"/>
    <w:rsid w:val="00C346AB"/>
    <w:rsid w:val="00C37F67"/>
    <w:rsid w:val="00C404A6"/>
    <w:rsid w:val="00C40A36"/>
    <w:rsid w:val="00C43934"/>
    <w:rsid w:val="00C44419"/>
    <w:rsid w:val="00C45E7B"/>
    <w:rsid w:val="00C471B1"/>
    <w:rsid w:val="00C5171E"/>
    <w:rsid w:val="00C51FA4"/>
    <w:rsid w:val="00C525A2"/>
    <w:rsid w:val="00C52E24"/>
    <w:rsid w:val="00C52E41"/>
    <w:rsid w:val="00C55153"/>
    <w:rsid w:val="00C6316B"/>
    <w:rsid w:val="00C634A9"/>
    <w:rsid w:val="00C64586"/>
    <w:rsid w:val="00C70A36"/>
    <w:rsid w:val="00C70D53"/>
    <w:rsid w:val="00C73D0B"/>
    <w:rsid w:val="00C74F5C"/>
    <w:rsid w:val="00C772FF"/>
    <w:rsid w:val="00C80137"/>
    <w:rsid w:val="00C801AF"/>
    <w:rsid w:val="00C80256"/>
    <w:rsid w:val="00C878B0"/>
    <w:rsid w:val="00C94CD4"/>
    <w:rsid w:val="00C94D24"/>
    <w:rsid w:val="00C9747E"/>
    <w:rsid w:val="00CB2A21"/>
    <w:rsid w:val="00CB6BC0"/>
    <w:rsid w:val="00CC1B7C"/>
    <w:rsid w:val="00CC727F"/>
    <w:rsid w:val="00CE5A2D"/>
    <w:rsid w:val="00CF15C3"/>
    <w:rsid w:val="00CF2B6F"/>
    <w:rsid w:val="00CF2F3E"/>
    <w:rsid w:val="00CF58B6"/>
    <w:rsid w:val="00CF5DAD"/>
    <w:rsid w:val="00D00323"/>
    <w:rsid w:val="00D0062D"/>
    <w:rsid w:val="00D017ED"/>
    <w:rsid w:val="00D040D3"/>
    <w:rsid w:val="00D04C65"/>
    <w:rsid w:val="00D06CA8"/>
    <w:rsid w:val="00D153D8"/>
    <w:rsid w:val="00D201D2"/>
    <w:rsid w:val="00D224FE"/>
    <w:rsid w:val="00D23139"/>
    <w:rsid w:val="00D2702C"/>
    <w:rsid w:val="00D425BB"/>
    <w:rsid w:val="00D453FA"/>
    <w:rsid w:val="00D6493E"/>
    <w:rsid w:val="00D7195D"/>
    <w:rsid w:val="00D728D9"/>
    <w:rsid w:val="00D7301E"/>
    <w:rsid w:val="00D83AE1"/>
    <w:rsid w:val="00D855D4"/>
    <w:rsid w:val="00D902C9"/>
    <w:rsid w:val="00D93466"/>
    <w:rsid w:val="00D956A6"/>
    <w:rsid w:val="00DA1124"/>
    <w:rsid w:val="00DA1A02"/>
    <w:rsid w:val="00DA64CB"/>
    <w:rsid w:val="00DB06B8"/>
    <w:rsid w:val="00DB6124"/>
    <w:rsid w:val="00DB750B"/>
    <w:rsid w:val="00DB75B7"/>
    <w:rsid w:val="00DC0A2F"/>
    <w:rsid w:val="00DC1948"/>
    <w:rsid w:val="00DC1BB2"/>
    <w:rsid w:val="00DC6E02"/>
    <w:rsid w:val="00DD1C36"/>
    <w:rsid w:val="00DD28CD"/>
    <w:rsid w:val="00DD5E56"/>
    <w:rsid w:val="00DE02AE"/>
    <w:rsid w:val="00DE39D1"/>
    <w:rsid w:val="00DE4000"/>
    <w:rsid w:val="00DF1D7F"/>
    <w:rsid w:val="00DF491E"/>
    <w:rsid w:val="00DF4BE4"/>
    <w:rsid w:val="00DF6211"/>
    <w:rsid w:val="00E02382"/>
    <w:rsid w:val="00E02FB4"/>
    <w:rsid w:val="00E03BF4"/>
    <w:rsid w:val="00E1257C"/>
    <w:rsid w:val="00E13FC7"/>
    <w:rsid w:val="00E20571"/>
    <w:rsid w:val="00E235F7"/>
    <w:rsid w:val="00E23659"/>
    <w:rsid w:val="00E239D4"/>
    <w:rsid w:val="00E26130"/>
    <w:rsid w:val="00E35C72"/>
    <w:rsid w:val="00E40B22"/>
    <w:rsid w:val="00E44ED1"/>
    <w:rsid w:val="00E45619"/>
    <w:rsid w:val="00E4588F"/>
    <w:rsid w:val="00E46DA3"/>
    <w:rsid w:val="00E51BB1"/>
    <w:rsid w:val="00E55CB0"/>
    <w:rsid w:val="00E566B0"/>
    <w:rsid w:val="00E624A5"/>
    <w:rsid w:val="00E63D02"/>
    <w:rsid w:val="00E64BA4"/>
    <w:rsid w:val="00E72666"/>
    <w:rsid w:val="00E7344E"/>
    <w:rsid w:val="00E75D31"/>
    <w:rsid w:val="00E76D5C"/>
    <w:rsid w:val="00E81DF5"/>
    <w:rsid w:val="00E82665"/>
    <w:rsid w:val="00E859DA"/>
    <w:rsid w:val="00E969F8"/>
    <w:rsid w:val="00EA1605"/>
    <w:rsid w:val="00EA5432"/>
    <w:rsid w:val="00EA5FA1"/>
    <w:rsid w:val="00EB0798"/>
    <w:rsid w:val="00EB40AD"/>
    <w:rsid w:val="00EB5271"/>
    <w:rsid w:val="00EB586E"/>
    <w:rsid w:val="00EB5FC8"/>
    <w:rsid w:val="00EC463D"/>
    <w:rsid w:val="00EC7A85"/>
    <w:rsid w:val="00ED2922"/>
    <w:rsid w:val="00ED2A79"/>
    <w:rsid w:val="00ED3CAD"/>
    <w:rsid w:val="00ED5A41"/>
    <w:rsid w:val="00ED7840"/>
    <w:rsid w:val="00EE1DE8"/>
    <w:rsid w:val="00EE27C2"/>
    <w:rsid w:val="00EF21D0"/>
    <w:rsid w:val="00EF4BAD"/>
    <w:rsid w:val="00EF59DC"/>
    <w:rsid w:val="00EF71E9"/>
    <w:rsid w:val="00F033EC"/>
    <w:rsid w:val="00F04F68"/>
    <w:rsid w:val="00F076C8"/>
    <w:rsid w:val="00F12670"/>
    <w:rsid w:val="00F14AD0"/>
    <w:rsid w:val="00F14B27"/>
    <w:rsid w:val="00F3148D"/>
    <w:rsid w:val="00F325C5"/>
    <w:rsid w:val="00F32FE0"/>
    <w:rsid w:val="00F333AB"/>
    <w:rsid w:val="00F35298"/>
    <w:rsid w:val="00F47333"/>
    <w:rsid w:val="00F47E37"/>
    <w:rsid w:val="00F53C07"/>
    <w:rsid w:val="00F54B65"/>
    <w:rsid w:val="00F54ED7"/>
    <w:rsid w:val="00F562FB"/>
    <w:rsid w:val="00F57607"/>
    <w:rsid w:val="00F60DAD"/>
    <w:rsid w:val="00F640B6"/>
    <w:rsid w:val="00F66DF2"/>
    <w:rsid w:val="00F7780C"/>
    <w:rsid w:val="00F80E40"/>
    <w:rsid w:val="00F848D9"/>
    <w:rsid w:val="00F877A1"/>
    <w:rsid w:val="00FA5069"/>
    <w:rsid w:val="00FA5B82"/>
    <w:rsid w:val="00FA639E"/>
    <w:rsid w:val="00FC1FCA"/>
    <w:rsid w:val="00FC25E4"/>
    <w:rsid w:val="00FC4EF7"/>
    <w:rsid w:val="00FD0824"/>
    <w:rsid w:val="00FD119B"/>
    <w:rsid w:val="00FD1EDC"/>
    <w:rsid w:val="00FD2C78"/>
    <w:rsid w:val="00FD4536"/>
    <w:rsid w:val="00FE1DEE"/>
    <w:rsid w:val="00FF2126"/>
    <w:rsid w:val="00FF3662"/>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19F8A8"/>
  <w15:docId w15:val="{E13A7799-9CC3-4012-8FA5-C14D0F7E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62DEC"/>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qFormat/>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qFormat/>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577130"/>
    <w:rPr>
      <w:rFonts w:ascii="Cambria" w:eastAsia="Times New Roman" w:hAnsi="Cambria" w:cs="Times New Roman"/>
      <w:bCs/>
      <w:i/>
      <w:szCs w:val="21"/>
    </w:rPr>
  </w:style>
  <w:style w:type="character" w:customStyle="1" w:styleId="Heading7Char">
    <w:name w:val="Heading 7 Char"/>
    <w:basedOn w:val="DefaultParagraphFont"/>
    <w:link w:val="Heading7"/>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6D5E69"/>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2E40B3"/>
    <w:pPr>
      <w:keepNext/>
    </w:pPr>
    <w:rPr>
      <w:b/>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A84A74"/>
    <w:pPr>
      <w:adjustRightInd w:val="0"/>
      <w:snapToGrid w:val="0"/>
      <w:spacing w:before="180" w:after="180"/>
      <w:ind w:left="720"/>
      <w:contextualSpacing/>
    </w:pPr>
    <w:rPr>
      <w:rFonts w:eastAsia="MS Mincho"/>
      <w:szCs w:val="20"/>
      <w:lang w:eastAsia="ja-JP"/>
    </w:rPr>
  </w:style>
  <w:style w:type="table" w:styleId="GridTable1Light-Accent4">
    <w:name w:val="Grid Table 1 Light Accent 4"/>
    <w:basedOn w:val="TableNormal"/>
    <w:uiPriority w:val="46"/>
    <w:rsid w:val="00E03BF4"/>
    <w:pPr>
      <w:spacing w:after="0" w:line="240" w:lineRule="auto"/>
    </w:pPr>
    <w:tblPr>
      <w:tblStyleRowBandSize w:val="1"/>
      <w:tblStyleColBandSize w:val="1"/>
      <w:tblBorders>
        <w:top w:val="single" w:sz="4" w:space="0" w:color="5BFFFB" w:themeColor="accent4" w:themeTint="66"/>
        <w:left w:val="single" w:sz="4" w:space="0" w:color="5BFFFB" w:themeColor="accent4" w:themeTint="66"/>
        <w:bottom w:val="single" w:sz="4" w:space="0" w:color="5BFFFB" w:themeColor="accent4" w:themeTint="66"/>
        <w:right w:val="single" w:sz="4" w:space="0" w:color="5BFFFB" w:themeColor="accent4" w:themeTint="66"/>
        <w:insideH w:val="single" w:sz="4" w:space="0" w:color="5BFFFB" w:themeColor="accent4" w:themeTint="66"/>
        <w:insideV w:val="single" w:sz="4" w:space="0" w:color="5BFFFB" w:themeColor="accent4" w:themeTint="66"/>
      </w:tblBorders>
    </w:tblPr>
    <w:tblStylePr w:type="firstRow">
      <w:rPr>
        <w:b/>
        <w:bCs/>
      </w:rPr>
      <w:tblPr/>
      <w:tcPr>
        <w:tcBorders>
          <w:bottom w:val="single" w:sz="12" w:space="0" w:color="0AFFFA" w:themeColor="accent4" w:themeTint="99"/>
        </w:tcBorders>
      </w:tcPr>
    </w:tblStylePr>
    <w:tblStylePr w:type="lastRow">
      <w:rPr>
        <w:b/>
        <w:bCs/>
      </w:rPr>
      <w:tblPr/>
      <w:tcPr>
        <w:tcBorders>
          <w:top w:val="double" w:sz="2" w:space="0" w:color="0AFFFA"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03BF4"/>
    <w:pPr>
      <w:spacing w:after="0" w:line="240" w:lineRule="auto"/>
    </w:pPr>
    <w:tblPr>
      <w:tblStyleRowBandSize w:val="1"/>
      <w:tblStyleColBandSize w:val="1"/>
      <w:tblBorders>
        <w:top w:val="single" w:sz="4" w:space="0" w:color="75CFFF" w:themeColor="accent3" w:themeTint="66"/>
        <w:left w:val="single" w:sz="4" w:space="0" w:color="75CFFF" w:themeColor="accent3" w:themeTint="66"/>
        <w:bottom w:val="single" w:sz="4" w:space="0" w:color="75CFFF" w:themeColor="accent3" w:themeTint="66"/>
        <w:right w:val="single" w:sz="4" w:space="0" w:color="75CFFF" w:themeColor="accent3" w:themeTint="66"/>
        <w:insideH w:val="single" w:sz="4" w:space="0" w:color="75CFFF" w:themeColor="accent3" w:themeTint="66"/>
        <w:insideV w:val="single" w:sz="4" w:space="0" w:color="75CFFF" w:themeColor="accent3" w:themeTint="66"/>
      </w:tblBorders>
    </w:tblPr>
    <w:tblStylePr w:type="firstRow">
      <w:rPr>
        <w:b/>
        <w:bCs/>
      </w:rPr>
      <w:tblPr/>
      <w:tcPr>
        <w:tcBorders>
          <w:bottom w:val="single" w:sz="12" w:space="0" w:color="31B7FF" w:themeColor="accent3" w:themeTint="99"/>
        </w:tcBorders>
      </w:tcPr>
    </w:tblStylePr>
    <w:tblStylePr w:type="lastRow">
      <w:rPr>
        <w:b/>
        <w:bCs/>
      </w:rPr>
      <w:tblPr/>
      <w:tcPr>
        <w:tcBorders>
          <w:top w:val="double" w:sz="2" w:space="0" w:color="31B7FF" w:themeColor="accent3" w:themeTint="99"/>
        </w:tcBorders>
      </w:tcPr>
    </w:tblStylePr>
    <w:tblStylePr w:type="firstCol">
      <w:rPr>
        <w:b/>
        <w:bCs/>
      </w:rPr>
    </w:tblStylePr>
    <w:tblStylePr w:type="lastCol">
      <w:rPr>
        <w:b/>
        <w:bCs/>
      </w:rPr>
    </w:tblStylePr>
  </w:style>
  <w:style w:type="paragraph" w:customStyle="1" w:styleId="FigureCaption">
    <w:name w:val="Figure Caption"/>
    <w:basedOn w:val="Normal"/>
    <w:qFormat/>
    <w:rsid w:val="00A6230F"/>
    <w:pPr>
      <w:adjustRightInd w:val="0"/>
      <w:snapToGrid w:val="0"/>
      <w:spacing w:before="180" w:after="180"/>
    </w:pPr>
    <w:rPr>
      <w:rFonts w:eastAsia="MS Mincho"/>
      <w:szCs w:val="20"/>
      <w:lang w:eastAsia="ja-JP"/>
    </w:rPr>
  </w:style>
  <w:style w:type="paragraph" w:customStyle="1" w:styleId="TableCaption">
    <w:name w:val="Table Caption"/>
    <w:basedOn w:val="FigureCaption"/>
    <w:qFormat/>
    <w:rsid w:val="00A6230F"/>
    <w:pPr>
      <w:spacing w:after="240"/>
    </w:pPr>
    <w:rPr>
      <w:sz w:val="17"/>
    </w:rPr>
  </w:style>
  <w:style w:type="table" w:customStyle="1" w:styleId="TableTGA2">
    <w:name w:val="Table TGA 2"/>
    <w:basedOn w:val="TableNormal"/>
    <w:uiPriority w:val="99"/>
    <w:rsid w:val="00A623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Subject">
    <w:name w:val="Subject"/>
    <w:basedOn w:val="Normal"/>
    <w:qFormat/>
    <w:rsid w:val="00A6230F"/>
    <w:pPr>
      <w:adjustRightInd w:val="0"/>
      <w:snapToGrid w:val="0"/>
      <w:spacing w:before="180" w:after="180"/>
    </w:pPr>
    <w:rPr>
      <w:rFonts w:eastAsia="MS Mincho"/>
      <w:b/>
      <w:szCs w:val="20"/>
      <w:lang w:eastAsia="ja-JP"/>
    </w:rPr>
  </w:style>
  <w:style w:type="paragraph" w:customStyle="1" w:styleId="Addressee">
    <w:name w:val="Addressee"/>
    <w:basedOn w:val="Normal"/>
    <w:qFormat/>
    <w:rsid w:val="00A6230F"/>
    <w:pPr>
      <w:adjustRightInd w:val="0"/>
      <w:snapToGrid w:val="0"/>
      <w:spacing w:before="180" w:after="180"/>
    </w:pPr>
    <w:rPr>
      <w:rFonts w:eastAsia="MS Mincho"/>
      <w:szCs w:val="20"/>
      <w:lang w:eastAsia="ja-JP"/>
    </w:rPr>
  </w:style>
  <w:style w:type="character" w:customStyle="1" w:styleId="ABN">
    <w:name w:val="ABN"/>
    <w:basedOn w:val="DefaultParagraphFont"/>
    <w:uiPriority w:val="1"/>
    <w:qFormat/>
    <w:rsid w:val="00A6230F"/>
    <w:rPr>
      <w:rFonts w:ascii="Arial" w:hAnsi="Arial"/>
      <w:color w:val="002C47"/>
      <w:sz w:val="14"/>
    </w:rPr>
  </w:style>
  <w:style w:type="paragraph" w:customStyle="1" w:styleId="BodyCopy">
    <w:name w:val="Body Copy"/>
    <w:basedOn w:val="Normal"/>
    <w:qFormat/>
    <w:rsid w:val="00A6230F"/>
    <w:pPr>
      <w:adjustRightInd w:val="0"/>
      <w:snapToGrid w:val="0"/>
      <w:spacing w:before="180" w:after="180"/>
    </w:pPr>
    <w:rPr>
      <w:rFonts w:eastAsia="MS Mincho"/>
      <w:szCs w:val="20"/>
      <w:lang w:eastAsia="ja-JP"/>
    </w:rPr>
  </w:style>
  <w:style w:type="paragraph" w:customStyle="1" w:styleId="Standard">
    <w:name w:val="Standard"/>
    <w:basedOn w:val="Normal"/>
    <w:link w:val="StandardChar"/>
    <w:qFormat/>
    <w:rsid w:val="00A6230F"/>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A6230F"/>
    <w:rPr>
      <w:rFonts w:ascii="Cambria" w:eastAsia="Times New Roman" w:hAnsi="Cambria" w:cs="Times New Roman"/>
      <w:snapToGrid w:val="0"/>
      <w:kern w:val="16"/>
      <w:sz w:val="23"/>
      <w:szCs w:val="24"/>
    </w:rPr>
  </w:style>
  <w:style w:type="paragraph" w:customStyle="1" w:styleId="Bulletpoint">
    <w:name w:val="Bullet point"/>
    <w:basedOn w:val="Standard"/>
    <w:rsid w:val="00A6230F"/>
    <w:pPr>
      <w:numPr>
        <w:numId w:val="9"/>
      </w:numPr>
      <w:tabs>
        <w:tab w:val="clear" w:pos="369"/>
        <w:tab w:val="left" w:pos="397"/>
        <w:tab w:val="num" w:pos="511"/>
      </w:tabs>
      <w:spacing w:after="180"/>
      <w:ind w:left="0" w:firstLine="0"/>
    </w:pPr>
    <w:rPr>
      <w:sz w:val="22"/>
    </w:rPr>
  </w:style>
  <w:style w:type="paragraph" w:customStyle="1" w:styleId="PISubsection">
    <w:name w:val="PI Subsection"/>
    <w:basedOn w:val="Standard"/>
    <w:next w:val="Standard"/>
    <w:rsid w:val="00A6230F"/>
    <w:pPr>
      <w:keepNext/>
      <w:spacing w:after="120"/>
    </w:pPr>
    <w:rPr>
      <w:b/>
      <w:i/>
      <w:kern w:val="2"/>
      <w:sz w:val="22"/>
    </w:rPr>
  </w:style>
  <w:style w:type="character" w:customStyle="1" w:styleId="TabletextChar">
    <w:name w:val="Table text Char"/>
    <w:basedOn w:val="DefaultParagraphFont"/>
    <w:link w:val="Tabletext"/>
    <w:rsid w:val="00A6230F"/>
    <w:rPr>
      <w:rFonts w:ascii="Cambria" w:eastAsia="Cambria" w:hAnsi="Cambria" w:cs="Times New Roman"/>
      <w:sz w:val="19"/>
    </w:rPr>
  </w:style>
  <w:style w:type="paragraph" w:customStyle="1" w:styleId="msonormal0">
    <w:name w:val="msonormal"/>
    <w:basedOn w:val="Normal"/>
    <w:rsid w:val="00A6230F"/>
    <w:pPr>
      <w:spacing w:before="100" w:beforeAutospacing="1" w:after="100" w:afterAutospacing="1" w:line="240" w:lineRule="auto"/>
    </w:pPr>
    <w:rPr>
      <w:rFonts w:ascii="Times New Roman" w:eastAsia="Times New Roman" w:hAnsi="Times New Roman"/>
      <w:sz w:val="24"/>
      <w:szCs w:val="24"/>
      <w:lang w:eastAsia="en-AU"/>
    </w:rPr>
  </w:style>
  <w:style w:type="paragraph" w:styleId="TOC4">
    <w:name w:val="toc 4"/>
    <w:basedOn w:val="Normal"/>
    <w:next w:val="Normal"/>
    <w:autoRedefine/>
    <w:uiPriority w:val="39"/>
    <w:semiHidden/>
    <w:unhideWhenUsed/>
    <w:rsid w:val="00A6230F"/>
    <w:pPr>
      <w:spacing w:before="0" w:after="100" w:line="276" w:lineRule="auto"/>
      <w:ind w:left="660"/>
    </w:pPr>
    <w:rPr>
      <w:rFonts w:asciiTheme="minorHAnsi" w:eastAsiaTheme="minorEastAsia" w:hAnsiTheme="minorHAnsi" w:cstheme="minorBidi"/>
      <w:lang w:eastAsia="en-AU"/>
    </w:rPr>
  </w:style>
  <w:style w:type="paragraph" w:styleId="TOC5">
    <w:name w:val="toc 5"/>
    <w:basedOn w:val="Normal"/>
    <w:next w:val="Normal"/>
    <w:autoRedefine/>
    <w:uiPriority w:val="39"/>
    <w:semiHidden/>
    <w:unhideWhenUsed/>
    <w:rsid w:val="00A6230F"/>
    <w:pPr>
      <w:spacing w:before="0" w:after="100" w:line="276"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semiHidden/>
    <w:unhideWhenUsed/>
    <w:rsid w:val="00A6230F"/>
    <w:pPr>
      <w:spacing w:before="0" w:after="100" w:line="276"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semiHidden/>
    <w:unhideWhenUsed/>
    <w:rsid w:val="00A6230F"/>
    <w:pPr>
      <w:spacing w:before="0" w:after="100" w:line="276"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semiHidden/>
    <w:unhideWhenUsed/>
    <w:rsid w:val="00A6230F"/>
    <w:pPr>
      <w:spacing w:before="0" w:after="100" w:line="276"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semiHidden/>
    <w:unhideWhenUsed/>
    <w:rsid w:val="00A6230F"/>
    <w:pPr>
      <w:spacing w:before="0" w:after="100" w:line="276" w:lineRule="auto"/>
      <w:ind w:left="1760"/>
    </w:pPr>
    <w:rPr>
      <w:rFonts w:asciiTheme="minorHAnsi" w:eastAsiaTheme="minorEastAsia" w:hAnsiTheme="minorHAnsi" w:cstheme="minorBidi"/>
      <w:lang w:eastAsia="en-AU"/>
    </w:rPr>
  </w:style>
  <w:style w:type="paragraph" w:styleId="TableofFigures">
    <w:name w:val="table of figures"/>
    <w:basedOn w:val="Normal"/>
    <w:next w:val="Normal"/>
    <w:uiPriority w:val="99"/>
    <w:semiHidden/>
    <w:unhideWhenUsed/>
    <w:rsid w:val="00A6230F"/>
    <w:pPr>
      <w:spacing w:after="0"/>
    </w:pPr>
  </w:style>
  <w:style w:type="paragraph" w:customStyle="1" w:styleId="TableHeading">
    <w:name w:val="Table Heading"/>
    <w:basedOn w:val="Normal"/>
    <w:rsid w:val="00A6230F"/>
    <w:rPr>
      <w:rFonts w:ascii="Calibri" w:eastAsia="Calibri" w:hAnsi="Calibri"/>
      <w:b/>
      <w:color w:val="FFFFFF"/>
      <w:sz w:val="20"/>
    </w:rPr>
  </w:style>
  <w:style w:type="paragraph" w:customStyle="1" w:styleId="Tabletitle0">
    <w:name w:val="Table title"/>
    <w:basedOn w:val="Normal"/>
    <w:next w:val="Normal"/>
    <w:rsid w:val="00DC1BB2"/>
    <w:pPr>
      <w:keepNext/>
      <w:spacing w:after="180"/>
      <w:outlineLvl w:val="4"/>
    </w:pPr>
    <w:rPr>
      <w:rFonts w:cstheme="minorBidi"/>
      <w:b/>
    </w:rPr>
  </w:style>
  <w:style w:type="paragraph" w:customStyle="1" w:styleId="Bullet2">
    <w:name w:val="Bullet 2"/>
    <w:basedOn w:val="Normal"/>
    <w:rsid w:val="00A6230F"/>
    <w:pPr>
      <w:numPr>
        <w:numId w:val="10"/>
      </w:numPr>
      <w:spacing w:after="0" w:line="240" w:lineRule="auto"/>
    </w:pPr>
    <w:rPr>
      <w:rFonts w:eastAsia="Times New Roman"/>
      <w:kern w:val="24"/>
      <w:szCs w:val="24"/>
      <w:lang w:eastAsia="en-AU"/>
    </w:rPr>
  </w:style>
  <w:style w:type="paragraph" w:customStyle="1" w:styleId="Instructions1">
    <w:name w:val="Instructions 1"/>
    <w:basedOn w:val="Normal"/>
    <w:qFormat/>
    <w:rsid w:val="00A6230F"/>
    <w:pPr>
      <w:pBdr>
        <w:top w:val="single" w:sz="4" w:space="1" w:color="FF0000"/>
        <w:left w:val="single" w:sz="4" w:space="4" w:color="FF0000"/>
        <w:bottom w:val="single" w:sz="4" w:space="1" w:color="FF0000"/>
        <w:right w:val="single" w:sz="4" w:space="4" w:color="FF0000"/>
      </w:pBdr>
      <w:tabs>
        <w:tab w:val="left" w:pos="318"/>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60" w:line="240" w:lineRule="auto"/>
    </w:pPr>
    <w:rPr>
      <w:rFonts w:ascii="Calibri" w:eastAsia="Times New Roman" w:hAnsi="Calibri"/>
      <w:color w:val="FF0000"/>
      <w:kern w:val="16"/>
      <w:lang w:eastAsia="en-AU"/>
    </w:rPr>
  </w:style>
  <w:style w:type="paragraph" w:customStyle="1" w:styleId="TableBullet">
    <w:name w:val="Table Bullet"/>
    <w:basedOn w:val="Normal"/>
    <w:rsid w:val="00A6230F"/>
    <w:pPr>
      <w:numPr>
        <w:numId w:val="11"/>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customStyle="1" w:styleId="Comment1">
    <w:name w:val="Comment 1"/>
    <w:basedOn w:val="Normal"/>
    <w:next w:val="Normal"/>
    <w:qFormat/>
    <w:rsid w:val="00A6230F"/>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customStyle="1" w:styleId="Default">
    <w:name w:val="Default"/>
    <w:rsid w:val="00A6230F"/>
    <w:pPr>
      <w:autoSpaceDE w:val="0"/>
      <w:autoSpaceDN w:val="0"/>
      <w:adjustRightInd w:val="0"/>
      <w:spacing w:after="0" w:line="240" w:lineRule="auto"/>
    </w:pPr>
    <w:rPr>
      <w:rFonts w:ascii="Calibri" w:eastAsia="MS Mincho" w:hAnsi="Calibri" w:cs="Times New Roman"/>
      <w:color w:val="000000"/>
      <w:sz w:val="24"/>
      <w:szCs w:val="24"/>
    </w:rPr>
  </w:style>
  <w:style w:type="paragraph" w:customStyle="1" w:styleId="views-field">
    <w:name w:val="views-field"/>
    <w:basedOn w:val="Normal"/>
    <w:rsid w:val="00A6230F"/>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Bullet1">
    <w:name w:val="Bullet 1"/>
    <w:basedOn w:val="Normal"/>
    <w:rsid w:val="00A6230F"/>
    <w:pPr>
      <w:numPr>
        <w:numId w:val="12"/>
      </w:numPr>
      <w:spacing w:after="0" w:line="240" w:lineRule="auto"/>
    </w:pPr>
    <w:rPr>
      <w:rFonts w:eastAsia="Times New Roman"/>
      <w:kern w:val="24"/>
      <w:szCs w:val="24"/>
      <w:lang w:eastAsia="en-AU"/>
    </w:rPr>
  </w:style>
  <w:style w:type="paragraph" w:styleId="NormalWeb">
    <w:name w:val="Normal (Web)"/>
    <w:basedOn w:val="Normal"/>
    <w:uiPriority w:val="99"/>
    <w:semiHidden/>
    <w:unhideWhenUsed/>
    <w:rsid w:val="007F2EB1"/>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84021">
      <w:bodyDiv w:val="1"/>
      <w:marLeft w:val="0"/>
      <w:marRight w:val="0"/>
      <w:marTop w:val="0"/>
      <w:marBottom w:val="0"/>
      <w:divBdr>
        <w:top w:val="none" w:sz="0" w:space="0" w:color="auto"/>
        <w:left w:val="none" w:sz="0" w:space="0" w:color="auto"/>
        <w:bottom w:val="none" w:sz="0" w:space="0" w:color="auto"/>
        <w:right w:val="none" w:sz="0" w:space="0" w:color="auto"/>
      </w:divBdr>
    </w:div>
    <w:div w:id="475337964">
      <w:bodyDiv w:val="1"/>
      <w:marLeft w:val="0"/>
      <w:marRight w:val="0"/>
      <w:marTop w:val="0"/>
      <w:marBottom w:val="0"/>
      <w:divBdr>
        <w:top w:val="none" w:sz="0" w:space="0" w:color="auto"/>
        <w:left w:val="none" w:sz="0" w:space="0" w:color="auto"/>
        <w:bottom w:val="none" w:sz="0" w:space="0" w:color="auto"/>
        <w:right w:val="none" w:sz="0" w:space="0" w:color="auto"/>
      </w:divBdr>
    </w:div>
    <w:div w:id="791048843">
      <w:bodyDiv w:val="1"/>
      <w:marLeft w:val="0"/>
      <w:marRight w:val="0"/>
      <w:marTop w:val="0"/>
      <w:marBottom w:val="0"/>
      <w:divBdr>
        <w:top w:val="none" w:sz="0" w:space="0" w:color="auto"/>
        <w:left w:val="none" w:sz="0" w:space="0" w:color="auto"/>
        <w:bottom w:val="none" w:sz="0" w:space="0" w:color="auto"/>
        <w:right w:val="none" w:sz="0" w:space="0" w:color="auto"/>
      </w:divBdr>
    </w:div>
    <w:div w:id="902909617">
      <w:bodyDiv w:val="1"/>
      <w:marLeft w:val="0"/>
      <w:marRight w:val="0"/>
      <w:marTop w:val="0"/>
      <w:marBottom w:val="0"/>
      <w:divBdr>
        <w:top w:val="none" w:sz="0" w:space="0" w:color="auto"/>
        <w:left w:val="none" w:sz="0" w:space="0" w:color="auto"/>
        <w:bottom w:val="none" w:sz="0" w:space="0" w:color="auto"/>
        <w:right w:val="none" w:sz="0" w:space="0" w:color="auto"/>
      </w:divBdr>
      <w:divsChild>
        <w:div w:id="80774243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yperlink" Target="https://www.tga.gov.au/product-information-pi" TargetMode="External"/><Relationship Id="rId18" Type="http://schemas.openxmlformats.org/officeDocument/2006/relationships/image" Target="media/image3.emf"/><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tga.gov.au/publication/testing-biological-medicines" TargetMode="External"/><Relationship Id="rId25"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mailto:Biochemistry.Testing@tga.gov.au" TargetMode="External"/><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info@tga.gov.au" TargetMode="External"/><Relationship Id="rId32" Type="http://schemas.openxmlformats.org/officeDocument/2006/relationships/theme" Target="theme/theme1.xm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tga.gov.au/ws-labs-index" TargetMode="External"/><Relationship Id="rId23" Type="http://schemas.openxmlformats.org/officeDocument/2006/relationships/footer" Target="footer2.xml"/><Relationship Id="rId28" Type="http://schemas.openxmlformats.org/officeDocument/2006/relationships/footer" Target="footer3.xml"/><Relationship Id="rId36" Type="http://schemas.microsoft.com/office/2016/09/relationships/commentsIds" Target="commentsIds.xml"/><Relationship Id="rId10" Type="http://schemas.openxmlformats.org/officeDocument/2006/relationships/header" Target="header1.xml"/><Relationship Id="rId19" Type="http://schemas.openxmlformats.org/officeDocument/2006/relationships/hyperlink" Target="https://www.tga.gov.au/product-information-p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2.png"/><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YIN\AppData\Local\Hewlett-Packard\HP%20TRIM\TEMP\HPTRIM.83500\D19-5975236%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F11DD-A877-414F-9375-5DEF5575A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streamlined.DOTX</Template>
  <TotalTime>46</TotalTime>
  <Pages>41</Pages>
  <Words>12228</Words>
  <Characters>69701</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81766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Defibrotide</dc:title>
  <dc:subject>prescription medicine regulation</dc:subject>
  <dc:creator>Therapeutic Goods Administration</dc:creator>
  <cp:keywords>AusPAR</cp:keywords>
  <cp:lastPrinted>2019-08-14T04:30:00Z</cp:lastPrinted>
  <dcterms:created xsi:type="dcterms:W3CDTF">2020-12-02T23:00:00Z</dcterms:created>
  <dcterms:modified xsi:type="dcterms:W3CDTF">2020-12-11T05:45:00Z</dcterms:modified>
  <cp:category/>
</cp:coreProperties>
</file>