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B482A" w14:textId="245EF8ED" w:rsidR="00A44F5B" w:rsidRPr="00A361DF" w:rsidRDefault="003F383F" w:rsidP="003B2C91">
      <w:pPr>
        <w:spacing w:line="240" w:lineRule="auto"/>
        <w:rPr>
          <w:color w:val="000000"/>
        </w:rPr>
      </w:pPr>
      <w:bookmarkStart w:id="0" w:name="_GoBack"/>
      <w:bookmarkEnd w:id="0"/>
      <w:r w:rsidRPr="00A361DF">
        <w:rPr>
          <w:noProof/>
          <w:lang w:eastAsia="en-AU"/>
        </w:rPr>
        <w:drawing>
          <wp:inline distT="0" distB="0" distL="0" distR="0" wp14:anchorId="7E1EEBF3" wp14:editId="034EB268">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A44F5B" w:rsidRPr="00A361DF">
        <w:t xml:space="preserve">This medicinal product is subject to additional monitoring. This will allow quick identification of new safety information. Healthcare professionals are asked to report any suspected adverse </w:t>
      </w:r>
      <w:r w:rsidR="00637092" w:rsidRPr="00A361DF">
        <w:t xml:space="preserve">events at </w:t>
      </w:r>
      <w:hyperlink r:id="rId9" w:history="1">
        <w:r w:rsidR="00637092" w:rsidRPr="00A361DF">
          <w:t>www.tga.gov.au/reporting-problems</w:t>
        </w:r>
      </w:hyperlink>
      <w:r w:rsidR="00637092" w:rsidRPr="00A361DF">
        <w:t>.</w:t>
      </w:r>
    </w:p>
    <w:p w14:paraId="626FD050" w14:textId="358EC0E8" w:rsidR="007B62AD" w:rsidRPr="00A361DF" w:rsidRDefault="00C65F27" w:rsidP="00FE3CF5">
      <w:pPr>
        <w:spacing w:before="360" w:line="240" w:lineRule="auto"/>
        <w:jc w:val="center"/>
        <w:rPr>
          <w:b/>
        </w:rPr>
      </w:pPr>
      <w:r w:rsidRPr="00A361DF">
        <w:rPr>
          <w:b/>
          <w:noProof/>
          <w:sz w:val="40"/>
        </w:rPr>
        <w:t>AUSTRALIAN PRODUCT INFORMATION – DEFITELIO</w:t>
      </w:r>
      <w:r w:rsidR="00BB39A5" w:rsidRPr="00A361DF">
        <w:rPr>
          <w:b/>
          <w:noProof/>
          <w:sz w:val="40"/>
        </w:rPr>
        <w:t>®</w:t>
      </w:r>
      <w:r w:rsidRPr="00A361DF">
        <w:rPr>
          <w:b/>
          <w:noProof/>
          <w:sz w:val="40"/>
        </w:rPr>
        <w:t xml:space="preserve"> (defibrotide) </w:t>
      </w:r>
      <w:r w:rsidR="00895993" w:rsidRPr="00A361DF">
        <w:rPr>
          <w:b/>
          <w:noProof/>
          <w:sz w:val="40"/>
        </w:rPr>
        <w:t xml:space="preserve">concentrated </w:t>
      </w:r>
      <w:r w:rsidRPr="00A361DF">
        <w:rPr>
          <w:b/>
          <w:noProof/>
          <w:sz w:val="40"/>
        </w:rPr>
        <w:t xml:space="preserve">solution for </w:t>
      </w:r>
      <w:r w:rsidR="00D00374" w:rsidRPr="00A361DF">
        <w:rPr>
          <w:b/>
          <w:noProof/>
          <w:sz w:val="40"/>
        </w:rPr>
        <w:t>in</w:t>
      </w:r>
      <w:r w:rsidR="00895993" w:rsidRPr="00A361DF">
        <w:rPr>
          <w:b/>
          <w:noProof/>
          <w:sz w:val="40"/>
        </w:rPr>
        <w:t>fusion</w:t>
      </w:r>
    </w:p>
    <w:p w14:paraId="2E75227D" w14:textId="408B48D7" w:rsidR="000632CA" w:rsidRPr="00A361DF" w:rsidRDefault="005C75C5" w:rsidP="00FE3CF5">
      <w:pPr>
        <w:spacing w:before="360" w:line="240" w:lineRule="auto"/>
        <w:ind w:left="567" w:hanging="567"/>
        <w:rPr>
          <w:b/>
        </w:rPr>
      </w:pPr>
      <w:r w:rsidRPr="00A361DF">
        <w:rPr>
          <w:b/>
        </w:rPr>
        <w:t>1.</w:t>
      </w:r>
      <w:r w:rsidRPr="00A361DF">
        <w:rPr>
          <w:b/>
        </w:rPr>
        <w:tab/>
      </w:r>
      <w:r w:rsidR="000632CA" w:rsidRPr="00A361DF">
        <w:rPr>
          <w:b/>
        </w:rPr>
        <w:t xml:space="preserve">NAME OF THE </w:t>
      </w:r>
      <w:r w:rsidR="005831B8" w:rsidRPr="00A361DF">
        <w:rPr>
          <w:b/>
        </w:rPr>
        <w:t>MEDICINE</w:t>
      </w:r>
    </w:p>
    <w:p w14:paraId="181D23D0" w14:textId="3A7641AA" w:rsidR="005831B8" w:rsidRPr="00A361DF" w:rsidRDefault="005831B8" w:rsidP="003B2C91">
      <w:pPr>
        <w:spacing w:line="240" w:lineRule="auto"/>
        <w:rPr>
          <w:iCs/>
          <w:noProof/>
        </w:rPr>
      </w:pPr>
      <w:r w:rsidRPr="00A361DF">
        <w:rPr>
          <w:iCs/>
          <w:noProof/>
        </w:rPr>
        <w:t>Defibrotide</w:t>
      </w:r>
    </w:p>
    <w:p w14:paraId="5862452C" w14:textId="77777777" w:rsidR="000632CA" w:rsidRPr="00A361DF" w:rsidRDefault="005C75C5" w:rsidP="00FE3CF5">
      <w:pPr>
        <w:spacing w:before="360" w:line="240" w:lineRule="auto"/>
        <w:ind w:left="567" w:hanging="567"/>
        <w:rPr>
          <w:b/>
        </w:rPr>
      </w:pPr>
      <w:r w:rsidRPr="00A361DF">
        <w:rPr>
          <w:b/>
        </w:rPr>
        <w:t>2.</w:t>
      </w:r>
      <w:r w:rsidRPr="00A361DF">
        <w:rPr>
          <w:b/>
        </w:rPr>
        <w:tab/>
      </w:r>
      <w:r w:rsidR="000632CA" w:rsidRPr="00A361DF">
        <w:rPr>
          <w:b/>
        </w:rPr>
        <w:t>QUALITATIVE AND QUANTITATIVE COMPOSITION</w:t>
      </w:r>
    </w:p>
    <w:p w14:paraId="5917CEFC" w14:textId="1E7EB0C4" w:rsidR="00235EC7" w:rsidRPr="00A361DF" w:rsidRDefault="00235EC7" w:rsidP="003B2C91">
      <w:pPr>
        <w:spacing w:line="240" w:lineRule="auto"/>
        <w:rPr>
          <w:iCs/>
          <w:noProof/>
        </w:rPr>
      </w:pPr>
      <w:r w:rsidRPr="00A361DF">
        <w:rPr>
          <w:iCs/>
          <w:noProof/>
        </w:rPr>
        <w:t xml:space="preserve">One mL </w:t>
      </w:r>
      <w:r w:rsidR="007339DA" w:rsidRPr="00A361DF">
        <w:rPr>
          <w:iCs/>
          <w:noProof/>
        </w:rPr>
        <w:t>of concentrate</w:t>
      </w:r>
      <w:r w:rsidR="00BB39A5" w:rsidRPr="00A361DF">
        <w:rPr>
          <w:iCs/>
          <w:noProof/>
        </w:rPr>
        <w:t xml:space="preserve"> </w:t>
      </w:r>
      <w:r w:rsidRPr="00A361DF">
        <w:rPr>
          <w:iCs/>
          <w:noProof/>
        </w:rPr>
        <w:t>contains</w:t>
      </w:r>
      <w:r w:rsidR="00654D7D" w:rsidRPr="00A361DF">
        <w:rPr>
          <w:iCs/>
          <w:noProof/>
        </w:rPr>
        <w:t xml:space="preserve"> defibrotide* 80</w:t>
      </w:r>
      <w:r w:rsidR="004B60C9" w:rsidRPr="00A361DF">
        <w:rPr>
          <w:iCs/>
          <w:noProof/>
        </w:rPr>
        <w:t> </w:t>
      </w:r>
      <w:r w:rsidR="00654D7D" w:rsidRPr="00A361DF">
        <w:rPr>
          <w:iCs/>
          <w:noProof/>
        </w:rPr>
        <w:t>mg</w:t>
      </w:r>
      <w:r w:rsidR="001574E7" w:rsidRPr="00A361DF">
        <w:rPr>
          <w:iCs/>
          <w:noProof/>
        </w:rPr>
        <w:t xml:space="preserve"> correspo</w:t>
      </w:r>
      <w:r w:rsidRPr="00A361DF">
        <w:rPr>
          <w:iCs/>
          <w:noProof/>
        </w:rPr>
        <w:t xml:space="preserve">nding to a quantity of </w:t>
      </w:r>
      <w:r w:rsidR="004B60C9" w:rsidRPr="00A361DF">
        <w:rPr>
          <w:iCs/>
          <w:noProof/>
        </w:rPr>
        <w:t>200 </w:t>
      </w:r>
      <w:r w:rsidRPr="00A361DF">
        <w:rPr>
          <w:iCs/>
          <w:noProof/>
        </w:rPr>
        <w:t>mg in 2.5</w:t>
      </w:r>
      <w:r w:rsidR="004B60C9" w:rsidRPr="00A361DF">
        <w:rPr>
          <w:iCs/>
          <w:noProof/>
        </w:rPr>
        <w:t> </w:t>
      </w:r>
      <w:r w:rsidRPr="00A361DF">
        <w:rPr>
          <w:iCs/>
          <w:noProof/>
        </w:rPr>
        <w:t xml:space="preserve">mL in </w:t>
      </w:r>
      <w:r w:rsidR="00654D7D" w:rsidRPr="00A361DF">
        <w:rPr>
          <w:iCs/>
          <w:noProof/>
        </w:rPr>
        <w:t xml:space="preserve">a </w:t>
      </w:r>
      <w:r w:rsidRPr="00A361DF">
        <w:rPr>
          <w:iCs/>
          <w:noProof/>
        </w:rPr>
        <w:t>vial</w:t>
      </w:r>
      <w:r w:rsidR="00296BBD" w:rsidRPr="00A361DF">
        <w:rPr>
          <w:iCs/>
          <w:noProof/>
        </w:rPr>
        <w:t xml:space="preserve"> before dilution. The </w:t>
      </w:r>
      <w:r w:rsidR="00674451" w:rsidRPr="00A361DF">
        <w:rPr>
          <w:iCs/>
          <w:noProof/>
        </w:rPr>
        <w:t xml:space="preserve">final concentration of the </w:t>
      </w:r>
      <w:r w:rsidR="00296BBD" w:rsidRPr="00A361DF">
        <w:rPr>
          <w:iCs/>
          <w:noProof/>
        </w:rPr>
        <w:t xml:space="preserve">solution should be </w:t>
      </w:r>
      <w:r w:rsidRPr="00A361DF">
        <w:rPr>
          <w:iCs/>
          <w:noProof/>
        </w:rPr>
        <w:t>in the range of 4</w:t>
      </w:r>
      <w:r w:rsidR="004B60C9" w:rsidRPr="00A361DF">
        <w:rPr>
          <w:iCs/>
          <w:noProof/>
        </w:rPr>
        <w:t> </w:t>
      </w:r>
      <w:r w:rsidRPr="00A361DF">
        <w:rPr>
          <w:iCs/>
          <w:noProof/>
        </w:rPr>
        <w:t>mg/mL to 20</w:t>
      </w:r>
      <w:r w:rsidR="004B60C9" w:rsidRPr="00A361DF">
        <w:rPr>
          <w:iCs/>
          <w:noProof/>
        </w:rPr>
        <w:t> </w:t>
      </w:r>
      <w:r w:rsidRPr="00A361DF">
        <w:rPr>
          <w:iCs/>
          <w:noProof/>
        </w:rPr>
        <w:t>mg/mL after dilution</w:t>
      </w:r>
      <w:r w:rsidR="007339DA" w:rsidRPr="00A361DF">
        <w:rPr>
          <w:iCs/>
          <w:noProof/>
        </w:rPr>
        <w:t>.</w:t>
      </w:r>
    </w:p>
    <w:p w14:paraId="016C87D8" w14:textId="77777777" w:rsidR="001574E7" w:rsidRPr="00A361DF" w:rsidRDefault="00235EC7" w:rsidP="003B2C91">
      <w:pPr>
        <w:spacing w:line="240" w:lineRule="auto"/>
        <w:rPr>
          <w:iCs/>
          <w:noProof/>
        </w:rPr>
      </w:pPr>
      <w:r w:rsidRPr="00A361DF">
        <w:rPr>
          <w:iCs/>
          <w:noProof/>
        </w:rPr>
        <w:t>* produced</w:t>
      </w:r>
      <w:r w:rsidR="001574E7" w:rsidRPr="00A361DF">
        <w:rPr>
          <w:iCs/>
          <w:noProof/>
        </w:rPr>
        <w:t xml:space="preserve"> from porcine intestinal mucosa.</w:t>
      </w:r>
    </w:p>
    <w:p w14:paraId="241F28C2" w14:textId="5CD82238" w:rsidR="000632CA" w:rsidRPr="00A361DF" w:rsidRDefault="000632CA" w:rsidP="003B2C91">
      <w:pPr>
        <w:spacing w:line="240" w:lineRule="auto"/>
        <w:rPr>
          <w:iCs/>
          <w:noProof/>
        </w:rPr>
      </w:pPr>
      <w:r w:rsidRPr="00A361DF">
        <w:rPr>
          <w:iCs/>
          <w:noProof/>
        </w:rPr>
        <w:t xml:space="preserve">For </w:t>
      </w:r>
      <w:r w:rsidR="001715C3" w:rsidRPr="00A361DF">
        <w:rPr>
          <w:iCs/>
          <w:noProof/>
        </w:rPr>
        <w:t>the</w:t>
      </w:r>
      <w:r w:rsidRPr="00A361DF">
        <w:rPr>
          <w:iCs/>
          <w:noProof/>
        </w:rPr>
        <w:t xml:space="preserve"> full list of excipients, see </w:t>
      </w:r>
      <w:r w:rsidR="00BF2CC9" w:rsidRPr="00A361DF">
        <w:rPr>
          <w:iCs/>
          <w:noProof/>
        </w:rPr>
        <w:t xml:space="preserve">section </w:t>
      </w:r>
      <w:r w:rsidR="005C75C5" w:rsidRPr="00A361DF">
        <w:rPr>
          <w:iCs/>
          <w:noProof/>
        </w:rPr>
        <w:t>6.1</w:t>
      </w:r>
      <w:r w:rsidR="00C31134" w:rsidRPr="00A361DF">
        <w:rPr>
          <w:iCs/>
          <w:noProof/>
        </w:rPr>
        <w:t xml:space="preserve"> List of excipients</w:t>
      </w:r>
      <w:r w:rsidRPr="00A361DF">
        <w:rPr>
          <w:iCs/>
          <w:noProof/>
        </w:rPr>
        <w:t>.</w:t>
      </w:r>
    </w:p>
    <w:p w14:paraId="7D56961A" w14:textId="77777777" w:rsidR="000632CA" w:rsidRPr="00A361DF" w:rsidRDefault="005C75C5" w:rsidP="00FE3CF5">
      <w:pPr>
        <w:spacing w:before="360" w:line="240" w:lineRule="auto"/>
        <w:ind w:left="567" w:hanging="567"/>
        <w:rPr>
          <w:b/>
        </w:rPr>
      </w:pPr>
      <w:r w:rsidRPr="00A361DF">
        <w:rPr>
          <w:b/>
        </w:rPr>
        <w:t>3.</w:t>
      </w:r>
      <w:r w:rsidRPr="00A361DF">
        <w:rPr>
          <w:b/>
        </w:rPr>
        <w:tab/>
      </w:r>
      <w:r w:rsidR="000632CA" w:rsidRPr="00A361DF">
        <w:rPr>
          <w:b/>
        </w:rPr>
        <w:t xml:space="preserve">PHARMACEUTICAL </w:t>
      </w:r>
      <w:r w:rsidR="001E5C7D" w:rsidRPr="00A361DF">
        <w:rPr>
          <w:b/>
        </w:rPr>
        <w:t>FORM</w:t>
      </w:r>
    </w:p>
    <w:p w14:paraId="2F34F4B8" w14:textId="7D5010FD" w:rsidR="000632CA" w:rsidRPr="00A361DF" w:rsidRDefault="001715C3" w:rsidP="003B2C91">
      <w:pPr>
        <w:spacing w:line="240" w:lineRule="auto"/>
        <w:rPr>
          <w:iCs/>
          <w:noProof/>
        </w:rPr>
      </w:pPr>
      <w:r w:rsidRPr="00A361DF">
        <w:rPr>
          <w:iCs/>
          <w:noProof/>
        </w:rPr>
        <w:t>Concentrate</w:t>
      </w:r>
      <w:r w:rsidR="00895993" w:rsidRPr="00A361DF">
        <w:rPr>
          <w:iCs/>
          <w:noProof/>
        </w:rPr>
        <w:t>d</w:t>
      </w:r>
      <w:r w:rsidRPr="00A361DF">
        <w:rPr>
          <w:iCs/>
          <w:noProof/>
        </w:rPr>
        <w:t xml:space="preserve"> s</w:t>
      </w:r>
      <w:r w:rsidR="000632CA" w:rsidRPr="00A361DF">
        <w:rPr>
          <w:iCs/>
          <w:noProof/>
        </w:rPr>
        <w:t>olution for infusion</w:t>
      </w:r>
      <w:r w:rsidR="0070455C" w:rsidRPr="00A361DF">
        <w:rPr>
          <w:iCs/>
          <w:noProof/>
        </w:rPr>
        <w:t xml:space="preserve"> (sterile concentrate)</w:t>
      </w:r>
      <w:r w:rsidR="00066FE8" w:rsidRPr="00A361DF">
        <w:rPr>
          <w:iCs/>
          <w:noProof/>
        </w:rPr>
        <w:t>.</w:t>
      </w:r>
    </w:p>
    <w:p w14:paraId="2BEC6E63" w14:textId="302F8FD7" w:rsidR="000632CA" w:rsidRPr="00A361DF" w:rsidRDefault="00235EC7" w:rsidP="003B2C91">
      <w:pPr>
        <w:spacing w:line="240" w:lineRule="auto"/>
        <w:rPr>
          <w:iCs/>
          <w:noProof/>
        </w:rPr>
      </w:pPr>
      <w:r w:rsidRPr="00A361DF">
        <w:rPr>
          <w:iCs/>
          <w:noProof/>
        </w:rPr>
        <w:t>The solution is c</w:t>
      </w:r>
      <w:r w:rsidR="000632CA" w:rsidRPr="00A361DF">
        <w:rPr>
          <w:iCs/>
          <w:noProof/>
        </w:rPr>
        <w:t>lear light yellow to brown, free from particulate matter or turbidity.</w:t>
      </w:r>
    </w:p>
    <w:p w14:paraId="7FA8D3F4" w14:textId="77777777" w:rsidR="000632CA" w:rsidRPr="00A361DF" w:rsidRDefault="005C75C5" w:rsidP="00FE3CF5">
      <w:pPr>
        <w:spacing w:before="360" w:line="240" w:lineRule="auto"/>
        <w:ind w:left="567" w:hanging="567"/>
        <w:rPr>
          <w:b/>
        </w:rPr>
      </w:pPr>
      <w:r w:rsidRPr="00A361DF">
        <w:rPr>
          <w:b/>
        </w:rPr>
        <w:t>4.</w:t>
      </w:r>
      <w:r w:rsidRPr="00A361DF">
        <w:rPr>
          <w:b/>
        </w:rPr>
        <w:tab/>
      </w:r>
      <w:r w:rsidR="000632CA" w:rsidRPr="00A361DF">
        <w:rPr>
          <w:b/>
          <w:caps/>
        </w:rPr>
        <w:t xml:space="preserve">Clinical </w:t>
      </w:r>
      <w:r w:rsidR="001E5C7D" w:rsidRPr="00A361DF">
        <w:rPr>
          <w:b/>
          <w:caps/>
        </w:rPr>
        <w:t>Particulars</w:t>
      </w:r>
    </w:p>
    <w:p w14:paraId="24A3C2A1" w14:textId="77777777" w:rsidR="001E5C7D" w:rsidRPr="00A361DF" w:rsidRDefault="005C75C5" w:rsidP="003B2C91">
      <w:pPr>
        <w:spacing w:line="240" w:lineRule="auto"/>
        <w:ind w:left="567" w:hanging="567"/>
      </w:pPr>
      <w:r w:rsidRPr="00A361DF">
        <w:rPr>
          <w:b/>
        </w:rPr>
        <w:t>4.1</w:t>
      </w:r>
      <w:r w:rsidRPr="00A361DF">
        <w:rPr>
          <w:b/>
        </w:rPr>
        <w:tab/>
      </w:r>
      <w:r w:rsidR="000632CA" w:rsidRPr="00A361DF">
        <w:rPr>
          <w:b/>
        </w:rPr>
        <w:t xml:space="preserve">Therapeutic </w:t>
      </w:r>
      <w:r w:rsidR="00887532" w:rsidRPr="00A361DF">
        <w:rPr>
          <w:b/>
        </w:rPr>
        <w:t>indication</w:t>
      </w:r>
      <w:r w:rsidR="0075506E" w:rsidRPr="00A361DF">
        <w:rPr>
          <w:b/>
        </w:rPr>
        <w:t>s</w:t>
      </w:r>
    </w:p>
    <w:p w14:paraId="5894E42F" w14:textId="77777777" w:rsidR="00D76CD6" w:rsidRPr="00184A86" w:rsidRDefault="00D76CD6" w:rsidP="00184A86">
      <w:pPr>
        <w:spacing w:line="240" w:lineRule="auto"/>
        <w:rPr>
          <w:iCs/>
          <w:noProof/>
        </w:rPr>
      </w:pPr>
      <w:r w:rsidRPr="00184A86">
        <w:rPr>
          <w:iCs/>
          <w:noProof/>
        </w:rPr>
        <w:t xml:space="preserve">Defitelio is indicated for the treatment of </w:t>
      </w:r>
      <w:r w:rsidR="00A44F5B" w:rsidRPr="00184A86">
        <w:rPr>
          <w:iCs/>
          <w:noProof/>
        </w:rPr>
        <w:t xml:space="preserve">severe </w:t>
      </w:r>
      <w:r w:rsidRPr="00184A86">
        <w:rPr>
          <w:iCs/>
          <w:noProof/>
        </w:rPr>
        <w:t>hepatic veno</w:t>
      </w:r>
      <w:r w:rsidR="006204BC" w:rsidRPr="00184A86">
        <w:rPr>
          <w:iCs/>
          <w:noProof/>
        </w:rPr>
        <w:noBreakHyphen/>
      </w:r>
      <w:r w:rsidRPr="00184A86">
        <w:rPr>
          <w:iCs/>
          <w:noProof/>
        </w:rPr>
        <w:t xml:space="preserve">occlusive </w:t>
      </w:r>
      <w:r w:rsidR="00977166" w:rsidRPr="00184A86">
        <w:rPr>
          <w:iCs/>
          <w:noProof/>
        </w:rPr>
        <w:t xml:space="preserve">disease </w:t>
      </w:r>
      <w:r w:rsidRPr="00184A86">
        <w:rPr>
          <w:iCs/>
          <w:noProof/>
        </w:rPr>
        <w:t xml:space="preserve">(VOD) also known as </w:t>
      </w:r>
      <w:r w:rsidR="00977166" w:rsidRPr="00184A86">
        <w:rPr>
          <w:iCs/>
          <w:noProof/>
        </w:rPr>
        <w:t>sinusoidal obstruct</w:t>
      </w:r>
      <w:r w:rsidR="009026CD" w:rsidRPr="00184A86">
        <w:rPr>
          <w:iCs/>
          <w:noProof/>
        </w:rPr>
        <w:t>ion</w:t>
      </w:r>
      <w:r w:rsidR="00977166" w:rsidRPr="00184A86">
        <w:rPr>
          <w:iCs/>
          <w:noProof/>
        </w:rPr>
        <w:t xml:space="preserve"> syndrome </w:t>
      </w:r>
      <w:r w:rsidRPr="00184A86">
        <w:rPr>
          <w:iCs/>
          <w:noProof/>
        </w:rPr>
        <w:t>(SOS) in haematopoietic stem</w:t>
      </w:r>
      <w:r w:rsidR="006204BC" w:rsidRPr="00184A86">
        <w:rPr>
          <w:iCs/>
          <w:noProof/>
        </w:rPr>
        <w:noBreakHyphen/>
      </w:r>
      <w:r w:rsidRPr="00184A86">
        <w:rPr>
          <w:iCs/>
          <w:noProof/>
        </w:rPr>
        <w:t>cell transplantation</w:t>
      </w:r>
      <w:r w:rsidR="00C66F95" w:rsidRPr="00184A86">
        <w:rPr>
          <w:iCs/>
          <w:noProof/>
        </w:rPr>
        <w:t xml:space="preserve"> (HSCT)</w:t>
      </w:r>
      <w:r w:rsidRPr="00184A86">
        <w:rPr>
          <w:iCs/>
          <w:noProof/>
        </w:rPr>
        <w:t xml:space="preserve"> therapy</w:t>
      </w:r>
      <w:r w:rsidR="00F82891" w:rsidRPr="00184A86">
        <w:rPr>
          <w:iCs/>
          <w:noProof/>
        </w:rPr>
        <w:t>.</w:t>
      </w:r>
    </w:p>
    <w:p w14:paraId="7D5F7971" w14:textId="03A8A630" w:rsidR="00BB5743" w:rsidRPr="00184A86" w:rsidRDefault="00887532" w:rsidP="00184A86">
      <w:pPr>
        <w:spacing w:line="240" w:lineRule="auto"/>
        <w:rPr>
          <w:iCs/>
          <w:noProof/>
        </w:rPr>
      </w:pPr>
      <w:r w:rsidRPr="00184A86">
        <w:rPr>
          <w:iCs/>
          <w:noProof/>
        </w:rPr>
        <w:t xml:space="preserve">It </w:t>
      </w:r>
      <w:r w:rsidR="000632CA" w:rsidRPr="00184A86">
        <w:rPr>
          <w:iCs/>
          <w:noProof/>
        </w:rPr>
        <w:t>is indicated in adult</w:t>
      </w:r>
      <w:r w:rsidR="00C026CC" w:rsidRPr="00184A86">
        <w:rPr>
          <w:iCs/>
          <w:noProof/>
        </w:rPr>
        <w:t xml:space="preserve">s and in adolescents, children </w:t>
      </w:r>
      <w:r w:rsidR="00977166" w:rsidRPr="00184A86">
        <w:rPr>
          <w:iCs/>
          <w:noProof/>
        </w:rPr>
        <w:t>and</w:t>
      </w:r>
      <w:r w:rsidR="00C66F95" w:rsidRPr="00184A86">
        <w:rPr>
          <w:iCs/>
          <w:noProof/>
        </w:rPr>
        <w:t xml:space="preserve"> </w:t>
      </w:r>
      <w:r w:rsidR="000632CA" w:rsidRPr="00184A86">
        <w:rPr>
          <w:iCs/>
          <w:noProof/>
        </w:rPr>
        <w:t>infants</w:t>
      </w:r>
      <w:r w:rsidR="00BB5743" w:rsidRPr="00184A86">
        <w:rPr>
          <w:iCs/>
          <w:noProof/>
        </w:rPr>
        <w:t xml:space="preserve"> </w:t>
      </w:r>
      <w:r w:rsidR="008347CB" w:rsidRPr="00184A86">
        <w:rPr>
          <w:iCs/>
          <w:noProof/>
        </w:rPr>
        <w:t xml:space="preserve">of </w:t>
      </w:r>
      <w:r w:rsidR="00BB5743" w:rsidRPr="00184A86">
        <w:rPr>
          <w:iCs/>
          <w:noProof/>
        </w:rPr>
        <w:t>1</w:t>
      </w:r>
      <w:r w:rsidR="002F6667" w:rsidRPr="00184A86">
        <w:rPr>
          <w:iCs/>
          <w:noProof/>
        </w:rPr>
        <w:t> </w:t>
      </w:r>
      <w:r w:rsidR="00BB5743" w:rsidRPr="00184A86">
        <w:rPr>
          <w:iCs/>
          <w:noProof/>
        </w:rPr>
        <w:t xml:space="preserve">month </w:t>
      </w:r>
      <w:r w:rsidR="00235EC7" w:rsidRPr="00184A86">
        <w:rPr>
          <w:iCs/>
          <w:noProof/>
        </w:rPr>
        <w:t>of age</w:t>
      </w:r>
      <w:r w:rsidR="008347CB" w:rsidRPr="00184A86">
        <w:rPr>
          <w:iCs/>
          <w:noProof/>
        </w:rPr>
        <w:t xml:space="preserve"> and above</w:t>
      </w:r>
      <w:r w:rsidR="00BB5743" w:rsidRPr="00184A86">
        <w:rPr>
          <w:iCs/>
          <w:noProof/>
        </w:rPr>
        <w:t>.</w:t>
      </w:r>
    </w:p>
    <w:p w14:paraId="162C2C6F" w14:textId="77FC1EAE" w:rsidR="000632CA" w:rsidRPr="00A361DF" w:rsidRDefault="005C75C5" w:rsidP="00FE3CF5">
      <w:pPr>
        <w:spacing w:before="360" w:line="240" w:lineRule="auto"/>
        <w:ind w:left="567" w:hanging="567"/>
      </w:pPr>
      <w:bookmarkStart w:id="1" w:name="_Ref316551267"/>
      <w:r w:rsidRPr="00A361DF">
        <w:rPr>
          <w:b/>
        </w:rPr>
        <w:t>4.2</w:t>
      </w:r>
      <w:r w:rsidRPr="00A361DF">
        <w:rPr>
          <w:b/>
        </w:rPr>
        <w:tab/>
      </w:r>
      <w:r w:rsidR="0075506E" w:rsidRPr="00A361DF">
        <w:rPr>
          <w:b/>
        </w:rPr>
        <w:t xml:space="preserve">Dose </w:t>
      </w:r>
      <w:r w:rsidR="000632CA" w:rsidRPr="00A361DF">
        <w:rPr>
          <w:b/>
        </w:rPr>
        <w:t xml:space="preserve">and </w:t>
      </w:r>
      <w:r w:rsidR="004E56F3" w:rsidRPr="00A361DF">
        <w:rPr>
          <w:b/>
        </w:rPr>
        <w:t xml:space="preserve">method </w:t>
      </w:r>
      <w:r w:rsidR="000632CA" w:rsidRPr="00A361DF">
        <w:rPr>
          <w:b/>
        </w:rPr>
        <w:t xml:space="preserve">of </w:t>
      </w:r>
      <w:bookmarkEnd w:id="1"/>
      <w:r w:rsidR="004E56F3" w:rsidRPr="00A361DF">
        <w:rPr>
          <w:b/>
        </w:rPr>
        <w:t>administration</w:t>
      </w:r>
    </w:p>
    <w:p w14:paraId="2AEEFC60" w14:textId="77777777" w:rsidR="000632CA" w:rsidRPr="00A361DF" w:rsidRDefault="000632CA" w:rsidP="003B2C91">
      <w:pPr>
        <w:spacing w:line="240" w:lineRule="auto"/>
      </w:pPr>
      <w:proofErr w:type="spellStart"/>
      <w:r w:rsidRPr="00A361DF">
        <w:t>Defitelio</w:t>
      </w:r>
      <w:proofErr w:type="spellEnd"/>
      <w:r w:rsidRPr="00A361DF">
        <w:t xml:space="preserve"> </w:t>
      </w:r>
      <w:r w:rsidR="00E30EA8" w:rsidRPr="00A361DF">
        <w:t>must be prescribed and administered to patients</w:t>
      </w:r>
      <w:r w:rsidR="00066FE8" w:rsidRPr="00A361DF">
        <w:t xml:space="preserve"> by</w:t>
      </w:r>
      <w:r w:rsidRPr="00A361DF">
        <w:t xml:space="preserve"> specialised physicians experienced in the diagnosis and treatment of complications of HSCT. </w:t>
      </w:r>
    </w:p>
    <w:p w14:paraId="2737D694" w14:textId="1E31EF9A" w:rsidR="000632CA" w:rsidRPr="00184A86" w:rsidRDefault="00CA3422" w:rsidP="00184A86">
      <w:pPr>
        <w:spacing w:line="240" w:lineRule="auto"/>
        <w:ind w:left="567" w:hanging="567"/>
        <w:rPr>
          <w:b/>
        </w:rPr>
      </w:pPr>
      <w:r w:rsidRPr="00184A86">
        <w:rPr>
          <w:u w:val="single"/>
        </w:rPr>
        <w:t>Dosage</w:t>
      </w:r>
    </w:p>
    <w:p w14:paraId="559D556C" w14:textId="77777777" w:rsidR="001715C3" w:rsidRPr="00184A86" w:rsidRDefault="000632CA" w:rsidP="003B2C91">
      <w:pPr>
        <w:spacing w:line="240" w:lineRule="auto"/>
        <w:rPr>
          <w:iCs/>
          <w:noProof/>
        </w:rPr>
      </w:pPr>
      <w:r w:rsidRPr="00184A86">
        <w:rPr>
          <w:iCs/>
          <w:noProof/>
        </w:rPr>
        <w:t>The recommended dose is 6.25</w:t>
      </w:r>
      <w:r w:rsidR="004A1552" w:rsidRPr="00184A86">
        <w:rPr>
          <w:iCs/>
          <w:noProof/>
        </w:rPr>
        <w:t> </w:t>
      </w:r>
      <w:r w:rsidRPr="00184A86">
        <w:rPr>
          <w:iCs/>
          <w:noProof/>
        </w:rPr>
        <w:t>mg/kg body weight every 6</w:t>
      </w:r>
      <w:r w:rsidR="002F6667" w:rsidRPr="00184A86">
        <w:rPr>
          <w:iCs/>
          <w:noProof/>
        </w:rPr>
        <w:t> </w:t>
      </w:r>
      <w:r w:rsidRPr="00184A86">
        <w:rPr>
          <w:iCs/>
          <w:noProof/>
        </w:rPr>
        <w:t>hours (25</w:t>
      </w:r>
      <w:r w:rsidR="004A1552" w:rsidRPr="00184A86">
        <w:rPr>
          <w:iCs/>
          <w:noProof/>
        </w:rPr>
        <w:t> </w:t>
      </w:r>
      <w:r w:rsidRPr="00184A86">
        <w:rPr>
          <w:iCs/>
          <w:noProof/>
        </w:rPr>
        <w:t>mg/kg/day).</w:t>
      </w:r>
    </w:p>
    <w:p w14:paraId="10E6F94F" w14:textId="77777777" w:rsidR="00524C87" w:rsidRPr="00A361DF" w:rsidRDefault="00524C87" w:rsidP="003B2C91">
      <w:pPr>
        <w:spacing w:line="240" w:lineRule="auto"/>
      </w:pPr>
      <w:r w:rsidRPr="00A361DF">
        <w:lastRenderedPageBreak/>
        <w:t>There is limited efficacy and safety data on doses above this level and consequently it is not recommended to increase the dose above 25</w:t>
      </w:r>
      <w:r w:rsidR="004B60C9" w:rsidRPr="00A361DF">
        <w:t> </w:t>
      </w:r>
      <w:r w:rsidRPr="00A361DF">
        <w:t>mg/kg/day.</w:t>
      </w:r>
    </w:p>
    <w:p w14:paraId="298E542F" w14:textId="77777777" w:rsidR="000632CA" w:rsidRPr="00A361DF" w:rsidRDefault="00F153AD" w:rsidP="003B2C91">
      <w:pPr>
        <w:spacing w:line="240" w:lineRule="auto"/>
      </w:pPr>
      <w:r w:rsidRPr="00A361DF">
        <w:t xml:space="preserve">The treatment </w:t>
      </w:r>
      <w:r w:rsidR="000632CA" w:rsidRPr="00A361DF">
        <w:t>should be administered for a minimum of 21</w:t>
      </w:r>
      <w:r w:rsidR="004A1552" w:rsidRPr="00A361DF">
        <w:t> </w:t>
      </w:r>
      <w:r w:rsidR="000632CA" w:rsidRPr="00A361DF">
        <w:t xml:space="preserve">days and continued until the symptoms and signs </w:t>
      </w:r>
      <w:r w:rsidR="00472757" w:rsidRPr="00A361DF">
        <w:t xml:space="preserve">of </w:t>
      </w:r>
      <w:r w:rsidR="00D4233A" w:rsidRPr="00A361DF">
        <w:t xml:space="preserve">severe </w:t>
      </w:r>
      <w:r w:rsidR="00472757" w:rsidRPr="00A361DF">
        <w:t xml:space="preserve">VOD </w:t>
      </w:r>
      <w:r w:rsidR="000632CA" w:rsidRPr="00A361DF">
        <w:t>resolve.</w:t>
      </w:r>
    </w:p>
    <w:p w14:paraId="498719F7" w14:textId="311D64DB" w:rsidR="00CA3422" w:rsidRPr="00184A86" w:rsidRDefault="00CA3422" w:rsidP="00184A86">
      <w:pPr>
        <w:spacing w:line="240" w:lineRule="auto"/>
        <w:ind w:left="567" w:hanging="567"/>
        <w:rPr>
          <w:u w:val="single"/>
        </w:rPr>
      </w:pPr>
      <w:r w:rsidRPr="00184A86">
        <w:rPr>
          <w:u w:val="single"/>
        </w:rPr>
        <w:t xml:space="preserve">Dose adjustment </w:t>
      </w:r>
    </w:p>
    <w:p w14:paraId="45C38DA7" w14:textId="0812850E" w:rsidR="00260287" w:rsidRPr="00FF1C59" w:rsidRDefault="00260287" w:rsidP="00FF1C59">
      <w:pPr>
        <w:spacing w:line="240" w:lineRule="auto"/>
        <w:rPr>
          <w:i/>
        </w:rPr>
      </w:pPr>
      <w:r w:rsidRPr="00FF1C59">
        <w:rPr>
          <w:i/>
        </w:rPr>
        <w:t xml:space="preserve">Renal </w:t>
      </w:r>
      <w:r w:rsidR="00DF7355" w:rsidRPr="00FF1C59">
        <w:rPr>
          <w:i/>
        </w:rPr>
        <w:t>i</w:t>
      </w:r>
      <w:r w:rsidRPr="00FF1C59">
        <w:rPr>
          <w:i/>
        </w:rPr>
        <w:t>mpairment</w:t>
      </w:r>
    </w:p>
    <w:p w14:paraId="7268E381" w14:textId="36BC6958" w:rsidR="001D21D3" w:rsidRPr="00A361DF" w:rsidRDefault="001D21D3" w:rsidP="003B2C91">
      <w:pPr>
        <w:spacing w:line="240" w:lineRule="auto"/>
      </w:pPr>
      <w:r w:rsidRPr="00A361DF">
        <w:t>Dose adjustment is not required for patients with renal impairment or who are on intermittent haemodialysis (see section 5.2</w:t>
      </w:r>
      <w:r w:rsidR="009D4C50">
        <w:t xml:space="preserve"> </w:t>
      </w:r>
      <w:r w:rsidR="009D4C50" w:rsidRPr="00856D4F">
        <w:t>Pharmacokinetic properties – Special populations</w:t>
      </w:r>
      <w:r w:rsidR="00FE3CF5">
        <w:t>).</w:t>
      </w:r>
    </w:p>
    <w:p w14:paraId="45C32F77" w14:textId="2066C361" w:rsidR="001D21D3" w:rsidRPr="00A361DF" w:rsidRDefault="001D21D3" w:rsidP="003B2C91">
      <w:pPr>
        <w:spacing w:line="240" w:lineRule="auto"/>
        <w:rPr>
          <w:i/>
        </w:rPr>
      </w:pPr>
      <w:r w:rsidRPr="00A361DF">
        <w:rPr>
          <w:i/>
        </w:rPr>
        <w:t xml:space="preserve">Hepatic </w:t>
      </w:r>
      <w:r w:rsidR="00DE0D2B" w:rsidRPr="00A361DF">
        <w:rPr>
          <w:i/>
        </w:rPr>
        <w:t>i</w:t>
      </w:r>
      <w:r w:rsidRPr="00A361DF">
        <w:rPr>
          <w:i/>
        </w:rPr>
        <w:t>mpairment</w:t>
      </w:r>
    </w:p>
    <w:p w14:paraId="71B23A46" w14:textId="004EFE36" w:rsidR="00260287" w:rsidRPr="00A361DF" w:rsidRDefault="004C7CC2" w:rsidP="003B2C91">
      <w:pPr>
        <w:spacing w:line="240" w:lineRule="auto"/>
      </w:pPr>
      <w:r w:rsidRPr="00A361DF">
        <w:t>No formal pharmacokinetic</w:t>
      </w:r>
      <w:r w:rsidR="00260287" w:rsidRPr="00A361DF">
        <w:t xml:space="preserve"> studies have been performed in patients with hepatic impairment</w:t>
      </w:r>
      <w:r w:rsidR="001D21D3" w:rsidRPr="00A361DF">
        <w:t>;</w:t>
      </w:r>
      <w:r w:rsidR="00260287" w:rsidRPr="00A361DF">
        <w:t xml:space="preserve"> however, the </w:t>
      </w:r>
      <w:r w:rsidR="001715C3" w:rsidRPr="00A361DF">
        <w:t xml:space="preserve">medicinal product </w:t>
      </w:r>
      <w:r w:rsidR="00260287" w:rsidRPr="00A361DF">
        <w:t xml:space="preserve">has been used in clinical trials </w:t>
      </w:r>
      <w:r w:rsidR="008D2E27" w:rsidRPr="00A361DF">
        <w:t>of</w:t>
      </w:r>
      <w:r w:rsidR="00260287" w:rsidRPr="00A361DF">
        <w:t xml:space="preserve"> patients developing hepatic impairment without dose adjustment with no safety issues identified. No dose adjustment is therefore recommended but careful monitoring of patients should be undertaken (see </w:t>
      </w:r>
      <w:r w:rsidR="001715C3" w:rsidRPr="00A361DF">
        <w:t xml:space="preserve">section </w:t>
      </w:r>
      <w:r w:rsidR="00260287" w:rsidRPr="00A361DF">
        <w:t>5.2</w:t>
      </w:r>
      <w:r w:rsidR="009D4C50">
        <w:t xml:space="preserve"> </w:t>
      </w:r>
      <w:r w:rsidR="009D4C50" w:rsidRPr="00856D4F">
        <w:t>Pharmacokinetic properties – Special populations</w:t>
      </w:r>
      <w:r w:rsidR="00260287" w:rsidRPr="00A361DF">
        <w:t>).</w:t>
      </w:r>
    </w:p>
    <w:p w14:paraId="0AF7F9E7" w14:textId="77777777" w:rsidR="000632CA" w:rsidRPr="00A361DF" w:rsidRDefault="000632CA" w:rsidP="003B2C91">
      <w:pPr>
        <w:spacing w:line="240" w:lineRule="auto"/>
        <w:rPr>
          <w:i/>
        </w:rPr>
      </w:pPr>
      <w:r w:rsidRPr="00A361DF">
        <w:rPr>
          <w:i/>
        </w:rPr>
        <w:t>Paediatric population</w:t>
      </w:r>
    </w:p>
    <w:p w14:paraId="75B4DB10" w14:textId="24159149" w:rsidR="000632CA" w:rsidRPr="00A361DF" w:rsidRDefault="000632CA" w:rsidP="003B2C91">
      <w:pPr>
        <w:spacing w:line="240" w:lineRule="auto"/>
      </w:pPr>
      <w:r w:rsidRPr="00A361DF">
        <w:t xml:space="preserve">The recommended dose for children </w:t>
      </w:r>
      <w:r w:rsidR="00BB5743" w:rsidRPr="00A361DF">
        <w:t>aged 1</w:t>
      </w:r>
      <w:r w:rsidR="004A1552" w:rsidRPr="00A361DF">
        <w:t> </w:t>
      </w:r>
      <w:r w:rsidR="00BB5743" w:rsidRPr="00A361DF">
        <w:t>month</w:t>
      </w:r>
      <w:r w:rsidR="008347CB" w:rsidRPr="00A361DF">
        <w:t xml:space="preserve"> and above</w:t>
      </w:r>
      <w:r w:rsidR="00BB5743" w:rsidRPr="00A361DF">
        <w:t xml:space="preserve"> to 18</w:t>
      </w:r>
      <w:r w:rsidR="004A1552" w:rsidRPr="00A361DF">
        <w:t> </w:t>
      </w:r>
      <w:r w:rsidR="00BB5743" w:rsidRPr="00A361DF">
        <w:t xml:space="preserve">years </w:t>
      </w:r>
      <w:r w:rsidRPr="00A361DF">
        <w:t>is the same mg/kg dose as for adults i.e. 6.25</w:t>
      </w:r>
      <w:r w:rsidR="002F6667" w:rsidRPr="00A361DF">
        <w:t> </w:t>
      </w:r>
      <w:r w:rsidRPr="00A361DF">
        <w:t>mg/kg body weight every 6</w:t>
      </w:r>
      <w:r w:rsidR="004A1552" w:rsidRPr="00A361DF">
        <w:t> </w:t>
      </w:r>
      <w:r w:rsidRPr="00A361DF">
        <w:t>hours.</w:t>
      </w:r>
    </w:p>
    <w:p w14:paraId="0BA12CFF" w14:textId="7AA27B82" w:rsidR="00DE0D2B" w:rsidRPr="00A361DF" w:rsidRDefault="00DE0D2B" w:rsidP="003B2C91">
      <w:pPr>
        <w:spacing w:line="240" w:lineRule="auto"/>
        <w:rPr>
          <w:noProof/>
        </w:rPr>
      </w:pPr>
      <w:r w:rsidRPr="00A361DF">
        <w:rPr>
          <w:noProof/>
        </w:rPr>
        <w:t xml:space="preserve">The safety and efficacy of </w:t>
      </w:r>
      <w:r w:rsidR="00F153AD" w:rsidRPr="00A361DF">
        <w:rPr>
          <w:noProof/>
        </w:rPr>
        <w:t>defibrotide</w:t>
      </w:r>
      <w:r w:rsidRPr="00A361DF">
        <w:rPr>
          <w:noProof/>
        </w:rPr>
        <w:t xml:space="preserve"> in children aged less than 1 month </w:t>
      </w:r>
      <w:r w:rsidR="009D760F">
        <w:rPr>
          <w:noProof/>
        </w:rPr>
        <w:t>have</w:t>
      </w:r>
      <w:r w:rsidR="009D760F" w:rsidRPr="00A361DF">
        <w:rPr>
          <w:noProof/>
        </w:rPr>
        <w:t xml:space="preserve"> </w:t>
      </w:r>
      <w:r w:rsidRPr="00A361DF">
        <w:rPr>
          <w:noProof/>
        </w:rPr>
        <w:t>not yet been established. No data are available. The use of Defitelio in children aged less than one month is not recommended.</w:t>
      </w:r>
    </w:p>
    <w:p w14:paraId="015EB52A" w14:textId="4C0E3C59" w:rsidR="000632CA" w:rsidRPr="00A361DF" w:rsidRDefault="00FE3CF5" w:rsidP="003B2C91">
      <w:pPr>
        <w:spacing w:line="240" w:lineRule="auto"/>
        <w:rPr>
          <w:u w:val="single"/>
        </w:rPr>
      </w:pPr>
      <w:r>
        <w:rPr>
          <w:u w:val="single"/>
        </w:rPr>
        <w:t>Method of administration</w:t>
      </w:r>
    </w:p>
    <w:p w14:paraId="4C0B491E" w14:textId="77777777" w:rsidR="007D6C65" w:rsidRPr="00A361DF" w:rsidRDefault="000632CA" w:rsidP="003B2C91">
      <w:pPr>
        <w:spacing w:line="240" w:lineRule="auto"/>
        <w:rPr>
          <w:noProof/>
        </w:rPr>
      </w:pPr>
      <w:r w:rsidRPr="00A361DF">
        <w:rPr>
          <w:noProof/>
        </w:rPr>
        <w:t>Defitelio</w:t>
      </w:r>
      <w:r w:rsidR="00AA3635" w:rsidRPr="00A361DF">
        <w:rPr>
          <w:noProof/>
        </w:rPr>
        <w:t xml:space="preserve"> is for intravenous use. It</w:t>
      </w:r>
      <w:r w:rsidRPr="00A361DF">
        <w:rPr>
          <w:noProof/>
        </w:rPr>
        <w:t xml:space="preserve"> is administered by intravenous infusion, over two hours.</w:t>
      </w:r>
    </w:p>
    <w:p w14:paraId="0499599D" w14:textId="7CC19A1E" w:rsidR="000632CA" w:rsidRPr="00A361DF" w:rsidRDefault="00260287" w:rsidP="003B2C91">
      <w:pPr>
        <w:spacing w:line="240" w:lineRule="auto"/>
        <w:rPr>
          <w:noProof/>
        </w:rPr>
      </w:pPr>
      <w:r w:rsidRPr="00A361DF">
        <w:rPr>
          <w:noProof/>
        </w:rPr>
        <w:t xml:space="preserve">Defitelio should always be diluted prior to use. </w:t>
      </w:r>
      <w:r w:rsidR="00F153AD" w:rsidRPr="00A361DF">
        <w:rPr>
          <w:noProof/>
        </w:rPr>
        <w:t xml:space="preserve">It </w:t>
      </w:r>
      <w:r w:rsidR="000632CA" w:rsidRPr="00A361DF">
        <w:rPr>
          <w:noProof/>
        </w:rPr>
        <w:t xml:space="preserve">can be diluted with 5% glucose solution for infusion or sodium chloride </w:t>
      </w:r>
      <w:r w:rsidR="00FB1636" w:rsidRPr="00A361DF">
        <w:rPr>
          <w:noProof/>
        </w:rPr>
        <w:t>9</w:t>
      </w:r>
      <w:r w:rsidR="004B60C9" w:rsidRPr="00A361DF">
        <w:rPr>
          <w:noProof/>
        </w:rPr>
        <w:t> </w:t>
      </w:r>
      <w:r w:rsidR="00FB1636" w:rsidRPr="00A361DF">
        <w:rPr>
          <w:noProof/>
        </w:rPr>
        <w:t>mg/mL</w:t>
      </w:r>
      <w:r w:rsidR="001715C3" w:rsidRPr="00A361DF">
        <w:rPr>
          <w:noProof/>
        </w:rPr>
        <w:t xml:space="preserve"> (0.9%) solution for infusion</w:t>
      </w:r>
      <w:r w:rsidR="00C83583" w:rsidRPr="00A361DF">
        <w:rPr>
          <w:noProof/>
        </w:rPr>
        <w:t xml:space="preserve"> </w:t>
      </w:r>
      <w:r w:rsidR="00C83583" w:rsidRPr="00A361DF">
        <w:t>(see section 6.3 for concentration range and stability of the diluted solution)</w:t>
      </w:r>
      <w:r w:rsidR="000632CA" w:rsidRPr="00A361DF">
        <w:rPr>
          <w:noProof/>
        </w:rPr>
        <w:t>, to a suitable concentration to permit infusion over 2</w:t>
      </w:r>
      <w:r w:rsidR="00931525" w:rsidRPr="00A361DF">
        <w:rPr>
          <w:noProof/>
        </w:rPr>
        <w:t> </w:t>
      </w:r>
      <w:r w:rsidR="000632CA" w:rsidRPr="00A361DF">
        <w:rPr>
          <w:noProof/>
        </w:rPr>
        <w:t>hours.</w:t>
      </w:r>
      <w:r w:rsidR="00235EC7" w:rsidRPr="00A361DF">
        <w:rPr>
          <w:noProof/>
        </w:rPr>
        <w:t xml:space="preserve"> The total volume of infusion should be determined based on the </w:t>
      </w:r>
      <w:r w:rsidR="00235EC7" w:rsidRPr="00A361DF">
        <w:t>individual</w:t>
      </w:r>
      <w:r w:rsidR="00235EC7" w:rsidRPr="00A361DF">
        <w:rPr>
          <w:noProof/>
        </w:rPr>
        <w:t xml:space="preserve"> patient</w:t>
      </w:r>
      <w:r w:rsidR="00C01622" w:rsidRPr="00A361DF">
        <w:rPr>
          <w:noProof/>
        </w:rPr>
        <w:t>’s</w:t>
      </w:r>
      <w:r w:rsidR="00235EC7" w:rsidRPr="00A361DF">
        <w:rPr>
          <w:noProof/>
        </w:rPr>
        <w:t xml:space="preserve"> weight. The final concentration of Defitelio should be in the range of 4</w:t>
      </w:r>
      <w:r w:rsidR="00C306B1" w:rsidRPr="00A361DF">
        <w:rPr>
          <w:noProof/>
        </w:rPr>
        <w:t> </w:t>
      </w:r>
      <w:r w:rsidR="00235EC7" w:rsidRPr="00A361DF">
        <w:rPr>
          <w:noProof/>
        </w:rPr>
        <w:t>mg/mL to 20</w:t>
      </w:r>
      <w:r w:rsidR="004B60C9" w:rsidRPr="00A361DF">
        <w:rPr>
          <w:noProof/>
        </w:rPr>
        <w:t> </w:t>
      </w:r>
      <w:r w:rsidR="00235EC7" w:rsidRPr="00A361DF">
        <w:rPr>
          <w:noProof/>
        </w:rPr>
        <w:t>mg/mL.</w:t>
      </w:r>
    </w:p>
    <w:p w14:paraId="110FF121" w14:textId="000F3122" w:rsidR="00E30EA8" w:rsidRPr="00A361DF" w:rsidRDefault="00E30EA8" w:rsidP="003B2C91">
      <w:pPr>
        <w:spacing w:line="240" w:lineRule="auto"/>
        <w:rPr>
          <w:noProof/>
        </w:rPr>
      </w:pPr>
      <w:r w:rsidRPr="00A361DF">
        <w:rPr>
          <w:noProof/>
        </w:rPr>
        <w:t>Vials are intended for a single use and unused solution from a single dose must be discarded (see section 6.6</w:t>
      </w:r>
      <w:r w:rsidR="009D4C50">
        <w:rPr>
          <w:noProof/>
        </w:rPr>
        <w:t xml:space="preserve"> </w:t>
      </w:r>
      <w:r w:rsidR="009D4C50" w:rsidRPr="00856D4F">
        <w:t>Special precautions for disposal</w:t>
      </w:r>
      <w:r w:rsidRPr="00A361DF">
        <w:rPr>
          <w:noProof/>
        </w:rPr>
        <w:t>)</w:t>
      </w:r>
    </w:p>
    <w:p w14:paraId="08881021" w14:textId="5252E01B" w:rsidR="0075506E" w:rsidRPr="00A361DF" w:rsidRDefault="0075506E" w:rsidP="0075506E">
      <w:pPr>
        <w:spacing w:line="240" w:lineRule="auto"/>
      </w:pPr>
      <w:r w:rsidRPr="00A361DF">
        <w:t>The concentrate</w:t>
      </w:r>
      <w:r w:rsidR="00895993" w:rsidRPr="00A361DF">
        <w:t>d</w:t>
      </w:r>
      <w:r w:rsidRPr="00A361DF">
        <w:t xml:space="preserve"> solution for infusion </w:t>
      </w:r>
      <w:r w:rsidR="00F667CE" w:rsidRPr="00A361DF">
        <w:t>must</w:t>
      </w:r>
      <w:r w:rsidRPr="00A361DF">
        <w:t xml:space="preserve"> be diluted using aseptic technique.</w:t>
      </w:r>
    </w:p>
    <w:p w14:paraId="15DBA29D" w14:textId="77777777" w:rsidR="0075506E" w:rsidRPr="00184A86" w:rsidRDefault="0075506E" w:rsidP="00184A86">
      <w:pPr>
        <w:spacing w:line="240" w:lineRule="auto"/>
        <w:rPr>
          <w:u w:val="single"/>
        </w:rPr>
      </w:pPr>
      <w:r w:rsidRPr="00184A86">
        <w:rPr>
          <w:u w:val="single"/>
        </w:rPr>
        <w:t xml:space="preserve">Preparation of </w:t>
      </w:r>
      <w:proofErr w:type="spellStart"/>
      <w:r w:rsidRPr="00184A86">
        <w:rPr>
          <w:u w:val="single"/>
        </w:rPr>
        <w:t>Defitelio</w:t>
      </w:r>
      <w:proofErr w:type="spellEnd"/>
      <w:r w:rsidRPr="00184A86">
        <w:rPr>
          <w:u w:val="single"/>
        </w:rPr>
        <w:t xml:space="preserve"> (use aseptic technique):</w:t>
      </w:r>
    </w:p>
    <w:p w14:paraId="47ED7B30" w14:textId="0FCCD51C" w:rsidR="003B2FFE" w:rsidRPr="00A361DF" w:rsidRDefault="0075506E" w:rsidP="00A361DF">
      <w:pPr>
        <w:spacing w:line="240" w:lineRule="auto"/>
        <w:ind w:left="567" w:hanging="567"/>
      </w:pPr>
      <w:r w:rsidRPr="00A361DF">
        <w:t>1.</w:t>
      </w:r>
      <w:r w:rsidRPr="00A361DF">
        <w:tab/>
        <w:t xml:space="preserve">The </w:t>
      </w:r>
      <w:r w:rsidR="0043189E" w:rsidRPr="00A361DF">
        <w:t xml:space="preserve">total dose and thereby, the total volume </w:t>
      </w:r>
      <w:r w:rsidR="003B2FFE" w:rsidRPr="00A361DF">
        <w:t xml:space="preserve">of infusion and the total </w:t>
      </w:r>
      <w:r w:rsidRPr="00A361DF">
        <w:t>number of vials to be diluted should be determined based on the individual patient's weight.</w:t>
      </w:r>
      <w:r w:rsidR="003B2FFE" w:rsidRPr="00A361DF">
        <w:t xml:space="preserve">  The final concentration of </w:t>
      </w:r>
      <w:proofErr w:type="spellStart"/>
      <w:r w:rsidR="003B2FFE" w:rsidRPr="00A361DF">
        <w:t>Defitelio</w:t>
      </w:r>
      <w:proofErr w:type="spellEnd"/>
      <w:r w:rsidR="003B2FFE" w:rsidRPr="00A361DF">
        <w:t xml:space="preserve"> should be in the concentration range of 4 mg/mL – 20 mg/mL (see section 6.3</w:t>
      </w:r>
      <w:r w:rsidR="009D4C50">
        <w:t xml:space="preserve"> </w:t>
      </w:r>
      <w:r w:rsidR="009D4C50" w:rsidRPr="00856D4F">
        <w:t>Shelf life</w:t>
      </w:r>
      <w:r w:rsidR="003B2FFE" w:rsidRPr="00A361DF">
        <w:t>).</w:t>
      </w:r>
    </w:p>
    <w:p w14:paraId="24CB6BA3" w14:textId="77777777" w:rsidR="0075506E" w:rsidRPr="00A361DF" w:rsidRDefault="0075506E" w:rsidP="00A361DF">
      <w:pPr>
        <w:spacing w:line="240" w:lineRule="auto"/>
        <w:ind w:left="567" w:hanging="567"/>
      </w:pPr>
      <w:r w:rsidRPr="00A361DF">
        <w:lastRenderedPageBreak/>
        <w:t>2.</w:t>
      </w:r>
      <w:r w:rsidRPr="00A361DF">
        <w:tab/>
        <w:t>Before dilution, each vial should be inspected for particles. If particles are observed and/or the liquid in the vial is not clear, the vial must not be used.</w:t>
      </w:r>
    </w:p>
    <w:p w14:paraId="39345A7D" w14:textId="2C9702E2" w:rsidR="00CE6C52" w:rsidRPr="00A361DF" w:rsidRDefault="003B2FFE" w:rsidP="00184A86">
      <w:pPr>
        <w:spacing w:line="240" w:lineRule="auto"/>
        <w:ind w:left="567" w:hanging="567"/>
      </w:pPr>
      <w:r w:rsidRPr="00A361DF">
        <w:t>3</w:t>
      </w:r>
      <w:r w:rsidR="00CE6C52" w:rsidRPr="00A361DF">
        <w:t>.</w:t>
      </w:r>
      <w:r w:rsidR="00CE6C52" w:rsidRPr="00A361DF">
        <w:tab/>
        <w:t xml:space="preserve">The required volume from the </w:t>
      </w:r>
      <w:proofErr w:type="spellStart"/>
      <w:r w:rsidR="00CE6C52" w:rsidRPr="00A361DF">
        <w:t>Defitelio</w:t>
      </w:r>
      <w:proofErr w:type="spellEnd"/>
      <w:r w:rsidR="00CE6C52" w:rsidRPr="00A361DF">
        <w:t xml:space="preserve"> vials should be withdrawn and combined.</w:t>
      </w:r>
    </w:p>
    <w:p w14:paraId="6B391A63" w14:textId="786F398E" w:rsidR="0075506E" w:rsidRPr="00A361DF" w:rsidRDefault="00A37C15" w:rsidP="00A361DF">
      <w:pPr>
        <w:spacing w:line="240" w:lineRule="auto"/>
        <w:ind w:left="567" w:hanging="567"/>
      </w:pPr>
      <w:r w:rsidRPr="00A361DF">
        <w:t>4</w:t>
      </w:r>
      <w:r w:rsidR="0075506E" w:rsidRPr="00A361DF">
        <w:t>.</w:t>
      </w:r>
      <w:r w:rsidR="0075506E" w:rsidRPr="00A361DF">
        <w:tab/>
        <w:t>A volume of the sodium chloride 9 mg/mL (0.9%) solution for infusion or glucose 5% solution for infusion from the infusion bag</w:t>
      </w:r>
      <w:r w:rsidR="003B2FFE" w:rsidRPr="00A361DF">
        <w:t xml:space="preserve">, equal to the total volume of </w:t>
      </w:r>
      <w:proofErr w:type="spellStart"/>
      <w:r w:rsidR="003B2FFE" w:rsidRPr="00A361DF">
        <w:t>Defitelio</w:t>
      </w:r>
      <w:proofErr w:type="spellEnd"/>
      <w:r w:rsidR="003B2FFE" w:rsidRPr="00A361DF">
        <w:t xml:space="preserve"> concentrated solution to be added, </w:t>
      </w:r>
      <w:r w:rsidR="0075506E" w:rsidRPr="00A361DF">
        <w:t>should be withdrawn and discarded</w:t>
      </w:r>
      <w:r w:rsidR="003964B7" w:rsidRPr="00A361DF">
        <w:t>.</w:t>
      </w:r>
    </w:p>
    <w:p w14:paraId="51683E96" w14:textId="1EAA4177" w:rsidR="0075506E" w:rsidRPr="00A361DF" w:rsidRDefault="00A37C15" w:rsidP="00A361DF">
      <w:pPr>
        <w:spacing w:line="240" w:lineRule="auto"/>
        <w:ind w:left="567" w:hanging="567"/>
      </w:pPr>
      <w:r w:rsidRPr="00A361DF">
        <w:t>5</w:t>
      </w:r>
      <w:r w:rsidR="0075506E" w:rsidRPr="00A361DF">
        <w:t>.</w:t>
      </w:r>
      <w:r w:rsidR="0075506E" w:rsidRPr="00A361DF">
        <w:tab/>
        <w:t xml:space="preserve">The combined volumes of </w:t>
      </w:r>
      <w:proofErr w:type="spellStart"/>
      <w:r w:rsidR="0075506E" w:rsidRPr="00A361DF">
        <w:t>Defitelio</w:t>
      </w:r>
      <w:proofErr w:type="spellEnd"/>
      <w:r w:rsidR="0075506E" w:rsidRPr="00A361DF">
        <w:t xml:space="preserve"> should be added to the sodium chloride 9 mg/mL (0.9%) solution for infusion or glucose 5% solution for infusion.</w:t>
      </w:r>
    </w:p>
    <w:p w14:paraId="5BAC01FC" w14:textId="049E39DE" w:rsidR="0075506E" w:rsidRPr="00A361DF" w:rsidRDefault="00A37C15" w:rsidP="00184A86">
      <w:pPr>
        <w:spacing w:line="240" w:lineRule="auto"/>
        <w:ind w:left="567" w:hanging="567"/>
      </w:pPr>
      <w:r w:rsidRPr="00A361DF">
        <w:t>6</w:t>
      </w:r>
      <w:r w:rsidR="0075506E" w:rsidRPr="00A361DF">
        <w:t>.</w:t>
      </w:r>
      <w:r w:rsidR="0075506E" w:rsidRPr="00A361DF">
        <w:tab/>
        <w:t>The solution for infusion should be mixed gently.</w:t>
      </w:r>
    </w:p>
    <w:p w14:paraId="34D3026F" w14:textId="451E9FA3" w:rsidR="0075506E" w:rsidRPr="00A361DF" w:rsidRDefault="00A37C15" w:rsidP="00A361DF">
      <w:pPr>
        <w:spacing w:line="240" w:lineRule="auto"/>
        <w:ind w:left="567" w:hanging="567"/>
      </w:pPr>
      <w:r w:rsidRPr="00A361DF">
        <w:t>7</w:t>
      </w:r>
      <w:r w:rsidR="0075506E" w:rsidRPr="00A361DF">
        <w:t>.</w:t>
      </w:r>
      <w:r w:rsidR="0075506E" w:rsidRPr="00A361DF">
        <w:tab/>
        <w:t xml:space="preserve">Prior to use the solution should be visually inspected for particulate matter. Only clear solutions without visible particles should be used. Depending on the type and amount of diluent the colour of the diluted solution may vary from colourless to light yellow. It is recommended that the diluted </w:t>
      </w:r>
      <w:proofErr w:type="spellStart"/>
      <w:r w:rsidR="0075506E" w:rsidRPr="00A361DF">
        <w:t>Defitelio</w:t>
      </w:r>
      <w:proofErr w:type="spellEnd"/>
      <w:r w:rsidR="0075506E" w:rsidRPr="00A361DF">
        <w:t xml:space="preserve"> solution be administered to patients using an infusion set equipped with a 0.2 </w:t>
      </w:r>
      <w:proofErr w:type="spellStart"/>
      <w:r w:rsidR="0075506E" w:rsidRPr="00A361DF">
        <w:t>μm</w:t>
      </w:r>
      <w:proofErr w:type="spellEnd"/>
      <w:r w:rsidR="0075506E" w:rsidRPr="00A361DF">
        <w:t xml:space="preserve"> in</w:t>
      </w:r>
      <w:r w:rsidR="0075506E" w:rsidRPr="00A361DF">
        <w:noBreakHyphen/>
        <w:t>line filter.</w:t>
      </w:r>
    </w:p>
    <w:p w14:paraId="114CE97D" w14:textId="42DF0D93" w:rsidR="0075506E" w:rsidRPr="00A361DF" w:rsidRDefault="00A37C15" w:rsidP="0075506E">
      <w:pPr>
        <w:spacing w:line="240" w:lineRule="auto"/>
        <w:ind w:left="567" w:hanging="567"/>
      </w:pPr>
      <w:r w:rsidRPr="00A361DF">
        <w:t>8</w:t>
      </w:r>
      <w:r w:rsidR="0075506E" w:rsidRPr="00A361DF">
        <w:t>.</w:t>
      </w:r>
      <w:r w:rsidR="0075506E" w:rsidRPr="00A361DF">
        <w:tab/>
        <w:t>After the infusion is complete, the intravenous line should be flushed with sodium chloride 9 mg/mL (0.9%) solution for infusion or glucose 5% solution for infusion.</w:t>
      </w:r>
    </w:p>
    <w:p w14:paraId="784D1B8D" w14:textId="0B5E8B3F" w:rsidR="003964B7" w:rsidRPr="00A361DF" w:rsidRDefault="003964B7" w:rsidP="0075506E">
      <w:pPr>
        <w:spacing w:line="240" w:lineRule="auto"/>
        <w:ind w:left="567" w:hanging="567"/>
      </w:pPr>
      <w:r w:rsidRPr="00A361DF">
        <w:t>9.</w:t>
      </w:r>
      <w:r w:rsidRPr="00A361DF">
        <w:tab/>
        <w:t xml:space="preserve">Administer </w:t>
      </w:r>
      <w:proofErr w:type="spellStart"/>
      <w:r w:rsidRPr="00A361DF">
        <w:t>Defitelio</w:t>
      </w:r>
      <w:proofErr w:type="spellEnd"/>
      <w:r w:rsidRPr="00A361DF">
        <w:t xml:space="preserve"> as described above. Do not co-administer other drugs through the same intravenous line.</w:t>
      </w:r>
    </w:p>
    <w:p w14:paraId="113D9027" w14:textId="77777777" w:rsidR="000632CA" w:rsidRPr="00A361DF" w:rsidRDefault="005C75C5" w:rsidP="00FE3CF5">
      <w:pPr>
        <w:spacing w:before="360" w:line="240" w:lineRule="auto"/>
        <w:ind w:left="567" w:hanging="567"/>
        <w:rPr>
          <w:b/>
        </w:rPr>
      </w:pPr>
      <w:r w:rsidRPr="00A361DF">
        <w:rPr>
          <w:b/>
        </w:rPr>
        <w:t>4.3</w:t>
      </w:r>
      <w:r w:rsidRPr="00A361DF">
        <w:rPr>
          <w:b/>
        </w:rPr>
        <w:tab/>
      </w:r>
      <w:r w:rsidR="000632CA" w:rsidRPr="00A361DF">
        <w:rPr>
          <w:b/>
        </w:rPr>
        <w:t>Contraindications</w:t>
      </w:r>
    </w:p>
    <w:p w14:paraId="1E273ABF" w14:textId="2AC8D4B9" w:rsidR="000632CA" w:rsidRPr="00184A86" w:rsidRDefault="000632CA" w:rsidP="003B2C91">
      <w:pPr>
        <w:pStyle w:val="C-BulletIndented"/>
        <w:tabs>
          <w:tab w:val="clear" w:pos="1440"/>
        </w:tabs>
        <w:spacing w:before="0" w:after="0" w:line="240" w:lineRule="auto"/>
        <w:ind w:left="567" w:hanging="567"/>
        <w:rPr>
          <w:rFonts w:asciiTheme="minorHAnsi" w:eastAsiaTheme="minorHAnsi" w:hAnsiTheme="minorHAnsi" w:cstheme="minorHAnsi"/>
          <w:sz w:val="22"/>
          <w:lang w:val="et-EE" w:eastAsia="et-EE" w:bidi="et-EE"/>
        </w:rPr>
      </w:pPr>
      <w:r w:rsidRPr="00184A86">
        <w:rPr>
          <w:rFonts w:asciiTheme="minorHAnsi" w:eastAsiaTheme="minorHAnsi" w:hAnsiTheme="minorHAnsi" w:cstheme="minorHAnsi"/>
          <w:sz w:val="22"/>
          <w:lang w:val="et-EE" w:eastAsia="et-EE" w:bidi="et-EE"/>
        </w:rPr>
        <w:t xml:space="preserve">Hypersensitivity to </w:t>
      </w:r>
      <w:r w:rsidR="00641A0D" w:rsidRPr="00184A86">
        <w:rPr>
          <w:rFonts w:asciiTheme="minorHAnsi" w:eastAsiaTheme="minorHAnsi" w:hAnsiTheme="minorHAnsi" w:cstheme="minorHAnsi"/>
          <w:sz w:val="22"/>
          <w:lang w:val="et-EE" w:eastAsia="et-EE" w:bidi="et-EE"/>
        </w:rPr>
        <w:t xml:space="preserve">the active substance </w:t>
      </w:r>
      <w:r w:rsidRPr="00184A86">
        <w:rPr>
          <w:rFonts w:asciiTheme="minorHAnsi" w:eastAsiaTheme="minorHAnsi" w:hAnsiTheme="minorHAnsi" w:cstheme="minorHAnsi"/>
          <w:sz w:val="22"/>
          <w:lang w:val="et-EE" w:eastAsia="et-EE" w:bidi="et-EE"/>
        </w:rPr>
        <w:t xml:space="preserve">or to any of the excipients </w:t>
      </w:r>
      <w:r w:rsidR="001972D1" w:rsidRPr="00184A86">
        <w:rPr>
          <w:rFonts w:asciiTheme="minorHAnsi" w:eastAsiaTheme="minorHAnsi" w:hAnsiTheme="minorHAnsi" w:cstheme="minorHAnsi"/>
          <w:sz w:val="22"/>
          <w:lang w:val="et-EE" w:eastAsia="et-EE" w:bidi="et-EE"/>
        </w:rPr>
        <w:t>listed in section</w:t>
      </w:r>
      <w:r w:rsidR="007D6C65" w:rsidRPr="00184A86">
        <w:rPr>
          <w:rFonts w:asciiTheme="minorHAnsi" w:eastAsiaTheme="minorHAnsi" w:hAnsiTheme="minorHAnsi" w:cstheme="minorHAnsi"/>
          <w:sz w:val="22"/>
          <w:lang w:val="et-EE" w:eastAsia="et-EE" w:bidi="et-EE"/>
        </w:rPr>
        <w:t xml:space="preserve"> </w:t>
      </w:r>
      <w:r w:rsidR="001972D1" w:rsidRPr="00184A86">
        <w:rPr>
          <w:rFonts w:asciiTheme="minorHAnsi" w:eastAsiaTheme="minorHAnsi" w:hAnsiTheme="minorHAnsi" w:cstheme="minorHAnsi"/>
          <w:sz w:val="22"/>
          <w:lang w:val="et-EE" w:eastAsia="et-EE" w:bidi="et-EE"/>
        </w:rPr>
        <w:t>6.1</w:t>
      </w:r>
      <w:r w:rsidR="009D4C50">
        <w:rPr>
          <w:rFonts w:asciiTheme="minorHAnsi" w:eastAsiaTheme="minorHAnsi" w:hAnsiTheme="minorHAnsi" w:cstheme="minorHAnsi"/>
          <w:sz w:val="22"/>
          <w:lang w:val="et-EE" w:eastAsia="et-EE" w:bidi="et-EE"/>
        </w:rPr>
        <w:t xml:space="preserve"> </w:t>
      </w:r>
      <w:r w:rsidR="009D4C50" w:rsidRPr="00856D4F">
        <w:rPr>
          <w:rFonts w:asciiTheme="minorHAnsi" w:eastAsiaTheme="minorHAnsi" w:hAnsiTheme="minorHAnsi" w:cstheme="minorHAnsi"/>
          <w:sz w:val="22"/>
          <w:lang w:val="et-EE" w:eastAsia="et-EE" w:bidi="et-EE"/>
        </w:rPr>
        <w:t>List of excipients</w:t>
      </w:r>
    </w:p>
    <w:p w14:paraId="62056889" w14:textId="59AD54F0" w:rsidR="000632CA" w:rsidRPr="00184A86" w:rsidRDefault="000632CA" w:rsidP="00184A86">
      <w:pPr>
        <w:pStyle w:val="C-BulletIndented"/>
        <w:tabs>
          <w:tab w:val="clear" w:pos="1440"/>
        </w:tabs>
        <w:spacing w:before="0" w:after="160" w:line="240" w:lineRule="auto"/>
        <w:ind w:left="567" w:hanging="567"/>
        <w:rPr>
          <w:rFonts w:asciiTheme="minorHAnsi" w:eastAsiaTheme="minorHAnsi" w:hAnsiTheme="minorHAnsi" w:cstheme="minorHAnsi"/>
          <w:sz w:val="22"/>
          <w:lang w:val="et-EE" w:eastAsia="et-EE" w:bidi="et-EE"/>
        </w:rPr>
      </w:pPr>
      <w:r w:rsidRPr="00184A86">
        <w:rPr>
          <w:rFonts w:asciiTheme="minorHAnsi" w:eastAsiaTheme="minorHAnsi" w:hAnsiTheme="minorHAnsi" w:cstheme="minorHAnsi"/>
          <w:sz w:val="22"/>
          <w:lang w:val="et-EE" w:eastAsia="et-EE" w:bidi="et-EE"/>
        </w:rPr>
        <w:t>Concomitant use of thrombolytic therapy (e.g. t</w:t>
      </w:r>
      <w:r w:rsidR="006204BC" w:rsidRPr="00184A86">
        <w:rPr>
          <w:rFonts w:asciiTheme="minorHAnsi" w:eastAsiaTheme="minorHAnsi" w:hAnsiTheme="minorHAnsi" w:cstheme="minorHAnsi"/>
          <w:sz w:val="22"/>
          <w:lang w:val="et-EE" w:eastAsia="et-EE" w:bidi="et-EE"/>
        </w:rPr>
        <w:noBreakHyphen/>
      </w:r>
      <w:r w:rsidRPr="00184A86">
        <w:rPr>
          <w:rFonts w:asciiTheme="minorHAnsi" w:eastAsiaTheme="minorHAnsi" w:hAnsiTheme="minorHAnsi" w:cstheme="minorHAnsi"/>
          <w:sz w:val="22"/>
          <w:lang w:val="et-EE" w:eastAsia="et-EE" w:bidi="et-EE"/>
        </w:rPr>
        <w:t xml:space="preserve">PA) (see </w:t>
      </w:r>
      <w:r w:rsidR="001972D1" w:rsidRPr="00184A86">
        <w:rPr>
          <w:rFonts w:asciiTheme="minorHAnsi" w:eastAsiaTheme="minorHAnsi" w:hAnsiTheme="minorHAnsi" w:cstheme="minorHAnsi"/>
          <w:sz w:val="22"/>
          <w:lang w:val="et-EE" w:eastAsia="et-EE" w:bidi="et-EE"/>
        </w:rPr>
        <w:t>section</w:t>
      </w:r>
      <w:r w:rsidR="007D6C65" w:rsidRPr="00184A86">
        <w:rPr>
          <w:rFonts w:asciiTheme="minorHAnsi" w:eastAsiaTheme="minorHAnsi" w:hAnsiTheme="minorHAnsi" w:cstheme="minorHAnsi"/>
          <w:sz w:val="22"/>
          <w:lang w:val="et-EE" w:eastAsia="et-EE" w:bidi="et-EE"/>
        </w:rPr>
        <w:t xml:space="preserve"> </w:t>
      </w:r>
      <w:r w:rsidR="005C75C5" w:rsidRPr="00184A86">
        <w:rPr>
          <w:rFonts w:asciiTheme="minorHAnsi" w:eastAsiaTheme="minorHAnsi" w:hAnsiTheme="minorHAnsi" w:cstheme="minorHAnsi"/>
          <w:sz w:val="22"/>
          <w:lang w:val="et-EE" w:eastAsia="et-EE" w:bidi="et-EE"/>
        </w:rPr>
        <w:t>4.5</w:t>
      </w:r>
      <w:r w:rsidR="009D4C50">
        <w:rPr>
          <w:rFonts w:asciiTheme="minorHAnsi" w:eastAsiaTheme="minorHAnsi" w:hAnsiTheme="minorHAnsi" w:cstheme="minorHAnsi"/>
          <w:sz w:val="22"/>
          <w:lang w:val="et-EE" w:eastAsia="et-EE" w:bidi="et-EE"/>
        </w:rPr>
        <w:t xml:space="preserve"> </w:t>
      </w:r>
      <w:r w:rsidR="009D4C50" w:rsidRPr="00856D4F">
        <w:rPr>
          <w:rFonts w:asciiTheme="minorHAnsi" w:eastAsiaTheme="minorHAnsi" w:hAnsiTheme="minorHAnsi" w:cstheme="minorHAnsi"/>
          <w:sz w:val="22"/>
          <w:lang w:val="et-EE" w:eastAsia="et-EE" w:bidi="et-EE"/>
        </w:rPr>
        <w:t>Interactions with other medicines and other forms of interaction</w:t>
      </w:r>
      <w:r w:rsidRPr="00184A86">
        <w:rPr>
          <w:rFonts w:asciiTheme="minorHAnsi" w:eastAsiaTheme="minorHAnsi" w:hAnsiTheme="minorHAnsi" w:cstheme="minorHAnsi"/>
          <w:sz w:val="22"/>
          <w:lang w:val="et-EE" w:eastAsia="et-EE" w:bidi="et-EE"/>
        </w:rPr>
        <w:t>).</w:t>
      </w:r>
    </w:p>
    <w:p w14:paraId="7857A454" w14:textId="32D764A6" w:rsidR="000632CA" w:rsidRPr="00A361DF" w:rsidRDefault="005C75C5" w:rsidP="00FE3CF5">
      <w:pPr>
        <w:spacing w:before="360" w:line="240" w:lineRule="auto"/>
        <w:ind w:left="567" w:hanging="567"/>
        <w:rPr>
          <w:b/>
        </w:rPr>
      </w:pPr>
      <w:r w:rsidRPr="00A361DF">
        <w:rPr>
          <w:b/>
        </w:rPr>
        <w:t>4.4</w:t>
      </w:r>
      <w:r w:rsidRPr="00A361DF">
        <w:rPr>
          <w:b/>
        </w:rPr>
        <w:tab/>
      </w:r>
      <w:r w:rsidR="000632CA" w:rsidRPr="00A361DF">
        <w:rPr>
          <w:b/>
        </w:rPr>
        <w:t xml:space="preserve">Special </w:t>
      </w:r>
      <w:r w:rsidR="004E56F3" w:rsidRPr="00A361DF">
        <w:rPr>
          <w:b/>
        </w:rPr>
        <w:t xml:space="preserve">warnings </w:t>
      </w:r>
      <w:r w:rsidR="000632CA" w:rsidRPr="00A361DF">
        <w:rPr>
          <w:b/>
        </w:rPr>
        <w:t xml:space="preserve">and </w:t>
      </w:r>
      <w:r w:rsidR="004E56F3" w:rsidRPr="00A361DF">
        <w:rPr>
          <w:b/>
        </w:rPr>
        <w:t xml:space="preserve">precautions </w:t>
      </w:r>
      <w:r w:rsidR="000632CA" w:rsidRPr="00A361DF">
        <w:rPr>
          <w:b/>
        </w:rPr>
        <w:t xml:space="preserve">for </w:t>
      </w:r>
      <w:r w:rsidR="004E56F3" w:rsidRPr="00A361DF">
        <w:rPr>
          <w:b/>
        </w:rPr>
        <w:t>use</w:t>
      </w:r>
    </w:p>
    <w:p w14:paraId="4DBDF974" w14:textId="77777777" w:rsidR="007D5E23" w:rsidRPr="00A361DF" w:rsidRDefault="007D5E23" w:rsidP="003B2C91">
      <w:pPr>
        <w:spacing w:line="240" w:lineRule="auto"/>
        <w:rPr>
          <w:noProof/>
        </w:rPr>
      </w:pPr>
      <w:r w:rsidRPr="00A361DF">
        <w:rPr>
          <w:noProof/>
        </w:rPr>
        <w:t>In order to improve the traceability of biological medicinal products, the name and the batch number of the administered product should be clearly recorded in the patient file.</w:t>
      </w:r>
    </w:p>
    <w:p w14:paraId="578225B8" w14:textId="7D2D125F" w:rsidR="00647DF6" w:rsidRPr="00FF1C59" w:rsidRDefault="00647DF6" w:rsidP="003B2C91">
      <w:pPr>
        <w:spacing w:line="240" w:lineRule="auto"/>
        <w:rPr>
          <w:noProof/>
          <w:u w:val="single"/>
        </w:rPr>
      </w:pPr>
      <w:r w:rsidRPr="00FF1C59">
        <w:rPr>
          <w:noProof/>
          <w:u w:val="single"/>
        </w:rPr>
        <w:t>H</w:t>
      </w:r>
      <w:r w:rsidR="00816D11" w:rsidRPr="00FF1C59">
        <w:rPr>
          <w:noProof/>
          <w:u w:val="single"/>
        </w:rPr>
        <w:t>ae</w:t>
      </w:r>
      <w:r w:rsidRPr="00FF1C59">
        <w:rPr>
          <w:noProof/>
          <w:u w:val="single"/>
        </w:rPr>
        <w:t>morrhage</w:t>
      </w:r>
    </w:p>
    <w:p w14:paraId="04B975AD" w14:textId="4526CD28" w:rsidR="000632CA" w:rsidRPr="00A361DF" w:rsidRDefault="000632CA" w:rsidP="003B2C91">
      <w:pPr>
        <w:spacing w:line="240" w:lineRule="auto"/>
        <w:rPr>
          <w:noProof/>
        </w:rPr>
      </w:pPr>
      <w:r w:rsidRPr="00A361DF">
        <w:rPr>
          <w:noProof/>
        </w:rPr>
        <w:t xml:space="preserve">Use of </w:t>
      </w:r>
      <w:r w:rsidR="005D2A5F" w:rsidRPr="00A361DF">
        <w:rPr>
          <w:noProof/>
        </w:rPr>
        <w:t>medicines</w:t>
      </w:r>
      <w:r w:rsidR="005A1B5C" w:rsidRPr="00A361DF">
        <w:rPr>
          <w:noProof/>
        </w:rPr>
        <w:t xml:space="preserve"> </w:t>
      </w:r>
      <w:r w:rsidRPr="00A361DF">
        <w:rPr>
          <w:noProof/>
        </w:rPr>
        <w:t>that increase the risk of haemorrhage within 24</w:t>
      </w:r>
      <w:r w:rsidR="004A1552" w:rsidRPr="00A361DF">
        <w:rPr>
          <w:noProof/>
        </w:rPr>
        <w:t> </w:t>
      </w:r>
      <w:r w:rsidRPr="00A361DF">
        <w:rPr>
          <w:noProof/>
        </w:rPr>
        <w:t>hours of Defitelio administration</w:t>
      </w:r>
      <w:r w:rsidR="001A6A3A" w:rsidRPr="00A361DF">
        <w:rPr>
          <w:noProof/>
        </w:rPr>
        <w:t xml:space="preserve"> (within 12 hours in the case of unfractionated heparin)</w:t>
      </w:r>
      <w:r w:rsidRPr="00A361DF">
        <w:rPr>
          <w:noProof/>
        </w:rPr>
        <w:t xml:space="preserve"> is not recommended.</w:t>
      </w:r>
    </w:p>
    <w:p w14:paraId="21F306E7" w14:textId="7C2FE810" w:rsidR="000632CA" w:rsidRPr="00A361DF" w:rsidRDefault="000632CA" w:rsidP="003B2C91">
      <w:pPr>
        <w:spacing w:line="240" w:lineRule="auto"/>
        <w:rPr>
          <w:noProof/>
        </w:rPr>
      </w:pPr>
      <w:r w:rsidRPr="00A361DF">
        <w:rPr>
          <w:noProof/>
        </w:rPr>
        <w:t>Concomitant systemic anticoagulant therapy (e.g. heparin, warfarin, direct thrombin</w:t>
      </w:r>
      <w:r w:rsidR="00D4233A" w:rsidRPr="00A361DF">
        <w:rPr>
          <w:noProof/>
        </w:rPr>
        <w:t xml:space="preserve"> inhibitors </w:t>
      </w:r>
      <w:r w:rsidRPr="00A361DF">
        <w:rPr>
          <w:noProof/>
        </w:rPr>
        <w:t xml:space="preserve">and direct factor Xa inhibitors) (see </w:t>
      </w:r>
      <w:r w:rsidR="00280123" w:rsidRPr="00A361DF">
        <w:rPr>
          <w:noProof/>
        </w:rPr>
        <w:t>section</w:t>
      </w:r>
      <w:r w:rsidR="004B60C9" w:rsidRPr="00A361DF">
        <w:rPr>
          <w:noProof/>
        </w:rPr>
        <w:t xml:space="preserve"> </w:t>
      </w:r>
      <w:r w:rsidR="005C75C5" w:rsidRPr="00A361DF">
        <w:rPr>
          <w:noProof/>
        </w:rPr>
        <w:t>4.5</w:t>
      </w:r>
      <w:r w:rsidR="009D4C50">
        <w:rPr>
          <w:noProof/>
        </w:rPr>
        <w:t xml:space="preserve"> </w:t>
      </w:r>
      <w:r w:rsidR="009D4C50" w:rsidRPr="00856D4F">
        <w:rPr>
          <w:noProof/>
        </w:rPr>
        <w:t>Interactions with other medicines and other forms of interaction</w:t>
      </w:r>
      <w:r w:rsidRPr="00A361DF">
        <w:rPr>
          <w:noProof/>
        </w:rPr>
        <w:t>)</w:t>
      </w:r>
      <w:r w:rsidR="002075CF" w:rsidRPr="00A361DF">
        <w:rPr>
          <w:noProof/>
        </w:rPr>
        <w:t>, except for routine maintenance or reopening of central venous line, requires careful monitoring.</w:t>
      </w:r>
      <w:r w:rsidRPr="00A361DF">
        <w:rPr>
          <w:noProof/>
        </w:rPr>
        <w:t xml:space="preserve"> </w:t>
      </w:r>
      <w:r w:rsidR="002075CF" w:rsidRPr="00A361DF">
        <w:rPr>
          <w:noProof/>
        </w:rPr>
        <w:t>C</w:t>
      </w:r>
      <w:r w:rsidRPr="00A361DF">
        <w:rPr>
          <w:noProof/>
        </w:rPr>
        <w:t>onsideration should be given to discontinuation of Defite</w:t>
      </w:r>
      <w:r w:rsidR="00FE3CF5">
        <w:rPr>
          <w:noProof/>
        </w:rPr>
        <w:t>lio during use of such therapy.</w:t>
      </w:r>
    </w:p>
    <w:p w14:paraId="0F39AFBC" w14:textId="7C99611A" w:rsidR="000632CA" w:rsidRPr="00A361DF" w:rsidRDefault="005D2A5F" w:rsidP="003B2C91">
      <w:pPr>
        <w:spacing w:line="240" w:lineRule="auto"/>
        <w:rPr>
          <w:noProof/>
        </w:rPr>
      </w:pPr>
      <w:r w:rsidRPr="00A361DF">
        <w:rPr>
          <w:noProof/>
        </w:rPr>
        <w:t>Medicines</w:t>
      </w:r>
      <w:r w:rsidR="000632CA" w:rsidRPr="00A361DF">
        <w:rPr>
          <w:noProof/>
        </w:rPr>
        <w:t xml:space="preserve"> that affect platelet aggregation (e.g</w:t>
      </w:r>
      <w:r w:rsidR="00C11CD3" w:rsidRPr="00A361DF">
        <w:rPr>
          <w:noProof/>
        </w:rPr>
        <w:t>.</w:t>
      </w:r>
      <w:r w:rsidR="000632CA" w:rsidRPr="00A361DF">
        <w:rPr>
          <w:noProof/>
        </w:rPr>
        <w:t xml:space="preserve"> non–steroidal anti</w:t>
      </w:r>
      <w:r w:rsidR="006204BC" w:rsidRPr="00A361DF">
        <w:rPr>
          <w:noProof/>
        </w:rPr>
        <w:noBreakHyphen/>
      </w:r>
      <w:r w:rsidR="000632CA" w:rsidRPr="00A361DF">
        <w:rPr>
          <w:noProof/>
        </w:rPr>
        <w:t>inflammatory agents) should be administered with care, under close medical supervision</w:t>
      </w:r>
      <w:r w:rsidR="002075CF" w:rsidRPr="00A361DF">
        <w:rPr>
          <w:noProof/>
        </w:rPr>
        <w:t>, during Defitelio administration</w:t>
      </w:r>
      <w:r w:rsidR="000632CA" w:rsidRPr="00A361DF">
        <w:rPr>
          <w:noProof/>
        </w:rPr>
        <w:t>.</w:t>
      </w:r>
    </w:p>
    <w:p w14:paraId="29581C8A" w14:textId="3F5120A9" w:rsidR="000632CA" w:rsidRDefault="00E30EA8" w:rsidP="003B2C91">
      <w:pPr>
        <w:spacing w:line="240" w:lineRule="auto"/>
        <w:rPr>
          <w:noProof/>
        </w:rPr>
      </w:pPr>
      <w:r w:rsidRPr="00A361DF">
        <w:rPr>
          <w:noProof/>
        </w:rPr>
        <w:lastRenderedPageBreak/>
        <w:t>In p</w:t>
      </w:r>
      <w:r w:rsidR="000632CA" w:rsidRPr="00A361DF">
        <w:rPr>
          <w:noProof/>
        </w:rPr>
        <w:t xml:space="preserve">atients who </w:t>
      </w:r>
      <w:r w:rsidRPr="00A361DF">
        <w:rPr>
          <w:noProof/>
        </w:rPr>
        <w:t xml:space="preserve">have or develop </w:t>
      </w:r>
      <w:r w:rsidR="000632CA" w:rsidRPr="00A361DF">
        <w:rPr>
          <w:noProof/>
        </w:rPr>
        <w:t xml:space="preserve">clinically significant acute bleeding </w:t>
      </w:r>
      <w:r w:rsidRPr="00A361DF">
        <w:rPr>
          <w:noProof/>
        </w:rPr>
        <w:t>requiring blood transfusion, Defitelio is not recommended or should be discontinued. Temporary discontinuation of Defitelio is recommended in patients who undergo surgery or invasive procedures at significant risk of major bleeding</w:t>
      </w:r>
      <w:r w:rsidR="000632CA" w:rsidRPr="00A361DF">
        <w:rPr>
          <w:noProof/>
        </w:rPr>
        <w:t>.</w:t>
      </w:r>
    </w:p>
    <w:p w14:paraId="70BF8305" w14:textId="1464BA4C" w:rsidR="002726F9" w:rsidRPr="00FF1C59" w:rsidRDefault="002726F9" w:rsidP="00184A86">
      <w:pPr>
        <w:spacing w:line="240" w:lineRule="auto"/>
        <w:rPr>
          <w:noProof/>
          <w:u w:val="single"/>
        </w:rPr>
      </w:pPr>
      <w:r w:rsidRPr="00FF1C59">
        <w:rPr>
          <w:noProof/>
          <w:u w:val="single"/>
        </w:rPr>
        <w:t xml:space="preserve">Hemodynamic </w:t>
      </w:r>
      <w:r w:rsidR="007121E6" w:rsidRPr="00FF1C59">
        <w:rPr>
          <w:noProof/>
          <w:u w:val="single"/>
        </w:rPr>
        <w:t>In</w:t>
      </w:r>
      <w:r w:rsidRPr="00FF1C59">
        <w:rPr>
          <w:noProof/>
          <w:u w:val="single"/>
        </w:rPr>
        <w:t>stability</w:t>
      </w:r>
    </w:p>
    <w:p w14:paraId="52C37CFD" w14:textId="77777777" w:rsidR="000632CA" w:rsidRPr="00A361DF" w:rsidRDefault="00C66F95" w:rsidP="003B2C91">
      <w:pPr>
        <w:spacing w:line="240" w:lineRule="auto"/>
        <w:rPr>
          <w:noProof/>
        </w:rPr>
      </w:pPr>
      <w:r w:rsidRPr="00A361DF">
        <w:rPr>
          <w:noProof/>
        </w:rPr>
        <w:t>Administration</w:t>
      </w:r>
      <w:r w:rsidR="00E30EA8" w:rsidRPr="00A361DF">
        <w:rPr>
          <w:noProof/>
        </w:rPr>
        <w:t xml:space="preserve"> of </w:t>
      </w:r>
      <w:r w:rsidR="00F153AD" w:rsidRPr="00A361DF">
        <w:rPr>
          <w:noProof/>
        </w:rPr>
        <w:t xml:space="preserve">defibrotide </w:t>
      </w:r>
      <w:r w:rsidR="00E30EA8" w:rsidRPr="00A361DF">
        <w:rPr>
          <w:noProof/>
        </w:rPr>
        <w:t>to p</w:t>
      </w:r>
      <w:r w:rsidR="000632CA" w:rsidRPr="00A361DF">
        <w:rPr>
          <w:noProof/>
        </w:rPr>
        <w:t xml:space="preserve">atients who have haemodynamic instability, defined as inability to maintain mean arterial pressure with single pressor support, </w:t>
      </w:r>
      <w:r w:rsidR="00E30EA8" w:rsidRPr="00A361DF">
        <w:rPr>
          <w:noProof/>
        </w:rPr>
        <w:t>is not recommended</w:t>
      </w:r>
      <w:r w:rsidR="000632CA" w:rsidRPr="00A361DF">
        <w:rPr>
          <w:noProof/>
        </w:rPr>
        <w:t>.</w:t>
      </w:r>
    </w:p>
    <w:p w14:paraId="7BFC6690" w14:textId="5DC5369E" w:rsidR="006766EE" w:rsidRPr="00FF1C59" w:rsidRDefault="00FE3CF5" w:rsidP="00184A86">
      <w:pPr>
        <w:spacing w:line="240" w:lineRule="auto"/>
        <w:rPr>
          <w:noProof/>
          <w:u w:val="single"/>
        </w:rPr>
      </w:pPr>
      <w:bookmarkStart w:id="2" w:name="_Ref316550103"/>
      <w:r>
        <w:rPr>
          <w:noProof/>
          <w:u w:val="single"/>
        </w:rPr>
        <w:t>Bolus administration</w:t>
      </w:r>
    </w:p>
    <w:p w14:paraId="57F3A627" w14:textId="0B5B3D39" w:rsidR="00076CAA" w:rsidRPr="00A361DF" w:rsidRDefault="005A1B5C" w:rsidP="003B2C91">
      <w:pPr>
        <w:spacing w:line="240" w:lineRule="auto"/>
        <w:rPr>
          <w:noProof/>
        </w:rPr>
      </w:pPr>
      <w:r w:rsidRPr="00A361DF">
        <w:rPr>
          <w:noProof/>
        </w:rPr>
        <w:t>A bolus</w:t>
      </w:r>
      <w:r w:rsidR="00076CAA" w:rsidRPr="00A361DF">
        <w:rPr>
          <w:noProof/>
        </w:rPr>
        <w:t xml:space="preserve"> administration of Defitelio may cause flushing or a sensation of “generalised heat”.</w:t>
      </w:r>
      <w:r w:rsidR="00FE3CF5">
        <w:rPr>
          <w:noProof/>
        </w:rPr>
        <w:t xml:space="preserve"> </w:t>
      </w:r>
      <w:r w:rsidR="001B5C10" w:rsidRPr="00A361DF">
        <w:rPr>
          <w:noProof/>
        </w:rPr>
        <w:t>Bolus administration o</w:t>
      </w:r>
      <w:r w:rsidR="00FE3CF5">
        <w:rPr>
          <w:noProof/>
        </w:rPr>
        <w:t>f Defitelio is not recommended.</w:t>
      </w:r>
    </w:p>
    <w:p w14:paraId="03ABA10C" w14:textId="6CDF17DB" w:rsidR="00D26374" w:rsidRPr="00A361DF" w:rsidRDefault="00D26374" w:rsidP="003B2C91">
      <w:pPr>
        <w:spacing w:line="240" w:lineRule="auto"/>
        <w:rPr>
          <w:noProof/>
        </w:rPr>
      </w:pPr>
      <w:r w:rsidRPr="00A361DF">
        <w:rPr>
          <w:noProof/>
        </w:rPr>
        <w:t>This medicinal product contains less than 1 mmol sodium (23 mg) per dose, i.e. essentially “sodium</w:t>
      </w:r>
      <w:r w:rsidR="007D5E23" w:rsidRPr="00A361DF">
        <w:rPr>
          <w:noProof/>
        </w:rPr>
        <w:noBreakHyphen/>
      </w:r>
      <w:r w:rsidRPr="00A361DF">
        <w:rPr>
          <w:noProof/>
        </w:rPr>
        <w:t>free”.</w:t>
      </w:r>
    </w:p>
    <w:p w14:paraId="4AFFBF63" w14:textId="522FF52F" w:rsidR="009B7035" w:rsidRPr="002662A4" w:rsidRDefault="00FE3CF5" w:rsidP="003B2C91">
      <w:pPr>
        <w:spacing w:line="240" w:lineRule="auto"/>
        <w:rPr>
          <w:noProof/>
          <w:u w:val="single"/>
        </w:rPr>
      </w:pPr>
      <w:r>
        <w:rPr>
          <w:noProof/>
          <w:u w:val="single"/>
        </w:rPr>
        <w:t>Use in the elderly</w:t>
      </w:r>
    </w:p>
    <w:p w14:paraId="78596C76" w14:textId="232F2007" w:rsidR="002726F9" w:rsidRPr="00A361DF" w:rsidRDefault="002726F9" w:rsidP="002726F9">
      <w:pPr>
        <w:pStyle w:val="CommentText"/>
        <w:rPr>
          <w:noProof/>
          <w:sz w:val="22"/>
        </w:rPr>
      </w:pPr>
      <w:r w:rsidRPr="00A361DF">
        <w:rPr>
          <w:noProof/>
          <w:sz w:val="22"/>
        </w:rPr>
        <w:t>Clinical studies of Defitelio did not include sufficient numbers of subjects aged 65 and over to determine whether they respond differently from younger subjects. Other reported clinical experience has not identified differences in responses between the elderly and younger patients.</w:t>
      </w:r>
    </w:p>
    <w:p w14:paraId="6469C285" w14:textId="1C9A1248" w:rsidR="009B7035" w:rsidRPr="002662A4" w:rsidRDefault="009B7035" w:rsidP="003B2C91">
      <w:pPr>
        <w:spacing w:line="240" w:lineRule="auto"/>
        <w:rPr>
          <w:noProof/>
          <w:u w:val="single"/>
        </w:rPr>
      </w:pPr>
      <w:r w:rsidRPr="002662A4">
        <w:rPr>
          <w:noProof/>
          <w:u w:val="single"/>
        </w:rPr>
        <w:t>Paediatric use</w:t>
      </w:r>
    </w:p>
    <w:p w14:paraId="5DBC1C9C" w14:textId="4482966F" w:rsidR="009B7035" w:rsidRPr="00A361DF" w:rsidRDefault="009B7035" w:rsidP="003B2C91">
      <w:pPr>
        <w:spacing w:line="240" w:lineRule="auto"/>
        <w:rPr>
          <w:noProof/>
        </w:rPr>
      </w:pPr>
      <w:r w:rsidRPr="00A361DF">
        <w:rPr>
          <w:noProof/>
        </w:rPr>
        <w:t xml:space="preserve">Defitelio is indicated for the use in </w:t>
      </w:r>
      <w:r w:rsidR="004334BE" w:rsidRPr="00A361DF">
        <w:rPr>
          <w:noProof/>
        </w:rPr>
        <w:t xml:space="preserve">adolescents, </w:t>
      </w:r>
      <w:r w:rsidRPr="00A361DF">
        <w:rPr>
          <w:noProof/>
        </w:rPr>
        <w:t xml:space="preserve">children and infants </w:t>
      </w:r>
      <w:r w:rsidR="008347CB" w:rsidRPr="00A361DF">
        <w:rPr>
          <w:noProof/>
        </w:rPr>
        <w:t>of</w:t>
      </w:r>
      <w:r w:rsidRPr="00A361DF">
        <w:rPr>
          <w:noProof/>
        </w:rPr>
        <w:t xml:space="preserve"> 1 month of age</w:t>
      </w:r>
      <w:r w:rsidR="008347CB" w:rsidRPr="00A361DF">
        <w:rPr>
          <w:noProof/>
        </w:rPr>
        <w:t xml:space="preserve"> and above</w:t>
      </w:r>
      <w:r w:rsidR="009D4C50">
        <w:rPr>
          <w:noProof/>
        </w:rPr>
        <w:t xml:space="preserve"> </w:t>
      </w:r>
      <w:r w:rsidR="009D4C50" w:rsidRPr="00856D4F">
        <w:t>(see section 4.8 Adverse effects (undesirable effects) – Paediatric population)</w:t>
      </w:r>
      <w:r w:rsidRPr="00856D4F">
        <w:rPr>
          <w:noProof/>
        </w:rPr>
        <w:t xml:space="preserve">. </w:t>
      </w:r>
      <w:r w:rsidR="0075534E" w:rsidRPr="00856D4F">
        <w:rPr>
          <w:noProof/>
        </w:rPr>
        <w:t xml:space="preserve">The use of Defitelio in </w:t>
      </w:r>
      <w:r w:rsidR="0075534E" w:rsidRPr="00A361DF">
        <w:rPr>
          <w:noProof/>
        </w:rPr>
        <w:t>children aged less tha</w:t>
      </w:r>
      <w:r w:rsidR="00FE3CF5">
        <w:rPr>
          <w:noProof/>
        </w:rPr>
        <w:t>n one month is not recommended.</w:t>
      </w:r>
    </w:p>
    <w:p w14:paraId="03144747" w14:textId="30A640F6" w:rsidR="009B7035" w:rsidRPr="002662A4" w:rsidRDefault="00FE3CF5" w:rsidP="003B2C91">
      <w:pPr>
        <w:spacing w:line="240" w:lineRule="auto"/>
        <w:rPr>
          <w:noProof/>
          <w:u w:val="single"/>
        </w:rPr>
      </w:pPr>
      <w:r>
        <w:rPr>
          <w:noProof/>
          <w:u w:val="single"/>
        </w:rPr>
        <w:t>Effects on laboratory tests</w:t>
      </w:r>
    </w:p>
    <w:p w14:paraId="20A17836" w14:textId="67F96353" w:rsidR="009B7035" w:rsidRPr="00A361DF" w:rsidRDefault="00392B8B" w:rsidP="003B2C91">
      <w:pPr>
        <w:spacing w:line="240" w:lineRule="auto"/>
        <w:rPr>
          <w:noProof/>
        </w:rPr>
      </w:pPr>
      <w:r w:rsidRPr="00A361DF">
        <w:rPr>
          <w:noProof/>
        </w:rPr>
        <w:t xml:space="preserve">There were no safety concerns for </w:t>
      </w:r>
      <w:r w:rsidR="002662A4">
        <w:rPr>
          <w:noProof/>
        </w:rPr>
        <w:t>Defitelio</w:t>
      </w:r>
      <w:r w:rsidR="002662A4" w:rsidRPr="00A361DF">
        <w:rPr>
          <w:noProof/>
        </w:rPr>
        <w:t xml:space="preserve"> </w:t>
      </w:r>
      <w:r w:rsidRPr="00A361DF">
        <w:rPr>
          <w:noProof/>
        </w:rPr>
        <w:t>revealed from clinical laboratory results. Changes in laboratory values were generally consistent with underlying disease and ve</w:t>
      </w:r>
      <w:r w:rsidR="00FE3CF5">
        <w:rPr>
          <w:noProof/>
        </w:rPr>
        <w:t>no-occlusive disease diagnosis.</w:t>
      </w:r>
    </w:p>
    <w:p w14:paraId="4AA1E9AB" w14:textId="6966E7B5" w:rsidR="000632CA" w:rsidRPr="00A361DF" w:rsidRDefault="005C75C5" w:rsidP="00FE3CF5">
      <w:pPr>
        <w:spacing w:before="360" w:line="240" w:lineRule="auto"/>
        <w:ind w:left="567" w:hanging="567"/>
        <w:rPr>
          <w:b/>
        </w:rPr>
      </w:pPr>
      <w:r w:rsidRPr="00A361DF">
        <w:rPr>
          <w:b/>
        </w:rPr>
        <w:t>4.5</w:t>
      </w:r>
      <w:r w:rsidRPr="00A361DF">
        <w:rPr>
          <w:b/>
        </w:rPr>
        <w:tab/>
      </w:r>
      <w:r w:rsidR="000632CA" w:rsidRPr="00A361DF">
        <w:rPr>
          <w:b/>
        </w:rPr>
        <w:t xml:space="preserve">Interaction with other </w:t>
      </w:r>
      <w:r w:rsidR="004E56F3" w:rsidRPr="00A361DF">
        <w:rPr>
          <w:b/>
        </w:rPr>
        <w:t>medicin</w:t>
      </w:r>
      <w:r w:rsidR="005D2A5F" w:rsidRPr="00A361DF">
        <w:rPr>
          <w:b/>
        </w:rPr>
        <w:t xml:space="preserve">es </w:t>
      </w:r>
      <w:r w:rsidR="000632CA" w:rsidRPr="00A361DF">
        <w:rPr>
          <w:b/>
        </w:rPr>
        <w:t xml:space="preserve">and </w:t>
      </w:r>
      <w:r w:rsidR="004E56F3" w:rsidRPr="00A361DF">
        <w:rPr>
          <w:b/>
        </w:rPr>
        <w:t xml:space="preserve">other forms </w:t>
      </w:r>
      <w:r w:rsidR="000632CA" w:rsidRPr="00A361DF">
        <w:rPr>
          <w:b/>
        </w:rPr>
        <w:t xml:space="preserve">of </w:t>
      </w:r>
      <w:bookmarkEnd w:id="2"/>
      <w:r w:rsidR="004E56F3" w:rsidRPr="00A361DF">
        <w:rPr>
          <w:b/>
        </w:rPr>
        <w:t>interaction</w:t>
      </w:r>
    </w:p>
    <w:p w14:paraId="2618C29F" w14:textId="77777777" w:rsidR="00DF31FB" w:rsidRPr="00A361DF" w:rsidRDefault="006228C0" w:rsidP="003B2C91">
      <w:pPr>
        <w:spacing w:line="240" w:lineRule="auto"/>
        <w:ind w:left="567" w:hanging="567"/>
        <w:rPr>
          <w:i/>
        </w:rPr>
      </w:pPr>
      <w:r w:rsidRPr="00A361DF">
        <w:rPr>
          <w:i/>
        </w:rPr>
        <w:t xml:space="preserve">Potential </w:t>
      </w:r>
      <w:r w:rsidR="00DE0D2B" w:rsidRPr="00A361DF">
        <w:rPr>
          <w:i/>
        </w:rPr>
        <w:t>i</w:t>
      </w:r>
      <w:r w:rsidRPr="00A361DF">
        <w:rPr>
          <w:i/>
        </w:rPr>
        <w:t>nteractions with recombinant t</w:t>
      </w:r>
      <w:r w:rsidR="006204BC" w:rsidRPr="00A361DF">
        <w:rPr>
          <w:i/>
        </w:rPr>
        <w:noBreakHyphen/>
      </w:r>
      <w:r w:rsidRPr="00A361DF">
        <w:rPr>
          <w:i/>
        </w:rPr>
        <w:t>PA</w:t>
      </w:r>
    </w:p>
    <w:p w14:paraId="5399211D" w14:textId="72D4E8FC" w:rsidR="00C66F95" w:rsidRPr="00A361DF" w:rsidRDefault="00FA2D31" w:rsidP="003B2C91">
      <w:pPr>
        <w:spacing w:line="240" w:lineRule="auto"/>
        <w:rPr>
          <w:noProof/>
        </w:rPr>
      </w:pPr>
      <w:r w:rsidRPr="00A361DF">
        <w:rPr>
          <w:noProof/>
        </w:rPr>
        <w:t>In a mouse model of thromboembolism, recombinant t</w:t>
      </w:r>
      <w:r w:rsidR="006204BC" w:rsidRPr="00A361DF">
        <w:rPr>
          <w:noProof/>
        </w:rPr>
        <w:noBreakHyphen/>
      </w:r>
      <w:r w:rsidRPr="00A361DF">
        <w:rPr>
          <w:noProof/>
        </w:rPr>
        <w:t>PA potentiated the antithrombotic effect of defibrotide when given intravenously and thus co</w:t>
      </w:r>
      <w:r w:rsidR="006204BC" w:rsidRPr="00A361DF">
        <w:rPr>
          <w:noProof/>
        </w:rPr>
        <w:noBreakHyphen/>
      </w:r>
      <w:r w:rsidRPr="00A361DF">
        <w:rPr>
          <w:noProof/>
        </w:rPr>
        <w:t xml:space="preserve">administration may present an increased risk of haemorrhage and is </w:t>
      </w:r>
      <w:r w:rsidR="00C66F95" w:rsidRPr="00A361DF">
        <w:rPr>
          <w:noProof/>
        </w:rPr>
        <w:t>contraindicated</w:t>
      </w:r>
      <w:r w:rsidRPr="00A361DF">
        <w:rPr>
          <w:noProof/>
        </w:rPr>
        <w:t xml:space="preserve"> (see section 4.3</w:t>
      </w:r>
      <w:r w:rsidR="009D4C50">
        <w:rPr>
          <w:noProof/>
        </w:rPr>
        <w:t xml:space="preserve"> </w:t>
      </w:r>
      <w:r w:rsidR="009D4C50" w:rsidRPr="00856D4F">
        <w:rPr>
          <w:noProof/>
        </w:rPr>
        <w:t>Contraindications</w:t>
      </w:r>
      <w:r w:rsidR="00FE3CF5">
        <w:rPr>
          <w:noProof/>
        </w:rPr>
        <w:t>).</w:t>
      </w:r>
    </w:p>
    <w:p w14:paraId="4EEDD592" w14:textId="1BC4FA0E" w:rsidR="006228C0" w:rsidRPr="00A361DF" w:rsidRDefault="006228C0" w:rsidP="003B2C91">
      <w:pPr>
        <w:spacing w:line="240" w:lineRule="auto"/>
        <w:ind w:left="567" w:hanging="567"/>
        <w:rPr>
          <w:i/>
        </w:rPr>
      </w:pPr>
      <w:r w:rsidRPr="00A361DF">
        <w:rPr>
          <w:i/>
        </w:rPr>
        <w:t xml:space="preserve">Potential </w:t>
      </w:r>
      <w:r w:rsidR="00DE0D2B" w:rsidRPr="00A361DF">
        <w:rPr>
          <w:i/>
        </w:rPr>
        <w:t>i</w:t>
      </w:r>
      <w:r w:rsidRPr="00A361DF">
        <w:rPr>
          <w:i/>
        </w:rPr>
        <w:t>nteractions with antithrombotic fibrinolytic agents</w:t>
      </w:r>
    </w:p>
    <w:p w14:paraId="18B8B4AA" w14:textId="36F36978" w:rsidR="004B60C9" w:rsidRPr="00A361DF" w:rsidRDefault="00FA2D31" w:rsidP="003B2C91">
      <w:pPr>
        <w:spacing w:line="240" w:lineRule="auto"/>
        <w:rPr>
          <w:noProof/>
        </w:rPr>
      </w:pPr>
      <w:r w:rsidRPr="00A361DF">
        <w:rPr>
          <w:noProof/>
        </w:rPr>
        <w:t>Defibrotide has a profibrinolytic effect (see section 5.1</w:t>
      </w:r>
      <w:r w:rsidR="007C573B">
        <w:rPr>
          <w:noProof/>
        </w:rPr>
        <w:t xml:space="preserve"> </w:t>
      </w:r>
      <w:r w:rsidR="007C573B" w:rsidRPr="007C573B">
        <w:rPr>
          <w:noProof/>
        </w:rPr>
        <w:t>Pharmacodynamic properties – Mechanism of action</w:t>
      </w:r>
      <w:r w:rsidRPr="00A361DF">
        <w:rPr>
          <w:noProof/>
        </w:rPr>
        <w:t>) and this may potentially enhance the activity of antithrombotic/fibrinolytic medicinal products.</w:t>
      </w:r>
    </w:p>
    <w:p w14:paraId="33D0A4E0" w14:textId="72983E66" w:rsidR="00FA2D31" w:rsidRPr="00A361DF" w:rsidRDefault="00F82891" w:rsidP="003B2C91">
      <w:pPr>
        <w:spacing w:line="240" w:lineRule="auto"/>
        <w:rPr>
          <w:noProof/>
        </w:rPr>
      </w:pPr>
      <w:r w:rsidRPr="00A361DF">
        <w:rPr>
          <w:noProof/>
        </w:rPr>
        <w:t>T</w:t>
      </w:r>
      <w:r w:rsidR="00FA2D31" w:rsidRPr="00A361DF">
        <w:rPr>
          <w:noProof/>
        </w:rPr>
        <w:t xml:space="preserve">here is </w:t>
      </w:r>
      <w:r w:rsidRPr="00A361DF">
        <w:rPr>
          <w:noProof/>
        </w:rPr>
        <w:t xml:space="preserve">currently </w:t>
      </w:r>
      <w:r w:rsidR="00FA2D31" w:rsidRPr="00A361DF">
        <w:rPr>
          <w:noProof/>
        </w:rPr>
        <w:t xml:space="preserve">no reported experience in patients on the concomitant treatment with Low Molecular Weight Heparins (LMWHs), warfarin or the concomitant treatment with direct thrombin inhibitors </w:t>
      </w:r>
      <w:r w:rsidR="001A6A3A" w:rsidRPr="00A361DF">
        <w:rPr>
          <w:noProof/>
        </w:rPr>
        <w:t>(</w:t>
      </w:r>
      <w:r w:rsidR="00FA2D31" w:rsidRPr="00A361DF">
        <w:rPr>
          <w:noProof/>
        </w:rPr>
        <w:t>e.g.</w:t>
      </w:r>
      <w:r w:rsidR="001A6A3A" w:rsidRPr="00A361DF">
        <w:rPr>
          <w:noProof/>
        </w:rPr>
        <w:t>,</w:t>
      </w:r>
      <w:r w:rsidR="00FA2D31" w:rsidRPr="00A361DF">
        <w:rPr>
          <w:noProof/>
        </w:rPr>
        <w:t xml:space="preserve"> dabigatran</w:t>
      </w:r>
      <w:r w:rsidR="002662A4">
        <w:rPr>
          <w:noProof/>
        </w:rPr>
        <w:t xml:space="preserve"> etexilate</w:t>
      </w:r>
      <w:r w:rsidR="001A6A3A" w:rsidRPr="00A361DF">
        <w:rPr>
          <w:noProof/>
        </w:rPr>
        <w:t>)</w:t>
      </w:r>
      <w:r w:rsidR="00FA2D31" w:rsidRPr="00A361DF">
        <w:rPr>
          <w:noProof/>
        </w:rPr>
        <w:t xml:space="preserve"> or direct Factor Xa inhibitors </w:t>
      </w:r>
      <w:r w:rsidR="001A6A3A" w:rsidRPr="00A361DF">
        <w:rPr>
          <w:noProof/>
        </w:rPr>
        <w:t>(</w:t>
      </w:r>
      <w:r w:rsidR="00FA2D31" w:rsidRPr="00A361DF">
        <w:rPr>
          <w:noProof/>
        </w:rPr>
        <w:t>e.g.</w:t>
      </w:r>
      <w:r w:rsidR="001A6A3A" w:rsidRPr="00A361DF">
        <w:rPr>
          <w:noProof/>
        </w:rPr>
        <w:t>,</w:t>
      </w:r>
      <w:r w:rsidR="00FA2D31" w:rsidRPr="00A361DF">
        <w:rPr>
          <w:noProof/>
        </w:rPr>
        <w:t xml:space="preserve"> rivaroxaban </w:t>
      </w:r>
      <w:r w:rsidR="00FA2D31" w:rsidRPr="00A361DF">
        <w:rPr>
          <w:noProof/>
        </w:rPr>
        <w:lastRenderedPageBreak/>
        <w:t>and apixaban</w:t>
      </w:r>
      <w:r w:rsidR="001A6A3A" w:rsidRPr="00A361DF">
        <w:rPr>
          <w:noProof/>
        </w:rPr>
        <w:t>)</w:t>
      </w:r>
      <w:r w:rsidR="00FA2D31" w:rsidRPr="00A361DF">
        <w:rPr>
          <w:noProof/>
        </w:rPr>
        <w:t>. Therefore, the use of defibrotide with antithrombotic/fibrinolytic medicin</w:t>
      </w:r>
      <w:r w:rsidR="00FE3CF5">
        <w:rPr>
          <w:noProof/>
        </w:rPr>
        <w:t>al products is not recommended.</w:t>
      </w:r>
    </w:p>
    <w:p w14:paraId="728DA017" w14:textId="665A728D" w:rsidR="006228C0" w:rsidRPr="00A361DF" w:rsidRDefault="00FA2D31" w:rsidP="003B2C91">
      <w:pPr>
        <w:spacing w:line="240" w:lineRule="auto"/>
        <w:rPr>
          <w:noProof/>
        </w:rPr>
      </w:pPr>
      <w:r w:rsidRPr="00A361DF">
        <w:rPr>
          <w:noProof/>
        </w:rPr>
        <w:t xml:space="preserve">However, if used, in exceptional </w:t>
      </w:r>
      <w:r w:rsidR="00F82891" w:rsidRPr="00A361DF">
        <w:rPr>
          <w:noProof/>
        </w:rPr>
        <w:t>cases</w:t>
      </w:r>
      <w:r w:rsidRPr="00A361DF">
        <w:rPr>
          <w:noProof/>
        </w:rPr>
        <w:t>, caution should be exercised by closely monitoring the coagulation parameters (see section 4.4</w:t>
      </w:r>
      <w:r w:rsidR="009D4C50">
        <w:rPr>
          <w:noProof/>
        </w:rPr>
        <w:t xml:space="preserve"> </w:t>
      </w:r>
      <w:r w:rsidR="009D4C50" w:rsidRPr="00856D4F">
        <w:rPr>
          <w:noProof/>
        </w:rPr>
        <w:t>Special warnings and precautions for use – Haemorrhage</w:t>
      </w:r>
      <w:r w:rsidRPr="00A361DF">
        <w:rPr>
          <w:noProof/>
        </w:rPr>
        <w:t>)</w:t>
      </w:r>
      <w:r w:rsidR="00E05226" w:rsidRPr="00A361DF">
        <w:rPr>
          <w:noProof/>
        </w:rPr>
        <w:t>.</w:t>
      </w:r>
    </w:p>
    <w:p w14:paraId="3E4391E2" w14:textId="77777777" w:rsidR="006228C0" w:rsidRPr="00856D4F" w:rsidRDefault="006228C0" w:rsidP="00856D4F">
      <w:pPr>
        <w:spacing w:line="240" w:lineRule="auto"/>
        <w:rPr>
          <w:noProof/>
        </w:rPr>
      </w:pPr>
      <w:r w:rsidRPr="00A361DF">
        <w:rPr>
          <w:i/>
        </w:rPr>
        <w:t xml:space="preserve">Potential </w:t>
      </w:r>
      <w:r w:rsidR="00DE0D2B" w:rsidRPr="00A361DF">
        <w:rPr>
          <w:i/>
        </w:rPr>
        <w:t>i</w:t>
      </w:r>
      <w:r w:rsidRPr="00A361DF">
        <w:rPr>
          <w:i/>
        </w:rPr>
        <w:t>nteractions with other medicinal products</w:t>
      </w:r>
    </w:p>
    <w:p w14:paraId="16B9D25A" w14:textId="68D3B18B" w:rsidR="00297151" w:rsidRPr="00A361DF" w:rsidRDefault="0069677F" w:rsidP="003B2C91">
      <w:pPr>
        <w:spacing w:line="240" w:lineRule="auto"/>
        <w:rPr>
          <w:noProof/>
        </w:rPr>
      </w:pPr>
      <w:r w:rsidRPr="00A361DF">
        <w:rPr>
          <w:noProof/>
        </w:rPr>
        <w:t>Defibrotide</w:t>
      </w:r>
      <w:r w:rsidR="00524C87" w:rsidRPr="00A361DF">
        <w:rPr>
          <w:noProof/>
        </w:rPr>
        <w:t xml:space="preserve"> </w:t>
      </w:r>
      <w:r w:rsidR="006228C0" w:rsidRPr="00A361DF">
        <w:rPr>
          <w:noProof/>
        </w:rPr>
        <w:t>does not inhibit or induce</w:t>
      </w:r>
      <w:r w:rsidR="00524C87" w:rsidRPr="00A361DF">
        <w:rPr>
          <w:noProof/>
        </w:rPr>
        <w:t xml:space="preserve"> CYP450s</w:t>
      </w:r>
      <w:r w:rsidR="00A93496" w:rsidRPr="00A361DF">
        <w:rPr>
          <w:noProof/>
        </w:rPr>
        <w:t xml:space="preserve"> (see </w:t>
      </w:r>
      <w:r w:rsidR="00C306B1" w:rsidRPr="00A361DF">
        <w:rPr>
          <w:noProof/>
        </w:rPr>
        <w:t>s</w:t>
      </w:r>
      <w:r w:rsidR="00A93496" w:rsidRPr="00A361DF">
        <w:rPr>
          <w:noProof/>
        </w:rPr>
        <w:t>ection 5.2</w:t>
      </w:r>
      <w:r w:rsidR="009D4C50">
        <w:rPr>
          <w:noProof/>
        </w:rPr>
        <w:t xml:space="preserve"> </w:t>
      </w:r>
      <w:r w:rsidR="009D4C50" w:rsidRPr="00856D4F">
        <w:rPr>
          <w:noProof/>
        </w:rPr>
        <w:t>Pharmacokinetic properties – Metabolism</w:t>
      </w:r>
      <w:r w:rsidR="00A93496" w:rsidRPr="00A361DF">
        <w:rPr>
          <w:noProof/>
        </w:rPr>
        <w:t>)</w:t>
      </w:r>
      <w:r w:rsidR="00524C87" w:rsidRPr="00A361DF">
        <w:rPr>
          <w:noProof/>
        </w:rPr>
        <w:t>.</w:t>
      </w:r>
    </w:p>
    <w:p w14:paraId="71C78C87" w14:textId="77777777" w:rsidR="000632CA" w:rsidRPr="00A361DF" w:rsidRDefault="005C75C5" w:rsidP="00FE3CF5">
      <w:pPr>
        <w:spacing w:before="360" w:line="240" w:lineRule="auto"/>
        <w:ind w:left="567" w:hanging="567"/>
        <w:rPr>
          <w:b/>
        </w:rPr>
      </w:pPr>
      <w:bookmarkStart w:id="3" w:name="_Ref316550110"/>
      <w:r w:rsidRPr="00A361DF">
        <w:rPr>
          <w:b/>
        </w:rPr>
        <w:t>4.6</w:t>
      </w:r>
      <w:r w:rsidRPr="00A361DF">
        <w:rPr>
          <w:b/>
        </w:rPr>
        <w:tab/>
      </w:r>
      <w:r w:rsidR="000632CA" w:rsidRPr="00A361DF">
        <w:rPr>
          <w:b/>
        </w:rPr>
        <w:t xml:space="preserve">Fertility, </w:t>
      </w:r>
      <w:r w:rsidR="004E56F3" w:rsidRPr="00A361DF">
        <w:rPr>
          <w:b/>
        </w:rPr>
        <w:t xml:space="preserve">pregnancy </w:t>
      </w:r>
      <w:r w:rsidR="000632CA" w:rsidRPr="00A361DF">
        <w:rPr>
          <w:b/>
        </w:rPr>
        <w:t xml:space="preserve">and </w:t>
      </w:r>
      <w:bookmarkEnd w:id="3"/>
      <w:r w:rsidR="004E56F3" w:rsidRPr="00A361DF">
        <w:rPr>
          <w:b/>
        </w:rPr>
        <w:t>lactation</w:t>
      </w:r>
    </w:p>
    <w:p w14:paraId="7CDD4CB4" w14:textId="77777777" w:rsidR="00386585" w:rsidRPr="00184A86" w:rsidRDefault="00386585" w:rsidP="00184A86">
      <w:pPr>
        <w:pStyle w:val="C-BodyText"/>
        <w:spacing w:before="0" w:after="160" w:line="240" w:lineRule="auto"/>
        <w:rPr>
          <w:rFonts w:asciiTheme="minorHAnsi" w:hAnsiTheme="minorHAnsi" w:cstheme="minorHAnsi"/>
          <w:sz w:val="22"/>
          <w:szCs w:val="22"/>
          <w:u w:val="single"/>
        </w:rPr>
      </w:pPr>
      <w:r w:rsidRPr="00184A86">
        <w:rPr>
          <w:rFonts w:asciiTheme="minorHAnsi" w:hAnsiTheme="minorHAnsi" w:cstheme="minorHAnsi"/>
          <w:sz w:val="22"/>
          <w:szCs w:val="22"/>
          <w:u w:val="single"/>
        </w:rPr>
        <w:t>Contraception in males and females</w:t>
      </w:r>
    </w:p>
    <w:p w14:paraId="1202235E" w14:textId="28FB0A1C" w:rsidR="00A361DF" w:rsidRDefault="00386585" w:rsidP="00184A86">
      <w:pPr>
        <w:spacing w:line="240" w:lineRule="auto"/>
        <w:rPr>
          <w:noProof/>
        </w:rPr>
      </w:pPr>
      <w:r w:rsidRPr="00A361DF">
        <w:rPr>
          <w:noProof/>
        </w:rPr>
        <w:t>Effective contraception is required for patients and partners of patients during exposure to Defitelio and for one week</w:t>
      </w:r>
      <w:r w:rsidR="00FE3CF5">
        <w:rPr>
          <w:noProof/>
        </w:rPr>
        <w:t xml:space="preserve"> subsequent to discontinuation.</w:t>
      </w:r>
    </w:p>
    <w:p w14:paraId="1277478A" w14:textId="77777777" w:rsidR="005D2A5F" w:rsidRPr="00184A86" w:rsidRDefault="005D2A5F" w:rsidP="00184A86">
      <w:pPr>
        <w:pStyle w:val="C-BodyText"/>
        <w:spacing w:before="0" w:after="160" w:line="240" w:lineRule="auto"/>
        <w:rPr>
          <w:rFonts w:asciiTheme="minorHAnsi" w:hAnsiTheme="minorHAnsi" w:cstheme="minorHAnsi"/>
          <w:sz w:val="22"/>
          <w:szCs w:val="22"/>
          <w:u w:val="single"/>
        </w:rPr>
      </w:pPr>
      <w:r w:rsidRPr="00184A86">
        <w:rPr>
          <w:rFonts w:asciiTheme="minorHAnsi" w:hAnsiTheme="minorHAnsi" w:cstheme="minorHAnsi"/>
          <w:sz w:val="22"/>
          <w:szCs w:val="22"/>
          <w:u w:val="single"/>
        </w:rPr>
        <w:t>Effects on fertility</w:t>
      </w:r>
    </w:p>
    <w:p w14:paraId="721E1574" w14:textId="4367C9E5" w:rsidR="005D2A5F" w:rsidRPr="00A361DF" w:rsidRDefault="005D2A5F" w:rsidP="005D2A5F">
      <w:pPr>
        <w:spacing w:line="240" w:lineRule="auto"/>
        <w:rPr>
          <w:noProof/>
        </w:rPr>
      </w:pPr>
      <w:r w:rsidRPr="00A361DF">
        <w:rPr>
          <w:noProof/>
        </w:rPr>
        <w:t xml:space="preserve">There are no studies investigating the effects of </w:t>
      </w:r>
      <w:r w:rsidR="00FE3CF5">
        <w:rPr>
          <w:noProof/>
        </w:rPr>
        <w:t>defibrotide on human fertility.</w:t>
      </w:r>
    </w:p>
    <w:p w14:paraId="0729FF60" w14:textId="36C6FB00" w:rsidR="005D2A5F" w:rsidRPr="003B5A30" w:rsidRDefault="003B5A30" w:rsidP="00FE3CF5">
      <w:pPr>
        <w:spacing w:line="240" w:lineRule="auto"/>
        <w:rPr>
          <w:u w:val="single"/>
        </w:rPr>
      </w:pPr>
      <w:r>
        <w:rPr>
          <w:noProof/>
        </w:rPr>
        <w:t>Animal studies of fertility were not conducted with defibrotide administered by the intravenous route. In repeat dose general toxicology studies, when defibrotide was administered intravenously to rats and dogs for up to 13 weeks, there were no effects on male or female reproductive organs.</w:t>
      </w:r>
    </w:p>
    <w:p w14:paraId="5C62F881" w14:textId="2BD3E93D" w:rsidR="000632CA" w:rsidRPr="00184A86" w:rsidRDefault="005D2A5F" w:rsidP="00184A86">
      <w:pPr>
        <w:pStyle w:val="C-BodyText"/>
        <w:spacing w:before="0" w:after="160" w:line="240" w:lineRule="auto"/>
        <w:rPr>
          <w:rFonts w:asciiTheme="minorHAnsi" w:hAnsiTheme="minorHAnsi" w:cstheme="minorHAnsi"/>
          <w:sz w:val="22"/>
          <w:szCs w:val="22"/>
          <w:u w:val="single"/>
        </w:rPr>
      </w:pPr>
      <w:r w:rsidRPr="00184A86">
        <w:rPr>
          <w:rFonts w:asciiTheme="minorHAnsi" w:hAnsiTheme="minorHAnsi" w:cstheme="minorHAnsi"/>
          <w:sz w:val="22"/>
          <w:szCs w:val="22"/>
          <w:u w:val="single"/>
        </w:rPr>
        <w:t>Use in p</w:t>
      </w:r>
      <w:r w:rsidR="000632CA" w:rsidRPr="00184A86">
        <w:rPr>
          <w:rFonts w:asciiTheme="minorHAnsi" w:hAnsiTheme="minorHAnsi" w:cstheme="minorHAnsi"/>
          <w:sz w:val="22"/>
          <w:szCs w:val="22"/>
          <w:u w:val="single"/>
        </w:rPr>
        <w:t>regnancy</w:t>
      </w:r>
    </w:p>
    <w:p w14:paraId="5F0EED2D" w14:textId="696CE570" w:rsidR="00647DF6" w:rsidRPr="00A361DF" w:rsidRDefault="00647DF6" w:rsidP="003B2C91">
      <w:pPr>
        <w:spacing w:line="240" w:lineRule="auto"/>
        <w:rPr>
          <w:b/>
          <w:noProof/>
        </w:rPr>
      </w:pPr>
      <w:r w:rsidRPr="00A361DF">
        <w:rPr>
          <w:b/>
          <w:noProof/>
        </w:rPr>
        <w:t xml:space="preserve">Category </w:t>
      </w:r>
      <w:r w:rsidR="00174445" w:rsidRPr="00A361DF">
        <w:rPr>
          <w:b/>
          <w:noProof/>
        </w:rPr>
        <w:t>D</w:t>
      </w:r>
    </w:p>
    <w:p w14:paraId="5AC83E9B" w14:textId="7550DE69" w:rsidR="003B5A30" w:rsidRPr="00A361DF" w:rsidRDefault="007D6548" w:rsidP="003B5A30">
      <w:pPr>
        <w:spacing w:line="240" w:lineRule="auto"/>
      </w:pPr>
      <w:r w:rsidRPr="00A361DF">
        <w:rPr>
          <w:noProof/>
        </w:rPr>
        <w:t xml:space="preserve">There are no studies using defibrotide in pregnant women. </w:t>
      </w:r>
      <w:r w:rsidR="000632CA" w:rsidRPr="00A361DF">
        <w:rPr>
          <w:noProof/>
        </w:rPr>
        <w:t>Embryo</w:t>
      </w:r>
      <w:r w:rsidR="006204BC" w:rsidRPr="00A361DF">
        <w:rPr>
          <w:noProof/>
        </w:rPr>
        <w:noBreakHyphen/>
      </w:r>
      <w:r w:rsidR="000632CA" w:rsidRPr="00A361DF">
        <w:rPr>
          <w:noProof/>
        </w:rPr>
        <w:t>fetal developmental toxicology studies in pregnant rats and rabbits of defibrotide doses close to the recommended therapeutic human dose</w:t>
      </w:r>
      <w:r w:rsidRPr="00A361DF">
        <w:rPr>
          <w:noProof/>
        </w:rPr>
        <w:t>,</w:t>
      </w:r>
      <w:r w:rsidR="000632CA" w:rsidRPr="00A361DF">
        <w:rPr>
          <w:noProof/>
        </w:rPr>
        <w:t xml:space="preserve"> revealed a high rate of haemorrhagic abortion</w:t>
      </w:r>
      <w:r w:rsidR="009F012A" w:rsidRPr="00A361DF">
        <w:rPr>
          <w:noProof/>
        </w:rPr>
        <w:t xml:space="preserve"> </w:t>
      </w:r>
      <w:r w:rsidR="003B5A30" w:rsidRPr="00A361DF">
        <w:t>when infused intravenously over two hours at all dose levels tested. Due to this maternal toxicity, no conclusion can be drawn regarding the effects of defibrotide on embryo</w:t>
      </w:r>
      <w:r w:rsidR="003B5A30" w:rsidRPr="00A361DF">
        <w:noBreakHyphen/>
      </w:r>
      <w:proofErr w:type="spellStart"/>
      <w:r w:rsidR="003B5A30" w:rsidRPr="00A361DF">
        <w:t>fetal</w:t>
      </w:r>
      <w:proofErr w:type="spellEnd"/>
      <w:r w:rsidR="003B5A30" w:rsidRPr="00A361DF">
        <w:t xml:space="preserve"> development. PAI</w:t>
      </w:r>
      <w:r w:rsidR="003B5A30" w:rsidRPr="00A361DF">
        <w:noBreakHyphen/>
        <w:t>2 is known to be uniquel</w:t>
      </w:r>
      <w:r w:rsidR="00FE3CF5">
        <w:t>y up</w:t>
      </w:r>
      <w:r w:rsidR="00FE3CF5">
        <w:noBreakHyphen/>
        <w:t>regulated in the placenta.</w:t>
      </w:r>
    </w:p>
    <w:p w14:paraId="7A7639DE" w14:textId="77777777" w:rsidR="000632CA" w:rsidRPr="00A361DF" w:rsidRDefault="00E07B2C" w:rsidP="003B2C91">
      <w:pPr>
        <w:spacing w:line="240" w:lineRule="auto"/>
        <w:rPr>
          <w:noProof/>
        </w:rPr>
      </w:pPr>
      <w:r w:rsidRPr="00A361DF">
        <w:rPr>
          <w:noProof/>
        </w:rPr>
        <w:t>Defitelio should not be used during pregnancy unless the clinical condition of the woman requires treatment with Defitelio.</w:t>
      </w:r>
    </w:p>
    <w:p w14:paraId="4F916B37" w14:textId="27DFA33B" w:rsidR="000632CA" w:rsidRPr="00184A86" w:rsidRDefault="00FE3CF5" w:rsidP="00184A86">
      <w:pPr>
        <w:pStyle w:val="C-BodyText"/>
        <w:spacing w:before="0" w:after="160" w:line="240" w:lineRule="auto"/>
        <w:rPr>
          <w:rFonts w:asciiTheme="minorHAnsi" w:hAnsiTheme="minorHAnsi" w:cstheme="minorHAnsi"/>
          <w:sz w:val="22"/>
          <w:szCs w:val="22"/>
          <w:u w:val="single"/>
        </w:rPr>
      </w:pPr>
      <w:r>
        <w:rPr>
          <w:rFonts w:asciiTheme="minorHAnsi" w:hAnsiTheme="minorHAnsi" w:cstheme="minorHAnsi"/>
          <w:sz w:val="22"/>
          <w:szCs w:val="22"/>
          <w:u w:val="single"/>
        </w:rPr>
        <w:t>Use in lactation</w:t>
      </w:r>
    </w:p>
    <w:p w14:paraId="40C7214B" w14:textId="1F449957" w:rsidR="000632CA" w:rsidRDefault="000632CA" w:rsidP="003B2C91">
      <w:pPr>
        <w:spacing w:line="240" w:lineRule="auto"/>
        <w:rPr>
          <w:noProof/>
        </w:rPr>
      </w:pPr>
      <w:r w:rsidRPr="00A361DF">
        <w:rPr>
          <w:noProof/>
        </w:rPr>
        <w:t>It is not known whether defibrotide is excreted in human milk.</w:t>
      </w:r>
      <w:r w:rsidR="00E07B2C" w:rsidRPr="00A361DF">
        <w:rPr>
          <w:noProof/>
        </w:rPr>
        <w:t xml:space="preserve"> Considering the nature of the </w:t>
      </w:r>
      <w:r w:rsidR="009C3193" w:rsidRPr="00A361DF">
        <w:rPr>
          <w:noProof/>
        </w:rPr>
        <w:t xml:space="preserve">medicinal </w:t>
      </w:r>
      <w:r w:rsidR="00E07B2C" w:rsidRPr="00A361DF">
        <w:rPr>
          <w:noProof/>
        </w:rPr>
        <w:t>product, a risk to the newborns/infants is not expected. Defitelio may be use</w:t>
      </w:r>
      <w:r w:rsidR="00654D7D" w:rsidRPr="00A361DF">
        <w:rPr>
          <w:noProof/>
        </w:rPr>
        <w:t>d</w:t>
      </w:r>
      <w:r w:rsidR="00E07B2C" w:rsidRPr="00A361DF">
        <w:rPr>
          <w:noProof/>
        </w:rPr>
        <w:t xml:space="preserve"> during </w:t>
      </w:r>
      <w:r w:rsidR="001574E7" w:rsidRPr="00A361DF">
        <w:rPr>
          <w:noProof/>
        </w:rPr>
        <w:t>breastfeeding</w:t>
      </w:r>
      <w:r w:rsidR="00E07B2C" w:rsidRPr="00A361DF">
        <w:rPr>
          <w:noProof/>
        </w:rPr>
        <w:t>.</w:t>
      </w:r>
    </w:p>
    <w:p w14:paraId="2B75D3A9" w14:textId="77777777" w:rsidR="000632CA" w:rsidRPr="00A361DF" w:rsidRDefault="005C75C5" w:rsidP="003B2C91">
      <w:pPr>
        <w:spacing w:line="240" w:lineRule="auto"/>
        <w:ind w:left="567" w:hanging="567"/>
        <w:rPr>
          <w:b/>
        </w:rPr>
      </w:pPr>
      <w:r w:rsidRPr="00A361DF">
        <w:rPr>
          <w:b/>
        </w:rPr>
        <w:t>4.7</w:t>
      </w:r>
      <w:r w:rsidRPr="00A361DF">
        <w:rPr>
          <w:b/>
        </w:rPr>
        <w:tab/>
      </w:r>
      <w:r w:rsidR="000632CA" w:rsidRPr="00A361DF">
        <w:rPr>
          <w:b/>
        </w:rPr>
        <w:t xml:space="preserve">Effects on </w:t>
      </w:r>
      <w:r w:rsidR="004C4597" w:rsidRPr="00A361DF">
        <w:rPr>
          <w:b/>
        </w:rPr>
        <w:t>a</w:t>
      </w:r>
      <w:r w:rsidR="004E56F3" w:rsidRPr="00A361DF">
        <w:rPr>
          <w:b/>
        </w:rPr>
        <w:t xml:space="preserve">bility </w:t>
      </w:r>
      <w:r w:rsidR="000632CA" w:rsidRPr="00A361DF">
        <w:rPr>
          <w:b/>
        </w:rPr>
        <w:t xml:space="preserve">to </w:t>
      </w:r>
      <w:r w:rsidR="004E56F3" w:rsidRPr="00A361DF">
        <w:rPr>
          <w:b/>
        </w:rPr>
        <w:t xml:space="preserve">drive </w:t>
      </w:r>
      <w:r w:rsidR="000632CA" w:rsidRPr="00A361DF">
        <w:rPr>
          <w:b/>
        </w:rPr>
        <w:t xml:space="preserve">and </w:t>
      </w:r>
      <w:r w:rsidR="004E56F3" w:rsidRPr="00A361DF">
        <w:rPr>
          <w:b/>
        </w:rPr>
        <w:t>use machines</w:t>
      </w:r>
    </w:p>
    <w:p w14:paraId="2B05DDD1" w14:textId="293C01B8" w:rsidR="000632CA" w:rsidRPr="00A361DF" w:rsidRDefault="00576540" w:rsidP="003B2C91">
      <w:pPr>
        <w:spacing w:line="240" w:lineRule="auto"/>
        <w:rPr>
          <w:noProof/>
        </w:rPr>
      </w:pPr>
      <w:r w:rsidRPr="00A361DF">
        <w:rPr>
          <w:noProof/>
        </w:rPr>
        <w:t>Defitelio ha</w:t>
      </w:r>
      <w:r w:rsidR="00386585" w:rsidRPr="00A361DF">
        <w:rPr>
          <w:noProof/>
        </w:rPr>
        <w:t>s</w:t>
      </w:r>
      <w:r w:rsidRPr="00A361DF">
        <w:rPr>
          <w:noProof/>
        </w:rPr>
        <w:t xml:space="preserve"> no or negligible influence on the ability to drive and operate machine</w:t>
      </w:r>
      <w:r w:rsidR="00386585" w:rsidRPr="00A361DF">
        <w:rPr>
          <w:noProof/>
        </w:rPr>
        <w:t>s</w:t>
      </w:r>
      <w:r w:rsidRPr="00A361DF">
        <w:rPr>
          <w:noProof/>
        </w:rPr>
        <w:t xml:space="preserve">. However, patients </w:t>
      </w:r>
      <w:r w:rsidR="000632CA" w:rsidRPr="00A361DF">
        <w:rPr>
          <w:noProof/>
        </w:rPr>
        <w:t>would not be expected to drive or operate machinery due to the na</w:t>
      </w:r>
      <w:r w:rsidR="00FE3CF5">
        <w:rPr>
          <w:noProof/>
        </w:rPr>
        <w:t>ture of the underlying disease.</w:t>
      </w:r>
    </w:p>
    <w:p w14:paraId="04F4308E" w14:textId="0DB23170" w:rsidR="000632CA" w:rsidRPr="00A361DF" w:rsidRDefault="005C75C5" w:rsidP="003B2C91">
      <w:pPr>
        <w:spacing w:line="240" w:lineRule="auto"/>
        <w:ind w:left="567" w:hanging="567"/>
        <w:rPr>
          <w:b/>
        </w:rPr>
      </w:pPr>
      <w:r w:rsidRPr="00A361DF">
        <w:rPr>
          <w:b/>
        </w:rPr>
        <w:lastRenderedPageBreak/>
        <w:t>4.8</w:t>
      </w:r>
      <w:r w:rsidRPr="00A361DF">
        <w:rPr>
          <w:b/>
        </w:rPr>
        <w:tab/>
      </w:r>
      <w:r w:rsidR="005D2A5F" w:rsidRPr="00A361DF">
        <w:rPr>
          <w:b/>
        </w:rPr>
        <w:t>Adverse effects (u</w:t>
      </w:r>
      <w:r w:rsidR="000632CA" w:rsidRPr="00A361DF">
        <w:rPr>
          <w:b/>
        </w:rPr>
        <w:t xml:space="preserve">ndesirable </w:t>
      </w:r>
      <w:r w:rsidR="004E56F3" w:rsidRPr="00A361DF">
        <w:rPr>
          <w:b/>
        </w:rPr>
        <w:t>effects</w:t>
      </w:r>
      <w:r w:rsidR="005D2A5F" w:rsidRPr="00A361DF">
        <w:rPr>
          <w:b/>
        </w:rPr>
        <w:t>)</w:t>
      </w:r>
    </w:p>
    <w:p w14:paraId="7AC473E7" w14:textId="36F72084" w:rsidR="00A85D12" w:rsidRPr="00A361DF" w:rsidRDefault="00FE3CF5" w:rsidP="003B2C91">
      <w:pPr>
        <w:spacing w:line="240" w:lineRule="auto"/>
        <w:rPr>
          <w:u w:val="single"/>
        </w:rPr>
      </w:pPr>
      <w:r>
        <w:rPr>
          <w:u w:val="single"/>
        </w:rPr>
        <w:t>Clinical Trial Experience</w:t>
      </w:r>
    </w:p>
    <w:p w14:paraId="3B43108E" w14:textId="6BA0D1C9" w:rsidR="00F344A8" w:rsidRDefault="00A85D12" w:rsidP="003B2C91">
      <w:pPr>
        <w:spacing w:line="240" w:lineRule="auto"/>
        <w:rPr>
          <w:noProof/>
        </w:rPr>
      </w:pPr>
      <w:r>
        <w:rPr>
          <w:noProof/>
        </w:rPr>
        <w:t>The safety assessment of Defitelio is based on pooled data from 176 subjects in the pivotal treatment study and the dose finding study. T</w:t>
      </w:r>
      <w:r w:rsidR="00F344A8" w:rsidRPr="00A361DF">
        <w:rPr>
          <w:noProof/>
        </w:rPr>
        <w:t xml:space="preserve">he overall incidence of adverse events was similar in the defibrotide treatment group and in the </w:t>
      </w:r>
      <w:r>
        <w:rPr>
          <w:noProof/>
        </w:rPr>
        <w:t xml:space="preserve">historical </w:t>
      </w:r>
      <w:r w:rsidR="00F344A8" w:rsidRPr="00A361DF">
        <w:rPr>
          <w:noProof/>
        </w:rPr>
        <w:t xml:space="preserve">control group. </w:t>
      </w:r>
      <w:r w:rsidR="00E22AA5" w:rsidRPr="00A361DF">
        <w:rPr>
          <w:noProof/>
        </w:rPr>
        <w:t xml:space="preserve">The safety data from </w:t>
      </w:r>
      <w:r>
        <w:rPr>
          <w:noProof/>
        </w:rPr>
        <w:t>pooled data</w:t>
      </w:r>
      <w:r w:rsidR="00E22AA5" w:rsidRPr="00A361DF">
        <w:rPr>
          <w:noProof/>
        </w:rPr>
        <w:t xml:space="preserve"> are supported and confirmed with data from the completed Treatment-IND  study</w:t>
      </w:r>
      <w:r>
        <w:rPr>
          <w:noProof/>
        </w:rPr>
        <w:t xml:space="preserve"> and postmarketing experience</w:t>
      </w:r>
      <w:r w:rsidR="00E22AA5" w:rsidRPr="00A361DF">
        <w:rPr>
          <w:noProof/>
        </w:rPr>
        <w:t>.</w:t>
      </w:r>
    </w:p>
    <w:p w14:paraId="5DAED448" w14:textId="7313B1A5" w:rsidR="008E17CC" w:rsidRDefault="008E17CC" w:rsidP="003B2C91">
      <w:pPr>
        <w:spacing w:line="240" w:lineRule="auto"/>
        <w:rPr>
          <w:noProof/>
        </w:rPr>
      </w:pPr>
      <w:r>
        <w:rPr>
          <w:noProof/>
        </w:rPr>
        <w:t>Table 1 describes adverse events that occurred at a rate of more than 5% in eith</w:t>
      </w:r>
      <w:r w:rsidR="00323DF3">
        <w:rPr>
          <w:noProof/>
        </w:rPr>
        <w:t>er</w:t>
      </w:r>
      <w:r>
        <w:rPr>
          <w:noProof/>
        </w:rPr>
        <w:t xml:space="preserve"> the treatment group or the historical control group in the defibrot</w:t>
      </w:r>
      <w:r w:rsidR="00323DF3">
        <w:rPr>
          <w:noProof/>
        </w:rPr>
        <w:t>id</w:t>
      </w:r>
      <w:r w:rsidR="00FE3CF5">
        <w:rPr>
          <w:noProof/>
        </w:rPr>
        <w:t>e 25 mg/kg/day pooled data.</w:t>
      </w:r>
    </w:p>
    <w:p w14:paraId="5EBD5C32" w14:textId="57C5DD0D" w:rsidR="008E17CC" w:rsidRPr="008E17CC" w:rsidRDefault="008E17CC" w:rsidP="003B2C91">
      <w:pPr>
        <w:spacing w:line="240" w:lineRule="auto"/>
        <w:rPr>
          <w:b/>
          <w:bCs/>
          <w:noProof/>
        </w:rPr>
      </w:pPr>
      <w:r>
        <w:rPr>
          <w:b/>
          <w:bCs/>
          <w:noProof/>
        </w:rPr>
        <w:t>Table 1: Treatment-Emergent Adverse Events Reported in &gt; 5% of Subjects in Either the Pooled Data (defibrotide 25 mg/kg/day) or Historical Control in Patients with Severe VOD Post-HSCT</w:t>
      </w:r>
    </w:p>
    <w:tbl>
      <w:tblPr>
        <w:tblW w:w="0" w:type="auto"/>
        <w:tblInd w:w="117" w:type="dxa"/>
        <w:tblLayout w:type="fixed"/>
        <w:tblCellMar>
          <w:left w:w="0" w:type="dxa"/>
          <w:right w:w="0" w:type="dxa"/>
        </w:tblCellMar>
        <w:tblLook w:val="0000" w:firstRow="0" w:lastRow="0" w:firstColumn="0" w:lastColumn="0" w:noHBand="0" w:noVBand="0"/>
      </w:tblPr>
      <w:tblGrid>
        <w:gridCol w:w="3989"/>
        <w:gridCol w:w="2552"/>
        <w:gridCol w:w="2268"/>
      </w:tblGrid>
      <w:tr w:rsidR="00BA19F8" w:rsidRPr="00D1606C" w14:paraId="183C9C4D" w14:textId="77777777" w:rsidTr="00BA19F8">
        <w:trPr>
          <w:trHeight w:val="534"/>
        </w:trPr>
        <w:tc>
          <w:tcPr>
            <w:tcW w:w="3989" w:type="dxa"/>
            <w:tcBorders>
              <w:top w:val="single" w:sz="4" w:space="0" w:color="000000"/>
              <w:left w:val="single" w:sz="4" w:space="0" w:color="000000"/>
              <w:bottom w:val="single" w:sz="4" w:space="0" w:color="000000"/>
              <w:right w:val="single" w:sz="4" w:space="0" w:color="000000"/>
            </w:tcBorders>
          </w:tcPr>
          <w:p w14:paraId="31912E80" w14:textId="77777777" w:rsidR="00BA19F8" w:rsidRPr="00D1606C" w:rsidRDefault="00BA19F8" w:rsidP="00BA19F8">
            <w:pPr>
              <w:pStyle w:val="TableParagraph"/>
              <w:kinsoku w:val="0"/>
              <w:overflowPunct w:val="0"/>
              <w:spacing w:before="0" w:after="0"/>
              <w:ind w:left="0" w:firstLine="77"/>
              <w:jc w:val="left"/>
              <w:rPr>
                <w:rFonts w:cstheme="minorHAnsi"/>
                <w:b/>
                <w:bCs/>
                <w:sz w:val="22"/>
                <w:szCs w:val="22"/>
              </w:rPr>
            </w:pPr>
            <w:r w:rsidRPr="00D1606C">
              <w:rPr>
                <w:rFonts w:cstheme="minorHAnsi"/>
                <w:b/>
                <w:bCs/>
                <w:sz w:val="22"/>
                <w:szCs w:val="22"/>
              </w:rPr>
              <w:t xml:space="preserve">System Organ Class </w:t>
            </w:r>
          </w:p>
          <w:p w14:paraId="29B1A0F8" w14:textId="77777777" w:rsidR="00BA19F8" w:rsidRPr="00D1606C" w:rsidRDefault="00BA19F8" w:rsidP="00BA19F8">
            <w:pPr>
              <w:pStyle w:val="TableParagraph"/>
              <w:kinsoku w:val="0"/>
              <w:overflowPunct w:val="0"/>
              <w:spacing w:before="0" w:after="0"/>
              <w:ind w:left="680"/>
              <w:jc w:val="both"/>
              <w:rPr>
                <w:rFonts w:cstheme="minorHAnsi"/>
                <w:b/>
                <w:bCs/>
                <w:sz w:val="22"/>
                <w:szCs w:val="22"/>
              </w:rPr>
            </w:pPr>
            <w:r w:rsidRPr="00D1606C">
              <w:rPr>
                <w:rFonts w:cstheme="minorHAnsi"/>
                <w:sz w:val="22"/>
                <w:szCs w:val="22"/>
              </w:rPr>
              <w:t>Preferred Term</w:t>
            </w:r>
          </w:p>
        </w:tc>
        <w:tc>
          <w:tcPr>
            <w:tcW w:w="2552" w:type="dxa"/>
            <w:tcBorders>
              <w:top w:val="single" w:sz="4" w:space="0" w:color="000000"/>
              <w:left w:val="single" w:sz="4" w:space="0" w:color="000000"/>
              <w:bottom w:val="single" w:sz="4" w:space="0" w:color="000000"/>
              <w:right w:val="single" w:sz="4" w:space="0" w:color="000000"/>
            </w:tcBorders>
          </w:tcPr>
          <w:p w14:paraId="1E7913FA" w14:textId="77777777" w:rsidR="00BA19F8" w:rsidRPr="00D1606C" w:rsidRDefault="00BA19F8" w:rsidP="00BA19F8">
            <w:pPr>
              <w:pStyle w:val="TableParagraph"/>
              <w:kinsoku w:val="0"/>
              <w:overflowPunct w:val="0"/>
              <w:spacing w:before="0" w:after="0"/>
              <w:ind w:left="0" w:firstLine="77"/>
              <w:rPr>
                <w:rFonts w:cstheme="minorHAnsi"/>
                <w:b/>
                <w:bCs/>
                <w:sz w:val="22"/>
                <w:szCs w:val="22"/>
              </w:rPr>
            </w:pPr>
            <w:r w:rsidRPr="00D1606C">
              <w:rPr>
                <w:rFonts w:cstheme="minorHAnsi"/>
                <w:b/>
                <w:bCs/>
                <w:sz w:val="22"/>
                <w:szCs w:val="22"/>
              </w:rPr>
              <w:t>Defibrotide 25 mg/kg/day</w:t>
            </w:r>
          </w:p>
          <w:p w14:paraId="2600150B" w14:textId="77777777" w:rsidR="00BA19F8" w:rsidRPr="00D1606C" w:rsidRDefault="00BA19F8" w:rsidP="00BA19F8">
            <w:pPr>
              <w:pStyle w:val="TableParagraph"/>
              <w:kinsoku w:val="0"/>
              <w:overflowPunct w:val="0"/>
              <w:spacing w:before="0" w:after="0"/>
              <w:ind w:left="0" w:firstLine="77"/>
              <w:rPr>
                <w:rFonts w:cstheme="minorHAnsi"/>
                <w:b/>
                <w:bCs/>
                <w:sz w:val="22"/>
                <w:szCs w:val="22"/>
              </w:rPr>
            </w:pPr>
            <w:r w:rsidRPr="00D1606C">
              <w:rPr>
                <w:rFonts w:cstheme="minorHAnsi"/>
                <w:b/>
                <w:bCs/>
                <w:sz w:val="22"/>
                <w:szCs w:val="22"/>
              </w:rPr>
              <w:t>(N=176)</w:t>
            </w:r>
          </w:p>
        </w:tc>
        <w:tc>
          <w:tcPr>
            <w:tcW w:w="2268" w:type="dxa"/>
            <w:tcBorders>
              <w:top w:val="single" w:sz="4" w:space="0" w:color="000000"/>
              <w:left w:val="single" w:sz="4" w:space="0" w:color="000000"/>
              <w:bottom w:val="single" w:sz="4" w:space="0" w:color="000000"/>
              <w:right w:val="single" w:sz="4" w:space="0" w:color="000000"/>
            </w:tcBorders>
          </w:tcPr>
          <w:p w14:paraId="6C341BD0" w14:textId="77777777" w:rsidR="00BA19F8" w:rsidRPr="00D1606C" w:rsidRDefault="00BA19F8" w:rsidP="00BA19F8">
            <w:pPr>
              <w:pStyle w:val="TableParagraph"/>
              <w:kinsoku w:val="0"/>
              <w:overflowPunct w:val="0"/>
              <w:spacing w:before="0" w:after="0"/>
              <w:ind w:left="80" w:hanging="80"/>
              <w:rPr>
                <w:rFonts w:cstheme="minorHAnsi"/>
                <w:b/>
                <w:bCs/>
                <w:sz w:val="22"/>
                <w:szCs w:val="22"/>
              </w:rPr>
            </w:pPr>
            <w:r w:rsidRPr="00D1606C">
              <w:rPr>
                <w:rFonts w:cstheme="minorHAnsi"/>
                <w:b/>
                <w:bCs/>
                <w:sz w:val="22"/>
                <w:szCs w:val="22"/>
              </w:rPr>
              <w:t>Historical Control</w:t>
            </w:r>
          </w:p>
          <w:p w14:paraId="261BEC15" w14:textId="77777777" w:rsidR="00BA19F8" w:rsidRPr="00D1606C" w:rsidRDefault="00BA19F8" w:rsidP="00BA19F8">
            <w:pPr>
              <w:pStyle w:val="TableParagraph"/>
              <w:kinsoku w:val="0"/>
              <w:overflowPunct w:val="0"/>
              <w:spacing w:before="0" w:after="0"/>
              <w:ind w:left="80" w:hanging="80"/>
              <w:rPr>
                <w:rFonts w:cstheme="minorHAnsi"/>
                <w:b/>
                <w:bCs/>
                <w:sz w:val="22"/>
                <w:szCs w:val="22"/>
              </w:rPr>
            </w:pPr>
            <w:r w:rsidRPr="00D1606C">
              <w:rPr>
                <w:rFonts w:cstheme="minorHAnsi"/>
                <w:b/>
                <w:bCs/>
                <w:sz w:val="22"/>
                <w:szCs w:val="22"/>
              </w:rPr>
              <w:t>(N=32)</w:t>
            </w:r>
          </w:p>
        </w:tc>
      </w:tr>
      <w:tr w:rsidR="00BA19F8" w:rsidRPr="00D1606C" w14:paraId="09B85099" w14:textId="77777777" w:rsidTr="00BA19F8">
        <w:trPr>
          <w:trHeight w:val="345"/>
        </w:trPr>
        <w:tc>
          <w:tcPr>
            <w:tcW w:w="3989" w:type="dxa"/>
            <w:tcBorders>
              <w:top w:val="single" w:sz="4" w:space="0" w:color="000000"/>
              <w:left w:val="single" w:sz="4" w:space="0" w:color="000000"/>
              <w:bottom w:val="single" w:sz="4" w:space="0" w:color="000000"/>
              <w:right w:val="single" w:sz="4" w:space="0" w:color="000000"/>
            </w:tcBorders>
          </w:tcPr>
          <w:p w14:paraId="6844F210" w14:textId="77777777" w:rsidR="00BA19F8" w:rsidRPr="00D1606C" w:rsidRDefault="00BA19F8" w:rsidP="00BA19F8">
            <w:pPr>
              <w:pStyle w:val="TableParagraph"/>
              <w:kinsoku w:val="0"/>
              <w:overflowPunct w:val="0"/>
              <w:spacing w:before="0" w:after="0"/>
              <w:ind w:left="0"/>
              <w:jc w:val="left"/>
              <w:rPr>
                <w:rFonts w:cstheme="minorHAnsi"/>
                <w:b/>
                <w:bCs/>
                <w:sz w:val="22"/>
                <w:szCs w:val="22"/>
              </w:rPr>
            </w:pPr>
          </w:p>
        </w:tc>
        <w:tc>
          <w:tcPr>
            <w:tcW w:w="4820" w:type="dxa"/>
            <w:gridSpan w:val="2"/>
            <w:tcBorders>
              <w:top w:val="single" w:sz="4" w:space="0" w:color="000000"/>
              <w:left w:val="single" w:sz="4" w:space="0" w:color="000000"/>
              <w:bottom w:val="single" w:sz="4" w:space="0" w:color="000000"/>
              <w:right w:val="single" w:sz="4" w:space="0" w:color="000000"/>
            </w:tcBorders>
          </w:tcPr>
          <w:p w14:paraId="38074394" w14:textId="77777777" w:rsidR="00BA19F8" w:rsidRPr="00D1606C" w:rsidRDefault="00BA19F8" w:rsidP="00BA19F8">
            <w:pPr>
              <w:pStyle w:val="TableParagraph"/>
              <w:kinsoku w:val="0"/>
              <w:overflowPunct w:val="0"/>
              <w:spacing w:before="0" w:after="0"/>
              <w:ind w:left="429" w:right="320" w:hanging="80"/>
              <w:rPr>
                <w:rFonts w:cstheme="minorHAnsi"/>
                <w:b/>
                <w:bCs/>
                <w:sz w:val="22"/>
                <w:szCs w:val="22"/>
              </w:rPr>
            </w:pPr>
            <w:r w:rsidRPr="00D1606C">
              <w:rPr>
                <w:rFonts w:cstheme="minorHAnsi"/>
                <w:b/>
                <w:bCs/>
                <w:sz w:val="22"/>
                <w:szCs w:val="22"/>
              </w:rPr>
              <w:t>Number (%) of patients</w:t>
            </w:r>
          </w:p>
        </w:tc>
      </w:tr>
      <w:tr w:rsidR="00BA19F8" w:rsidRPr="00D1606C" w14:paraId="0F5255FC"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EF8AA29" w14:textId="77777777" w:rsidR="00BA19F8" w:rsidRPr="00D1606C" w:rsidRDefault="00BA19F8" w:rsidP="00BA19F8">
            <w:pPr>
              <w:pStyle w:val="TableParagraph"/>
              <w:kinsoku w:val="0"/>
              <w:overflowPunct w:val="0"/>
              <w:spacing w:before="0" w:after="0"/>
              <w:ind w:left="295"/>
              <w:jc w:val="left"/>
              <w:rPr>
                <w:rFonts w:cstheme="minorHAnsi"/>
                <w:bCs/>
                <w:sz w:val="22"/>
                <w:szCs w:val="22"/>
              </w:rPr>
            </w:pPr>
            <w:r w:rsidRPr="00D1606C">
              <w:rPr>
                <w:rFonts w:cstheme="minorHAnsi"/>
                <w:bCs/>
                <w:sz w:val="22"/>
                <w:szCs w:val="22"/>
              </w:rPr>
              <w:t>At least 1 TEAE</w:t>
            </w:r>
          </w:p>
        </w:tc>
        <w:tc>
          <w:tcPr>
            <w:tcW w:w="2552" w:type="dxa"/>
            <w:tcBorders>
              <w:top w:val="single" w:sz="4" w:space="0" w:color="000000"/>
              <w:left w:val="single" w:sz="4" w:space="0" w:color="000000"/>
              <w:bottom w:val="single" w:sz="4" w:space="0" w:color="000000"/>
              <w:right w:val="single" w:sz="4" w:space="0" w:color="000000"/>
            </w:tcBorders>
          </w:tcPr>
          <w:p w14:paraId="24A4EA05" w14:textId="77777777" w:rsidR="00BA19F8" w:rsidRPr="00D1606C" w:rsidRDefault="00BA19F8" w:rsidP="00BA19F8">
            <w:pPr>
              <w:pStyle w:val="TableParagraph"/>
              <w:kinsoku w:val="0"/>
              <w:overflowPunct w:val="0"/>
              <w:spacing w:before="0" w:after="0"/>
              <w:ind w:left="297" w:right="288"/>
              <w:rPr>
                <w:rFonts w:cstheme="minorHAnsi"/>
                <w:bCs/>
                <w:sz w:val="22"/>
                <w:szCs w:val="22"/>
              </w:rPr>
            </w:pPr>
            <w:r w:rsidRPr="00D1606C">
              <w:rPr>
                <w:rFonts w:cstheme="minorHAnsi"/>
                <w:bCs/>
                <w:sz w:val="22"/>
                <w:szCs w:val="22"/>
              </w:rPr>
              <w:t>169 (96.0)</w:t>
            </w:r>
          </w:p>
        </w:tc>
        <w:tc>
          <w:tcPr>
            <w:tcW w:w="2268" w:type="dxa"/>
            <w:tcBorders>
              <w:top w:val="single" w:sz="4" w:space="0" w:color="000000"/>
              <w:left w:val="single" w:sz="4" w:space="0" w:color="000000"/>
              <w:bottom w:val="single" w:sz="4" w:space="0" w:color="000000"/>
              <w:right w:val="single" w:sz="4" w:space="0" w:color="000000"/>
            </w:tcBorders>
          </w:tcPr>
          <w:p w14:paraId="65B296DC" w14:textId="77777777" w:rsidR="00BA19F8" w:rsidRPr="00D1606C" w:rsidRDefault="00BA19F8" w:rsidP="00BA19F8">
            <w:pPr>
              <w:pStyle w:val="TableParagraph"/>
              <w:kinsoku w:val="0"/>
              <w:overflowPunct w:val="0"/>
              <w:spacing w:before="0" w:after="0"/>
              <w:ind w:left="292" w:right="282"/>
              <w:rPr>
                <w:rFonts w:cstheme="minorHAnsi"/>
                <w:bCs/>
                <w:sz w:val="22"/>
                <w:szCs w:val="22"/>
              </w:rPr>
            </w:pPr>
            <w:r w:rsidRPr="00D1606C">
              <w:rPr>
                <w:rFonts w:cstheme="minorHAnsi"/>
                <w:bCs/>
                <w:sz w:val="22"/>
                <w:szCs w:val="22"/>
              </w:rPr>
              <w:t>32 (100.0)</w:t>
            </w:r>
          </w:p>
        </w:tc>
      </w:tr>
      <w:tr w:rsidR="00BA19F8" w:rsidRPr="00D1606C" w14:paraId="08A4B587"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64B952C7"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Hypotension</w:t>
            </w:r>
          </w:p>
        </w:tc>
        <w:tc>
          <w:tcPr>
            <w:tcW w:w="2552" w:type="dxa"/>
            <w:tcBorders>
              <w:top w:val="single" w:sz="4" w:space="0" w:color="000000"/>
              <w:left w:val="single" w:sz="4" w:space="0" w:color="000000"/>
              <w:bottom w:val="single" w:sz="4" w:space="0" w:color="000000"/>
              <w:right w:val="single" w:sz="4" w:space="0" w:color="000000"/>
            </w:tcBorders>
          </w:tcPr>
          <w:p w14:paraId="34A978E8" w14:textId="77777777" w:rsidR="00BA19F8" w:rsidRPr="00D1606C" w:rsidRDefault="00BA19F8" w:rsidP="00BA19F8">
            <w:pPr>
              <w:pStyle w:val="TableParagraph"/>
              <w:kinsoku w:val="0"/>
              <w:overflowPunct w:val="0"/>
              <w:spacing w:before="0" w:after="0"/>
              <w:ind w:left="297" w:right="288"/>
              <w:rPr>
                <w:rFonts w:cstheme="minorHAnsi"/>
                <w:sz w:val="22"/>
                <w:szCs w:val="22"/>
              </w:rPr>
            </w:pPr>
            <w:r w:rsidRPr="00D1606C">
              <w:rPr>
                <w:rFonts w:cstheme="minorHAnsi"/>
                <w:sz w:val="22"/>
                <w:szCs w:val="22"/>
              </w:rPr>
              <w:t>65 (36.9)</w:t>
            </w:r>
          </w:p>
        </w:tc>
        <w:tc>
          <w:tcPr>
            <w:tcW w:w="2268" w:type="dxa"/>
            <w:tcBorders>
              <w:top w:val="single" w:sz="4" w:space="0" w:color="000000"/>
              <w:left w:val="single" w:sz="4" w:space="0" w:color="000000"/>
              <w:bottom w:val="single" w:sz="4" w:space="0" w:color="000000"/>
              <w:right w:val="single" w:sz="4" w:space="0" w:color="000000"/>
            </w:tcBorders>
          </w:tcPr>
          <w:p w14:paraId="6490233D" w14:textId="77777777" w:rsidR="00BA19F8" w:rsidRPr="00D1606C" w:rsidRDefault="00BA19F8" w:rsidP="00BA19F8">
            <w:pPr>
              <w:pStyle w:val="TableParagraph"/>
              <w:kinsoku w:val="0"/>
              <w:overflowPunct w:val="0"/>
              <w:spacing w:before="0" w:after="0"/>
              <w:ind w:left="292" w:right="279"/>
              <w:rPr>
                <w:rFonts w:cstheme="minorHAnsi"/>
                <w:sz w:val="22"/>
                <w:szCs w:val="22"/>
              </w:rPr>
            </w:pPr>
            <w:r w:rsidRPr="00D1606C">
              <w:rPr>
                <w:rFonts w:cstheme="minorHAnsi"/>
                <w:sz w:val="22"/>
                <w:szCs w:val="22"/>
              </w:rPr>
              <w:t>16 (50.0)</w:t>
            </w:r>
          </w:p>
        </w:tc>
      </w:tr>
      <w:tr w:rsidR="00BA19F8" w:rsidRPr="00D1606C" w14:paraId="4204F748"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31D4B1C5"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Diarrhoea</w:t>
            </w:r>
          </w:p>
        </w:tc>
        <w:tc>
          <w:tcPr>
            <w:tcW w:w="2552" w:type="dxa"/>
            <w:tcBorders>
              <w:top w:val="single" w:sz="4" w:space="0" w:color="000000"/>
              <w:left w:val="single" w:sz="4" w:space="0" w:color="000000"/>
              <w:bottom w:val="single" w:sz="4" w:space="0" w:color="000000"/>
              <w:right w:val="single" w:sz="4" w:space="0" w:color="000000"/>
            </w:tcBorders>
          </w:tcPr>
          <w:p w14:paraId="47B48F1C" w14:textId="77777777" w:rsidR="00BA19F8" w:rsidRPr="00D1606C" w:rsidRDefault="00BA19F8" w:rsidP="00BA19F8">
            <w:pPr>
              <w:pStyle w:val="TableParagraph"/>
              <w:kinsoku w:val="0"/>
              <w:overflowPunct w:val="0"/>
              <w:spacing w:before="0" w:after="0"/>
              <w:ind w:left="297" w:right="288"/>
              <w:rPr>
                <w:rFonts w:cstheme="minorHAnsi"/>
                <w:sz w:val="22"/>
                <w:szCs w:val="22"/>
              </w:rPr>
            </w:pPr>
            <w:r w:rsidRPr="00D1606C">
              <w:rPr>
                <w:rFonts w:cstheme="minorHAnsi"/>
                <w:sz w:val="22"/>
                <w:szCs w:val="22"/>
              </w:rPr>
              <w:t>43 (24.4)</w:t>
            </w:r>
          </w:p>
        </w:tc>
        <w:tc>
          <w:tcPr>
            <w:tcW w:w="2268" w:type="dxa"/>
            <w:tcBorders>
              <w:top w:val="single" w:sz="4" w:space="0" w:color="000000"/>
              <w:left w:val="single" w:sz="4" w:space="0" w:color="000000"/>
              <w:bottom w:val="single" w:sz="4" w:space="0" w:color="000000"/>
              <w:right w:val="single" w:sz="4" w:space="0" w:color="000000"/>
            </w:tcBorders>
          </w:tcPr>
          <w:p w14:paraId="74E2F604" w14:textId="77777777" w:rsidR="00BA19F8" w:rsidRPr="00D1606C" w:rsidRDefault="00BA19F8" w:rsidP="00BA19F8">
            <w:pPr>
              <w:pStyle w:val="TableParagraph"/>
              <w:kinsoku w:val="0"/>
              <w:overflowPunct w:val="0"/>
              <w:spacing w:before="0" w:after="0"/>
              <w:ind w:left="292" w:right="279"/>
              <w:rPr>
                <w:rFonts w:cstheme="minorHAnsi"/>
                <w:sz w:val="22"/>
                <w:szCs w:val="22"/>
              </w:rPr>
            </w:pPr>
            <w:r w:rsidRPr="00D1606C">
              <w:rPr>
                <w:rFonts w:cstheme="minorHAnsi"/>
                <w:sz w:val="22"/>
                <w:szCs w:val="22"/>
              </w:rPr>
              <w:t>12 (37.5)</w:t>
            </w:r>
          </w:p>
        </w:tc>
      </w:tr>
      <w:tr w:rsidR="00BA19F8" w:rsidRPr="00D1606C" w14:paraId="747B8269"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538F5A80"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Multi-organ failure</w:t>
            </w:r>
          </w:p>
        </w:tc>
        <w:tc>
          <w:tcPr>
            <w:tcW w:w="2552" w:type="dxa"/>
            <w:tcBorders>
              <w:top w:val="single" w:sz="4" w:space="0" w:color="000000"/>
              <w:left w:val="single" w:sz="4" w:space="0" w:color="000000"/>
              <w:bottom w:val="single" w:sz="4" w:space="0" w:color="000000"/>
              <w:right w:val="single" w:sz="4" w:space="0" w:color="000000"/>
            </w:tcBorders>
          </w:tcPr>
          <w:p w14:paraId="3D8FB612" w14:textId="77777777" w:rsidR="00BA19F8" w:rsidRPr="00D1606C" w:rsidRDefault="00BA19F8" w:rsidP="00BA19F8">
            <w:pPr>
              <w:pStyle w:val="TableParagraph"/>
              <w:kinsoku w:val="0"/>
              <w:overflowPunct w:val="0"/>
              <w:spacing w:before="0" w:after="0"/>
              <w:ind w:left="297" w:right="288"/>
              <w:rPr>
                <w:rFonts w:cstheme="minorHAnsi"/>
                <w:sz w:val="22"/>
                <w:szCs w:val="22"/>
              </w:rPr>
            </w:pPr>
            <w:r w:rsidRPr="00D1606C">
              <w:rPr>
                <w:rFonts w:cstheme="minorHAnsi"/>
                <w:sz w:val="22"/>
                <w:szCs w:val="22"/>
              </w:rPr>
              <w:t>38 (21.6)</w:t>
            </w:r>
          </w:p>
        </w:tc>
        <w:tc>
          <w:tcPr>
            <w:tcW w:w="2268" w:type="dxa"/>
            <w:tcBorders>
              <w:top w:val="single" w:sz="4" w:space="0" w:color="000000"/>
              <w:left w:val="single" w:sz="4" w:space="0" w:color="000000"/>
              <w:bottom w:val="single" w:sz="4" w:space="0" w:color="000000"/>
              <w:right w:val="single" w:sz="4" w:space="0" w:color="000000"/>
            </w:tcBorders>
          </w:tcPr>
          <w:p w14:paraId="4D4894A6" w14:textId="77777777" w:rsidR="00BA19F8" w:rsidRPr="00D1606C" w:rsidRDefault="00BA19F8" w:rsidP="00BA19F8">
            <w:pPr>
              <w:pStyle w:val="TableParagraph"/>
              <w:kinsoku w:val="0"/>
              <w:overflowPunct w:val="0"/>
              <w:spacing w:before="0" w:after="0"/>
              <w:ind w:left="292" w:right="281"/>
              <w:rPr>
                <w:rFonts w:cstheme="minorHAnsi"/>
                <w:sz w:val="22"/>
                <w:szCs w:val="22"/>
              </w:rPr>
            </w:pPr>
            <w:r w:rsidRPr="00D1606C">
              <w:rPr>
                <w:rFonts w:cstheme="minorHAnsi"/>
                <w:sz w:val="22"/>
                <w:szCs w:val="22"/>
              </w:rPr>
              <w:t>3 (9.4)</w:t>
            </w:r>
          </w:p>
        </w:tc>
      </w:tr>
      <w:tr w:rsidR="00BA19F8" w:rsidRPr="00D1606C" w14:paraId="201D8BD5"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4146FBBE" w14:textId="77777777" w:rsidR="00BA19F8" w:rsidRPr="00D1606C" w:rsidRDefault="00BA19F8" w:rsidP="00BA19F8">
            <w:pPr>
              <w:pStyle w:val="TableParagraph"/>
              <w:kinsoku w:val="0"/>
              <w:overflowPunct w:val="0"/>
              <w:spacing w:before="0" w:after="0"/>
              <w:ind w:left="680"/>
              <w:jc w:val="both"/>
              <w:rPr>
                <w:rFonts w:cstheme="minorHAnsi"/>
                <w:sz w:val="22"/>
                <w:szCs w:val="22"/>
              </w:rPr>
            </w:pPr>
            <w:proofErr w:type="spellStart"/>
            <w:r w:rsidRPr="00D1606C">
              <w:rPr>
                <w:rFonts w:cstheme="minorHAnsi"/>
                <w:sz w:val="22"/>
                <w:szCs w:val="22"/>
              </w:rPr>
              <w:t>Veno</w:t>
            </w:r>
            <w:proofErr w:type="spellEnd"/>
            <w:r w:rsidRPr="00D1606C">
              <w:rPr>
                <w:rFonts w:cstheme="minorHAnsi"/>
                <w:sz w:val="22"/>
                <w:szCs w:val="22"/>
              </w:rPr>
              <w:t>-occlusive liver disease</w:t>
            </w:r>
          </w:p>
        </w:tc>
        <w:tc>
          <w:tcPr>
            <w:tcW w:w="2552" w:type="dxa"/>
            <w:tcBorders>
              <w:top w:val="single" w:sz="4" w:space="0" w:color="000000"/>
              <w:left w:val="single" w:sz="4" w:space="0" w:color="000000"/>
              <w:bottom w:val="single" w:sz="4" w:space="0" w:color="000000"/>
              <w:right w:val="single" w:sz="4" w:space="0" w:color="000000"/>
            </w:tcBorders>
          </w:tcPr>
          <w:p w14:paraId="5B347CC4" w14:textId="77777777" w:rsidR="00BA19F8" w:rsidRPr="00D1606C" w:rsidRDefault="00BA19F8" w:rsidP="00BA19F8">
            <w:pPr>
              <w:pStyle w:val="TableParagraph"/>
              <w:kinsoku w:val="0"/>
              <w:overflowPunct w:val="0"/>
              <w:spacing w:before="0" w:after="0"/>
              <w:ind w:left="297" w:right="288"/>
              <w:rPr>
                <w:rFonts w:cstheme="minorHAnsi"/>
                <w:sz w:val="22"/>
                <w:szCs w:val="22"/>
              </w:rPr>
            </w:pPr>
            <w:r w:rsidRPr="00D1606C">
              <w:rPr>
                <w:rFonts w:cstheme="minorHAnsi"/>
                <w:sz w:val="22"/>
                <w:szCs w:val="22"/>
              </w:rPr>
              <w:t>32 (18.2)</w:t>
            </w:r>
          </w:p>
        </w:tc>
        <w:tc>
          <w:tcPr>
            <w:tcW w:w="2268" w:type="dxa"/>
            <w:tcBorders>
              <w:top w:val="single" w:sz="4" w:space="0" w:color="000000"/>
              <w:left w:val="single" w:sz="4" w:space="0" w:color="000000"/>
              <w:bottom w:val="single" w:sz="4" w:space="0" w:color="000000"/>
              <w:right w:val="single" w:sz="4" w:space="0" w:color="000000"/>
            </w:tcBorders>
          </w:tcPr>
          <w:p w14:paraId="07A355C1" w14:textId="77777777" w:rsidR="00BA19F8" w:rsidRPr="00D1606C" w:rsidRDefault="00BA19F8" w:rsidP="00BA19F8">
            <w:pPr>
              <w:pStyle w:val="TableParagraph"/>
              <w:kinsoku w:val="0"/>
              <w:overflowPunct w:val="0"/>
              <w:spacing w:before="0" w:after="0"/>
              <w:ind w:left="292" w:right="281"/>
              <w:rPr>
                <w:rFonts w:cstheme="minorHAnsi"/>
                <w:sz w:val="22"/>
                <w:szCs w:val="22"/>
              </w:rPr>
            </w:pPr>
            <w:r w:rsidRPr="00D1606C">
              <w:rPr>
                <w:rFonts w:cstheme="minorHAnsi"/>
                <w:sz w:val="22"/>
                <w:szCs w:val="22"/>
              </w:rPr>
              <w:t>2 (6.3)</w:t>
            </w:r>
          </w:p>
        </w:tc>
      </w:tr>
      <w:tr w:rsidR="00BA19F8" w:rsidRPr="00D1606C" w14:paraId="1FC53C54"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288A1F21"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Vomiting</w:t>
            </w:r>
          </w:p>
        </w:tc>
        <w:tc>
          <w:tcPr>
            <w:tcW w:w="2552" w:type="dxa"/>
            <w:tcBorders>
              <w:top w:val="single" w:sz="4" w:space="0" w:color="000000"/>
              <w:left w:val="single" w:sz="4" w:space="0" w:color="000000"/>
              <w:bottom w:val="single" w:sz="4" w:space="0" w:color="000000"/>
              <w:right w:val="single" w:sz="4" w:space="0" w:color="000000"/>
            </w:tcBorders>
          </w:tcPr>
          <w:p w14:paraId="55D90A08" w14:textId="77777777" w:rsidR="00BA19F8" w:rsidRPr="00D1606C" w:rsidRDefault="00BA19F8" w:rsidP="00BA19F8">
            <w:pPr>
              <w:pStyle w:val="TableParagraph"/>
              <w:kinsoku w:val="0"/>
              <w:overflowPunct w:val="0"/>
              <w:spacing w:before="0" w:after="0"/>
              <w:ind w:left="297" w:right="288"/>
              <w:rPr>
                <w:rFonts w:cstheme="minorHAnsi"/>
                <w:sz w:val="22"/>
                <w:szCs w:val="22"/>
              </w:rPr>
            </w:pPr>
            <w:r w:rsidRPr="00D1606C">
              <w:rPr>
                <w:rFonts w:cstheme="minorHAnsi"/>
                <w:sz w:val="22"/>
                <w:szCs w:val="22"/>
              </w:rPr>
              <w:t>31 (17.6)</w:t>
            </w:r>
          </w:p>
        </w:tc>
        <w:tc>
          <w:tcPr>
            <w:tcW w:w="2268" w:type="dxa"/>
            <w:tcBorders>
              <w:top w:val="single" w:sz="4" w:space="0" w:color="000000"/>
              <w:left w:val="single" w:sz="4" w:space="0" w:color="000000"/>
              <w:bottom w:val="single" w:sz="4" w:space="0" w:color="000000"/>
              <w:right w:val="single" w:sz="4" w:space="0" w:color="000000"/>
            </w:tcBorders>
          </w:tcPr>
          <w:p w14:paraId="0262B4F8" w14:textId="77777777" w:rsidR="00BA19F8" w:rsidRPr="00D1606C" w:rsidRDefault="00BA19F8" w:rsidP="00BA19F8">
            <w:pPr>
              <w:pStyle w:val="TableParagraph"/>
              <w:kinsoku w:val="0"/>
              <w:overflowPunct w:val="0"/>
              <w:spacing w:before="0" w:after="0"/>
              <w:ind w:left="292" w:right="280"/>
              <w:rPr>
                <w:rFonts w:cstheme="minorHAnsi"/>
                <w:sz w:val="22"/>
                <w:szCs w:val="22"/>
              </w:rPr>
            </w:pPr>
            <w:r w:rsidRPr="00D1606C">
              <w:rPr>
                <w:rFonts w:cstheme="minorHAnsi"/>
                <w:sz w:val="22"/>
                <w:szCs w:val="22"/>
              </w:rPr>
              <w:t>8 (25.0)</w:t>
            </w:r>
          </w:p>
        </w:tc>
      </w:tr>
      <w:tr w:rsidR="00BA19F8" w:rsidRPr="00D1606C" w14:paraId="077C6D3E"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6CA818C3"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Renal failure</w:t>
            </w:r>
          </w:p>
        </w:tc>
        <w:tc>
          <w:tcPr>
            <w:tcW w:w="2552" w:type="dxa"/>
            <w:tcBorders>
              <w:top w:val="single" w:sz="4" w:space="0" w:color="000000"/>
              <w:left w:val="single" w:sz="4" w:space="0" w:color="000000"/>
              <w:bottom w:val="single" w:sz="4" w:space="0" w:color="000000"/>
              <w:right w:val="single" w:sz="4" w:space="0" w:color="000000"/>
            </w:tcBorders>
          </w:tcPr>
          <w:p w14:paraId="07CAF52B" w14:textId="77777777" w:rsidR="00BA19F8" w:rsidRPr="00D1606C" w:rsidRDefault="00BA19F8" w:rsidP="00BA19F8">
            <w:pPr>
              <w:pStyle w:val="TableParagraph"/>
              <w:kinsoku w:val="0"/>
              <w:overflowPunct w:val="0"/>
              <w:spacing w:before="0" w:after="0"/>
              <w:ind w:left="297" w:right="288"/>
              <w:rPr>
                <w:rFonts w:cstheme="minorHAnsi"/>
                <w:sz w:val="22"/>
                <w:szCs w:val="22"/>
              </w:rPr>
            </w:pPr>
            <w:r w:rsidRPr="00D1606C">
              <w:rPr>
                <w:rFonts w:cstheme="minorHAnsi"/>
                <w:sz w:val="22"/>
                <w:szCs w:val="22"/>
              </w:rPr>
              <w:t>29 (16.5)</w:t>
            </w:r>
          </w:p>
        </w:tc>
        <w:tc>
          <w:tcPr>
            <w:tcW w:w="2268" w:type="dxa"/>
            <w:tcBorders>
              <w:top w:val="single" w:sz="4" w:space="0" w:color="000000"/>
              <w:left w:val="single" w:sz="4" w:space="0" w:color="000000"/>
              <w:bottom w:val="single" w:sz="4" w:space="0" w:color="000000"/>
              <w:right w:val="single" w:sz="4" w:space="0" w:color="000000"/>
            </w:tcBorders>
          </w:tcPr>
          <w:p w14:paraId="102C1DB5" w14:textId="77777777" w:rsidR="00BA19F8" w:rsidRPr="00D1606C" w:rsidRDefault="00BA19F8" w:rsidP="00BA19F8">
            <w:pPr>
              <w:pStyle w:val="TableParagraph"/>
              <w:kinsoku w:val="0"/>
              <w:overflowPunct w:val="0"/>
              <w:spacing w:before="0" w:after="0"/>
              <w:ind w:left="292" w:right="281"/>
              <w:rPr>
                <w:rFonts w:cstheme="minorHAnsi"/>
                <w:sz w:val="22"/>
                <w:szCs w:val="22"/>
              </w:rPr>
            </w:pPr>
            <w:r w:rsidRPr="00D1606C">
              <w:rPr>
                <w:rFonts w:cstheme="minorHAnsi"/>
                <w:sz w:val="22"/>
                <w:szCs w:val="22"/>
              </w:rPr>
              <w:t>1 (3.1)</w:t>
            </w:r>
          </w:p>
        </w:tc>
      </w:tr>
      <w:tr w:rsidR="00BA19F8" w:rsidRPr="00D1606C" w14:paraId="537650A0"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4B7797C0"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Nausea</w:t>
            </w:r>
          </w:p>
        </w:tc>
        <w:tc>
          <w:tcPr>
            <w:tcW w:w="2552" w:type="dxa"/>
            <w:tcBorders>
              <w:top w:val="single" w:sz="4" w:space="0" w:color="000000"/>
              <w:left w:val="single" w:sz="4" w:space="0" w:color="000000"/>
              <w:bottom w:val="single" w:sz="4" w:space="0" w:color="000000"/>
              <w:right w:val="single" w:sz="4" w:space="0" w:color="000000"/>
            </w:tcBorders>
          </w:tcPr>
          <w:p w14:paraId="46056B61" w14:textId="77777777" w:rsidR="00BA19F8" w:rsidRPr="00D1606C" w:rsidRDefault="00BA19F8" w:rsidP="00BA19F8">
            <w:pPr>
              <w:pStyle w:val="TableParagraph"/>
              <w:kinsoku w:val="0"/>
              <w:overflowPunct w:val="0"/>
              <w:spacing w:before="0" w:after="0"/>
              <w:ind w:left="297" w:right="288"/>
              <w:rPr>
                <w:rFonts w:cstheme="minorHAnsi"/>
                <w:sz w:val="22"/>
                <w:szCs w:val="22"/>
              </w:rPr>
            </w:pPr>
            <w:r w:rsidRPr="00D1606C">
              <w:rPr>
                <w:rFonts w:cstheme="minorHAnsi"/>
                <w:sz w:val="22"/>
                <w:szCs w:val="22"/>
              </w:rPr>
              <w:t>28 (15.9)</w:t>
            </w:r>
          </w:p>
        </w:tc>
        <w:tc>
          <w:tcPr>
            <w:tcW w:w="2268" w:type="dxa"/>
            <w:tcBorders>
              <w:top w:val="single" w:sz="4" w:space="0" w:color="000000"/>
              <w:left w:val="single" w:sz="4" w:space="0" w:color="000000"/>
              <w:bottom w:val="single" w:sz="4" w:space="0" w:color="000000"/>
              <w:right w:val="single" w:sz="4" w:space="0" w:color="000000"/>
            </w:tcBorders>
          </w:tcPr>
          <w:p w14:paraId="58F53EC7" w14:textId="77777777" w:rsidR="00BA19F8" w:rsidRPr="00D1606C" w:rsidRDefault="00BA19F8" w:rsidP="00BA19F8">
            <w:pPr>
              <w:pStyle w:val="TableParagraph"/>
              <w:kinsoku w:val="0"/>
              <w:overflowPunct w:val="0"/>
              <w:spacing w:before="0" w:after="0"/>
              <w:ind w:left="292" w:right="279"/>
              <w:rPr>
                <w:rFonts w:cstheme="minorHAnsi"/>
                <w:sz w:val="22"/>
                <w:szCs w:val="22"/>
              </w:rPr>
            </w:pPr>
            <w:r w:rsidRPr="00D1606C">
              <w:rPr>
                <w:rFonts w:cstheme="minorHAnsi"/>
                <w:sz w:val="22"/>
                <w:szCs w:val="22"/>
              </w:rPr>
              <w:t>10 (31.3)</w:t>
            </w:r>
          </w:p>
        </w:tc>
      </w:tr>
      <w:tr w:rsidR="00BA19F8" w:rsidRPr="00D1606C" w14:paraId="60F551A3"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CFFFF62"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Epistaxis</w:t>
            </w:r>
          </w:p>
        </w:tc>
        <w:tc>
          <w:tcPr>
            <w:tcW w:w="2552" w:type="dxa"/>
            <w:tcBorders>
              <w:top w:val="single" w:sz="4" w:space="0" w:color="000000"/>
              <w:left w:val="single" w:sz="4" w:space="0" w:color="000000"/>
              <w:bottom w:val="single" w:sz="4" w:space="0" w:color="000000"/>
              <w:right w:val="single" w:sz="4" w:space="0" w:color="000000"/>
            </w:tcBorders>
          </w:tcPr>
          <w:p w14:paraId="03F55D13" w14:textId="77777777" w:rsidR="00BA19F8" w:rsidRPr="00D1606C" w:rsidRDefault="00BA19F8" w:rsidP="00BA19F8">
            <w:pPr>
              <w:pStyle w:val="TableParagraph"/>
              <w:kinsoku w:val="0"/>
              <w:overflowPunct w:val="0"/>
              <w:spacing w:before="0" w:after="0"/>
              <w:ind w:left="296" w:right="288"/>
              <w:rPr>
                <w:rFonts w:cstheme="minorHAnsi"/>
                <w:sz w:val="22"/>
                <w:szCs w:val="22"/>
              </w:rPr>
            </w:pPr>
            <w:r w:rsidRPr="00D1606C">
              <w:rPr>
                <w:rFonts w:cstheme="minorHAnsi"/>
                <w:sz w:val="22"/>
                <w:szCs w:val="22"/>
              </w:rPr>
              <w:t>24 (13.6)</w:t>
            </w:r>
          </w:p>
        </w:tc>
        <w:tc>
          <w:tcPr>
            <w:tcW w:w="2268" w:type="dxa"/>
            <w:tcBorders>
              <w:top w:val="single" w:sz="4" w:space="0" w:color="000000"/>
              <w:left w:val="single" w:sz="4" w:space="0" w:color="000000"/>
              <w:bottom w:val="single" w:sz="4" w:space="0" w:color="000000"/>
              <w:right w:val="single" w:sz="4" w:space="0" w:color="000000"/>
            </w:tcBorders>
          </w:tcPr>
          <w:p w14:paraId="770048C9" w14:textId="77777777" w:rsidR="00BA19F8" w:rsidRPr="00D1606C" w:rsidRDefault="00BA19F8" w:rsidP="00BA19F8">
            <w:pPr>
              <w:pStyle w:val="TableParagraph"/>
              <w:kinsoku w:val="0"/>
              <w:overflowPunct w:val="0"/>
              <w:spacing w:before="0" w:after="0"/>
              <w:ind w:left="292" w:right="280"/>
              <w:rPr>
                <w:rFonts w:cstheme="minorHAnsi"/>
                <w:sz w:val="22"/>
                <w:szCs w:val="22"/>
              </w:rPr>
            </w:pPr>
            <w:r w:rsidRPr="00D1606C">
              <w:rPr>
                <w:rFonts w:cstheme="minorHAnsi"/>
                <w:sz w:val="22"/>
                <w:szCs w:val="22"/>
              </w:rPr>
              <w:t>5 (15.6)</w:t>
            </w:r>
          </w:p>
        </w:tc>
      </w:tr>
      <w:tr w:rsidR="00BA19F8" w:rsidRPr="00D1606C" w14:paraId="73C8F3ED"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3E49B58E"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Respiratory failure</w:t>
            </w:r>
          </w:p>
        </w:tc>
        <w:tc>
          <w:tcPr>
            <w:tcW w:w="2552" w:type="dxa"/>
            <w:tcBorders>
              <w:top w:val="single" w:sz="4" w:space="0" w:color="000000"/>
              <w:left w:val="single" w:sz="4" w:space="0" w:color="000000"/>
              <w:bottom w:val="single" w:sz="4" w:space="0" w:color="000000"/>
              <w:right w:val="single" w:sz="4" w:space="0" w:color="000000"/>
            </w:tcBorders>
          </w:tcPr>
          <w:p w14:paraId="2CC6CC2C" w14:textId="77777777" w:rsidR="00BA19F8" w:rsidRPr="00D1606C" w:rsidRDefault="00BA19F8" w:rsidP="00BA19F8">
            <w:pPr>
              <w:pStyle w:val="TableParagraph"/>
              <w:kinsoku w:val="0"/>
              <w:overflowPunct w:val="0"/>
              <w:spacing w:before="0" w:after="0"/>
              <w:ind w:left="297" w:right="288"/>
              <w:rPr>
                <w:rFonts w:cstheme="minorHAnsi"/>
                <w:sz w:val="22"/>
                <w:szCs w:val="22"/>
              </w:rPr>
            </w:pPr>
            <w:r w:rsidRPr="00D1606C">
              <w:rPr>
                <w:rFonts w:cstheme="minorHAnsi"/>
                <w:sz w:val="22"/>
                <w:szCs w:val="22"/>
              </w:rPr>
              <w:t>20 (11.4)</w:t>
            </w:r>
          </w:p>
        </w:tc>
        <w:tc>
          <w:tcPr>
            <w:tcW w:w="2268" w:type="dxa"/>
            <w:tcBorders>
              <w:top w:val="single" w:sz="4" w:space="0" w:color="000000"/>
              <w:left w:val="single" w:sz="4" w:space="0" w:color="000000"/>
              <w:bottom w:val="single" w:sz="4" w:space="0" w:color="000000"/>
              <w:right w:val="single" w:sz="4" w:space="0" w:color="000000"/>
            </w:tcBorders>
          </w:tcPr>
          <w:p w14:paraId="619387AD" w14:textId="77777777" w:rsidR="00BA19F8" w:rsidRPr="00D1606C" w:rsidRDefault="00BA19F8" w:rsidP="00BA19F8">
            <w:pPr>
              <w:pStyle w:val="TableParagraph"/>
              <w:kinsoku w:val="0"/>
              <w:overflowPunct w:val="0"/>
              <w:spacing w:before="0" w:after="0"/>
              <w:ind w:left="292" w:right="280"/>
              <w:rPr>
                <w:rFonts w:cstheme="minorHAnsi"/>
                <w:sz w:val="22"/>
                <w:szCs w:val="22"/>
              </w:rPr>
            </w:pPr>
            <w:r w:rsidRPr="00D1606C">
              <w:rPr>
                <w:rFonts w:cstheme="minorHAnsi"/>
                <w:sz w:val="22"/>
                <w:szCs w:val="22"/>
              </w:rPr>
              <w:t>4 (12.5)</w:t>
            </w:r>
          </w:p>
        </w:tc>
      </w:tr>
      <w:tr w:rsidR="00BA19F8" w:rsidRPr="00D1606C" w14:paraId="450F10C7"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F42C381"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Pyrexia</w:t>
            </w:r>
          </w:p>
        </w:tc>
        <w:tc>
          <w:tcPr>
            <w:tcW w:w="2552" w:type="dxa"/>
            <w:tcBorders>
              <w:top w:val="single" w:sz="4" w:space="0" w:color="000000"/>
              <w:left w:val="single" w:sz="4" w:space="0" w:color="000000"/>
              <w:bottom w:val="single" w:sz="4" w:space="0" w:color="000000"/>
              <w:right w:val="single" w:sz="4" w:space="0" w:color="000000"/>
            </w:tcBorders>
          </w:tcPr>
          <w:p w14:paraId="3F53282B" w14:textId="77777777" w:rsidR="00BA19F8" w:rsidRPr="00D1606C" w:rsidRDefault="00BA19F8" w:rsidP="00BA19F8">
            <w:pPr>
              <w:pStyle w:val="TableParagraph"/>
              <w:kinsoku w:val="0"/>
              <w:overflowPunct w:val="0"/>
              <w:spacing w:before="0" w:after="0"/>
              <w:ind w:right="288"/>
              <w:rPr>
                <w:rFonts w:cstheme="minorHAnsi"/>
                <w:sz w:val="22"/>
                <w:szCs w:val="22"/>
              </w:rPr>
            </w:pPr>
            <w:r w:rsidRPr="00D1606C">
              <w:rPr>
                <w:rFonts w:cstheme="minorHAnsi"/>
                <w:sz w:val="22"/>
                <w:szCs w:val="22"/>
              </w:rPr>
              <w:t>17 (9.7)</w:t>
            </w:r>
          </w:p>
        </w:tc>
        <w:tc>
          <w:tcPr>
            <w:tcW w:w="2268" w:type="dxa"/>
            <w:tcBorders>
              <w:top w:val="single" w:sz="4" w:space="0" w:color="000000"/>
              <w:left w:val="single" w:sz="4" w:space="0" w:color="000000"/>
              <w:bottom w:val="single" w:sz="4" w:space="0" w:color="000000"/>
              <w:right w:val="single" w:sz="4" w:space="0" w:color="000000"/>
            </w:tcBorders>
          </w:tcPr>
          <w:p w14:paraId="7438E0A5" w14:textId="77777777" w:rsidR="00BA19F8" w:rsidRPr="00D1606C" w:rsidRDefault="00BA19F8" w:rsidP="00BA19F8">
            <w:pPr>
              <w:pStyle w:val="TableParagraph"/>
              <w:kinsoku w:val="0"/>
              <w:overflowPunct w:val="0"/>
              <w:spacing w:before="0" w:after="0"/>
              <w:ind w:left="292" w:right="280"/>
              <w:rPr>
                <w:rFonts w:cstheme="minorHAnsi"/>
                <w:sz w:val="22"/>
                <w:szCs w:val="22"/>
              </w:rPr>
            </w:pPr>
            <w:r w:rsidRPr="00D1606C">
              <w:rPr>
                <w:rFonts w:cstheme="minorHAnsi"/>
                <w:sz w:val="22"/>
                <w:szCs w:val="22"/>
              </w:rPr>
              <w:t>9 (28.1)</w:t>
            </w:r>
          </w:p>
        </w:tc>
      </w:tr>
      <w:tr w:rsidR="00BA19F8" w:rsidRPr="00D1606C" w14:paraId="2E62C0EE"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6E037F6D"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Hypertension</w:t>
            </w:r>
          </w:p>
        </w:tc>
        <w:tc>
          <w:tcPr>
            <w:tcW w:w="2552" w:type="dxa"/>
            <w:tcBorders>
              <w:top w:val="single" w:sz="4" w:space="0" w:color="000000"/>
              <w:left w:val="single" w:sz="4" w:space="0" w:color="000000"/>
              <w:bottom w:val="single" w:sz="4" w:space="0" w:color="000000"/>
              <w:right w:val="single" w:sz="4" w:space="0" w:color="000000"/>
            </w:tcBorders>
          </w:tcPr>
          <w:p w14:paraId="173C7056" w14:textId="77777777" w:rsidR="00BA19F8" w:rsidRPr="00D1606C" w:rsidRDefault="00BA19F8" w:rsidP="00BA19F8">
            <w:pPr>
              <w:pStyle w:val="TableParagraph"/>
              <w:kinsoku w:val="0"/>
              <w:overflowPunct w:val="0"/>
              <w:spacing w:before="0" w:after="0"/>
              <w:ind w:right="288"/>
              <w:rPr>
                <w:rFonts w:cstheme="minorHAnsi"/>
                <w:sz w:val="22"/>
                <w:szCs w:val="22"/>
              </w:rPr>
            </w:pPr>
            <w:r w:rsidRPr="00D1606C">
              <w:rPr>
                <w:rFonts w:cstheme="minorHAnsi"/>
                <w:sz w:val="22"/>
                <w:szCs w:val="22"/>
              </w:rPr>
              <w:t>17 (9.7)</w:t>
            </w:r>
          </w:p>
        </w:tc>
        <w:tc>
          <w:tcPr>
            <w:tcW w:w="2268" w:type="dxa"/>
            <w:tcBorders>
              <w:top w:val="single" w:sz="4" w:space="0" w:color="000000"/>
              <w:left w:val="single" w:sz="4" w:space="0" w:color="000000"/>
              <w:bottom w:val="single" w:sz="4" w:space="0" w:color="000000"/>
              <w:right w:val="single" w:sz="4" w:space="0" w:color="000000"/>
            </w:tcBorders>
          </w:tcPr>
          <w:p w14:paraId="04AE50EA" w14:textId="77777777" w:rsidR="00BA19F8" w:rsidRPr="00D1606C" w:rsidRDefault="00BA19F8" w:rsidP="00BA19F8">
            <w:pPr>
              <w:pStyle w:val="TableParagraph"/>
              <w:kinsoku w:val="0"/>
              <w:overflowPunct w:val="0"/>
              <w:spacing w:before="0" w:after="0"/>
              <w:ind w:left="292" w:right="281"/>
              <w:rPr>
                <w:rFonts w:cstheme="minorHAnsi"/>
                <w:sz w:val="22"/>
                <w:szCs w:val="22"/>
              </w:rPr>
            </w:pPr>
            <w:r w:rsidRPr="00D1606C">
              <w:rPr>
                <w:rFonts w:cstheme="minorHAnsi"/>
                <w:sz w:val="22"/>
                <w:szCs w:val="22"/>
              </w:rPr>
              <w:t>1 (3.1)</w:t>
            </w:r>
          </w:p>
        </w:tc>
      </w:tr>
      <w:tr w:rsidR="00BA19F8" w:rsidRPr="00D1606C" w14:paraId="6E06189F"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1D902C7A"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Hypoxia</w:t>
            </w:r>
          </w:p>
        </w:tc>
        <w:tc>
          <w:tcPr>
            <w:tcW w:w="2552" w:type="dxa"/>
            <w:tcBorders>
              <w:top w:val="single" w:sz="4" w:space="0" w:color="000000"/>
              <w:left w:val="single" w:sz="4" w:space="0" w:color="000000"/>
              <w:bottom w:val="single" w:sz="4" w:space="0" w:color="000000"/>
              <w:right w:val="single" w:sz="4" w:space="0" w:color="000000"/>
            </w:tcBorders>
          </w:tcPr>
          <w:p w14:paraId="3F06F8C5" w14:textId="77777777" w:rsidR="00BA19F8" w:rsidRPr="00D1606C" w:rsidRDefault="00BA19F8" w:rsidP="00BA19F8">
            <w:pPr>
              <w:pStyle w:val="TableParagraph"/>
              <w:kinsoku w:val="0"/>
              <w:overflowPunct w:val="0"/>
              <w:spacing w:before="0" w:after="0"/>
              <w:ind w:right="288"/>
              <w:rPr>
                <w:rFonts w:cstheme="minorHAnsi"/>
                <w:sz w:val="22"/>
                <w:szCs w:val="22"/>
              </w:rPr>
            </w:pPr>
            <w:r w:rsidRPr="00D1606C">
              <w:rPr>
                <w:rFonts w:cstheme="minorHAnsi"/>
                <w:sz w:val="22"/>
                <w:szCs w:val="22"/>
              </w:rPr>
              <w:t>17 (9.7)</w:t>
            </w:r>
          </w:p>
        </w:tc>
        <w:tc>
          <w:tcPr>
            <w:tcW w:w="2268" w:type="dxa"/>
            <w:tcBorders>
              <w:top w:val="single" w:sz="4" w:space="0" w:color="000000"/>
              <w:left w:val="single" w:sz="4" w:space="0" w:color="000000"/>
              <w:bottom w:val="single" w:sz="4" w:space="0" w:color="000000"/>
              <w:right w:val="single" w:sz="4" w:space="0" w:color="000000"/>
            </w:tcBorders>
          </w:tcPr>
          <w:p w14:paraId="09827D1B" w14:textId="77777777" w:rsidR="00BA19F8" w:rsidRPr="00D1606C" w:rsidRDefault="00BA19F8" w:rsidP="00BA19F8">
            <w:pPr>
              <w:pStyle w:val="TableParagraph"/>
              <w:kinsoku w:val="0"/>
              <w:overflowPunct w:val="0"/>
              <w:spacing w:before="0" w:after="0"/>
              <w:ind w:left="13"/>
              <w:rPr>
                <w:rFonts w:cstheme="minorHAnsi"/>
                <w:sz w:val="22"/>
                <w:szCs w:val="22"/>
              </w:rPr>
            </w:pPr>
            <w:r w:rsidRPr="00D1606C">
              <w:rPr>
                <w:rFonts w:cstheme="minorHAnsi"/>
                <w:sz w:val="22"/>
                <w:szCs w:val="22"/>
              </w:rPr>
              <w:t>0</w:t>
            </w:r>
          </w:p>
        </w:tc>
      </w:tr>
      <w:tr w:rsidR="00BA19F8" w:rsidRPr="00D1606C" w14:paraId="782A06EF"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AEB8538"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Pr>
                <w:rFonts w:cstheme="minorHAnsi"/>
                <w:sz w:val="22"/>
                <w:szCs w:val="22"/>
              </w:rPr>
              <w:t>Agitation</w:t>
            </w:r>
          </w:p>
        </w:tc>
        <w:tc>
          <w:tcPr>
            <w:tcW w:w="2552" w:type="dxa"/>
            <w:tcBorders>
              <w:top w:val="single" w:sz="4" w:space="0" w:color="000000"/>
              <w:left w:val="single" w:sz="4" w:space="0" w:color="000000"/>
              <w:bottom w:val="single" w:sz="4" w:space="0" w:color="000000"/>
              <w:right w:val="single" w:sz="4" w:space="0" w:color="000000"/>
            </w:tcBorders>
          </w:tcPr>
          <w:p w14:paraId="3862A01E" w14:textId="77777777" w:rsidR="00BA19F8" w:rsidRPr="00D1606C" w:rsidRDefault="00BA19F8" w:rsidP="00BA19F8">
            <w:pPr>
              <w:pStyle w:val="TableParagraph"/>
              <w:kinsoku w:val="0"/>
              <w:overflowPunct w:val="0"/>
              <w:spacing w:before="0" w:after="0"/>
              <w:ind w:right="288"/>
              <w:rPr>
                <w:rFonts w:cstheme="minorHAnsi"/>
                <w:sz w:val="22"/>
                <w:szCs w:val="22"/>
              </w:rPr>
            </w:pPr>
            <w:r>
              <w:rPr>
                <w:rFonts w:cstheme="minorHAnsi"/>
                <w:sz w:val="22"/>
                <w:szCs w:val="22"/>
              </w:rPr>
              <w:t>15 (8.5)</w:t>
            </w:r>
          </w:p>
        </w:tc>
        <w:tc>
          <w:tcPr>
            <w:tcW w:w="2268" w:type="dxa"/>
            <w:tcBorders>
              <w:top w:val="single" w:sz="4" w:space="0" w:color="000000"/>
              <w:left w:val="single" w:sz="4" w:space="0" w:color="000000"/>
              <w:bottom w:val="single" w:sz="4" w:space="0" w:color="000000"/>
              <w:right w:val="single" w:sz="4" w:space="0" w:color="000000"/>
            </w:tcBorders>
          </w:tcPr>
          <w:p w14:paraId="3AA57298" w14:textId="77777777" w:rsidR="00BA19F8" w:rsidRPr="00D1606C"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9 (28.1)</w:t>
            </w:r>
          </w:p>
        </w:tc>
      </w:tr>
      <w:tr w:rsidR="00BA19F8" w:rsidRPr="00D1606C" w14:paraId="78356368"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F58F73B"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Haematuria</w:t>
            </w:r>
          </w:p>
        </w:tc>
        <w:tc>
          <w:tcPr>
            <w:tcW w:w="2552" w:type="dxa"/>
            <w:tcBorders>
              <w:top w:val="single" w:sz="4" w:space="0" w:color="000000"/>
              <w:left w:val="single" w:sz="4" w:space="0" w:color="000000"/>
              <w:bottom w:val="single" w:sz="4" w:space="0" w:color="000000"/>
              <w:right w:val="single" w:sz="4" w:space="0" w:color="000000"/>
            </w:tcBorders>
          </w:tcPr>
          <w:p w14:paraId="13118EBE" w14:textId="77777777" w:rsidR="00BA19F8" w:rsidRPr="00D1606C" w:rsidRDefault="00BA19F8" w:rsidP="00BA19F8">
            <w:pPr>
              <w:pStyle w:val="TableParagraph"/>
              <w:kinsoku w:val="0"/>
              <w:overflowPunct w:val="0"/>
              <w:spacing w:before="0" w:after="0"/>
              <w:ind w:right="288"/>
              <w:rPr>
                <w:rFonts w:cstheme="minorHAnsi"/>
                <w:sz w:val="22"/>
                <w:szCs w:val="22"/>
              </w:rPr>
            </w:pPr>
            <w:r w:rsidRPr="00D1606C">
              <w:rPr>
                <w:rFonts w:cstheme="minorHAnsi"/>
                <w:sz w:val="22"/>
                <w:szCs w:val="22"/>
              </w:rPr>
              <w:t>15 (8.5)</w:t>
            </w:r>
          </w:p>
        </w:tc>
        <w:tc>
          <w:tcPr>
            <w:tcW w:w="2268" w:type="dxa"/>
            <w:tcBorders>
              <w:top w:val="single" w:sz="4" w:space="0" w:color="000000"/>
              <w:left w:val="single" w:sz="4" w:space="0" w:color="000000"/>
              <w:bottom w:val="single" w:sz="4" w:space="0" w:color="000000"/>
              <w:right w:val="single" w:sz="4" w:space="0" w:color="000000"/>
            </w:tcBorders>
          </w:tcPr>
          <w:p w14:paraId="239DCFB0" w14:textId="77777777" w:rsidR="00BA19F8" w:rsidRPr="00D1606C" w:rsidRDefault="00BA19F8" w:rsidP="00BA19F8">
            <w:pPr>
              <w:pStyle w:val="TableParagraph"/>
              <w:kinsoku w:val="0"/>
              <w:overflowPunct w:val="0"/>
              <w:spacing w:before="0" w:after="0"/>
              <w:ind w:left="292" w:right="280"/>
              <w:rPr>
                <w:rFonts w:cstheme="minorHAnsi"/>
                <w:sz w:val="22"/>
                <w:szCs w:val="22"/>
              </w:rPr>
            </w:pPr>
            <w:r w:rsidRPr="00D1606C">
              <w:rPr>
                <w:rFonts w:cstheme="minorHAnsi"/>
                <w:sz w:val="22"/>
                <w:szCs w:val="22"/>
              </w:rPr>
              <w:t>5 (15.6)</w:t>
            </w:r>
          </w:p>
        </w:tc>
      </w:tr>
      <w:tr w:rsidR="00BA19F8" w:rsidRPr="00D1606C" w14:paraId="18D36EEE"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33339022" w14:textId="77777777" w:rsidR="00BA19F8" w:rsidRPr="00D1606C" w:rsidRDefault="00BA19F8" w:rsidP="00BA19F8">
            <w:pPr>
              <w:pStyle w:val="TableParagraph"/>
              <w:kinsoku w:val="0"/>
              <w:overflowPunct w:val="0"/>
              <w:spacing w:before="0" w:after="0"/>
              <w:ind w:left="680"/>
              <w:jc w:val="left"/>
              <w:rPr>
                <w:rFonts w:cstheme="minorHAnsi"/>
                <w:sz w:val="22"/>
                <w:szCs w:val="22"/>
              </w:rPr>
            </w:pPr>
            <w:r w:rsidRPr="00D1606C">
              <w:rPr>
                <w:rFonts w:cstheme="minorHAnsi"/>
                <w:sz w:val="22"/>
                <w:szCs w:val="22"/>
              </w:rPr>
              <w:t>Pulmonary alveolar haemorrhage</w:t>
            </w:r>
          </w:p>
        </w:tc>
        <w:tc>
          <w:tcPr>
            <w:tcW w:w="2552" w:type="dxa"/>
            <w:tcBorders>
              <w:top w:val="single" w:sz="4" w:space="0" w:color="000000"/>
              <w:left w:val="single" w:sz="4" w:space="0" w:color="000000"/>
              <w:bottom w:val="single" w:sz="4" w:space="0" w:color="000000"/>
              <w:right w:val="single" w:sz="4" w:space="0" w:color="000000"/>
            </w:tcBorders>
          </w:tcPr>
          <w:p w14:paraId="5C2D2BDC" w14:textId="77777777" w:rsidR="00BA19F8" w:rsidRPr="00D1606C" w:rsidRDefault="00BA19F8" w:rsidP="00BA19F8">
            <w:pPr>
              <w:pStyle w:val="TableParagraph"/>
              <w:kinsoku w:val="0"/>
              <w:overflowPunct w:val="0"/>
              <w:spacing w:before="0" w:after="0"/>
              <w:ind w:right="288"/>
              <w:rPr>
                <w:rFonts w:cstheme="minorHAnsi"/>
                <w:sz w:val="22"/>
                <w:szCs w:val="22"/>
              </w:rPr>
            </w:pPr>
            <w:r w:rsidRPr="00D1606C">
              <w:rPr>
                <w:rFonts w:cstheme="minorHAnsi"/>
                <w:sz w:val="22"/>
                <w:szCs w:val="22"/>
              </w:rPr>
              <w:t>15 (8.5)</w:t>
            </w:r>
          </w:p>
        </w:tc>
        <w:tc>
          <w:tcPr>
            <w:tcW w:w="2268" w:type="dxa"/>
            <w:tcBorders>
              <w:top w:val="single" w:sz="4" w:space="0" w:color="000000"/>
              <w:left w:val="single" w:sz="4" w:space="0" w:color="000000"/>
              <w:bottom w:val="single" w:sz="4" w:space="0" w:color="000000"/>
              <w:right w:val="single" w:sz="4" w:space="0" w:color="000000"/>
            </w:tcBorders>
          </w:tcPr>
          <w:p w14:paraId="4BF88A03" w14:textId="77777777" w:rsidR="00BA19F8" w:rsidRPr="00D1606C" w:rsidRDefault="00BA19F8" w:rsidP="00BA19F8">
            <w:pPr>
              <w:pStyle w:val="TableParagraph"/>
              <w:kinsoku w:val="0"/>
              <w:overflowPunct w:val="0"/>
              <w:spacing w:before="0" w:after="0"/>
              <w:ind w:left="292" w:right="280"/>
              <w:rPr>
                <w:rFonts w:cstheme="minorHAnsi"/>
                <w:sz w:val="22"/>
                <w:szCs w:val="22"/>
              </w:rPr>
            </w:pPr>
            <w:r w:rsidRPr="00D1606C">
              <w:rPr>
                <w:rFonts w:cstheme="minorHAnsi"/>
                <w:sz w:val="22"/>
                <w:szCs w:val="22"/>
              </w:rPr>
              <w:t>5 (15.6)</w:t>
            </w:r>
          </w:p>
        </w:tc>
      </w:tr>
      <w:tr w:rsidR="00BA19F8" w:rsidRPr="00D1606C" w14:paraId="1B53B802"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02537223"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Gastrointestinal haemorrhage</w:t>
            </w:r>
          </w:p>
        </w:tc>
        <w:tc>
          <w:tcPr>
            <w:tcW w:w="2552" w:type="dxa"/>
            <w:tcBorders>
              <w:top w:val="single" w:sz="4" w:space="0" w:color="000000"/>
              <w:left w:val="single" w:sz="4" w:space="0" w:color="000000"/>
              <w:bottom w:val="single" w:sz="4" w:space="0" w:color="000000"/>
              <w:right w:val="single" w:sz="4" w:space="0" w:color="000000"/>
            </w:tcBorders>
          </w:tcPr>
          <w:p w14:paraId="564E5BBD" w14:textId="77777777" w:rsidR="00BA19F8" w:rsidRPr="00D1606C" w:rsidRDefault="00BA19F8" w:rsidP="00BA19F8">
            <w:pPr>
              <w:pStyle w:val="TableParagraph"/>
              <w:kinsoku w:val="0"/>
              <w:overflowPunct w:val="0"/>
              <w:spacing w:before="0" w:after="0"/>
              <w:ind w:right="288"/>
              <w:rPr>
                <w:rFonts w:cstheme="minorHAnsi"/>
                <w:sz w:val="22"/>
                <w:szCs w:val="22"/>
              </w:rPr>
            </w:pPr>
            <w:r w:rsidRPr="00D1606C">
              <w:rPr>
                <w:rFonts w:cstheme="minorHAnsi"/>
                <w:sz w:val="22"/>
                <w:szCs w:val="22"/>
              </w:rPr>
              <w:t>15 (8.5)</w:t>
            </w:r>
          </w:p>
        </w:tc>
        <w:tc>
          <w:tcPr>
            <w:tcW w:w="2268" w:type="dxa"/>
            <w:tcBorders>
              <w:top w:val="single" w:sz="4" w:space="0" w:color="000000"/>
              <w:left w:val="single" w:sz="4" w:space="0" w:color="000000"/>
              <w:bottom w:val="single" w:sz="4" w:space="0" w:color="000000"/>
              <w:right w:val="single" w:sz="4" w:space="0" w:color="000000"/>
            </w:tcBorders>
          </w:tcPr>
          <w:p w14:paraId="17225641" w14:textId="77777777" w:rsidR="00BA19F8" w:rsidRPr="00D1606C" w:rsidRDefault="00BA19F8" w:rsidP="00BA19F8">
            <w:pPr>
              <w:pStyle w:val="TableParagraph"/>
              <w:kinsoku w:val="0"/>
              <w:overflowPunct w:val="0"/>
              <w:spacing w:before="0" w:after="0"/>
              <w:ind w:left="292" w:right="281"/>
              <w:rPr>
                <w:rFonts w:cstheme="minorHAnsi"/>
                <w:sz w:val="22"/>
                <w:szCs w:val="22"/>
              </w:rPr>
            </w:pPr>
            <w:r w:rsidRPr="00D1606C">
              <w:rPr>
                <w:rFonts w:cstheme="minorHAnsi"/>
                <w:sz w:val="22"/>
                <w:szCs w:val="22"/>
              </w:rPr>
              <w:t>3 (9.4)</w:t>
            </w:r>
          </w:p>
        </w:tc>
      </w:tr>
      <w:tr w:rsidR="00BA19F8" w:rsidRPr="00D1606C" w14:paraId="463C9E63"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5C6E7A2" w14:textId="77777777" w:rsidR="00BA19F8" w:rsidRPr="00D1606C" w:rsidRDefault="00BA19F8" w:rsidP="00BA19F8">
            <w:pPr>
              <w:pStyle w:val="TableParagraph"/>
              <w:kinsoku w:val="0"/>
              <w:overflowPunct w:val="0"/>
              <w:spacing w:before="0" w:after="0"/>
              <w:ind w:left="680"/>
              <w:jc w:val="both"/>
              <w:rPr>
                <w:rFonts w:cstheme="minorHAnsi"/>
                <w:sz w:val="22"/>
                <w:szCs w:val="22"/>
              </w:rPr>
            </w:pPr>
            <w:proofErr w:type="spellStart"/>
            <w:r w:rsidRPr="00D1606C">
              <w:rPr>
                <w:rFonts w:cstheme="minorHAnsi"/>
                <w:sz w:val="22"/>
                <w:szCs w:val="22"/>
              </w:rPr>
              <w:t>Confusional</w:t>
            </w:r>
            <w:proofErr w:type="spellEnd"/>
            <w:r w:rsidRPr="00D1606C">
              <w:rPr>
                <w:rFonts w:cstheme="minorHAnsi"/>
                <w:sz w:val="22"/>
                <w:szCs w:val="22"/>
              </w:rPr>
              <w:t xml:space="preserve"> state</w:t>
            </w:r>
          </w:p>
        </w:tc>
        <w:tc>
          <w:tcPr>
            <w:tcW w:w="2552" w:type="dxa"/>
            <w:tcBorders>
              <w:top w:val="single" w:sz="4" w:space="0" w:color="000000"/>
              <w:left w:val="single" w:sz="4" w:space="0" w:color="000000"/>
              <w:bottom w:val="single" w:sz="4" w:space="0" w:color="000000"/>
              <w:right w:val="single" w:sz="4" w:space="0" w:color="000000"/>
            </w:tcBorders>
          </w:tcPr>
          <w:p w14:paraId="6AB139EB" w14:textId="77777777" w:rsidR="00BA19F8" w:rsidRPr="00D1606C" w:rsidRDefault="00BA19F8" w:rsidP="00BA19F8">
            <w:pPr>
              <w:pStyle w:val="TableParagraph"/>
              <w:kinsoku w:val="0"/>
              <w:overflowPunct w:val="0"/>
              <w:spacing w:before="0" w:after="0"/>
              <w:ind w:right="288"/>
              <w:rPr>
                <w:rFonts w:cstheme="minorHAnsi"/>
                <w:sz w:val="22"/>
                <w:szCs w:val="22"/>
              </w:rPr>
            </w:pPr>
            <w:r w:rsidRPr="00D1606C">
              <w:rPr>
                <w:rFonts w:cstheme="minorHAnsi"/>
                <w:sz w:val="22"/>
                <w:szCs w:val="22"/>
              </w:rPr>
              <w:t>13 (7.4)</w:t>
            </w:r>
          </w:p>
        </w:tc>
        <w:tc>
          <w:tcPr>
            <w:tcW w:w="2268" w:type="dxa"/>
            <w:tcBorders>
              <w:top w:val="single" w:sz="4" w:space="0" w:color="000000"/>
              <w:left w:val="single" w:sz="4" w:space="0" w:color="000000"/>
              <w:bottom w:val="single" w:sz="4" w:space="0" w:color="000000"/>
              <w:right w:val="single" w:sz="4" w:space="0" w:color="000000"/>
            </w:tcBorders>
          </w:tcPr>
          <w:p w14:paraId="2C07E72E" w14:textId="77777777" w:rsidR="00BA19F8" w:rsidRPr="00D1606C" w:rsidRDefault="00BA19F8" w:rsidP="00BA19F8">
            <w:pPr>
              <w:pStyle w:val="TableParagraph"/>
              <w:kinsoku w:val="0"/>
              <w:overflowPunct w:val="0"/>
              <w:spacing w:before="0" w:after="0"/>
              <w:ind w:left="292" w:right="280"/>
              <w:rPr>
                <w:rFonts w:cstheme="minorHAnsi"/>
                <w:sz w:val="22"/>
                <w:szCs w:val="22"/>
              </w:rPr>
            </w:pPr>
            <w:r w:rsidRPr="00D1606C">
              <w:rPr>
                <w:rFonts w:cstheme="minorHAnsi"/>
                <w:sz w:val="22"/>
                <w:szCs w:val="22"/>
              </w:rPr>
              <w:t>5 (15.6)</w:t>
            </w:r>
          </w:p>
        </w:tc>
      </w:tr>
      <w:tr w:rsidR="00BA19F8" w:rsidRPr="00D1606C" w14:paraId="34951BD5"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1E950B2B" w14:textId="77777777" w:rsidR="00BA19F8" w:rsidRPr="00D1606C" w:rsidRDefault="00BA19F8" w:rsidP="00BA19F8">
            <w:pPr>
              <w:pStyle w:val="TableParagraph"/>
              <w:kinsoku w:val="0"/>
              <w:overflowPunct w:val="0"/>
              <w:spacing w:before="0" w:after="0"/>
              <w:ind w:left="680"/>
              <w:jc w:val="left"/>
              <w:rPr>
                <w:rFonts w:cstheme="minorHAnsi"/>
                <w:sz w:val="22"/>
                <w:szCs w:val="22"/>
              </w:rPr>
            </w:pPr>
            <w:r w:rsidRPr="00D1606C">
              <w:rPr>
                <w:rFonts w:cstheme="minorHAnsi"/>
                <w:sz w:val="22"/>
                <w:szCs w:val="22"/>
              </w:rPr>
              <w:t>Peripheral oedema</w:t>
            </w:r>
          </w:p>
        </w:tc>
        <w:tc>
          <w:tcPr>
            <w:tcW w:w="2552" w:type="dxa"/>
            <w:tcBorders>
              <w:top w:val="single" w:sz="4" w:space="0" w:color="000000"/>
              <w:left w:val="single" w:sz="4" w:space="0" w:color="000000"/>
              <w:bottom w:val="single" w:sz="4" w:space="0" w:color="000000"/>
              <w:right w:val="single" w:sz="4" w:space="0" w:color="000000"/>
            </w:tcBorders>
          </w:tcPr>
          <w:p w14:paraId="56DA23DF" w14:textId="77777777" w:rsidR="00BA19F8" w:rsidRPr="00D1606C" w:rsidRDefault="00BA19F8" w:rsidP="00BA19F8">
            <w:pPr>
              <w:pStyle w:val="TableParagraph"/>
              <w:kinsoku w:val="0"/>
              <w:overflowPunct w:val="0"/>
              <w:spacing w:before="0" w:after="0"/>
              <w:ind w:right="288"/>
              <w:rPr>
                <w:rFonts w:cstheme="minorHAnsi"/>
                <w:sz w:val="22"/>
                <w:szCs w:val="22"/>
              </w:rPr>
            </w:pPr>
            <w:r w:rsidRPr="00D1606C">
              <w:rPr>
                <w:rFonts w:cstheme="minorHAnsi"/>
                <w:sz w:val="22"/>
                <w:szCs w:val="22"/>
              </w:rPr>
              <w:t>13 (7.4)</w:t>
            </w:r>
          </w:p>
        </w:tc>
        <w:tc>
          <w:tcPr>
            <w:tcW w:w="2268" w:type="dxa"/>
            <w:tcBorders>
              <w:top w:val="single" w:sz="4" w:space="0" w:color="000000"/>
              <w:left w:val="single" w:sz="4" w:space="0" w:color="000000"/>
              <w:bottom w:val="single" w:sz="4" w:space="0" w:color="000000"/>
              <w:right w:val="single" w:sz="4" w:space="0" w:color="000000"/>
            </w:tcBorders>
          </w:tcPr>
          <w:p w14:paraId="099F0525" w14:textId="77777777" w:rsidR="00BA19F8" w:rsidRPr="00D1606C" w:rsidRDefault="00BA19F8" w:rsidP="00BA19F8">
            <w:pPr>
              <w:pStyle w:val="TableParagraph"/>
              <w:kinsoku w:val="0"/>
              <w:overflowPunct w:val="0"/>
              <w:spacing w:before="0" w:after="0"/>
              <w:ind w:left="292" w:right="280"/>
              <w:rPr>
                <w:rFonts w:cstheme="minorHAnsi"/>
                <w:sz w:val="22"/>
                <w:szCs w:val="22"/>
              </w:rPr>
            </w:pPr>
            <w:r w:rsidRPr="00D1606C">
              <w:rPr>
                <w:rFonts w:cstheme="minorHAnsi"/>
                <w:sz w:val="22"/>
                <w:szCs w:val="22"/>
              </w:rPr>
              <w:t>4 (12.5)</w:t>
            </w:r>
          </w:p>
        </w:tc>
      </w:tr>
      <w:tr w:rsidR="00BA19F8" w:rsidRPr="00D1606C" w14:paraId="20339E3A"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5759877B" w14:textId="77777777" w:rsidR="00BA19F8" w:rsidRPr="00D1606C" w:rsidRDefault="00BA19F8" w:rsidP="00BA19F8">
            <w:pPr>
              <w:pStyle w:val="TableParagraph"/>
              <w:kinsoku w:val="0"/>
              <w:overflowPunct w:val="0"/>
              <w:spacing w:before="0" w:after="0"/>
              <w:ind w:left="680"/>
              <w:jc w:val="both"/>
              <w:rPr>
                <w:rFonts w:cstheme="minorHAnsi"/>
                <w:sz w:val="22"/>
                <w:szCs w:val="22"/>
              </w:rPr>
            </w:pPr>
            <w:proofErr w:type="spellStart"/>
            <w:r w:rsidRPr="00D1606C">
              <w:rPr>
                <w:rFonts w:cstheme="minorHAnsi"/>
                <w:sz w:val="22"/>
                <w:szCs w:val="22"/>
              </w:rPr>
              <w:t>Exfoliative</w:t>
            </w:r>
            <w:proofErr w:type="spellEnd"/>
            <w:r w:rsidRPr="00D1606C">
              <w:rPr>
                <w:rFonts w:cstheme="minorHAnsi"/>
                <w:sz w:val="22"/>
                <w:szCs w:val="22"/>
              </w:rPr>
              <w:t xml:space="preserve"> rash</w:t>
            </w:r>
          </w:p>
        </w:tc>
        <w:tc>
          <w:tcPr>
            <w:tcW w:w="2552" w:type="dxa"/>
            <w:tcBorders>
              <w:top w:val="single" w:sz="4" w:space="0" w:color="000000"/>
              <w:left w:val="single" w:sz="4" w:space="0" w:color="000000"/>
              <w:bottom w:val="single" w:sz="4" w:space="0" w:color="000000"/>
              <w:right w:val="single" w:sz="4" w:space="0" w:color="000000"/>
            </w:tcBorders>
          </w:tcPr>
          <w:p w14:paraId="20AF5001" w14:textId="77777777" w:rsidR="00BA19F8" w:rsidRPr="00D1606C" w:rsidRDefault="00BA19F8" w:rsidP="00BA19F8">
            <w:pPr>
              <w:pStyle w:val="TableParagraph"/>
              <w:kinsoku w:val="0"/>
              <w:overflowPunct w:val="0"/>
              <w:spacing w:before="0" w:after="0"/>
              <w:ind w:right="288"/>
              <w:rPr>
                <w:rFonts w:cstheme="minorHAnsi"/>
                <w:sz w:val="22"/>
                <w:szCs w:val="22"/>
              </w:rPr>
            </w:pPr>
            <w:r w:rsidRPr="00D1606C">
              <w:rPr>
                <w:rFonts w:cstheme="minorHAnsi"/>
                <w:sz w:val="22"/>
                <w:szCs w:val="22"/>
              </w:rPr>
              <w:t>13 (7.4)</w:t>
            </w:r>
          </w:p>
        </w:tc>
        <w:tc>
          <w:tcPr>
            <w:tcW w:w="2268" w:type="dxa"/>
            <w:tcBorders>
              <w:top w:val="single" w:sz="4" w:space="0" w:color="000000"/>
              <w:left w:val="single" w:sz="4" w:space="0" w:color="000000"/>
              <w:bottom w:val="single" w:sz="4" w:space="0" w:color="000000"/>
              <w:right w:val="single" w:sz="4" w:space="0" w:color="000000"/>
            </w:tcBorders>
          </w:tcPr>
          <w:p w14:paraId="009CF36F" w14:textId="77777777" w:rsidR="00BA19F8" w:rsidRPr="00D1606C" w:rsidRDefault="00BA19F8" w:rsidP="00BA19F8">
            <w:pPr>
              <w:pStyle w:val="TableParagraph"/>
              <w:kinsoku w:val="0"/>
              <w:overflowPunct w:val="0"/>
              <w:spacing w:before="0" w:after="0"/>
              <w:ind w:left="292" w:right="280"/>
              <w:rPr>
                <w:rFonts w:cstheme="minorHAnsi"/>
                <w:sz w:val="22"/>
                <w:szCs w:val="22"/>
              </w:rPr>
            </w:pPr>
            <w:r w:rsidRPr="00D1606C">
              <w:rPr>
                <w:rFonts w:cstheme="minorHAnsi"/>
                <w:sz w:val="22"/>
                <w:szCs w:val="22"/>
              </w:rPr>
              <w:t>0</w:t>
            </w:r>
          </w:p>
        </w:tc>
      </w:tr>
      <w:tr w:rsidR="00BA19F8" w:rsidRPr="00D1606C" w14:paraId="03D7B73A"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749D3AF"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Pleural effusion</w:t>
            </w:r>
          </w:p>
        </w:tc>
        <w:tc>
          <w:tcPr>
            <w:tcW w:w="2552" w:type="dxa"/>
            <w:tcBorders>
              <w:top w:val="single" w:sz="4" w:space="0" w:color="000000"/>
              <w:left w:val="single" w:sz="4" w:space="0" w:color="000000"/>
              <w:bottom w:val="single" w:sz="4" w:space="0" w:color="000000"/>
              <w:right w:val="single" w:sz="4" w:space="0" w:color="000000"/>
            </w:tcBorders>
          </w:tcPr>
          <w:p w14:paraId="664AEA41" w14:textId="77777777" w:rsidR="00BA19F8" w:rsidRPr="00D1606C" w:rsidRDefault="00BA19F8" w:rsidP="00BA19F8">
            <w:pPr>
              <w:pStyle w:val="TableParagraph"/>
              <w:kinsoku w:val="0"/>
              <w:overflowPunct w:val="0"/>
              <w:spacing w:before="0" w:after="0"/>
              <w:ind w:right="288"/>
              <w:rPr>
                <w:rFonts w:cstheme="minorHAnsi"/>
                <w:sz w:val="22"/>
                <w:szCs w:val="22"/>
              </w:rPr>
            </w:pPr>
            <w:r w:rsidRPr="00D1606C">
              <w:rPr>
                <w:rFonts w:cstheme="minorHAnsi"/>
                <w:sz w:val="22"/>
                <w:szCs w:val="22"/>
              </w:rPr>
              <w:t>12 (6.8)</w:t>
            </w:r>
          </w:p>
        </w:tc>
        <w:tc>
          <w:tcPr>
            <w:tcW w:w="2268" w:type="dxa"/>
            <w:tcBorders>
              <w:top w:val="single" w:sz="4" w:space="0" w:color="000000"/>
              <w:left w:val="single" w:sz="4" w:space="0" w:color="000000"/>
              <w:bottom w:val="single" w:sz="4" w:space="0" w:color="000000"/>
              <w:right w:val="single" w:sz="4" w:space="0" w:color="000000"/>
            </w:tcBorders>
          </w:tcPr>
          <w:p w14:paraId="6309A3A4" w14:textId="77777777" w:rsidR="00BA19F8" w:rsidRPr="00D1606C" w:rsidRDefault="00BA19F8" w:rsidP="00BA19F8">
            <w:pPr>
              <w:pStyle w:val="TableParagraph"/>
              <w:kinsoku w:val="0"/>
              <w:overflowPunct w:val="0"/>
              <w:spacing w:before="0" w:after="0"/>
              <w:ind w:left="292" w:right="280"/>
              <w:rPr>
                <w:rFonts w:cstheme="minorHAnsi"/>
                <w:sz w:val="22"/>
                <w:szCs w:val="22"/>
              </w:rPr>
            </w:pPr>
            <w:r w:rsidRPr="00D1606C">
              <w:rPr>
                <w:rFonts w:cstheme="minorHAnsi"/>
                <w:sz w:val="22"/>
                <w:szCs w:val="22"/>
              </w:rPr>
              <w:t>6 (18.8)</w:t>
            </w:r>
          </w:p>
        </w:tc>
      </w:tr>
      <w:tr w:rsidR="00BA19F8" w:rsidRPr="00D1606C" w14:paraId="511BC0BF"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059CEE16"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Pr>
                <w:rFonts w:cstheme="minorHAnsi"/>
                <w:sz w:val="22"/>
                <w:szCs w:val="22"/>
              </w:rPr>
              <w:t>Sepsis</w:t>
            </w:r>
          </w:p>
        </w:tc>
        <w:tc>
          <w:tcPr>
            <w:tcW w:w="2552" w:type="dxa"/>
            <w:tcBorders>
              <w:top w:val="single" w:sz="4" w:space="0" w:color="000000"/>
              <w:left w:val="single" w:sz="4" w:space="0" w:color="000000"/>
              <w:bottom w:val="single" w:sz="4" w:space="0" w:color="000000"/>
              <w:right w:val="single" w:sz="4" w:space="0" w:color="000000"/>
            </w:tcBorders>
          </w:tcPr>
          <w:p w14:paraId="70667670" w14:textId="77777777" w:rsidR="00BA19F8" w:rsidRPr="00D1606C" w:rsidRDefault="00BA19F8" w:rsidP="00BA19F8">
            <w:pPr>
              <w:pStyle w:val="TableParagraph"/>
              <w:kinsoku w:val="0"/>
              <w:overflowPunct w:val="0"/>
              <w:spacing w:before="0" w:after="0"/>
              <w:ind w:right="288"/>
              <w:rPr>
                <w:rFonts w:cstheme="minorHAnsi"/>
                <w:sz w:val="22"/>
                <w:szCs w:val="22"/>
              </w:rPr>
            </w:pPr>
            <w:r>
              <w:rPr>
                <w:rFonts w:cstheme="minorHAnsi"/>
                <w:sz w:val="22"/>
                <w:szCs w:val="22"/>
              </w:rPr>
              <w:t>12 (6.8)</w:t>
            </w:r>
          </w:p>
        </w:tc>
        <w:tc>
          <w:tcPr>
            <w:tcW w:w="2268" w:type="dxa"/>
            <w:tcBorders>
              <w:top w:val="single" w:sz="4" w:space="0" w:color="000000"/>
              <w:left w:val="single" w:sz="4" w:space="0" w:color="000000"/>
              <w:bottom w:val="single" w:sz="4" w:space="0" w:color="000000"/>
              <w:right w:val="single" w:sz="4" w:space="0" w:color="000000"/>
            </w:tcBorders>
          </w:tcPr>
          <w:p w14:paraId="25DAAC96" w14:textId="77777777" w:rsidR="00BA19F8" w:rsidRPr="00D1606C"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534C9A57"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30BE3974"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Abdominal pain</w:t>
            </w:r>
          </w:p>
        </w:tc>
        <w:tc>
          <w:tcPr>
            <w:tcW w:w="2552" w:type="dxa"/>
            <w:tcBorders>
              <w:top w:val="single" w:sz="4" w:space="0" w:color="000000"/>
              <w:left w:val="single" w:sz="4" w:space="0" w:color="000000"/>
              <w:bottom w:val="single" w:sz="4" w:space="0" w:color="000000"/>
              <w:right w:val="single" w:sz="4" w:space="0" w:color="000000"/>
            </w:tcBorders>
          </w:tcPr>
          <w:p w14:paraId="0CAED75C" w14:textId="77777777" w:rsidR="00BA19F8" w:rsidRPr="00D1606C" w:rsidRDefault="00BA19F8" w:rsidP="00BA19F8">
            <w:pPr>
              <w:pStyle w:val="TableParagraph"/>
              <w:kinsoku w:val="0"/>
              <w:overflowPunct w:val="0"/>
              <w:spacing w:before="0" w:after="0"/>
              <w:ind w:right="288"/>
              <w:rPr>
                <w:rFonts w:cstheme="minorHAnsi"/>
                <w:sz w:val="22"/>
                <w:szCs w:val="22"/>
              </w:rPr>
            </w:pPr>
            <w:r w:rsidRPr="00D1606C">
              <w:rPr>
                <w:rFonts w:cstheme="minorHAnsi"/>
                <w:sz w:val="22"/>
                <w:szCs w:val="22"/>
              </w:rPr>
              <w:t>11 (6.3)</w:t>
            </w:r>
          </w:p>
        </w:tc>
        <w:tc>
          <w:tcPr>
            <w:tcW w:w="2268" w:type="dxa"/>
            <w:tcBorders>
              <w:top w:val="single" w:sz="4" w:space="0" w:color="000000"/>
              <w:left w:val="single" w:sz="4" w:space="0" w:color="000000"/>
              <w:bottom w:val="single" w:sz="4" w:space="0" w:color="000000"/>
              <w:right w:val="single" w:sz="4" w:space="0" w:color="000000"/>
            </w:tcBorders>
          </w:tcPr>
          <w:p w14:paraId="2A888B16" w14:textId="77777777" w:rsidR="00BA19F8" w:rsidRPr="00D1606C" w:rsidRDefault="00BA19F8" w:rsidP="00BA19F8">
            <w:pPr>
              <w:pStyle w:val="TableParagraph"/>
              <w:kinsoku w:val="0"/>
              <w:overflowPunct w:val="0"/>
              <w:spacing w:before="0" w:after="0"/>
              <w:ind w:left="292" w:right="280"/>
              <w:rPr>
                <w:rFonts w:cstheme="minorHAnsi"/>
                <w:sz w:val="22"/>
                <w:szCs w:val="22"/>
              </w:rPr>
            </w:pPr>
            <w:r w:rsidRPr="00D1606C">
              <w:rPr>
                <w:rFonts w:cstheme="minorHAnsi"/>
                <w:sz w:val="22"/>
                <w:szCs w:val="22"/>
              </w:rPr>
              <w:t>7 (21.9)</w:t>
            </w:r>
          </w:p>
        </w:tc>
      </w:tr>
      <w:tr w:rsidR="00BA19F8" w:rsidRPr="00D1606C" w14:paraId="5562CBEF"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3CC9E328"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Pr>
                <w:rFonts w:cstheme="minorHAnsi"/>
                <w:sz w:val="22"/>
                <w:szCs w:val="22"/>
              </w:rPr>
              <w:lastRenderedPageBreak/>
              <w:t>Conjunctival haemorrhage</w:t>
            </w:r>
          </w:p>
        </w:tc>
        <w:tc>
          <w:tcPr>
            <w:tcW w:w="2552" w:type="dxa"/>
            <w:tcBorders>
              <w:top w:val="single" w:sz="4" w:space="0" w:color="000000"/>
              <w:left w:val="single" w:sz="4" w:space="0" w:color="000000"/>
              <w:bottom w:val="single" w:sz="4" w:space="0" w:color="000000"/>
              <w:right w:val="single" w:sz="4" w:space="0" w:color="000000"/>
            </w:tcBorders>
          </w:tcPr>
          <w:p w14:paraId="281C506C" w14:textId="77777777" w:rsidR="00BA19F8" w:rsidRPr="00D1606C" w:rsidRDefault="00BA19F8" w:rsidP="00BA19F8">
            <w:pPr>
              <w:pStyle w:val="TableParagraph"/>
              <w:kinsoku w:val="0"/>
              <w:overflowPunct w:val="0"/>
              <w:spacing w:before="0" w:after="0"/>
              <w:ind w:right="288"/>
              <w:rPr>
                <w:rFonts w:cstheme="minorHAnsi"/>
                <w:sz w:val="22"/>
                <w:szCs w:val="22"/>
              </w:rPr>
            </w:pPr>
            <w:r>
              <w:rPr>
                <w:rFonts w:cstheme="minorHAnsi"/>
                <w:sz w:val="22"/>
                <w:szCs w:val="22"/>
              </w:rPr>
              <w:t>11 (6.3)</w:t>
            </w:r>
          </w:p>
        </w:tc>
        <w:tc>
          <w:tcPr>
            <w:tcW w:w="2268" w:type="dxa"/>
            <w:tcBorders>
              <w:top w:val="single" w:sz="4" w:space="0" w:color="000000"/>
              <w:left w:val="single" w:sz="4" w:space="0" w:color="000000"/>
              <w:bottom w:val="single" w:sz="4" w:space="0" w:color="000000"/>
              <w:right w:val="single" w:sz="4" w:space="0" w:color="000000"/>
            </w:tcBorders>
          </w:tcPr>
          <w:p w14:paraId="6145FF5F" w14:textId="77777777" w:rsidR="00BA19F8" w:rsidRPr="00D1606C" w:rsidRDefault="00BA19F8" w:rsidP="00BA19F8">
            <w:pPr>
              <w:pStyle w:val="TableParagraph"/>
              <w:kinsoku w:val="0"/>
              <w:overflowPunct w:val="0"/>
              <w:spacing w:before="0" w:after="0"/>
              <w:ind w:left="292" w:right="281"/>
              <w:rPr>
                <w:rFonts w:cstheme="minorHAnsi"/>
                <w:sz w:val="22"/>
                <w:szCs w:val="22"/>
              </w:rPr>
            </w:pPr>
            <w:r>
              <w:rPr>
                <w:rFonts w:cstheme="minorHAnsi"/>
                <w:sz w:val="22"/>
                <w:szCs w:val="22"/>
              </w:rPr>
              <w:t>3 (9.4)</w:t>
            </w:r>
          </w:p>
        </w:tc>
      </w:tr>
      <w:tr w:rsidR="00BA19F8" w:rsidRPr="00D1606C" w14:paraId="42917AAF"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4A36634B"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Graft versus host disease</w:t>
            </w:r>
          </w:p>
        </w:tc>
        <w:tc>
          <w:tcPr>
            <w:tcW w:w="2552" w:type="dxa"/>
            <w:tcBorders>
              <w:top w:val="single" w:sz="4" w:space="0" w:color="000000"/>
              <w:left w:val="single" w:sz="4" w:space="0" w:color="000000"/>
              <w:bottom w:val="single" w:sz="4" w:space="0" w:color="000000"/>
              <w:right w:val="single" w:sz="4" w:space="0" w:color="000000"/>
            </w:tcBorders>
          </w:tcPr>
          <w:p w14:paraId="238C1B6D" w14:textId="77777777" w:rsidR="00BA19F8" w:rsidRPr="00D1606C" w:rsidRDefault="00BA19F8" w:rsidP="00BA19F8">
            <w:pPr>
              <w:pStyle w:val="TableParagraph"/>
              <w:kinsoku w:val="0"/>
              <w:overflowPunct w:val="0"/>
              <w:spacing w:before="0" w:after="0"/>
              <w:ind w:right="288"/>
              <w:rPr>
                <w:rFonts w:cstheme="minorHAnsi"/>
                <w:sz w:val="22"/>
                <w:szCs w:val="22"/>
              </w:rPr>
            </w:pPr>
            <w:r w:rsidRPr="00D1606C">
              <w:rPr>
                <w:rFonts w:cstheme="minorHAnsi"/>
                <w:sz w:val="22"/>
                <w:szCs w:val="22"/>
              </w:rPr>
              <w:t>11 (6.3)</w:t>
            </w:r>
          </w:p>
        </w:tc>
        <w:tc>
          <w:tcPr>
            <w:tcW w:w="2268" w:type="dxa"/>
            <w:tcBorders>
              <w:top w:val="single" w:sz="4" w:space="0" w:color="000000"/>
              <w:left w:val="single" w:sz="4" w:space="0" w:color="000000"/>
              <w:bottom w:val="single" w:sz="4" w:space="0" w:color="000000"/>
              <w:right w:val="single" w:sz="4" w:space="0" w:color="000000"/>
            </w:tcBorders>
          </w:tcPr>
          <w:p w14:paraId="5104DCA5" w14:textId="77777777" w:rsidR="00BA19F8" w:rsidRPr="00D1606C" w:rsidRDefault="00BA19F8" w:rsidP="00BA19F8">
            <w:pPr>
              <w:pStyle w:val="TableParagraph"/>
              <w:kinsoku w:val="0"/>
              <w:overflowPunct w:val="0"/>
              <w:spacing w:before="0" w:after="0"/>
              <w:ind w:left="292" w:right="281"/>
              <w:rPr>
                <w:rFonts w:cstheme="minorHAnsi"/>
                <w:sz w:val="22"/>
                <w:szCs w:val="22"/>
              </w:rPr>
            </w:pPr>
            <w:r w:rsidRPr="00D1606C">
              <w:rPr>
                <w:rFonts w:cstheme="minorHAnsi"/>
                <w:sz w:val="22"/>
                <w:szCs w:val="22"/>
              </w:rPr>
              <w:t>2 (6.3)</w:t>
            </w:r>
          </w:p>
        </w:tc>
      </w:tr>
      <w:tr w:rsidR="00BA19F8" w:rsidRPr="00D1606C" w14:paraId="5DCDE3E3"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621C761F" w14:textId="77777777" w:rsidR="00BA19F8" w:rsidRDefault="00BA19F8" w:rsidP="00BA19F8">
            <w:pPr>
              <w:pStyle w:val="TableParagraph"/>
              <w:kinsoku w:val="0"/>
              <w:overflowPunct w:val="0"/>
              <w:spacing w:before="0" w:after="0"/>
              <w:ind w:left="680"/>
              <w:jc w:val="both"/>
              <w:rPr>
                <w:rFonts w:cstheme="minorHAnsi"/>
                <w:sz w:val="22"/>
                <w:szCs w:val="22"/>
              </w:rPr>
            </w:pPr>
            <w:r>
              <w:rPr>
                <w:rFonts w:cstheme="minorHAnsi"/>
                <w:sz w:val="22"/>
                <w:szCs w:val="22"/>
              </w:rPr>
              <w:t>Decubitus ulcer</w:t>
            </w:r>
          </w:p>
        </w:tc>
        <w:tc>
          <w:tcPr>
            <w:tcW w:w="2552" w:type="dxa"/>
            <w:tcBorders>
              <w:top w:val="single" w:sz="4" w:space="0" w:color="000000"/>
              <w:left w:val="single" w:sz="4" w:space="0" w:color="000000"/>
              <w:bottom w:val="single" w:sz="4" w:space="0" w:color="000000"/>
              <w:right w:val="single" w:sz="4" w:space="0" w:color="000000"/>
            </w:tcBorders>
          </w:tcPr>
          <w:p w14:paraId="78EC6856" w14:textId="77777777" w:rsidR="00BA19F8" w:rsidRDefault="00BA19F8" w:rsidP="00BA19F8">
            <w:pPr>
              <w:pStyle w:val="TableParagraph"/>
              <w:kinsoku w:val="0"/>
              <w:overflowPunct w:val="0"/>
              <w:spacing w:before="0" w:after="0"/>
              <w:ind w:right="288"/>
              <w:rPr>
                <w:rFonts w:cstheme="minorHAnsi"/>
                <w:sz w:val="22"/>
                <w:szCs w:val="22"/>
              </w:rPr>
            </w:pPr>
            <w:r>
              <w:rPr>
                <w:rFonts w:cstheme="minorHAnsi"/>
                <w:sz w:val="22"/>
                <w:szCs w:val="22"/>
              </w:rPr>
              <w:t>11 (6.3)</w:t>
            </w:r>
          </w:p>
        </w:tc>
        <w:tc>
          <w:tcPr>
            <w:tcW w:w="2268" w:type="dxa"/>
            <w:tcBorders>
              <w:top w:val="single" w:sz="4" w:space="0" w:color="000000"/>
              <w:left w:val="single" w:sz="4" w:space="0" w:color="000000"/>
              <w:bottom w:val="single" w:sz="4" w:space="0" w:color="000000"/>
              <w:right w:val="single" w:sz="4" w:space="0" w:color="000000"/>
            </w:tcBorders>
          </w:tcPr>
          <w:p w14:paraId="206BACB8" w14:textId="77777777" w:rsidR="00BA19F8" w:rsidRDefault="00BA19F8" w:rsidP="00BA19F8">
            <w:pPr>
              <w:pStyle w:val="TableParagraph"/>
              <w:kinsoku w:val="0"/>
              <w:overflowPunct w:val="0"/>
              <w:spacing w:before="0" w:after="0"/>
              <w:ind w:left="292" w:right="281"/>
              <w:rPr>
                <w:rFonts w:cstheme="minorHAnsi"/>
                <w:sz w:val="22"/>
                <w:szCs w:val="22"/>
              </w:rPr>
            </w:pPr>
            <w:r>
              <w:rPr>
                <w:rFonts w:cstheme="minorHAnsi"/>
                <w:sz w:val="22"/>
                <w:szCs w:val="22"/>
              </w:rPr>
              <w:t>1 (3.1)</w:t>
            </w:r>
          </w:p>
        </w:tc>
      </w:tr>
      <w:tr w:rsidR="00BA19F8" w:rsidRPr="00D1606C" w14:paraId="3B37D6F4"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3EAC5B86"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Pr>
                <w:rFonts w:cstheme="minorHAnsi"/>
                <w:sz w:val="22"/>
                <w:szCs w:val="22"/>
              </w:rPr>
              <w:t>Sinus tachycardia</w:t>
            </w:r>
          </w:p>
        </w:tc>
        <w:tc>
          <w:tcPr>
            <w:tcW w:w="2552" w:type="dxa"/>
            <w:tcBorders>
              <w:top w:val="single" w:sz="4" w:space="0" w:color="000000"/>
              <w:left w:val="single" w:sz="4" w:space="0" w:color="000000"/>
              <w:bottom w:val="single" w:sz="4" w:space="0" w:color="000000"/>
              <w:right w:val="single" w:sz="4" w:space="0" w:color="000000"/>
            </w:tcBorders>
          </w:tcPr>
          <w:p w14:paraId="753FF845" w14:textId="77777777" w:rsidR="00BA19F8" w:rsidRPr="00D1606C" w:rsidRDefault="00BA19F8" w:rsidP="00BA19F8">
            <w:pPr>
              <w:pStyle w:val="TableParagraph"/>
              <w:kinsoku w:val="0"/>
              <w:overflowPunct w:val="0"/>
              <w:spacing w:before="0" w:after="0"/>
              <w:ind w:right="288"/>
              <w:rPr>
                <w:rFonts w:cstheme="minorHAnsi"/>
                <w:sz w:val="22"/>
                <w:szCs w:val="22"/>
              </w:rPr>
            </w:pPr>
            <w:r>
              <w:rPr>
                <w:rFonts w:cstheme="minorHAnsi"/>
                <w:sz w:val="22"/>
                <w:szCs w:val="22"/>
              </w:rPr>
              <w:t>11 (6.3)</w:t>
            </w:r>
          </w:p>
        </w:tc>
        <w:tc>
          <w:tcPr>
            <w:tcW w:w="2268" w:type="dxa"/>
            <w:tcBorders>
              <w:top w:val="single" w:sz="4" w:space="0" w:color="000000"/>
              <w:left w:val="single" w:sz="4" w:space="0" w:color="000000"/>
              <w:bottom w:val="single" w:sz="4" w:space="0" w:color="000000"/>
              <w:right w:val="single" w:sz="4" w:space="0" w:color="000000"/>
            </w:tcBorders>
          </w:tcPr>
          <w:p w14:paraId="3224720B" w14:textId="77777777" w:rsidR="00BA19F8" w:rsidRPr="00D1606C" w:rsidRDefault="00BA19F8" w:rsidP="00BA19F8">
            <w:pPr>
              <w:pStyle w:val="TableParagraph"/>
              <w:kinsoku w:val="0"/>
              <w:overflowPunct w:val="0"/>
              <w:spacing w:before="0" w:after="0"/>
              <w:ind w:left="292" w:right="281"/>
              <w:rPr>
                <w:rFonts w:cstheme="minorHAnsi"/>
                <w:sz w:val="22"/>
                <w:szCs w:val="22"/>
              </w:rPr>
            </w:pPr>
            <w:r>
              <w:rPr>
                <w:rFonts w:cstheme="minorHAnsi"/>
                <w:sz w:val="22"/>
                <w:szCs w:val="22"/>
              </w:rPr>
              <w:t>1 (3.1)</w:t>
            </w:r>
          </w:p>
        </w:tc>
      </w:tr>
      <w:tr w:rsidR="00BA19F8" w:rsidRPr="00D1606C" w14:paraId="277B4F6C"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683E2901" w14:textId="77777777" w:rsidR="00BA19F8" w:rsidRPr="00D1606C"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Tachycardia</w:t>
            </w:r>
          </w:p>
        </w:tc>
        <w:tc>
          <w:tcPr>
            <w:tcW w:w="2552" w:type="dxa"/>
            <w:tcBorders>
              <w:top w:val="single" w:sz="4" w:space="0" w:color="000000"/>
              <w:left w:val="single" w:sz="4" w:space="0" w:color="000000"/>
              <w:bottom w:val="single" w:sz="4" w:space="0" w:color="000000"/>
              <w:right w:val="single" w:sz="4" w:space="0" w:color="000000"/>
            </w:tcBorders>
          </w:tcPr>
          <w:p w14:paraId="33B7E774" w14:textId="77777777" w:rsidR="00BA19F8" w:rsidRPr="00D1606C" w:rsidRDefault="00BA19F8" w:rsidP="00BA19F8">
            <w:pPr>
              <w:pStyle w:val="TableParagraph"/>
              <w:kinsoku w:val="0"/>
              <w:overflowPunct w:val="0"/>
              <w:spacing w:before="0" w:after="0"/>
              <w:ind w:right="288"/>
              <w:rPr>
                <w:rFonts w:cstheme="minorHAnsi"/>
                <w:sz w:val="22"/>
                <w:szCs w:val="22"/>
              </w:rPr>
            </w:pPr>
            <w:r>
              <w:rPr>
                <w:rFonts w:cstheme="minorHAnsi"/>
                <w:sz w:val="22"/>
                <w:szCs w:val="22"/>
              </w:rPr>
              <w:t>10 (5.7)</w:t>
            </w:r>
          </w:p>
        </w:tc>
        <w:tc>
          <w:tcPr>
            <w:tcW w:w="2268" w:type="dxa"/>
            <w:tcBorders>
              <w:top w:val="single" w:sz="4" w:space="0" w:color="000000"/>
              <w:left w:val="single" w:sz="4" w:space="0" w:color="000000"/>
              <w:bottom w:val="single" w:sz="4" w:space="0" w:color="000000"/>
              <w:right w:val="single" w:sz="4" w:space="0" w:color="000000"/>
            </w:tcBorders>
          </w:tcPr>
          <w:p w14:paraId="313709AF" w14:textId="77777777" w:rsidR="00BA19F8" w:rsidRPr="00D1606C"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14 (43.8)</w:t>
            </w:r>
          </w:p>
        </w:tc>
      </w:tr>
      <w:tr w:rsidR="00BA19F8" w:rsidRPr="00D1606C" w14:paraId="13752EF6"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40A2BBB3" w14:textId="77777777" w:rsidR="00BA19F8" w:rsidRDefault="00BA19F8" w:rsidP="00BA19F8">
            <w:pPr>
              <w:pStyle w:val="TableParagraph"/>
              <w:kinsoku w:val="0"/>
              <w:overflowPunct w:val="0"/>
              <w:spacing w:before="0" w:after="0"/>
              <w:ind w:left="680"/>
              <w:jc w:val="left"/>
              <w:rPr>
                <w:rFonts w:cstheme="minorHAnsi"/>
                <w:sz w:val="22"/>
                <w:szCs w:val="22"/>
              </w:rPr>
            </w:pPr>
            <w:r w:rsidRPr="00D1606C">
              <w:rPr>
                <w:rFonts w:cstheme="minorHAnsi"/>
                <w:sz w:val="22"/>
                <w:szCs w:val="22"/>
              </w:rPr>
              <w:t>Oedema</w:t>
            </w:r>
          </w:p>
        </w:tc>
        <w:tc>
          <w:tcPr>
            <w:tcW w:w="2552" w:type="dxa"/>
            <w:tcBorders>
              <w:top w:val="single" w:sz="4" w:space="0" w:color="000000"/>
              <w:left w:val="single" w:sz="4" w:space="0" w:color="000000"/>
              <w:bottom w:val="single" w:sz="4" w:space="0" w:color="000000"/>
              <w:right w:val="single" w:sz="4" w:space="0" w:color="000000"/>
            </w:tcBorders>
          </w:tcPr>
          <w:p w14:paraId="3E079739" w14:textId="77777777" w:rsidR="00BA19F8" w:rsidRDefault="00BA19F8" w:rsidP="00BA19F8">
            <w:pPr>
              <w:pStyle w:val="TableParagraph"/>
              <w:kinsoku w:val="0"/>
              <w:overflowPunct w:val="0"/>
              <w:spacing w:before="0" w:after="0"/>
              <w:ind w:right="288"/>
              <w:rPr>
                <w:rFonts w:cstheme="minorHAnsi"/>
                <w:sz w:val="22"/>
                <w:szCs w:val="22"/>
              </w:rPr>
            </w:pPr>
            <w:r w:rsidRPr="00D1606C">
              <w:rPr>
                <w:rFonts w:cstheme="minorHAnsi"/>
                <w:sz w:val="22"/>
                <w:szCs w:val="22"/>
              </w:rPr>
              <w:t>10 (5.7)</w:t>
            </w:r>
          </w:p>
        </w:tc>
        <w:tc>
          <w:tcPr>
            <w:tcW w:w="2268" w:type="dxa"/>
            <w:tcBorders>
              <w:top w:val="single" w:sz="4" w:space="0" w:color="000000"/>
              <w:left w:val="single" w:sz="4" w:space="0" w:color="000000"/>
              <w:bottom w:val="single" w:sz="4" w:space="0" w:color="000000"/>
              <w:right w:val="single" w:sz="4" w:space="0" w:color="000000"/>
            </w:tcBorders>
          </w:tcPr>
          <w:p w14:paraId="44412D57" w14:textId="77777777" w:rsidR="00BA19F8" w:rsidRDefault="00BA19F8" w:rsidP="00BA19F8">
            <w:pPr>
              <w:pStyle w:val="TableParagraph"/>
              <w:kinsoku w:val="0"/>
              <w:overflowPunct w:val="0"/>
              <w:spacing w:before="0" w:after="0"/>
              <w:ind w:left="292" w:right="280"/>
              <w:rPr>
                <w:rFonts w:cstheme="minorHAnsi"/>
                <w:sz w:val="22"/>
                <w:szCs w:val="22"/>
              </w:rPr>
            </w:pPr>
            <w:r w:rsidRPr="00D1606C">
              <w:rPr>
                <w:rFonts w:cstheme="minorHAnsi"/>
                <w:sz w:val="22"/>
                <w:szCs w:val="22"/>
              </w:rPr>
              <w:t>7 (21.9)</w:t>
            </w:r>
          </w:p>
        </w:tc>
      </w:tr>
      <w:tr w:rsidR="00BA19F8" w:rsidRPr="00D1606C" w14:paraId="7C851758"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11974A5E"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Bradycardia</w:t>
            </w:r>
          </w:p>
        </w:tc>
        <w:tc>
          <w:tcPr>
            <w:tcW w:w="2552" w:type="dxa"/>
            <w:tcBorders>
              <w:top w:val="single" w:sz="4" w:space="0" w:color="000000"/>
              <w:left w:val="single" w:sz="4" w:space="0" w:color="000000"/>
              <w:bottom w:val="single" w:sz="4" w:space="0" w:color="000000"/>
              <w:right w:val="single" w:sz="4" w:space="0" w:color="000000"/>
            </w:tcBorders>
          </w:tcPr>
          <w:p w14:paraId="740CB80F" w14:textId="77777777" w:rsidR="00BA19F8" w:rsidRDefault="00BA19F8" w:rsidP="00BA19F8">
            <w:pPr>
              <w:pStyle w:val="TableParagraph"/>
              <w:kinsoku w:val="0"/>
              <w:overflowPunct w:val="0"/>
              <w:spacing w:before="0" w:after="0"/>
              <w:ind w:right="288"/>
              <w:rPr>
                <w:rFonts w:cstheme="minorHAnsi"/>
                <w:sz w:val="22"/>
                <w:szCs w:val="22"/>
              </w:rPr>
            </w:pPr>
            <w:r>
              <w:rPr>
                <w:rFonts w:cstheme="minorHAnsi"/>
                <w:sz w:val="22"/>
                <w:szCs w:val="22"/>
              </w:rPr>
              <w:t>10 (5.7)</w:t>
            </w:r>
          </w:p>
        </w:tc>
        <w:tc>
          <w:tcPr>
            <w:tcW w:w="2268" w:type="dxa"/>
            <w:tcBorders>
              <w:top w:val="single" w:sz="4" w:space="0" w:color="000000"/>
              <w:left w:val="single" w:sz="4" w:space="0" w:color="000000"/>
              <w:bottom w:val="single" w:sz="4" w:space="0" w:color="000000"/>
              <w:right w:val="single" w:sz="4" w:space="0" w:color="000000"/>
            </w:tcBorders>
          </w:tcPr>
          <w:p w14:paraId="26FE1555"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6 (18.8)</w:t>
            </w:r>
          </w:p>
        </w:tc>
      </w:tr>
      <w:tr w:rsidR="00BA19F8" w:rsidRPr="00D1606C" w14:paraId="22A3384B"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18DD9763"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Cough</w:t>
            </w:r>
          </w:p>
        </w:tc>
        <w:tc>
          <w:tcPr>
            <w:tcW w:w="2552" w:type="dxa"/>
            <w:tcBorders>
              <w:top w:val="single" w:sz="4" w:space="0" w:color="000000"/>
              <w:left w:val="single" w:sz="4" w:space="0" w:color="000000"/>
              <w:bottom w:val="single" w:sz="4" w:space="0" w:color="000000"/>
              <w:right w:val="single" w:sz="4" w:space="0" w:color="000000"/>
            </w:tcBorders>
          </w:tcPr>
          <w:p w14:paraId="080573BB" w14:textId="77777777" w:rsidR="00BA19F8" w:rsidRDefault="00BA19F8" w:rsidP="00BA19F8">
            <w:pPr>
              <w:pStyle w:val="TableParagraph"/>
              <w:kinsoku w:val="0"/>
              <w:overflowPunct w:val="0"/>
              <w:spacing w:before="0" w:after="0"/>
              <w:ind w:right="288"/>
              <w:rPr>
                <w:rFonts w:cstheme="minorHAnsi"/>
                <w:sz w:val="22"/>
                <w:szCs w:val="22"/>
              </w:rPr>
            </w:pPr>
            <w:r>
              <w:rPr>
                <w:rFonts w:cstheme="minorHAnsi"/>
                <w:sz w:val="22"/>
                <w:szCs w:val="22"/>
              </w:rPr>
              <w:t>10 (5.7)</w:t>
            </w:r>
          </w:p>
        </w:tc>
        <w:tc>
          <w:tcPr>
            <w:tcW w:w="2268" w:type="dxa"/>
            <w:tcBorders>
              <w:top w:val="single" w:sz="4" w:space="0" w:color="000000"/>
              <w:left w:val="single" w:sz="4" w:space="0" w:color="000000"/>
              <w:bottom w:val="single" w:sz="4" w:space="0" w:color="000000"/>
              <w:right w:val="single" w:sz="4" w:space="0" w:color="000000"/>
            </w:tcBorders>
          </w:tcPr>
          <w:p w14:paraId="54357A57"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3 (9.4)</w:t>
            </w:r>
          </w:p>
        </w:tc>
      </w:tr>
      <w:tr w:rsidR="00BA19F8" w:rsidRPr="00D1606C" w14:paraId="2533C6F1"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6AB3632B"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Post procedural haemorrhage</w:t>
            </w:r>
          </w:p>
        </w:tc>
        <w:tc>
          <w:tcPr>
            <w:tcW w:w="2552" w:type="dxa"/>
            <w:tcBorders>
              <w:top w:val="single" w:sz="4" w:space="0" w:color="000000"/>
              <w:left w:val="single" w:sz="4" w:space="0" w:color="000000"/>
              <w:bottom w:val="single" w:sz="4" w:space="0" w:color="000000"/>
              <w:right w:val="single" w:sz="4" w:space="0" w:color="000000"/>
            </w:tcBorders>
          </w:tcPr>
          <w:p w14:paraId="7EF06539" w14:textId="77777777" w:rsidR="00BA19F8" w:rsidRDefault="00BA19F8" w:rsidP="00BA19F8">
            <w:pPr>
              <w:pStyle w:val="TableParagraph"/>
              <w:kinsoku w:val="0"/>
              <w:overflowPunct w:val="0"/>
              <w:spacing w:before="0" w:after="0"/>
              <w:ind w:right="288"/>
              <w:rPr>
                <w:rFonts w:cstheme="minorHAnsi"/>
                <w:sz w:val="22"/>
                <w:szCs w:val="22"/>
              </w:rPr>
            </w:pPr>
            <w:r>
              <w:rPr>
                <w:rFonts w:cstheme="minorHAnsi"/>
                <w:sz w:val="22"/>
                <w:szCs w:val="22"/>
              </w:rPr>
              <w:t>10 (5.7)</w:t>
            </w:r>
          </w:p>
        </w:tc>
        <w:tc>
          <w:tcPr>
            <w:tcW w:w="2268" w:type="dxa"/>
            <w:tcBorders>
              <w:top w:val="single" w:sz="4" w:space="0" w:color="000000"/>
              <w:left w:val="single" w:sz="4" w:space="0" w:color="000000"/>
              <w:bottom w:val="single" w:sz="4" w:space="0" w:color="000000"/>
              <w:right w:val="single" w:sz="4" w:space="0" w:color="000000"/>
            </w:tcBorders>
          </w:tcPr>
          <w:p w14:paraId="67683E88"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1 (3.1)</w:t>
            </w:r>
          </w:p>
        </w:tc>
      </w:tr>
      <w:tr w:rsidR="00BA19F8" w:rsidRPr="00D1606C" w14:paraId="79755C2C"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4E63D5BB" w14:textId="77777777" w:rsidR="00BA19F8" w:rsidRPr="00D1606C"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Catheter site haemorrhage</w:t>
            </w:r>
          </w:p>
        </w:tc>
        <w:tc>
          <w:tcPr>
            <w:tcW w:w="2552" w:type="dxa"/>
            <w:tcBorders>
              <w:top w:val="single" w:sz="4" w:space="0" w:color="000000"/>
              <w:left w:val="single" w:sz="4" w:space="0" w:color="000000"/>
              <w:bottom w:val="single" w:sz="4" w:space="0" w:color="000000"/>
              <w:right w:val="single" w:sz="4" w:space="0" w:color="000000"/>
            </w:tcBorders>
          </w:tcPr>
          <w:p w14:paraId="670B3A07" w14:textId="77777777" w:rsidR="00BA19F8" w:rsidRPr="00D1606C" w:rsidRDefault="00BA19F8" w:rsidP="00BA19F8">
            <w:pPr>
              <w:pStyle w:val="TableParagraph"/>
              <w:kinsoku w:val="0"/>
              <w:overflowPunct w:val="0"/>
              <w:spacing w:before="0" w:after="0"/>
              <w:ind w:right="288"/>
              <w:rPr>
                <w:rFonts w:cstheme="minorHAnsi"/>
                <w:sz w:val="22"/>
                <w:szCs w:val="22"/>
              </w:rPr>
            </w:pPr>
            <w:r>
              <w:rPr>
                <w:rFonts w:cstheme="minorHAnsi"/>
                <w:sz w:val="22"/>
                <w:szCs w:val="22"/>
              </w:rPr>
              <w:t>10 (5.7)</w:t>
            </w:r>
          </w:p>
        </w:tc>
        <w:tc>
          <w:tcPr>
            <w:tcW w:w="2268" w:type="dxa"/>
            <w:tcBorders>
              <w:top w:val="single" w:sz="4" w:space="0" w:color="000000"/>
              <w:left w:val="single" w:sz="4" w:space="0" w:color="000000"/>
              <w:bottom w:val="single" w:sz="4" w:space="0" w:color="000000"/>
              <w:right w:val="single" w:sz="4" w:space="0" w:color="000000"/>
            </w:tcBorders>
          </w:tcPr>
          <w:p w14:paraId="34BE093E" w14:textId="77777777" w:rsidR="00BA19F8" w:rsidRPr="00D1606C"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0</w:t>
            </w:r>
          </w:p>
        </w:tc>
      </w:tr>
      <w:tr w:rsidR="00BA19F8" w:rsidRPr="00D1606C" w14:paraId="66AC819C"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265DFD38"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sidRPr="00D1606C">
              <w:rPr>
                <w:rFonts w:cstheme="minorHAnsi"/>
                <w:sz w:val="22"/>
                <w:szCs w:val="22"/>
              </w:rPr>
              <w:t>Lung infiltration</w:t>
            </w:r>
          </w:p>
        </w:tc>
        <w:tc>
          <w:tcPr>
            <w:tcW w:w="2552" w:type="dxa"/>
            <w:tcBorders>
              <w:top w:val="single" w:sz="4" w:space="0" w:color="000000"/>
              <w:left w:val="single" w:sz="4" w:space="0" w:color="000000"/>
              <w:bottom w:val="single" w:sz="4" w:space="0" w:color="000000"/>
              <w:right w:val="single" w:sz="4" w:space="0" w:color="000000"/>
            </w:tcBorders>
          </w:tcPr>
          <w:p w14:paraId="7EC82348" w14:textId="77777777" w:rsidR="00BA19F8" w:rsidRPr="00D1606C" w:rsidRDefault="00BA19F8" w:rsidP="00BA19F8">
            <w:pPr>
              <w:pStyle w:val="TableParagraph"/>
              <w:kinsoku w:val="0"/>
              <w:overflowPunct w:val="0"/>
              <w:spacing w:before="0" w:after="0"/>
              <w:ind w:right="288"/>
              <w:rPr>
                <w:rFonts w:cstheme="minorHAnsi"/>
                <w:sz w:val="22"/>
                <w:szCs w:val="22"/>
              </w:rPr>
            </w:pPr>
            <w:r w:rsidRPr="00D1606C">
              <w:rPr>
                <w:rFonts w:cstheme="minorHAnsi"/>
                <w:sz w:val="22"/>
                <w:szCs w:val="22"/>
              </w:rPr>
              <w:t>10 (5.7)</w:t>
            </w:r>
          </w:p>
        </w:tc>
        <w:tc>
          <w:tcPr>
            <w:tcW w:w="2268" w:type="dxa"/>
            <w:tcBorders>
              <w:top w:val="single" w:sz="4" w:space="0" w:color="000000"/>
              <w:left w:val="single" w:sz="4" w:space="0" w:color="000000"/>
              <w:bottom w:val="single" w:sz="4" w:space="0" w:color="000000"/>
              <w:right w:val="single" w:sz="4" w:space="0" w:color="000000"/>
            </w:tcBorders>
          </w:tcPr>
          <w:p w14:paraId="5EFE8E78" w14:textId="77777777" w:rsidR="00BA19F8" w:rsidRPr="00D1606C" w:rsidRDefault="00BA19F8" w:rsidP="00BA19F8">
            <w:pPr>
              <w:pStyle w:val="TableParagraph"/>
              <w:kinsoku w:val="0"/>
              <w:overflowPunct w:val="0"/>
              <w:spacing w:before="0" w:after="0"/>
              <w:ind w:left="13"/>
              <w:rPr>
                <w:rFonts w:cstheme="minorHAnsi"/>
                <w:sz w:val="22"/>
                <w:szCs w:val="22"/>
              </w:rPr>
            </w:pPr>
            <w:r w:rsidRPr="00D1606C">
              <w:rPr>
                <w:rFonts w:cstheme="minorHAnsi"/>
                <w:sz w:val="22"/>
                <w:szCs w:val="22"/>
              </w:rPr>
              <w:t>0</w:t>
            </w:r>
          </w:p>
        </w:tc>
      </w:tr>
      <w:tr w:rsidR="00BA19F8" w:rsidRPr="00D1606C" w14:paraId="09AAC98C"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02F52CB8" w14:textId="77777777" w:rsidR="00BA19F8" w:rsidRDefault="00BA19F8" w:rsidP="00BA19F8">
            <w:pPr>
              <w:pStyle w:val="TableParagraph"/>
              <w:kinsoku w:val="0"/>
              <w:overflowPunct w:val="0"/>
              <w:spacing w:before="0" w:after="0"/>
              <w:ind w:left="680"/>
              <w:jc w:val="both"/>
              <w:rPr>
                <w:rFonts w:cstheme="minorHAnsi"/>
                <w:sz w:val="22"/>
                <w:szCs w:val="22"/>
              </w:rPr>
            </w:pPr>
            <w:proofErr w:type="spellStart"/>
            <w:r>
              <w:rPr>
                <w:rFonts w:cstheme="minorHAnsi"/>
                <w:sz w:val="22"/>
                <w:szCs w:val="22"/>
              </w:rPr>
              <w:t>Petechiae</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C149AA" w14:textId="77777777" w:rsidR="00BA19F8" w:rsidRDefault="00BA19F8" w:rsidP="00BA19F8">
            <w:pPr>
              <w:pStyle w:val="TableParagraph"/>
              <w:kinsoku w:val="0"/>
              <w:overflowPunct w:val="0"/>
              <w:spacing w:before="0" w:after="0"/>
              <w:ind w:right="288"/>
              <w:rPr>
                <w:rFonts w:cstheme="minorHAnsi"/>
                <w:sz w:val="22"/>
                <w:szCs w:val="22"/>
              </w:rPr>
            </w:pPr>
            <w:r>
              <w:rPr>
                <w:rFonts w:cstheme="minorHAnsi"/>
                <w:sz w:val="22"/>
                <w:szCs w:val="22"/>
              </w:rPr>
              <w:t>9 (5.1)</w:t>
            </w:r>
          </w:p>
        </w:tc>
        <w:tc>
          <w:tcPr>
            <w:tcW w:w="2268" w:type="dxa"/>
            <w:tcBorders>
              <w:top w:val="single" w:sz="4" w:space="0" w:color="000000"/>
              <w:left w:val="single" w:sz="4" w:space="0" w:color="000000"/>
              <w:bottom w:val="single" w:sz="4" w:space="0" w:color="000000"/>
              <w:right w:val="single" w:sz="4" w:space="0" w:color="000000"/>
            </w:tcBorders>
          </w:tcPr>
          <w:p w14:paraId="1C33C8CB" w14:textId="77777777" w:rsidR="00BA19F8" w:rsidRDefault="00BA19F8" w:rsidP="00BA19F8">
            <w:pPr>
              <w:pStyle w:val="TableParagraph"/>
              <w:kinsoku w:val="0"/>
              <w:overflowPunct w:val="0"/>
              <w:spacing w:before="0" w:after="0"/>
              <w:ind w:left="13"/>
              <w:rPr>
                <w:rFonts w:cstheme="minorHAnsi"/>
                <w:sz w:val="22"/>
                <w:szCs w:val="22"/>
              </w:rPr>
            </w:pPr>
            <w:r>
              <w:rPr>
                <w:rFonts w:cstheme="minorHAnsi"/>
                <w:sz w:val="22"/>
                <w:szCs w:val="22"/>
              </w:rPr>
              <w:t>9 (28.1)</w:t>
            </w:r>
          </w:p>
        </w:tc>
      </w:tr>
      <w:tr w:rsidR="00BA19F8" w:rsidRPr="00D1606C" w14:paraId="6402F7AC"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802C35E" w14:textId="77777777" w:rsidR="00BA19F8" w:rsidRDefault="00BA19F8" w:rsidP="00BA19F8">
            <w:pPr>
              <w:pStyle w:val="TableParagraph"/>
              <w:kinsoku w:val="0"/>
              <w:overflowPunct w:val="0"/>
              <w:spacing w:before="0" w:after="0"/>
              <w:ind w:left="680"/>
              <w:jc w:val="both"/>
              <w:rPr>
                <w:rFonts w:cstheme="minorHAnsi"/>
                <w:sz w:val="22"/>
                <w:szCs w:val="22"/>
              </w:rPr>
            </w:pPr>
            <w:proofErr w:type="spellStart"/>
            <w:r>
              <w:rPr>
                <w:rFonts w:cstheme="minorHAnsi"/>
                <w:sz w:val="22"/>
                <w:szCs w:val="22"/>
              </w:rPr>
              <w:t>Haematemesis</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D0DE03E" w14:textId="77777777" w:rsidR="00BA19F8" w:rsidRDefault="00BA19F8" w:rsidP="00BA19F8">
            <w:pPr>
              <w:pStyle w:val="TableParagraph"/>
              <w:kinsoku w:val="0"/>
              <w:overflowPunct w:val="0"/>
              <w:spacing w:before="0" w:after="0"/>
              <w:ind w:right="288"/>
              <w:rPr>
                <w:rFonts w:cstheme="minorHAnsi"/>
                <w:sz w:val="22"/>
                <w:szCs w:val="22"/>
              </w:rPr>
            </w:pPr>
            <w:r>
              <w:rPr>
                <w:rFonts w:cstheme="minorHAnsi"/>
                <w:sz w:val="22"/>
                <w:szCs w:val="22"/>
              </w:rPr>
              <w:t>9 (5.1)</w:t>
            </w:r>
          </w:p>
        </w:tc>
        <w:tc>
          <w:tcPr>
            <w:tcW w:w="2268" w:type="dxa"/>
            <w:tcBorders>
              <w:top w:val="single" w:sz="4" w:space="0" w:color="000000"/>
              <w:left w:val="single" w:sz="4" w:space="0" w:color="000000"/>
              <w:bottom w:val="single" w:sz="4" w:space="0" w:color="000000"/>
              <w:right w:val="single" w:sz="4" w:space="0" w:color="000000"/>
            </w:tcBorders>
          </w:tcPr>
          <w:p w14:paraId="38605E00" w14:textId="77777777" w:rsidR="00BA19F8" w:rsidRDefault="00BA19F8" w:rsidP="00BA19F8">
            <w:pPr>
              <w:pStyle w:val="TableParagraph"/>
              <w:kinsoku w:val="0"/>
              <w:overflowPunct w:val="0"/>
              <w:spacing w:before="0" w:after="0"/>
              <w:ind w:left="13"/>
              <w:rPr>
                <w:rFonts w:cstheme="minorHAnsi"/>
                <w:sz w:val="22"/>
                <w:szCs w:val="22"/>
              </w:rPr>
            </w:pPr>
            <w:r>
              <w:rPr>
                <w:rFonts w:cstheme="minorHAnsi"/>
                <w:sz w:val="22"/>
                <w:szCs w:val="22"/>
              </w:rPr>
              <w:t>3 (9.4)</w:t>
            </w:r>
          </w:p>
        </w:tc>
      </w:tr>
      <w:tr w:rsidR="00BA19F8" w:rsidRPr="00D1606C" w14:paraId="379AFB01"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60E45ADF" w14:textId="77777777" w:rsidR="00BA19F8" w:rsidRDefault="00BA19F8" w:rsidP="00BA19F8">
            <w:pPr>
              <w:pStyle w:val="TableParagraph"/>
              <w:kinsoku w:val="0"/>
              <w:overflowPunct w:val="0"/>
              <w:spacing w:before="0" w:after="0"/>
              <w:ind w:left="680"/>
              <w:jc w:val="both"/>
              <w:rPr>
                <w:rFonts w:cstheme="minorHAnsi"/>
                <w:sz w:val="22"/>
                <w:szCs w:val="22"/>
              </w:rPr>
            </w:pPr>
            <w:r>
              <w:rPr>
                <w:rFonts w:cstheme="minorHAnsi"/>
                <w:sz w:val="22"/>
                <w:szCs w:val="22"/>
              </w:rPr>
              <w:t>Mental status change</w:t>
            </w:r>
          </w:p>
        </w:tc>
        <w:tc>
          <w:tcPr>
            <w:tcW w:w="2552" w:type="dxa"/>
            <w:tcBorders>
              <w:top w:val="single" w:sz="4" w:space="0" w:color="000000"/>
              <w:left w:val="single" w:sz="4" w:space="0" w:color="000000"/>
              <w:bottom w:val="single" w:sz="4" w:space="0" w:color="000000"/>
              <w:right w:val="single" w:sz="4" w:space="0" w:color="000000"/>
            </w:tcBorders>
          </w:tcPr>
          <w:p w14:paraId="337F119A" w14:textId="77777777" w:rsidR="00BA19F8" w:rsidRDefault="00BA19F8" w:rsidP="00BA19F8">
            <w:pPr>
              <w:pStyle w:val="TableParagraph"/>
              <w:kinsoku w:val="0"/>
              <w:overflowPunct w:val="0"/>
              <w:spacing w:before="0" w:after="0"/>
              <w:ind w:right="288"/>
              <w:rPr>
                <w:rFonts w:cstheme="minorHAnsi"/>
                <w:sz w:val="22"/>
                <w:szCs w:val="22"/>
              </w:rPr>
            </w:pPr>
            <w:r>
              <w:rPr>
                <w:rFonts w:cstheme="minorHAnsi"/>
                <w:sz w:val="22"/>
                <w:szCs w:val="22"/>
              </w:rPr>
              <w:t>9 (5.1)</w:t>
            </w:r>
          </w:p>
        </w:tc>
        <w:tc>
          <w:tcPr>
            <w:tcW w:w="2268" w:type="dxa"/>
            <w:tcBorders>
              <w:top w:val="single" w:sz="4" w:space="0" w:color="000000"/>
              <w:left w:val="single" w:sz="4" w:space="0" w:color="000000"/>
              <w:bottom w:val="single" w:sz="4" w:space="0" w:color="000000"/>
              <w:right w:val="single" w:sz="4" w:space="0" w:color="000000"/>
            </w:tcBorders>
          </w:tcPr>
          <w:p w14:paraId="2CD30CB3" w14:textId="77777777" w:rsidR="00BA19F8" w:rsidRDefault="00BA19F8" w:rsidP="00BA19F8">
            <w:pPr>
              <w:pStyle w:val="TableParagraph"/>
              <w:kinsoku w:val="0"/>
              <w:overflowPunct w:val="0"/>
              <w:spacing w:before="0" w:after="0"/>
              <w:ind w:left="13"/>
              <w:rPr>
                <w:rFonts w:cstheme="minorHAnsi"/>
                <w:sz w:val="22"/>
                <w:szCs w:val="22"/>
              </w:rPr>
            </w:pPr>
            <w:r>
              <w:rPr>
                <w:rFonts w:cstheme="minorHAnsi"/>
                <w:sz w:val="22"/>
                <w:szCs w:val="22"/>
              </w:rPr>
              <w:t>1 (3.1)</w:t>
            </w:r>
          </w:p>
        </w:tc>
      </w:tr>
      <w:tr w:rsidR="00BA19F8" w:rsidRPr="00D1606C" w14:paraId="76FC3AAC"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4F9C363F" w14:textId="77777777" w:rsidR="00BA19F8" w:rsidRPr="00D1606C" w:rsidRDefault="00BA19F8" w:rsidP="00BA19F8">
            <w:pPr>
              <w:pStyle w:val="TableParagraph"/>
              <w:kinsoku w:val="0"/>
              <w:overflowPunct w:val="0"/>
              <w:spacing w:before="0" w:after="0"/>
              <w:ind w:left="680"/>
              <w:jc w:val="both"/>
              <w:rPr>
                <w:rFonts w:cstheme="minorHAnsi"/>
                <w:sz w:val="22"/>
                <w:szCs w:val="22"/>
              </w:rPr>
            </w:pPr>
            <w:r>
              <w:rPr>
                <w:rFonts w:cstheme="minorHAnsi"/>
                <w:sz w:val="22"/>
                <w:szCs w:val="22"/>
              </w:rPr>
              <w:t>Pneumonia</w:t>
            </w:r>
          </w:p>
        </w:tc>
        <w:tc>
          <w:tcPr>
            <w:tcW w:w="2552" w:type="dxa"/>
            <w:tcBorders>
              <w:top w:val="single" w:sz="4" w:space="0" w:color="000000"/>
              <w:left w:val="single" w:sz="4" w:space="0" w:color="000000"/>
              <w:bottom w:val="single" w:sz="4" w:space="0" w:color="000000"/>
              <w:right w:val="single" w:sz="4" w:space="0" w:color="000000"/>
            </w:tcBorders>
          </w:tcPr>
          <w:p w14:paraId="36D9E368" w14:textId="77777777" w:rsidR="00BA19F8" w:rsidRPr="00D1606C" w:rsidRDefault="00BA19F8" w:rsidP="00BA19F8">
            <w:pPr>
              <w:pStyle w:val="TableParagraph"/>
              <w:kinsoku w:val="0"/>
              <w:overflowPunct w:val="0"/>
              <w:spacing w:before="0" w:after="0"/>
              <w:ind w:right="288"/>
              <w:rPr>
                <w:rFonts w:cstheme="minorHAnsi"/>
                <w:sz w:val="22"/>
                <w:szCs w:val="22"/>
              </w:rPr>
            </w:pPr>
            <w:r>
              <w:rPr>
                <w:rFonts w:cstheme="minorHAnsi"/>
                <w:sz w:val="22"/>
                <w:szCs w:val="22"/>
              </w:rPr>
              <w:t>9 (5.1)</w:t>
            </w:r>
          </w:p>
        </w:tc>
        <w:tc>
          <w:tcPr>
            <w:tcW w:w="2268" w:type="dxa"/>
            <w:tcBorders>
              <w:top w:val="single" w:sz="4" w:space="0" w:color="000000"/>
              <w:left w:val="single" w:sz="4" w:space="0" w:color="000000"/>
              <w:bottom w:val="single" w:sz="4" w:space="0" w:color="000000"/>
              <w:right w:val="single" w:sz="4" w:space="0" w:color="000000"/>
            </w:tcBorders>
          </w:tcPr>
          <w:p w14:paraId="5FF5E26C" w14:textId="77777777" w:rsidR="00BA19F8" w:rsidRPr="00D1606C" w:rsidRDefault="00BA19F8" w:rsidP="00BA19F8">
            <w:pPr>
              <w:pStyle w:val="TableParagraph"/>
              <w:kinsoku w:val="0"/>
              <w:overflowPunct w:val="0"/>
              <w:spacing w:before="0" w:after="0"/>
              <w:ind w:left="13"/>
              <w:rPr>
                <w:rFonts w:cstheme="minorHAnsi"/>
                <w:sz w:val="22"/>
                <w:szCs w:val="22"/>
              </w:rPr>
            </w:pPr>
            <w:r>
              <w:rPr>
                <w:rFonts w:cstheme="minorHAnsi"/>
                <w:sz w:val="22"/>
                <w:szCs w:val="22"/>
              </w:rPr>
              <w:t>1 (3.1)</w:t>
            </w:r>
          </w:p>
        </w:tc>
      </w:tr>
      <w:tr w:rsidR="00BA19F8" w:rsidRPr="00D1606C" w14:paraId="75664D70"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1950553"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Generalised oedema</w:t>
            </w:r>
          </w:p>
        </w:tc>
        <w:tc>
          <w:tcPr>
            <w:tcW w:w="2552" w:type="dxa"/>
            <w:tcBorders>
              <w:top w:val="single" w:sz="4" w:space="0" w:color="000000"/>
              <w:left w:val="single" w:sz="4" w:space="0" w:color="000000"/>
              <w:bottom w:val="single" w:sz="4" w:space="0" w:color="000000"/>
              <w:right w:val="single" w:sz="4" w:space="0" w:color="000000"/>
            </w:tcBorders>
          </w:tcPr>
          <w:p w14:paraId="7CFA3AC7"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8 (4.5)</w:t>
            </w:r>
          </w:p>
        </w:tc>
        <w:tc>
          <w:tcPr>
            <w:tcW w:w="2268" w:type="dxa"/>
            <w:tcBorders>
              <w:top w:val="single" w:sz="4" w:space="0" w:color="000000"/>
              <w:left w:val="single" w:sz="4" w:space="0" w:color="000000"/>
              <w:bottom w:val="single" w:sz="4" w:space="0" w:color="000000"/>
              <w:right w:val="single" w:sz="4" w:space="0" w:color="000000"/>
            </w:tcBorders>
          </w:tcPr>
          <w:p w14:paraId="26ADD237"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8 (25.0)</w:t>
            </w:r>
          </w:p>
        </w:tc>
      </w:tr>
      <w:tr w:rsidR="00BA19F8" w:rsidRPr="00D1606C" w14:paraId="4F30886D"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0B5AA23"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Rash</w:t>
            </w:r>
          </w:p>
        </w:tc>
        <w:tc>
          <w:tcPr>
            <w:tcW w:w="2552" w:type="dxa"/>
            <w:tcBorders>
              <w:top w:val="single" w:sz="4" w:space="0" w:color="000000"/>
              <w:left w:val="single" w:sz="4" w:space="0" w:color="000000"/>
              <w:bottom w:val="single" w:sz="4" w:space="0" w:color="000000"/>
              <w:right w:val="single" w:sz="4" w:space="0" w:color="000000"/>
            </w:tcBorders>
          </w:tcPr>
          <w:p w14:paraId="044CE2A6"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8 (4.5)</w:t>
            </w:r>
          </w:p>
        </w:tc>
        <w:tc>
          <w:tcPr>
            <w:tcW w:w="2268" w:type="dxa"/>
            <w:tcBorders>
              <w:top w:val="single" w:sz="4" w:space="0" w:color="000000"/>
              <w:left w:val="single" w:sz="4" w:space="0" w:color="000000"/>
              <w:bottom w:val="single" w:sz="4" w:space="0" w:color="000000"/>
              <w:right w:val="single" w:sz="4" w:space="0" w:color="000000"/>
            </w:tcBorders>
          </w:tcPr>
          <w:p w14:paraId="149FBD5E"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7 (21.9)</w:t>
            </w:r>
          </w:p>
        </w:tc>
      </w:tr>
      <w:tr w:rsidR="00BA19F8" w:rsidRPr="00D1606C" w14:paraId="71D513B3"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13EEB02B" w14:textId="77777777" w:rsidR="00BA19F8" w:rsidRPr="00D1606C"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Constipation</w:t>
            </w:r>
          </w:p>
        </w:tc>
        <w:tc>
          <w:tcPr>
            <w:tcW w:w="2552" w:type="dxa"/>
            <w:tcBorders>
              <w:top w:val="single" w:sz="4" w:space="0" w:color="000000"/>
              <w:left w:val="single" w:sz="4" w:space="0" w:color="000000"/>
              <w:bottom w:val="single" w:sz="4" w:space="0" w:color="000000"/>
              <w:right w:val="single" w:sz="4" w:space="0" w:color="000000"/>
            </w:tcBorders>
          </w:tcPr>
          <w:p w14:paraId="46E90AAF" w14:textId="77777777" w:rsidR="00BA19F8" w:rsidRPr="00D1606C"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8 (4.5)</w:t>
            </w:r>
          </w:p>
        </w:tc>
        <w:tc>
          <w:tcPr>
            <w:tcW w:w="2268" w:type="dxa"/>
            <w:tcBorders>
              <w:top w:val="single" w:sz="4" w:space="0" w:color="000000"/>
              <w:left w:val="single" w:sz="4" w:space="0" w:color="000000"/>
              <w:bottom w:val="single" w:sz="4" w:space="0" w:color="000000"/>
              <w:right w:val="single" w:sz="4" w:space="0" w:color="000000"/>
            </w:tcBorders>
          </w:tcPr>
          <w:p w14:paraId="754BA3BA" w14:textId="77777777" w:rsidR="00BA19F8" w:rsidRPr="00D1606C"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5 (15.6)</w:t>
            </w:r>
          </w:p>
        </w:tc>
      </w:tr>
      <w:tr w:rsidR="00BA19F8" w:rsidRPr="00D1606C" w14:paraId="7C521C83"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1661A10E" w14:textId="77777777" w:rsidR="00BA19F8" w:rsidRPr="00D1606C" w:rsidRDefault="00BA19F8" w:rsidP="00BA19F8">
            <w:pPr>
              <w:pStyle w:val="TableParagraph"/>
              <w:kinsoku w:val="0"/>
              <w:overflowPunct w:val="0"/>
              <w:spacing w:before="0" w:after="0"/>
              <w:ind w:left="680"/>
              <w:jc w:val="left"/>
              <w:rPr>
                <w:rFonts w:cstheme="minorHAnsi"/>
                <w:sz w:val="22"/>
                <w:szCs w:val="22"/>
              </w:rPr>
            </w:pPr>
            <w:r w:rsidRPr="00D1606C">
              <w:rPr>
                <w:rFonts w:cstheme="minorHAnsi"/>
                <w:sz w:val="22"/>
                <w:szCs w:val="22"/>
              </w:rPr>
              <w:t>Anxiety</w:t>
            </w:r>
          </w:p>
        </w:tc>
        <w:tc>
          <w:tcPr>
            <w:tcW w:w="2552" w:type="dxa"/>
            <w:tcBorders>
              <w:top w:val="single" w:sz="4" w:space="0" w:color="000000"/>
              <w:left w:val="single" w:sz="4" w:space="0" w:color="000000"/>
              <w:bottom w:val="single" w:sz="4" w:space="0" w:color="000000"/>
              <w:right w:val="single" w:sz="4" w:space="0" w:color="000000"/>
            </w:tcBorders>
          </w:tcPr>
          <w:p w14:paraId="3A6C66A2" w14:textId="77777777" w:rsidR="00BA19F8" w:rsidRPr="00D1606C" w:rsidRDefault="00BA19F8" w:rsidP="00BA19F8">
            <w:pPr>
              <w:pStyle w:val="TableParagraph"/>
              <w:kinsoku w:val="0"/>
              <w:overflowPunct w:val="0"/>
              <w:spacing w:before="0" w:after="0"/>
              <w:ind w:left="297" w:right="288"/>
              <w:rPr>
                <w:rFonts w:cstheme="minorHAnsi"/>
                <w:sz w:val="22"/>
                <w:szCs w:val="22"/>
              </w:rPr>
            </w:pPr>
            <w:r w:rsidRPr="00D1606C">
              <w:rPr>
                <w:rFonts w:cstheme="minorHAnsi"/>
                <w:sz w:val="22"/>
                <w:szCs w:val="22"/>
              </w:rPr>
              <w:t>8 (4.5)</w:t>
            </w:r>
          </w:p>
        </w:tc>
        <w:tc>
          <w:tcPr>
            <w:tcW w:w="2268" w:type="dxa"/>
            <w:tcBorders>
              <w:top w:val="single" w:sz="4" w:space="0" w:color="000000"/>
              <w:left w:val="single" w:sz="4" w:space="0" w:color="000000"/>
              <w:bottom w:val="single" w:sz="4" w:space="0" w:color="000000"/>
              <w:right w:val="single" w:sz="4" w:space="0" w:color="000000"/>
            </w:tcBorders>
          </w:tcPr>
          <w:p w14:paraId="6BAA38CE" w14:textId="77777777" w:rsidR="00BA19F8" w:rsidRPr="00D1606C" w:rsidRDefault="00BA19F8" w:rsidP="00BA19F8">
            <w:pPr>
              <w:pStyle w:val="TableParagraph"/>
              <w:kinsoku w:val="0"/>
              <w:overflowPunct w:val="0"/>
              <w:spacing w:before="0" w:after="0"/>
              <w:ind w:left="292" w:right="280"/>
              <w:rPr>
                <w:rFonts w:cstheme="minorHAnsi"/>
                <w:sz w:val="22"/>
                <w:szCs w:val="22"/>
              </w:rPr>
            </w:pPr>
            <w:r w:rsidRPr="00D1606C">
              <w:rPr>
                <w:rFonts w:cstheme="minorHAnsi"/>
                <w:sz w:val="22"/>
                <w:szCs w:val="22"/>
              </w:rPr>
              <w:t>4 (12.5)</w:t>
            </w:r>
          </w:p>
        </w:tc>
      </w:tr>
      <w:tr w:rsidR="00BA19F8" w:rsidRPr="00D1606C" w14:paraId="51040D33"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51CBA28"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Blister</w:t>
            </w:r>
          </w:p>
        </w:tc>
        <w:tc>
          <w:tcPr>
            <w:tcW w:w="2552" w:type="dxa"/>
            <w:tcBorders>
              <w:top w:val="single" w:sz="4" w:space="0" w:color="000000"/>
              <w:left w:val="single" w:sz="4" w:space="0" w:color="000000"/>
              <w:bottom w:val="single" w:sz="4" w:space="0" w:color="000000"/>
              <w:right w:val="single" w:sz="4" w:space="0" w:color="000000"/>
            </w:tcBorders>
          </w:tcPr>
          <w:p w14:paraId="6A1E9860"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7 (4.0)</w:t>
            </w:r>
          </w:p>
        </w:tc>
        <w:tc>
          <w:tcPr>
            <w:tcW w:w="2268" w:type="dxa"/>
            <w:tcBorders>
              <w:top w:val="single" w:sz="4" w:space="0" w:color="000000"/>
              <w:left w:val="single" w:sz="4" w:space="0" w:color="000000"/>
              <w:bottom w:val="single" w:sz="4" w:space="0" w:color="000000"/>
              <w:right w:val="single" w:sz="4" w:space="0" w:color="000000"/>
            </w:tcBorders>
          </w:tcPr>
          <w:p w14:paraId="32C880DB"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8 (25.0)</w:t>
            </w:r>
          </w:p>
        </w:tc>
      </w:tr>
      <w:tr w:rsidR="00BA19F8" w:rsidRPr="00D1606C" w14:paraId="32BEBD44"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237B4DD9" w14:textId="77777777" w:rsidR="00BA19F8" w:rsidRPr="00F96179" w:rsidRDefault="00BA19F8" w:rsidP="00BA19F8">
            <w:pPr>
              <w:pStyle w:val="TableParagraph"/>
              <w:kinsoku w:val="0"/>
              <w:overflowPunct w:val="0"/>
              <w:spacing w:before="0" w:after="0"/>
              <w:ind w:left="680"/>
              <w:jc w:val="left"/>
              <w:rPr>
                <w:rFonts w:cstheme="minorHAnsi"/>
                <w:sz w:val="22"/>
                <w:szCs w:val="22"/>
                <w:lang w:val="de-DE"/>
              </w:rPr>
            </w:pPr>
            <w:r w:rsidRPr="00F96179">
              <w:rPr>
                <w:rFonts w:cstheme="minorHAnsi"/>
                <w:sz w:val="22"/>
                <w:szCs w:val="22"/>
                <w:lang w:val="de-DE"/>
              </w:rPr>
              <w:t>Graft versus host disease in skin</w:t>
            </w:r>
          </w:p>
        </w:tc>
        <w:tc>
          <w:tcPr>
            <w:tcW w:w="2552" w:type="dxa"/>
            <w:tcBorders>
              <w:top w:val="single" w:sz="4" w:space="0" w:color="000000"/>
              <w:left w:val="single" w:sz="4" w:space="0" w:color="000000"/>
              <w:bottom w:val="single" w:sz="4" w:space="0" w:color="000000"/>
              <w:right w:val="single" w:sz="4" w:space="0" w:color="000000"/>
            </w:tcBorders>
          </w:tcPr>
          <w:p w14:paraId="4C663C06"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7 (4.0)</w:t>
            </w:r>
          </w:p>
        </w:tc>
        <w:tc>
          <w:tcPr>
            <w:tcW w:w="2268" w:type="dxa"/>
            <w:tcBorders>
              <w:top w:val="single" w:sz="4" w:space="0" w:color="000000"/>
              <w:left w:val="single" w:sz="4" w:space="0" w:color="000000"/>
              <w:bottom w:val="single" w:sz="4" w:space="0" w:color="000000"/>
              <w:right w:val="single" w:sz="4" w:space="0" w:color="000000"/>
            </w:tcBorders>
          </w:tcPr>
          <w:p w14:paraId="091982E2"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5 (15.6)</w:t>
            </w:r>
          </w:p>
        </w:tc>
      </w:tr>
      <w:tr w:rsidR="00BA19F8" w:rsidRPr="00D1606C" w14:paraId="7C805F0B"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5A6FB723" w14:textId="77777777" w:rsidR="00BA19F8" w:rsidRPr="00D1606C"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Hyperglycaemia</w:t>
            </w:r>
          </w:p>
        </w:tc>
        <w:tc>
          <w:tcPr>
            <w:tcW w:w="2552" w:type="dxa"/>
            <w:tcBorders>
              <w:top w:val="single" w:sz="4" w:space="0" w:color="000000"/>
              <w:left w:val="single" w:sz="4" w:space="0" w:color="000000"/>
              <w:bottom w:val="single" w:sz="4" w:space="0" w:color="000000"/>
              <w:right w:val="single" w:sz="4" w:space="0" w:color="000000"/>
            </w:tcBorders>
          </w:tcPr>
          <w:p w14:paraId="0AD1A6F7" w14:textId="77777777" w:rsidR="00BA19F8" w:rsidRPr="00D1606C"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7 (4.0)</w:t>
            </w:r>
          </w:p>
        </w:tc>
        <w:tc>
          <w:tcPr>
            <w:tcW w:w="2268" w:type="dxa"/>
            <w:tcBorders>
              <w:top w:val="single" w:sz="4" w:space="0" w:color="000000"/>
              <w:left w:val="single" w:sz="4" w:space="0" w:color="000000"/>
              <w:bottom w:val="single" w:sz="4" w:space="0" w:color="000000"/>
              <w:right w:val="single" w:sz="4" w:space="0" w:color="000000"/>
            </w:tcBorders>
          </w:tcPr>
          <w:p w14:paraId="27FEFEC4" w14:textId="77777777" w:rsidR="00BA19F8" w:rsidRPr="00D1606C"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4 (12.5)</w:t>
            </w:r>
          </w:p>
        </w:tc>
      </w:tr>
      <w:tr w:rsidR="00BA19F8" w:rsidRPr="00D1606C" w14:paraId="4738A302"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63CB31E3"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Convulsion</w:t>
            </w:r>
          </w:p>
        </w:tc>
        <w:tc>
          <w:tcPr>
            <w:tcW w:w="2552" w:type="dxa"/>
            <w:tcBorders>
              <w:top w:val="single" w:sz="4" w:space="0" w:color="000000"/>
              <w:left w:val="single" w:sz="4" w:space="0" w:color="000000"/>
              <w:bottom w:val="single" w:sz="4" w:space="0" w:color="000000"/>
              <w:right w:val="single" w:sz="4" w:space="0" w:color="000000"/>
            </w:tcBorders>
          </w:tcPr>
          <w:p w14:paraId="0545CC47"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7 (4.0)</w:t>
            </w:r>
          </w:p>
        </w:tc>
        <w:tc>
          <w:tcPr>
            <w:tcW w:w="2268" w:type="dxa"/>
            <w:tcBorders>
              <w:top w:val="single" w:sz="4" w:space="0" w:color="000000"/>
              <w:left w:val="single" w:sz="4" w:space="0" w:color="000000"/>
              <w:bottom w:val="single" w:sz="4" w:space="0" w:color="000000"/>
              <w:right w:val="single" w:sz="4" w:space="0" w:color="000000"/>
            </w:tcBorders>
          </w:tcPr>
          <w:p w14:paraId="61BA681A"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3 (9.4)</w:t>
            </w:r>
          </w:p>
        </w:tc>
      </w:tr>
      <w:tr w:rsidR="00BA19F8" w:rsidRPr="00D1606C" w14:paraId="7E0066D2"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62D25D57"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Chills</w:t>
            </w:r>
          </w:p>
        </w:tc>
        <w:tc>
          <w:tcPr>
            <w:tcW w:w="2552" w:type="dxa"/>
            <w:tcBorders>
              <w:top w:val="single" w:sz="4" w:space="0" w:color="000000"/>
              <w:left w:val="single" w:sz="4" w:space="0" w:color="000000"/>
              <w:bottom w:val="single" w:sz="4" w:space="0" w:color="000000"/>
              <w:right w:val="single" w:sz="4" w:space="0" w:color="000000"/>
            </w:tcBorders>
          </w:tcPr>
          <w:p w14:paraId="3B53B5BC"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7 (4.0)</w:t>
            </w:r>
          </w:p>
        </w:tc>
        <w:tc>
          <w:tcPr>
            <w:tcW w:w="2268" w:type="dxa"/>
            <w:tcBorders>
              <w:top w:val="single" w:sz="4" w:space="0" w:color="000000"/>
              <w:left w:val="single" w:sz="4" w:space="0" w:color="000000"/>
              <w:bottom w:val="single" w:sz="4" w:space="0" w:color="000000"/>
              <w:right w:val="single" w:sz="4" w:space="0" w:color="000000"/>
            </w:tcBorders>
          </w:tcPr>
          <w:p w14:paraId="156FD30D"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00657268"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07582F8"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Back pain</w:t>
            </w:r>
          </w:p>
        </w:tc>
        <w:tc>
          <w:tcPr>
            <w:tcW w:w="2552" w:type="dxa"/>
            <w:tcBorders>
              <w:top w:val="single" w:sz="4" w:space="0" w:color="000000"/>
              <w:left w:val="single" w:sz="4" w:space="0" w:color="000000"/>
              <w:bottom w:val="single" w:sz="4" w:space="0" w:color="000000"/>
              <w:right w:val="single" w:sz="4" w:space="0" w:color="000000"/>
            </w:tcBorders>
          </w:tcPr>
          <w:p w14:paraId="672E4786"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6 (3.4)</w:t>
            </w:r>
          </w:p>
        </w:tc>
        <w:tc>
          <w:tcPr>
            <w:tcW w:w="2268" w:type="dxa"/>
            <w:tcBorders>
              <w:top w:val="single" w:sz="4" w:space="0" w:color="000000"/>
              <w:left w:val="single" w:sz="4" w:space="0" w:color="000000"/>
              <w:bottom w:val="single" w:sz="4" w:space="0" w:color="000000"/>
              <w:right w:val="single" w:sz="4" w:space="0" w:color="000000"/>
            </w:tcBorders>
          </w:tcPr>
          <w:p w14:paraId="757ABB04"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3 (9.4)</w:t>
            </w:r>
          </w:p>
        </w:tc>
      </w:tr>
      <w:tr w:rsidR="00BA19F8" w:rsidRPr="00D1606C" w14:paraId="4E5B22D6"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4EE2AD43"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Erythema</w:t>
            </w:r>
          </w:p>
        </w:tc>
        <w:tc>
          <w:tcPr>
            <w:tcW w:w="2552" w:type="dxa"/>
            <w:tcBorders>
              <w:top w:val="single" w:sz="4" w:space="0" w:color="000000"/>
              <w:left w:val="single" w:sz="4" w:space="0" w:color="000000"/>
              <w:bottom w:val="single" w:sz="4" w:space="0" w:color="000000"/>
              <w:right w:val="single" w:sz="4" w:space="0" w:color="000000"/>
            </w:tcBorders>
          </w:tcPr>
          <w:p w14:paraId="691DC6FE"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6 (3.4)</w:t>
            </w:r>
          </w:p>
        </w:tc>
        <w:tc>
          <w:tcPr>
            <w:tcW w:w="2268" w:type="dxa"/>
            <w:tcBorders>
              <w:top w:val="single" w:sz="4" w:space="0" w:color="000000"/>
              <w:left w:val="single" w:sz="4" w:space="0" w:color="000000"/>
              <w:bottom w:val="single" w:sz="4" w:space="0" w:color="000000"/>
              <w:right w:val="single" w:sz="4" w:space="0" w:color="000000"/>
            </w:tcBorders>
          </w:tcPr>
          <w:p w14:paraId="3667FCD4"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3 (9.4)</w:t>
            </w:r>
          </w:p>
        </w:tc>
      </w:tr>
      <w:tr w:rsidR="00BA19F8" w:rsidRPr="00D1606C" w14:paraId="52A66402"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19545312"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Pain</w:t>
            </w:r>
          </w:p>
        </w:tc>
        <w:tc>
          <w:tcPr>
            <w:tcW w:w="2552" w:type="dxa"/>
            <w:tcBorders>
              <w:top w:val="single" w:sz="4" w:space="0" w:color="000000"/>
              <w:left w:val="single" w:sz="4" w:space="0" w:color="000000"/>
              <w:bottom w:val="single" w:sz="4" w:space="0" w:color="000000"/>
              <w:right w:val="single" w:sz="4" w:space="0" w:color="000000"/>
            </w:tcBorders>
          </w:tcPr>
          <w:p w14:paraId="53039F85"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6 (3.4)</w:t>
            </w:r>
          </w:p>
        </w:tc>
        <w:tc>
          <w:tcPr>
            <w:tcW w:w="2268" w:type="dxa"/>
            <w:tcBorders>
              <w:top w:val="single" w:sz="4" w:space="0" w:color="000000"/>
              <w:left w:val="single" w:sz="4" w:space="0" w:color="000000"/>
              <w:bottom w:val="single" w:sz="4" w:space="0" w:color="000000"/>
              <w:right w:val="single" w:sz="4" w:space="0" w:color="000000"/>
            </w:tcBorders>
          </w:tcPr>
          <w:p w14:paraId="4D0BA42E"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3 (9.4)</w:t>
            </w:r>
          </w:p>
        </w:tc>
      </w:tr>
      <w:tr w:rsidR="00BA19F8" w:rsidRPr="00D1606C" w14:paraId="5DD873C9"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54577EC3"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Pruritus</w:t>
            </w:r>
          </w:p>
        </w:tc>
        <w:tc>
          <w:tcPr>
            <w:tcW w:w="2552" w:type="dxa"/>
            <w:tcBorders>
              <w:top w:val="single" w:sz="4" w:space="0" w:color="000000"/>
              <w:left w:val="single" w:sz="4" w:space="0" w:color="000000"/>
              <w:bottom w:val="single" w:sz="4" w:space="0" w:color="000000"/>
              <w:right w:val="single" w:sz="4" w:space="0" w:color="000000"/>
            </w:tcBorders>
          </w:tcPr>
          <w:p w14:paraId="3BA6D71B"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6 (3.4)</w:t>
            </w:r>
          </w:p>
        </w:tc>
        <w:tc>
          <w:tcPr>
            <w:tcW w:w="2268" w:type="dxa"/>
            <w:tcBorders>
              <w:top w:val="single" w:sz="4" w:space="0" w:color="000000"/>
              <w:left w:val="single" w:sz="4" w:space="0" w:color="000000"/>
              <w:bottom w:val="single" w:sz="4" w:space="0" w:color="000000"/>
              <w:right w:val="single" w:sz="4" w:space="0" w:color="000000"/>
            </w:tcBorders>
          </w:tcPr>
          <w:p w14:paraId="0A96FF9A"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3 (9.4)</w:t>
            </w:r>
          </w:p>
        </w:tc>
      </w:tr>
      <w:tr w:rsidR="00BA19F8" w:rsidRPr="00D1606C" w14:paraId="30DDCDFF"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53DED2BD" w14:textId="77777777" w:rsidR="00BA19F8" w:rsidRPr="00D1606C"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Tachypnoea</w:t>
            </w:r>
          </w:p>
        </w:tc>
        <w:tc>
          <w:tcPr>
            <w:tcW w:w="2552" w:type="dxa"/>
            <w:tcBorders>
              <w:top w:val="single" w:sz="4" w:space="0" w:color="000000"/>
              <w:left w:val="single" w:sz="4" w:space="0" w:color="000000"/>
              <w:bottom w:val="single" w:sz="4" w:space="0" w:color="000000"/>
              <w:right w:val="single" w:sz="4" w:space="0" w:color="000000"/>
            </w:tcBorders>
          </w:tcPr>
          <w:p w14:paraId="26478C01" w14:textId="77777777" w:rsidR="00BA19F8" w:rsidRPr="00D1606C"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6 (3.4)</w:t>
            </w:r>
          </w:p>
        </w:tc>
        <w:tc>
          <w:tcPr>
            <w:tcW w:w="2268" w:type="dxa"/>
            <w:tcBorders>
              <w:top w:val="single" w:sz="4" w:space="0" w:color="000000"/>
              <w:left w:val="single" w:sz="4" w:space="0" w:color="000000"/>
              <w:bottom w:val="single" w:sz="4" w:space="0" w:color="000000"/>
              <w:right w:val="single" w:sz="4" w:space="0" w:color="000000"/>
            </w:tcBorders>
          </w:tcPr>
          <w:p w14:paraId="21D2D90F" w14:textId="77777777" w:rsidR="00BA19F8" w:rsidRPr="00D1606C"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05D90714"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4834764B" w14:textId="77777777" w:rsidR="00BA19F8" w:rsidRPr="00D1606C"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Hypothermia</w:t>
            </w:r>
          </w:p>
        </w:tc>
        <w:tc>
          <w:tcPr>
            <w:tcW w:w="2552" w:type="dxa"/>
            <w:tcBorders>
              <w:top w:val="single" w:sz="4" w:space="0" w:color="000000"/>
              <w:left w:val="single" w:sz="4" w:space="0" w:color="000000"/>
              <w:bottom w:val="single" w:sz="4" w:space="0" w:color="000000"/>
              <w:right w:val="single" w:sz="4" w:space="0" w:color="000000"/>
            </w:tcBorders>
          </w:tcPr>
          <w:p w14:paraId="1FAB001A" w14:textId="77777777" w:rsidR="00BA19F8" w:rsidRPr="00D1606C"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5 (2.8)</w:t>
            </w:r>
          </w:p>
        </w:tc>
        <w:tc>
          <w:tcPr>
            <w:tcW w:w="2268" w:type="dxa"/>
            <w:tcBorders>
              <w:top w:val="single" w:sz="4" w:space="0" w:color="000000"/>
              <w:left w:val="single" w:sz="4" w:space="0" w:color="000000"/>
              <w:bottom w:val="single" w:sz="4" w:space="0" w:color="000000"/>
              <w:right w:val="single" w:sz="4" w:space="0" w:color="000000"/>
            </w:tcBorders>
          </w:tcPr>
          <w:p w14:paraId="7E2FABA6" w14:textId="77777777" w:rsidR="00BA19F8" w:rsidRPr="00D1606C"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5 (15.6)</w:t>
            </w:r>
          </w:p>
        </w:tc>
      </w:tr>
      <w:tr w:rsidR="00BA19F8" w:rsidRPr="00D1606C" w14:paraId="3404EDD7"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1F142D5" w14:textId="77777777" w:rsidR="00BA19F8" w:rsidRPr="00D1606C" w:rsidRDefault="00BA19F8" w:rsidP="00BA19F8">
            <w:pPr>
              <w:pStyle w:val="TableParagraph"/>
              <w:kinsoku w:val="0"/>
              <w:overflowPunct w:val="0"/>
              <w:spacing w:before="0" w:after="0"/>
              <w:ind w:left="680"/>
              <w:jc w:val="left"/>
              <w:rPr>
                <w:rFonts w:cstheme="minorHAnsi"/>
                <w:sz w:val="22"/>
                <w:szCs w:val="22"/>
              </w:rPr>
            </w:pPr>
            <w:r w:rsidRPr="00D1606C">
              <w:rPr>
                <w:rFonts w:cstheme="minorHAnsi"/>
                <w:sz w:val="22"/>
                <w:szCs w:val="22"/>
              </w:rPr>
              <w:t>Dyspnoea</w:t>
            </w:r>
          </w:p>
        </w:tc>
        <w:tc>
          <w:tcPr>
            <w:tcW w:w="2552" w:type="dxa"/>
            <w:tcBorders>
              <w:top w:val="single" w:sz="4" w:space="0" w:color="000000"/>
              <w:left w:val="single" w:sz="4" w:space="0" w:color="000000"/>
              <w:bottom w:val="single" w:sz="4" w:space="0" w:color="000000"/>
              <w:right w:val="single" w:sz="4" w:space="0" w:color="000000"/>
            </w:tcBorders>
          </w:tcPr>
          <w:p w14:paraId="4F9DEAE7" w14:textId="77777777" w:rsidR="00BA19F8" w:rsidRPr="00D1606C" w:rsidRDefault="00BA19F8" w:rsidP="00BA19F8">
            <w:pPr>
              <w:pStyle w:val="TableParagraph"/>
              <w:kinsoku w:val="0"/>
              <w:overflowPunct w:val="0"/>
              <w:spacing w:before="0" w:after="0"/>
              <w:ind w:left="297" w:right="288"/>
              <w:rPr>
                <w:rFonts w:cstheme="minorHAnsi"/>
                <w:sz w:val="22"/>
                <w:szCs w:val="22"/>
              </w:rPr>
            </w:pPr>
            <w:r w:rsidRPr="00D1606C">
              <w:rPr>
                <w:rFonts w:cstheme="minorHAnsi"/>
                <w:sz w:val="22"/>
                <w:szCs w:val="22"/>
              </w:rPr>
              <w:t>4 (2.3)</w:t>
            </w:r>
          </w:p>
        </w:tc>
        <w:tc>
          <w:tcPr>
            <w:tcW w:w="2268" w:type="dxa"/>
            <w:tcBorders>
              <w:top w:val="single" w:sz="4" w:space="0" w:color="000000"/>
              <w:left w:val="single" w:sz="4" w:space="0" w:color="000000"/>
              <w:bottom w:val="single" w:sz="4" w:space="0" w:color="000000"/>
              <w:right w:val="single" w:sz="4" w:space="0" w:color="000000"/>
            </w:tcBorders>
          </w:tcPr>
          <w:p w14:paraId="78496DC4" w14:textId="77777777" w:rsidR="00BA19F8" w:rsidRPr="00D1606C" w:rsidRDefault="00BA19F8" w:rsidP="00BA19F8">
            <w:pPr>
              <w:pStyle w:val="TableParagraph"/>
              <w:kinsoku w:val="0"/>
              <w:overflowPunct w:val="0"/>
              <w:spacing w:before="0" w:after="0"/>
              <w:ind w:left="292" w:right="280"/>
              <w:rPr>
                <w:rFonts w:cstheme="minorHAnsi"/>
                <w:sz w:val="22"/>
                <w:szCs w:val="22"/>
              </w:rPr>
            </w:pPr>
            <w:r w:rsidRPr="00D1606C">
              <w:rPr>
                <w:rFonts w:cstheme="minorHAnsi"/>
                <w:sz w:val="22"/>
                <w:szCs w:val="22"/>
              </w:rPr>
              <w:t>5 (15.6)</w:t>
            </w:r>
          </w:p>
        </w:tc>
      </w:tr>
      <w:tr w:rsidR="00BA19F8" w:rsidRPr="00D1606C" w14:paraId="7956F50E"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3C2531D7"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Tremor</w:t>
            </w:r>
          </w:p>
        </w:tc>
        <w:tc>
          <w:tcPr>
            <w:tcW w:w="2552" w:type="dxa"/>
            <w:tcBorders>
              <w:top w:val="single" w:sz="4" w:space="0" w:color="000000"/>
              <w:left w:val="single" w:sz="4" w:space="0" w:color="000000"/>
              <w:bottom w:val="single" w:sz="4" w:space="0" w:color="000000"/>
              <w:right w:val="single" w:sz="4" w:space="0" w:color="000000"/>
            </w:tcBorders>
          </w:tcPr>
          <w:p w14:paraId="79F5CBAF"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4 (2.3)</w:t>
            </w:r>
          </w:p>
        </w:tc>
        <w:tc>
          <w:tcPr>
            <w:tcW w:w="2268" w:type="dxa"/>
            <w:tcBorders>
              <w:top w:val="single" w:sz="4" w:space="0" w:color="000000"/>
              <w:left w:val="single" w:sz="4" w:space="0" w:color="000000"/>
              <w:bottom w:val="single" w:sz="4" w:space="0" w:color="000000"/>
              <w:right w:val="single" w:sz="4" w:space="0" w:color="000000"/>
            </w:tcBorders>
          </w:tcPr>
          <w:p w14:paraId="6593FCD2"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4 (12.5)</w:t>
            </w:r>
          </w:p>
        </w:tc>
      </w:tr>
      <w:tr w:rsidR="00BA19F8" w:rsidRPr="00D1606C" w14:paraId="7C805DB3"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18040217" w14:textId="77777777" w:rsidR="00BA19F8" w:rsidRPr="00D1606C"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Bacteraemia</w:t>
            </w:r>
          </w:p>
        </w:tc>
        <w:tc>
          <w:tcPr>
            <w:tcW w:w="2552" w:type="dxa"/>
            <w:tcBorders>
              <w:top w:val="single" w:sz="4" w:space="0" w:color="000000"/>
              <w:left w:val="single" w:sz="4" w:space="0" w:color="000000"/>
              <w:bottom w:val="single" w:sz="4" w:space="0" w:color="000000"/>
              <w:right w:val="single" w:sz="4" w:space="0" w:color="000000"/>
            </w:tcBorders>
          </w:tcPr>
          <w:p w14:paraId="6CD0E453" w14:textId="77777777" w:rsidR="00BA19F8" w:rsidRPr="00D1606C"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4 (2.3)</w:t>
            </w:r>
          </w:p>
        </w:tc>
        <w:tc>
          <w:tcPr>
            <w:tcW w:w="2268" w:type="dxa"/>
            <w:tcBorders>
              <w:top w:val="single" w:sz="4" w:space="0" w:color="000000"/>
              <w:left w:val="single" w:sz="4" w:space="0" w:color="000000"/>
              <w:bottom w:val="single" w:sz="4" w:space="0" w:color="000000"/>
              <w:right w:val="single" w:sz="4" w:space="0" w:color="000000"/>
            </w:tcBorders>
          </w:tcPr>
          <w:p w14:paraId="24D4384B" w14:textId="77777777" w:rsidR="00BA19F8" w:rsidRPr="00D1606C"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3 (9.4)</w:t>
            </w:r>
          </w:p>
        </w:tc>
      </w:tr>
      <w:tr w:rsidR="00BA19F8" w:rsidRPr="00D1606C" w14:paraId="4A6A7FD5"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63978EAA"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Mouth haemorrhage</w:t>
            </w:r>
          </w:p>
        </w:tc>
        <w:tc>
          <w:tcPr>
            <w:tcW w:w="2552" w:type="dxa"/>
            <w:tcBorders>
              <w:top w:val="single" w:sz="4" w:space="0" w:color="000000"/>
              <w:left w:val="single" w:sz="4" w:space="0" w:color="000000"/>
              <w:bottom w:val="single" w:sz="4" w:space="0" w:color="000000"/>
              <w:right w:val="single" w:sz="4" w:space="0" w:color="000000"/>
            </w:tcBorders>
          </w:tcPr>
          <w:p w14:paraId="48490CAA"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4 (2.3)</w:t>
            </w:r>
          </w:p>
        </w:tc>
        <w:tc>
          <w:tcPr>
            <w:tcW w:w="2268" w:type="dxa"/>
            <w:tcBorders>
              <w:top w:val="single" w:sz="4" w:space="0" w:color="000000"/>
              <w:left w:val="single" w:sz="4" w:space="0" w:color="000000"/>
              <w:bottom w:val="single" w:sz="4" w:space="0" w:color="000000"/>
              <w:right w:val="single" w:sz="4" w:space="0" w:color="000000"/>
            </w:tcBorders>
          </w:tcPr>
          <w:p w14:paraId="3577A7BB"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3 (9.4)</w:t>
            </w:r>
          </w:p>
        </w:tc>
      </w:tr>
      <w:tr w:rsidR="00BA19F8" w:rsidRPr="00D1606C" w14:paraId="432D506B"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2B6F27B"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Skin disorder</w:t>
            </w:r>
          </w:p>
        </w:tc>
        <w:tc>
          <w:tcPr>
            <w:tcW w:w="2552" w:type="dxa"/>
            <w:tcBorders>
              <w:top w:val="single" w:sz="4" w:space="0" w:color="000000"/>
              <w:left w:val="single" w:sz="4" w:space="0" w:color="000000"/>
              <w:bottom w:val="single" w:sz="4" w:space="0" w:color="000000"/>
              <w:right w:val="single" w:sz="4" w:space="0" w:color="000000"/>
            </w:tcBorders>
          </w:tcPr>
          <w:p w14:paraId="6F814C4C"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3 (1.7)</w:t>
            </w:r>
          </w:p>
        </w:tc>
        <w:tc>
          <w:tcPr>
            <w:tcW w:w="2268" w:type="dxa"/>
            <w:tcBorders>
              <w:top w:val="single" w:sz="4" w:space="0" w:color="000000"/>
              <w:left w:val="single" w:sz="4" w:space="0" w:color="000000"/>
              <w:bottom w:val="single" w:sz="4" w:space="0" w:color="000000"/>
              <w:right w:val="single" w:sz="4" w:space="0" w:color="000000"/>
            </w:tcBorders>
          </w:tcPr>
          <w:p w14:paraId="4E58E3F0"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5 (15.6)</w:t>
            </w:r>
          </w:p>
        </w:tc>
      </w:tr>
      <w:tr w:rsidR="00BA19F8" w:rsidRPr="00D1606C" w14:paraId="430526BE"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3C72F7BB"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Insomnia</w:t>
            </w:r>
          </w:p>
        </w:tc>
        <w:tc>
          <w:tcPr>
            <w:tcW w:w="2552" w:type="dxa"/>
            <w:tcBorders>
              <w:top w:val="single" w:sz="4" w:space="0" w:color="000000"/>
              <w:left w:val="single" w:sz="4" w:space="0" w:color="000000"/>
              <w:bottom w:val="single" w:sz="4" w:space="0" w:color="000000"/>
              <w:right w:val="single" w:sz="4" w:space="0" w:color="000000"/>
            </w:tcBorders>
          </w:tcPr>
          <w:p w14:paraId="21969920"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3 (1.7)</w:t>
            </w:r>
          </w:p>
        </w:tc>
        <w:tc>
          <w:tcPr>
            <w:tcW w:w="2268" w:type="dxa"/>
            <w:tcBorders>
              <w:top w:val="single" w:sz="4" w:space="0" w:color="000000"/>
              <w:left w:val="single" w:sz="4" w:space="0" w:color="000000"/>
              <w:bottom w:val="single" w:sz="4" w:space="0" w:color="000000"/>
              <w:right w:val="single" w:sz="4" w:space="0" w:color="000000"/>
            </w:tcBorders>
          </w:tcPr>
          <w:p w14:paraId="297D3273"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4 (12.5)</w:t>
            </w:r>
          </w:p>
        </w:tc>
      </w:tr>
      <w:tr w:rsidR="00BA19F8" w:rsidRPr="00D1606C" w14:paraId="6E5E822E"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37AC0D02"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Bladder spasm</w:t>
            </w:r>
          </w:p>
        </w:tc>
        <w:tc>
          <w:tcPr>
            <w:tcW w:w="2552" w:type="dxa"/>
            <w:tcBorders>
              <w:top w:val="single" w:sz="4" w:space="0" w:color="000000"/>
              <w:left w:val="single" w:sz="4" w:space="0" w:color="000000"/>
              <w:bottom w:val="single" w:sz="4" w:space="0" w:color="000000"/>
              <w:right w:val="single" w:sz="4" w:space="0" w:color="000000"/>
            </w:tcBorders>
          </w:tcPr>
          <w:p w14:paraId="5E7BD23A"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3 (1.7)</w:t>
            </w:r>
          </w:p>
        </w:tc>
        <w:tc>
          <w:tcPr>
            <w:tcW w:w="2268" w:type="dxa"/>
            <w:tcBorders>
              <w:top w:val="single" w:sz="4" w:space="0" w:color="000000"/>
              <w:left w:val="single" w:sz="4" w:space="0" w:color="000000"/>
              <w:bottom w:val="single" w:sz="4" w:space="0" w:color="000000"/>
              <w:right w:val="single" w:sz="4" w:space="0" w:color="000000"/>
            </w:tcBorders>
          </w:tcPr>
          <w:p w14:paraId="4F3CE65E"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3 (9.4)</w:t>
            </w:r>
          </w:p>
        </w:tc>
      </w:tr>
      <w:tr w:rsidR="00BA19F8" w:rsidRPr="00D1606C" w14:paraId="0605E5B3"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3AB51D57"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Hepatic failure</w:t>
            </w:r>
          </w:p>
        </w:tc>
        <w:tc>
          <w:tcPr>
            <w:tcW w:w="2552" w:type="dxa"/>
            <w:tcBorders>
              <w:top w:val="single" w:sz="4" w:space="0" w:color="000000"/>
              <w:left w:val="single" w:sz="4" w:space="0" w:color="000000"/>
              <w:bottom w:val="single" w:sz="4" w:space="0" w:color="000000"/>
              <w:right w:val="single" w:sz="4" w:space="0" w:color="000000"/>
            </w:tcBorders>
          </w:tcPr>
          <w:p w14:paraId="51336B8B"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3 (1.7)</w:t>
            </w:r>
          </w:p>
        </w:tc>
        <w:tc>
          <w:tcPr>
            <w:tcW w:w="2268" w:type="dxa"/>
            <w:tcBorders>
              <w:top w:val="single" w:sz="4" w:space="0" w:color="000000"/>
              <w:left w:val="single" w:sz="4" w:space="0" w:color="000000"/>
              <w:bottom w:val="single" w:sz="4" w:space="0" w:color="000000"/>
              <w:right w:val="single" w:sz="4" w:space="0" w:color="000000"/>
            </w:tcBorders>
          </w:tcPr>
          <w:p w14:paraId="3CB1A4A3"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3 (9.4)</w:t>
            </w:r>
          </w:p>
        </w:tc>
      </w:tr>
      <w:tr w:rsidR="00BA19F8" w:rsidRPr="00D1606C" w14:paraId="4C363D86"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2B49A765" w14:textId="77777777" w:rsidR="00BA19F8" w:rsidRPr="00D1606C"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Capillary leak syndrome</w:t>
            </w:r>
          </w:p>
        </w:tc>
        <w:tc>
          <w:tcPr>
            <w:tcW w:w="2552" w:type="dxa"/>
            <w:tcBorders>
              <w:top w:val="single" w:sz="4" w:space="0" w:color="000000"/>
              <w:left w:val="single" w:sz="4" w:space="0" w:color="000000"/>
              <w:bottom w:val="single" w:sz="4" w:space="0" w:color="000000"/>
              <w:right w:val="single" w:sz="4" w:space="0" w:color="000000"/>
            </w:tcBorders>
          </w:tcPr>
          <w:p w14:paraId="43A79D57" w14:textId="77777777" w:rsidR="00BA19F8" w:rsidRPr="00D1606C"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3 (1.7)</w:t>
            </w:r>
          </w:p>
        </w:tc>
        <w:tc>
          <w:tcPr>
            <w:tcW w:w="2268" w:type="dxa"/>
            <w:tcBorders>
              <w:top w:val="single" w:sz="4" w:space="0" w:color="000000"/>
              <w:left w:val="single" w:sz="4" w:space="0" w:color="000000"/>
              <w:bottom w:val="single" w:sz="4" w:space="0" w:color="000000"/>
              <w:right w:val="single" w:sz="4" w:space="0" w:color="000000"/>
            </w:tcBorders>
          </w:tcPr>
          <w:p w14:paraId="104BEFAB" w14:textId="77777777" w:rsidR="00BA19F8" w:rsidRPr="00D1606C"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05F2CF86"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57E325AE"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lastRenderedPageBreak/>
              <w:t>Cardiac arrest</w:t>
            </w:r>
          </w:p>
        </w:tc>
        <w:tc>
          <w:tcPr>
            <w:tcW w:w="2552" w:type="dxa"/>
            <w:tcBorders>
              <w:top w:val="single" w:sz="4" w:space="0" w:color="000000"/>
              <w:left w:val="single" w:sz="4" w:space="0" w:color="000000"/>
              <w:bottom w:val="single" w:sz="4" w:space="0" w:color="000000"/>
              <w:right w:val="single" w:sz="4" w:space="0" w:color="000000"/>
            </w:tcBorders>
          </w:tcPr>
          <w:p w14:paraId="4029628C"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3 (1.7)</w:t>
            </w:r>
          </w:p>
        </w:tc>
        <w:tc>
          <w:tcPr>
            <w:tcW w:w="2268" w:type="dxa"/>
            <w:tcBorders>
              <w:top w:val="single" w:sz="4" w:space="0" w:color="000000"/>
              <w:left w:val="single" w:sz="4" w:space="0" w:color="000000"/>
              <w:bottom w:val="single" w:sz="4" w:space="0" w:color="000000"/>
              <w:right w:val="single" w:sz="4" w:space="0" w:color="000000"/>
            </w:tcBorders>
          </w:tcPr>
          <w:p w14:paraId="0EB662A3"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1DE5D0C9"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4F100605"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Contusion</w:t>
            </w:r>
          </w:p>
        </w:tc>
        <w:tc>
          <w:tcPr>
            <w:tcW w:w="2552" w:type="dxa"/>
            <w:tcBorders>
              <w:top w:val="single" w:sz="4" w:space="0" w:color="000000"/>
              <w:left w:val="single" w:sz="4" w:space="0" w:color="000000"/>
              <w:bottom w:val="single" w:sz="4" w:space="0" w:color="000000"/>
              <w:right w:val="single" w:sz="4" w:space="0" w:color="000000"/>
            </w:tcBorders>
          </w:tcPr>
          <w:p w14:paraId="34C3CC74"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3 (1.7)</w:t>
            </w:r>
          </w:p>
        </w:tc>
        <w:tc>
          <w:tcPr>
            <w:tcW w:w="2268" w:type="dxa"/>
            <w:tcBorders>
              <w:top w:val="single" w:sz="4" w:space="0" w:color="000000"/>
              <w:left w:val="single" w:sz="4" w:space="0" w:color="000000"/>
              <w:bottom w:val="single" w:sz="4" w:space="0" w:color="000000"/>
              <w:right w:val="single" w:sz="4" w:space="0" w:color="000000"/>
            </w:tcBorders>
          </w:tcPr>
          <w:p w14:paraId="5687416D"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44A2118A"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14876EDD"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Rash erythematous</w:t>
            </w:r>
          </w:p>
        </w:tc>
        <w:tc>
          <w:tcPr>
            <w:tcW w:w="2552" w:type="dxa"/>
            <w:tcBorders>
              <w:top w:val="single" w:sz="4" w:space="0" w:color="000000"/>
              <w:left w:val="single" w:sz="4" w:space="0" w:color="000000"/>
              <w:bottom w:val="single" w:sz="4" w:space="0" w:color="000000"/>
              <w:right w:val="single" w:sz="4" w:space="0" w:color="000000"/>
            </w:tcBorders>
          </w:tcPr>
          <w:p w14:paraId="2AB4BE79"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3 (1.7)</w:t>
            </w:r>
          </w:p>
        </w:tc>
        <w:tc>
          <w:tcPr>
            <w:tcW w:w="2268" w:type="dxa"/>
            <w:tcBorders>
              <w:top w:val="single" w:sz="4" w:space="0" w:color="000000"/>
              <w:left w:val="single" w:sz="4" w:space="0" w:color="000000"/>
              <w:bottom w:val="single" w:sz="4" w:space="0" w:color="000000"/>
              <w:right w:val="single" w:sz="4" w:space="0" w:color="000000"/>
            </w:tcBorders>
          </w:tcPr>
          <w:p w14:paraId="72FBE58C"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4B573757"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1887A158"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Respiratory distress</w:t>
            </w:r>
          </w:p>
        </w:tc>
        <w:tc>
          <w:tcPr>
            <w:tcW w:w="2552" w:type="dxa"/>
            <w:tcBorders>
              <w:top w:val="single" w:sz="4" w:space="0" w:color="000000"/>
              <w:left w:val="single" w:sz="4" w:space="0" w:color="000000"/>
              <w:bottom w:val="single" w:sz="4" w:space="0" w:color="000000"/>
              <w:right w:val="single" w:sz="4" w:space="0" w:color="000000"/>
            </w:tcBorders>
          </w:tcPr>
          <w:p w14:paraId="26456804"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3 (1.7)</w:t>
            </w:r>
          </w:p>
        </w:tc>
        <w:tc>
          <w:tcPr>
            <w:tcW w:w="2268" w:type="dxa"/>
            <w:tcBorders>
              <w:top w:val="single" w:sz="4" w:space="0" w:color="000000"/>
              <w:left w:val="single" w:sz="4" w:space="0" w:color="000000"/>
              <w:bottom w:val="single" w:sz="4" w:space="0" w:color="000000"/>
              <w:right w:val="single" w:sz="4" w:space="0" w:color="000000"/>
            </w:tcBorders>
          </w:tcPr>
          <w:p w14:paraId="4FB41A06"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495FE2FA"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6BF2D24E"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Scrotal oedema</w:t>
            </w:r>
          </w:p>
        </w:tc>
        <w:tc>
          <w:tcPr>
            <w:tcW w:w="2552" w:type="dxa"/>
            <w:tcBorders>
              <w:top w:val="single" w:sz="4" w:space="0" w:color="000000"/>
              <w:left w:val="single" w:sz="4" w:space="0" w:color="000000"/>
              <w:bottom w:val="single" w:sz="4" w:space="0" w:color="000000"/>
              <w:right w:val="single" w:sz="4" w:space="0" w:color="000000"/>
            </w:tcBorders>
          </w:tcPr>
          <w:p w14:paraId="5D7AE209"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3 (1.7)</w:t>
            </w:r>
          </w:p>
        </w:tc>
        <w:tc>
          <w:tcPr>
            <w:tcW w:w="2268" w:type="dxa"/>
            <w:tcBorders>
              <w:top w:val="single" w:sz="4" w:space="0" w:color="000000"/>
              <w:left w:val="single" w:sz="4" w:space="0" w:color="000000"/>
              <w:bottom w:val="single" w:sz="4" w:space="0" w:color="000000"/>
              <w:right w:val="single" w:sz="4" w:space="0" w:color="000000"/>
            </w:tcBorders>
          </w:tcPr>
          <w:p w14:paraId="4E3E5C18"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22962D4B"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E937DFD"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Septic shock</w:t>
            </w:r>
          </w:p>
        </w:tc>
        <w:tc>
          <w:tcPr>
            <w:tcW w:w="2552" w:type="dxa"/>
            <w:tcBorders>
              <w:top w:val="single" w:sz="4" w:space="0" w:color="000000"/>
              <w:left w:val="single" w:sz="4" w:space="0" w:color="000000"/>
              <w:bottom w:val="single" w:sz="4" w:space="0" w:color="000000"/>
              <w:right w:val="single" w:sz="4" w:space="0" w:color="000000"/>
            </w:tcBorders>
          </w:tcPr>
          <w:p w14:paraId="7B5545B2"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3 (1.7)</w:t>
            </w:r>
          </w:p>
        </w:tc>
        <w:tc>
          <w:tcPr>
            <w:tcW w:w="2268" w:type="dxa"/>
            <w:tcBorders>
              <w:top w:val="single" w:sz="4" w:space="0" w:color="000000"/>
              <w:left w:val="single" w:sz="4" w:space="0" w:color="000000"/>
              <w:bottom w:val="single" w:sz="4" w:space="0" w:color="000000"/>
              <w:right w:val="single" w:sz="4" w:space="0" w:color="000000"/>
            </w:tcBorders>
          </w:tcPr>
          <w:p w14:paraId="115FC85C"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4BE211AB"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6544EBD"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Alopecia</w:t>
            </w:r>
          </w:p>
        </w:tc>
        <w:tc>
          <w:tcPr>
            <w:tcW w:w="2552" w:type="dxa"/>
            <w:tcBorders>
              <w:top w:val="single" w:sz="4" w:space="0" w:color="000000"/>
              <w:left w:val="single" w:sz="4" w:space="0" w:color="000000"/>
              <w:bottom w:val="single" w:sz="4" w:space="0" w:color="000000"/>
              <w:right w:val="single" w:sz="4" w:space="0" w:color="000000"/>
            </w:tcBorders>
          </w:tcPr>
          <w:p w14:paraId="1B5DA737"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2 (1.1)</w:t>
            </w:r>
          </w:p>
        </w:tc>
        <w:tc>
          <w:tcPr>
            <w:tcW w:w="2268" w:type="dxa"/>
            <w:tcBorders>
              <w:top w:val="single" w:sz="4" w:space="0" w:color="000000"/>
              <w:left w:val="single" w:sz="4" w:space="0" w:color="000000"/>
              <w:bottom w:val="single" w:sz="4" w:space="0" w:color="000000"/>
              <w:right w:val="single" w:sz="4" w:space="0" w:color="000000"/>
            </w:tcBorders>
          </w:tcPr>
          <w:p w14:paraId="72E4BAE0"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5 (15.6)</w:t>
            </w:r>
          </w:p>
        </w:tc>
      </w:tr>
      <w:tr w:rsidR="00BA19F8" w:rsidRPr="00D1606C" w14:paraId="7C9AD555"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3ACCB559"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Coagulopathy</w:t>
            </w:r>
          </w:p>
        </w:tc>
        <w:tc>
          <w:tcPr>
            <w:tcW w:w="2552" w:type="dxa"/>
            <w:tcBorders>
              <w:top w:val="single" w:sz="4" w:space="0" w:color="000000"/>
              <w:left w:val="single" w:sz="4" w:space="0" w:color="000000"/>
              <w:bottom w:val="single" w:sz="4" w:space="0" w:color="000000"/>
              <w:right w:val="single" w:sz="4" w:space="0" w:color="000000"/>
            </w:tcBorders>
          </w:tcPr>
          <w:p w14:paraId="5A55E435"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2 (1.1)</w:t>
            </w:r>
          </w:p>
        </w:tc>
        <w:tc>
          <w:tcPr>
            <w:tcW w:w="2268" w:type="dxa"/>
            <w:tcBorders>
              <w:top w:val="single" w:sz="4" w:space="0" w:color="000000"/>
              <w:left w:val="single" w:sz="4" w:space="0" w:color="000000"/>
              <w:bottom w:val="single" w:sz="4" w:space="0" w:color="000000"/>
              <w:right w:val="single" w:sz="4" w:space="0" w:color="000000"/>
            </w:tcBorders>
          </w:tcPr>
          <w:p w14:paraId="2C20AD08"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5 (15.6)</w:t>
            </w:r>
          </w:p>
        </w:tc>
      </w:tr>
      <w:tr w:rsidR="00BA19F8" w:rsidRPr="00D1606C" w14:paraId="6F47E4B6"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5AF71E61"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Lip haemorrhage</w:t>
            </w:r>
          </w:p>
        </w:tc>
        <w:tc>
          <w:tcPr>
            <w:tcW w:w="2552" w:type="dxa"/>
            <w:tcBorders>
              <w:top w:val="single" w:sz="4" w:space="0" w:color="000000"/>
              <w:left w:val="single" w:sz="4" w:space="0" w:color="000000"/>
              <w:bottom w:val="single" w:sz="4" w:space="0" w:color="000000"/>
              <w:right w:val="single" w:sz="4" w:space="0" w:color="000000"/>
            </w:tcBorders>
          </w:tcPr>
          <w:p w14:paraId="55555CDB"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2 (1.1)</w:t>
            </w:r>
          </w:p>
        </w:tc>
        <w:tc>
          <w:tcPr>
            <w:tcW w:w="2268" w:type="dxa"/>
            <w:tcBorders>
              <w:top w:val="single" w:sz="4" w:space="0" w:color="000000"/>
              <w:left w:val="single" w:sz="4" w:space="0" w:color="000000"/>
              <w:bottom w:val="single" w:sz="4" w:space="0" w:color="000000"/>
              <w:right w:val="single" w:sz="4" w:space="0" w:color="000000"/>
            </w:tcBorders>
          </w:tcPr>
          <w:p w14:paraId="46D833CC"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4 (12.5)</w:t>
            </w:r>
          </w:p>
        </w:tc>
      </w:tr>
      <w:tr w:rsidR="00BA19F8" w:rsidRPr="00D1606C" w14:paraId="21519421"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341DFE86"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Face oedema</w:t>
            </w:r>
          </w:p>
        </w:tc>
        <w:tc>
          <w:tcPr>
            <w:tcW w:w="2552" w:type="dxa"/>
            <w:tcBorders>
              <w:top w:val="single" w:sz="4" w:space="0" w:color="000000"/>
              <w:left w:val="single" w:sz="4" w:space="0" w:color="000000"/>
              <w:bottom w:val="single" w:sz="4" w:space="0" w:color="000000"/>
              <w:right w:val="single" w:sz="4" w:space="0" w:color="000000"/>
            </w:tcBorders>
          </w:tcPr>
          <w:p w14:paraId="7DBA1D70"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2 (1.1)</w:t>
            </w:r>
          </w:p>
        </w:tc>
        <w:tc>
          <w:tcPr>
            <w:tcW w:w="2268" w:type="dxa"/>
            <w:tcBorders>
              <w:top w:val="single" w:sz="4" w:space="0" w:color="000000"/>
              <w:left w:val="single" w:sz="4" w:space="0" w:color="000000"/>
              <w:bottom w:val="single" w:sz="4" w:space="0" w:color="000000"/>
              <w:right w:val="single" w:sz="4" w:space="0" w:color="000000"/>
            </w:tcBorders>
          </w:tcPr>
          <w:p w14:paraId="68084BD2"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3 (9.4)</w:t>
            </w:r>
          </w:p>
        </w:tc>
      </w:tr>
      <w:tr w:rsidR="00BA19F8" w:rsidRPr="00D1606C" w14:paraId="7B11B865"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51AC6B7D" w14:textId="77777777" w:rsidR="00BA19F8" w:rsidRPr="00D1606C"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Acidosis</w:t>
            </w:r>
          </w:p>
        </w:tc>
        <w:tc>
          <w:tcPr>
            <w:tcW w:w="2552" w:type="dxa"/>
            <w:tcBorders>
              <w:top w:val="single" w:sz="4" w:space="0" w:color="000000"/>
              <w:left w:val="single" w:sz="4" w:space="0" w:color="000000"/>
              <w:bottom w:val="single" w:sz="4" w:space="0" w:color="000000"/>
              <w:right w:val="single" w:sz="4" w:space="0" w:color="000000"/>
            </w:tcBorders>
          </w:tcPr>
          <w:p w14:paraId="5EA46869" w14:textId="77777777" w:rsidR="00BA19F8" w:rsidRPr="00D1606C"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2 (1.1)</w:t>
            </w:r>
          </w:p>
        </w:tc>
        <w:tc>
          <w:tcPr>
            <w:tcW w:w="2268" w:type="dxa"/>
            <w:tcBorders>
              <w:top w:val="single" w:sz="4" w:space="0" w:color="000000"/>
              <w:left w:val="single" w:sz="4" w:space="0" w:color="000000"/>
              <w:bottom w:val="single" w:sz="4" w:space="0" w:color="000000"/>
              <w:right w:val="single" w:sz="4" w:space="0" w:color="000000"/>
            </w:tcBorders>
          </w:tcPr>
          <w:p w14:paraId="6446615A" w14:textId="77777777" w:rsidR="00BA19F8" w:rsidRPr="00D1606C"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53577DBE"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1DC00CF"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Cardiac failure congestive</w:t>
            </w:r>
          </w:p>
        </w:tc>
        <w:tc>
          <w:tcPr>
            <w:tcW w:w="2552" w:type="dxa"/>
            <w:tcBorders>
              <w:top w:val="single" w:sz="4" w:space="0" w:color="000000"/>
              <w:left w:val="single" w:sz="4" w:space="0" w:color="000000"/>
              <w:bottom w:val="single" w:sz="4" w:space="0" w:color="000000"/>
              <w:right w:val="single" w:sz="4" w:space="0" w:color="000000"/>
            </w:tcBorders>
          </w:tcPr>
          <w:p w14:paraId="20180ACC"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2 (1.1)</w:t>
            </w:r>
          </w:p>
        </w:tc>
        <w:tc>
          <w:tcPr>
            <w:tcW w:w="2268" w:type="dxa"/>
            <w:tcBorders>
              <w:top w:val="single" w:sz="4" w:space="0" w:color="000000"/>
              <w:left w:val="single" w:sz="4" w:space="0" w:color="000000"/>
              <w:bottom w:val="single" w:sz="4" w:space="0" w:color="000000"/>
              <w:right w:val="single" w:sz="4" w:space="0" w:color="000000"/>
            </w:tcBorders>
          </w:tcPr>
          <w:p w14:paraId="556308DA"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1B4E8D56"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5E7FC71A"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Skin ulcer</w:t>
            </w:r>
          </w:p>
        </w:tc>
        <w:tc>
          <w:tcPr>
            <w:tcW w:w="2552" w:type="dxa"/>
            <w:tcBorders>
              <w:top w:val="single" w:sz="4" w:space="0" w:color="000000"/>
              <w:left w:val="single" w:sz="4" w:space="0" w:color="000000"/>
              <w:bottom w:val="single" w:sz="4" w:space="0" w:color="000000"/>
              <w:right w:val="single" w:sz="4" w:space="0" w:color="000000"/>
            </w:tcBorders>
          </w:tcPr>
          <w:p w14:paraId="67060B8E"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2 (1.1)</w:t>
            </w:r>
          </w:p>
        </w:tc>
        <w:tc>
          <w:tcPr>
            <w:tcW w:w="2268" w:type="dxa"/>
            <w:tcBorders>
              <w:top w:val="single" w:sz="4" w:space="0" w:color="000000"/>
              <w:left w:val="single" w:sz="4" w:space="0" w:color="000000"/>
              <w:bottom w:val="single" w:sz="4" w:space="0" w:color="000000"/>
              <w:right w:val="single" w:sz="4" w:space="0" w:color="000000"/>
            </w:tcBorders>
          </w:tcPr>
          <w:p w14:paraId="6DF641FE"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5AABBC68"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2F90CAA0"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Somnolence</w:t>
            </w:r>
          </w:p>
        </w:tc>
        <w:tc>
          <w:tcPr>
            <w:tcW w:w="2552" w:type="dxa"/>
            <w:tcBorders>
              <w:top w:val="single" w:sz="4" w:space="0" w:color="000000"/>
              <w:left w:val="single" w:sz="4" w:space="0" w:color="000000"/>
              <w:bottom w:val="single" w:sz="4" w:space="0" w:color="000000"/>
              <w:right w:val="single" w:sz="4" w:space="0" w:color="000000"/>
            </w:tcBorders>
          </w:tcPr>
          <w:p w14:paraId="60BA204F"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2 (1.1)</w:t>
            </w:r>
          </w:p>
        </w:tc>
        <w:tc>
          <w:tcPr>
            <w:tcW w:w="2268" w:type="dxa"/>
            <w:tcBorders>
              <w:top w:val="single" w:sz="4" w:space="0" w:color="000000"/>
              <w:left w:val="single" w:sz="4" w:space="0" w:color="000000"/>
              <w:bottom w:val="single" w:sz="4" w:space="0" w:color="000000"/>
              <w:right w:val="single" w:sz="4" w:space="0" w:color="000000"/>
            </w:tcBorders>
          </w:tcPr>
          <w:p w14:paraId="5F765BC7"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54C110CD"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0967B6D4"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Toxicity to various agents</w:t>
            </w:r>
          </w:p>
        </w:tc>
        <w:tc>
          <w:tcPr>
            <w:tcW w:w="2552" w:type="dxa"/>
            <w:tcBorders>
              <w:top w:val="single" w:sz="4" w:space="0" w:color="000000"/>
              <w:left w:val="single" w:sz="4" w:space="0" w:color="000000"/>
              <w:bottom w:val="single" w:sz="4" w:space="0" w:color="000000"/>
              <w:right w:val="single" w:sz="4" w:space="0" w:color="000000"/>
            </w:tcBorders>
          </w:tcPr>
          <w:p w14:paraId="6ADD9CB5"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2 (1.1)</w:t>
            </w:r>
          </w:p>
        </w:tc>
        <w:tc>
          <w:tcPr>
            <w:tcW w:w="2268" w:type="dxa"/>
            <w:tcBorders>
              <w:top w:val="single" w:sz="4" w:space="0" w:color="000000"/>
              <w:left w:val="single" w:sz="4" w:space="0" w:color="000000"/>
              <w:bottom w:val="single" w:sz="4" w:space="0" w:color="000000"/>
              <w:right w:val="single" w:sz="4" w:space="0" w:color="000000"/>
            </w:tcBorders>
          </w:tcPr>
          <w:p w14:paraId="52D1C6B6"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2B8E3EE4"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0DAE7CC4"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Rales</w:t>
            </w:r>
          </w:p>
        </w:tc>
        <w:tc>
          <w:tcPr>
            <w:tcW w:w="2552" w:type="dxa"/>
            <w:tcBorders>
              <w:top w:val="single" w:sz="4" w:space="0" w:color="000000"/>
              <w:left w:val="single" w:sz="4" w:space="0" w:color="000000"/>
              <w:bottom w:val="single" w:sz="4" w:space="0" w:color="000000"/>
              <w:right w:val="single" w:sz="4" w:space="0" w:color="000000"/>
            </w:tcBorders>
          </w:tcPr>
          <w:p w14:paraId="79F51B14"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1 (0.6)</w:t>
            </w:r>
          </w:p>
        </w:tc>
        <w:tc>
          <w:tcPr>
            <w:tcW w:w="2268" w:type="dxa"/>
            <w:tcBorders>
              <w:top w:val="single" w:sz="4" w:space="0" w:color="000000"/>
              <w:left w:val="single" w:sz="4" w:space="0" w:color="000000"/>
              <w:bottom w:val="single" w:sz="4" w:space="0" w:color="000000"/>
              <w:right w:val="single" w:sz="4" w:space="0" w:color="000000"/>
            </w:tcBorders>
          </w:tcPr>
          <w:p w14:paraId="4B1CD117"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6 (18.8)</w:t>
            </w:r>
          </w:p>
        </w:tc>
      </w:tr>
      <w:tr w:rsidR="00BA19F8" w:rsidRPr="00D1606C" w14:paraId="4F740E90"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0B0F7B03"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Metabolic acidosis</w:t>
            </w:r>
          </w:p>
        </w:tc>
        <w:tc>
          <w:tcPr>
            <w:tcW w:w="2552" w:type="dxa"/>
            <w:tcBorders>
              <w:top w:val="single" w:sz="4" w:space="0" w:color="000000"/>
              <w:left w:val="single" w:sz="4" w:space="0" w:color="000000"/>
              <w:bottom w:val="single" w:sz="4" w:space="0" w:color="000000"/>
              <w:right w:val="single" w:sz="4" w:space="0" w:color="000000"/>
            </w:tcBorders>
          </w:tcPr>
          <w:p w14:paraId="6BEECED2"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1 (0.6)</w:t>
            </w:r>
          </w:p>
        </w:tc>
        <w:tc>
          <w:tcPr>
            <w:tcW w:w="2268" w:type="dxa"/>
            <w:tcBorders>
              <w:top w:val="single" w:sz="4" w:space="0" w:color="000000"/>
              <w:left w:val="single" w:sz="4" w:space="0" w:color="000000"/>
              <w:bottom w:val="single" w:sz="4" w:space="0" w:color="000000"/>
              <w:right w:val="single" w:sz="4" w:space="0" w:color="000000"/>
            </w:tcBorders>
          </w:tcPr>
          <w:p w14:paraId="438138FD"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4 (12.5)</w:t>
            </w:r>
          </w:p>
        </w:tc>
      </w:tr>
      <w:tr w:rsidR="00BA19F8" w:rsidRPr="00D1606C" w14:paraId="7EB52580"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325F7D2F"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Haematochezia</w:t>
            </w:r>
          </w:p>
        </w:tc>
        <w:tc>
          <w:tcPr>
            <w:tcW w:w="2552" w:type="dxa"/>
            <w:tcBorders>
              <w:top w:val="single" w:sz="4" w:space="0" w:color="000000"/>
              <w:left w:val="single" w:sz="4" w:space="0" w:color="000000"/>
              <w:bottom w:val="single" w:sz="4" w:space="0" w:color="000000"/>
              <w:right w:val="single" w:sz="4" w:space="0" w:color="000000"/>
            </w:tcBorders>
          </w:tcPr>
          <w:p w14:paraId="145249DF"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1 (0.6)</w:t>
            </w:r>
          </w:p>
        </w:tc>
        <w:tc>
          <w:tcPr>
            <w:tcW w:w="2268" w:type="dxa"/>
            <w:tcBorders>
              <w:top w:val="single" w:sz="4" w:space="0" w:color="000000"/>
              <w:left w:val="single" w:sz="4" w:space="0" w:color="000000"/>
              <w:bottom w:val="single" w:sz="4" w:space="0" w:color="000000"/>
              <w:right w:val="single" w:sz="4" w:space="0" w:color="000000"/>
            </w:tcBorders>
          </w:tcPr>
          <w:p w14:paraId="33E8A2AA"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3 (9.4)</w:t>
            </w:r>
          </w:p>
        </w:tc>
      </w:tr>
      <w:tr w:rsidR="00BA19F8" w:rsidRPr="00D1606C" w14:paraId="5FE90F89"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066CA63A"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Atelectasis</w:t>
            </w:r>
          </w:p>
        </w:tc>
        <w:tc>
          <w:tcPr>
            <w:tcW w:w="2552" w:type="dxa"/>
            <w:tcBorders>
              <w:top w:val="single" w:sz="4" w:space="0" w:color="000000"/>
              <w:left w:val="single" w:sz="4" w:space="0" w:color="000000"/>
              <w:bottom w:val="single" w:sz="4" w:space="0" w:color="000000"/>
              <w:right w:val="single" w:sz="4" w:space="0" w:color="000000"/>
            </w:tcBorders>
          </w:tcPr>
          <w:p w14:paraId="1131A2F7"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1 (0.6)</w:t>
            </w:r>
          </w:p>
        </w:tc>
        <w:tc>
          <w:tcPr>
            <w:tcW w:w="2268" w:type="dxa"/>
            <w:tcBorders>
              <w:top w:val="single" w:sz="4" w:space="0" w:color="000000"/>
              <w:left w:val="single" w:sz="4" w:space="0" w:color="000000"/>
              <w:bottom w:val="single" w:sz="4" w:space="0" w:color="000000"/>
              <w:right w:val="single" w:sz="4" w:space="0" w:color="000000"/>
            </w:tcBorders>
          </w:tcPr>
          <w:p w14:paraId="3845916F"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0C9F17F2"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0B05EE2A"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Blood urine present</w:t>
            </w:r>
          </w:p>
        </w:tc>
        <w:tc>
          <w:tcPr>
            <w:tcW w:w="2552" w:type="dxa"/>
            <w:tcBorders>
              <w:top w:val="single" w:sz="4" w:space="0" w:color="000000"/>
              <w:left w:val="single" w:sz="4" w:space="0" w:color="000000"/>
              <w:bottom w:val="single" w:sz="4" w:space="0" w:color="000000"/>
              <w:right w:val="single" w:sz="4" w:space="0" w:color="000000"/>
            </w:tcBorders>
          </w:tcPr>
          <w:p w14:paraId="7D8E6A3D"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1 (0.6)</w:t>
            </w:r>
          </w:p>
        </w:tc>
        <w:tc>
          <w:tcPr>
            <w:tcW w:w="2268" w:type="dxa"/>
            <w:tcBorders>
              <w:top w:val="single" w:sz="4" w:space="0" w:color="000000"/>
              <w:left w:val="single" w:sz="4" w:space="0" w:color="000000"/>
              <w:bottom w:val="single" w:sz="4" w:space="0" w:color="000000"/>
              <w:right w:val="single" w:sz="4" w:space="0" w:color="000000"/>
            </w:tcBorders>
          </w:tcPr>
          <w:p w14:paraId="5B8EB413"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6129C7B8"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4E6646A0" w14:textId="77777777" w:rsidR="00BA19F8" w:rsidRPr="00F96179" w:rsidRDefault="00BA19F8" w:rsidP="00BA19F8">
            <w:pPr>
              <w:pStyle w:val="TableParagraph"/>
              <w:kinsoku w:val="0"/>
              <w:overflowPunct w:val="0"/>
              <w:spacing w:before="0" w:after="0"/>
              <w:ind w:left="680"/>
              <w:jc w:val="left"/>
              <w:rPr>
                <w:rFonts w:cstheme="minorHAnsi"/>
                <w:sz w:val="22"/>
                <w:szCs w:val="22"/>
                <w:lang w:val="de-DE"/>
              </w:rPr>
            </w:pPr>
            <w:r w:rsidRPr="00F96179">
              <w:rPr>
                <w:rFonts w:cstheme="minorHAnsi"/>
                <w:sz w:val="22"/>
                <w:szCs w:val="22"/>
                <w:lang w:val="de-DE"/>
              </w:rPr>
              <w:t>Graft versus host disease in intestine</w:t>
            </w:r>
          </w:p>
        </w:tc>
        <w:tc>
          <w:tcPr>
            <w:tcW w:w="2552" w:type="dxa"/>
            <w:tcBorders>
              <w:top w:val="single" w:sz="4" w:space="0" w:color="000000"/>
              <w:left w:val="single" w:sz="4" w:space="0" w:color="000000"/>
              <w:bottom w:val="single" w:sz="4" w:space="0" w:color="000000"/>
              <w:right w:val="single" w:sz="4" w:space="0" w:color="000000"/>
            </w:tcBorders>
          </w:tcPr>
          <w:p w14:paraId="44B04C4E"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1 (0.6)</w:t>
            </w:r>
          </w:p>
        </w:tc>
        <w:tc>
          <w:tcPr>
            <w:tcW w:w="2268" w:type="dxa"/>
            <w:tcBorders>
              <w:top w:val="single" w:sz="4" w:space="0" w:color="000000"/>
              <w:left w:val="single" w:sz="4" w:space="0" w:color="000000"/>
              <w:bottom w:val="single" w:sz="4" w:space="0" w:color="000000"/>
              <w:right w:val="single" w:sz="4" w:space="0" w:color="000000"/>
            </w:tcBorders>
          </w:tcPr>
          <w:p w14:paraId="3A6C208E"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0924BEAF"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1ADFB969"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Hypovolaemia</w:t>
            </w:r>
          </w:p>
        </w:tc>
        <w:tc>
          <w:tcPr>
            <w:tcW w:w="2552" w:type="dxa"/>
            <w:tcBorders>
              <w:top w:val="single" w:sz="4" w:space="0" w:color="000000"/>
              <w:left w:val="single" w:sz="4" w:space="0" w:color="000000"/>
              <w:bottom w:val="single" w:sz="4" w:space="0" w:color="000000"/>
              <w:right w:val="single" w:sz="4" w:space="0" w:color="000000"/>
            </w:tcBorders>
          </w:tcPr>
          <w:p w14:paraId="13D8A346"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1 (0.6)</w:t>
            </w:r>
          </w:p>
        </w:tc>
        <w:tc>
          <w:tcPr>
            <w:tcW w:w="2268" w:type="dxa"/>
            <w:tcBorders>
              <w:top w:val="single" w:sz="4" w:space="0" w:color="000000"/>
              <w:left w:val="single" w:sz="4" w:space="0" w:color="000000"/>
              <w:bottom w:val="single" w:sz="4" w:space="0" w:color="000000"/>
              <w:right w:val="single" w:sz="4" w:space="0" w:color="000000"/>
            </w:tcBorders>
          </w:tcPr>
          <w:p w14:paraId="78FC7BC2"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382E1932"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61B40721"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Irritability</w:t>
            </w:r>
          </w:p>
        </w:tc>
        <w:tc>
          <w:tcPr>
            <w:tcW w:w="2552" w:type="dxa"/>
            <w:tcBorders>
              <w:top w:val="single" w:sz="4" w:space="0" w:color="000000"/>
              <w:left w:val="single" w:sz="4" w:space="0" w:color="000000"/>
              <w:bottom w:val="single" w:sz="4" w:space="0" w:color="000000"/>
              <w:right w:val="single" w:sz="4" w:space="0" w:color="000000"/>
            </w:tcBorders>
          </w:tcPr>
          <w:p w14:paraId="528268BC"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1 (0.6)</w:t>
            </w:r>
          </w:p>
        </w:tc>
        <w:tc>
          <w:tcPr>
            <w:tcW w:w="2268" w:type="dxa"/>
            <w:tcBorders>
              <w:top w:val="single" w:sz="4" w:space="0" w:color="000000"/>
              <w:left w:val="single" w:sz="4" w:space="0" w:color="000000"/>
              <w:bottom w:val="single" w:sz="4" w:space="0" w:color="000000"/>
              <w:right w:val="single" w:sz="4" w:space="0" w:color="000000"/>
            </w:tcBorders>
          </w:tcPr>
          <w:p w14:paraId="6FF8D5C7"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159D27DE"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5B896E33" w14:textId="77777777" w:rsidR="00BA19F8" w:rsidRDefault="00BA19F8" w:rsidP="00BA19F8">
            <w:pPr>
              <w:pStyle w:val="TableParagraph"/>
              <w:kinsoku w:val="0"/>
              <w:overflowPunct w:val="0"/>
              <w:spacing w:before="0" w:after="0"/>
              <w:ind w:left="680"/>
              <w:jc w:val="left"/>
              <w:rPr>
                <w:rFonts w:cstheme="minorHAnsi"/>
                <w:sz w:val="22"/>
                <w:szCs w:val="22"/>
              </w:rPr>
            </w:pPr>
            <w:proofErr w:type="spellStart"/>
            <w:r>
              <w:rPr>
                <w:rFonts w:cstheme="minorHAnsi"/>
                <w:sz w:val="22"/>
                <w:szCs w:val="22"/>
              </w:rPr>
              <w:t>Melaena</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2558EF7"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1 (0.6)</w:t>
            </w:r>
          </w:p>
        </w:tc>
        <w:tc>
          <w:tcPr>
            <w:tcW w:w="2268" w:type="dxa"/>
            <w:tcBorders>
              <w:top w:val="single" w:sz="4" w:space="0" w:color="000000"/>
              <w:left w:val="single" w:sz="4" w:space="0" w:color="000000"/>
              <w:bottom w:val="single" w:sz="4" w:space="0" w:color="000000"/>
              <w:right w:val="single" w:sz="4" w:space="0" w:color="000000"/>
            </w:tcBorders>
          </w:tcPr>
          <w:p w14:paraId="675A7DE8"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1F543C43"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490F296B"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Periorbital haemorrhage</w:t>
            </w:r>
          </w:p>
        </w:tc>
        <w:tc>
          <w:tcPr>
            <w:tcW w:w="2552" w:type="dxa"/>
            <w:tcBorders>
              <w:top w:val="single" w:sz="4" w:space="0" w:color="000000"/>
              <w:left w:val="single" w:sz="4" w:space="0" w:color="000000"/>
              <w:bottom w:val="single" w:sz="4" w:space="0" w:color="000000"/>
              <w:right w:val="single" w:sz="4" w:space="0" w:color="000000"/>
            </w:tcBorders>
          </w:tcPr>
          <w:p w14:paraId="65B4C96E"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1 (0.6)</w:t>
            </w:r>
          </w:p>
        </w:tc>
        <w:tc>
          <w:tcPr>
            <w:tcW w:w="2268" w:type="dxa"/>
            <w:tcBorders>
              <w:top w:val="single" w:sz="4" w:space="0" w:color="000000"/>
              <w:left w:val="single" w:sz="4" w:space="0" w:color="000000"/>
              <w:bottom w:val="single" w:sz="4" w:space="0" w:color="000000"/>
              <w:right w:val="single" w:sz="4" w:space="0" w:color="000000"/>
            </w:tcBorders>
          </w:tcPr>
          <w:p w14:paraId="63A07FD0"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552F6C50"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D9886D1"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Pneumonia aspiration</w:t>
            </w:r>
          </w:p>
        </w:tc>
        <w:tc>
          <w:tcPr>
            <w:tcW w:w="2552" w:type="dxa"/>
            <w:tcBorders>
              <w:top w:val="single" w:sz="4" w:space="0" w:color="000000"/>
              <w:left w:val="single" w:sz="4" w:space="0" w:color="000000"/>
              <w:bottom w:val="single" w:sz="4" w:space="0" w:color="000000"/>
              <w:right w:val="single" w:sz="4" w:space="0" w:color="000000"/>
            </w:tcBorders>
          </w:tcPr>
          <w:p w14:paraId="5F78EDC5"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1 (0.6)</w:t>
            </w:r>
          </w:p>
        </w:tc>
        <w:tc>
          <w:tcPr>
            <w:tcW w:w="2268" w:type="dxa"/>
            <w:tcBorders>
              <w:top w:val="single" w:sz="4" w:space="0" w:color="000000"/>
              <w:left w:val="single" w:sz="4" w:space="0" w:color="000000"/>
              <w:bottom w:val="single" w:sz="4" w:space="0" w:color="000000"/>
              <w:right w:val="single" w:sz="4" w:space="0" w:color="000000"/>
            </w:tcBorders>
          </w:tcPr>
          <w:p w14:paraId="3D46837F"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71D47B70"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175B165A"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Sinusitis</w:t>
            </w:r>
          </w:p>
        </w:tc>
        <w:tc>
          <w:tcPr>
            <w:tcW w:w="2552" w:type="dxa"/>
            <w:tcBorders>
              <w:top w:val="single" w:sz="4" w:space="0" w:color="000000"/>
              <w:left w:val="single" w:sz="4" w:space="0" w:color="000000"/>
              <w:bottom w:val="single" w:sz="4" w:space="0" w:color="000000"/>
              <w:right w:val="single" w:sz="4" w:space="0" w:color="000000"/>
            </w:tcBorders>
          </w:tcPr>
          <w:p w14:paraId="1C7533A5"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1 (0.6)</w:t>
            </w:r>
          </w:p>
        </w:tc>
        <w:tc>
          <w:tcPr>
            <w:tcW w:w="2268" w:type="dxa"/>
            <w:tcBorders>
              <w:top w:val="single" w:sz="4" w:space="0" w:color="000000"/>
              <w:left w:val="single" w:sz="4" w:space="0" w:color="000000"/>
              <w:bottom w:val="single" w:sz="4" w:space="0" w:color="000000"/>
              <w:right w:val="single" w:sz="4" w:space="0" w:color="000000"/>
            </w:tcBorders>
          </w:tcPr>
          <w:p w14:paraId="574AF637"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3CD85F94"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7F906142"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Skin exfoliation</w:t>
            </w:r>
          </w:p>
        </w:tc>
        <w:tc>
          <w:tcPr>
            <w:tcW w:w="2552" w:type="dxa"/>
            <w:tcBorders>
              <w:top w:val="single" w:sz="4" w:space="0" w:color="000000"/>
              <w:left w:val="single" w:sz="4" w:space="0" w:color="000000"/>
              <w:bottom w:val="single" w:sz="4" w:space="0" w:color="000000"/>
              <w:right w:val="single" w:sz="4" w:space="0" w:color="000000"/>
            </w:tcBorders>
          </w:tcPr>
          <w:p w14:paraId="60F01EA1"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1 (0.6)</w:t>
            </w:r>
          </w:p>
        </w:tc>
        <w:tc>
          <w:tcPr>
            <w:tcW w:w="2268" w:type="dxa"/>
            <w:tcBorders>
              <w:top w:val="single" w:sz="4" w:space="0" w:color="000000"/>
              <w:left w:val="single" w:sz="4" w:space="0" w:color="000000"/>
              <w:bottom w:val="single" w:sz="4" w:space="0" w:color="000000"/>
              <w:right w:val="single" w:sz="4" w:space="0" w:color="000000"/>
            </w:tcBorders>
          </w:tcPr>
          <w:p w14:paraId="76D3F7DA"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12C66365"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53D7947F"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Fluid overload</w:t>
            </w:r>
          </w:p>
        </w:tc>
        <w:tc>
          <w:tcPr>
            <w:tcW w:w="2552" w:type="dxa"/>
            <w:tcBorders>
              <w:top w:val="single" w:sz="4" w:space="0" w:color="000000"/>
              <w:left w:val="single" w:sz="4" w:space="0" w:color="000000"/>
              <w:bottom w:val="single" w:sz="4" w:space="0" w:color="000000"/>
              <w:right w:val="single" w:sz="4" w:space="0" w:color="000000"/>
            </w:tcBorders>
          </w:tcPr>
          <w:p w14:paraId="10689CEA"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18586925"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5 (15.6)</w:t>
            </w:r>
          </w:p>
        </w:tc>
      </w:tr>
      <w:tr w:rsidR="00BA19F8" w:rsidRPr="00D1606C" w14:paraId="12F98AF9"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5FDFE0F2"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Disorientation</w:t>
            </w:r>
          </w:p>
        </w:tc>
        <w:tc>
          <w:tcPr>
            <w:tcW w:w="2552" w:type="dxa"/>
            <w:tcBorders>
              <w:top w:val="single" w:sz="4" w:space="0" w:color="000000"/>
              <w:left w:val="single" w:sz="4" w:space="0" w:color="000000"/>
              <w:bottom w:val="single" w:sz="4" w:space="0" w:color="000000"/>
              <w:right w:val="single" w:sz="4" w:space="0" w:color="000000"/>
            </w:tcBorders>
          </w:tcPr>
          <w:p w14:paraId="2AC59A27"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79B795C4"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4 (12.5)</w:t>
            </w:r>
          </w:p>
        </w:tc>
      </w:tr>
      <w:tr w:rsidR="00BA19F8" w:rsidRPr="00D1606C" w14:paraId="28469AA3"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0A553539"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Graft versus host disease in liver</w:t>
            </w:r>
          </w:p>
        </w:tc>
        <w:tc>
          <w:tcPr>
            <w:tcW w:w="2552" w:type="dxa"/>
            <w:tcBorders>
              <w:top w:val="single" w:sz="4" w:space="0" w:color="000000"/>
              <w:left w:val="single" w:sz="4" w:space="0" w:color="000000"/>
              <w:bottom w:val="single" w:sz="4" w:space="0" w:color="000000"/>
              <w:right w:val="single" w:sz="4" w:space="0" w:color="000000"/>
            </w:tcBorders>
          </w:tcPr>
          <w:p w14:paraId="01E7791E"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281E2A39"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3 (9.4)</w:t>
            </w:r>
          </w:p>
        </w:tc>
      </w:tr>
      <w:tr w:rsidR="00BA19F8" w:rsidRPr="00D1606C" w14:paraId="7D230592"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37A72619"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Jaundice</w:t>
            </w:r>
          </w:p>
        </w:tc>
        <w:tc>
          <w:tcPr>
            <w:tcW w:w="2552" w:type="dxa"/>
            <w:tcBorders>
              <w:top w:val="single" w:sz="4" w:space="0" w:color="000000"/>
              <w:left w:val="single" w:sz="4" w:space="0" w:color="000000"/>
              <w:bottom w:val="single" w:sz="4" w:space="0" w:color="000000"/>
              <w:right w:val="single" w:sz="4" w:space="0" w:color="000000"/>
            </w:tcBorders>
          </w:tcPr>
          <w:p w14:paraId="226D607B"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591B0887"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3 (9.4)</w:t>
            </w:r>
          </w:p>
        </w:tc>
      </w:tr>
      <w:tr w:rsidR="00BA19F8" w:rsidRPr="00D1606C" w14:paraId="78521BF0"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4399ACC6"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Nasal flaring</w:t>
            </w:r>
          </w:p>
        </w:tc>
        <w:tc>
          <w:tcPr>
            <w:tcW w:w="2552" w:type="dxa"/>
            <w:tcBorders>
              <w:top w:val="single" w:sz="4" w:space="0" w:color="000000"/>
              <w:left w:val="single" w:sz="4" w:space="0" w:color="000000"/>
              <w:bottom w:val="single" w:sz="4" w:space="0" w:color="000000"/>
              <w:right w:val="single" w:sz="4" w:space="0" w:color="000000"/>
            </w:tcBorders>
          </w:tcPr>
          <w:p w14:paraId="7985EFC8"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224CD347"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3 (9.4)</w:t>
            </w:r>
          </w:p>
        </w:tc>
      </w:tr>
      <w:tr w:rsidR="00BA19F8" w:rsidRPr="00D1606C" w14:paraId="590CAD79"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0106BB88"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 xml:space="preserve">Gastrointestinal </w:t>
            </w:r>
            <w:proofErr w:type="spellStart"/>
            <w:r>
              <w:rPr>
                <w:rFonts w:cstheme="minorHAnsi"/>
                <w:sz w:val="22"/>
                <w:szCs w:val="22"/>
              </w:rPr>
              <w:t>hypomotility</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A54EEE6"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275DEAFD"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2BC16CE5"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5667D253" w14:textId="77777777" w:rsidR="00BA19F8" w:rsidRDefault="00BA19F8" w:rsidP="00BA19F8">
            <w:pPr>
              <w:pStyle w:val="TableParagraph"/>
              <w:kinsoku w:val="0"/>
              <w:overflowPunct w:val="0"/>
              <w:spacing w:before="0" w:after="0"/>
              <w:ind w:left="680"/>
              <w:jc w:val="left"/>
              <w:rPr>
                <w:rFonts w:cstheme="minorHAnsi"/>
                <w:sz w:val="22"/>
                <w:szCs w:val="22"/>
              </w:rPr>
            </w:pPr>
            <w:proofErr w:type="spellStart"/>
            <w:r>
              <w:rPr>
                <w:rFonts w:cstheme="minorHAnsi"/>
                <w:sz w:val="22"/>
                <w:szCs w:val="22"/>
              </w:rPr>
              <w:t>Haematocrity</w:t>
            </w:r>
            <w:proofErr w:type="spellEnd"/>
            <w:r>
              <w:rPr>
                <w:rFonts w:cstheme="minorHAnsi"/>
                <w:sz w:val="22"/>
                <w:szCs w:val="22"/>
              </w:rPr>
              <w:t xml:space="preserve"> decreased</w:t>
            </w:r>
          </w:p>
        </w:tc>
        <w:tc>
          <w:tcPr>
            <w:tcW w:w="2552" w:type="dxa"/>
            <w:tcBorders>
              <w:top w:val="single" w:sz="4" w:space="0" w:color="000000"/>
              <w:left w:val="single" w:sz="4" w:space="0" w:color="000000"/>
              <w:bottom w:val="single" w:sz="4" w:space="0" w:color="000000"/>
              <w:right w:val="single" w:sz="4" w:space="0" w:color="000000"/>
            </w:tcBorders>
          </w:tcPr>
          <w:p w14:paraId="67FC8C0C"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5E9596A7"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601A4BAD"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367B5A12" w14:textId="77777777" w:rsidR="00BA19F8" w:rsidRDefault="00BA19F8" w:rsidP="00BA19F8">
            <w:pPr>
              <w:pStyle w:val="TableParagraph"/>
              <w:kinsoku w:val="0"/>
              <w:overflowPunct w:val="0"/>
              <w:spacing w:before="0" w:after="0"/>
              <w:ind w:left="680"/>
              <w:jc w:val="left"/>
              <w:rPr>
                <w:rFonts w:cstheme="minorHAnsi"/>
                <w:sz w:val="22"/>
                <w:szCs w:val="22"/>
              </w:rPr>
            </w:pPr>
            <w:proofErr w:type="spellStart"/>
            <w:r>
              <w:rPr>
                <w:rFonts w:cstheme="minorHAnsi"/>
                <w:sz w:val="22"/>
                <w:szCs w:val="22"/>
              </w:rPr>
              <w:t>Hepatorenal</w:t>
            </w:r>
            <w:proofErr w:type="spellEnd"/>
            <w:r>
              <w:rPr>
                <w:rFonts w:cstheme="minorHAnsi"/>
                <w:sz w:val="22"/>
                <w:szCs w:val="22"/>
              </w:rPr>
              <w:t xml:space="preserve"> syndrome</w:t>
            </w:r>
          </w:p>
        </w:tc>
        <w:tc>
          <w:tcPr>
            <w:tcW w:w="2552" w:type="dxa"/>
            <w:tcBorders>
              <w:top w:val="single" w:sz="4" w:space="0" w:color="000000"/>
              <w:left w:val="single" w:sz="4" w:space="0" w:color="000000"/>
              <w:bottom w:val="single" w:sz="4" w:space="0" w:color="000000"/>
              <w:right w:val="single" w:sz="4" w:space="0" w:color="000000"/>
            </w:tcBorders>
          </w:tcPr>
          <w:p w14:paraId="353B25F4"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392BCB12"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r w:rsidR="00BA19F8" w:rsidRPr="00D1606C" w14:paraId="79461D3C" w14:textId="77777777" w:rsidTr="006E6152">
        <w:trPr>
          <w:trHeight w:val="312"/>
        </w:trPr>
        <w:tc>
          <w:tcPr>
            <w:tcW w:w="3989" w:type="dxa"/>
            <w:tcBorders>
              <w:top w:val="single" w:sz="4" w:space="0" w:color="000000"/>
              <w:left w:val="single" w:sz="4" w:space="0" w:color="000000"/>
              <w:bottom w:val="single" w:sz="4" w:space="0" w:color="000000"/>
              <w:right w:val="single" w:sz="4" w:space="0" w:color="000000"/>
            </w:tcBorders>
          </w:tcPr>
          <w:p w14:paraId="6BD61964" w14:textId="77777777" w:rsidR="00BA19F8" w:rsidRDefault="00BA19F8" w:rsidP="00BA19F8">
            <w:pPr>
              <w:pStyle w:val="TableParagraph"/>
              <w:kinsoku w:val="0"/>
              <w:overflowPunct w:val="0"/>
              <w:spacing w:before="0" w:after="0"/>
              <w:ind w:left="680"/>
              <w:jc w:val="left"/>
              <w:rPr>
                <w:rFonts w:cstheme="minorHAnsi"/>
                <w:sz w:val="22"/>
                <w:szCs w:val="22"/>
              </w:rPr>
            </w:pPr>
            <w:r>
              <w:rPr>
                <w:rFonts w:cstheme="minorHAnsi"/>
                <w:sz w:val="22"/>
                <w:szCs w:val="22"/>
              </w:rPr>
              <w:t>Incontinence</w:t>
            </w:r>
          </w:p>
        </w:tc>
        <w:tc>
          <w:tcPr>
            <w:tcW w:w="2552" w:type="dxa"/>
            <w:tcBorders>
              <w:top w:val="single" w:sz="4" w:space="0" w:color="000000"/>
              <w:left w:val="single" w:sz="4" w:space="0" w:color="000000"/>
              <w:bottom w:val="single" w:sz="4" w:space="0" w:color="000000"/>
              <w:right w:val="single" w:sz="4" w:space="0" w:color="000000"/>
            </w:tcBorders>
          </w:tcPr>
          <w:p w14:paraId="0F99009A" w14:textId="77777777" w:rsidR="00BA19F8" w:rsidRDefault="00BA19F8" w:rsidP="00BA19F8">
            <w:pPr>
              <w:pStyle w:val="TableParagraph"/>
              <w:kinsoku w:val="0"/>
              <w:overflowPunct w:val="0"/>
              <w:spacing w:before="0" w:after="0"/>
              <w:ind w:left="297" w:right="288"/>
              <w:rPr>
                <w:rFonts w:cstheme="minorHAnsi"/>
                <w:sz w:val="22"/>
                <w:szCs w:val="22"/>
              </w:rPr>
            </w:pPr>
            <w:r>
              <w:rPr>
                <w:rFonts w:cstheme="minorHAnsi"/>
                <w:sz w:val="22"/>
                <w:szCs w:val="22"/>
              </w:rPr>
              <w:t>0</w:t>
            </w:r>
          </w:p>
        </w:tc>
        <w:tc>
          <w:tcPr>
            <w:tcW w:w="2268" w:type="dxa"/>
            <w:tcBorders>
              <w:top w:val="single" w:sz="4" w:space="0" w:color="000000"/>
              <w:left w:val="single" w:sz="4" w:space="0" w:color="000000"/>
              <w:bottom w:val="single" w:sz="4" w:space="0" w:color="000000"/>
              <w:right w:val="single" w:sz="4" w:space="0" w:color="000000"/>
            </w:tcBorders>
          </w:tcPr>
          <w:p w14:paraId="7BB8BD61" w14:textId="77777777" w:rsidR="00BA19F8" w:rsidRDefault="00BA19F8" w:rsidP="00BA19F8">
            <w:pPr>
              <w:pStyle w:val="TableParagraph"/>
              <w:kinsoku w:val="0"/>
              <w:overflowPunct w:val="0"/>
              <w:spacing w:before="0" w:after="0"/>
              <w:ind w:left="292" w:right="280"/>
              <w:rPr>
                <w:rFonts w:cstheme="minorHAnsi"/>
                <w:sz w:val="22"/>
                <w:szCs w:val="22"/>
              </w:rPr>
            </w:pPr>
            <w:r>
              <w:rPr>
                <w:rFonts w:cstheme="minorHAnsi"/>
                <w:sz w:val="22"/>
                <w:szCs w:val="22"/>
              </w:rPr>
              <w:t>2 (6.3)</w:t>
            </w:r>
          </w:p>
        </w:tc>
      </w:tr>
    </w:tbl>
    <w:p w14:paraId="6311D980" w14:textId="77777777" w:rsidR="00BA19F8" w:rsidRDefault="00BA19F8" w:rsidP="003B2C91">
      <w:pPr>
        <w:spacing w:line="240" w:lineRule="auto"/>
        <w:rPr>
          <w:noProof/>
        </w:rPr>
      </w:pPr>
    </w:p>
    <w:p w14:paraId="04EFCE03" w14:textId="3EFA3635" w:rsidR="0004549B" w:rsidRPr="00A361DF" w:rsidRDefault="0004549B" w:rsidP="0004549B">
      <w:pPr>
        <w:spacing w:line="240" w:lineRule="auto"/>
        <w:rPr>
          <w:noProof/>
        </w:rPr>
      </w:pPr>
      <w:r w:rsidRPr="00A361DF">
        <w:rPr>
          <w:noProof/>
        </w:rPr>
        <w:lastRenderedPageBreak/>
        <w:t xml:space="preserve">Adverse reactions </w:t>
      </w:r>
      <w:r>
        <w:rPr>
          <w:noProof/>
        </w:rPr>
        <w:t xml:space="preserve">of uncommon or lower frequency </w:t>
      </w:r>
      <w:r w:rsidRPr="00A361DF">
        <w:rPr>
          <w:noProof/>
        </w:rPr>
        <w:t xml:space="preserve">observed </w:t>
      </w:r>
      <w:r>
        <w:rPr>
          <w:noProof/>
        </w:rPr>
        <w:t xml:space="preserve">in pivotal treatment study and dose-finding study are </w:t>
      </w:r>
      <w:r w:rsidRPr="00A361DF">
        <w:rPr>
          <w:noProof/>
        </w:rPr>
        <w:t>listed</w:t>
      </w:r>
      <w:r>
        <w:rPr>
          <w:noProof/>
        </w:rPr>
        <w:t xml:space="preserve"> </w:t>
      </w:r>
      <w:r w:rsidRPr="00A361DF">
        <w:rPr>
          <w:noProof/>
        </w:rPr>
        <w:t>below, by system organ class and frequency. Frequencies are defined as: very common (≥1/10), common (≥1/100 to &lt;1/10), uncommon (≥1/1,000 to &lt;1/100), rare (≥1/10,000 to &lt;1/1,000), very rare (&lt;1/10,000).</w:t>
      </w:r>
    </w:p>
    <w:p w14:paraId="60AF8216" w14:textId="66440635" w:rsidR="00B12402" w:rsidRPr="00284B2C" w:rsidRDefault="00284B2C" w:rsidP="00184A86">
      <w:pPr>
        <w:spacing w:line="240" w:lineRule="auto"/>
        <w:rPr>
          <w:u w:val="single"/>
        </w:rPr>
      </w:pPr>
      <w:r>
        <w:t>L</w:t>
      </w:r>
      <w:r w:rsidR="00AF4A67" w:rsidRPr="00AE06A2">
        <w:t xml:space="preserve">ist </w:t>
      </w:r>
      <w:r w:rsidR="00B12402" w:rsidRPr="00AE06A2">
        <w:t>of adverse reactions</w:t>
      </w:r>
      <w:r>
        <w:t xml:space="preserve"> of uncommon or lower frequencies in the pivotal treatment study and the dose-finding study (25 mg/kg/day) pooled data</w:t>
      </w:r>
      <w:r w:rsidRPr="00030613">
        <w:t>:</w:t>
      </w:r>
    </w:p>
    <w:tbl>
      <w:tblPr>
        <w:tblW w:w="5000" w:type="pct"/>
        <w:jc w:val="center"/>
        <w:shd w:val="clear" w:color="auto" w:fill="FFFFFF"/>
        <w:tblLook w:val="0000" w:firstRow="0" w:lastRow="0" w:firstColumn="0" w:lastColumn="0" w:noHBand="0" w:noVBand="0"/>
      </w:tblPr>
      <w:tblGrid>
        <w:gridCol w:w="9064"/>
      </w:tblGrid>
      <w:tr w:rsidR="007C40BF" w:rsidRPr="00184A86" w:rsidDel="003176EA" w14:paraId="0C26ED4F" w14:textId="77777777" w:rsidTr="00323DF3">
        <w:trPr>
          <w:cantSplit/>
          <w:trHeight w:val="300"/>
          <w:jc w:val="center"/>
        </w:trPr>
        <w:tc>
          <w:tcPr>
            <w:tcW w:w="5000" w:type="pct"/>
            <w:shd w:val="clear" w:color="auto" w:fill="FFFFFF"/>
            <w:tcMar>
              <w:top w:w="0" w:type="dxa"/>
              <w:left w:w="0" w:type="dxa"/>
              <w:bottom w:w="0" w:type="dxa"/>
              <w:right w:w="0" w:type="dxa"/>
            </w:tcMar>
          </w:tcPr>
          <w:p w14:paraId="45B00119" w14:textId="77777777" w:rsidR="007C40BF" w:rsidRDefault="007C40BF" w:rsidP="00323DF3">
            <w:pPr>
              <w:pStyle w:val="C-BodyText"/>
              <w:spacing w:before="0" w:after="0" w:line="240" w:lineRule="auto"/>
              <w:rPr>
                <w:rFonts w:asciiTheme="minorHAnsi" w:hAnsiTheme="minorHAnsi" w:cstheme="minorHAnsi"/>
                <w:sz w:val="22"/>
                <w:szCs w:val="22"/>
                <w:lang w:val="en-GB"/>
              </w:rPr>
            </w:pPr>
            <w:r w:rsidRPr="00184A86">
              <w:rPr>
                <w:rFonts w:asciiTheme="minorHAnsi" w:hAnsiTheme="minorHAnsi" w:cstheme="minorHAnsi"/>
                <w:b/>
                <w:i/>
                <w:sz w:val="22"/>
                <w:szCs w:val="22"/>
                <w:lang w:val="en-GB"/>
              </w:rPr>
              <w:t>Gastrointestinal disorders:</w:t>
            </w:r>
          </w:p>
        </w:tc>
      </w:tr>
      <w:tr w:rsidR="007C40BF" w:rsidRPr="00184A86" w:rsidDel="003176EA" w14:paraId="316D4DBF" w14:textId="77777777" w:rsidTr="00323DF3">
        <w:trPr>
          <w:cantSplit/>
          <w:trHeight w:val="300"/>
          <w:jc w:val="center"/>
        </w:trPr>
        <w:tc>
          <w:tcPr>
            <w:tcW w:w="5000" w:type="pct"/>
            <w:shd w:val="clear" w:color="auto" w:fill="FFFFFF"/>
            <w:tcMar>
              <w:top w:w="0" w:type="dxa"/>
              <w:left w:w="0" w:type="dxa"/>
              <w:bottom w:w="0" w:type="dxa"/>
              <w:right w:w="0" w:type="dxa"/>
            </w:tcMar>
          </w:tcPr>
          <w:p w14:paraId="4C6A9F47" w14:textId="77777777" w:rsidR="007C40BF" w:rsidRDefault="007C40BF" w:rsidP="00323DF3">
            <w:pPr>
              <w:pStyle w:val="C-BodyText"/>
              <w:spacing w:before="0" w:after="0" w:line="240" w:lineRule="auto"/>
              <w:rPr>
                <w:rFonts w:asciiTheme="minorHAnsi" w:hAnsiTheme="minorHAnsi" w:cstheme="minorHAnsi"/>
                <w:sz w:val="22"/>
                <w:szCs w:val="22"/>
                <w:lang w:val="en-GB"/>
              </w:rPr>
            </w:pPr>
            <w:r>
              <w:rPr>
                <w:rFonts w:asciiTheme="minorHAnsi" w:hAnsiTheme="minorHAnsi" w:cstheme="minorHAnsi"/>
                <w:sz w:val="22"/>
                <w:szCs w:val="22"/>
                <w:lang w:val="en-GB"/>
              </w:rPr>
              <w:t xml:space="preserve">Uncommon:  </w:t>
            </w:r>
            <w:proofErr w:type="spellStart"/>
            <w:r>
              <w:rPr>
                <w:rFonts w:asciiTheme="minorHAnsi" w:hAnsiTheme="minorHAnsi" w:cstheme="minorHAnsi"/>
                <w:sz w:val="22"/>
                <w:szCs w:val="22"/>
                <w:lang w:val="en-GB"/>
              </w:rPr>
              <w:t>Haematemesis</w:t>
            </w:r>
            <w:proofErr w:type="spellEnd"/>
            <w:r>
              <w:rPr>
                <w:rFonts w:asciiTheme="minorHAnsi" w:hAnsiTheme="minorHAnsi" w:cstheme="minorHAnsi"/>
                <w:sz w:val="22"/>
                <w:szCs w:val="22"/>
                <w:lang w:val="en-GB"/>
              </w:rPr>
              <w:t xml:space="preserve">; Upper gastrointestinal haemorrhage; Gastric haemorrhage; Haematochezia; </w:t>
            </w:r>
            <w:proofErr w:type="spellStart"/>
            <w:r w:rsidRPr="00184A86">
              <w:rPr>
                <w:rFonts w:asciiTheme="minorHAnsi" w:hAnsiTheme="minorHAnsi" w:cstheme="minorHAnsi"/>
                <w:sz w:val="22"/>
                <w:szCs w:val="22"/>
                <w:lang w:val="en-GB"/>
              </w:rPr>
              <w:t>Melaena</w:t>
            </w:r>
            <w:proofErr w:type="spellEnd"/>
            <w:r>
              <w:rPr>
                <w:rFonts w:asciiTheme="minorHAnsi" w:hAnsiTheme="minorHAnsi" w:cstheme="minorHAnsi"/>
                <w:sz w:val="22"/>
                <w:szCs w:val="22"/>
                <w:lang w:val="en-GB"/>
              </w:rPr>
              <w:t>; Mouth haemorrhage</w:t>
            </w:r>
          </w:p>
        </w:tc>
      </w:tr>
      <w:tr w:rsidR="007C40BF" w:rsidRPr="00184A86" w14:paraId="125448F0" w14:textId="77777777" w:rsidTr="00323DF3">
        <w:trPr>
          <w:cantSplit/>
          <w:trHeight w:val="260"/>
          <w:jc w:val="center"/>
        </w:trPr>
        <w:tc>
          <w:tcPr>
            <w:tcW w:w="5000" w:type="pct"/>
            <w:shd w:val="clear" w:color="auto" w:fill="FFFFFF"/>
            <w:tcMar>
              <w:top w:w="0" w:type="dxa"/>
              <w:left w:w="0" w:type="dxa"/>
              <w:bottom w:w="0" w:type="dxa"/>
              <w:right w:w="0" w:type="dxa"/>
            </w:tcMar>
          </w:tcPr>
          <w:p w14:paraId="494C61E4" w14:textId="77777777" w:rsidR="007C40BF" w:rsidRPr="00184A86" w:rsidRDefault="007C40BF" w:rsidP="00323DF3">
            <w:pPr>
              <w:pStyle w:val="C-BodyText"/>
              <w:spacing w:before="0" w:after="0" w:line="240" w:lineRule="auto"/>
              <w:rPr>
                <w:rFonts w:asciiTheme="minorHAnsi" w:hAnsiTheme="minorHAnsi" w:cstheme="minorHAnsi"/>
                <w:b/>
                <w:i/>
                <w:sz w:val="22"/>
                <w:szCs w:val="22"/>
                <w:lang w:val="en-GB"/>
              </w:rPr>
            </w:pPr>
            <w:r w:rsidRPr="00184A86">
              <w:rPr>
                <w:rFonts w:asciiTheme="minorHAnsi" w:hAnsiTheme="minorHAnsi" w:cstheme="minorHAnsi"/>
                <w:b/>
                <w:i/>
                <w:sz w:val="22"/>
                <w:szCs w:val="22"/>
                <w:lang w:val="en-GB"/>
              </w:rPr>
              <w:t>General disorders and administration site conditions</w:t>
            </w:r>
          </w:p>
        </w:tc>
      </w:tr>
      <w:tr w:rsidR="007C40BF" w:rsidRPr="00184A86" w14:paraId="0CBA7A89" w14:textId="77777777" w:rsidTr="00323DF3">
        <w:trPr>
          <w:cantSplit/>
          <w:trHeight w:val="300"/>
          <w:jc w:val="center"/>
        </w:trPr>
        <w:tc>
          <w:tcPr>
            <w:tcW w:w="5000" w:type="pct"/>
            <w:shd w:val="clear" w:color="auto" w:fill="FFFFFF"/>
            <w:tcMar>
              <w:top w:w="0" w:type="dxa"/>
              <w:left w:w="0" w:type="dxa"/>
              <w:bottom w:w="0" w:type="dxa"/>
              <w:right w:w="0" w:type="dxa"/>
            </w:tcMar>
          </w:tcPr>
          <w:p w14:paraId="467EE240" w14:textId="77777777" w:rsidR="007C40BF" w:rsidRPr="00184A86" w:rsidRDefault="007C40BF" w:rsidP="00323DF3">
            <w:pPr>
              <w:pStyle w:val="C-BodyText"/>
              <w:spacing w:before="0" w:after="0" w:line="240" w:lineRule="auto"/>
              <w:rPr>
                <w:rFonts w:asciiTheme="minorHAnsi" w:hAnsiTheme="minorHAnsi" w:cstheme="minorHAnsi"/>
                <w:sz w:val="22"/>
                <w:szCs w:val="22"/>
                <w:lang w:val="en-GB"/>
              </w:rPr>
            </w:pPr>
            <w:r>
              <w:rPr>
                <w:rFonts w:asciiTheme="minorHAnsi" w:hAnsiTheme="minorHAnsi" w:cstheme="minorHAnsi"/>
                <w:sz w:val="22"/>
                <w:szCs w:val="22"/>
                <w:lang w:val="en-GB"/>
              </w:rPr>
              <w:t>Uncommon:  Chills; Feeling hot; Puncture site haemorrhage</w:t>
            </w:r>
          </w:p>
        </w:tc>
      </w:tr>
      <w:tr w:rsidR="007C40BF" w:rsidRPr="00184A86" w:rsidDel="003176EA" w14:paraId="135B5319" w14:textId="77777777" w:rsidTr="00323DF3">
        <w:trPr>
          <w:cantSplit/>
          <w:trHeight w:val="300"/>
          <w:jc w:val="center"/>
        </w:trPr>
        <w:tc>
          <w:tcPr>
            <w:tcW w:w="5000" w:type="pct"/>
            <w:shd w:val="clear" w:color="auto" w:fill="FFFFFF"/>
            <w:tcMar>
              <w:top w:w="0" w:type="dxa"/>
              <w:left w:w="0" w:type="dxa"/>
              <w:bottom w:w="0" w:type="dxa"/>
              <w:right w:w="0" w:type="dxa"/>
            </w:tcMar>
          </w:tcPr>
          <w:p w14:paraId="68FB7F9B" w14:textId="77777777" w:rsidR="007C40BF" w:rsidRDefault="007C40BF" w:rsidP="00323DF3">
            <w:pPr>
              <w:pStyle w:val="C-BodyText"/>
              <w:spacing w:before="0" w:after="0" w:line="240" w:lineRule="auto"/>
              <w:rPr>
                <w:rFonts w:asciiTheme="minorHAnsi" w:hAnsiTheme="minorHAnsi" w:cstheme="minorHAnsi"/>
                <w:sz w:val="22"/>
                <w:szCs w:val="22"/>
                <w:lang w:val="en-GB"/>
              </w:rPr>
            </w:pPr>
            <w:r>
              <w:rPr>
                <w:rFonts w:asciiTheme="minorHAnsi" w:hAnsiTheme="minorHAnsi" w:cstheme="minorHAnsi"/>
                <w:b/>
                <w:i/>
                <w:sz w:val="22"/>
                <w:szCs w:val="22"/>
                <w:lang w:val="en-GB"/>
              </w:rPr>
              <w:t>Investigations</w:t>
            </w:r>
          </w:p>
        </w:tc>
      </w:tr>
      <w:tr w:rsidR="007C40BF" w:rsidRPr="00184A86" w:rsidDel="003176EA" w14:paraId="701C30ED" w14:textId="77777777" w:rsidTr="00323DF3">
        <w:trPr>
          <w:cantSplit/>
          <w:trHeight w:val="300"/>
          <w:jc w:val="center"/>
        </w:trPr>
        <w:tc>
          <w:tcPr>
            <w:tcW w:w="5000" w:type="pct"/>
            <w:shd w:val="clear" w:color="auto" w:fill="FFFFFF"/>
            <w:tcMar>
              <w:top w:w="0" w:type="dxa"/>
              <w:left w:w="0" w:type="dxa"/>
              <w:bottom w:w="0" w:type="dxa"/>
              <w:right w:w="0" w:type="dxa"/>
            </w:tcMar>
          </w:tcPr>
          <w:p w14:paraId="318FAE3D" w14:textId="77777777" w:rsidR="007C40BF" w:rsidRPr="00184A86" w:rsidDel="003176EA" w:rsidRDefault="007C40BF" w:rsidP="00323DF3">
            <w:pPr>
              <w:pStyle w:val="C-BodyText"/>
              <w:spacing w:before="0" w:after="0" w:line="240" w:lineRule="auto"/>
              <w:rPr>
                <w:rFonts w:asciiTheme="minorHAnsi" w:hAnsiTheme="minorHAnsi" w:cstheme="minorHAnsi"/>
                <w:sz w:val="22"/>
                <w:szCs w:val="22"/>
                <w:lang w:val="en-GB"/>
              </w:rPr>
            </w:pPr>
            <w:r>
              <w:rPr>
                <w:rFonts w:asciiTheme="minorHAnsi" w:hAnsiTheme="minorHAnsi" w:cstheme="minorHAnsi"/>
                <w:sz w:val="22"/>
                <w:szCs w:val="22"/>
                <w:lang w:val="en-GB"/>
              </w:rPr>
              <w:t>Uncommon:  International normalised ratio increased</w:t>
            </w:r>
          </w:p>
        </w:tc>
      </w:tr>
      <w:tr w:rsidR="007C40BF" w:rsidRPr="00184A86" w14:paraId="51166B6E" w14:textId="77777777" w:rsidTr="00323DF3">
        <w:trPr>
          <w:cantSplit/>
          <w:trHeight w:val="260"/>
          <w:jc w:val="center"/>
        </w:trPr>
        <w:tc>
          <w:tcPr>
            <w:tcW w:w="5000" w:type="pct"/>
            <w:shd w:val="clear" w:color="auto" w:fill="FFFFFF"/>
            <w:tcMar>
              <w:top w:w="0" w:type="dxa"/>
              <w:left w:w="0" w:type="dxa"/>
              <w:bottom w:w="0" w:type="dxa"/>
              <w:right w:w="0" w:type="dxa"/>
            </w:tcMar>
            <w:vAlign w:val="bottom"/>
          </w:tcPr>
          <w:p w14:paraId="048DDAFA" w14:textId="77777777" w:rsidR="007C40BF" w:rsidRPr="00184A86" w:rsidRDefault="007C40BF" w:rsidP="00323DF3">
            <w:pPr>
              <w:pStyle w:val="C-BodyText"/>
              <w:spacing w:before="0" w:after="0" w:line="240" w:lineRule="auto"/>
              <w:rPr>
                <w:rFonts w:asciiTheme="minorHAnsi" w:hAnsiTheme="minorHAnsi" w:cstheme="minorHAnsi"/>
                <w:sz w:val="22"/>
                <w:szCs w:val="22"/>
                <w:lang w:val="en-GB"/>
              </w:rPr>
            </w:pPr>
            <w:r w:rsidRPr="00184A86">
              <w:rPr>
                <w:rFonts w:asciiTheme="minorHAnsi" w:hAnsiTheme="minorHAnsi" w:cstheme="minorHAnsi"/>
                <w:b/>
                <w:i/>
                <w:sz w:val="22"/>
                <w:szCs w:val="22"/>
                <w:lang w:val="en-GB"/>
              </w:rPr>
              <w:t>Nervous system disorders</w:t>
            </w:r>
          </w:p>
        </w:tc>
      </w:tr>
      <w:tr w:rsidR="007C40BF" w:rsidRPr="00184A86" w14:paraId="5ECAAE75" w14:textId="77777777" w:rsidTr="00323DF3">
        <w:trPr>
          <w:cantSplit/>
          <w:trHeight w:val="300"/>
          <w:jc w:val="center"/>
        </w:trPr>
        <w:tc>
          <w:tcPr>
            <w:tcW w:w="5000" w:type="pct"/>
            <w:shd w:val="clear" w:color="auto" w:fill="FFFFFF"/>
            <w:tcMar>
              <w:top w:w="0" w:type="dxa"/>
              <w:left w:w="0" w:type="dxa"/>
              <w:bottom w:w="0" w:type="dxa"/>
              <w:right w:w="0" w:type="dxa"/>
            </w:tcMar>
          </w:tcPr>
          <w:p w14:paraId="64244728" w14:textId="77777777" w:rsidR="007C40BF" w:rsidRPr="00184A86" w:rsidRDefault="007C40BF" w:rsidP="00323DF3">
            <w:pPr>
              <w:pStyle w:val="C-BodyText"/>
              <w:spacing w:before="0" w:after="0" w:line="240" w:lineRule="auto"/>
              <w:rPr>
                <w:rFonts w:asciiTheme="minorHAnsi" w:hAnsiTheme="minorHAnsi" w:cstheme="minorHAnsi"/>
                <w:sz w:val="22"/>
                <w:szCs w:val="22"/>
                <w:lang w:val="en-GB"/>
              </w:rPr>
            </w:pPr>
            <w:r>
              <w:rPr>
                <w:rFonts w:asciiTheme="minorHAnsi" w:hAnsiTheme="minorHAnsi" w:cstheme="minorHAnsi"/>
                <w:sz w:val="22"/>
                <w:szCs w:val="22"/>
                <w:lang w:val="en-GB"/>
              </w:rPr>
              <w:t xml:space="preserve">Uncommon:  Lethargy; Spinal haematoma; Subarachnoid haemorrhage; Subdural </w:t>
            </w:r>
            <w:proofErr w:type="spellStart"/>
            <w:r>
              <w:rPr>
                <w:rFonts w:asciiTheme="minorHAnsi" w:hAnsiTheme="minorHAnsi" w:cstheme="minorHAnsi"/>
                <w:sz w:val="22"/>
                <w:szCs w:val="22"/>
                <w:lang w:val="en-GB"/>
              </w:rPr>
              <w:t>hygroma</w:t>
            </w:r>
            <w:proofErr w:type="spellEnd"/>
          </w:p>
        </w:tc>
      </w:tr>
      <w:tr w:rsidR="007C40BF" w:rsidRPr="002A0E24" w14:paraId="5D222D48" w14:textId="77777777" w:rsidTr="00323DF3">
        <w:trPr>
          <w:cantSplit/>
          <w:trHeight w:val="300"/>
          <w:jc w:val="center"/>
        </w:trPr>
        <w:tc>
          <w:tcPr>
            <w:tcW w:w="5000" w:type="pct"/>
            <w:shd w:val="clear" w:color="auto" w:fill="FFFFFF"/>
            <w:tcMar>
              <w:top w:w="0" w:type="dxa"/>
              <w:left w:w="0" w:type="dxa"/>
              <w:bottom w:w="0" w:type="dxa"/>
              <w:right w:w="0" w:type="dxa"/>
            </w:tcMar>
          </w:tcPr>
          <w:p w14:paraId="2093B20C" w14:textId="77777777" w:rsidR="007C40BF" w:rsidRPr="002A0E24" w:rsidRDefault="007C40BF" w:rsidP="00323DF3">
            <w:pPr>
              <w:pStyle w:val="C-BodyText"/>
              <w:spacing w:before="0" w:after="0" w:line="240" w:lineRule="auto"/>
              <w:rPr>
                <w:rFonts w:asciiTheme="minorHAnsi" w:hAnsiTheme="minorHAnsi" w:cstheme="minorHAnsi"/>
                <w:b/>
                <w:i/>
                <w:sz w:val="22"/>
                <w:szCs w:val="22"/>
                <w:lang w:val="en-GB"/>
              </w:rPr>
            </w:pPr>
            <w:r>
              <w:rPr>
                <w:rFonts w:asciiTheme="minorHAnsi" w:hAnsiTheme="minorHAnsi" w:cstheme="minorHAnsi"/>
                <w:b/>
                <w:i/>
                <w:sz w:val="22"/>
                <w:szCs w:val="22"/>
                <w:lang w:val="en-GB"/>
              </w:rPr>
              <w:t>Reproductive system and breast disorders</w:t>
            </w:r>
          </w:p>
        </w:tc>
      </w:tr>
      <w:tr w:rsidR="007C40BF" w:rsidRPr="00184A86" w14:paraId="63DB6ADE" w14:textId="77777777" w:rsidTr="00323DF3">
        <w:trPr>
          <w:cantSplit/>
          <w:trHeight w:val="300"/>
          <w:jc w:val="center"/>
        </w:trPr>
        <w:tc>
          <w:tcPr>
            <w:tcW w:w="5000" w:type="pct"/>
            <w:shd w:val="clear" w:color="auto" w:fill="FFFFFF"/>
            <w:tcMar>
              <w:top w:w="0" w:type="dxa"/>
              <w:left w:w="0" w:type="dxa"/>
              <w:bottom w:w="0" w:type="dxa"/>
              <w:right w:w="0" w:type="dxa"/>
            </w:tcMar>
          </w:tcPr>
          <w:p w14:paraId="03300278" w14:textId="77777777" w:rsidR="007C40BF" w:rsidRPr="00184A86" w:rsidRDefault="007C40BF" w:rsidP="00323DF3">
            <w:pPr>
              <w:pStyle w:val="C-BodyText"/>
              <w:spacing w:before="0" w:after="0" w:line="240" w:lineRule="auto"/>
              <w:rPr>
                <w:rFonts w:asciiTheme="minorHAnsi" w:hAnsiTheme="minorHAnsi" w:cstheme="minorHAnsi"/>
                <w:sz w:val="22"/>
                <w:szCs w:val="22"/>
                <w:lang w:val="en-GB"/>
              </w:rPr>
            </w:pPr>
            <w:r>
              <w:rPr>
                <w:rFonts w:asciiTheme="minorHAnsi" w:hAnsiTheme="minorHAnsi" w:cstheme="minorHAnsi"/>
                <w:sz w:val="22"/>
                <w:szCs w:val="22"/>
                <w:lang w:val="en-GB"/>
              </w:rPr>
              <w:t>Uncommon:  Menorrhagia</w:t>
            </w:r>
          </w:p>
        </w:tc>
      </w:tr>
      <w:tr w:rsidR="007C40BF" w:rsidRPr="00184A86" w14:paraId="4EB45A63" w14:textId="77777777" w:rsidTr="00323DF3">
        <w:trPr>
          <w:cantSplit/>
          <w:trHeight w:val="280"/>
          <w:jc w:val="center"/>
        </w:trPr>
        <w:tc>
          <w:tcPr>
            <w:tcW w:w="5000" w:type="pct"/>
            <w:shd w:val="clear" w:color="auto" w:fill="FFFFFF"/>
            <w:tcMar>
              <w:top w:w="0" w:type="dxa"/>
              <w:left w:w="0" w:type="dxa"/>
              <w:bottom w:w="0" w:type="dxa"/>
              <w:right w:w="0" w:type="dxa"/>
            </w:tcMar>
          </w:tcPr>
          <w:p w14:paraId="739FA61B" w14:textId="77777777" w:rsidR="007C40BF" w:rsidRPr="00184A86" w:rsidRDefault="007C40BF" w:rsidP="00323DF3">
            <w:pPr>
              <w:pStyle w:val="C-BodyText"/>
              <w:spacing w:before="0" w:after="0" w:line="240" w:lineRule="auto"/>
              <w:rPr>
                <w:rFonts w:asciiTheme="minorHAnsi" w:hAnsiTheme="minorHAnsi" w:cstheme="minorHAnsi"/>
                <w:sz w:val="22"/>
                <w:szCs w:val="22"/>
                <w:lang w:val="en-GB"/>
              </w:rPr>
            </w:pPr>
            <w:r w:rsidRPr="00184A86">
              <w:rPr>
                <w:rFonts w:asciiTheme="minorHAnsi" w:hAnsiTheme="minorHAnsi" w:cstheme="minorHAnsi"/>
                <w:b/>
                <w:i/>
                <w:sz w:val="22"/>
                <w:szCs w:val="22"/>
                <w:lang w:val="en-GB"/>
              </w:rPr>
              <w:t>Respiratory, thoracic and mediastinal disorders</w:t>
            </w:r>
          </w:p>
        </w:tc>
      </w:tr>
      <w:tr w:rsidR="007C40BF" w:rsidRPr="00184A86" w14:paraId="268081AF" w14:textId="77777777" w:rsidTr="00323DF3">
        <w:trPr>
          <w:cantSplit/>
          <w:trHeight w:val="300"/>
          <w:jc w:val="center"/>
        </w:trPr>
        <w:tc>
          <w:tcPr>
            <w:tcW w:w="5000" w:type="pct"/>
            <w:shd w:val="clear" w:color="auto" w:fill="FFFFFF"/>
            <w:tcMar>
              <w:top w:w="0" w:type="dxa"/>
              <w:left w:w="0" w:type="dxa"/>
              <w:bottom w:w="0" w:type="dxa"/>
              <w:right w:w="0" w:type="dxa"/>
            </w:tcMar>
          </w:tcPr>
          <w:p w14:paraId="77FC561D" w14:textId="77777777" w:rsidR="007C40BF" w:rsidRPr="00184A86" w:rsidRDefault="007C40BF" w:rsidP="00323DF3">
            <w:pPr>
              <w:pStyle w:val="C-BodyText"/>
              <w:spacing w:before="0" w:after="0" w:line="240" w:lineRule="auto"/>
              <w:rPr>
                <w:rFonts w:asciiTheme="minorHAnsi" w:hAnsiTheme="minorHAnsi" w:cstheme="minorHAnsi"/>
                <w:sz w:val="22"/>
                <w:szCs w:val="22"/>
                <w:lang w:val="en-GB"/>
              </w:rPr>
            </w:pPr>
            <w:r w:rsidRPr="00184A86">
              <w:rPr>
                <w:rFonts w:asciiTheme="minorHAnsi" w:hAnsiTheme="minorHAnsi" w:cstheme="minorHAnsi"/>
                <w:sz w:val="22"/>
                <w:szCs w:val="22"/>
                <w:lang w:val="en-GB"/>
              </w:rPr>
              <w:t>Uncommon</w:t>
            </w:r>
            <w:r>
              <w:rPr>
                <w:rFonts w:asciiTheme="minorHAnsi" w:hAnsiTheme="minorHAnsi" w:cstheme="minorHAnsi"/>
                <w:sz w:val="22"/>
                <w:szCs w:val="22"/>
                <w:lang w:val="en-GB"/>
              </w:rPr>
              <w:t xml:space="preserve">:  </w:t>
            </w:r>
            <w:proofErr w:type="spellStart"/>
            <w:r w:rsidRPr="00184A86">
              <w:rPr>
                <w:rFonts w:asciiTheme="minorHAnsi" w:hAnsiTheme="minorHAnsi" w:cstheme="minorHAnsi"/>
                <w:sz w:val="22"/>
                <w:szCs w:val="22"/>
                <w:lang w:val="en-GB"/>
              </w:rPr>
              <w:t>Haemothorax</w:t>
            </w:r>
            <w:proofErr w:type="spellEnd"/>
            <w:r>
              <w:rPr>
                <w:rFonts w:asciiTheme="minorHAnsi" w:hAnsiTheme="minorHAnsi" w:cstheme="minorHAnsi"/>
                <w:sz w:val="22"/>
                <w:szCs w:val="22"/>
                <w:lang w:val="en-GB"/>
              </w:rPr>
              <w:t>; Thoracic haemorrhage</w:t>
            </w:r>
          </w:p>
        </w:tc>
      </w:tr>
      <w:tr w:rsidR="007C40BF" w:rsidRPr="00184A86" w14:paraId="1CD2F4BC" w14:textId="77777777" w:rsidTr="00323DF3">
        <w:trPr>
          <w:cantSplit/>
          <w:trHeight w:val="260"/>
          <w:jc w:val="center"/>
        </w:trPr>
        <w:tc>
          <w:tcPr>
            <w:tcW w:w="5000" w:type="pct"/>
            <w:shd w:val="clear" w:color="auto" w:fill="FFFFFF"/>
            <w:tcMar>
              <w:top w:w="0" w:type="dxa"/>
              <w:left w:w="0" w:type="dxa"/>
              <w:bottom w:w="0" w:type="dxa"/>
              <w:right w:w="0" w:type="dxa"/>
            </w:tcMar>
          </w:tcPr>
          <w:p w14:paraId="2AFBE6D3" w14:textId="77777777" w:rsidR="007C40BF" w:rsidRPr="00184A86" w:rsidRDefault="007C40BF" w:rsidP="00323DF3">
            <w:pPr>
              <w:pStyle w:val="C-BodyText"/>
              <w:spacing w:before="0" w:after="0" w:line="240" w:lineRule="auto"/>
              <w:rPr>
                <w:rFonts w:asciiTheme="minorHAnsi" w:hAnsiTheme="minorHAnsi" w:cstheme="minorHAnsi"/>
                <w:b/>
                <w:i/>
                <w:sz w:val="22"/>
                <w:szCs w:val="22"/>
                <w:lang w:val="en-GB"/>
              </w:rPr>
            </w:pPr>
            <w:r w:rsidRPr="00184A86">
              <w:rPr>
                <w:rFonts w:asciiTheme="minorHAnsi" w:hAnsiTheme="minorHAnsi" w:cstheme="minorHAnsi"/>
                <w:b/>
                <w:i/>
                <w:sz w:val="22"/>
                <w:szCs w:val="22"/>
                <w:lang w:val="en-GB"/>
              </w:rPr>
              <w:t>Skin and subcutaneous tissue disorders</w:t>
            </w:r>
          </w:p>
        </w:tc>
      </w:tr>
      <w:tr w:rsidR="007C40BF" w:rsidRPr="00184A86" w14:paraId="7A21A3B7" w14:textId="77777777" w:rsidTr="00323DF3">
        <w:trPr>
          <w:cantSplit/>
          <w:trHeight w:val="300"/>
          <w:jc w:val="center"/>
        </w:trPr>
        <w:tc>
          <w:tcPr>
            <w:tcW w:w="5000" w:type="pct"/>
            <w:shd w:val="clear" w:color="auto" w:fill="FFFFFF"/>
            <w:tcMar>
              <w:top w:w="0" w:type="dxa"/>
              <w:left w:w="0" w:type="dxa"/>
              <w:bottom w:w="0" w:type="dxa"/>
              <w:right w:w="0" w:type="dxa"/>
            </w:tcMar>
          </w:tcPr>
          <w:p w14:paraId="6403A018" w14:textId="77777777" w:rsidR="007C40BF" w:rsidRPr="00184A86" w:rsidRDefault="007C40BF" w:rsidP="00323DF3">
            <w:pPr>
              <w:pStyle w:val="C-BodyText"/>
              <w:spacing w:before="0" w:after="0" w:line="240" w:lineRule="auto"/>
              <w:rPr>
                <w:rFonts w:asciiTheme="minorHAnsi" w:hAnsiTheme="minorHAnsi" w:cstheme="minorHAnsi"/>
                <w:sz w:val="22"/>
                <w:szCs w:val="22"/>
                <w:lang w:val="en-GB"/>
              </w:rPr>
            </w:pPr>
            <w:r>
              <w:rPr>
                <w:rFonts w:asciiTheme="minorHAnsi" w:hAnsiTheme="minorHAnsi" w:cstheme="minorHAnsi"/>
                <w:sz w:val="22"/>
                <w:szCs w:val="22"/>
                <w:lang w:val="en-GB"/>
              </w:rPr>
              <w:t>Uncommon:  Dry skin; Pruritus generalised; Purpura; Skin haemorrhage</w:t>
            </w:r>
          </w:p>
        </w:tc>
      </w:tr>
      <w:tr w:rsidR="007C40BF" w:rsidRPr="00184A86" w14:paraId="4C11EB30" w14:textId="77777777" w:rsidTr="00323DF3">
        <w:trPr>
          <w:cantSplit/>
          <w:trHeight w:val="260"/>
          <w:jc w:val="center"/>
        </w:trPr>
        <w:tc>
          <w:tcPr>
            <w:tcW w:w="5000" w:type="pct"/>
            <w:shd w:val="clear" w:color="auto" w:fill="FFFFFF"/>
            <w:tcMar>
              <w:top w:w="0" w:type="dxa"/>
              <w:left w:w="0" w:type="dxa"/>
              <w:bottom w:w="0" w:type="dxa"/>
              <w:right w:w="0" w:type="dxa"/>
            </w:tcMar>
          </w:tcPr>
          <w:p w14:paraId="77928C01" w14:textId="77777777" w:rsidR="007C40BF" w:rsidRPr="00184A86" w:rsidRDefault="007C40BF" w:rsidP="00323DF3">
            <w:pPr>
              <w:pStyle w:val="C-BodyText"/>
              <w:spacing w:before="0" w:after="0" w:line="240" w:lineRule="auto"/>
              <w:rPr>
                <w:rFonts w:asciiTheme="minorHAnsi" w:hAnsiTheme="minorHAnsi" w:cstheme="minorHAnsi"/>
                <w:sz w:val="22"/>
                <w:szCs w:val="22"/>
                <w:lang w:val="en-GB"/>
              </w:rPr>
            </w:pPr>
            <w:r w:rsidRPr="00184A86">
              <w:rPr>
                <w:rFonts w:asciiTheme="minorHAnsi" w:hAnsiTheme="minorHAnsi" w:cstheme="minorHAnsi"/>
                <w:b/>
                <w:i/>
                <w:sz w:val="22"/>
                <w:szCs w:val="22"/>
                <w:lang w:val="en-GB"/>
              </w:rPr>
              <w:t>Vascular disorders</w:t>
            </w:r>
          </w:p>
        </w:tc>
      </w:tr>
      <w:tr w:rsidR="007C40BF" w:rsidRPr="00184A86" w14:paraId="353E6FB5" w14:textId="77777777" w:rsidTr="00323DF3">
        <w:trPr>
          <w:cantSplit/>
          <w:trHeight w:val="260"/>
          <w:jc w:val="center"/>
        </w:trPr>
        <w:tc>
          <w:tcPr>
            <w:tcW w:w="5000" w:type="pct"/>
            <w:shd w:val="clear" w:color="auto" w:fill="FFFFFF"/>
            <w:tcMar>
              <w:top w:w="0" w:type="dxa"/>
              <w:left w:w="0" w:type="dxa"/>
              <w:bottom w:w="0" w:type="dxa"/>
              <w:right w:w="0" w:type="dxa"/>
            </w:tcMar>
          </w:tcPr>
          <w:p w14:paraId="66786EC5" w14:textId="77777777" w:rsidR="007C40BF" w:rsidRPr="00184A86" w:rsidRDefault="007C40BF" w:rsidP="00323DF3">
            <w:pPr>
              <w:pStyle w:val="C-BodyText"/>
              <w:spacing w:before="0" w:after="0" w:line="240" w:lineRule="auto"/>
              <w:rPr>
                <w:rFonts w:asciiTheme="minorHAnsi" w:hAnsiTheme="minorHAnsi" w:cstheme="minorHAnsi"/>
                <w:sz w:val="22"/>
                <w:szCs w:val="22"/>
                <w:lang w:val="en-GB"/>
              </w:rPr>
            </w:pPr>
            <w:r>
              <w:rPr>
                <w:rFonts w:asciiTheme="minorHAnsi" w:hAnsiTheme="minorHAnsi" w:cstheme="minorHAnsi"/>
                <w:sz w:val="22"/>
                <w:szCs w:val="22"/>
                <w:lang w:val="en-GB"/>
              </w:rPr>
              <w:t xml:space="preserve">Uncommon:  Flushing; </w:t>
            </w:r>
            <w:r w:rsidRPr="00184A86">
              <w:rPr>
                <w:rFonts w:asciiTheme="minorHAnsi" w:hAnsiTheme="minorHAnsi" w:cstheme="minorHAnsi"/>
                <w:sz w:val="22"/>
                <w:szCs w:val="22"/>
                <w:lang w:val="en-GB"/>
              </w:rPr>
              <w:t>Haemorrhage</w:t>
            </w:r>
            <w:r>
              <w:rPr>
                <w:rFonts w:asciiTheme="minorHAnsi" w:hAnsiTheme="minorHAnsi" w:cstheme="minorHAnsi"/>
                <w:sz w:val="22"/>
                <w:szCs w:val="22"/>
                <w:lang w:val="en-GB"/>
              </w:rPr>
              <w:t>; Haematoma</w:t>
            </w:r>
          </w:p>
        </w:tc>
      </w:tr>
    </w:tbl>
    <w:p w14:paraId="064E4036" w14:textId="1C32A5C6" w:rsidR="00DD032A" w:rsidRDefault="00DD032A" w:rsidP="00DD032A">
      <w:pPr>
        <w:spacing w:line="240" w:lineRule="auto"/>
        <w:rPr>
          <w:noProof/>
          <w:u w:val="single"/>
        </w:rPr>
      </w:pPr>
      <w:r>
        <w:rPr>
          <w:noProof/>
          <w:u w:val="single"/>
        </w:rPr>
        <w:t>Postmarketing Experience</w:t>
      </w:r>
    </w:p>
    <w:p w14:paraId="03021357" w14:textId="64CB1231" w:rsidR="00DD032A" w:rsidRPr="00302297" w:rsidRDefault="00DD032A" w:rsidP="00DD032A">
      <w:pPr>
        <w:spacing w:line="240" w:lineRule="auto"/>
        <w:rPr>
          <w:noProof/>
        </w:rPr>
      </w:pPr>
      <w:r w:rsidRPr="00302297">
        <w:rPr>
          <w:noProof/>
        </w:rPr>
        <w:t>In addition to adverse reactions from clinical studies, the following adverse reactions were indentified during post-approval use of p</w:t>
      </w:r>
      <w:r w:rsidR="00FE3CF5">
        <w:rPr>
          <w:noProof/>
        </w:rPr>
        <w:t>roducts containing defibrotide.</w:t>
      </w:r>
    </w:p>
    <w:p w14:paraId="01AC9B2B" w14:textId="77777777" w:rsidR="00DD032A" w:rsidRDefault="00DD032A" w:rsidP="00DD032A">
      <w:pPr>
        <w:spacing w:line="240" w:lineRule="auto"/>
        <w:contextualSpacing/>
        <w:rPr>
          <w:b/>
          <w:i/>
          <w:noProof/>
        </w:rPr>
      </w:pPr>
      <w:r w:rsidRPr="00302297">
        <w:rPr>
          <w:b/>
          <w:i/>
          <w:noProof/>
        </w:rPr>
        <w:t xml:space="preserve">Immune </w:t>
      </w:r>
      <w:r w:rsidRPr="001139C8">
        <w:rPr>
          <w:b/>
          <w:i/>
          <w:noProof/>
        </w:rPr>
        <w:t>system disorders</w:t>
      </w:r>
    </w:p>
    <w:p w14:paraId="55C97AB1" w14:textId="6C56735F" w:rsidR="00DD032A" w:rsidRDefault="00DD032A" w:rsidP="00DD032A">
      <w:pPr>
        <w:spacing w:line="240" w:lineRule="auto"/>
        <w:rPr>
          <w:noProof/>
        </w:rPr>
      </w:pPr>
      <w:r>
        <w:rPr>
          <w:noProof/>
        </w:rPr>
        <w:t xml:space="preserve">Uncommon: </w:t>
      </w:r>
      <w:r w:rsidRPr="00302297">
        <w:rPr>
          <w:noProof/>
        </w:rPr>
        <w:t>Anaphylactic reaction, Hypersensitivity</w:t>
      </w:r>
    </w:p>
    <w:p w14:paraId="4CF67CF4" w14:textId="12C06F95" w:rsidR="009D2768" w:rsidRPr="00184A86" w:rsidRDefault="00FE3CF5" w:rsidP="00184A86">
      <w:pPr>
        <w:spacing w:line="240" w:lineRule="auto"/>
        <w:rPr>
          <w:u w:val="single"/>
        </w:rPr>
      </w:pPr>
      <w:r>
        <w:rPr>
          <w:u w:val="single"/>
        </w:rPr>
        <w:t>Paediatric population</w:t>
      </w:r>
    </w:p>
    <w:p w14:paraId="198B0D55" w14:textId="0CA9BD30" w:rsidR="00045E8A" w:rsidRDefault="00762324" w:rsidP="00292928">
      <w:pPr>
        <w:spacing w:line="240" w:lineRule="auto"/>
        <w:rPr>
          <w:noProof/>
        </w:rPr>
      </w:pPr>
      <w:r w:rsidRPr="00A361DF">
        <w:rPr>
          <w:noProof/>
        </w:rPr>
        <w:t xml:space="preserve">In the treatment studies </w:t>
      </w:r>
      <w:r w:rsidR="00654D7D" w:rsidRPr="00A361DF">
        <w:rPr>
          <w:noProof/>
        </w:rPr>
        <w:t>over 50%</w:t>
      </w:r>
      <w:r w:rsidRPr="00A361DF">
        <w:rPr>
          <w:noProof/>
        </w:rPr>
        <w:t xml:space="preserve"> of the patients were children. In doses above the recommended dose of 25 mg/kg/day there w</w:t>
      </w:r>
      <w:r w:rsidR="00D8212F" w:rsidRPr="00A361DF">
        <w:rPr>
          <w:noProof/>
        </w:rPr>
        <w:t>as</w:t>
      </w:r>
      <w:r w:rsidRPr="00A361DF">
        <w:rPr>
          <w:noProof/>
        </w:rPr>
        <w:t xml:space="preserve"> a higher proportion of patients with bleeding events in the high dose group but since many events occurred in the follow</w:t>
      </w:r>
      <w:r w:rsidR="006204BC" w:rsidRPr="00A361DF">
        <w:rPr>
          <w:noProof/>
        </w:rPr>
        <w:noBreakHyphen/>
      </w:r>
      <w:r w:rsidRPr="00A361DF">
        <w:rPr>
          <w:noProof/>
        </w:rPr>
        <w:t>up period, a clear relationship with defibrotide tre</w:t>
      </w:r>
      <w:r w:rsidR="00FE3CF5">
        <w:rPr>
          <w:noProof/>
        </w:rPr>
        <w:t>atment could not be determined.</w:t>
      </w:r>
    </w:p>
    <w:p w14:paraId="22C2B07A" w14:textId="77777777" w:rsidR="00292928" w:rsidRPr="009B78BC" w:rsidRDefault="00292928" w:rsidP="00292928">
      <w:pPr>
        <w:autoSpaceDE w:val="0"/>
        <w:autoSpaceDN w:val="0"/>
        <w:adjustRightInd w:val="0"/>
        <w:spacing w:line="240" w:lineRule="auto"/>
        <w:rPr>
          <w:noProof/>
        </w:rPr>
      </w:pPr>
      <w:r w:rsidRPr="009B78BC">
        <w:rPr>
          <w:noProof/>
        </w:rPr>
        <w:t>A small numerical increased incidence of fatal hemorrhag</w:t>
      </w:r>
      <w:r>
        <w:rPr>
          <w:noProof/>
        </w:rPr>
        <w:t>ic</w:t>
      </w:r>
      <w:r w:rsidRPr="009B78BC">
        <w:rPr>
          <w:noProof/>
        </w:rPr>
        <w:t xml:space="preserve"> events has been observed in pediatric subjects exposed to defibrotide at doses of 25 mg/kg</w:t>
      </w:r>
      <w:r>
        <w:rPr>
          <w:noProof/>
        </w:rPr>
        <w:t>/</w:t>
      </w:r>
      <w:r w:rsidRPr="009B78BC">
        <w:rPr>
          <w:noProof/>
        </w:rPr>
        <w:t xml:space="preserve">day or higher, compared to historical controls. In this treatment group, causality </w:t>
      </w:r>
      <w:r>
        <w:rPr>
          <w:noProof/>
        </w:rPr>
        <w:t>wa</w:t>
      </w:r>
      <w:r w:rsidRPr="009B78BC">
        <w:rPr>
          <w:noProof/>
        </w:rPr>
        <w:t>s difficult to determine given multiple comorbidities.</w:t>
      </w:r>
    </w:p>
    <w:p w14:paraId="2619FE93" w14:textId="77777777" w:rsidR="00762324" w:rsidRPr="00A361DF" w:rsidRDefault="00762324" w:rsidP="003B2C91">
      <w:pPr>
        <w:spacing w:line="240" w:lineRule="auto"/>
        <w:rPr>
          <w:noProof/>
        </w:rPr>
      </w:pPr>
      <w:r w:rsidRPr="00A361DF">
        <w:rPr>
          <w:noProof/>
        </w:rPr>
        <w:t>The frequency nature and severity of adverse reactions in children are otherwise the same as in adults. No special precautions are indicated.</w:t>
      </w:r>
    </w:p>
    <w:p w14:paraId="3DCEECF5" w14:textId="77777777" w:rsidR="001C7589" w:rsidRPr="00184A86" w:rsidRDefault="001C7589" w:rsidP="00FE3CF5">
      <w:pPr>
        <w:keepNext/>
        <w:spacing w:line="240" w:lineRule="auto"/>
        <w:rPr>
          <w:rFonts w:cstheme="minorHAnsi"/>
          <w:u w:val="single"/>
        </w:rPr>
      </w:pPr>
      <w:r w:rsidRPr="00184A86">
        <w:rPr>
          <w:rFonts w:cstheme="minorHAnsi"/>
          <w:u w:val="single"/>
        </w:rPr>
        <w:lastRenderedPageBreak/>
        <w:t>Reporting</w:t>
      </w:r>
      <w:r w:rsidR="003D64FB" w:rsidRPr="00184A86">
        <w:rPr>
          <w:rFonts w:cstheme="minorHAnsi"/>
          <w:u w:val="single"/>
        </w:rPr>
        <w:t xml:space="preserve"> suspected adverse reactions</w:t>
      </w:r>
    </w:p>
    <w:p w14:paraId="5850A291" w14:textId="3179C141" w:rsidR="005D2A5F" w:rsidRPr="00184A86" w:rsidRDefault="003D64FB" w:rsidP="00184A86">
      <w:pPr>
        <w:spacing w:line="240" w:lineRule="auto"/>
        <w:rPr>
          <w:rFonts w:cstheme="minorHAnsi"/>
        </w:rPr>
      </w:pPr>
      <w:r w:rsidRPr="00184A86">
        <w:rPr>
          <w:rFonts w:cstheme="minorHAnsi"/>
        </w:rPr>
        <w:t xml:space="preserve">Reporting suspected adverse reactions after authorization of the medicinal product is important. It allows continued monitoring of the benefit/risk balance of the medicinal product. Healthcare professionals are asked to report any suspected adverse reactions </w:t>
      </w:r>
      <w:r w:rsidR="005D2A5F" w:rsidRPr="00184A86">
        <w:rPr>
          <w:rFonts w:cstheme="minorHAnsi"/>
        </w:rPr>
        <w:t xml:space="preserve">at </w:t>
      </w:r>
      <w:hyperlink r:id="rId10" w:history="1">
        <w:r w:rsidR="005D2A5F" w:rsidRPr="00184A86">
          <w:rPr>
            <w:rStyle w:val="Hyperlink"/>
            <w:rFonts w:cstheme="minorHAnsi"/>
          </w:rPr>
          <w:t>www.tga.gov.au/reporting-problems</w:t>
        </w:r>
      </w:hyperlink>
      <w:r w:rsidR="00FE3CF5">
        <w:rPr>
          <w:rFonts w:cstheme="minorHAnsi"/>
        </w:rPr>
        <w:t>.</w:t>
      </w:r>
    </w:p>
    <w:p w14:paraId="584C1033" w14:textId="77777777" w:rsidR="000632CA" w:rsidRPr="00A361DF" w:rsidRDefault="005C75C5" w:rsidP="00FE3CF5">
      <w:pPr>
        <w:spacing w:before="360" w:line="240" w:lineRule="auto"/>
        <w:ind w:left="567" w:hanging="567"/>
        <w:rPr>
          <w:b/>
        </w:rPr>
      </w:pPr>
      <w:r w:rsidRPr="00A361DF">
        <w:rPr>
          <w:b/>
        </w:rPr>
        <w:t>4.9</w:t>
      </w:r>
      <w:r w:rsidRPr="00A361DF">
        <w:rPr>
          <w:b/>
        </w:rPr>
        <w:tab/>
      </w:r>
      <w:r w:rsidR="000632CA" w:rsidRPr="00A361DF">
        <w:rPr>
          <w:b/>
        </w:rPr>
        <w:t>Overdose</w:t>
      </w:r>
    </w:p>
    <w:p w14:paraId="671FA573" w14:textId="564B6604" w:rsidR="000632CA" w:rsidRPr="00A361DF" w:rsidRDefault="000632CA" w:rsidP="003B2C91">
      <w:pPr>
        <w:spacing w:line="240" w:lineRule="auto"/>
        <w:rPr>
          <w:noProof/>
        </w:rPr>
      </w:pPr>
      <w:r w:rsidRPr="00A361DF">
        <w:rPr>
          <w:noProof/>
        </w:rPr>
        <w:t>There is no specific antidote for overdose and treatment should be symptomatic.</w:t>
      </w:r>
      <w:r w:rsidR="001D21D3" w:rsidRPr="00A361DF">
        <w:rPr>
          <w:noProof/>
        </w:rPr>
        <w:t xml:space="preserve"> Defibrotide is not removed by dialysis (see section 5.2</w:t>
      </w:r>
      <w:r w:rsidR="009D4C50">
        <w:rPr>
          <w:noProof/>
        </w:rPr>
        <w:t xml:space="preserve"> </w:t>
      </w:r>
      <w:r w:rsidR="009D4C50" w:rsidRPr="00856D4F">
        <w:rPr>
          <w:noProof/>
        </w:rPr>
        <w:t>Pharmacokinetic properties – Special populations – Renal impairment</w:t>
      </w:r>
      <w:r w:rsidR="001D21D3" w:rsidRPr="00A361DF">
        <w:rPr>
          <w:noProof/>
        </w:rPr>
        <w:t>).</w:t>
      </w:r>
    </w:p>
    <w:p w14:paraId="5DBC9758" w14:textId="16B1B2C0" w:rsidR="005D2A5F" w:rsidRPr="00A361DF" w:rsidRDefault="005D2A5F" w:rsidP="003B2C91">
      <w:pPr>
        <w:spacing w:line="240" w:lineRule="auto"/>
        <w:rPr>
          <w:noProof/>
        </w:rPr>
      </w:pPr>
      <w:r w:rsidRPr="00A361DF">
        <w:rPr>
          <w:noProof/>
        </w:rPr>
        <w:t>For information on the management of overdose, contact the Poisons Informatio</w:t>
      </w:r>
      <w:r w:rsidR="00FE3CF5">
        <w:rPr>
          <w:noProof/>
        </w:rPr>
        <w:t>n Centre on 131126 (Australia).</w:t>
      </w:r>
    </w:p>
    <w:p w14:paraId="665B9DAE" w14:textId="77777777" w:rsidR="000632CA" w:rsidRPr="00A361DF" w:rsidRDefault="005C75C5" w:rsidP="003B2C91">
      <w:pPr>
        <w:spacing w:line="240" w:lineRule="auto"/>
        <w:ind w:left="567" w:hanging="567"/>
        <w:rPr>
          <w:b/>
        </w:rPr>
      </w:pPr>
      <w:r w:rsidRPr="00A361DF">
        <w:rPr>
          <w:b/>
        </w:rPr>
        <w:t>5.</w:t>
      </w:r>
      <w:r w:rsidRPr="00A361DF">
        <w:rPr>
          <w:b/>
        </w:rPr>
        <w:tab/>
      </w:r>
      <w:r w:rsidR="000632CA" w:rsidRPr="00A361DF">
        <w:rPr>
          <w:b/>
        </w:rPr>
        <w:t>PHARMACOLOGICAL PROPERTIES</w:t>
      </w:r>
    </w:p>
    <w:p w14:paraId="658B279F" w14:textId="77777777" w:rsidR="000632CA" w:rsidRPr="00A361DF" w:rsidRDefault="005C75C5" w:rsidP="003B2C91">
      <w:pPr>
        <w:spacing w:line="240" w:lineRule="auto"/>
        <w:ind w:left="567" w:hanging="567"/>
        <w:rPr>
          <w:b/>
        </w:rPr>
      </w:pPr>
      <w:bookmarkStart w:id="4" w:name="_Ref316550401"/>
      <w:r w:rsidRPr="00A361DF">
        <w:rPr>
          <w:b/>
        </w:rPr>
        <w:t>5.1</w:t>
      </w:r>
      <w:r w:rsidRPr="00A361DF">
        <w:rPr>
          <w:b/>
        </w:rPr>
        <w:tab/>
      </w:r>
      <w:proofErr w:type="spellStart"/>
      <w:r w:rsidR="000632CA" w:rsidRPr="00A361DF">
        <w:rPr>
          <w:b/>
        </w:rPr>
        <w:t>Pharmacodynamic</w:t>
      </w:r>
      <w:proofErr w:type="spellEnd"/>
      <w:r w:rsidR="000632CA" w:rsidRPr="00A361DF">
        <w:rPr>
          <w:b/>
        </w:rPr>
        <w:t xml:space="preserve"> </w:t>
      </w:r>
      <w:bookmarkEnd w:id="4"/>
      <w:r w:rsidR="004E56F3" w:rsidRPr="00A361DF">
        <w:rPr>
          <w:b/>
        </w:rPr>
        <w:t>properties</w:t>
      </w:r>
    </w:p>
    <w:p w14:paraId="7C840BD3" w14:textId="77777777" w:rsidR="000632CA" w:rsidRPr="00A361DF" w:rsidRDefault="000632CA" w:rsidP="003B2C91">
      <w:pPr>
        <w:spacing w:line="240" w:lineRule="auto"/>
        <w:rPr>
          <w:noProof/>
        </w:rPr>
      </w:pPr>
      <w:r w:rsidRPr="00A361DF">
        <w:rPr>
          <w:noProof/>
        </w:rPr>
        <w:t xml:space="preserve">Pharmacotherapeutic group: </w:t>
      </w:r>
      <w:r w:rsidR="00B843C5" w:rsidRPr="00A361DF">
        <w:rPr>
          <w:noProof/>
        </w:rPr>
        <w:t>other antithrombotic agents</w:t>
      </w:r>
      <w:r w:rsidR="00A96ED2" w:rsidRPr="00A361DF">
        <w:rPr>
          <w:noProof/>
        </w:rPr>
        <w:t xml:space="preserve">; </w:t>
      </w:r>
      <w:r w:rsidRPr="00A361DF">
        <w:rPr>
          <w:noProof/>
        </w:rPr>
        <w:t>ATC code</w:t>
      </w:r>
      <w:r w:rsidR="00A96ED2" w:rsidRPr="00A361DF">
        <w:rPr>
          <w:noProof/>
        </w:rPr>
        <w:t xml:space="preserve">: </w:t>
      </w:r>
      <w:r w:rsidR="00B843C5" w:rsidRPr="00A361DF">
        <w:rPr>
          <w:noProof/>
        </w:rPr>
        <w:t>B01AX01</w:t>
      </w:r>
      <w:r w:rsidRPr="00A361DF">
        <w:rPr>
          <w:noProof/>
        </w:rPr>
        <w:t>.</w:t>
      </w:r>
    </w:p>
    <w:p w14:paraId="0C8364D4" w14:textId="77777777" w:rsidR="000632CA" w:rsidRPr="00184A86" w:rsidRDefault="000632CA" w:rsidP="00184A86">
      <w:pPr>
        <w:spacing w:line="240" w:lineRule="auto"/>
        <w:rPr>
          <w:rFonts w:cstheme="minorHAnsi"/>
          <w:u w:val="single"/>
        </w:rPr>
      </w:pPr>
      <w:r w:rsidRPr="00184A86">
        <w:rPr>
          <w:rFonts w:cstheme="minorHAnsi"/>
          <w:u w:val="single"/>
        </w:rPr>
        <w:t>Mechanism of action</w:t>
      </w:r>
    </w:p>
    <w:p w14:paraId="021AE636" w14:textId="2E8540F8" w:rsidR="00CE4AEA" w:rsidRPr="00A361DF" w:rsidRDefault="00CE4AEA" w:rsidP="003B2C91">
      <w:pPr>
        <w:spacing w:line="240" w:lineRule="auto"/>
        <w:rPr>
          <w:noProof/>
        </w:rPr>
      </w:pPr>
      <w:r w:rsidRPr="00A361DF">
        <w:rPr>
          <w:noProof/>
        </w:rPr>
        <w:t>D</w:t>
      </w:r>
      <w:r w:rsidR="00DF2C77" w:rsidRPr="00A361DF">
        <w:rPr>
          <w:noProof/>
        </w:rPr>
        <w:t xml:space="preserve">efibrotide </w:t>
      </w:r>
      <w:r w:rsidRPr="00A361DF">
        <w:rPr>
          <w:noProof/>
        </w:rPr>
        <w:t xml:space="preserve">is an </w:t>
      </w:r>
      <w:r w:rsidR="00541ADA" w:rsidRPr="00A361DF">
        <w:rPr>
          <w:noProof/>
        </w:rPr>
        <w:t>o</w:t>
      </w:r>
      <w:r w:rsidR="00FE3CF5">
        <w:rPr>
          <w:noProof/>
        </w:rPr>
        <w:t xml:space="preserve">ligonucleotide mixture </w:t>
      </w:r>
      <w:r w:rsidRPr="00A361DF">
        <w:rPr>
          <w:noProof/>
        </w:rPr>
        <w:t>with demonstrated antithrombotic, fi</w:t>
      </w:r>
      <w:r w:rsidR="00DE79D0" w:rsidRPr="00A361DF">
        <w:rPr>
          <w:noProof/>
        </w:rPr>
        <w:t>brinolytic</w:t>
      </w:r>
      <w:r w:rsidRPr="00A361DF">
        <w:rPr>
          <w:noProof/>
        </w:rPr>
        <w:t>, anti-adhes</w:t>
      </w:r>
      <w:r w:rsidR="007A3F9B" w:rsidRPr="00A361DF">
        <w:rPr>
          <w:noProof/>
        </w:rPr>
        <w:t>i</w:t>
      </w:r>
      <w:r w:rsidRPr="00A361DF">
        <w:rPr>
          <w:noProof/>
        </w:rPr>
        <w:t xml:space="preserve">ve </w:t>
      </w:r>
      <w:r w:rsidR="00FE3CF5">
        <w:rPr>
          <w:noProof/>
        </w:rPr>
        <w:t xml:space="preserve">and anti-inflammatory actions. </w:t>
      </w:r>
      <w:r w:rsidR="009157AC">
        <w:rPr>
          <w:noProof/>
        </w:rPr>
        <w:t>The mechani</w:t>
      </w:r>
      <w:r w:rsidR="00FE3CF5">
        <w:rPr>
          <w:noProof/>
        </w:rPr>
        <w:t>sm of action is multifactorial.</w:t>
      </w:r>
      <w:r w:rsidR="009157AC">
        <w:rPr>
          <w:noProof/>
        </w:rPr>
        <w:t xml:space="preserve"> </w:t>
      </w:r>
      <w:r w:rsidRPr="00A361DF">
        <w:rPr>
          <w:noProof/>
        </w:rPr>
        <w:t>It primarily acts through reducing excessive</w:t>
      </w:r>
      <w:r w:rsidR="00B27392" w:rsidRPr="00A361DF">
        <w:rPr>
          <w:noProof/>
        </w:rPr>
        <w:t xml:space="preserve"> </w:t>
      </w:r>
      <w:r w:rsidR="002B57A8" w:rsidRPr="00A361DF">
        <w:rPr>
          <w:noProof/>
        </w:rPr>
        <w:t xml:space="preserve">endothelial </w:t>
      </w:r>
      <w:r w:rsidR="005463F9" w:rsidRPr="00A361DF">
        <w:rPr>
          <w:noProof/>
        </w:rPr>
        <w:t>cell</w:t>
      </w:r>
      <w:r w:rsidRPr="00A361DF">
        <w:rPr>
          <w:noProof/>
        </w:rPr>
        <w:t xml:space="preserve"> (EC)</w:t>
      </w:r>
      <w:r w:rsidR="005463F9" w:rsidRPr="00A361DF">
        <w:rPr>
          <w:noProof/>
        </w:rPr>
        <w:t xml:space="preserve"> </w:t>
      </w:r>
      <w:r w:rsidRPr="00A361DF">
        <w:rPr>
          <w:noProof/>
        </w:rPr>
        <w:t>activation (endothelial dysfunctio</w:t>
      </w:r>
      <w:r w:rsidR="0045314F" w:rsidRPr="00A361DF">
        <w:rPr>
          <w:noProof/>
        </w:rPr>
        <w:t>n</w:t>
      </w:r>
      <w:r w:rsidRPr="00A361DF">
        <w:rPr>
          <w:noProof/>
        </w:rPr>
        <w:t>)</w:t>
      </w:r>
      <w:r w:rsidR="005463F9" w:rsidRPr="00A361DF">
        <w:rPr>
          <w:noProof/>
        </w:rPr>
        <w:t xml:space="preserve">, </w:t>
      </w:r>
      <w:r w:rsidRPr="00A361DF">
        <w:rPr>
          <w:noProof/>
        </w:rPr>
        <w:t xml:space="preserve">thereby </w:t>
      </w:r>
      <w:r w:rsidR="009157AC">
        <w:rPr>
          <w:noProof/>
        </w:rPr>
        <w:t>modulating</w:t>
      </w:r>
      <w:r w:rsidRPr="00A361DF">
        <w:rPr>
          <w:noProof/>
        </w:rPr>
        <w:t xml:space="preserve"> endothelial homeostasis and maintaining the thrombo</w:t>
      </w:r>
      <w:r w:rsidRPr="00A361DF">
        <w:rPr>
          <w:noProof/>
        </w:rPr>
        <w:noBreakHyphen/>
        <w:t>fibrinolytic balance</w:t>
      </w:r>
      <w:r w:rsidR="00B27392" w:rsidRPr="00A361DF">
        <w:rPr>
          <w:noProof/>
        </w:rPr>
        <w:t xml:space="preserve">. </w:t>
      </w:r>
      <w:r w:rsidR="009157AC">
        <w:rPr>
          <w:noProof/>
        </w:rPr>
        <w:t>However, the exact mechanism of action of defib</w:t>
      </w:r>
      <w:r w:rsidR="00FE3CF5">
        <w:rPr>
          <w:noProof/>
        </w:rPr>
        <w:t>rotide is not fully elucidated.</w:t>
      </w:r>
    </w:p>
    <w:p w14:paraId="4F5CF9A0" w14:textId="5B413F78" w:rsidR="00B27392" w:rsidRPr="00A361DF" w:rsidRDefault="00DE79D0" w:rsidP="003B2C91">
      <w:pPr>
        <w:spacing w:line="240" w:lineRule="auto"/>
        <w:rPr>
          <w:noProof/>
        </w:rPr>
      </w:pPr>
      <w:r w:rsidRPr="00A361DF">
        <w:rPr>
          <w:noProof/>
        </w:rPr>
        <w:t>D</w:t>
      </w:r>
      <w:r w:rsidR="00B27392" w:rsidRPr="00A361DF">
        <w:rPr>
          <w:noProof/>
        </w:rPr>
        <w:t xml:space="preserve">efibrotide </w:t>
      </w:r>
      <w:r w:rsidR="005463F9" w:rsidRPr="00A361DF">
        <w:rPr>
          <w:noProof/>
        </w:rPr>
        <w:t xml:space="preserve">has </w:t>
      </w:r>
      <w:r w:rsidR="00CE4AEA" w:rsidRPr="00A361DF">
        <w:rPr>
          <w:noProof/>
        </w:rPr>
        <w:t xml:space="preserve"> demonstrated antithrombotic and fibrinolytic effects</w:t>
      </w:r>
      <w:r w:rsidR="009157AC">
        <w:rPr>
          <w:noProof/>
        </w:rPr>
        <w:t xml:space="preserve"> </w:t>
      </w:r>
      <w:r w:rsidR="009157AC">
        <w:rPr>
          <w:i/>
          <w:iCs/>
          <w:noProof/>
        </w:rPr>
        <w:t xml:space="preserve">in vitro </w:t>
      </w:r>
      <w:r w:rsidR="009157AC">
        <w:rPr>
          <w:noProof/>
        </w:rPr>
        <w:t xml:space="preserve">and </w:t>
      </w:r>
      <w:r w:rsidR="009157AC">
        <w:rPr>
          <w:i/>
          <w:iCs/>
          <w:noProof/>
        </w:rPr>
        <w:t>in vivo</w:t>
      </w:r>
      <w:r w:rsidR="00CE4AEA" w:rsidRPr="00A361DF">
        <w:rPr>
          <w:noProof/>
        </w:rPr>
        <w:t xml:space="preserve"> by: </w:t>
      </w:r>
      <w:r w:rsidR="005463F9" w:rsidRPr="00A361DF">
        <w:rPr>
          <w:noProof/>
        </w:rPr>
        <w:t>increas</w:t>
      </w:r>
      <w:r w:rsidR="00CE4AEA" w:rsidRPr="00A361DF">
        <w:rPr>
          <w:noProof/>
        </w:rPr>
        <w:t>ing</w:t>
      </w:r>
      <w:r w:rsidR="00B27392" w:rsidRPr="00A361DF">
        <w:rPr>
          <w:noProof/>
        </w:rPr>
        <w:t xml:space="preserve"> </w:t>
      </w:r>
      <w:r w:rsidR="00CE4AEA" w:rsidRPr="00A361DF">
        <w:rPr>
          <w:noProof/>
        </w:rPr>
        <w:t xml:space="preserve">systemic tissue factor pathway inhibitor (TFPI), </w:t>
      </w:r>
      <w:r w:rsidR="00B27392" w:rsidRPr="00A361DF">
        <w:rPr>
          <w:noProof/>
        </w:rPr>
        <w:t>tissue plasminogen activat</w:t>
      </w:r>
      <w:r w:rsidR="005463F9" w:rsidRPr="00A361DF">
        <w:rPr>
          <w:noProof/>
        </w:rPr>
        <w:t>or (t</w:t>
      </w:r>
      <w:r w:rsidR="006204BC" w:rsidRPr="00A361DF">
        <w:rPr>
          <w:noProof/>
        </w:rPr>
        <w:noBreakHyphen/>
      </w:r>
      <w:r w:rsidR="005463F9" w:rsidRPr="00A361DF">
        <w:rPr>
          <w:noProof/>
        </w:rPr>
        <w:t xml:space="preserve">PA) </w:t>
      </w:r>
      <w:r w:rsidR="00CE4AEA" w:rsidRPr="00A361DF">
        <w:rPr>
          <w:noProof/>
        </w:rPr>
        <w:t xml:space="preserve">and thrombomodulin (TM) expression; </w:t>
      </w:r>
      <w:r w:rsidR="005463F9" w:rsidRPr="00A361DF">
        <w:rPr>
          <w:noProof/>
        </w:rPr>
        <w:t>decreas</w:t>
      </w:r>
      <w:r w:rsidR="00CE4AEA" w:rsidRPr="00A361DF">
        <w:rPr>
          <w:noProof/>
        </w:rPr>
        <w:t xml:space="preserve">ing </w:t>
      </w:r>
      <w:r w:rsidR="00FE3CF5">
        <w:rPr>
          <w:noProof/>
        </w:rPr>
        <w:t>von Willebrand factor (vWF) and</w:t>
      </w:r>
      <w:r w:rsidR="00B27392" w:rsidRPr="00A361DF">
        <w:rPr>
          <w:noProof/>
        </w:rPr>
        <w:t xml:space="preserve"> plasminogen activator inhi</w:t>
      </w:r>
      <w:r w:rsidR="005463F9" w:rsidRPr="00A361DF">
        <w:rPr>
          <w:noProof/>
        </w:rPr>
        <w:t>bitor</w:t>
      </w:r>
      <w:r w:rsidR="006204BC" w:rsidRPr="00A361DF">
        <w:rPr>
          <w:noProof/>
        </w:rPr>
        <w:noBreakHyphen/>
      </w:r>
      <w:r w:rsidR="005463F9" w:rsidRPr="00A361DF">
        <w:rPr>
          <w:noProof/>
        </w:rPr>
        <w:t>1 (PAI</w:t>
      </w:r>
      <w:r w:rsidR="006204BC" w:rsidRPr="00A361DF">
        <w:rPr>
          <w:noProof/>
        </w:rPr>
        <w:noBreakHyphen/>
      </w:r>
      <w:r w:rsidR="005463F9" w:rsidRPr="00A361DF">
        <w:rPr>
          <w:noProof/>
        </w:rPr>
        <w:t xml:space="preserve">1) </w:t>
      </w:r>
      <w:r w:rsidR="00CE4AEA" w:rsidRPr="00A361DF">
        <w:rPr>
          <w:noProof/>
        </w:rPr>
        <w:t>expression;  and enhanc</w:t>
      </w:r>
      <w:r w:rsidR="002B57A8" w:rsidRPr="00A361DF">
        <w:rPr>
          <w:noProof/>
        </w:rPr>
        <w:t>i</w:t>
      </w:r>
      <w:r w:rsidR="00CE4AEA" w:rsidRPr="00A361DF">
        <w:rPr>
          <w:noProof/>
        </w:rPr>
        <w:t>ng the enzymatic activity of plasmi</w:t>
      </w:r>
      <w:r w:rsidR="00264BBD" w:rsidRPr="00A361DF">
        <w:rPr>
          <w:noProof/>
        </w:rPr>
        <w:t>n</w:t>
      </w:r>
      <w:r w:rsidR="00FE3CF5">
        <w:rPr>
          <w:noProof/>
        </w:rPr>
        <w:t xml:space="preserve"> to hydrolyse fibrin clots.</w:t>
      </w:r>
    </w:p>
    <w:p w14:paraId="295741CD" w14:textId="21441BBE" w:rsidR="00DE79D0" w:rsidRPr="00A361DF" w:rsidRDefault="009157AC" w:rsidP="003B2C91">
      <w:pPr>
        <w:spacing w:line="240" w:lineRule="auto"/>
        <w:rPr>
          <w:color w:val="000000"/>
          <w:szCs w:val="32"/>
        </w:rPr>
      </w:pPr>
      <w:r>
        <w:rPr>
          <w:i/>
          <w:iCs/>
          <w:noProof/>
        </w:rPr>
        <w:t xml:space="preserve">In vitro </w:t>
      </w:r>
      <w:r>
        <w:rPr>
          <w:noProof/>
        </w:rPr>
        <w:t xml:space="preserve">and </w:t>
      </w:r>
      <w:r>
        <w:rPr>
          <w:i/>
          <w:iCs/>
          <w:noProof/>
        </w:rPr>
        <w:t xml:space="preserve">in vivo </w:t>
      </w:r>
      <w:r w:rsidRPr="007320F7">
        <w:rPr>
          <w:noProof/>
        </w:rPr>
        <w:t>studies have</w:t>
      </w:r>
      <w:r>
        <w:rPr>
          <w:noProof/>
        </w:rPr>
        <w:t xml:space="preserve"> demonstrated that </w:t>
      </w:r>
      <w:r>
        <w:rPr>
          <w:color w:val="000000"/>
          <w:szCs w:val="32"/>
        </w:rPr>
        <w:t>d</w:t>
      </w:r>
      <w:r w:rsidR="00DE79D0" w:rsidRPr="00A361DF">
        <w:rPr>
          <w:color w:val="000000"/>
          <w:szCs w:val="32"/>
        </w:rPr>
        <w:t>efibrotide inhibits leukocyte and platelet adhesion to endothelium by: suppressing P-selectin and vascular cell adhesion molecule-1 (VCAM)-1; interfering with lymphocyte function-associated antigen 1-intercell adhesion molecule (LFA-1-ICAM) mediated leukocyte transmigration; and increasing nitric oxide (NO), Prostaglandin I2 (PGI</w:t>
      </w:r>
      <w:r w:rsidR="00FE3CF5">
        <w:rPr>
          <w:color w:val="000000"/>
          <w:szCs w:val="32"/>
        </w:rPr>
        <w:t>2) and Prostaglandin E2 (PGE2).</w:t>
      </w:r>
    </w:p>
    <w:p w14:paraId="4F06F988" w14:textId="2F6072CE" w:rsidR="00DE79D0" w:rsidRPr="00A361DF" w:rsidRDefault="009157AC" w:rsidP="003B2C91">
      <w:pPr>
        <w:spacing w:line="240" w:lineRule="auto"/>
        <w:rPr>
          <w:color w:val="000000"/>
          <w:szCs w:val="32"/>
        </w:rPr>
      </w:pPr>
      <w:r>
        <w:rPr>
          <w:i/>
          <w:iCs/>
          <w:color w:val="000000"/>
          <w:szCs w:val="32"/>
        </w:rPr>
        <w:t xml:space="preserve">In vitro </w:t>
      </w:r>
      <w:r>
        <w:rPr>
          <w:color w:val="000000"/>
          <w:szCs w:val="32"/>
        </w:rPr>
        <w:t>d</w:t>
      </w:r>
      <w:r w:rsidR="00DE79D0" w:rsidRPr="00A361DF">
        <w:rPr>
          <w:color w:val="000000"/>
          <w:szCs w:val="32"/>
        </w:rPr>
        <w:t xml:space="preserve">efibrotide demonstrates anti-inflammatory effects </w:t>
      </w:r>
      <w:r w:rsidR="004272D4" w:rsidRPr="00A361DF">
        <w:rPr>
          <w:color w:val="000000"/>
          <w:szCs w:val="32"/>
        </w:rPr>
        <w:t>that attenuates</w:t>
      </w:r>
      <w:r w:rsidR="00DE79D0" w:rsidRPr="00A361DF">
        <w:rPr>
          <w:color w:val="000000"/>
          <w:szCs w:val="32"/>
        </w:rPr>
        <w:t xml:space="preserve"> the </w:t>
      </w:r>
      <w:r w:rsidR="00F76315" w:rsidRPr="00A361DF">
        <w:rPr>
          <w:color w:val="000000"/>
          <w:szCs w:val="32"/>
        </w:rPr>
        <w:t xml:space="preserve">release and </w:t>
      </w:r>
      <w:r w:rsidR="00DE79D0" w:rsidRPr="00A361DF">
        <w:rPr>
          <w:color w:val="000000"/>
          <w:szCs w:val="32"/>
        </w:rPr>
        <w:t>production of reactive oxygen species and inflammatory mediators such as interleukin 6, thromboxane A2, leukotriene B4 and tumour necrosis factor-α (TNF-α).</w:t>
      </w:r>
    </w:p>
    <w:p w14:paraId="0CAD531E" w14:textId="32FE99FB" w:rsidR="007C44AD" w:rsidRPr="00A361DF" w:rsidRDefault="00C23791" w:rsidP="003B2C91">
      <w:pPr>
        <w:spacing w:line="240" w:lineRule="auto"/>
        <w:rPr>
          <w:noProof/>
        </w:rPr>
      </w:pPr>
      <w:r>
        <w:rPr>
          <w:i/>
          <w:iCs/>
          <w:noProof/>
        </w:rPr>
        <w:t>I</w:t>
      </w:r>
      <w:r w:rsidR="0095452A">
        <w:rPr>
          <w:i/>
          <w:iCs/>
          <w:noProof/>
        </w:rPr>
        <w:t xml:space="preserve">n vitro </w:t>
      </w:r>
      <w:r w:rsidR="0095452A">
        <w:rPr>
          <w:noProof/>
        </w:rPr>
        <w:t>and</w:t>
      </w:r>
      <w:r w:rsidR="0095452A">
        <w:rPr>
          <w:i/>
          <w:iCs/>
          <w:noProof/>
        </w:rPr>
        <w:t xml:space="preserve"> i</w:t>
      </w:r>
      <w:r w:rsidR="009157AC">
        <w:rPr>
          <w:i/>
          <w:iCs/>
          <w:noProof/>
        </w:rPr>
        <w:t>n vivo</w:t>
      </w:r>
      <w:r w:rsidR="0095452A">
        <w:rPr>
          <w:i/>
          <w:iCs/>
          <w:noProof/>
        </w:rPr>
        <w:t xml:space="preserve"> </w:t>
      </w:r>
      <w:r w:rsidR="0095452A" w:rsidRPr="007320F7">
        <w:rPr>
          <w:iCs/>
          <w:noProof/>
        </w:rPr>
        <w:t xml:space="preserve">studies </w:t>
      </w:r>
      <w:r w:rsidR="009C116F">
        <w:rPr>
          <w:iCs/>
          <w:noProof/>
        </w:rPr>
        <w:t>have</w:t>
      </w:r>
      <w:r w:rsidR="00401D21">
        <w:rPr>
          <w:iCs/>
          <w:noProof/>
        </w:rPr>
        <w:t xml:space="preserve"> </w:t>
      </w:r>
      <w:r w:rsidR="0095452A" w:rsidRPr="007320F7">
        <w:rPr>
          <w:iCs/>
          <w:noProof/>
        </w:rPr>
        <w:t>show</w:t>
      </w:r>
      <w:r w:rsidR="009C116F">
        <w:rPr>
          <w:iCs/>
          <w:noProof/>
        </w:rPr>
        <w:t>n that</w:t>
      </w:r>
      <w:r w:rsidR="00401D21">
        <w:rPr>
          <w:noProof/>
        </w:rPr>
        <w:t xml:space="preserve"> </w:t>
      </w:r>
      <w:r w:rsidR="009157AC">
        <w:rPr>
          <w:noProof/>
        </w:rPr>
        <w:t>d</w:t>
      </w:r>
      <w:r w:rsidR="00DE79D0" w:rsidRPr="00A361DF">
        <w:rPr>
          <w:noProof/>
        </w:rPr>
        <w:t xml:space="preserve">efibrotide protects </w:t>
      </w:r>
      <w:r w:rsidR="00EA60CB" w:rsidRPr="00A361DF">
        <w:rPr>
          <w:noProof/>
        </w:rPr>
        <w:t>ECs</w:t>
      </w:r>
      <w:r w:rsidR="00DE79D0" w:rsidRPr="00A361DF">
        <w:rPr>
          <w:noProof/>
        </w:rPr>
        <w:t xml:space="preserve"> from damage and promotes tissue homeostasis by decreasing fludarabine</w:t>
      </w:r>
      <w:r w:rsidR="00DE79D0" w:rsidRPr="00A361DF">
        <w:rPr>
          <w:noProof/>
        </w:rPr>
        <w:noBreakHyphen/>
        <w:t>mediated apoptosis of EC while maintaining its anti</w:t>
      </w:r>
      <w:r w:rsidR="00DE79D0" w:rsidRPr="00A361DF">
        <w:rPr>
          <w:noProof/>
        </w:rPr>
        <w:noBreakHyphen/>
        <w:t>leukemic effect and by inhibiting the expression of heparanase</w:t>
      </w:r>
      <w:r w:rsidR="00EA60CB" w:rsidRPr="00A361DF">
        <w:rPr>
          <w:noProof/>
        </w:rPr>
        <w:t>.</w:t>
      </w:r>
    </w:p>
    <w:p w14:paraId="705A6B48" w14:textId="0D8F2656" w:rsidR="000632CA" w:rsidRPr="00184A86" w:rsidRDefault="00FE3CF5" w:rsidP="00FE3CF5">
      <w:pPr>
        <w:keepNext/>
        <w:spacing w:line="240" w:lineRule="auto"/>
        <w:rPr>
          <w:rFonts w:cstheme="minorHAnsi"/>
          <w:u w:val="single"/>
        </w:rPr>
      </w:pPr>
      <w:r>
        <w:rPr>
          <w:rFonts w:cstheme="minorHAnsi"/>
          <w:u w:val="single"/>
        </w:rPr>
        <w:lastRenderedPageBreak/>
        <w:t>Clinical trials</w:t>
      </w:r>
    </w:p>
    <w:p w14:paraId="431D7531" w14:textId="665D0655" w:rsidR="001A6A3A" w:rsidRPr="00A361DF" w:rsidRDefault="000632CA" w:rsidP="003B2C91">
      <w:pPr>
        <w:spacing w:line="240" w:lineRule="auto"/>
        <w:rPr>
          <w:noProof/>
        </w:rPr>
      </w:pPr>
      <w:r w:rsidRPr="00A361DF">
        <w:rPr>
          <w:noProof/>
        </w:rPr>
        <w:t xml:space="preserve">The efficacy and safety of </w:t>
      </w:r>
      <w:r w:rsidR="00800174" w:rsidRPr="00A361DF">
        <w:rPr>
          <w:noProof/>
        </w:rPr>
        <w:t xml:space="preserve">defibrotide </w:t>
      </w:r>
      <w:r w:rsidRPr="00A361DF">
        <w:rPr>
          <w:noProof/>
        </w:rPr>
        <w:t xml:space="preserve">in the treatment of </w:t>
      </w:r>
      <w:r w:rsidR="0020346D" w:rsidRPr="00A361DF">
        <w:rPr>
          <w:noProof/>
        </w:rPr>
        <w:t xml:space="preserve">severe </w:t>
      </w:r>
      <w:r w:rsidRPr="00A361DF">
        <w:rPr>
          <w:noProof/>
        </w:rPr>
        <w:t xml:space="preserve">VOD were studied in a </w:t>
      </w:r>
      <w:r w:rsidR="005C0ADC" w:rsidRPr="00A361DF">
        <w:rPr>
          <w:noProof/>
        </w:rPr>
        <w:t xml:space="preserve">pivotal Phase 3 </w:t>
      </w:r>
      <w:r w:rsidRPr="00A361DF">
        <w:rPr>
          <w:noProof/>
        </w:rPr>
        <w:t>historical</w:t>
      </w:r>
      <w:r w:rsidR="006204BC" w:rsidRPr="00A361DF">
        <w:rPr>
          <w:noProof/>
        </w:rPr>
        <w:noBreakHyphen/>
      </w:r>
      <w:r w:rsidRPr="00A361DF">
        <w:rPr>
          <w:noProof/>
        </w:rPr>
        <w:t>controlled study</w:t>
      </w:r>
      <w:r w:rsidR="00DC60BF" w:rsidRPr="00A361DF">
        <w:rPr>
          <w:noProof/>
        </w:rPr>
        <w:t xml:space="preserve"> (2005</w:t>
      </w:r>
      <w:r w:rsidR="006204BC" w:rsidRPr="00A361DF">
        <w:rPr>
          <w:noProof/>
        </w:rPr>
        <w:noBreakHyphen/>
      </w:r>
      <w:r w:rsidR="00DC60BF" w:rsidRPr="00A361DF">
        <w:rPr>
          <w:noProof/>
        </w:rPr>
        <w:t>01)</w:t>
      </w:r>
      <w:r w:rsidRPr="00A361DF">
        <w:rPr>
          <w:noProof/>
        </w:rPr>
        <w:t xml:space="preserve">. </w:t>
      </w:r>
      <w:r w:rsidR="00CF4795" w:rsidRPr="00A361DF">
        <w:rPr>
          <w:noProof/>
        </w:rPr>
        <w:t>Forty</w:t>
      </w:r>
      <w:r w:rsidR="006204BC" w:rsidRPr="00A361DF">
        <w:rPr>
          <w:noProof/>
        </w:rPr>
        <w:noBreakHyphen/>
      </w:r>
      <w:r w:rsidR="00CF4795" w:rsidRPr="00A361DF">
        <w:rPr>
          <w:noProof/>
        </w:rPr>
        <w:t>f</w:t>
      </w:r>
      <w:r w:rsidR="00A33029" w:rsidRPr="00A361DF">
        <w:rPr>
          <w:noProof/>
        </w:rPr>
        <w:t>our</w:t>
      </w:r>
      <w:r w:rsidR="00CF4795" w:rsidRPr="00A361DF">
        <w:rPr>
          <w:noProof/>
        </w:rPr>
        <w:t> </w:t>
      </w:r>
      <w:r w:rsidRPr="00A361DF">
        <w:rPr>
          <w:noProof/>
        </w:rPr>
        <w:t xml:space="preserve">children and </w:t>
      </w:r>
      <w:r w:rsidR="00A33029" w:rsidRPr="00A361DF">
        <w:rPr>
          <w:noProof/>
        </w:rPr>
        <w:t>58 </w:t>
      </w:r>
      <w:r w:rsidRPr="00A361DF">
        <w:rPr>
          <w:noProof/>
        </w:rPr>
        <w:t>adult patients with severe VOD post</w:t>
      </w:r>
      <w:r w:rsidR="006204BC" w:rsidRPr="00A361DF">
        <w:rPr>
          <w:noProof/>
        </w:rPr>
        <w:noBreakHyphen/>
      </w:r>
      <w:r w:rsidRPr="00A361DF">
        <w:rPr>
          <w:noProof/>
        </w:rPr>
        <w:t>HSCT, were treated with Defitelio 25</w:t>
      </w:r>
      <w:r w:rsidR="00EC5673" w:rsidRPr="00A361DF">
        <w:rPr>
          <w:noProof/>
        </w:rPr>
        <w:t> </w:t>
      </w:r>
      <w:r w:rsidR="00B65FEE" w:rsidRPr="00A361DF">
        <w:rPr>
          <w:noProof/>
        </w:rPr>
        <w:t xml:space="preserve">mg/kg/day </w:t>
      </w:r>
      <w:r w:rsidR="0009537E">
        <w:rPr>
          <w:noProof/>
        </w:rPr>
        <w:t xml:space="preserve">by </w:t>
      </w:r>
      <w:r w:rsidR="00B65FEE" w:rsidRPr="00A361DF">
        <w:rPr>
          <w:noProof/>
        </w:rPr>
        <w:t>intravenous</w:t>
      </w:r>
      <w:r w:rsidR="00CF4795" w:rsidRPr="00A361DF">
        <w:rPr>
          <w:noProof/>
        </w:rPr>
        <w:t xml:space="preserve"> infusion</w:t>
      </w:r>
      <w:r w:rsidRPr="00A361DF">
        <w:rPr>
          <w:noProof/>
        </w:rPr>
        <w:t>, and compared with 32</w:t>
      </w:r>
      <w:r w:rsidR="00EC5673" w:rsidRPr="00A361DF">
        <w:rPr>
          <w:noProof/>
        </w:rPr>
        <w:t> </w:t>
      </w:r>
      <w:r w:rsidRPr="00A361DF">
        <w:rPr>
          <w:noProof/>
        </w:rPr>
        <w:t>historical control patients. Median length of therapy in those treated with Defitelio was 22</w:t>
      </w:r>
      <w:r w:rsidR="00EC5673" w:rsidRPr="00A361DF">
        <w:rPr>
          <w:noProof/>
        </w:rPr>
        <w:t> </w:t>
      </w:r>
      <w:r w:rsidR="00251517">
        <w:rPr>
          <w:noProof/>
        </w:rPr>
        <w:t>days.</w:t>
      </w:r>
    </w:p>
    <w:p w14:paraId="2E7C6128" w14:textId="0123F310" w:rsidR="000632CA" w:rsidRPr="00A361DF" w:rsidRDefault="0009537E" w:rsidP="003B2C91">
      <w:pPr>
        <w:spacing w:line="240" w:lineRule="auto"/>
        <w:rPr>
          <w:noProof/>
        </w:rPr>
      </w:pPr>
      <w:r w:rsidRPr="00A361DF">
        <w:rPr>
          <w:noProof/>
        </w:rPr>
        <w:t>Day+100 survival rate was improved in the Defitelio group with 38.2% (39/102) of the patients surviving versus 25.0% (8/32) in the historical control group (p=0.0109).</w:t>
      </w:r>
      <w:r>
        <w:rPr>
          <w:noProof/>
        </w:rPr>
        <w:t xml:space="preserve"> </w:t>
      </w:r>
      <w:r w:rsidRPr="00A361DF">
        <w:rPr>
          <w:noProof/>
        </w:rPr>
        <w:t xml:space="preserve">In addition, </w:t>
      </w:r>
      <w:r>
        <w:rPr>
          <w:noProof/>
        </w:rPr>
        <w:t>a</w:t>
      </w:r>
      <w:r w:rsidR="0020346D" w:rsidRPr="00A361DF">
        <w:rPr>
          <w:noProof/>
        </w:rPr>
        <w:t xml:space="preserve"> significantly higher proportion of patients in the Defitelio treated group achieved a complete response</w:t>
      </w:r>
      <w:r>
        <w:rPr>
          <w:noProof/>
        </w:rPr>
        <w:t>,</w:t>
      </w:r>
      <w:r w:rsidR="005C0ADC" w:rsidRPr="00A361DF">
        <w:rPr>
          <w:noProof/>
        </w:rPr>
        <w:t xml:space="preserve"> defined as total bilirubin less than 2 mg/dL and resolution of MOF</w:t>
      </w:r>
      <w:r w:rsidR="00F82891" w:rsidRPr="00A361DF">
        <w:rPr>
          <w:noProof/>
        </w:rPr>
        <w:t xml:space="preserve"> (multiple organ failure)</w:t>
      </w:r>
      <w:r w:rsidR="0020346D" w:rsidRPr="00A361DF">
        <w:rPr>
          <w:noProof/>
        </w:rPr>
        <w:t xml:space="preserve">; </w:t>
      </w:r>
      <w:r w:rsidR="000632CA" w:rsidRPr="00A361DF">
        <w:rPr>
          <w:noProof/>
        </w:rPr>
        <w:t xml:space="preserve">Day+100 complete response was </w:t>
      </w:r>
      <w:r w:rsidR="00466E28" w:rsidRPr="00A361DF">
        <w:rPr>
          <w:noProof/>
        </w:rPr>
        <w:t>25</w:t>
      </w:r>
      <w:r w:rsidR="000632CA" w:rsidRPr="00A361DF">
        <w:rPr>
          <w:noProof/>
        </w:rPr>
        <w:t>.5% (</w:t>
      </w:r>
      <w:r w:rsidR="00466E28" w:rsidRPr="00A361DF">
        <w:rPr>
          <w:noProof/>
        </w:rPr>
        <w:t>26</w:t>
      </w:r>
      <w:r w:rsidR="000632CA" w:rsidRPr="00A361DF">
        <w:rPr>
          <w:noProof/>
        </w:rPr>
        <w:t xml:space="preserve">/102) with Defitelio </w:t>
      </w:r>
      <w:r w:rsidR="00CF4795" w:rsidRPr="00A361DF">
        <w:rPr>
          <w:noProof/>
        </w:rPr>
        <w:t>versus</w:t>
      </w:r>
      <w:r w:rsidR="000632CA" w:rsidRPr="00A361DF">
        <w:rPr>
          <w:noProof/>
        </w:rPr>
        <w:t xml:space="preserve"> </w:t>
      </w:r>
      <w:r w:rsidR="00466E28" w:rsidRPr="00A361DF">
        <w:rPr>
          <w:noProof/>
        </w:rPr>
        <w:t>12.5</w:t>
      </w:r>
      <w:r w:rsidR="000632CA" w:rsidRPr="00A361DF">
        <w:rPr>
          <w:noProof/>
        </w:rPr>
        <w:t>% (</w:t>
      </w:r>
      <w:r w:rsidR="00466E28" w:rsidRPr="00A361DF">
        <w:rPr>
          <w:noProof/>
        </w:rPr>
        <w:t>4</w:t>
      </w:r>
      <w:r w:rsidR="000632CA" w:rsidRPr="00A361DF">
        <w:rPr>
          <w:noProof/>
        </w:rPr>
        <w:t>/32) in the hi</w:t>
      </w:r>
      <w:r w:rsidR="00B65FEE" w:rsidRPr="00A361DF">
        <w:rPr>
          <w:noProof/>
        </w:rPr>
        <w:t>storical control (p=0.</w:t>
      </w:r>
      <w:r w:rsidR="00466E28" w:rsidRPr="00A361DF">
        <w:rPr>
          <w:noProof/>
        </w:rPr>
        <w:t>016</w:t>
      </w:r>
      <w:r w:rsidR="00251517">
        <w:rPr>
          <w:noProof/>
        </w:rPr>
        <w:t>).</w:t>
      </w:r>
    </w:p>
    <w:p w14:paraId="5CB4BC53" w14:textId="73DB4054" w:rsidR="00F07062" w:rsidRPr="00184A86" w:rsidRDefault="00F344A8" w:rsidP="00184A86">
      <w:pPr>
        <w:spacing w:line="240" w:lineRule="auto"/>
        <w:rPr>
          <w:noProof/>
        </w:rPr>
      </w:pPr>
      <w:r w:rsidRPr="00184A86">
        <w:rPr>
          <w:noProof/>
        </w:rPr>
        <w:t xml:space="preserve">The efficacy data from this pivotal study are supported and confirmed with data from a dose-finding study (25 mg/kg arm) and the </w:t>
      </w:r>
      <w:r w:rsidR="00CE22BC" w:rsidRPr="00184A86">
        <w:rPr>
          <w:noProof/>
        </w:rPr>
        <w:t>Open Label</w:t>
      </w:r>
      <w:r w:rsidRPr="00184A86">
        <w:rPr>
          <w:noProof/>
        </w:rPr>
        <w:t xml:space="preserve"> Treatment</w:t>
      </w:r>
      <w:r w:rsidR="00CE22BC" w:rsidRPr="00184A86">
        <w:rPr>
          <w:noProof/>
        </w:rPr>
        <w:t>-</w:t>
      </w:r>
      <w:r w:rsidRPr="00184A86">
        <w:rPr>
          <w:noProof/>
        </w:rPr>
        <w:t>IND study, as presented in Table</w:t>
      </w:r>
      <w:r w:rsidR="00212634" w:rsidRPr="00184A86">
        <w:rPr>
          <w:noProof/>
        </w:rPr>
        <w:t xml:space="preserve"> </w:t>
      </w:r>
      <w:r w:rsidR="0009537E">
        <w:rPr>
          <w:noProof/>
        </w:rPr>
        <w:t>2</w:t>
      </w:r>
      <w:r w:rsidR="00212634" w:rsidRPr="00184A86">
        <w:rPr>
          <w:noProof/>
        </w:rPr>
        <w:t>.</w:t>
      </w:r>
    </w:p>
    <w:p w14:paraId="3E782395" w14:textId="3D3FC483" w:rsidR="00F344A8" w:rsidRPr="00A361DF" w:rsidRDefault="00F344A8" w:rsidP="003B2C91">
      <w:pPr>
        <w:spacing w:line="240" w:lineRule="auto"/>
        <w:rPr>
          <w:b/>
        </w:rPr>
      </w:pPr>
      <w:r w:rsidRPr="00A361DF">
        <w:rPr>
          <w:b/>
        </w:rPr>
        <w:t>Table </w:t>
      </w:r>
      <w:r w:rsidR="0009537E">
        <w:rPr>
          <w:b/>
        </w:rPr>
        <w:t>2</w:t>
      </w:r>
      <w:r w:rsidRPr="00A361DF">
        <w:rPr>
          <w:b/>
        </w:rPr>
        <w:t xml:space="preserve">: Treatment Study Results: Complete Response </w:t>
      </w:r>
      <w:r w:rsidR="00443F82" w:rsidRPr="00A361DF">
        <w:rPr>
          <w:b/>
        </w:rPr>
        <w:t xml:space="preserve">and Survival Rate </w:t>
      </w:r>
      <w:r w:rsidRPr="00A361DF">
        <w:rPr>
          <w:b/>
        </w:rPr>
        <w:t xml:space="preserve">of Severe VOD at Day+100 </w:t>
      </w:r>
    </w:p>
    <w:tbl>
      <w:tblPr>
        <w:tblW w:w="497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84"/>
        <w:gridCol w:w="1878"/>
        <w:gridCol w:w="1977"/>
        <w:gridCol w:w="2116"/>
        <w:gridCol w:w="1955"/>
      </w:tblGrid>
      <w:tr w:rsidR="0009537E" w:rsidRPr="00184A86" w14:paraId="4D1E3B07" w14:textId="77777777" w:rsidTr="0009537E">
        <w:trPr>
          <w:cantSplit/>
          <w:trHeight w:val="332"/>
        </w:trPr>
        <w:tc>
          <w:tcPr>
            <w:tcW w:w="602" w:type="pct"/>
            <w:shd w:val="clear" w:color="auto" w:fill="auto"/>
            <w:vAlign w:val="center"/>
          </w:tcPr>
          <w:p w14:paraId="32EE19F1" w14:textId="77777777" w:rsidR="0009537E" w:rsidRPr="000A598D" w:rsidRDefault="0009537E" w:rsidP="00323DF3">
            <w:pPr>
              <w:pStyle w:val="C-TableText"/>
              <w:spacing w:before="0" w:after="0"/>
              <w:jc w:val="center"/>
              <w:rPr>
                <w:rFonts w:asciiTheme="minorHAnsi" w:hAnsiTheme="minorHAnsi" w:cstheme="minorHAnsi"/>
                <w:szCs w:val="22"/>
                <w:lang w:val="en-GB"/>
              </w:rPr>
            </w:pPr>
          </w:p>
        </w:tc>
        <w:tc>
          <w:tcPr>
            <w:tcW w:w="2138" w:type="pct"/>
            <w:gridSpan w:val="2"/>
            <w:vAlign w:val="center"/>
          </w:tcPr>
          <w:p w14:paraId="73660711" w14:textId="77777777" w:rsidR="0009537E" w:rsidRPr="000A598D" w:rsidRDefault="0009537E" w:rsidP="00323DF3">
            <w:pPr>
              <w:pStyle w:val="C-TableHeader"/>
              <w:spacing w:before="0" w:after="0"/>
              <w:jc w:val="center"/>
              <w:rPr>
                <w:rFonts w:asciiTheme="minorHAnsi" w:hAnsiTheme="minorHAnsi" w:cstheme="minorHAnsi"/>
                <w:szCs w:val="22"/>
                <w:lang w:val="en-GB"/>
              </w:rPr>
            </w:pPr>
            <w:r w:rsidRPr="000A598D">
              <w:rPr>
                <w:rFonts w:asciiTheme="minorHAnsi" w:hAnsiTheme="minorHAnsi" w:cstheme="minorHAnsi"/>
                <w:szCs w:val="22"/>
                <w:lang w:val="en-GB"/>
              </w:rPr>
              <w:t>Historically Controlled Trial</w:t>
            </w:r>
          </w:p>
          <w:p w14:paraId="2C2A132F" w14:textId="29F7D7CB" w:rsidR="0009537E" w:rsidRPr="000A598D" w:rsidRDefault="0009537E" w:rsidP="00323DF3">
            <w:pPr>
              <w:pStyle w:val="C-TableText"/>
              <w:spacing w:before="0" w:after="0"/>
              <w:jc w:val="center"/>
              <w:rPr>
                <w:rFonts w:asciiTheme="minorHAnsi" w:hAnsiTheme="minorHAnsi" w:cstheme="minorHAnsi"/>
                <w:szCs w:val="22"/>
                <w:lang w:val="en-GB"/>
              </w:rPr>
            </w:pPr>
            <w:r w:rsidRPr="000A598D">
              <w:rPr>
                <w:rFonts w:asciiTheme="minorHAnsi" w:hAnsiTheme="minorHAnsi" w:cstheme="minorHAnsi"/>
                <w:szCs w:val="22"/>
                <w:lang w:val="en-GB"/>
              </w:rPr>
              <w:t>(25</w:t>
            </w:r>
            <w:r w:rsidR="00DD032A">
              <w:rPr>
                <w:rFonts w:asciiTheme="minorHAnsi" w:hAnsiTheme="minorHAnsi" w:cstheme="minorHAnsi"/>
                <w:szCs w:val="22"/>
                <w:lang w:val="en-GB"/>
              </w:rPr>
              <w:t xml:space="preserve"> </w:t>
            </w:r>
            <w:r w:rsidRPr="000A598D">
              <w:rPr>
                <w:rFonts w:asciiTheme="minorHAnsi" w:hAnsiTheme="minorHAnsi" w:cstheme="minorHAnsi"/>
                <w:szCs w:val="22"/>
                <w:lang w:val="en-GB"/>
              </w:rPr>
              <w:t>mg/kg/day)</w:t>
            </w:r>
          </w:p>
        </w:tc>
        <w:tc>
          <w:tcPr>
            <w:tcW w:w="2260" w:type="pct"/>
            <w:gridSpan w:val="2"/>
            <w:shd w:val="clear" w:color="auto" w:fill="auto"/>
            <w:vAlign w:val="center"/>
          </w:tcPr>
          <w:p w14:paraId="652EBD3A" w14:textId="77777777" w:rsidR="0009537E" w:rsidRPr="002862D6" w:rsidDel="00CA3029" w:rsidRDefault="0009537E" w:rsidP="00323DF3">
            <w:pPr>
              <w:pStyle w:val="C-TableText"/>
              <w:spacing w:before="0" w:after="0"/>
              <w:jc w:val="center"/>
              <w:rPr>
                <w:rFonts w:asciiTheme="minorHAnsi" w:hAnsiTheme="minorHAnsi" w:cstheme="minorHAnsi"/>
                <w:b/>
                <w:szCs w:val="22"/>
                <w:lang w:val="en-GB"/>
              </w:rPr>
            </w:pPr>
            <w:r w:rsidRPr="002862D6">
              <w:rPr>
                <w:rFonts w:asciiTheme="minorHAnsi" w:hAnsiTheme="minorHAnsi" w:cstheme="minorHAnsi"/>
                <w:b/>
                <w:szCs w:val="22"/>
                <w:lang w:val="en-GB"/>
              </w:rPr>
              <w:t>Individual Studies</w:t>
            </w:r>
          </w:p>
        </w:tc>
      </w:tr>
      <w:tr w:rsidR="0009537E" w:rsidRPr="00184A86" w14:paraId="46218DA6" w14:textId="77777777" w:rsidTr="0009537E">
        <w:trPr>
          <w:cantSplit/>
          <w:trHeight w:val="332"/>
        </w:trPr>
        <w:tc>
          <w:tcPr>
            <w:tcW w:w="602" w:type="pct"/>
            <w:shd w:val="clear" w:color="auto" w:fill="auto"/>
            <w:vAlign w:val="center"/>
          </w:tcPr>
          <w:p w14:paraId="1BCB5708" w14:textId="77777777" w:rsidR="0009537E" w:rsidRPr="000A598D" w:rsidRDefault="0009537E" w:rsidP="00323DF3">
            <w:pPr>
              <w:pStyle w:val="C-TableText"/>
              <w:spacing w:before="0" w:after="0"/>
              <w:jc w:val="center"/>
              <w:rPr>
                <w:rFonts w:asciiTheme="minorHAnsi" w:hAnsiTheme="minorHAnsi" w:cstheme="minorHAnsi"/>
                <w:szCs w:val="22"/>
                <w:lang w:val="en-GB"/>
              </w:rPr>
            </w:pPr>
          </w:p>
        </w:tc>
        <w:tc>
          <w:tcPr>
            <w:tcW w:w="1042" w:type="pct"/>
            <w:vAlign w:val="center"/>
          </w:tcPr>
          <w:p w14:paraId="62D69F6D" w14:textId="77777777" w:rsidR="0009537E" w:rsidRPr="000A598D" w:rsidRDefault="0009537E" w:rsidP="00323DF3">
            <w:pPr>
              <w:pStyle w:val="C-TableText"/>
              <w:spacing w:before="0" w:after="0"/>
              <w:jc w:val="center"/>
              <w:rPr>
                <w:rFonts w:asciiTheme="minorHAnsi" w:hAnsiTheme="minorHAnsi" w:cstheme="minorHAnsi"/>
                <w:b/>
                <w:szCs w:val="22"/>
                <w:lang w:val="en-GB"/>
              </w:rPr>
            </w:pPr>
            <w:r w:rsidRPr="000A598D">
              <w:rPr>
                <w:rFonts w:asciiTheme="minorHAnsi" w:hAnsiTheme="minorHAnsi" w:cstheme="minorHAnsi"/>
                <w:b/>
                <w:szCs w:val="22"/>
                <w:lang w:val="en-GB"/>
              </w:rPr>
              <w:t>Defibrotide treated group</w:t>
            </w:r>
          </w:p>
          <w:p w14:paraId="5EAF0A6A" w14:textId="77777777" w:rsidR="0009537E" w:rsidRPr="000A598D" w:rsidRDefault="0009537E" w:rsidP="00323DF3">
            <w:pPr>
              <w:pStyle w:val="C-TableText"/>
              <w:spacing w:before="0" w:after="0"/>
              <w:jc w:val="center"/>
              <w:rPr>
                <w:rFonts w:asciiTheme="minorHAnsi" w:hAnsiTheme="minorHAnsi" w:cstheme="minorHAnsi"/>
                <w:szCs w:val="22"/>
                <w:lang w:val="en-GB"/>
              </w:rPr>
            </w:pPr>
            <w:r w:rsidRPr="000A598D">
              <w:rPr>
                <w:rFonts w:asciiTheme="minorHAnsi" w:hAnsiTheme="minorHAnsi" w:cstheme="minorHAnsi"/>
                <w:b/>
                <w:szCs w:val="22"/>
                <w:lang w:val="en-GB"/>
              </w:rPr>
              <w:t>N=102</w:t>
            </w:r>
          </w:p>
        </w:tc>
        <w:tc>
          <w:tcPr>
            <w:tcW w:w="1097" w:type="pct"/>
            <w:vAlign w:val="center"/>
          </w:tcPr>
          <w:p w14:paraId="7C2F5AF9" w14:textId="77777777" w:rsidR="0009537E" w:rsidRPr="000A598D" w:rsidRDefault="0009537E" w:rsidP="00323DF3">
            <w:pPr>
              <w:pStyle w:val="C-TableText"/>
              <w:spacing w:before="0" w:after="0"/>
              <w:jc w:val="center"/>
              <w:rPr>
                <w:rFonts w:asciiTheme="minorHAnsi" w:hAnsiTheme="minorHAnsi" w:cstheme="minorHAnsi"/>
                <w:b/>
                <w:szCs w:val="22"/>
                <w:lang w:val="en-GB"/>
              </w:rPr>
            </w:pPr>
            <w:r w:rsidRPr="000A598D">
              <w:rPr>
                <w:rFonts w:asciiTheme="minorHAnsi" w:hAnsiTheme="minorHAnsi" w:cstheme="minorHAnsi"/>
                <w:b/>
                <w:szCs w:val="22"/>
                <w:lang w:val="en-GB"/>
              </w:rPr>
              <w:t>Historical Control</w:t>
            </w:r>
          </w:p>
          <w:p w14:paraId="3FC1F3D3" w14:textId="77777777" w:rsidR="0009537E" w:rsidRPr="000A598D" w:rsidRDefault="0009537E" w:rsidP="00323DF3">
            <w:pPr>
              <w:pStyle w:val="C-TableText"/>
              <w:spacing w:before="0" w:after="0"/>
              <w:jc w:val="center"/>
              <w:rPr>
                <w:rFonts w:asciiTheme="minorHAnsi" w:hAnsiTheme="minorHAnsi" w:cstheme="minorHAnsi"/>
                <w:szCs w:val="22"/>
                <w:lang w:val="en-GB"/>
              </w:rPr>
            </w:pPr>
            <w:r w:rsidRPr="000A598D">
              <w:rPr>
                <w:rFonts w:asciiTheme="minorHAnsi" w:hAnsiTheme="minorHAnsi" w:cstheme="minorHAnsi"/>
                <w:b/>
                <w:szCs w:val="22"/>
                <w:lang w:val="en-GB"/>
              </w:rPr>
              <w:t>N=32</w:t>
            </w:r>
          </w:p>
        </w:tc>
        <w:tc>
          <w:tcPr>
            <w:tcW w:w="1174" w:type="pct"/>
            <w:shd w:val="clear" w:color="auto" w:fill="auto"/>
            <w:vAlign w:val="center"/>
          </w:tcPr>
          <w:p w14:paraId="0EB3B8C0" w14:textId="77777777" w:rsidR="0009537E" w:rsidRPr="000A598D" w:rsidRDefault="0009537E" w:rsidP="00323DF3">
            <w:pPr>
              <w:pStyle w:val="C-TableHeader"/>
              <w:spacing w:before="0" w:after="0"/>
              <w:jc w:val="center"/>
              <w:rPr>
                <w:rFonts w:asciiTheme="minorHAnsi" w:hAnsiTheme="minorHAnsi" w:cstheme="minorHAnsi"/>
                <w:szCs w:val="22"/>
                <w:lang w:val="en-GB"/>
              </w:rPr>
            </w:pPr>
            <w:r w:rsidRPr="000A598D">
              <w:rPr>
                <w:rFonts w:asciiTheme="minorHAnsi" w:hAnsiTheme="minorHAnsi" w:cstheme="minorHAnsi"/>
                <w:szCs w:val="22"/>
                <w:lang w:val="en-GB"/>
              </w:rPr>
              <w:t>Dose</w:t>
            </w:r>
            <w:r w:rsidRPr="000A598D">
              <w:rPr>
                <w:rFonts w:asciiTheme="minorHAnsi" w:hAnsiTheme="minorHAnsi" w:cstheme="minorHAnsi"/>
                <w:szCs w:val="22"/>
                <w:lang w:val="en-GB"/>
              </w:rPr>
              <w:noBreakHyphen/>
              <w:t>Finding</w:t>
            </w:r>
          </w:p>
          <w:p w14:paraId="1FC36216" w14:textId="241E44DD" w:rsidR="0009537E" w:rsidRPr="000A598D" w:rsidRDefault="0009537E" w:rsidP="00323DF3">
            <w:pPr>
              <w:pStyle w:val="C-TableHeader"/>
              <w:spacing w:before="0" w:after="0"/>
              <w:jc w:val="center"/>
              <w:rPr>
                <w:rFonts w:asciiTheme="minorHAnsi" w:hAnsiTheme="minorHAnsi" w:cstheme="minorHAnsi"/>
                <w:szCs w:val="22"/>
                <w:lang w:val="en-GB"/>
              </w:rPr>
            </w:pPr>
            <w:r w:rsidRPr="000A598D">
              <w:rPr>
                <w:rFonts w:asciiTheme="minorHAnsi" w:hAnsiTheme="minorHAnsi" w:cstheme="minorHAnsi"/>
                <w:szCs w:val="22"/>
                <w:lang w:val="en-GB"/>
              </w:rPr>
              <w:t>(25</w:t>
            </w:r>
            <w:r w:rsidR="00DD032A">
              <w:rPr>
                <w:rFonts w:asciiTheme="minorHAnsi" w:hAnsiTheme="minorHAnsi" w:cstheme="minorHAnsi"/>
                <w:szCs w:val="22"/>
                <w:lang w:val="en-GB"/>
              </w:rPr>
              <w:t xml:space="preserve"> </w:t>
            </w:r>
            <w:r w:rsidRPr="000A598D">
              <w:rPr>
                <w:rFonts w:asciiTheme="minorHAnsi" w:hAnsiTheme="minorHAnsi" w:cstheme="minorHAnsi"/>
                <w:szCs w:val="22"/>
                <w:lang w:val="en-GB"/>
              </w:rPr>
              <w:t>mg/kg/day arm)</w:t>
            </w:r>
          </w:p>
          <w:p w14:paraId="2596B2A5" w14:textId="77777777" w:rsidR="0009537E" w:rsidRPr="000A598D" w:rsidRDefault="0009537E" w:rsidP="00323DF3">
            <w:pPr>
              <w:pStyle w:val="C-TableText"/>
              <w:spacing w:before="0" w:after="0"/>
              <w:jc w:val="center"/>
              <w:rPr>
                <w:rFonts w:asciiTheme="minorHAnsi" w:hAnsiTheme="minorHAnsi" w:cstheme="minorHAnsi"/>
                <w:szCs w:val="22"/>
                <w:lang w:val="en-GB"/>
              </w:rPr>
            </w:pPr>
            <w:r w:rsidRPr="001730CA">
              <w:rPr>
                <w:rFonts w:asciiTheme="minorHAnsi" w:hAnsiTheme="minorHAnsi" w:cstheme="minorHAnsi"/>
                <w:b/>
                <w:szCs w:val="22"/>
                <w:lang w:val="en-GB"/>
              </w:rPr>
              <w:t>N=75</w:t>
            </w:r>
          </w:p>
        </w:tc>
        <w:tc>
          <w:tcPr>
            <w:tcW w:w="1087" w:type="pct"/>
            <w:shd w:val="clear" w:color="auto" w:fill="auto"/>
            <w:vAlign w:val="center"/>
          </w:tcPr>
          <w:p w14:paraId="215036D0" w14:textId="77777777" w:rsidR="0009537E" w:rsidRPr="000A598D" w:rsidRDefault="0009537E" w:rsidP="00323DF3">
            <w:pPr>
              <w:pStyle w:val="C-TableHeader"/>
              <w:spacing w:before="0" w:after="0"/>
              <w:jc w:val="center"/>
              <w:rPr>
                <w:rFonts w:asciiTheme="minorHAnsi" w:hAnsiTheme="minorHAnsi" w:cstheme="minorHAnsi"/>
                <w:szCs w:val="22"/>
                <w:lang w:val="en-GB"/>
              </w:rPr>
            </w:pPr>
            <w:r w:rsidRPr="000A598D">
              <w:rPr>
                <w:rFonts w:asciiTheme="minorHAnsi" w:hAnsiTheme="minorHAnsi" w:cstheme="minorHAnsi"/>
                <w:szCs w:val="22"/>
                <w:lang w:val="en-GB"/>
              </w:rPr>
              <w:t>Open Label Treatment IND</w:t>
            </w:r>
          </w:p>
          <w:p w14:paraId="1D539F5C" w14:textId="38449C04" w:rsidR="0009537E" w:rsidRPr="000A598D" w:rsidRDefault="0009537E" w:rsidP="00323DF3">
            <w:pPr>
              <w:pStyle w:val="C-TableHeader"/>
              <w:spacing w:before="0" w:after="0"/>
              <w:jc w:val="center"/>
              <w:rPr>
                <w:rFonts w:asciiTheme="minorHAnsi" w:hAnsiTheme="minorHAnsi" w:cstheme="minorHAnsi"/>
                <w:szCs w:val="22"/>
                <w:lang w:val="en-GB"/>
              </w:rPr>
            </w:pPr>
            <w:r w:rsidRPr="000A598D">
              <w:rPr>
                <w:rFonts w:asciiTheme="minorHAnsi" w:hAnsiTheme="minorHAnsi" w:cstheme="minorHAnsi"/>
                <w:szCs w:val="22"/>
                <w:lang w:val="en-GB"/>
              </w:rPr>
              <w:t>(25</w:t>
            </w:r>
            <w:r w:rsidR="00DD032A">
              <w:rPr>
                <w:rFonts w:asciiTheme="minorHAnsi" w:hAnsiTheme="minorHAnsi" w:cstheme="minorHAnsi"/>
                <w:szCs w:val="22"/>
                <w:lang w:val="en-GB"/>
              </w:rPr>
              <w:t xml:space="preserve"> </w:t>
            </w:r>
            <w:r w:rsidRPr="000A598D">
              <w:rPr>
                <w:rFonts w:asciiTheme="minorHAnsi" w:hAnsiTheme="minorHAnsi" w:cstheme="minorHAnsi"/>
                <w:szCs w:val="22"/>
                <w:lang w:val="en-GB"/>
              </w:rPr>
              <w:t>mg/kg/day)</w:t>
            </w:r>
          </w:p>
          <w:p w14:paraId="2C153F13" w14:textId="77777777" w:rsidR="0009537E" w:rsidRPr="000A598D" w:rsidDel="00CA3029" w:rsidRDefault="0009537E" w:rsidP="00323DF3">
            <w:pPr>
              <w:pStyle w:val="C-TableText"/>
              <w:spacing w:before="0" w:after="0"/>
              <w:jc w:val="center"/>
              <w:rPr>
                <w:rFonts w:asciiTheme="minorHAnsi" w:hAnsiTheme="minorHAnsi" w:cstheme="minorHAnsi"/>
                <w:szCs w:val="22"/>
                <w:lang w:val="en-GB"/>
              </w:rPr>
            </w:pPr>
            <w:r w:rsidRPr="001730CA">
              <w:rPr>
                <w:rFonts w:asciiTheme="minorHAnsi" w:hAnsiTheme="minorHAnsi" w:cstheme="minorHAnsi"/>
                <w:b/>
                <w:szCs w:val="22"/>
                <w:lang w:val="en-GB"/>
              </w:rPr>
              <w:t>N=512</w:t>
            </w:r>
          </w:p>
        </w:tc>
      </w:tr>
      <w:tr w:rsidR="0009537E" w:rsidRPr="00184A86" w14:paraId="1A4FE41E" w14:textId="77777777" w:rsidTr="00DD032A">
        <w:trPr>
          <w:cantSplit/>
          <w:trHeight w:val="528"/>
        </w:trPr>
        <w:tc>
          <w:tcPr>
            <w:tcW w:w="602" w:type="pct"/>
            <w:vMerge w:val="restart"/>
            <w:shd w:val="clear" w:color="auto" w:fill="auto"/>
            <w:vAlign w:val="center"/>
          </w:tcPr>
          <w:p w14:paraId="1043F9AA" w14:textId="77777777" w:rsidR="0009537E" w:rsidRPr="000A598D" w:rsidRDefault="0009537E" w:rsidP="00323DF3">
            <w:pPr>
              <w:pStyle w:val="C-TableText"/>
              <w:spacing w:before="0" w:after="0"/>
              <w:jc w:val="center"/>
              <w:rPr>
                <w:rFonts w:asciiTheme="minorHAnsi" w:hAnsiTheme="minorHAnsi" w:cstheme="minorHAnsi"/>
                <w:szCs w:val="22"/>
                <w:lang w:val="en-GB"/>
              </w:rPr>
            </w:pPr>
            <w:r w:rsidRPr="000A598D">
              <w:rPr>
                <w:rFonts w:asciiTheme="minorHAnsi" w:hAnsiTheme="minorHAnsi" w:cstheme="minorHAnsi"/>
                <w:szCs w:val="22"/>
                <w:lang w:val="en-GB"/>
              </w:rPr>
              <w:t>Survival by Day+100</w:t>
            </w:r>
          </w:p>
        </w:tc>
        <w:tc>
          <w:tcPr>
            <w:tcW w:w="1042" w:type="pct"/>
            <w:vAlign w:val="center"/>
          </w:tcPr>
          <w:p w14:paraId="1ACDB8DD" w14:textId="77777777" w:rsidR="0009537E" w:rsidRPr="000A598D" w:rsidRDefault="0009537E" w:rsidP="00323DF3">
            <w:pPr>
              <w:pStyle w:val="C-TableText"/>
              <w:spacing w:before="0" w:after="0"/>
              <w:jc w:val="center"/>
              <w:rPr>
                <w:rFonts w:asciiTheme="minorHAnsi" w:hAnsiTheme="minorHAnsi" w:cstheme="minorHAnsi"/>
                <w:szCs w:val="22"/>
                <w:lang w:val="en-GB"/>
              </w:rPr>
            </w:pPr>
            <w:r w:rsidRPr="000A598D">
              <w:rPr>
                <w:rFonts w:asciiTheme="minorHAnsi" w:hAnsiTheme="minorHAnsi" w:cstheme="minorHAnsi"/>
                <w:szCs w:val="22"/>
                <w:lang w:val="en-GB"/>
              </w:rPr>
              <w:t>38.2%*</w:t>
            </w:r>
          </w:p>
        </w:tc>
        <w:tc>
          <w:tcPr>
            <w:tcW w:w="1097" w:type="pct"/>
            <w:vAlign w:val="center"/>
          </w:tcPr>
          <w:p w14:paraId="6139C269" w14:textId="77777777" w:rsidR="0009537E" w:rsidRPr="000A598D" w:rsidRDefault="0009537E" w:rsidP="00323DF3">
            <w:pPr>
              <w:pStyle w:val="C-TableText"/>
              <w:spacing w:before="0" w:after="0"/>
              <w:jc w:val="center"/>
              <w:rPr>
                <w:rFonts w:asciiTheme="minorHAnsi" w:hAnsiTheme="minorHAnsi" w:cstheme="minorHAnsi"/>
                <w:szCs w:val="22"/>
                <w:lang w:val="en-GB"/>
              </w:rPr>
            </w:pPr>
            <w:r w:rsidRPr="000A598D">
              <w:rPr>
                <w:rFonts w:asciiTheme="minorHAnsi" w:hAnsiTheme="minorHAnsi" w:cstheme="minorHAnsi"/>
                <w:szCs w:val="22"/>
                <w:lang w:val="en-GB"/>
              </w:rPr>
              <w:t>25.0%*</w:t>
            </w:r>
          </w:p>
        </w:tc>
        <w:tc>
          <w:tcPr>
            <w:tcW w:w="1174" w:type="pct"/>
            <w:vMerge w:val="restart"/>
            <w:shd w:val="clear" w:color="auto" w:fill="auto"/>
            <w:vAlign w:val="center"/>
          </w:tcPr>
          <w:p w14:paraId="6E6AE401" w14:textId="5262A1F1" w:rsidR="0009537E" w:rsidRPr="000A598D" w:rsidRDefault="0009537E" w:rsidP="00DD032A">
            <w:pPr>
              <w:pStyle w:val="C-TableText"/>
              <w:spacing w:before="0" w:after="0"/>
              <w:jc w:val="center"/>
              <w:rPr>
                <w:rFonts w:asciiTheme="minorHAnsi" w:hAnsiTheme="minorHAnsi" w:cstheme="minorHAnsi"/>
                <w:szCs w:val="22"/>
                <w:lang w:val="en-GB"/>
              </w:rPr>
            </w:pPr>
            <w:r w:rsidRPr="000A598D">
              <w:rPr>
                <w:rFonts w:asciiTheme="minorHAnsi" w:hAnsiTheme="minorHAnsi" w:cstheme="minorHAnsi"/>
                <w:szCs w:val="22"/>
                <w:lang w:val="en-GB"/>
              </w:rPr>
              <w:t>44.0%*</w:t>
            </w:r>
          </w:p>
        </w:tc>
        <w:tc>
          <w:tcPr>
            <w:tcW w:w="1087" w:type="pct"/>
            <w:vMerge w:val="restart"/>
            <w:shd w:val="clear" w:color="auto" w:fill="auto"/>
            <w:vAlign w:val="center"/>
          </w:tcPr>
          <w:p w14:paraId="15B9F746" w14:textId="77777777" w:rsidR="0009537E" w:rsidRPr="000A598D" w:rsidRDefault="0009537E" w:rsidP="00323DF3">
            <w:pPr>
              <w:pStyle w:val="C-TableText"/>
              <w:spacing w:before="0" w:after="0"/>
              <w:jc w:val="center"/>
              <w:rPr>
                <w:rFonts w:asciiTheme="minorHAnsi" w:hAnsiTheme="minorHAnsi" w:cstheme="minorHAnsi"/>
                <w:szCs w:val="22"/>
                <w:lang w:val="en-GB"/>
              </w:rPr>
            </w:pPr>
            <w:r w:rsidRPr="000A598D">
              <w:rPr>
                <w:rFonts w:asciiTheme="minorHAnsi" w:hAnsiTheme="minorHAnsi" w:cstheme="minorHAnsi"/>
                <w:szCs w:val="22"/>
                <w:lang w:val="en-GB"/>
              </w:rPr>
              <w:t>48.2%*</w:t>
            </w:r>
          </w:p>
        </w:tc>
      </w:tr>
      <w:tr w:rsidR="0009537E" w:rsidRPr="00184A86" w14:paraId="40BC8C84" w14:textId="77777777" w:rsidTr="00DD032A">
        <w:trPr>
          <w:cantSplit/>
          <w:trHeight w:val="529"/>
        </w:trPr>
        <w:tc>
          <w:tcPr>
            <w:tcW w:w="602" w:type="pct"/>
            <w:vMerge/>
            <w:shd w:val="clear" w:color="auto" w:fill="auto"/>
            <w:vAlign w:val="center"/>
          </w:tcPr>
          <w:p w14:paraId="05EF0268" w14:textId="77777777" w:rsidR="0009537E" w:rsidRPr="000A598D" w:rsidRDefault="0009537E" w:rsidP="00323DF3">
            <w:pPr>
              <w:pStyle w:val="C-TableText"/>
              <w:spacing w:before="0" w:after="0"/>
              <w:jc w:val="center"/>
              <w:rPr>
                <w:rFonts w:asciiTheme="minorHAnsi" w:hAnsiTheme="minorHAnsi" w:cstheme="minorHAnsi"/>
                <w:szCs w:val="22"/>
                <w:lang w:val="en-GB"/>
              </w:rPr>
            </w:pPr>
          </w:p>
        </w:tc>
        <w:tc>
          <w:tcPr>
            <w:tcW w:w="2138" w:type="pct"/>
            <w:gridSpan w:val="2"/>
            <w:vAlign w:val="center"/>
          </w:tcPr>
          <w:p w14:paraId="3D3C0967" w14:textId="77777777" w:rsidR="0009537E" w:rsidRPr="000A598D" w:rsidRDefault="0009537E" w:rsidP="00323DF3">
            <w:pPr>
              <w:pStyle w:val="C-TableText"/>
              <w:spacing w:before="0" w:after="0"/>
              <w:jc w:val="center"/>
              <w:rPr>
                <w:rFonts w:asciiTheme="minorHAnsi" w:hAnsiTheme="minorHAnsi" w:cstheme="minorHAnsi"/>
                <w:szCs w:val="22"/>
                <w:lang w:val="en-GB"/>
              </w:rPr>
            </w:pPr>
            <w:r w:rsidRPr="000A598D">
              <w:rPr>
                <w:rFonts w:asciiTheme="minorHAnsi" w:hAnsiTheme="minorHAnsi" w:cstheme="minorHAnsi"/>
                <w:szCs w:val="22"/>
                <w:lang w:val="en-GB"/>
              </w:rPr>
              <w:t>p=0.0109</w:t>
            </w:r>
          </w:p>
        </w:tc>
        <w:tc>
          <w:tcPr>
            <w:tcW w:w="1174" w:type="pct"/>
            <w:vMerge/>
            <w:shd w:val="clear" w:color="auto" w:fill="auto"/>
          </w:tcPr>
          <w:p w14:paraId="4341820B" w14:textId="77777777" w:rsidR="0009537E" w:rsidRPr="000A598D" w:rsidRDefault="0009537E" w:rsidP="00323DF3">
            <w:pPr>
              <w:pStyle w:val="C-TableText"/>
              <w:spacing w:before="0" w:after="0"/>
              <w:jc w:val="center"/>
              <w:rPr>
                <w:rFonts w:asciiTheme="minorHAnsi" w:hAnsiTheme="minorHAnsi" w:cstheme="minorHAnsi"/>
                <w:szCs w:val="22"/>
                <w:lang w:val="en-GB"/>
              </w:rPr>
            </w:pPr>
          </w:p>
        </w:tc>
        <w:tc>
          <w:tcPr>
            <w:tcW w:w="1087" w:type="pct"/>
            <w:vMerge/>
            <w:shd w:val="clear" w:color="auto" w:fill="auto"/>
            <w:vAlign w:val="center"/>
          </w:tcPr>
          <w:p w14:paraId="4326C0BB" w14:textId="77777777" w:rsidR="0009537E" w:rsidRPr="000A598D" w:rsidRDefault="0009537E" w:rsidP="00323DF3">
            <w:pPr>
              <w:pStyle w:val="C-TableText"/>
              <w:spacing w:before="0" w:after="0"/>
              <w:jc w:val="center"/>
              <w:rPr>
                <w:rFonts w:asciiTheme="minorHAnsi" w:hAnsiTheme="minorHAnsi" w:cstheme="minorHAnsi"/>
                <w:szCs w:val="22"/>
                <w:lang w:val="en-GB"/>
              </w:rPr>
            </w:pPr>
          </w:p>
        </w:tc>
      </w:tr>
      <w:tr w:rsidR="0009537E" w:rsidRPr="00184A86" w14:paraId="5C0DA985" w14:textId="77777777" w:rsidTr="00DD032A">
        <w:trPr>
          <w:cantSplit/>
          <w:trHeight w:val="529"/>
        </w:trPr>
        <w:tc>
          <w:tcPr>
            <w:tcW w:w="602" w:type="pct"/>
            <w:vMerge w:val="restart"/>
            <w:shd w:val="clear" w:color="auto" w:fill="auto"/>
            <w:vAlign w:val="center"/>
          </w:tcPr>
          <w:p w14:paraId="1C6781D7" w14:textId="77777777" w:rsidR="0009537E" w:rsidRPr="000A598D" w:rsidRDefault="0009537E" w:rsidP="00323DF3">
            <w:pPr>
              <w:pStyle w:val="C-TableText"/>
              <w:spacing w:before="0" w:after="0"/>
              <w:jc w:val="center"/>
              <w:rPr>
                <w:rFonts w:asciiTheme="minorHAnsi" w:hAnsiTheme="minorHAnsi" w:cstheme="minorHAnsi"/>
                <w:szCs w:val="22"/>
                <w:lang w:val="en-GB"/>
              </w:rPr>
            </w:pPr>
            <w:r w:rsidRPr="000A598D">
              <w:rPr>
                <w:rFonts w:asciiTheme="minorHAnsi" w:hAnsiTheme="minorHAnsi" w:cstheme="minorHAnsi"/>
                <w:szCs w:val="22"/>
                <w:lang w:val="en-GB"/>
              </w:rPr>
              <w:t>Complete Response by Day+100</w:t>
            </w:r>
          </w:p>
        </w:tc>
        <w:tc>
          <w:tcPr>
            <w:tcW w:w="1042" w:type="pct"/>
            <w:vAlign w:val="center"/>
          </w:tcPr>
          <w:p w14:paraId="49ECDF6F" w14:textId="77777777" w:rsidR="0009537E" w:rsidRPr="000A598D" w:rsidRDefault="0009537E" w:rsidP="00323DF3">
            <w:pPr>
              <w:pStyle w:val="C-TableText"/>
              <w:spacing w:before="0" w:after="0"/>
              <w:jc w:val="center"/>
              <w:rPr>
                <w:rFonts w:asciiTheme="minorHAnsi" w:hAnsiTheme="minorHAnsi" w:cstheme="minorHAnsi"/>
                <w:szCs w:val="22"/>
                <w:lang w:val="en-GB"/>
              </w:rPr>
            </w:pPr>
            <w:r w:rsidRPr="000A598D">
              <w:rPr>
                <w:rFonts w:asciiTheme="minorHAnsi" w:hAnsiTheme="minorHAnsi" w:cstheme="minorHAnsi"/>
                <w:szCs w:val="22"/>
                <w:lang w:val="en-GB"/>
              </w:rPr>
              <w:t>25.5%</w:t>
            </w:r>
          </w:p>
        </w:tc>
        <w:tc>
          <w:tcPr>
            <w:tcW w:w="1097" w:type="pct"/>
            <w:vAlign w:val="center"/>
          </w:tcPr>
          <w:p w14:paraId="1F44865C" w14:textId="77777777" w:rsidR="0009537E" w:rsidRPr="000A598D" w:rsidRDefault="0009537E" w:rsidP="00323DF3">
            <w:pPr>
              <w:pStyle w:val="C-TableText"/>
              <w:spacing w:before="0" w:after="0"/>
              <w:jc w:val="center"/>
              <w:rPr>
                <w:rFonts w:asciiTheme="minorHAnsi" w:hAnsiTheme="minorHAnsi" w:cstheme="minorHAnsi"/>
                <w:szCs w:val="22"/>
                <w:lang w:val="en-GB"/>
              </w:rPr>
            </w:pPr>
            <w:r w:rsidRPr="000A598D">
              <w:rPr>
                <w:rFonts w:asciiTheme="minorHAnsi" w:hAnsiTheme="minorHAnsi" w:cstheme="minorHAnsi"/>
                <w:szCs w:val="22"/>
                <w:lang w:val="en-GB"/>
              </w:rPr>
              <w:t>12.5%</w:t>
            </w:r>
          </w:p>
        </w:tc>
        <w:tc>
          <w:tcPr>
            <w:tcW w:w="1174" w:type="pct"/>
            <w:vMerge w:val="restart"/>
            <w:shd w:val="clear" w:color="auto" w:fill="auto"/>
            <w:vAlign w:val="center"/>
          </w:tcPr>
          <w:p w14:paraId="22E33384" w14:textId="77777777" w:rsidR="0009537E" w:rsidRPr="000256EB" w:rsidRDefault="0009537E" w:rsidP="00323DF3">
            <w:pPr>
              <w:pStyle w:val="C-TableText"/>
              <w:spacing w:before="0" w:after="0"/>
              <w:jc w:val="center"/>
              <w:rPr>
                <w:rFonts w:asciiTheme="minorHAnsi" w:hAnsiTheme="minorHAnsi" w:cstheme="minorHAnsi"/>
                <w:szCs w:val="22"/>
                <w:lang w:val="en-GB"/>
              </w:rPr>
            </w:pPr>
            <w:r w:rsidRPr="000256EB">
              <w:rPr>
                <w:rFonts w:asciiTheme="minorHAnsi" w:hAnsiTheme="minorHAnsi" w:cstheme="minorHAnsi"/>
                <w:szCs w:val="22"/>
                <w:lang w:val="en-GB"/>
              </w:rPr>
              <w:t>46.7%</w:t>
            </w:r>
          </w:p>
          <w:p w14:paraId="013C1C5C" w14:textId="77777777" w:rsidR="0009537E" w:rsidRPr="000256EB" w:rsidRDefault="0009537E" w:rsidP="00323DF3">
            <w:pPr>
              <w:pStyle w:val="C-TableText"/>
              <w:spacing w:before="0" w:after="0"/>
              <w:jc w:val="center"/>
              <w:rPr>
                <w:rFonts w:asciiTheme="minorHAnsi" w:hAnsiTheme="minorHAnsi" w:cstheme="minorHAnsi"/>
                <w:szCs w:val="22"/>
                <w:lang w:val="en-GB"/>
              </w:rPr>
            </w:pPr>
          </w:p>
        </w:tc>
        <w:tc>
          <w:tcPr>
            <w:tcW w:w="1087" w:type="pct"/>
            <w:vMerge w:val="restart"/>
            <w:shd w:val="clear" w:color="auto" w:fill="auto"/>
            <w:vAlign w:val="center"/>
          </w:tcPr>
          <w:p w14:paraId="7A189AE2" w14:textId="77777777" w:rsidR="0009537E" w:rsidRPr="000256EB" w:rsidRDefault="0009537E" w:rsidP="00323DF3">
            <w:pPr>
              <w:pStyle w:val="C-TableText"/>
              <w:spacing w:before="0" w:after="0"/>
              <w:jc w:val="center"/>
              <w:rPr>
                <w:rFonts w:asciiTheme="minorHAnsi" w:hAnsiTheme="minorHAnsi" w:cstheme="minorHAnsi"/>
                <w:szCs w:val="22"/>
                <w:lang w:val="en-GB"/>
              </w:rPr>
            </w:pPr>
            <w:r w:rsidRPr="000256EB">
              <w:rPr>
                <w:rFonts w:asciiTheme="minorHAnsi" w:hAnsiTheme="minorHAnsi" w:cstheme="minorHAnsi"/>
                <w:szCs w:val="22"/>
                <w:lang w:val="en-GB"/>
              </w:rPr>
              <w:t>39.3%</w:t>
            </w:r>
          </w:p>
          <w:p w14:paraId="1CFAC96A" w14:textId="77777777" w:rsidR="0009537E" w:rsidRPr="00134057" w:rsidRDefault="0009537E" w:rsidP="00323DF3">
            <w:pPr>
              <w:pStyle w:val="C-TableText"/>
              <w:spacing w:before="0" w:after="0"/>
              <w:jc w:val="center"/>
              <w:rPr>
                <w:rFonts w:asciiTheme="minorHAnsi" w:hAnsiTheme="minorHAnsi" w:cstheme="minorHAnsi"/>
                <w:szCs w:val="22"/>
                <w:lang w:val="en-GB"/>
              </w:rPr>
            </w:pPr>
          </w:p>
        </w:tc>
      </w:tr>
      <w:tr w:rsidR="0009537E" w:rsidRPr="00184A86" w14:paraId="448C3427" w14:textId="77777777" w:rsidTr="00DD032A">
        <w:trPr>
          <w:cantSplit/>
          <w:trHeight w:val="529"/>
        </w:trPr>
        <w:tc>
          <w:tcPr>
            <w:tcW w:w="602" w:type="pct"/>
            <w:vMerge/>
            <w:shd w:val="clear" w:color="auto" w:fill="auto"/>
            <w:vAlign w:val="center"/>
          </w:tcPr>
          <w:p w14:paraId="132D2E22" w14:textId="77777777" w:rsidR="0009537E" w:rsidRPr="00184A86" w:rsidRDefault="0009537E" w:rsidP="00323DF3">
            <w:pPr>
              <w:pStyle w:val="C-TableText"/>
              <w:spacing w:before="0" w:after="0"/>
              <w:jc w:val="center"/>
              <w:rPr>
                <w:rFonts w:asciiTheme="minorHAnsi" w:hAnsiTheme="minorHAnsi" w:cstheme="minorHAnsi"/>
                <w:szCs w:val="22"/>
                <w:lang w:val="en-GB"/>
              </w:rPr>
            </w:pPr>
          </w:p>
        </w:tc>
        <w:tc>
          <w:tcPr>
            <w:tcW w:w="2138" w:type="pct"/>
            <w:gridSpan w:val="2"/>
            <w:vAlign w:val="center"/>
          </w:tcPr>
          <w:p w14:paraId="474F8786" w14:textId="77777777" w:rsidR="0009537E" w:rsidRPr="00184A86" w:rsidRDefault="0009537E" w:rsidP="00323DF3">
            <w:pPr>
              <w:pStyle w:val="C-TableText"/>
              <w:spacing w:before="0" w:after="0"/>
              <w:jc w:val="center"/>
              <w:rPr>
                <w:rFonts w:asciiTheme="minorHAnsi" w:hAnsiTheme="minorHAnsi" w:cstheme="minorHAnsi"/>
                <w:szCs w:val="22"/>
                <w:lang w:val="en-GB"/>
              </w:rPr>
            </w:pPr>
            <w:r w:rsidRPr="00184A86">
              <w:rPr>
                <w:rFonts w:asciiTheme="minorHAnsi" w:hAnsiTheme="minorHAnsi" w:cstheme="minorHAnsi"/>
                <w:lang w:val="en-GB"/>
              </w:rPr>
              <w:t>p= 0.0160</w:t>
            </w:r>
          </w:p>
        </w:tc>
        <w:tc>
          <w:tcPr>
            <w:tcW w:w="1174" w:type="pct"/>
            <w:vMerge/>
            <w:shd w:val="clear" w:color="auto" w:fill="auto"/>
          </w:tcPr>
          <w:p w14:paraId="510EE9DC" w14:textId="77777777" w:rsidR="0009537E" w:rsidRPr="00184A86" w:rsidRDefault="0009537E" w:rsidP="00323DF3">
            <w:pPr>
              <w:pStyle w:val="C-TableText"/>
              <w:spacing w:before="0" w:after="0"/>
              <w:jc w:val="center"/>
              <w:rPr>
                <w:rFonts w:asciiTheme="minorHAnsi" w:hAnsiTheme="minorHAnsi" w:cstheme="minorHAnsi"/>
                <w:szCs w:val="22"/>
                <w:lang w:val="en-GB"/>
              </w:rPr>
            </w:pPr>
          </w:p>
        </w:tc>
        <w:tc>
          <w:tcPr>
            <w:tcW w:w="1087" w:type="pct"/>
            <w:vMerge/>
            <w:shd w:val="clear" w:color="auto" w:fill="auto"/>
            <w:vAlign w:val="center"/>
          </w:tcPr>
          <w:p w14:paraId="442E7004" w14:textId="77777777" w:rsidR="0009537E" w:rsidRPr="00184A86" w:rsidRDefault="0009537E" w:rsidP="00323DF3">
            <w:pPr>
              <w:pStyle w:val="C-TableText"/>
              <w:spacing w:before="0" w:after="0"/>
              <w:jc w:val="center"/>
              <w:rPr>
                <w:rFonts w:asciiTheme="minorHAnsi" w:hAnsiTheme="minorHAnsi" w:cstheme="minorHAnsi"/>
                <w:szCs w:val="22"/>
                <w:lang w:val="en-GB"/>
              </w:rPr>
            </w:pPr>
          </w:p>
        </w:tc>
      </w:tr>
    </w:tbl>
    <w:p w14:paraId="7E5BF624" w14:textId="59F38B5E" w:rsidR="0009537E" w:rsidRPr="00251517" w:rsidRDefault="00443F82" w:rsidP="00251517">
      <w:pPr>
        <w:pStyle w:val="C-BodyText"/>
        <w:spacing w:before="0" w:after="0" w:line="240" w:lineRule="auto"/>
        <w:rPr>
          <w:rFonts w:asciiTheme="minorHAnsi" w:hAnsiTheme="minorHAnsi" w:cstheme="minorHAnsi"/>
          <w:sz w:val="22"/>
          <w:szCs w:val="22"/>
          <w:lang w:val="en-GB"/>
        </w:rPr>
      </w:pPr>
      <w:r w:rsidRPr="00184A86">
        <w:rPr>
          <w:rFonts w:asciiTheme="minorHAnsi" w:hAnsiTheme="minorHAnsi" w:cstheme="minorHAnsi"/>
          <w:sz w:val="18"/>
          <w:szCs w:val="22"/>
          <w:lang w:val="en-GB"/>
        </w:rPr>
        <w:t>*=Kaplan Meier estimates for time-to-event analysis by Day100</w:t>
      </w:r>
    </w:p>
    <w:p w14:paraId="67E81489" w14:textId="21181C00" w:rsidR="000632CA" w:rsidRDefault="00CE6FA7" w:rsidP="003B2C91">
      <w:pPr>
        <w:spacing w:line="240" w:lineRule="auto"/>
        <w:rPr>
          <w:noProof/>
        </w:rPr>
      </w:pPr>
      <w:r w:rsidRPr="00A361DF">
        <w:rPr>
          <w:noProof/>
        </w:rPr>
        <w:t>O</w:t>
      </w:r>
      <w:r w:rsidR="000632CA" w:rsidRPr="00A361DF">
        <w:rPr>
          <w:noProof/>
        </w:rPr>
        <w:t>utcome data</w:t>
      </w:r>
      <w:r w:rsidRPr="00A361DF">
        <w:rPr>
          <w:noProof/>
        </w:rPr>
        <w:t xml:space="preserve"> </w:t>
      </w:r>
      <w:r w:rsidR="000632CA" w:rsidRPr="00A361DF">
        <w:rPr>
          <w:noProof/>
        </w:rPr>
        <w:t xml:space="preserve">available from </w:t>
      </w:r>
      <w:r w:rsidR="00AA6413" w:rsidRPr="00A361DF">
        <w:rPr>
          <w:noProof/>
        </w:rPr>
        <w:t>701</w:t>
      </w:r>
      <w:r w:rsidR="00EC5673" w:rsidRPr="00A361DF">
        <w:rPr>
          <w:noProof/>
        </w:rPr>
        <w:t> </w:t>
      </w:r>
      <w:r w:rsidR="000632CA" w:rsidRPr="00A361DF">
        <w:rPr>
          <w:noProof/>
        </w:rPr>
        <w:t>patients treated with Defitelio</w:t>
      </w:r>
      <w:r w:rsidR="0009537E">
        <w:rPr>
          <w:noProof/>
        </w:rPr>
        <w:t xml:space="preserve"> for VOD post-transplant</w:t>
      </w:r>
      <w:r w:rsidR="00162E10">
        <w:rPr>
          <w:noProof/>
        </w:rPr>
        <w:t xml:space="preserve"> in</w:t>
      </w:r>
      <w:r w:rsidR="000632CA" w:rsidRPr="00A361DF">
        <w:rPr>
          <w:noProof/>
        </w:rPr>
        <w:t xml:space="preserve"> </w:t>
      </w:r>
      <w:r w:rsidR="0009537E">
        <w:rPr>
          <w:noProof/>
        </w:rPr>
        <w:t xml:space="preserve">an international, open label, </w:t>
      </w:r>
      <w:r w:rsidR="000632CA" w:rsidRPr="00A361DF">
        <w:rPr>
          <w:noProof/>
        </w:rPr>
        <w:t>compassionate use</w:t>
      </w:r>
      <w:r w:rsidR="00DD032A">
        <w:rPr>
          <w:noProof/>
        </w:rPr>
        <w:t xml:space="preserve"> </w:t>
      </w:r>
      <w:r w:rsidR="0009537E">
        <w:rPr>
          <w:noProof/>
        </w:rPr>
        <w:t>program</w:t>
      </w:r>
      <w:r w:rsidR="000632CA" w:rsidRPr="00A361DF">
        <w:rPr>
          <w:noProof/>
        </w:rPr>
        <w:t xml:space="preserve"> </w:t>
      </w:r>
      <w:r w:rsidRPr="00A361DF">
        <w:rPr>
          <w:noProof/>
        </w:rPr>
        <w:t>are</w:t>
      </w:r>
      <w:r w:rsidR="000632CA" w:rsidRPr="00A361DF">
        <w:rPr>
          <w:noProof/>
        </w:rPr>
        <w:t xml:space="preserve"> consistent with the controlled clinical </w:t>
      </w:r>
      <w:r w:rsidR="00DE0D2B" w:rsidRPr="00A361DF">
        <w:rPr>
          <w:noProof/>
        </w:rPr>
        <w:t>trial</w:t>
      </w:r>
      <w:r w:rsidR="000632CA" w:rsidRPr="00A361DF">
        <w:rPr>
          <w:noProof/>
        </w:rPr>
        <w:t>, with</w:t>
      </w:r>
      <w:r w:rsidR="00AA6413" w:rsidRPr="00A361DF">
        <w:rPr>
          <w:noProof/>
        </w:rPr>
        <w:t xml:space="preserve"> </w:t>
      </w:r>
      <w:r w:rsidR="002766D8" w:rsidRPr="00A361DF">
        <w:rPr>
          <w:noProof/>
        </w:rPr>
        <w:t xml:space="preserve">a </w:t>
      </w:r>
      <w:r w:rsidR="00AA6413" w:rsidRPr="00A361DF">
        <w:rPr>
          <w:noProof/>
        </w:rPr>
        <w:t>Kaplan-Meier estimate</w:t>
      </w:r>
      <w:r w:rsidR="002766D8" w:rsidRPr="00A361DF">
        <w:rPr>
          <w:noProof/>
        </w:rPr>
        <w:t>d</w:t>
      </w:r>
      <w:r w:rsidR="000632CA" w:rsidRPr="00A361DF">
        <w:rPr>
          <w:noProof/>
        </w:rPr>
        <w:t xml:space="preserve"> survival </w:t>
      </w:r>
      <w:r w:rsidR="00AA6413" w:rsidRPr="00A361DF">
        <w:rPr>
          <w:noProof/>
        </w:rPr>
        <w:t xml:space="preserve">at Day+100 </w:t>
      </w:r>
      <w:r w:rsidR="0009537E">
        <w:rPr>
          <w:noProof/>
        </w:rPr>
        <w:t>of</w:t>
      </w:r>
      <w:r w:rsidR="0009537E" w:rsidRPr="00A361DF">
        <w:rPr>
          <w:noProof/>
        </w:rPr>
        <w:t xml:space="preserve"> </w:t>
      </w:r>
      <w:r w:rsidR="00AA6413" w:rsidRPr="00A361DF">
        <w:rPr>
          <w:noProof/>
        </w:rPr>
        <w:t>57.6</w:t>
      </w:r>
      <w:r w:rsidR="000632CA" w:rsidRPr="00A361DF">
        <w:rPr>
          <w:noProof/>
        </w:rPr>
        <w:t>% in patients with VOD</w:t>
      </w:r>
      <w:r w:rsidR="000D4C1F" w:rsidRPr="00A361DF">
        <w:rPr>
          <w:noProof/>
        </w:rPr>
        <w:t xml:space="preserve"> receiving defibrotide doses of 25 mg/kg/day</w:t>
      </w:r>
      <w:r w:rsidR="000632CA" w:rsidRPr="00A361DF">
        <w:rPr>
          <w:noProof/>
        </w:rPr>
        <w:t>.</w:t>
      </w:r>
    </w:p>
    <w:p w14:paraId="766567D5" w14:textId="2B36CE0F" w:rsidR="005553A2" w:rsidRPr="00A361DF" w:rsidRDefault="005553A2" w:rsidP="003B2C91">
      <w:pPr>
        <w:spacing w:line="240" w:lineRule="auto"/>
        <w:rPr>
          <w:noProof/>
        </w:rPr>
      </w:pPr>
      <w:r>
        <w:rPr>
          <w:noProof/>
        </w:rPr>
        <w:t xml:space="preserve">Return of outcome data for this program was not mandated and </w:t>
      </w:r>
      <w:r w:rsidR="0014510F">
        <w:rPr>
          <w:noProof/>
        </w:rPr>
        <w:t>was</w:t>
      </w:r>
      <w:r>
        <w:rPr>
          <w:noProof/>
        </w:rPr>
        <w:t xml:space="preserve"> highly variable compared to form</w:t>
      </w:r>
      <w:r w:rsidR="00251517">
        <w:rPr>
          <w:noProof/>
        </w:rPr>
        <w:t>ally conducted clinical trials.</w:t>
      </w:r>
    </w:p>
    <w:p w14:paraId="4D5EFCFF" w14:textId="7046E67A" w:rsidR="008F06AB" w:rsidRPr="00A361DF" w:rsidRDefault="008F06AB" w:rsidP="003B2C91">
      <w:pPr>
        <w:spacing w:line="240" w:lineRule="auto"/>
        <w:rPr>
          <w:noProof/>
        </w:rPr>
      </w:pPr>
      <w:r w:rsidRPr="00A361DF">
        <w:rPr>
          <w:noProof/>
        </w:rPr>
        <w:t>Data derived from an independent US registry have shown a beneficial effect of Defitelio in routine clinical practice. At an interim analysis of the on</w:t>
      </w:r>
      <w:r w:rsidR="006204BC" w:rsidRPr="00A361DF">
        <w:rPr>
          <w:noProof/>
        </w:rPr>
        <w:noBreakHyphen/>
      </w:r>
      <w:r w:rsidRPr="00A361DF">
        <w:rPr>
          <w:noProof/>
        </w:rPr>
        <w:t>going registry, data from 96 patients with severe VOD were available.</w:t>
      </w:r>
    </w:p>
    <w:p w14:paraId="76F34BBC" w14:textId="1838D9BB" w:rsidR="00F5475B" w:rsidRPr="00A361DF" w:rsidRDefault="008E45D4" w:rsidP="003B2C91">
      <w:pPr>
        <w:spacing w:line="240" w:lineRule="auto"/>
        <w:rPr>
          <w:noProof/>
        </w:rPr>
      </w:pPr>
      <w:r w:rsidRPr="00A361DF">
        <w:rPr>
          <w:noProof/>
        </w:rPr>
        <w:t>The Day+100 all</w:t>
      </w:r>
      <w:r w:rsidR="006204BC" w:rsidRPr="00A361DF">
        <w:rPr>
          <w:noProof/>
        </w:rPr>
        <w:noBreakHyphen/>
      </w:r>
      <w:r w:rsidRPr="00A361DF">
        <w:rPr>
          <w:noProof/>
        </w:rPr>
        <w:t>cause mortality in patients with severe VOD who were not treated with defibrotide was 69%, and 61% in those patients who received defibrotide</w:t>
      </w:r>
      <w:r w:rsidR="008F06AB" w:rsidRPr="00A361DF">
        <w:rPr>
          <w:noProof/>
        </w:rPr>
        <w:t>.</w:t>
      </w:r>
      <w:r w:rsidR="00F5475B" w:rsidRPr="00A361DF">
        <w:rPr>
          <w:noProof/>
        </w:rPr>
        <w:t xml:space="preserve"> These data are from </w:t>
      </w:r>
      <w:r w:rsidR="00F5475B" w:rsidRPr="00A361DF">
        <w:rPr>
          <w:noProof/>
        </w:rPr>
        <w:lastRenderedPageBreak/>
        <w:t>an open label registry</w:t>
      </w:r>
      <w:r w:rsidR="00162E10">
        <w:rPr>
          <w:noProof/>
        </w:rPr>
        <w:t xml:space="preserve"> with</w:t>
      </w:r>
      <w:r w:rsidR="00F5475B" w:rsidRPr="00A361DF">
        <w:rPr>
          <w:noProof/>
        </w:rPr>
        <w:t xml:space="preserve"> subjects not randomised</w:t>
      </w:r>
      <w:r w:rsidR="0061251D">
        <w:rPr>
          <w:noProof/>
        </w:rPr>
        <w:t xml:space="preserve"> and data on dose or duration of defibrotide treatment were not collected</w:t>
      </w:r>
      <w:r w:rsidR="00F5475B" w:rsidRPr="00A361DF">
        <w:rPr>
          <w:noProof/>
        </w:rPr>
        <w:t>.</w:t>
      </w:r>
    </w:p>
    <w:p w14:paraId="0F0D3326" w14:textId="5A27AC57" w:rsidR="00F344A8" w:rsidRPr="00A361DF" w:rsidRDefault="00F344A8" w:rsidP="003B2C91">
      <w:pPr>
        <w:spacing w:line="240" w:lineRule="auto"/>
      </w:pPr>
      <w:r w:rsidRPr="00A361DF">
        <w:t xml:space="preserve">Additional information is shown in the following Table </w:t>
      </w:r>
      <w:r w:rsidR="005933F2">
        <w:t>3</w:t>
      </w:r>
      <w:r w:rsidR="00443F82" w:rsidRPr="00A361DF">
        <w:t>.</w:t>
      </w:r>
    </w:p>
    <w:p w14:paraId="48C857D4" w14:textId="58058D82" w:rsidR="00F344A8" w:rsidRPr="00A361DF" w:rsidRDefault="00F344A8" w:rsidP="003B2C91">
      <w:pPr>
        <w:spacing w:line="240" w:lineRule="auto"/>
      </w:pPr>
      <w:r w:rsidRPr="00A361DF">
        <w:rPr>
          <w:b/>
        </w:rPr>
        <w:t>Table </w:t>
      </w:r>
      <w:r w:rsidR="0061251D">
        <w:rPr>
          <w:b/>
        </w:rPr>
        <w:t>3</w:t>
      </w:r>
      <w:r w:rsidRPr="00A361DF">
        <w:rPr>
          <w:b/>
        </w:rPr>
        <w:t>:</w:t>
      </w:r>
      <w:r w:rsidRPr="00A361DF">
        <w:rPr>
          <w:b/>
        </w:rPr>
        <w:tab/>
        <w:t>US Registry data</w:t>
      </w:r>
    </w:p>
    <w:tbl>
      <w:tblPr>
        <w:tblW w:w="8966" w:type="dxa"/>
        <w:tblInd w:w="93" w:type="dxa"/>
        <w:tblCellMar>
          <w:left w:w="0" w:type="dxa"/>
          <w:right w:w="0" w:type="dxa"/>
        </w:tblCellMar>
        <w:tblLook w:val="04A0" w:firstRow="1" w:lastRow="0" w:firstColumn="1" w:lastColumn="0" w:noHBand="0" w:noVBand="1"/>
      </w:tblPr>
      <w:tblGrid>
        <w:gridCol w:w="3575"/>
        <w:gridCol w:w="2625"/>
        <w:gridCol w:w="2766"/>
      </w:tblGrid>
      <w:tr w:rsidR="008E45D4" w:rsidRPr="00A361DF" w14:paraId="3F6E93A9" w14:textId="77777777" w:rsidTr="0070455C">
        <w:tc>
          <w:tcPr>
            <w:tcW w:w="3575" w:type="dxa"/>
            <w:tcBorders>
              <w:top w:val="single" w:sz="8" w:space="0" w:color="auto"/>
              <w:left w:val="single" w:sz="8" w:space="0" w:color="auto"/>
              <w:bottom w:val="single" w:sz="8" w:space="0" w:color="000000"/>
              <w:right w:val="single" w:sz="8" w:space="0" w:color="auto"/>
            </w:tcBorders>
            <w:shd w:val="clear" w:color="auto" w:fill="F2F2F2"/>
            <w:tcMar>
              <w:top w:w="0" w:type="dxa"/>
              <w:left w:w="108" w:type="dxa"/>
              <w:bottom w:w="0" w:type="dxa"/>
              <w:right w:w="108" w:type="dxa"/>
            </w:tcMar>
            <w:vAlign w:val="bottom"/>
            <w:hideMark/>
          </w:tcPr>
          <w:p w14:paraId="48DE3968" w14:textId="77777777" w:rsidR="008E45D4" w:rsidRPr="00A361DF" w:rsidRDefault="008E45D4" w:rsidP="003B2C91">
            <w:pPr>
              <w:spacing w:line="240" w:lineRule="auto"/>
              <w:jc w:val="center"/>
              <w:rPr>
                <w:b/>
                <w:bCs/>
              </w:rPr>
            </w:pPr>
          </w:p>
        </w:tc>
        <w:tc>
          <w:tcPr>
            <w:tcW w:w="262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1958ECB0" w14:textId="77777777" w:rsidR="008E45D4" w:rsidRDefault="008E45D4" w:rsidP="003B2C91">
            <w:pPr>
              <w:spacing w:line="240" w:lineRule="auto"/>
              <w:jc w:val="center"/>
              <w:rPr>
                <w:b/>
                <w:bCs/>
              </w:rPr>
            </w:pPr>
            <w:r w:rsidRPr="00A361DF">
              <w:rPr>
                <w:b/>
                <w:bCs/>
              </w:rPr>
              <w:t>Non</w:t>
            </w:r>
            <w:r w:rsidR="006204BC" w:rsidRPr="00A361DF">
              <w:rPr>
                <w:b/>
                <w:bCs/>
              </w:rPr>
              <w:noBreakHyphen/>
            </w:r>
            <w:r w:rsidRPr="00A361DF">
              <w:rPr>
                <w:b/>
                <w:bCs/>
              </w:rPr>
              <w:t>defibrotide treated</w:t>
            </w:r>
          </w:p>
          <w:p w14:paraId="104D1902" w14:textId="1C3D8087" w:rsidR="0061251D" w:rsidRPr="00A361DF" w:rsidRDefault="0061251D" w:rsidP="003B2C91">
            <w:pPr>
              <w:spacing w:line="240" w:lineRule="auto"/>
              <w:jc w:val="center"/>
              <w:rPr>
                <w:b/>
                <w:bCs/>
              </w:rPr>
            </w:pPr>
            <w:r>
              <w:rPr>
                <w:b/>
                <w:bCs/>
              </w:rPr>
              <w:t>N=55</w:t>
            </w:r>
          </w:p>
        </w:tc>
        <w:tc>
          <w:tcPr>
            <w:tcW w:w="276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162A81F6" w14:textId="77777777" w:rsidR="008E45D4" w:rsidRDefault="008E45D4" w:rsidP="006E6152">
            <w:pPr>
              <w:spacing w:line="240" w:lineRule="auto"/>
              <w:jc w:val="center"/>
              <w:rPr>
                <w:b/>
                <w:bCs/>
              </w:rPr>
            </w:pPr>
            <w:r w:rsidRPr="00A361DF">
              <w:rPr>
                <w:b/>
                <w:bCs/>
              </w:rPr>
              <w:t>Defibrotide treated</w:t>
            </w:r>
          </w:p>
          <w:p w14:paraId="78C52D7A" w14:textId="2C807C23" w:rsidR="0061251D" w:rsidRPr="00A361DF" w:rsidRDefault="0061251D" w:rsidP="00AE06A2">
            <w:pPr>
              <w:spacing w:line="240" w:lineRule="auto"/>
              <w:jc w:val="center"/>
              <w:rPr>
                <w:b/>
                <w:bCs/>
              </w:rPr>
            </w:pPr>
            <w:r>
              <w:rPr>
                <w:b/>
                <w:bCs/>
              </w:rPr>
              <w:t>N=41</w:t>
            </w:r>
          </w:p>
        </w:tc>
      </w:tr>
      <w:tr w:rsidR="008E45D4" w:rsidRPr="00A361DF" w14:paraId="077AB2F3" w14:textId="77777777" w:rsidTr="0070455C">
        <w:tc>
          <w:tcPr>
            <w:tcW w:w="3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53B1B" w14:textId="77777777" w:rsidR="008E45D4" w:rsidRPr="00A361DF" w:rsidRDefault="008E45D4" w:rsidP="003B2C91">
            <w:pPr>
              <w:spacing w:line="240" w:lineRule="auto"/>
            </w:pPr>
            <w:r w:rsidRPr="00A361DF">
              <w:t>Alive at Day +100</w:t>
            </w:r>
          </w:p>
        </w:tc>
        <w:tc>
          <w:tcPr>
            <w:tcW w:w="2625" w:type="dxa"/>
            <w:tcBorders>
              <w:top w:val="nil"/>
              <w:left w:val="nil"/>
              <w:bottom w:val="single" w:sz="8" w:space="0" w:color="auto"/>
              <w:right w:val="single" w:sz="8" w:space="0" w:color="auto"/>
            </w:tcBorders>
            <w:tcMar>
              <w:top w:w="0" w:type="dxa"/>
              <w:left w:w="108" w:type="dxa"/>
              <w:bottom w:w="0" w:type="dxa"/>
              <w:right w:w="108" w:type="dxa"/>
            </w:tcMar>
            <w:hideMark/>
          </w:tcPr>
          <w:p w14:paraId="12495793" w14:textId="77777777" w:rsidR="008E45D4" w:rsidRPr="00A361DF" w:rsidRDefault="008E45D4" w:rsidP="003B2C91">
            <w:pPr>
              <w:spacing w:line="240" w:lineRule="auto"/>
              <w:jc w:val="center"/>
            </w:pPr>
            <w:r w:rsidRPr="00A361DF">
              <w:t>17 (31%)</w:t>
            </w:r>
          </w:p>
        </w:tc>
        <w:tc>
          <w:tcPr>
            <w:tcW w:w="2766" w:type="dxa"/>
            <w:tcBorders>
              <w:top w:val="nil"/>
              <w:left w:val="nil"/>
              <w:bottom w:val="single" w:sz="8" w:space="0" w:color="auto"/>
              <w:right w:val="single" w:sz="8" w:space="0" w:color="auto"/>
            </w:tcBorders>
            <w:tcMar>
              <w:top w:w="0" w:type="dxa"/>
              <w:left w:w="108" w:type="dxa"/>
              <w:bottom w:w="0" w:type="dxa"/>
              <w:right w:w="108" w:type="dxa"/>
            </w:tcMar>
            <w:hideMark/>
          </w:tcPr>
          <w:p w14:paraId="22B150EF" w14:textId="77777777" w:rsidR="008E45D4" w:rsidRPr="00A361DF" w:rsidRDefault="008E45D4" w:rsidP="003B2C91">
            <w:pPr>
              <w:spacing w:line="240" w:lineRule="auto"/>
              <w:jc w:val="center"/>
            </w:pPr>
            <w:r w:rsidRPr="00A361DF">
              <w:t>16 (39%)</w:t>
            </w:r>
          </w:p>
        </w:tc>
      </w:tr>
      <w:tr w:rsidR="008E45D4" w:rsidRPr="00A361DF" w14:paraId="0C2A727C" w14:textId="77777777" w:rsidTr="0070455C">
        <w:tc>
          <w:tcPr>
            <w:tcW w:w="35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FCAC1" w14:textId="77777777" w:rsidR="008E45D4" w:rsidRPr="00A361DF" w:rsidRDefault="008E45D4" w:rsidP="003B2C91">
            <w:pPr>
              <w:spacing w:line="240" w:lineRule="auto"/>
            </w:pPr>
            <w:r w:rsidRPr="00A361DF">
              <w:t>VOD resolved by Day +100</w:t>
            </w:r>
          </w:p>
        </w:tc>
        <w:tc>
          <w:tcPr>
            <w:tcW w:w="2625" w:type="dxa"/>
            <w:tcBorders>
              <w:top w:val="nil"/>
              <w:left w:val="nil"/>
              <w:bottom w:val="single" w:sz="8" w:space="0" w:color="auto"/>
              <w:right w:val="single" w:sz="8" w:space="0" w:color="auto"/>
            </w:tcBorders>
            <w:tcMar>
              <w:top w:w="0" w:type="dxa"/>
              <w:left w:w="108" w:type="dxa"/>
              <w:bottom w:w="0" w:type="dxa"/>
              <w:right w:w="108" w:type="dxa"/>
            </w:tcMar>
            <w:hideMark/>
          </w:tcPr>
          <w:p w14:paraId="0982039E" w14:textId="77777777" w:rsidR="008E45D4" w:rsidRPr="00A361DF" w:rsidRDefault="008E45D4" w:rsidP="003B2C91">
            <w:pPr>
              <w:spacing w:line="240" w:lineRule="auto"/>
              <w:jc w:val="center"/>
            </w:pPr>
            <w:r w:rsidRPr="00A361DF">
              <w:t>16 (29%)</w:t>
            </w:r>
          </w:p>
        </w:tc>
        <w:tc>
          <w:tcPr>
            <w:tcW w:w="2766" w:type="dxa"/>
            <w:tcBorders>
              <w:top w:val="nil"/>
              <w:left w:val="nil"/>
              <w:bottom w:val="single" w:sz="8" w:space="0" w:color="auto"/>
              <w:right w:val="single" w:sz="8" w:space="0" w:color="auto"/>
            </w:tcBorders>
            <w:tcMar>
              <w:top w:w="0" w:type="dxa"/>
              <w:left w:w="108" w:type="dxa"/>
              <w:bottom w:w="0" w:type="dxa"/>
              <w:right w:w="108" w:type="dxa"/>
            </w:tcMar>
            <w:hideMark/>
          </w:tcPr>
          <w:p w14:paraId="5BD16C09" w14:textId="77777777" w:rsidR="008E45D4" w:rsidRPr="00A361DF" w:rsidRDefault="008E45D4" w:rsidP="003B2C91">
            <w:pPr>
              <w:spacing w:line="240" w:lineRule="auto"/>
              <w:jc w:val="center"/>
            </w:pPr>
            <w:r w:rsidRPr="00A361DF">
              <w:t>21 (51%)</w:t>
            </w:r>
          </w:p>
        </w:tc>
      </w:tr>
    </w:tbl>
    <w:p w14:paraId="0B7212F1" w14:textId="77777777" w:rsidR="000632CA" w:rsidRPr="00A361DF" w:rsidRDefault="000632CA" w:rsidP="003B2C91">
      <w:pPr>
        <w:spacing w:line="240" w:lineRule="auto"/>
        <w:rPr>
          <w:u w:val="single"/>
        </w:rPr>
      </w:pPr>
      <w:r w:rsidRPr="00A361DF">
        <w:rPr>
          <w:u w:val="single"/>
        </w:rPr>
        <w:t>Paediatric population</w:t>
      </w:r>
    </w:p>
    <w:p w14:paraId="5D732429" w14:textId="306509EF" w:rsidR="000632CA" w:rsidRPr="00A361DF" w:rsidRDefault="000632CA" w:rsidP="003B2C91">
      <w:pPr>
        <w:spacing w:line="240" w:lineRule="auto"/>
        <w:rPr>
          <w:noProof/>
        </w:rPr>
      </w:pPr>
      <w:r w:rsidRPr="00A361DF">
        <w:rPr>
          <w:noProof/>
        </w:rPr>
        <w:t xml:space="preserve">In each of the clinical </w:t>
      </w:r>
      <w:r w:rsidR="00DE0D2B" w:rsidRPr="00A361DF">
        <w:rPr>
          <w:noProof/>
        </w:rPr>
        <w:t xml:space="preserve">trials </w:t>
      </w:r>
      <w:r w:rsidRPr="00A361DF">
        <w:rPr>
          <w:noProof/>
        </w:rPr>
        <w:t xml:space="preserve">performed in </w:t>
      </w:r>
      <w:r w:rsidR="00524C87" w:rsidRPr="00A361DF">
        <w:rPr>
          <w:noProof/>
        </w:rPr>
        <w:t xml:space="preserve">the </w:t>
      </w:r>
      <w:r w:rsidRPr="00A361DF">
        <w:rPr>
          <w:noProof/>
        </w:rPr>
        <w:t xml:space="preserve">treatment of VOD, </w:t>
      </w:r>
      <w:r w:rsidR="00654D7D" w:rsidRPr="00A361DF">
        <w:rPr>
          <w:noProof/>
        </w:rPr>
        <w:t>over 50%</w:t>
      </w:r>
      <w:r w:rsidRPr="00A361DF">
        <w:rPr>
          <w:noProof/>
        </w:rPr>
        <w:t xml:space="preserve"> of patients were </w:t>
      </w:r>
      <w:r w:rsidR="00524C87" w:rsidRPr="00A361DF">
        <w:rPr>
          <w:noProof/>
        </w:rPr>
        <w:t>under the age of 18 years</w:t>
      </w:r>
      <w:r w:rsidRPr="00A361DF">
        <w:rPr>
          <w:noProof/>
        </w:rPr>
        <w:t xml:space="preserve">. </w:t>
      </w:r>
      <w:r w:rsidR="00F537BB" w:rsidRPr="00A361DF">
        <w:rPr>
          <w:noProof/>
        </w:rPr>
        <w:t xml:space="preserve">Safety information in children </w:t>
      </w:r>
      <w:r w:rsidR="00061C87">
        <w:rPr>
          <w:noProof/>
        </w:rPr>
        <w:t>is also</w:t>
      </w:r>
      <w:r w:rsidR="00061C87" w:rsidRPr="00A361DF">
        <w:rPr>
          <w:noProof/>
        </w:rPr>
        <w:t xml:space="preserve"> </w:t>
      </w:r>
      <w:r w:rsidR="00F537BB" w:rsidRPr="00A361DF">
        <w:rPr>
          <w:noProof/>
        </w:rPr>
        <w:t xml:space="preserve">available from </w:t>
      </w:r>
      <w:r w:rsidR="00061C87">
        <w:rPr>
          <w:noProof/>
        </w:rPr>
        <w:t>a</w:t>
      </w:r>
      <w:r w:rsidR="00061C87" w:rsidRPr="00A361DF">
        <w:rPr>
          <w:noProof/>
        </w:rPr>
        <w:t xml:space="preserve"> </w:t>
      </w:r>
      <w:r w:rsidR="00524C87" w:rsidRPr="00A361DF">
        <w:rPr>
          <w:noProof/>
        </w:rPr>
        <w:t xml:space="preserve">prevention study conducted solely in children. </w:t>
      </w:r>
      <w:r w:rsidRPr="00A361DF">
        <w:rPr>
          <w:noProof/>
        </w:rPr>
        <w:t>Safety and efficacy in children aged less than 1</w:t>
      </w:r>
      <w:r w:rsidR="00EC5673" w:rsidRPr="00A361DF">
        <w:rPr>
          <w:noProof/>
        </w:rPr>
        <w:t> </w:t>
      </w:r>
      <w:r w:rsidRPr="00A361DF">
        <w:rPr>
          <w:noProof/>
        </w:rPr>
        <w:t>month ha</w:t>
      </w:r>
      <w:r w:rsidR="001C5C12" w:rsidRPr="00A361DF">
        <w:rPr>
          <w:noProof/>
        </w:rPr>
        <w:t>ve</w:t>
      </w:r>
      <w:r w:rsidRPr="00A361DF">
        <w:rPr>
          <w:noProof/>
        </w:rPr>
        <w:t xml:space="preserve"> not yet been established.</w:t>
      </w:r>
    </w:p>
    <w:p w14:paraId="027068EF" w14:textId="77777777" w:rsidR="001D4718" w:rsidRPr="00A361DF" w:rsidRDefault="001D4718" w:rsidP="003B2C91">
      <w:pPr>
        <w:spacing w:line="240" w:lineRule="auto"/>
        <w:rPr>
          <w:u w:val="single"/>
        </w:rPr>
      </w:pPr>
      <w:r w:rsidRPr="00A361DF">
        <w:rPr>
          <w:u w:val="single"/>
        </w:rPr>
        <w:t>Cardiac electrophysiology</w:t>
      </w:r>
    </w:p>
    <w:p w14:paraId="2F8AA9F1" w14:textId="77777777" w:rsidR="001D4718" w:rsidRPr="00A361DF" w:rsidRDefault="001D4718" w:rsidP="003B2C91">
      <w:pPr>
        <w:spacing w:line="240" w:lineRule="auto"/>
      </w:pPr>
      <w:r w:rsidRPr="00A361DF">
        <w:t xml:space="preserve">Based on the results of the </w:t>
      </w:r>
      <w:proofErr w:type="spellStart"/>
      <w:r w:rsidRPr="00A361DF">
        <w:t>QTc</w:t>
      </w:r>
      <w:proofErr w:type="spellEnd"/>
      <w:r w:rsidRPr="00A361DF">
        <w:t xml:space="preserve"> study, conducted in healthy subjects at therapeut</w:t>
      </w:r>
      <w:r w:rsidR="00110987" w:rsidRPr="00A361DF">
        <w:t>ic and supra</w:t>
      </w:r>
      <w:r w:rsidR="006204BC" w:rsidRPr="00A361DF">
        <w:noBreakHyphen/>
      </w:r>
      <w:r w:rsidR="00110987" w:rsidRPr="00A361DF">
        <w:t xml:space="preserve">therapeutic doses, </w:t>
      </w:r>
      <w:r w:rsidRPr="00A361DF">
        <w:t xml:space="preserve">it can be concluded that </w:t>
      </w:r>
      <w:proofErr w:type="spellStart"/>
      <w:r w:rsidRPr="00A361DF">
        <w:t>Defitelio</w:t>
      </w:r>
      <w:proofErr w:type="spellEnd"/>
      <w:r w:rsidRPr="00A361DF">
        <w:t xml:space="preserve"> has no significant or clinically relevant </w:t>
      </w:r>
      <w:proofErr w:type="spellStart"/>
      <w:r w:rsidRPr="00A361DF">
        <w:t>QTc</w:t>
      </w:r>
      <w:proofErr w:type="spellEnd"/>
      <w:r w:rsidR="006204BC" w:rsidRPr="00A361DF">
        <w:noBreakHyphen/>
      </w:r>
      <w:r w:rsidRPr="00A361DF">
        <w:t>prolonging potential at doses up to 4</w:t>
      </w:r>
      <w:r w:rsidR="00EC5673" w:rsidRPr="00A361DF">
        <w:t> </w:t>
      </w:r>
      <w:r w:rsidRPr="00A361DF">
        <w:t xml:space="preserve">times higher than therapeutically indicated. </w:t>
      </w:r>
      <w:proofErr w:type="spellStart"/>
      <w:r w:rsidRPr="00A361DF">
        <w:t>Defitelio</w:t>
      </w:r>
      <w:proofErr w:type="spellEnd"/>
      <w:r w:rsidRPr="00A361DF">
        <w:t xml:space="preserve"> might be considered free of </w:t>
      </w:r>
      <w:proofErr w:type="spellStart"/>
      <w:r w:rsidRPr="00A361DF">
        <w:t>proarrhythmic</w:t>
      </w:r>
      <w:proofErr w:type="spellEnd"/>
      <w:r w:rsidRPr="00A361DF">
        <w:t xml:space="preserve"> toxicity related to QT changes.</w:t>
      </w:r>
    </w:p>
    <w:p w14:paraId="130FBC08" w14:textId="77777777" w:rsidR="000632CA" w:rsidRPr="00A361DF" w:rsidRDefault="005C75C5" w:rsidP="00251517">
      <w:pPr>
        <w:spacing w:before="360" w:line="240" w:lineRule="auto"/>
        <w:rPr>
          <w:b/>
        </w:rPr>
      </w:pPr>
      <w:bookmarkStart w:id="5" w:name="_Ref316550025"/>
      <w:r w:rsidRPr="00A361DF">
        <w:rPr>
          <w:b/>
        </w:rPr>
        <w:t>5.2</w:t>
      </w:r>
      <w:r w:rsidRPr="00A361DF">
        <w:rPr>
          <w:b/>
        </w:rPr>
        <w:tab/>
      </w:r>
      <w:r w:rsidR="000632CA" w:rsidRPr="00A361DF">
        <w:rPr>
          <w:b/>
        </w:rPr>
        <w:t xml:space="preserve">Pharmacokinetic </w:t>
      </w:r>
      <w:bookmarkEnd w:id="5"/>
      <w:r w:rsidR="004E56F3" w:rsidRPr="00A361DF">
        <w:rPr>
          <w:b/>
        </w:rPr>
        <w:t>properties</w:t>
      </w:r>
    </w:p>
    <w:p w14:paraId="59921E57" w14:textId="77777777" w:rsidR="00B12402" w:rsidRPr="00A361DF" w:rsidRDefault="00B12402" w:rsidP="003B2C91">
      <w:pPr>
        <w:spacing w:line="240" w:lineRule="auto"/>
        <w:rPr>
          <w:iCs/>
          <w:u w:val="single"/>
        </w:rPr>
      </w:pPr>
      <w:r w:rsidRPr="00A361DF">
        <w:rPr>
          <w:iCs/>
          <w:u w:val="single"/>
        </w:rPr>
        <w:t>Absorption and Distribution</w:t>
      </w:r>
    </w:p>
    <w:p w14:paraId="24C1C87D" w14:textId="6800D05C" w:rsidR="00E24B77" w:rsidRPr="00E24B77" w:rsidRDefault="001F04E1" w:rsidP="00E24B77">
      <w:pPr>
        <w:spacing w:line="240" w:lineRule="auto"/>
      </w:pPr>
      <w:r>
        <w:t xml:space="preserve">Defibrotide PK parameters </w:t>
      </w:r>
      <w:r w:rsidR="0000357F">
        <w:t xml:space="preserve">from </w:t>
      </w:r>
      <w:r w:rsidR="00EE440F">
        <w:t xml:space="preserve">patients </w:t>
      </w:r>
      <w:r w:rsidR="00FD11D9">
        <w:t xml:space="preserve">(N=10) </w:t>
      </w:r>
      <w:r w:rsidR="00EE440F">
        <w:t>with severe VOD receiving 6.25 mg/</w:t>
      </w:r>
      <w:r w:rsidR="00040EDC">
        <w:t>k</w:t>
      </w:r>
      <w:r w:rsidR="00EE440F">
        <w:t>g</w:t>
      </w:r>
      <w:r w:rsidR="00E24B77" w:rsidRPr="00E24B77">
        <w:t xml:space="preserve"> </w:t>
      </w:r>
      <w:r>
        <w:t>dose</w:t>
      </w:r>
      <w:r w:rsidR="00FD11D9">
        <w:t xml:space="preserve"> and</w:t>
      </w:r>
      <w:r w:rsidR="0000357F">
        <w:t xml:space="preserve"> participating in PK sub-study</w:t>
      </w:r>
      <w:r>
        <w:t xml:space="preserve"> in the dose finding study (99</w:t>
      </w:r>
      <w:r w:rsidR="00251517">
        <w:t>-118) are presented in Table 4.</w:t>
      </w:r>
    </w:p>
    <w:p w14:paraId="40AAABF0" w14:textId="3E89E125" w:rsidR="00E24B77" w:rsidRPr="00EE440F" w:rsidRDefault="00E24B77" w:rsidP="00E24B77">
      <w:pPr>
        <w:spacing w:line="240" w:lineRule="auto"/>
        <w:rPr>
          <w:b/>
          <w:bCs/>
        </w:rPr>
      </w:pPr>
      <w:r w:rsidRPr="00EE440F">
        <w:rPr>
          <w:b/>
          <w:bCs/>
        </w:rPr>
        <w:t xml:space="preserve">Table 4. </w:t>
      </w:r>
      <w:proofErr w:type="spellStart"/>
      <w:r w:rsidRPr="00EE440F">
        <w:rPr>
          <w:b/>
          <w:bCs/>
        </w:rPr>
        <w:t>Defitelio</w:t>
      </w:r>
      <w:proofErr w:type="spellEnd"/>
      <w:r w:rsidRPr="00EE440F">
        <w:rPr>
          <w:b/>
          <w:bCs/>
        </w:rPr>
        <w:t xml:space="preserve"> pharmacokinetic parameters </w:t>
      </w:r>
      <w:r w:rsidR="00997D60" w:rsidRPr="00EE440F">
        <w:rPr>
          <w:b/>
          <w:bCs/>
        </w:rPr>
        <w:t xml:space="preserve">of </w:t>
      </w:r>
      <w:r w:rsidRPr="00EE440F">
        <w:rPr>
          <w:b/>
          <w:bCs/>
        </w:rPr>
        <w:t xml:space="preserve">patients with </w:t>
      </w:r>
      <w:r w:rsidR="00997D60" w:rsidRPr="00EE440F">
        <w:rPr>
          <w:b/>
          <w:bCs/>
        </w:rPr>
        <w:t>s</w:t>
      </w:r>
      <w:r w:rsidRPr="00EE440F">
        <w:rPr>
          <w:b/>
          <w:bCs/>
        </w:rPr>
        <w:t>evere VOD following HSCT</w:t>
      </w:r>
      <w:r w:rsidR="00997D60" w:rsidRPr="00EE440F">
        <w:rPr>
          <w:b/>
          <w:bCs/>
        </w:rPr>
        <w:t>, receiving a dose of 6.25 mg/kg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3260"/>
      </w:tblGrid>
      <w:tr w:rsidR="003F0A06" w:rsidRPr="003F0A06" w14:paraId="7CD8B2A9" w14:textId="19662444" w:rsidTr="0022110C">
        <w:trPr>
          <w:trHeight w:val="270"/>
        </w:trPr>
        <w:tc>
          <w:tcPr>
            <w:tcW w:w="2297" w:type="dxa"/>
          </w:tcPr>
          <w:p w14:paraId="6D0A5FB0" w14:textId="6A9E30C2" w:rsidR="003F0A06" w:rsidRPr="00EE440F"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r>
              <w:rPr>
                <w:rFonts w:ascii="Calibri" w:eastAsia="Times New Roman" w:hAnsi="Calibri" w:cs="Calibri"/>
                <w:b/>
                <w:bCs/>
                <w:color w:val="000000"/>
                <w:lang w:eastAsia="en-GB"/>
              </w:rPr>
              <w:t>Parameter</w:t>
            </w:r>
          </w:p>
        </w:tc>
        <w:tc>
          <w:tcPr>
            <w:tcW w:w="3260" w:type="dxa"/>
          </w:tcPr>
          <w:p w14:paraId="70D733D3" w14:textId="77777777" w:rsidR="003F0A06" w:rsidRDefault="003F0A06" w:rsidP="003F0A06">
            <w:pPr>
              <w:autoSpaceDE w:val="0"/>
              <w:autoSpaceDN w:val="0"/>
              <w:adjustRightInd w:val="0"/>
              <w:spacing w:after="0" w:line="240" w:lineRule="auto"/>
              <w:jc w:val="center"/>
              <w:rPr>
                <w:rFonts w:ascii="Calibri" w:eastAsia="Times New Roman" w:hAnsi="Calibri" w:cs="Calibri"/>
                <w:b/>
                <w:bCs/>
                <w:color w:val="000000"/>
                <w:lang w:eastAsia="en-GB"/>
              </w:rPr>
            </w:pPr>
            <w:proofErr w:type="spellStart"/>
            <w:r>
              <w:rPr>
                <w:rFonts w:ascii="Calibri" w:eastAsia="Times New Roman" w:hAnsi="Calibri" w:cs="Calibri"/>
                <w:b/>
                <w:bCs/>
                <w:color w:val="000000"/>
                <w:lang w:eastAsia="en-GB"/>
              </w:rPr>
              <w:t>Defitelio</w:t>
            </w:r>
            <w:proofErr w:type="spellEnd"/>
            <w:r>
              <w:rPr>
                <w:rFonts w:ascii="Calibri" w:eastAsia="Times New Roman" w:hAnsi="Calibri" w:cs="Calibri"/>
                <w:b/>
                <w:bCs/>
                <w:color w:val="000000"/>
                <w:lang w:eastAsia="en-GB"/>
              </w:rPr>
              <w:t xml:space="preserve"> PK parameters</w:t>
            </w:r>
          </w:p>
          <w:p w14:paraId="1D4E1EA3" w14:textId="053FD8CA" w:rsidR="003F0A06" w:rsidRPr="003F0A06"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r>
              <w:rPr>
                <w:rFonts w:ascii="Calibri" w:eastAsia="Times New Roman" w:hAnsi="Calibri" w:cs="Calibri"/>
                <w:b/>
                <w:bCs/>
                <w:color w:val="000000"/>
                <w:lang w:eastAsia="en-GB"/>
              </w:rPr>
              <w:t xml:space="preserve">Mean </w:t>
            </w:r>
          </w:p>
        </w:tc>
      </w:tr>
      <w:tr w:rsidR="003F0A06" w:rsidRPr="003F0A06" w14:paraId="2CFA0E40" w14:textId="0EAC7242" w:rsidTr="0022110C">
        <w:trPr>
          <w:trHeight w:val="133"/>
        </w:trPr>
        <w:tc>
          <w:tcPr>
            <w:tcW w:w="2297" w:type="dxa"/>
          </w:tcPr>
          <w:p w14:paraId="66933014" w14:textId="51C17724" w:rsidR="003F0A06" w:rsidRPr="003F0A06"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proofErr w:type="spellStart"/>
            <w:r w:rsidRPr="003F0A06">
              <w:rPr>
                <w:rFonts w:ascii="Calibri" w:eastAsia="Times New Roman" w:hAnsi="Calibri" w:cs="Calibri"/>
                <w:color w:val="000000"/>
                <w:lang w:eastAsia="en-GB"/>
              </w:rPr>
              <w:t>Kel</w:t>
            </w:r>
            <w:proofErr w:type="spellEnd"/>
            <w:r w:rsidRPr="003F0A06">
              <w:rPr>
                <w:rFonts w:ascii="Calibri" w:eastAsia="Times New Roman" w:hAnsi="Calibri" w:cs="Calibri"/>
                <w:color w:val="000000"/>
                <w:lang w:eastAsia="en-GB"/>
              </w:rPr>
              <w:t xml:space="preserve"> (1/min)</w:t>
            </w:r>
          </w:p>
        </w:tc>
        <w:tc>
          <w:tcPr>
            <w:tcW w:w="3260" w:type="dxa"/>
          </w:tcPr>
          <w:p w14:paraId="7FB944E2" w14:textId="6023CF0E" w:rsidR="003F0A06" w:rsidRPr="003F0A06"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r w:rsidRPr="003F0A06">
              <w:rPr>
                <w:rFonts w:ascii="Calibri" w:eastAsia="Times New Roman" w:hAnsi="Calibri" w:cs="Calibri"/>
                <w:color w:val="000000"/>
                <w:lang w:eastAsia="en-GB"/>
              </w:rPr>
              <w:t>0.0082</w:t>
            </w:r>
            <w:r w:rsidRPr="003F0A06">
              <w:rPr>
                <w:rFonts w:ascii="Calibri" w:eastAsia="Times New Roman" w:hAnsi="Calibri" w:cs="Calibri"/>
                <w:color w:val="000000"/>
                <w:vertAlign w:val="superscript"/>
                <w:lang w:eastAsia="en-GB"/>
              </w:rPr>
              <w:t>#</w:t>
            </w:r>
          </w:p>
        </w:tc>
      </w:tr>
      <w:tr w:rsidR="003F0A06" w:rsidRPr="003F0A06" w14:paraId="474A265C" w14:textId="30804E7C" w:rsidTr="0022110C">
        <w:trPr>
          <w:trHeight w:val="148"/>
        </w:trPr>
        <w:tc>
          <w:tcPr>
            <w:tcW w:w="2297" w:type="dxa"/>
          </w:tcPr>
          <w:p w14:paraId="10016EAA" w14:textId="060472CE" w:rsidR="003F0A06" w:rsidRPr="003F0A06"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r w:rsidRPr="003F0A06">
              <w:rPr>
                <w:rFonts w:ascii="Calibri" w:eastAsia="Times New Roman" w:hAnsi="Calibri" w:cs="Calibri"/>
                <w:color w:val="000000"/>
                <w:lang w:eastAsia="en-GB"/>
              </w:rPr>
              <w:t>T½ (min)</w:t>
            </w:r>
          </w:p>
        </w:tc>
        <w:tc>
          <w:tcPr>
            <w:tcW w:w="3260" w:type="dxa"/>
          </w:tcPr>
          <w:p w14:paraId="1085B4F3" w14:textId="07C7E0C0" w:rsidR="003F0A06" w:rsidRPr="003F0A06"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r w:rsidRPr="003F0A06">
              <w:rPr>
                <w:rFonts w:ascii="Calibri" w:eastAsia="Times New Roman" w:hAnsi="Calibri" w:cs="Calibri"/>
                <w:color w:val="000000"/>
                <w:lang w:eastAsia="en-GB"/>
              </w:rPr>
              <w:t>102</w:t>
            </w:r>
            <w:r w:rsidRPr="003F0A06">
              <w:rPr>
                <w:rFonts w:ascii="Calibri" w:eastAsia="Times New Roman" w:hAnsi="Calibri" w:cs="Calibri"/>
                <w:color w:val="000000"/>
                <w:vertAlign w:val="superscript"/>
                <w:lang w:eastAsia="en-GB"/>
              </w:rPr>
              <w:t>#</w:t>
            </w:r>
          </w:p>
        </w:tc>
      </w:tr>
      <w:tr w:rsidR="003F0A06" w:rsidRPr="003F0A06" w14:paraId="18767645" w14:textId="20918685" w:rsidTr="0022110C">
        <w:trPr>
          <w:trHeight w:val="133"/>
        </w:trPr>
        <w:tc>
          <w:tcPr>
            <w:tcW w:w="2297" w:type="dxa"/>
          </w:tcPr>
          <w:p w14:paraId="02AE7FCD" w14:textId="73B4EA53" w:rsidR="003F0A06" w:rsidRPr="003F0A06"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proofErr w:type="spellStart"/>
            <w:r w:rsidRPr="003F0A06">
              <w:rPr>
                <w:rFonts w:ascii="Calibri" w:eastAsia="Times New Roman" w:hAnsi="Calibri" w:cs="Calibri"/>
                <w:color w:val="000000"/>
                <w:lang w:eastAsia="en-GB"/>
              </w:rPr>
              <w:t>Tmax</w:t>
            </w:r>
            <w:proofErr w:type="spellEnd"/>
            <w:r w:rsidRPr="003F0A06">
              <w:rPr>
                <w:rFonts w:ascii="Calibri" w:eastAsia="Times New Roman" w:hAnsi="Calibri" w:cs="Calibri"/>
                <w:color w:val="000000"/>
                <w:lang w:eastAsia="en-GB"/>
              </w:rPr>
              <w:t xml:space="preserve"> (min)</w:t>
            </w:r>
          </w:p>
        </w:tc>
        <w:tc>
          <w:tcPr>
            <w:tcW w:w="3260" w:type="dxa"/>
          </w:tcPr>
          <w:p w14:paraId="2A1FA840" w14:textId="571F8AD1" w:rsidR="003F0A06" w:rsidRPr="003F0A06"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r w:rsidRPr="003F0A06">
              <w:rPr>
                <w:rFonts w:ascii="Calibri" w:eastAsia="Times New Roman" w:hAnsi="Calibri" w:cs="Calibri"/>
                <w:color w:val="000000"/>
                <w:lang w:eastAsia="en-GB"/>
              </w:rPr>
              <w:t>123.5</w:t>
            </w:r>
          </w:p>
        </w:tc>
      </w:tr>
      <w:tr w:rsidR="003F0A06" w:rsidRPr="003F0A06" w14:paraId="5EB4DE3B" w14:textId="49FF31B6" w:rsidTr="0022110C">
        <w:trPr>
          <w:trHeight w:val="133"/>
        </w:trPr>
        <w:tc>
          <w:tcPr>
            <w:tcW w:w="2297" w:type="dxa"/>
          </w:tcPr>
          <w:p w14:paraId="13A3E89F" w14:textId="7E8E79C5" w:rsidR="003F0A06" w:rsidRPr="003F0A06"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proofErr w:type="spellStart"/>
            <w:r w:rsidRPr="003F0A06">
              <w:rPr>
                <w:rFonts w:ascii="Calibri" w:eastAsia="Times New Roman" w:hAnsi="Calibri" w:cs="Calibri"/>
                <w:color w:val="000000"/>
                <w:lang w:eastAsia="en-GB"/>
              </w:rPr>
              <w:lastRenderedPageBreak/>
              <w:t>Cmax</w:t>
            </w:r>
            <w:proofErr w:type="spellEnd"/>
            <w:r w:rsidRPr="003F0A06">
              <w:rPr>
                <w:rFonts w:ascii="Calibri" w:eastAsia="Times New Roman" w:hAnsi="Calibri" w:cs="Calibri"/>
                <w:color w:val="000000"/>
                <w:lang w:eastAsia="en-GB"/>
              </w:rPr>
              <w:t xml:space="preserve"> (</w:t>
            </w:r>
            <w:proofErr w:type="spellStart"/>
            <w:r w:rsidRPr="003F0A06">
              <w:rPr>
                <w:rFonts w:ascii="Calibri" w:eastAsia="Times New Roman" w:hAnsi="Calibri" w:cs="Calibri"/>
                <w:color w:val="000000"/>
                <w:lang w:eastAsia="en-GB"/>
              </w:rPr>
              <w:t>μg</w:t>
            </w:r>
            <w:proofErr w:type="spellEnd"/>
            <w:r w:rsidRPr="003F0A06">
              <w:rPr>
                <w:rFonts w:ascii="Calibri" w:eastAsia="Times New Roman" w:hAnsi="Calibri" w:cs="Calibri"/>
                <w:color w:val="000000"/>
                <w:lang w:eastAsia="en-GB"/>
              </w:rPr>
              <w:t>/mL)</w:t>
            </w:r>
          </w:p>
        </w:tc>
        <w:tc>
          <w:tcPr>
            <w:tcW w:w="3260" w:type="dxa"/>
          </w:tcPr>
          <w:p w14:paraId="77EAAE84" w14:textId="701D5FD2" w:rsidR="003F0A06" w:rsidRPr="003F0A06"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r w:rsidRPr="003F0A06">
              <w:rPr>
                <w:rFonts w:ascii="Calibri" w:eastAsia="Times New Roman" w:hAnsi="Calibri" w:cs="Calibri"/>
                <w:color w:val="000000"/>
                <w:lang w:eastAsia="en-GB"/>
              </w:rPr>
              <w:t>47.3</w:t>
            </w:r>
          </w:p>
        </w:tc>
      </w:tr>
      <w:tr w:rsidR="003F0A06" w:rsidRPr="003F0A06" w14:paraId="37EA5902" w14:textId="7D454089" w:rsidTr="0022110C">
        <w:trPr>
          <w:trHeight w:val="133"/>
        </w:trPr>
        <w:tc>
          <w:tcPr>
            <w:tcW w:w="2297" w:type="dxa"/>
          </w:tcPr>
          <w:p w14:paraId="5BBE6DD3" w14:textId="3AE27214" w:rsidR="003F0A06" w:rsidRPr="003F0A06"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r w:rsidRPr="003F0A06">
              <w:rPr>
                <w:rFonts w:ascii="Calibri" w:eastAsia="Times New Roman" w:hAnsi="Calibri" w:cs="Calibri"/>
                <w:color w:val="000000"/>
                <w:lang w:eastAsia="en-GB"/>
              </w:rPr>
              <w:t>AUC (min-</w:t>
            </w:r>
            <w:proofErr w:type="spellStart"/>
            <w:r w:rsidRPr="003F0A06">
              <w:rPr>
                <w:rFonts w:ascii="Calibri" w:eastAsia="Times New Roman" w:hAnsi="Calibri" w:cs="Calibri"/>
                <w:color w:val="000000"/>
                <w:lang w:eastAsia="en-GB"/>
              </w:rPr>
              <w:t>μg</w:t>
            </w:r>
            <w:proofErr w:type="spellEnd"/>
            <w:r w:rsidRPr="003F0A06">
              <w:rPr>
                <w:rFonts w:ascii="Calibri" w:eastAsia="Times New Roman" w:hAnsi="Calibri" w:cs="Calibri"/>
                <w:color w:val="000000"/>
                <w:lang w:eastAsia="en-GB"/>
              </w:rPr>
              <w:t>/mL)</w:t>
            </w:r>
          </w:p>
        </w:tc>
        <w:tc>
          <w:tcPr>
            <w:tcW w:w="3260" w:type="dxa"/>
          </w:tcPr>
          <w:p w14:paraId="6C7FECFF" w14:textId="31F1EAB5" w:rsidR="003F0A06" w:rsidRPr="003F0A06"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r w:rsidRPr="003F0A06">
              <w:rPr>
                <w:rFonts w:ascii="Calibri" w:eastAsia="Times New Roman" w:hAnsi="Calibri" w:cs="Calibri"/>
                <w:color w:val="000000"/>
                <w:lang w:eastAsia="en-GB"/>
              </w:rPr>
              <w:t>5602.8</w:t>
            </w:r>
          </w:p>
        </w:tc>
      </w:tr>
      <w:tr w:rsidR="003F0A06" w:rsidRPr="003F0A06" w14:paraId="171896AE" w14:textId="29744AF3" w:rsidTr="0022110C">
        <w:trPr>
          <w:trHeight w:val="133"/>
        </w:trPr>
        <w:tc>
          <w:tcPr>
            <w:tcW w:w="2297" w:type="dxa"/>
          </w:tcPr>
          <w:p w14:paraId="346560E4" w14:textId="1C3F3851" w:rsidR="003F0A06" w:rsidRPr="003F0A06"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r w:rsidRPr="003F0A06">
              <w:rPr>
                <w:rFonts w:ascii="Calibri" w:eastAsia="Times New Roman" w:hAnsi="Calibri" w:cs="Calibri"/>
                <w:color w:val="000000"/>
                <w:lang w:eastAsia="en-GB"/>
              </w:rPr>
              <w:t>Cl (mL/min)</w:t>
            </w:r>
          </w:p>
        </w:tc>
        <w:tc>
          <w:tcPr>
            <w:tcW w:w="3260" w:type="dxa"/>
          </w:tcPr>
          <w:p w14:paraId="33156540" w14:textId="6FC13CD7" w:rsidR="003F0A06" w:rsidRPr="003F0A06"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r w:rsidRPr="003F0A06">
              <w:rPr>
                <w:rFonts w:ascii="Calibri" w:eastAsia="Times New Roman" w:hAnsi="Calibri" w:cs="Calibri"/>
                <w:color w:val="000000"/>
                <w:lang w:eastAsia="en-GB"/>
              </w:rPr>
              <w:t>58.2</w:t>
            </w:r>
            <w:r w:rsidRPr="003F0A06">
              <w:rPr>
                <w:rFonts w:ascii="Calibri" w:eastAsia="Times New Roman" w:hAnsi="Calibri" w:cs="Calibri"/>
                <w:color w:val="000000"/>
                <w:vertAlign w:val="superscript"/>
                <w:lang w:eastAsia="en-GB"/>
              </w:rPr>
              <w:t>#</w:t>
            </w:r>
          </w:p>
        </w:tc>
      </w:tr>
      <w:tr w:rsidR="003F0A06" w:rsidRPr="003F0A06" w14:paraId="4F5F0D5D" w14:textId="684A06B7" w:rsidTr="0022110C">
        <w:trPr>
          <w:trHeight w:val="133"/>
        </w:trPr>
        <w:tc>
          <w:tcPr>
            <w:tcW w:w="2297" w:type="dxa"/>
          </w:tcPr>
          <w:p w14:paraId="25594297" w14:textId="4060471B" w:rsidR="003F0A06" w:rsidRPr="003F0A06"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proofErr w:type="spellStart"/>
            <w:r w:rsidRPr="003F0A06">
              <w:rPr>
                <w:rFonts w:ascii="Calibri" w:eastAsia="Times New Roman" w:hAnsi="Calibri" w:cs="Calibri"/>
                <w:color w:val="000000"/>
                <w:lang w:eastAsia="en-GB"/>
              </w:rPr>
              <w:t>Vdss</w:t>
            </w:r>
            <w:proofErr w:type="spellEnd"/>
            <w:r w:rsidRPr="003F0A06">
              <w:rPr>
                <w:rFonts w:ascii="Calibri" w:eastAsia="Times New Roman" w:hAnsi="Calibri" w:cs="Calibri"/>
                <w:color w:val="000000"/>
                <w:lang w:eastAsia="en-GB"/>
              </w:rPr>
              <w:t xml:space="preserve"> (mL)</w:t>
            </w:r>
          </w:p>
        </w:tc>
        <w:tc>
          <w:tcPr>
            <w:tcW w:w="3260" w:type="dxa"/>
          </w:tcPr>
          <w:p w14:paraId="4F4C4D6F" w14:textId="6347F6AB" w:rsidR="003F0A06" w:rsidRPr="003F0A06" w:rsidRDefault="003F0A06" w:rsidP="003F0A06">
            <w:pPr>
              <w:autoSpaceDE w:val="0"/>
              <w:autoSpaceDN w:val="0"/>
              <w:adjustRightInd w:val="0"/>
              <w:spacing w:after="0" w:line="240" w:lineRule="auto"/>
              <w:jc w:val="center"/>
              <w:rPr>
                <w:rFonts w:ascii="Calibri" w:eastAsia="Times New Roman" w:hAnsi="Calibri" w:cs="Calibri"/>
                <w:color w:val="000000"/>
                <w:lang w:eastAsia="en-GB"/>
              </w:rPr>
            </w:pPr>
            <w:r w:rsidRPr="003F0A06">
              <w:rPr>
                <w:rFonts w:ascii="Calibri" w:eastAsia="Times New Roman" w:hAnsi="Calibri" w:cs="Calibri"/>
                <w:color w:val="000000"/>
                <w:lang w:eastAsia="en-GB"/>
              </w:rPr>
              <w:t>8080.2</w:t>
            </w:r>
            <w:r w:rsidRPr="003F0A06">
              <w:rPr>
                <w:rFonts w:ascii="Calibri" w:eastAsia="Times New Roman" w:hAnsi="Calibri" w:cs="Calibri"/>
                <w:color w:val="000000"/>
                <w:vertAlign w:val="superscript"/>
                <w:lang w:eastAsia="en-GB"/>
              </w:rPr>
              <w:t>#</w:t>
            </w:r>
          </w:p>
        </w:tc>
      </w:tr>
    </w:tbl>
    <w:p w14:paraId="16A7675D" w14:textId="0C1418B7" w:rsidR="00E24B77" w:rsidRPr="003F0A06" w:rsidRDefault="005933F2" w:rsidP="003B2C91">
      <w:pPr>
        <w:spacing w:line="240" w:lineRule="auto"/>
        <w:rPr>
          <w:sz w:val="18"/>
          <w:szCs w:val="18"/>
        </w:rPr>
      </w:pPr>
      <w:r>
        <w:rPr>
          <w:sz w:val="18"/>
          <w:szCs w:val="18"/>
        </w:rPr>
        <w:t xml:space="preserve">   </w:t>
      </w:r>
      <w:r w:rsidR="003F0A06" w:rsidRPr="003F0A06">
        <w:rPr>
          <w:sz w:val="18"/>
          <w:szCs w:val="18"/>
        </w:rPr>
        <w:t># N=9</w:t>
      </w:r>
    </w:p>
    <w:p w14:paraId="7DC0769A" w14:textId="2ABF28B0" w:rsidR="001D4718" w:rsidRPr="00A361DF" w:rsidRDefault="001D4718" w:rsidP="003B2C91">
      <w:pPr>
        <w:spacing w:line="240" w:lineRule="auto"/>
      </w:pPr>
      <w:r w:rsidRPr="00A361DF">
        <w:t>Maximum plasma concentrations peak at the end of the infusion period and decline thereafter with a rapid clearance</w:t>
      </w:r>
      <w:r w:rsidR="00061C87">
        <w:t xml:space="preserve">. </w:t>
      </w:r>
      <w:proofErr w:type="spellStart"/>
      <w:r w:rsidR="00061C87">
        <w:t>Defitelio</w:t>
      </w:r>
      <w:proofErr w:type="spellEnd"/>
      <w:r w:rsidR="00061C87">
        <w:t xml:space="preserve"> is undetectable</w:t>
      </w:r>
      <w:r w:rsidRPr="00A361DF">
        <w:t xml:space="preserve"> </w:t>
      </w:r>
      <w:r w:rsidR="00061C87">
        <w:t xml:space="preserve">in </w:t>
      </w:r>
      <w:r w:rsidRPr="00A361DF">
        <w:t xml:space="preserve">most samples </w:t>
      </w:r>
      <w:r w:rsidR="00061C87">
        <w:t>by</w:t>
      </w:r>
      <w:r w:rsidRPr="00A361DF">
        <w:t xml:space="preserve"> 3.5</w:t>
      </w:r>
      <w:r w:rsidR="00EC5673" w:rsidRPr="00A361DF">
        <w:t> </w:t>
      </w:r>
      <w:r w:rsidRPr="00A361DF">
        <w:t>hours after the start of the infusion.</w:t>
      </w:r>
    </w:p>
    <w:p w14:paraId="2FEA0B55" w14:textId="0B1DEFFD" w:rsidR="001D4718" w:rsidRPr="00A361DF" w:rsidRDefault="001D4718" w:rsidP="003B2C91">
      <w:pPr>
        <w:spacing w:line="240" w:lineRule="auto"/>
      </w:pPr>
      <w:r w:rsidRPr="00A361DF">
        <w:t xml:space="preserve">Pharmacokinetic </w:t>
      </w:r>
      <w:r w:rsidR="001402B4" w:rsidRPr="00A361DF">
        <w:t>modelling</w:t>
      </w:r>
      <w:r w:rsidRPr="00A361DF">
        <w:t xml:space="preserve"> simulation analysis show that </w:t>
      </w:r>
      <w:proofErr w:type="spellStart"/>
      <w:r w:rsidRPr="00A361DF">
        <w:t>Defitelio</w:t>
      </w:r>
      <w:proofErr w:type="spellEnd"/>
      <w:r w:rsidRPr="00A361DF">
        <w:t xml:space="preserve"> plasma concentrations do not accumulate upon multiple dose administration and with doses up to 4</w:t>
      </w:r>
      <w:r w:rsidR="006204BC" w:rsidRPr="00A361DF">
        <w:noBreakHyphen/>
      </w:r>
      <w:r w:rsidRPr="00A361DF">
        <w:t>fold the therapeutic dose.</w:t>
      </w:r>
    </w:p>
    <w:p w14:paraId="6D5251CD" w14:textId="2489BA19" w:rsidR="0061251D" w:rsidRDefault="00B12402" w:rsidP="003B2C91">
      <w:pPr>
        <w:spacing w:line="240" w:lineRule="auto"/>
      </w:pPr>
      <w:r w:rsidRPr="00A361DF">
        <w:t xml:space="preserve">Volume of distribution is around </w:t>
      </w:r>
      <w:r w:rsidR="0061251D">
        <w:t>8.1 to 9.1</w:t>
      </w:r>
      <w:r w:rsidR="0061251D" w:rsidRPr="00A361DF">
        <w:t> </w:t>
      </w:r>
      <w:r w:rsidRPr="00A361DF">
        <w:t>L</w:t>
      </w:r>
      <w:r w:rsidR="00DF5089" w:rsidRPr="00A361DF">
        <w:t>.</w:t>
      </w:r>
      <w:r w:rsidR="007C0771" w:rsidRPr="00A361DF">
        <w:t xml:space="preserve"> </w:t>
      </w:r>
    </w:p>
    <w:p w14:paraId="40C19425" w14:textId="61A40B4C" w:rsidR="001C2BF7" w:rsidRPr="00A361DF" w:rsidRDefault="001D21D3" w:rsidP="003B2C91">
      <w:pPr>
        <w:spacing w:line="240" w:lineRule="auto"/>
      </w:pPr>
      <w:r w:rsidRPr="00A361DF">
        <w:rPr>
          <w:i/>
        </w:rPr>
        <w:t>In vitro</w:t>
      </w:r>
      <w:r w:rsidRPr="00A361DF">
        <w:t xml:space="preserve"> studies demonstrate that 93% of </w:t>
      </w:r>
      <w:proofErr w:type="spellStart"/>
      <w:r w:rsidRPr="00A361DF">
        <w:t>Defitelio</w:t>
      </w:r>
      <w:proofErr w:type="spellEnd"/>
      <w:r w:rsidRPr="00A361DF">
        <w:t xml:space="preserve"> is bound to plasma proteins.</w:t>
      </w:r>
    </w:p>
    <w:p w14:paraId="59DD42A3" w14:textId="77777777" w:rsidR="003B2C91" w:rsidRPr="00A361DF" w:rsidRDefault="003B2C91" w:rsidP="003B2C91">
      <w:pPr>
        <w:spacing w:line="240" w:lineRule="auto"/>
        <w:rPr>
          <w:iCs/>
          <w:u w:val="single"/>
        </w:rPr>
      </w:pPr>
      <w:r w:rsidRPr="00A361DF">
        <w:rPr>
          <w:iCs/>
          <w:u w:val="single"/>
        </w:rPr>
        <w:t>Metabolism</w:t>
      </w:r>
    </w:p>
    <w:p w14:paraId="296AE72B" w14:textId="7590161E" w:rsidR="003B2C91" w:rsidRPr="00A361DF" w:rsidRDefault="003B2C91" w:rsidP="003B2C91">
      <w:pPr>
        <w:spacing w:line="240" w:lineRule="auto"/>
      </w:pPr>
      <w:r w:rsidRPr="00A361DF">
        <w:t>Defibrotide does not inhibit or induce CYP450s.</w:t>
      </w:r>
    </w:p>
    <w:p w14:paraId="184463F9" w14:textId="3DBE76C1" w:rsidR="00B12402" w:rsidRPr="00A361DF" w:rsidRDefault="003B2C91" w:rsidP="003B2C91">
      <w:pPr>
        <w:spacing w:line="240" w:lineRule="auto"/>
        <w:rPr>
          <w:iCs/>
          <w:u w:val="single"/>
        </w:rPr>
      </w:pPr>
      <w:r w:rsidRPr="00A361DF">
        <w:rPr>
          <w:iCs/>
          <w:u w:val="single"/>
        </w:rPr>
        <w:t>Excretion</w:t>
      </w:r>
    </w:p>
    <w:p w14:paraId="41B5094B" w14:textId="77777777" w:rsidR="0061251D" w:rsidRDefault="0061251D" w:rsidP="0061251D">
      <w:pPr>
        <w:spacing w:line="240" w:lineRule="auto"/>
      </w:pPr>
      <w:r>
        <w:t>Metabolism followed by urinary excretion is likely the main route of elimination. The estimated total clearance is 3.4 to 6.1 L/h.</w:t>
      </w:r>
    </w:p>
    <w:p w14:paraId="53765363" w14:textId="2D00EC68" w:rsidR="001C2BF7" w:rsidRPr="00A361DF" w:rsidRDefault="001D21D3" w:rsidP="003B2C91">
      <w:pPr>
        <w:spacing w:line="240" w:lineRule="auto"/>
      </w:pPr>
      <w:r w:rsidRPr="00A361DF">
        <w:t>After administration of the therapeutic dose (6.</w:t>
      </w:r>
      <w:r w:rsidR="00D44F2E" w:rsidRPr="00A361DF">
        <w:t>25 </w:t>
      </w:r>
      <w:r w:rsidRPr="00A361DF">
        <w:t>mg/kg) to healthy subjects, an average of 9.48% of the total dose administered is excreted in urine as unchanged defibrotide in 24</w:t>
      </w:r>
      <w:r w:rsidR="00D44F2E" w:rsidRPr="00A361DF">
        <w:t> </w:t>
      </w:r>
      <w:r w:rsidRPr="00A361DF">
        <w:t>hours, with the majority excreted during the first collection interval of 0</w:t>
      </w:r>
      <w:r w:rsidR="006204BC" w:rsidRPr="00A361DF">
        <w:noBreakHyphen/>
      </w:r>
      <w:r w:rsidRPr="00A361DF">
        <w:t>4</w:t>
      </w:r>
      <w:r w:rsidR="00D44F2E" w:rsidRPr="00A361DF">
        <w:t> </w:t>
      </w:r>
      <w:r w:rsidRPr="00A361DF">
        <w:t>hours (approximately 98%).</w:t>
      </w:r>
    </w:p>
    <w:p w14:paraId="33FE3011" w14:textId="77777777" w:rsidR="001801CE" w:rsidRPr="00A361DF" w:rsidRDefault="001801CE" w:rsidP="003B2C91">
      <w:pPr>
        <w:spacing w:line="240" w:lineRule="auto"/>
        <w:rPr>
          <w:u w:val="single"/>
        </w:rPr>
      </w:pPr>
      <w:r w:rsidRPr="00A361DF">
        <w:rPr>
          <w:u w:val="single"/>
        </w:rPr>
        <w:t xml:space="preserve">Special </w:t>
      </w:r>
      <w:r w:rsidR="00DE0D2B" w:rsidRPr="00A361DF">
        <w:rPr>
          <w:u w:val="single"/>
        </w:rPr>
        <w:t>p</w:t>
      </w:r>
      <w:r w:rsidRPr="00A361DF">
        <w:rPr>
          <w:u w:val="single"/>
        </w:rPr>
        <w:t>opulations</w:t>
      </w:r>
    </w:p>
    <w:p w14:paraId="05CFDD7D" w14:textId="77777777" w:rsidR="001D21D3" w:rsidRPr="00A361DF" w:rsidRDefault="001D21D3" w:rsidP="003B2C91">
      <w:pPr>
        <w:spacing w:line="240" w:lineRule="auto"/>
        <w:rPr>
          <w:i/>
        </w:rPr>
      </w:pPr>
      <w:r w:rsidRPr="00A361DF">
        <w:rPr>
          <w:i/>
        </w:rPr>
        <w:t xml:space="preserve">Renal </w:t>
      </w:r>
      <w:r w:rsidR="00DE0D2B" w:rsidRPr="00A361DF">
        <w:rPr>
          <w:i/>
        </w:rPr>
        <w:t>i</w:t>
      </w:r>
      <w:r w:rsidRPr="00A361DF">
        <w:rPr>
          <w:i/>
        </w:rPr>
        <w:t>mpairment</w:t>
      </w:r>
    </w:p>
    <w:p w14:paraId="0B22BBEE" w14:textId="4EDEAAEC" w:rsidR="001D21D3" w:rsidRPr="00A361DF" w:rsidRDefault="001D21D3" w:rsidP="003B2C91">
      <w:pPr>
        <w:spacing w:line="240" w:lineRule="auto"/>
      </w:pPr>
      <w:r w:rsidRPr="00A361DF">
        <w:t xml:space="preserve">Six patients with an </w:t>
      </w:r>
      <w:r w:rsidR="008D2E27" w:rsidRPr="00A361DF">
        <w:t>estimated glomerular filtratio</w:t>
      </w:r>
      <w:r w:rsidRPr="00A361DF">
        <w:t>n rate &lt;30</w:t>
      </w:r>
      <w:r w:rsidR="00D44F2E" w:rsidRPr="00A361DF">
        <w:t> </w:t>
      </w:r>
      <w:r w:rsidRPr="00A361DF">
        <w:t>mL/min/1.73m</w:t>
      </w:r>
      <w:r w:rsidRPr="00A361DF">
        <w:rPr>
          <w:vertAlign w:val="superscript"/>
        </w:rPr>
        <w:t>2</w:t>
      </w:r>
      <w:r w:rsidRPr="00A361DF">
        <w:t xml:space="preserve"> (calculated using the Modification of Diet in Renal Disease equation) and not currently on dialysis were compared to 6 healthy subjects with similar baseline demographics. </w:t>
      </w:r>
      <w:proofErr w:type="spellStart"/>
      <w:r w:rsidRPr="00A361DF">
        <w:t>Defitelio</w:t>
      </w:r>
      <w:proofErr w:type="spellEnd"/>
      <w:r w:rsidRPr="00A361DF">
        <w:t xml:space="preserve"> 6.25</w:t>
      </w:r>
      <w:r w:rsidR="00D44F2E" w:rsidRPr="00A361DF">
        <w:t> </w:t>
      </w:r>
      <w:r w:rsidRPr="00A361DF">
        <w:t>mg/kg was administered intravenously over 2</w:t>
      </w:r>
      <w:r w:rsidR="00D44F2E" w:rsidRPr="00A361DF">
        <w:t> </w:t>
      </w:r>
      <w:r w:rsidRPr="00A361DF">
        <w:t>hours to subjects every 6</w:t>
      </w:r>
      <w:r w:rsidR="00D44F2E" w:rsidRPr="00A361DF">
        <w:t> </w:t>
      </w:r>
      <w:r w:rsidRPr="00A361DF">
        <w:t>hours. Compared to healthy controls, subjects with renal impairment demonstrated 1.6– and 1.4</w:t>
      </w:r>
      <w:r w:rsidR="006204BC" w:rsidRPr="00A361DF">
        <w:noBreakHyphen/>
      </w:r>
      <w:r w:rsidRPr="00A361DF">
        <w:t xml:space="preserve">fold increases in AUC and </w:t>
      </w:r>
      <w:proofErr w:type="spellStart"/>
      <w:r w:rsidRPr="00A361DF">
        <w:t>Cmax</w:t>
      </w:r>
      <w:proofErr w:type="spellEnd"/>
      <w:r w:rsidRPr="00A361DF">
        <w:t>, respectively and a half</w:t>
      </w:r>
      <w:r w:rsidR="006204BC" w:rsidRPr="00A361DF">
        <w:noBreakHyphen/>
      </w:r>
      <w:r w:rsidRPr="00A361DF">
        <w:t>life of about twice that of healthy subjects.</w:t>
      </w:r>
    </w:p>
    <w:p w14:paraId="13068C4A" w14:textId="77777777" w:rsidR="001D21D3" w:rsidRPr="00A361DF" w:rsidRDefault="001D21D3" w:rsidP="003B2C91">
      <w:pPr>
        <w:spacing w:line="240" w:lineRule="auto"/>
      </w:pPr>
      <w:r w:rsidRPr="00A361DF">
        <w:t>The amount of defibrotide excreted in urine over 24</w:t>
      </w:r>
      <w:r w:rsidR="00D44F2E" w:rsidRPr="00A361DF">
        <w:t> </w:t>
      </w:r>
      <w:r w:rsidRPr="00A361DF">
        <w:t>hrs was about 5% of the total dose administered in those with renal impairment versus about 12% in healthy subjects.</w:t>
      </w:r>
    </w:p>
    <w:p w14:paraId="378DC2D0" w14:textId="5BFF0D52" w:rsidR="001D21D3" w:rsidRPr="00A361DF" w:rsidRDefault="008D2E27" w:rsidP="003B2C91">
      <w:pPr>
        <w:spacing w:line="240" w:lineRule="auto"/>
      </w:pPr>
      <w:r w:rsidRPr="00A361DF">
        <w:t>Almost all renal excretio</w:t>
      </w:r>
      <w:r w:rsidR="001D21D3" w:rsidRPr="00A361DF">
        <w:t>n occurs within the first 4</w:t>
      </w:r>
      <w:r w:rsidR="00D44F2E" w:rsidRPr="00A361DF">
        <w:t> </w:t>
      </w:r>
      <w:r w:rsidR="001D21D3" w:rsidRPr="00A361DF">
        <w:t>hours. Accumulation of defibrotide over 4 doses was not found. Difference in exposure is not considered clinically relevant and so dose adjustment is   not advised for patients with renal impairment (see section 4.2</w:t>
      </w:r>
      <w:r w:rsidR="009D4C50">
        <w:t xml:space="preserve"> </w:t>
      </w:r>
      <w:r w:rsidR="009D4C50" w:rsidRPr="00856D4F">
        <w:t>Dose and method of administration – Renal impairment</w:t>
      </w:r>
      <w:r w:rsidR="001D21D3" w:rsidRPr="00A361DF">
        <w:t>).</w:t>
      </w:r>
    </w:p>
    <w:p w14:paraId="087ED729" w14:textId="5BD69829" w:rsidR="001D21D3" w:rsidRPr="007C573B" w:rsidRDefault="001D21D3" w:rsidP="003B2C91">
      <w:pPr>
        <w:spacing w:line="240" w:lineRule="auto"/>
      </w:pPr>
      <w:r w:rsidRPr="00A361DF">
        <w:lastRenderedPageBreak/>
        <w:t>In a sub</w:t>
      </w:r>
      <w:r w:rsidR="006204BC" w:rsidRPr="00A361DF">
        <w:noBreakHyphen/>
      </w:r>
      <w:r w:rsidRPr="00A361DF">
        <w:t>study it was shown that haemodialysis did not remove defibrotide (</w:t>
      </w:r>
      <w:r w:rsidRPr="007C573B">
        <w:t>see section 4.2</w:t>
      </w:r>
      <w:r w:rsidR="007C573B" w:rsidRPr="007C573B">
        <w:t xml:space="preserve"> Dose and method of administration – Renal impairment</w:t>
      </w:r>
      <w:r w:rsidRPr="007C573B">
        <w:t>)</w:t>
      </w:r>
    </w:p>
    <w:p w14:paraId="77BF84E3" w14:textId="77777777" w:rsidR="001D21D3" w:rsidRPr="00A361DF" w:rsidRDefault="001D21D3" w:rsidP="003B2C91">
      <w:pPr>
        <w:spacing w:line="240" w:lineRule="auto"/>
        <w:rPr>
          <w:i/>
        </w:rPr>
      </w:pPr>
      <w:r w:rsidRPr="00A361DF">
        <w:rPr>
          <w:i/>
        </w:rPr>
        <w:t xml:space="preserve">Hepatic </w:t>
      </w:r>
      <w:r w:rsidR="00DE0D2B" w:rsidRPr="00A361DF">
        <w:rPr>
          <w:i/>
        </w:rPr>
        <w:t>impairment</w:t>
      </w:r>
    </w:p>
    <w:p w14:paraId="5880AE14" w14:textId="62CA9ADD" w:rsidR="001D4718" w:rsidRPr="007C573B" w:rsidRDefault="001D4718" w:rsidP="003B2C91">
      <w:pPr>
        <w:spacing w:line="240" w:lineRule="auto"/>
      </w:pPr>
      <w:r w:rsidRPr="00A361DF">
        <w:t xml:space="preserve">No formal </w:t>
      </w:r>
      <w:r w:rsidR="00A33C56" w:rsidRPr="00A361DF">
        <w:t>pharmacokinetic</w:t>
      </w:r>
      <w:r w:rsidRPr="00A361DF">
        <w:t xml:space="preserve"> studies have been pe</w:t>
      </w:r>
      <w:r w:rsidR="00F15DAB" w:rsidRPr="00A361DF">
        <w:t>r</w:t>
      </w:r>
      <w:r w:rsidRPr="00A361DF">
        <w:t>formed in</w:t>
      </w:r>
      <w:r w:rsidR="0021346B" w:rsidRPr="00A361DF">
        <w:t xml:space="preserve"> hepatic impaired patients</w:t>
      </w:r>
      <w:r w:rsidRPr="00A361DF">
        <w:t xml:space="preserve">. </w:t>
      </w:r>
      <w:proofErr w:type="spellStart"/>
      <w:r w:rsidRPr="00A361DF">
        <w:t>Defitelio</w:t>
      </w:r>
      <w:proofErr w:type="spellEnd"/>
      <w:r w:rsidRPr="00A361DF">
        <w:t xml:space="preserve"> has been used in clinical trials</w:t>
      </w:r>
      <w:r w:rsidR="00F15DAB" w:rsidRPr="00A361DF">
        <w:t xml:space="preserve"> in patients </w:t>
      </w:r>
      <w:r w:rsidR="0021346B" w:rsidRPr="00A361DF">
        <w:t xml:space="preserve">with </w:t>
      </w:r>
      <w:r w:rsidR="00F15DAB" w:rsidRPr="00A361DF">
        <w:t xml:space="preserve">hepatic impairment without dose adjustment with no major safety issues identified (see </w:t>
      </w:r>
      <w:r w:rsidR="00BF2CC9" w:rsidRPr="00A361DF">
        <w:t>s</w:t>
      </w:r>
      <w:r w:rsidR="00F15DAB" w:rsidRPr="00A361DF">
        <w:t xml:space="preserve">ection </w:t>
      </w:r>
      <w:r w:rsidR="00F15DAB" w:rsidRPr="007C573B">
        <w:t>4.2</w:t>
      </w:r>
      <w:r w:rsidR="007C573B" w:rsidRPr="007C573B">
        <w:t xml:space="preserve"> Dose and method of administration – Hepatic impairment</w:t>
      </w:r>
      <w:r w:rsidR="00F15DAB" w:rsidRPr="007C573B">
        <w:t>).</w:t>
      </w:r>
    </w:p>
    <w:p w14:paraId="1AF4600F" w14:textId="77777777" w:rsidR="000632CA" w:rsidRPr="00A361DF" w:rsidRDefault="005C75C5" w:rsidP="00251517">
      <w:pPr>
        <w:spacing w:before="360" w:line="240" w:lineRule="auto"/>
        <w:rPr>
          <w:b/>
        </w:rPr>
      </w:pPr>
      <w:r w:rsidRPr="00A361DF">
        <w:rPr>
          <w:b/>
        </w:rPr>
        <w:t>5.3</w:t>
      </w:r>
      <w:r w:rsidRPr="00A361DF">
        <w:rPr>
          <w:b/>
        </w:rPr>
        <w:tab/>
      </w:r>
      <w:r w:rsidR="000632CA" w:rsidRPr="00A361DF">
        <w:rPr>
          <w:b/>
        </w:rPr>
        <w:t xml:space="preserve">Preclinical </w:t>
      </w:r>
      <w:r w:rsidR="004E56F3" w:rsidRPr="00A361DF">
        <w:rPr>
          <w:b/>
        </w:rPr>
        <w:t>safety data</w:t>
      </w:r>
    </w:p>
    <w:p w14:paraId="12B2D536" w14:textId="06BE1E58" w:rsidR="003B2C91" w:rsidRPr="00FF1C59" w:rsidRDefault="00251517" w:rsidP="003B2C91">
      <w:pPr>
        <w:spacing w:line="240" w:lineRule="auto"/>
        <w:rPr>
          <w:u w:val="single"/>
        </w:rPr>
      </w:pPr>
      <w:proofErr w:type="spellStart"/>
      <w:r>
        <w:rPr>
          <w:u w:val="single"/>
        </w:rPr>
        <w:t>Genotoxicity</w:t>
      </w:r>
      <w:proofErr w:type="spellEnd"/>
    </w:p>
    <w:p w14:paraId="2B47656A" w14:textId="7046A858" w:rsidR="003B2C91" w:rsidRPr="00A361DF" w:rsidRDefault="003B2C91" w:rsidP="003B2C91">
      <w:pPr>
        <w:spacing w:line="240" w:lineRule="auto"/>
      </w:pPr>
      <w:r w:rsidRPr="00A361DF">
        <w:t>Non</w:t>
      </w:r>
      <w:r w:rsidRPr="00A361DF">
        <w:noBreakHyphen/>
        <w:t>clinical data reveal no special hazard for humans based on conven</w:t>
      </w:r>
      <w:r w:rsidR="00251517">
        <w:t xml:space="preserve">tional studies of </w:t>
      </w:r>
      <w:proofErr w:type="spellStart"/>
      <w:r w:rsidR="00251517">
        <w:t>genotoxicity</w:t>
      </w:r>
      <w:proofErr w:type="spellEnd"/>
      <w:r w:rsidR="00251517">
        <w:t>.</w:t>
      </w:r>
    </w:p>
    <w:p w14:paraId="41C19BA5" w14:textId="10A04838" w:rsidR="003B2C91" w:rsidRPr="00FF1C59" w:rsidRDefault="00251517" w:rsidP="003B2C91">
      <w:pPr>
        <w:spacing w:line="240" w:lineRule="auto"/>
        <w:rPr>
          <w:u w:val="single"/>
        </w:rPr>
      </w:pPr>
      <w:r>
        <w:rPr>
          <w:u w:val="single"/>
        </w:rPr>
        <w:t>Carcinogenicity</w:t>
      </w:r>
    </w:p>
    <w:p w14:paraId="004D790A" w14:textId="77777777" w:rsidR="003B1A4D" w:rsidRDefault="00030035" w:rsidP="00030035">
      <w:pPr>
        <w:spacing w:line="240" w:lineRule="auto"/>
      </w:pPr>
      <w:r w:rsidRPr="00030035">
        <w:t>While there was no evidence of carcinogenic potential following 2 years of dietary defibrotide administration to mice and rats (at up to 2000 mg/kg/day), this is not the clinical route of administration and the relative defibrotide exposure would be substantially less compared to intravenous administration, allowing limited conclusions to be drawn from these studies.</w:t>
      </w:r>
    </w:p>
    <w:p w14:paraId="2D06F495" w14:textId="19EB809F" w:rsidR="00030035" w:rsidRPr="00FF1C59" w:rsidRDefault="00030035" w:rsidP="00030035">
      <w:pPr>
        <w:spacing w:line="240" w:lineRule="auto"/>
        <w:rPr>
          <w:u w:val="single"/>
        </w:rPr>
      </w:pPr>
      <w:r w:rsidRPr="00FF1C59">
        <w:rPr>
          <w:u w:val="single"/>
        </w:rPr>
        <w:t>Juvenile toxicity</w:t>
      </w:r>
    </w:p>
    <w:p w14:paraId="7EE1CD8B" w14:textId="77777777" w:rsidR="00030035" w:rsidRPr="00A361DF" w:rsidRDefault="00030035" w:rsidP="00030035">
      <w:pPr>
        <w:spacing w:line="240" w:lineRule="auto"/>
      </w:pPr>
      <w:r w:rsidRPr="00A361DF">
        <w:t>Repeated intravenous administration of defibrotide, at doses below and close to the human therapeutic dose, to juvenile rats resulted in a delay in the mean age of preputial separation, suggesting a delay in the onset of male puberty in rats. However, the clinical relevance of these findings is unknown.</w:t>
      </w:r>
    </w:p>
    <w:p w14:paraId="7B3A661E" w14:textId="77777777" w:rsidR="000632CA" w:rsidRPr="00A361DF" w:rsidRDefault="005C75C5" w:rsidP="00251517">
      <w:pPr>
        <w:spacing w:before="360" w:line="240" w:lineRule="auto"/>
        <w:rPr>
          <w:b/>
        </w:rPr>
      </w:pPr>
      <w:r w:rsidRPr="00A361DF">
        <w:rPr>
          <w:b/>
        </w:rPr>
        <w:t>6.</w:t>
      </w:r>
      <w:r w:rsidRPr="00A361DF">
        <w:rPr>
          <w:b/>
        </w:rPr>
        <w:tab/>
      </w:r>
      <w:r w:rsidR="000632CA" w:rsidRPr="00A361DF">
        <w:rPr>
          <w:b/>
        </w:rPr>
        <w:t>PHARMACEUTICAL PARTICULARS</w:t>
      </w:r>
    </w:p>
    <w:p w14:paraId="48DCC6F0" w14:textId="77777777" w:rsidR="000632CA" w:rsidRPr="00A361DF" w:rsidRDefault="005C75C5" w:rsidP="003B2C91">
      <w:pPr>
        <w:spacing w:line="240" w:lineRule="auto"/>
        <w:rPr>
          <w:b/>
        </w:rPr>
      </w:pPr>
      <w:bookmarkStart w:id="6" w:name="_Ref316549931"/>
      <w:r w:rsidRPr="00A361DF">
        <w:rPr>
          <w:b/>
        </w:rPr>
        <w:t>6.1</w:t>
      </w:r>
      <w:r w:rsidRPr="00A361DF">
        <w:rPr>
          <w:b/>
        </w:rPr>
        <w:tab/>
      </w:r>
      <w:r w:rsidR="000632CA" w:rsidRPr="00A361DF">
        <w:rPr>
          <w:b/>
        </w:rPr>
        <w:t xml:space="preserve">List of </w:t>
      </w:r>
      <w:bookmarkEnd w:id="6"/>
      <w:r w:rsidR="004E56F3" w:rsidRPr="00A361DF">
        <w:rPr>
          <w:b/>
        </w:rPr>
        <w:t>excipients</w:t>
      </w:r>
    </w:p>
    <w:p w14:paraId="06B785C2" w14:textId="4F4FED49" w:rsidR="008F2E9B" w:rsidRPr="00A361DF" w:rsidRDefault="00665435" w:rsidP="003B2C91">
      <w:pPr>
        <w:spacing w:line="240" w:lineRule="auto"/>
      </w:pPr>
      <w:r w:rsidRPr="00A361DF">
        <w:t xml:space="preserve">Sodium </w:t>
      </w:r>
      <w:r w:rsidR="008F2E9B" w:rsidRPr="00A361DF">
        <w:t>c</w:t>
      </w:r>
      <w:r w:rsidRPr="00A361DF">
        <w:t>itrate</w:t>
      </w:r>
      <w:r w:rsidR="00D26374" w:rsidRPr="00A361DF">
        <w:t xml:space="preserve"> </w:t>
      </w:r>
      <w:proofErr w:type="spellStart"/>
      <w:r w:rsidR="00D26374" w:rsidRPr="00A361DF">
        <w:t>dihydrate</w:t>
      </w:r>
      <w:proofErr w:type="spellEnd"/>
      <w:r w:rsidR="00BB09C2" w:rsidRPr="00A361DF">
        <w:t xml:space="preserve"> </w:t>
      </w:r>
    </w:p>
    <w:p w14:paraId="49932783" w14:textId="77777777" w:rsidR="000632CA" w:rsidRPr="00A361DF" w:rsidRDefault="000632CA" w:rsidP="003B2C91">
      <w:pPr>
        <w:spacing w:line="240" w:lineRule="auto"/>
      </w:pPr>
      <w:r w:rsidRPr="00A361DF">
        <w:t>Hydrochloric acid (for pH adjustment)</w:t>
      </w:r>
    </w:p>
    <w:p w14:paraId="2D5FA3BC" w14:textId="77777777" w:rsidR="000632CA" w:rsidRPr="00A361DF" w:rsidRDefault="000632CA" w:rsidP="003B2C91">
      <w:pPr>
        <w:spacing w:line="240" w:lineRule="auto"/>
      </w:pPr>
      <w:r w:rsidRPr="00A361DF">
        <w:t>Sodium hydroxide (for pH adjustment)</w:t>
      </w:r>
    </w:p>
    <w:p w14:paraId="4919204A" w14:textId="77777777" w:rsidR="000632CA" w:rsidRPr="00A361DF" w:rsidRDefault="000632CA" w:rsidP="003B2C91">
      <w:pPr>
        <w:spacing w:line="240" w:lineRule="auto"/>
      </w:pPr>
      <w:r w:rsidRPr="00A361DF">
        <w:t>Water for injection</w:t>
      </w:r>
      <w:r w:rsidR="00333AD4" w:rsidRPr="00A361DF">
        <w:t>s</w:t>
      </w:r>
    </w:p>
    <w:p w14:paraId="51002473" w14:textId="77777777" w:rsidR="000632CA" w:rsidRPr="00A361DF" w:rsidRDefault="005C75C5" w:rsidP="00251517">
      <w:pPr>
        <w:spacing w:before="360" w:line="240" w:lineRule="auto"/>
        <w:rPr>
          <w:b/>
        </w:rPr>
      </w:pPr>
      <w:r w:rsidRPr="00A361DF">
        <w:rPr>
          <w:b/>
        </w:rPr>
        <w:t>6.2</w:t>
      </w:r>
      <w:r w:rsidRPr="00A361DF">
        <w:rPr>
          <w:b/>
        </w:rPr>
        <w:tab/>
      </w:r>
      <w:r w:rsidR="000632CA" w:rsidRPr="00A361DF">
        <w:rPr>
          <w:b/>
        </w:rPr>
        <w:t>Incompatibilities</w:t>
      </w:r>
    </w:p>
    <w:p w14:paraId="219EA36E" w14:textId="5A73EE47" w:rsidR="000632CA" w:rsidRDefault="00A96ED2" w:rsidP="003B2C91">
      <w:pPr>
        <w:spacing w:line="240" w:lineRule="auto"/>
      </w:pPr>
      <w:r w:rsidRPr="00A361DF">
        <w:t>T</w:t>
      </w:r>
      <w:r w:rsidR="000632CA" w:rsidRPr="00A361DF">
        <w:t>his medicinal product must not be mixed with other medicinal products</w:t>
      </w:r>
      <w:r w:rsidRPr="00A361DF">
        <w:t xml:space="preserve"> except those mentioned in section </w:t>
      </w:r>
      <w:r w:rsidR="00066A4B" w:rsidRPr="00A361DF">
        <w:t>4.2</w:t>
      </w:r>
      <w:r w:rsidR="009D4C50">
        <w:t xml:space="preserve"> </w:t>
      </w:r>
      <w:r w:rsidR="009D4C50" w:rsidRPr="007C573B">
        <w:t>Dose and method of administration – Method of administration</w:t>
      </w:r>
      <w:r w:rsidR="000632CA" w:rsidRPr="00A361DF">
        <w:t>.</w:t>
      </w:r>
    </w:p>
    <w:p w14:paraId="6CCFCEC0" w14:textId="77777777" w:rsidR="000632CA" w:rsidRPr="00A361DF" w:rsidRDefault="005C75C5" w:rsidP="003B2C91">
      <w:pPr>
        <w:spacing w:line="240" w:lineRule="auto"/>
        <w:ind w:left="567" w:hanging="567"/>
        <w:rPr>
          <w:b/>
        </w:rPr>
      </w:pPr>
      <w:bookmarkStart w:id="7" w:name="_Ref316551203"/>
      <w:r w:rsidRPr="00A361DF">
        <w:rPr>
          <w:b/>
        </w:rPr>
        <w:t>6.3</w:t>
      </w:r>
      <w:r w:rsidRPr="00A361DF">
        <w:rPr>
          <w:b/>
        </w:rPr>
        <w:tab/>
      </w:r>
      <w:r w:rsidR="000632CA" w:rsidRPr="00A361DF">
        <w:rPr>
          <w:b/>
        </w:rPr>
        <w:t xml:space="preserve">Shelf </w:t>
      </w:r>
      <w:bookmarkEnd w:id="7"/>
      <w:r w:rsidR="004E56F3" w:rsidRPr="00A361DF">
        <w:rPr>
          <w:b/>
        </w:rPr>
        <w:t>life</w:t>
      </w:r>
    </w:p>
    <w:p w14:paraId="31387325" w14:textId="77777777" w:rsidR="00AA3635" w:rsidRPr="00A361DF" w:rsidRDefault="000E1382" w:rsidP="003B2C91">
      <w:pPr>
        <w:spacing w:line="240" w:lineRule="auto"/>
      </w:pPr>
      <w:r w:rsidRPr="00A361DF">
        <w:rPr>
          <w:u w:val="single"/>
        </w:rPr>
        <w:t>Unopened vials</w:t>
      </w:r>
    </w:p>
    <w:p w14:paraId="5DA613ED" w14:textId="2C2803F3" w:rsidR="000632CA" w:rsidRPr="00A361DF" w:rsidRDefault="00FB2D60" w:rsidP="003B2C91">
      <w:pPr>
        <w:spacing w:line="240" w:lineRule="auto"/>
      </w:pPr>
      <w:r w:rsidRPr="00A361DF">
        <w:t>3</w:t>
      </w:r>
      <w:r w:rsidR="00EC5673" w:rsidRPr="00A361DF">
        <w:t> </w:t>
      </w:r>
      <w:r w:rsidR="00406FEE" w:rsidRPr="00A361DF">
        <w:t>years</w:t>
      </w:r>
      <w:r w:rsidR="00DF2E0F" w:rsidRPr="00A361DF">
        <w:t>.</w:t>
      </w:r>
    </w:p>
    <w:p w14:paraId="7E520AF0" w14:textId="77777777" w:rsidR="00AA3635" w:rsidRPr="00A361DF" w:rsidRDefault="000E1382" w:rsidP="003B2C91">
      <w:pPr>
        <w:spacing w:line="240" w:lineRule="auto"/>
      </w:pPr>
      <w:r w:rsidRPr="00A361DF">
        <w:rPr>
          <w:u w:val="single"/>
        </w:rPr>
        <w:lastRenderedPageBreak/>
        <w:t>In</w:t>
      </w:r>
      <w:r w:rsidR="006204BC" w:rsidRPr="00A361DF">
        <w:rPr>
          <w:u w:val="single"/>
        </w:rPr>
        <w:noBreakHyphen/>
      </w:r>
      <w:r w:rsidRPr="00A361DF">
        <w:rPr>
          <w:u w:val="single"/>
        </w:rPr>
        <w:t>use stability after first opening and/or dilution</w:t>
      </w:r>
    </w:p>
    <w:p w14:paraId="2C7A871C" w14:textId="2108231F" w:rsidR="00D26374" w:rsidRPr="00A361DF" w:rsidRDefault="00AA3635" w:rsidP="003B2C91">
      <w:pPr>
        <w:spacing w:line="240" w:lineRule="auto"/>
      </w:pPr>
      <w:r w:rsidRPr="00A361DF">
        <w:t>F</w:t>
      </w:r>
      <w:r w:rsidR="000E1382" w:rsidRPr="00A361DF">
        <w:t>rom a microbiological point of view, after dilution, the reconstituted medicinal prod</w:t>
      </w:r>
      <w:r w:rsidR="00251517">
        <w:t>uct should be used immediately.</w:t>
      </w:r>
    </w:p>
    <w:p w14:paraId="0FD7C2F1" w14:textId="7CA584DF" w:rsidR="000632CA" w:rsidRPr="00A361DF" w:rsidRDefault="00D26374" w:rsidP="003B2C91">
      <w:pPr>
        <w:spacing w:line="240" w:lineRule="auto"/>
      </w:pPr>
      <w:r w:rsidRPr="00A361DF">
        <w:t>If not used immediately</w:t>
      </w:r>
      <w:r w:rsidR="00030035">
        <w:t>, store at</w:t>
      </w:r>
      <w:r w:rsidRPr="00A361DF">
        <w:t xml:space="preserve"> 2</w:t>
      </w:r>
      <w:r w:rsidR="006204BC" w:rsidRPr="00A361DF">
        <w:noBreakHyphen/>
      </w:r>
      <w:r w:rsidRPr="00A361DF">
        <w:t>8</w:t>
      </w:r>
      <w:r w:rsidR="00E82C73" w:rsidRPr="00A361DF">
        <w:sym w:font="Symbol" w:char="F0B0"/>
      </w:r>
      <w:r w:rsidRPr="00A361DF">
        <w:t>C</w:t>
      </w:r>
      <w:r w:rsidR="00030035">
        <w:t xml:space="preserve"> and discard after 24 hours</w:t>
      </w:r>
      <w:r w:rsidRPr="00A361DF">
        <w:t>.</w:t>
      </w:r>
    </w:p>
    <w:p w14:paraId="34A78F40" w14:textId="77777777" w:rsidR="000632CA" w:rsidRPr="00A361DF" w:rsidRDefault="005C75C5" w:rsidP="00251517">
      <w:pPr>
        <w:spacing w:before="360" w:line="240" w:lineRule="auto"/>
        <w:rPr>
          <w:b/>
        </w:rPr>
      </w:pPr>
      <w:r w:rsidRPr="00A361DF">
        <w:rPr>
          <w:b/>
        </w:rPr>
        <w:t>6.4</w:t>
      </w:r>
      <w:r w:rsidRPr="00A361DF">
        <w:rPr>
          <w:b/>
        </w:rPr>
        <w:tab/>
      </w:r>
      <w:r w:rsidR="000632CA" w:rsidRPr="00A361DF">
        <w:rPr>
          <w:b/>
        </w:rPr>
        <w:t xml:space="preserve">Special </w:t>
      </w:r>
      <w:r w:rsidR="004E56F3" w:rsidRPr="00A361DF">
        <w:rPr>
          <w:b/>
        </w:rPr>
        <w:t xml:space="preserve">precautions </w:t>
      </w:r>
      <w:r w:rsidR="000632CA" w:rsidRPr="00A361DF">
        <w:rPr>
          <w:b/>
        </w:rPr>
        <w:t xml:space="preserve">for </w:t>
      </w:r>
      <w:r w:rsidR="004E56F3" w:rsidRPr="00A361DF">
        <w:rPr>
          <w:b/>
        </w:rPr>
        <w:t>storage</w:t>
      </w:r>
    </w:p>
    <w:p w14:paraId="6BA6C861" w14:textId="68143F21" w:rsidR="000632CA" w:rsidRPr="00A361DF" w:rsidRDefault="00E82C73" w:rsidP="003B2C91">
      <w:pPr>
        <w:spacing w:line="240" w:lineRule="auto"/>
      </w:pPr>
      <w:r w:rsidRPr="00A361DF">
        <w:t>Store below 25</w:t>
      </w:r>
      <w:r w:rsidRPr="00A361DF">
        <w:sym w:font="Symbol" w:char="F0B0"/>
      </w:r>
      <w:r w:rsidRPr="00A361DF">
        <w:t xml:space="preserve">C. </w:t>
      </w:r>
      <w:r w:rsidR="000632CA" w:rsidRPr="00A361DF">
        <w:t>Do not freeze</w:t>
      </w:r>
      <w:r w:rsidR="00B11311" w:rsidRPr="00A361DF">
        <w:t>.</w:t>
      </w:r>
    </w:p>
    <w:p w14:paraId="50829C17" w14:textId="5F0B006B" w:rsidR="000632CA" w:rsidRPr="00A361DF" w:rsidRDefault="000632CA" w:rsidP="003B2C91">
      <w:pPr>
        <w:spacing w:line="240" w:lineRule="auto"/>
      </w:pPr>
      <w:r w:rsidRPr="00A361DF">
        <w:t xml:space="preserve">For storage conditions </w:t>
      </w:r>
      <w:r w:rsidR="0021346B" w:rsidRPr="00A361DF">
        <w:t xml:space="preserve">after dilution of the </w:t>
      </w:r>
      <w:r w:rsidRPr="00A361DF">
        <w:t>medicinal product</w:t>
      </w:r>
      <w:r w:rsidR="0021346B" w:rsidRPr="00A361DF">
        <w:t>,</w:t>
      </w:r>
      <w:r w:rsidRPr="00A361DF">
        <w:t xml:space="preserve"> see </w:t>
      </w:r>
      <w:r w:rsidR="00BF2CC9" w:rsidRPr="00A361DF">
        <w:t>section</w:t>
      </w:r>
      <w:r w:rsidR="00566D00" w:rsidRPr="00A361DF">
        <w:t xml:space="preserve"> </w:t>
      </w:r>
      <w:r w:rsidR="005C75C5" w:rsidRPr="00A361DF">
        <w:t>6.3</w:t>
      </w:r>
      <w:r w:rsidR="009D4C50">
        <w:t xml:space="preserve"> </w:t>
      </w:r>
      <w:r w:rsidR="009D4C50" w:rsidRPr="002024ED">
        <w:t>Shelf life</w:t>
      </w:r>
      <w:r w:rsidRPr="00A361DF">
        <w:t>.</w:t>
      </w:r>
    </w:p>
    <w:p w14:paraId="630347B4" w14:textId="77777777" w:rsidR="000632CA" w:rsidRPr="00A361DF" w:rsidRDefault="005C75C5" w:rsidP="00251517">
      <w:pPr>
        <w:spacing w:before="360" w:line="240" w:lineRule="auto"/>
        <w:ind w:left="567" w:hanging="567"/>
        <w:rPr>
          <w:b/>
        </w:rPr>
      </w:pPr>
      <w:r w:rsidRPr="00A361DF">
        <w:rPr>
          <w:b/>
        </w:rPr>
        <w:t>6.5</w:t>
      </w:r>
      <w:r w:rsidRPr="00A361DF">
        <w:rPr>
          <w:b/>
        </w:rPr>
        <w:tab/>
      </w:r>
      <w:r w:rsidR="000632CA" w:rsidRPr="00A361DF">
        <w:rPr>
          <w:b/>
        </w:rPr>
        <w:t xml:space="preserve">Nature and </w:t>
      </w:r>
      <w:r w:rsidR="004E56F3" w:rsidRPr="00A361DF">
        <w:rPr>
          <w:b/>
        </w:rPr>
        <w:t xml:space="preserve">contents </w:t>
      </w:r>
      <w:r w:rsidR="000632CA" w:rsidRPr="00A361DF">
        <w:rPr>
          <w:b/>
        </w:rPr>
        <w:t xml:space="preserve">of </w:t>
      </w:r>
      <w:r w:rsidR="004E56F3" w:rsidRPr="00A361DF">
        <w:rPr>
          <w:b/>
        </w:rPr>
        <w:t>container</w:t>
      </w:r>
    </w:p>
    <w:p w14:paraId="18A5E4E4" w14:textId="77777777" w:rsidR="00566D00" w:rsidRPr="00A361DF" w:rsidRDefault="000632CA" w:rsidP="003B2C91">
      <w:pPr>
        <w:spacing w:line="240" w:lineRule="auto"/>
      </w:pPr>
      <w:r w:rsidRPr="00A361DF">
        <w:t>2.5</w:t>
      </w:r>
      <w:r w:rsidR="00EC5673" w:rsidRPr="00A361DF">
        <w:t> </w:t>
      </w:r>
      <w:r w:rsidR="0083115C" w:rsidRPr="00A361DF">
        <w:t>mL</w:t>
      </w:r>
      <w:r w:rsidRPr="00A361DF">
        <w:t xml:space="preserve"> vials</w:t>
      </w:r>
      <w:r w:rsidR="005F18D7" w:rsidRPr="00A361DF">
        <w:t xml:space="preserve"> (Type I clear glass)</w:t>
      </w:r>
      <w:r w:rsidRPr="00A361DF">
        <w:t>,</w:t>
      </w:r>
      <w:r w:rsidR="0021346B" w:rsidRPr="00A361DF">
        <w:t xml:space="preserve"> </w:t>
      </w:r>
      <w:r w:rsidRPr="00A361DF">
        <w:t xml:space="preserve">closed with </w:t>
      </w:r>
      <w:r w:rsidR="005F18D7" w:rsidRPr="00A361DF">
        <w:t>a stopper (</w:t>
      </w:r>
      <w:r w:rsidRPr="00A361DF">
        <w:t>butyl rubber</w:t>
      </w:r>
      <w:r w:rsidR="000E1382" w:rsidRPr="00A361DF">
        <w:t>)</w:t>
      </w:r>
      <w:r w:rsidRPr="00A361DF">
        <w:t xml:space="preserve"> and </w:t>
      </w:r>
      <w:r w:rsidR="005F18D7" w:rsidRPr="00A361DF">
        <w:t>seal (</w:t>
      </w:r>
      <w:r w:rsidRPr="00A361DF">
        <w:t>aluminium</w:t>
      </w:r>
      <w:r w:rsidR="005F18D7" w:rsidRPr="00A361DF">
        <w:t>)</w:t>
      </w:r>
      <w:r w:rsidR="00566D00" w:rsidRPr="00A361DF">
        <w:t>.</w:t>
      </w:r>
    </w:p>
    <w:p w14:paraId="119DA46F" w14:textId="77777777" w:rsidR="000632CA" w:rsidRPr="00A361DF" w:rsidRDefault="00566D00" w:rsidP="003B2C91">
      <w:pPr>
        <w:spacing w:line="240" w:lineRule="auto"/>
      </w:pPr>
      <w:r w:rsidRPr="00A361DF">
        <w:t>Pack size</w:t>
      </w:r>
      <w:r w:rsidR="006228C0" w:rsidRPr="00A361DF">
        <w:t xml:space="preserve"> </w:t>
      </w:r>
      <w:r w:rsidR="000632CA" w:rsidRPr="00A361DF">
        <w:t>of 10</w:t>
      </w:r>
      <w:r w:rsidR="00EC5673" w:rsidRPr="00A361DF">
        <w:t> </w:t>
      </w:r>
      <w:r w:rsidRPr="00A361DF">
        <w:t>vials</w:t>
      </w:r>
      <w:r w:rsidR="00B11311" w:rsidRPr="00A361DF">
        <w:t>.</w:t>
      </w:r>
    </w:p>
    <w:p w14:paraId="63790190" w14:textId="413A539F" w:rsidR="000632CA" w:rsidRPr="00A361DF" w:rsidRDefault="005C75C5" w:rsidP="00251517">
      <w:pPr>
        <w:spacing w:before="360" w:line="240" w:lineRule="auto"/>
        <w:ind w:left="567" w:hanging="567"/>
        <w:rPr>
          <w:b/>
        </w:rPr>
      </w:pPr>
      <w:bookmarkStart w:id="8" w:name="OLE_LINK1"/>
      <w:bookmarkStart w:id="9" w:name="_Ref316550094"/>
      <w:bookmarkEnd w:id="8"/>
      <w:r w:rsidRPr="00A361DF">
        <w:rPr>
          <w:b/>
        </w:rPr>
        <w:t>6.6</w:t>
      </w:r>
      <w:r w:rsidRPr="00A361DF">
        <w:rPr>
          <w:b/>
        </w:rPr>
        <w:tab/>
      </w:r>
      <w:r w:rsidR="000632CA" w:rsidRPr="00A361DF">
        <w:rPr>
          <w:b/>
        </w:rPr>
        <w:t xml:space="preserve">Special </w:t>
      </w:r>
      <w:r w:rsidR="004E56F3" w:rsidRPr="00A361DF">
        <w:rPr>
          <w:b/>
        </w:rPr>
        <w:t xml:space="preserve">precautions </w:t>
      </w:r>
      <w:r w:rsidR="000632CA" w:rsidRPr="00A361DF">
        <w:rPr>
          <w:b/>
        </w:rPr>
        <w:t xml:space="preserve">for </w:t>
      </w:r>
      <w:r w:rsidR="004E56F3" w:rsidRPr="00A361DF">
        <w:rPr>
          <w:b/>
        </w:rPr>
        <w:t>disposal</w:t>
      </w:r>
      <w:bookmarkEnd w:id="9"/>
    </w:p>
    <w:p w14:paraId="2C45FFCF" w14:textId="7FEF563E" w:rsidR="006228C0" w:rsidRPr="00A361DF" w:rsidRDefault="005F18D7" w:rsidP="003B2C91">
      <w:pPr>
        <w:spacing w:line="240" w:lineRule="auto"/>
      </w:pPr>
      <w:proofErr w:type="spellStart"/>
      <w:r w:rsidRPr="00A361DF">
        <w:t>Defitelio</w:t>
      </w:r>
      <w:proofErr w:type="spellEnd"/>
      <w:r w:rsidRPr="00A361DF">
        <w:t xml:space="preserve"> is for single</w:t>
      </w:r>
      <w:r w:rsidR="00F60F5F" w:rsidRPr="00A361DF">
        <w:t xml:space="preserve"> </w:t>
      </w:r>
      <w:r w:rsidRPr="00A361DF">
        <w:t xml:space="preserve">use </w:t>
      </w:r>
      <w:r w:rsidR="00030035">
        <w:t xml:space="preserve">in one patient </w:t>
      </w:r>
      <w:r w:rsidRPr="00A361DF">
        <w:t>only.</w:t>
      </w:r>
      <w:r w:rsidR="00030035">
        <w:t xml:space="preserve"> Discard any </w:t>
      </w:r>
      <w:r w:rsidR="00251517">
        <w:t>unused contents.</w:t>
      </w:r>
    </w:p>
    <w:p w14:paraId="65BF6CB4" w14:textId="7EBA738C" w:rsidR="000632CA" w:rsidRPr="00A361DF" w:rsidRDefault="00E82C73" w:rsidP="003B2C91">
      <w:pPr>
        <w:spacing w:line="240" w:lineRule="auto"/>
      </w:pPr>
      <w:r w:rsidRPr="00A361DF">
        <w:t>In Australia, a</w:t>
      </w:r>
      <w:r w:rsidR="000632CA" w:rsidRPr="00A361DF">
        <w:t xml:space="preserve">ny unused </w:t>
      </w:r>
      <w:r w:rsidR="005F18D7" w:rsidRPr="00A361DF">
        <w:t xml:space="preserve">medicinal </w:t>
      </w:r>
      <w:r w:rsidR="000632CA" w:rsidRPr="00A361DF">
        <w:t>product or waste material should be disposed of in accordance with local</w:t>
      </w:r>
      <w:r w:rsidR="0021346B" w:rsidRPr="00A361DF">
        <w:t xml:space="preserve"> </w:t>
      </w:r>
      <w:r w:rsidR="000632CA" w:rsidRPr="00A361DF">
        <w:t>requirements.</w:t>
      </w:r>
    </w:p>
    <w:p w14:paraId="2FE94DF0" w14:textId="649D7655" w:rsidR="001E5C7D" w:rsidRPr="00A361DF" w:rsidRDefault="00E82C73" w:rsidP="00251517">
      <w:pPr>
        <w:spacing w:before="360" w:line="240" w:lineRule="auto"/>
        <w:rPr>
          <w:b/>
        </w:rPr>
      </w:pPr>
      <w:r w:rsidRPr="00A361DF">
        <w:rPr>
          <w:b/>
        </w:rPr>
        <w:t xml:space="preserve">6.7 </w:t>
      </w:r>
      <w:r w:rsidRPr="00A361DF">
        <w:rPr>
          <w:b/>
        </w:rPr>
        <w:tab/>
      </w:r>
      <w:r w:rsidR="00066A4B" w:rsidRPr="00A361DF">
        <w:rPr>
          <w:b/>
        </w:rPr>
        <w:t>Physicochemical</w:t>
      </w:r>
      <w:r w:rsidR="00251517">
        <w:rPr>
          <w:b/>
        </w:rPr>
        <w:t xml:space="preserve"> properties</w:t>
      </w:r>
    </w:p>
    <w:p w14:paraId="07C55804" w14:textId="7676EAC3" w:rsidR="00E82C73" w:rsidRPr="00FF1C59" w:rsidRDefault="00E82C73" w:rsidP="003B2C91">
      <w:pPr>
        <w:spacing w:line="240" w:lineRule="auto"/>
        <w:rPr>
          <w:u w:val="single"/>
        </w:rPr>
      </w:pPr>
      <w:r w:rsidRPr="00FF1C59">
        <w:rPr>
          <w:u w:val="single"/>
        </w:rPr>
        <w:t>Chemical structure</w:t>
      </w:r>
    </w:p>
    <w:p w14:paraId="38CE3B7D" w14:textId="5B09161A" w:rsidR="00066A4B" w:rsidRPr="00A361DF" w:rsidRDefault="00D15607" w:rsidP="003B2C91">
      <w:pPr>
        <w:spacing w:line="240" w:lineRule="auto"/>
      </w:pPr>
      <w:r w:rsidRPr="00A361DF">
        <w:rPr>
          <w:noProof/>
          <w:lang w:eastAsia="en-AU"/>
        </w:rPr>
        <w:drawing>
          <wp:inline distT="0" distB="0" distL="0" distR="0" wp14:anchorId="3613CD53" wp14:editId="5575B6DA">
            <wp:extent cx="4320540" cy="2979666"/>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33168" cy="2988375"/>
                    </a:xfrm>
                    <a:prstGeom prst="rect">
                      <a:avLst/>
                    </a:prstGeom>
                  </pic:spPr>
                </pic:pic>
              </a:graphicData>
            </a:graphic>
          </wp:inline>
        </w:drawing>
      </w:r>
    </w:p>
    <w:p w14:paraId="70A90AB3" w14:textId="77777777" w:rsidR="00066A4B" w:rsidRPr="00184A86" w:rsidRDefault="00E82C73" w:rsidP="00066A4B">
      <w:pPr>
        <w:pStyle w:val="Default"/>
        <w:rPr>
          <w:rFonts w:asciiTheme="minorHAnsi" w:hAnsiTheme="minorHAnsi" w:cstheme="minorHAnsi"/>
          <w:b/>
          <w:sz w:val="22"/>
          <w:szCs w:val="22"/>
          <w:lang w:val="en-GB"/>
        </w:rPr>
      </w:pPr>
      <w:r w:rsidRPr="00184A86">
        <w:rPr>
          <w:rFonts w:asciiTheme="minorHAnsi" w:hAnsiTheme="minorHAnsi" w:cstheme="minorHAnsi"/>
          <w:b/>
          <w:sz w:val="22"/>
          <w:szCs w:val="22"/>
          <w:lang w:val="en-GB"/>
        </w:rPr>
        <w:t>CAS number</w:t>
      </w:r>
    </w:p>
    <w:p w14:paraId="200C5683" w14:textId="1E57BD22" w:rsidR="00066A4B" w:rsidRPr="00184A86" w:rsidRDefault="00066A4B" w:rsidP="00066A4B">
      <w:pPr>
        <w:pStyle w:val="Default"/>
        <w:rPr>
          <w:rFonts w:asciiTheme="minorHAnsi" w:hAnsiTheme="minorHAnsi" w:cstheme="minorHAnsi"/>
          <w:sz w:val="22"/>
          <w:szCs w:val="22"/>
        </w:rPr>
      </w:pPr>
      <w:r w:rsidRPr="00184A86">
        <w:rPr>
          <w:rFonts w:asciiTheme="minorHAnsi" w:hAnsiTheme="minorHAnsi" w:cstheme="minorHAnsi"/>
          <w:sz w:val="22"/>
          <w:szCs w:val="22"/>
          <w:lang w:val="en-GB"/>
        </w:rPr>
        <w:t>83712-60-1</w:t>
      </w:r>
    </w:p>
    <w:p w14:paraId="003E23C9" w14:textId="51EFBF4A" w:rsidR="000632CA" w:rsidRPr="00A361DF" w:rsidRDefault="005C75C5" w:rsidP="003B2C91">
      <w:pPr>
        <w:spacing w:line="240" w:lineRule="auto"/>
        <w:rPr>
          <w:b/>
        </w:rPr>
      </w:pPr>
      <w:r w:rsidRPr="00A361DF">
        <w:rPr>
          <w:b/>
        </w:rPr>
        <w:lastRenderedPageBreak/>
        <w:t>7.</w:t>
      </w:r>
      <w:r w:rsidRPr="00A361DF">
        <w:rPr>
          <w:b/>
        </w:rPr>
        <w:tab/>
      </w:r>
      <w:r w:rsidR="00C65F27" w:rsidRPr="00A361DF">
        <w:rPr>
          <w:b/>
        </w:rPr>
        <w:t>MEDICINE SCHEDULE (POISONS STANDARD)</w:t>
      </w:r>
    </w:p>
    <w:p w14:paraId="7D5712A2" w14:textId="1B2D33B0" w:rsidR="001E5C7D" w:rsidRPr="00A361DF" w:rsidRDefault="00251517" w:rsidP="003B2C91">
      <w:pPr>
        <w:spacing w:line="240" w:lineRule="auto"/>
      </w:pPr>
      <w:r>
        <w:t>S4 – Prescription Only Medicine</w:t>
      </w:r>
    </w:p>
    <w:p w14:paraId="5F3E4B82" w14:textId="679E6317" w:rsidR="000632CA" w:rsidRPr="00A361DF" w:rsidRDefault="005C75C5" w:rsidP="00251517">
      <w:pPr>
        <w:spacing w:before="360" w:line="240" w:lineRule="auto"/>
        <w:rPr>
          <w:b/>
        </w:rPr>
      </w:pPr>
      <w:r w:rsidRPr="00A361DF">
        <w:rPr>
          <w:b/>
        </w:rPr>
        <w:t>8.</w:t>
      </w:r>
      <w:r w:rsidRPr="00A361DF">
        <w:rPr>
          <w:b/>
        </w:rPr>
        <w:tab/>
      </w:r>
      <w:r w:rsidR="00251517">
        <w:rPr>
          <w:b/>
        </w:rPr>
        <w:t>SPONSOR</w:t>
      </w:r>
    </w:p>
    <w:p w14:paraId="7DB6D634" w14:textId="77D7E0A5" w:rsidR="001E5C7D" w:rsidRPr="00A361DF" w:rsidRDefault="00251517" w:rsidP="003B2C91">
      <w:pPr>
        <w:spacing w:line="240" w:lineRule="auto"/>
      </w:pPr>
      <w:r>
        <w:t>Link Medical Products Pty Ltd.</w:t>
      </w:r>
    </w:p>
    <w:p w14:paraId="6A449561" w14:textId="77777777" w:rsidR="00C65F27" w:rsidRPr="00A361DF" w:rsidRDefault="00C65F27" w:rsidP="003B2C91">
      <w:pPr>
        <w:spacing w:line="240" w:lineRule="auto"/>
      </w:pPr>
      <w:r w:rsidRPr="00A361DF">
        <w:t>5 Apollo St</w:t>
      </w:r>
    </w:p>
    <w:p w14:paraId="64239A41" w14:textId="77777777" w:rsidR="00C65F27" w:rsidRPr="00A361DF" w:rsidRDefault="00C65F27" w:rsidP="003B2C91">
      <w:pPr>
        <w:spacing w:line="240" w:lineRule="auto"/>
      </w:pPr>
      <w:r w:rsidRPr="00A361DF">
        <w:t>Warriewood NSW 2102</w:t>
      </w:r>
    </w:p>
    <w:p w14:paraId="26C72C03" w14:textId="66199BD5" w:rsidR="008F5D02" w:rsidRPr="00A361DF" w:rsidRDefault="00C65F27" w:rsidP="003B2C91">
      <w:pPr>
        <w:spacing w:line="240" w:lineRule="auto"/>
      </w:pPr>
      <w:r w:rsidRPr="00A361DF">
        <w:t xml:space="preserve">Australia </w:t>
      </w:r>
    </w:p>
    <w:p w14:paraId="2CFD5BEB" w14:textId="594DF56A" w:rsidR="000632CA" w:rsidRPr="00A361DF" w:rsidRDefault="005C75C5" w:rsidP="00251517">
      <w:pPr>
        <w:spacing w:before="360" w:line="240" w:lineRule="auto"/>
        <w:ind w:left="567" w:hanging="567"/>
        <w:rPr>
          <w:b/>
        </w:rPr>
      </w:pPr>
      <w:r w:rsidRPr="00A361DF">
        <w:rPr>
          <w:b/>
        </w:rPr>
        <w:t>9.</w:t>
      </w:r>
      <w:r w:rsidRPr="00A361DF">
        <w:rPr>
          <w:b/>
        </w:rPr>
        <w:tab/>
      </w:r>
      <w:r w:rsidR="000632CA" w:rsidRPr="00A361DF">
        <w:rPr>
          <w:b/>
        </w:rPr>
        <w:t xml:space="preserve">DATE OF FIRST </w:t>
      </w:r>
      <w:r w:rsidR="00C65F27" w:rsidRPr="00A361DF">
        <w:rPr>
          <w:b/>
        </w:rPr>
        <w:t>APPROVAL</w:t>
      </w:r>
    </w:p>
    <w:p w14:paraId="622F6928" w14:textId="3C2EF55D" w:rsidR="001E5C7D" w:rsidRPr="00A361DF" w:rsidRDefault="0025307E" w:rsidP="003B2C91">
      <w:pPr>
        <w:spacing w:line="240" w:lineRule="auto"/>
      </w:pPr>
      <w:r>
        <w:t>2</w:t>
      </w:r>
      <w:r w:rsidR="00EC2003">
        <w:t>3</w:t>
      </w:r>
      <w:r>
        <w:t xml:space="preserve"> July 2020</w:t>
      </w:r>
    </w:p>
    <w:sectPr w:rsidR="001E5C7D" w:rsidRPr="00A361DF" w:rsidSect="002C255B">
      <w:headerReference w:type="default" r:id="rId12"/>
      <w:footerReference w:type="even" r:id="rId13"/>
      <w:footerReference w:type="default" r:id="rId14"/>
      <w:pgSz w:w="11900" w:h="16840" w:code="9"/>
      <w:pgMar w:top="1134" w:right="1418" w:bottom="1134" w:left="1418"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4540A" w14:textId="77777777" w:rsidR="001D675D" w:rsidRDefault="001D675D">
      <w:r>
        <w:separator/>
      </w:r>
    </w:p>
  </w:endnote>
  <w:endnote w:type="continuationSeparator" w:id="0">
    <w:p w14:paraId="10998B90" w14:textId="77777777" w:rsidR="001D675D" w:rsidRDefault="001D675D">
      <w:r>
        <w:continuationSeparator/>
      </w:r>
    </w:p>
  </w:endnote>
  <w:endnote w:type="continuationNotice" w:id="1">
    <w:p w14:paraId="28588DE8" w14:textId="77777777" w:rsidR="001D675D" w:rsidRDefault="001D67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AD9A" w14:textId="77777777" w:rsidR="00027188" w:rsidRDefault="00027188">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auto"/>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736273"/>
      <w:docPartObj>
        <w:docPartGallery w:val="Page Numbers (Bottom of Page)"/>
        <w:docPartUnique/>
      </w:docPartObj>
    </w:sdtPr>
    <w:sdtEndPr/>
    <w:sdtContent>
      <w:sdt>
        <w:sdtPr>
          <w:id w:val="-1769616900"/>
          <w:docPartObj>
            <w:docPartGallery w:val="Page Numbers (Top of Page)"/>
            <w:docPartUnique/>
          </w:docPartObj>
        </w:sdtPr>
        <w:sdtEndPr/>
        <w:sdtContent>
          <w:p w14:paraId="7442807C" w14:textId="6B24A360" w:rsidR="00027188" w:rsidRDefault="00027188" w:rsidP="00184A86">
            <w:pPr>
              <w:pStyle w:val="Footer"/>
              <w:pBdr>
                <w:top w:val="single" w:sz="4" w:space="1" w:color="auto"/>
              </w:pBdr>
            </w:pPr>
            <w:proofErr w:type="spellStart"/>
            <w:r>
              <w:t>Defitelio</w:t>
            </w:r>
            <w:proofErr w:type="spellEnd"/>
            <w:r>
              <w:t xml:space="preserve"> Product Information </w:t>
            </w:r>
            <w:r w:rsidR="0025307E">
              <w:t>V1</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25151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1517">
              <w:rPr>
                <w:b/>
                <w:bCs/>
                <w:noProof/>
              </w:rPr>
              <w:t>16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B38FA" w14:textId="77777777" w:rsidR="001D675D" w:rsidRDefault="001D675D">
      <w:r>
        <w:separator/>
      </w:r>
    </w:p>
  </w:footnote>
  <w:footnote w:type="continuationSeparator" w:id="0">
    <w:p w14:paraId="1A64B5C0" w14:textId="77777777" w:rsidR="001D675D" w:rsidRDefault="001D675D">
      <w:r>
        <w:continuationSeparator/>
      </w:r>
    </w:p>
  </w:footnote>
  <w:footnote w:type="continuationNotice" w:id="1">
    <w:p w14:paraId="40E07CF2" w14:textId="77777777" w:rsidR="001D675D" w:rsidRDefault="001D675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FE3CF5" w14:paraId="515EB6D9" w14:textId="77777777" w:rsidTr="00326C3D">
      <w:tc>
        <w:tcPr>
          <w:tcW w:w="8720" w:type="dxa"/>
          <w:shd w:val="clear" w:color="auto" w:fill="E4F2E0"/>
        </w:tcPr>
        <w:p w14:paraId="0A008799" w14:textId="04D72E46" w:rsidR="00FE3CF5" w:rsidRPr="00FB03BD" w:rsidRDefault="00FE3CF5" w:rsidP="00FE3CF5">
          <w:r w:rsidRPr="00D361CA">
            <w:rPr>
              <w:b/>
              <w:sz w:val="20"/>
              <w:szCs w:val="20"/>
            </w:rPr>
            <w:t xml:space="preserve">Attachment 1: Product information for </w:t>
          </w:r>
          <w:proofErr w:type="spellStart"/>
          <w:r w:rsidRPr="00FE3CF5">
            <w:rPr>
              <w:b/>
              <w:sz w:val="20"/>
              <w:szCs w:val="20"/>
            </w:rPr>
            <w:t>AusPAR</w:t>
          </w:r>
          <w:proofErr w:type="spellEnd"/>
          <w:r w:rsidRPr="00FE3CF5">
            <w:rPr>
              <w:b/>
              <w:sz w:val="20"/>
              <w:szCs w:val="20"/>
            </w:rPr>
            <w:t xml:space="preserve"> - </w:t>
          </w:r>
          <w:proofErr w:type="spellStart"/>
          <w:r w:rsidRPr="00FE3CF5">
            <w:rPr>
              <w:b/>
              <w:sz w:val="20"/>
              <w:szCs w:val="20"/>
            </w:rPr>
            <w:t>Defitelio</w:t>
          </w:r>
          <w:proofErr w:type="spellEnd"/>
          <w:r w:rsidRPr="00FE3CF5">
            <w:rPr>
              <w:b/>
              <w:sz w:val="20"/>
              <w:szCs w:val="20"/>
            </w:rPr>
            <w:t xml:space="preserve"> – defibrotide - Link Medical Products Pty Ltd - PM-2019-01763-1-3</w:t>
          </w:r>
          <w:r>
            <w:rPr>
              <w:b/>
              <w:sz w:val="20"/>
              <w:szCs w:val="20"/>
            </w:rPr>
            <w:t xml:space="preserve"> </w:t>
          </w:r>
          <w:r w:rsidRPr="00FE3CF5">
            <w:rPr>
              <w:b/>
              <w:sz w:val="20"/>
              <w:szCs w:val="20"/>
            </w:rPr>
            <w:t>F</w:t>
          </w:r>
          <w:r>
            <w:rPr>
              <w:b/>
              <w:sz w:val="20"/>
              <w:szCs w:val="20"/>
            </w:rPr>
            <w:t>inal</w:t>
          </w:r>
          <w:r w:rsidRPr="00FE3CF5">
            <w:rPr>
              <w:b/>
              <w:sz w:val="20"/>
              <w:szCs w:val="20"/>
            </w:rPr>
            <w:t xml:space="preserve"> 3 December 2020</w:t>
          </w:r>
          <w:r w:rsidRPr="00D361CA">
            <w:rPr>
              <w:b/>
              <w:sz w:val="20"/>
              <w:szCs w:val="20"/>
            </w:rPr>
            <w:t xml:space="preserve">. </w:t>
          </w:r>
          <w:r w:rsidRPr="006918A5">
            <w:rPr>
              <w:b/>
              <w:sz w:val="18"/>
              <w:szCs w:val="18"/>
            </w:rPr>
            <w:t xml:space="preserve">This is the Product Information that was approved with the submission described in this </w:t>
          </w:r>
          <w:proofErr w:type="spellStart"/>
          <w:r w:rsidRPr="006918A5">
            <w:rPr>
              <w:b/>
              <w:sz w:val="18"/>
              <w:szCs w:val="18"/>
            </w:rPr>
            <w:t>AusPAR</w:t>
          </w:r>
          <w:proofErr w:type="spellEnd"/>
          <w:r w:rsidRPr="006918A5">
            <w:rPr>
              <w:b/>
              <w:sz w:val="18"/>
              <w:szCs w:val="18"/>
            </w:rPr>
            <w:t>. It may have been superseded. For the most recent PI, please refer to the TGA website at</w:t>
          </w:r>
          <w:r>
            <w:rPr>
              <w:b/>
              <w:sz w:val="18"/>
              <w:szCs w:val="18"/>
            </w:rPr>
            <w:t xml:space="preserve"> &lt;</w:t>
          </w:r>
          <w:hyperlink r:id="rId1" w:history="1">
            <w:r w:rsidRPr="006918A5">
              <w:rPr>
                <w:rStyle w:val="Hyperlink"/>
                <w:sz w:val="18"/>
                <w:szCs w:val="18"/>
              </w:rPr>
              <w:t>https://www.tga.gov.au/product-information-pi</w:t>
            </w:r>
          </w:hyperlink>
          <w:r w:rsidRPr="00FE3CF5">
            <w:rPr>
              <w:rStyle w:val="Hyperlink"/>
              <w:b/>
              <w:color w:val="000000" w:themeColor="text1"/>
              <w:sz w:val="18"/>
              <w:szCs w:val="18"/>
              <w:u w:val="none"/>
            </w:rPr>
            <w:t>&gt;</w:t>
          </w:r>
        </w:p>
      </w:tc>
    </w:tr>
  </w:tbl>
  <w:p w14:paraId="2D8E7630" w14:textId="77777777" w:rsidR="00027188" w:rsidRPr="00516CA0" w:rsidRDefault="00027188" w:rsidP="00516CA0">
    <w:pPr>
      <w:pStyle w:val="Header"/>
      <w:tabs>
        <w:tab w:val="right" w:pos="921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E0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DEDC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CB9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FA0C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8C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566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15:restartNumberingAfterBreak="0">
    <w:nsid w:val="FFFFFF88"/>
    <w:multiLevelType w:val="singleLevel"/>
    <w:tmpl w:val="8C7C0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5"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16"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2497758C"/>
    <w:multiLevelType w:val="hybridMultilevel"/>
    <w:tmpl w:val="A33CB060"/>
    <w:lvl w:ilvl="0" w:tplc="2EB68678">
      <w:start w:val="1"/>
      <w:numFmt w:val="decimal"/>
      <w:pStyle w:val="C-AppendixNumbered"/>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EA4CF5"/>
    <w:multiLevelType w:val="hybridMultilevel"/>
    <w:tmpl w:val="1C1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C76355"/>
    <w:multiLevelType w:val="hybridMultilevel"/>
    <w:tmpl w:val="C0AAEA8E"/>
    <w:lvl w:ilvl="0" w:tplc="FFFFFFFF">
      <w:start w:val="1"/>
      <w:numFmt w:val="bullet"/>
      <w:lvlText w:val="-"/>
      <w:lvlJc w:val="left"/>
      <w:pPr>
        <w:ind w:left="1440" w:hanging="360"/>
      </w:p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3"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5"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6"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7" w15:restartNumberingAfterBreak="0">
    <w:nsid w:val="53982D0B"/>
    <w:multiLevelType w:val="hybridMultilevel"/>
    <w:tmpl w:val="55C4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9" w15:restartNumberingAfterBreak="0">
    <w:nsid w:val="5E2626DC"/>
    <w:multiLevelType w:val="hybridMultilevel"/>
    <w:tmpl w:val="BDAE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1435A4"/>
    <w:multiLevelType w:val="hybridMultilevel"/>
    <w:tmpl w:val="9BEE678A"/>
    <w:lvl w:ilvl="0" w:tplc="3CDA044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3"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34069C"/>
    <w:multiLevelType w:val="hybridMultilevel"/>
    <w:tmpl w:val="6F26825A"/>
    <w:lvl w:ilvl="0" w:tplc="E362B168">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multilevel"/>
    <w:tmpl w:val="00000033"/>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8" w15:restartNumberingAfterBreak="0">
    <w:nsid w:val="711035A3"/>
    <w:multiLevelType w:val="hybridMultilevel"/>
    <w:tmpl w:val="EB6E8B28"/>
    <w:lvl w:ilvl="0" w:tplc="464AF2B6">
      <w:start w:val="1"/>
      <w:numFmt w:val="upperLetter"/>
      <w:pStyle w:val="C-Appendix"/>
      <w:lvlText w:val="Appendix %1."/>
      <w:lvlJc w:val="left"/>
      <w:pPr>
        <w:tabs>
          <w:tab w:val="num" w:pos="1987"/>
        </w:tabs>
        <w:ind w:left="1987" w:hanging="19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40" w15:restartNumberingAfterBreak="0">
    <w:nsid w:val="7704350C"/>
    <w:multiLevelType w:val="hybridMultilevel"/>
    <w:tmpl w:val="B89492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33"/>
  </w:num>
  <w:num w:numId="4">
    <w:abstractNumId w:val="23"/>
  </w:num>
  <w:num w:numId="5">
    <w:abstractNumId w:val="26"/>
  </w:num>
  <w:num w:numId="6">
    <w:abstractNumId w:val="39"/>
  </w:num>
  <w:num w:numId="7">
    <w:abstractNumId w:val="34"/>
  </w:num>
  <w:num w:numId="8">
    <w:abstractNumId w:val="17"/>
  </w:num>
  <w:num w:numId="9">
    <w:abstractNumId w:val="25"/>
  </w:num>
  <w:num w:numId="10">
    <w:abstractNumId w:val="28"/>
  </w:num>
  <w:num w:numId="11">
    <w:abstractNumId w:val="24"/>
  </w:num>
  <w:num w:numId="12">
    <w:abstractNumId w:val="13"/>
  </w:num>
  <w:num w:numId="13">
    <w:abstractNumId w:val="32"/>
  </w:num>
  <w:num w:numId="14">
    <w:abstractNumId w:val="37"/>
  </w:num>
  <w:num w:numId="15">
    <w:abstractNumId w:val="12"/>
  </w:num>
  <w:num w:numId="16">
    <w:abstractNumId w:val="19"/>
  </w:num>
  <w:num w:numId="17">
    <w:abstractNumId w:val="29"/>
  </w:num>
  <w:num w:numId="18">
    <w:abstractNumId w:val="35"/>
  </w:num>
  <w:num w:numId="19">
    <w:abstractNumId w:val="31"/>
  </w:num>
  <w:num w:numId="20">
    <w:abstractNumId w:val="9"/>
  </w:num>
  <w:num w:numId="21">
    <w:abstractNumId w:val="7"/>
  </w:num>
  <w:num w:numId="22">
    <w:abstractNumId w:val="16"/>
  </w:num>
  <w:num w:numId="23">
    <w:abstractNumId w:val="6"/>
  </w:num>
  <w:num w:numId="24">
    <w:abstractNumId w:val="14"/>
  </w:num>
  <w:num w:numId="25">
    <w:abstractNumId w:val="30"/>
  </w:num>
  <w:num w:numId="26">
    <w:abstractNumId w:val="36"/>
  </w:num>
  <w:num w:numId="27">
    <w:abstractNumId w:val="40"/>
  </w:num>
  <w:num w:numId="28">
    <w:abstractNumId w:val="41"/>
  </w:num>
  <w:num w:numId="29">
    <w:abstractNumId w:val="21"/>
  </w:num>
  <w:num w:numId="30">
    <w:abstractNumId w:val="18"/>
  </w:num>
  <w:num w:numId="31">
    <w:abstractNumId w:val="20"/>
  </w:num>
  <w:num w:numId="32">
    <w:abstractNumId w:val="27"/>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removePersonalInformation/>
  <w:removeDateAndTime/>
  <w:embedSystemFonts/>
  <w:bordersDoNotSurroundHeader/>
  <w:bordersDoNotSurroundFooter/>
  <w:proofState w:spelling="clean" w:grammar="clean"/>
  <w:linkStyle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DE"/>
    <w:rsid w:val="00000759"/>
    <w:rsid w:val="0000357F"/>
    <w:rsid w:val="00004F9A"/>
    <w:rsid w:val="00010BA4"/>
    <w:rsid w:val="00013437"/>
    <w:rsid w:val="00014497"/>
    <w:rsid w:val="00014945"/>
    <w:rsid w:val="000178DF"/>
    <w:rsid w:val="00020502"/>
    <w:rsid w:val="00024056"/>
    <w:rsid w:val="00024192"/>
    <w:rsid w:val="00027188"/>
    <w:rsid w:val="00030035"/>
    <w:rsid w:val="00030613"/>
    <w:rsid w:val="00032DDC"/>
    <w:rsid w:val="00040EDC"/>
    <w:rsid w:val="00042FAB"/>
    <w:rsid w:val="00043035"/>
    <w:rsid w:val="00044044"/>
    <w:rsid w:val="0004549B"/>
    <w:rsid w:val="00045E8A"/>
    <w:rsid w:val="00046DCC"/>
    <w:rsid w:val="000505D1"/>
    <w:rsid w:val="0005234C"/>
    <w:rsid w:val="00057DE8"/>
    <w:rsid w:val="00061C87"/>
    <w:rsid w:val="000632CA"/>
    <w:rsid w:val="00063372"/>
    <w:rsid w:val="00066A4B"/>
    <w:rsid w:val="00066FE8"/>
    <w:rsid w:val="00076CAA"/>
    <w:rsid w:val="000772D1"/>
    <w:rsid w:val="00077745"/>
    <w:rsid w:val="00080E26"/>
    <w:rsid w:val="0009130F"/>
    <w:rsid w:val="00094B1D"/>
    <w:rsid w:val="0009537E"/>
    <w:rsid w:val="000968AA"/>
    <w:rsid w:val="000A0E07"/>
    <w:rsid w:val="000A0F18"/>
    <w:rsid w:val="000A16EF"/>
    <w:rsid w:val="000A1DD7"/>
    <w:rsid w:val="000A35EF"/>
    <w:rsid w:val="000A4EE4"/>
    <w:rsid w:val="000B0B4D"/>
    <w:rsid w:val="000B0FC4"/>
    <w:rsid w:val="000B12D0"/>
    <w:rsid w:val="000B16FA"/>
    <w:rsid w:val="000B1929"/>
    <w:rsid w:val="000B3BB3"/>
    <w:rsid w:val="000B75BC"/>
    <w:rsid w:val="000C0C1E"/>
    <w:rsid w:val="000C24DF"/>
    <w:rsid w:val="000C2C6D"/>
    <w:rsid w:val="000C2D35"/>
    <w:rsid w:val="000C4598"/>
    <w:rsid w:val="000C47E2"/>
    <w:rsid w:val="000C4974"/>
    <w:rsid w:val="000C6693"/>
    <w:rsid w:val="000C79F3"/>
    <w:rsid w:val="000C7F72"/>
    <w:rsid w:val="000D34C6"/>
    <w:rsid w:val="000D4AE4"/>
    <w:rsid w:val="000D4C1F"/>
    <w:rsid w:val="000D53CF"/>
    <w:rsid w:val="000D5439"/>
    <w:rsid w:val="000D58C5"/>
    <w:rsid w:val="000D62FF"/>
    <w:rsid w:val="000E05A1"/>
    <w:rsid w:val="000E0609"/>
    <w:rsid w:val="000E1382"/>
    <w:rsid w:val="000E4F8A"/>
    <w:rsid w:val="000F0636"/>
    <w:rsid w:val="000F2105"/>
    <w:rsid w:val="000F6477"/>
    <w:rsid w:val="00102453"/>
    <w:rsid w:val="00110987"/>
    <w:rsid w:val="00120A78"/>
    <w:rsid w:val="00122429"/>
    <w:rsid w:val="00131A85"/>
    <w:rsid w:val="001402B4"/>
    <w:rsid w:val="00140A88"/>
    <w:rsid w:val="00143393"/>
    <w:rsid w:val="0014510F"/>
    <w:rsid w:val="00146870"/>
    <w:rsid w:val="00147CCD"/>
    <w:rsid w:val="00150E6F"/>
    <w:rsid w:val="00152C08"/>
    <w:rsid w:val="001555F2"/>
    <w:rsid w:val="00155F27"/>
    <w:rsid w:val="001574E7"/>
    <w:rsid w:val="001577F1"/>
    <w:rsid w:val="00157BC0"/>
    <w:rsid w:val="00160200"/>
    <w:rsid w:val="00162E10"/>
    <w:rsid w:val="00163F8C"/>
    <w:rsid w:val="00164825"/>
    <w:rsid w:val="001665C7"/>
    <w:rsid w:val="00170E7D"/>
    <w:rsid w:val="001715C3"/>
    <w:rsid w:val="00173180"/>
    <w:rsid w:val="00174445"/>
    <w:rsid w:val="0017554E"/>
    <w:rsid w:val="001801CE"/>
    <w:rsid w:val="001846DE"/>
    <w:rsid w:val="00184A86"/>
    <w:rsid w:val="00186469"/>
    <w:rsid w:val="00186B78"/>
    <w:rsid w:val="00187B47"/>
    <w:rsid w:val="00192B44"/>
    <w:rsid w:val="00193C4F"/>
    <w:rsid w:val="001945B0"/>
    <w:rsid w:val="00194877"/>
    <w:rsid w:val="001972D1"/>
    <w:rsid w:val="001A228B"/>
    <w:rsid w:val="001A228C"/>
    <w:rsid w:val="001A6A3A"/>
    <w:rsid w:val="001A71F5"/>
    <w:rsid w:val="001B0735"/>
    <w:rsid w:val="001B5C10"/>
    <w:rsid w:val="001B7EE8"/>
    <w:rsid w:val="001C0BC7"/>
    <w:rsid w:val="001C1295"/>
    <w:rsid w:val="001C1E45"/>
    <w:rsid w:val="001C2BF7"/>
    <w:rsid w:val="001C32EC"/>
    <w:rsid w:val="001C4EF5"/>
    <w:rsid w:val="001C5C12"/>
    <w:rsid w:val="001C7589"/>
    <w:rsid w:val="001D179D"/>
    <w:rsid w:val="001D21D3"/>
    <w:rsid w:val="001D46DC"/>
    <w:rsid w:val="001D4718"/>
    <w:rsid w:val="001D4C22"/>
    <w:rsid w:val="001D675D"/>
    <w:rsid w:val="001E32CF"/>
    <w:rsid w:val="001E3980"/>
    <w:rsid w:val="001E532A"/>
    <w:rsid w:val="001E5C7D"/>
    <w:rsid w:val="001E6B62"/>
    <w:rsid w:val="001F04E1"/>
    <w:rsid w:val="001F4E91"/>
    <w:rsid w:val="001F50F9"/>
    <w:rsid w:val="001F7C92"/>
    <w:rsid w:val="001F7DE4"/>
    <w:rsid w:val="002024ED"/>
    <w:rsid w:val="0020346D"/>
    <w:rsid w:val="00205226"/>
    <w:rsid w:val="0020542D"/>
    <w:rsid w:val="002075CF"/>
    <w:rsid w:val="0021022B"/>
    <w:rsid w:val="00211C69"/>
    <w:rsid w:val="00211D99"/>
    <w:rsid w:val="00211E56"/>
    <w:rsid w:val="00212634"/>
    <w:rsid w:val="0021346B"/>
    <w:rsid w:val="00220A60"/>
    <w:rsid w:val="0022110C"/>
    <w:rsid w:val="00223429"/>
    <w:rsid w:val="0022411E"/>
    <w:rsid w:val="00232782"/>
    <w:rsid w:val="00235EC7"/>
    <w:rsid w:val="00240641"/>
    <w:rsid w:val="00243A68"/>
    <w:rsid w:val="002464B4"/>
    <w:rsid w:val="00251517"/>
    <w:rsid w:val="00252A14"/>
    <w:rsid w:val="0025307E"/>
    <w:rsid w:val="00260287"/>
    <w:rsid w:val="00264BBD"/>
    <w:rsid w:val="00264CA7"/>
    <w:rsid w:val="002662A4"/>
    <w:rsid w:val="002726F9"/>
    <w:rsid w:val="002766D8"/>
    <w:rsid w:val="002769DB"/>
    <w:rsid w:val="00276A48"/>
    <w:rsid w:val="00277CA8"/>
    <w:rsid w:val="00280123"/>
    <w:rsid w:val="00280484"/>
    <w:rsid w:val="0028065E"/>
    <w:rsid w:val="0028128F"/>
    <w:rsid w:val="002815DE"/>
    <w:rsid w:val="00284B2C"/>
    <w:rsid w:val="00285D61"/>
    <w:rsid w:val="00287E13"/>
    <w:rsid w:val="00290786"/>
    <w:rsid w:val="00292928"/>
    <w:rsid w:val="00292FFD"/>
    <w:rsid w:val="00295C8E"/>
    <w:rsid w:val="002964AF"/>
    <w:rsid w:val="00296BBD"/>
    <w:rsid w:val="00297151"/>
    <w:rsid w:val="002A0C38"/>
    <w:rsid w:val="002A209E"/>
    <w:rsid w:val="002A4667"/>
    <w:rsid w:val="002B043C"/>
    <w:rsid w:val="002B10CA"/>
    <w:rsid w:val="002B4E27"/>
    <w:rsid w:val="002B56F4"/>
    <w:rsid w:val="002B57A8"/>
    <w:rsid w:val="002B67CA"/>
    <w:rsid w:val="002B67DE"/>
    <w:rsid w:val="002B7D81"/>
    <w:rsid w:val="002C255B"/>
    <w:rsid w:val="002C2BDE"/>
    <w:rsid w:val="002C3493"/>
    <w:rsid w:val="002C4549"/>
    <w:rsid w:val="002C4BDB"/>
    <w:rsid w:val="002D6751"/>
    <w:rsid w:val="002E0C6A"/>
    <w:rsid w:val="002E3D75"/>
    <w:rsid w:val="002E5A1E"/>
    <w:rsid w:val="002E76C7"/>
    <w:rsid w:val="002F1CA9"/>
    <w:rsid w:val="002F6667"/>
    <w:rsid w:val="002F68C6"/>
    <w:rsid w:val="002F76D0"/>
    <w:rsid w:val="00302762"/>
    <w:rsid w:val="003038E4"/>
    <w:rsid w:val="003041D5"/>
    <w:rsid w:val="00304E59"/>
    <w:rsid w:val="00305662"/>
    <w:rsid w:val="003109DA"/>
    <w:rsid w:val="00310A7D"/>
    <w:rsid w:val="00310D84"/>
    <w:rsid w:val="003110DF"/>
    <w:rsid w:val="00312F8B"/>
    <w:rsid w:val="00316F51"/>
    <w:rsid w:val="003211CB"/>
    <w:rsid w:val="003218D3"/>
    <w:rsid w:val="00322B86"/>
    <w:rsid w:val="003235AC"/>
    <w:rsid w:val="00323DF3"/>
    <w:rsid w:val="00325681"/>
    <w:rsid w:val="003276E9"/>
    <w:rsid w:val="00331B87"/>
    <w:rsid w:val="00332564"/>
    <w:rsid w:val="00332B81"/>
    <w:rsid w:val="00333826"/>
    <w:rsid w:val="00333AD4"/>
    <w:rsid w:val="00336295"/>
    <w:rsid w:val="0034347C"/>
    <w:rsid w:val="003435ED"/>
    <w:rsid w:val="00343A67"/>
    <w:rsid w:val="00346B5A"/>
    <w:rsid w:val="00347BA6"/>
    <w:rsid w:val="003524BA"/>
    <w:rsid w:val="00356730"/>
    <w:rsid w:val="00360582"/>
    <w:rsid w:val="00360B27"/>
    <w:rsid w:val="00361937"/>
    <w:rsid w:val="003645B0"/>
    <w:rsid w:val="00367C63"/>
    <w:rsid w:val="00371491"/>
    <w:rsid w:val="00371B9C"/>
    <w:rsid w:val="00373C84"/>
    <w:rsid w:val="0037632C"/>
    <w:rsid w:val="0037727B"/>
    <w:rsid w:val="00386585"/>
    <w:rsid w:val="00392AFB"/>
    <w:rsid w:val="00392B8B"/>
    <w:rsid w:val="003964B7"/>
    <w:rsid w:val="003A1624"/>
    <w:rsid w:val="003A1938"/>
    <w:rsid w:val="003A4685"/>
    <w:rsid w:val="003A6492"/>
    <w:rsid w:val="003B1A4D"/>
    <w:rsid w:val="003B2174"/>
    <w:rsid w:val="003B2C91"/>
    <w:rsid w:val="003B2FFE"/>
    <w:rsid w:val="003B5467"/>
    <w:rsid w:val="003B5A30"/>
    <w:rsid w:val="003C02E5"/>
    <w:rsid w:val="003C0482"/>
    <w:rsid w:val="003C3934"/>
    <w:rsid w:val="003C4ACA"/>
    <w:rsid w:val="003C4FE9"/>
    <w:rsid w:val="003D01C9"/>
    <w:rsid w:val="003D64FB"/>
    <w:rsid w:val="003E2572"/>
    <w:rsid w:val="003E2737"/>
    <w:rsid w:val="003E3DB6"/>
    <w:rsid w:val="003E681D"/>
    <w:rsid w:val="003F0A06"/>
    <w:rsid w:val="003F3450"/>
    <w:rsid w:val="003F383F"/>
    <w:rsid w:val="003F3F03"/>
    <w:rsid w:val="003F53FF"/>
    <w:rsid w:val="003F6089"/>
    <w:rsid w:val="003F7AD0"/>
    <w:rsid w:val="004007CE"/>
    <w:rsid w:val="00401523"/>
    <w:rsid w:val="00401D21"/>
    <w:rsid w:val="004055A0"/>
    <w:rsid w:val="00406FEE"/>
    <w:rsid w:val="00414FE7"/>
    <w:rsid w:val="0041570D"/>
    <w:rsid w:val="00415FDB"/>
    <w:rsid w:val="00422441"/>
    <w:rsid w:val="0042316E"/>
    <w:rsid w:val="00426F8F"/>
    <w:rsid w:val="004272D4"/>
    <w:rsid w:val="00427586"/>
    <w:rsid w:val="0043189E"/>
    <w:rsid w:val="004334BE"/>
    <w:rsid w:val="00436149"/>
    <w:rsid w:val="00440616"/>
    <w:rsid w:val="00442C79"/>
    <w:rsid w:val="00443F82"/>
    <w:rsid w:val="00445E0A"/>
    <w:rsid w:val="0045314F"/>
    <w:rsid w:val="0045552B"/>
    <w:rsid w:val="00462495"/>
    <w:rsid w:val="00463D83"/>
    <w:rsid w:val="0046467F"/>
    <w:rsid w:val="0046468E"/>
    <w:rsid w:val="0046618E"/>
    <w:rsid w:val="00466E28"/>
    <w:rsid w:val="00472757"/>
    <w:rsid w:val="00472998"/>
    <w:rsid w:val="004746C3"/>
    <w:rsid w:val="00477494"/>
    <w:rsid w:val="00480E0B"/>
    <w:rsid w:val="00483155"/>
    <w:rsid w:val="00487AFB"/>
    <w:rsid w:val="004901A1"/>
    <w:rsid w:val="00491CDB"/>
    <w:rsid w:val="004979E0"/>
    <w:rsid w:val="004A1552"/>
    <w:rsid w:val="004A38FA"/>
    <w:rsid w:val="004A5284"/>
    <w:rsid w:val="004A6D53"/>
    <w:rsid w:val="004B1EA6"/>
    <w:rsid w:val="004B291F"/>
    <w:rsid w:val="004B2922"/>
    <w:rsid w:val="004B54C4"/>
    <w:rsid w:val="004B5691"/>
    <w:rsid w:val="004B60C9"/>
    <w:rsid w:val="004B69AE"/>
    <w:rsid w:val="004B6BE1"/>
    <w:rsid w:val="004B6EA3"/>
    <w:rsid w:val="004C0C76"/>
    <w:rsid w:val="004C4597"/>
    <w:rsid w:val="004C7835"/>
    <w:rsid w:val="004C7CC2"/>
    <w:rsid w:val="004D0478"/>
    <w:rsid w:val="004D71C3"/>
    <w:rsid w:val="004D74EC"/>
    <w:rsid w:val="004E0979"/>
    <w:rsid w:val="004E09F2"/>
    <w:rsid w:val="004E0CFF"/>
    <w:rsid w:val="004E13D5"/>
    <w:rsid w:val="004E2532"/>
    <w:rsid w:val="004E516E"/>
    <w:rsid w:val="004E56F3"/>
    <w:rsid w:val="004E5C1B"/>
    <w:rsid w:val="004E61AA"/>
    <w:rsid w:val="004E7F38"/>
    <w:rsid w:val="004F164B"/>
    <w:rsid w:val="004F4BAC"/>
    <w:rsid w:val="004F4FA0"/>
    <w:rsid w:val="005003B9"/>
    <w:rsid w:val="005042A8"/>
    <w:rsid w:val="00504AB9"/>
    <w:rsid w:val="005104A7"/>
    <w:rsid w:val="00512567"/>
    <w:rsid w:val="00513545"/>
    <w:rsid w:val="0051567B"/>
    <w:rsid w:val="00516CA0"/>
    <w:rsid w:val="00520D01"/>
    <w:rsid w:val="00524C87"/>
    <w:rsid w:val="00525C18"/>
    <w:rsid w:val="00532BEA"/>
    <w:rsid w:val="00532C1B"/>
    <w:rsid w:val="00533410"/>
    <w:rsid w:val="00535FD0"/>
    <w:rsid w:val="00541ADA"/>
    <w:rsid w:val="005463F9"/>
    <w:rsid w:val="00546AE0"/>
    <w:rsid w:val="00550EB2"/>
    <w:rsid w:val="00552B9E"/>
    <w:rsid w:val="005535B5"/>
    <w:rsid w:val="00553691"/>
    <w:rsid w:val="00554749"/>
    <w:rsid w:val="005553A2"/>
    <w:rsid w:val="0055568E"/>
    <w:rsid w:val="0055673D"/>
    <w:rsid w:val="005570B2"/>
    <w:rsid w:val="005611C0"/>
    <w:rsid w:val="005639CF"/>
    <w:rsid w:val="00563AB3"/>
    <w:rsid w:val="00563CC2"/>
    <w:rsid w:val="00564B90"/>
    <w:rsid w:val="00565DF1"/>
    <w:rsid w:val="005661EF"/>
    <w:rsid w:val="00566D00"/>
    <w:rsid w:val="00570FF3"/>
    <w:rsid w:val="00576540"/>
    <w:rsid w:val="00580650"/>
    <w:rsid w:val="005831B8"/>
    <w:rsid w:val="005845FC"/>
    <w:rsid w:val="0059102F"/>
    <w:rsid w:val="005925AE"/>
    <w:rsid w:val="00592940"/>
    <w:rsid w:val="005933F2"/>
    <w:rsid w:val="005A1B5C"/>
    <w:rsid w:val="005A21A6"/>
    <w:rsid w:val="005B2DA2"/>
    <w:rsid w:val="005B3C46"/>
    <w:rsid w:val="005B74DD"/>
    <w:rsid w:val="005C0627"/>
    <w:rsid w:val="005C0ADC"/>
    <w:rsid w:val="005C4E80"/>
    <w:rsid w:val="005C75C5"/>
    <w:rsid w:val="005D1660"/>
    <w:rsid w:val="005D2A5F"/>
    <w:rsid w:val="005D5FE6"/>
    <w:rsid w:val="005E0496"/>
    <w:rsid w:val="005E1121"/>
    <w:rsid w:val="005F087A"/>
    <w:rsid w:val="005F18D7"/>
    <w:rsid w:val="005F6A01"/>
    <w:rsid w:val="006023C0"/>
    <w:rsid w:val="006055F7"/>
    <w:rsid w:val="00605774"/>
    <w:rsid w:val="0061251D"/>
    <w:rsid w:val="006127C1"/>
    <w:rsid w:val="00615297"/>
    <w:rsid w:val="00620204"/>
    <w:rsid w:val="006204BC"/>
    <w:rsid w:val="006228C0"/>
    <w:rsid w:val="00623AA5"/>
    <w:rsid w:val="00624DF1"/>
    <w:rsid w:val="0063043C"/>
    <w:rsid w:val="00632A17"/>
    <w:rsid w:val="00632A62"/>
    <w:rsid w:val="0063695C"/>
    <w:rsid w:val="00637092"/>
    <w:rsid w:val="00637BAA"/>
    <w:rsid w:val="00641A0D"/>
    <w:rsid w:val="00643F97"/>
    <w:rsid w:val="00646C45"/>
    <w:rsid w:val="006470BC"/>
    <w:rsid w:val="00647DF6"/>
    <w:rsid w:val="00651026"/>
    <w:rsid w:val="00651CD0"/>
    <w:rsid w:val="00654152"/>
    <w:rsid w:val="00654D7D"/>
    <w:rsid w:val="00656527"/>
    <w:rsid w:val="00657FC1"/>
    <w:rsid w:val="0066014D"/>
    <w:rsid w:val="00665435"/>
    <w:rsid w:val="00672595"/>
    <w:rsid w:val="00674451"/>
    <w:rsid w:val="00674F61"/>
    <w:rsid w:val="00675004"/>
    <w:rsid w:val="00675BD0"/>
    <w:rsid w:val="006766EE"/>
    <w:rsid w:val="00680089"/>
    <w:rsid w:val="00680840"/>
    <w:rsid w:val="006818BE"/>
    <w:rsid w:val="0068739B"/>
    <w:rsid w:val="0069041C"/>
    <w:rsid w:val="00692251"/>
    <w:rsid w:val="00693461"/>
    <w:rsid w:val="00693B32"/>
    <w:rsid w:val="0069677F"/>
    <w:rsid w:val="006A1165"/>
    <w:rsid w:val="006A6C24"/>
    <w:rsid w:val="006A730A"/>
    <w:rsid w:val="006A75D4"/>
    <w:rsid w:val="006B0762"/>
    <w:rsid w:val="006B0CE6"/>
    <w:rsid w:val="006B1AED"/>
    <w:rsid w:val="006B20A0"/>
    <w:rsid w:val="006B2AC7"/>
    <w:rsid w:val="006B2C2A"/>
    <w:rsid w:val="006B388E"/>
    <w:rsid w:val="006B4858"/>
    <w:rsid w:val="006B6143"/>
    <w:rsid w:val="006C40B4"/>
    <w:rsid w:val="006C753F"/>
    <w:rsid w:val="006C76F0"/>
    <w:rsid w:val="006D731F"/>
    <w:rsid w:val="006D7419"/>
    <w:rsid w:val="006D7517"/>
    <w:rsid w:val="006D799C"/>
    <w:rsid w:val="006D7C60"/>
    <w:rsid w:val="006E04AF"/>
    <w:rsid w:val="006E1402"/>
    <w:rsid w:val="006E310E"/>
    <w:rsid w:val="006E407F"/>
    <w:rsid w:val="006E6152"/>
    <w:rsid w:val="006F04FC"/>
    <w:rsid w:val="006F6D15"/>
    <w:rsid w:val="00701075"/>
    <w:rsid w:val="0070312B"/>
    <w:rsid w:val="00703B62"/>
    <w:rsid w:val="00703E7F"/>
    <w:rsid w:val="0070455C"/>
    <w:rsid w:val="0070777A"/>
    <w:rsid w:val="007121E6"/>
    <w:rsid w:val="0071239F"/>
    <w:rsid w:val="00713E13"/>
    <w:rsid w:val="00714C78"/>
    <w:rsid w:val="007164C8"/>
    <w:rsid w:val="00720649"/>
    <w:rsid w:val="00720992"/>
    <w:rsid w:val="007215B2"/>
    <w:rsid w:val="00721996"/>
    <w:rsid w:val="00722E07"/>
    <w:rsid w:val="00724505"/>
    <w:rsid w:val="0072702C"/>
    <w:rsid w:val="00731461"/>
    <w:rsid w:val="007320F7"/>
    <w:rsid w:val="007339DA"/>
    <w:rsid w:val="00735029"/>
    <w:rsid w:val="0074174B"/>
    <w:rsid w:val="00744890"/>
    <w:rsid w:val="00747052"/>
    <w:rsid w:val="00751E92"/>
    <w:rsid w:val="00753348"/>
    <w:rsid w:val="0075506E"/>
    <w:rsid w:val="0075534E"/>
    <w:rsid w:val="0075746D"/>
    <w:rsid w:val="00762324"/>
    <w:rsid w:val="00764705"/>
    <w:rsid w:val="00766221"/>
    <w:rsid w:val="00766343"/>
    <w:rsid w:val="007700D5"/>
    <w:rsid w:val="00771C69"/>
    <w:rsid w:val="0077241B"/>
    <w:rsid w:val="00775E87"/>
    <w:rsid w:val="00777DBF"/>
    <w:rsid w:val="007836DC"/>
    <w:rsid w:val="00785F9F"/>
    <w:rsid w:val="00786424"/>
    <w:rsid w:val="00786663"/>
    <w:rsid w:val="00787A5A"/>
    <w:rsid w:val="00793542"/>
    <w:rsid w:val="007A28CE"/>
    <w:rsid w:val="007A3A24"/>
    <w:rsid w:val="007A3F9B"/>
    <w:rsid w:val="007A45FC"/>
    <w:rsid w:val="007A468E"/>
    <w:rsid w:val="007A5107"/>
    <w:rsid w:val="007A7EFA"/>
    <w:rsid w:val="007B11E7"/>
    <w:rsid w:val="007B2E98"/>
    <w:rsid w:val="007B52BE"/>
    <w:rsid w:val="007B62AD"/>
    <w:rsid w:val="007B7864"/>
    <w:rsid w:val="007C0771"/>
    <w:rsid w:val="007C40BF"/>
    <w:rsid w:val="007C44AD"/>
    <w:rsid w:val="007C573B"/>
    <w:rsid w:val="007C6AC8"/>
    <w:rsid w:val="007C75B3"/>
    <w:rsid w:val="007D26F9"/>
    <w:rsid w:val="007D4DAA"/>
    <w:rsid w:val="007D5E23"/>
    <w:rsid w:val="007D6548"/>
    <w:rsid w:val="007D6C65"/>
    <w:rsid w:val="007E3595"/>
    <w:rsid w:val="007E48A9"/>
    <w:rsid w:val="007E6D86"/>
    <w:rsid w:val="007E7E09"/>
    <w:rsid w:val="007E7FD1"/>
    <w:rsid w:val="00800174"/>
    <w:rsid w:val="00802A9F"/>
    <w:rsid w:val="00803531"/>
    <w:rsid w:val="00806562"/>
    <w:rsid w:val="00813499"/>
    <w:rsid w:val="0081497F"/>
    <w:rsid w:val="008169F0"/>
    <w:rsid w:val="00816D11"/>
    <w:rsid w:val="00817B01"/>
    <w:rsid w:val="008200CE"/>
    <w:rsid w:val="0082113E"/>
    <w:rsid w:val="00827596"/>
    <w:rsid w:val="00827987"/>
    <w:rsid w:val="008300D3"/>
    <w:rsid w:val="0083115C"/>
    <w:rsid w:val="008347CB"/>
    <w:rsid w:val="008376A4"/>
    <w:rsid w:val="008421AA"/>
    <w:rsid w:val="0084382D"/>
    <w:rsid w:val="00847473"/>
    <w:rsid w:val="008477A7"/>
    <w:rsid w:val="008526B8"/>
    <w:rsid w:val="00856D4F"/>
    <w:rsid w:val="00856E22"/>
    <w:rsid w:val="00857F4E"/>
    <w:rsid w:val="00861F16"/>
    <w:rsid w:val="00862E50"/>
    <w:rsid w:val="00862F2E"/>
    <w:rsid w:val="008665A7"/>
    <w:rsid w:val="00870BBE"/>
    <w:rsid w:val="008714DF"/>
    <w:rsid w:val="00871BA2"/>
    <w:rsid w:val="00873337"/>
    <w:rsid w:val="008738A3"/>
    <w:rsid w:val="00875A79"/>
    <w:rsid w:val="008762C2"/>
    <w:rsid w:val="00877404"/>
    <w:rsid w:val="00877B5B"/>
    <w:rsid w:val="00883B96"/>
    <w:rsid w:val="00887532"/>
    <w:rsid w:val="00891C9C"/>
    <w:rsid w:val="00893D94"/>
    <w:rsid w:val="0089476B"/>
    <w:rsid w:val="00895993"/>
    <w:rsid w:val="00896298"/>
    <w:rsid w:val="00897F04"/>
    <w:rsid w:val="008A2413"/>
    <w:rsid w:val="008A2A78"/>
    <w:rsid w:val="008A447B"/>
    <w:rsid w:val="008B3812"/>
    <w:rsid w:val="008B4C98"/>
    <w:rsid w:val="008B7C7E"/>
    <w:rsid w:val="008C26D4"/>
    <w:rsid w:val="008C3144"/>
    <w:rsid w:val="008C6170"/>
    <w:rsid w:val="008C6E61"/>
    <w:rsid w:val="008D064A"/>
    <w:rsid w:val="008D2E27"/>
    <w:rsid w:val="008D451D"/>
    <w:rsid w:val="008D7B32"/>
    <w:rsid w:val="008D7DDF"/>
    <w:rsid w:val="008E04B2"/>
    <w:rsid w:val="008E17CC"/>
    <w:rsid w:val="008E1B8A"/>
    <w:rsid w:val="008E21F9"/>
    <w:rsid w:val="008E3C78"/>
    <w:rsid w:val="008E45D4"/>
    <w:rsid w:val="008E5359"/>
    <w:rsid w:val="008F06AB"/>
    <w:rsid w:val="008F2E9B"/>
    <w:rsid w:val="008F5D02"/>
    <w:rsid w:val="008F779D"/>
    <w:rsid w:val="008F7E05"/>
    <w:rsid w:val="00902279"/>
    <w:rsid w:val="009025F1"/>
    <w:rsid w:val="009026CD"/>
    <w:rsid w:val="0090411E"/>
    <w:rsid w:val="00905AD7"/>
    <w:rsid w:val="009135CC"/>
    <w:rsid w:val="0091367E"/>
    <w:rsid w:val="00913843"/>
    <w:rsid w:val="009149DB"/>
    <w:rsid w:val="00914BDC"/>
    <w:rsid w:val="009150A9"/>
    <w:rsid w:val="009157AC"/>
    <w:rsid w:val="00916152"/>
    <w:rsid w:val="00916994"/>
    <w:rsid w:val="00917241"/>
    <w:rsid w:val="00917457"/>
    <w:rsid w:val="00921C64"/>
    <w:rsid w:val="00930CA1"/>
    <w:rsid w:val="0093148C"/>
    <w:rsid w:val="00931525"/>
    <w:rsid w:val="009373CC"/>
    <w:rsid w:val="00937949"/>
    <w:rsid w:val="00943DDF"/>
    <w:rsid w:val="009454D3"/>
    <w:rsid w:val="00950D53"/>
    <w:rsid w:val="00951266"/>
    <w:rsid w:val="00952C65"/>
    <w:rsid w:val="0095452A"/>
    <w:rsid w:val="00955960"/>
    <w:rsid w:val="009643B5"/>
    <w:rsid w:val="00973EF2"/>
    <w:rsid w:val="00974543"/>
    <w:rsid w:val="00977166"/>
    <w:rsid w:val="00986047"/>
    <w:rsid w:val="009927AE"/>
    <w:rsid w:val="009959DC"/>
    <w:rsid w:val="00995B1D"/>
    <w:rsid w:val="00995BCB"/>
    <w:rsid w:val="00996184"/>
    <w:rsid w:val="00997D60"/>
    <w:rsid w:val="009A0DAF"/>
    <w:rsid w:val="009A6879"/>
    <w:rsid w:val="009B2DC7"/>
    <w:rsid w:val="009B51DA"/>
    <w:rsid w:val="009B61D2"/>
    <w:rsid w:val="009B7035"/>
    <w:rsid w:val="009C0744"/>
    <w:rsid w:val="009C0883"/>
    <w:rsid w:val="009C116F"/>
    <w:rsid w:val="009C3193"/>
    <w:rsid w:val="009C5A59"/>
    <w:rsid w:val="009C6C9E"/>
    <w:rsid w:val="009D2768"/>
    <w:rsid w:val="009D2E03"/>
    <w:rsid w:val="009D336E"/>
    <w:rsid w:val="009D4C50"/>
    <w:rsid w:val="009D6DCB"/>
    <w:rsid w:val="009D760F"/>
    <w:rsid w:val="009E1934"/>
    <w:rsid w:val="009E4856"/>
    <w:rsid w:val="009F012A"/>
    <w:rsid w:val="009F14F6"/>
    <w:rsid w:val="009F32F1"/>
    <w:rsid w:val="009F6389"/>
    <w:rsid w:val="009F6973"/>
    <w:rsid w:val="009F6A88"/>
    <w:rsid w:val="009F747B"/>
    <w:rsid w:val="00A00516"/>
    <w:rsid w:val="00A01EAF"/>
    <w:rsid w:val="00A0269E"/>
    <w:rsid w:val="00A0438F"/>
    <w:rsid w:val="00A068D4"/>
    <w:rsid w:val="00A171E5"/>
    <w:rsid w:val="00A20C83"/>
    <w:rsid w:val="00A21185"/>
    <w:rsid w:val="00A22893"/>
    <w:rsid w:val="00A25036"/>
    <w:rsid w:val="00A33029"/>
    <w:rsid w:val="00A33792"/>
    <w:rsid w:val="00A33C56"/>
    <w:rsid w:val="00A341C4"/>
    <w:rsid w:val="00A341F1"/>
    <w:rsid w:val="00A361DF"/>
    <w:rsid w:val="00A37C15"/>
    <w:rsid w:val="00A37C64"/>
    <w:rsid w:val="00A40165"/>
    <w:rsid w:val="00A4183C"/>
    <w:rsid w:val="00A41A6B"/>
    <w:rsid w:val="00A41F1E"/>
    <w:rsid w:val="00A44AF9"/>
    <w:rsid w:val="00A44F5B"/>
    <w:rsid w:val="00A46C80"/>
    <w:rsid w:val="00A51EEA"/>
    <w:rsid w:val="00A648AC"/>
    <w:rsid w:val="00A710F6"/>
    <w:rsid w:val="00A73BE0"/>
    <w:rsid w:val="00A75A1E"/>
    <w:rsid w:val="00A841B8"/>
    <w:rsid w:val="00A85D12"/>
    <w:rsid w:val="00A87FB7"/>
    <w:rsid w:val="00A9337B"/>
    <w:rsid w:val="00A93496"/>
    <w:rsid w:val="00A95B1F"/>
    <w:rsid w:val="00A96ED2"/>
    <w:rsid w:val="00AA0951"/>
    <w:rsid w:val="00AA190B"/>
    <w:rsid w:val="00AA3635"/>
    <w:rsid w:val="00AA6413"/>
    <w:rsid w:val="00AA6D9E"/>
    <w:rsid w:val="00AB01D9"/>
    <w:rsid w:val="00AC22BF"/>
    <w:rsid w:val="00AC371E"/>
    <w:rsid w:val="00AC3735"/>
    <w:rsid w:val="00AC631D"/>
    <w:rsid w:val="00AC750E"/>
    <w:rsid w:val="00AD20AF"/>
    <w:rsid w:val="00AD257B"/>
    <w:rsid w:val="00AE06A2"/>
    <w:rsid w:val="00AE1DC6"/>
    <w:rsid w:val="00AE2D48"/>
    <w:rsid w:val="00AE33F8"/>
    <w:rsid w:val="00AE4A6B"/>
    <w:rsid w:val="00AE7757"/>
    <w:rsid w:val="00AE7E23"/>
    <w:rsid w:val="00AF0076"/>
    <w:rsid w:val="00AF0DE0"/>
    <w:rsid w:val="00AF47B0"/>
    <w:rsid w:val="00AF4A67"/>
    <w:rsid w:val="00AF5178"/>
    <w:rsid w:val="00AF5B23"/>
    <w:rsid w:val="00B00152"/>
    <w:rsid w:val="00B00B16"/>
    <w:rsid w:val="00B040C2"/>
    <w:rsid w:val="00B04987"/>
    <w:rsid w:val="00B055A1"/>
    <w:rsid w:val="00B05D24"/>
    <w:rsid w:val="00B11311"/>
    <w:rsid w:val="00B12402"/>
    <w:rsid w:val="00B12746"/>
    <w:rsid w:val="00B132BF"/>
    <w:rsid w:val="00B16995"/>
    <w:rsid w:val="00B16EC2"/>
    <w:rsid w:val="00B21D75"/>
    <w:rsid w:val="00B21E7B"/>
    <w:rsid w:val="00B22566"/>
    <w:rsid w:val="00B264B4"/>
    <w:rsid w:val="00B26524"/>
    <w:rsid w:val="00B27392"/>
    <w:rsid w:val="00B31B9D"/>
    <w:rsid w:val="00B32966"/>
    <w:rsid w:val="00B32FFD"/>
    <w:rsid w:val="00B3306D"/>
    <w:rsid w:val="00B369D8"/>
    <w:rsid w:val="00B36B5B"/>
    <w:rsid w:val="00B41F5C"/>
    <w:rsid w:val="00B42CBC"/>
    <w:rsid w:val="00B4496D"/>
    <w:rsid w:val="00B4674B"/>
    <w:rsid w:val="00B52135"/>
    <w:rsid w:val="00B57E8D"/>
    <w:rsid w:val="00B6186D"/>
    <w:rsid w:val="00B63F9C"/>
    <w:rsid w:val="00B657F5"/>
    <w:rsid w:val="00B65FEE"/>
    <w:rsid w:val="00B677ED"/>
    <w:rsid w:val="00B72519"/>
    <w:rsid w:val="00B73F75"/>
    <w:rsid w:val="00B75F6A"/>
    <w:rsid w:val="00B77641"/>
    <w:rsid w:val="00B80863"/>
    <w:rsid w:val="00B82A7F"/>
    <w:rsid w:val="00B843C5"/>
    <w:rsid w:val="00B86DE0"/>
    <w:rsid w:val="00B879F5"/>
    <w:rsid w:val="00B92BAA"/>
    <w:rsid w:val="00B97D2C"/>
    <w:rsid w:val="00BA0480"/>
    <w:rsid w:val="00BA19F8"/>
    <w:rsid w:val="00BB09C2"/>
    <w:rsid w:val="00BB20BB"/>
    <w:rsid w:val="00BB39A5"/>
    <w:rsid w:val="00BB5743"/>
    <w:rsid w:val="00BB60B7"/>
    <w:rsid w:val="00BB7EBF"/>
    <w:rsid w:val="00BC114C"/>
    <w:rsid w:val="00BC4590"/>
    <w:rsid w:val="00BC5A72"/>
    <w:rsid w:val="00BC5FED"/>
    <w:rsid w:val="00BC62FD"/>
    <w:rsid w:val="00BC698A"/>
    <w:rsid w:val="00BD1156"/>
    <w:rsid w:val="00BD2536"/>
    <w:rsid w:val="00BD2E68"/>
    <w:rsid w:val="00BD463F"/>
    <w:rsid w:val="00BE4C8A"/>
    <w:rsid w:val="00BE5853"/>
    <w:rsid w:val="00BF1D29"/>
    <w:rsid w:val="00BF2CC9"/>
    <w:rsid w:val="00BF35DD"/>
    <w:rsid w:val="00BF591E"/>
    <w:rsid w:val="00BF7460"/>
    <w:rsid w:val="00BF7716"/>
    <w:rsid w:val="00C014C2"/>
    <w:rsid w:val="00C01622"/>
    <w:rsid w:val="00C026CC"/>
    <w:rsid w:val="00C034CD"/>
    <w:rsid w:val="00C040A8"/>
    <w:rsid w:val="00C10141"/>
    <w:rsid w:val="00C11CD3"/>
    <w:rsid w:val="00C12FE0"/>
    <w:rsid w:val="00C13BF3"/>
    <w:rsid w:val="00C151CC"/>
    <w:rsid w:val="00C17BC5"/>
    <w:rsid w:val="00C21C93"/>
    <w:rsid w:val="00C2269C"/>
    <w:rsid w:val="00C23791"/>
    <w:rsid w:val="00C306B1"/>
    <w:rsid w:val="00C31134"/>
    <w:rsid w:val="00C31E4F"/>
    <w:rsid w:val="00C32B99"/>
    <w:rsid w:val="00C356F6"/>
    <w:rsid w:val="00C37690"/>
    <w:rsid w:val="00C37738"/>
    <w:rsid w:val="00C4131E"/>
    <w:rsid w:val="00C41512"/>
    <w:rsid w:val="00C41E41"/>
    <w:rsid w:val="00C51E0B"/>
    <w:rsid w:val="00C53B63"/>
    <w:rsid w:val="00C65F27"/>
    <w:rsid w:val="00C66EC2"/>
    <w:rsid w:val="00C66F95"/>
    <w:rsid w:val="00C73C59"/>
    <w:rsid w:val="00C81C92"/>
    <w:rsid w:val="00C83583"/>
    <w:rsid w:val="00C83B10"/>
    <w:rsid w:val="00C84DBC"/>
    <w:rsid w:val="00C855C3"/>
    <w:rsid w:val="00C863C6"/>
    <w:rsid w:val="00C86E11"/>
    <w:rsid w:val="00C86EA5"/>
    <w:rsid w:val="00C92470"/>
    <w:rsid w:val="00C92C83"/>
    <w:rsid w:val="00C9314B"/>
    <w:rsid w:val="00C94FBB"/>
    <w:rsid w:val="00C969D1"/>
    <w:rsid w:val="00CA19C5"/>
    <w:rsid w:val="00CA3422"/>
    <w:rsid w:val="00CA3569"/>
    <w:rsid w:val="00CA7A69"/>
    <w:rsid w:val="00CB2EB5"/>
    <w:rsid w:val="00CB4F21"/>
    <w:rsid w:val="00CD36DC"/>
    <w:rsid w:val="00CD5C37"/>
    <w:rsid w:val="00CE22BC"/>
    <w:rsid w:val="00CE259B"/>
    <w:rsid w:val="00CE4AEA"/>
    <w:rsid w:val="00CE5617"/>
    <w:rsid w:val="00CE5A4D"/>
    <w:rsid w:val="00CE6C52"/>
    <w:rsid w:val="00CE6FA7"/>
    <w:rsid w:val="00CE7EA9"/>
    <w:rsid w:val="00CF35BA"/>
    <w:rsid w:val="00CF4795"/>
    <w:rsid w:val="00CF75DC"/>
    <w:rsid w:val="00CF7C77"/>
    <w:rsid w:val="00D00374"/>
    <w:rsid w:val="00D00AA8"/>
    <w:rsid w:val="00D02B78"/>
    <w:rsid w:val="00D035EB"/>
    <w:rsid w:val="00D1317E"/>
    <w:rsid w:val="00D138FE"/>
    <w:rsid w:val="00D144D6"/>
    <w:rsid w:val="00D15607"/>
    <w:rsid w:val="00D166BE"/>
    <w:rsid w:val="00D2102B"/>
    <w:rsid w:val="00D24183"/>
    <w:rsid w:val="00D25948"/>
    <w:rsid w:val="00D26374"/>
    <w:rsid w:val="00D318F7"/>
    <w:rsid w:val="00D31F31"/>
    <w:rsid w:val="00D32227"/>
    <w:rsid w:val="00D323CD"/>
    <w:rsid w:val="00D359EC"/>
    <w:rsid w:val="00D4101D"/>
    <w:rsid w:val="00D4233A"/>
    <w:rsid w:val="00D42A12"/>
    <w:rsid w:val="00D44F2E"/>
    <w:rsid w:val="00D50A37"/>
    <w:rsid w:val="00D51973"/>
    <w:rsid w:val="00D54651"/>
    <w:rsid w:val="00D57587"/>
    <w:rsid w:val="00D60207"/>
    <w:rsid w:val="00D61915"/>
    <w:rsid w:val="00D63599"/>
    <w:rsid w:val="00D63EAD"/>
    <w:rsid w:val="00D66871"/>
    <w:rsid w:val="00D73E3E"/>
    <w:rsid w:val="00D7529C"/>
    <w:rsid w:val="00D76CD6"/>
    <w:rsid w:val="00D8062A"/>
    <w:rsid w:val="00D82123"/>
    <w:rsid w:val="00D8212F"/>
    <w:rsid w:val="00D828D4"/>
    <w:rsid w:val="00D829A3"/>
    <w:rsid w:val="00D8353C"/>
    <w:rsid w:val="00D871A9"/>
    <w:rsid w:val="00D87F86"/>
    <w:rsid w:val="00D92EA2"/>
    <w:rsid w:val="00D97410"/>
    <w:rsid w:val="00DA366C"/>
    <w:rsid w:val="00DA4585"/>
    <w:rsid w:val="00DA49D3"/>
    <w:rsid w:val="00DA5835"/>
    <w:rsid w:val="00DA7B35"/>
    <w:rsid w:val="00DB2F8A"/>
    <w:rsid w:val="00DB4C5F"/>
    <w:rsid w:val="00DB6697"/>
    <w:rsid w:val="00DB66A5"/>
    <w:rsid w:val="00DB7210"/>
    <w:rsid w:val="00DC292D"/>
    <w:rsid w:val="00DC36FF"/>
    <w:rsid w:val="00DC3B1A"/>
    <w:rsid w:val="00DC60BF"/>
    <w:rsid w:val="00DD032A"/>
    <w:rsid w:val="00DD1DA7"/>
    <w:rsid w:val="00DD40FA"/>
    <w:rsid w:val="00DD45B5"/>
    <w:rsid w:val="00DD7360"/>
    <w:rsid w:val="00DD7444"/>
    <w:rsid w:val="00DE0D2B"/>
    <w:rsid w:val="00DE19DF"/>
    <w:rsid w:val="00DE328B"/>
    <w:rsid w:val="00DE4A26"/>
    <w:rsid w:val="00DE4C9D"/>
    <w:rsid w:val="00DE5F66"/>
    <w:rsid w:val="00DE79D0"/>
    <w:rsid w:val="00DE7F1C"/>
    <w:rsid w:val="00DF0A55"/>
    <w:rsid w:val="00DF0D51"/>
    <w:rsid w:val="00DF1912"/>
    <w:rsid w:val="00DF243A"/>
    <w:rsid w:val="00DF2C77"/>
    <w:rsid w:val="00DF2E0F"/>
    <w:rsid w:val="00DF3142"/>
    <w:rsid w:val="00DF31FB"/>
    <w:rsid w:val="00DF5089"/>
    <w:rsid w:val="00DF6F09"/>
    <w:rsid w:val="00DF724C"/>
    <w:rsid w:val="00DF7355"/>
    <w:rsid w:val="00E01CF9"/>
    <w:rsid w:val="00E05226"/>
    <w:rsid w:val="00E066CD"/>
    <w:rsid w:val="00E06B77"/>
    <w:rsid w:val="00E07B2C"/>
    <w:rsid w:val="00E11C5E"/>
    <w:rsid w:val="00E143D8"/>
    <w:rsid w:val="00E148E6"/>
    <w:rsid w:val="00E1632E"/>
    <w:rsid w:val="00E17248"/>
    <w:rsid w:val="00E17574"/>
    <w:rsid w:val="00E20196"/>
    <w:rsid w:val="00E22AA5"/>
    <w:rsid w:val="00E239A1"/>
    <w:rsid w:val="00E24B77"/>
    <w:rsid w:val="00E25033"/>
    <w:rsid w:val="00E25FDD"/>
    <w:rsid w:val="00E27A08"/>
    <w:rsid w:val="00E30EA8"/>
    <w:rsid w:val="00E31896"/>
    <w:rsid w:val="00E3381E"/>
    <w:rsid w:val="00E400FD"/>
    <w:rsid w:val="00E44C39"/>
    <w:rsid w:val="00E45002"/>
    <w:rsid w:val="00E46311"/>
    <w:rsid w:val="00E51F34"/>
    <w:rsid w:val="00E52E3E"/>
    <w:rsid w:val="00E60530"/>
    <w:rsid w:val="00E71E1F"/>
    <w:rsid w:val="00E7227A"/>
    <w:rsid w:val="00E728A2"/>
    <w:rsid w:val="00E73DDE"/>
    <w:rsid w:val="00E76C06"/>
    <w:rsid w:val="00E803D4"/>
    <w:rsid w:val="00E82C73"/>
    <w:rsid w:val="00E86BF6"/>
    <w:rsid w:val="00E86DEF"/>
    <w:rsid w:val="00E87C72"/>
    <w:rsid w:val="00E90234"/>
    <w:rsid w:val="00E969DD"/>
    <w:rsid w:val="00EA00B3"/>
    <w:rsid w:val="00EA1372"/>
    <w:rsid w:val="00EA15D4"/>
    <w:rsid w:val="00EA2285"/>
    <w:rsid w:val="00EA4B1B"/>
    <w:rsid w:val="00EA60CB"/>
    <w:rsid w:val="00EB29B5"/>
    <w:rsid w:val="00EB2CED"/>
    <w:rsid w:val="00EB48C5"/>
    <w:rsid w:val="00EB59EF"/>
    <w:rsid w:val="00EB64C4"/>
    <w:rsid w:val="00EB75F1"/>
    <w:rsid w:val="00EB7EB3"/>
    <w:rsid w:val="00EC0558"/>
    <w:rsid w:val="00EC2003"/>
    <w:rsid w:val="00EC4091"/>
    <w:rsid w:val="00EC5673"/>
    <w:rsid w:val="00EC5FDB"/>
    <w:rsid w:val="00EC69DE"/>
    <w:rsid w:val="00ED3DB1"/>
    <w:rsid w:val="00ED5E11"/>
    <w:rsid w:val="00ED76D5"/>
    <w:rsid w:val="00ED7B23"/>
    <w:rsid w:val="00EE275F"/>
    <w:rsid w:val="00EE3730"/>
    <w:rsid w:val="00EE440F"/>
    <w:rsid w:val="00EE670E"/>
    <w:rsid w:val="00EE7708"/>
    <w:rsid w:val="00EF114C"/>
    <w:rsid w:val="00EF329B"/>
    <w:rsid w:val="00EF51CC"/>
    <w:rsid w:val="00F02972"/>
    <w:rsid w:val="00F05CCD"/>
    <w:rsid w:val="00F07062"/>
    <w:rsid w:val="00F10FC7"/>
    <w:rsid w:val="00F137AB"/>
    <w:rsid w:val="00F153AD"/>
    <w:rsid w:val="00F15DAB"/>
    <w:rsid w:val="00F16088"/>
    <w:rsid w:val="00F170F3"/>
    <w:rsid w:val="00F20C25"/>
    <w:rsid w:val="00F216FF"/>
    <w:rsid w:val="00F23C10"/>
    <w:rsid w:val="00F25D5D"/>
    <w:rsid w:val="00F33FAE"/>
    <w:rsid w:val="00F344A8"/>
    <w:rsid w:val="00F34C9D"/>
    <w:rsid w:val="00F44BE1"/>
    <w:rsid w:val="00F4558E"/>
    <w:rsid w:val="00F477A1"/>
    <w:rsid w:val="00F51523"/>
    <w:rsid w:val="00F537BB"/>
    <w:rsid w:val="00F5475B"/>
    <w:rsid w:val="00F56151"/>
    <w:rsid w:val="00F57E79"/>
    <w:rsid w:val="00F60773"/>
    <w:rsid w:val="00F60F5F"/>
    <w:rsid w:val="00F667CE"/>
    <w:rsid w:val="00F704A5"/>
    <w:rsid w:val="00F704CD"/>
    <w:rsid w:val="00F74B84"/>
    <w:rsid w:val="00F76315"/>
    <w:rsid w:val="00F76E39"/>
    <w:rsid w:val="00F802D4"/>
    <w:rsid w:val="00F8248B"/>
    <w:rsid w:val="00F82891"/>
    <w:rsid w:val="00F85897"/>
    <w:rsid w:val="00F85C3A"/>
    <w:rsid w:val="00F85C4E"/>
    <w:rsid w:val="00F90ACB"/>
    <w:rsid w:val="00F90E5A"/>
    <w:rsid w:val="00F93D28"/>
    <w:rsid w:val="00F94512"/>
    <w:rsid w:val="00F945C2"/>
    <w:rsid w:val="00FA0E79"/>
    <w:rsid w:val="00FA2D31"/>
    <w:rsid w:val="00FB0672"/>
    <w:rsid w:val="00FB1545"/>
    <w:rsid w:val="00FB1636"/>
    <w:rsid w:val="00FB1BE9"/>
    <w:rsid w:val="00FB2D60"/>
    <w:rsid w:val="00FB3A68"/>
    <w:rsid w:val="00FB4F91"/>
    <w:rsid w:val="00FB4FAE"/>
    <w:rsid w:val="00FB6DF1"/>
    <w:rsid w:val="00FC455D"/>
    <w:rsid w:val="00FD11D9"/>
    <w:rsid w:val="00FD23C6"/>
    <w:rsid w:val="00FD3627"/>
    <w:rsid w:val="00FD3A30"/>
    <w:rsid w:val="00FD7BEE"/>
    <w:rsid w:val="00FE0B94"/>
    <w:rsid w:val="00FE287B"/>
    <w:rsid w:val="00FE3CF5"/>
    <w:rsid w:val="00FE65F0"/>
    <w:rsid w:val="00FE7560"/>
    <w:rsid w:val="00FF1C59"/>
    <w:rsid w:val="00FF39B8"/>
    <w:rsid w:val="00FF7367"/>
    <w:rsid w:val="00FF7CD4"/>
    <w:rsid w:val="00FF7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C92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uiPriority="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uiPriority="2" w:qFormat="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2" w:unhideWhenUsed="1" w:qFormat="1"/>
    <w:lsdException w:name="List Bullet 3" w:locked="1" w:semiHidden="1" w:uiPriority="2"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E3CF5"/>
    <w:pPr>
      <w:spacing w:before="180" w:after="180" w:line="240" w:lineRule="atLeast"/>
    </w:pPr>
    <w:rPr>
      <w:rFonts w:ascii="Cambria" w:eastAsia="Cambria" w:hAnsi="Cambria" w:cstheme="minorBidi"/>
      <w:sz w:val="22"/>
      <w:szCs w:val="22"/>
      <w:lang w:val="en-AU" w:eastAsia="en-US"/>
    </w:rPr>
  </w:style>
  <w:style w:type="paragraph" w:styleId="Heading1">
    <w:name w:val="heading 1"/>
    <w:basedOn w:val="Normal"/>
    <w:next w:val="Normal"/>
    <w:link w:val="Heading1Char"/>
    <w:qFormat/>
    <w:locked/>
    <w:rsid w:val="00FE3CF5"/>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locked/>
    <w:rsid w:val="00FE3CF5"/>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locked/>
    <w:rsid w:val="00FE3CF5"/>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locked/>
    <w:rsid w:val="00FE3CF5"/>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locked/>
    <w:rsid w:val="00FE3CF5"/>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locked/>
    <w:rsid w:val="00FE3CF5"/>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locked/>
    <w:rsid w:val="00FE3CF5"/>
    <w:pPr>
      <w:keepNext/>
      <w:keepLines/>
      <w:spacing w:before="240" w:after="60" w:line="180" w:lineRule="atLeast"/>
      <w:outlineLvl w:val="6"/>
    </w:pPr>
    <w:rPr>
      <w:rFonts w:eastAsia="Times New Roman"/>
      <w:bCs/>
      <w:i/>
    </w:rPr>
  </w:style>
  <w:style w:type="paragraph" w:styleId="Heading8">
    <w:name w:val="heading 8"/>
    <w:basedOn w:val="Normal"/>
    <w:next w:val="Normal"/>
    <w:qFormat/>
    <w:locked/>
    <w:rsid w:val="00EF329B"/>
    <w:pPr>
      <w:tabs>
        <w:tab w:val="num" w:pos="360"/>
      </w:tabs>
      <w:spacing w:before="240" w:after="60"/>
      <w:outlineLvl w:val="7"/>
    </w:pPr>
    <w:rPr>
      <w:i/>
      <w:iCs/>
      <w:szCs w:val="24"/>
    </w:rPr>
  </w:style>
  <w:style w:type="paragraph" w:styleId="Heading9">
    <w:name w:val="heading 9"/>
    <w:basedOn w:val="Normal"/>
    <w:next w:val="Normal"/>
    <w:qFormat/>
    <w:locked/>
    <w:rsid w:val="00EF329B"/>
    <w:pPr>
      <w:tabs>
        <w:tab w:val="num" w:pos="360"/>
      </w:tabs>
      <w:spacing w:before="240" w:after="60"/>
      <w:outlineLvl w:val="8"/>
    </w:pPr>
    <w:rPr>
      <w:rFonts w:ascii="Arial" w:hAnsi="Arial"/>
    </w:rPr>
  </w:style>
  <w:style w:type="character" w:default="1" w:styleId="DefaultParagraphFont">
    <w:name w:val="Default Paragraph Font"/>
    <w:uiPriority w:val="1"/>
    <w:semiHidden/>
    <w:unhideWhenUsed/>
    <w:rsid w:val="00FE3C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E3CF5"/>
  </w:style>
  <w:style w:type="paragraph" w:customStyle="1" w:styleId="FreeFormA">
    <w:name w:val="Free Form A"/>
    <w:rPr>
      <w:rFonts w:eastAsia="ヒラギノ角ゴ Pro W3"/>
      <w:color w:val="000000"/>
      <w:lang w:eastAsia="en-US"/>
    </w:rPr>
  </w:style>
  <w:style w:type="paragraph" w:customStyle="1" w:styleId="Normale1">
    <w:name w:val="Normale1"/>
    <w:pPr>
      <w:tabs>
        <w:tab w:val="left" w:pos="567"/>
      </w:tabs>
      <w:spacing w:line="260" w:lineRule="exact"/>
    </w:pPr>
    <w:rPr>
      <w:rFonts w:eastAsia="ヒラギノ角ゴ Pro W3"/>
      <w:color w:val="000000"/>
      <w:sz w:val="22"/>
      <w:lang w:eastAsia="en-US"/>
    </w:rPr>
  </w:style>
  <w:style w:type="paragraph" w:customStyle="1" w:styleId="FreeForm">
    <w:name w:val="Free Form"/>
    <w:rPr>
      <w:rFonts w:eastAsia="ヒラギノ角ゴ Pro W3"/>
      <w:color w:val="000000"/>
      <w:lang w:eastAsia="en-US"/>
    </w:rPr>
  </w:style>
  <w:style w:type="paragraph" w:customStyle="1" w:styleId="FreeFormBAAAAAAAAA">
    <w:name w:val="Free Form B A A A A A A A A A"/>
    <w:rPr>
      <w:rFonts w:eastAsia="ヒラギノ角ゴ Pro W3"/>
      <w:color w:val="000000"/>
      <w:lang w:eastAsia="en-US"/>
    </w:rPr>
  </w:style>
  <w:style w:type="paragraph" w:customStyle="1" w:styleId="FreeFormBA">
    <w:name w:val="Free Form B A"/>
    <w:rPr>
      <w:rFonts w:eastAsia="ヒラギノ角ゴ Pro W3"/>
      <w:color w:val="000000"/>
      <w:lang w:eastAsia="en-US"/>
    </w:rPr>
  </w:style>
  <w:style w:type="paragraph" w:customStyle="1" w:styleId="C-BodyText">
    <w:name w:val="C-Body Text"/>
    <w:link w:val="C-BodyTextChar"/>
    <w:rsid w:val="00EF329B"/>
    <w:pPr>
      <w:spacing w:before="120" w:after="120" w:line="280" w:lineRule="atLeast"/>
    </w:pPr>
    <w:rPr>
      <w:sz w:val="24"/>
      <w:lang w:val="en-US" w:eastAsia="en-US"/>
    </w:rPr>
  </w:style>
  <w:style w:type="paragraph" w:customStyle="1" w:styleId="Normale2">
    <w:name w:val="Normale2"/>
    <w:rPr>
      <w:rFonts w:eastAsia="ヒラギノ角ゴ Pro W3"/>
      <w:color w:val="000000"/>
      <w:sz w:val="24"/>
      <w:lang w:val="en-US" w:eastAsia="en-US"/>
    </w:rPr>
  </w:style>
  <w:style w:type="paragraph" w:customStyle="1" w:styleId="Paragraph">
    <w:name w:val="Paragraph"/>
    <w:pPr>
      <w:spacing w:after="240"/>
    </w:pPr>
    <w:rPr>
      <w:rFonts w:eastAsia="ヒラギノ角ゴ Pro W3"/>
      <w:color w:val="000000"/>
      <w:sz w:val="24"/>
      <w:lang w:val="en-US" w:eastAsia="en-US"/>
    </w:rPr>
  </w:style>
  <w:style w:type="paragraph" w:customStyle="1" w:styleId="FreeFormBAAA">
    <w:name w:val="Free Form B A A A"/>
    <w:rPr>
      <w:rFonts w:eastAsia="ヒラギノ角ゴ Pro W3"/>
      <w:color w:val="000000"/>
      <w:lang w:eastAsia="en-US"/>
    </w:rPr>
  </w:style>
  <w:style w:type="character" w:customStyle="1" w:styleId="DefaultParagraphFont1">
    <w:name w:val="Default Paragraph Font 1"/>
    <w:rPr>
      <w:color w:val="000000"/>
      <w:sz w:val="20"/>
    </w:rPr>
  </w:style>
  <w:style w:type="paragraph" w:customStyle="1" w:styleId="FreeFormBAAAAAA">
    <w:name w:val="Free Form B A A A A A A"/>
    <w:rPr>
      <w:rFonts w:eastAsia="ヒラギノ角ゴ Pro W3"/>
      <w:color w:val="000000"/>
      <w:lang w:eastAsia="en-US"/>
    </w:rPr>
  </w:style>
  <w:style w:type="paragraph" w:customStyle="1" w:styleId="C-TableText">
    <w:name w:val="C-Table Text"/>
    <w:rsid w:val="00EF329B"/>
    <w:pPr>
      <w:spacing w:before="60" w:after="60"/>
    </w:pPr>
    <w:rPr>
      <w:sz w:val="22"/>
      <w:lang w:val="en-US" w:eastAsia="en-US"/>
    </w:rPr>
  </w:style>
  <w:style w:type="paragraph" w:customStyle="1" w:styleId="FreeFormB">
    <w:name w:val="Free Form B"/>
    <w:rPr>
      <w:rFonts w:eastAsia="ヒラギノ角ゴ Pro W3"/>
      <w:color w:val="000000"/>
      <w:lang w:eastAsia="en-US"/>
    </w:rPr>
  </w:style>
  <w:style w:type="paragraph" w:customStyle="1" w:styleId="Body">
    <w:name w:val="Body"/>
    <w:rPr>
      <w:rFonts w:ascii="Helvetica" w:eastAsia="ヒラギノ角ゴ Pro W3" w:hAnsi="Helvetica"/>
      <w:color w:val="000000"/>
      <w:sz w:val="24"/>
      <w:lang w:val="en-US" w:eastAsia="en-US"/>
    </w:rPr>
  </w:style>
  <w:style w:type="paragraph" w:customStyle="1" w:styleId="FreeFormBAAAAABA">
    <w:name w:val="Free Form B A A A A A B A"/>
    <w:rPr>
      <w:rFonts w:eastAsia="ヒラギノ角ゴ Pro W3"/>
      <w:color w:val="000000"/>
      <w:lang w:eastAsia="en-US"/>
    </w:rPr>
  </w:style>
  <w:style w:type="paragraph" w:customStyle="1" w:styleId="BodytextAgency">
    <w:name w:val="Body text (Agency)"/>
    <w:pPr>
      <w:spacing w:after="140" w:line="280" w:lineRule="atLeast"/>
    </w:pPr>
    <w:rPr>
      <w:rFonts w:ascii="Verdana" w:eastAsia="ヒラギノ角ゴ Pro W3" w:hAnsi="Verdana"/>
      <w:color w:val="000000"/>
      <w:sz w:val="18"/>
      <w:lang w:eastAsia="en-US"/>
    </w:rPr>
  </w:style>
  <w:style w:type="character" w:customStyle="1" w:styleId="Hyperlink1">
    <w:name w:val="Hyperlink1"/>
    <w:rPr>
      <w:color w:val="0000FF"/>
      <w:sz w:val="20"/>
      <w:u w:val="single"/>
    </w:rPr>
  </w:style>
  <w:style w:type="character" w:customStyle="1" w:styleId="Unknown0">
    <w:name w:val="Unknown 0"/>
    <w:basedOn w:val="DefaultParagraphFont"/>
    <w:semiHidden/>
  </w:style>
  <w:style w:type="paragraph" w:customStyle="1" w:styleId="Normale3">
    <w:name w:val="Normale3"/>
    <w:rPr>
      <w:rFonts w:eastAsia="ヒラギノ角ゴ Pro W3"/>
      <w:color w:val="000000"/>
      <w:sz w:val="24"/>
      <w:lang w:val="en-US" w:eastAsia="en-US"/>
    </w:rPr>
  </w:style>
  <w:style w:type="paragraph" w:styleId="DocumentMap">
    <w:name w:val="Document Map"/>
    <w:basedOn w:val="Normal"/>
    <w:semiHidden/>
    <w:locked/>
    <w:rsid w:val="00E73DDE"/>
    <w:pPr>
      <w:shd w:val="clear" w:color="auto" w:fill="000080"/>
    </w:pPr>
    <w:rPr>
      <w:rFonts w:ascii="Tahoma" w:hAnsi="Tahoma" w:cs="Tahoma"/>
      <w:sz w:val="20"/>
    </w:rPr>
  </w:style>
  <w:style w:type="paragraph" w:styleId="Caption">
    <w:name w:val="caption"/>
    <w:basedOn w:val="Tabletitle"/>
    <w:next w:val="Normal"/>
    <w:uiPriority w:val="35"/>
    <w:locked/>
    <w:rsid w:val="00FE3CF5"/>
  </w:style>
  <w:style w:type="paragraph" w:styleId="TOC1">
    <w:name w:val="toc 1"/>
    <w:basedOn w:val="Normal"/>
    <w:next w:val="Normal"/>
    <w:uiPriority w:val="39"/>
    <w:unhideWhenUsed/>
    <w:locked/>
    <w:rsid w:val="00FE3CF5"/>
    <w:pPr>
      <w:keepNext/>
      <w:keepLines/>
      <w:tabs>
        <w:tab w:val="right" w:leader="underscore" w:pos="9072"/>
      </w:tabs>
      <w:spacing w:after="200"/>
    </w:pPr>
    <w:rPr>
      <w:rFonts w:ascii="Arial" w:hAnsi="Arial"/>
      <w:b/>
      <w:sz w:val="26"/>
    </w:rPr>
  </w:style>
  <w:style w:type="paragraph" w:styleId="TOC2">
    <w:name w:val="toc 2"/>
    <w:basedOn w:val="Normal"/>
    <w:next w:val="Normal"/>
    <w:uiPriority w:val="39"/>
    <w:unhideWhenUsed/>
    <w:locked/>
    <w:rsid w:val="00FE3CF5"/>
    <w:pPr>
      <w:keepLines/>
      <w:tabs>
        <w:tab w:val="right" w:leader="underscore" w:pos="9072"/>
      </w:tabs>
      <w:spacing w:after="100"/>
      <w:ind w:left="425"/>
    </w:pPr>
    <w:rPr>
      <w:sz w:val="25"/>
    </w:rPr>
  </w:style>
  <w:style w:type="paragraph" w:styleId="TOC3">
    <w:name w:val="toc 3"/>
    <w:basedOn w:val="Normal"/>
    <w:next w:val="Normal"/>
    <w:uiPriority w:val="39"/>
    <w:unhideWhenUsed/>
    <w:locked/>
    <w:rsid w:val="00FE3CF5"/>
    <w:pPr>
      <w:keepLines/>
      <w:tabs>
        <w:tab w:val="right" w:leader="underscore" w:pos="9072"/>
      </w:tabs>
      <w:spacing w:after="100"/>
      <w:ind w:left="851"/>
    </w:pPr>
  </w:style>
  <w:style w:type="paragraph" w:styleId="TOC4">
    <w:name w:val="toc 4"/>
    <w:basedOn w:val="Normal"/>
    <w:next w:val="Normal"/>
    <w:autoRedefine/>
    <w:uiPriority w:val="39"/>
    <w:unhideWhenUsed/>
    <w:locked/>
    <w:rsid w:val="00FE3CF5"/>
    <w:pPr>
      <w:keepLines/>
      <w:tabs>
        <w:tab w:val="right" w:leader="underscore" w:pos="9072"/>
      </w:tabs>
      <w:spacing w:after="100"/>
      <w:ind w:left="1276"/>
    </w:pPr>
  </w:style>
  <w:style w:type="paragraph" w:customStyle="1" w:styleId="C-Heading1">
    <w:name w:val="C-Heading 1"/>
    <w:next w:val="C-BodyText"/>
    <w:link w:val="C-Heading1Char"/>
    <w:rsid w:val="00EF329B"/>
    <w:pPr>
      <w:keepNext/>
      <w:pageBreakBefore/>
      <w:numPr>
        <w:numId w:val="1"/>
      </w:numPr>
      <w:spacing w:before="480" w:after="120"/>
      <w:outlineLvl w:val="0"/>
    </w:pPr>
    <w:rPr>
      <w:b/>
      <w:caps/>
      <w:sz w:val="28"/>
      <w:lang w:val="it-IT" w:eastAsia="it-IT"/>
    </w:rPr>
  </w:style>
  <w:style w:type="paragraph" w:customStyle="1" w:styleId="C-Heading2">
    <w:name w:val="C-Heading 2"/>
    <w:next w:val="C-BodyText"/>
    <w:rsid w:val="00EF329B"/>
    <w:pPr>
      <w:keepNext/>
      <w:numPr>
        <w:ilvl w:val="1"/>
        <w:numId w:val="1"/>
      </w:numPr>
      <w:spacing w:before="240"/>
      <w:outlineLvl w:val="1"/>
    </w:pPr>
    <w:rPr>
      <w:b/>
      <w:sz w:val="28"/>
      <w:lang w:val="en-US" w:eastAsia="en-US"/>
    </w:rPr>
  </w:style>
  <w:style w:type="paragraph" w:customStyle="1" w:styleId="C-Heading3">
    <w:name w:val="C-Heading 3"/>
    <w:next w:val="C-BodyText"/>
    <w:rsid w:val="00EF329B"/>
    <w:pPr>
      <w:keepNext/>
      <w:numPr>
        <w:ilvl w:val="2"/>
        <w:numId w:val="1"/>
      </w:numPr>
      <w:spacing w:before="240"/>
      <w:outlineLvl w:val="2"/>
    </w:pPr>
    <w:rPr>
      <w:b/>
      <w:sz w:val="24"/>
      <w:lang w:val="en-US" w:eastAsia="en-US"/>
    </w:rPr>
  </w:style>
  <w:style w:type="paragraph" w:customStyle="1" w:styleId="C-Heading4">
    <w:name w:val="C-Heading 4"/>
    <w:next w:val="C-BodyText"/>
    <w:rsid w:val="00EF329B"/>
    <w:pPr>
      <w:keepNext/>
      <w:numPr>
        <w:ilvl w:val="3"/>
        <w:numId w:val="1"/>
      </w:numPr>
      <w:spacing w:before="240"/>
      <w:outlineLvl w:val="3"/>
    </w:pPr>
    <w:rPr>
      <w:b/>
      <w:sz w:val="24"/>
      <w:lang w:val="en-US" w:eastAsia="en-US"/>
    </w:rPr>
  </w:style>
  <w:style w:type="paragraph" w:customStyle="1" w:styleId="C-Heading5">
    <w:name w:val="C-Heading 5"/>
    <w:next w:val="C-BodyText"/>
    <w:rsid w:val="00EF329B"/>
    <w:pPr>
      <w:keepNext/>
      <w:numPr>
        <w:ilvl w:val="4"/>
        <w:numId w:val="1"/>
      </w:numPr>
      <w:spacing w:before="240"/>
      <w:outlineLvl w:val="4"/>
    </w:pPr>
    <w:rPr>
      <w:b/>
      <w:sz w:val="24"/>
      <w:lang w:val="en-US" w:eastAsia="en-US"/>
    </w:rPr>
  </w:style>
  <w:style w:type="paragraph" w:customStyle="1" w:styleId="C-Heading6">
    <w:name w:val="C-Heading 6"/>
    <w:next w:val="C-BodyText"/>
    <w:rsid w:val="00EF329B"/>
    <w:pPr>
      <w:keepNext/>
      <w:numPr>
        <w:ilvl w:val="5"/>
        <w:numId w:val="1"/>
      </w:numPr>
      <w:tabs>
        <w:tab w:val="clear" w:pos="1080"/>
        <w:tab w:val="num" w:pos="1224"/>
        <w:tab w:val="num" w:pos="1309"/>
      </w:tabs>
      <w:spacing w:before="240"/>
      <w:ind w:left="1224" w:hanging="1224"/>
      <w:outlineLvl w:val="5"/>
    </w:pPr>
    <w:rPr>
      <w:b/>
      <w:sz w:val="24"/>
      <w:lang w:val="en-US" w:eastAsia="en-US"/>
    </w:rPr>
  </w:style>
  <w:style w:type="paragraph" w:customStyle="1" w:styleId="C-BodyTextIndent">
    <w:name w:val="C-Body Text Indent"/>
    <w:rsid w:val="00EF329B"/>
    <w:pPr>
      <w:spacing w:before="120" w:after="120" w:line="280" w:lineRule="atLeast"/>
      <w:ind w:left="360"/>
    </w:pPr>
    <w:rPr>
      <w:sz w:val="24"/>
      <w:lang w:val="en-US" w:eastAsia="en-US"/>
    </w:rPr>
  </w:style>
  <w:style w:type="paragraph" w:customStyle="1" w:styleId="C-Bullet">
    <w:name w:val="C-Bullet"/>
    <w:rsid w:val="00EF329B"/>
    <w:pPr>
      <w:numPr>
        <w:numId w:val="13"/>
      </w:numPr>
      <w:spacing w:before="120" w:after="120" w:line="280" w:lineRule="atLeast"/>
    </w:pPr>
    <w:rPr>
      <w:sz w:val="24"/>
      <w:lang w:val="en-US" w:eastAsia="en-US"/>
    </w:rPr>
  </w:style>
  <w:style w:type="paragraph" w:customStyle="1" w:styleId="C-BulletIndented">
    <w:name w:val="C-Bullet Indented"/>
    <w:rsid w:val="00EF329B"/>
    <w:pPr>
      <w:numPr>
        <w:ilvl w:val="1"/>
        <w:numId w:val="13"/>
      </w:numPr>
      <w:spacing w:before="120" w:after="120" w:line="280" w:lineRule="atLeast"/>
    </w:pPr>
    <w:rPr>
      <w:rFonts w:cs="Arial"/>
      <w:sz w:val="24"/>
      <w:lang w:val="en-US" w:eastAsia="en-US"/>
    </w:rPr>
  </w:style>
  <w:style w:type="paragraph" w:customStyle="1" w:styleId="C-TableHeader">
    <w:name w:val="C-Table Header"/>
    <w:next w:val="C-TableText"/>
    <w:rsid w:val="00EF329B"/>
    <w:pPr>
      <w:keepNext/>
      <w:spacing w:before="60" w:after="60"/>
    </w:pPr>
    <w:rPr>
      <w:b/>
      <w:sz w:val="22"/>
      <w:lang w:val="en-US" w:eastAsia="en-US"/>
    </w:rPr>
  </w:style>
  <w:style w:type="paragraph" w:customStyle="1" w:styleId="C-TableFootnote">
    <w:name w:val="C-Table Footnote"/>
    <w:next w:val="C-BodyText"/>
    <w:rsid w:val="00EF329B"/>
    <w:pPr>
      <w:tabs>
        <w:tab w:val="left" w:pos="144"/>
      </w:tabs>
      <w:ind w:left="144" w:hanging="144"/>
    </w:pPr>
    <w:rPr>
      <w:rFonts w:cs="Arial"/>
      <w:lang w:val="en-US" w:eastAsia="en-US"/>
    </w:rPr>
  </w:style>
  <w:style w:type="paragraph" w:styleId="TOC5">
    <w:name w:val="toc 5"/>
    <w:basedOn w:val="Normal"/>
    <w:next w:val="Normal"/>
    <w:autoRedefine/>
    <w:uiPriority w:val="39"/>
    <w:unhideWhenUsed/>
    <w:locked/>
    <w:rsid w:val="00FE3CF5"/>
    <w:pPr>
      <w:keepLines/>
      <w:tabs>
        <w:tab w:val="left" w:leader="underscore" w:pos="9072"/>
      </w:tabs>
      <w:spacing w:after="100"/>
      <w:ind w:left="1701"/>
    </w:pPr>
    <w:rPr>
      <w:noProof/>
    </w:rPr>
  </w:style>
  <w:style w:type="paragraph" w:styleId="TOC6">
    <w:name w:val="toc 6"/>
    <w:basedOn w:val="Normal"/>
    <w:next w:val="Normal"/>
    <w:autoRedefine/>
    <w:uiPriority w:val="39"/>
    <w:unhideWhenUsed/>
    <w:locked/>
    <w:rsid w:val="00FE3CF5"/>
    <w:pPr>
      <w:tabs>
        <w:tab w:val="right" w:pos="8505"/>
      </w:tabs>
      <w:spacing w:after="100"/>
      <w:ind w:left="2126"/>
    </w:pPr>
  </w:style>
  <w:style w:type="paragraph" w:styleId="TOC7">
    <w:name w:val="toc 7"/>
    <w:basedOn w:val="Normal"/>
    <w:next w:val="Normal"/>
    <w:autoRedefine/>
    <w:uiPriority w:val="39"/>
    <w:unhideWhenUsed/>
    <w:locked/>
    <w:rsid w:val="00FE3CF5"/>
    <w:pPr>
      <w:spacing w:after="100"/>
      <w:ind w:left="2211"/>
    </w:pPr>
  </w:style>
  <w:style w:type="paragraph" w:styleId="TOC8">
    <w:name w:val="toc 8"/>
    <w:basedOn w:val="TOC1"/>
    <w:next w:val="C-BodyText"/>
    <w:locked/>
    <w:rsid w:val="00EF329B"/>
    <w:rPr>
      <w:caps/>
    </w:rPr>
  </w:style>
  <w:style w:type="paragraph" w:styleId="TOC9">
    <w:name w:val="toc 9"/>
    <w:basedOn w:val="TOC1"/>
    <w:next w:val="C-BodyText"/>
    <w:locked/>
    <w:rsid w:val="00EF329B"/>
    <w:rPr>
      <w:caps/>
    </w:rPr>
  </w:style>
  <w:style w:type="paragraph" w:styleId="TableofFigures">
    <w:name w:val="table of figures"/>
    <w:basedOn w:val="Normal"/>
    <w:next w:val="Normal"/>
    <w:uiPriority w:val="99"/>
    <w:unhideWhenUsed/>
    <w:locked/>
    <w:rsid w:val="00FE3CF5"/>
  </w:style>
  <w:style w:type="paragraph" w:customStyle="1" w:styleId="C-TOCTitle">
    <w:name w:val="C-TOC Title"/>
    <w:next w:val="C-BodyText"/>
    <w:rsid w:val="00EF329B"/>
    <w:pPr>
      <w:spacing w:after="120"/>
      <w:jc w:val="center"/>
    </w:pPr>
    <w:rPr>
      <w:b/>
      <w:caps/>
      <w:sz w:val="28"/>
      <w:szCs w:val="28"/>
      <w:lang w:val="en-US" w:eastAsia="en-US"/>
    </w:rPr>
  </w:style>
  <w:style w:type="paragraph" w:customStyle="1" w:styleId="C-CaptionContinued">
    <w:name w:val="C-Caption Continued"/>
    <w:next w:val="C-BodyText"/>
    <w:rsid w:val="00EF329B"/>
    <w:pPr>
      <w:keepNext/>
      <w:spacing w:before="120" w:after="120" w:line="280" w:lineRule="atLeast"/>
      <w:ind w:left="1440" w:hanging="1440"/>
    </w:pPr>
    <w:rPr>
      <w:rFonts w:cs="Arial"/>
      <w:b/>
      <w:sz w:val="24"/>
      <w:lang w:val="en-US" w:eastAsia="en-US"/>
    </w:rPr>
  </w:style>
  <w:style w:type="paragraph" w:customStyle="1" w:styleId="C-NumberedList">
    <w:name w:val="C-Numbered List"/>
    <w:rsid w:val="00EF329B"/>
    <w:pPr>
      <w:numPr>
        <w:numId w:val="11"/>
      </w:numPr>
      <w:spacing w:before="120" w:after="120" w:line="280" w:lineRule="atLeast"/>
    </w:pPr>
    <w:rPr>
      <w:sz w:val="24"/>
      <w:lang w:val="en-US" w:eastAsia="en-US"/>
    </w:rPr>
  </w:style>
  <w:style w:type="paragraph" w:customStyle="1" w:styleId="C-InstructionText">
    <w:name w:val="C-Instruction Text"/>
    <w:rsid w:val="00EF329B"/>
    <w:pPr>
      <w:spacing w:before="120" w:after="120" w:line="280" w:lineRule="atLeast"/>
    </w:pPr>
    <w:rPr>
      <w:vanish/>
      <w:color w:val="FF0000"/>
      <w:sz w:val="24"/>
      <w:szCs w:val="24"/>
      <w:lang w:val="en-US" w:eastAsia="en-US"/>
    </w:rPr>
  </w:style>
  <w:style w:type="paragraph" w:styleId="TOAHeading">
    <w:name w:val="toa heading"/>
    <w:basedOn w:val="Normal"/>
    <w:next w:val="Normal"/>
    <w:locked/>
    <w:rsid w:val="00EF329B"/>
    <w:pPr>
      <w:spacing w:before="120"/>
    </w:pPr>
    <w:rPr>
      <w:rFonts w:ascii="Arial" w:hAnsi="Arial"/>
      <w:b/>
      <w:bCs/>
      <w:szCs w:val="24"/>
    </w:rPr>
  </w:style>
  <w:style w:type="paragraph" w:customStyle="1" w:styleId="C-Title">
    <w:name w:val="C-Title"/>
    <w:next w:val="C-BodyText"/>
    <w:rsid w:val="00EF329B"/>
    <w:pPr>
      <w:spacing w:after="120"/>
      <w:jc w:val="center"/>
    </w:pPr>
    <w:rPr>
      <w:b/>
      <w:caps/>
      <w:sz w:val="36"/>
      <w:lang w:val="en-US" w:eastAsia="en-US"/>
    </w:rPr>
  </w:style>
  <w:style w:type="paragraph" w:customStyle="1" w:styleId="C-Header">
    <w:name w:val="C-Header"/>
    <w:rsid w:val="00EF329B"/>
    <w:rPr>
      <w:sz w:val="24"/>
      <w:lang w:val="en-US" w:eastAsia="en-US"/>
    </w:rPr>
  </w:style>
  <w:style w:type="paragraph" w:customStyle="1" w:styleId="C-Footer">
    <w:name w:val="C-Footer"/>
    <w:rsid w:val="00EF329B"/>
    <w:rPr>
      <w:sz w:val="24"/>
      <w:lang w:val="en-US" w:eastAsia="en-US"/>
    </w:rPr>
  </w:style>
  <w:style w:type="paragraph" w:customStyle="1" w:styleId="C-Heading1non-numbered">
    <w:name w:val="C-Heading 1 (non-numbered)"/>
    <w:basedOn w:val="C-Heading1"/>
    <w:next w:val="C-BodyText"/>
    <w:rsid w:val="00EF329B"/>
    <w:pPr>
      <w:numPr>
        <w:numId w:val="0"/>
      </w:numPr>
      <w:tabs>
        <w:tab w:val="left" w:pos="1080"/>
      </w:tabs>
      <w:ind w:left="1080" w:hanging="1080"/>
    </w:pPr>
  </w:style>
  <w:style w:type="paragraph" w:customStyle="1" w:styleId="C-Heading2non-numbered">
    <w:name w:val="C-Heading 2 (non-numbered)"/>
    <w:basedOn w:val="C-Heading2"/>
    <w:next w:val="C-BodyText"/>
    <w:rsid w:val="00EF329B"/>
    <w:pPr>
      <w:numPr>
        <w:ilvl w:val="0"/>
        <w:numId w:val="0"/>
      </w:numPr>
      <w:tabs>
        <w:tab w:val="left" w:pos="1080"/>
      </w:tabs>
      <w:ind w:left="1080" w:hanging="1080"/>
    </w:pPr>
  </w:style>
  <w:style w:type="paragraph" w:customStyle="1" w:styleId="C-Heading3non-numbered">
    <w:name w:val="C-Heading 3 (non-numbered)"/>
    <w:basedOn w:val="C-Heading3"/>
    <w:next w:val="C-BodyText"/>
    <w:rsid w:val="00EF329B"/>
    <w:pPr>
      <w:numPr>
        <w:ilvl w:val="0"/>
        <w:numId w:val="0"/>
      </w:numPr>
      <w:tabs>
        <w:tab w:val="left" w:pos="1080"/>
      </w:tabs>
      <w:ind w:left="1080" w:hanging="1080"/>
    </w:pPr>
  </w:style>
  <w:style w:type="paragraph" w:customStyle="1" w:styleId="C-Heading4non-numbered">
    <w:name w:val="C-Heading 4 (non-numbered)"/>
    <w:basedOn w:val="C-Heading4"/>
    <w:next w:val="C-BodyText"/>
    <w:rsid w:val="00EF329B"/>
    <w:pPr>
      <w:numPr>
        <w:ilvl w:val="0"/>
        <w:numId w:val="0"/>
      </w:numPr>
      <w:tabs>
        <w:tab w:val="left" w:pos="1080"/>
      </w:tabs>
      <w:ind w:left="1080" w:hanging="1080"/>
    </w:pPr>
  </w:style>
  <w:style w:type="paragraph" w:customStyle="1" w:styleId="C-Heading5non-numbered">
    <w:name w:val="C-Heading 5 (non-numbered)"/>
    <w:basedOn w:val="C-Heading5"/>
    <w:next w:val="C-BodyText"/>
    <w:rsid w:val="00EF329B"/>
    <w:pPr>
      <w:numPr>
        <w:ilvl w:val="0"/>
        <w:numId w:val="0"/>
      </w:numPr>
      <w:tabs>
        <w:tab w:val="left" w:pos="1080"/>
      </w:tabs>
      <w:ind w:left="1080" w:hanging="1080"/>
    </w:pPr>
  </w:style>
  <w:style w:type="paragraph" w:customStyle="1" w:styleId="C-Heading6non-numbered">
    <w:name w:val="C-Heading 6 (non-numbered)"/>
    <w:basedOn w:val="C-Heading6"/>
    <w:next w:val="C-BodyText"/>
    <w:rsid w:val="00EF329B"/>
    <w:pPr>
      <w:numPr>
        <w:ilvl w:val="0"/>
        <w:numId w:val="0"/>
      </w:numPr>
      <w:tabs>
        <w:tab w:val="clear" w:pos="1309"/>
        <w:tab w:val="left" w:pos="1080"/>
      </w:tabs>
      <w:ind w:left="1080" w:hanging="1080"/>
    </w:pPr>
  </w:style>
  <w:style w:type="character" w:styleId="Hyperlink">
    <w:name w:val="Hyperlink"/>
    <w:basedOn w:val="DefaultParagraphFont"/>
    <w:uiPriority w:val="99"/>
    <w:unhideWhenUsed/>
    <w:locked/>
    <w:rsid w:val="00FE3CF5"/>
    <w:rPr>
      <w:color w:val="0000FF"/>
      <w:u w:val="single"/>
    </w:rPr>
  </w:style>
  <w:style w:type="paragraph" w:customStyle="1" w:styleId="C-Heading1nopagebreak">
    <w:name w:val="C-Heading 1 (no page break)"/>
    <w:basedOn w:val="C-Heading1"/>
    <w:next w:val="C-BodyText"/>
    <w:rsid w:val="00EF329B"/>
    <w:pPr>
      <w:pageBreakBefore w:val="0"/>
    </w:pPr>
  </w:style>
  <w:style w:type="paragraph" w:customStyle="1" w:styleId="C-Heading1nopagebreak0">
    <w:name w:val="C-Heading 1 (no page break"/>
    <w:aliases w:val="non-numbered)"/>
    <w:basedOn w:val="C-Heading1non-numbered"/>
    <w:next w:val="C-BodyText"/>
    <w:rsid w:val="00EF329B"/>
    <w:pPr>
      <w:pageBreakBefore w:val="0"/>
    </w:pPr>
  </w:style>
  <w:style w:type="character" w:styleId="HTMLKeyboard">
    <w:name w:val="HTML Keyboard"/>
    <w:locked/>
    <w:rsid w:val="00EF329B"/>
    <w:rPr>
      <w:rFonts w:ascii="Courier New" w:hAnsi="Courier New"/>
      <w:sz w:val="20"/>
      <w:szCs w:val="20"/>
    </w:rPr>
  </w:style>
  <w:style w:type="paragraph" w:customStyle="1" w:styleId="C-AlphabeticList">
    <w:name w:val="C-Alphabetic List"/>
    <w:rsid w:val="00EF329B"/>
    <w:pPr>
      <w:numPr>
        <w:ilvl w:val="1"/>
        <w:numId w:val="11"/>
      </w:numPr>
    </w:pPr>
    <w:rPr>
      <w:sz w:val="24"/>
      <w:lang w:val="en-US" w:eastAsia="en-US"/>
    </w:rPr>
  </w:style>
  <w:style w:type="paragraph" w:customStyle="1" w:styleId="C-Appendix">
    <w:name w:val="C-Appendix"/>
    <w:next w:val="C-BodyText"/>
    <w:rsid w:val="00EF329B"/>
    <w:pPr>
      <w:keepNext/>
      <w:pageBreakBefore/>
      <w:numPr>
        <w:numId w:val="2"/>
      </w:numPr>
      <w:spacing w:before="480" w:after="120"/>
      <w:outlineLvl w:val="0"/>
    </w:pPr>
    <w:rPr>
      <w:b/>
      <w:caps/>
      <w:sz w:val="28"/>
      <w:lang w:val="en-US" w:eastAsia="en-US"/>
    </w:rPr>
  </w:style>
  <w:style w:type="paragraph" w:customStyle="1" w:styleId="C-PLR-NumberedList">
    <w:name w:val="C-PLR-Numbered List"/>
    <w:rsid w:val="00EF329B"/>
    <w:pPr>
      <w:numPr>
        <w:numId w:val="7"/>
      </w:numPr>
    </w:pPr>
    <w:rPr>
      <w:sz w:val="16"/>
      <w:lang w:val="en-US" w:eastAsia="en-US"/>
    </w:rPr>
  </w:style>
  <w:style w:type="paragraph" w:customStyle="1" w:styleId="C-PLR-BodyText">
    <w:name w:val="C-PLR-Body Text"/>
    <w:rsid w:val="00EF329B"/>
    <w:rPr>
      <w:sz w:val="16"/>
      <w:lang w:val="en-US" w:eastAsia="en-US"/>
    </w:rPr>
  </w:style>
  <w:style w:type="paragraph" w:customStyle="1" w:styleId="C-PLR-BodyTextIndent">
    <w:name w:val="C-PLR-Body Text Indent"/>
    <w:rsid w:val="00EF329B"/>
    <w:pPr>
      <w:ind w:left="360"/>
    </w:pPr>
    <w:rPr>
      <w:sz w:val="16"/>
      <w:lang w:val="en-US" w:eastAsia="en-US"/>
    </w:rPr>
  </w:style>
  <w:style w:type="paragraph" w:customStyle="1" w:styleId="C-PLR-Bullet">
    <w:name w:val="C-PLR-Bullet"/>
    <w:rsid w:val="00EF329B"/>
    <w:pPr>
      <w:numPr>
        <w:numId w:val="3"/>
      </w:numPr>
    </w:pPr>
    <w:rPr>
      <w:sz w:val="16"/>
      <w:lang w:val="en-US" w:eastAsia="en-US"/>
    </w:rPr>
  </w:style>
  <w:style w:type="paragraph" w:customStyle="1" w:styleId="C-PLR-BulletIndented">
    <w:name w:val="C-PLR-Bullet Indented"/>
    <w:rsid w:val="00EF329B"/>
    <w:pPr>
      <w:numPr>
        <w:numId w:val="4"/>
      </w:numPr>
    </w:pPr>
    <w:rPr>
      <w:sz w:val="16"/>
      <w:lang w:val="en-US" w:eastAsia="en-US"/>
    </w:rPr>
  </w:style>
  <w:style w:type="paragraph" w:customStyle="1" w:styleId="C-PLR-Caption">
    <w:name w:val="C-PLR-Caption"/>
    <w:next w:val="C-PLR-BodyText"/>
    <w:rsid w:val="00EF329B"/>
    <w:pPr>
      <w:keepNext/>
      <w:ind w:left="360" w:hanging="360"/>
    </w:pPr>
    <w:rPr>
      <w:b/>
      <w:sz w:val="16"/>
      <w:lang w:val="en-US" w:eastAsia="en-US"/>
    </w:rPr>
  </w:style>
  <w:style w:type="paragraph" w:customStyle="1" w:styleId="C-PLR-Heading1nopagebreaknon-numbered">
    <w:name w:val="C-PLR-Heading 1 (no page break.non-numbered)"/>
    <w:basedOn w:val="C-PLR-Heading1non-numbered"/>
    <w:next w:val="C-PLR-BodyText"/>
    <w:rsid w:val="00EF329B"/>
  </w:style>
  <w:style w:type="paragraph" w:customStyle="1" w:styleId="C-PLR-Heading2non-numbered">
    <w:name w:val="C-PLR-Heading 2 (non-numbered)"/>
    <w:basedOn w:val="C-PLR-Heading2"/>
    <w:next w:val="C-PLR-BodyText"/>
    <w:rsid w:val="00EF329B"/>
    <w:pPr>
      <w:numPr>
        <w:ilvl w:val="0"/>
        <w:numId w:val="0"/>
      </w:numPr>
      <w:ind w:left="720" w:hanging="720"/>
    </w:pPr>
  </w:style>
  <w:style w:type="paragraph" w:customStyle="1" w:styleId="C-PLR-TableHeader">
    <w:name w:val="C-PLR-Table Header"/>
    <w:next w:val="C-PLR-TableText"/>
    <w:rsid w:val="00EF329B"/>
    <w:pPr>
      <w:keepNext/>
    </w:pPr>
    <w:rPr>
      <w:b/>
      <w:sz w:val="16"/>
      <w:lang w:val="en-US" w:eastAsia="en-US"/>
    </w:rPr>
  </w:style>
  <w:style w:type="paragraph" w:customStyle="1" w:styleId="C-PLR-TableText">
    <w:name w:val="C-PLR-Table Text"/>
    <w:rsid w:val="00EF329B"/>
    <w:rPr>
      <w:sz w:val="16"/>
      <w:lang w:val="en-US" w:eastAsia="en-US"/>
    </w:rPr>
  </w:style>
  <w:style w:type="paragraph" w:customStyle="1" w:styleId="C-PLR-Title">
    <w:name w:val="C-PLR-Title"/>
    <w:next w:val="C-PLR-BodyText"/>
    <w:rsid w:val="00EF329B"/>
    <w:pPr>
      <w:jc w:val="center"/>
    </w:pPr>
    <w:rPr>
      <w:b/>
      <w:caps/>
      <w:sz w:val="16"/>
      <w:lang w:val="en-US" w:eastAsia="en-US"/>
    </w:rPr>
  </w:style>
  <w:style w:type="paragraph" w:customStyle="1" w:styleId="C-PLR-TOCTitle">
    <w:name w:val="C-PLR-TOC Title"/>
    <w:next w:val="C-PLR-BodyText"/>
    <w:rsid w:val="00EF329B"/>
    <w:pPr>
      <w:tabs>
        <w:tab w:val="center" w:leader="underscore" w:pos="2520"/>
        <w:tab w:val="right" w:leader="underscore" w:pos="5040"/>
      </w:tabs>
      <w:jc w:val="center"/>
    </w:pPr>
    <w:rPr>
      <w:b/>
      <w:caps/>
      <w:sz w:val="16"/>
      <w:lang w:val="en-US" w:eastAsia="en-US"/>
    </w:rPr>
  </w:style>
  <w:style w:type="paragraph" w:customStyle="1" w:styleId="C-PLR-TOC1">
    <w:name w:val="C-PLR-TOC 1"/>
    <w:next w:val="C-PLR-BodyText"/>
    <w:rsid w:val="00EF329B"/>
    <w:pPr>
      <w:ind w:left="432" w:hanging="432"/>
    </w:pPr>
    <w:rPr>
      <w:rFonts w:ascii="Times New Roman Bold" w:hAnsi="Times New Roman Bold"/>
      <w:b/>
      <w:caps/>
      <w:color w:val="0000FF"/>
      <w:sz w:val="16"/>
      <w:lang w:val="en-US" w:eastAsia="en-US"/>
    </w:rPr>
  </w:style>
  <w:style w:type="paragraph" w:customStyle="1" w:styleId="C-PLR-TOC2">
    <w:name w:val="C-PLR-TOC 2"/>
    <w:basedOn w:val="C-PLR-TOC1"/>
    <w:next w:val="C-PLR-BodyText"/>
    <w:rsid w:val="00EF329B"/>
    <w:pPr>
      <w:ind w:left="864"/>
    </w:pPr>
    <w:rPr>
      <w:rFonts w:ascii="Times New Roman" w:hAnsi="Times New Roman"/>
      <w:b w:val="0"/>
      <w:caps w:val="0"/>
    </w:rPr>
  </w:style>
  <w:style w:type="paragraph" w:customStyle="1" w:styleId="C-PLR-TableFootnote">
    <w:name w:val="C-PLR-Table Footnote"/>
    <w:next w:val="C-PLR-BodyText"/>
    <w:rsid w:val="00EF329B"/>
    <w:pPr>
      <w:tabs>
        <w:tab w:val="left" w:pos="432"/>
      </w:tabs>
      <w:ind w:left="432" w:hanging="432"/>
    </w:pPr>
    <w:rPr>
      <w:sz w:val="16"/>
      <w:lang w:val="en-US" w:eastAsia="en-US"/>
    </w:rPr>
  </w:style>
  <w:style w:type="character" w:customStyle="1" w:styleId="C-Hyperlink">
    <w:name w:val="C-Hyperlink"/>
    <w:rsid w:val="00EF329B"/>
    <w:rPr>
      <w:color w:val="0000FF"/>
    </w:rPr>
  </w:style>
  <w:style w:type="table" w:customStyle="1" w:styleId="C-Table">
    <w:name w:val="C-Table"/>
    <w:basedOn w:val="TableNormal"/>
    <w:rsid w:val="00EF329B"/>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EF329B"/>
    <w:rPr>
      <w:rFonts w:ascii="Times New Roman" w:hAnsi="Times New Roman"/>
      <w:dstrike w:val="0"/>
      <w:color w:val="auto"/>
      <w:spacing w:val="0"/>
      <w:w w:val="100"/>
      <w:position w:val="0"/>
      <w:sz w:val="22"/>
      <w:szCs w:val="22"/>
      <w:u w:val="none"/>
      <w:effect w:val="none"/>
      <w:vertAlign w:val="superscript"/>
      <w:em w:val="none"/>
    </w:rPr>
  </w:style>
  <w:style w:type="paragraph" w:styleId="CommentText">
    <w:name w:val="annotation text"/>
    <w:aliases w:val="Comment Text Char1 Char,Comment Text Char Char Char,Comment Text Char1"/>
    <w:basedOn w:val="Normal"/>
    <w:link w:val="CommentTextChar"/>
    <w:locked/>
    <w:rsid w:val="00EF329B"/>
    <w:rPr>
      <w:sz w:val="20"/>
    </w:rPr>
  </w:style>
  <w:style w:type="paragraph" w:styleId="CommentSubject">
    <w:name w:val="annotation subject"/>
    <w:basedOn w:val="CommentText"/>
    <w:next w:val="CommentText"/>
    <w:locked/>
    <w:rsid w:val="00EF329B"/>
    <w:rPr>
      <w:b/>
      <w:bCs/>
    </w:rPr>
  </w:style>
  <w:style w:type="paragraph" w:customStyle="1" w:styleId="C-PLR-AlphabeticList">
    <w:name w:val="C-PLR-Alphabetic List"/>
    <w:rsid w:val="00EF329B"/>
    <w:pPr>
      <w:numPr>
        <w:numId w:val="6"/>
      </w:numPr>
    </w:pPr>
    <w:rPr>
      <w:rFonts w:cs="Arial"/>
      <w:sz w:val="16"/>
      <w:lang w:val="en-US" w:eastAsia="en-US"/>
    </w:rPr>
  </w:style>
  <w:style w:type="paragraph" w:customStyle="1" w:styleId="C-PLR-CaptionContinued">
    <w:name w:val="C-PLR-Caption Continued"/>
    <w:next w:val="C-PLR-BodyText"/>
    <w:rsid w:val="00EF329B"/>
    <w:pPr>
      <w:keepNext/>
      <w:ind w:left="360" w:hanging="360"/>
    </w:pPr>
    <w:rPr>
      <w:rFonts w:ascii="Times New Roman Bold" w:hAnsi="Times New Roman Bold" w:cs="Arial"/>
      <w:b/>
      <w:sz w:val="16"/>
      <w:lang w:val="en-US" w:eastAsia="en-US"/>
    </w:rPr>
  </w:style>
  <w:style w:type="paragraph" w:customStyle="1" w:styleId="C-PLR-Heading1">
    <w:name w:val="C-PLR-Heading 1"/>
    <w:next w:val="C-PLR-BodyText"/>
    <w:rsid w:val="00EF329B"/>
    <w:pPr>
      <w:keepNext/>
      <w:numPr>
        <w:numId w:val="5"/>
      </w:numPr>
      <w:tabs>
        <w:tab w:val="clear" w:pos="1080"/>
        <w:tab w:val="left" w:pos="720"/>
      </w:tabs>
      <w:ind w:left="720" w:hanging="720"/>
      <w:outlineLvl w:val="0"/>
    </w:pPr>
    <w:rPr>
      <w:rFonts w:ascii="Times New Roman Bold" w:hAnsi="Times New Roman Bold"/>
      <w:caps/>
      <w:sz w:val="16"/>
      <w:lang w:val="en-US" w:eastAsia="en-US"/>
    </w:rPr>
  </w:style>
  <w:style w:type="paragraph" w:customStyle="1" w:styleId="C-PLR-Heading1nopagebreak">
    <w:name w:val="C-PLR-Heading 1 (no page break)"/>
    <w:basedOn w:val="C-PLR-Heading1"/>
    <w:next w:val="C-PLR-BodyText"/>
    <w:rsid w:val="00EF329B"/>
  </w:style>
  <w:style w:type="paragraph" w:customStyle="1" w:styleId="C-PLR-Heading2">
    <w:name w:val="C-PLR-Heading 2"/>
    <w:next w:val="C-PLR-BodyText"/>
    <w:rsid w:val="00EF329B"/>
    <w:pPr>
      <w:numPr>
        <w:ilvl w:val="1"/>
        <w:numId w:val="5"/>
      </w:numPr>
      <w:tabs>
        <w:tab w:val="clear" w:pos="1080"/>
        <w:tab w:val="left" w:pos="720"/>
      </w:tabs>
      <w:ind w:left="720" w:hanging="720"/>
      <w:outlineLvl w:val="1"/>
    </w:pPr>
    <w:rPr>
      <w:rFonts w:ascii="Times New Roman Bold" w:hAnsi="Times New Roman Bold" w:cs="Arial"/>
      <w:sz w:val="16"/>
      <w:lang w:val="en-US" w:eastAsia="en-US"/>
    </w:rPr>
  </w:style>
  <w:style w:type="paragraph" w:customStyle="1" w:styleId="C-PLR-Heading3">
    <w:name w:val="C-PLR-Heading 3"/>
    <w:next w:val="C-PLR-BodyText"/>
    <w:rsid w:val="00EF329B"/>
    <w:pPr>
      <w:numPr>
        <w:ilvl w:val="2"/>
        <w:numId w:val="5"/>
      </w:numPr>
      <w:tabs>
        <w:tab w:val="clear" w:pos="1080"/>
        <w:tab w:val="left" w:pos="720"/>
      </w:tabs>
      <w:ind w:left="720" w:hanging="720"/>
      <w:outlineLvl w:val="2"/>
    </w:pPr>
    <w:rPr>
      <w:rFonts w:ascii="Times New Roman Bold" w:hAnsi="Times New Roman Bold" w:cs="Arial"/>
      <w:sz w:val="16"/>
      <w:lang w:val="en-US" w:eastAsia="en-US"/>
    </w:rPr>
  </w:style>
  <w:style w:type="paragraph" w:customStyle="1" w:styleId="C-PLR-Heading3non-numbered">
    <w:name w:val="C-PLR-Heading 3 (non-numbered)"/>
    <w:basedOn w:val="C-PLR-Heading3"/>
    <w:next w:val="C-PLR-BodyText"/>
    <w:rsid w:val="00EF329B"/>
    <w:pPr>
      <w:numPr>
        <w:ilvl w:val="0"/>
        <w:numId w:val="0"/>
      </w:numPr>
      <w:ind w:left="720" w:hanging="720"/>
    </w:pPr>
  </w:style>
  <w:style w:type="paragraph" w:customStyle="1" w:styleId="C-PLR-Heading4">
    <w:name w:val="C-PLR-Heading 4"/>
    <w:next w:val="C-PLR-BodyText"/>
    <w:rsid w:val="00EF329B"/>
    <w:pPr>
      <w:numPr>
        <w:ilvl w:val="3"/>
        <w:numId w:val="5"/>
      </w:numPr>
      <w:tabs>
        <w:tab w:val="clear" w:pos="1080"/>
        <w:tab w:val="left" w:pos="720"/>
      </w:tabs>
      <w:ind w:left="720" w:hanging="720"/>
      <w:outlineLvl w:val="3"/>
    </w:pPr>
    <w:rPr>
      <w:rFonts w:ascii="Times New Roman Bold" w:hAnsi="Times New Roman Bold" w:cs="Arial"/>
      <w:sz w:val="16"/>
      <w:lang w:val="en-US" w:eastAsia="en-US"/>
    </w:rPr>
  </w:style>
  <w:style w:type="paragraph" w:customStyle="1" w:styleId="C-PLR-Heading4non-numbered">
    <w:name w:val="C-PLR-Heading 4 (non-numbered)"/>
    <w:basedOn w:val="C-PLR-Heading4"/>
    <w:next w:val="C-PLR-BodyText"/>
    <w:rsid w:val="00EF329B"/>
    <w:pPr>
      <w:numPr>
        <w:ilvl w:val="0"/>
        <w:numId w:val="0"/>
      </w:numPr>
      <w:ind w:left="720" w:hanging="720"/>
    </w:pPr>
  </w:style>
  <w:style w:type="paragraph" w:customStyle="1" w:styleId="C-PLR-Heading5">
    <w:name w:val="C-PLR-Heading 5"/>
    <w:next w:val="C-PLR-BodyText"/>
    <w:rsid w:val="00EF329B"/>
    <w:pPr>
      <w:numPr>
        <w:ilvl w:val="4"/>
        <w:numId w:val="5"/>
      </w:numPr>
      <w:tabs>
        <w:tab w:val="clear" w:pos="1080"/>
        <w:tab w:val="left" w:pos="720"/>
      </w:tabs>
      <w:ind w:left="720" w:hanging="720"/>
      <w:outlineLvl w:val="4"/>
    </w:pPr>
    <w:rPr>
      <w:rFonts w:ascii="Times New Roman Bold" w:hAnsi="Times New Roman Bold" w:cs="Arial"/>
      <w:sz w:val="16"/>
      <w:lang w:val="en-US" w:eastAsia="en-US"/>
    </w:rPr>
  </w:style>
  <w:style w:type="paragraph" w:customStyle="1" w:styleId="C-PLR-Heading5non-numbered">
    <w:name w:val="C-PLR-Heading 5 (non-numbered)"/>
    <w:basedOn w:val="C-PLR-Heading5"/>
    <w:next w:val="C-PLR-BodyText"/>
    <w:rsid w:val="00EF329B"/>
    <w:pPr>
      <w:numPr>
        <w:ilvl w:val="0"/>
        <w:numId w:val="0"/>
      </w:numPr>
      <w:ind w:left="720" w:hanging="720"/>
    </w:pPr>
  </w:style>
  <w:style w:type="paragraph" w:customStyle="1" w:styleId="C-PLR-Heading6">
    <w:name w:val="C-PLR-Heading 6"/>
    <w:next w:val="C-PLR-BodyText"/>
    <w:rsid w:val="00EF329B"/>
    <w:pPr>
      <w:numPr>
        <w:ilvl w:val="5"/>
        <w:numId w:val="5"/>
      </w:numPr>
      <w:tabs>
        <w:tab w:val="clear" w:pos="1080"/>
        <w:tab w:val="left" w:pos="864"/>
      </w:tabs>
      <w:ind w:left="864" w:hanging="864"/>
      <w:outlineLvl w:val="5"/>
    </w:pPr>
    <w:rPr>
      <w:rFonts w:ascii="Times New Roman Bold" w:hAnsi="Times New Roman Bold" w:cs="Arial"/>
      <w:sz w:val="16"/>
      <w:lang w:val="en-US" w:eastAsia="en-US"/>
    </w:rPr>
  </w:style>
  <w:style w:type="paragraph" w:customStyle="1" w:styleId="C-PLR-Heading6non-numbered">
    <w:name w:val="C-PLR-Heading 6 (non-numbered)"/>
    <w:basedOn w:val="C-PLR-Heading6"/>
    <w:next w:val="C-PLR-BodyText"/>
    <w:rsid w:val="00EF329B"/>
    <w:pPr>
      <w:numPr>
        <w:ilvl w:val="0"/>
        <w:numId w:val="0"/>
      </w:numPr>
      <w:ind w:left="864" w:hanging="864"/>
    </w:pPr>
  </w:style>
  <w:style w:type="paragraph" w:customStyle="1" w:styleId="C-PLR-InstructionText">
    <w:name w:val="C-PLR-Instruction Text"/>
    <w:rsid w:val="00EF329B"/>
    <w:rPr>
      <w:rFonts w:ascii="Times New Roman Bold" w:hAnsi="Times New Roman Bold" w:cs="Arial"/>
      <w:vanish/>
      <w:color w:val="FF0000"/>
      <w:sz w:val="16"/>
      <w:lang w:val="en-US" w:eastAsia="en-US"/>
    </w:rPr>
  </w:style>
  <w:style w:type="paragraph" w:customStyle="1" w:styleId="C-PLR-TOC3">
    <w:name w:val="C-PLR-TOC 3"/>
    <w:basedOn w:val="C-PLR-TOC1"/>
    <w:next w:val="C-PLR-BodyText"/>
    <w:rsid w:val="00EF329B"/>
    <w:pPr>
      <w:tabs>
        <w:tab w:val="left" w:pos="432"/>
      </w:tabs>
      <w:ind w:left="864"/>
    </w:pPr>
    <w:rPr>
      <w:rFonts w:ascii="Times New Roman" w:hAnsi="Times New Roman"/>
      <w:b w:val="0"/>
      <w:caps w:val="0"/>
    </w:rPr>
  </w:style>
  <w:style w:type="paragraph" w:customStyle="1" w:styleId="C-PLR-TOC4">
    <w:name w:val="C-PLR-TOC 4"/>
    <w:basedOn w:val="C-PLR-TOC1"/>
    <w:next w:val="C-PLR-BodyText"/>
    <w:rsid w:val="00EF329B"/>
    <w:pPr>
      <w:tabs>
        <w:tab w:val="left" w:pos="432"/>
      </w:tabs>
      <w:ind w:left="864"/>
    </w:pPr>
    <w:rPr>
      <w:rFonts w:ascii="Times New Roman" w:hAnsi="Times New Roman"/>
      <w:b w:val="0"/>
      <w:caps w:val="0"/>
    </w:rPr>
  </w:style>
  <w:style w:type="paragraph" w:styleId="BodyTextIndent">
    <w:name w:val="Body Text Indent"/>
    <w:basedOn w:val="Normal"/>
    <w:locked/>
    <w:rsid w:val="00EF329B"/>
    <w:pPr>
      <w:spacing w:after="120"/>
      <w:ind w:left="360"/>
    </w:pPr>
  </w:style>
  <w:style w:type="paragraph" w:styleId="BodyTextFirstIndent2">
    <w:name w:val="Body Text First Indent 2"/>
    <w:basedOn w:val="BodyTextIndent"/>
    <w:locked/>
    <w:rsid w:val="00EF329B"/>
    <w:pPr>
      <w:ind w:firstLine="210"/>
    </w:pPr>
  </w:style>
  <w:style w:type="paragraph" w:customStyle="1" w:styleId="C-PLR-Heading1non-numbered">
    <w:name w:val="C-PLR-Heading 1 (non-numbered)"/>
    <w:basedOn w:val="C-PLR-Heading1"/>
    <w:next w:val="C-PLR-BodyText"/>
    <w:rsid w:val="00EF329B"/>
    <w:pPr>
      <w:numPr>
        <w:numId w:val="0"/>
      </w:numPr>
      <w:ind w:left="720" w:hanging="720"/>
    </w:pPr>
  </w:style>
  <w:style w:type="paragraph" w:styleId="BalloonText">
    <w:name w:val="Balloon Text"/>
    <w:basedOn w:val="Normal"/>
    <w:link w:val="BalloonTextChar"/>
    <w:uiPriority w:val="99"/>
    <w:semiHidden/>
    <w:unhideWhenUsed/>
    <w:locked/>
    <w:rsid w:val="00FE3CF5"/>
    <w:rPr>
      <w:rFonts w:ascii="Tahoma" w:hAnsi="Tahoma" w:cs="Tahoma"/>
      <w:sz w:val="16"/>
      <w:szCs w:val="16"/>
    </w:rPr>
  </w:style>
  <w:style w:type="paragraph" w:styleId="Header">
    <w:name w:val="header"/>
    <w:basedOn w:val="Normal"/>
    <w:link w:val="HeaderChar"/>
    <w:uiPriority w:val="99"/>
    <w:locked/>
    <w:rsid w:val="00FE3CF5"/>
    <w:pPr>
      <w:pBdr>
        <w:bottom w:val="single" w:sz="4" w:space="3" w:color="auto"/>
      </w:pBdr>
      <w:tabs>
        <w:tab w:val="center" w:pos="4513"/>
        <w:tab w:val="right" w:pos="9026"/>
      </w:tabs>
      <w:spacing w:line="240" w:lineRule="auto"/>
      <w:jc w:val="right"/>
    </w:pPr>
    <w:rPr>
      <w:sz w:val="17"/>
    </w:rPr>
  </w:style>
  <w:style w:type="paragraph" w:styleId="Footer">
    <w:name w:val="footer"/>
    <w:basedOn w:val="Normal"/>
    <w:link w:val="FooterChar"/>
    <w:uiPriority w:val="99"/>
    <w:locked/>
    <w:rsid w:val="00FE3CF5"/>
    <w:pPr>
      <w:tabs>
        <w:tab w:val="center" w:pos="4513"/>
        <w:tab w:val="right" w:pos="9026"/>
      </w:tabs>
      <w:spacing w:line="240" w:lineRule="auto"/>
    </w:pPr>
    <w:rPr>
      <w:sz w:val="17"/>
    </w:rPr>
  </w:style>
  <w:style w:type="paragraph" w:styleId="BodyTextIndent2">
    <w:name w:val="Body Text Indent 2"/>
    <w:basedOn w:val="Normal"/>
    <w:locked/>
    <w:rsid w:val="007C75B3"/>
    <w:pPr>
      <w:spacing w:after="120" w:line="480" w:lineRule="auto"/>
      <w:ind w:left="360"/>
    </w:pPr>
  </w:style>
  <w:style w:type="character" w:customStyle="1" w:styleId="C-BodyTextChar">
    <w:name w:val="C-Body Text Char"/>
    <w:link w:val="C-BodyText"/>
    <w:rsid w:val="000772D1"/>
    <w:rPr>
      <w:sz w:val="24"/>
      <w:lang w:val="en-US" w:eastAsia="en-US"/>
    </w:rPr>
  </w:style>
  <w:style w:type="character" w:styleId="CommentReference">
    <w:name w:val="annotation reference"/>
    <w:uiPriority w:val="99"/>
    <w:locked/>
    <w:rsid w:val="001D4718"/>
    <w:rPr>
      <w:sz w:val="16"/>
      <w:szCs w:val="16"/>
    </w:rPr>
  </w:style>
  <w:style w:type="character" w:customStyle="1" w:styleId="Gillian">
    <w:name w:val="Gillian"/>
    <w:semiHidden/>
    <w:rsid w:val="00FB0672"/>
    <w:rPr>
      <w:rFonts w:ascii="Arial" w:hAnsi="Arial" w:cs="Arial"/>
      <w:color w:val="auto"/>
      <w:sz w:val="20"/>
      <w:szCs w:val="20"/>
    </w:rPr>
  </w:style>
  <w:style w:type="character" w:styleId="FollowedHyperlink">
    <w:name w:val="FollowedHyperlink"/>
    <w:basedOn w:val="DefaultParagraphFont"/>
    <w:unhideWhenUsed/>
    <w:locked/>
    <w:rsid w:val="00FE3CF5"/>
    <w:rPr>
      <w:color w:val="800080"/>
      <w:u w:val="single"/>
    </w:rPr>
  </w:style>
  <w:style w:type="paragraph" w:customStyle="1" w:styleId="Revision1">
    <w:name w:val="Revision1"/>
    <w:hidden/>
    <w:uiPriority w:val="99"/>
    <w:semiHidden/>
    <w:rsid w:val="00347BA6"/>
    <w:rPr>
      <w:rFonts w:cs="Arial"/>
      <w:sz w:val="24"/>
      <w:lang w:val="en-US" w:eastAsia="en-US"/>
    </w:rPr>
  </w:style>
  <w:style w:type="paragraph" w:customStyle="1" w:styleId="CommentText1">
    <w:name w:val="Comment Text1"/>
    <w:rsid w:val="00701075"/>
    <w:rPr>
      <w:rFonts w:eastAsia="ヒラギノ角ゴ Pro W3"/>
      <w:color w:val="000000"/>
      <w:lang w:val="en-US"/>
    </w:rPr>
  </w:style>
  <w:style w:type="character" w:customStyle="1" w:styleId="skypepnhcontainer">
    <w:name w:val="skype_pnh_container"/>
    <w:rsid w:val="002769DB"/>
    <w:rPr>
      <w:rtl w:val="0"/>
    </w:rPr>
  </w:style>
  <w:style w:type="character" w:customStyle="1" w:styleId="skypepnhmark1">
    <w:name w:val="skype_pnh_mark1"/>
    <w:rsid w:val="002769DB"/>
    <w:rPr>
      <w:vanish/>
      <w:webHidden w:val="0"/>
      <w:specVanish w:val="0"/>
    </w:rPr>
  </w:style>
  <w:style w:type="character" w:customStyle="1" w:styleId="skypepnhtextspan">
    <w:name w:val="skype_pnh_text_span"/>
    <w:basedOn w:val="DefaultParagraphFont"/>
    <w:rsid w:val="002769DB"/>
  </w:style>
  <w:style w:type="paragraph" w:customStyle="1" w:styleId="c-bodytext0">
    <w:name w:val="c-bodytext"/>
    <w:basedOn w:val="Normal"/>
    <w:rsid w:val="00D8062A"/>
    <w:pPr>
      <w:spacing w:before="120" w:after="120" w:line="280" w:lineRule="atLeast"/>
    </w:pPr>
    <w:rPr>
      <w:szCs w:val="24"/>
      <w:lang w:eastAsia="en-GB"/>
    </w:rPr>
  </w:style>
  <w:style w:type="table" w:styleId="TableGrid">
    <w:name w:val="Table Grid"/>
    <w:basedOn w:val="TableNormal"/>
    <w:uiPriority w:val="59"/>
    <w:locked/>
    <w:rsid w:val="00FE3CF5"/>
    <w:pPr>
      <w:spacing w:after="200" w:line="0" w:lineRule="auto"/>
    </w:pPr>
    <w:rPr>
      <w:rFonts w:asciiTheme="minorHAnsi" w:eastAsia="Cambria" w:hAnsiTheme="minorHAnsi" w:cstheme="minorBidi"/>
      <w:sz w:val="22"/>
      <w:szCs w:val="22"/>
      <w:lang w:val="en-AU"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orfulList-Accent11">
    <w:name w:val="Colorful List - Accent 11"/>
    <w:basedOn w:val="Normal"/>
    <w:uiPriority w:val="34"/>
    <w:qFormat/>
    <w:rsid w:val="00AC371E"/>
    <w:pPr>
      <w:ind w:left="720"/>
      <w:contextualSpacing/>
    </w:pPr>
    <w:rPr>
      <w:rFonts w:ascii="Times" w:hAnsi="Times"/>
      <w:sz w:val="20"/>
    </w:rPr>
  </w:style>
  <w:style w:type="paragraph" w:customStyle="1" w:styleId="C-AppendixNumbered">
    <w:name w:val="C-Appendix (Numbered)"/>
    <w:basedOn w:val="C-Appendix"/>
    <w:next w:val="C-BodyText"/>
    <w:rsid w:val="00EF329B"/>
    <w:pPr>
      <w:numPr>
        <w:numId w:val="8"/>
      </w:numPr>
      <w:tabs>
        <w:tab w:val="left" w:pos="1987"/>
      </w:tabs>
      <w:ind w:left="1987" w:hanging="1987"/>
    </w:pPr>
  </w:style>
  <w:style w:type="numbering" w:customStyle="1" w:styleId="SPNumberedTabs">
    <w:name w:val="SP Numbered Tabs"/>
    <w:rsid w:val="00EF329B"/>
    <w:pPr>
      <w:numPr>
        <w:numId w:val="9"/>
      </w:numPr>
    </w:pPr>
  </w:style>
  <w:style w:type="numbering" w:customStyle="1" w:styleId="SPBulletTabs">
    <w:name w:val="SP Bullet Tabs"/>
    <w:rsid w:val="00EF329B"/>
    <w:pPr>
      <w:numPr>
        <w:numId w:val="10"/>
      </w:numPr>
    </w:pPr>
  </w:style>
  <w:style w:type="paragraph" w:customStyle="1" w:styleId="C-Alphabetic">
    <w:name w:val="C-Alphabetic"/>
    <w:basedOn w:val="C-Heading1"/>
    <w:next w:val="C-BodyText"/>
    <w:link w:val="C-AlphabeticChar"/>
    <w:qFormat/>
    <w:rsid w:val="00EF329B"/>
    <w:pPr>
      <w:numPr>
        <w:numId w:val="12"/>
      </w:numPr>
      <w:tabs>
        <w:tab w:val="left" w:pos="1080"/>
      </w:tabs>
      <w:ind w:left="1080" w:hanging="1080"/>
    </w:pPr>
  </w:style>
  <w:style w:type="character" w:customStyle="1" w:styleId="C-Heading1Char">
    <w:name w:val="C-Heading 1 Char"/>
    <w:link w:val="C-Heading1"/>
    <w:rsid w:val="00EF329B"/>
    <w:rPr>
      <w:b/>
      <w:caps/>
      <w:sz w:val="28"/>
      <w:lang w:val="it-IT" w:eastAsia="it-IT"/>
    </w:rPr>
  </w:style>
  <w:style w:type="character" w:customStyle="1" w:styleId="C-AlphabeticChar">
    <w:name w:val="C-Alphabetic Char"/>
    <w:link w:val="C-Alphabetic"/>
    <w:rsid w:val="00EF329B"/>
    <w:rPr>
      <w:b/>
      <w:caps/>
      <w:sz w:val="28"/>
      <w:lang w:val="it-IT" w:eastAsia="it-IT"/>
    </w:rPr>
  </w:style>
  <w:style w:type="paragraph" w:styleId="Revision">
    <w:name w:val="Revision"/>
    <w:hidden/>
    <w:uiPriority w:val="99"/>
    <w:semiHidden/>
    <w:rsid w:val="004E61AA"/>
    <w:rPr>
      <w:rFonts w:cs="Arial"/>
      <w:sz w:val="24"/>
      <w:lang w:val="en-US" w:eastAsia="en-US"/>
    </w:rPr>
  </w:style>
  <w:style w:type="paragraph" w:styleId="ListParagraph">
    <w:name w:val="List Paragraph"/>
    <w:basedOn w:val="Normal"/>
    <w:uiPriority w:val="34"/>
    <w:qFormat/>
    <w:rsid w:val="00205226"/>
    <w:pPr>
      <w:ind w:left="720"/>
      <w:contextualSpacing/>
    </w:pPr>
    <w:rPr>
      <w:rFonts w:eastAsia="Times New Roman"/>
    </w:rPr>
  </w:style>
  <w:style w:type="character" w:styleId="PageNumber">
    <w:name w:val="page number"/>
    <w:locked/>
    <w:rsid w:val="00692251"/>
  </w:style>
  <w:style w:type="paragraph" w:customStyle="1" w:styleId="TitleforAnnex1">
    <w:name w:val="Title for Annex 1"/>
    <w:basedOn w:val="TitleforAnnexIIStyles"/>
    <w:rsid w:val="0051567B"/>
  </w:style>
  <w:style w:type="paragraph" w:customStyle="1" w:styleId="TitleforAnnexIIStyles">
    <w:name w:val="Title for Annex II Styles"/>
    <w:basedOn w:val="Normal"/>
    <w:qFormat/>
    <w:rsid w:val="0051567B"/>
    <w:pPr>
      <w:keepNext/>
      <w:widowControl w:val="0"/>
      <w:autoSpaceDE w:val="0"/>
      <w:autoSpaceDN w:val="0"/>
      <w:adjustRightInd w:val="0"/>
      <w:spacing w:before="280" w:after="220"/>
      <w:ind w:left="847" w:right="120" w:hanging="720"/>
    </w:pPr>
    <w:rPr>
      <w:b/>
      <w:bCs/>
      <w:color w:val="000000"/>
    </w:rPr>
  </w:style>
  <w:style w:type="paragraph" w:customStyle="1" w:styleId="TitleforAnnexIStyles">
    <w:name w:val="Title for Annex I Styles"/>
    <w:basedOn w:val="TitleforAnnex1"/>
    <w:qFormat/>
    <w:rsid w:val="000D5439"/>
    <w:pPr>
      <w:jc w:val="center"/>
    </w:pPr>
  </w:style>
  <w:style w:type="character" w:styleId="FootnoteReference">
    <w:name w:val="footnote reference"/>
    <w:basedOn w:val="DefaultParagraphFont"/>
    <w:uiPriority w:val="99"/>
    <w:unhideWhenUsed/>
    <w:locked/>
    <w:rsid w:val="00FE3CF5"/>
    <w:rPr>
      <w:vertAlign w:val="superscript"/>
    </w:rPr>
  </w:style>
  <w:style w:type="character" w:customStyle="1" w:styleId="CommentTextChar">
    <w:name w:val="Comment Text Char"/>
    <w:aliases w:val="Comment Text Char1 Char Char,Comment Text Char Char Char Char,Comment Text Char1 Char1"/>
    <w:link w:val="CommentText"/>
    <w:rsid w:val="007836DC"/>
    <w:rPr>
      <w:rFonts w:cs="Arial"/>
    </w:rPr>
  </w:style>
  <w:style w:type="character" w:customStyle="1" w:styleId="DoNotTranslateExternal1">
    <w:name w:val="DoNotTranslateExternal1"/>
    <w:qFormat/>
    <w:rsid w:val="00205226"/>
    <w:rPr>
      <w:b/>
      <w:noProof/>
      <w:szCs w:val="22"/>
    </w:rPr>
  </w:style>
  <w:style w:type="character" w:customStyle="1" w:styleId="UnresolvedMention1">
    <w:name w:val="Unresolved Mention1"/>
    <w:basedOn w:val="DefaultParagraphFont"/>
    <w:uiPriority w:val="99"/>
    <w:semiHidden/>
    <w:unhideWhenUsed/>
    <w:rsid w:val="005D2A5F"/>
    <w:rPr>
      <w:color w:val="605E5C"/>
      <w:shd w:val="clear" w:color="auto" w:fill="E1DFDD"/>
    </w:rPr>
  </w:style>
  <w:style w:type="paragraph" w:customStyle="1" w:styleId="Default">
    <w:name w:val="Default"/>
    <w:rsid w:val="00066A4B"/>
    <w:pPr>
      <w:autoSpaceDE w:val="0"/>
      <w:autoSpaceDN w:val="0"/>
      <w:adjustRightInd w:val="0"/>
    </w:pPr>
    <w:rPr>
      <w:color w:val="000000"/>
      <w:sz w:val="24"/>
      <w:szCs w:val="24"/>
      <w:lang w:val="en-AU"/>
    </w:rPr>
  </w:style>
  <w:style w:type="paragraph" w:styleId="NormalWeb">
    <w:name w:val="Normal (Web)"/>
    <w:basedOn w:val="Normal"/>
    <w:uiPriority w:val="99"/>
    <w:semiHidden/>
    <w:unhideWhenUsed/>
    <w:locked/>
    <w:rsid w:val="00513545"/>
    <w:pPr>
      <w:spacing w:before="100" w:beforeAutospacing="1" w:after="100" w:afterAutospacing="1" w:line="240" w:lineRule="auto"/>
    </w:pPr>
    <w:rPr>
      <w:rFonts w:eastAsia="Times New Roman"/>
      <w:sz w:val="24"/>
      <w:szCs w:val="24"/>
      <w:lang w:eastAsia="en-AU"/>
    </w:rPr>
  </w:style>
  <w:style w:type="character" w:customStyle="1" w:styleId="UnresolvedMention2">
    <w:name w:val="Unresolved Mention2"/>
    <w:basedOn w:val="DefaultParagraphFont"/>
    <w:uiPriority w:val="99"/>
    <w:semiHidden/>
    <w:unhideWhenUsed/>
    <w:rsid w:val="00893D94"/>
    <w:rPr>
      <w:color w:val="605E5C"/>
      <w:shd w:val="clear" w:color="auto" w:fill="E1DFDD"/>
    </w:rPr>
  </w:style>
  <w:style w:type="character" w:customStyle="1" w:styleId="FooterChar">
    <w:name w:val="Footer Char"/>
    <w:basedOn w:val="DefaultParagraphFont"/>
    <w:link w:val="Footer"/>
    <w:uiPriority w:val="99"/>
    <w:rsid w:val="00FE3CF5"/>
    <w:rPr>
      <w:rFonts w:ascii="Cambria" w:eastAsia="Cambria" w:hAnsi="Cambria" w:cstheme="minorBidi"/>
      <w:sz w:val="17"/>
      <w:szCs w:val="22"/>
      <w:lang w:val="en-AU" w:eastAsia="en-US"/>
    </w:rPr>
  </w:style>
  <w:style w:type="paragraph" w:customStyle="1" w:styleId="TableParagraph">
    <w:name w:val="Table Paragraph"/>
    <w:basedOn w:val="Normal"/>
    <w:uiPriority w:val="1"/>
    <w:qFormat/>
    <w:rsid w:val="00BA19F8"/>
    <w:pPr>
      <w:widowControl w:val="0"/>
      <w:autoSpaceDE w:val="0"/>
      <w:autoSpaceDN w:val="0"/>
      <w:adjustRightInd w:val="0"/>
      <w:spacing w:before="58" w:line="240" w:lineRule="auto"/>
      <w:ind w:left="298"/>
      <w:jc w:val="center"/>
    </w:pPr>
    <w:rPr>
      <w:rFonts w:eastAsiaTheme="minorEastAsia"/>
      <w:sz w:val="24"/>
      <w:szCs w:val="24"/>
      <w:lang w:eastAsia="en-AU"/>
    </w:rPr>
  </w:style>
  <w:style w:type="character" w:customStyle="1" w:styleId="Heading1Char">
    <w:name w:val="Heading 1 Char"/>
    <w:basedOn w:val="DefaultParagraphFont"/>
    <w:link w:val="Heading1"/>
    <w:rsid w:val="00FE3CF5"/>
    <w:rPr>
      <w:rFonts w:ascii="Arial" w:hAnsi="Arial" w:cstheme="minorBidi"/>
      <w:b/>
      <w:bCs/>
      <w:sz w:val="48"/>
      <w:szCs w:val="48"/>
      <w:lang w:val="en-AU" w:eastAsia="en-US"/>
    </w:rPr>
  </w:style>
  <w:style w:type="character" w:customStyle="1" w:styleId="Heading2Char">
    <w:name w:val="Heading 2 Char"/>
    <w:basedOn w:val="DefaultParagraphFont"/>
    <w:link w:val="Heading2"/>
    <w:rsid w:val="00FE3CF5"/>
    <w:rPr>
      <w:rFonts w:ascii="Arial" w:hAnsi="Arial" w:cstheme="minorBidi"/>
      <w:b/>
      <w:bCs/>
      <w:sz w:val="38"/>
      <w:szCs w:val="38"/>
      <w:lang w:val="en-AU" w:eastAsia="en-US"/>
    </w:rPr>
  </w:style>
  <w:style w:type="character" w:customStyle="1" w:styleId="Heading3Char">
    <w:name w:val="Heading 3 Char"/>
    <w:basedOn w:val="DefaultParagraphFont"/>
    <w:link w:val="Heading3"/>
    <w:rsid w:val="00FE3CF5"/>
    <w:rPr>
      <w:rFonts w:ascii="Arial" w:hAnsi="Arial" w:cstheme="minorBidi"/>
      <w:b/>
      <w:bCs/>
      <w:sz w:val="32"/>
      <w:szCs w:val="32"/>
      <w:lang w:val="en-AU" w:eastAsia="en-US"/>
    </w:rPr>
  </w:style>
  <w:style w:type="character" w:customStyle="1" w:styleId="BalloonTextChar">
    <w:name w:val="Balloon Text Char"/>
    <w:basedOn w:val="DefaultParagraphFont"/>
    <w:link w:val="BalloonText"/>
    <w:uiPriority w:val="99"/>
    <w:semiHidden/>
    <w:rsid w:val="00FE3CF5"/>
    <w:rPr>
      <w:rFonts w:ascii="Tahoma" w:eastAsia="Cambria" w:hAnsi="Tahoma" w:cs="Tahoma"/>
      <w:sz w:val="16"/>
      <w:szCs w:val="16"/>
      <w:lang w:val="en-AU" w:eastAsia="en-US"/>
    </w:rPr>
  </w:style>
  <w:style w:type="paragraph" w:customStyle="1" w:styleId="Figuredescription">
    <w:name w:val="Figure description"/>
    <w:basedOn w:val="Normal"/>
    <w:next w:val="Normal"/>
    <w:rsid w:val="00FE3CF5"/>
    <w:pPr>
      <w:spacing w:after="240" w:line="180" w:lineRule="atLeast"/>
    </w:pPr>
    <w:rPr>
      <w:sz w:val="18"/>
    </w:rPr>
  </w:style>
  <w:style w:type="paragraph" w:customStyle="1" w:styleId="Figuretitle">
    <w:name w:val="Figure title"/>
    <w:basedOn w:val="Normal"/>
    <w:next w:val="Normal"/>
    <w:rsid w:val="00FE3CF5"/>
    <w:pPr>
      <w:outlineLvl w:val="4"/>
    </w:pPr>
    <w:rPr>
      <w:b/>
    </w:rPr>
  </w:style>
  <w:style w:type="character" w:customStyle="1" w:styleId="Heading4Char">
    <w:name w:val="Heading 4 Char"/>
    <w:basedOn w:val="DefaultParagraphFont"/>
    <w:link w:val="Heading4"/>
    <w:rsid w:val="00FE3CF5"/>
    <w:rPr>
      <w:rFonts w:ascii="Arial" w:eastAsia="Cambria" w:hAnsi="Arial" w:cstheme="minorBidi"/>
      <w:b/>
      <w:bCs/>
      <w:sz w:val="26"/>
      <w:szCs w:val="26"/>
      <w:lang w:val="en-AU" w:eastAsia="en-US"/>
    </w:rPr>
  </w:style>
  <w:style w:type="character" w:customStyle="1" w:styleId="HeaderChar">
    <w:name w:val="Header Char"/>
    <w:basedOn w:val="DefaultParagraphFont"/>
    <w:link w:val="Header"/>
    <w:uiPriority w:val="99"/>
    <w:rsid w:val="00FE3CF5"/>
    <w:rPr>
      <w:rFonts w:ascii="Cambria" w:eastAsia="Cambria" w:hAnsi="Cambria" w:cstheme="minorBidi"/>
      <w:sz w:val="17"/>
      <w:szCs w:val="22"/>
      <w:lang w:val="en-AU" w:eastAsia="en-US"/>
    </w:rPr>
  </w:style>
  <w:style w:type="paragraph" w:customStyle="1" w:styleId="Headernoline">
    <w:name w:val="Header no line"/>
    <w:basedOn w:val="Header"/>
    <w:rsid w:val="00FE3CF5"/>
    <w:pPr>
      <w:pBdr>
        <w:bottom w:val="none" w:sz="0" w:space="0" w:color="auto"/>
      </w:pBdr>
      <w:spacing w:line="240" w:lineRule="atLeast"/>
    </w:pPr>
  </w:style>
  <w:style w:type="character" w:customStyle="1" w:styleId="Heading5Char">
    <w:name w:val="Heading 5 Char"/>
    <w:basedOn w:val="DefaultParagraphFont"/>
    <w:link w:val="Heading5"/>
    <w:uiPriority w:val="9"/>
    <w:rsid w:val="00FE3CF5"/>
    <w:rPr>
      <w:rFonts w:ascii="Cambria" w:hAnsi="Cambria" w:cstheme="minorBidi"/>
      <w:b/>
      <w:bCs/>
      <w:color w:val="001523"/>
      <w:sz w:val="26"/>
      <w:szCs w:val="26"/>
      <w:lang w:val="en-AU" w:eastAsia="en-US"/>
    </w:rPr>
  </w:style>
  <w:style w:type="character" w:customStyle="1" w:styleId="Heading6Char">
    <w:name w:val="Heading 6 Char"/>
    <w:basedOn w:val="DefaultParagraphFont"/>
    <w:link w:val="Heading6"/>
    <w:uiPriority w:val="9"/>
    <w:rsid w:val="00FE3CF5"/>
    <w:rPr>
      <w:rFonts w:ascii="Cambria" w:hAnsi="Cambria" w:cstheme="minorBidi"/>
      <w:b/>
      <w:bCs/>
      <w:i/>
      <w:sz w:val="22"/>
      <w:szCs w:val="21"/>
      <w:lang w:val="en-AU" w:eastAsia="en-US"/>
    </w:rPr>
  </w:style>
  <w:style w:type="character" w:customStyle="1" w:styleId="Heading7Char">
    <w:name w:val="Heading 7 Char"/>
    <w:basedOn w:val="DefaultParagraphFont"/>
    <w:link w:val="Heading7"/>
    <w:uiPriority w:val="9"/>
    <w:rsid w:val="00FE3CF5"/>
    <w:rPr>
      <w:rFonts w:ascii="Cambria" w:hAnsi="Cambria" w:cstheme="minorBidi"/>
      <w:bCs/>
      <w:i/>
      <w:sz w:val="22"/>
      <w:szCs w:val="22"/>
      <w:lang w:val="en-AU" w:eastAsia="en-US"/>
    </w:rPr>
  </w:style>
  <w:style w:type="paragraph" w:customStyle="1" w:styleId="LegalCopy">
    <w:name w:val="Legal Copy"/>
    <w:basedOn w:val="Footer"/>
    <w:semiHidden/>
    <w:unhideWhenUsed/>
    <w:rsid w:val="00FE3CF5"/>
  </w:style>
  <w:style w:type="paragraph" w:customStyle="1" w:styleId="LegalSubheading">
    <w:name w:val="Legal Subheading"/>
    <w:basedOn w:val="Footer"/>
    <w:semiHidden/>
    <w:unhideWhenUsed/>
    <w:rsid w:val="00FE3CF5"/>
  </w:style>
  <w:style w:type="table" w:styleId="LightShading-Accent2">
    <w:name w:val="Light Shading Accent 2"/>
    <w:basedOn w:val="TableNormal"/>
    <w:uiPriority w:val="60"/>
    <w:rsid w:val="00FE3CF5"/>
    <w:pPr>
      <w:spacing w:after="200" w:line="0" w:lineRule="auto"/>
    </w:pPr>
    <w:rPr>
      <w:rFonts w:ascii="Cambria" w:eastAsia="Calibri" w:hAnsi="Cambria" w:cstheme="minorBidi"/>
      <w:color w:val="943634"/>
      <w:sz w:val="21"/>
      <w:szCs w:val="21"/>
      <w:lang w:val="en-AU"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locked/>
    <w:rsid w:val="00FE3CF5"/>
    <w:pPr>
      <w:ind w:left="425" w:hanging="425"/>
    </w:pPr>
  </w:style>
  <w:style w:type="paragraph" w:styleId="ListBullet2">
    <w:name w:val="List Bullet 2"/>
    <w:basedOn w:val="Normal"/>
    <w:uiPriority w:val="2"/>
    <w:qFormat/>
    <w:locked/>
    <w:rsid w:val="00FE3CF5"/>
    <w:pPr>
      <w:ind w:left="850" w:hanging="425"/>
    </w:pPr>
  </w:style>
  <w:style w:type="paragraph" w:styleId="ListBullet3">
    <w:name w:val="List Bullet 3"/>
    <w:basedOn w:val="Normal"/>
    <w:uiPriority w:val="2"/>
    <w:qFormat/>
    <w:locked/>
    <w:rsid w:val="00FE3CF5"/>
    <w:pPr>
      <w:ind w:left="1276" w:hanging="425"/>
    </w:pPr>
  </w:style>
  <w:style w:type="numbering" w:customStyle="1" w:styleId="ListBullets">
    <w:name w:val="ListBullets"/>
    <w:uiPriority w:val="99"/>
    <w:locked/>
    <w:rsid w:val="00FE3CF5"/>
    <w:pPr>
      <w:numPr>
        <w:numId w:val="22"/>
      </w:numPr>
    </w:pPr>
  </w:style>
  <w:style w:type="table" w:styleId="MediumGrid2-Accent5">
    <w:name w:val="Medium Grid 2 Accent 5"/>
    <w:basedOn w:val="TableNormal"/>
    <w:uiPriority w:val="68"/>
    <w:rsid w:val="00FE3CF5"/>
    <w:pPr>
      <w:spacing w:after="200" w:line="0" w:lineRule="auto"/>
    </w:pPr>
    <w:rPr>
      <w:rFonts w:ascii="Cambria" w:hAnsi="Cambria" w:cstheme="minorBidi"/>
      <w:color w:val="000000"/>
      <w:sz w:val="21"/>
      <w:szCs w:val="21"/>
      <w:lang w:val="en-AU"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FE3CF5"/>
    <w:pPr>
      <w:keepNext/>
      <w:keepLines/>
      <w:spacing w:before="360"/>
    </w:pPr>
    <w:rPr>
      <w:rFonts w:ascii="Arial" w:hAnsi="Arial"/>
      <w:b/>
      <w:sz w:val="38"/>
    </w:rPr>
  </w:style>
  <w:style w:type="paragraph" w:customStyle="1" w:styleId="Notes">
    <w:name w:val="Notes"/>
    <w:basedOn w:val="Normal"/>
    <w:semiHidden/>
    <w:locked/>
    <w:rsid w:val="00FE3CF5"/>
    <w:pPr>
      <w:spacing w:line="240" w:lineRule="auto"/>
    </w:pPr>
    <w:rPr>
      <w:rFonts w:ascii="Arial" w:hAnsi="Arial"/>
      <w:sz w:val="16"/>
    </w:rPr>
  </w:style>
  <w:style w:type="paragraph" w:customStyle="1" w:styleId="Numberbullet0">
    <w:name w:val="Number bullet"/>
    <w:basedOn w:val="ListBullet"/>
    <w:qFormat/>
    <w:rsid w:val="00FE3CF5"/>
    <w:pPr>
      <w:numPr>
        <w:numId w:val="24"/>
      </w:numPr>
    </w:pPr>
  </w:style>
  <w:style w:type="paragraph" w:customStyle="1" w:styleId="Numberbullet2">
    <w:name w:val="Number bullet 2"/>
    <w:basedOn w:val="ListBullet2"/>
    <w:qFormat/>
    <w:rsid w:val="00FE3CF5"/>
    <w:pPr>
      <w:numPr>
        <w:ilvl w:val="1"/>
        <w:numId w:val="24"/>
      </w:numPr>
      <w:ind w:left="850" w:hanging="425"/>
    </w:pPr>
  </w:style>
  <w:style w:type="paragraph" w:customStyle="1" w:styleId="Numberbullet3">
    <w:name w:val="Number bullet 3"/>
    <w:basedOn w:val="ListBullet3"/>
    <w:qFormat/>
    <w:rsid w:val="00FE3CF5"/>
    <w:pPr>
      <w:numPr>
        <w:ilvl w:val="2"/>
        <w:numId w:val="24"/>
      </w:numPr>
    </w:pPr>
  </w:style>
  <w:style w:type="numbering" w:customStyle="1" w:styleId="NumberBullet">
    <w:name w:val="NumberBullet"/>
    <w:uiPriority w:val="99"/>
    <w:locked/>
    <w:rsid w:val="00FE3CF5"/>
    <w:pPr>
      <w:numPr>
        <w:numId w:val="24"/>
      </w:numPr>
    </w:pPr>
  </w:style>
  <w:style w:type="character" w:styleId="PlaceholderText">
    <w:name w:val="Placeholder Text"/>
    <w:basedOn w:val="DefaultParagraphFont"/>
    <w:uiPriority w:val="99"/>
    <w:semiHidden/>
    <w:rsid w:val="00FE3CF5"/>
    <w:rPr>
      <w:color w:val="808080"/>
    </w:rPr>
  </w:style>
  <w:style w:type="paragraph" w:customStyle="1" w:styleId="Reference">
    <w:name w:val="Reference"/>
    <w:basedOn w:val="Normal"/>
    <w:rsid w:val="00FE3CF5"/>
    <w:pPr>
      <w:spacing w:before="40"/>
      <w:ind w:left="170" w:hanging="170"/>
    </w:pPr>
    <w:rPr>
      <w:sz w:val="19"/>
    </w:rPr>
  </w:style>
  <w:style w:type="paragraph" w:customStyle="1" w:styleId="Tabledescription">
    <w:name w:val="Table description"/>
    <w:basedOn w:val="Figuredescription"/>
    <w:next w:val="Normal"/>
    <w:rsid w:val="00FE3CF5"/>
  </w:style>
  <w:style w:type="table" w:customStyle="1" w:styleId="TableTGAblue">
    <w:name w:val="Table TGA blue"/>
    <w:basedOn w:val="TableNormal"/>
    <w:uiPriority w:val="99"/>
    <w:qFormat/>
    <w:rsid w:val="00FE3CF5"/>
    <w:pPr>
      <w:spacing w:after="200" w:line="0" w:lineRule="auto"/>
    </w:pPr>
    <w:rPr>
      <w:rFonts w:ascii="Cambria" w:eastAsia="Cambria" w:hAnsi="Cambria" w:cstheme="minorBidi"/>
      <w:sz w:val="22"/>
      <w:szCs w:val="21"/>
      <w:lang w:val="en-AU"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FE3CF5"/>
    <w:pPr>
      <w:spacing w:after="200" w:line="0" w:lineRule="auto"/>
    </w:pPr>
    <w:rPr>
      <w:rFonts w:ascii="Cambria" w:eastAsia="Cambria" w:hAnsi="Cambria" w:cstheme="minorBidi"/>
      <w:color w:val="000000"/>
      <w:sz w:val="22"/>
      <w:szCs w:val="21"/>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E3CF5"/>
    <w:pPr>
      <w:keepNext/>
      <w:outlineLvl w:val="4"/>
    </w:pPr>
    <w:rPr>
      <w:b/>
    </w:rPr>
  </w:style>
  <w:style w:type="paragraph" w:styleId="TOCHeading">
    <w:name w:val="TOC Heading"/>
    <w:basedOn w:val="Heading1"/>
    <w:next w:val="Normal"/>
    <w:uiPriority w:val="39"/>
    <w:semiHidden/>
    <w:unhideWhenUsed/>
    <w:qFormat/>
    <w:rsid w:val="00FE3CF5"/>
    <w:pPr>
      <w:spacing w:before="480" w:after="0" w:line="276" w:lineRule="auto"/>
      <w:outlineLvl w:val="9"/>
    </w:pPr>
    <w:rPr>
      <w:bCs w:val="0"/>
      <w:color w:val="002035"/>
      <w:sz w:val="28"/>
      <w:lang w:val="en-US"/>
    </w:rPr>
  </w:style>
  <w:style w:type="paragraph" w:customStyle="1" w:styleId="Subject">
    <w:name w:val="Subject"/>
    <w:basedOn w:val="Normal"/>
    <w:rsid w:val="00FE3CF5"/>
    <w:rPr>
      <w:b/>
    </w:rPr>
  </w:style>
  <w:style w:type="paragraph" w:styleId="FootnoteText">
    <w:name w:val="footnote text"/>
    <w:basedOn w:val="Normal"/>
    <w:link w:val="FootnoteTextChar"/>
    <w:locked/>
    <w:rsid w:val="00FE3CF5"/>
    <w:pPr>
      <w:keepLines/>
    </w:pPr>
    <w:rPr>
      <w:sz w:val="20"/>
    </w:rPr>
  </w:style>
  <w:style w:type="character" w:customStyle="1" w:styleId="FootnoteTextChar">
    <w:name w:val="Footnote Text Char"/>
    <w:basedOn w:val="DefaultParagraphFont"/>
    <w:link w:val="FootnoteText"/>
    <w:rsid w:val="00FE3CF5"/>
    <w:rPr>
      <w:rFonts w:ascii="Cambria" w:eastAsia="Cambria" w:hAnsi="Cambria" w:cstheme="minorBidi"/>
      <w:szCs w:val="22"/>
      <w:lang w:val="en-AU" w:eastAsia="en-US"/>
    </w:rPr>
  </w:style>
  <w:style w:type="paragraph" w:styleId="Subtitle">
    <w:name w:val="Subtitle"/>
    <w:basedOn w:val="Normal"/>
    <w:next w:val="Normal"/>
    <w:link w:val="SubtitleChar"/>
    <w:uiPriority w:val="11"/>
    <w:unhideWhenUsed/>
    <w:locked/>
    <w:rsid w:val="00FE3CF5"/>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E3CF5"/>
    <w:rPr>
      <w:rFonts w:ascii="Arial" w:hAnsi="Arial" w:cstheme="minorBidi"/>
      <w:bCs/>
      <w:iCs/>
      <w:sz w:val="40"/>
      <w:szCs w:val="24"/>
      <w:lang w:val="en-AU" w:eastAsia="en-US"/>
    </w:rPr>
  </w:style>
  <w:style w:type="paragraph" w:styleId="Title">
    <w:name w:val="Title"/>
    <w:next w:val="Normal"/>
    <w:link w:val="TitleChar"/>
    <w:uiPriority w:val="10"/>
    <w:unhideWhenUsed/>
    <w:locked/>
    <w:rsid w:val="00FE3CF5"/>
    <w:pPr>
      <w:spacing w:after="480" w:line="0" w:lineRule="auto"/>
      <w:contextualSpacing/>
    </w:pPr>
    <w:rPr>
      <w:rFonts w:ascii="Arial" w:hAnsi="Arial" w:cstheme="minorBidi"/>
      <w:spacing w:val="5"/>
      <w:kern w:val="28"/>
      <w:sz w:val="52"/>
      <w:szCs w:val="52"/>
      <w:lang w:val="en-AU" w:eastAsia="en-US"/>
    </w:rPr>
  </w:style>
  <w:style w:type="character" w:customStyle="1" w:styleId="TitleChar">
    <w:name w:val="Title Char"/>
    <w:basedOn w:val="DefaultParagraphFont"/>
    <w:link w:val="Title"/>
    <w:uiPriority w:val="10"/>
    <w:rsid w:val="00FE3CF5"/>
    <w:rPr>
      <w:rFonts w:ascii="Arial" w:hAnsi="Arial" w:cstheme="minorBidi"/>
      <w:spacing w:val="5"/>
      <w:kern w:val="28"/>
      <w:sz w:val="52"/>
      <w:szCs w:val="52"/>
      <w:lang w:val="en-AU" w:eastAsia="en-US"/>
    </w:rPr>
  </w:style>
  <w:style w:type="paragraph" w:customStyle="1" w:styleId="FlowChartWhiteText">
    <w:name w:val="Flow Chart White Text"/>
    <w:basedOn w:val="Normal"/>
    <w:semiHidden/>
    <w:unhideWhenUsed/>
    <w:rsid w:val="00FE3CF5"/>
    <w:pPr>
      <w:jc w:val="center"/>
    </w:pPr>
    <w:rPr>
      <w:rFonts w:ascii="Arial" w:hAnsi="Arial"/>
      <w:color w:val="FFFFFF"/>
    </w:rPr>
  </w:style>
  <w:style w:type="paragraph" w:customStyle="1" w:styleId="FlowchartText">
    <w:name w:val="Flowchart Text"/>
    <w:basedOn w:val="Normal"/>
    <w:semiHidden/>
    <w:unhideWhenUsed/>
    <w:rsid w:val="00FE3CF5"/>
    <w:pPr>
      <w:jc w:val="center"/>
    </w:pPr>
    <w:rPr>
      <w:rFonts w:ascii="Arial" w:hAnsi="Arial"/>
    </w:rPr>
  </w:style>
  <w:style w:type="paragraph" w:customStyle="1" w:styleId="Quotation">
    <w:name w:val="Quotation"/>
    <w:basedOn w:val="Normal"/>
    <w:next w:val="Normal"/>
    <w:uiPriority w:val="4"/>
    <w:qFormat/>
    <w:rsid w:val="00FE3CF5"/>
    <w:pPr>
      <w:ind w:left="425"/>
    </w:pPr>
    <w:rPr>
      <w:sz w:val="20"/>
    </w:rPr>
  </w:style>
  <w:style w:type="paragraph" w:styleId="EndnoteText">
    <w:name w:val="endnote text"/>
    <w:basedOn w:val="FootnoteText"/>
    <w:link w:val="EndnoteTextChar"/>
    <w:semiHidden/>
    <w:unhideWhenUsed/>
    <w:locked/>
    <w:rsid w:val="00FE3CF5"/>
  </w:style>
  <w:style w:type="character" w:customStyle="1" w:styleId="EndnoteTextChar">
    <w:name w:val="Endnote Text Char"/>
    <w:basedOn w:val="DefaultParagraphFont"/>
    <w:link w:val="EndnoteText"/>
    <w:semiHidden/>
    <w:rsid w:val="00FE3CF5"/>
    <w:rPr>
      <w:rFonts w:ascii="Cambria" w:eastAsia="Cambria" w:hAnsi="Cambria" w:cstheme="minorBidi"/>
      <w:szCs w:val="22"/>
      <w:lang w:val="en-AU" w:eastAsia="en-US"/>
    </w:rPr>
  </w:style>
  <w:style w:type="character" w:styleId="EndnoteReference">
    <w:name w:val="endnote reference"/>
    <w:basedOn w:val="DefaultParagraphFont"/>
    <w:uiPriority w:val="99"/>
    <w:semiHidden/>
    <w:unhideWhenUsed/>
    <w:locked/>
    <w:rsid w:val="00FE3C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7616">
      <w:bodyDiv w:val="1"/>
      <w:marLeft w:val="0"/>
      <w:marRight w:val="0"/>
      <w:marTop w:val="0"/>
      <w:marBottom w:val="0"/>
      <w:divBdr>
        <w:top w:val="none" w:sz="0" w:space="0" w:color="auto"/>
        <w:left w:val="none" w:sz="0" w:space="0" w:color="auto"/>
        <w:bottom w:val="none" w:sz="0" w:space="0" w:color="auto"/>
        <w:right w:val="none" w:sz="0" w:space="0" w:color="auto"/>
      </w:divBdr>
    </w:div>
    <w:div w:id="76218477">
      <w:bodyDiv w:val="1"/>
      <w:marLeft w:val="0"/>
      <w:marRight w:val="0"/>
      <w:marTop w:val="0"/>
      <w:marBottom w:val="0"/>
      <w:divBdr>
        <w:top w:val="none" w:sz="0" w:space="0" w:color="auto"/>
        <w:left w:val="none" w:sz="0" w:space="0" w:color="auto"/>
        <w:bottom w:val="none" w:sz="0" w:space="0" w:color="auto"/>
        <w:right w:val="none" w:sz="0" w:space="0" w:color="auto"/>
      </w:divBdr>
      <w:divsChild>
        <w:div w:id="63142657">
          <w:marLeft w:val="0"/>
          <w:marRight w:val="0"/>
          <w:marTop w:val="0"/>
          <w:marBottom w:val="0"/>
          <w:divBdr>
            <w:top w:val="none" w:sz="0" w:space="0" w:color="auto"/>
            <w:left w:val="none" w:sz="0" w:space="0" w:color="auto"/>
            <w:bottom w:val="none" w:sz="0" w:space="0" w:color="auto"/>
            <w:right w:val="none" w:sz="0" w:space="0" w:color="auto"/>
          </w:divBdr>
        </w:div>
        <w:div w:id="112289667">
          <w:marLeft w:val="0"/>
          <w:marRight w:val="0"/>
          <w:marTop w:val="0"/>
          <w:marBottom w:val="0"/>
          <w:divBdr>
            <w:top w:val="none" w:sz="0" w:space="0" w:color="auto"/>
            <w:left w:val="none" w:sz="0" w:space="0" w:color="auto"/>
            <w:bottom w:val="none" w:sz="0" w:space="0" w:color="auto"/>
            <w:right w:val="none" w:sz="0" w:space="0" w:color="auto"/>
          </w:divBdr>
        </w:div>
        <w:div w:id="191378291">
          <w:marLeft w:val="0"/>
          <w:marRight w:val="0"/>
          <w:marTop w:val="0"/>
          <w:marBottom w:val="0"/>
          <w:divBdr>
            <w:top w:val="none" w:sz="0" w:space="0" w:color="auto"/>
            <w:left w:val="none" w:sz="0" w:space="0" w:color="auto"/>
            <w:bottom w:val="none" w:sz="0" w:space="0" w:color="auto"/>
            <w:right w:val="none" w:sz="0" w:space="0" w:color="auto"/>
          </w:divBdr>
        </w:div>
        <w:div w:id="267201696">
          <w:marLeft w:val="0"/>
          <w:marRight w:val="0"/>
          <w:marTop w:val="0"/>
          <w:marBottom w:val="0"/>
          <w:divBdr>
            <w:top w:val="none" w:sz="0" w:space="0" w:color="auto"/>
            <w:left w:val="none" w:sz="0" w:space="0" w:color="auto"/>
            <w:bottom w:val="none" w:sz="0" w:space="0" w:color="auto"/>
            <w:right w:val="none" w:sz="0" w:space="0" w:color="auto"/>
          </w:divBdr>
        </w:div>
        <w:div w:id="278218025">
          <w:marLeft w:val="0"/>
          <w:marRight w:val="0"/>
          <w:marTop w:val="0"/>
          <w:marBottom w:val="0"/>
          <w:divBdr>
            <w:top w:val="none" w:sz="0" w:space="0" w:color="auto"/>
            <w:left w:val="none" w:sz="0" w:space="0" w:color="auto"/>
            <w:bottom w:val="none" w:sz="0" w:space="0" w:color="auto"/>
            <w:right w:val="none" w:sz="0" w:space="0" w:color="auto"/>
          </w:divBdr>
        </w:div>
        <w:div w:id="414087614">
          <w:marLeft w:val="0"/>
          <w:marRight w:val="0"/>
          <w:marTop w:val="0"/>
          <w:marBottom w:val="0"/>
          <w:divBdr>
            <w:top w:val="none" w:sz="0" w:space="0" w:color="auto"/>
            <w:left w:val="none" w:sz="0" w:space="0" w:color="auto"/>
            <w:bottom w:val="none" w:sz="0" w:space="0" w:color="auto"/>
            <w:right w:val="none" w:sz="0" w:space="0" w:color="auto"/>
          </w:divBdr>
        </w:div>
        <w:div w:id="546259255">
          <w:marLeft w:val="0"/>
          <w:marRight w:val="0"/>
          <w:marTop w:val="0"/>
          <w:marBottom w:val="0"/>
          <w:divBdr>
            <w:top w:val="none" w:sz="0" w:space="0" w:color="auto"/>
            <w:left w:val="none" w:sz="0" w:space="0" w:color="auto"/>
            <w:bottom w:val="none" w:sz="0" w:space="0" w:color="auto"/>
            <w:right w:val="none" w:sz="0" w:space="0" w:color="auto"/>
          </w:divBdr>
        </w:div>
        <w:div w:id="976959003">
          <w:marLeft w:val="0"/>
          <w:marRight w:val="0"/>
          <w:marTop w:val="0"/>
          <w:marBottom w:val="0"/>
          <w:divBdr>
            <w:top w:val="none" w:sz="0" w:space="0" w:color="auto"/>
            <w:left w:val="none" w:sz="0" w:space="0" w:color="auto"/>
            <w:bottom w:val="none" w:sz="0" w:space="0" w:color="auto"/>
            <w:right w:val="none" w:sz="0" w:space="0" w:color="auto"/>
          </w:divBdr>
        </w:div>
        <w:div w:id="997616742">
          <w:marLeft w:val="0"/>
          <w:marRight w:val="0"/>
          <w:marTop w:val="0"/>
          <w:marBottom w:val="0"/>
          <w:divBdr>
            <w:top w:val="none" w:sz="0" w:space="0" w:color="auto"/>
            <w:left w:val="none" w:sz="0" w:space="0" w:color="auto"/>
            <w:bottom w:val="none" w:sz="0" w:space="0" w:color="auto"/>
            <w:right w:val="none" w:sz="0" w:space="0" w:color="auto"/>
          </w:divBdr>
        </w:div>
        <w:div w:id="1018698697">
          <w:marLeft w:val="0"/>
          <w:marRight w:val="0"/>
          <w:marTop w:val="0"/>
          <w:marBottom w:val="0"/>
          <w:divBdr>
            <w:top w:val="none" w:sz="0" w:space="0" w:color="auto"/>
            <w:left w:val="none" w:sz="0" w:space="0" w:color="auto"/>
            <w:bottom w:val="none" w:sz="0" w:space="0" w:color="auto"/>
            <w:right w:val="none" w:sz="0" w:space="0" w:color="auto"/>
          </w:divBdr>
        </w:div>
        <w:div w:id="1047948266">
          <w:marLeft w:val="0"/>
          <w:marRight w:val="0"/>
          <w:marTop w:val="0"/>
          <w:marBottom w:val="0"/>
          <w:divBdr>
            <w:top w:val="none" w:sz="0" w:space="0" w:color="auto"/>
            <w:left w:val="none" w:sz="0" w:space="0" w:color="auto"/>
            <w:bottom w:val="none" w:sz="0" w:space="0" w:color="auto"/>
            <w:right w:val="none" w:sz="0" w:space="0" w:color="auto"/>
          </w:divBdr>
        </w:div>
        <w:div w:id="1087313506">
          <w:marLeft w:val="0"/>
          <w:marRight w:val="0"/>
          <w:marTop w:val="0"/>
          <w:marBottom w:val="0"/>
          <w:divBdr>
            <w:top w:val="none" w:sz="0" w:space="0" w:color="auto"/>
            <w:left w:val="none" w:sz="0" w:space="0" w:color="auto"/>
            <w:bottom w:val="none" w:sz="0" w:space="0" w:color="auto"/>
            <w:right w:val="none" w:sz="0" w:space="0" w:color="auto"/>
          </w:divBdr>
        </w:div>
        <w:div w:id="1358657074">
          <w:marLeft w:val="0"/>
          <w:marRight w:val="0"/>
          <w:marTop w:val="0"/>
          <w:marBottom w:val="0"/>
          <w:divBdr>
            <w:top w:val="none" w:sz="0" w:space="0" w:color="auto"/>
            <w:left w:val="none" w:sz="0" w:space="0" w:color="auto"/>
            <w:bottom w:val="none" w:sz="0" w:space="0" w:color="auto"/>
            <w:right w:val="none" w:sz="0" w:space="0" w:color="auto"/>
          </w:divBdr>
        </w:div>
        <w:div w:id="1622761607">
          <w:marLeft w:val="0"/>
          <w:marRight w:val="0"/>
          <w:marTop w:val="0"/>
          <w:marBottom w:val="0"/>
          <w:divBdr>
            <w:top w:val="none" w:sz="0" w:space="0" w:color="auto"/>
            <w:left w:val="none" w:sz="0" w:space="0" w:color="auto"/>
            <w:bottom w:val="none" w:sz="0" w:space="0" w:color="auto"/>
            <w:right w:val="none" w:sz="0" w:space="0" w:color="auto"/>
          </w:divBdr>
        </w:div>
        <w:div w:id="1755054421">
          <w:marLeft w:val="0"/>
          <w:marRight w:val="0"/>
          <w:marTop w:val="0"/>
          <w:marBottom w:val="0"/>
          <w:divBdr>
            <w:top w:val="none" w:sz="0" w:space="0" w:color="auto"/>
            <w:left w:val="none" w:sz="0" w:space="0" w:color="auto"/>
            <w:bottom w:val="none" w:sz="0" w:space="0" w:color="auto"/>
            <w:right w:val="none" w:sz="0" w:space="0" w:color="auto"/>
          </w:divBdr>
        </w:div>
        <w:div w:id="1796169264">
          <w:marLeft w:val="0"/>
          <w:marRight w:val="0"/>
          <w:marTop w:val="0"/>
          <w:marBottom w:val="0"/>
          <w:divBdr>
            <w:top w:val="none" w:sz="0" w:space="0" w:color="auto"/>
            <w:left w:val="none" w:sz="0" w:space="0" w:color="auto"/>
            <w:bottom w:val="none" w:sz="0" w:space="0" w:color="auto"/>
            <w:right w:val="none" w:sz="0" w:space="0" w:color="auto"/>
          </w:divBdr>
        </w:div>
        <w:div w:id="2133788016">
          <w:marLeft w:val="0"/>
          <w:marRight w:val="0"/>
          <w:marTop w:val="0"/>
          <w:marBottom w:val="0"/>
          <w:divBdr>
            <w:top w:val="none" w:sz="0" w:space="0" w:color="auto"/>
            <w:left w:val="none" w:sz="0" w:space="0" w:color="auto"/>
            <w:bottom w:val="none" w:sz="0" w:space="0" w:color="auto"/>
            <w:right w:val="none" w:sz="0" w:space="0" w:color="auto"/>
          </w:divBdr>
        </w:div>
      </w:divsChild>
    </w:div>
    <w:div w:id="135610662">
      <w:bodyDiv w:val="1"/>
      <w:marLeft w:val="0"/>
      <w:marRight w:val="0"/>
      <w:marTop w:val="0"/>
      <w:marBottom w:val="0"/>
      <w:divBdr>
        <w:top w:val="none" w:sz="0" w:space="0" w:color="auto"/>
        <w:left w:val="none" w:sz="0" w:space="0" w:color="auto"/>
        <w:bottom w:val="none" w:sz="0" w:space="0" w:color="auto"/>
        <w:right w:val="none" w:sz="0" w:space="0" w:color="auto"/>
      </w:divBdr>
    </w:div>
    <w:div w:id="208684185">
      <w:bodyDiv w:val="1"/>
      <w:marLeft w:val="0"/>
      <w:marRight w:val="0"/>
      <w:marTop w:val="0"/>
      <w:marBottom w:val="0"/>
      <w:divBdr>
        <w:top w:val="none" w:sz="0" w:space="0" w:color="auto"/>
        <w:left w:val="none" w:sz="0" w:space="0" w:color="auto"/>
        <w:bottom w:val="none" w:sz="0" w:space="0" w:color="auto"/>
        <w:right w:val="none" w:sz="0" w:space="0" w:color="auto"/>
      </w:divBdr>
    </w:div>
    <w:div w:id="286400863">
      <w:bodyDiv w:val="1"/>
      <w:marLeft w:val="0"/>
      <w:marRight w:val="0"/>
      <w:marTop w:val="0"/>
      <w:marBottom w:val="0"/>
      <w:divBdr>
        <w:top w:val="none" w:sz="0" w:space="0" w:color="auto"/>
        <w:left w:val="none" w:sz="0" w:space="0" w:color="auto"/>
        <w:bottom w:val="none" w:sz="0" w:space="0" w:color="auto"/>
        <w:right w:val="none" w:sz="0" w:space="0" w:color="auto"/>
      </w:divBdr>
    </w:div>
    <w:div w:id="570044945">
      <w:bodyDiv w:val="1"/>
      <w:marLeft w:val="0"/>
      <w:marRight w:val="0"/>
      <w:marTop w:val="0"/>
      <w:marBottom w:val="0"/>
      <w:divBdr>
        <w:top w:val="none" w:sz="0" w:space="0" w:color="auto"/>
        <w:left w:val="none" w:sz="0" w:space="0" w:color="auto"/>
        <w:bottom w:val="none" w:sz="0" w:space="0" w:color="auto"/>
        <w:right w:val="none" w:sz="0" w:space="0" w:color="auto"/>
      </w:divBdr>
    </w:div>
    <w:div w:id="870219048">
      <w:bodyDiv w:val="1"/>
      <w:marLeft w:val="0"/>
      <w:marRight w:val="0"/>
      <w:marTop w:val="0"/>
      <w:marBottom w:val="0"/>
      <w:divBdr>
        <w:top w:val="none" w:sz="0" w:space="0" w:color="auto"/>
        <w:left w:val="none" w:sz="0" w:space="0" w:color="auto"/>
        <w:bottom w:val="none" w:sz="0" w:space="0" w:color="auto"/>
        <w:right w:val="none" w:sz="0" w:space="0" w:color="auto"/>
      </w:divBdr>
    </w:div>
    <w:div w:id="974455818">
      <w:bodyDiv w:val="1"/>
      <w:marLeft w:val="0"/>
      <w:marRight w:val="0"/>
      <w:marTop w:val="0"/>
      <w:marBottom w:val="0"/>
      <w:divBdr>
        <w:top w:val="none" w:sz="0" w:space="0" w:color="auto"/>
        <w:left w:val="none" w:sz="0" w:space="0" w:color="auto"/>
        <w:bottom w:val="none" w:sz="0" w:space="0" w:color="auto"/>
        <w:right w:val="none" w:sz="0" w:space="0" w:color="auto"/>
      </w:divBdr>
      <w:divsChild>
        <w:div w:id="710153896">
          <w:marLeft w:val="1526"/>
          <w:marRight w:val="0"/>
          <w:marTop w:val="96"/>
          <w:marBottom w:val="0"/>
          <w:divBdr>
            <w:top w:val="none" w:sz="0" w:space="0" w:color="auto"/>
            <w:left w:val="none" w:sz="0" w:space="0" w:color="auto"/>
            <w:bottom w:val="none" w:sz="0" w:space="0" w:color="auto"/>
            <w:right w:val="none" w:sz="0" w:space="0" w:color="auto"/>
          </w:divBdr>
        </w:div>
      </w:divsChild>
    </w:div>
    <w:div w:id="999315027">
      <w:bodyDiv w:val="1"/>
      <w:marLeft w:val="0"/>
      <w:marRight w:val="0"/>
      <w:marTop w:val="0"/>
      <w:marBottom w:val="0"/>
      <w:divBdr>
        <w:top w:val="none" w:sz="0" w:space="0" w:color="auto"/>
        <w:left w:val="none" w:sz="0" w:space="0" w:color="auto"/>
        <w:bottom w:val="none" w:sz="0" w:space="0" w:color="auto"/>
        <w:right w:val="none" w:sz="0" w:space="0" w:color="auto"/>
      </w:divBdr>
    </w:div>
    <w:div w:id="1119302381">
      <w:bodyDiv w:val="1"/>
      <w:marLeft w:val="0"/>
      <w:marRight w:val="0"/>
      <w:marTop w:val="0"/>
      <w:marBottom w:val="0"/>
      <w:divBdr>
        <w:top w:val="none" w:sz="0" w:space="0" w:color="auto"/>
        <w:left w:val="none" w:sz="0" w:space="0" w:color="auto"/>
        <w:bottom w:val="none" w:sz="0" w:space="0" w:color="auto"/>
        <w:right w:val="none" w:sz="0" w:space="0" w:color="auto"/>
      </w:divBdr>
    </w:div>
    <w:div w:id="1146507690">
      <w:bodyDiv w:val="1"/>
      <w:marLeft w:val="0"/>
      <w:marRight w:val="0"/>
      <w:marTop w:val="0"/>
      <w:marBottom w:val="0"/>
      <w:divBdr>
        <w:top w:val="none" w:sz="0" w:space="0" w:color="auto"/>
        <w:left w:val="none" w:sz="0" w:space="0" w:color="auto"/>
        <w:bottom w:val="none" w:sz="0" w:space="0" w:color="auto"/>
        <w:right w:val="none" w:sz="0" w:space="0" w:color="auto"/>
      </w:divBdr>
      <w:divsChild>
        <w:div w:id="21175407">
          <w:marLeft w:val="0"/>
          <w:marRight w:val="0"/>
          <w:marTop w:val="0"/>
          <w:marBottom w:val="0"/>
          <w:divBdr>
            <w:top w:val="none" w:sz="0" w:space="0" w:color="auto"/>
            <w:left w:val="none" w:sz="0" w:space="0" w:color="auto"/>
            <w:bottom w:val="none" w:sz="0" w:space="0" w:color="auto"/>
            <w:right w:val="none" w:sz="0" w:space="0" w:color="auto"/>
          </w:divBdr>
        </w:div>
        <w:div w:id="42992441">
          <w:marLeft w:val="0"/>
          <w:marRight w:val="0"/>
          <w:marTop w:val="0"/>
          <w:marBottom w:val="0"/>
          <w:divBdr>
            <w:top w:val="none" w:sz="0" w:space="0" w:color="auto"/>
            <w:left w:val="none" w:sz="0" w:space="0" w:color="auto"/>
            <w:bottom w:val="none" w:sz="0" w:space="0" w:color="auto"/>
            <w:right w:val="none" w:sz="0" w:space="0" w:color="auto"/>
          </w:divBdr>
        </w:div>
        <w:div w:id="249504816">
          <w:marLeft w:val="0"/>
          <w:marRight w:val="0"/>
          <w:marTop w:val="0"/>
          <w:marBottom w:val="0"/>
          <w:divBdr>
            <w:top w:val="none" w:sz="0" w:space="0" w:color="auto"/>
            <w:left w:val="none" w:sz="0" w:space="0" w:color="auto"/>
            <w:bottom w:val="none" w:sz="0" w:space="0" w:color="auto"/>
            <w:right w:val="none" w:sz="0" w:space="0" w:color="auto"/>
          </w:divBdr>
        </w:div>
        <w:div w:id="419566856">
          <w:marLeft w:val="0"/>
          <w:marRight w:val="0"/>
          <w:marTop w:val="0"/>
          <w:marBottom w:val="0"/>
          <w:divBdr>
            <w:top w:val="none" w:sz="0" w:space="0" w:color="auto"/>
            <w:left w:val="none" w:sz="0" w:space="0" w:color="auto"/>
            <w:bottom w:val="none" w:sz="0" w:space="0" w:color="auto"/>
            <w:right w:val="none" w:sz="0" w:space="0" w:color="auto"/>
          </w:divBdr>
        </w:div>
        <w:div w:id="507409836">
          <w:marLeft w:val="0"/>
          <w:marRight w:val="0"/>
          <w:marTop w:val="0"/>
          <w:marBottom w:val="0"/>
          <w:divBdr>
            <w:top w:val="none" w:sz="0" w:space="0" w:color="auto"/>
            <w:left w:val="none" w:sz="0" w:space="0" w:color="auto"/>
            <w:bottom w:val="none" w:sz="0" w:space="0" w:color="auto"/>
            <w:right w:val="none" w:sz="0" w:space="0" w:color="auto"/>
          </w:divBdr>
        </w:div>
        <w:div w:id="613630749">
          <w:marLeft w:val="0"/>
          <w:marRight w:val="0"/>
          <w:marTop w:val="0"/>
          <w:marBottom w:val="0"/>
          <w:divBdr>
            <w:top w:val="none" w:sz="0" w:space="0" w:color="auto"/>
            <w:left w:val="none" w:sz="0" w:space="0" w:color="auto"/>
            <w:bottom w:val="none" w:sz="0" w:space="0" w:color="auto"/>
            <w:right w:val="none" w:sz="0" w:space="0" w:color="auto"/>
          </w:divBdr>
        </w:div>
        <w:div w:id="913705075">
          <w:marLeft w:val="0"/>
          <w:marRight w:val="0"/>
          <w:marTop w:val="0"/>
          <w:marBottom w:val="0"/>
          <w:divBdr>
            <w:top w:val="none" w:sz="0" w:space="0" w:color="auto"/>
            <w:left w:val="none" w:sz="0" w:space="0" w:color="auto"/>
            <w:bottom w:val="none" w:sz="0" w:space="0" w:color="auto"/>
            <w:right w:val="none" w:sz="0" w:space="0" w:color="auto"/>
          </w:divBdr>
        </w:div>
        <w:div w:id="954747512">
          <w:marLeft w:val="0"/>
          <w:marRight w:val="0"/>
          <w:marTop w:val="0"/>
          <w:marBottom w:val="0"/>
          <w:divBdr>
            <w:top w:val="none" w:sz="0" w:space="0" w:color="auto"/>
            <w:left w:val="none" w:sz="0" w:space="0" w:color="auto"/>
            <w:bottom w:val="none" w:sz="0" w:space="0" w:color="auto"/>
            <w:right w:val="none" w:sz="0" w:space="0" w:color="auto"/>
          </w:divBdr>
        </w:div>
        <w:div w:id="1385055914">
          <w:marLeft w:val="0"/>
          <w:marRight w:val="0"/>
          <w:marTop w:val="0"/>
          <w:marBottom w:val="0"/>
          <w:divBdr>
            <w:top w:val="none" w:sz="0" w:space="0" w:color="auto"/>
            <w:left w:val="none" w:sz="0" w:space="0" w:color="auto"/>
            <w:bottom w:val="none" w:sz="0" w:space="0" w:color="auto"/>
            <w:right w:val="none" w:sz="0" w:space="0" w:color="auto"/>
          </w:divBdr>
        </w:div>
        <w:div w:id="1504004281">
          <w:marLeft w:val="0"/>
          <w:marRight w:val="0"/>
          <w:marTop w:val="0"/>
          <w:marBottom w:val="0"/>
          <w:divBdr>
            <w:top w:val="none" w:sz="0" w:space="0" w:color="auto"/>
            <w:left w:val="none" w:sz="0" w:space="0" w:color="auto"/>
            <w:bottom w:val="none" w:sz="0" w:space="0" w:color="auto"/>
            <w:right w:val="none" w:sz="0" w:space="0" w:color="auto"/>
          </w:divBdr>
        </w:div>
        <w:div w:id="1652175142">
          <w:marLeft w:val="0"/>
          <w:marRight w:val="0"/>
          <w:marTop w:val="0"/>
          <w:marBottom w:val="0"/>
          <w:divBdr>
            <w:top w:val="none" w:sz="0" w:space="0" w:color="auto"/>
            <w:left w:val="none" w:sz="0" w:space="0" w:color="auto"/>
            <w:bottom w:val="none" w:sz="0" w:space="0" w:color="auto"/>
            <w:right w:val="none" w:sz="0" w:space="0" w:color="auto"/>
          </w:divBdr>
        </w:div>
        <w:div w:id="1695181870">
          <w:marLeft w:val="0"/>
          <w:marRight w:val="0"/>
          <w:marTop w:val="0"/>
          <w:marBottom w:val="0"/>
          <w:divBdr>
            <w:top w:val="none" w:sz="0" w:space="0" w:color="auto"/>
            <w:left w:val="none" w:sz="0" w:space="0" w:color="auto"/>
            <w:bottom w:val="none" w:sz="0" w:space="0" w:color="auto"/>
            <w:right w:val="none" w:sz="0" w:space="0" w:color="auto"/>
          </w:divBdr>
        </w:div>
        <w:div w:id="1753235173">
          <w:marLeft w:val="0"/>
          <w:marRight w:val="0"/>
          <w:marTop w:val="0"/>
          <w:marBottom w:val="0"/>
          <w:divBdr>
            <w:top w:val="none" w:sz="0" w:space="0" w:color="auto"/>
            <w:left w:val="none" w:sz="0" w:space="0" w:color="auto"/>
            <w:bottom w:val="none" w:sz="0" w:space="0" w:color="auto"/>
            <w:right w:val="none" w:sz="0" w:space="0" w:color="auto"/>
          </w:divBdr>
        </w:div>
        <w:div w:id="1890877164">
          <w:marLeft w:val="0"/>
          <w:marRight w:val="0"/>
          <w:marTop w:val="0"/>
          <w:marBottom w:val="0"/>
          <w:divBdr>
            <w:top w:val="none" w:sz="0" w:space="0" w:color="auto"/>
            <w:left w:val="none" w:sz="0" w:space="0" w:color="auto"/>
            <w:bottom w:val="none" w:sz="0" w:space="0" w:color="auto"/>
            <w:right w:val="none" w:sz="0" w:space="0" w:color="auto"/>
          </w:divBdr>
        </w:div>
        <w:div w:id="1922596398">
          <w:marLeft w:val="0"/>
          <w:marRight w:val="0"/>
          <w:marTop w:val="0"/>
          <w:marBottom w:val="0"/>
          <w:divBdr>
            <w:top w:val="none" w:sz="0" w:space="0" w:color="auto"/>
            <w:left w:val="none" w:sz="0" w:space="0" w:color="auto"/>
            <w:bottom w:val="none" w:sz="0" w:space="0" w:color="auto"/>
            <w:right w:val="none" w:sz="0" w:space="0" w:color="auto"/>
          </w:divBdr>
        </w:div>
        <w:div w:id="2033340233">
          <w:marLeft w:val="0"/>
          <w:marRight w:val="0"/>
          <w:marTop w:val="0"/>
          <w:marBottom w:val="0"/>
          <w:divBdr>
            <w:top w:val="none" w:sz="0" w:space="0" w:color="auto"/>
            <w:left w:val="none" w:sz="0" w:space="0" w:color="auto"/>
            <w:bottom w:val="none" w:sz="0" w:space="0" w:color="auto"/>
            <w:right w:val="none" w:sz="0" w:space="0" w:color="auto"/>
          </w:divBdr>
        </w:div>
        <w:div w:id="2137526425">
          <w:marLeft w:val="0"/>
          <w:marRight w:val="0"/>
          <w:marTop w:val="0"/>
          <w:marBottom w:val="0"/>
          <w:divBdr>
            <w:top w:val="none" w:sz="0" w:space="0" w:color="auto"/>
            <w:left w:val="none" w:sz="0" w:space="0" w:color="auto"/>
            <w:bottom w:val="none" w:sz="0" w:space="0" w:color="auto"/>
            <w:right w:val="none" w:sz="0" w:space="0" w:color="auto"/>
          </w:divBdr>
        </w:div>
      </w:divsChild>
    </w:div>
    <w:div w:id="1255169200">
      <w:bodyDiv w:val="1"/>
      <w:marLeft w:val="0"/>
      <w:marRight w:val="0"/>
      <w:marTop w:val="0"/>
      <w:marBottom w:val="0"/>
      <w:divBdr>
        <w:top w:val="none" w:sz="0" w:space="0" w:color="auto"/>
        <w:left w:val="none" w:sz="0" w:space="0" w:color="auto"/>
        <w:bottom w:val="none" w:sz="0" w:space="0" w:color="auto"/>
        <w:right w:val="none" w:sz="0" w:space="0" w:color="auto"/>
      </w:divBdr>
    </w:div>
    <w:div w:id="1273324218">
      <w:bodyDiv w:val="1"/>
      <w:marLeft w:val="0"/>
      <w:marRight w:val="0"/>
      <w:marTop w:val="0"/>
      <w:marBottom w:val="0"/>
      <w:divBdr>
        <w:top w:val="none" w:sz="0" w:space="0" w:color="auto"/>
        <w:left w:val="none" w:sz="0" w:space="0" w:color="auto"/>
        <w:bottom w:val="none" w:sz="0" w:space="0" w:color="auto"/>
        <w:right w:val="none" w:sz="0" w:space="0" w:color="auto"/>
      </w:divBdr>
    </w:div>
    <w:div w:id="1416172906">
      <w:bodyDiv w:val="1"/>
      <w:marLeft w:val="0"/>
      <w:marRight w:val="0"/>
      <w:marTop w:val="0"/>
      <w:marBottom w:val="0"/>
      <w:divBdr>
        <w:top w:val="none" w:sz="0" w:space="0" w:color="auto"/>
        <w:left w:val="none" w:sz="0" w:space="0" w:color="auto"/>
        <w:bottom w:val="none" w:sz="0" w:space="0" w:color="auto"/>
        <w:right w:val="none" w:sz="0" w:space="0" w:color="auto"/>
      </w:divBdr>
    </w:div>
    <w:div w:id="1447240082">
      <w:bodyDiv w:val="1"/>
      <w:marLeft w:val="0"/>
      <w:marRight w:val="0"/>
      <w:marTop w:val="0"/>
      <w:marBottom w:val="0"/>
      <w:divBdr>
        <w:top w:val="none" w:sz="0" w:space="0" w:color="auto"/>
        <w:left w:val="none" w:sz="0" w:space="0" w:color="auto"/>
        <w:bottom w:val="none" w:sz="0" w:space="0" w:color="auto"/>
        <w:right w:val="none" w:sz="0" w:space="0" w:color="auto"/>
      </w:divBdr>
    </w:div>
    <w:div w:id="1500847406">
      <w:bodyDiv w:val="1"/>
      <w:marLeft w:val="0"/>
      <w:marRight w:val="0"/>
      <w:marTop w:val="0"/>
      <w:marBottom w:val="0"/>
      <w:divBdr>
        <w:top w:val="none" w:sz="0" w:space="0" w:color="auto"/>
        <w:left w:val="none" w:sz="0" w:space="0" w:color="auto"/>
        <w:bottom w:val="none" w:sz="0" w:space="0" w:color="auto"/>
        <w:right w:val="none" w:sz="0" w:space="0" w:color="auto"/>
      </w:divBdr>
    </w:div>
    <w:div w:id="1617559561">
      <w:bodyDiv w:val="1"/>
      <w:marLeft w:val="0"/>
      <w:marRight w:val="0"/>
      <w:marTop w:val="0"/>
      <w:marBottom w:val="0"/>
      <w:divBdr>
        <w:top w:val="none" w:sz="0" w:space="0" w:color="auto"/>
        <w:left w:val="none" w:sz="0" w:space="0" w:color="auto"/>
        <w:bottom w:val="none" w:sz="0" w:space="0" w:color="auto"/>
        <w:right w:val="none" w:sz="0" w:space="0" w:color="auto"/>
      </w:divBdr>
    </w:div>
    <w:div w:id="1678842176">
      <w:bodyDiv w:val="1"/>
      <w:marLeft w:val="0"/>
      <w:marRight w:val="0"/>
      <w:marTop w:val="0"/>
      <w:marBottom w:val="0"/>
      <w:divBdr>
        <w:top w:val="none" w:sz="0" w:space="0" w:color="auto"/>
        <w:left w:val="none" w:sz="0" w:space="0" w:color="auto"/>
        <w:bottom w:val="none" w:sz="0" w:space="0" w:color="auto"/>
        <w:right w:val="none" w:sz="0" w:space="0" w:color="auto"/>
      </w:divBdr>
    </w:div>
    <w:div w:id="1776293001">
      <w:bodyDiv w:val="1"/>
      <w:marLeft w:val="0"/>
      <w:marRight w:val="0"/>
      <w:marTop w:val="0"/>
      <w:marBottom w:val="0"/>
      <w:divBdr>
        <w:top w:val="none" w:sz="0" w:space="0" w:color="auto"/>
        <w:left w:val="none" w:sz="0" w:space="0" w:color="auto"/>
        <w:bottom w:val="none" w:sz="0" w:space="0" w:color="auto"/>
        <w:right w:val="none" w:sz="0" w:space="0" w:color="auto"/>
      </w:divBdr>
    </w:div>
    <w:div w:id="1879316582">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4912078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ga.gov.au/reporting-problems" TargetMode="External"/><Relationship Id="rId4" Type="http://schemas.openxmlformats.org/officeDocument/2006/relationships/settings" Target="settings.xml"/><Relationship Id="rId9" Type="http://schemas.openxmlformats.org/officeDocument/2006/relationships/hyperlink" Target="https://www.tga.gov.au/reporting-problem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F17CB-0A81-4F38-A811-56B7199E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4327</Words>
  <Characters>25143</Characters>
  <Application>Microsoft Office Word</Application>
  <DocSecurity>0</DocSecurity>
  <Lines>867</Lines>
  <Paragraphs>589</Paragraphs>
  <ScaleCrop>false</ScaleCrop>
  <HeadingPairs>
    <vt:vector size="2" baseType="variant">
      <vt:variant>
        <vt:lpstr>Title</vt:lpstr>
      </vt:variant>
      <vt:variant>
        <vt:i4>1</vt:i4>
      </vt:variant>
    </vt:vector>
  </HeadingPairs>
  <TitlesOfParts>
    <vt:vector size="1" baseType="lpstr">
      <vt:lpstr>AusPAR Attachment 1: Product Information for Defibrotide</vt:lpstr>
    </vt:vector>
  </TitlesOfParts>
  <LinksUpToDate>false</LinksUpToDate>
  <CharactersWithSpaces>28881</CharactersWithSpaces>
  <SharedDoc>false</SharedDoc>
  <HLinks>
    <vt:vector size="96" baseType="variant">
      <vt:variant>
        <vt:i4>8192017</vt:i4>
      </vt:variant>
      <vt:variant>
        <vt:i4>45</vt:i4>
      </vt:variant>
      <vt:variant>
        <vt:i4>0</vt:i4>
      </vt:variant>
      <vt:variant>
        <vt:i4>5</vt:i4>
      </vt:variant>
      <vt:variant>
        <vt:lpwstr>mailto:mail.se@sobi.com</vt:lpwstr>
      </vt:variant>
      <vt:variant>
        <vt:lpwstr/>
      </vt:variant>
      <vt:variant>
        <vt:i4>917540</vt:i4>
      </vt:variant>
      <vt:variant>
        <vt:i4>42</vt:i4>
      </vt:variant>
      <vt:variant>
        <vt:i4>0</vt:i4>
      </vt:variant>
      <vt:variant>
        <vt:i4>5</vt:i4>
      </vt:variant>
      <vt:variant>
        <vt:lpwstr>mailto:centralpharma@centralpharma.lv</vt:lpwstr>
      </vt:variant>
      <vt:variant>
        <vt:lpwstr/>
      </vt:variant>
      <vt:variant>
        <vt:i4>7405572</vt:i4>
      </vt:variant>
      <vt:variant>
        <vt:i4>39</vt:i4>
      </vt:variant>
      <vt:variant>
        <vt:i4>0</vt:i4>
      </vt:variant>
      <vt:variant>
        <vt:i4>5</vt:i4>
      </vt:variant>
      <vt:variant>
        <vt:lpwstr>mailto:mail.fi@sobi.com</vt:lpwstr>
      </vt:variant>
      <vt:variant>
        <vt:lpwstr/>
      </vt:variant>
      <vt:variant>
        <vt:i4>2031731</vt:i4>
      </vt:variant>
      <vt:variant>
        <vt:i4>36</vt:i4>
      </vt:variant>
      <vt:variant>
        <vt:i4>0</vt:i4>
      </vt:variant>
      <vt:variant>
        <vt:i4>5</vt:i4>
      </vt:variant>
      <vt:variant>
        <vt:lpwstr>mailto:croatia.info@valeant.com</vt:lpwstr>
      </vt:variant>
      <vt:variant>
        <vt:lpwstr/>
      </vt:variant>
      <vt:variant>
        <vt:i4>3866692</vt:i4>
      </vt:variant>
      <vt:variant>
        <vt:i4>33</vt:i4>
      </vt:variant>
      <vt:variant>
        <vt:i4>0</vt:i4>
      </vt:variant>
      <vt:variant>
        <vt:i4>5</vt:i4>
      </vt:variant>
      <vt:variant>
        <vt:lpwstr>mailto:slovenia.inforegulatory@valeant.com</vt:lpwstr>
      </vt:variant>
      <vt:variant>
        <vt:lpwstr/>
      </vt:variant>
      <vt:variant>
        <vt:i4>458788</vt:i4>
      </vt:variant>
      <vt:variant>
        <vt:i4>30</vt:i4>
      </vt:variant>
      <vt:variant>
        <vt:i4>0</vt:i4>
      </vt:variant>
      <vt:variant>
        <vt:i4>5</vt:i4>
      </vt:variant>
      <vt:variant>
        <vt:lpwstr>mailto:centralpharma@centralpharma.ee</vt:lpwstr>
      </vt:variant>
      <vt:variant>
        <vt:lpwstr/>
      </vt:variant>
      <vt:variant>
        <vt:i4>7536646</vt:i4>
      </vt:variant>
      <vt:variant>
        <vt:i4>27</vt:i4>
      </vt:variant>
      <vt:variant>
        <vt:i4>0</vt:i4>
      </vt:variant>
      <vt:variant>
        <vt:i4>5</vt:i4>
      </vt:variant>
      <vt:variant>
        <vt:lpwstr>mailto:mail.dk@sobi.com</vt:lpwstr>
      </vt:variant>
      <vt:variant>
        <vt:lpwstr/>
      </vt:variant>
      <vt:variant>
        <vt:i4>1638420</vt:i4>
      </vt:variant>
      <vt:variant>
        <vt:i4>24</vt:i4>
      </vt:variant>
      <vt:variant>
        <vt:i4>0</vt:i4>
      </vt:variant>
      <vt:variant>
        <vt:i4>5</vt:i4>
      </vt:variant>
      <vt:variant>
        <vt:lpwstr>mailto:ICN_Polfa@valeant.com</vt:lpwstr>
      </vt:variant>
      <vt:variant>
        <vt:lpwstr/>
      </vt:variant>
      <vt:variant>
        <vt:i4>6815760</vt:i4>
      </vt:variant>
      <vt:variant>
        <vt:i4>21</vt:i4>
      </vt:variant>
      <vt:variant>
        <vt:i4>0</vt:i4>
      </vt:variant>
      <vt:variant>
        <vt:i4>5</vt:i4>
      </vt:variant>
      <vt:variant>
        <vt:lpwstr>mailto:czech.info@valeant.com</vt:lpwstr>
      </vt:variant>
      <vt:variant>
        <vt:lpwstr/>
      </vt:variant>
      <vt:variant>
        <vt:i4>7798796</vt:i4>
      </vt:variant>
      <vt:variant>
        <vt:i4>18</vt:i4>
      </vt:variant>
      <vt:variant>
        <vt:i4>0</vt:i4>
      </vt:variant>
      <vt:variant>
        <vt:i4>5</vt:i4>
      </vt:variant>
      <vt:variant>
        <vt:lpwstr>mailto:mail.no@sobi.com</vt:lpwstr>
      </vt:variant>
      <vt:variant>
        <vt:lpwstr/>
      </vt:variant>
      <vt:variant>
        <vt:i4>7733335</vt:i4>
      </vt:variant>
      <vt:variant>
        <vt:i4>15</vt:i4>
      </vt:variant>
      <vt:variant>
        <vt:i4>0</vt:i4>
      </vt:variant>
      <vt:variant>
        <vt:i4>5</vt:i4>
      </vt:variant>
      <vt:variant>
        <vt:lpwstr>mailto:PharmaSwissBulgariaInfo@valeant.com</vt:lpwstr>
      </vt:variant>
      <vt:variant>
        <vt:lpwstr/>
      </vt:variant>
      <vt:variant>
        <vt:i4>917540</vt:i4>
      </vt:variant>
      <vt:variant>
        <vt:i4>12</vt:i4>
      </vt:variant>
      <vt:variant>
        <vt:i4>0</vt:i4>
      </vt:variant>
      <vt:variant>
        <vt:i4>5</vt:i4>
      </vt:variant>
      <vt:variant>
        <vt:lpwstr>mailto:centralpharma@centralpharma.lt</vt:lpwstr>
      </vt:variant>
      <vt:variant>
        <vt:lpwstr/>
      </vt:variant>
      <vt:variant>
        <vt:i4>1245231</vt:i4>
      </vt:variant>
      <vt:variant>
        <vt:i4>9</vt:i4>
      </vt:variant>
      <vt:variant>
        <vt:i4>0</vt:i4>
      </vt:variant>
      <vt:variant>
        <vt:i4>5</vt:i4>
      </vt:variant>
      <vt:variant>
        <vt:lpwstr>mailto:info@gentium.it</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3932195</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Defibrotide</dc:title>
  <dc:subject>prescription medicines</dc:subject>
  <dc:creator/>
  <cp:keywords>AusPAR</cp:keywords>
  <cp:lastModifiedBy/>
  <dcterms:created xsi:type="dcterms:W3CDTF">2020-07-14T22:43:00Z</dcterms:created>
  <dcterms:modified xsi:type="dcterms:W3CDTF">2020-12-11T06:20:00Z</dcterms:modified>
</cp:coreProperties>
</file>